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A1639C" w:rsidP="00A1639C">
      <w:pPr>
        <w:pStyle w:val="OrderHeading"/>
      </w:pPr>
      <w:r>
        <w:t>BEFORE THE FLORIDA PUBLIC SERVICE COMMISSION</w:t>
      </w:r>
    </w:p>
    <w:p w:rsidR="00A1639C" w:rsidRDefault="00A1639C" w:rsidP="00A1639C">
      <w:pPr>
        <w:pStyle w:val="OrderBody"/>
      </w:pPr>
    </w:p>
    <w:p w:rsidR="00A1639C" w:rsidRDefault="00A1639C" w:rsidP="00A1639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1639C" w:rsidRPr="00C63FCF" w:rsidTr="00572085">
        <w:trPr>
          <w:trHeight w:val="828"/>
        </w:trPr>
        <w:tc>
          <w:tcPr>
            <w:tcW w:w="4788" w:type="dxa"/>
            <w:tcBorders>
              <w:bottom w:val="single" w:sz="8" w:space="0" w:color="auto"/>
              <w:right w:val="double" w:sz="6" w:space="0" w:color="auto"/>
            </w:tcBorders>
            <w:shd w:val="clear" w:color="auto" w:fill="auto"/>
          </w:tcPr>
          <w:p w:rsidR="00A1639C" w:rsidRDefault="00A1639C" w:rsidP="003C5423">
            <w:pPr>
              <w:pStyle w:val="OrderBody"/>
              <w:tabs>
                <w:tab w:val="center" w:pos="4320"/>
                <w:tab w:val="right" w:pos="8640"/>
              </w:tabs>
            </w:pPr>
            <w:r>
              <w:t xml:space="preserve">In re: </w:t>
            </w:r>
            <w:bookmarkStart w:id="0" w:name="SSInRe"/>
            <w:bookmarkEnd w:id="0"/>
            <w:r>
              <w:t>Application for transfer of water facilities of Neighborhood Utilities, Inc. and water Certificate No. 430-W to CSWR-Florida Utility Operating Company, LLC, in Duval County.</w:t>
            </w:r>
          </w:p>
        </w:tc>
        <w:tc>
          <w:tcPr>
            <w:tcW w:w="4788" w:type="dxa"/>
            <w:tcBorders>
              <w:left w:val="double" w:sz="6" w:space="0" w:color="auto"/>
            </w:tcBorders>
            <w:shd w:val="clear" w:color="auto" w:fill="auto"/>
          </w:tcPr>
          <w:p w:rsidR="00A1639C" w:rsidRDefault="00A1639C" w:rsidP="00A1639C">
            <w:pPr>
              <w:pStyle w:val="OrderBody"/>
            </w:pPr>
            <w:r>
              <w:t xml:space="preserve">DOCKET NO. </w:t>
            </w:r>
            <w:bookmarkStart w:id="1" w:name="SSDocketNo"/>
            <w:bookmarkEnd w:id="1"/>
            <w:r>
              <w:t>20220019-WU</w:t>
            </w:r>
          </w:p>
          <w:p w:rsidR="00A1639C" w:rsidRDefault="00A1639C" w:rsidP="00572085">
            <w:pPr>
              <w:pStyle w:val="OrderBody"/>
              <w:tabs>
                <w:tab w:val="center" w:pos="4320"/>
                <w:tab w:val="right" w:pos="8640"/>
              </w:tabs>
              <w:jc w:val="left"/>
            </w:pPr>
            <w:r>
              <w:t xml:space="preserve">ORDER NO. </w:t>
            </w:r>
            <w:bookmarkStart w:id="2" w:name="OrderNo0364"/>
            <w:r w:rsidR="002506F9">
              <w:t>PSC-2022-0364-PAA-WU</w:t>
            </w:r>
            <w:bookmarkEnd w:id="2"/>
          </w:p>
          <w:p w:rsidR="00A1639C" w:rsidRDefault="00A1639C" w:rsidP="00572085">
            <w:pPr>
              <w:pStyle w:val="OrderBody"/>
              <w:tabs>
                <w:tab w:val="center" w:pos="4320"/>
                <w:tab w:val="right" w:pos="8640"/>
              </w:tabs>
              <w:jc w:val="left"/>
            </w:pPr>
            <w:r>
              <w:t xml:space="preserve">ISSUED: </w:t>
            </w:r>
            <w:r w:rsidR="002506F9">
              <w:t>October 25, 2022</w:t>
            </w:r>
          </w:p>
        </w:tc>
      </w:tr>
    </w:tbl>
    <w:p w:rsidR="00A1639C" w:rsidRDefault="00A1639C" w:rsidP="00A1639C"/>
    <w:p w:rsidR="0005028E" w:rsidRDefault="0005028E" w:rsidP="00A1639C"/>
    <w:p w:rsidR="004B4916" w:rsidRDefault="004B4916" w:rsidP="00A1639C"/>
    <w:p w:rsidR="00A1639C" w:rsidRDefault="00A1639C" w:rsidP="00B67A43">
      <w:pPr>
        <w:ind w:firstLine="720"/>
        <w:jc w:val="both"/>
      </w:pPr>
      <w:bookmarkStart w:id="3" w:name="Commissioners"/>
      <w:bookmarkEnd w:id="3"/>
      <w:r>
        <w:t>The following Commissioners participated in the disposition of this matter:</w:t>
      </w:r>
    </w:p>
    <w:p w:rsidR="00A1639C" w:rsidRDefault="00A1639C" w:rsidP="00B67A43"/>
    <w:p w:rsidR="00A1639C" w:rsidRDefault="00A1639C" w:rsidP="00B67A43">
      <w:pPr>
        <w:jc w:val="center"/>
      </w:pPr>
      <w:r>
        <w:t>ART GRAHAM</w:t>
      </w:r>
      <w:r w:rsidR="00B44278">
        <w:t>, Chairman</w:t>
      </w:r>
    </w:p>
    <w:p w:rsidR="00A1639C" w:rsidRDefault="00A1639C" w:rsidP="00B67A43">
      <w:pPr>
        <w:jc w:val="center"/>
      </w:pPr>
      <w:r>
        <w:t>GARY F. CLARK</w:t>
      </w:r>
    </w:p>
    <w:p w:rsidR="00A1639C" w:rsidRDefault="00A1639C" w:rsidP="00B67A43">
      <w:pPr>
        <w:jc w:val="center"/>
      </w:pPr>
      <w:r>
        <w:t>MIKE LA ROSA</w:t>
      </w:r>
    </w:p>
    <w:p w:rsidR="00A1639C" w:rsidRPr="005F2751" w:rsidRDefault="00A1639C" w:rsidP="00B67A43">
      <w:pPr>
        <w:jc w:val="center"/>
      </w:pPr>
      <w:r w:rsidRPr="005F2751">
        <w:rPr>
          <w:lang w:val="en"/>
        </w:rPr>
        <w:t>GABRIELLA PASSIDOMO</w:t>
      </w:r>
    </w:p>
    <w:p w:rsidR="0005028E" w:rsidRDefault="0005028E" w:rsidP="00A1639C">
      <w:pPr>
        <w:pStyle w:val="OrderBody"/>
      </w:pPr>
    </w:p>
    <w:bookmarkStart w:id="4" w:name="OrderText"/>
    <w:bookmarkEnd w:id="4"/>
    <w:p w:rsidR="00A1639C" w:rsidRPr="00946ED1" w:rsidRDefault="00A1639C">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946ED1" w:rsidRPr="00946ED1" w:rsidRDefault="00A1639C">
      <w:pPr>
        <w:pStyle w:val="OrderBody"/>
        <w:jc w:val="center"/>
        <w:rPr>
          <w:u w:val="single"/>
        </w:rPr>
      </w:pPr>
      <w:r w:rsidRPr="00946ED1">
        <w:rPr>
          <w:u w:val="single"/>
        </w:rPr>
        <w:t>ORDER</w:t>
      </w:r>
      <w:bookmarkStart w:id="5" w:name="OrderTitle"/>
      <w:r w:rsidRPr="00946ED1">
        <w:rPr>
          <w:u w:val="single"/>
        </w:rPr>
        <w:t xml:space="preserve"> </w:t>
      </w:r>
      <w:bookmarkEnd w:id="5"/>
      <w:r w:rsidR="00946ED1" w:rsidRPr="00946ED1">
        <w:rPr>
          <w:u w:val="single"/>
        </w:rPr>
        <w:t>ESTABLISHING NET BOOK VALUE</w:t>
      </w:r>
      <w:r w:rsidR="00946ED1">
        <w:rPr>
          <w:u w:val="single"/>
        </w:rPr>
        <w:t>,</w:t>
      </w:r>
      <w:r w:rsidR="0005028E">
        <w:rPr>
          <w:u w:val="single"/>
        </w:rPr>
        <w:t xml:space="preserve"> </w:t>
      </w:r>
      <w:r w:rsidR="00946ED1" w:rsidRPr="00946ED1">
        <w:rPr>
          <w:u w:val="single"/>
        </w:rPr>
        <w:t>DE</w:t>
      </w:r>
      <w:r w:rsidR="00946ED1">
        <w:rPr>
          <w:u w:val="single"/>
        </w:rPr>
        <w:t>NYING</w:t>
      </w:r>
      <w:r w:rsidR="00946ED1" w:rsidRPr="00946ED1">
        <w:rPr>
          <w:u w:val="single"/>
        </w:rPr>
        <w:t xml:space="preserve"> A POSITIVE ACQUISITION ADJUSTMENT</w:t>
      </w:r>
      <w:r w:rsidR="00946ED1">
        <w:rPr>
          <w:u w:val="single"/>
        </w:rPr>
        <w:t>,</w:t>
      </w:r>
      <w:r w:rsidR="0005028E">
        <w:rPr>
          <w:u w:val="single"/>
        </w:rPr>
        <w:t xml:space="preserve"> </w:t>
      </w:r>
      <w:r w:rsidR="00946ED1">
        <w:rPr>
          <w:u w:val="single"/>
        </w:rPr>
        <w:t>AND REVISING MISCELLANEOUS SERVICE CHARGES</w:t>
      </w:r>
    </w:p>
    <w:p w:rsidR="00946ED1" w:rsidRPr="00946ED1" w:rsidRDefault="00946ED1">
      <w:pPr>
        <w:pStyle w:val="OrderBody"/>
        <w:jc w:val="center"/>
        <w:rPr>
          <w:u w:val="single"/>
        </w:rPr>
      </w:pPr>
      <w:r w:rsidRPr="00946ED1">
        <w:rPr>
          <w:u w:val="single"/>
        </w:rPr>
        <w:t>AND</w:t>
      </w:r>
    </w:p>
    <w:p w:rsidR="00D21795" w:rsidRDefault="00946ED1">
      <w:pPr>
        <w:pStyle w:val="OrderBody"/>
        <w:jc w:val="center"/>
        <w:rPr>
          <w:u w:val="single"/>
        </w:rPr>
      </w:pPr>
      <w:r w:rsidRPr="00946ED1">
        <w:rPr>
          <w:u w:val="single"/>
        </w:rPr>
        <w:t xml:space="preserve">ORDER APPROVING TRANSFER OF WATER </w:t>
      </w:r>
      <w:r w:rsidR="00D21795">
        <w:rPr>
          <w:u w:val="single"/>
        </w:rPr>
        <w:t>SYSTEM</w:t>
      </w:r>
      <w:r w:rsidR="002506F9">
        <w:rPr>
          <w:u w:val="single"/>
        </w:rPr>
        <w:t xml:space="preserve"> </w:t>
      </w:r>
      <w:r w:rsidR="00D21795">
        <w:rPr>
          <w:u w:val="single"/>
        </w:rPr>
        <w:t xml:space="preserve">AND </w:t>
      </w:r>
      <w:r w:rsidRPr="00946ED1">
        <w:rPr>
          <w:u w:val="single"/>
        </w:rPr>
        <w:t>CERTIFICATE NO. 430-W</w:t>
      </w:r>
      <w:r w:rsidR="00D21795">
        <w:rPr>
          <w:u w:val="single"/>
        </w:rPr>
        <w:t xml:space="preserve">, </w:t>
      </w:r>
    </w:p>
    <w:p w:rsidR="00946ED1" w:rsidRPr="00946ED1" w:rsidRDefault="00D21795">
      <w:pPr>
        <w:pStyle w:val="OrderBody"/>
        <w:jc w:val="center"/>
        <w:rPr>
          <w:u w:val="single"/>
        </w:rPr>
      </w:pPr>
      <w:r>
        <w:rPr>
          <w:u w:val="single"/>
        </w:rPr>
        <w:t>AND CONTINUING EXISTING RATES AND CHARGES</w:t>
      </w:r>
    </w:p>
    <w:p w:rsidR="004B4916" w:rsidRDefault="004B4916">
      <w:pPr>
        <w:pStyle w:val="OrderBody"/>
      </w:pPr>
    </w:p>
    <w:p w:rsidR="00A1639C" w:rsidRPr="003E4B2D" w:rsidRDefault="00A1639C">
      <w:pPr>
        <w:pStyle w:val="OrderBody"/>
      </w:pPr>
      <w:r w:rsidRPr="003E4B2D">
        <w:t>BY THE COMMISSION:</w:t>
      </w:r>
    </w:p>
    <w:p w:rsidR="00A1639C" w:rsidRPr="003E4B2D" w:rsidRDefault="00A1639C">
      <w:pPr>
        <w:pStyle w:val="OrderBody"/>
      </w:pPr>
    </w:p>
    <w:p w:rsidR="00A1639C" w:rsidRDefault="00A1639C">
      <w:pPr>
        <w:pStyle w:val="OrderBody"/>
      </w:pPr>
      <w:r w:rsidRPr="003E4B2D">
        <w:tab/>
        <w:t xml:space="preserve">NOTICE is hereby given by the Florida Public Service Commission </w:t>
      </w:r>
      <w:r w:rsidR="00946ED1">
        <w:t>that the action discussed herein establishing net book value, denying a positive acquisition adjustment, and revising miscellaneous service charges,</w:t>
      </w:r>
      <w:r w:rsidRPr="003E4B2D">
        <w:t xml:space="preserve">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A1639C"/>
    <w:p w:rsidR="00A1639C" w:rsidRPr="005C67CA" w:rsidRDefault="00A1639C" w:rsidP="00B557EB">
      <w:pPr>
        <w:pStyle w:val="RecommendationMajorSectionHeading"/>
        <w:spacing w:after="0"/>
        <w:rPr>
          <w:rFonts w:ascii="Times New Roman" w:hAnsi="Times New Roman" w:cs="Times New Roman"/>
          <w:b w:val="0"/>
          <w:u w:val="single"/>
        </w:rPr>
      </w:pPr>
      <w:r w:rsidRPr="005C67CA">
        <w:rPr>
          <w:rFonts w:ascii="Times New Roman" w:hAnsi="Times New Roman" w:cs="Times New Roman"/>
          <w:b w:val="0"/>
          <w:u w:val="single"/>
        </w:rPr>
        <w:t>Background</w:t>
      </w:r>
    </w:p>
    <w:p w:rsidR="00B557EB" w:rsidRPr="00946ED1" w:rsidRDefault="00B557EB" w:rsidP="00B557EB">
      <w:pPr>
        <w:ind w:firstLine="720"/>
        <w:jc w:val="both"/>
        <w:rPr>
          <w:rFonts w:eastAsia="Calibri"/>
          <w:szCs w:val="22"/>
        </w:rPr>
      </w:pPr>
    </w:p>
    <w:p w:rsidR="00B44278" w:rsidRDefault="00A1639C" w:rsidP="00B44278">
      <w:pPr>
        <w:ind w:firstLine="720"/>
        <w:jc w:val="both"/>
        <w:rPr>
          <w:rFonts w:eastAsia="Calibri"/>
          <w:szCs w:val="22"/>
        </w:rPr>
      </w:pPr>
      <w:r w:rsidRPr="00946ED1">
        <w:rPr>
          <w:rFonts w:eastAsia="Calibri"/>
          <w:szCs w:val="22"/>
        </w:rPr>
        <w:t>Neighborhood Utilities, Inc. (Neighborhood, Utility, or Seller) is a Class C water utility providing service to approximately 439 residential and 4 general service customers in Duval County. The Utility is located in the St. Johns River Water Management District (SJRWMD) in the Water Resource Caution Area.</w:t>
      </w:r>
      <w:r w:rsidRPr="00946ED1">
        <w:rPr>
          <w:rFonts w:eastAsia="Calibri"/>
          <w:szCs w:val="22"/>
          <w:lang w:val="en-CA"/>
        </w:rPr>
        <w:fldChar w:fldCharType="begin"/>
      </w:r>
      <w:r w:rsidRPr="00946ED1">
        <w:rPr>
          <w:rFonts w:eastAsia="Calibri"/>
          <w:szCs w:val="22"/>
          <w:lang w:val="en-CA"/>
        </w:rPr>
        <w:instrText xml:space="preserve"> SEQ CHAPTER \h \r 1</w:instrText>
      </w:r>
      <w:r w:rsidRPr="00946ED1">
        <w:rPr>
          <w:rFonts w:eastAsia="Calibri"/>
          <w:szCs w:val="22"/>
        </w:rPr>
        <w:fldChar w:fldCharType="end"/>
      </w:r>
      <w:r w:rsidRPr="00946ED1">
        <w:rPr>
          <w:rFonts w:eastAsia="Calibri"/>
          <w:szCs w:val="22"/>
        </w:rPr>
        <w:t xml:space="preserve"> Wastewater service is provided by septic tanks. In its 2021 Annual Report, the Utility reported operating revenues of $183,323 and a net operating loss of $18,732.</w:t>
      </w:r>
      <w:r w:rsidR="00B44278">
        <w:rPr>
          <w:rFonts w:eastAsia="Calibri"/>
          <w:szCs w:val="22"/>
        </w:rPr>
        <w:t xml:space="preserve">  </w:t>
      </w:r>
    </w:p>
    <w:p w:rsidR="00162FA3" w:rsidRDefault="00162FA3" w:rsidP="00B44278">
      <w:pPr>
        <w:ind w:firstLine="720"/>
        <w:jc w:val="both"/>
        <w:rPr>
          <w:rFonts w:eastAsia="Calibri"/>
          <w:szCs w:val="22"/>
        </w:rPr>
      </w:pPr>
    </w:p>
    <w:p w:rsidR="00A1639C" w:rsidRDefault="00B44278" w:rsidP="00B44278">
      <w:pPr>
        <w:ind w:firstLine="720"/>
        <w:jc w:val="both"/>
        <w:rPr>
          <w:rFonts w:eastAsia="Calibri"/>
          <w:szCs w:val="22"/>
        </w:rPr>
      </w:pPr>
      <w:r>
        <w:rPr>
          <w:rFonts w:eastAsia="Calibri"/>
          <w:color w:val="000000"/>
          <w:szCs w:val="22"/>
        </w:rPr>
        <w:t xml:space="preserve">We </w:t>
      </w:r>
      <w:r w:rsidR="00A1639C" w:rsidRPr="00946ED1">
        <w:rPr>
          <w:rFonts w:eastAsia="Calibri"/>
          <w:color w:val="000000"/>
          <w:szCs w:val="22"/>
        </w:rPr>
        <w:t xml:space="preserve">granted an original water certificate to </w:t>
      </w:r>
      <w:r w:rsidR="00A1639C" w:rsidRPr="00946ED1">
        <w:rPr>
          <w:rFonts w:eastAsia="Calibri"/>
          <w:szCs w:val="22"/>
        </w:rPr>
        <w:t xml:space="preserve">Neighborhood </w:t>
      </w:r>
      <w:r w:rsidR="00A1639C" w:rsidRPr="00946ED1">
        <w:rPr>
          <w:rFonts w:eastAsia="Calibri"/>
          <w:color w:val="000000"/>
          <w:szCs w:val="22"/>
        </w:rPr>
        <w:t>in 1984</w:t>
      </w:r>
      <w:r>
        <w:rPr>
          <w:rFonts w:eastAsia="Calibri"/>
          <w:color w:val="000000"/>
          <w:szCs w:val="22"/>
        </w:rPr>
        <w:t>,</w:t>
      </w:r>
      <w:r w:rsidR="00A1639C" w:rsidRPr="00946ED1">
        <w:rPr>
          <w:rStyle w:val="FootnoteReference"/>
          <w:rFonts w:eastAsia="Calibri"/>
          <w:color w:val="000000"/>
          <w:szCs w:val="22"/>
        </w:rPr>
        <w:footnoteReference w:id="1"/>
      </w:r>
      <w:r w:rsidR="00A1639C" w:rsidRPr="00946ED1">
        <w:rPr>
          <w:rFonts w:eastAsia="Calibri"/>
          <w:color w:val="000000"/>
          <w:szCs w:val="22"/>
        </w:rPr>
        <w:t xml:space="preserve"> </w:t>
      </w:r>
      <w:r>
        <w:rPr>
          <w:rFonts w:eastAsia="Calibri"/>
          <w:color w:val="000000"/>
          <w:szCs w:val="22"/>
        </w:rPr>
        <w:t xml:space="preserve">and approved </w:t>
      </w:r>
      <w:r w:rsidR="00A1639C" w:rsidRPr="00946ED1">
        <w:rPr>
          <w:rFonts w:eastAsia="Calibri"/>
          <w:szCs w:val="22"/>
        </w:rPr>
        <w:t>an amendment in 2011.</w:t>
      </w:r>
      <w:r w:rsidR="00A1639C" w:rsidRPr="00946ED1">
        <w:rPr>
          <w:rStyle w:val="FootnoteReference"/>
          <w:rFonts w:eastAsia="Calibri"/>
          <w:szCs w:val="22"/>
        </w:rPr>
        <w:footnoteReference w:id="2"/>
      </w:r>
      <w:r w:rsidR="00A1639C" w:rsidRPr="00946ED1">
        <w:rPr>
          <w:rFonts w:eastAsia="Calibri"/>
          <w:szCs w:val="22"/>
        </w:rPr>
        <w:t xml:space="preserve"> </w:t>
      </w:r>
      <w:r>
        <w:rPr>
          <w:rFonts w:eastAsia="Calibri"/>
          <w:szCs w:val="22"/>
        </w:rPr>
        <w:t xml:space="preserve"> We last set</w:t>
      </w:r>
      <w:r w:rsidR="00A1639C" w:rsidRPr="00946ED1">
        <w:rPr>
          <w:rFonts w:eastAsia="Calibri"/>
          <w:szCs w:val="22"/>
        </w:rPr>
        <w:t xml:space="preserve"> rates for the Utility in 2016.</w:t>
      </w:r>
      <w:r w:rsidR="00A1639C" w:rsidRPr="00946ED1">
        <w:rPr>
          <w:rStyle w:val="FootnoteReference"/>
          <w:rFonts w:eastAsia="Calibri"/>
          <w:szCs w:val="22"/>
        </w:rPr>
        <w:footnoteReference w:id="3"/>
      </w:r>
    </w:p>
    <w:p w:rsidR="00A1639C" w:rsidRPr="00946ED1" w:rsidRDefault="00A1639C" w:rsidP="00946ED1">
      <w:pPr>
        <w:ind w:firstLine="720"/>
        <w:jc w:val="both"/>
        <w:rPr>
          <w:rFonts w:eastAsia="Calibri"/>
          <w:szCs w:val="22"/>
        </w:rPr>
      </w:pPr>
      <w:r w:rsidRPr="00946ED1">
        <w:rPr>
          <w:rFonts w:eastAsia="Calibri"/>
          <w:szCs w:val="22"/>
        </w:rPr>
        <w:lastRenderedPageBreak/>
        <w:t xml:space="preserve">On January 14, 2022, CSWR-Florida Utility Operating Company, LLC (CSWR-Neighborhood or Buyer) filed an application </w:t>
      </w:r>
      <w:r w:rsidRPr="00946ED1">
        <w:rPr>
          <w:rFonts w:eastAsia="Calibri"/>
          <w:color w:val="000000"/>
          <w:szCs w:val="22"/>
        </w:rPr>
        <w:t xml:space="preserve">with the Commission </w:t>
      </w:r>
      <w:r w:rsidRPr="00946ED1">
        <w:rPr>
          <w:rFonts w:eastAsia="Calibri"/>
          <w:szCs w:val="22"/>
        </w:rPr>
        <w:t xml:space="preserve">for the transfer of Certificate No. 430-W from Neighborhood to CSWR-Neighborhood in Duval County. The sale will close after </w:t>
      </w:r>
      <w:r w:rsidR="00F36ED7">
        <w:rPr>
          <w:rFonts w:eastAsia="Calibri"/>
          <w:szCs w:val="22"/>
        </w:rPr>
        <w:t>our</w:t>
      </w:r>
      <w:r w:rsidRPr="00946ED1">
        <w:rPr>
          <w:rFonts w:eastAsia="Calibri"/>
          <w:szCs w:val="22"/>
        </w:rPr>
        <w:t xml:space="preserve"> vote to approve the transfer.</w:t>
      </w:r>
      <w:r w:rsidR="00F36ED7">
        <w:rPr>
          <w:rFonts w:eastAsia="Calibri"/>
          <w:szCs w:val="22"/>
        </w:rPr>
        <w:t xml:space="preserve"> </w:t>
      </w:r>
      <w:r w:rsidRPr="00946ED1">
        <w:rPr>
          <w:rFonts w:eastAsia="Calibri"/>
          <w:szCs w:val="22"/>
        </w:rPr>
        <w:t xml:space="preserve">Intervention by the Office of Public Counsel (OPC) was acknowledged on March 3, 2022. OPC and </w:t>
      </w:r>
      <w:r w:rsidR="00BA2403">
        <w:rPr>
          <w:rFonts w:eastAsia="Calibri"/>
          <w:szCs w:val="22"/>
        </w:rPr>
        <w:t xml:space="preserve">our </w:t>
      </w:r>
      <w:r w:rsidRPr="00946ED1">
        <w:rPr>
          <w:rFonts w:eastAsia="Calibri"/>
          <w:szCs w:val="22"/>
        </w:rPr>
        <w:t>staff issued a number of discovery and data requests to CSWR-Neighborhood in this docket.</w:t>
      </w:r>
    </w:p>
    <w:p w:rsidR="00B557EB" w:rsidRPr="00946ED1" w:rsidRDefault="00B557EB" w:rsidP="00946ED1">
      <w:pPr>
        <w:ind w:firstLine="720"/>
        <w:jc w:val="both"/>
        <w:rPr>
          <w:rFonts w:eastAsia="Calibri"/>
          <w:szCs w:val="22"/>
        </w:rPr>
      </w:pPr>
    </w:p>
    <w:p w:rsidR="005F2751" w:rsidRPr="00946ED1" w:rsidRDefault="00A1639C" w:rsidP="00946ED1">
      <w:pPr>
        <w:ind w:firstLine="720"/>
        <w:jc w:val="both"/>
        <w:rPr>
          <w:rFonts w:eastAsia="Calibri"/>
          <w:szCs w:val="22"/>
        </w:rPr>
      </w:pPr>
      <w:r w:rsidRPr="00946ED1">
        <w:rPr>
          <w:rFonts w:eastAsia="Calibri"/>
          <w:szCs w:val="22"/>
        </w:rPr>
        <w:t xml:space="preserve">This </w:t>
      </w:r>
      <w:r w:rsidR="00F36ED7">
        <w:rPr>
          <w:rFonts w:eastAsia="Calibri"/>
          <w:szCs w:val="22"/>
        </w:rPr>
        <w:t>order</w:t>
      </w:r>
      <w:r w:rsidRPr="00946ED1">
        <w:rPr>
          <w:rFonts w:eastAsia="Calibri"/>
          <w:szCs w:val="22"/>
        </w:rPr>
        <w:t xml:space="preserve"> addresses the transfer of the water system and Certificate No. 430-W, the appropriate net book value of the water system for transfer purposes, </w:t>
      </w:r>
      <w:r w:rsidR="00F36ED7">
        <w:rPr>
          <w:rFonts w:eastAsia="Calibri"/>
          <w:szCs w:val="22"/>
        </w:rPr>
        <w:t>t</w:t>
      </w:r>
      <w:r w:rsidRPr="00946ED1">
        <w:rPr>
          <w:rFonts w:eastAsia="Calibri"/>
          <w:szCs w:val="22"/>
        </w:rPr>
        <w:t>he request for a</w:t>
      </w:r>
      <w:r w:rsidR="00F36ED7">
        <w:rPr>
          <w:rFonts w:eastAsia="Calibri"/>
          <w:szCs w:val="22"/>
        </w:rPr>
        <w:t xml:space="preserve"> positive</w:t>
      </w:r>
      <w:r w:rsidRPr="00946ED1">
        <w:rPr>
          <w:rFonts w:eastAsia="Calibri"/>
          <w:szCs w:val="22"/>
        </w:rPr>
        <w:t xml:space="preserve"> acquisition adjustment</w:t>
      </w:r>
      <w:r w:rsidR="00F36ED7">
        <w:rPr>
          <w:rFonts w:eastAsia="Calibri"/>
          <w:szCs w:val="22"/>
        </w:rPr>
        <w:t>, and revision of the Utility’s miscellaneous service charges</w:t>
      </w:r>
      <w:r w:rsidRPr="00946ED1">
        <w:rPr>
          <w:rFonts w:eastAsia="Calibri"/>
          <w:szCs w:val="22"/>
        </w:rPr>
        <w:t xml:space="preserve">. </w:t>
      </w:r>
      <w:r w:rsidR="00F36ED7">
        <w:rPr>
          <w:rFonts w:eastAsia="Calibri"/>
          <w:szCs w:val="22"/>
        </w:rPr>
        <w:t>We have</w:t>
      </w:r>
      <w:r w:rsidRPr="00946ED1">
        <w:rPr>
          <w:rFonts w:eastAsia="Calibri"/>
          <w:szCs w:val="22"/>
        </w:rPr>
        <w:t xml:space="preserve"> jurisdiction pursuant to Sections 367.071 and 367.081, Florida Statutes (F.S.).</w:t>
      </w:r>
    </w:p>
    <w:p w:rsidR="00A1639C" w:rsidRPr="00946ED1" w:rsidRDefault="00A1639C" w:rsidP="00946ED1">
      <w:pPr>
        <w:jc w:val="both"/>
        <w:rPr>
          <w:rFonts w:eastAsia="Calibri"/>
          <w:szCs w:val="22"/>
        </w:rPr>
      </w:pPr>
    </w:p>
    <w:p w:rsidR="00A1639C" w:rsidRPr="005C67CA" w:rsidRDefault="00A1639C" w:rsidP="00946ED1">
      <w:pPr>
        <w:pStyle w:val="RecommendationMajorSectionHeading"/>
        <w:spacing w:after="0"/>
        <w:rPr>
          <w:rFonts w:ascii="Times New Roman" w:hAnsi="Times New Roman" w:cs="Times New Roman"/>
          <w:b w:val="0"/>
          <w:u w:val="single"/>
        </w:rPr>
      </w:pPr>
      <w:bookmarkStart w:id="6" w:name="DiscussionOfIssues"/>
      <w:r w:rsidRPr="005C67CA">
        <w:rPr>
          <w:rFonts w:ascii="Times New Roman" w:hAnsi="Times New Roman" w:cs="Times New Roman"/>
          <w:b w:val="0"/>
          <w:u w:val="single"/>
        </w:rPr>
        <w:t>D</w:t>
      </w:r>
      <w:r w:rsidR="00946ED1" w:rsidRPr="005C67CA">
        <w:rPr>
          <w:rFonts w:ascii="Times New Roman" w:hAnsi="Times New Roman" w:cs="Times New Roman"/>
          <w:b w:val="0"/>
          <w:u w:val="single"/>
        </w:rPr>
        <w:t>ecision</w:t>
      </w:r>
    </w:p>
    <w:bookmarkEnd w:id="6"/>
    <w:p w:rsidR="00B557EB" w:rsidRDefault="00B557EB" w:rsidP="00946ED1">
      <w:pPr>
        <w:pStyle w:val="IssueHeading"/>
        <w:spacing w:after="0"/>
        <w:rPr>
          <w:rFonts w:ascii="Times New Roman" w:hAnsi="Times New Roman" w:cs="Times New Roman"/>
          <w:b w:val="0"/>
          <w:i w:val="0"/>
        </w:rPr>
      </w:pPr>
    </w:p>
    <w:p w:rsidR="00B557EB" w:rsidRPr="00946ED1" w:rsidRDefault="00946ED1" w:rsidP="005C67CA">
      <w:pPr>
        <w:pStyle w:val="BodyText"/>
        <w:numPr>
          <w:ilvl w:val="0"/>
          <w:numId w:val="4"/>
        </w:numPr>
        <w:rPr>
          <w:b/>
          <w:bCs/>
          <w:i/>
          <w:iCs/>
          <w:szCs w:val="28"/>
        </w:rPr>
      </w:pPr>
      <w:r>
        <w:rPr>
          <w:u w:val="single"/>
        </w:rPr>
        <w:t>Transfer of Certificate No. 430-W</w:t>
      </w:r>
    </w:p>
    <w:p w:rsidR="00946ED1" w:rsidRDefault="00946ED1" w:rsidP="00946ED1">
      <w:pPr>
        <w:ind w:firstLine="720"/>
        <w:jc w:val="both"/>
        <w:outlineLvl w:val="1"/>
        <w:rPr>
          <w:b/>
          <w:bCs/>
          <w:i/>
          <w:iCs/>
          <w:szCs w:val="28"/>
        </w:rPr>
      </w:pPr>
    </w:p>
    <w:p w:rsidR="00A1639C" w:rsidRPr="00946ED1" w:rsidRDefault="00A1639C" w:rsidP="00946ED1">
      <w:pPr>
        <w:ind w:firstLine="720"/>
        <w:jc w:val="both"/>
        <w:outlineLvl w:val="1"/>
      </w:pPr>
      <w:r w:rsidRPr="00946ED1">
        <w:t xml:space="preserve">On </w:t>
      </w:r>
      <w:r w:rsidRPr="00946ED1">
        <w:rPr>
          <w:rFonts w:eastAsia="Calibri"/>
          <w:szCs w:val="22"/>
        </w:rPr>
        <w:t>January 14, 2022</w:t>
      </w:r>
      <w:r w:rsidRPr="00946ED1">
        <w:t xml:space="preserve">, CSWR-Neighborhood filed an application for the transfer of Certificate No. 430-W from </w:t>
      </w:r>
      <w:r w:rsidRPr="00946ED1">
        <w:rPr>
          <w:rFonts w:eastAsia="Calibri"/>
          <w:szCs w:val="22"/>
        </w:rPr>
        <w:t xml:space="preserve">Neighborhood </w:t>
      </w:r>
      <w:r w:rsidRPr="00946ED1">
        <w:t xml:space="preserve">to CSWR-Neighborhood in Duval County. The application complies with Section 367.071, F.S., and </w:t>
      </w:r>
      <w:r w:rsidR="001B1C72">
        <w:t xml:space="preserve">our </w:t>
      </w:r>
      <w:r w:rsidRPr="00946ED1">
        <w:t xml:space="preserve">rules concerning applications for transfer of certificates. The sale to CSWR-Neighborhood will become final after </w:t>
      </w:r>
      <w:r w:rsidR="001B1C72">
        <w:t xml:space="preserve">our </w:t>
      </w:r>
      <w:r w:rsidRPr="00946ED1">
        <w:t>approval of the transfer, pursuant to Section 367.071(1), F.S.</w:t>
      </w:r>
    </w:p>
    <w:p w:rsidR="00A1639C" w:rsidRPr="005C67CA" w:rsidRDefault="00A1639C" w:rsidP="005C67CA">
      <w:pPr>
        <w:pStyle w:val="ListParagraph"/>
        <w:numPr>
          <w:ilvl w:val="0"/>
          <w:numId w:val="6"/>
        </w:numPr>
        <w:spacing w:before="240"/>
        <w:jc w:val="both"/>
        <w:rPr>
          <w:bCs/>
        </w:rPr>
      </w:pPr>
      <w:r w:rsidRPr="005C67CA">
        <w:rPr>
          <w:bCs/>
        </w:rPr>
        <w:t>Noticing, Territory, and Land Ownership</w:t>
      </w:r>
    </w:p>
    <w:p w:rsidR="005C67CA" w:rsidRDefault="005C67CA" w:rsidP="005C67CA">
      <w:pPr>
        <w:ind w:firstLine="720"/>
        <w:jc w:val="both"/>
        <w:rPr>
          <w:b/>
          <w:bCs/>
        </w:rPr>
      </w:pPr>
    </w:p>
    <w:p w:rsidR="00A1639C" w:rsidRDefault="00A1639C" w:rsidP="005C67CA">
      <w:pPr>
        <w:ind w:firstLine="720"/>
        <w:jc w:val="both"/>
      </w:pPr>
      <w:r w:rsidRPr="00946ED1">
        <w:t xml:space="preserve">CSWR-Neighborhood provided notice of the application pursuant to Section 367.071, F.S., and Rule 25-30.030, F.A.C. No objections to the transfer were filed, and the time for doing so has expired. The application contains a description of the service territory, which is appended to this </w:t>
      </w:r>
      <w:r w:rsidR="001B1C72">
        <w:t xml:space="preserve">order </w:t>
      </w:r>
      <w:r w:rsidRPr="00946ED1">
        <w:t xml:space="preserve">as Attachment A. In its response to </w:t>
      </w:r>
      <w:r w:rsidR="001B1C72">
        <w:t xml:space="preserve">Commission </w:t>
      </w:r>
      <w:r w:rsidRPr="00946ED1">
        <w:t>staff’s September 8, 2021 deficiency letter, CSWR-Neighborhood provided an unrecorded warranty deed as evidence that the buyer will have long-term use of the land upon which the treatment facilities are located pursuant to Rule 25-30.037(2)(s), F.A.C. CSWR-Neighborhood sh</w:t>
      </w:r>
      <w:r w:rsidR="001B1C72">
        <w:t>all</w:t>
      </w:r>
      <w:r w:rsidRPr="00946ED1">
        <w:t xml:space="preserve"> submit the executed and recorded deed to </w:t>
      </w:r>
      <w:r w:rsidR="001B1C72">
        <w:t xml:space="preserve">us </w:t>
      </w:r>
      <w:r w:rsidRPr="00946ED1">
        <w:t>within 90 days of th</w:t>
      </w:r>
      <w:r w:rsidR="001B1C72">
        <w:t>is</w:t>
      </w:r>
      <w:r w:rsidRPr="00946ED1">
        <w:t xml:space="preserve"> Order approving the transfer.</w:t>
      </w:r>
    </w:p>
    <w:p w:rsidR="001B1C72" w:rsidRPr="00946ED1" w:rsidRDefault="001B1C72" w:rsidP="005C67CA">
      <w:pPr>
        <w:ind w:firstLine="720"/>
        <w:jc w:val="both"/>
      </w:pPr>
    </w:p>
    <w:p w:rsidR="00A1639C" w:rsidRPr="005C67CA" w:rsidRDefault="00A1639C" w:rsidP="005C67CA">
      <w:pPr>
        <w:pStyle w:val="ListParagraph"/>
        <w:numPr>
          <w:ilvl w:val="0"/>
          <w:numId w:val="6"/>
        </w:numPr>
        <w:jc w:val="both"/>
        <w:outlineLvl w:val="2"/>
        <w:rPr>
          <w:bCs/>
          <w:iCs/>
          <w:szCs w:val="28"/>
        </w:rPr>
      </w:pPr>
      <w:r w:rsidRPr="005C67CA">
        <w:rPr>
          <w:bCs/>
          <w:iCs/>
          <w:szCs w:val="28"/>
        </w:rPr>
        <w:t>Purchase Agreement and Financing</w:t>
      </w:r>
    </w:p>
    <w:p w:rsidR="005C67CA" w:rsidRDefault="005C67CA" w:rsidP="00946ED1">
      <w:pPr>
        <w:ind w:firstLine="720"/>
        <w:jc w:val="both"/>
      </w:pPr>
    </w:p>
    <w:p w:rsidR="00A1639C" w:rsidRPr="00946ED1" w:rsidRDefault="00A1639C" w:rsidP="00946ED1">
      <w:pPr>
        <w:ind w:firstLine="720"/>
        <w:jc w:val="both"/>
      </w:pPr>
      <w:r w:rsidRPr="00946ED1">
        <w:t xml:space="preserve">Pursuant to Rule 25-30.037(2)(g), (h), and (i), F.A.C., the application contains a statement regarding financing and a copy of the purchase agreement, which includes the purchase price, terms of payment, and a list of the assets purchased. There are no guaranteed revenue contracts, or customer advances of Neighborhood that must be disposed of with regard to the transfer. CSWR-Neighborhood will review all leases and developer agreements and will </w:t>
      </w:r>
      <w:r w:rsidRPr="00946ED1">
        <w:lastRenderedPageBreak/>
        <w:t xml:space="preserve">assume or renegotiate those agreements on a case-by-case basis prior to closing. Any customer deposits will be refunded to customers by the Seller prior to the closing. According to the purchase and sale agreement, the total purchase price for the assets is $460,000. According to the Buyer, the closing has not yet taken place and is dependent on </w:t>
      </w:r>
      <w:r w:rsidR="001B1C72">
        <w:t xml:space="preserve">our </w:t>
      </w:r>
      <w:r w:rsidRPr="00946ED1">
        <w:t>approval of the transfer, pursuant to Section 367.071(1), F.S.</w:t>
      </w:r>
    </w:p>
    <w:p w:rsidR="00A1639C" w:rsidRPr="00946ED1" w:rsidRDefault="00A1639C" w:rsidP="00946ED1">
      <w:pPr>
        <w:jc w:val="both"/>
      </w:pPr>
    </w:p>
    <w:p w:rsidR="00A1639C" w:rsidRPr="005C67CA" w:rsidRDefault="00A1639C" w:rsidP="005C67CA">
      <w:pPr>
        <w:pStyle w:val="ListParagraph"/>
        <w:numPr>
          <w:ilvl w:val="0"/>
          <w:numId w:val="6"/>
        </w:numPr>
        <w:jc w:val="both"/>
        <w:rPr>
          <w:bCs/>
        </w:rPr>
      </w:pPr>
      <w:r w:rsidRPr="005C67CA">
        <w:rPr>
          <w:bCs/>
        </w:rPr>
        <w:t>Facility Description and Compliance</w:t>
      </w:r>
    </w:p>
    <w:p w:rsidR="005C67CA" w:rsidRPr="005C67CA" w:rsidRDefault="005C67CA" w:rsidP="005C67CA">
      <w:pPr>
        <w:ind w:firstLine="720"/>
        <w:jc w:val="both"/>
        <w:rPr>
          <w:bCs/>
        </w:rPr>
      </w:pPr>
    </w:p>
    <w:p w:rsidR="00A1639C" w:rsidRPr="00946ED1" w:rsidRDefault="00A1639C" w:rsidP="00946ED1">
      <w:pPr>
        <w:ind w:firstLine="720"/>
        <w:jc w:val="both"/>
      </w:pPr>
      <w:r w:rsidRPr="00946ED1">
        <w:t xml:space="preserve">The Utility’s water treatment plant is rated at 360,000 gallons per day (gpd). Raw water is drawn from a single well, with an emergency water source of JEA Major Grid at a capacity of 360,000 gpd. The raw water is treated by hypochlorination. The water is stored in a 2,000 gallon hydropneumatic tank and two ground tanks, with a capacity of 15,000 gallons and 25,000 gallons, before distribution. </w:t>
      </w:r>
    </w:p>
    <w:p w:rsidR="00A1639C" w:rsidRPr="00946ED1" w:rsidRDefault="00A1639C" w:rsidP="00946ED1">
      <w:pPr>
        <w:jc w:val="both"/>
      </w:pPr>
    </w:p>
    <w:p w:rsidR="00A1639C" w:rsidRPr="00946ED1" w:rsidRDefault="001B1C72" w:rsidP="00946ED1">
      <w:pPr>
        <w:ind w:firstLine="720"/>
        <w:jc w:val="both"/>
      </w:pPr>
      <w:r>
        <w:t xml:space="preserve">We </w:t>
      </w:r>
      <w:r w:rsidR="00A1639C" w:rsidRPr="00946ED1">
        <w:t xml:space="preserve">reviewed the Utility’s most recent Florida Department of Environmental Protection (DEP) inspection reports. In 2019, the Utility was issued a warning letter for its on-site generator not functioning, which failed in 2017 during a power outage from Hurricane Irma. The DEP conducted an inspection of the water treatment facility on July 1, 2020, and found </w:t>
      </w:r>
      <w:r>
        <w:t xml:space="preserve">it </w:t>
      </w:r>
      <w:r w:rsidR="00A1639C" w:rsidRPr="00946ED1">
        <w:t>to be in violation of the DEP’s rules and regulations. The July 1, 2020 Sanitary Survey addressed a leaking service pump and well pump, bio growth in the casing of the well pump, as well as the non-functional on-site generator. Thereafter, the DEP issued a Consent Order on April 1, 2022. The Consent Order addressed the same violations as the Utility’s most recent sanitary survey. The Utility addressed the violations set forth in the Consent Order and the actions required by the DEP have been completed. Furthermore, the Utility is currently passing all DEP secondary water standards.</w:t>
      </w:r>
      <w:r w:rsidR="00A1639C" w:rsidRPr="00946ED1">
        <w:rPr>
          <w:rStyle w:val="FootnoteReference"/>
        </w:rPr>
        <w:footnoteReference w:id="4"/>
      </w:r>
    </w:p>
    <w:p w:rsidR="00A1639C" w:rsidRPr="00946ED1" w:rsidRDefault="00A1639C" w:rsidP="00946ED1">
      <w:pPr>
        <w:jc w:val="both"/>
      </w:pPr>
    </w:p>
    <w:p w:rsidR="00A1639C" w:rsidRPr="00946ED1" w:rsidRDefault="00A1639C" w:rsidP="00946ED1">
      <w:pPr>
        <w:ind w:firstLine="720"/>
        <w:jc w:val="both"/>
      </w:pPr>
      <w:r w:rsidRPr="00946ED1">
        <w:t>CSWR-Neighborhood provided copies of the Utility’s current permits from the DEP and SJRWMD pursuant to Rule 25-30.037(2)(r)(1), F.A.C. The Buyer sh</w:t>
      </w:r>
      <w:r w:rsidR="00C00F58">
        <w:t>all</w:t>
      </w:r>
      <w:r w:rsidRPr="00946ED1">
        <w:t xml:space="preserve"> provide copies of its permit transfer applications, reflecting the change in ownership, to </w:t>
      </w:r>
      <w:r w:rsidR="00C00F58">
        <w:t>us</w:t>
      </w:r>
      <w:r w:rsidRPr="00946ED1">
        <w:t xml:space="preserve"> within 90 days of </w:t>
      </w:r>
      <w:r w:rsidR="00C00F58">
        <w:t>this</w:t>
      </w:r>
      <w:r w:rsidRPr="00946ED1">
        <w:t xml:space="preserve"> Order approving the transfer. In the Buyer’s application, CSWR-Neighborhood provided its assessment of Neighborhood’s water system, and lists several improvements and repairs it recommends be made to the system. The Buyer’s suggested repairs and improvements, which do not appear to be required by a governmental authority, are discussed further in </w:t>
      </w:r>
      <w:r w:rsidR="00C00F58">
        <w:t>Section</w:t>
      </w:r>
      <w:r w:rsidRPr="00946ED1">
        <w:t xml:space="preserve"> 3</w:t>
      </w:r>
      <w:r w:rsidR="00C00F58">
        <w:t xml:space="preserve"> of this Order</w:t>
      </w:r>
      <w:r w:rsidRPr="00946ED1">
        <w:t>.</w:t>
      </w:r>
    </w:p>
    <w:p w:rsidR="00B557EB" w:rsidRPr="00946ED1" w:rsidRDefault="00B557EB" w:rsidP="00946ED1">
      <w:pPr>
        <w:ind w:firstLine="720"/>
        <w:jc w:val="both"/>
      </w:pPr>
    </w:p>
    <w:p w:rsidR="00A1639C" w:rsidRDefault="00A1639C" w:rsidP="005C67CA">
      <w:pPr>
        <w:pStyle w:val="ListParagraph"/>
        <w:numPr>
          <w:ilvl w:val="0"/>
          <w:numId w:val="6"/>
        </w:numPr>
        <w:jc w:val="both"/>
        <w:outlineLvl w:val="2"/>
        <w:rPr>
          <w:bCs/>
          <w:iCs/>
          <w:szCs w:val="28"/>
        </w:rPr>
      </w:pPr>
      <w:r w:rsidRPr="005C67CA">
        <w:rPr>
          <w:bCs/>
          <w:iCs/>
          <w:szCs w:val="28"/>
        </w:rPr>
        <w:t>Technical and Financial Ability</w:t>
      </w:r>
    </w:p>
    <w:p w:rsidR="001B1C72" w:rsidRPr="005C67CA" w:rsidRDefault="001B1C72" w:rsidP="001B1C72">
      <w:pPr>
        <w:pStyle w:val="ListParagraph"/>
        <w:ind w:left="1080"/>
        <w:jc w:val="both"/>
        <w:outlineLvl w:val="2"/>
        <w:rPr>
          <w:bCs/>
          <w:iCs/>
          <w:szCs w:val="28"/>
        </w:rPr>
      </w:pPr>
    </w:p>
    <w:p w:rsidR="00A1639C" w:rsidRPr="00946ED1" w:rsidRDefault="00A1639C" w:rsidP="00946ED1">
      <w:pPr>
        <w:ind w:firstLine="720"/>
        <w:jc w:val="both"/>
      </w:pPr>
      <w:r w:rsidRPr="00946ED1">
        <w:t xml:space="preserve">Pursuant to Rule 25-30.037(2)(l) and (m), F.A.C., the application contains statements describing the technical and financial ability of the Buyer to provide service to the proposed service area. As referenced in the transfer application, the Buyer will fulfill the commitments, obligations, and representation of the Seller with regards to Utility matters. CSWR-Neighborhood’s application states that it owns and operates  more than 257 water/wastewater systems in Missouri, Arkansas, Kentucky, Louisiana, Texas, Mississippi, North Carolina, </w:t>
      </w:r>
      <w:r w:rsidRPr="00946ED1">
        <w:lastRenderedPageBreak/>
        <w:t xml:space="preserve">Arizona, and Tennessee that service approximately 70,000 water and 110,000 wastewater customers. The Buyer plans to use qualified and licensed contractors to provide routine operation and maintenance of the systems, as well as to handle billing and customer service. </w:t>
      </w:r>
      <w:r w:rsidR="00F26C67">
        <w:t>We</w:t>
      </w:r>
      <w:r w:rsidRPr="00946ED1">
        <w:t xml:space="preserve"> reviewed the financial statements of CSWR-Neighborhood</w:t>
      </w:r>
      <w:r w:rsidR="00F26C67">
        <w:t>,</w:t>
      </w:r>
      <w:r w:rsidRPr="00946ED1">
        <w:t xml:space="preserve"> </w:t>
      </w:r>
      <w:r w:rsidR="00F26C67">
        <w:t>a</w:t>
      </w:r>
      <w:r w:rsidRPr="00946ED1">
        <w:t xml:space="preserve">nd the Buyer has documented adequate resources to support the Utility’s water operations. Based on the above, </w:t>
      </w:r>
      <w:r w:rsidR="00F26C67">
        <w:t>we find</w:t>
      </w:r>
      <w:r w:rsidRPr="00946ED1">
        <w:t xml:space="preserve"> that the Buyer has demonstrated the technical and financial ability to provide service to the existing service territory.</w:t>
      </w:r>
    </w:p>
    <w:p w:rsidR="00A1639C" w:rsidRPr="00946ED1" w:rsidRDefault="00A1639C" w:rsidP="00946ED1">
      <w:pPr>
        <w:jc w:val="both"/>
      </w:pPr>
    </w:p>
    <w:p w:rsidR="00A1639C" w:rsidRPr="005C67CA" w:rsidRDefault="00A1639C" w:rsidP="005C67CA">
      <w:pPr>
        <w:pStyle w:val="ListParagraph"/>
        <w:numPr>
          <w:ilvl w:val="0"/>
          <w:numId w:val="6"/>
        </w:numPr>
        <w:jc w:val="both"/>
        <w:outlineLvl w:val="2"/>
        <w:rPr>
          <w:rFonts w:eastAsia="Calibri"/>
          <w:bCs/>
          <w:iCs/>
          <w:szCs w:val="28"/>
        </w:rPr>
      </w:pPr>
      <w:r w:rsidRPr="005C67CA">
        <w:rPr>
          <w:rFonts w:eastAsia="Calibri"/>
          <w:bCs/>
          <w:iCs/>
          <w:szCs w:val="28"/>
        </w:rPr>
        <w:t>Rates, Charges, and Initial Customer Deposits</w:t>
      </w:r>
    </w:p>
    <w:p w:rsidR="005C67CA" w:rsidRDefault="005C67CA" w:rsidP="00946ED1">
      <w:pPr>
        <w:ind w:firstLine="720"/>
        <w:jc w:val="both"/>
        <w:outlineLvl w:val="0"/>
      </w:pPr>
    </w:p>
    <w:p w:rsidR="00A1639C" w:rsidRPr="00946ED1" w:rsidRDefault="00F26C67" w:rsidP="00946ED1">
      <w:pPr>
        <w:ind w:firstLine="720"/>
        <w:jc w:val="both"/>
        <w:outlineLvl w:val="0"/>
      </w:pPr>
      <w:r>
        <w:t>We last approved t</w:t>
      </w:r>
      <w:r w:rsidR="00A1639C" w:rsidRPr="00946ED1">
        <w:t>he Utility's rates, charges, and initial customer deposits in a 2016 staff-assisted rate case.</w:t>
      </w:r>
      <w:r w:rsidR="00A1639C" w:rsidRPr="00946ED1">
        <w:rPr>
          <w:rStyle w:val="FootnoteReference"/>
        </w:rPr>
        <w:footnoteReference w:id="5"/>
      </w:r>
      <w:r w:rsidR="00A1639C" w:rsidRPr="00946ED1">
        <w:t xml:space="preserve"> Since the Utility’s last rate case, the rates were decreased to remove an expired rate case expense amortization.</w:t>
      </w:r>
      <w:r w:rsidR="00A1639C" w:rsidRPr="00946ED1">
        <w:rPr>
          <w:rStyle w:val="FootnoteReference"/>
        </w:rPr>
        <w:footnoteReference w:id="6"/>
      </w:r>
      <w:r w:rsidR="00A1639C" w:rsidRPr="00946ED1">
        <w:t xml:space="preserve"> Rule 25-9.044(1), F.A.C., provides that in the case of a change of ownership or control of a Utility, the rates, classifications, and regulations of the former owner must continue unless authorized to change by </w:t>
      </w:r>
      <w:r>
        <w:t>us</w:t>
      </w:r>
      <w:r w:rsidR="00A1639C" w:rsidRPr="00946ED1">
        <w:t xml:space="preserve">. In addition, the Utility has miscellaneous service charges. The late payment charge of $4.30 is appropriate. However, the remaining miscellaneous service charges do not conform to Rule 25-30.460, F.A.C., and are discussed in </w:t>
      </w:r>
      <w:r w:rsidR="00D21795">
        <w:t xml:space="preserve">Section </w:t>
      </w:r>
      <w:r w:rsidR="00A1639C" w:rsidRPr="00946ED1">
        <w:t>4</w:t>
      </w:r>
      <w:r w:rsidR="00D21795">
        <w:t xml:space="preserve"> of this Order. We find </w:t>
      </w:r>
      <w:r w:rsidR="00A1639C" w:rsidRPr="00946ED1">
        <w:t>that the Utility's existing rates, late payment charge, service availability charges, non-sufficient funds charges, and initial customer deposits as shown on Schedule No. 2, sh</w:t>
      </w:r>
      <w:r w:rsidR="00D21795">
        <w:t>all</w:t>
      </w:r>
      <w:r w:rsidR="00A1639C" w:rsidRPr="00946ED1">
        <w:t xml:space="preserve"> remain in effect, until </w:t>
      </w:r>
      <w:r w:rsidR="00D21795">
        <w:t xml:space="preserve">we authorize </w:t>
      </w:r>
      <w:r w:rsidR="00A1639C" w:rsidRPr="00946ED1">
        <w:t>a change in a subsequent proceeding. The tariff pages reflecting the transfer sh</w:t>
      </w:r>
      <w:r w:rsidR="00D21795">
        <w:t>all</w:t>
      </w:r>
      <w:r w:rsidR="00A1639C" w:rsidRPr="00946ED1">
        <w:t xml:space="preserve"> be effective on or after the stamped approval date on the tariff sheets, pursuant to Rule 25-30.475(1), F.A.C.</w:t>
      </w:r>
    </w:p>
    <w:p w:rsidR="00A1639C" w:rsidRPr="00946ED1" w:rsidRDefault="00A1639C" w:rsidP="00946ED1">
      <w:pPr>
        <w:jc w:val="both"/>
      </w:pPr>
    </w:p>
    <w:p w:rsidR="00A1639C" w:rsidRDefault="00A1639C" w:rsidP="005C67CA">
      <w:pPr>
        <w:pStyle w:val="ListParagraph"/>
        <w:numPr>
          <w:ilvl w:val="0"/>
          <w:numId w:val="6"/>
        </w:numPr>
        <w:jc w:val="both"/>
        <w:outlineLvl w:val="2"/>
        <w:rPr>
          <w:bCs/>
          <w:iCs/>
          <w:szCs w:val="28"/>
        </w:rPr>
      </w:pPr>
      <w:r w:rsidRPr="005C67CA">
        <w:rPr>
          <w:bCs/>
          <w:iCs/>
          <w:szCs w:val="28"/>
        </w:rPr>
        <w:t>Regulatory Assessment Fees and Annual Report</w:t>
      </w:r>
    </w:p>
    <w:p w:rsidR="005C67CA" w:rsidRPr="005C67CA" w:rsidRDefault="005C67CA" w:rsidP="005C67CA">
      <w:pPr>
        <w:pStyle w:val="ListParagraph"/>
        <w:ind w:left="1080"/>
        <w:jc w:val="both"/>
        <w:outlineLvl w:val="2"/>
        <w:rPr>
          <w:bCs/>
          <w:iCs/>
          <w:szCs w:val="28"/>
        </w:rPr>
      </w:pPr>
    </w:p>
    <w:p w:rsidR="00A1639C" w:rsidRPr="00946ED1" w:rsidRDefault="00D21795" w:rsidP="00946ED1">
      <w:pPr>
        <w:ind w:firstLine="720"/>
        <w:jc w:val="both"/>
      </w:pPr>
      <w:r>
        <w:t>We have</w:t>
      </w:r>
      <w:r w:rsidR="00A1639C" w:rsidRPr="00946ED1">
        <w:t xml:space="preserve"> verified that the Utility is current on the filing of annual reports and RAFs through December 31, 2021. The Buyer sh</w:t>
      </w:r>
      <w:r>
        <w:t>all</w:t>
      </w:r>
      <w:r w:rsidR="00A1639C" w:rsidRPr="00946ED1">
        <w:t xml:space="preserve"> be responsible for filing the Utility’s annual reports and paying RAFs for all future years.</w:t>
      </w:r>
    </w:p>
    <w:p w:rsidR="00B557EB" w:rsidRPr="00946ED1" w:rsidRDefault="00B557EB" w:rsidP="00946ED1">
      <w:pPr>
        <w:ind w:firstLine="720"/>
        <w:jc w:val="both"/>
      </w:pPr>
    </w:p>
    <w:p w:rsidR="00A1639C" w:rsidRDefault="00A1639C" w:rsidP="005C67CA">
      <w:pPr>
        <w:pStyle w:val="ListParagraph"/>
        <w:numPr>
          <w:ilvl w:val="0"/>
          <w:numId w:val="6"/>
        </w:numPr>
        <w:jc w:val="both"/>
        <w:outlineLvl w:val="2"/>
        <w:rPr>
          <w:bCs/>
          <w:iCs/>
          <w:szCs w:val="28"/>
        </w:rPr>
      </w:pPr>
      <w:r w:rsidRPr="005C67CA">
        <w:rPr>
          <w:bCs/>
          <w:iCs/>
          <w:szCs w:val="28"/>
        </w:rPr>
        <w:t>Conclusion</w:t>
      </w:r>
    </w:p>
    <w:p w:rsidR="005C67CA" w:rsidRPr="005C67CA" w:rsidRDefault="005C67CA" w:rsidP="005C67CA">
      <w:pPr>
        <w:pStyle w:val="ListParagraph"/>
        <w:ind w:left="1080"/>
        <w:jc w:val="both"/>
        <w:outlineLvl w:val="2"/>
        <w:rPr>
          <w:bCs/>
          <w:iCs/>
          <w:szCs w:val="28"/>
        </w:rPr>
      </w:pPr>
    </w:p>
    <w:p w:rsidR="00A1639C" w:rsidRPr="00946ED1" w:rsidRDefault="00A1639C" w:rsidP="00946ED1">
      <w:pPr>
        <w:ind w:firstLine="720"/>
        <w:jc w:val="both"/>
      </w:pPr>
      <w:r w:rsidRPr="00946ED1">
        <w:t xml:space="preserve">Based on the foregoing, </w:t>
      </w:r>
      <w:r w:rsidR="00D21795">
        <w:t>we find</w:t>
      </w:r>
      <w:r w:rsidRPr="00946ED1">
        <w:t xml:space="preserve"> the transfer of the water system and Certificate No. 430-W is in the public interest and sh</w:t>
      </w:r>
      <w:r w:rsidR="00D21795">
        <w:t>all</w:t>
      </w:r>
      <w:r w:rsidRPr="00946ED1">
        <w:t xml:space="preserve"> be approved effective the date that the sale becomes final. Th</w:t>
      </w:r>
      <w:r w:rsidR="00D21795">
        <w:t>is</w:t>
      </w:r>
      <w:r w:rsidRPr="00946ED1">
        <w:t xml:space="preserve"> Order sh</w:t>
      </w:r>
      <w:r w:rsidR="00D21795">
        <w:t>all</w:t>
      </w:r>
      <w:r w:rsidRPr="00946ED1">
        <w:t xml:space="preserve"> serve as the Buyer’s certificate and sh</w:t>
      </w:r>
      <w:r w:rsidR="00D21795">
        <w:t>all</w:t>
      </w:r>
      <w:r w:rsidRPr="00946ED1">
        <w:t xml:space="preserve"> be retained by the Buyer. The Buyer sh</w:t>
      </w:r>
      <w:r w:rsidR="00D21795">
        <w:t>all</w:t>
      </w:r>
      <w:r w:rsidRPr="00946ED1">
        <w:t xml:space="preserve"> submit </w:t>
      </w:r>
      <w:r w:rsidR="00D21795">
        <w:t xml:space="preserve">to us </w:t>
      </w:r>
      <w:r w:rsidRPr="00946ED1">
        <w:t>the executed and recorded deed for continued access to the land upon which its facilities are located and copies of its permit transfer applications within 90 days of th</w:t>
      </w:r>
      <w:r w:rsidR="00D21795">
        <w:t>is</w:t>
      </w:r>
      <w:r w:rsidRPr="00946ED1">
        <w:t xml:space="preserve"> Order approving the transfer, which is final agency action. If the sale is not finalized within 90 days of the transfer Order, the Buyer sh</w:t>
      </w:r>
      <w:r w:rsidR="00D21795">
        <w:t>all</w:t>
      </w:r>
      <w:r w:rsidRPr="00946ED1">
        <w:t xml:space="preserve"> file a status update in the docket file. The Utility’s existing rates, late payment charge, service availability charges, non-sufficient funds charges, and initial customer deposits as shown on Schedule No. 2, sh</w:t>
      </w:r>
      <w:r w:rsidR="00D21795">
        <w:t>all</w:t>
      </w:r>
      <w:r w:rsidRPr="00946ED1">
        <w:t xml:space="preserve"> remain in effect, until </w:t>
      </w:r>
      <w:r w:rsidR="00D21795">
        <w:t xml:space="preserve">we </w:t>
      </w:r>
      <w:r w:rsidRPr="00946ED1">
        <w:t>a</w:t>
      </w:r>
      <w:r w:rsidR="00D21795">
        <w:t>uthorize a</w:t>
      </w:r>
      <w:r w:rsidRPr="00946ED1">
        <w:t xml:space="preserve"> change in a subsequent proceeding. The tariff pages reflecting the transfer sh</w:t>
      </w:r>
      <w:r w:rsidR="00D21795">
        <w:t>all</w:t>
      </w:r>
      <w:r w:rsidRPr="00946ED1">
        <w:t xml:space="preserve"> be effective on </w:t>
      </w:r>
      <w:r w:rsidRPr="00946ED1">
        <w:lastRenderedPageBreak/>
        <w:t>or after the stamped approval date on the tariff sheets, pursuant to Rule 25-30.475(1), F.A.C. The Seller is current with respect to annual reports and RAFs through December 31, 2021, and the Buyer sh</w:t>
      </w:r>
      <w:r w:rsidR="00D21795">
        <w:t>all</w:t>
      </w:r>
      <w:r w:rsidRPr="00946ED1">
        <w:t xml:space="preserve"> be responsible for filing annual reports and paying RAFs for all future years.</w:t>
      </w:r>
    </w:p>
    <w:p w:rsidR="00A1639C" w:rsidRDefault="00A1639C" w:rsidP="00946ED1">
      <w:pPr>
        <w:jc w:val="both"/>
      </w:pPr>
    </w:p>
    <w:p w:rsidR="00946ED1" w:rsidRPr="005C67CA" w:rsidRDefault="00946ED1" w:rsidP="005C67CA">
      <w:pPr>
        <w:pStyle w:val="ListParagraph"/>
        <w:numPr>
          <w:ilvl w:val="0"/>
          <w:numId w:val="4"/>
        </w:numPr>
        <w:jc w:val="both"/>
        <w:rPr>
          <w:u w:val="single"/>
        </w:rPr>
      </w:pPr>
      <w:r w:rsidRPr="005C67CA">
        <w:rPr>
          <w:u w:val="single"/>
        </w:rPr>
        <w:t>Establishing Net Book Value</w:t>
      </w:r>
      <w:r w:rsidR="00D21795">
        <w:rPr>
          <w:u w:val="single"/>
        </w:rPr>
        <w:t xml:space="preserve"> (NBV)</w:t>
      </w:r>
    </w:p>
    <w:p w:rsidR="00946ED1" w:rsidRPr="00946ED1" w:rsidRDefault="00946ED1" w:rsidP="00946ED1">
      <w:pPr>
        <w:jc w:val="both"/>
        <w:rPr>
          <w:u w:val="single"/>
        </w:rPr>
      </w:pPr>
    </w:p>
    <w:p w:rsidR="00AE465B" w:rsidRPr="00946ED1" w:rsidRDefault="00D21795" w:rsidP="00946ED1">
      <w:pPr>
        <w:pStyle w:val="BodyText"/>
        <w:spacing w:after="0"/>
        <w:ind w:firstLine="720"/>
        <w:jc w:val="both"/>
      </w:pPr>
      <w:r>
        <w:t>We last established r</w:t>
      </w:r>
      <w:r w:rsidR="00AE465B" w:rsidRPr="00946ED1">
        <w:t>ate base on November 23, 2016, by Order No. PSC-2016-0537-PAA-WU.</w:t>
      </w:r>
      <w:r w:rsidR="00AE465B" w:rsidRPr="00946ED1">
        <w:rPr>
          <w:rStyle w:val="FootnoteReference"/>
        </w:rPr>
        <w:footnoteReference w:id="7"/>
      </w:r>
      <w:r w:rsidR="00AE465B" w:rsidRPr="00946ED1">
        <w:t xml:space="preserve"> The purpose of establishing NBV for transfers is to determine whether an acquisition adjustment should be approved. CSWR-Neighborhood’s request for a positive acquisition adjustment is addressed in </w:t>
      </w:r>
      <w:r w:rsidR="00C027EE">
        <w:t>Section</w:t>
      </w:r>
      <w:r w:rsidR="00AE465B" w:rsidRPr="00946ED1">
        <w:t xml:space="preserve"> 3</w:t>
      </w:r>
      <w:r w:rsidR="00C027EE">
        <w:t xml:space="preserve"> of this Order</w:t>
      </w:r>
      <w:r w:rsidR="00AE465B" w:rsidRPr="00946ED1">
        <w:t>. The NBV does not include normal ratemaking adjustments for used and useful plant or working capital. The Utility’s NBV has been updated to reflect balances as of January 31, 2022.</w:t>
      </w:r>
      <w:r w:rsidR="00AE465B" w:rsidRPr="00946ED1">
        <w:rPr>
          <w:rStyle w:val="FootnoteReference"/>
        </w:rPr>
        <w:footnoteReference w:id="8"/>
      </w:r>
      <w:r w:rsidR="00AE465B" w:rsidRPr="00946ED1">
        <w:t xml:space="preserve"> </w:t>
      </w:r>
      <w:r w:rsidR="00C027EE">
        <w:t>Our approved</w:t>
      </w:r>
      <w:r w:rsidR="00AE465B" w:rsidRPr="00946ED1">
        <w:t xml:space="preserve"> NBV, as described below, is shown on Schedule No. 1.</w:t>
      </w:r>
    </w:p>
    <w:p w:rsidR="00B557EB" w:rsidRPr="00946ED1" w:rsidRDefault="00B557EB" w:rsidP="00946ED1">
      <w:pPr>
        <w:pStyle w:val="BodyText"/>
        <w:spacing w:after="0"/>
        <w:jc w:val="both"/>
      </w:pPr>
    </w:p>
    <w:p w:rsidR="00AE465B" w:rsidRDefault="00AE465B" w:rsidP="005C67CA">
      <w:pPr>
        <w:pStyle w:val="BodyText"/>
        <w:numPr>
          <w:ilvl w:val="0"/>
          <w:numId w:val="7"/>
        </w:numPr>
        <w:spacing w:after="0"/>
        <w:contextualSpacing/>
        <w:jc w:val="both"/>
      </w:pPr>
      <w:r w:rsidRPr="005C67CA">
        <w:t>Utility Plant in Service (UPIS)</w:t>
      </w:r>
    </w:p>
    <w:p w:rsidR="005C67CA" w:rsidRPr="005C67CA" w:rsidRDefault="005C67CA" w:rsidP="005C67CA">
      <w:pPr>
        <w:pStyle w:val="BodyText"/>
        <w:spacing w:after="0"/>
        <w:ind w:left="1080"/>
        <w:contextualSpacing/>
        <w:jc w:val="both"/>
      </w:pPr>
    </w:p>
    <w:p w:rsidR="00AE465B" w:rsidRPr="00946ED1" w:rsidRDefault="00AE465B" w:rsidP="00946ED1">
      <w:pPr>
        <w:pStyle w:val="BodyText"/>
        <w:spacing w:after="0"/>
        <w:ind w:firstLine="720"/>
        <w:jc w:val="both"/>
      </w:pPr>
      <w:r w:rsidRPr="00946ED1">
        <w:t xml:space="preserve">According to the Utility’s general ledger, the total UPIS balance was $672,155 as of December 31, 2021. </w:t>
      </w:r>
      <w:r w:rsidR="00C027EE">
        <w:t>Commission s</w:t>
      </w:r>
      <w:r w:rsidRPr="00946ED1">
        <w:t xml:space="preserve">taff auditors compiled the plant additions and retirements to UPIS from June 30, 2015, to January 31, 2022, and traced supporting documentation. As a result, </w:t>
      </w:r>
      <w:r w:rsidR="00C027EE">
        <w:t>we approve</w:t>
      </w:r>
      <w:r w:rsidRPr="00946ED1">
        <w:t xml:space="preserve"> an increase to UPIS of $1,299 as of January 31, 2022. Accordingly, </w:t>
      </w:r>
      <w:r w:rsidR="00C027EE">
        <w:t xml:space="preserve">the </w:t>
      </w:r>
      <w:r w:rsidRPr="00946ED1">
        <w:t xml:space="preserve">total UPIS balance </w:t>
      </w:r>
      <w:r w:rsidR="00C027EE">
        <w:t>is</w:t>
      </w:r>
      <w:r w:rsidRPr="00946ED1">
        <w:t xml:space="preserve"> $673,454 as of January 31, 2022.</w:t>
      </w:r>
    </w:p>
    <w:p w:rsidR="00B557EB" w:rsidRPr="00946ED1" w:rsidRDefault="00B557EB" w:rsidP="00946ED1">
      <w:pPr>
        <w:pStyle w:val="BodyText"/>
        <w:spacing w:after="0"/>
        <w:ind w:firstLine="720"/>
        <w:jc w:val="both"/>
      </w:pPr>
    </w:p>
    <w:p w:rsidR="00AE465B" w:rsidRDefault="00AE465B" w:rsidP="005C67CA">
      <w:pPr>
        <w:pStyle w:val="BodyText"/>
        <w:numPr>
          <w:ilvl w:val="0"/>
          <w:numId w:val="7"/>
        </w:numPr>
        <w:contextualSpacing/>
        <w:jc w:val="both"/>
      </w:pPr>
      <w:r w:rsidRPr="005C67CA">
        <w:t>Land</w:t>
      </w:r>
    </w:p>
    <w:p w:rsidR="005C67CA" w:rsidRPr="005C67CA" w:rsidRDefault="005C67CA" w:rsidP="005C67CA">
      <w:pPr>
        <w:pStyle w:val="BodyText"/>
        <w:ind w:left="1080"/>
        <w:contextualSpacing/>
        <w:jc w:val="both"/>
      </w:pPr>
    </w:p>
    <w:p w:rsidR="00AE465B" w:rsidRPr="00946ED1" w:rsidRDefault="00AE465B" w:rsidP="00946ED1">
      <w:pPr>
        <w:pStyle w:val="BodyText"/>
        <w:spacing w:after="0"/>
        <w:ind w:firstLine="720"/>
        <w:contextualSpacing/>
        <w:jc w:val="both"/>
      </w:pPr>
      <w:r w:rsidRPr="00946ED1">
        <w:t xml:space="preserve">The Utility’s general ledger reflected a land balance of $1,000 as of June 30, 2015. There have been no additions to land since June 30, 2015. Therefore, </w:t>
      </w:r>
      <w:r w:rsidR="00C027EE">
        <w:t>we make</w:t>
      </w:r>
      <w:r w:rsidRPr="00946ED1">
        <w:t xml:space="preserve"> no adjustments to </w:t>
      </w:r>
      <w:r w:rsidR="00C027EE">
        <w:t>the</w:t>
      </w:r>
      <w:r w:rsidRPr="00946ED1">
        <w:t xml:space="preserve"> land balance.</w:t>
      </w:r>
    </w:p>
    <w:p w:rsidR="00AE465B" w:rsidRPr="00946ED1" w:rsidRDefault="00AE465B" w:rsidP="00946ED1">
      <w:pPr>
        <w:pStyle w:val="BodyText"/>
        <w:spacing w:after="0"/>
        <w:contextualSpacing/>
        <w:jc w:val="both"/>
      </w:pPr>
    </w:p>
    <w:p w:rsidR="00AE465B" w:rsidRDefault="00AE465B" w:rsidP="005C67CA">
      <w:pPr>
        <w:pStyle w:val="BodyText"/>
        <w:numPr>
          <w:ilvl w:val="0"/>
          <w:numId w:val="7"/>
        </w:numPr>
        <w:spacing w:after="0"/>
        <w:contextualSpacing/>
        <w:jc w:val="both"/>
      </w:pPr>
      <w:r w:rsidRPr="005C67CA">
        <w:t>Accumulated Depreciation</w:t>
      </w:r>
    </w:p>
    <w:p w:rsidR="005C67CA" w:rsidRPr="005C67CA" w:rsidRDefault="005C67CA" w:rsidP="005C67CA">
      <w:pPr>
        <w:pStyle w:val="BodyText"/>
        <w:spacing w:after="0"/>
        <w:ind w:left="1080"/>
        <w:contextualSpacing/>
        <w:jc w:val="both"/>
      </w:pPr>
    </w:p>
    <w:p w:rsidR="00A1639C" w:rsidRPr="00946ED1" w:rsidRDefault="00AE465B" w:rsidP="00946ED1">
      <w:pPr>
        <w:pStyle w:val="OrderBody"/>
        <w:ind w:firstLine="720"/>
      </w:pPr>
      <w:r w:rsidRPr="00946ED1">
        <w:t xml:space="preserve">According to the Utility’s general ledger, the total accumulated depreciation balance was $540,622 as of December 31, 2021. </w:t>
      </w:r>
      <w:r w:rsidR="00C027EE">
        <w:t>Our s</w:t>
      </w:r>
      <w:r w:rsidRPr="00946ED1">
        <w:t xml:space="preserve">taff auditors recalculated depreciation accruals for all water accounts since the last rate case through January 31, 2022, using audited UPIS balances and the depreciation rates established by Rule 25-30.140, F.A.C. As a result, the accumulated depreciation balance </w:t>
      </w:r>
      <w:r w:rsidR="00C027EE">
        <w:t xml:space="preserve">shall </w:t>
      </w:r>
      <w:r w:rsidRPr="00946ED1">
        <w:t xml:space="preserve">be increased by $21,745 as of January 31, 2022. Accordingly, </w:t>
      </w:r>
      <w:r w:rsidR="00C027EE">
        <w:t xml:space="preserve">we approve </w:t>
      </w:r>
      <w:r w:rsidRPr="00946ED1">
        <w:t>a total accumulated depreciation balance of $562,367 as of January 31, 2022.</w:t>
      </w:r>
    </w:p>
    <w:p w:rsidR="00AE465B" w:rsidRPr="005C67CA" w:rsidRDefault="00AE465B" w:rsidP="00946ED1">
      <w:pPr>
        <w:pStyle w:val="OrderBody"/>
      </w:pPr>
    </w:p>
    <w:p w:rsidR="00240C7A" w:rsidRDefault="00240C7A">
      <w:r>
        <w:br w:type="page"/>
      </w:r>
    </w:p>
    <w:p w:rsidR="00AE465B" w:rsidRDefault="00AE465B" w:rsidP="005C67CA">
      <w:pPr>
        <w:pStyle w:val="BodyText"/>
        <w:numPr>
          <w:ilvl w:val="0"/>
          <w:numId w:val="7"/>
        </w:numPr>
        <w:spacing w:after="0"/>
        <w:contextualSpacing/>
        <w:jc w:val="both"/>
      </w:pPr>
      <w:r w:rsidRPr="005C67CA">
        <w:lastRenderedPageBreak/>
        <w:t>Contributions-in-Aid-of-Construction (CIAC) and Accumulated Amortization of CIAC</w:t>
      </w:r>
    </w:p>
    <w:p w:rsidR="005C67CA" w:rsidRPr="005C67CA" w:rsidRDefault="005C67CA" w:rsidP="005C67CA">
      <w:pPr>
        <w:pStyle w:val="BodyText"/>
        <w:spacing w:after="0"/>
        <w:ind w:left="1080"/>
        <w:contextualSpacing/>
        <w:jc w:val="both"/>
      </w:pPr>
    </w:p>
    <w:p w:rsidR="00AE465B" w:rsidRPr="00946ED1" w:rsidRDefault="00AE465B" w:rsidP="00946ED1">
      <w:pPr>
        <w:pStyle w:val="BodyText"/>
        <w:spacing w:after="0"/>
        <w:ind w:firstLine="720"/>
        <w:contextualSpacing/>
        <w:jc w:val="both"/>
      </w:pPr>
      <w:r w:rsidRPr="00946ED1">
        <w:t xml:space="preserve">According to the Utility’s general ledger, the CIAC balance and accumulated amortization of CIAC were $76,431 and $0, respectively, as of December 31, 2021. </w:t>
      </w:r>
      <w:r w:rsidR="007F0968">
        <w:t>Our s</w:t>
      </w:r>
      <w:r w:rsidRPr="00946ED1">
        <w:t xml:space="preserve">taff auditors traced CIAC and accumulated amortization of CIAC balances from June 30, 2015, to January 31, 2022, using supporting documentation. As a result, </w:t>
      </w:r>
      <w:r w:rsidR="00274421">
        <w:t>we find th</w:t>
      </w:r>
      <w:r w:rsidRPr="00946ED1">
        <w:t xml:space="preserve">at the CIAC balance </w:t>
      </w:r>
      <w:r w:rsidR="00274421">
        <w:t xml:space="preserve">shall </w:t>
      </w:r>
      <w:r w:rsidRPr="00946ED1">
        <w:t xml:space="preserve">be increased by $193,145 as of January 31, 2022. </w:t>
      </w:r>
      <w:r w:rsidR="00274421">
        <w:t xml:space="preserve">We also find </w:t>
      </w:r>
      <w:r w:rsidRPr="00946ED1">
        <w:t xml:space="preserve">that the accumulated amortization of CIAC balance </w:t>
      </w:r>
      <w:r w:rsidR="00274421">
        <w:t xml:space="preserve">shall </w:t>
      </w:r>
      <w:r w:rsidRPr="00946ED1">
        <w:t xml:space="preserve">be increased by $217,552 as of January 31, 2022. Accordingly, </w:t>
      </w:r>
      <w:r w:rsidR="00274421">
        <w:t xml:space="preserve">we approve </w:t>
      </w:r>
      <w:r w:rsidRPr="00946ED1">
        <w:t xml:space="preserve">total CIAC and Accumulated Amortization of CIAC balances of $269,576 and $217,552, respectively, as of January 31, 2022. </w:t>
      </w:r>
    </w:p>
    <w:p w:rsidR="00AE465B" w:rsidRPr="005C67CA" w:rsidRDefault="00AE465B" w:rsidP="00946ED1">
      <w:pPr>
        <w:pStyle w:val="BodyText"/>
        <w:spacing w:after="0"/>
        <w:contextualSpacing/>
        <w:jc w:val="both"/>
      </w:pPr>
    </w:p>
    <w:p w:rsidR="00AE465B" w:rsidRDefault="00AE465B" w:rsidP="005C67CA">
      <w:pPr>
        <w:pStyle w:val="BodyText"/>
        <w:numPr>
          <w:ilvl w:val="0"/>
          <w:numId w:val="7"/>
        </w:numPr>
        <w:spacing w:after="0"/>
        <w:contextualSpacing/>
        <w:jc w:val="both"/>
      </w:pPr>
      <w:r w:rsidRPr="005C67CA">
        <w:t>Net Book Value</w:t>
      </w:r>
    </w:p>
    <w:p w:rsidR="005C67CA" w:rsidRPr="005C67CA" w:rsidRDefault="005C67CA" w:rsidP="005C67CA">
      <w:pPr>
        <w:pStyle w:val="BodyText"/>
        <w:spacing w:after="0"/>
        <w:ind w:left="1080"/>
        <w:contextualSpacing/>
        <w:jc w:val="both"/>
      </w:pPr>
    </w:p>
    <w:p w:rsidR="00AE465B" w:rsidRPr="00946ED1" w:rsidRDefault="00AE465B" w:rsidP="00946ED1">
      <w:pPr>
        <w:pStyle w:val="BodyText"/>
        <w:spacing w:after="0"/>
        <w:ind w:firstLine="720"/>
        <w:jc w:val="both"/>
      </w:pPr>
      <w:r w:rsidRPr="00946ED1">
        <w:t xml:space="preserve">The Utility’s general ledger reflected a NBV of $56,102 as of December 31, 2021. Based on the adjustments described above, </w:t>
      </w:r>
      <w:r w:rsidR="00274421">
        <w:t xml:space="preserve">we approve </w:t>
      </w:r>
      <w:r w:rsidRPr="00946ED1">
        <w:t xml:space="preserve">a NBV of $60,063 as of January 31, 2022. </w:t>
      </w:r>
      <w:r w:rsidR="00274421">
        <w:t xml:space="preserve">Our approved </w:t>
      </w:r>
      <w:r w:rsidRPr="00946ED1">
        <w:t xml:space="preserve">NBV and the National Association of Regulatory Utility Commissioners, Uniform System of Accounts (NARUC USOA) balances for UPIS and accumulated depreciation are shown on Schedule No. 1 as of January 31, 2022. As addressed in </w:t>
      </w:r>
      <w:r w:rsidR="00274421">
        <w:t>Section</w:t>
      </w:r>
      <w:r w:rsidRPr="00946ED1">
        <w:t xml:space="preserve"> 3,</w:t>
      </w:r>
      <w:r w:rsidR="00274421">
        <w:t xml:space="preserve"> below,</w:t>
      </w:r>
      <w:r w:rsidRPr="00946ED1">
        <w:t xml:space="preserve"> a positive acquisition adjustment sh</w:t>
      </w:r>
      <w:r w:rsidR="00274421">
        <w:t>all</w:t>
      </w:r>
      <w:r w:rsidRPr="00946ED1">
        <w:t xml:space="preserve"> not be recognized for ratemaking purposes.</w:t>
      </w:r>
    </w:p>
    <w:p w:rsidR="00B557EB" w:rsidRPr="00946ED1" w:rsidRDefault="00B557EB" w:rsidP="00946ED1">
      <w:pPr>
        <w:pStyle w:val="BodyText"/>
        <w:spacing w:after="0"/>
        <w:ind w:firstLine="720"/>
        <w:jc w:val="both"/>
      </w:pPr>
    </w:p>
    <w:p w:rsidR="00AE465B" w:rsidRDefault="00AE465B" w:rsidP="005C67CA">
      <w:pPr>
        <w:pStyle w:val="BodyText"/>
        <w:numPr>
          <w:ilvl w:val="0"/>
          <w:numId w:val="7"/>
        </w:numPr>
        <w:spacing w:after="0"/>
        <w:contextualSpacing/>
        <w:jc w:val="both"/>
      </w:pPr>
      <w:r w:rsidRPr="005C67CA">
        <w:t>Conclusion</w:t>
      </w:r>
    </w:p>
    <w:p w:rsidR="005C67CA" w:rsidRPr="005C67CA" w:rsidRDefault="005C67CA" w:rsidP="005C67CA">
      <w:pPr>
        <w:pStyle w:val="BodyText"/>
        <w:spacing w:after="0"/>
        <w:ind w:left="1080"/>
        <w:contextualSpacing/>
        <w:jc w:val="both"/>
      </w:pPr>
    </w:p>
    <w:p w:rsidR="00AE465B" w:rsidRDefault="00AE465B" w:rsidP="00946ED1">
      <w:pPr>
        <w:pStyle w:val="OrderBody"/>
        <w:ind w:firstLine="720"/>
      </w:pPr>
      <w:r w:rsidRPr="00946ED1">
        <w:t xml:space="preserve">Based on the above, </w:t>
      </w:r>
      <w:r w:rsidR="00274421">
        <w:t xml:space="preserve">we approve </w:t>
      </w:r>
      <w:r w:rsidRPr="00946ED1">
        <w:t>a NBV of $60,063 as of January 31, 2022, for transfer purposes. Within 90 days of the date of the consummating order, the Buyer sh</w:t>
      </w:r>
      <w:r w:rsidR="00274421">
        <w:t>all</w:t>
      </w:r>
      <w:r w:rsidRPr="00946ED1">
        <w:t xml:space="preserve"> notify </w:t>
      </w:r>
      <w:r w:rsidR="00274421">
        <w:t xml:space="preserve">us </w:t>
      </w:r>
      <w:r w:rsidRPr="00946ED1">
        <w:t xml:space="preserve">in writing that it has adjusted its books in accordance with </w:t>
      </w:r>
      <w:r w:rsidR="00274421">
        <w:t>our</w:t>
      </w:r>
      <w:r w:rsidRPr="00946ED1">
        <w:t xml:space="preserve"> decision. The adjustments sh</w:t>
      </w:r>
      <w:r w:rsidR="00274421">
        <w:t xml:space="preserve">all </w:t>
      </w:r>
      <w:r w:rsidRPr="00946ED1">
        <w:t>be reflected in the Utility’s 2022 Annual Report when filed.</w:t>
      </w:r>
    </w:p>
    <w:p w:rsidR="00946ED1" w:rsidRDefault="00946ED1" w:rsidP="00946ED1">
      <w:pPr>
        <w:pStyle w:val="OrderBody"/>
      </w:pPr>
    </w:p>
    <w:p w:rsidR="00946ED1" w:rsidRPr="00946ED1" w:rsidRDefault="00946ED1" w:rsidP="005C67CA">
      <w:pPr>
        <w:pStyle w:val="OrderBody"/>
        <w:numPr>
          <w:ilvl w:val="0"/>
          <w:numId w:val="4"/>
        </w:numPr>
        <w:rPr>
          <w:u w:val="single"/>
        </w:rPr>
      </w:pPr>
      <w:r>
        <w:rPr>
          <w:u w:val="single"/>
        </w:rPr>
        <w:t>Denying Positive Acquisition Adjustment</w:t>
      </w:r>
    </w:p>
    <w:p w:rsidR="00AE465B" w:rsidRPr="00946ED1" w:rsidRDefault="00AE465B" w:rsidP="00946ED1">
      <w:pPr>
        <w:pStyle w:val="OrderBody"/>
      </w:pPr>
    </w:p>
    <w:p w:rsidR="00AE465B" w:rsidRPr="00946ED1" w:rsidRDefault="00AE465B" w:rsidP="00CB0ACB">
      <w:pPr>
        <w:pStyle w:val="BodyText"/>
        <w:spacing w:after="0"/>
        <w:ind w:firstLine="720"/>
        <w:jc w:val="both"/>
      </w:pPr>
      <w:r w:rsidRPr="00946ED1">
        <w:t xml:space="preserve">In its filing, the applicant requested a positive acquisition adjustment be included in the calculation of the Utility’s rate base. An acquisition adjustment results when the purchase price differs from the NBV of the assets at the time of acquisition. Pursuant to Rule 25-30.0371, F.A.C., a positive acquisition adjustment results when the purchase price is greater than the NBV and a negative acquisition adjustment results when the purchase price is less than the NBV. A positive acquisition adjustment, if approved, increases rate base. According to the purchase agreement, the Buyer will purchase the Utility for $460,000. As discussed in </w:t>
      </w:r>
      <w:r w:rsidR="00CB0ACB">
        <w:t xml:space="preserve">Section </w:t>
      </w:r>
      <w:r w:rsidRPr="00946ED1">
        <w:t>2</w:t>
      </w:r>
      <w:r w:rsidR="00CB0ACB">
        <w:t xml:space="preserve"> above, we have approved </w:t>
      </w:r>
      <w:r w:rsidRPr="00946ED1">
        <w:t>a NBV of $60,063. This would result in a positive acquisition adjustment of $399,937.</w:t>
      </w:r>
    </w:p>
    <w:p w:rsidR="00B557EB" w:rsidRPr="00946ED1" w:rsidRDefault="00B557EB" w:rsidP="00946ED1">
      <w:pPr>
        <w:pStyle w:val="BodyText"/>
        <w:spacing w:after="0"/>
        <w:ind w:firstLine="720"/>
        <w:jc w:val="both"/>
      </w:pPr>
    </w:p>
    <w:p w:rsidR="00AE465B" w:rsidRPr="00946ED1" w:rsidRDefault="00AE465B" w:rsidP="00946ED1">
      <w:pPr>
        <w:pStyle w:val="BodyText"/>
        <w:spacing w:after="0"/>
        <w:ind w:firstLine="720"/>
        <w:jc w:val="both"/>
      </w:pPr>
      <w:r w:rsidRPr="00946ED1">
        <w:t>Any entity that believes a full or partial positive acquisition adjustment should be made has the burden to prove the existence of extraordinary circumstances. Rule 25-30.0371(2), F.A.C., states:</w:t>
      </w:r>
    </w:p>
    <w:p w:rsidR="00B557EB" w:rsidRPr="00946ED1" w:rsidRDefault="00B557EB" w:rsidP="00946ED1">
      <w:pPr>
        <w:pStyle w:val="BodyText"/>
        <w:spacing w:after="0"/>
        <w:ind w:firstLine="720"/>
        <w:jc w:val="both"/>
      </w:pPr>
    </w:p>
    <w:p w:rsidR="00AE465B" w:rsidRPr="00946ED1" w:rsidRDefault="00AE465B" w:rsidP="00946ED1">
      <w:pPr>
        <w:pStyle w:val="BodyText"/>
        <w:tabs>
          <w:tab w:val="left" w:pos="7920"/>
        </w:tabs>
        <w:spacing w:after="0"/>
        <w:ind w:left="720" w:right="720"/>
        <w:jc w:val="both"/>
      </w:pPr>
      <w:r w:rsidRPr="00946ED1">
        <w:lastRenderedPageBreak/>
        <w:t>In determining whether extraordinary circumstances have been demonstrated, the Commission shall consider evidence provided to the Commission such as anticipated improvements in quality of service, anticipated improvements in compliance with regulatory mandates, anticipated rate reductions or rate stability over a long-term period, anticipated cost efficiencies, and whether the purchase was made as part of an arms-length transaction.</w:t>
      </w:r>
    </w:p>
    <w:p w:rsidR="00B557EB" w:rsidRPr="00946ED1" w:rsidRDefault="00B557EB" w:rsidP="00946ED1">
      <w:pPr>
        <w:pStyle w:val="BodyText"/>
        <w:tabs>
          <w:tab w:val="left" w:pos="7920"/>
        </w:tabs>
        <w:spacing w:after="0"/>
        <w:ind w:left="720" w:right="720"/>
        <w:jc w:val="both"/>
      </w:pPr>
    </w:p>
    <w:p w:rsidR="00AE465B" w:rsidRPr="00946ED1" w:rsidRDefault="00AE465B" w:rsidP="00CB0ACB">
      <w:pPr>
        <w:jc w:val="both"/>
      </w:pPr>
      <w:r w:rsidRPr="00946ED1">
        <w:t>If a purchase price above depreciated original cost is used to determine rate base, without the requirement for extraordinary circumstances, it could encourage utilities to "swap assets" and inappropriately increase costs to customers.</w:t>
      </w:r>
    </w:p>
    <w:p w:rsidR="00AE465B" w:rsidRPr="00946ED1" w:rsidRDefault="00AE465B" w:rsidP="00946ED1">
      <w:pPr>
        <w:jc w:val="both"/>
      </w:pPr>
    </w:p>
    <w:p w:rsidR="00AE465B" w:rsidRDefault="00AE465B" w:rsidP="005C67CA">
      <w:pPr>
        <w:pStyle w:val="First-LevelSubheading"/>
        <w:numPr>
          <w:ilvl w:val="0"/>
          <w:numId w:val="8"/>
        </w:numPr>
        <w:rPr>
          <w:rFonts w:ascii="Times New Roman" w:hAnsi="Times New Roman" w:cs="Times New Roman"/>
          <w:b w:val="0"/>
        </w:rPr>
      </w:pPr>
      <w:r w:rsidRPr="005C67CA">
        <w:rPr>
          <w:rFonts w:ascii="Times New Roman" w:hAnsi="Times New Roman" w:cs="Times New Roman"/>
          <w:b w:val="0"/>
        </w:rPr>
        <w:t>Deferral</w:t>
      </w:r>
    </w:p>
    <w:p w:rsidR="005C67CA" w:rsidRDefault="005C67CA" w:rsidP="00946ED1">
      <w:pPr>
        <w:pStyle w:val="BodyText"/>
        <w:spacing w:after="0"/>
        <w:ind w:firstLine="720"/>
        <w:jc w:val="both"/>
      </w:pPr>
    </w:p>
    <w:p w:rsidR="00AE465B" w:rsidRPr="00946ED1" w:rsidRDefault="00AE465B" w:rsidP="00946ED1">
      <w:pPr>
        <w:pStyle w:val="BodyText"/>
        <w:spacing w:after="0"/>
        <w:ind w:firstLine="720"/>
        <w:jc w:val="both"/>
      </w:pPr>
      <w:r w:rsidRPr="00946ED1">
        <w:t xml:space="preserve">In discovery, CSWR-Neighborhood stated that it intends to ask for deferral of a decision regarding the requested acquisition adjustment. In its application, the Buyer laid out factors such as improvements to quality of service, cost efficiencies, and rate stability. These are discussed below and </w:t>
      </w:r>
      <w:r w:rsidR="00CB0ACB">
        <w:t>we find</w:t>
      </w:r>
      <w:r w:rsidRPr="00946ED1">
        <w:t xml:space="preserve"> that these factors do not constitute extraordinary circumstances. In response to discovery, the Buyer agreed that after rate base is set, if a company provides support in a separate and subsequent case that there are utility assets that were not previously recorded, then the company can prospectively recover the unrecorded amount of that investment. Therefore, if the Buyer finds assets were incorrectly recorded on the Seller’s balance sheet, the Buyer can support those costs and recover them in a future rate case</w:t>
      </w:r>
      <w:r w:rsidR="00CB0ACB">
        <w:t xml:space="preserve">. This </w:t>
      </w:r>
      <w:r w:rsidRPr="00946ED1">
        <w:t>is Commission practice and not considered extraordinary circumstances.</w:t>
      </w:r>
    </w:p>
    <w:p w:rsidR="00B557EB" w:rsidRPr="00946ED1" w:rsidRDefault="00B557EB" w:rsidP="00946ED1">
      <w:pPr>
        <w:pStyle w:val="BodyText"/>
        <w:spacing w:after="0"/>
        <w:ind w:firstLine="720"/>
        <w:jc w:val="both"/>
      </w:pPr>
    </w:p>
    <w:p w:rsidR="00AE465B" w:rsidRPr="00946ED1" w:rsidRDefault="00AE465B" w:rsidP="00946ED1">
      <w:pPr>
        <w:pStyle w:val="BodyText"/>
        <w:spacing w:after="0"/>
        <w:ind w:firstLine="720"/>
        <w:jc w:val="both"/>
      </w:pPr>
      <w:r w:rsidRPr="00946ED1">
        <w:t xml:space="preserve">In the past, </w:t>
      </w:r>
      <w:r w:rsidR="00CB0ACB">
        <w:t xml:space="preserve">we have </w:t>
      </w:r>
      <w:r w:rsidRPr="00946ED1">
        <w:t>approved positive acquisition adjustments for three separate natural gas utilities: the acquisition of Florida City Gas by AGL Resources, Inc., the acquisition of Florida Public Utilities Company (FPUC) by the Florida Division of Chesapeake Utilities Corporation, and the acquisition of Indiantown Gas Company by FPUC.</w:t>
      </w:r>
      <w:r w:rsidRPr="00946ED1">
        <w:rPr>
          <w:rStyle w:val="FootnoteReference"/>
        </w:rPr>
        <w:footnoteReference w:id="9"/>
      </w:r>
      <w:r w:rsidRPr="00946ED1">
        <w:t xml:space="preserve"> In all three cases, the buyers provided detailed information estimating net savings to customers that could be achieved should the transfer and acquisition adjustment be approved. In addition, all three utilities acknowledged that if the estimated cost savings did not materialize or were less than represented, that some or all of the granted positive acquisition adjustments could be removed prospectively. In contrast, CSWR-Neighborhood stated that such estimates cannot be given at this time and thus requested the decision regarding the acquisition adjustment be deferred until it has the information to estimate net cost savings to customers. </w:t>
      </w:r>
      <w:r w:rsidR="00131D36">
        <w:t xml:space="preserve">We </w:t>
      </w:r>
      <w:r w:rsidR="00162FA3">
        <w:t>believe</w:t>
      </w:r>
      <w:r w:rsidRPr="00946ED1">
        <w:t xml:space="preserve"> the cases noted above demonstrate that a buyer that has undertaken the appropriate level of due diligence has the ability and responsibility to provide estimated net cost savings to customers at the time of transfer. </w:t>
      </w:r>
    </w:p>
    <w:p w:rsidR="00240C7A" w:rsidRDefault="00AE465B" w:rsidP="00131D36">
      <w:pPr>
        <w:pStyle w:val="BodyText"/>
        <w:spacing w:after="0"/>
        <w:ind w:firstLine="720"/>
        <w:jc w:val="both"/>
      </w:pPr>
      <w:r w:rsidRPr="00946ED1">
        <w:lastRenderedPageBreak/>
        <w:t xml:space="preserve">Pursuant to Commission practice, the buyer has the burden to prove extraordinary circumstances at the time of transfer. </w:t>
      </w:r>
      <w:r w:rsidR="00240C7A">
        <w:t>As discussed herein, w</w:t>
      </w:r>
      <w:r w:rsidR="00131D36">
        <w:t>e find that</w:t>
      </w:r>
      <w:r w:rsidRPr="00946ED1">
        <w:t xml:space="preserve"> in the instant case the Buyer has failed to provide proof of extraordinary circumstances. Further, the Buyer had multiple opportunities to provide pertinent information needed to determine if a positive acquisition adjustment is appropriate.</w:t>
      </w:r>
      <w:r w:rsidR="00162FA3">
        <w:t xml:space="preserve"> </w:t>
      </w:r>
    </w:p>
    <w:p w:rsidR="00240C7A" w:rsidRDefault="00240C7A" w:rsidP="00131D36">
      <w:pPr>
        <w:pStyle w:val="BodyText"/>
        <w:spacing w:after="0"/>
        <w:ind w:firstLine="720"/>
        <w:jc w:val="both"/>
      </w:pPr>
    </w:p>
    <w:p w:rsidR="00131D36" w:rsidRPr="00946ED1" w:rsidRDefault="00AE465B" w:rsidP="00131D36">
      <w:pPr>
        <w:pStyle w:val="BodyText"/>
        <w:spacing w:after="0"/>
        <w:ind w:firstLine="720"/>
        <w:jc w:val="both"/>
      </w:pPr>
      <w:r w:rsidRPr="00946ED1">
        <w:t xml:space="preserve">Finally, it is long-standing Commission practice to address the disposition of any positive or negative acquisition adjustment at the time of transfer. Pursuant to Section 120.68(7)(e)3., F.S., when agencies change their established policies, practices and procedures, they must give an explanation for the deviation. </w:t>
      </w:r>
      <w:r w:rsidR="00131D36">
        <w:t>We do</w:t>
      </w:r>
      <w:r w:rsidRPr="00946ED1">
        <w:t xml:space="preserve"> not </w:t>
      </w:r>
      <w:r w:rsidR="00131D36">
        <w:t>find</w:t>
      </w:r>
      <w:r w:rsidRPr="00946ED1">
        <w:t xml:space="preserve"> the facts in this case warrant such a deviation. As such, the deferral of a positive acquisition adjustment decision in this docket would result in an unnecessary deviation from Commission practice.</w:t>
      </w:r>
      <w:r w:rsidR="00131D36" w:rsidRPr="00131D36">
        <w:t xml:space="preserve"> </w:t>
      </w:r>
      <w:r w:rsidR="00131D36" w:rsidRPr="00946ED1">
        <w:t xml:space="preserve">As such, </w:t>
      </w:r>
      <w:r w:rsidR="00131D36">
        <w:t>we</w:t>
      </w:r>
      <w:r w:rsidR="00131D36" w:rsidRPr="00946ED1">
        <w:t xml:space="preserve"> deny the request to defer a decision on the positive acquisition adjustment.</w:t>
      </w:r>
    </w:p>
    <w:p w:rsidR="00AE465B" w:rsidRPr="00946ED1" w:rsidRDefault="00AE465B" w:rsidP="00946ED1">
      <w:pPr>
        <w:jc w:val="both"/>
      </w:pPr>
    </w:p>
    <w:p w:rsidR="00AE465B" w:rsidRDefault="00AE465B" w:rsidP="005C67CA">
      <w:pPr>
        <w:pStyle w:val="ListParagraph"/>
        <w:numPr>
          <w:ilvl w:val="0"/>
          <w:numId w:val="8"/>
        </w:numPr>
        <w:jc w:val="both"/>
      </w:pPr>
      <w:r w:rsidRPr="005C67CA">
        <w:t>Improvements in Quality of Service and Compliance with Regulatory Mandates</w:t>
      </w:r>
    </w:p>
    <w:p w:rsidR="005C67CA" w:rsidRPr="005C67CA" w:rsidRDefault="005C67CA" w:rsidP="005C67CA">
      <w:pPr>
        <w:pStyle w:val="ListParagraph"/>
        <w:ind w:left="1080"/>
        <w:jc w:val="both"/>
      </w:pPr>
    </w:p>
    <w:p w:rsidR="00AE465B" w:rsidRPr="00946ED1" w:rsidRDefault="00AE465B" w:rsidP="00946ED1">
      <w:pPr>
        <w:ind w:firstLine="720"/>
        <w:jc w:val="both"/>
      </w:pPr>
      <w:r w:rsidRPr="00946ED1">
        <w:t xml:space="preserve">In its application, CSWR-Neighborhood listed six business practices that it believes will improve the quality of service to its customers: (1) provision of 24-hour emergency service phone numbers; (2) on-call emergency service personnel who are required to respond to emergency service calls within prescribed time limits; (3) a computerized maintenance management system; (4) access to resources not usually available to comparably sized systems and the ability to supplement local personnel with resources owned by the parent and sister companies; (5) online bill payment options; and (6) an updated website for customer communication, bulletins, procedures, etc. </w:t>
      </w:r>
    </w:p>
    <w:p w:rsidR="00B557EB" w:rsidRPr="00946ED1" w:rsidRDefault="00B557EB" w:rsidP="00946ED1">
      <w:pPr>
        <w:ind w:firstLine="720"/>
        <w:jc w:val="both"/>
      </w:pPr>
    </w:p>
    <w:p w:rsidR="00AE465B" w:rsidRPr="00946ED1" w:rsidRDefault="00162FA3" w:rsidP="00946ED1">
      <w:pPr>
        <w:ind w:firstLine="720"/>
        <w:jc w:val="both"/>
      </w:pPr>
      <w:r>
        <w:t>We</w:t>
      </w:r>
      <w:r w:rsidR="00AE465B" w:rsidRPr="00946ED1">
        <w:t xml:space="preserve"> reviewed the complaints filed with th</w:t>
      </w:r>
      <w:r>
        <w:t>is</w:t>
      </w:r>
      <w:r w:rsidR="00AE465B" w:rsidRPr="00946ED1">
        <w:t xml:space="preserve"> Commission for the five-year period prior to the application, January 2017 to March 2022. For the five-year period, </w:t>
      </w:r>
      <w:r>
        <w:t>we</w:t>
      </w:r>
      <w:r w:rsidR="00AE465B" w:rsidRPr="00946ED1">
        <w:t xml:space="preserve"> recorded a total of two customer complaints pertaining to billing. Additionally, in its application, CSWR-Neighborhood indicated that the Utility has not received any customer complaints pertaining to secondary water standards during the past five years. As discussed in </w:t>
      </w:r>
      <w:r>
        <w:t>Section 1 of this Order,</w:t>
      </w:r>
      <w:r w:rsidR="00AE465B" w:rsidRPr="00946ED1">
        <w:t xml:space="preserve"> </w:t>
      </w:r>
      <w:r>
        <w:t>we</w:t>
      </w:r>
      <w:r w:rsidR="00AE465B" w:rsidRPr="00946ED1">
        <w:t xml:space="preserve"> also reviewed the Utility’s most recent DEP inspection reports. While the Utility was issued a Consent Order on April 1, 2022, the Utility has addressed the violations and completed DEP’s requirements set forth in the Consent Order.</w:t>
      </w:r>
    </w:p>
    <w:p w:rsidR="00B557EB" w:rsidRPr="00946ED1" w:rsidRDefault="00B557EB" w:rsidP="00946ED1">
      <w:pPr>
        <w:ind w:firstLine="720"/>
        <w:jc w:val="both"/>
      </w:pPr>
    </w:p>
    <w:p w:rsidR="00AE465B" w:rsidRPr="00946ED1" w:rsidRDefault="00AE465B" w:rsidP="00946ED1">
      <w:pPr>
        <w:ind w:firstLine="720"/>
        <w:jc w:val="both"/>
      </w:pPr>
      <w:r w:rsidRPr="00946ED1">
        <w:t xml:space="preserve">Based on the </w:t>
      </w:r>
      <w:r w:rsidR="00162FA3">
        <w:t>com</w:t>
      </w:r>
      <w:r w:rsidRPr="00946ED1">
        <w:t xml:space="preserve">plaint data and the DEP’s reports, it does not appear that the Utility currently has issues with respect to quality of service and regulatory compliance such that they would warrant extraordinary efforts to remedy. For this reason, </w:t>
      </w:r>
      <w:r w:rsidR="00162FA3">
        <w:t>we do</w:t>
      </w:r>
      <w:r w:rsidRPr="00946ED1">
        <w:t xml:space="preserve"> not believe CSWR-Neighborhood has demonstrated extraordinary circumstances for its requested positive acquisition adjustment. Instead, the proposed anticipated improvements in quality of service and compliance with regulatory mandates demonstrates CSWR-Neighborhood’s intention to responsibly execute its obligations as a utility owner. While </w:t>
      </w:r>
      <w:r w:rsidR="00BA2403">
        <w:t>we</w:t>
      </w:r>
      <w:r w:rsidRPr="00946ED1">
        <w:t xml:space="preserve"> do not </w:t>
      </w:r>
      <w:r w:rsidR="00162FA3">
        <w:t>find</w:t>
      </w:r>
      <w:r w:rsidRPr="00946ED1">
        <w:t xml:space="preserve"> the Utility’s anticipated improvements justify its requested positive acquisition adjustment, these improvements may be considered for prudency and cost recovery in a future rate proceeding.</w:t>
      </w:r>
    </w:p>
    <w:p w:rsidR="00B557EB" w:rsidRPr="00946ED1" w:rsidRDefault="00B557EB" w:rsidP="00946ED1">
      <w:pPr>
        <w:ind w:firstLine="720"/>
        <w:jc w:val="both"/>
      </w:pPr>
    </w:p>
    <w:p w:rsidR="00162FA3" w:rsidRDefault="00162FA3">
      <w:pPr>
        <w:rPr>
          <w:bCs/>
          <w:iCs/>
          <w:szCs w:val="28"/>
        </w:rPr>
      </w:pPr>
      <w:r>
        <w:rPr>
          <w:b/>
        </w:rPr>
        <w:br w:type="page"/>
      </w:r>
    </w:p>
    <w:p w:rsidR="00AE465B" w:rsidRDefault="00AE465B" w:rsidP="005C67CA">
      <w:pPr>
        <w:pStyle w:val="First-LevelSubheading"/>
        <w:numPr>
          <w:ilvl w:val="0"/>
          <w:numId w:val="8"/>
        </w:numPr>
        <w:rPr>
          <w:rFonts w:ascii="Times New Roman" w:hAnsi="Times New Roman" w:cs="Times New Roman"/>
          <w:b w:val="0"/>
        </w:rPr>
      </w:pPr>
      <w:r w:rsidRPr="005C67CA">
        <w:rPr>
          <w:rFonts w:ascii="Times New Roman" w:hAnsi="Times New Roman" w:cs="Times New Roman"/>
          <w:b w:val="0"/>
        </w:rPr>
        <w:lastRenderedPageBreak/>
        <w:t>Anticipated Cost Efficiencies and Rates</w:t>
      </w:r>
    </w:p>
    <w:p w:rsidR="005C67CA" w:rsidRDefault="005C67CA" w:rsidP="00946ED1">
      <w:pPr>
        <w:pStyle w:val="BodyText"/>
        <w:spacing w:after="0"/>
        <w:ind w:firstLine="720"/>
        <w:jc w:val="both"/>
      </w:pPr>
    </w:p>
    <w:p w:rsidR="00AE465B" w:rsidRPr="00946ED1" w:rsidRDefault="00AE465B" w:rsidP="00946ED1">
      <w:pPr>
        <w:pStyle w:val="BodyText"/>
        <w:spacing w:after="0"/>
        <w:ind w:firstLine="720"/>
        <w:jc w:val="both"/>
      </w:pPr>
      <w:r w:rsidRPr="00946ED1">
        <w:t>In its application, the Buyer stated that based on its size, the anticipated consolidation of many small systems under one financial and managerial entity would result in operational cost efficiencies particularly in the areas of:</w:t>
      </w:r>
    </w:p>
    <w:p w:rsidR="00B557EB" w:rsidRPr="00946ED1" w:rsidRDefault="00B557EB" w:rsidP="00946ED1">
      <w:pPr>
        <w:pStyle w:val="BodyText"/>
        <w:spacing w:after="0"/>
        <w:ind w:firstLine="720"/>
        <w:jc w:val="both"/>
      </w:pPr>
    </w:p>
    <w:p w:rsidR="00AE465B" w:rsidRPr="00946ED1" w:rsidRDefault="00AE465B" w:rsidP="00946ED1">
      <w:pPr>
        <w:pStyle w:val="BodyText"/>
        <w:numPr>
          <w:ilvl w:val="0"/>
          <w:numId w:val="1"/>
        </w:numPr>
        <w:spacing w:after="240"/>
        <w:ind w:left="1080"/>
        <w:jc w:val="both"/>
      </w:pPr>
      <w:r w:rsidRPr="00946ED1">
        <w:t>PSC and environmental regulatory reporting</w:t>
      </w:r>
    </w:p>
    <w:p w:rsidR="00AE465B" w:rsidRPr="00946ED1" w:rsidRDefault="00AE465B" w:rsidP="00946ED1">
      <w:pPr>
        <w:pStyle w:val="BodyText"/>
        <w:numPr>
          <w:ilvl w:val="0"/>
          <w:numId w:val="1"/>
        </w:numPr>
        <w:spacing w:after="240"/>
        <w:ind w:left="1080"/>
        <w:jc w:val="both"/>
      </w:pPr>
      <w:r w:rsidRPr="00946ED1">
        <w:t>Managerial and operational oversight</w:t>
      </w:r>
    </w:p>
    <w:p w:rsidR="00AE465B" w:rsidRPr="00946ED1" w:rsidRDefault="00AE465B" w:rsidP="00946ED1">
      <w:pPr>
        <w:pStyle w:val="BodyText"/>
        <w:numPr>
          <w:ilvl w:val="0"/>
          <w:numId w:val="1"/>
        </w:numPr>
        <w:spacing w:after="240"/>
        <w:ind w:left="1080"/>
        <w:jc w:val="both"/>
      </w:pPr>
      <w:r w:rsidRPr="00946ED1">
        <w:t>Utility asset planning</w:t>
      </w:r>
    </w:p>
    <w:p w:rsidR="00AE465B" w:rsidRPr="00946ED1" w:rsidRDefault="00AE465B" w:rsidP="00946ED1">
      <w:pPr>
        <w:pStyle w:val="BodyText"/>
        <w:numPr>
          <w:ilvl w:val="0"/>
          <w:numId w:val="1"/>
        </w:numPr>
        <w:spacing w:after="240"/>
        <w:ind w:left="1080"/>
        <w:jc w:val="both"/>
      </w:pPr>
      <w:r w:rsidRPr="00946ED1">
        <w:t>Engineering planning</w:t>
      </w:r>
    </w:p>
    <w:p w:rsidR="00AE465B" w:rsidRPr="00946ED1" w:rsidRDefault="00AE465B" w:rsidP="00946ED1">
      <w:pPr>
        <w:pStyle w:val="BodyText"/>
        <w:numPr>
          <w:ilvl w:val="0"/>
          <w:numId w:val="1"/>
        </w:numPr>
        <w:spacing w:after="240"/>
        <w:ind w:left="1080"/>
        <w:jc w:val="both"/>
      </w:pPr>
      <w:r w:rsidRPr="00946ED1">
        <w:t>Ongoing utility maintenance</w:t>
      </w:r>
    </w:p>
    <w:p w:rsidR="00AE465B" w:rsidRPr="00946ED1" w:rsidRDefault="00AE465B" w:rsidP="00946ED1">
      <w:pPr>
        <w:pStyle w:val="BodyText"/>
        <w:numPr>
          <w:ilvl w:val="0"/>
          <w:numId w:val="1"/>
        </w:numPr>
        <w:spacing w:after="240"/>
        <w:ind w:left="1080"/>
        <w:jc w:val="both"/>
      </w:pPr>
      <w:r w:rsidRPr="00946ED1">
        <w:t>Utility record keeping</w:t>
      </w:r>
    </w:p>
    <w:p w:rsidR="00AE465B" w:rsidRPr="00946ED1" w:rsidRDefault="00AE465B" w:rsidP="00946ED1">
      <w:pPr>
        <w:pStyle w:val="BodyText"/>
        <w:numPr>
          <w:ilvl w:val="0"/>
          <w:numId w:val="1"/>
        </w:numPr>
        <w:spacing w:after="240"/>
        <w:ind w:left="1080"/>
        <w:jc w:val="both"/>
      </w:pPr>
      <w:r w:rsidRPr="00946ED1">
        <w:t>Customer service responsiveness</w:t>
      </w:r>
    </w:p>
    <w:p w:rsidR="00AE465B" w:rsidRPr="00946ED1" w:rsidRDefault="00AE465B" w:rsidP="00946ED1">
      <w:pPr>
        <w:pStyle w:val="BodyText"/>
        <w:numPr>
          <w:ilvl w:val="0"/>
          <w:numId w:val="1"/>
        </w:numPr>
        <w:spacing w:after="0"/>
        <w:ind w:left="1080"/>
        <w:jc w:val="both"/>
      </w:pPr>
      <w:r w:rsidRPr="00946ED1">
        <w:t>Improved access to capital necessary to repair and upgrade Neighborhood’s systems to ensure compliance with all health and environmental requirements and ensure service to customers remains safe and reliable</w:t>
      </w:r>
    </w:p>
    <w:p w:rsidR="00B557EB" w:rsidRPr="00946ED1" w:rsidRDefault="00B557EB" w:rsidP="00946ED1">
      <w:pPr>
        <w:pStyle w:val="BodyText"/>
        <w:spacing w:after="0"/>
        <w:ind w:firstLine="720"/>
        <w:jc w:val="both"/>
      </w:pPr>
    </w:p>
    <w:p w:rsidR="00AE465B" w:rsidRPr="00946ED1" w:rsidRDefault="00AE465B" w:rsidP="00946ED1">
      <w:pPr>
        <w:pStyle w:val="BodyText"/>
        <w:spacing w:after="0"/>
        <w:ind w:firstLine="720"/>
        <w:jc w:val="both"/>
      </w:pPr>
      <w:r w:rsidRPr="00946ED1">
        <w:t xml:space="preserve">In response to discovery, the Buyer provided an estimated annual reduction of operation and maintenance (O&amp;M) expense of approximately $20,000. However, with a requested acquisition adjustment of $399,937, the requested amount is approximately six and one-half times greater than the system’s current NBV of $60,063. Even if the Buyer was able to achieve these savings in O&amp;M expense, the inclusion of the requested acquisition adjustment in rate base and the inclusion of the annual amortization expense in the net operating income calculation would result in an increased revenue requirement. By operation of math, the overall impact would be a net increase to customer rates. </w:t>
      </w:r>
    </w:p>
    <w:p w:rsidR="00B557EB" w:rsidRPr="00946ED1" w:rsidRDefault="00B557EB" w:rsidP="00946ED1">
      <w:pPr>
        <w:pStyle w:val="BodyText"/>
        <w:spacing w:after="0"/>
        <w:ind w:firstLine="720"/>
        <w:jc w:val="both"/>
      </w:pPr>
    </w:p>
    <w:p w:rsidR="00AE465B" w:rsidRPr="00946ED1" w:rsidRDefault="00AE465B" w:rsidP="00946ED1">
      <w:pPr>
        <w:pStyle w:val="BodyText"/>
        <w:spacing w:after="0"/>
        <w:ind w:firstLine="720"/>
        <w:jc w:val="both"/>
      </w:pPr>
      <w:r w:rsidRPr="00946ED1">
        <w:t xml:space="preserve">The Buyer also stated that CSWR-Neighborhood would bring long-term rate stability to the Utility, should the transfer be approved. </w:t>
      </w:r>
      <w:r w:rsidR="00232EAD">
        <w:t>We</w:t>
      </w:r>
      <w:r w:rsidRPr="00946ED1">
        <w:t xml:space="preserve"> agree that economies of scale and potential consolidation of several systems in Florida, as proposed by CSWR-Neighborhood, could bring some amount of long-term rate stability. However, absent specific and detailed support for these assertions, the Buyer has failed to meet its burden of demonstrating extraordinary circumstances. Moreover, Neighborhood has exhibited rate stability. The Utility has had only two staff-assisted rate cases, seven price indices, and one pass-through increase since it was granted its water certificate in 1984. </w:t>
      </w:r>
    </w:p>
    <w:p w:rsidR="00AE465B" w:rsidRPr="00946ED1" w:rsidRDefault="00232EAD" w:rsidP="00946ED1">
      <w:pPr>
        <w:pStyle w:val="BodyText"/>
        <w:spacing w:after="0"/>
        <w:ind w:firstLine="720"/>
        <w:jc w:val="both"/>
      </w:pPr>
      <w:r>
        <w:lastRenderedPageBreak/>
        <w:t xml:space="preserve">Our finding herein </w:t>
      </w:r>
      <w:r w:rsidR="00AE465B" w:rsidRPr="00946ED1">
        <w:t xml:space="preserve">is consistent with </w:t>
      </w:r>
      <w:r>
        <w:t>our</w:t>
      </w:r>
      <w:r w:rsidR="00AE465B" w:rsidRPr="00946ED1">
        <w:t xml:space="preserve"> decision in Order No. PSC-2020-0458-PAA-WS.</w:t>
      </w:r>
      <w:r w:rsidR="00AE465B" w:rsidRPr="00946ED1">
        <w:rPr>
          <w:rStyle w:val="FootnoteReference"/>
        </w:rPr>
        <w:footnoteReference w:id="10"/>
      </w:r>
      <w:r w:rsidR="00AE465B" w:rsidRPr="00946ED1">
        <w:t xml:space="preserve"> In that docket, the buyer identified estimates of anticipated cost efficiencies, including a reduction in O&amp;M expense and a reduction of cost of capital that would result from the transfer. Additionally, the buyer cited several improvements it made to the water treatment plant and wastewater lift station since acquisition to improve the quality of service and compliance with regulatory mandates. While </w:t>
      </w:r>
      <w:r>
        <w:t>we ac</w:t>
      </w:r>
      <w:r w:rsidR="00AE465B" w:rsidRPr="00946ED1">
        <w:t xml:space="preserve">knowledged that the buyer accomplished cost savings, </w:t>
      </w:r>
      <w:r>
        <w:t>we</w:t>
      </w:r>
      <w:r w:rsidR="00AE465B" w:rsidRPr="00946ED1">
        <w:t xml:space="preserve"> did not believe the actions performed demonstrated extraordinary circumstances that would justify approval of a positive acquisition adjustment. </w:t>
      </w:r>
    </w:p>
    <w:p w:rsidR="00B557EB" w:rsidRPr="00946ED1" w:rsidRDefault="00B557EB" w:rsidP="00946ED1">
      <w:pPr>
        <w:pStyle w:val="BodyText"/>
        <w:spacing w:after="0"/>
        <w:ind w:firstLine="720"/>
        <w:jc w:val="both"/>
      </w:pPr>
    </w:p>
    <w:p w:rsidR="00AE465B" w:rsidRPr="00946ED1" w:rsidRDefault="00232EAD" w:rsidP="00946ED1">
      <w:pPr>
        <w:spacing w:after="240"/>
        <w:ind w:firstLine="720"/>
        <w:jc w:val="both"/>
      </w:pPr>
      <w:r>
        <w:t xml:space="preserve">Our decision herein </w:t>
      </w:r>
      <w:r w:rsidR="00AE465B" w:rsidRPr="00946ED1">
        <w:t xml:space="preserve">is also consistent with </w:t>
      </w:r>
      <w:r>
        <w:t xml:space="preserve">our prior </w:t>
      </w:r>
      <w:r w:rsidR="00AE465B" w:rsidRPr="00946ED1">
        <w:t xml:space="preserve">decisions </w:t>
      </w:r>
      <w:r>
        <w:t>denying</w:t>
      </w:r>
      <w:r w:rsidR="00AE465B" w:rsidRPr="00946ED1">
        <w:t xml:space="preserve"> CSWR-Florida Utility Operating Company, LLC’s request</w:t>
      </w:r>
      <w:r>
        <w:t>s</w:t>
      </w:r>
      <w:r w:rsidR="00AE465B" w:rsidRPr="00946ED1">
        <w:t xml:space="preserve"> for a positive acquisition adjustment</w:t>
      </w:r>
      <w:r>
        <w:t>, as set forth</w:t>
      </w:r>
      <w:r w:rsidR="00AE465B" w:rsidRPr="00946ED1">
        <w:t xml:space="preserve"> in Order Nos. PSC-2022-0116-PAA-SU, PSC-2022-0120-PAA-WU, and PSC-2022-0115-PAA-WS.</w:t>
      </w:r>
      <w:r w:rsidR="00AE465B" w:rsidRPr="00946ED1">
        <w:rPr>
          <w:rStyle w:val="FootnoteReference"/>
        </w:rPr>
        <w:footnoteReference w:id="11"/>
      </w:r>
      <w:r w:rsidR="00AE465B" w:rsidRPr="00946ED1">
        <w:t xml:space="preserve"> In those cases, </w:t>
      </w:r>
      <w:r>
        <w:t>we</w:t>
      </w:r>
      <w:r w:rsidR="00AE465B" w:rsidRPr="00946ED1">
        <w:t xml:space="preserve"> determined that CSWR-Florida Utility Operating Company, LLC failed to provide sufficient evidence of extraordinary circumstances and denied </w:t>
      </w:r>
      <w:r>
        <w:t>the requested</w:t>
      </w:r>
      <w:r w:rsidR="00AE465B" w:rsidRPr="00946ED1">
        <w:t xml:space="preserve"> positive acquisition adjustment in all three cases. In those cases, CSWR-Florida Utility Operating Company, LLC also requested a deferral of the decision regarding the positive acquisition adjustments</w:t>
      </w:r>
      <w:r>
        <w:t>,</w:t>
      </w:r>
      <w:r w:rsidR="00AE465B" w:rsidRPr="00946ED1">
        <w:t xml:space="preserve"> which </w:t>
      </w:r>
      <w:r>
        <w:t xml:space="preserve">we also </w:t>
      </w:r>
      <w:r w:rsidR="00AE465B" w:rsidRPr="00946ED1">
        <w:t xml:space="preserve">denied. </w:t>
      </w:r>
      <w:r>
        <w:t xml:space="preserve">We </w:t>
      </w:r>
      <w:r w:rsidR="00AE465B" w:rsidRPr="00946ED1">
        <w:t>find the facts of this case similar to the</w:t>
      </w:r>
      <w:r>
        <w:t>se</w:t>
      </w:r>
      <w:r w:rsidR="00AE465B" w:rsidRPr="00946ED1">
        <w:t xml:space="preserve"> three </w:t>
      </w:r>
      <w:r>
        <w:t>prior cases.</w:t>
      </w:r>
    </w:p>
    <w:p w:rsidR="00AE465B" w:rsidRDefault="00AE465B" w:rsidP="005C67CA">
      <w:pPr>
        <w:pStyle w:val="First-LevelSubheading"/>
        <w:numPr>
          <w:ilvl w:val="0"/>
          <w:numId w:val="8"/>
        </w:numPr>
        <w:rPr>
          <w:rFonts w:ascii="Times New Roman" w:hAnsi="Times New Roman" w:cs="Times New Roman"/>
          <w:b w:val="0"/>
        </w:rPr>
      </w:pPr>
      <w:r w:rsidRPr="005C67CA">
        <w:rPr>
          <w:rFonts w:ascii="Times New Roman" w:hAnsi="Times New Roman" w:cs="Times New Roman"/>
          <w:b w:val="0"/>
        </w:rPr>
        <w:t>Conclusion</w:t>
      </w:r>
    </w:p>
    <w:p w:rsidR="005C67CA" w:rsidRDefault="005C67CA" w:rsidP="00946ED1">
      <w:pPr>
        <w:pStyle w:val="OrderBody"/>
        <w:ind w:firstLine="720"/>
      </w:pPr>
    </w:p>
    <w:p w:rsidR="00AE465B" w:rsidRDefault="00AE465B" w:rsidP="00946ED1">
      <w:pPr>
        <w:pStyle w:val="OrderBody"/>
        <w:ind w:firstLine="720"/>
      </w:pPr>
      <w:r w:rsidRPr="00946ED1">
        <w:t xml:space="preserve">Pursuant to Rule 25-30.0371, F.A.C., a positive acquisition adjustment not be granted as the Buyer did not demonstrate extraordinary circumstances. </w:t>
      </w:r>
      <w:r w:rsidR="00232EAD">
        <w:t xml:space="preserve">We do not find that </w:t>
      </w:r>
      <w:r w:rsidRPr="00946ED1">
        <w:t>the Buyer’s anticipated improvements in quality of service and compliance with regulatory mandates illustrate extraordinary circumstances</w:t>
      </w:r>
      <w:r w:rsidR="00232EAD">
        <w:t>,</w:t>
      </w:r>
      <w:r w:rsidRPr="00946ED1">
        <w:t xml:space="preserve"> and instead demonstrate CSWR-Neighborhood’s intentions to responsibly provide utility service.</w:t>
      </w:r>
    </w:p>
    <w:p w:rsidR="00232EAD" w:rsidRDefault="00232EAD" w:rsidP="00946ED1">
      <w:pPr>
        <w:pStyle w:val="OrderBody"/>
        <w:ind w:firstLine="720"/>
      </w:pPr>
    </w:p>
    <w:p w:rsidR="00CB5297" w:rsidRPr="00CB5297" w:rsidRDefault="00CB5297" w:rsidP="005C67CA">
      <w:pPr>
        <w:pStyle w:val="OrderBody"/>
        <w:numPr>
          <w:ilvl w:val="0"/>
          <w:numId w:val="4"/>
        </w:numPr>
        <w:rPr>
          <w:u w:val="single"/>
        </w:rPr>
      </w:pPr>
      <w:r>
        <w:rPr>
          <w:u w:val="single"/>
        </w:rPr>
        <w:t>Revising Miscellaneous Service Charges</w:t>
      </w:r>
    </w:p>
    <w:p w:rsidR="00AE465B" w:rsidRPr="00946ED1" w:rsidRDefault="00AE465B" w:rsidP="00946ED1">
      <w:pPr>
        <w:pStyle w:val="OrderBody"/>
      </w:pPr>
    </w:p>
    <w:p w:rsidR="00AE465B" w:rsidRPr="00946ED1" w:rsidRDefault="00AE465B" w:rsidP="000B3288">
      <w:pPr>
        <w:pStyle w:val="BodyText"/>
        <w:spacing w:after="0"/>
        <w:ind w:firstLine="720"/>
        <w:jc w:val="both"/>
      </w:pPr>
      <w:r w:rsidRPr="00946ED1">
        <w:t>Effective June 24, 2021, Rule 25-30.460, F.A.C., was amended to remove initial connection and normal reconnection charges.</w:t>
      </w:r>
      <w:r w:rsidRPr="00946ED1">
        <w:rPr>
          <w:vertAlign w:val="superscript"/>
        </w:rPr>
        <w:footnoteReference w:id="12"/>
      </w:r>
      <w:r w:rsidRPr="00946ED1">
        <w:t xml:space="preserve"> The definitions for initial connection charges and normal reconnection charges were subsumed in the definition of the premises visit charge. The Utility’s miscellaneous service charges consist of initial connection and normal reconnection </w:t>
      </w:r>
      <w:r w:rsidRPr="00946ED1">
        <w:lastRenderedPageBreak/>
        <w:t xml:space="preserve">charges. The normal reconnection charge is more than the premises visit charge. Since the premises visit entails a broader range of tasks, </w:t>
      </w:r>
      <w:r w:rsidR="00C86383">
        <w:t xml:space="preserve">we find that </w:t>
      </w:r>
      <w:r w:rsidRPr="00946ED1">
        <w:t>the premises visit charge sh</w:t>
      </w:r>
      <w:r w:rsidR="000B3288">
        <w:t>all</w:t>
      </w:r>
      <w:r w:rsidRPr="00946ED1">
        <w:t xml:space="preserve"> reflect the amount of the normal reconnection charge of $34 for normal hours and $38 for after hours. Therefore, the initial connection and normal reconnection charges </w:t>
      </w:r>
      <w:r w:rsidR="00C86383">
        <w:t xml:space="preserve">shall </w:t>
      </w:r>
      <w:r w:rsidRPr="00946ED1">
        <w:t>be removed, the premises visit charge sh</w:t>
      </w:r>
      <w:r w:rsidR="00C86383">
        <w:t xml:space="preserve">all </w:t>
      </w:r>
      <w:r w:rsidRPr="00946ED1">
        <w:t xml:space="preserve">be revised to $34 for normal hours and $38 for after hours, and the definition for the premises visit charge </w:t>
      </w:r>
      <w:r w:rsidR="00C86383">
        <w:t xml:space="preserve">shall </w:t>
      </w:r>
      <w:r w:rsidRPr="00946ED1">
        <w:t xml:space="preserve">be updated to comply with amended Rule 25-30.460, F.A.C. The Utility’s existing and </w:t>
      </w:r>
      <w:r w:rsidR="00C86383">
        <w:t>our approved</w:t>
      </w:r>
      <w:r w:rsidRPr="00946ED1">
        <w:t xml:space="preserve"> miscellaneous service charges are shown below in Tables 1 and 2.</w:t>
      </w:r>
    </w:p>
    <w:p w:rsidR="00B557EB" w:rsidRPr="00946ED1" w:rsidRDefault="00B557EB" w:rsidP="00B557EB">
      <w:pPr>
        <w:pStyle w:val="BodyText"/>
        <w:spacing w:after="0"/>
      </w:pPr>
    </w:p>
    <w:p w:rsidR="00AE465B" w:rsidRPr="005C67CA" w:rsidRDefault="00AE465B" w:rsidP="00B557EB">
      <w:pPr>
        <w:keepNext/>
        <w:jc w:val="center"/>
      </w:pPr>
      <w:r w:rsidRPr="005C67CA">
        <w:t>Table 1</w:t>
      </w:r>
    </w:p>
    <w:p w:rsidR="00AE465B" w:rsidRPr="005C67CA" w:rsidRDefault="00AE465B" w:rsidP="00B557EB">
      <w:pPr>
        <w:jc w:val="center"/>
      </w:pPr>
      <w:r w:rsidRPr="005C67CA">
        <w:t>Utility Existing Miscellaneous Service Charges</w:t>
      </w:r>
    </w:p>
    <w:tbl>
      <w:tblPr>
        <w:tblStyle w:val="TableGrid12"/>
        <w:tblW w:w="0" w:type="auto"/>
        <w:tblInd w:w="0" w:type="dxa"/>
        <w:tblLook w:val="04A0" w:firstRow="1" w:lastRow="0" w:firstColumn="1" w:lastColumn="0" w:noHBand="0" w:noVBand="1"/>
      </w:tblPr>
      <w:tblGrid>
        <w:gridCol w:w="3427"/>
        <w:gridCol w:w="3059"/>
        <w:gridCol w:w="3059"/>
      </w:tblGrid>
      <w:tr w:rsidR="00AE465B" w:rsidRPr="00946ED1" w:rsidTr="00CB5297">
        <w:trPr>
          <w:trHeight w:val="280"/>
        </w:trPr>
        <w:tc>
          <w:tcPr>
            <w:tcW w:w="3427" w:type="dxa"/>
            <w:tcBorders>
              <w:top w:val="single" w:sz="4" w:space="0" w:color="auto"/>
              <w:left w:val="single" w:sz="4" w:space="0" w:color="auto"/>
              <w:bottom w:val="single" w:sz="4" w:space="0" w:color="auto"/>
              <w:right w:val="single" w:sz="4" w:space="0" w:color="auto"/>
            </w:tcBorders>
          </w:tcPr>
          <w:p w:rsidR="00AE465B" w:rsidRPr="00946ED1" w:rsidRDefault="00AE465B" w:rsidP="00B557EB">
            <w:pPr>
              <w:rPr>
                <w:rFonts w:ascii="Times New Roman" w:hAnsi="Times New Roman"/>
              </w:rPr>
            </w:pPr>
          </w:p>
        </w:tc>
        <w:tc>
          <w:tcPr>
            <w:tcW w:w="3059" w:type="dxa"/>
            <w:tcBorders>
              <w:top w:val="single" w:sz="4" w:space="0" w:color="auto"/>
              <w:left w:val="single" w:sz="4" w:space="0" w:color="auto"/>
              <w:bottom w:val="single" w:sz="4" w:space="0" w:color="auto"/>
              <w:right w:val="single" w:sz="4" w:space="0" w:color="auto"/>
            </w:tcBorders>
            <w:hideMark/>
          </w:tcPr>
          <w:p w:rsidR="00AE465B" w:rsidRPr="00946ED1" w:rsidRDefault="00AE465B" w:rsidP="00B557EB">
            <w:pPr>
              <w:jc w:val="center"/>
              <w:rPr>
                <w:rFonts w:ascii="Times New Roman" w:hAnsi="Times New Roman"/>
              </w:rPr>
            </w:pPr>
            <w:r w:rsidRPr="00946ED1">
              <w:rPr>
                <w:rFonts w:ascii="Times New Roman" w:hAnsi="Times New Roman"/>
              </w:rPr>
              <w:t>Normal Hours</w:t>
            </w:r>
          </w:p>
        </w:tc>
        <w:tc>
          <w:tcPr>
            <w:tcW w:w="3059" w:type="dxa"/>
            <w:tcBorders>
              <w:top w:val="single" w:sz="4" w:space="0" w:color="auto"/>
              <w:left w:val="single" w:sz="4" w:space="0" w:color="auto"/>
              <w:bottom w:val="single" w:sz="4" w:space="0" w:color="auto"/>
              <w:right w:val="single" w:sz="4" w:space="0" w:color="auto"/>
            </w:tcBorders>
          </w:tcPr>
          <w:p w:rsidR="00AE465B" w:rsidRPr="00946ED1" w:rsidRDefault="00AE465B" w:rsidP="00B557EB">
            <w:pPr>
              <w:jc w:val="center"/>
              <w:rPr>
                <w:rFonts w:ascii="Times New Roman" w:hAnsi="Times New Roman"/>
              </w:rPr>
            </w:pPr>
            <w:r w:rsidRPr="00946ED1">
              <w:rPr>
                <w:rFonts w:ascii="Times New Roman" w:hAnsi="Times New Roman"/>
              </w:rPr>
              <w:t>After Hours</w:t>
            </w:r>
          </w:p>
        </w:tc>
      </w:tr>
      <w:tr w:rsidR="00AE465B" w:rsidRPr="00946ED1" w:rsidTr="00CB5297">
        <w:trPr>
          <w:trHeight w:val="280"/>
        </w:trPr>
        <w:tc>
          <w:tcPr>
            <w:tcW w:w="3427" w:type="dxa"/>
            <w:tcBorders>
              <w:top w:val="single" w:sz="4" w:space="0" w:color="auto"/>
              <w:left w:val="single" w:sz="4" w:space="0" w:color="auto"/>
              <w:bottom w:val="single" w:sz="4" w:space="0" w:color="auto"/>
              <w:right w:val="single" w:sz="4" w:space="0" w:color="auto"/>
            </w:tcBorders>
            <w:hideMark/>
          </w:tcPr>
          <w:p w:rsidR="00AE465B" w:rsidRPr="00946ED1" w:rsidRDefault="00AE465B" w:rsidP="00CB5297">
            <w:pPr>
              <w:rPr>
                <w:rFonts w:ascii="Times New Roman" w:hAnsi="Times New Roman"/>
              </w:rPr>
            </w:pPr>
            <w:r w:rsidRPr="00946ED1">
              <w:rPr>
                <w:rFonts w:ascii="Times New Roman" w:hAnsi="Times New Roman"/>
              </w:rPr>
              <w:t>Initial Connection Charge</w:t>
            </w:r>
          </w:p>
        </w:tc>
        <w:tc>
          <w:tcPr>
            <w:tcW w:w="3059" w:type="dxa"/>
            <w:tcBorders>
              <w:top w:val="single" w:sz="4" w:space="0" w:color="auto"/>
              <w:left w:val="single" w:sz="4" w:space="0" w:color="auto"/>
              <w:bottom w:val="single" w:sz="4" w:space="0" w:color="auto"/>
              <w:right w:val="single" w:sz="4" w:space="0" w:color="auto"/>
            </w:tcBorders>
            <w:hideMark/>
          </w:tcPr>
          <w:p w:rsidR="00AE465B" w:rsidRPr="00946ED1" w:rsidRDefault="00AE465B" w:rsidP="00CB5297">
            <w:pPr>
              <w:jc w:val="center"/>
              <w:rPr>
                <w:rFonts w:ascii="Times New Roman" w:hAnsi="Times New Roman"/>
              </w:rPr>
            </w:pPr>
            <w:r w:rsidRPr="00946ED1">
              <w:rPr>
                <w:rFonts w:ascii="Times New Roman" w:hAnsi="Times New Roman"/>
              </w:rPr>
              <w:t>$19.00</w:t>
            </w:r>
          </w:p>
        </w:tc>
        <w:tc>
          <w:tcPr>
            <w:tcW w:w="3059" w:type="dxa"/>
            <w:tcBorders>
              <w:top w:val="single" w:sz="4" w:space="0" w:color="auto"/>
              <w:left w:val="single" w:sz="4" w:space="0" w:color="auto"/>
              <w:bottom w:val="single" w:sz="4" w:space="0" w:color="auto"/>
              <w:right w:val="single" w:sz="4" w:space="0" w:color="auto"/>
            </w:tcBorders>
          </w:tcPr>
          <w:p w:rsidR="00AE465B" w:rsidRPr="00946ED1" w:rsidRDefault="00AE465B" w:rsidP="00CB5297">
            <w:pPr>
              <w:jc w:val="center"/>
              <w:rPr>
                <w:rFonts w:ascii="Times New Roman" w:hAnsi="Times New Roman"/>
              </w:rPr>
            </w:pPr>
            <w:r w:rsidRPr="00946ED1">
              <w:rPr>
                <w:rFonts w:ascii="Times New Roman" w:hAnsi="Times New Roman"/>
              </w:rPr>
              <w:t>$21.00</w:t>
            </w:r>
          </w:p>
        </w:tc>
      </w:tr>
      <w:tr w:rsidR="00AE465B" w:rsidRPr="00946ED1" w:rsidTr="00CB5297">
        <w:trPr>
          <w:trHeight w:val="280"/>
        </w:trPr>
        <w:tc>
          <w:tcPr>
            <w:tcW w:w="3427" w:type="dxa"/>
            <w:tcBorders>
              <w:top w:val="single" w:sz="4" w:space="0" w:color="auto"/>
              <w:left w:val="single" w:sz="4" w:space="0" w:color="auto"/>
              <w:bottom w:val="single" w:sz="4" w:space="0" w:color="auto"/>
              <w:right w:val="single" w:sz="4" w:space="0" w:color="auto"/>
            </w:tcBorders>
            <w:hideMark/>
          </w:tcPr>
          <w:p w:rsidR="00AE465B" w:rsidRPr="00946ED1" w:rsidRDefault="00AE465B" w:rsidP="00CB5297">
            <w:pPr>
              <w:rPr>
                <w:rFonts w:ascii="Times New Roman" w:hAnsi="Times New Roman"/>
              </w:rPr>
            </w:pPr>
            <w:r w:rsidRPr="00946ED1">
              <w:rPr>
                <w:rFonts w:ascii="Times New Roman" w:hAnsi="Times New Roman"/>
              </w:rPr>
              <w:t>Normal Reconnection Charge</w:t>
            </w:r>
          </w:p>
        </w:tc>
        <w:tc>
          <w:tcPr>
            <w:tcW w:w="3059" w:type="dxa"/>
            <w:tcBorders>
              <w:top w:val="single" w:sz="4" w:space="0" w:color="auto"/>
              <w:left w:val="single" w:sz="4" w:space="0" w:color="auto"/>
              <w:bottom w:val="single" w:sz="4" w:space="0" w:color="auto"/>
              <w:right w:val="single" w:sz="4" w:space="0" w:color="auto"/>
            </w:tcBorders>
            <w:hideMark/>
          </w:tcPr>
          <w:p w:rsidR="00AE465B" w:rsidRPr="00946ED1" w:rsidRDefault="00AE465B" w:rsidP="00CB5297">
            <w:pPr>
              <w:jc w:val="center"/>
              <w:rPr>
                <w:rFonts w:ascii="Times New Roman" w:hAnsi="Times New Roman"/>
              </w:rPr>
            </w:pPr>
            <w:r w:rsidRPr="00946ED1">
              <w:rPr>
                <w:rFonts w:ascii="Times New Roman" w:hAnsi="Times New Roman"/>
              </w:rPr>
              <w:t>$34.00</w:t>
            </w:r>
          </w:p>
        </w:tc>
        <w:tc>
          <w:tcPr>
            <w:tcW w:w="3059" w:type="dxa"/>
            <w:tcBorders>
              <w:top w:val="single" w:sz="4" w:space="0" w:color="auto"/>
              <w:left w:val="single" w:sz="4" w:space="0" w:color="auto"/>
              <w:bottom w:val="single" w:sz="4" w:space="0" w:color="auto"/>
              <w:right w:val="single" w:sz="4" w:space="0" w:color="auto"/>
            </w:tcBorders>
          </w:tcPr>
          <w:p w:rsidR="00AE465B" w:rsidRPr="00946ED1" w:rsidRDefault="00AE465B" w:rsidP="00CB5297">
            <w:pPr>
              <w:jc w:val="center"/>
              <w:rPr>
                <w:rFonts w:ascii="Times New Roman" w:hAnsi="Times New Roman"/>
              </w:rPr>
            </w:pPr>
            <w:r w:rsidRPr="00946ED1">
              <w:rPr>
                <w:rFonts w:ascii="Times New Roman" w:hAnsi="Times New Roman"/>
              </w:rPr>
              <w:t>$38.00</w:t>
            </w:r>
          </w:p>
        </w:tc>
      </w:tr>
      <w:tr w:rsidR="00AE465B" w:rsidRPr="00946ED1" w:rsidTr="00CB5297">
        <w:trPr>
          <w:trHeight w:val="280"/>
        </w:trPr>
        <w:tc>
          <w:tcPr>
            <w:tcW w:w="3427" w:type="dxa"/>
            <w:tcBorders>
              <w:top w:val="single" w:sz="4" w:space="0" w:color="auto"/>
              <w:left w:val="single" w:sz="4" w:space="0" w:color="auto"/>
              <w:bottom w:val="single" w:sz="4" w:space="0" w:color="auto"/>
              <w:right w:val="single" w:sz="4" w:space="0" w:color="auto"/>
            </w:tcBorders>
            <w:hideMark/>
          </w:tcPr>
          <w:p w:rsidR="00AE465B" w:rsidRPr="00946ED1" w:rsidRDefault="00AE465B" w:rsidP="00CB5297">
            <w:pPr>
              <w:rPr>
                <w:rFonts w:ascii="Times New Roman" w:hAnsi="Times New Roman"/>
              </w:rPr>
            </w:pPr>
            <w:r w:rsidRPr="00946ED1">
              <w:rPr>
                <w:rFonts w:ascii="Times New Roman" w:hAnsi="Times New Roman"/>
              </w:rPr>
              <w:t>Violation Reconnection Charge</w:t>
            </w:r>
          </w:p>
        </w:tc>
        <w:tc>
          <w:tcPr>
            <w:tcW w:w="3059" w:type="dxa"/>
            <w:tcBorders>
              <w:top w:val="single" w:sz="4" w:space="0" w:color="auto"/>
              <w:left w:val="single" w:sz="4" w:space="0" w:color="auto"/>
              <w:bottom w:val="single" w:sz="4" w:space="0" w:color="auto"/>
              <w:right w:val="single" w:sz="4" w:space="0" w:color="auto"/>
            </w:tcBorders>
            <w:hideMark/>
          </w:tcPr>
          <w:p w:rsidR="00AE465B" w:rsidRPr="00946ED1" w:rsidRDefault="00AE465B" w:rsidP="00CB5297">
            <w:pPr>
              <w:jc w:val="center"/>
              <w:rPr>
                <w:rFonts w:ascii="Times New Roman" w:hAnsi="Times New Roman"/>
              </w:rPr>
            </w:pPr>
            <w:r w:rsidRPr="00946ED1">
              <w:rPr>
                <w:rFonts w:ascii="Times New Roman" w:hAnsi="Times New Roman"/>
              </w:rPr>
              <w:t>$30.00</w:t>
            </w:r>
          </w:p>
        </w:tc>
        <w:tc>
          <w:tcPr>
            <w:tcW w:w="3059" w:type="dxa"/>
            <w:tcBorders>
              <w:top w:val="single" w:sz="4" w:space="0" w:color="auto"/>
              <w:left w:val="single" w:sz="4" w:space="0" w:color="auto"/>
              <w:bottom w:val="single" w:sz="4" w:space="0" w:color="auto"/>
              <w:right w:val="single" w:sz="4" w:space="0" w:color="auto"/>
            </w:tcBorders>
          </w:tcPr>
          <w:p w:rsidR="00AE465B" w:rsidRPr="00946ED1" w:rsidRDefault="00AE465B" w:rsidP="00CB5297">
            <w:pPr>
              <w:jc w:val="center"/>
              <w:rPr>
                <w:rFonts w:ascii="Times New Roman" w:hAnsi="Times New Roman"/>
              </w:rPr>
            </w:pPr>
            <w:r w:rsidRPr="00946ED1">
              <w:rPr>
                <w:rFonts w:ascii="Times New Roman" w:hAnsi="Times New Roman"/>
              </w:rPr>
              <w:t>$32.00</w:t>
            </w:r>
          </w:p>
        </w:tc>
      </w:tr>
      <w:tr w:rsidR="00AE465B" w:rsidRPr="00946ED1" w:rsidTr="00CB5297">
        <w:trPr>
          <w:trHeight w:val="280"/>
        </w:trPr>
        <w:tc>
          <w:tcPr>
            <w:tcW w:w="3427" w:type="dxa"/>
            <w:tcBorders>
              <w:top w:val="single" w:sz="4" w:space="0" w:color="auto"/>
              <w:left w:val="single" w:sz="4" w:space="0" w:color="auto"/>
              <w:bottom w:val="single" w:sz="4" w:space="0" w:color="auto"/>
              <w:right w:val="single" w:sz="4" w:space="0" w:color="auto"/>
            </w:tcBorders>
            <w:hideMark/>
          </w:tcPr>
          <w:p w:rsidR="00AE465B" w:rsidRPr="00946ED1" w:rsidRDefault="00AE465B" w:rsidP="00CB5297">
            <w:pPr>
              <w:rPr>
                <w:rFonts w:ascii="Times New Roman" w:hAnsi="Times New Roman"/>
              </w:rPr>
            </w:pPr>
            <w:r w:rsidRPr="00946ED1">
              <w:rPr>
                <w:rFonts w:ascii="Times New Roman" w:hAnsi="Times New Roman"/>
              </w:rPr>
              <w:t>Premises Visit Charge</w:t>
            </w:r>
          </w:p>
          <w:p w:rsidR="00AE465B" w:rsidRPr="00946ED1" w:rsidRDefault="00AE465B" w:rsidP="00CB5297">
            <w:pPr>
              <w:rPr>
                <w:rFonts w:ascii="Times New Roman" w:hAnsi="Times New Roman"/>
              </w:rPr>
            </w:pPr>
            <w:r w:rsidRPr="00946ED1">
              <w:rPr>
                <w:rFonts w:ascii="Times New Roman" w:hAnsi="Times New Roman"/>
              </w:rPr>
              <w:t>(in lieu of disconnection)</w:t>
            </w:r>
          </w:p>
        </w:tc>
        <w:tc>
          <w:tcPr>
            <w:tcW w:w="3059" w:type="dxa"/>
            <w:tcBorders>
              <w:top w:val="single" w:sz="4" w:space="0" w:color="auto"/>
              <w:left w:val="single" w:sz="4" w:space="0" w:color="auto"/>
              <w:bottom w:val="single" w:sz="4" w:space="0" w:color="auto"/>
              <w:right w:val="single" w:sz="4" w:space="0" w:color="auto"/>
            </w:tcBorders>
            <w:hideMark/>
          </w:tcPr>
          <w:p w:rsidR="00AE465B" w:rsidRPr="00946ED1" w:rsidRDefault="00AE465B" w:rsidP="00CB5297">
            <w:pPr>
              <w:jc w:val="center"/>
              <w:rPr>
                <w:rFonts w:ascii="Times New Roman" w:hAnsi="Times New Roman"/>
              </w:rPr>
            </w:pPr>
            <w:r w:rsidRPr="00946ED1">
              <w:rPr>
                <w:rFonts w:ascii="Times New Roman" w:hAnsi="Times New Roman"/>
              </w:rPr>
              <w:t>$19.00</w:t>
            </w:r>
          </w:p>
        </w:tc>
        <w:tc>
          <w:tcPr>
            <w:tcW w:w="3059" w:type="dxa"/>
            <w:tcBorders>
              <w:top w:val="single" w:sz="4" w:space="0" w:color="auto"/>
              <w:left w:val="single" w:sz="4" w:space="0" w:color="auto"/>
              <w:bottom w:val="single" w:sz="4" w:space="0" w:color="auto"/>
              <w:right w:val="single" w:sz="4" w:space="0" w:color="auto"/>
            </w:tcBorders>
          </w:tcPr>
          <w:p w:rsidR="00AE465B" w:rsidRPr="00946ED1" w:rsidRDefault="00AE465B" w:rsidP="00CB5297">
            <w:pPr>
              <w:jc w:val="center"/>
              <w:rPr>
                <w:rFonts w:ascii="Times New Roman" w:hAnsi="Times New Roman"/>
              </w:rPr>
            </w:pPr>
            <w:r w:rsidRPr="00946ED1">
              <w:rPr>
                <w:rFonts w:ascii="Times New Roman" w:hAnsi="Times New Roman"/>
              </w:rPr>
              <w:t>$21.00</w:t>
            </w:r>
          </w:p>
        </w:tc>
      </w:tr>
    </w:tbl>
    <w:p w:rsidR="00AE465B" w:rsidRPr="00946ED1" w:rsidRDefault="00AE465B" w:rsidP="00AE465B">
      <w:pPr>
        <w:pStyle w:val="BodyText"/>
      </w:pPr>
    </w:p>
    <w:p w:rsidR="00AE465B" w:rsidRPr="005C67CA" w:rsidRDefault="00AE465B" w:rsidP="00AE465B">
      <w:pPr>
        <w:keepNext/>
        <w:tabs>
          <w:tab w:val="left" w:pos="1307"/>
          <w:tab w:val="left" w:pos="4027"/>
          <w:tab w:val="center" w:pos="4680"/>
        </w:tabs>
        <w:jc w:val="center"/>
      </w:pPr>
      <w:r w:rsidRPr="005C67CA">
        <w:t>Table 2</w:t>
      </w:r>
    </w:p>
    <w:p w:rsidR="00AE465B" w:rsidRPr="005C67CA" w:rsidRDefault="005C67CA" w:rsidP="00AE465B">
      <w:pPr>
        <w:keepNext/>
        <w:tabs>
          <w:tab w:val="left" w:pos="1307"/>
          <w:tab w:val="left" w:pos="4027"/>
          <w:tab w:val="center" w:pos="4680"/>
        </w:tabs>
        <w:jc w:val="center"/>
      </w:pPr>
      <w:r w:rsidRPr="005C67CA">
        <w:t xml:space="preserve">Commission Approved </w:t>
      </w:r>
      <w:r w:rsidR="00AE465B" w:rsidRPr="005C67CA">
        <w:t>Miscellaneous Service Charges</w:t>
      </w:r>
    </w:p>
    <w:tbl>
      <w:tblPr>
        <w:tblStyle w:val="TableGrid12"/>
        <w:tblW w:w="0" w:type="auto"/>
        <w:jc w:val="center"/>
        <w:tblInd w:w="0" w:type="dxa"/>
        <w:tblLook w:val="04A0" w:firstRow="1" w:lastRow="0" w:firstColumn="1" w:lastColumn="0" w:noHBand="0" w:noVBand="1"/>
      </w:tblPr>
      <w:tblGrid>
        <w:gridCol w:w="4625"/>
        <w:gridCol w:w="2351"/>
        <w:gridCol w:w="2041"/>
      </w:tblGrid>
      <w:tr w:rsidR="00AE465B" w:rsidRPr="00946ED1" w:rsidTr="00CB5297">
        <w:trPr>
          <w:trHeight w:val="294"/>
          <w:jc w:val="center"/>
        </w:trPr>
        <w:tc>
          <w:tcPr>
            <w:tcW w:w="4625" w:type="dxa"/>
            <w:tcBorders>
              <w:top w:val="single" w:sz="4" w:space="0" w:color="auto"/>
              <w:left w:val="single" w:sz="4" w:space="0" w:color="auto"/>
              <w:bottom w:val="single" w:sz="4" w:space="0" w:color="auto"/>
              <w:right w:val="single" w:sz="4" w:space="0" w:color="auto"/>
            </w:tcBorders>
          </w:tcPr>
          <w:p w:rsidR="00AE465B" w:rsidRPr="00946ED1" w:rsidRDefault="00AE465B" w:rsidP="00CB5297">
            <w:pPr>
              <w:rPr>
                <w:rFonts w:ascii="Times New Roman" w:hAnsi="Times New Roman"/>
              </w:rPr>
            </w:pPr>
          </w:p>
        </w:tc>
        <w:tc>
          <w:tcPr>
            <w:tcW w:w="2351" w:type="dxa"/>
            <w:tcBorders>
              <w:top w:val="single" w:sz="4" w:space="0" w:color="auto"/>
              <w:left w:val="single" w:sz="4" w:space="0" w:color="auto"/>
              <w:bottom w:val="single" w:sz="4" w:space="0" w:color="auto"/>
              <w:right w:val="single" w:sz="4" w:space="0" w:color="auto"/>
            </w:tcBorders>
            <w:hideMark/>
          </w:tcPr>
          <w:p w:rsidR="00AE465B" w:rsidRPr="00946ED1" w:rsidRDefault="00AE465B" w:rsidP="00CB5297">
            <w:pPr>
              <w:jc w:val="center"/>
              <w:rPr>
                <w:rFonts w:ascii="Times New Roman" w:hAnsi="Times New Roman"/>
              </w:rPr>
            </w:pPr>
            <w:r w:rsidRPr="00946ED1">
              <w:rPr>
                <w:rFonts w:ascii="Times New Roman" w:hAnsi="Times New Roman"/>
              </w:rPr>
              <w:t>Normal Hours</w:t>
            </w:r>
          </w:p>
        </w:tc>
        <w:tc>
          <w:tcPr>
            <w:tcW w:w="2041" w:type="dxa"/>
            <w:tcBorders>
              <w:top w:val="single" w:sz="4" w:space="0" w:color="auto"/>
              <w:left w:val="single" w:sz="4" w:space="0" w:color="auto"/>
              <w:bottom w:val="single" w:sz="4" w:space="0" w:color="auto"/>
              <w:right w:val="single" w:sz="4" w:space="0" w:color="auto"/>
            </w:tcBorders>
          </w:tcPr>
          <w:p w:rsidR="00AE465B" w:rsidRPr="00946ED1" w:rsidRDefault="00AE465B" w:rsidP="00CB5297">
            <w:pPr>
              <w:jc w:val="center"/>
              <w:rPr>
                <w:rFonts w:ascii="Times New Roman" w:hAnsi="Times New Roman"/>
              </w:rPr>
            </w:pPr>
            <w:r w:rsidRPr="00946ED1">
              <w:rPr>
                <w:rFonts w:ascii="Times New Roman" w:hAnsi="Times New Roman"/>
              </w:rPr>
              <w:t>After Hours</w:t>
            </w:r>
          </w:p>
        </w:tc>
      </w:tr>
      <w:tr w:rsidR="00AE465B" w:rsidRPr="00946ED1" w:rsidTr="00CB5297">
        <w:trPr>
          <w:trHeight w:val="294"/>
          <w:jc w:val="center"/>
        </w:trPr>
        <w:tc>
          <w:tcPr>
            <w:tcW w:w="4625" w:type="dxa"/>
            <w:tcBorders>
              <w:top w:val="single" w:sz="4" w:space="0" w:color="auto"/>
              <w:left w:val="single" w:sz="4" w:space="0" w:color="auto"/>
              <w:bottom w:val="single" w:sz="4" w:space="0" w:color="auto"/>
              <w:right w:val="single" w:sz="4" w:space="0" w:color="auto"/>
            </w:tcBorders>
            <w:hideMark/>
          </w:tcPr>
          <w:p w:rsidR="00AE465B" w:rsidRPr="00946ED1" w:rsidRDefault="00AE465B" w:rsidP="00CB5297">
            <w:pPr>
              <w:rPr>
                <w:rFonts w:ascii="Times New Roman" w:hAnsi="Times New Roman"/>
              </w:rPr>
            </w:pPr>
            <w:r w:rsidRPr="00946ED1">
              <w:rPr>
                <w:rFonts w:ascii="Times New Roman" w:hAnsi="Times New Roman"/>
              </w:rPr>
              <w:t>Violation Reconnection Charge</w:t>
            </w:r>
          </w:p>
        </w:tc>
        <w:tc>
          <w:tcPr>
            <w:tcW w:w="2351" w:type="dxa"/>
            <w:tcBorders>
              <w:top w:val="single" w:sz="4" w:space="0" w:color="auto"/>
              <w:left w:val="single" w:sz="4" w:space="0" w:color="auto"/>
              <w:bottom w:val="single" w:sz="4" w:space="0" w:color="auto"/>
              <w:right w:val="single" w:sz="4" w:space="0" w:color="auto"/>
            </w:tcBorders>
            <w:hideMark/>
          </w:tcPr>
          <w:p w:rsidR="00AE465B" w:rsidRPr="00946ED1" w:rsidRDefault="00AE465B" w:rsidP="00CB5297">
            <w:pPr>
              <w:jc w:val="center"/>
              <w:rPr>
                <w:rFonts w:ascii="Times New Roman" w:hAnsi="Times New Roman"/>
              </w:rPr>
            </w:pPr>
            <w:r w:rsidRPr="00946ED1">
              <w:rPr>
                <w:rFonts w:ascii="Times New Roman" w:hAnsi="Times New Roman"/>
              </w:rPr>
              <w:t>$30.00</w:t>
            </w:r>
          </w:p>
        </w:tc>
        <w:tc>
          <w:tcPr>
            <w:tcW w:w="2041" w:type="dxa"/>
            <w:tcBorders>
              <w:top w:val="single" w:sz="4" w:space="0" w:color="auto"/>
              <w:left w:val="single" w:sz="4" w:space="0" w:color="auto"/>
              <w:bottom w:val="single" w:sz="4" w:space="0" w:color="auto"/>
              <w:right w:val="single" w:sz="4" w:space="0" w:color="auto"/>
            </w:tcBorders>
          </w:tcPr>
          <w:p w:rsidR="00AE465B" w:rsidRPr="00946ED1" w:rsidRDefault="00AE465B" w:rsidP="00CB5297">
            <w:pPr>
              <w:jc w:val="center"/>
              <w:rPr>
                <w:rFonts w:ascii="Times New Roman" w:hAnsi="Times New Roman"/>
              </w:rPr>
            </w:pPr>
            <w:r w:rsidRPr="00946ED1">
              <w:rPr>
                <w:rFonts w:ascii="Times New Roman" w:hAnsi="Times New Roman"/>
              </w:rPr>
              <w:t>$32.00</w:t>
            </w:r>
          </w:p>
        </w:tc>
      </w:tr>
      <w:tr w:rsidR="00AE465B" w:rsidRPr="00946ED1" w:rsidTr="00CB5297">
        <w:trPr>
          <w:trHeight w:val="294"/>
          <w:jc w:val="center"/>
        </w:trPr>
        <w:tc>
          <w:tcPr>
            <w:tcW w:w="4625" w:type="dxa"/>
            <w:tcBorders>
              <w:top w:val="single" w:sz="4" w:space="0" w:color="auto"/>
              <w:left w:val="single" w:sz="4" w:space="0" w:color="auto"/>
              <w:bottom w:val="single" w:sz="4" w:space="0" w:color="auto"/>
              <w:right w:val="single" w:sz="4" w:space="0" w:color="auto"/>
            </w:tcBorders>
            <w:hideMark/>
          </w:tcPr>
          <w:p w:rsidR="00AE465B" w:rsidRPr="00946ED1" w:rsidRDefault="00AE465B" w:rsidP="00CB5297">
            <w:pPr>
              <w:rPr>
                <w:rFonts w:ascii="Times New Roman" w:hAnsi="Times New Roman"/>
              </w:rPr>
            </w:pPr>
            <w:r w:rsidRPr="00946ED1">
              <w:rPr>
                <w:rFonts w:ascii="Times New Roman" w:hAnsi="Times New Roman"/>
              </w:rPr>
              <w:t>Premises Visit Charge</w:t>
            </w:r>
          </w:p>
        </w:tc>
        <w:tc>
          <w:tcPr>
            <w:tcW w:w="2351" w:type="dxa"/>
            <w:tcBorders>
              <w:top w:val="single" w:sz="4" w:space="0" w:color="auto"/>
              <w:left w:val="single" w:sz="4" w:space="0" w:color="auto"/>
              <w:bottom w:val="single" w:sz="4" w:space="0" w:color="auto"/>
              <w:right w:val="single" w:sz="4" w:space="0" w:color="auto"/>
            </w:tcBorders>
            <w:hideMark/>
          </w:tcPr>
          <w:p w:rsidR="00AE465B" w:rsidRPr="00946ED1" w:rsidRDefault="00AE465B" w:rsidP="00CB5297">
            <w:pPr>
              <w:jc w:val="center"/>
              <w:rPr>
                <w:rFonts w:ascii="Times New Roman" w:hAnsi="Times New Roman"/>
              </w:rPr>
            </w:pPr>
            <w:r w:rsidRPr="00946ED1">
              <w:rPr>
                <w:rFonts w:ascii="Times New Roman" w:hAnsi="Times New Roman"/>
              </w:rPr>
              <w:t>$34.00</w:t>
            </w:r>
          </w:p>
        </w:tc>
        <w:tc>
          <w:tcPr>
            <w:tcW w:w="2041" w:type="dxa"/>
            <w:tcBorders>
              <w:top w:val="single" w:sz="4" w:space="0" w:color="auto"/>
              <w:left w:val="single" w:sz="4" w:space="0" w:color="auto"/>
              <w:bottom w:val="single" w:sz="4" w:space="0" w:color="auto"/>
              <w:right w:val="single" w:sz="4" w:space="0" w:color="auto"/>
            </w:tcBorders>
          </w:tcPr>
          <w:p w:rsidR="00AE465B" w:rsidRPr="00946ED1" w:rsidRDefault="00AE465B" w:rsidP="00CB5297">
            <w:pPr>
              <w:jc w:val="center"/>
              <w:rPr>
                <w:rFonts w:ascii="Times New Roman" w:hAnsi="Times New Roman"/>
              </w:rPr>
            </w:pPr>
            <w:r w:rsidRPr="00946ED1">
              <w:rPr>
                <w:rFonts w:ascii="Times New Roman" w:hAnsi="Times New Roman"/>
              </w:rPr>
              <w:t>$38.00</w:t>
            </w:r>
          </w:p>
        </w:tc>
      </w:tr>
    </w:tbl>
    <w:p w:rsidR="00AE465B" w:rsidRPr="00946ED1" w:rsidRDefault="00AE465B" w:rsidP="00AE465B">
      <w:pPr>
        <w:rPr>
          <w:b/>
          <w:bCs/>
        </w:rPr>
      </w:pPr>
    </w:p>
    <w:p w:rsidR="00AE465B" w:rsidRPr="00B3716A" w:rsidRDefault="00AE465B" w:rsidP="00B3716A">
      <w:pPr>
        <w:pStyle w:val="ListParagraph"/>
        <w:numPr>
          <w:ilvl w:val="0"/>
          <w:numId w:val="9"/>
        </w:numPr>
        <w:jc w:val="both"/>
        <w:rPr>
          <w:bCs/>
        </w:rPr>
      </w:pPr>
      <w:r w:rsidRPr="00B3716A">
        <w:rPr>
          <w:bCs/>
        </w:rPr>
        <w:t>Conclusion</w:t>
      </w:r>
    </w:p>
    <w:p w:rsidR="00B3716A" w:rsidRDefault="00B3716A" w:rsidP="00946ED1">
      <w:pPr>
        <w:pStyle w:val="OrderBody"/>
        <w:ind w:firstLine="720"/>
      </w:pPr>
    </w:p>
    <w:p w:rsidR="00AE465B" w:rsidRPr="00946ED1" w:rsidRDefault="00AE465B" w:rsidP="00946ED1">
      <w:pPr>
        <w:pStyle w:val="OrderBody"/>
        <w:ind w:firstLine="720"/>
      </w:pPr>
      <w:r w:rsidRPr="00946ED1">
        <w:t xml:space="preserve">Based on the above, </w:t>
      </w:r>
      <w:r w:rsidR="00C86383">
        <w:t>t</w:t>
      </w:r>
      <w:r w:rsidRPr="00946ED1">
        <w:t xml:space="preserve">he miscellaneous service charges </w:t>
      </w:r>
      <w:r w:rsidR="00C86383">
        <w:t xml:space="preserve">shall </w:t>
      </w:r>
      <w:r w:rsidRPr="00946ED1">
        <w:t>be revised to conform to the recent amendment to Rule 25-30.460, F.A.C. The tariff sh</w:t>
      </w:r>
      <w:r w:rsidR="00C86383">
        <w:t>all</w:t>
      </w:r>
      <w:r w:rsidRPr="00946ED1">
        <w:t xml:space="preserve"> be revised to reflect the removal of initial connection and normal reconnection charges. CSWR-Neighborhood sh</w:t>
      </w:r>
      <w:r w:rsidR="00C86383">
        <w:t>all</w:t>
      </w:r>
      <w:r w:rsidRPr="00946ED1">
        <w:t xml:space="preserve"> file a proposed customer notice to reflect the </w:t>
      </w:r>
      <w:r w:rsidR="00C86383">
        <w:t xml:space="preserve">charges </w:t>
      </w:r>
      <w:r w:rsidRPr="00946ED1">
        <w:t xml:space="preserve">approved </w:t>
      </w:r>
      <w:r w:rsidR="00C86383">
        <w:t>herein</w:t>
      </w:r>
      <w:r w:rsidRPr="00946ED1">
        <w:t>. The approved charges sh</w:t>
      </w:r>
      <w:r w:rsidR="00C86383">
        <w:t>all</w:t>
      </w:r>
      <w:r w:rsidRPr="00946ED1">
        <w:t xml:space="preserve"> be effective on or after the stamped approval date on the tariff sheet pursuant to Rule 25-30.475(1), F.A.C. In addition, the approved charges sh</w:t>
      </w:r>
      <w:r w:rsidR="00C86383">
        <w:t>all</w:t>
      </w:r>
      <w:r w:rsidRPr="00946ED1">
        <w:t xml:space="preserve"> not be implemented until </w:t>
      </w:r>
      <w:r w:rsidR="00C86383">
        <w:t xml:space="preserve">our </w:t>
      </w:r>
      <w:r w:rsidRPr="00946ED1">
        <w:t>staff has approved the proposed customer notice and the notice has been received by customers. CSWR-Neighborhood sh</w:t>
      </w:r>
      <w:r w:rsidR="00C86383">
        <w:t>all</w:t>
      </w:r>
      <w:r w:rsidRPr="00946ED1">
        <w:t xml:space="preserve"> provide proof of the date notice was given within 10 days of the date of the notice. CSWR-Neighborhood sh</w:t>
      </w:r>
      <w:r w:rsidR="00C86383">
        <w:t>all</w:t>
      </w:r>
      <w:r w:rsidRPr="00946ED1">
        <w:t xml:space="preserve"> charge the approved miscellaneous service charges until authorized to change them by </w:t>
      </w:r>
      <w:r w:rsidR="00C86383">
        <w:t xml:space="preserve">us </w:t>
      </w:r>
      <w:r w:rsidRPr="00946ED1">
        <w:t>in a subsequent proceeding.</w:t>
      </w:r>
    </w:p>
    <w:p w:rsidR="00AE465B" w:rsidRPr="00946ED1" w:rsidRDefault="00AE465B" w:rsidP="00946ED1">
      <w:pPr>
        <w:pStyle w:val="OrderBody"/>
      </w:pPr>
    </w:p>
    <w:p w:rsidR="00B557EB" w:rsidRPr="00946ED1" w:rsidRDefault="00B557EB" w:rsidP="00946ED1">
      <w:pPr>
        <w:pStyle w:val="OrderBody"/>
      </w:pPr>
      <w:r w:rsidRPr="00946ED1">
        <w:tab/>
        <w:t>Based on the foregoing, it is</w:t>
      </w:r>
    </w:p>
    <w:p w:rsidR="00B557EB" w:rsidRPr="00946ED1" w:rsidRDefault="00B557EB" w:rsidP="00946ED1">
      <w:pPr>
        <w:pStyle w:val="OrderBody"/>
      </w:pPr>
    </w:p>
    <w:p w:rsidR="00946ED1" w:rsidRPr="00946ED1" w:rsidRDefault="00B557EB" w:rsidP="00B3716A">
      <w:pPr>
        <w:pStyle w:val="OrderBody"/>
        <w:rPr>
          <w:vanish/>
          <w:specVanish/>
        </w:rPr>
      </w:pPr>
      <w:r w:rsidRPr="00946ED1">
        <w:tab/>
        <w:t>ORDERED by the Florida Public Service Commission tha</w:t>
      </w:r>
      <w:r>
        <w:t>t</w:t>
      </w:r>
    </w:p>
    <w:p w:rsidR="006D79BF" w:rsidRDefault="00946ED1" w:rsidP="00B3716A">
      <w:pPr>
        <w:pStyle w:val="BodyText"/>
        <w:spacing w:after="0"/>
        <w:jc w:val="both"/>
      </w:pPr>
      <w:r w:rsidRPr="00946ED1">
        <w:t xml:space="preserve"> the transfer of Certificate No. 430-W in Duval County from </w:t>
      </w:r>
      <w:r w:rsidRPr="00946ED1">
        <w:rPr>
          <w:rFonts w:eastAsia="Calibri"/>
          <w:szCs w:val="22"/>
        </w:rPr>
        <w:t>Neighborhood Utilities, Inc.</w:t>
      </w:r>
      <w:r w:rsidRPr="00946ED1">
        <w:t xml:space="preserve"> to </w:t>
      </w:r>
      <w:r w:rsidRPr="00946ED1">
        <w:rPr>
          <w:rFonts w:eastAsia="Calibri"/>
          <w:szCs w:val="22"/>
        </w:rPr>
        <w:t>CSWR-Florida Utility Operating Company, LLC</w:t>
      </w:r>
      <w:r w:rsidRPr="00946ED1">
        <w:t xml:space="preserve"> </w:t>
      </w:r>
      <w:r w:rsidR="00B3716A">
        <w:t xml:space="preserve">is </w:t>
      </w:r>
      <w:r w:rsidRPr="00946ED1">
        <w:t xml:space="preserve">in the public interest and </w:t>
      </w:r>
      <w:r w:rsidR="006D79BF">
        <w:t xml:space="preserve">is hereby </w:t>
      </w:r>
      <w:r w:rsidRPr="00946ED1">
        <w:t>approved effective the date that the sale becomes final. The resultant Order sh</w:t>
      </w:r>
      <w:r w:rsidR="006D79BF">
        <w:t>all</w:t>
      </w:r>
      <w:r w:rsidRPr="00946ED1">
        <w:t xml:space="preserve"> serve as the Buyer’s certificate and sh</w:t>
      </w:r>
      <w:r w:rsidR="006D79BF">
        <w:t>all</w:t>
      </w:r>
      <w:r w:rsidRPr="00946ED1">
        <w:t xml:space="preserve"> be retained by the Buyer. </w:t>
      </w:r>
      <w:r w:rsidR="006D79BF">
        <w:t>It is further</w:t>
      </w:r>
    </w:p>
    <w:p w:rsidR="006D79BF" w:rsidRDefault="006D79BF" w:rsidP="006D79BF">
      <w:pPr>
        <w:pStyle w:val="BodyText"/>
        <w:spacing w:after="0"/>
        <w:ind w:firstLine="720"/>
        <w:jc w:val="both"/>
      </w:pPr>
      <w:r>
        <w:lastRenderedPageBreak/>
        <w:t>ORDERED that t</w:t>
      </w:r>
      <w:r w:rsidR="00946ED1" w:rsidRPr="00946ED1">
        <w:t>he Buyer sh</w:t>
      </w:r>
      <w:r>
        <w:t>all</w:t>
      </w:r>
      <w:r w:rsidR="00946ED1" w:rsidRPr="00946ED1">
        <w:t xml:space="preserve"> submit the executed and recorded deed for continued access to the land upon which its facilities are located and copies of its permit transfer applications to the Commission within 90 days of the Order approving the transfer, which is final agency action. If the sale is not finalized within 90 days of the resultant Order, the Buyer sh</w:t>
      </w:r>
      <w:r>
        <w:t>all</w:t>
      </w:r>
      <w:r w:rsidR="00946ED1" w:rsidRPr="00946ED1">
        <w:t xml:space="preserve"> file a status update in the docket file. </w:t>
      </w:r>
      <w:r>
        <w:t>It is further</w:t>
      </w:r>
    </w:p>
    <w:p w:rsidR="006D79BF" w:rsidRDefault="006D79BF" w:rsidP="006D79BF">
      <w:pPr>
        <w:pStyle w:val="BodyText"/>
        <w:spacing w:after="0"/>
        <w:ind w:firstLine="720"/>
        <w:jc w:val="both"/>
      </w:pPr>
    </w:p>
    <w:p w:rsidR="00946ED1" w:rsidRDefault="006D79BF" w:rsidP="006D79BF">
      <w:pPr>
        <w:pStyle w:val="BodyText"/>
        <w:spacing w:after="0"/>
        <w:ind w:firstLine="720"/>
        <w:jc w:val="both"/>
      </w:pPr>
      <w:r>
        <w:t>ORDERED that t</w:t>
      </w:r>
      <w:r w:rsidR="00946ED1" w:rsidRPr="00946ED1">
        <w:t>he Utility’s existing rates, late payment charge, service availability charges, non-sufficient funds charges, and initial customer deposits as shown on Schedule No. 2,</w:t>
      </w:r>
      <w:r>
        <w:t xml:space="preserve"> attached hereto,</w:t>
      </w:r>
      <w:r w:rsidR="00946ED1" w:rsidRPr="00946ED1">
        <w:t xml:space="preserve"> sh</w:t>
      </w:r>
      <w:r>
        <w:t>all</w:t>
      </w:r>
      <w:r w:rsidR="00946ED1" w:rsidRPr="00946ED1">
        <w:t xml:space="preserve"> remain in effect, until a change is authorized by this Commission in a subsequent proceeding. The tariff pages reflecting the transfer sh</w:t>
      </w:r>
      <w:r>
        <w:t>all</w:t>
      </w:r>
      <w:r w:rsidR="00946ED1" w:rsidRPr="00946ED1">
        <w:t xml:space="preserve"> be effective on or after the stamped approval date on the tariff sheets, pursuant to Rule 25-30.475(1), F.A.C. </w:t>
      </w:r>
      <w:r>
        <w:t>T</w:t>
      </w:r>
      <w:r w:rsidR="00946ED1" w:rsidRPr="00946ED1">
        <w:t>he Buyer sh</w:t>
      </w:r>
      <w:r>
        <w:t>all</w:t>
      </w:r>
      <w:r w:rsidR="00946ED1" w:rsidRPr="00946ED1">
        <w:t xml:space="preserve"> be responsible for filing annual reports and paying RAFs for all future years. </w:t>
      </w:r>
      <w:r>
        <w:t>It is further</w:t>
      </w:r>
    </w:p>
    <w:p w:rsidR="006D79BF" w:rsidRDefault="006D79BF" w:rsidP="006D79BF">
      <w:pPr>
        <w:pStyle w:val="BodyText"/>
        <w:spacing w:after="0"/>
        <w:ind w:firstLine="720"/>
        <w:jc w:val="both"/>
      </w:pPr>
    </w:p>
    <w:p w:rsidR="00946ED1" w:rsidRPr="00946ED1" w:rsidRDefault="006D79BF" w:rsidP="006D79BF">
      <w:pPr>
        <w:pStyle w:val="BodyText"/>
        <w:spacing w:after="0"/>
        <w:ind w:firstLine="720"/>
        <w:jc w:val="both"/>
      </w:pPr>
      <w:r>
        <w:t>ORDERED that f</w:t>
      </w:r>
      <w:r w:rsidR="00946ED1" w:rsidRPr="00946ED1">
        <w:t>or transfer purposes, the net book value of the water system is $60,063 as of January 31, 2022. Within 90 days of the date of the consummating order, CSWR-Neighborhood sh</w:t>
      </w:r>
      <w:r>
        <w:t>all</w:t>
      </w:r>
      <w:r w:rsidR="00946ED1" w:rsidRPr="00946ED1">
        <w:t xml:space="preserve"> notify </w:t>
      </w:r>
      <w:r>
        <w:t>us t</w:t>
      </w:r>
      <w:r w:rsidR="00946ED1" w:rsidRPr="00946ED1">
        <w:t xml:space="preserve">hat it has adjusted its books in accordance with </w:t>
      </w:r>
      <w:r>
        <w:t xml:space="preserve">our </w:t>
      </w:r>
      <w:r w:rsidR="00946ED1" w:rsidRPr="00946ED1">
        <w:t>decision. The adjustments sh</w:t>
      </w:r>
      <w:r w:rsidR="00DC5C68">
        <w:t>all</w:t>
      </w:r>
      <w:r w:rsidR="00946ED1" w:rsidRPr="00946ED1">
        <w:t xml:space="preserve"> be reflected in the Utility’s 2022 Annual Report when filed. </w:t>
      </w:r>
      <w:r>
        <w:t>It is further</w:t>
      </w:r>
    </w:p>
    <w:p w:rsidR="00946ED1" w:rsidRDefault="00946ED1" w:rsidP="00946ED1">
      <w:pPr>
        <w:pStyle w:val="OrderBody"/>
      </w:pPr>
    </w:p>
    <w:p w:rsidR="00946ED1" w:rsidRPr="00946ED1" w:rsidRDefault="006D79BF" w:rsidP="006D79BF">
      <w:pPr>
        <w:pStyle w:val="OrderBody"/>
        <w:rPr>
          <w:vanish/>
          <w:specVanish/>
        </w:rPr>
      </w:pPr>
      <w:r>
        <w:tab/>
        <w:t xml:space="preserve">ORDERED that </w:t>
      </w:r>
    </w:p>
    <w:p w:rsidR="00946ED1" w:rsidRDefault="00946ED1" w:rsidP="00946ED1">
      <w:pPr>
        <w:pStyle w:val="OrderBody"/>
      </w:pPr>
      <w:r w:rsidRPr="00946ED1">
        <w:t xml:space="preserve">a positive acquisition adjustment </w:t>
      </w:r>
      <w:r w:rsidR="006D79BF">
        <w:t xml:space="preserve">shall not </w:t>
      </w:r>
      <w:r w:rsidRPr="00946ED1">
        <w:t>be granted as the Buyer failed to demonstrate extraordinary circumstances.</w:t>
      </w:r>
      <w:r w:rsidR="006D79BF">
        <w:t xml:space="preserve"> It is further</w:t>
      </w:r>
    </w:p>
    <w:p w:rsidR="004973A7" w:rsidRDefault="004973A7" w:rsidP="00946ED1">
      <w:pPr>
        <w:pStyle w:val="OrderBody"/>
      </w:pPr>
    </w:p>
    <w:p w:rsidR="004973A7" w:rsidRDefault="006D79BF" w:rsidP="00DC5C68">
      <w:pPr>
        <w:pStyle w:val="OrderBody"/>
      </w:pPr>
      <w:r>
        <w:tab/>
        <w:t xml:space="preserve">ORDERED that </w:t>
      </w:r>
      <w:r w:rsidR="004973A7" w:rsidRPr="00946ED1">
        <w:t xml:space="preserve">CSWR-Florida Utility Operating Company, LLC’s miscellaneous service charges </w:t>
      </w:r>
      <w:r w:rsidR="007C41DD">
        <w:t xml:space="preserve">shall </w:t>
      </w:r>
      <w:r w:rsidR="004973A7" w:rsidRPr="00946ED1">
        <w:t>be revised to conform to</w:t>
      </w:r>
      <w:r w:rsidR="00DC5C68">
        <w:t xml:space="preserve"> amended Rule 25-30.460, F.A.C. </w:t>
      </w:r>
      <w:r w:rsidR="004973A7" w:rsidRPr="00946ED1">
        <w:t>The tariff sh</w:t>
      </w:r>
      <w:r w:rsidR="00DC5C68">
        <w:t>all</w:t>
      </w:r>
      <w:r w:rsidR="004973A7" w:rsidRPr="00946ED1">
        <w:t xml:space="preserve"> be revised to reflect the removal of initial connection and normal reconnection charges. CSWR-Neighborhood sh</w:t>
      </w:r>
      <w:r w:rsidR="00DC5C68">
        <w:t>all</w:t>
      </w:r>
      <w:r w:rsidR="004973A7" w:rsidRPr="00946ED1">
        <w:t xml:space="preserve"> file a proposed customer notice to reflect the charges</w:t>
      </w:r>
      <w:r w:rsidR="00DC5C68">
        <w:t xml:space="preserve"> approved herein</w:t>
      </w:r>
      <w:r w:rsidR="004973A7" w:rsidRPr="00946ED1">
        <w:t>. The approved charges sh</w:t>
      </w:r>
      <w:r w:rsidR="00DC5C68">
        <w:t>all</w:t>
      </w:r>
      <w:r w:rsidR="004973A7" w:rsidRPr="00946ED1">
        <w:t xml:space="preserve"> be effective on or after the stamped approval date on the tariff sheet pursuant to Rule 25-30.475(1), F.A.C. In addition, the approved charges sh</w:t>
      </w:r>
      <w:r w:rsidR="00DC5C68">
        <w:t>all</w:t>
      </w:r>
      <w:r w:rsidR="004973A7" w:rsidRPr="00946ED1">
        <w:t xml:space="preserve"> not be implemented until </w:t>
      </w:r>
      <w:r w:rsidR="00DC5C68">
        <w:t xml:space="preserve">Commission </w:t>
      </w:r>
      <w:r w:rsidR="004973A7" w:rsidRPr="00946ED1">
        <w:t>staff has approved the proposed customer notice and the notice has been received by customers. CSWR-Neighborhood sh</w:t>
      </w:r>
      <w:r w:rsidR="00DC5C68">
        <w:t>all</w:t>
      </w:r>
      <w:r w:rsidR="004973A7" w:rsidRPr="00946ED1">
        <w:t xml:space="preserve"> provide proof of the date notice was given within 10 days of the date of the notice. CSWR-Neighborhood sh</w:t>
      </w:r>
      <w:r w:rsidR="00DC5C68">
        <w:t>all</w:t>
      </w:r>
      <w:r w:rsidR="004973A7" w:rsidRPr="00946ED1">
        <w:t xml:space="preserve"> charge the approved miscellaneous service charges until authorized to change them by </w:t>
      </w:r>
      <w:r w:rsidR="00DC5C68">
        <w:t>us</w:t>
      </w:r>
      <w:r w:rsidR="004973A7" w:rsidRPr="00946ED1">
        <w:t xml:space="preserve"> in a subsequent proceeding. </w:t>
      </w:r>
      <w:r w:rsidR="00DC5C68">
        <w:t>It is further</w:t>
      </w:r>
    </w:p>
    <w:p w:rsidR="00DC5C68" w:rsidRPr="00946ED1" w:rsidRDefault="00DC5C68" w:rsidP="00DC5C68">
      <w:pPr>
        <w:pStyle w:val="OrderBody"/>
      </w:pPr>
    </w:p>
    <w:p w:rsidR="004973A7" w:rsidRDefault="00DC5C68" w:rsidP="00DC5C68">
      <w:pPr>
        <w:pStyle w:val="OrderBody"/>
        <w:ind w:firstLine="720"/>
      </w:pPr>
      <w:r>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DC5C68" w:rsidRDefault="00DC5C68" w:rsidP="00DC5C68">
      <w:pPr>
        <w:pStyle w:val="OrderBody"/>
        <w:ind w:firstLine="720"/>
      </w:pPr>
    </w:p>
    <w:p w:rsidR="004973A7" w:rsidRPr="00946ED1" w:rsidRDefault="00DC5C68" w:rsidP="00DC5C68">
      <w:pPr>
        <w:pStyle w:val="OrderBody"/>
        <w:rPr>
          <w:vanish/>
          <w:specVanish/>
        </w:rPr>
      </w:pPr>
      <w:r>
        <w:tab/>
        <w:t xml:space="preserve">ORDERED </w:t>
      </w:r>
    </w:p>
    <w:p w:rsidR="004973A7" w:rsidRPr="00946ED1" w:rsidRDefault="00DC5C68" w:rsidP="004973A7">
      <w:pPr>
        <w:pStyle w:val="BodyText"/>
        <w:spacing w:after="0"/>
        <w:jc w:val="both"/>
      </w:pPr>
      <w:r>
        <w:t>that if</w:t>
      </w:r>
      <w:r w:rsidR="004973A7" w:rsidRPr="00946ED1">
        <w:t xml:space="preserve"> no protest to the proposed agency action is filed by a substantially affected person within 21 days of the date of the issuance of the order, a consummating order sh</w:t>
      </w:r>
      <w:r w:rsidR="00C602D7">
        <w:t>all</w:t>
      </w:r>
      <w:r w:rsidR="004973A7" w:rsidRPr="00946ED1">
        <w:t xml:space="preserve"> be issued and the docket </w:t>
      </w:r>
      <w:r w:rsidR="00EC7ECE">
        <w:t xml:space="preserve">shall </w:t>
      </w:r>
      <w:r w:rsidR="004973A7" w:rsidRPr="00946ED1">
        <w:t>be closed administratively upon Commission staff’s verification that</w:t>
      </w:r>
      <w:r w:rsidR="00EC7ECE">
        <w:t>: (1)</w:t>
      </w:r>
      <w:r w:rsidR="004973A7" w:rsidRPr="00946ED1">
        <w:t xml:space="preserve"> the revised tariff sheets have been filed, </w:t>
      </w:r>
      <w:r w:rsidR="00EC7ECE">
        <w:t xml:space="preserve">(2) </w:t>
      </w:r>
      <w:r w:rsidR="004973A7" w:rsidRPr="00946ED1">
        <w:t xml:space="preserve">the Buyer has notified the Commission in writing that it has adjusted its books in accordance with </w:t>
      </w:r>
      <w:r w:rsidR="00EC7ECE">
        <w:t xml:space="preserve">our </w:t>
      </w:r>
      <w:r w:rsidR="004973A7" w:rsidRPr="00946ED1">
        <w:t xml:space="preserve">decision, </w:t>
      </w:r>
      <w:r w:rsidR="00EC7ECE">
        <w:t xml:space="preserve">(3) the </w:t>
      </w:r>
      <w:r w:rsidR="00EC7ECE">
        <w:lastRenderedPageBreak/>
        <w:t xml:space="preserve">Buyer has provided </w:t>
      </w:r>
      <w:r w:rsidR="004973A7" w:rsidRPr="00946ED1">
        <w:t xml:space="preserve">proof that appropriate noticing has been done pursuant to Rule 25-30.4345, F.A.C., and </w:t>
      </w:r>
      <w:r w:rsidR="00EC7ECE">
        <w:t xml:space="preserve">(4) </w:t>
      </w:r>
      <w:r w:rsidR="004973A7" w:rsidRPr="00946ED1">
        <w:t xml:space="preserve">the Buyer has submitted the executed and recorded warranty deed and submitted a copy of its application for permit transfer to the DEP within 90 days of </w:t>
      </w:r>
      <w:r w:rsidR="00EC7ECE">
        <w:t xml:space="preserve">our final </w:t>
      </w:r>
      <w:r w:rsidR="004973A7" w:rsidRPr="00946ED1">
        <w:t>Order approving the transfer.</w:t>
      </w:r>
    </w:p>
    <w:p w:rsidR="004973A7" w:rsidRPr="00946ED1" w:rsidRDefault="004973A7" w:rsidP="004973A7">
      <w:pPr>
        <w:pStyle w:val="BodyText"/>
        <w:spacing w:after="0"/>
        <w:jc w:val="both"/>
      </w:pPr>
    </w:p>
    <w:p w:rsidR="008B7B86" w:rsidRDefault="008B7B86" w:rsidP="008B7B86">
      <w:pPr>
        <w:pStyle w:val="OrderBody"/>
        <w:keepNext/>
        <w:keepLines/>
      </w:pPr>
      <w:r>
        <w:tab/>
        <w:t xml:space="preserve">By ORDER of the Florida Public Service Commission this </w:t>
      </w:r>
      <w:bookmarkStart w:id="7" w:name="replaceDate"/>
      <w:bookmarkEnd w:id="7"/>
      <w:r w:rsidR="002506F9">
        <w:rPr>
          <w:u w:val="single"/>
        </w:rPr>
        <w:t>25th</w:t>
      </w:r>
      <w:r w:rsidR="002506F9">
        <w:t xml:space="preserve"> day of </w:t>
      </w:r>
      <w:r w:rsidR="002506F9">
        <w:rPr>
          <w:u w:val="single"/>
        </w:rPr>
        <w:t>October</w:t>
      </w:r>
      <w:r w:rsidR="002506F9">
        <w:t xml:space="preserve">, </w:t>
      </w:r>
      <w:r w:rsidR="002506F9">
        <w:rPr>
          <w:u w:val="single"/>
        </w:rPr>
        <w:t>2022</w:t>
      </w:r>
      <w:r w:rsidR="002506F9">
        <w:t>.</w:t>
      </w:r>
    </w:p>
    <w:p w:rsidR="002506F9" w:rsidRPr="002506F9" w:rsidRDefault="002506F9" w:rsidP="008B7B86">
      <w:pPr>
        <w:pStyle w:val="OrderBody"/>
        <w:keepNext/>
        <w:keepLines/>
      </w:pPr>
    </w:p>
    <w:p w:rsidR="008B7B86" w:rsidRDefault="008B7B86" w:rsidP="008B7B86">
      <w:pPr>
        <w:pStyle w:val="OrderBody"/>
        <w:keepNext/>
        <w:keepLines/>
      </w:pPr>
    </w:p>
    <w:p w:rsidR="008B7B86" w:rsidRDefault="008B7B86" w:rsidP="008B7B86">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8B7B86" w:rsidTr="008B7B86">
        <w:tc>
          <w:tcPr>
            <w:tcW w:w="720" w:type="dxa"/>
            <w:shd w:val="clear" w:color="auto" w:fill="auto"/>
          </w:tcPr>
          <w:p w:rsidR="008B7B86" w:rsidRDefault="008B7B86" w:rsidP="008B7B86">
            <w:pPr>
              <w:pStyle w:val="OrderBody"/>
              <w:keepNext/>
              <w:keepLines/>
            </w:pPr>
            <w:bookmarkStart w:id="8" w:name="bkmrkSignature" w:colFirst="0" w:colLast="0"/>
          </w:p>
        </w:tc>
        <w:tc>
          <w:tcPr>
            <w:tcW w:w="4320" w:type="dxa"/>
            <w:tcBorders>
              <w:bottom w:val="single" w:sz="4" w:space="0" w:color="auto"/>
            </w:tcBorders>
            <w:shd w:val="clear" w:color="auto" w:fill="auto"/>
          </w:tcPr>
          <w:p w:rsidR="008B7B86" w:rsidRDefault="00D912DE" w:rsidP="008B7B86">
            <w:pPr>
              <w:pStyle w:val="OrderBody"/>
              <w:keepNext/>
              <w:keepLines/>
            </w:pPr>
            <w:r>
              <w:t>/s/ Adam J. Teitzman</w:t>
            </w:r>
            <w:bookmarkStart w:id="9" w:name="_GoBack"/>
            <w:bookmarkEnd w:id="9"/>
          </w:p>
        </w:tc>
      </w:tr>
      <w:bookmarkEnd w:id="8"/>
      <w:tr w:rsidR="008B7B86" w:rsidTr="008B7B86">
        <w:tc>
          <w:tcPr>
            <w:tcW w:w="720" w:type="dxa"/>
            <w:shd w:val="clear" w:color="auto" w:fill="auto"/>
          </w:tcPr>
          <w:p w:rsidR="008B7B86" w:rsidRDefault="008B7B86" w:rsidP="008B7B86">
            <w:pPr>
              <w:pStyle w:val="OrderBody"/>
              <w:keepNext/>
              <w:keepLines/>
            </w:pPr>
          </w:p>
        </w:tc>
        <w:tc>
          <w:tcPr>
            <w:tcW w:w="4320" w:type="dxa"/>
            <w:tcBorders>
              <w:top w:val="single" w:sz="4" w:space="0" w:color="auto"/>
            </w:tcBorders>
            <w:shd w:val="clear" w:color="auto" w:fill="auto"/>
          </w:tcPr>
          <w:p w:rsidR="008B7B86" w:rsidRDefault="008B7B86" w:rsidP="008B7B86">
            <w:pPr>
              <w:pStyle w:val="OrderBody"/>
              <w:keepNext/>
              <w:keepLines/>
            </w:pPr>
            <w:r>
              <w:t>ADAM J. TEITZMAN</w:t>
            </w:r>
          </w:p>
          <w:p w:rsidR="008B7B86" w:rsidRDefault="008B7B86" w:rsidP="008B7B86">
            <w:pPr>
              <w:pStyle w:val="OrderBody"/>
              <w:keepNext/>
              <w:keepLines/>
            </w:pPr>
            <w:r>
              <w:t>Commission Clerk</w:t>
            </w:r>
          </w:p>
        </w:tc>
      </w:tr>
    </w:tbl>
    <w:p w:rsidR="008B7B86" w:rsidRDefault="008B7B86" w:rsidP="008B7B86">
      <w:pPr>
        <w:pStyle w:val="OrderSigInfo"/>
        <w:keepNext/>
        <w:keepLines/>
      </w:pPr>
      <w:r>
        <w:t>Florida Public Service Commission</w:t>
      </w:r>
    </w:p>
    <w:p w:rsidR="008B7B86" w:rsidRDefault="008B7B86" w:rsidP="008B7B86">
      <w:pPr>
        <w:pStyle w:val="OrderSigInfo"/>
        <w:keepNext/>
        <w:keepLines/>
      </w:pPr>
      <w:r>
        <w:t>2540 Shumard Oak Boulevard</w:t>
      </w:r>
    </w:p>
    <w:p w:rsidR="008B7B86" w:rsidRDefault="008B7B86" w:rsidP="008B7B86">
      <w:pPr>
        <w:pStyle w:val="OrderSigInfo"/>
        <w:keepNext/>
        <w:keepLines/>
      </w:pPr>
      <w:r>
        <w:t>Tallahassee, Florida 32399</w:t>
      </w:r>
    </w:p>
    <w:p w:rsidR="008B7B86" w:rsidRDefault="008B7B86" w:rsidP="008B7B86">
      <w:pPr>
        <w:pStyle w:val="OrderSigInfo"/>
        <w:keepNext/>
        <w:keepLines/>
      </w:pPr>
      <w:r>
        <w:t>(850) 413</w:t>
      </w:r>
      <w:r>
        <w:noBreakHyphen/>
        <w:t>6770</w:t>
      </w:r>
    </w:p>
    <w:p w:rsidR="008B7B86" w:rsidRDefault="008B7B86" w:rsidP="008B7B86">
      <w:pPr>
        <w:pStyle w:val="OrderSigInfo"/>
        <w:keepNext/>
        <w:keepLines/>
      </w:pPr>
      <w:r>
        <w:t>www.floridapsc.com</w:t>
      </w:r>
    </w:p>
    <w:p w:rsidR="008B7B86" w:rsidRDefault="008B7B86" w:rsidP="008B7B86">
      <w:pPr>
        <w:pStyle w:val="OrderSigInfo"/>
        <w:keepNext/>
        <w:keepLines/>
      </w:pPr>
    </w:p>
    <w:p w:rsidR="008B7B86" w:rsidRDefault="008B7B86" w:rsidP="008B7B86">
      <w:pPr>
        <w:pStyle w:val="OrderSigInfo"/>
        <w:keepNext/>
        <w:keepLines/>
      </w:pPr>
      <w:r>
        <w:t>Copies furnished:  A copy of this document is provided to the parties of record at the time of issuance and, if applicable, interested persons.</w:t>
      </w:r>
    </w:p>
    <w:p w:rsidR="008B7B86" w:rsidRDefault="008B7B86" w:rsidP="008B7B86">
      <w:pPr>
        <w:pStyle w:val="OrderBody"/>
        <w:keepNext/>
        <w:keepLines/>
      </w:pPr>
    </w:p>
    <w:p w:rsidR="008B7B86" w:rsidRDefault="008B7B86" w:rsidP="008B7B86">
      <w:pPr>
        <w:pStyle w:val="OrderBody"/>
        <w:keepNext/>
        <w:keepLines/>
      </w:pPr>
    </w:p>
    <w:p w:rsidR="008B7B86" w:rsidRDefault="008B7B86" w:rsidP="008B7B86">
      <w:pPr>
        <w:pStyle w:val="OrderBody"/>
        <w:keepNext/>
        <w:keepLines/>
      </w:pPr>
      <w:r>
        <w:t>JSC</w:t>
      </w:r>
    </w:p>
    <w:p w:rsidR="008B7B86" w:rsidRDefault="008B7B86" w:rsidP="008B7B86">
      <w:pPr>
        <w:pStyle w:val="OrderBody"/>
      </w:pPr>
    </w:p>
    <w:p w:rsidR="008B7B86" w:rsidRDefault="008B7B86" w:rsidP="008B7B86">
      <w:pPr>
        <w:pStyle w:val="OrderBody"/>
      </w:pPr>
    </w:p>
    <w:p w:rsidR="008B7B86" w:rsidRDefault="008B7B86" w:rsidP="008B7B86">
      <w:pPr>
        <w:pStyle w:val="OrderBody"/>
      </w:pPr>
    </w:p>
    <w:p w:rsidR="008B7B86" w:rsidRDefault="008B7B86" w:rsidP="008B7B86">
      <w:pPr>
        <w:pStyle w:val="OrderBody"/>
      </w:pPr>
    </w:p>
    <w:p w:rsidR="00946ED1" w:rsidRDefault="00946ED1">
      <w:pPr>
        <w:rPr>
          <w:u w:val="single"/>
        </w:rPr>
      </w:pPr>
      <w:r>
        <w:br w:type="page"/>
      </w:r>
    </w:p>
    <w:p w:rsidR="008B7B86" w:rsidRDefault="008B7B86" w:rsidP="008B7B86">
      <w:pPr>
        <w:pStyle w:val="CenterUnderline"/>
      </w:pPr>
      <w:r>
        <w:lastRenderedPageBreak/>
        <w:t>NOTICE OF FURTHER PROCEEDINGS OR JUDICIAL REVIEW</w:t>
      </w:r>
    </w:p>
    <w:p w:rsidR="00B557EB" w:rsidRDefault="00B557EB" w:rsidP="008B7B86">
      <w:pPr>
        <w:pStyle w:val="CenterUnderline"/>
      </w:pPr>
    </w:p>
    <w:p w:rsidR="008B7B86" w:rsidRDefault="008B7B86" w:rsidP="008B7B8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B7B86" w:rsidRDefault="008B7B86" w:rsidP="008B7B86">
      <w:pPr>
        <w:pStyle w:val="OrderBody"/>
      </w:pPr>
    </w:p>
    <w:p w:rsidR="008B7B86" w:rsidRDefault="008B7B86" w:rsidP="008B7B86">
      <w:pPr>
        <w:pStyle w:val="OrderBody"/>
      </w:pPr>
      <w:r>
        <w:tab/>
        <w:t xml:space="preserve">As identified in the body of this order, our action </w:t>
      </w:r>
      <w:r w:rsidR="00946ED1">
        <w:t>establishing net book value, denying a positive acquisition adjustment, and revising miscellaneous service charges</w:t>
      </w:r>
      <w:r>
        <w:t xml:space="preserve">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at 2540 Shumard Oak Boulevard, Tallahassee, Florida 32399-0850, by the close of business on </w:t>
      </w:r>
      <w:r w:rsidR="002506F9">
        <w:rPr>
          <w:u w:val="single"/>
        </w:rPr>
        <w:t>November 15, 2022</w:t>
      </w:r>
      <w:r>
        <w:t>.  If such a petition is filed, mediation may be available on a case-by-case basis.  If mediation is conducted, it does not affect a substantially interested person's right to a hearing.  In the absence of such a petition, this order shall become effective and final upon the issuance of a Consummating Order.</w:t>
      </w:r>
    </w:p>
    <w:p w:rsidR="008B7B86" w:rsidRDefault="008B7B86" w:rsidP="008B7B86">
      <w:pPr>
        <w:pStyle w:val="OrderBody"/>
      </w:pPr>
    </w:p>
    <w:p w:rsidR="008B7B86" w:rsidRDefault="008B7B86" w:rsidP="008B7B86">
      <w:pPr>
        <w:pStyle w:val="OrderBody"/>
      </w:pPr>
      <w:r>
        <w:tab/>
        <w:t>Any objection or protest filed in this docket before the issuance date of this order is considered abandoned unless it satisfies the foregoing conditions and is renewed within the specified protest period.</w:t>
      </w:r>
    </w:p>
    <w:p w:rsidR="008B7B86" w:rsidRDefault="008B7B86" w:rsidP="008B7B86">
      <w:pPr>
        <w:pStyle w:val="OrderBody"/>
      </w:pPr>
    </w:p>
    <w:p w:rsidR="008B7B86" w:rsidRDefault="008B7B86" w:rsidP="008B7B86">
      <w:pPr>
        <w:pStyle w:val="OrderBody"/>
      </w:pPr>
      <w:r>
        <w:tab/>
        <w:t>Any party adversely affected by the Commission's final action in this matter may request: (1) reconsideration of the decision by filing a motion for reconsideration with the Office of Commission Clerk,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8B7B86" w:rsidRDefault="008B7B86" w:rsidP="008B7B86">
      <w:pPr>
        <w:pStyle w:val="OrderBody"/>
      </w:pPr>
    </w:p>
    <w:p w:rsidR="008B7B86" w:rsidRDefault="008B7B86" w:rsidP="008B7B86">
      <w:pPr>
        <w:pStyle w:val="OrderBody"/>
      </w:pPr>
    </w:p>
    <w:p w:rsidR="008B7B86" w:rsidRDefault="008B7B86" w:rsidP="008B7B86">
      <w:pPr>
        <w:pStyle w:val="OrderBody"/>
        <w:sectPr w:rsidR="008B7B86">
          <w:headerReference w:type="default" r:id="rId7"/>
          <w:footerReference w:type="first" r:id="rId8"/>
          <w:pgSz w:w="12240" w:h="15840" w:code="1"/>
          <w:pgMar w:top="1440" w:right="1440" w:bottom="1440" w:left="1440" w:header="720" w:footer="720" w:gutter="0"/>
          <w:cols w:space="720"/>
          <w:titlePg/>
          <w:docGrid w:linePitch="360"/>
        </w:sectPr>
      </w:pPr>
    </w:p>
    <w:p w:rsidR="008B7B86" w:rsidRDefault="008B7B86" w:rsidP="008B7B86">
      <w:pPr>
        <w:pStyle w:val="OrderBody"/>
        <w:sectPr w:rsidR="008B7B86">
          <w:headerReference w:type="first" r:id="rId9"/>
          <w:pgSz w:w="12240" w:h="15840" w:code="1"/>
          <w:pgMar w:top="1440" w:right="1440" w:bottom="1440" w:left="1440" w:header="720" w:footer="720" w:gutter="0"/>
          <w:cols w:space="720"/>
          <w:titlePg/>
          <w:docGrid w:linePitch="360"/>
        </w:sectPr>
      </w:pPr>
      <w:r>
        <w:rPr>
          <w:noProof/>
        </w:rPr>
        <w:lastRenderedPageBreak/>
        <w:drawing>
          <wp:inline distT="0" distB="0" distL="0" distR="0" wp14:anchorId="56F3197B" wp14:editId="472555CE">
            <wp:extent cx="5943600" cy="774128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7741285"/>
                    </a:xfrm>
                    <a:prstGeom prst="rect">
                      <a:avLst/>
                    </a:prstGeom>
                  </pic:spPr>
                </pic:pic>
              </a:graphicData>
            </a:graphic>
          </wp:inline>
        </w:drawing>
      </w:r>
    </w:p>
    <w:p w:rsidR="008B7B86" w:rsidRDefault="008B7B86" w:rsidP="008B7B86">
      <w:pPr>
        <w:pStyle w:val="OrderBody"/>
        <w:sectPr w:rsidR="008B7B86">
          <w:headerReference w:type="first" r:id="rId11"/>
          <w:pgSz w:w="12240" w:h="15840" w:code="1"/>
          <w:pgMar w:top="1440" w:right="1440" w:bottom="1440" w:left="1440" w:header="720" w:footer="720" w:gutter="0"/>
          <w:cols w:space="720"/>
          <w:titlePg/>
          <w:docGrid w:linePitch="360"/>
        </w:sectPr>
      </w:pPr>
      <w:r>
        <w:rPr>
          <w:noProof/>
        </w:rPr>
        <w:lastRenderedPageBreak/>
        <w:drawing>
          <wp:inline distT="0" distB="0" distL="0" distR="0" wp14:anchorId="6CEA960E" wp14:editId="7E8B9A48">
            <wp:extent cx="5943600" cy="7741285"/>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7741285"/>
                    </a:xfrm>
                    <a:prstGeom prst="rect">
                      <a:avLst/>
                    </a:prstGeom>
                  </pic:spPr>
                </pic:pic>
              </a:graphicData>
            </a:graphic>
          </wp:inline>
        </w:drawing>
      </w:r>
    </w:p>
    <w:p w:rsidR="009807F4" w:rsidRDefault="009807F4" w:rsidP="009807F4">
      <w:pPr>
        <w:pStyle w:val="BodyText"/>
        <w:spacing w:after="0"/>
        <w:jc w:val="center"/>
        <w:rPr>
          <w:b/>
        </w:rPr>
      </w:pPr>
      <w:smartTag w:uri="urn:schemas-microsoft-com:office:smarttags" w:element="State">
        <w:smartTag w:uri="urn:schemas-microsoft-com:office:smarttags" w:element="place">
          <w:r>
            <w:rPr>
              <w:b/>
            </w:rPr>
            <w:lastRenderedPageBreak/>
            <w:t>FLORIDA</w:t>
          </w:r>
        </w:smartTag>
      </w:smartTag>
      <w:r>
        <w:rPr>
          <w:b/>
        </w:rPr>
        <w:t xml:space="preserve"> PUBLIC SERVICE COMMISSION</w:t>
      </w:r>
    </w:p>
    <w:p w:rsidR="009807F4" w:rsidRDefault="009807F4" w:rsidP="009807F4">
      <w:pPr>
        <w:jc w:val="center"/>
        <w:rPr>
          <w:b/>
        </w:rPr>
      </w:pPr>
      <w:r>
        <w:rPr>
          <w:b/>
        </w:rPr>
        <w:t>authorizes</w:t>
      </w:r>
    </w:p>
    <w:p w:rsidR="009807F4" w:rsidRDefault="009807F4" w:rsidP="009807F4">
      <w:pPr>
        <w:jc w:val="center"/>
        <w:rPr>
          <w:b/>
        </w:rPr>
      </w:pPr>
      <w:r>
        <w:rPr>
          <w:b/>
        </w:rPr>
        <w:t>Neighborhood Utilities, Inc.</w:t>
      </w:r>
    </w:p>
    <w:p w:rsidR="009807F4" w:rsidRDefault="009807F4" w:rsidP="009807F4">
      <w:pPr>
        <w:jc w:val="center"/>
        <w:rPr>
          <w:b/>
        </w:rPr>
      </w:pPr>
      <w:r>
        <w:rPr>
          <w:b/>
        </w:rPr>
        <w:t xml:space="preserve">pursuant to </w:t>
      </w:r>
    </w:p>
    <w:p w:rsidR="009807F4" w:rsidRDefault="009807F4" w:rsidP="009807F4">
      <w:pPr>
        <w:jc w:val="center"/>
        <w:rPr>
          <w:b/>
        </w:rPr>
      </w:pPr>
      <w:r>
        <w:rPr>
          <w:b/>
        </w:rPr>
        <w:t>Certificate Number 430-W</w:t>
      </w:r>
    </w:p>
    <w:p w:rsidR="009807F4" w:rsidRDefault="009807F4" w:rsidP="009807F4">
      <w:pPr>
        <w:jc w:val="center"/>
        <w:rPr>
          <w:b/>
        </w:rPr>
      </w:pPr>
    </w:p>
    <w:p w:rsidR="009807F4" w:rsidRDefault="009807F4" w:rsidP="009807F4">
      <w:pPr>
        <w:jc w:val="both"/>
      </w:pPr>
      <w:r>
        <w:t xml:space="preserve">to provide water service in Duval County in accordance with the provisions of Chapter 367, Florida Statutes, and the Rules, Regulations, and Orders of this Commission in the territory described by the Orders of this Commission.  This authorization shall remain in force and effect until superseded, suspended, canceled or revoked by Order of this Commission. </w:t>
      </w:r>
    </w:p>
    <w:p w:rsidR="009807F4" w:rsidRDefault="009807F4" w:rsidP="009807F4">
      <w:pPr>
        <w:jc w:val="both"/>
      </w:pPr>
    </w:p>
    <w:p w:rsidR="009807F4" w:rsidRDefault="009807F4" w:rsidP="009807F4">
      <w:r>
        <w:rPr>
          <w:u w:val="single"/>
        </w:rPr>
        <w:t>Order Number</w:t>
      </w:r>
      <w:r>
        <w:rPr>
          <w:u w:val="single"/>
        </w:rPr>
        <w:tab/>
      </w:r>
      <w:r>
        <w:tab/>
      </w:r>
      <w:r>
        <w:tab/>
      </w:r>
      <w:r>
        <w:rPr>
          <w:u w:val="single"/>
        </w:rPr>
        <w:t>Date Issued</w:t>
      </w:r>
      <w:r>
        <w:tab/>
      </w:r>
      <w:r>
        <w:rPr>
          <w:u w:val="single"/>
        </w:rPr>
        <w:t>Docket Number</w:t>
      </w:r>
      <w:r>
        <w:tab/>
      </w:r>
      <w:r>
        <w:rPr>
          <w:u w:val="single"/>
        </w:rPr>
        <w:t>Filing Type</w:t>
      </w:r>
    </w:p>
    <w:p w:rsidR="009807F4" w:rsidRDefault="009807F4" w:rsidP="009807F4">
      <w:r>
        <w:t>13723</w:t>
      </w:r>
      <w:r>
        <w:tab/>
      </w:r>
      <w:r>
        <w:tab/>
      </w:r>
      <w:r>
        <w:tab/>
      </w:r>
      <w:r>
        <w:tab/>
        <w:t>09/28/84</w:t>
      </w:r>
      <w:r>
        <w:tab/>
        <w:t>840063-WU</w:t>
      </w:r>
      <w:r>
        <w:tab/>
      </w:r>
      <w:r>
        <w:tab/>
        <w:t>Original Certificate</w:t>
      </w:r>
    </w:p>
    <w:p w:rsidR="009807F4" w:rsidRDefault="009807F4" w:rsidP="009807F4">
      <w:r>
        <w:rPr>
          <w:color w:val="000000"/>
        </w:rPr>
        <w:t xml:space="preserve">PSC-11-0135-FOF-WU   </w:t>
      </w:r>
      <w:r>
        <w:rPr>
          <w:color w:val="000000"/>
        </w:rPr>
        <w:tab/>
        <w:t>02/28/</w:t>
      </w:r>
      <w:r w:rsidRPr="00E2368D">
        <w:rPr>
          <w:color w:val="000000"/>
        </w:rPr>
        <w:t>11</w:t>
      </w:r>
      <w:r>
        <w:tab/>
        <w:t>090441-WU</w:t>
      </w:r>
      <w:r>
        <w:tab/>
      </w:r>
      <w:r>
        <w:tab/>
        <w:t>Amendment</w:t>
      </w:r>
    </w:p>
    <w:p w:rsidR="009807F4" w:rsidRDefault="0015591C" w:rsidP="009807F4">
      <w:r>
        <w:t>PSC-2022-0364-PAA-WU</w:t>
      </w:r>
      <w:r>
        <w:tab/>
        <w:t>10/25/22</w:t>
      </w:r>
      <w:r>
        <w:tab/>
      </w:r>
      <w:r w:rsidR="009807F4">
        <w:t>20220019-WU</w:t>
      </w:r>
      <w:r w:rsidR="009807F4">
        <w:tab/>
      </w:r>
      <w:r w:rsidR="009807F4">
        <w:tab/>
        <w:t>Transfer</w:t>
      </w:r>
    </w:p>
    <w:p w:rsidR="008B7B86" w:rsidRDefault="008B7B86" w:rsidP="008B7B86">
      <w:pPr>
        <w:pStyle w:val="OrderBody"/>
        <w:rPr>
          <w:noProof/>
        </w:rPr>
      </w:pPr>
    </w:p>
    <w:p w:rsidR="00022D6D" w:rsidRDefault="00022D6D" w:rsidP="008B7B86">
      <w:pPr>
        <w:pStyle w:val="OrderBody"/>
        <w:rPr>
          <w:noProof/>
        </w:rPr>
      </w:pPr>
    </w:p>
    <w:p w:rsidR="00022D6D" w:rsidRDefault="00022D6D" w:rsidP="008B7B86">
      <w:pPr>
        <w:pStyle w:val="OrderBody"/>
        <w:sectPr w:rsidR="00022D6D">
          <w:headerReference w:type="first" r:id="rId13"/>
          <w:pgSz w:w="12240" w:h="15840" w:code="1"/>
          <w:pgMar w:top="1440" w:right="1440" w:bottom="1440" w:left="1440" w:header="720" w:footer="720" w:gutter="0"/>
          <w:cols w:space="720"/>
          <w:titlePg/>
          <w:docGrid w:linePitch="360"/>
        </w:sectPr>
      </w:pPr>
    </w:p>
    <w:p w:rsidR="008B7B86" w:rsidRPr="005848CB" w:rsidRDefault="008B7B86" w:rsidP="008B7B86">
      <w:pPr>
        <w:pStyle w:val="BodyText"/>
        <w:spacing w:after="0"/>
        <w:jc w:val="center"/>
        <w:rPr>
          <w:rFonts w:ascii="Arial" w:hAnsi="Arial" w:cs="Arial"/>
          <w:b/>
        </w:rPr>
      </w:pPr>
      <w:r w:rsidRPr="005848CB">
        <w:rPr>
          <w:rFonts w:ascii="Arial" w:hAnsi="Arial" w:cs="Arial"/>
          <w:b/>
        </w:rPr>
        <w:lastRenderedPageBreak/>
        <w:t xml:space="preserve">CSWR-Florida Utility Operating Company, LLC </w:t>
      </w:r>
    </w:p>
    <w:p w:rsidR="008B7B86" w:rsidRPr="005848CB" w:rsidRDefault="008B7B86" w:rsidP="008B7B86">
      <w:pPr>
        <w:pStyle w:val="BodyText"/>
        <w:spacing w:after="0"/>
        <w:jc w:val="center"/>
        <w:rPr>
          <w:rFonts w:ascii="Arial" w:hAnsi="Arial" w:cs="Arial"/>
          <w:b/>
        </w:rPr>
      </w:pPr>
      <w:r w:rsidRPr="005848CB">
        <w:rPr>
          <w:rFonts w:ascii="Arial" w:hAnsi="Arial" w:cs="Arial"/>
          <w:b/>
        </w:rPr>
        <w:t>Neighborhood Utilities, Inc.</w:t>
      </w:r>
    </w:p>
    <w:p w:rsidR="008B7B86" w:rsidRPr="005848CB" w:rsidRDefault="008B7B86" w:rsidP="008B7B86">
      <w:pPr>
        <w:pStyle w:val="BodyText"/>
        <w:spacing w:after="0"/>
        <w:jc w:val="center"/>
        <w:rPr>
          <w:rFonts w:ascii="Arial" w:hAnsi="Arial" w:cs="Arial"/>
          <w:b/>
        </w:rPr>
      </w:pPr>
    </w:p>
    <w:p w:rsidR="008B7B86" w:rsidRPr="005848CB" w:rsidRDefault="008B7B86" w:rsidP="008B7B86">
      <w:pPr>
        <w:pStyle w:val="BodyText"/>
        <w:spacing w:after="0"/>
        <w:jc w:val="center"/>
        <w:rPr>
          <w:rFonts w:ascii="Arial" w:hAnsi="Arial" w:cs="Arial"/>
          <w:b/>
        </w:rPr>
      </w:pPr>
      <w:r w:rsidRPr="005848CB">
        <w:rPr>
          <w:rFonts w:ascii="Arial" w:hAnsi="Arial" w:cs="Arial"/>
          <w:b/>
        </w:rPr>
        <w:t>Schedule of Net Book Value as of January 31, 2022</w:t>
      </w:r>
    </w:p>
    <w:p w:rsidR="008B7B86" w:rsidRPr="005848CB" w:rsidRDefault="008B7B86" w:rsidP="008B7B86">
      <w:pPr>
        <w:pStyle w:val="BodyText"/>
        <w:spacing w:after="0"/>
        <w:jc w:val="center"/>
        <w:rPr>
          <w:rFonts w:ascii="Arial" w:hAnsi="Arial" w:cs="Arial"/>
          <w:b/>
        </w:rPr>
      </w:pPr>
    </w:p>
    <w:tbl>
      <w:tblPr>
        <w:tblW w:w="9463" w:type="dxa"/>
        <w:tblInd w:w="113" w:type="dxa"/>
        <w:tblLook w:val="04A0" w:firstRow="1" w:lastRow="0" w:firstColumn="1" w:lastColumn="0" w:noHBand="0" w:noVBand="1"/>
      </w:tblPr>
      <w:tblGrid>
        <w:gridCol w:w="3568"/>
        <w:gridCol w:w="1545"/>
        <w:gridCol w:w="1794"/>
        <w:gridCol w:w="853"/>
        <w:gridCol w:w="1703"/>
      </w:tblGrid>
      <w:tr w:rsidR="008B7B86" w:rsidRPr="005848CB" w:rsidTr="00CB5297">
        <w:trPr>
          <w:trHeight w:val="290"/>
        </w:trPr>
        <w:tc>
          <w:tcPr>
            <w:tcW w:w="3568" w:type="dxa"/>
            <w:shd w:val="clear" w:color="auto" w:fill="auto"/>
            <w:noWrap/>
            <w:vAlign w:val="bottom"/>
            <w:hideMark/>
          </w:tcPr>
          <w:p w:rsidR="008B7B86" w:rsidRPr="005848CB" w:rsidRDefault="008B7B86" w:rsidP="00CB5297">
            <w:pPr>
              <w:jc w:val="center"/>
            </w:pPr>
            <w:r w:rsidRPr="005848CB">
              <w:rPr>
                <w:b/>
                <w:bCs/>
                <w:u w:val="single"/>
              </w:rPr>
              <w:t>Description</w:t>
            </w:r>
          </w:p>
        </w:tc>
        <w:tc>
          <w:tcPr>
            <w:tcW w:w="1545" w:type="dxa"/>
            <w:shd w:val="clear" w:color="auto" w:fill="auto"/>
            <w:noWrap/>
            <w:vAlign w:val="bottom"/>
            <w:hideMark/>
          </w:tcPr>
          <w:p w:rsidR="008B7B86" w:rsidRPr="005848CB" w:rsidRDefault="008B7B86" w:rsidP="00CB5297">
            <w:pPr>
              <w:jc w:val="center"/>
              <w:rPr>
                <w:b/>
                <w:bCs/>
                <w:color w:val="000000"/>
              </w:rPr>
            </w:pPr>
            <w:r w:rsidRPr="005848CB">
              <w:rPr>
                <w:b/>
                <w:bCs/>
                <w:color w:val="000000"/>
              </w:rPr>
              <w:t xml:space="preserve">Balance </w:t>
            </w:r>
          </w:p>
          <w:p w:rsidR="008B7B86" w:rsidRPr="005848CB" w:rsidRDefault="008B7B86" w:rsidP="00CB5297">
            <w:pPr>
              <w:jc w:val="center"/>
              <w:rPr>
                <w:b/>
                <w:bCs/>
                <w:color w:val="000000"/>
              </w:rPr>
            </w:pPr>
            <w:r w:rsidRPr="005848CB">
              <w:rPr>
                <w:b/>
                <w:bCs/>
                <w:color w:val="000000"/>
              </w:rPr>
              <w:t>Per Utility</w:t>
            </w:r>
          </w:p>
          <w:p w:rsidR="008B7B86" w:rsidRPr="005848CB" w:rsidRDefault="008B7B86" w:rsidP="00CB5297">
            <w:pPr>
              <w:jc w:val="center"/>
              <w:rPr>
                <w:color w:val="000000"/>
              </w:rPr>
            </w:pPr>
            <w:r w:rsidRPr="005848CB">
              <w:rPr>
                <w:b/>
                <w:bCs/>
                <w:color w:val="000000"/>
                <w:u w:val="single"/>
              </w:rPr>
              <w:t>12/31/21</w:t>
            </w:r>
          </w:p>
        </w:tc>
        <w:tc>
          <w:tcPr>
            <w:tcW w:w="1794" w:type="dxa"/>
            <w:shd w:val="clear" w:color="auto" w:fill="auto"/>
            <w:noWrap/>
            <w:vAlign w:val="bottom"/>
            <w:hideMark/>
          </w:tcPr>
          <w:p w:rsidR="008B7B86" w:rsidRPr="005848CB" w:rsidRDefault="008B7B86" w:rsidP="00CB5297">
            <w:pPr>
              <w:jc w:val="center"/>
              <w:rPr>
                <w:b/>
                <w:bCs/>
                <w:color w:val="000000"/>
                <w:u w:val="single"/>
              </w:rPr>
            </w:pPr>
          </w:p>
          <w:p w:rsidR="008B7B86" w:rsidRPr="005848CB" w:rsidRDefault="008B7B86" w:rsidP="00CB5297">
            <w:pPr>
              <w:jc w:val="center"/>
              <w:rPr>
                <w:b/>
                <w:bCs/>
                <w:color w:val="000000"/>
                <w:u w:val="single"/>
              </w:rPr>
            </w:pPr>
            <w:r w:rsidRPr="005848CB">
              <w:rPr>
                <w:b/>
                <w:bCs/>
                <w:color w:val="000000"/>
                <w:u w:val="single"/>
              </w:rPr>
              <w:t>Adjustments</w:t>
            </w:r>
          </w:p>
        </w:tc>
        <w:tc>
          <w:tcPr>
            <w:tcW w:w="853" w:type="dxa"/>
          </w:tcPr>
          <w:p w:rsidR="008B7B86" w:rsidRPr="005848CB" w:rsidRDefault="008B7B86" w:rsidP="00CB5297">
            <w:pPr>
              <w:jc w:val="center"/>
              <w:rPr>
                <w:b/>
                <w:bCs/>
                <w:color w:val="000000"/>
                <w:u w:val="single"/>
              </w:rPr>
            </w:pPr>
          </w:p>
        </w:tc>
        <w:tc>
          <w:tcPr>
            <w:tcW w:w="1703" w:type="dxa"/>
            <w:shd w:val="clear" w:color="auto" w:fill="auto"/>
            <w:noWrap/>
            <w:vAlign w:val="bottom"/>
            <w:hideMark/>
          </w:tcPr>
          <w:p w:rsidR="008B7B86" w:rsidRPr="005848CB" w:rsidRDefault="00EC7ECE" w:rsidP="00CB5297">
            <w:pPr>
              <w:jc w:val="center"/>
              <w:rPr>
                <w:b/>
                <w:bCs/>
                <w:color w:val="000000"/>
                <w:u w:val="single"/>
              </w:rPr>
            </w:pPr>
            <w:r>
              <w:rPr>
                <w:b/>
                <w:bCs/>
                <w:color w:val="000000"/>
                <w:u w:val="single"/>
              </w:rPr>
              <w:t>Comm.</w:t>
            </w:r>
          </w:p>
          <w:p w:rsidR="008B7B86" w:rsidRPr="005848CB" w:rsidRDefault="008B7B86" w:rsidP="00CB5297">
            <w:pPr>
              <w:jc w:val="center"/>
              <w:rPr>
                <w:b/>
                <w:bCs/>
                <w:color w:val="000000"/>
                <w:u w:val="single"/>
              </w:rPr>
            </w:pPr>
            <w:r w:rsidRPr="005848CB">
              <w:rPr>
                <w:b/>
                <w:bCs/>
                <w:color w:val="000000"/>
                <w:u w:val="single"/>
              </w:rPr>
              <w:t>1/31/22</w:t>
            </w:r>
          </w:p>
        </w:tc>
      </w:tr>
      <w:tr w:rsidR="008B7B86" w:rsidRPr="005848CB" w:rsidTr="00CB5297">
        <w:trPr>
          <w:trHeight w:val="290"/>
        </w:trPr>
        <w:tc>
          <w:tcPr>
            <w:tcW w:w="3568" w:type="dxa"/>
            <w:shd w:val="clear" w:color="auto" w:fill="auto"/>
            <w:noWrap/>
            <w:vAlign w:val="bottom"/>
          </w:tcPr>
          <w:p w:rsidR="008B7B86" w:rsidRPr="005848CB" w:rsidRDefault="008B7B86" w:rsidP="00CB5297">
            <w:pPr>
              <w:rPr>
                <w:color w:val="000000"/>
              </w:rPr>
            </w:pPr>
          </w:p>
        </w:tc>
        <w:tc>
          <w:tcPr>
            <w:tcW w:w="1545" w:type="dxa"/>
            <w:shd w:val="clear" w:color="auto" w:fill="auto"/>
            <w:noWrap/>
            <w:vAlign w:val="bottom"/>
          </w:tcPr>
          <w:p w:rsidR="008B7B86" w:rsidRPr="005848CB" w:rsidRDefault="008B7B86" w:rsidP="00CB5297">
            <w:pPr>
              <w:jc w:val="right"/>
              <w:rPr>
                <w:color w:val="000000"/>
              </w:rPr>
            </w:pPr>
          </w:p>
        </w:tc>
        <w:tc>
          <w:tcPr>
            <w:tcW w:w="1794" w:type="dxa"/>
            <w:shd w:val="clear" w:color="auto" w:fill="auto"/>
            <w:noWrap/>
            <w:vAlign w:val="bottom"/>
          </w:tcPr>
          <w:p w:rsidR="008B7B86" w:rsidRPr="005848CB" w:rsidRDefault="008B7B86" w:rsidP="00CB5297">
            <w:pPr>
              <w:jc w:val="right"/>
              <w:rPr>
                <w:color w:val="000000"/>
              </w:rPr>
            </w:pPr>
          </w:p>
        </w:tc>
        <w:tc>
          <w:tcPr>
            <w:tcW w:w="853" w:type="dxa"/>
          </w:tcPr>
          <w:p w:rsidR="008B7B86" w:rsidRPr="005848CB" w:rsidRDefault="008B7B86" w:rsidP="00CB5297">
            <w:pPr>
              <w:jc w:val="right"/>
              <w:rPr>
                <w:color w:val="000000"/>
              </w:rPr>
            </w:pPr>
          </w:p>
        </w:tc>
        <w:tc>
          <w:tcPr>
            <w:tcW w:w="1703" w:type="dxa"/>
            <w:shd w:val="clear" w:color="auto" w:fill="auto"/>
            <w:noWrap/>
            <w:vAlign w:val="bottom"/>
          </w:tcPr>
          <w:p w:rsidR="008B7B86" w:rsidRPr="005848CB" w:rsidRDefault="008B7B86" w:rsidP="00CB5297">
            <w:pPr>
              <w:jc w:val="right"/>
              <w:rPr>
                <w:color w:val="000000"/>
              </w:rPr>
            </w:pPr>
          </w:p>
        </w:tc>
      </w:tr>
      <w:tr w:rsidR="008B7B86" w:rsidRPr="005848CB" w:rsidTr="00CB5297">
        <w:trPr>
          <w:trHeight w:val="290"/>
        </w:trPr>
        <w:tc>
          <w:tcPr>
            <w:tcW w:w="3568" w:type="dxa"/>
            <w:shd w:val="clear" w:color="auto" w:fill="auto"/>
            <w:noWrap/>
            <w:vAlign w:val="bottom"/>
            <w:hideMark/>
          </w:tcPr>
          <w:p w:rsidR="008B7B86" w:rsidRPr="005848CB" w:rsidRDefault="008B7B86" w:rsidP="00CB5297">
            <w:pPr>
              <w:rPr>
                <w:color w:val="000000"/>
              </w:rPr>
            </w:pPr>
            <w:r w:rsidRPr="005848CB">
              <w:rPr>
                <w:color w:val="000000"/>
              </w:rPr>
              <w:t xml:space="preserve"> Utility Plant in Service </w:t>
            </w:r>
          </w:p>
        </w:tc>
        <w:tc>
          <w:tcPr>
            <w:tcW w:w="1545" w:type="dxa"/>
            <w:noWrap/>
            <w:hideMark/>
          </w:tcPr>
          <w:p w:rsidR="008B7B86" w:rsidRPr="005848CB" w:rsidRDefault="008B7B86" w:rsidP="00CB5297">
            <w:pPr>
              <w:jc w:val="right"/>
              <w:rPr>
                <w:color w:val="000000"/>
              </w:rPr>
            </w:pPr>
            <w:r w:rsidRPr="005848CB">
              <w:t>$672,155</w:t>
            </w:r>
          </w:p>
        </w:tc>
        <w:tc>
          <w:tcPr>
            <w:tcW w:w="1794" w:type="dxa"/>
            <w:noWrap/>
            <w:hideMark/>
          </w:tcPr>
          <w:p w:rsidR="008B7B86" w:rsidRPr="005848CB" w:rsidRDefault="008B7B86" w:rsidP="00CB5297">
            <w:pPr>
              <w:jc w:val="right"/>
              <w:rPr>
                <w:color w:val="000000"/>
              </w:rPr>
            </w:pPr>
            <w:r w:rsidRPr="005848CB">
              <w:t>$1,299</w:t>
            </w:r>
          </w:p>
        </w:tc>
        <w:tc>
          <w:tcPr>
            <w:tcW w:w="853" w:type="dxa"/>
          </w:tcPr>
          <w:p w:rsidR="008B7B86" w:rsidRPr="005848CB" w:rsidRDefault="008B7B86" w:rsidP="00CB5297">
            <w:pPr>
              <w:jc w:val="right"/>
            </w:pPr>
            <w:r w:rsidRPr="005848CB">
              <w:t>A</w:t>
            </w:r>
          </w:p>
        </w:tc>
        <w:tc>
          <w:tcPr>
            <w:tcW w:w="1703" w:type="dxa"/>
            <w:noWrap/>
            <w:hideMark/>
          </w:tcPr>
          <w:p w:rsidR="008B7B86" w:rsidRPr="005848CB" w:rsidRDefault="008B7B86" w:rsidP="00CB5297">
            <w:pPr>
              <w:jc w:val="right"/>
              <w:rPr>
                <w:color w:val="000000"/>
              </w:rPr>
            </w:pPr>
            <w:r w:rsidRPr="005848CB">
              <w:t>$673,454</w:t>
            </w:r>
          </w:p>
        </w:tc>
      </w:tr>
      <w:tr w:rsidR="008B7B86" w:rsidRPr="005848CB" w:rsidTr="00CB5297">
        <w:trPr>
          <w:trHeight w:val="290"/>
        </w:trPr>
        <w:tc>
          <w:tcPr>
            <w:tcW w:w="3568" w:type="dxa"/>
            <w:shd w:val="clear" w:color="auto" w:fill="auto"/>
            <w:noWrap/>
            <w:vAlign w:val="bottom"/>
            <w:hideMark/>
          </w:tcPr>
          <w:p w:rsidR="008B7B86" w:rsidRPr="005848CB" w:rsidRDefault="008B7B86" w:rsidP="00CB5297">
            <w:pPr>
              <w:rPr>
                <w:color w:val="000000"/>
              </w:rPr>
            </w:pPr>
            <w:r w:rsidRPr="005848CB">
              <w:rPr>
                <w:color w:val="000000"/>
              </w:rPr>
              <w:t xml:space="preserve"> Land &amp; Land Rights </w:t>
            </w:r>
          </w:p>
        </w:tc>
        <w:tc>
          <w:tcPr>
            <w:tcW w:w="1545" w:type="dxa"/>
            <w:noWrap/>
            <w:hideMark/>
          </w:tcPr>
          <w:p w:rsidR="008B7B86" w:rsidRPr="005848CB" w:rsidRDefault="008B7B86" w:rsidP="00CB5297">
            <w:pPr>
              <w:jc w:val="right"/>
              <w:rPr>
                <w:color w:val="000000"/>
              </w:rPr>
            </w:pPr>
            <w:r w:rsidRPr="005848CB">
              <w:t>1,000</w:t>
            </w:r>
          </w:p>
        </w:tc>
        <w:tc>
          <w:tcPr>
            <w:tcW w:w="1794" w:type="dxa"/>
            <w:noWrap/>
            <w:hideMark/>
          </w:tcPr>
          <w:p w:rsidR="008B7B86" w:rsidRPr="005848CB" w:rsidRDefault="008B7B86" w:rsidP="00CB5297">
            <w:pPr>
              <w:jc w:val="right"/>
              <w:rPr>
                <w:color w:val="000000"/>
              </w:rPr>
            </w:pPr>
            <w:r w:rsidRPr="005848CB">
              <w:rPr>
                <w:color w:val="000000"/>
              </w:rPr>
              <w:t>-</w:t>
            </w:r>
          </w:p>
        </w:tc>
        <w:tc>
          <w:tcPr>
            <w:tcW w:w="853" w:type="dxa"/>
          </w:tcPr>
          <w:p w:rsidR="008B7B86" w:rsidRPr="005848CB" w:rsidRDefault="008B7B86" w:rsidP="00CB5297">
            <w:pPr>
              <w:jc w:val="right"/>
            </w:pPr>
          </w:p>
        </w:tc>
        <w:tc>
          <w:tcPr>
            <w:tcW w:w="1703" w:type="dxa"/>
            <w:noWrap/>
            <w:hideMark/>
          </w:tcPr>
          <w:p w:rsidR="008B7B86" w:rsidRPr="005848CB" w:rsidRDefault="008B7B86" w:rsidP="00CB5297">
            <w:pPr>
              <w:jc w:val="right"/>
              <w:rPr>
                <w:color w:val="000000"/>
              </w:rPr>
            </w:pPr>
            <w:r w:rsidRPr="005848CB">
              <w:t>1,000</w:t>
            </w:r>
          </w:p>
        </w:tc>
      </w:tr>
      <w:tr w:rsidR="008B7B86" w:rsidRPr="005848CB" w:rsidTr="00CB5297">
        <w:trPr>
          <w:trHeight w:val="290"/>
        </w:trPr>
        <w:tc>
          <w:tcPr>
            <w:tcW w:w="3568" w:type="dxa"/>
            <w:shd w:val="clear" w:color="auto" w:fill="auto"/>
            <w:noWrap/>
            <w:vAlign w:val="bottom"/>
            <w:hideMark/>
          </w:tcPr>
          <w:p w:rsidR="008B7B86" w:rsidRPr="005848CB" w:rsidRDefault="008B7B86" w:rsidP="00CB5297">
            <w:pPr>
              <w:rPr>
                <w:color w:val="000000"/>
              </w:rPr>
            </w:pPr>
            <w:r w:rsidRPr="005848CB">
              <w:rPr>
                <w:color w:val="000000"/>
              </w:rPr>
              <w:t xml:space="preserve"> Accumulated Depreciation </w:t>
            </w:r>
          </w:p>
        </w:tc>
        <w:tc>
          <w:tcPr>
            <w:tcW w:w="1545" w:type="dxa"/>
            <w:noWrap/>
            <w:hideMark/>
          </w:tcPr>
          <w:p w:rsidR="008B7B86" w:rsidRPr="005848CB" w:rsidRDefault="008B7B86" w:rsidP="00CB5297">
            <w:pPr>
              <w:jc w:val="right"/>
              <w:rPr>
                <w:color w:val="000000"/>
              </w:rPr>
            </w:pPr>
            <w:r w:rsidRPr="005848CB">
              <w:t>(540,622)</w:t>
            </w:r>
          </w:p>
        </w:tc>
        <w:tc>
          <w:tcPr>
            <w:tcW w:w="1794" w:type="dxa"/>
            <w:noWrap/>
            <w:hideMark/>
          </w:tcPr>
          <w:p w:rsidR="008B7B86" w:rsidRPr="005848CB" w:rsidRDefault="008B7B86" w:rsidP="00CB5297">
            <w:pPr>
              <w:jc w:val="right"/>
              <w:rPr>
                <w:color w:val="000000"/>
              </w:rPr>
            </w:pPr>
            <w:r w:rsidRPr="005848CB">
              <w:t>(21,745)</w:t>
            </w:r>
          </w:p>
        </w:tc>
        <w:tc>
          <w:tcPr>
            <w:tcW w:w="853" w:type="dxa"/>
          </w:tcPr>
          <w:p w:rsidR="008B7B86" w:rsidRPr="005848CB" w:rsidRDefault="008B7B86" w:rsidP="00CB5297">
            <w:pPr>
              <w:jc w:val="right"/>
            </w:pPr>
            <w:r w:rsidRPr="005848CB">
              <w:t>B</w:t>
            </w:r>
          </w:p>
        </w:tc>
        <w:tc>
          <w:tcPr>
            <w:tcW w:w="1703" w:type="dxa"/>
            <w:noWrap/>
            <w:hideMark/>
          </w:tcPr>
          <w:p w:rsidR="008B7B86" w:rsidRPr="005848CB" w:rsidRDefault="008B7B86" w:rsidP="00CB5297">
            <w:pPr>
              <w:jc w:val="right"/>
              <w:rPr>
                <w:color w:val="000000"/>
              </w:rPr>
            </w:pPr>
            <w:r w:rsidRPr="005848CB">
              <w:t>(562,367)</w:t>
            </w:r>
          </w:p>
        </w:tc>
      </w:tr>
      <w:tr w:rsidR="008B7B86" w:rsidRPr="005848CB" w:rsidTr="00CB5297">
        <w:trPr>
          <w:trHeight w:val="290"/>
        </w:trPr>
        <w:tc>
          <w:tcPr>
            <w:tcW w:w="3568" w:type="dxa"/>
            <w:shd w:val="clear" w:color="auto" w:fill="auto"/>
            <w:noWrap/>
            <w:vAlign w:val="bottom"/>
            <w:hideMark/>
          </w:tcPr>
          <w:p w:rsidR="008B7B86" w:rsidRPr="005848CB" w:rsidRDefault="008B7B86" w:rsidP="00CB5297">
            <w:pPr>
              <w:rPr>
                <w:color w:val="000000"/>
              </w:rPr>
            </w:pPr>
            <w:r w:rsidRPr="005848CB">
              <w:rPr>
                <w:color w:val="000000"/>
              </w:rPr>
              <w:t xml:space="preserve"> CIAC </w:t>
            </w:r>
          </w:p>
        </w:tc>
        <w:tc>
          <w:tcPr>
            <w:tcW w:w="1545" w:type="dxa"/>
            <w:noWrap/>
            <w:hideMark/>
          </w:tcPr>
          <w:p w:rsidR="008B7B86" w:rsidRPr="005848CB" w:rsidRDefault="008B7B86" w:rsidP="00CB5297">
            <w:pPr>
              <w:jc w:val="right"/>
              <w:rPr>
                <w:color w:val="000000"/>
              </w:rPr>
            </w:pPr>
            <w:r w:rsidRPr="005848CB">
              <w:t>(76,431)</w:t>
            </w:r>
          </w:p>
        </w:tc>
        <w:tc>
          <w:tcPr>
            <w:tcW w:w="1794" w:type="dxa"/>
            <w:noWrap/>
            <w:hideMark/>
          </w:tcPr>
          <w:p w:rsidR="008B7B86" w:rsidRPr="005848CB" w:rsidRDefault="008B7B86" w:rsidP="00CB5297">
            <w:pPr>
              <w:jc w:val="right"/>
              <w:rPr>
                <w:color w:val="000000"/>
              </w:rPr>
            </w:pPr>
            <w:r w:rsidRPr="005848CB">
              <w:rPr>
                <w:color w:val="000000"/>
              </w:rPr>
              <w:t>(193,145)</w:t>
            </w:r>
          </w:p>
        </w:tc>
        <w:tc>
          <w:tcPr>
            <w:tcW w:w="853" w:type="dxa"/>
          </w:tcPr>
          <w:p w:rsidR="008B7B86" w:rsidRPr="005848CB" w:rsidRDefault="008B7B86" w:rsidP="00CB5297">
            <w:pPr>
              <w:jc w:val="right"/>
            </w:pPr>
            <w:r w:rsidRPr="005848CB">
              <w:t>C</w:t>
            </w:r>
          </w:p>
        </w:tc>
        <w:tc>
          <w:tcPr>
            <w:tcW w:w="1703" w:type="dxa"/>
            <w:noWrap/>
            <w:hideMark/>
          </w:tcPr>
          <w:p w:rsidR="008B7B86" w:rsidRPr="005848CB" w:rsidRDefault="008B7B86" w:rsidP="00CB5297">
            <w:pPr>
              <w:jc w:val="right"/>
              <w:rPr>
                <w:color w:val="000000"/>
              </w:rPr>
            </w:pPr>
            <w:r w:rsidRPr="005848CB">
              <w:t>(269,576)</w:t>
            </w:r>
          </w:p>
        </w:tc>
      </w:tr>
      <w:tr w:rsidR="008B7B86" w:rsidRPr="005848CB" w:rsidTr="00CB5297">
        <w:trPr>
          <w:trHeight w:val="301"/>
        </w:trPr>
        <w:tc>
          <w:tcPr>
            <w:tcW w:w="3568" w:type="dxa"/>
            <w:shd w:val="clear" w:color="auto" w:fill="auto"/>
            <w:noWrap/>
            <w:vAlign w:val="bottom"/>
            <w:hideMark/>
          </w:tcPr>
          <w:p w:rsidR="008B7B86" w:rsidRPr="005848CB" w:rsidRDefault="008B7B86" w:rsidP="00CB5297">
            <w:pPr>
              <w:rPr>
                <w:color w:val="000000"/>
              </w:rPr>
            </w:pPr>
            <w:r w:rsidRPr="005848CB">
              <w:rPr>
                <w:color w:val="000000"/>
              </w:rPr>
              <w:t xml:space="preserve"> Amortization of CIAC </w:t>
            </w:r>
          </w:p>
        </w:tc>
        <w:tc>
          <w:tcPr>
            <w:tcW w:w="1545" w:type="dxa"/>
            <w:noWrap/>
            <w:hideMark/>
          </w:tcPr>
          <w:p w:rsidR="008B7B86" w:rsidRPr="005848CB" w:rsidRDefault="008B7B86" w:rsidP="00CB5297">
            <w:pPr>
              <w:jc w:val="right"/>
              <w:rPr>
                <w:color w:val="000000"/>
                <w:u w:val="single"/>
              </w:rPr>
            </w:pPr>
            <w:r w:rsidRPr="005848CB">
              <w:rPr>
                <w:u w:val="single"/>
              </w:rPr>
              <w:t>0</w:t>
            </w:r>
          </w:p>
        </w:tc>
        <w:tc>
          <w:tcPr>
            <w:tcW w:w="1794" w:type="dxa"/>
            <w:noWrap/>
            <w:hideMark/>
          </w:tcPr>
          <w:p w:rsidR="008B7B86" w:rsidRPr="005848CB" w:rsidRDefault="008B7B86" w:rsidP="00CB5297">
            <w:pPr>
              <w:jc w:val="right"/>
              <w:rPr>
                <w:color w:val="000000"/>
                <w:u w:val="single"/>
              </w:rPr>
            </w:pPr>
            <w:r w:rsidRPr="005848CB">
              <w:rPr>
                <w:u w:val="single"/>
              </w:rPr>
              <w:t>217,552</w:t>
            </w:r>
          </w:p>
        </w:tc>
        <w:tc>
          <w:tcPr>
            <w:tcW w:w="853" w:type="dxa"/>
          </w:tcPr>
          <w:p w:rsidR="008B7B86" w:rsidRPr="005848CB" w:rsidRDefault="008B7B86" w:rsidP="00CB5297">
            <w:pPr>
              <w:jc w:val="right"/>
            </w:pPr>
            <w:r w:rsidRPr="005848CB">
              <w:t>D</w:t>
            </w:r>
          </w:p>
        </w:tc>
        <w:tc>
          <w:tcPr>
            <w:tcW w:w="1703" w:type="dxa"/>
            <w:noWrap/>
            <w:hideMark/>
          </w:tcPr>
          <w:p w:rsidR="008B7B86" w:rsidRPr="005848CB" w:rsidRDefault="008B7B86" w:rsidP="00CB5297">
            <w:pPr>
              <w:jc w:val="right"/>
              <w:rPr>
                <w:color w:val="000000"/>
                <w:u w:val="single"/>
              </w:rPr>
            </w:pPr>
            <w:r w:rsidRPr="005848CB">
              <w:rPr>
                <w:u w:val="single"/>
              </w:rPr>
              <w:t>217,552</w:t>
            </w:r>
          </w:p>
        </w:tc>
      </w:tr>
      <w:tr w:rsidR="008B7B86" w:rsidRPr="005848CB" w:rsidTr="00CB5297">
        <w:trPr>
          <w:trHeight w:val="301"/>
        </w:trPr>
        <w:tc>
          <w:tcPr>
            <w:tcW w:w="3568" w:type="dxa"/>
            <w:shd w:val="clear" w:color="auto" w:fill="auto"/>
            <w:noWrap/>
            <w:vAlign w:val="bottom"/>
          </w:tcPr>
          <w:p w:rsidR="008B7B86" w:rsidRPr="005848CB" w:rsidRDefault="008B7B86" w:rsidP="00CB5297">
            <w:pPr>
              <w:rPr>
                <w:color w:val="000000"/>
              </w:rPr>
            </w:pPr>
          </w:p>
        </w:tc>
        <w:tc>
          <w:tcPr>
            <w:tcW w:w="1545" w:type="dxa"/>
            <w:noWrap/>
          </w:tcPr>
          <w:p w:rsidR="008B7B86" w:rsidRPr="005848CB" w:rsidRDefault="008B7B86" w:rsidP="00CB5297">
            <w:pPr>
              <w:jc w:val="right"/>
              <w:rPr>
                <w:color w:val="000000"/>
              </w:rPr>
            </w:pPr>
          </w:p>
        </w:tc>
        <w:tc>
          <w:tcPr>
            <w:tcW w:w="1794" w:type="dxa"/>
            <w:noWrap/>
          </w:tcPr>
          <w:p w:rsidR="008B7B86" w:rsidRPr="005848CB" w:rsidRDefault="008B7B86" w:rsidP="00CB5297">
            <w:pPr>
              <w:jc w:val="right"/>
              <w:rPr>
                <w:color w:val="000000"/>
              </w:rPr>
            </w:pPr>
          </w:p>
        </w:tc>
        <w:tc>
          <w:tcPr>
            <w:tcW w:w="853" w:type="dxa"/>
          </w:tcPr>
          <w:p w:rsidR="008B7B86" w:rsidRPr="005848CB" w:rsidRDefault="008B7B86" w:rsidP="00CB5297">
            <w:pPr>
              <w:jc w:val="right"/>
              <w:rPr>
                <w:color w:val="000000"/>
              </w:rPr>
            </w:pPr>
          </w:p>
        </w:tc>
        <w:tc>
          <w:tcPr>
            <w:tcW w:w="1703" w:type="dxa"/>
            <w:noWrap/>
          </w:tcPr>
          <w:p w:rsidR="008B7B86" w:rsidRPr="005848CB" w:rsidRDefault="008B7B86" w:rsidP="00CB5297">
            <w:pPr>
              <w:jc w:val="right"/>
              <w:rPr>
                <w:color w:val="000000"/>
              </w:rPr>
            </w:pPr>
          </w:p>
        </w:tc>
      </w:tr>
      <w:tr w:rsidR="008B7B86" w:rsidRPr="005848CB" w:rsidTr="00CB5297">
        <w:trPr>
          <w:trHeight w:val="301"/>
        </w:trPr>
        <w:tc>
          <w:tcPr>
            <w:tcW w:w="3568" w:type="dxa"/>
            <w:shd w:val="clear" w:color="auto" w:fill="auto"/>
            <w:noWrap/>
            <w:vAlign w:val="bottom"/>
            <w:hideMark/>
          </w:tcPr>
          <w:p w:rsidR="008B7B86" w:rsidRPr="005848CB" w:rsidRDefault="008B7B86" w:rsidP="00CB5297">
            <w:pPr>
              <w:rPr>
                <w:color w:val="000000"/>
              </w:rPr>
            </w:pPr>
            <w:r w:rsidRPr="005848CB">
              <w:rPr>
                <w:color w:val="000000"/>
              </w:rPr>
              <w:t>Total</w:t>
            </w:r>
          </w:p>
        </w:tc>
        <w:tc>
          <w:tcPr>
            <w:tcW w:w="1545" w:type="dxa"/>
            <w:noWrap/>
            <w:hideMark/>
          </w:tcPr>
          <w:p w:rsidR="008B7B86" w:rsidRPr="005848CB" w:rsidRDefault="008B7B86" w:rsidP="00CB5297">
            <w:pPr>
              <w:jc w:val="right"/>
              <w:rPr>
                <w:color w:val="000000"/>
                <w:u w:val="double"/>
              </w:rPr>
            </w:pPr>
            <w:r w:rsidRPr="005848CB">
              <w:rPr>
                <w:u w:val="double"/>
              </w:rPr>
              <w:t>$56,102</w:t>
            </w:r>
          </w:p>
        </w:tc>
        <w:tc>
          <w:tcPr>
            <w:tcW w:w="1794" w:type="dxa"/>
            <w:noWrap/>
            <w:hideMark/>
          </w:tcPr>
          <w:p w:rsidR="008B7B86" w:rsidRPr="005848CB" w:rsidRDefault="008B7B86" w:rsidP="00CB5297">
            <w:pPr>
              <w:jc w:val="right"/>
              <w:rPr>
                <w:color w:val="000000"/>
                <w:u w:val="double"/>
              </w:rPr>
            </w:pPr>
            <w:r w:rsidRPr="005848CB">
              <w:rPr>
                <w:u w:val="double"/>
              </w:rPr>
              <w:t>$3,961</w:t>
            </w:r>
          </w:p>
        </w:tc>
        <w:tc>
          <w:tcPr>
            <w:tcW w:w="853" w:type="dxa"/>
          </w:tcPr>
          <w:p w:rsidR="008B7B86" w:rsidRPr="005848CB" w:rsidRDefault="008B7B86" w:rsidP="00CB5297">
            <w:pPr>
              <w:jc w:val="right"/>
              <w:rPr>
                <w:u w:val="double"/>
              </w:rPr>
            </w:pPr>
          </w:p>
        </w:tc>
        <w:tc>
          <w:tcPr>
            <w:tcW w:w="1703" w:type="dxa"/>
            <w:noWrap/>
            <w:hideMark/>
          </w:tcPr>
          <w:p w:rsidR="008B7B86" w:rsidRPr="005848CB" w:rsidRDefault="008B7B86" w:rsidP="00CB5297">
            <w:pPr>
              <w:jc w:val="right"/>
              <w:rPr>
                <w:color w:val="000000"/>
                <w:u w:val="double"/>
              </w:rPr>
            </w:pPr>
            <w:r w:rsidRPr="005848CB">
              <w:rPr>
                <w:u w:val="double"/>
              </w:rPr>
              <w:t>$60,063</w:t>
            </w:r>
          </w:p>
        </w:tc>
      </w:tr>
    </w:tbl>
    <w:p w:rsidR="008B7B86" w:rsidRDefault="008B7B86" w:rsidP="008B7B86">
      <w:pPr>
        <w:pStyle w:val="OrderBody"/>
        <w:sectPr w:rsidR="008B7B86">
          <w:headerReference w:type="first" r:id="rId14"/>
          <w:pgSz w:w="12240" w:h="15840" w:code="1"/>
          <w:pgMar w:top="1440" w:right="1440" w:bottom="1440" w:left="1440" w:header="720" w:footer="720" w:gutter="0"/>
          <w:cols w:space="720"/>
          <w:titlePg/>
          <w:docGrid w:linePitch="360"/>
        </w:sectPr>
      </w:pPr>
    </w:p>
    <w:p w:rsidR="008B7B86" w:rsidRPr="005848CB" w:rsidRDefault="008B7B86" w:rsidP="008B7B86">
      <w:pPr>
        <w:pStyle w:val="BodyText"/>
        <w:spacing w:after="0"/>
        <w:jc w:val="center"/>
        <w:rPr>
          <w:rFonts w:ascii="Arial" w:hAnsi="Arial" w:cs="Arial"/>
          <w:b/>
        </w:rPr>
      </w:pPr>
      <w:r w:rsidRPr="005848CB">
        <w:rPr>
          <w:rFonts w:ascii="Arial" w:hAnsi="Arial" w:cs="Arial"/>
          <w:b/>
        </w:rPr>
        <w:lastRenderedPageBreak/>
        <w:t xml:space="preserve">CSWR-Florida Utility Operating Company, LLC </w:t>
      </w:r>
    </w:p>
    <w:p w:rsidR="008B7B86" w:rsidRPr="005848CB" w:rsidRDefault="008B7B86" w:rsidP="008B7B86">
      <w:pPr>
        <w:pStyle w:val="BodyText"/>
        <w:spacing w:after="0"/>
        <w:jc w:val="center"/>
        <w:rPr>
          <w:rFonts w:ascii="Arial" w:hAnsi="Arial" w:cs="Arial"/>
          <w:b/>
        </w:rPr>
      </w:pPr>
      <w:r w:rsidRPr="005848CB">
        <w:rPr>
          <w:rFonts w:ascii="Arial" w:hAnsi="Arial" w:cs="Arial"/>
          <w:b/>
        </w:rPr>
        <w:t>Neighborhood Utilities, Inc.</w:t>
      </w:r>
    </w:p>
    <w:p w:rsidR="008B7B86" w:rsidRPr="005848CB" w:rsidRDefault="008B7B86" w:rsidP="008B7B86">
      <w:pPr>
        <w:pStyle w:val="BodyText"/>
        <w:spacing w:after="0"/>
        <w:jc w:val="center"/>
        <w:rPr>
          <w:rFonts w:ascii="Arial" w:hAnsi="Arial" w:cs="Arial"/>
          <w:b/>
        </w:rPr>
      </w:pPr>
    </w:p>
    <w:p w:rsidR="008B7B86" w:rsidRPr="005848CB" w:rsidRDefault="008B7B86" w:rsidP="008B7B86">
      <w:pPr>
        <w:pStyle w:val="BodyText"/>
        <w:spacing w:after="0"/>
        <w:jc w:val="center"/>
        <w:rPr>
          <w:rFonts w:ascii="Arial" w:hAnsi="Arial" w:cs="Arial"/>
          <w:b/>
        </w:rPr>
      </w:pPr>
      <w:r w:rsidRPr="005848CB">
        <w:rPr>
          <w:rFonts w:ascii="Arial" w:hAnsi="Arial" w:cs="Arial"/>
          <w:b/>
        </w:rPr>
        <w:t>Explanation of Adjustments to Net Book Value as of January 31, 2022</w:t>
      </w:r>
    </w:p>
    <w:p w:rsidR="008B7B86" w:rsidRPr="005848CB" w:rsidRDefault="008B7B86" w:rsidP="008B7B86">
      <w:pPr>
        <w:pStyle w:val="BodyText"/>
        <w:spacing w:after="0"/>
        <w:jc w:val="cente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8"/>
        <w:gridCol w:w="1458"/>
      </w:tblGrid>
      <w:tr w:rsidR="008B7B86" w:rsidRPr="005848CB" w:rsidTr="00CB5297">
        <w:tc>
          <w:tcPr>
            <w:tcW w:w="8118" w:type="dxa"/>
          </w:tcPr>
          <w:p w:rsidR="008B7B86" w:rsidRPr="005848CB" w:rsidRDefault="008B7B86" w:rsidP="00CB5297">
            <w:pPr>
              <w:rPr>
                <w:b/>
                <w:bCs/>
              </w:rPr>
            </w:pPr>
            <w:r w:rsidRPr="005848CB">
              <w:rPr>
                <w:b/>
                <w:bCs/>
              </w:rPr>
              <w:t>Explanation</w:t>
            </w:r>
          </w:p>
        </w:tc>
        <w:tc>
          <w:tcPr>
            <w:tcW w:w="1458" w:type="dxa"/>
          </w:tcPr>
          <w:p w:rsidR="008B7B86" w:rsidRPr="005848CB" w:rsidRDefault="008B7B86" w:rsidP="00CB5297">
            <w:pPr>
              <w:jc w:val="center"/>
              <w:rPr>
                <w:b/>
              </w:rPr>
            </w:pPr>
            <w:r w:rsidRPr="005848CB">
              <w:rPr>
                <w:b/>
              </w:rPr>
              <w:t>Amount</w:t>
            </w:r>
          </w:p>
        </w:tc>
      </w:tr>
      <w:tr w:rsidR="008B7B86" w:rsidRPr="005848CB" w:rsidTr="00CB5297">
        <w:tc>
          <w:tcPr>
            <w:tcW w:w="8118" w:type="dxa"/>
          </w:tcPr>
          <w:p w:rsidR="008B7B86" w:rsidRPr="005848CB" w:rsidRDefault="008B7B86" w:rsidP="00CB5297">
            <w:pPr>
              <w:rPr>
                <w:b/>
                <w:bCs/>
              </w:rPr>
            </w:pPr>
          </w:p>
        </w:tc>
        <w:tc>
          <w:tcPr>
            <w:tcW w:w="1458" w:type="dxa"/>
          </w:tcPr>
          <w:p w:rsidR="008B7B86" w:rsidRPr="005848CB" w:rsidRDefault="008B7B86" w:rsidP="00CB5297">
            <w:pPr>
              <w:jc w:val="center"/>
            </w:pPr>
          </w:p>
        </w:tc>
      </w:tr>
      <w:tr w:rsidR="008B7B86" w:rsidRPr="005848CB" w:rsidTr="00CB5297">
        <w:tc>
          <w:tcPr>
            <w:tcW w:w="8118" w:type="dxa"/>
          </w:tcPr>
          <w:p w:rsidR="008B7B86" w:rsidRPr="005848CB" w:rsidRDefault="008B7B86" w:rsidP="008B7B86">
            <w:pPr>
              <w:pStyle w:val="ListParagraph"/>
              <w:numPr>
                <w:ilvl w:val="0"/>
                <w:numId w:val="2"/>
              </w:numPr>
            </w:pPr>
            <w:r w:rsidRPr="005848CB">
              <w:t>UPIS</w:t>
            </w:r>
          </w:p>
        </w:tc>
        <w:tc>
          <w:tcPr>
            <w:tcW w:w="1458" w:type="dxa"/>
          </w:tcPr>
          <w:p w:rsidR="008B7B86" w:rsidRPr="005848CB" w:rsidRDefault="008B7B86" w:rsidP="00CB5297">
            <w:pPr>
              <w:jc w:val="right"/>
            </w:pPr>
          </w:p>
        </w:tc>
      </w:tr>
      <w:tr w:rsidR="008B7B86" w:rsidRPr="005848CB" w:rsidTr="00CB5297">
        <w:tc>
          <w:tcPr>
            <w:tcW w:w="8118" w:type="dxa"/>
          </w:tcPr>
          <w:p w:rsidR="008B7B86" w:rsidRPr="005848CB" w:rsidRDefault="008B7B86" w:rsidP="00CB5297">
            <w:pPr>
              <w:ind w:left="360"/>
            </w:pPr>
            <w:r w:rsidRPr="005848CB">
              <w:t>To reflect the appropriate balance.</w:t>
            </w:r>
          </w:p>
        </w:tc>
        <w:tc>
          <w:tcPr>
            <w:tcW w:w="1458" w:type="dxa"/>
          </w:tcPr>
          <w:p w:rsidR="008B7B86" w:rsidRPr="005848CB" w:rsidRDefault="008B7B86" w:rsidP="00CB5297">
            <w:pPr>
              <w:jc w:val="right"/>
            </w:pPr>
            <w:r w:rsidRPr="005848CB">
              <w:t>$1,299</w:t>
            </w:r>
          </w:p>
        </w:tc>
      </w:tr>
      <w:tr w:rsidR="008B7B86" w:rsidRPr="005848CB" w:rsidTr="00CB5297">
        <w:tc>
          <w:tcPr>
            <w:tcW w:w="8118" w:type="dxa"/>
          </w:tcPr>
          <w:p w:rsidR="008B7B86" w:rsidRPr="005848CB" w:rsidRDefault="008B7B86" w:rsidP="00CB5297"/>
          <w:p w:rsidR="008B7B86" w:rsidRPr="005848CB" w:rsidRDefault="008B7B86" w:rsidP="00CB5297">
            <w:pPr>
              <w:ind w:left="360"/>
            </w:pPr>
          </w:p>
        </w:tc>
        <w:tc>
          <w:tcPr>
            <w:tcW w:w="1458" w:type="dxa"/>
          </w:tcPr>
          <w:p w:rsidR="008B7B86" w:rsidRPr="005848CB" w:rsidRDefault="008B7B86" w:rsidP="00CB5297">
            <w:pPr>
              <w:jc w:val="right"/>
            </w:pPr>
          </w:p>
        </w:tc>
      </w:tr>
      <w:tr w:rsidR="008B7B86" w:rsidRPr="005848CB" w:rsidTr="00CB5297">
        <w:tc>
          <w:tcPr>
            <w:tcW w:w="8118" w:type="dxa"/>
          </w:tcPr>
          <w:p w:rsidR="008B7B86" w:rsidRPr="005848CB" w:rsidRDefault="008B7B86" w:rsidP="008B7B86">
            <w:pPr>
              <w:pStyle w:val="ListParagraph"/>
              <w:numPr>
                <w:ilvl w:val="0"/>
                <w:numId w:val="2"/>
              </w:numPr>
            </w:pPr>
            <w:r w:rsidRPr="005848CB">
              <w:t>Accumulated Depreciation</w:t>
            </w:r>
          </w:p>
        </w:tc>
        <w:tc>
          <w:tcPr>
            <w:tcW w:w="1458" w:type="dxa"/>
          </w:tcPr>
          <w:p w:rsidR="008B7B86" w:rsidRPr="005848CB" w:rsidRDefault="008B7B86" w:rsidP="00CB5297">
            <w:pPr>
              <w:jc w:val="right"/>
            </w:pPr>
          </w:p>
        </w:tc>
      </w:tr>
      <w:tr w:rsidR="008B7B86" w:rsidRPr="005848CB" w:rsidTr="00CB5297">
        <w:tc>
          <w:tcPr>
            <w:tcW w:w="8118" w:type="dxa"/>
          </w:tcPr>
          <w:p w:rsidR="008B7B86" w:rsidRPr="005848CB" w:rsidRDefault="008B7B86" w:rsidP="00CB5297">
            <w:pPr>
              <w:pStyle w:val="ListParagraph"/>
              <w:ind w:left="360"/>
            </w:pPr>
            <w:r w:rsidRPr="005848CB">
              <w:t>To reflect the appropriate balance.</w:t>
            </w:r>
          </w:p>
        </w:tc>
        <w:tc>
          <w:tcPr>
            <w:tcW w:w="1458" w:type="dxa"/>
          </w:tcPr>
          <w:p w:rsidR="008B7B86" w:rsidRPr="005848CB" w:rsidRDefault="008B7B86" w:rsidP="00CB5297">
            <w:pPr>
              <w:jc w:val="right"/>
            </w:pPr>
            <w:r w:rsidRPr="005848CB">
              <w:t>(21,745)</w:t>
            </w:r>
          </w:p>
        </w:tc>
      </w:tr>
      <w:tr w:rsidR="008B7B86" w:rsidRPr="005848CB" w:rsidTr="00CB5297">
        <w:tc>
          <w:tcPr>
            <w:tcW w:w="8118" w:type="dxa"/>
          </w:tcPr>
          <w:p w:rsidR="008B7B86" w:rsidRPr="005848CB" w:rsidRDefault="008B7B86" w:rsidP="00CB5297"/>
        </w:tc>
        <w:tc>
          <w:tcPr>
            <w:tcW w:w="1458" w:type="dxa"/>
          </w:tcPr>
          <w:p w:rsidR="008B7B86" w:rsidRPr="005848CB" w:rsidRDefault="008B7B86" w:rsidP="00CB5297">
            <w:pPr>
              <w:jc w:val="right"/>
            </w:pPr>
          </w:p>
        </w:tc>
      </w:tr>
      <w:tr w:rsidR="008B7B86" w:rsidRPr="005848CB" w:rsidTr="00CB5297">
        <w:trPr>
          <w:trHeight w:val="80"/>
        </w:trPr>
        <w:tc>
          <w:tcPr>
            <w:tcW w:w="8118" w:type="dxa"/>
          </w:tcPr>
          <w:p w:rsidR="008B7B86" w:rsidRPr="005848CB" w:rsidRDefault="008B7B86" w:rsidP="00CB5297"/>
        </w:tc>
        <w:tc>
          <w:tcPr>
            <w:tcW w:w="1458" w:type="dxa"/>
          </w:tcPr>
          <w:p w:rsidR="008B7B86" w:rsidRPr="005848CB" w:rsidRDefault="008B7B86" w:rsidP="00CB5297">
            <w:pPr>
              <w:jc w:val="right"/>
            </w:pPr>
          </w:p>
        </w:tc>
      </w:tr>
      <w:tr w:rsidR="008B7B86" w:rsidRPr="005848CB" w:rsidTr="00CB5297">
        <w:tc>
          <w:tcPr>
            <w:tcW w:w="8118" w:type="dxa"/>
          </w:tcPr>
          <w:p w:rsidR="008B7B86" w:rsidRPr="005848CB" w:rsidRDefault="008B7B86" w:rsidP="008B7B86">
            <w:pPr>
              <w:pStyle w:val="ListParagraph"/>
              <w:numPr>
                <w:ilvl w:val="0"/>
                <w:numId w:val="2"/>
              </w:numPr>
            </w:pPr>
            <w:r w:rsidRPr="005848CB">
              <w:t>CIAC</w:t>
            </w:r>
          </w:p>
        </w:tc>
        <w:tc>
          <w:tcPr>
            <w:tcW w:w="1458" w:type="dxa"/>
          </w:tcPr>
          <w:p w:rsidR="008B7B86" w:rsidRPr="005848CB" w:rsidRDefault="008B7B86" w:rsidP="00CB5297">
            <w:pPr>
              <w:jc w:val="right"/>
            </w:pPr>
          </w:p>
        </w:tc>
      </w:tr>
      <w:tr w:rsidR="008B7B86" w:rsidRPr="005848CB" w:rsidTr="00CB5297">
        <w:tc>
          <w:tcPr>
            <w:tcW w:w="8118" w:type="dxa"/>
          </w:tcPr>
          <w:p w:rsidR="008B7B86" w:rsidRPr="005848CB" w:rsidRDefault="008B7B86" w:rsidP="00CB5297">
            <w:pPr>
              <w:pStyle w:val="ListParagraph"/>
              <w:ind w:left="360"/>
            </w:pPr>
            <w:r w:rsidRPr="005848CB">
              <w:t>To reflect the appropriate balance.</w:t>
            </w:r>
          </w:p>
        </w:tc>
        <w:tc>
          <w:tcPr>
            <w:tcW w:w="1458" w:type="dxa"/>
          </w:tcPr>
          <w:p w:rsidR="008B7B86" w:rsidRPr="005848CB" w:rsidRDefault="008B7B86" w:rsidP="00CB5297">
            <w:pPr>
              <w:jc w:val="right"/>
            </w:pPr>
            <w:r w:rsidRPr="005848CB">
              <w:t>(193,145)</w:t>
            </w:r>
          </w:p>
        </w:tc>
      </w:tr>
      <w:tr w:rsidR="008B7B86" w:rsidRPr="005848CB" w:rsidTr="00CB5297">
        <w:tc>
          <w:tcPr>
            <w:tcW w:w="8118" w:type="dxa"/>
          </w:tcPr>
          <w:p w:rsidR="008B7B86" w:rsidRPr="005848CB" w:rsidRDefault="008B7B86" w:rsidP="00CB5297">
            <w:pPr>
              <w:pStyle w:val="ListParagraph"/>
              <w:ind w:left="360"/>
            </w:pPr>
          </w:p>
        </w:tc>
        <w:tc>
          <w:tcPr>
            <w:tcW w:w="1458" w:type="dxa"/>
          </w:tcPr>
          <w:p w:rsidR="008B7B86" w:rsidRPr="005848CB" w:rsidRDefault="008B7B86" w:rsidP="00CB5297">
            <w:pPr>
              <w:jc w:val="right"/>
            </w:pPr>
          </w:p>
        </w:tc>
      </w:tr>
      <w:tr w:rsidR="008B7B86" w:rsidRPr="005848CB" w:rsidTr="00CB5297">
        <w:tc>
          <w:tcPr>
            <w:tcW w:w="8118" w:type="dxa"/>
          </w:tcPr>
          <w:p w:rsidR="008B7B86" w:rsidRPr="005848CB" w:rsidRDefault="008B7B86" w:rsidP="00CB5297">
            <w:pPr>
              <w:pStyle w:val="ListParagraph"/>
              <w:ind w:left="360"/>
            </w:pPr>
          </w:p>
        </w:tc>
        <w:tc>
          <w:tcPr>
            <w:tcW w:w="1458" w:type="dxa"/>
          </w:tcPr>
          <w:p w:rsidR="008B7B86" w:rsidRPr="005848CB" w:rsidRDefault="008B7B86" w:rsidP="00CB5297"/>
        </w:tc>
      </w:tr>
      <w:tr w:rsidR="008B7B86" w:rsidRPr="005848CB" w:rsidTr="00CB5297">
        <w:tc>
          <w:tcPr>
            <w:tcW w:w="8118" w:type="dxa"/>
          </w:tcPr>
          <w:p w:rsidR="008B7B86" w:rsidRPr="005848CB" w:rsidRDefault="008B7B86" w:rsidP="008B7B86">
            <w:pPr>
              <w:pStyle w:val="ListParagraph"/>
              <w:numPr>
                <w:ilvl w:val="0"/>
                <w:numId w:val="2"/>
              </w:numPr>
            </w:pPr>
            <w:r w:rsidRPr="005848CB">
              <w:t>Accumulated Amortization of CIAC</w:t>
            </w:r>
          </w:p>
        </w:tc>
        <w:tc>
          <w:tcPr>
            <w:tcW w:w="1458" w:type="dxa"/>
          </w:tcPr>
          <w:p w:rsidR="008B7B86" w:rsidRPr="005848CB" w:rsidRDefault="008B7B86" w:rsidP="00CB5297">
            <w:pPr>
              <w:jc w:val="right"/>
              <w:rPr>
                <w:u w:val="single"/>
              </w:rPr>
            </w:pPr>
          </w:p>
        </w:tc>
      </w:tr>
      <w:tr w:rsidR="008B7B86" w:rsidRPr="005848CB" w:rsidTr="00CB5297">
        <w:tc>
          <w:tcPr>
            <w:tcW w:w="8118" w:type="dxa"/>
          </w:tcPr>
          <w:p w:rsidR="008B7B86" w:rsidRPr="005848CB" w:rsidRDefault="008B7B86" w:rsidP="00CB5297">
            <w:pPr>
              <w:pStyle w:val="ListParagraph"/>
              <w:ind w:left="360"/>
            </w:pPr>
            <w:r w:rsidRPr="005848CB">
              <w:t>To reflect the appropriate balance.</w:t>
            </w:r>
          </w:p>
        </w:tc>
        <w:tc>
          <w:tcPr>
            <w:tcW w:w="1458" w:type="dxa"/>
          </w:tcPr>
          <w:p w:rsidR="008B7B86" w:rsidRPr="005848CB" w:rsidRDefault="008B7B86" w:rsidP="00CB5297">
            <w:pPr>
              <w:jc w:val="right"/>
              <w:rPr>
                <w:u w:val="single"/>
              </w:rPr>
            </w:pPr>
            <w:r w:rsidRPr="005848CB">
              <w:rPr>
                <w:u w:val="single"/>
              </w:rPr>
              <w:t>217,552</w:t>
            </w:r>
          </w:p>
        </w:tc>
      </w:tr>
      <w:tr w:rsidR="008B7B86" w:rsidRPr="005848CB" w:rsidTr="00CB5297">
        <w:tc>
          <w:tcPr>
            <w:tcW w:w="8118" w:type="dxa"/>
          </w:tcPr>
          <w:p w:rsidR="008B7B86" w:rsidRPr="005848CB" w:rsidRDefault="008B7B86" w:rsidP="00CB5297"/>
        </w:tc>
        <w:tc>
          <w:tcPr>
            <w:tcW w:w="1458" w:type="dxa"/>
          </w:tcPr>
          <w:p w:rsidR="008B7B86" w:rsidRPr="005848CB" w:rsidRDefault="008B7B86" w:rsidP="00CB5297">
            <w:pPr>
              <w:jc w:val="right"/>
            </w:pPr>
          </w:p>
        </w:tc>
      </w:tr>
      <w:tr w:rsidR="008B7B86" w:rsidRPr="005848CB" w:rsidTr="00CB5297">
        <w:tc>
          <w:tcPr>
            <w:tcW w:w="8118" w:type="dxa"/>
          </w:tcPr>
          <w:p w:rsidR="008B7B86" w:rsidRPr="005848CB" w:rsidRDefault="008B7B86" w:rsidP="00CB5297">
            <w:pPr>
              <w:ind w:left="360"/>
            </w:pPr>
          </w:p>
        </w:tc>
        <w:tc>
          <w:tcPr>
            <w:tcW w:w="1458" w:type="dxa"/>
          </w:tcPr>
          <w:p w:rsidR="008B7B86" w:rsidRPr="005848CB" w:rsidRDefault="008B7B86" w:rsidP="00CB5297">
            <w:pPr>
              <w:jc w:val="right"/>
              <w:rPr>
                <w:u w:val="single"/>
              </w:rPr>
            </w:pPr>
          </w:p>
        </w:tc>
      </w:tr>
      <w:tr w:rsidR="008B7B86" w:rsidRPr="005848CB" w:rsidTr="00CB5297">
        <w:tc>
          <w:tcPr>
            <w:tcW w:w="8118" w:type="dxa"/>
          </w:tcPr>
          <w:p w:rsidR="008B7B86" w:rsidRPr="005848CB" w:rsidRDefault="008B7B86" w:rsidP="00CB5297">
            <w:r w:rsidRPr="005848CB">
              <w:t>Total Adjustments to Net Book Value as of January 31, 2022</w:t>
            </w:r>
          </w:p>
        </w:tc>
        <w:tc>
          <w:tcPr>
            <w:tcW w:w="1458" w:type="dxa"/>
          </w:tcPr>
          <w:p w:rsidR="008B7B86" w:rsidRPr="005848CB" w:rsidRDefault="008B7B86" w:rsidP="00CB5297">
            <w:pPr>
              <w:jc w:val="right"/>
              <w:rPr>
                <w:u w:val="double"/>
              </w:rPr>
            </w:pPr>
            <w:r w:rsidRPr="005848CB">
              <w:rPr>
                <w:u w:val="double"/>
              </w:rPr>
              <w:t>($3,961)</w:t>
            </w:r>
          </w:p>
        </w:tc>
      </w:tr>
    </w:tbl>
    <w:p w:rsidR="008B7B86" w:rsidRDefault="008B7B86" w:rsidP="008B7B86">
      <w:pPr>
        <w:pStyle w:val="OrderBody"/>
      </w:pPr>
    </w:p>
    <w:p w:rsidR="008B7B86" w:rsidRDefault="008B7B86" w:rsidP="008B7B86">
      <w:pPr>
        <w:pStyle w:val="OrderBody"/>
        <w:sectPr w:rsidR="008B7B86">
          <w:headerReference w:type="first" r:id="rId15"/>
          <w:pgSz w:w="12240" w:h="15840" w:code="1"/>
          <w:pgMar w:top="1440" w:right="1440" w:bottom="1440" w:left="1440" w:header="720" w:footer="720" w:gutter="0"/>
          <w:cols w:space="720"/>
          <w:titlePg/>
          <w:docGrid w:linePitch="360"/>
        </w:sectPr>
      </w:pPr>
    </w:p>
    <w:p w:rsidR="008B7B86" w:rsidRPr="005848CB" w:rsidRDefault="008B7B86" w:rsidP="008B7B86">
      <w:pPr>
        <w:pStyle w:val="BodyText"/>
        <w:spacing w:after="0"/>
        <w:jc w:val="center"/>
        <w:rPr>
          <w:rFonts w:ascii="Arial" w:hAnsi="Arial" w:cs="Arial"/>
          <w:b/>
        </w:rPr>
      </w:pPr>
      <w:r w:rsidRPr="005848CB">
        <w:rPr>
          <w:rFonts w:ascii="Arial" w:hAnsi="Arial" w:cs="Arial"/>
          <w:b/>
        </w:rPr>
        <w:lastRenderedPageBreak/>
        <w:t xml:space="preserve">CSWR-Florida Utility Operating Company, LLC </w:t>
      </w:r>
    </w:p>
    <w:p w:rsidR="008B7B86" w:rsidRPr="005848CB" w:rsidRDefault="008B7B86" w:rsidP="008B7B86">
      <w:pPr>
        <w:pStyle w:val="BodyText"/>
        <w:spacing w:after="0"/>
        <w:jc w:val="center"/>
        <w:rPr>
          <w:rFonts w:ascii="Arial" w:hAnsi="Arial" w:cs="Arial"/>
          <w:b/>
        </w:rPr>
      </w:pPr>
      <w:r w:rsidRPr="005848CB">
        <w:rPr>
          <w:rFonts w:ascii="Arial" w:hAnsi="Arial" w:cs="Arial"/>
          <w:b/>
        </w:rPr>
        <w:t>Neighborhood Utilities, Inc.</w:t>
      </w:r>
    </w:p>
    <w:p w:rsidR="008B7B86" w:rsidRPr="005848CB" w:rsidRDefault="008B7B86" w:rsidP="008B7B86">
      <w:pPr>
        <w:pStyle w:val="BodyText"/>
        <w:spacing w:after="0"/>
        <w:jc w:val="center"/>
        <w:rPr>
          <w:rFonts w:ascii="Arial" w:hAnsi="Arial" w:cs="Arial"/>
          <w:b/>
        </w:rPr>
      </w:pPr>
    </w:p>
    <w:p w:rsidR="008B7B86" w:rsidRPr="005848CB" w:rsidRDefault="008B7B86" w:rsidP="008B7B86">
      <w:pPr>
        <w:pStyle w:val="TableTitle"/>
        <w:keepNext/>
      </w:pPr>
      <w:r w:rsidRPr="005848CB">
        <w:t xml:space="preserve">Schedule of </w:t>
      </w:r>
      <w:r w:rsidR="00EC7ECE">
        <w:t>Commission Approved</w:t>
      </w:r>
      <w:r w:rsidRPr="005848CB">
        <w:t xml:space="preserve"> Account Balances as of January 31, 2022</w:t>
      </w:r>
    </w:p>
    <w:p w:rsidR="008B7B86" w:rsidRPr="005848CB" w:rsidRDefault="008B7B86" w:rsidP="008B7B86">
      <w:pPr>
        <w:pStyle w:val="BodyText"/>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8"/>
        <w:gridCol w:w="4320"/>
        <w:gridCol w:w="2214"/>
        <w:gridCol w:w="2394"/>
      </w:tblGrid>
      <w:tr w:rsidR="008B7B86" w:rsidRPr="005848CB" w:rsidTr="00CB5297">
        <w:tc>
          <w:tcPr>
            <w:tcW w:w="1098" w:type="dxa"/>
            <w:vAlign w:val="bottom"/>
          </w:tcPr>
          <w:p w:rsidR="008B7B86" w:rsidRPr="005848CB" w:rsidRDefault="008B7B86" w:rsidP="00CB5297">
            <w:pPr>
              <w:jc w:val="center"/>
              <w:rPr>
                <w:b/>
                <w:bCs/>
              </w:rPr>
            </w:pPr>
            <w:r w:rsidRPr="005848CB">
              <w:rPr>
                <w:b/>
                <w:bCs/>
              </w:rPr>
              <w:t>Account</w:t>
            </w:r>
          </w:p>
          <w:p w:rsidR="008B7B86" w:rsidRPr="005848CB" w:rsidRDefault="008B7B86" w:rsidP="00CB5297">
            <w:pPr>
              <w:jc w:val="center"/>
              <w:rPr>
                <w:b/>
                <w:bCs/>
              </w:rPr>
            </w:pPr>
            <w:r w:rsidRPr="005848CB">
              <w:rPr>
                <w:b/>
                <w:bCs/>
              </w:rPr>
              <w:t>No.</w:t>
            </w:r>
          </w:p>
        </w:tc>
        <w:tc>
          <w:tcPr>
            <w:tcW w:w="3870" w:type="dxa"/>
            <w:vAlign w:val="bottom"/>
          </w:tcPr>
          <w:p w:rsidR="008B7B86" w:rsidRPr="005848CB" w:rsidRDefault="008B7B86" w:rsidP="00CB5297">
            <w:pPr>
              <w:jc w:val="center"/>
              <w:rPr>
                <w:b/>
                <w:bCs/>
              </w:rPr>
            </w:pPr>
            <w:r w:rsidRPr="005848CB">
              <w:rPr>
                <w:b/>
                <w:bCs/>
              </w:rPr>
              <w:t>Description</w:t>
            </w:r>
          </w:p>
        </w:tc>
        <w:tc>
          <w:tcPr>
            <w:tcW w:w="2214" w:type="dxa"/>
            <w:vAlign w:val="bottom"/>
          </w:tcPr>
          <w:p w:rsidR="008B7B86" w:rsidRPr="005848CB" w:rsidRDefault="008B7B86" w:rsidP="00CB5297">
            <w:pPr>
              <w:jc w:val="center"/>
              <w:rPr>
                <w:b/>
                <w:bCs/>
              </w:rPr>
            </w:pPr>
            <w:r w:rsidRPr="005848CB">
              <w:rPr>
                <w:b/>
                <w:bCs/>
              </w:rPr>
              <w:t xml:space="preserve">                        UPIS</w:t>
            </w:r>
          </w:p>
        </w:tc>
        <w:tc>
          <w:tcPr>
            <w:tcW w:w="2394" w:type="dxa"/>
            <w:vAlign w:val="bottom"/>
          </w:tcPr>
          <w:p w:rsidR="008B7B86" w:rsidRPr="005848CB" w:rsidRDefault="008B7B86" w:rsidP="00CB5297">
            <w:pPr>
              <w:jc w:val="center"/>
              <w:rPr>
                <w:b/>
                <w:bCs/>
              </w:rPr>
            </w:pPr>
            <w:r w:rsidRPr="005848CB">
              <w:rPr>
                <w:b/>
                <w:bCs/>
              </w:rPr>
              <w:t xml:space="preserve"> Accumulated                         Depreciation</w:t>
            </w:r>
          </w:p>
        </w:tc>
      </w:tr>
      <w:tr w:rsidR="008B7B86" w:rsidRPr="005848CB" w:rsidTr="00CB5297">
        <w:tc>
          <w:tcPr>
            <w:tcW w:w="1098" w:type="dxa"/>
            <w:vAlign w:val="bottom"/>
          </w:tcPr>
          <w:p w:rsidR="008B7B86" w:rsidRPr="005848CB" w:rsidRDefault="008B7B86" w:rsidP="00CB5297">
            <w:pPr>
              <w:jc w:val="center"/>
            </w:pPr>
            <w:r w:rsidRPr="005848CB">
              <w:rPr>
                <w:color w:val="000000"/>
              </w:rPr>
              <w:t>304</w:t>
            </w:r>
          </w:p>
        </w:tc>
        <w:tc>
          <w:tcPr>
            <w:tcW w:w="3870" w:type="dxa"/>
            <w:vAlign w:val="bottom"/>
          </w:tcPr>
          <w:p w:rsidR="008B7B86" w:rsidRPr="005848CB" w:rsidRDefault="008B7B86" w:rsidP="00CB5297">
            <w:r w:rsidRPr="005848CB">
              <w:rPr>
                <w:color w:val="000000"/>
              </w:rPr>
              <w:t xml:space="preserve">Structures &amp; Improvements  </w:t>
            </w:r>
          </w:p>
        </w:tc>
        <w:tc>
          <w:tcPr>
            <w:tcW w:w="2214" w:type="dxa"/>
            <w:vAlign w:val="bottom"/>
          </w:tcPr>
          <w:p w:rsidR="008B7B86" w:rsidRPr="005848CB" w:rsidRDefault="008B7B86" w:rsidP="00CB5297">
            <w:pPr>
              <w:jc w:val="right"/>
            </w:pPr>
            <w:r w:rsidRPr="005848CB">
              <w:rPr>
                <w:color w:val="000000"/>
              </w:rPr>
              <w:t xml:space="preserve"> $14,967</w:t>
            </w:r>
          </w:p>
        </w:tc>
        <w:tc>
          <w:tcPr>
            <w:tcW w:w="2394" w:type="dxa"/>
            <w:vAlign w:val="bottom"/>
          </w:tcPr>
          <w:p w:rsidR="008B7B86" w:rsidRPr="005848CB" w:rsidRDefault="008B7B86" w:rsidP="00CB5297">
            <w:pPr>
              <w:jc w:val="right"/>
            </w:pPr>
            <w:r w:rsidRPr="005848CB">
              <w:t>($13,179)</w:t>
            </w:r>
          </w:p>
        </w:tc>
      </w:tr>
      <w:tr w:rsidR="008B7B86" w:rsidRPr="005848CB" w:rsidTr="00CB5297">
        <w:tc>
          <w:tcPr>
            <w:tcW w:w="1098" w:type="dxa"/>
            <w:vAlign w:val="bottom"/>
          </w:tcPr>
          <w:p w:rsidR="008B7B86" w:rsidRPr="005848CB" w:rsidRDefault="008B7B86" w:rsidP="00CB5297">
            <w:pPr>
              <w:jc w:val="center"/>
            </w:pPr>
            <w:r w:rsidRPr="005848CB">
              <w:rPr>
                <w:color w:val="000000"/>
              </w:rPr>
              <w:t>305</w:t>
            </w:r>
          </w:p>
        </w:tc>
        <w:tc>
          <w:tcPr>
            <w:tcW w:w="3870" w:type="dxa"/>
            <w:vAlign w:val="bottom"/>
          </w:tcPr>
          <w:p w:rsidR="008B7B86" w:rsidRPr="005848CB" w:rsidRDefault="008B7B86" w:rsidP="00CB5297">
            <w:r w:rsidRPr="005848CB">
              <w:rPr>
                <w:color w:val="000000"/>
              </w:rPr>
              <w:t>Collecting &amp; Impounding Reservoirs</w:t>
            </w:r>
          </w:p>
        </w:tc>
        <w:tc>
          <w:tcPr>
            <w:tcW w:w="2214" w:type="dxa"/>
            <w:vAlign w:val="bottom"/>
          </w:tcPr>
          <w:p w:rsidR="008B7B86" w:rsidRPr="005848CB" w:rsidRDefault="008B7B86" w:rsidP="00CB5297">
            <w:pPr>
              <w:jc w:val="right"/>
            </w:pPr>
            <w:r w:rsidRPr="005848CB">
              <w:rPr>
                <w:color w:val="000000"/>
              </w:rPr>
              <w:t>90,940</w:t>
            </w:r>
          </w:p>
        </w:tc>
        <w:tc>
          <w:tcPr>
            <w:tcW w:w="2394" w:type="dxa"/>
            <w:vAlign w:val="bottom"/>
          </w:tcPr>
          <w:p w:rsidR="008B7B86" w:rsidRPr="005848CB" w:rsidRDefault="008B7B86" w:rsidP="00CB5297">
            <w:pPr>
              <w:jc w:val="right"/>
            </w:pPr>
            <w:r w:rsidRPr="005848CB">
              <w:t>(81,390)</w:t>
            </w:r>
          </w:p>
        </w:tc>
      </w:tr>
      <w:tr w:rsidR="008B7B86" w:rsidRPr="005848CB" w:rsidTr="00CB5297">
        <w:tc>
          <w:tcPr>
            <w:tcW w:w="1098" w:type="dxa"/>
            <w:vAlign w:val="bottom"/>
          </w:tcPr>
          <w:p w:rsidR="008B7B86" w:rsidRPr="005848CB" w:rsidRDefault="008B7B86" w:rsidP="00CB5297">
            <w:pPr>
              <w:jc w:val="center"/>
            </w:pPr>
            <w:r w:rsidRPr="005848CB">
              <w:rPr>
                <w:color w:val="000000"/>
              </w:rPr>
              <w:t>307</w:t>
            </w:r>
          </w:p>
        </w:tc>
        <w:tc>
          <w:tcPr>
            <w:tcW w:w="3870" w:type="dxa"/>
            <w:vAlign w:val="bottom"/>
          </w:tcPr>
          <w:p w:rsidR="008B7B86" w:rsidRPr="005848CB" w:rsidRDefault="008B7B86" w:rsidP="00CB5297">
            <w:r w:rsidRPr="005848CB">
              <w:rPr>
                <w:color w:val="000000"/>
              </w:rPr>
              <w:t xml:space="preserve">Wells and Springs  </w:t>
            </w:r>
          </w:p>
        </w:tc>
        <w:tc>
          <w:tcPr>
            <w:tcW w:w="2214" w:type="dxa"/>
            <w:vAlign w:val="bottom"/>
          </w:tcPr>
          <w:p w:rsidR="008B7B86" w:rsidRPr="005848CB" w:rsidRDefault="008B7B86" w:rsidP="00CB5297">
            <w:pPr>
              <w:jc w:val="right"/>
            </w:pPr>
            <w:r w:rsidRPr="005848CB">
              <w:t>45,388</w:t>
            </w:r>
          </w:p>
        </w:tc>
        <w:tc>
          <w:tcPr>
            <w:tcW w:w="2394" w:type="dxa"/>
            <w:vAlign w:val="bottom"/>
          </w:tcPr>
          <w:p w:rsidR="008B7B86" w:rsidRPr="005848CB" w:rsidRDefault="008B7B86" w:rsidP="00CB5297">
            <w:pPr>
              <w:jc w:val="right"/>
            </w:pPr>
            <w:r w:rsidRPr="005848CB">
              <w:t>(45,388)</w:t>
            </w:r>
          </w:p>
        </w:tc>
      </w:tr>
      <w:tr w:rsidR="008B7B86" w:rsidRPr="005848CB" w:rsidTr="00CB5297">
        <w:tc>
          <w:tcPr>
            <w:tcW w:w="1098" w:type="dxa"/>
            <w:vAlign w:val="bottom"/>
          </w:tcPr>
          <w:p w:rsidR="008B7B86" w:rsidRPr="005848CB" w:rsidRDefault="008B7B86" w:rsidP="00CB5297">
            <w:pPr>
              <w:jc w:val="center"/>
            </w:pPr>
            <w:r w:rsidRPr="005848CB">
              <w:rPr>
                <w:color w:val="000000"/>
              </w:rPr>
              <w:t>309</w:t>
            </w:r>
          </w:p>
        </w:tc>
        <w:tc>
          <w:tcPr>
            <w:tcW w:w="3870" w:type="dxa"/>
            <w:vAlign w:val="bottom"/>
          </w:tcPr>
          <w:p w:rsidR="008B7B86" w:rsidRPr="005848CB" w:rsidRDefault="008B7B86" w:rsidP="00CB5297">
            <w:r w:rsidRPr="005848CB">
              <w:rPr>
                <w:color w:val="000000"/>
              </w:rPr>
              <w:t xml:space="preserve">Supply Mains  </w:t>
            </w:r>
          </w:p>
        </w:tc>
        <w:tc>
          <w:tcPr>
            <w:tcW w:w="2214" w:type="dxa"/>
            <w:vAlign w:val="bottom"/>
          </w:tcPr>
          <w:p w:rsidR="008B7B86" w:rsidRPr="005848CB" w:rsidRDefault="008B7B86" w:rsidP="00CB5297">
            <w:pPr>
              <w:jc w:val="right"/>
            </w:pPr>
            <w:r w:rsidRPr="005848CB">
              <w:t>2,708</w:t>
            </w:r>
          </w:p>
        </w:tc>
        <w:tc>
          <w:tcPr>
            <w:tcW w:w="2394" w:type="dxa"/>
            <w:vAlign w:val="bottom"/>
          </w:tcPr>
          <w:p w:rsidR="008B7B86" w:rsidRPr="005848CB" w:rsidRDefault="008B7B86" w:rsidP="00CB5297">
            <w:pPr>
              <w:jc w:val="right"/>
            </w:pPr>
            <w:r w:rsidRPr="005848CB">
              <w:t>(557)</w:t>
            </w:r>
          </w:p>
        </w:tc>
      </w:tr>
      <w:tr w:rsidR="008B7B86" w:rsidRPr="005848CB" w:rsidTr="00CB5297">
        <w:tc>
          <w:tcPr>
            <w:tcW w:w="1098" w:type="dxa"/>
            <w:vAlign w:val="bottom"/>
          </w:tcPr>
          <w:p w:rsidR="008B7B86" w:rsidRPr="005848CB" w:rsidRDefault="008B7B86" w:rsidP="00CB5297">
            <w:pPr>
              <w:jc w:val="center"/>
            </w:pPr>
            <w:r w:rsidRPr="005848CB">
              <w:rPr>
                <w:color w:val="000000"/>
              </w:rPr>
              <w:t>311</w:t>
            </w:r>
          </w:p>
        </w:tc>
        <w:tc>
          <w:tcPr>
            <w:tcW w:w="3870" w:type="dxa"/>
            <w:vAlign w:val="bottom"/>
          </w:tcPr>
          <w:p w:rsidR="008B7B86" w:rsidRPr="005848CB" w:rsidRDefault="008B7B86" w:rsidP="00CB5297">
            <w:r w:rsidRPr="005848CB">
              <w:rPr>
                <w:color w:val="000000"/>
              </w:rPr>
              <w:t xml:space="preserve">Pumping Equipment  </w:t>
            </w:r>
          </w:p>
        </w:tc>
        <w:tc>
          <w:tcPr>
            <w:tcW w:w="2214" w:type="dxa"/>
            <w:vAlign w:val="bottom"/>
          </w:tcPr>
          <w:p w:rsidR="008B7B86" w:rsidRPr="005848CB" w:rsidRDefault="008B7B86" w:rsidP="00CB5297">
            <w:pPr>
              <w:jc w:val="right"/>
            </w:pPr>
            <w:r w:rsidRPr="005848CB">
              <w:t>58,328</w:t>
            </w:r>
          </w:p>
        </w:tc>
        <w:tc>
          <w:tcPr>
            <w:tcW w:w="2394" w:type="dxa"/>
            <w:vAlign w:val="bottom"/>
          </w:tcPr>
          <w:p w:rsidR="008B7B86" w:rsidRPr="005848CB" w:rsidRDefault="008B7B86" w:rsidP="00CB5297">
            <w:pPr>
              <w:jc w:val="right"/>
            </w:pPr>
            <w:r w:rsidRPr="005848CB">
              <w:t>(57,907)</w:t>
            </w:r>
          </w:p>
        </w:tc>
      </w:tr>
      <w:tr w:rsidR="008B7B86" w:rsidRPr="005848CB" w:rsidTr="00CB5297">
        <w:tc>
          <w:tcPr>
            <w:tcW w:w="1098" w:type="dxa"/>
            <w:vAlign w:val="bottom"/>
          </w:tcPr>
          <w:p w:rsidR="008B7B86" w:rsidRPr="005848CB" w:rsidRDefault="008B7B86" w:rsidP="00CB5297">
            <w:pPr>
              <w:jc w:val="center"/>
            </w:pPr>
            <w:r w:rsidRPr="005848CB">
              <w:rPr>
                <w:color w:val="000000"/>
              </w:rPr>
              <w:t>320</w:t>
            </w:r>
          </w:p>
        </w:tc>
        <w:tc>
          <w:tcPr>
            <w:tcW w:w="3870" w:type="dxa"/>
            <w:vAlign w:val="bottom"/>
          </w:tcPr>
          <w:p w:rsidR="008B7B86" w:rsidRPr="005848CB" w:rsidRDefault="008B7B86" w:rsidP="00CB5297">
            <w:r w:rsidRPr="005848CB">
              <w:rPr>
                <w:color w:val="000000"/>
              </w:rPr>
              <w:t>Water Treatment Equipment</w:t>
            </w:r>
          </w:p>
        </w:tc>
        <w:tc>
          <w:tcPr>
            <w:tcW w:w="2214" w:type="dxa"/>
            <w:vAlign w:val="bottom"/>
          </w:tcPr>
          <w:p w:rsidR="008B7B86" w:rsidRPr="005848CB" w:rsidRDefault="008B7B86" w:rsidP="00CB5297">
            <w:pPr>
              <w:jc w:val="right"/>
            </w:pPr>
            <w:r w:rsidRPr="005848CB">
              <w:t xml:space="preserve">  33,508</w:t>
            </w:r>
          </w:p>
        </w:tc>
        <w:tc>
          <w:tcPr>
            <w:tcW w:w="2394" w:type="dxa"/>
            <w:vAlign w:val="bottom"/>
          </w:tcPr>
          <w:p w:rsidR="008B7B86" w:rsidRPr="005848CB" w:rsidRDefault="008B7B86" w:rsidP="00CB5297">
            <w:pPr>
              <w:jc w:val="right"/>
            </w:pPr>
            <w:r w:rsidRPr="005848CB">
              <w:t>(31,588)</w:t>
            </w:r>
          </w:p>
        </w:tc>
      </w:tr>
      <w:tr w:rsidR="008B7B86" w:rsidRPr="005848CB" w:rsidTr="00CB5297">
        <w:tc>
          <w:tcPr>
            <w:tcW w:w="1098" w:type="dxa"/>
            <w:vAlign w:val="bottom"/>
          </w:tcPr>
          <w:p w:rsidR="008B7B86" w:rsidRPr="005848CB" w:rsidRDefault="008B7B86" w:rsidP="00CB5297">
            <w:pPr>
              <w:jc w:val="center"/>
            </w:pPr>
            <w:r w:rsidRPr="005848CB">
              <w:rPr>
                <w:color w:val="000000"/>
              </w:rPr>
              <w:t>330</w:t>
            </w:r>
          </w:p>
        </w:tc>
        <w:tc>
          <w:tcPr>
            <w:tcW w:w="4320" w:type="dxa"/>
            <w:vAlign w:val="bottom"/>
          </w:tcPr>
          <w:p w:rsidR="008B7B86" w:rsidRPr="005848CB" w:rsidRDefault="008B7B86" w:rsidP="00CB5297">
            <w:r w:rsidRPr="005848CB">
              <w:rPr>
                <w:color w:val="000000"/>
              </w:rPr>
              <w:t>Distribution Reservoirs &amp; Standpipes</w:t>
            </w:r>
          </w:p>
        </w:tc>
        <w:tc>
          <w:tcPr>
            <w:tcW w:w="2214" w:type="dxa"/>
            <w:vAlign w:val="bottom"/>
          </w:tcPr>
          <w:p w:rsidR="008B7B86" w:rsidRPr="005848CB" w:rsidRDefault="008B7B86" w:rsidP="00CB5297">
            <w:pPr>
              <w:jc w:val="right"/>
            </w:pPr>
            <w:r w:rsidRPr="005848CB">
              <w:t>30,830</w:t>
            </w:r>
          </w:p>
        </w:tc>
        <w:tc>
          <w:tcPr>
            <w:tcW w:w="2394" w:type="dxa"/>
            <w:vAlign w:val="bottom"/>
          </w:tcPr>
          <w:p w:rsidR="008B7B86" w:rsidRPr="005848CB" w:rsidRDefault="008B7B86" w:rsidP="00CB5297">
            <w:pPr>
              <w:jc w:val="right"/>
            </w:pPr>
            <w:r w:rsidRPr="005848CB">
              <w:t>(13,655)</w:t>
            </w:r>
          </w:p>
        </w:tc>
      </w:tr>
      <w:tr w:rsidR="008B7B86" w:rsidRPr="005848CB" w:rsidTr="00CB5297">
        <w:tc>
          <w:tcPr>
            <w:tcW w:w="1098" w:type="dxa"/>
            <w:vAlign w:val="bottom"/>
          </w:tcPr>
          <w:p w:rsidR="008B7B86" w:rsidRPr="005848CB" w:rsidRDefault="008B7B86" w:rsidP="00CB5297">
            <w:pPr>
              <w:jc w:val="center"/>
            </w:pPr>
            <w:r w:rsidRPr="005848CB">
              <w:rPr>
                <w:color w:val="000000"/>
              </w:rPr>
              <w:t>331</w:t>
            </w:r>
          </w:p>
        </w:tc>
        <w:tc>
          <w:tcPr>
            <w:tcW w:w="4320" w:type="dxa"/>
            <w:vAlign w:val="bottom"/>
          </w:tcPr>
          <w:p w:rsidR="008B7B86" w:rsidRPr="005848CB" w:rsidRDefault="008B7B86" w:rsidP="00CB5297">
            <w:r w:rsidRPr="005848CB">
              <w:rPr>
                <w:color w:val="000000"/>
              </w:rPr>
              <w:t>Transmission and Distribution Mains</w:t>
            </w:r>
          </w:p>
        </w:tc>
        <w:tc>
          <w:tcPr>
            <w:tcW w:w="2214" w:type="dxa"/>
            <w:vAlign w:val="bottom"/>
          </w:tcPr>
          <w:p w:rsidR="008B7B86" w:rsidRPr="005848CB" w:rsidRDefault="008B7B86" w:rsidP="00CB5297">
            <w:pPr>
              <w:jc w:val="right"/>
            </w:pPr>
            <w:r w:rsidRPr="005848CB">
              <w:t>248,307</w:t>
            </w:r>
          </w:p>
        </w:tc>
        <w:tc>
          <w:tcPr>
            <w:tcW w:w="2394" w:type="dxa"/>
            <w:vAlign w:val="bottom"/>
          </w:tcPr>
          <w:p w:rsidR="008B7B86" w:rsidRPr="005848CB" w:rsidRDefault="008B7B86" w:rsidP="00CB5297">
            <w:pPr>
              <w:jc w:val="right"/>
            </w:pPr>
            <w:r w:rsidRPr="005848CB">
              <w:rPr>
                <w:color w:val="000000"/>
                <w:szCs w:val="22"/>
              </w:rPr>
              <w:t>(202,216)</w:t>
            </w:r>
          </w:p>
        </w:tc>
      </w:tr>
      <w:tr w:rsidR="008B7B86" w:rsidRPr="005848CB" w:rsidTr="00CB5297">
        <w:tc>
          <w:tcPr>
            <w:tcW w:w="1098" w:type="dxa"/>
            <w:vAlign w:val="bottom"/>
          </w:tcPr>
          <w:p w:rsidR="008B7B86" w:rsidRPr="005848CB" w:rsidRDefault="008B7B86" w:rsidP="00CB5297">
            <w:pPr>
              <w:jc w:val="center"/>
              <w:rPr>
                <w:color w:val="000000"/>
              </w:rPr>
            </w:pPr>
            <w:r w:rsidRPr="005848CB">
              <w:rPr>
                <w:color w:val="000000"/>
              </w:rPr>
              <w:t>333</w:t>
            </w:r>
          </w:p>
        </w:tc>
        <w:tc>
          <w:tcPr>
            <w:tcW w:w="4320" w:type="dxa"/>
            <w:vAlign w:val="bottom"/>
          </w:tcPr>
          <w:p w:rsidR="008B7B86" w:rsidRPr="005848CB" w:rsidRDefault="008B7B86" w:rsidP="00CB5297">
            <w:pPr>
              <w:rPr>
                <w:color w:val="000000"/>
              </w:rPr>
            </w:pPr>
            <w:r w:rsidRPr="005848CB">
              <w:rPr>
                <w:color w:val="000000"/>
              </w:rPr>
              <w:t>Services</w:t>
            </w:r>
          </w:p>
        </w:tc>
        <w:tc>
          <w:tcPr>
            <w:tcW w:w="2214" w:type="dxa"/>
            <w:vAlign w:val="bottom"/>
          </w:tcPr>
          <w:p w:rsidR="008B7B86" w:rsidRPr="005848CB" w:rsidRDefault="008B7B86" w:rsidP="00CB5297">
            <w:pPr>
              <w:jc w:val="right"/>
              <w:rPr>
                <w:color w:val="000000"/>
              </w:rPr>
            </w:pPr>
            <w:r w:rsidRPr="005848CB">
              <w:rPr>
                <w:color w:val="000000"/>
              </w:rPr>
              <w:t>64,444</w:t>
            </w:r>
          </w:p>
        </w:tc>
        <w:tc>
          <w:tcPr>
            <w:tcW w:w="2394" w:type="dxa"/>
            <w:vAlign w:val="bottom"/>
          </w:tcPr>
          <w:p w:rsidR="008B7B86" w:rsidRPr="005848CB" w:rsidRDefault="008B7B86" w:rsidP="00CB5297">
            <w:pPr>
              <w:jc w:val="right"/>
              <w:rPr>
                <w:color w:val="000000"/>
                <w:szCs w:val="22"/>
              </w:rPr>
            </w:pPr>
            <w:r w:rsidRPr="005848CB">
              <w:rPr>
                <w:color w:val="000000"/>
                <w:szCs w:val="22"/>
              </w:rPr>
              <w:t>(40,761)</w:t>
            </w:r>
          </w:p>
        </w:tc>
      </w:tr>
      <w:tr w:rsidR="008B7B86" w:rsidRPr="005848CB" w:rsidTr="00CB5297">
        <w:tc>
          <w:tcPr>
            <w:tcW w:w="1098" w:type="dxa"/>
            <w:vAlign w:val="bottom"/>
          </w:tcPr>
          <w:p w:rsidR="008B7B86" w:rsidRPr="005848CB" w:rsidRDefault="008B7B86" w:rsidP="00CB5297">
            <w:pPr>
              <w:jc w:val="center"/>
              <w:rPr>
                <w:color w:val="000000"/>
              </w:rPr>
            </w:pPr>
            <w:r w:rsidRPr="005848CB">
              <w:rPr>
                <w:color w:val="000000"/>
              </w:rPr>
              <w:t>334</w:t>
            </w:r>
          </w:p>
        </w:tc>
        <w:tc>
          <w:tcPr>
            <w:tcW w:w="4320" w:type="dxa"/>
            <w:vAlign w:val="bottom"/>
          </w:tcPr>
          <w:p w:rsidR="008B7B86" w:rsidRPr="005848CB" w:rsidRDefault="008B7B86" w:rsidP="00CB5297">
            <w:pPr>
              <w:rPr>
                <w:color w:val="000000"/>
              </w:rPr>
            </w:pPr>
            <w:r w:rsidRPr="005848CB">
              <w:rPr>
                <w:color w:val="000000"/>
              </w:rPr>
              <w:t>Meters and Meter Installations</w:t>
            </w:r>
          </w:p>
        </w:tc>
        <w:tc>
          <w:tcPr>
            <w:tcW w:w="2214" w:type="dxa"/>
            <w:vAlign w:val="bottom"/>
          </w:tcPr>
          <w:p w:rsidR="008B7B86" w:rsidRPr="005848CB" w:rsidRDefault="008B7B86" w:rsidP="00CB5297">
            <w:pPr>
              <w:jc w:val="right"/>
              <w:rPr>
                <w:color w:val="000000"/>
              </w:rPr>
            </w:pPr>
            <w:r w:rsidRPr="005848CB">
              <w:rPr>
                <w:color w:val="000000"/>
              </w:rPr>
              <w:t>32,587</w:t>
            </w:r>
          </w:p>
        </w:tc>
        <w:tc>
          <w:tcPr>
            <w:tcW w:w="2394" w:type="dxa"/>
            <w:vAlign w:val="bottom"/>
          </w:tcPr>
          <w:p w:rsidR="008B7B86" w:rsidRPr="005848CB" w:rsidRDefault="008B7B86" w:rsidP="00CB5297">
            <w:pPr>
              <w:jc w:val="right"/>
              <w:rPr>
                <w:color w:val="000000"/>
                <w:szCs w:val="22"/>
              </w:rPr>
            </w:pPr>
            <w:r w:rsidRPr="005848CB">
              <w:rPr>
                <w:color w:val="000000"/>
                <w:szCs w:val="22"/>
              </w:rPr>
              <w:t>(32,587)</w:t>
            </w:r>
          </w:p>
        </w:tc>
      </w:tr>
      <w:tr w:rsidR="008B7B86" w:rsidRPr="005848CB" w:rsidTr="00CB5297">
        <w:tc>
          <w:tcPr>
            <w:tcW w:w="1098" w:type="dxa"/>
            <w:vAlign w:val="bottom"/>
          </w:tcPr>
          <w:p w:rsidR="008B7B86" w:rsidRPr="005848CB" w:rsidRDefault="008B7B86" w:rsidP="00CB5297">
            <w:pPr>
              <w:jc w:val="center"/>
              <w:rPr>
                <w:color w:val="000000"/>
              </w:rPr>
            </w:pPr>
            <w:r w:rsidRPr="005848CB">
              <w:rPr>
                <w:color w:val="000000"/>
              </w:rPr>
              <w:t>335</w:t>
            </w:r>
          </w:p>
        </w:tc>
        <w:tc>
          <w:tcPr>
            <w:tcW w:w="4320" w:type="dxa"/>
            <w:vAlign w:val="bottom"/>
          </w:tcPr>
          <w:p w:rsidR="008B7B86" w:rsidRPr="005848CB" w:rsidRDefault="008B7B86" w:rsidP="00CB5297">
            <w:pPr>
              <w:rPr>
                <w:color w:val="000000"/>
              </w:rPr>
            </w:pPr>
            <w:r w:rsidRPr="005848CB">
              <w:rPr>
                <w:color w:val="000000"/>
              </w:rPr>
              <w:t>Hydrants</w:t>
            </w:r>
          </w:p>
        </w:tc>
        <w:tc>
          <w:tcPr>
            <w:tcW w:w="2214" w:type="dxa"/>
            <w:vAlign w:val="bottom"/>
          </w:tcPr>
          <w:p w:rsidR="008B7B86" w:rsidRPr="005848CB" w:rsidRDefault="008B7B86" w:rsidP="00CB5297">
            <w:pPr>
              <w:jc w:val="right"/>
              <w:rPr>
                <w:color w:val="000000"/>
              </w:rPr>
            </w:pPr>
            <w:r w:rsidRPr="005848CB">
              <w:rPr>
                <w:color w:val="000000"/>
              </w:rPr>
              <w:t>35,812</w:t>
            </w:r>
          </w:p>
        </w:tc>
        <w:tc>
          <w:tcPr>
            <w:tcW w:w="2394" w:type="dxa"/>
            <w:vAlign w:val="bottom"/>
          </w:tcPr>
          <w:p w:rsidR="008B7B86" w:rsidRPr="005848CB" w:rsidRDefault="008B7B86" w:rsidP="00CB5297">
            <w:pPr>
              <w:jc w:val="right"/>
              <w:rPr>
                <w:color w:val="000000"/>
                <w:szCs w:val="22"/>
              </w:rPr>
            </w:pPr>
            <w:r w:rsidRPr="005848CB">
              <w:rPr>
                <w:color w:val="000000"/>
                <w:szCs w:val="22"/>
              </w:rPr>
              <w:t>(34,961)</w:t>
            </w:r>
          </w:p>
        </w:tc>
      </w:tr>
      <w:tr w:rsidR="008B7B86" w:rsidRPr="005848CB" w:rsidTr="00CB5297">
        <w:tc>
          <w:tcPr>
            <w:tcW w:w="1098" w:type="dxa"/>
            <w:vAlign w:val="bottom"/>
          </w:tcPr>
          <w:p w:rsidR="008B7B86" w:rsidRPr="005848CB" w:rsidRDefault="008B7B86" w:rsidP="00CB5297">
            <w:pPr>
              <w:jc w:val="center"/>
              <w:rPr>
                <w:color w:val="000000"/>
              </w:rPr>
            </w:pPr>
            <w:r w:rsidRPr="005848CB">
              <w:rPr>
                <w:color w:val="000000"/>
              </w:rPr>
              <w:t>339</w:t>
            </w:r>
          </w:p>
        </w:tc>
        <w:tc>
          <w:tcPr>
            <w:tcW w:w="4320" w:type="dxa"/>
            <w:vAlign w:val="bottom"/>
          </w:tcPr>
          <w:p w:rsidR="008B7B86" w:rsidRPr="005848CB" w:rsidRDefault="008B7B86" w:rsidP="00CB5297">
            <w:pPr>
              <w:rPr>
                <w:color w:val="000000"/>
              </w:rPr>
            </w:pPr>
            <w:r w:rsidRPr="005848CB">
              <w:rPr>
                <w:color w:val="000000"/>
              </w:rPr>
              <w:t>Other Plant Misc. Equipment</w:t>
            </w:r>
          </w:p>
        </w:tc>
        <w:tc>
          <w:tcPr>
            <w:tcW w:w="2214" w:type="dxa"/>
            <w:vAlign w:val="bottom"/>
          </w:tcPr>
          <w:p w:rsidR="008B7B86" w:rsidRPr="005848CB" w:rsidRDefault="008B7B86" w:rsidP="00CB5297">
            <w:pPr>
              <w:jc w:val="right"/>
              <w:rPr>
                <w:color w:val="000000"/>
              </w:rPr>
            </w:pPr>
            <w:r w:rsidRPr="005848CB">
              <w:rPr>
                <w:color w:val="000000"/>
              </w:rPr>
              <w:t>13,921</w:t>
            </w:r>
          </w:p>
        </w:tc>
        <w:tc>
          <w:tcPr>
            <w:tcW w:w="2394" w:type="dxa"/>
            <w:vAlign w:val="bottom"/>
          </w:tcPr>
          <w:p w:rsidR="008B7B86" w:rsidRPr="005848CB" w:rsidRDefault="008B7B86" w:rsidP="00CB5297">
            <w:pPr>
              <w:jc w:val="right"/>
              <w:rPr>
                <w:color w:val="000000"/>
                <w:szCs w:val="22"/>
              </w:rPr>
            </w:pPr>
            <w:r w:rsidRPr="005848CB">
              <w:rPr>
                <w:color w:val="000000"/>
                <w:szCs w:val="22"/>
              </w:rPr>
              <w:t>(7,018)</w:t>
            </w:r>
          </w:p>
        </w:tc>
      </w:tr>
      <w:tr w:rsidR="008B7B86" w:rsidRPr="005848CB" w:rsidTr="00CB5297">
        <w:tc>
          <w:tcPr>
            <w:tcW w:w="1098" w:type="dxa"/>
            <w:vAlign w:val="bottom"/>
          </w:tcPr>
          <w:p w:rsidR="008B7B86" w:rsidRPr="005848CB" w:rsidRDefault="008B7B86" w:rsidP="00CB5297">
            <w:pPr>
              <w:jc w:val="center"/>
              <w:rPr>
                <w:color w:val="000000"/>
              </w:rPr>
            </w:pPr>
            <w:r w:rsidRPr="005848CB">
              <w:rPr>
                <w:color w:val="000000"/>
              </w:rPr>
              <w:t>340</w:t>
            </w:r>
          </w:p>
        </w:tc>
        <w:tc>
          <w:tcPr>
            <w:tcW w:w="4320" w:type="dxa"/>
            <w:vAlign w:val="bottom"/>
          </w:tcPr>
          <w:p w:rsidR="008B7B86" w:rsidRPr="005848CB" w:rsidRDefault="008B7B86" w:rsidP="00CB5297">
            <w:pPr>
              <w:rPr>
                <w:color w:val="000000"/>
              </w:rPr>
            </w:pPr>
            <w:r w:rsidRPr="005848CB">
              <w:rPr>
                <w:color w:val="000000"/>
              </w:rPr>
              <w:t>Office Furniture and Equipment</w:t>
            </w:r>
          </w:p>
        </w:tc>
        <w:tc>
          <w:tcPr>
            <w:tcW w:w="2214" w:type="dxa"/>
            <w:vAlign w:val="bottom"/>
          </w:tcPr>
          <w:p w:rsidR="008B7B86" w:rsidRPr="005848CB" w:rsidRDefault="008B7B86" w:rsidP="00CB5297">
            <w:pPr>
              <w:jc w:val="right"/>
              <w:rPr>
                <w:color w:val="000000"/>
                <w:u w:val="single"/>
              </w:rPr>
            </w:pPr>
            <w:r w:rsidRPr="005848CB">
              <w:rPr>
                <w:color w:val="000000"/>
                <w:u w:val="single"/>
              </w:rPr>
              <w:t>1,714</w:t>
            </w:r>
          </w:p>
        </w:tc>
        <w:tc>
          <w:tcPr>
            <w:tcW w:w="2394" w:type="dxa"/>
            <w:vAlign w:val="bottom"/>
          </w:tcPr>
          <w:p w:rsidR="008B7B86" w:rsidRPr="005848CB" w:rsidRDefault="008B7B86" w:rsidP="00CB5297">
            <w:pPr>
              <w:jc w:val="right"/>
              <w:rPr>
                <w:color w:val="000000"/>
                <w:szCs w:val="22"/>
                <w:u w:val="single"/>
              </w:rPr>
            </w:pPr>
            <w:r w:rsidRPr="005848CB">
              <w:rPr>
                <w:color w:val="000000"/>
                <w:szCs w:val="22"/>
                <w:u w:val="single"/>
              </w:rPr>
              <w:t>(1,158)</w:t>
            </w:r>
          </w:p>
        </w:tc>
      </w:tr>
      <w:tr w:rsidR="008B7B86" w:rsidRPr="005848CB" w:rsidTr="00CB5297">
        <w:tc>
          <w:tcPr>
            <w:tcW w:w="1098" w:type="dxa"/>
            <w:vAlign w:val="bottom"/>
          </w:tcPr>
          <w:p w:rsidR="008B7B86" w:rsidRPr="005848CB" w:rsidRDefault="008B7B86" w:rsidP="00CB5297">
            <w:pPr>
              <w:jc w:val="center"/>
            </w:pPr>
          </w:p>
        </w:tc>
        <w:tc>
          <w:tcPr>
            <w:tcW w:w="4320" w:type="dxa"/>
            <w:vAlign w:val="bottom"/>
          </w:tcPr>
          <w:p w:rsidR="008B7B86" w:rsidRPr="005848CB" w:rsidRDefault="008B7B86" w:rsidP="00CB5297"/>
        </w:tc>
        <w:tc>
          <w:tcPr>
            <w:tcW w:w="2214" w:type="dxa"/>
            <w:vAlign w:val="bottom"/>
          </w:tcPr>
          <w:p w:rsidR="008B7B86" w:rsidRPr="005848CB" w:rsidRDefault="008B7B86" w:rsidP="00CB5297">
            <w:pPr>
              <w:jc w:val="right"/>
              <w:rPr>
                <w:u w:val="single"/>
              </w:rPr>
            </w:pPr>
          </w:p>
        </w:tc>
        <w:tc>
          <w:tcPr>
            <w:tcW w:w="2394" w:type="dxa"/>
            <w:vAlign w:val="bottom"/>
          </w:tcPr>
          <w:p w:rsidR="008B7B86" w:rsidRPr="005848CB" w:rsidRDefault="008B7B86" w:rsidP="00CB5297">
            <w:pPr>
              <w:jc w:val="right"/>
              <w:rPr>
                <w:u w:val="single"/>
              </w:rPr>
            </w:pPr>
          </w:p>
        </w:tc>
      </w:tr>
      <w:tr w:rsidR="008B7B86" w:rsidRPr="005367BB" w:rsidTr="00CB5297">
        <w:tc>
          <w:tcPr>
            <w:tcW w:w="1098" w:type="dxa"/>
            <w:vAlign w:val="bottom"/>
          </w:tcPr>
          <w:p w:rsidR="008B7B86" w:rsidRPr="005848CB" w:rsidRDefault="008B7B86" w:rsidP="00CB5297">
            <w:pPr>
              <w:jc w:val="center"/>
              <w:rPr>
                <w:color w:val="000000"/>
              </w:rPr>
            </w:pPr>
          </w:p>
        </w:tc>
        <w:tc>
          <w:tcPr>
            <w:tcW w:w="4320" w:type="dxa"/>
            <w:vAlign w:val="bottom"/>
          </w:tcPr>
          <w:p w:rsidR="008B7B86" w:rsidRPr="005848CB" w:rsidRDefault="008B7B86" w:rsidP="00CB5297">
            <w:pPr>
              <w:rPr>
                <w:color w:val="000000"/>
              </w:rPr>
            </w:pPr>
            <w:r w:rsidRPr="005848CB">
              <w:rPr>
                <w:color w:val="000000"/>
              </w:rPr>
              <w:t>Total</w:t>
            </w:r>
          </w:p>
        </w:tc>
        <w:tc>
          <w:tcPr>
            <w:tcW w:w="2214" w:type="dxa"/>
            <w:vAlign w:val="bottom"/>
          </w:tcPr>
          <w:p w:rsidR="008B7B86" w:rsidRPr="005848CB" w:rsidRDefault="008B7B86" w:rsidP="00CB5297">
            <w:pPr>
              <w:jc w:val="right"/>
              <w:rPr>
                <w:color w:val="000000"/>
                <w:u w:val="single"/>
              </w:rPr>
            </w:pPr>
            <w:r w:rsidRPr="005848CB">
              <w:rPr>
                <w:color w:val="000000"/>
                <w:u w:val="double"/>
              </w:rPr>
              <w:t>$673,454</w:t>
            </w:r>
          </w:p>
        </w:tc>
        <w:tc>
          <w:tcPr>
            <w:tcW w:w="2394" w:type="dxa"/>
            <w:vAlign w:val="bottom"/>
          </w:tcPr>
          <w:p w:rsidR="008B7B86" w:rsidRPr="005367BB" w:rsidRDefault="008B7B86" w:rsidP="00CB5297">
            <w:pPr>
              <w:jc w:val="right"/>
              <w:rPr>
                <w:color w:val="000000"/>
                <w:u w:val="single"/>
              </w:rPr>
            </w:pPr>
            <w:r w:rsidRPr="005848CB">
              <w:rPr>
                <w:color w:val="000000"/>
                <w:u w:val="double"/>
              </w:rPr>
              <w:t>$562,367</w:t>
            </w:r>
          </w:p>
        </w:tc>
      </w:tr>
    </w:tbl>
    <w:p w:rsidR="008B7B86" w:rsidRDefault="008B7B86" w:rsidP="008B7B86">
      <w:pPr>
        <w:pStyle w:val="OrderBody"/>
        <w:sectPr w:rsidR="008B7B86">
          <w:headerReference w:type="first" r:id="rId16"/>
          <w:pgSz w:w="12240" w:h="15840" w:code="1"/>
          <w:pgMar w:top="1440" w:right="1440" w:bottom="1440" w:left="1440" w:header="720" w:footer="720" w:gutter="0"/>
          <w:cols w:space="720"/>
          <w:titlePg/>
          <w:docGrid w:linePitch="360"/>
        </w:sectPr>
      </w:pPr>
    </w:p>
    <w:p w:rsidR="008B7B86" w:rsidRPr="00FB4796" w:rsidRDefault="008B7B86" w:rsidP="008B7B86">
      <w:pPr>
        <w:autoSpaceDE w:val="0"/>
        <w:autoSpaceDN w:val="0"/>
        <w:adjustRightInd w:val="0"/>
        <w:jc w:val="center"/>
        <w:rPr>
          <w:rFonts w:ascii="Arial" w:hAnsi="Arial" w:cs="Arial"/>
          <w:b/>
          <w:bCs/>
        </w:rPr>
      </w:pPr>
      <w:r w:rsidRPr="00FB4796">
        <w:rPr>
          <w:rFonts w:ascii="Arial" w:hAnsi="Arial" w:cs="Arial"/>
          <w:b/>
          <w:bCs/>
        </w:rPr>
        <w:lastRenderedPageBreak/>
        <w:t>CSWR-Florida Utility Operating Company, LLC</w:t>
      </w:r>
    </w:p>
    <w:p w:rsidR="008B7B86" w:rsidRDefault="008B7B86" w:rsidP="008B7B8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b/>
        </w:rPr>
      </w:pPr>
      <w:r>
        <w:rPr>
          <w:rFonts w:ascii="Arial" w:hAnsi="Arial" w:cs="Arial"/>
          <w:b/>
        </w:rPr>
        <w:t>Neighborhood Utilities, Inc.</w:t>
      </w:r>
    </w:p>
    <w:p w:rsidR="008B7B86" w:rsidRPr="00FB4796" w:rsidRDefault="008B7B86" w:rsidP="008B7B8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b/>
        </w:rPr>
      </w:pPr>
      <w:r w:rsidRPr="00FB4796">
        <w:rPr>
          <w:rFonts w:ascii="Arial" w:hAnsi="Arial" w:cs="Arial"/>
          <w:b/>
        </w:rPr>
        <w:t>Monthly Water Rates</w:t>
      </w:r>
    </w:p>
    <w:p w:rsidR="008B7B86" w:rsidRPr="00FB4796" w:rsidRDefault="008B7B86" w:rsidP="008B7B8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b/>
        </w:rPr>
      </w:pPr>
    </w:p>
    <w:tbl>
      <w:tblPr>
        <w:tblW w:w="10345" w:type="dxa"/>
        <w:jc w:val="center"/>
        <w:tblLook w:val="01E0" w:firstRow="1" w:lastRow="1" w:firstColumn="1" w:lastColumn="1" w:noHBand="0" w:noVBand="0"/>
      </w:tblPr>
      <w:tblGrid>
        <w:gridCol w:w="4866"/>
        <w:gridCol w:w="856"/>
        <w:gridCol w:w="202"/>
        <w:gridCol w:w="800"/>
        <w:gridCol w:w="3524"/>
        <w:gridCol w:w="97"/>
      </w:tblGrid>
      <w:tr w:rsidR="008B7B86" w:rsidRPr="00FB4796" w:rsidTr="00CB5297">
        <w:trPr>
          <w:gridAfter w:val="1"/>
          <w:wAfter w:w="97" w:type="dxa"/>
          <w:jc w:val="center"/>
        </w:trPr>
        <w:tc>
          <w:tcPr>
            <w:tcW w:w="4866" w:type="dxa"/>
            <w:hideMark/>
          </w:tcPr>
          <w:p w:rsidR="008B7B86" w:rsidRPr="00FB4796" w:rsidRDefault="008B7B86" w:rsidP="00CB52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FB4796">
              <w:rPr>
                <w:b/>
                <w:u w:val="single"/>
              </w:rPr>
              <w:t>Residential and General Service</w:t>
            </w:r>
          </w:p>
        </w:tc>
        <w:tc>
          <w:tcPr>
            <w:tcW w:w="856" w:type="dxa"/>
          </w:tcPr>
          <w:p w:rsidR="008B7B86" w:rsidRPr="00FB4796" w:rsidRDefault="008B7B86" w:rsidP="00CB52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526" w:type="dxa"/>
            <w:gridSpan w:val="3"/>
          </w:tcPr>
          <w:p w:rsidR="008B7B86" w:rsidRPr="00FB4796" w:rsidRDefault="008B7B86" w:rsidP="00CB52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8B7B86" w:rsidRPr="00FB4796" w:rsidTr="00CB5297">
        <w:trPr>
          <w:gridAfter w:val="1"/>
          <w:wAfter w:w="97" w:type="dxa"/>
          <w:jc w:val="center"/>
        </w:trPr>
        <w:tc>
          <w:tcPr>
            <w:tcW w:w="4866" w:type="dxa"/>
            <w:hideMark/>
          </w:tcPr>
          <w:p w:rsidR="008B7B86" w:rsidRPr="00FB4796" w:rsidRDefault="008B7B86" w:rsidP="00CB52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FB4796">
              <w:t>Base Facility Charge by Meter Size</w:t>
            </w:r>
          </w:p>
        </w:tc>
        <w:tc>
          <w:tcPr>
            <w:tcW w:w="856" w:type="dxa"/>
          </w:tcPr>
          <w:p w:rsidR="008B7B86" w:rsidRPr="00FB4796" w:rsidRDefault="008B7B86" w:rsidP="00CB52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526" w:type="dxa"/>
            <w:gridSpan w:val="3"/>
            <w:hideMark/>
          </w:tcPr>
          <w:p w:rsidR="008B7B86" w:rsidRPr="00FB4796" w:rsidRDefault="008B7B86" w:rsidP="00CB52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8B7B86" w:rsidRPr="00FB4796" w:rsidTr="00CB5297">
        <w:trPr>
          <w:gridAfter w:val="1"/>
          <w:wAfter w:w="97" w:type="dxa"/>
          <w:jc w:val="center"/>
        </w:trPr>
        <w:tc>
          <w:tcPr>
            <w:tcW w:w="4866" w:type="dxa"/>
          </w:tcPr>
          <w:p w:rsidR="008B7B86" w:rsidRPr="00FB4796" w:rsidRDefault="008B7B86" w:rsidP="00CB52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FB4796">
              <w:t>5/8” x 3/4”</w:t>
            </w:r>
          </w:p>
        </w:tc>
        <w:tc>
          <w:tcPr>
            <w:tcW w:w="856" w:type="dxa"/>
          </w:tcPr>
          <w:p w:rsidR="008B7B86" w:rsidRPr="00FB4796" w:rsidRDefault="008B7B86" w:rsidP="00CB52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526" w:type="dxa"/>
            <w:gridSpan w:val="3"/>
          </w:tcPr>
          <w:p w:rsidR="008B7B86" w:rsidRPr="00FB4796" w:rsidRDefault="008B7B86" w:rsidP="00CB52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FB4796">
              <w:t>$8.44</w:t>
            </w:r>
          </w:p>
        </w:tc>
      </w:tr>
      <w:tr w:rsidR="008B7B86" w:rsidRPr="00FB4796" w:rsidTr="00CB5297">
        <w:trPr>
          <w:gridAfter w:val="1"/>
          <w:wAfter w:w="97" w:type="dxa"/>
          <w:jc w:val="center"/>
        </w:trPr>
        <w:tc>
          <w:tcPr>
            <w:tcW w:w="4866" w:type="dxa"/>
          </w:tcPr>
          <w:p w:rsidR="008B7B86" w:rsidRPr="00FB4796" w:rsidRDefault="008B7B86" w:rsidP="00CB52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FB4796">
              <w:t>3/4”</w:t>
            </w:r>
          </w:p>
        </w:tc>
        <w:tc>
          <w:tcPr>
            <w:tcW w:w="856" w:type="dxa"/>
          </w:tcPr>
          <w:p w:rsidR="008B7B86" w:rsidRPr="00FB4796" w:rsidRDefault="008B7B86" w:rsidP="00CB52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526" w:type="dxa"/>
            <w:gridSpan w:val="3"/>
          </w:tcPr>
          <w:p w:rsidR="008B7B86" w:rsidRPr="00FB4796" w:rsidRDefault="008B7B86" w:rsidP="00CB52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FB4796">
              <w:t>$12.66</w:t>
            </w:r>
          </w:p>
        </w:tc>
      </w:tr>
      <w:tr w:rsidR="008B7B86" w:rsidRPr="00FB4796" w:rsidTr="00CB5297">
        <w:trPr>
          <w:gridAfter w:val="1"/>
          <w:wAfter w:w="97" w:type="dxa"/>
          <w:jc w:val="center"/>
        </w:trPr>
        <w:tc>
          <w:tcPr>
            <w:tcW w:w="4866" w:type="dxa"/>
          </w:tcPr>
          <w:p w:rsidR="008B7B86" w:rsidRPr="00FB4796" w:rsidRDefault="008B7B86" w:rsidP="00CB52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FB4796">
              <w:t>1”</w:t>
            </w:r>
          </w:p>
        </w:tc>
        <w:tc>
          <w:tcPr>
            <w:tcW w:w="856" w:type="dxa"/>
          </w:tcPr>
          <w:p w:rsidR="008B7B86" w:rsidRPr="00FB4796" w:rsidRDefault="008B7B86" w:rsidP="00CB52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526" w:type="dxa"/>
            <w:gridSpan w:val="3"/>
          </w:tcPr>
          <w:p w:rsidR="008B7B86" w:rsidRPr="00FB4796" w:rsidRDefault="008B7B86" w:rsidP="00CB52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FB4796">
              <w:t>$21.09</w:t>
            </w:r>
          </w:p>
        </w:tc>
      </w:tr>
      <w:tr w:rsidR="008B7B86" w:rsidRPr="00FB4796" w:rsidTr="00CB5297">
        <w:trPr>
          <w:gridAfter w:val="1"/>
          <w:wAfter w:w="97" w:type="dxa"/>
          <w:jc w:val="center"/>
        </w:trPr>
        <w:tc>
          <w:tcPr>
            <w:tcW w:w="4866" w:type="dxa"/>
          </w:tcPr>
          <w:p w:rsidR="008B7B86" w:rsidRPr="00FB4796" w:rsidRDefault="008B7B86" w:rsidP="00CB52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FB4796">
              <w:t>1 1/2”</w:t>
            </w:r>
          </w:p>
        </w:tc>
        <w:tc>
          <w:tcPr>
            <w:tcW w:w="856" w:type="dxa"/>
          </w:tcPr>
          <w:p w:rsidR="008B7B86" w:rsidRPr="00FB4796" w:rsidRDefault="008B7B86" w:rsidP="00CB52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526" w:type="dxa"/>
            <w:gridSpan w:val="3"/>
          </w:tcPr>
          <w:p w:rsidR="008B7B86" w:rsidRPr="00FB4796" w:rsidRDefault="008B7B86" w:rsidP="00CB52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FB4796">
              <w:t>$42.19</w:t>
            </w:r>
          </w:p>
        </w:tc>
      </w:tr>
      <w:tr w:rsidR="008B7B86" w:rsidRPr="00FB4796" w:rsidTr="00CB5297">
        <w:trPr>
          <w:gridAfter w:val="1"/>
          <w:wAfter w:w="97" w:type="dxa"/>
          <w:jc w:val="center"/>
        </w:trPr>
        <w:tc>
          <w:tcPr>
            <w:tcW w:w="4866" w:type="dxa"/>
          </w:tcPr>
          <w:p w:rsidR="008B7B86" w:rsidRPr="00FB4796" w:rsidRDefault="008B7B86" w:rsidP="00CB52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FB4796">
              <w:t>2”</w:t>
            </w:r>
          </w:p>
        </w:tc>
        <w:tc>
          <w:tcPr>
            <w:tcW w:w="856" w:type="dxa"/>
          </w:tcPr>
          <w:p w:rsidR="008B7B86" w:rsidRPr="00FB4796" w:rsidRDefault="008B7B86" w:rsidP="00CB52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526" w:type="dxa"/>
            <w:gridSpan w:val="3"/>
          </w:tcPr>
          <w:p w:rsidR="008B7B86" w:rsidRPr="00FB4796" w:rsidRDefault="008B7B86" w:rsidP="00CB52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FB4796">
              <w:t>$67.50</w:t>
            </w:r>
          </w:p>
        </w:tc>
      </w:tr>
      <w:tr w:rsidR="008B7B86" w:rsidRPr="00FB4796" w:rsidTr="00CB5297">
        <w:trPr>
          <w:gridAfter w:val="1"/>
          <w:wAfter w:w="97" w:type="dxa"/>
          <w:jc w:val="center"/>
        </w:trPr>
        <w:tc>
          <w:tcPr>
            <w:tcW w:w="4866" w:type="dxa"/>
          </w:tcPr>
          <w:p w:rsidR="008B7B86" w:rsidRPr="00FB4796" w:rsidRDefault="008B7B86" w:rsidP="00CB52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FB4796">
              <w:t>3”</w:t>
            </w:r>
          </w:p>
        </w:tc>
        <w:tc>
          <w:tcPr>
            <w:tcW w:w="856" w:type="dxa"/>
          </w:tcPr>
          <w:p w:rsidR="008B7B86" w:rsidRPr="00FB4796" w:rsidRDefault="008B7B86" w:rsidP="00CB52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526" w:type="dxa"/>
            <w:gridSpan w:val="3"/>
          </w:tcPr>
          <w:p w:rsidR="008B7B86" w:rsidRPr="00FB4796" w:rsidRDefault="008B7B86" w:rsidP="00CB52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FB4796">
              <w:t>$134.99</w:t>
            </w:r>
          </w:p>
        </w:tc>
      </w:tr>
      <w:tr w:rsidR="008B7B86" w:rsidRPr="00FB4796" w:rsidTr="00CB5297">
        <w:trPr>
          <w:gridAfter w:val="1"/>
          <w:wAfter w:w="97" w:type="dxa"/>
          <w:jc w:val="center"/>
        </w:trPr>
        <w:tc>
          <w:tcPr>
            <w:tcW w:w="4866" w:type="dxa"/>
          </w:tcPr>
          <w:p w:rsidR="008B7B86" w:rsidRPr="00FB4796" w:rsidRDefault="008B7B86" w:rsidP="00CB52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FB4796">
              <w:t>4”</w:t>
            </w:r>
          </w:p>
        </w:tc>
        <w:tc>
          <w:tcPr>
            <w:tcW w:w="856" w:type="dxa"/>
          </w:tcPr>
          <w:p w:rsidR="008B7B86" w:rsidRPr="00FB4796" w:rsidRDefault="008B7B86" w:rsidP="00CB52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526" w:type="dxa"/>
            <w:gridSpan w:val="3"/>
          </w:tcPr>
          <w:p w:rsidR="008B7B86" w:rsidRPr="00FB4796" w:rsidRDefault="008B7B86" w:rsidP="00CB52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FB4796">
              <w:t>$210.93</w:t>
            </w:r>
          </w:p>
        </w:tc>
      </w:tr>
      <w:tr w:rsidR="008B7B86" w:rsidRPr="00FB4796" w:rsidTr="00CB5297">
        <w:trPr>
          <w:gridAfter w:val="1"/>
          <w:wAfter w:w="97" w:type="dxa"/>
          <w:jc w:val="center"/>
        </w:trPr>
        <w:tc>
          <w:tcPr>
            <w:tcW w:w="4866" w:type="dxa"/>
          </w:tcPr>
          <w:p w:rsidR="008B7B86" w:rsidRPr="00FB4796" w:rsidRDefault="008B7B86" w:rsidP="00CB52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FB4796">
              <w:t>6”</w:t>
            </w:r>
          </w:p>
        </w:tc>
        <w:tc>
          <w:tcPr>
            <w:tcW w:w="856" w:type="dxa"/>
          </w:tcPr>
          <w:p w:rsidR="008B7B86" w:rsidRPr="00FB4796" w:rsidRDefault="008B7B86" w:rsidP="00CB52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526" w:type="dxa"/>
            <w:gridSpan w:val="3"/>
          </w:tcPr>
          <w:p w:rsidR="008B7B86" w:rsidRPr="00FB4796" w:rsidRDefault="008B7B86" w:rsidP="00CB52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FB4796">
              <w:t>$421.86</w:t>
            </w:r>
          </w:p>
        </w:tc>
      </w:tr>
      <w:tr w:rsidR="008B7B86" w:rsidRPr="00FB4796" w:rsidTr="00CB5297">
        <w:trPr>
          <w:gridAfter w:val="1"/>
          <w:wAfter w:w="97" w:type="dxa"/>
          <w:jc w:val="center"/>
        </w:trPr>
        <w:tc>
          <w:tcPr>
            <w:tcW w:w="4866" w:type="dxa"/>
          </w:tcPr>
          <w:p w:rsidR="008B7B86" w:rsidRPr="00FB4796" w:rsidRDefault="008B7B86" w:rsidP="00CB52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p>
        </w:tc>
        <w:tc>
          <w:tcPr>
            <w:tcW w:w="856" w:type="dxa"/>
          </w:tcPr>
          <w:p w:rsidR="008B7B86" w:rsidRPr="00FB4796" w:rsidRDefault="008B7B86" w:rsidP="00CB52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526" w:type="dxa"/>
            <w:gridSpan w:val="3"/>
          </w:tcPr>
          <w:p w:rsidR="008B7B86" w:rsidRPr="00FB4796" w:rsidRDefault="008B7B86" w:rsidP="00CB52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8B7B86" w:rsidRPr="00FB4796" w:rsidTr="00CB5297">
        <w:trPr>
          <w:gridAfter w:val="1"/>
          <w:wAfter w:w="97" w:type="dxa"/>
          <w:jc w:val="center"/>
        </w:trPr>
        <w:tc>
          <w:tcPr>
            <w:tcW w:w="4866" w:type="dxa"/>
          </w:tcPr>
          <w:p w:rsidR="008B7B86" w:rsidRPr="00FB4796" w:rsidRDefault="008B7B86" w:rsidP="00CB52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FB4796">
              <w:t>Charge per 1,000 gallons - Residential</w:t>
            </w:r>
          </w:p>
        </w:tc>
        <w:tc>
          <w:tcPr>
            <w:tcW w:w="856" w:type="dxa"/>
          </w:tcPr>
          <w:p w:rsidR="008B7B86" w:rsidRPr="00FB4796" w:rsidRDefault="008B7B86" w:rsidP="00CB52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526" w:type="dxa"/>
            <w:gridSpan w:val="3"/>
          </w:tcPr>
          <w:p w:rsidR="008B7B86" w:rsidRPr="00FB4796" w:rsidRDefault="008B7B86" w:rsidP="00CB52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8B7B86" w:rsidRPr="00FB4796" w:rsidTr="00CB5297">
        <w:trPr>
          <w:gridAfter w:val="1"/>
          <w:wAfter w:w="97" w:type="dxa"/>
          <w:jc w:val="center"/>
        </w:trPr>
        <w:tc>
          <w:tcPr>
            <w:tcW w:w="4866" w:type="dxa"/>
          </w:tcPr>
          <w:p w:rsidR="008B7B86" w:rsidRPr="00FB4796" w:rsidRDefault="008B7B86" w:rsidP="00CB52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FB4796">
              <w:t>0 – 5,000 gallons</w:t>
            </w:r>
          </w:p>
        </w:tc>
        <w:tc>
          <w:tcPr>
            <w:tcW w:w="856" w:type="dxa"/>
          </w:tcPr>
          <w:p w:rsidR="008B7B86" w:rsidRPr="00FB4796" w:rsidRDefault="008B7B86" w:rsidP="00CB52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526" w:type="dxa"/>
            <w:gridSpan w:val="3"/>
          </w:tcPr>
          <w:p w:rsidR="008B7B86" w:rsidRPr="00FB4796" w:rsidRDefault="008B7B86" w:rsidP="00CB52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FB4796">
              <w:t>$4.34</w:t>
            </w:r>
          </w:p>
        </w:tc>
      </w:tr>
      <w:tr w:rsidR="008B7B86" w:rsidRPr="00FB4796" w:rsidTr="00CB5297">
        <w:trPr>
          <w:gridAfter w:val="1"/>
          <w:wAfter w:w="97" w:type="dxa"/>
          <w:jc w:val="center"/>
        </w:trPr>
        <w:tc>
          <w:tcPr>
            <w:tcW w:w="4866" w:type="dxa"/>
          </w:tcPr>
          <w:p w:rsidR="008B7B86" w:rsidRPr="00FB4796" w:rsidRDefault="008B7B86" w:rsidP="00CB52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FB4796">
              <w:t>5,001 – 10,000 gallons</w:t>
            </w:r>
          </w:p>
        </w:tc>
        <w:tc>
          <w:tcPr>
            <w:tcW w:w="856" w:type="dxa"/>
          </w:tcPr>
          <w:p w:rsidR="008B7B86" w:rsidRPr="00FB4796" w:rsidRDefault="008B7B86" w:rsidP="00CB52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526" w:type="dxa"/>
            <w:gridSpan w:val="3"/>
          </w:tcPr>
          <w:p w:rsidR="008B7B86" w:rsidRPr="00FB4796" w:rsidRDefault="008B7B86" w:rsidP="00CB52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FB4796">
              <w:t>$5.34</w:t>
            </w:r>
          </w:p>
        </w:tc>
      </w:tr>
      <w:tr w:rsidR="008B7B86" w:rsidRPr="00FB4796" w:rsidTr="00CB5297">
        <w:trPr>
          <w:gridAfter w:val="1"/>
          <w:wAfter w:w="97" w:type="dxa"/>
          <w:jc w:val="center"/>
        </w:trPr>
        <w:tc>
          <w:tcPr>
            <w:tcW w:w="4866" w:type="dxa"/>
          </w:tcPr>
          <w:p w:rsidR="008B7B86" w:rsidRPr="00FB4796" w:rsidRDefault="008B7B86" w:rsidP="00CB52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FB4796">
              <w:t>Over 10,000 gallons</w:t>
            </w:r>
          </w:p>
        </w:tc>
        <w:tc>
          <w:tcPr>
            <w:tcW w:w="856" w:type="dxa"/>
          </w:tcPr>
          <w:p w:rsidR="008B7B86" w:rsidRPr="00FB4796" w:rsidRDefault="008B7B86" w:rsidP="00CB52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526" w:type="dxa"/>
            <w:gridSpan w:val="3"/>
          </w:tcPr>
          <w:p w:rsidR="008B7B86" w:rsidRPr="00FB4796" w:rsidRDefault="008B7B86" w:rsidP="00CB52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FB4796">
              <w:t>$8.00</w:t>
            </w:r>
          </w:p>
        </w:tc>
      </w:tr>
      <w:tr w:rsidR="008B7B86" w:rsidRPr="00FB4796" w:rsidTr="00CB5297">
        <w:trPr>
          <w:jc w:val="center"/>
        </w:trPr>
        <w:tc>
          <w:tcPr>
            <w:tcW w:w="5924" w:type="dxa"/>
            <w:gridSpan w:val="3"/>
          </w:tcPr>
          <w:p w:rsidR="008B7B86" w:rsidRPr="00FB4796" w:rsidRDefault="008B7B86" w:rsidP="00CB52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800" w:type="dxa"/>
          </w:tcPr>
          <w:p w:rsidR="008B7B86" w:rsidRPr="00FB4796" w:rsidRDefault="008B7B86" w:rsidP="00CB52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621" w:type="dxa"/>
            <w:gridSpan w:val="2"/>
          </w:tcPr>
          <w:p w:rsidR="008B7B86" w:rsidRPr="00FB4796" w:rsidRDefault="008B7B86" w:rsidP="00CB52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8B7B86" w:rsidRPr="00FB4796" w:rsidTr="00CB5297">
        <w:trPr>
          <w:jc w:val="center"/>
        </w:trPr>
        <w:tc>
          <w:tcPr>
            <w:tcW w:w="5924" w:type="dxa"/>
            <w:gridSpan w:val="3"/>
          </w:tcPr>
          <w:p w:rsidR="008B7B86" w:rsidRPr="00FB4796" w:rsidRDefault="008B7B86" w:rsidP="00CB52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FB4796">
              <w:t>Charge per 1,000 gallons – General Service</w:t>
            </w:r>
          </w:p>
        </w:tc>
        <w:tc>
          <w:tcPr>
            <w:tcW w:w="800" w:type="dxa"/>
          </w:tcPr>
          <w:p w:rsidR="008B7B86" w:rsidRPr="00FB4796" w:rsidRDefault="008B7B86" w:rsidP="00CB52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621" w:type="dxa"/>
            <w:gridSpan w:val="2"/>
          </w:tcPr>
          <w:p w:rsidR="008B7B86" w:rsidRPr="00FB4796" w:rsidRDefault="008B7B86" w:rsidP="00CB52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FB4796">
              <w:t>$4.81</w:t>
            </w:r>
          </w:p>
        </w:tc>
      </w:tr>
      <w:tr w:rsidR="008B7B86" w:rsidRPr="00FB4796" w:rsidTr="00CB5297">
        <w:trPr>
          <w:jc w:val="center"/>
        </w:trPr>
        <w:tc>
          <w:tcPr>
            <w:tcW w:w="5924" w:type="dxa"/>
            <w:gridSpan w:val="3"/>
          </w:tcPr>
          <w:p w:rsidR="008B7B86" w:rsidRPr="00FB4796" w:rsidRDefault="008B7B86" w:rsidP="00CB52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800" w:type="dxa"/>
          </w:tcPr>
          <w:p w:rsidR="008B7B86" w:rsidRPr="00FB4796" w:rsidRDefault="008B7B86" w:rsidP="00CB52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621" w:type="dxa"/>
            <w:gridSpan w:val="2"/>
          </w:tcPr>
          <w:p w:rsidR="008B7B86" w:rsidRDefault="008B7B86" w:rsidP="00CB52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p w:rsidR="008B7B86" w:rsidRPr="00FB4796" w:rsidRDefault="008B7B86" w:rsidP="00CB52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8B7B86" w:rsidRPr="00FB4796" w:rsidTr="00CB5297">
        <w:trPr>
          <w:jc w:val="center"/>
        </w:trPr>
        <w:tc>
          <w:tcPr>
            <w:tcW w:w="10345" w:type="dxa"/>
            <w:gridSpan w:val="6"/>
          </w:tcPr>
          <w:p w:rsidR="008B7B86" w:rsidRPr="00FB4796" w:rsidRDefault="008B7B86" w:rsidP="00CB5297">
            <w:pPr>
              <w:jc w:val="center"/>
              <w:rPr>
                <w:rFonts w:ascii="Arial" w:hAnsi="Arial" w:cs="Arial"/>
                <w:b/>
              </w:rPr>
            </w:pPr>
            <w:r w:rsidRPr="00FB4796">
              <w:rPr>
                <w:rFonts w:ascii="Arial" w:hAnsi="Arial" w:cs="Arial"/>
                <w:b/>
              </w:rPr>
              <w:t>Initial Customer Deposits</w:t>
            </w:r>
          </w:p>
          <w:p w:rsidR="008B7B86" w:rsidRPr="00FB4796" w:rsidRDefault="008B7B86" w:rsidP="00CB5297">
            <w:pPr>
              <w:jc w:val="center"/>
              <w:rPr>
                <w:rFonts w:ascii="Arial" w:hAnsi="Arial" w:cs="Arial"/>
                <w:b/>
                <w:u w:val="single"/>
              </w:rPr>
            </w:pPr>
          </w:p>
          <w:tbl>
            <w:tblPr>
              <w:tblW w:w="10129" w:type="dxa"/>
              <w:jc w:val="center"/>
              <w:tblLook w:val="04A0" w:firstRow="1" w:lastRow="0" w:firstColumn="1" w:lastColumn="0" w:noHBand="0" w:noVBand="1"/>
            </w:tblPr>
            <w:tblGrid>
              <w:gridCol w:w="2328"/>
              <w:gridCol w:w="3513"/>
              <w:gridCol w:w="394"/>
              <w:gridCol w:w="3220"/>
              <w:gridCol w:w="674"/>
            </w:tblGrid>
            <w:tr w:rsidR="008B7B86" w:rsidRPr="00FB4796" w:rsidTr="00CB5297">
              <w:trPr>
                <w:gridAfter w:val="1"/>
                <w:wAfter w:w="674" w:type="dxa"/>
                <w:trHeight w:val="197"/>
                <w:jc w:val="center"/>
              </w:trPr>
              <w:tc>
                <w:tcPr>
                  <w:tcW w:w="2328" w:type="dxa"/>
                  <w:noWrap/>
                  <w:vAlign w:val="bottom"/>
                  <w:hideMark/>
                </w:tcPr>
                <w:p w:rsidR="008B7B86" w:rsidRPr="00FB4796" w:rsidRDefault="008B7B86" w:rsidP="00CB5297">
                  <w:pPr>
                    <w:rPr>
                      <w:rFonts w:ascii="Arial" w:hAnsi="Arial" w:cs="Arial"/>
                      <w:b/>
                      <w:u w:val="single"/>
                    </w:rPr>
                  </w:pPr>
                  <w:r w:rsidRPr="00FB4796">
                    <w:rPr>
                      <w:rFonts w:ascii="Arial" w:hAnsi="Arial" w:cs="Arial"/>
                      <w:b/>
                      <w:u w:val="single"/>
                    </w:rPr>
                    <w:t>Meter Size</w:t>
                  </w:r>
                </w:p>
              </w:tc>
              <w:tc>
                <w:tcPr>
                  <w:tcW w:w="3513" w:type="dxa"/>
                  <w:noWrap/>
                  <w:vAlign w:val="bottom"/>
                  <w:hideMark/>
                </w:tcPr>
                <w:p w:rsidR="008B7B86" w:rsidRPr="00FB4796" w:rsidRDefault="008B7B86" w:rsidP="00CB5297">
                  <w:pPr>
                    <w:jc w:val="right"/>
                    <w:rPr>
                      <w:rFonts w:ascii="Arial" w:hAnsi="Arial" w:cs="Arial"/>
                      <w:b/>
                      <w:bCs/>
                      <w:color w:val="000000"/>
                      <w:u w:val="single"/>
                    </w:rPr>
                  </w:pPr>
                  <w:r w:rsidRPr="00FB4796">
                    <w:rPr>
                      <w:rFonts w:ascii="Arial" w:hAnsi="Arial" w:cs="Arial"/>
                      <w:b/>
                      <w:bCs/>
                      <w:color w:val="000000"/>
                      <w:u w:val="single"/>
                    </w:rPr>
                    <w:t>Residential</w:t>
                  </w:r>
                </w:p>
              </w:tc>
              <w:tc>
                <w:tcPr>
                  <w:tcW w:w="3614" w:type="dxa"/>
                  <w:gridSpan w:val="2"/>
                  <w:noWrap/>
                  <w:vAlign w:val="bottom"/>
                  <w:hideMark/>
                </w:tcPr>
                <w:p w:rsidR="008B7B86" w:rsidRPr="00FB4796" w:rsidRDefault="008B7B86" w:rsidP="00CB5297">
                  <w:pPr>
                    <w:jc w:val="right"/>
                    <w:rPr>
                      <w:rFonts w:ascii="Arial" w:hAnsi="Arial" w:cs="Arial"/>
                      <w:b/>
                      <w:bCs/>
                      <w:color w:val="000000"/>
                      <w:u w:val="single"/>
                    </w:rPr>
                  </w:pPr>
                  <w:r w:rsidRPr="00FB4796">
                    <w:rPr>
                      <w:rFonts w:ascii="Arial" w:hAnsi="Arial" w:cs="Arial"/>
                      <w:b/>
                      <w:bCs/>
                      <w:color w:val="000000"/>
                      <w:u w:val="single"/>
                    </w:rPr>
                    <w:t>General Service</w:t>
                  </w:r>
                </w:p>
              </w:tc>
            </w:tr>
            <w:tr w:rsidR="008B7B86" w:rsidRPr="00FB4796" w:rsidTr="00CB5297">
              <w:trPr>
                <w:trHeight w:val="197"/>
                <w:jc w:val="center"/>
              </w:trPr>
              <w:tc>
                <w:tcPr>
                  <w:tcW w:w="2328" w:type="dxa"/>
                  <w:noWrap/>
                  <w:vAlign w:val="bottom"/>
                  <w:hideMark/>
                </w:tcPr>
                <w:p w:rsidR="008B7B86" w:rsidRPr="00FB4796" w:rsidRDefault="008B7B86" w:rsidP="00CB5297">
                  <w:pPr>
                    <w:rPr>
                      <w:color w:val="000000"/>
                    </w:rPr>
                  </w:pPr>
                  <w:r w:rsidRPr="00FB4796">
                    <w:rPr>
                      <w:color w:val="000000"/>
                    </w:rPr>
                    <w:t>5/8” x 3/4”</w:t>
                  </w:r>
                </w:p>
              </w:tc>
              <w:tc>
                <w:tcPr>
                  <w:tcW w:w="3907" w:type="dxa"/>
                  <w:gridSpan w:val="2"/>
                  <w:noWrap/>
                  <w:vAlign w:val="bottom"/>
                  <w:hideMark/>
                </w:tcPr>
                <w:p w:rsidR="008B7B86" w:rsidRPr="00FB4796" w:rsidRDefault="008B7B86" w:rsidP="00CB5297">
                  <w:pPr>
                    <w:jc w:val="right"/>
                    <w:rPr>
                      <w:color w:val="000000"/>
                    </w:rPr>
                  </w:pPr>
                  <w:r w:rsidRPr="00FB4796">
                    <w:rPr>
                      <w:color w:val="000000"/>
                    </w:rPr>
                    <w:t>$58.00</w:t>
                  </w:r>
                </w:p>
              </w:tc>
              <w:tc>
                <w:tcPr>
                  <w:tcW w:w="3894" w:type="dxa"/>
                  <w:gridSpan w:val="2"/>
                  <w:noWrap/>
                  <w:vAlign w:val="bottom"/>
                  <w:hideMark/>
                </w:tcPr>
                <w:p w:rsidR="008B7B86" w:rsidRPr="00FB4796" w:rsidRDefault="008B7B86" w:rsidP="00CB5297">
                  <w:pPr>
                    <w:jc w:val="right"/>
                    <w:rPr>
                      <w:color w:val="000000"/>
                    </w:rPr>
                  </w:pPr>
                  <w:r w:rsidRPr="00FB4796">
                    <w:rPr>
                      <w:color w:val="000000"/>
                    </w:rPr>
                    <w:t>2x the average estimated monthly bill</w:t>
                  </w:r>
                </w:p>
              </w:tc>
            </w:tr>
            <w:tr w:rsidR="008B7B86" w:rsidRPr="00FB4796" w:rsidTr="00CB5297">
              <w:trPr>
                <w:trHeight w:val="197"/>
                <w:jc w:val="center"/>
              </w:trPr>
              <w:tc>
                <w:tcPr>
                  <w:tcW w:w="2328" w:type="dxa"/>
                  <w:noWrap/>
                  <w:vAlign w:val="bottom"/>
                </w:tcPr>
                <w:p w:rsidR="008B7B86" w:rsidRPr="00FB4796" w:rsidRDefault="008B7B86" w:rsidP="00CB5297">
                  <w:pPr>
                    <w:rPr>
                      <w:color w:val="000000"/>
                    </w:rPr>
                  </w:pPr>
                  <w:r w:rsidRPr="00FB4796">
                    <w:rPr>
                      <w:color w:val="000000"/>
                    </w:rPr>
                    <w:t>All over 5/8” x 3/4”</w:t>
                  </w:r>
                </w:p>
              </w:tc>
              <w:tc>
                <w:tcPr>
                  <w:tcW w:w="3907" w:type="dxa"/>
                  <w:gridSpan w:val="2"/>
                  <w:noWrap/>
                  <w:vAlign w:val="bottom"/>
                </w:tcPr>
                <w:p w:rsidR="008B7B86" w:rsidRPr="00FB4796" w:rsidRDefault="008B7B86" w:rsidP="00CB5297">
                  <w:pPr>
                    <w:jc w:val="right"/>
                    <w:rPr>
                      <w:color w:val="000000"/>
                    </w:rPr>
                  </w:pPr>
                  <w:r w:rsidRPr="00FB4796">
                    <w:rPr>
                      <w:color w:val="000000"/>
                    </w:rPr>
                    <w:t>2x the average estimated monthly bill</w:t>
                  </w:r>
                </w:p>
              </w:tc>
              <w:tc>
                <w:tcPr>
                  <w:tcW w:w="3894" w:type="dxa"/>
                  <w:gridSpan w:val="2"/>
                  <w:noWrap/>
                  <w:vAlign w:val="bottom"/>
                </w:tcPr>
                <w:p w:rsidR="008B7B86" w:rsidRPr="00FB4796" w:rsidRDefault="008B7B86" w:rsidP="00CB5297">
                  <w:pPr>
                    <w:jc w:val="right"/>
                    <w:rPr>
                      <w:color w:val="000000"/>
                    </w:rPr>
                  </w:pPr>
                  <w:r w:rsidRPr="00FB4796">
                    <w:rPr>
                      <w:color w:val="000000"/>
                    </w:rPr>
                    <w:t>2x the average estimated monthly bill</w:t>
                  </w:r>
                </w:p>
              </w:tc>
            </w:tr>
          </w:tbl>
          <w:p w:rsidR="008B7B86" w:rsidRPr="00FB4796" w:rsidRDefault="008B7B86" w:rsidP="00CB52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pPr>
          </w:p>
        </w:tc>
      </w:tr>
      <w:tr w:rsidR="008B7B86" w:rsidRPr="00FB4796" w:rsidTr="00CB5297">
        <w:trPr>
          <w:jc w:val="center"/>
        </w:trPr>
        <w:tc>
          <w:tcPr>
            <w:tcW w:w="5924" w:type="dxa"/>
            <w:gridSpan w:val="3"/>
          </w:tcPr>
          <w:p w:rsidR="008B7B86" w:rsidRPr="00FB4796" w:rsidRDefault="008B7B86" w:rsidP="00CB52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u w:val="single"/>
              </w:rPr>
            </w:pPr>
          </w:p>
        </w:tc>
        <w:tc>
          <w:tcPr>
            <w:tcW w:w="800" w:type="dxa"/>
          </w:tcPr>
          <w:p w:rsidR="008B7B86" w:rsidRPr="00FB4796" w:rsidRDefault="008B7B86" w:rsidP="00CB52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621" w:type="dxa"/>
            <w:gridSpan w:val="2"/>
          </w:tcPr>
          <w:p w:rsidR="008B7B86" w:rsidRPr="00FB4796" w:rsidRDefault="008B7B86" w:rsidP="00CB52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8B7B86" w:rsidRPr="00FB4796" w:rsidTr="00CB5297">
        <w:trPr>
          <w:jc w:val="center"/>
        </w:trPr>
        <w:tc>
          <w:tcPr>
            <w:tcW w:w="5924" w:type="dxa"/>
            <w:gridSpan w:val="3"/>
          </w:tcPr>
          <w:p w:rsidR="008B7B86" w:rsidRPr="00FB4796" w:rsidRDefault="008B7B86" w:rsidP="00CB52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800" w:type="dxa"/>
          </w:tcPr>
          <w:p w:rsidR="008B7B86" w:rsidRPr="00FB4796" w:rsidRDefault="008B7B86" w:rsidP="00CB52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621" w:type="dxa"/>
            <w:gridSpan w:val="2"/>
          </w:tcPr>
          <w:p w:rsidR="008B7B86" w:rsidRPr="00FB4796" w:rsidRDefault="008B7B86" w:rsidP="00CB52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8B7B86" w:rsidRPr="00FB4796" w:rsidTr="00CB5297">
        <w:trPr>
          <w:jc w:val="center"/>
        </w:trPr>
        <w:tc>
          <w:tcPr>
            <w:tcW w:w="10345" w:type="dxa"/>
            <w:gridSpan w:val="6"/>
          </w:tcPr>
          <w:p w:rsidR="008B7B86" w:rsidRPr="00FB4796" w:rsidRDefault="008B7B86" w:rsidP="00CB5297">
            <w:pPr>
              <w:jc w:val="center"/>
              <w:rPr>
                <w:b/>
                <w:bCs/>
                <w:u w:val="single"/>
              </w:rPr>
            </w:pPr>
            <w:r w:rsidRPr="00FB4796">
              <w:rPr>
                <w:rFonts w:ascii="Arial" w:hAnsi="Arial"/>
                <w:b/>
              </w:rPr>
              <w:t>Miscellaneous Service Charges</w:t>
            </w:r>
          </w:p>
          <w:tbl>
            <w:tblPr>
              <w:tblStyle w:val="TableGrid12"/>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5"/>
              <w:gridCol w:w="5017"/>
            </w:tblGrid>
            <w:tr w:rsidR="008B7B86" w:rsidRPr="00FB4796" w:rsidTr="00CB5297">
              <w:trPr>
                <w:trHeight w:val="382"/>
                <w:jc w:val="center"/>
              </w:trPr>
              <w:tc>
                <w:tcPr>
                  <w:tcW w:w="4165" w:type="dxa"/>
                </w:tcPr>
                <w:p w:rsidR="008B7B86" w:rsidRPr="00FB4796" w:rsidRDefault="008B7B86" w:rsidP="00CB5297"/>
              </w:tc>
              <w:tc>
                <w:tcPr>
                  <w:tcW w:w="5017" w:type="dxa"/>
                </w:tcPr>
                <w:p w:rsidR="008B7B86" w:rsidRPr="00FB4796" w:rsidRDefault="008B7B86" w:rsidP="00CB5297">
                  <w:pPr>
                    <w:jc w:val="center"/>
                    <w:rPr>
                      <w:u w:val="single"/>
                    </w:rPr>
                  </w:pPr>
                </w:p>
              </w:tc>
            </w:tr>
            <w:tr w:rsidR="008B7B86" w:rsidRPr="00AA0017" w:rsidTr="00CB5297">
              <w:trPr>
                <w:trHeight w:val="341"/>
                <w:jc w:val="center"/>
              </w:trPr>
              <w:tc>
                <w:tcPr>
                  <w:tcW w:w="4165" w:type="dxa"/>
                  <w:hideMark/>
                </w:tcPr>
                <w:p w:rsidR="008B7B86" w:rsidRPr="00AA0017" w:rsidRDefault="008B7B86" w:rsidP="00CB5297">
                  <w:pPr>
                    <w:rPr>
                      <w:rFonts w:ascii="Times New Roman" w:hAnsi="Times New Roman"/>
                    </w:rPr>
                  </w:pPr>
                  <w:r w:rsidRPr="00AA0017">
                    <w:rPr>
                      <w:rFonts w:ascii="Times New Roman" w:hAnsi="Times New Roman"/>
                    </w:rPr>
                    <w:t>Late Payment Charge</w:t>
                  </w:r>
                </w:p>
              </w:tc>
              <w:tc>
                <w:tcPr>
                  <w:tcW w:w="5017" w:type="dxa"/>
                  <w:hideMark/>
                </w:tcPr>
                <w:p w:rsidR="008B7B86" w:rsidRPr="00AA0017" w:rsidRDefault="008B7B86" w:rsidP="00CB5297">
                  <w:pPr>
                    <w:jc w:val="right"/>
                    <w:rPr>
                      <w:rFonts w:ascii="Times New Roman" w:hAnsi="Times New Roman"/>
                    </w:rPr>
                  </w:pPr>
                  <w:r w:rsidRPr="00AA0017">
                    <w:rPr>
                      <w:rFonts w:ascii="Times New Roman" w:hAnsi="Times New Roman"/>
                    </w:rPr>
                    <w:t xml:space="preserve">                              $4.30</w:t>
                  </w:r>
                </w:p>
              </w:tc>
            </w:tr>
            <w:tr w:rsidR="008B7B86" w:rsidRPr="00AA0017" w:rsidTr="00CB5297">
              <w:trPr>
                <w:trHeight w:val="341"/>
                <w:jc w:val="center"/>
              </w:trPr>
              <w:tc>
                <w:tcPr>
                  <w:tcW w:w="4165" w:type="dxa"/>
                  <w:hideMark/>
                </w:tcPr>
                <w:p w:rsidR="008B7B86" w:rsidRPr="00AA0017" w:rsidRDefault="008B7B86" w:rsidP="00CB5297">
                  <w:pPr>
                    <w:rPr>
                      <w:rFonts w:ascii="Times New Roman" w:hAnsi="Times New Roman"/>
                    </w:rPr>
                  </w:pPr>
                  <w:r w:rsidRPr="00AA0017">
                    <w:rPr>
                      <w:rFonts w:ascii="Times New Roman" w:hAnsi="Times New Roman"/>
                    </w:rPr>
                    <w:t>NSF Charges</w:t>
                  </w:r>
                </w:p>
              </w:tc>
              <w:tc>
                <w:tcPr>
                  <w:tcW w:w="5017" w:type="dxa"/>
                  <w:hideMark/>
                </w:tcPr>
                <w:p w:rsidR="008B7B86" w:rsidRPr="00AA0017" w:rsidRDefault="008B7B86" w:rsidP="00CB5297">
                  <w:pPr>
                    <w:jc w:val="right"/>
                    <w:rPr>
                      <w:rFonts w:ascii="Times New Roman" w:hAnsi="Times New Roman"/>
                    </w:rPr>
                  </w:pPr>
                  <w:r w:rsidRPr="00AA0017">
                    <w:rPr>
                      <w:rFonts w:ascii="Times New Roman" w:hAnsi="Times New Roman"/>
                    </w:rPr>
                    <w:t>Pursuant to Section 68.065, F.S.</w:t>
                  </w:r>
                </w:p>
              </w:tc>
            </w:tr>
          </w:tbl>
          <w:p w:rsidR="008B7B86" w:rsidRPr="00FB4796" w:rsidRDefault="008B7B86" w:rsidP="00CB52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pPr>
          </w:p>
          <w:p w:rsidR="008B7B86" w:rsidRPr="00FB4796" w:rsidRDefault="008B7B86" w:rsidP="00CB52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b/>
              </w:rPr>
            </w:pPr>
            <w:r w:rsidRPr="00FB4796">
              <w:rPr>
                <w:rFonts w:ascii="Arial" w:hAnsi="Arial" w:cs="Arial"/>
                <w:b/>
              </w:rPr>
              <w:t>Service Availability Charges</w:t>
            </w:r>
          </w:p>
        </w:tc>
      </w:tr>
      <w:tr w:rsidR="008B7B86" w:rsidRPr="00FB4796" w:rsidTr="00CB5297">
        <w:trPr>
          <w:jc w:val="center"/>
        </w:trPr>
        <w:tc>
          <w:tcPr>
            <w:tcW w:w="10345" w:type="dxa"/>
            <w:gridSpan w:val="6"/>
          </w:tcPr>
          <w:p w:rsidR="008B7B86" w:rsidRPr="00FB4796" w:rsidRDefault="008B7B86" w:rsidP="00CB52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p>
        </w:tc>
      </w:tr>
    </w:tbl>
    <w:p w:rsidR="008B7B86" w:rsidRPr="00FB4796" w:rsidRDefault="008B7B86" w:rsidP="008B7B8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b/>
          <w:u w:val="single"/>
        </w:rPr>
      </w:pPr>
      <w:r w:rsidRPr="00FB4796">
        <w:rPr>
          <w:b/>
          <w:u w:val="single"/>
        </w:rPr>
        <w:t>Meter Installation Charge</w:t>
      </w:r>
    </w:p>
    <w:tbl>
      <w:tblPr>
        <w:tblW w:w="9653" w:type="dxa"/>
        <w:tblInd w:w="-72" w:type="dxa"/>
        <w:tblLook w:val="01E0" w:firstRow="1" w:lastRow="1" w:firstColumn="1" w:lastColumn="1" w:noHBand="0" w:noVBand="0"/>
      </w:tblPr>
      <w:tblGrid>
        <w:gridCol w:w="5490"/>
        <w:gridCol w:w="270"/>
        <w:gridCol w:w="3893"/>
      </w:tblGrid>
      <w:tr w:rsidR="008B7B86" w:rsidRPr="00FB4796" w:rsidTr="00CB5297">
        <w:tc>
          <w:tcPr>
            <w:tcW w:w="5490" w:type="dxa"/>
            <w:hideMark/>
          </w:tcPr>
          <w:p w:rsidR="008B7B86" w:rsidRPr="00FB4796" w:rsidRDefault="008B7B86" w:rsidP="00CB52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FB4796">
              <w:t>5/8” x 3/4”</w:t>
            </w:r>
          </w:p>
        </w:tc>
        <w:tc>
          <w:tcPr>
            <w:tcW w:w="270" w:type="dxa"/>
          </w:tcPr>
          <w:p w:rsidR="008B7B86" w:rsidRPr="00FB4796" w:rsidRDefault="008B7B86" w:rsidP="00CB52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893" w:type="dxa"/>
            <w:hideMark/>
          </w:tcPr>
          <w:p w:rsidR="008B7B86" w:rsidRPr="00FB4796" w:rsidRDefault="008B7B86" w:rsidP="00CB52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FB4796">
              <w:t>$206.00</w:t>
            </w:r>
          </w:p>
        </w:tc>
      </w:tr>
      <w:tr w:rsidR="008B7B86" w:rsidRPr="00FB4796" w:rsidTr="00CB5297">
        <w:tc>
          <w:tcPr>
            <w:tcW w:w="5490" w:type="dxa"/>
            <w:hideMark/>
          </w:tcPr>
          <w:p w:rsidR="008B7B86" w:rsidRPr="00FB4796" w:rsidRDefault="008B7B86" w:rsidP="00CB52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FB4796">
              <w:t xml:space="preserve">All other meter sizes </w:t>
            </w:r>
          </w:p>
        </w:tc>
        <w:tc>
          <w:tcPr>
            <w:tcW w:w="270" w:type="dxa"/>
          </w:tcPr>
          <w:p w:rsidR="008B7B86" w:rsidRPr="00FB4796" w:rsidRDefault="008B7B86" w:rsidP="00CB52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893" w:type="dxa"/>
            <w:hideMark/>
          </w:tcPr>
          <w:p w:rsidR="008B7B86" w:rsidRPr="00FB4796" w:rsidRDefault="008B7B86" w:rsidP="00CB52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FB4796">
              <w:t>Actual Cost</w:t>
            </w:r>
          </w:p>
        </w:tc>
      </w:tr>
      <w:tr w:rsidR="008B7B86" w:rsidRPr="00FB4796" w:rsidTr="00CB5297">
        <w:tc>
          <w:tcPr>
            <w:tcW w:w="5490" w:type="dxa"/>
          </w:tcPr>
          <w:p w:rsidR="008B7B86" w:rsidRPr="00FB4796" w:rsidRDefault="008B7B86" w:rsidP="00CB52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p>
        </w:tc>
        <w:tc>
          <w:tcPr>
            <w:tcW w:w="270" w:type="dxa"/>
          </w:tcPr>
          <w:p w:rsidR="008B7B86" w:rsidRPr="00FB4796" w:rsidRDefault="008B7B86" w:rsidP="00CB52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893" w:type="dxa"/>
          </w:tcPr>
          <w:p w:rsidR="008B7B86" w:rsidRPr="00FB4796" w:rsidRDefault="008B7B86" w:rsidP="00CB52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8B7B86" w:rsidRPr="00FB4796" w:rsidTr="00CB5297">
        <w:tc>
          <w:tcPr>
            <w:tcW w:w="5490" w:type="dxa"/>
          </w:tcPr>
          <w:p w:rsidR="008B7B86" w:rsidRPr="00FB4796" w:rsidRDefault="008B7B86" w:rsidP="00CB52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b/>
                <w:u w:val="single"/>
              </w:rPr>
            </w:pPr>
            <w:r w:rsidRPr="00FB4796">
              <w:rPr>
                <w:b/>
                <w:u w:val="single"/>
              </w:rPr>
              <w:t>Plant Capacity Charge</w:t>
            </w:r>
          </w:p>
        </w:tc>
        <w:tc>
          <w:tcPr>
            <w:tcW w:w="270" w:type="dxa"/>
          </w:tcPr>
          <w:p w:rsidR="008B7B86" w:rsidRPr="00FB4796" w:rsidRDefault="008B7B86" w:rsidP="00CB52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b/>
                <w:u w:val="single"/>
              </w:rPr>
            </w:pPr>
          </w:p>
        </w:tc>
        <w:tc>
          <w:tcPr>
            <w:tcW w:w="3893" w:type="dxa"/>
          </w:tcPr>
          <w:p w:rsidR="008B7B86" w:rsidRPr="00FB4796" w:rsidRDefault="008B7B86" w:rsidP="00CB52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b/>
                <w:u w:val="single"/>
              </w:rPr>
            </w:pPr>
          </w:p>
        </w:tc>
      </w:tr>
      <w:tr w:rsidR="008B7B86" w:rsidRPr="00FB4796" w:rsidTr="00CB5297">
        <w:tc>
          <w:tcPr>
            <w:tcW w:w="5490" w:type="dxa"/>
          </w:tcPr>
          <w:p w:rsidR="008B7B86" w:rsidRPr="00FB4796" w:rsidRDefault="008B7B86" w:rsidP="00CB52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FB4796">
              <w:t>Residential-per ERC (350 GPD)</w:t>
            </w:r>
          </w:p>
        </w:tc>
        <w:tc>
          <w:tcPr>
            <w:tcW w:w="270" w:type="dxa"/>
          </w:tcPr>
          <w:p w:rsidR="008B7B86" w:rsidRPr="00FB4796" w:rsidRDefault="008B7B86" w:rsidP="00CB52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893" w:type="dxa"/>
          </w:tcPr>
          <w:p w:rsidR="008B7B86" w:rsidRPr="00FB4796" w:rsidRDefault="008B7B86" w:rsidP="00CB52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FB4796">
              <w:t>$420.00</w:t>
            </w:r>
          </w:p>
        </w:tc>
      </w:tr>
      <w:tr w:rsidR="008B7B86" w:rsidRPr="00551F6C" w:rsidTr="00CB5297">
        <w:tc>
          <w:tcPr>
            <w:tcW w:w="5490" w:type="dxa"/>
            <w:hideMark/>
          </w:tcPr>
          <w:p w:rsidR="008B7B86" w:rsidRPr="00FB4796" w:rsidRDefault="008B7B86" w:rsidP="00CB52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FB4796">
              <w:t>All others per gallon</w:t>
            </w:r>
          </w:p>
        </w:tc>
        <w:tc>
          <w:tcPr>
            <w:tcW w:w="270" w:type="dxa"/>
          </w:tcPr>
          <w:p w:rsidR="008B7B86" w:rsidRPr="00FB4796" w:rsidRDefault="008B7B86" w:rsidP="00CB52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893" w:type="dxa"/>
            <w:hideMark/>
          </w:tcPr>
          <w:p w:rsidR="008B7B86" w:rsidRPr="00551F6C" w:rsidRDefault="008B7B86" w:rsidP="00CB52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FB4796">
              <w:t>$1.20</w:t>
            </w:r>
          </w:p>
        </w:tc>
      </w:tr>
    </w:tbl>
    <w:p w:rsidR="008B7B86" w:rsidRPr="008B7B86" w:rsidRDefault="008B7B86" w:rsidP="008B7B86">
      <w:pPr>
        <w:pStyle w:val="OrderBody"/>
      </w:pPr>
    </w:p>
    <w:sectPr w:rsidR="008B7B86" w:rsidRPr="008B7B86">
      <w:headerReference w:type="first" r:id="rId1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297" w:rsidRDefault="00CB5297">
      <w:r>
        <w:separator/>
      </w:r>
    </w:p>
  </w:endnote>
  <w:endnote w:type="continuationSeparator" w:id="0">
    <w:p w:rsidR="00CB5297" w:rsidRDefault="00CB5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297" w:rsidRDefault="00CB5297">
    <w:pPr>
      <w:pStyle w:val="Footer"/>
    </w:pPr>
  </w:p>
  <w:p w:rsidR="00CB5297" w:rsidRDefault="00CB52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297" w:rsidRDefault="00CB5297">
      <w:r>
        <w:separator/>
      </w:r>
    </w:p>
  </w:footnote>
  <w:footnote w:type="continuationSeparator" w:id="0">
    <w:p w:rsidR="00CB5297" w:rsidRDefault="00CB5297">
      <w:r>
        <w:continuationSeparator/>
      </w:r>
    </w:p>
  </w:footnote>
  <w:footnote w:id="1">
    <w:p w:rsidR="00CB5297" w:rsidRPr="009342A5" w:rsidRDefault="00CB5297" w:rsidP="00A1639C">
      <w:pPr>
        <w:pStyle w:val="FootnoteText"/>
      </w:pPr>
      <w:r>
        <w:rPr>
          <w:rStyle w:val="FootnoteReference"/>
        </w:rPr>
        <w:footnoteRef/>
      </w:r>
      <w:r>
        <w:t xml:space="preserve">Order No. 13723, issued September 28, 1984, in Docket No. 19840063-WU, </w:t>
      </w:r>
      <w:r>
        <w:rPr>
          <w:i/>
        </w:rPr>
        <w:t>In re: Application of Neighborhood Utilities, Inc., for a certificate to operate a water utility in Duval County.</w:t>
      </w:r>
    </w:p>
  </w:footnote>
  <w:footnote w:id="2">
    <w:p w:rsidR="00CB5297" w:rsidRPr="002246C0" w:rsidRDefault="00CB5297" w:rsidP="00A1639C">
      <w:pPr>
        <w:pStyle w:val="FootnoteText"/>
        <w:rPr>
          <w:i/>
        </w:rPr>
      </w:pPr>
      <w:r w:rsidRPr="002246C0">
        <w:rPr>
          <w:rStyle w:val="FootnoteReference"/>
        </w:rPr>
        <w:footnoteRef/>
      </w:r>
      <w:r w:rsidRPr="002246C0">
        <w:t xml:space="preserve">Order No. PSC-11-0135-FOF-WU, issued February 28, 2011, </w:t>
      </w:r>
      <w:r>
        <w:t xml:space="preserve">in Docket No. 20090441-WU, </w:t>
      </w:r>
      <w:r w:rsidRPr="002246C0">
        <w:rPr>
          <w:i/>
        </w:rPr>
        <w:t>In re: Application for amendment of Certificate No. 430-W to add territory in Duval County by Neighborhood Utilities, Inc.</w:t>
      </w:r>
    </w:p>
  </w:footnote>
  <w:footnote w:id="3">
    <w:p w:rsidR="00CB5297" w:rsidRPr="009342A5" w:rsidRDefault="00CB5297" w:rsidP="00A1639C">
      <w:pPr>
        <w:pStyle w:val="FootnoteText"/>
        <w:rPr>
          <w:i/>
        </w:rPr>
      </w:pPr>
      <w:r w:rsidRPr="002246C0">
        <w:rPr>
          <w:rStyle w:val="FootnoteReference"/>
        </w:rPr>
        <w:footnoteRef/>
      </w:r>
      <w:r w:rsidRPr="002246C0">
        <w:t>Order No. PSC-16-0537-PAA-WU, issued November 23, 2016,</w:t>
      </w:r>
      <w:r>
        <w:t xml:space="preserve"> in Docket No. 20150181-WU,</w:t>
      </w:r>
      <w:r w:rsidRPr="002246C0">
        <w:t xml:space="preserve"> </w:t>
      </w:r>
      <w:r w:rsidRPr="002246C0">
        <w:rPr>
          <w:i/>
        </w:rPr>
        <w:t>In re: Application for staff-assisted rate case in Duval County by Neighborhood Utilities, Inc.</w:t>
      </w:r>
    </w:p>
  </w:footnote>
  <w:footnote w:id="4">
    <w:p w:rsidR="00CB5297" w:rsidRDefault="00CB5297" w:rsidP="00A1639C">
      <w:pPr>
        <w:pStyle w:val="FootnoteText"/>
      </w:pPr>
      <w:r>
        <w:rPr>
          <w:rStyle w:val="FootnoteReference"/>
        </w:rPr>
        <w:footnoteRef/>
      </w:r>
      <w:r>
        <w:t>Document No. 01594-2022.</w:t>
      </w:r>
    </w:p>
  </w:footnote>
  <w:footnote w:id="5">
    <w:p w:rsidR="00CB5297" w:rsidRPr="000C7641" w:rsidRDefault="00CB5297" w:rsidP="00A1639C">
      <w:pPr>
        <w:autoSpaceDE w:val="0"/>
        <w:autoSpaceDN w:val="0"/>
        <w:adjustRightInd w:val="0"/>
        <w:jc w:val="both"/>
        <w:rPr>
          <w:color w:val="212121"/>
          <w:sz w:val="23"/>
          <w:szCs w:val="23"/>
        </w:rPr>
      </w:pPr>
      <w:r>
        <w:rPr>
          <w:rStyle w:val="FootnoteReference"/>
        </w:rPr>
        <w:footnoteRef/>
      </w:r>
      <w:r>
        <w:rPr>
          <w:sz w:val="20"/>
          <w:szCs w:val="20"/>
        </w:rPr>
        <w:t>Order No. PSC-16-0537-PAA-WU</w:t>
      </w:r>
      <w:r w:rsidRPr="00732770">
        <w:rPr>
          <w:sz w:val="20"/>
          <w:szCs w:val="20"/>
        </w:rPr>
        <w:t xml:space="preserve">, issued </w:t>
      </w:r>
      <w:r>
        <w:rPr>
          <w:sz w:val="20"/>
          <w:szCs w:val="20"/>
        </w:rPr>
        <w:t>November</w:t>
      </w:r>
      <w:r w:rsidRPr="00732770">
        <w:rPr>
          <w:sz w:val="20"/>
          <w:szCs w:val="20"/>
        </w:rPr>
        <w:t xml:space="preserve"> 2</w:t>
      </w:r>
      <w:r>
        <w:rPr>
          <w:sz w:val="20"/>
          <w:szCs w:val="20"/>
        </w:rPr>
        <w:t>3</w:t>
      </w:r>
      <w:r w:rsidRPr="00732770">
        <w:rPr>
          <w:sz w:val="20"/>
          <w:szCs w:val="20"/>
        </w:rPr>
        <w:t>, 20</w:t>
      </w:r>
      <w:r>
        <w:rPr>
          <w:sz w:val="20"/>
          <w:szCs w:val="20"/>
        </w:rPr>
        <w:t>16</w:t>
      </w:r>
      <w:r w:rsidRPr="00732770">
        <w:rPr>
          <w:sz w:val="20"/>
          <w:szCs w:val="20"/>
        </w:rPr>
        <w:t xml:space="preserve">, in Docket No. </w:t>
      </w:r>
      <w:r>
        <w:rPr>
          <w:sz w:val="20"/>
          <w:szCs w:val="20"/>
        </w:rPr>
        <w:t>20150181-WU</w:t>
      </w:r>
      <w:r w:rsidRPr="00732770">
        <w:rPr>
          <w:sz w:val="20"/>
          <w:szCs w:val="20"/>
        </w:rPr>
        <w:t xml:space="preserve">, </w:t>
      </w:r>
      <w:r w:rsidRPr="00C56698">
        <w:rPr>
          <w:i/>
          <w:color w:val="212121"/>
          <w:sz w:val="20"/>
          <w:szCs w:val="20"/>
        </w:rPr>
        <w:t>In re: Application for st</w:t>
      </w:r>
      <w:r>
        <w:rPr>
          <w:i/>
          <w:color w:val="212121"/>
          <w:sz w:val="20"/>
          <w:szCs w:val="20"/>
        </w:rPr>
        <w:t>aff</w:t>
      </w:r>
      <w:r w:rsidR="00BA2403">
        <w:rPr>
          <w:i/>
          <w:color w:val="212121"/>
          <w:sz w:val="20"/>
          <w:szCs w:val="20"/>
        </w:rPr>
        <w:t>-</w:t>
      </w:r>
      <w:r>
        <w:rPr>
          <w:i/>
          <w:color w:val="212121"/>
          <w:sz w:val="20"/>
          <w:szCs w:val="20"/>
        </w:rPr>
        <w:t>assisted rate case by Neighborhood Utilities, Inc.</w:t>
      </w:r>
    </w:p>
  </w:footnote>
  <w:footnote w:id="6">
    <w:p w:rsidR="00CB5297" w:rsidRDefault="00CB5297" w:rsidP="00A1639C">
      <w:pPr>
        <w:pStyle w:val="FootnoteText"/>
      </w:pPr>
      <w:r>
        <w:rPr>
          <w:rStyle w:val="FootnoteReference"/>
        </w:rPr>
        <w:footnoteRef/>
      </w:r>
      <w:r w:rsidRPr="00C027EE">
        <w:rPr>
          <w:i/>
        </w:rPr>
        <w:t>Id.</w:t>
      </w:r>
    </w:p>
  </w:footnote>
  <w:footnote w:id="7">
    <w:p w:rsidR="00CB5297" w:rsidRPr="006A1C73" w:rsidRDefault="00CB5297" w:rsidP="00AE465B">
      <w:pPr>
        <w:pStyle w:val="FootnoteText"/>
        <w:rPr>
          <w:i/>
        </w:rPr>
      </w:pPr>
      <w:r w:rsidRPr="006A1C73">
        <w:rPr>
          <w:rStyle w:val="FootnoteReference"/>
        </w:rPr>
        <w:footnoteRef/>
      </w:r>
      <w:r>
        <w:t>Order No. PSC-</w:t>
      </w:r>
      <w:r w:rsidRPr="006A1C73">
        <w:t xml:space="preserve">16-0537-PAA-WU, issued November 23, 2016, in Docket No. 20150181-WU, </w:t>
      </w:r>
      <w:r w:rsidRPr="006A1C73">
        <w:rPr>
          <w:i/>
        </w:rPr>
        <w:t>In re: Application for staff-assisted rate case in Duval County by Neighborhood Utilities, Inc.</w:t>
      </w:r>
    </w:p>
  </w:footnote>
  <w:footnote w:id="8">
    <w:p w:rsidR="00CB5297" w:rsidRDefault="00CB5297" w:rsidP="00AE465B">
      <w:pPr>
        <w:pStyle w:val="FootnoteText"/>
      </w:pPr>
      <w:r w:rsidRPr="006A1C73">
        <w:rPr>
          <w:rStyle w:val="FootnoteReference"/>
        </w:rPr>
        <w:footnoteRef/>
      </w:r>
      <w:r w:rsidRPr="006A1C73">
        <w:t xml:space="preserve">Net book value is calculated through the date of the closing. According to the Utility’s application, the closing will not occur until after the transaction receives Commission approval. Therefore, </w:t>
      </w:r>
      <w:r w:rsidR="00C027EE">
        <w:t>we are</w:t>
      </w:r>
      <w:r w:rsidRPr="006A1C73">
        <w:t xml:space="preserve"> relying on the most current information provided to </w:t>
      </w:r>
      <w:r w:rsidR="00C027EE">
        <w:t xml:space="preserve">our </w:t>
      </w:r>
      <w:r w:rsidRPr="006A1C73">
        <w:t>staff auditors at the time of the filing.</w:t>
      </w:r>
    </w:p>
  </w:footnote>
  <w:footnote w:id="9">
    <w:p w:rsidR="00CB5297" w:rsidRPr="00F33475" w:rsidRDefault="00CB5297" w:rsidP="00AE465B">
      <w:pPr>
        <w:pStyle w:val="FootnoteText"/>
        <w:rPr>
          <w:i/>
        </w:rPr>
      </w:pPr>
      <w:r w:rsidRPr="0072078B">
        <w:rPr>
          <w:rStyle w:val="FootnoteReference"/>
        </w:rPr>
        <w:footnoteRef/>
      </w:r>
      <w:r w:rsidRPr="0072078B">
        <w:t>Or</w:t>
      </w:r>
      <w:r>
        <w:t>der No. PSC-</w:t>
      </w:r>
      <w:r w:rsidRPr="0072078B">
        <w:t xml:space="preserve">07-0913-PAA-GU, issued November 13, 2007, in Docket No. 20060657-GU, </w:t>
      </w:r>
      <w:r w:rsidRPr="0072078B">
        <w:rPr>
          <w:i/>
        </w:rPr>
        <w:t xml:space="preserve">In re: Petition for approval or acquisition adjustment and recognition of regulatory asset to reflect purchase of Florida City Gas by AGL Resources, Inc.; </w:t>
      </w:r>
      <w:r>
        <w:t>Order No. PSC-</w:t>
      </w:r>
      <w:r w:rsidRPr="0072078B">
        <w:t xml:space="preserve">12-0010-PAA-GU, issued January 3, 2012, in Docket No. 20110133-GU, </w:t>
      </w:r>
      <w:r w:rsidRPr="0072078B">
        <w:rPr>
          <w:i/>
        </w:rPr>
        <w:t xml:space="preserve">In re: Petition for approval of acquisition adjustment and recovery of regulatory assets, and request for the consolidation of regulatory filings and records of Florida Public Utilities Company and Florida Divisions of Chesapeake Utilities Corporation; </w:t>
      </w:r>
      <w:r>
        <w:t>Order No. PSC-</w:t>
      </w:r>
      <w:r w:rsidRPr="0072078B">
        <w:t xml:space="preserve">14-0015-PAA-GU, issued January 6, 2014, in Docket No. 20120311-GU, </w:t>
      </w:r>
      <w:r w:rsidRPr="0072078B">
        <w:rPr>
          <w:i/>
        </w:rPr>
        <w:t>In re: Petition for approval of positive acquisition adjustment to reflect the acquisition of Indiantown Gas Company by Florida Public Utilities Company.</w:t>
      </w:r>
    </w:p>
  </w:footnote>
  <w:footnote w:id="10">
    <w:p w:rsidR="00CB5297" w:rsidRPr="00AE7532" w:rsidRDefault="00CB5297" w:rsidP="00AE465B">
      <w:pPr>
        <w:pStyle w:val="FootnoteText"/>
        <w:rPr>
          <w:rFonts w:eastAsiaTheme="minorHAnsi" w:cstheme="minorBidi"/>
          <w:i/>
        </w:rPr>
      </w:pPr>
      <w:r w:rsidRPr="00AE7532">
        <w:rPr>
          <w:rStyle w:val="FootnoteReference"/>
        </w:rPr>
        <w:footnoteRef/>
      </w:r>
      <w:r w:rsidRPr="00AE7532">
        <w:t xml:space="preserve">Order No. PSC-2020-0458-PAA-WS, issued November, 23, 2020, in Docket No. 20190170-WS, </w:t>
      </w:r>
      <w:r w:rsidRPr="00AE7532">
        <w:rPr>
          <w:i/>
        </w:rPr>
        <w:t>In re: Application for transfer of facilities and Certificate Nos. 259-W and 199-S in Broward County from Royal Utility Company to Royal Waterworks, Inc.</w:t>
      </w:r>
    </w:p>
  </w:footnote>
  <w:footnote w:id="11">
    <w:p w:rsidR="00CB5297" w:rsidRPr="00C766DD" w:rsidRDefault="00CB5297" w:rsidP="00AE465B">
      <w:pPr>
        <w:pStyle w:val="FootnoteText"/>
        <w:rPr>
          <w:rFonts w:eastAsiaTheme="minorHAnsi" w:cstheme="minorBidi"/>
          <w:bCs/>
          <w:i/>
        </w:rPr>
      </w:pPr>
      <w:r w:rsidRPr="00AE7532">
        <w:rPr>
          <w:rStyle w:val="FootnoteReference"/>
        </w:rPr>
        <w:footnoteRef/>
      </w:r>
      <w:r w:rsidRPr="00AE7532">
        <w:t xml:space="preserve">Order No. PSC-2022-0116-PAA-SU, issued March 17, 2022, in Docket No. 20210133-SU, </w:t>
      </w:r>
      <w:r w:rsidRPr="00AE7532">
        <w:rPr>
          <w:i/>
        </w:rPr>
        <w:t xml:space="preserve">In re: </w:t>
      </w:r>
      <w:r w:rsidRPr="00AE7532">
        <w:rPr>
          <w:rFonts w:eastAsiaTheme="minorHAnsi" w:cstheme="minorBidi"/>
          <w:bCs/>
          <w:i/>
        </w:rPr>
        <w:t xml:space="preserve">Application for transfer of facilities of North Peninsula Utilities Corporation and wastewater Certificate No. 249-S to CSWR-Florida Utility Operating Company, LLC, in Volusia County. </w:t>
      </w:r>
      <w:r w:rsidRPr="00AE7532">
        <w:rPr>
          <w:rFonts w:eastAsiaTheme="minorHAnsi" w:cstheme="minorBidi"/>
          <w:bCs/>
        </w:rPr>
        <w:t xml:space="preserve">; Order No. PSC-2022-0120-PAA-WU, issued March 18, 2022, in Docket No. 20220095-WU, </w:t>
      </w:r>
      <w:r w:rsidRPr="00AE7532">
        <w:rPr>
          <w:rFonts w:eastAsiaTheme="minorHAnsi" w:cstheme="minorBidi"/>
          <w:bCs/>
          <w:i/>
        </w:rPr>
        <w:t>In re: Application for transfer of water facilities of Sunshine Utilities of Central Florida, Inc. and water Certificate No. 363-W to CSWR-Florida Utility Operating Company, LLC, in Marion County</w:t>
      </w:r>
      <w:r w:rsidRPr="00AE7532">
        <w:rPr>
          <w:rFonts w:eastAsiaTheme="minorHAnsi" w:cstheme="minorBidi"/>
          <w:bCs/>
        </w:rPr>
        <w:t>; Order No. PSC-2022-0115-</w:t>
      </w:r>
      <w:r>
        <w:rPr>
          <w:rFonts w:eastAsiaTheme="minorHAnsi" w:cstheme="minorBidi"/>
          <w:bCs/>
        </w:rPr>
        <w:t>PAA-WS, issued March 15, 2022, i</w:t>
      </w:r>
      <w:r w:rsidRPr="00AE7532">
        <w:rPr>
          <w:rFonts w:eastAsiaTheme="minorHAnsi" w:cstheme="minorBidi"/>
          <w:bCs/>
        </w:rPr>
        <w:t xml:space="preserve">n Docket No. 20210093-WS, </w:t>
      </w:r>
      <w:r w:rsidRPr="00AE7532">
        <w:rPr>
          <w:rFonts w:eastAsiaTheme="minorHAnsi" w:cstheme="minorBidi"/>
          <w:i/>
        </w:rPr>
        <w:t>Application for transfer of water and wastewater systems of Aquarina Utilities, Inc., water Certificate No. 517-W, and wastewater Certificate No. 450-S to CSWR-Florida Utility Operating Company, LLC, in Brevard County.</w:t>
      </w:r>
    </w:p>
  </w:footnote>
  <w:footnote w:id="12">
    <w:p w:rsidR="00CB5297" w:rsidRDefault="00CB5297" w:rsidP="00946ED1">
      <w:pPr>
        <w:pStyle w:val="FootnoteText"/>
      </w:pPr>
      <w:r>
        <w:rPr>
          <w:rStyle w:val="FootnoteReference"/>
          <w:rFonts w:eastAsiaTheme="majorEastAsia"/>
        </w:rPr>
        <w:footnoteRef/>
      </w:r>
      <w:r>
        <w:t xml:space="preserve">Order No. PSC-2021-0201-FOF-WS, issued June 4, 2020, in Docket No. 20200240-WS, </w:t>
      </w:r>
      <w:r>
        <w:rPr>
          <w:i/>
        </w:rPr>
        <w:t>In re: Proposed amendment of Rule 25-30.460, F.A.C., Application for Miscellaneous Service Charges.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297" w:rsidRDefault="00CB5297">
    <w:pPr>
      <w:pStyle w:val="OrderHeader"/>
    </w:pPr>
    <w:r>
      <w:t xml:space="preserve">ORDER NO. </w:t>
    </w:r>
    <w:fldSimple w:instr=" REF OrderNo0364 ">
      <w:r w:rsidR="00D912DE">
        <w:t>PSC-2022-0364-PAA-WU</w:t>
      </w:r>
    </w:fldSimple>
  </w:p>
  <w:p w:rsidR="00CB5297" w:rsidRDefault="00CB5297">
    <w:pPr>
      <w:pStyle w:val="OrderHeader"/>
    </w:pPr>
    <w:bookmarkStart w:id="10" w:name="HeaderDocketNo"/>
    <w:bookmarkEnd w:id="10"/>
    <w:r>
      <w:t>DOCKET NO. 20220019-WU</w:t>
    </w:r>
  </w:p>
  <w:p w:rsidR="00CB5297" w:rsidRDefault="00CB529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912DE">
      <w:rPr>
        <w:rStyle w:val="PageNumber"/>
        <w:noProof/>
      </w:rPr>
      <w:t>13</w:t>
    </w:r>
    <w:r>
      <w:rPr>
        <w:rStyle w:val="PageNumber"/>
      </w:rPr>
      <w:fldChar w:fldCharType="end"/>
    </w:r>
  </w:p>
  <w:p w:rsidR="00CB5297" w:rsidRDefault="00CB5297">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297" w:rsidRDefault="00CB5297" w:rsidP="002506F9">
    <w:pPr>
      <w:pStyle w:val="OrderBody"/>
      <w:tabs>
        <w:tab w:val="center" w:pos="4320"/>
        <w:tab w:val="right" w:pos="8640"/>
      </w:tabs>
      <w:jc w:val="left"/>
    </w:pPr>
    <w:r>
      <w:t xml:space="preserve">ORDER NO. </w:t>
    </w:r>
    <w:r w:rsidR="002506F9">
      <w:t>PSC-2022-0364-PAA-WU</w:t>
    </w:r>
  </w:p>
  <w:p w:rsidR="00CB5297" w:rsidRDefault="00CB5297" w:rsidP="008B7B86">
    <w:pPr>
      <w:pStyle w:val="OrderHeader"/>
    </w:pPr>
    <w:r>
      <w:t>DOCKET NO. 20220019-WU</w:t>
    </w:r>
    <w:r>
      <w:tab/>
    </w:r>
    <w:r>
      <w:tab/>
      <w:t>Attachment A</w:t>
    </w:r>
  </w:p>
  <w:p w:rsidR="00CB5297" w:rsidRDefault="00CB5297" w:rsidP="008B7B8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912DE">
      <w:rPr>
        <w:rStyle w:val="PageNumber"/>
        <w:noProof/>
      </w:rPr>
      <w:t>15</w:t>
    </w:r>
    <w:r>
      <w:rPr>
        <w:rStyle w:val="PageNumber"/>
      </w:rPr>
      <w:fldChar w:fldCharType="end"/>
    </w:r>
    <w:r>
      <w:rPr>
        <w:rStyle w:val="PageNumber"/>
      </w:rPr>
      <w:tab/>
    </w:r>
    <w:r>
      <w:rPr>
        <w:rStyle w:val="PageNumber"/>
      </w:rPr>
      <w:tab/>
      <w:t>Page 1 of 3</w:t>
    </w:r>
  </w:p>
  <w:p w:rsidR="00CB5297" w:rsidRDefault="00CB52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297" w:rsidRDefault="00CB5297" w:rsidP="002506F9">
    <w:pPr>
      <w:pStyle w:val="OrderBody"/>
      <w:tabs>
        <w:tab w:val="center" w:pos="4320"/>
        <w:tab w:val="right" w:pos="8640"/>
      </w:tabs>
      <w:jc w:val="left"/>
    </w:pPr>
    <w:r>
      <w:t xml:space="preserve">ORDER NO. </w:t>
    </w:r>
    <w:r w:rsidR="002506F9">
      <w:t>PSC-2022-0364-PAA-WU</w:t>
    </w:r>
  </w:p>
  <w:p w:rsidR="00CB5297" w:rsidRDefault="00CB5297" w:rsidP="008B7B86">
    <w:pPr>
      <w:pStyle w:val="OrderHeader"/>
    </w:pPr>
    <w:r>
      <w:t>DOCKET NO. 20220019-WU</w:t>
    </w:r>
    <w:r>
      <w:tab/>
    </w:r>
    <w:r>
      <w:tab/>
      <w:t>Attachment A</w:t>
    </w:r>
  </w:p>
  <w:p w:rsidR="00CB5297" w:rsidRDefault="00CB5297" w:rsidP="008B7B8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912DE">
      <w:rPr>
        <w:rStyle w:val="PageNumber"/>
        <w:noProof/>
      </w:rPr>
      <w:t>16</w:t>
    </w:r>
    <w:r>
      <w:rPr>
        <w:rStyle w:val="PageNumber"/>
      </w:rPr>
      <w:fldChar w:fldCharType="end"/>
    </w:r>
    <w:r>
      <w:rPr>
        <w:rStyle w:val="PageNumber"/>
      </w:rPr>
      <w:tab/>
    </w:r>
    <w:r>
      <w:rPr>
        <w:rStyle w:val="PageNumber"/>
      </w:rPr>
      <w:tab/>
      <w:t>Page 2 of 3</w:t>
    </w:r>
  </w:p>
  <w:p w:rsidR="00CB5297" w:rsidRDefault="00CB52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297" w:rsidRDefault="00CB5297" w:rsidP="002506F9">
    <w:pPr>
      <w:pStyle w:val="OrderBody"/>
      <w:tabs>
        <w:tab w:val="center" w:pos="4320"/>
        <w:tab w:val="right" w:pos="8640"/>
      </w:tabs>
      <w:jc w:val="left"/>
    </w:pPr>
    <w:r>
      <w:t xml:space="preserve">ORDER NO. </w:t>
    </w:r>
    <w:r w:rsidR="002506F9">
      <w:t>PSC-2022-0364-PAA-WU</w:t>
    </w:r>
  </w:p>
  <w:p w:rsidR="00CB5297" w:rsidRDefault="00CB5297" w:rsidP="008B7B86">
    <w:pPr>
      <w:pStyle w:val="OrderHeader"/>
    </w:pPr>
    <w:r>
      <w:t>DOCKET NO. 20220019-WU</w:t>
    </w:r>
    <w:r>
      <w:tab/>
    </w:r>
    <w:r>
      <w:tab/>
      <w:t>Attachment A</w:t>
    </w:r>
  </w:p>
  <w:p w:rsidR="00CB5297" w:rsidRDefault="00CB5297" w:rsidP="008B7B8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912DE">
      <w:rPr>
        <w:rStyle w:val="PageNumber"/>
        <w:noProof/>
      </w:rPr>
      <w:t>17</w:t>
    </w:r>
    <w:r>
      <w:rPr>
        <w:rStyle w:val="PageNumber"/>
      </w:rPr>
      <w:fldChar w:fldCharType="end"/>
    </w:r>
    <w:r>
      <w:rPr>
        <w:rStyle w:val="PageNumber"/>
      </w:rPr>
      <w:tab/>
    </w:r>
    <w:r>
      <w:rPr>
        <w:rStyle w:val="PageNumber"/>
      </w:rPr>
      <w:tab/>
      <w:t>Page 3 of 3</w:t>
    </w:r>
  </w:p>
  <w:p w:rsidR="00CB5297" w:rsidRDefault="00CB529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297" w:rsidRDefault="00CB5297" w:rsidP="002506F9">
    <w:pPr>
      <w:pStyle w:val="OrderBody"/>
      <w:tabs>
        <w:tab w:val="center" w:pos="4320"/>
        <w:tab w:val="right" w:pos="8640"/>
      </w:tabs>
      <w:jc w:val="left"/>
    </w:pPr>
    <w:r>
      <w:t xml:space="preserve">ORDER NO. </w:t>
    </w:r>
    <w:r w:rsidR="002506F9">
      <w:t>PSC-2022-0364-PAA-WU</w:t>
    </w:r>
  </w:p>
  <w:p w:rsidR="00CB5297" w:rsidRDefault="00CB5297" w:rsidP="008B7B86">
    <w:pPr>
      <w:pStyle w:val="OrderHeader"/>
    </w:pPr>
    <w:r>
      <w:t>DOCKET NO. 20220019-WU</w:t>
    </w:r>
    <w:r>
      <w:tab/>
    </w:r>
    <w:r>
      <w:tab/>
      <w:t>Schedule 1</w:t>
    </w:r>
  </w:p>
  <w:p w:rsidR="00CB5297" w:rsidRDefault="00CB5297" w:rsidP="008B7B8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912DE">
      <w:rPr>
        <w:rStyle w:val="PageNumber"/>
        <w:noProof/>
      </w:rPr>
      <w:t>18</w:t>
    </w:r>
    <w:r>
      <w:rPr>
        <w:rStyle w:val="PageNumber"/>
      </w:rPr>
      <w:fldChar w:fldCharType="end"/>
    </w:r>
    <w:r>
      <w:rPr>
        <w:rStyle w:val="PageNumber"/>
      </w:rPr>
      <w:tab/>
    </w:r>
    <w:r>
      <w:rPr>
        <w:rStyle w:val="PageNumber"/>
      </w:rPr>
      <w:tab/>
      <w:t>Page 1 of 3</w:t>
    </w:r>
  </w:p>
  <w:p w:rsidR="00CB5297" w:rsidRDefault="00CB529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297" w:rsidRDefault="00CB5297" w:rsidP="002506F9">
    <w:pPr>
      <w:pStyle w:val="OrderBody"/>
      <w:tabs>
        <w:tab w:val="center" w:pos="4320"/>
        <w:tab w:val="right" w:pos="8640"/>
      </w:tabs>
      <w:jc w:val="left"/>
    </w:pPr>
    <w:r>
      <w:t xml:space="preserve">ORDER NO. </w:t>
    </w:r>
    <w:r w:rsidR="002506F9">
      <w:t>PSC-2022-0364-PAA-WU</w:t>
    </w:r>
  </w:p>
  <w:p w:rsidR="00CB5297" w:rsidRDefault="00CB5297" w:rsidP="008B7B86">
    <w:pPr>
      <w:pStyle w:val="OrderHeader"/>
    </w:pPr>
    <w:r>
      <w:t>DOCKET NO. 20220019-WU</w:t>
    </w:r>
    <w:r>
      <w:tab/>
    </w:r>
    <w:r>
      <w:tab/>
      <w:t>Schedule 1</w:t>
    </w:r>
  </w:p>
  <w:p w:rsidR="00CB5297" w:rsidRDefault="00CB5297" w:rsidP="008B7B8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912DE">
      <w:rPr>
        <w:rStyle w:val="PageNumber"/>
        <w:noProof/>
      </w:rPr>
      <w:t>19</w:t>
    </w:r>
    <w:r>
      <w:rPr>
        <w:rStyle w:val="PageNumber"/>
      </w:rPr>
      <w:fldChar w:fldCharType="end"/>
    </w:r>
    <w:r>
      <w:rPr>
        <w:rStyle w:val="PageNumber"/>
      </w:rPr>
      <w:tab/>
    </w:r>
    <w:r>
      <w:rPr>
        <w:rStyle w:val="PageNumber"/>
      </w:rPr>
      <w:tab/>
      <w:t>Page 2 of 3</w:t>
    </w:r>
  </w:p>
  <w:p w:rsidR="00CB5297" w:rsidRDefault="00CB529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297" w:rsidRDefault="00CB5297" w:rsidP="002506F9">
    <w:pPr>
      <w:pStyle w:val="OrderBody"/>
      <w:tabs>
        <w:tab w:val="center" w:pos="4320"/>
        <w:tab w:val="right" w:pos="8640"/>
      </w:tabs>
      <w:jc w:val="left"/>
    </w:pPr>
    <w:r>
      <w:t xml:space="preserve">ORDER NO. </w:t>
    </w:r>
    <w:r w:rsidR="002506F9">
      <w:t>PSC-2022-0364-PAA-WU</w:t>
    </w:r>
  </w:p>
  <w:p w:rsidR="00CB5297" w:rsidRDefault="00CB5297" w:rsidP="008B7B86">
    <w:pPr>
      <w:pStyle w:val="OrderHeader"/>
    </w:pPr>
    <w:r>
      <w:t>DOCKET NO. 20220019-WU</w:t>
    </w:r>
    <w:r>
      <w:tab/>
    </w:r>
    <w:r>
      <w:tab/>
      <w:t>Schedule 1</w:t>
    </w:r>
  </w:p>
  <w:p w:rsidR="00CB5297" w:rsidRDefault="00CB5297" w:rsidP="008B7B8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912DE">
      <w:rPr>
        <w:rStyle w:val="PageNumber"/>
        <w:noProof/>
      </w:rPr>
      <w:t>20</w:t>
    </w:r>
    <w:r>
      <w:rPr>
        <w:rStyle w:val="PageNumber"/>
      </w:rPr>
      <w:fldChar w:fldCharType="end"/>
    </w:r>
    <w:r>
      <w:rPr>
        <w:rStyle w:val="PageNumber"/>
      </w:rPr>
      <w:tab/>
    </w:r>
    <w:r>
      <w:rPr>
        <w:rStyle w:val="PageNumber"/>
      </w:rPr>
      <w:tab/>
      <w:t>Page 3 of 3</w:t>
    </w:r>
  </w:p>
  <w:p w:rsidR="00CB5297" w:rsidRDefault="00CB529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297" w:rsidRDefault="00CB5297" w:rsidP="002506F9">
    <w:pPr>
      <w:pStyle w:val="OrderBody"/>
      <w:tabs>
        <w:tab w:val="center" w:pos="4320"/>
        <w:tab w:val="right" w:pos="8640"/>
      </w:tabs>
      <w:jc w:val="left"/>
    </w:pPr>
    <w:r>
      <w:t xml:space="preserve">ORDER NO. </w:t>
    </w:r>
    <w:r w:rsidR="002506F9">
      <w:t>PSC-2022-0364-PAA-WU</w:t>
    </w:r>
  </w:p>
  <w:p w:rsidR="00CB5297" w:rsidRDefault="00CB5297" w:rsidP="008B7B86">
    <w:pPr>
      <w:pStyle w:val="OrderHeader"/>
    </w:pPr>
    <w:r>
      <w:t>DOCKET NO. 20220019-WU</w:t>
    </w:r>
    <w:r>
      <w:tab/>
    </w:r>
    <w:r>
      <w:tab/>
      <w:t>Schedule 2</w:t>
    </w:r>
  </w:p>
  <w:p w:rsidR="00CB5297" w:rsidRDefault="00CB5297" w:rsidP="008B7B8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912DE">
      <w:rPr>
        <w:rStyle w:val="PageNumber"/>
        <w:noProof/>
      </w:rPr>
      <w:t>21</w:t>
    </w:r>
    <w:r>
      <w:rPr>
        <w:rStyle w:val="PageNumber"/>
      </w:rPr>
      <w:fldChar w:fldCharType="end"/>
    </w:r>
    <w:r>
      <w:rPr>
        <w:rStyle w:val="PageNumber"/>
      </w:rPr>
      <w:tab/>
    </w:r>
    <w:r>
      <w:rPr>
        <w:rStyle w:val="PageNumber"/>
      </w:rPr>
      <w:tab/>
      <w:t>Page 1 of 1</w:t>
    </w:r>
  </w:p>
  <w:p w:rsidR="00CB5297" w:rsidRDefault="00CB52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74305"/>
    <w:multiLevelType w:val="hybridMultilevel"/>
    <w:tmpl w:val="34866F6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74586F"/>
    <w:multiLevelType w:val="hybridMultilevel"/>
    <w:tmpl w:val="D3C0FE9E"/>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F269B0"/>
    <w:multiLevelType w:val="hybridMultilevel"/>
    <w:tmpl w:val="02B2D8C0"/>
    <w:lvl w:ilvl="0" w:tplc="D00CF3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5292AC0"/>
    <w:multiLevelType w:val="hybridMultilevel"/>
    <w:tmpl w:val="6ED45E8A"/>
    <w:lvl w:ilvl="0" w:tplc="B5B0C2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CF72001"/>
    <w:multiLevelType w:val="hybridMultilevel"/>
    <w:tmpl w:val="306C282C"/>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D82AB4"/>
    <w:multiLevelType w:val="hybridMultilevel"/>
    <w:tmpl w:val="1F881D44"/>
    <w:lvl w:ilvl="0" w:tplc="8168D8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CB37AEC"/>
    <w:multiLevelType w:val="hybridMultilevel"/>
    <w:tmpl w:val="7632ECAA"/>
    <w:lvl w:ilvl="0" w:tplc="AAA2A0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26D3704"/>
    <w:multiLevelType w:val="hybridMultilevel"/>
    <w:tmpl w:val="8F0E9C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8B24C3A"/>
    <w:multiLevelType w:val="hybridMultilevel"/>
    <w:tmpl w:val="7C94CD4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8"/>
  </w:num>
  <w:num w:numId="3">
    <w:abstractNumId w:val="1"/>
  </w:num>
  <w:num w:numId="4">
    <w:abstractNumId w:val="4"/>
  </w:num>
  <w:num w:numId="5">
    <w:abstractNumId w:val="5"/>
  </w:num>
  <w:num w:numId="6">
    <w:abstractNumId w:val="0"/>
  </w:num>
  <w:num w:numId="7">
    <w:abstractNumId w:val="2"/>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19-WU"/>
  </w:docVars>
  <w:rsids>
    <w:rsidRoot w:val="00A1639C"/>
    <w:rsid w:val="000022B8"/>
    <w:rsid w:val="00003883"/>
    <w:rsid w:val="00011251"/>
    <w:rsid w:val="00022D6D"/>
    <w:rsid w:val="00025C2A"/>
    <w:rsid w:val="00025C9D"/>
    <w:rsid w:val="0003433F"/>
    <w:rsid w:val="00035A8C"/>
    <w:rsid w:val="00036BDD"/>
    <w:rsid w:val="00041FFD"/>
    <w:rsid w:val="00042C99"/>
    <w:rsid w:val="0005028E"/>
    <w:rsid w:val="00053AB9"/>
    <w:rsid w:val="00056229"/>
    <w:rsid w:val="00057AF1"/>
    <w:rsid w:val="00065FC2"/>
    <w:rsid w:val="00067685"/>
    <w:rsid w:val="00067B07"/>
    <w:rsid w:val="000730D7"/>
    <w:rsid w:val="00076E6B"/>
    <w:rsid w:val="00081AE4"/>
    <w:rsid w:val="0008247D"/>
    <w:rsid w:val="00090AFC"/>
    <w:rsid w:val="00096507"/>
    <w:rsid w:val="000A774F"/>
    <w:rsid w:val="000B3288"/>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1D36"/>
    <w:rsid w:val="00134177"/>
    <w:rsid w:val="00136087"/>
    <w:rsid w:val="00142A96"/>
    <w:rsid w:val="001513DE"/>
    <w:rsid w:val="00154A71"/>
    <w:rsid w:val="0015591C"/>
    <w:rsid w:val="00162FA3"/>
    <w:rsid w:val="001655D4"/>
    <w:rsid w:val="00165803"/>
    <w:rsid w:val="00187E32"/>
    <w:rsid w:val="00194A97"/>
    <w:rsid w:val="00194E81"/>
    <w:rsid w:val="001A15E7"/>
    <w:rsid w:val="001A33C9"/>
    <w:rsid w:val="001A58F3"/>
    <w:rsid w:val="001B034E"/>
    <w:rsid w:val="001B1C72"/>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32EAD"/>
    <w:rsid w:val="00240C7A"/>
    <w:rsid w:val="00241CEF"/>
    <w:rsid w:val="002506F9"/>
    <w:rsid w:val="0025124E"/>
    <w:rsid w:val="00252B30"/>
    <w:rsid w:val="00255291"/>
    <w:rsid w:val="002613E4"/>
    <w:rsid w:val="00262C43"/>
    <w:rsid w:val="0026544B"/>
    <w:rsid w:val="00270F89"/>
    <w:rsid w:val="00274421"/>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C5423"/>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6447C"/>
    <w:rsid w:val="00472BCC"/>
    <w:rsid w:val="00477699"/>
    <w:rsid w:val="004973A7"/>
    <w:rsid w:val="004A25CD"/>
    <w:rsid w:val="004A26CC"/>
    <w:rsid w:val="004B2108"/>
    <w:rsid w:val="004B3A2B"/>
    <w:rsid w:val="004B4916"/>
    <w:rsid w:val="004B70D3"/>
    <w:rsid w:val="004C312D"/>
    <w:rsid w:val="004D2D1B"/>
    <w:rsid w:val="004D5067"/>
    <w:rsid w:val="004D6838"/>
    <w:rsid w:val="004D72BC"/>
    <w:rsid w:val="004E469D"/>
    <w:rsid w:val="004E7F4F"/>
    <w:rsid w:val="004F2DDE"/>
    <w:rsid w:val="004F5A55"/>
    <w:rsid w:val="004F7826"/>
    <w:rsid w:val="0050097F"/>
    <w:rsid w:val="00514B1F"/>
    <w:rsid w:val="00517DDB"/>
    <w:rsid w:val="00523C5C"/>
    <w:rsid w:val="00524884"/>
    <w:rsid w:val="00525E93"/>
    <w:rsid w:val="0052671D"/>
    <w:rsid w:val="005300C0"/>
    <w:rsid w:val="00533EF6"/>
    <w:rsid w:val="00540E6B"/>
    <w:rsid w:val="0054109E"/>
    <w:rsid w:val="0055595D"/>
    <w:rsid w:val="00556A10"/>
    <w:rsid w:val="00557F50"/>
    <w:rsid w:val="00571D3D"/>
    <w:rsid w:val="00572085"/>
    <w:rsid w:val="0058264B"/>
    <w:rsid w:val="00586368"/>
    <w:rsid w:val="005868AA"/>
    <w:rsid w:val="00590845"/>
    <w:rsid w:val="005963C2"/>
    <w:rsid w:val="005A0D69"/>
    <w:rsid w:val="005A31F4"/>
    <w:rsid w:val="005A73EA"/>
    <w:rsid w:val="005B45F7"/>
    <w:rsid w:val="005B63EA"/>
    <w:rsid w:val="005C1A88"/>
    <w:rsid w:val="005C5033"/>
    <w:rsid w:val="005C67CA"/>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D79BF"/>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110F"/>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41DD"/>
    <w:rsid w:val="007C7134"/>
    <w:rsid w:val="007C7ECF"/>
    <w:rsid w:val="007D3D20"/>
    <w:rsid w:val="007D44F9"/>
    <w:rsid w:val="007D742E"/>
    <w:rsid w:val="007E3AFD"/>
    <w:rsid w:val="007F0968"/>
    <w:rsid w:val="00801DAD"/>
    <w:rsid w:val="00803189"/>
    <w:rsid w:val="00804E7A"/>
    <w:rsid w:val="00805FBB"/>
    <w:rsid w:val="00814292"/>
    <w:rsid w:val="008169A4"/>
    <w:rsid w:val="008278FE"/>
    <w:rsid w:val="00832598"/>
    <w:rsid w:val="0083397E"/>
    <w:rsid w:val="0083534B"/>
    <w:rsid w:val="0083589A"/>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B86"/>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46ED1"/>
    <w:rsid w:val="00964A38"/>
    <w:rsid w:val="00966A9D"/>
    <w:rsid w:val="0096742B"/>
    <w:rsid w:val="00967C64"/>
    <w:rsid w:val="009718C5"/>
    <w:rsid w:val="00976AFF"/>
    <w:rsid w:val="009807F4"/>
    <w:rsid w:val="00986AED"/>
    <w:rsid w:val="009924CF"/>
    <w:rsid w:val="00994100"/>
    <w:rsid w:val="009A04B7"/>
    <w:rsid w:val="009A0F74"/>
    <w:rsid w:val="009A6B17"/>
    <w:rsid w:val="009B052E"/>
    <w:rsid w:val="009D4C29"/>
    <w:rsid w:val="009E58E9"/>
    <w:rsid w:val="009E6803"/>
    <w:rsid w:val="009F6AD2"/>
    <w:rsid w:val="009F7C1B"/>
    <w:rsid w:val="00A00B5B"/>
    <w:rsid w:val="00A00D8D"/>
    <w:rsid w:val="00A01BB6"/>
    <w:rsid w:val="00A108A7"/>
    <w:rsid w:val="00A1639C"/>
    <w:rsid w:val="00A22B28"/>
    <w:rsid w:val="00A30BC5"/>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3F13"/>
    <w:rsid w:val="00AE465B"/>
    <w:rsid w:val="00B019C1"/>
    <w:rsid w:val="00B02001"/>
    <w:rsid w:val="00B03C50"/>
    <w:rsid w:val="00B0777D"/>
    <w:rsid w:val="00B11576"/>
    <w:rsid w:val="00B1195F"/>
    <w:rsid w:val="00B14D10"/>
    <w:rsid w:val="00B209C7"/>
    <w:rsid w:val="00B3644F"/>
    <w:rsid w:val="00B3716A"/>
    <w:rsid w:val="00B4057A"/>
    <w:rsid w:val="00B40894"/>
    <w:rsid w:val="00B41039"/>
    <w:rsid w:val="00B42987"/>
    <w:rsid w:val="00B44278"/>
    <w:rsid w:val="00B444AE"/>
    <w:rsid w:val="00B45E75"/>
    <w:rsid w:val="00B50876"/>
    <w:rsid w:val="00B51074"/>
    <w:rsid w:val="00B54DAA"/>
    <w:rsid w:val="00B552E0"/>
    <w:rsid w:val="00B557EB"/>
    <w:rsid w:val="00B55AB0"/>
    <w:rsid w:val="00B55EE5"/>
    <w:rsid w:val="00B61D42"/>
    <w:rsid w:val="00B67A43"/>
    <w:rsid w:val="00B71D1F"/>
    <w:rsid w:val="00B72CFF"/>
    <w:rsid w:val="00B73DE6"/>
    <w:rsid w:val="00B761CD"/>
    <w:rsid w:val="00B76B66"/>
    <w:rsid w:val="00B86EF0"/>
    <w:rsid w:val="00B96969"/>
    <w:rsid w:val="00B97900"/>
    <w:rsid w:val="00BA1229"/>
    <w:rsid w:val="00BA2403"/>
    <w:rsid w:val="00BA44A8"/>
    <w:rsid w:val="00BA49C5"/>
    <w:rsid w:val="00BB0182"/>
    <w:rsid w:val="00BB2F4A"/>
    <w:rsid w:val="00BC34CE"/>
    <w:rsid w:val="00BC786E"/>
    <w:rsid w:val="00BD5C92"/>
    <w:rsid w:val="00BE50E6"/>
    <w:rsid w:val="00BE7A0C"/>
    <w:rsid w:val="00BF2928"/>
    <w:rsid w:val="00BF5D60"/>
    <w:rsid w:val="00BF6691"/>
    <w:rsid w:val="00C00F58"/>
    <w:rsid w:val="00C027EE"/>
    <w:rsid w:val="00C028FC"/>
    <w:rsid w:val="00C037F2"/>
    <w:rsid w:val="00C0386D"/>
    <w:rsid w:val="00C065A1"/>
    <w:rsid w:val="00C10ED5"/>
    <w:rsid w:val="00C12574"/>
    <w:rsid w:val="00C151A6"/>
    <w:rsid w:val="00C24098"/>
    <w:rsid w:val="00C30A4E"/>
    <w:rsid w:val="00C411F3"/>
    <w:rsid w:val="00C44105"/>
    <w:rsid w:val="00C523EC"/>
    <w:rsid w:val="00C55A33"/>
    <w:rsid w:val="00C602D7"/>
    <w:rsid w:val="00C64D49"/>
    <w:rsid w:val="00C66692"/>
    <w:rsid w:val="00C673B5"/>
    <w:rsid w:val="00C7063D"/>
    <w:rsid w:val="00C72339"/>
    <w:rsid w:val="00C830BC"/>
    <w:rsid w:val="00C8524D"/>
    <w:rsid w:val="00C86383"/>
    <w:rsid w:val="00C90904"/>
    <w:rsid w:val="00C91123"/>
    <w:rsid w:val="00CA71FF"/>
    <w:rsid w:val="00CB0ACB"/>
    <w:rsid w:val="00CB2393"/>
    <w:rsid w:val="00CB5276"/>
    <w:rsid w:val="00CB5297"/>
    <w:rsid w:val="00CB5BFC"/>
    <w:rsid w:val="00CB68D7"/>
    <w:rsid w:val="00CB785B"/>
    <w:rsid w:val="00CC7E68"/>
    <w:rsid w:val="00CD3D74"/>
    <w:rsid w:val="00CD7132"/>
    <w:rsid w:val="00CE0E6F"/>
    <w:rsid w:val="00CE3B21"/>
    <w:rsid w:val="00CE56FC"/>
    <w:rsid w:val="00CE7A4D"/>
    <w:rsid w:val="00CF32D2"/>
    <w:rsid w:val="00CF4AF5"/>
    <w:rsid w:val="00CF4CFE"/>
    <w:rsid w:val="00D00E8E"/>
    <w:rsid w:val="00D02E0F"/>
    <w:rsid w:val="00D03EE8"/>
    <w:rsid w:val="00D13535"/>
    <w:rsid w:val="00D15497"/>
    <w:rsid w:val="00D17B79"/>
    <w:rsid w:val="00D205F5"/>
    <w:rsid w:val="00D2179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912DE"/>
    <w:rsid w:val="00DA4EDD"/>
    <w:rsid w:val="00DA6B78"/>
    <w:rsid w:val="00DB122B"/>
    <w:rsid w:val="00DC1D94"/>
    <w:rsid w:val="00DC42CF"/>
    <w:rsid w:val="00DC5C68"/>
    <w:rsid w:val="00DC738A"/>
    <w:rsid w:val="00DD382A"/>
    <w:rsid w:val="00DD592E"/>
    <w:rsid w:val="00DE057F"/>
    <w:rsid w:val="00DE2082"/>
    <w:rsid w:val="00DE2289"/>
    <w:rsid w:val="00DF09A7"/>
    <w:rsid w:val="00DF2B51"/>
    <w:rsid w:val="00E001D6"/>
    <w:rsid w:val="00E03A76"/>
    <w:rsid w:val="00E04410"/>
    <w:rsid w:val="00E07484"/>
    <w:rsid w:val="00E11351"/>
    <w:rsid w:val="00E11D18"/>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C7ECE"/>
    <w:rsid w:val="00ED6A79"/>
    <w:rsid w:val="00EE17DF"/>
    <w:rsid w:val="00EF1482"/>
    <w:rsid w:val="00EF4621"/>
    <w:rsid w:val="00EF4D52"/>
    <w:rsid w:val="00EF6312"/>
    <w:rsid w:val="00F038B0"/>
    <w:rsid w:val="00F05F34"/>
    <w:rsid w:val="00F22B27"/>
    <w:rsid w:val="00F234A7"/>
    <w:rsid w:val="00F26C67"/>
    <w:rsid w:val="00F277B6"/>
    <w:rsid w:val="00F27DA5"/>
    <w:rsid w:val="00F36ED7"/>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481"/>
    <o:shapelayout v:ext="edit">
      <o:idmap v:ext="edit" data="1"/>
    </o:shapelayout>
  </w:shapeDefaults>
  <w:decimalSymbol w:val="."/>
  <w:listSeparator w:val=","/>
  <w14:docId w14:val="66EDD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A1639C"/>
    <w:pPr>
      <w:jc w:val="center"/>
    </w:pPr>
    <w:rPr>
      <w:rFonts w:ascii="Arial" w:hAnsi="Arial"/>
      <w:b/>
    </w:rPr>
  </w:style>
  <w:style w:type="character" w:customStyle="1" w:styleId="FootnoteTextChar">
    <w:name w:val="Footnote Text Char"/>
    <w:basedOn w:val="DefaultParagraphFont"/>
    <w:link w:val="FootnoteText"/>
    <w:rsid w:val="00A1639C"/>
  </w:style>
  <w:style w:type="paragraph" w:customStyle="1" w:styleId="IssueHeading">
    <w:name w:val="Issue Heading"/>
    <w:basedOn w:val="Heading1"/>
    <w:next w:val="BodyText"/>
    <w:link w:val="IssueHeadingChar"/>
    <w:qFormat/>
    <w:rsid w:val="00A1639C"/>
    <w:pPr>
      <w:keepNext w:val="0"/>
    </w:pPr>
    <w:rPr>
      <w:rFonts w:ascii="Arial" w:hAnsi="Arial"/>
      <w:b/>
      <w:i/>
    </w:rPr>
  </w:style>
  <w:style w:type="character" w:customStyle="1" w:styleId="IssueHeadingChar">
    <w:name w:val="Issue Heading Char"/>
    <w:link w:val="IssueHeading"/>
    <w:rsid w:val="00A1639C"/>
    <w:rPr>
      <w:rFonts w:ascii="Arial" w:hAnsi="Arial" w:cs="Arial"/>
      <w:b/>
      <w:bCs/>
      <w:i/>
      <w:kern w:val="32"/>
      <w:sz w:val="24"/>
      <w:szCs w:val="32"/>
    </w:rPr>
  </w:style>
  <w:style w:type="paragraph" w:customStyle="1" w:styleId="IssueSubsectionHeading">
    <w:name w:val="Issue Subsection Heading"/>
    <w:basedOn w:val="Heading2"/>
    <w:next w:val="BodyText"/>
    <w:link w:val="IssueSubsectionHeadingChar"/>
    <w:qFormat/>
    <w:rsid w:val="00A1639C"/>
    <w:pPr>
      <w:keepNext w:val="0"/>
    </w:pPr>
    <w:rPr>
      <w:rFonts w:ascii="Arial" w:hAnsi="Arial"/>
      <w:b/>
      <w:i/>
    </w:rPr>
  </w:style>
  <w:style w:type="character" w:customStyle="1" w:styleId="IssueSubsectionHeadingChar">
    <w:name w:val="Issue Subsection Heading Char"/>
    <w:link w:val="IssueSubsectionHeading"/>
    <w:rsid w:val="00A1639C"/>
    <w:rPr>
      <w:rFonts w:ascii="Arial" w:hAnsi="Arial" w:cs="Arial"/>
      <w:b/>
      <w:bCs/>
      <w:i/>
      <w:iCs/>
      <w:sz w:val="24"/>
      <w:szCs w:val="28"/>
    </w:rPr>
  </w:style>
  <w:style w:type="paragraph" w:customStyle="1" w:styleId="First-LevelSubheading">
    <w:name w:val="First-Level Subheading"/>
    <w:basedOn w:val="IssueSubsectionHeading"/>
    <w:next w:val="BodyText"/>
    <w:qFormat/>
    <w:rsid w:val="00A1639C"/>
    <w:pPr>
      <w:spacing w:after="0"/>
      <w:outlineLvl w:val="2"/>
    </w:pPr>
    <w:rPr>
      <w:i w:val="0"/>
    </w:rPr>
  </w:style>
  <w:style w:type="table" w:customStyle="1" w:styleId="TableGrid12">
    <w:name w:val="Table Grid12"/>
    <w:basedOn w:val="TableNormal"/>
    <w:uiPriority w:val="59"/>
    <w:rsid w:val="00A1639C"/>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7B86"/>
    <w:pPr>
      <w:ind w:left="720"/>
      <w:contextualSpacing/>
    </w:pPr>
  </w:style>
  <w:style w:type="paragraph" w:customStyle="1" w:styleId="TableTitle">
    <w:name w:val="Table Title"/>
    <w:basedOn w:val="BodyText"/>
    <w:next w:val="BodyText"/>
    <w:qFormat/>
    <w:rsid w:val="008B7B86"/>
    <w:pPr>
      <w:spacing w:after="0"/>
      <w:jc w:val="center"/>
    </w:pPr>
    <w:rPr>
      <w:rFonts w:ascii="Arial" w:hAnsi="Arial"/>
      <w:b/>
    </w:rPr>
  </w:style>
  <w:style w:type="paragraph" w:styleId="BalloonText">
    <w:name w:val="Balloon Text"/>
    <w:basedOn w:val="Normal"/>
    <w:link w:val="BalloonTextChar"/>
    <w:semiHidden/>
    <w:unhideWhenUsed/>
    <w:rsid w:val="002506F9"/>
    <w:rPr>
      <w:rFonts w:ascii="Segoe UI" w:hAnsi="Segoe UI" w:cs="Segoe UI"/>
      <w:sz w:val="18"/>
      <w:szCs w:val="18"/>
    </w:rPr>
  </w:style>
  <w:style w:type="character" w:customStyle="1" w:styleId="BalloonTextChar">
    <w:name w:val="Balloon Text Char"/>
    <w:basedOn w:val="DefaultParagraphFont"/>
    <w:link w:val="BalloonText"/>
    <w:semiHidden/>
    <w:rsid w:val="002506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JPG"/><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21</Pages>
  <Words>5697</Words>
  <Characters>32475</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2022-10-25T16:14:00Z</dcterms:created>
  <dcterms:modified xsi:type="dcterms:W3CDTF">2022-10-25T18:31:00Z</dcterms:modified>
</cp:coreProperties>
</file>