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74615" w:rsidP="00D74615">
      <w:pPr>
        <w:pStyle w:val="OrderHeading"/>
      </w:pPr>
      <w:r>
        <w:t>BEFORE THE FLORIDA PUBLIC SERVICE COMMISSION</w:t>
      </w:r>
    </w:p>
    <w:p w:rsidR="00D74615" w:rsidRDefault="00D74615" w:rsidP="00D74615">
      <w:pPr>
        <w:pStyle w:val="OrderBody"/>
      </w:pPr>
    </w:p>
    <w:p w:rsidR="00D74615" w:rsidRDefault="00D74615" w:rsidP="00D746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4615" w:rsidRPr="00C63FCF" w:rsidTr="00014CF9">
        <w:trPr>
          <w:trHeight w:val="828"/>
        </w:trPr>
        <w:tc>
          <w:tcPr>
            <w:tcW w:w="4788" w:type="dxa"/>
            <w:tcBorders>
              <w:bottom w:val="single" w:sz="8" w:space="0" w:color="auto"/>
              <w:right w:val="double" w:sz="6" w:space="0" w:color="auto"/>
            </w:tcBorders>
            <w:shd w:val="clear" w:color="auto" w:fill="auto"/>
          </w:tcPr>
          <w:p w:rsidR="00D74615" w:rsidRDefault="00D74615" w:rsidP="00014CF9">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rsidR="00D74615" w:rsidRDefault="00D74615" w:rsidP="00D74615">
            <w:pPr>
              <w:pStyle w:val="OrderBody"/>
            </w:pPr>
            <w:r>
              <w:t xml:space="preserve">DOCKET NO. </w:t>
            </w:r>
            <w:bookmarkStart w:id="1" w:name="SSDocketNo"/>
            <w:bookmarkEnd w:id="1"/>
            <w:r>
              <w:t>20220010-EI</w:t>
            </w:r>
          </w:p>
          <w:p w:rsidR="00D74615" w:rsidRDefault="00D74615" w:rsidP="00014CF9">
            <w:pPr>
              <w:pStyle w:val="OrderBody"/>
              <w:tabs>
                <w:tab w:val="center" w:pos="4320"/>
                <w:tab w:val="right" w:pos="8640"/>
              </w:tabs>
              <w:jc w:val="left"/>
            </w:pPr>
            <w:r>
              <w:t xml:space="preserve">ORDER NO. </w:t>
            </w:r>
            <w:bookmarkStart w:id="2" w:name="OrderNo0418"/>
            <w:r w:rsidR="00DA48DC">
              <w:t>PSC-2022-0418-FOF-EI</w:t>
            </w:r>
            <w:bookmarkEnd w:id="2"/>
          </w:p>
          <w:p w:rsidR="00D74615" w:rsidRDefault="00D74615" w:rsidP="00014CF9">
            <w:pPr>
              <w:pStyle w:val="OrderBody"/>
              <w:tabs>
                <w:tab w:val="center" w:pos="4320"/>
                <w:tab w:val="right" w:pos="8640"/>
              </w:tabs>
              <w:jc w:val="left"/>
            </w:pPr>
            <w:r>
              <w:t xml:space="preserve">ISSUED: </w:t>
            </w:r>
            <w:r w:rsidR="00DA48DC">
              <w:t>December 12, 2022</w:t>
            </w:r>
          </w:p>
        </w:tc>
      </w:tr>
    </w:tbl>
    <w:p w:rsidR="00D74615" w:rsidRDefault="00D74615" w:rsidP="00D74615"/>
    <w:p w:rsidR="00D74615" w:rsidRDefault="00D74615" w:rsidP="00D74615"/>
    <w:p w:rsidR="00D74615" w:rsidRDefault="00D74615" w:rsidP="00B67A43">
      <w:pPr>
        <w:ind w:firstLine="720"/>
        <w:jc w:val="both"/>
      </w:pPr>
      <w:bookmarkStart w:id="3" w:name="Commissioners"/>
      <w:bookmarkEnd w:id="3"/>
      <w:r>
        <w:t>The following Commissioners participated in the disposition of this matter:</w:t>
      </w:r>
    </w:p>
    <w:p w:rsidR="00D74615" w:rsidRDefault="00D74615" w:rsidP="00B67A43"/>
    <w:p w:rsidR="00D74615" w:rsidRDefault="00D74615" w:rsidP="00477699">
      <w:pPr>
        <w:jc w:val="center"/>
      </w:pPr>
      <w:r>
        <w:t>ANDREW GILES FAY, Chairman</w:t>
      </w:r>
    </w:p>
    <w:p w:rsidR="00D74615" w:rsidRDefault="00D74615" w:rsidP="00B67A43">
      <w:pPr>
        <w:jc w:val="center"/>
      </w:pPr>
      <w:r>
        <w:t>ART GRAHAM</w:t>
      </w:r>
    </w:p>
    <w:p w:rsidR="00D74615" w:rsidRDefault="00D74615" w:rsidP="00B67A43">
      <w:pPr>
        <w:jc w:val="center"/>
      </w:pPr>
      <w:r>
        <w:t>GARY F. CLARK</w:t>
      </w:r>
    </w:p>
    <w:p w:rsidR="00D74615" w:rsidRDefault="00D74615" w:rsidP="00B67A43">
      <w:pPr>
        <w:jc w:val="center"/>
      </w:pPr>
      <w:r>
        <w:t>MIKE LA ROSA</w:t>
      </w:r>
    </w:p>
    <w:p w:rsidR="00D74615" w:rsidRDefault="00D74615" w:rsidP="00FF2053">
      <w:pPr>
        <w:jc w:val="center"/>
      </w:pPr>
      <w:r w:rsidRPr="005F2751">
        <w:rPr>
          <w:lang w:val="en"/>
        </w:rPr>
        <w:t>GABRIELLA PASSIDOMO</w:t>
      </w:r>
    </w:p>
    <w:p w:rsidR="00CB5276" w:rsidRDefault="00CB5276">
      <w:pPr>
        <w:pStyle w:val="OrderBody"/>
      </w:pPr>
    </w:p>
    <w:p w:rsidR="002261F3" w:rsidRDefault="002261F3" w:rsidP="00D74615">
      <w:pPr>
        <w:pStyle w:val="CenterUnderline"/>
      </w:pPr>
      <w:r>
        <w:t xml:space="preserve">FINAL </w:t>
      </w:r>
      <w:r w:rsidR="00D74615">
        <w:t>ORDER</w:t>
      </w:r>
      <w:bookmarkStart w:id="4" w:name="OrderTitle"/>
      <w:r w:rsidR="00D74615">
        <w:t xml:space="preserve"> </w:t>
      </w:r>
      <w:r>
        <w:t>APPROVING STORM COST RECOVERY</w:t>
      </w:r>
    </w:p>
    <w:p w:rsidR="002261F3" w:rsidRDefault="002261F3" w:rsidP="00D74615">
      <w:pPr>
        <w:pStyle w:val="CenterUnderline"/>
      </w:pPr>
      <w:r>
        <w:t>AMOUNTS AND RELATED TARIFFS AND ESTABLISHING</w:t>
      </w:r>
    </w:p>
    <w:p w:rsidR="002261F3" w:rsidRDefault="002261F3" w:rsidP="00D74615">
      <w:pPr>
        <w:pStyle w:val="CenterUnderline"/>
      </w:pPr>
      <w:r>
        <w:t>STORM COST RECOVERY FACTORS FOR THE PERIOD</w:t>
      </w:r>
    </w:p>
    <w:p w:rsidR="00D74615" w:rsidRDefault="002261F3" w:rsidP="00D74615">
      <w:pPr>
        <w:pStyle w:val="CenterUnderline"/>
      </w:pPr>
      <w:r>
        <w:t>JANUARY 2023 THROUGH DECEMBER 2023</w:t>
      </w:r>
      <w:r w:rsidR="00D74615">
        <w:t xml:space="preserve"> </w:t>
      </w:r>
      <w:bookmarkEnd w:id="4"/>
    </w:p>
    <w:p w:rsidR="00FF2053" w:rsidRDefault="00FF2053" w:rsidP="00D74615">
      <w:pPr>
        <w:pStyle w:val="OrderBody"/>
      </w:pPr>
    </w:p>
    <w:p w:rsidR="00FF2053" w:rsidRPr="00701945" w:rsidRDefault="00FF2053" w:rsidP="00FF2053">
      <w:pPr>
        <w:jc w:val="both"/>
      </w:pPr>
      <w:r w:rsidRPr="00701945">
        <w:t>APPEARANCES:</w:t>
      </w:r>
    </w:p>
    <w:p w:rsidR="00FF2053" w:rsidRPr="00701945" w:rsidRDefault="00FF2053" w:rsidP="00FF2053">
      <w:pPr>
        <w:jc w:val="both"/>
      </w:pPr>
    </w:p>
    <w:p w:rsidR="00FF2053" w:rsidRDefault="00FF2053" w:rsidP="00FF2053">
      <w:pPr>
        <w:ind w:left="1440"/>
        <w:jc w:val="both"/>
      </w:pPr>
      <w:r>
        <w:t>J. JEFFREY WAHLEN</w:t>
      </w:r>
      <w:r w:rsidRPr="00701945">
        <w:t xml:space="preserve">, ESQUIRE, </w:t>
      </w:r>
      <w:r>
        <w:t>MALCOLM N. MEANS, ESQUIRE, and VIRGINIA PONDER, ESQUIRE, Ausley Law Firm, Post Office Box 391, Tallahassee, Florida  32302</w:t>
      </w:r>
    </w:p>
    <w:p w:rsidR="00FF2053" w:rsidRPr="00701945" w:rsidRDefault="00FF2053" w:rsidP="00FF2053">
      <w:pPr>
        <w:ind w:left="720" w:firstLine="720"/>
        <w:jc w:val="both"/>
      </w:pPr>
      <w:r w:rsidRPr="00701945">
        <w:rPr>
          <w:u w:val="single"/>
        </w:rPr>
        <w:t xml:space="preserve">On behalf of </w:t>
      </w:r>
      <w:r>
        <w:rPr>
          <w:u w:val="single"/>
        </w:rPr>
        <w:t>Tampa Electric Company (TECO)</w:t>
      </w:r>
      <w:r w:rsidRPr="00701945">
        <w:t>.</w:t>
      </w:r>
    </w:p>
    <w:p w:rsidR="00FF2053" w:rsidRDefault="00FF2053" w:rsidP="00FF2053">
      <w:pPr>
        <w:jc w:val="both"/>
      </w:pPr>
    </w:p>
    <w:p w:rsidR="00FF2053" w:rsidRDefault="00FF2053" w:rsidP="00FF2053">
      <w:pPr>
        <w:ind w:left="1440"/>
        <w:jc w:val="both"/>
      </w:pPr>
      <w:r>
        <w:t>BETH KEATING</w:t>
      </w:r>
      <w:r w:rsidRPr="00701945">
        <w:t xml:space="preserve">, ESQUIRE, </w:t>
      </w:r>
      <w:r>
        <w:t>Gunster Law Firm, 215 South Monroe Street, Suite 601, Tallahassee, Florida  32301</w:t>
      </w:r>
    </w:p>
    <w:p w:rsidR="00FF2053" w:rsidRPr="00701945" w:rsidRDefault="00FF2053" w:rsidP="00FF2053">
      <w:pPr>
        <w:ind w:left="720" w:firstLine="720"/>
        <w:jc w:val="both"/>
      </w:pPr>
      <w:r w:rsidRPr="00701945">
        <w:rPr>
          <w:u w:val="single"/>
        </w:rPr>
        <w:t xml:space="preserve">On behalf of </w:t>
      </w:r>
      <w:r>
        <w:rPr>
          <w:u w:val="single"/>
        </w:rPr>
        <w:t>Florida Public Utilities Company (FPUC)</w:t>
      </w:r>
      <w:r w:rsidRPr="00701945">
        <w:t>.</w:t>
      </w:r>
    </w:p>
    <w:p w:rsidR="00FF2053" w:rsidRDefault="00FF2053" w:rsidP="00FF2053">
      <w:pPr>
        <w:jc w:val="both"/>
      </w:pPr>
    </w:p>
    <w:p w:rsidR="00FF2053" w:rsidRDefault="00FF2053" w:rsidP="00FF2053">
      <w:pPr>
        <w:ind w:left="1440"/>
        <w:jc w:val="both"/>
      </w:pPr>
      <w:r>
        <w:t>CHRISTOPHER T. WRIGHT</w:t>
      </w:r>
      <w:r w:rsidRPr="00701945">
        <w:t xml:space="preserve">, ESQUIRE, </w:t>
      </w:r>
      <w:r>
        <w:t>700 Universe Blvd., Juno Beach, Florida  33408-0420</w:t>
      </w:r>
    </w:p>
    <w:p w:rsidR="00FF2053" w:rsidRPr="00701945" w:rsidRDefault="00FF2053" w:rsidP="00FF2053">
      <w:pPr>
        <w:ind w:left="720" w:firstLine="720"/>
        <w:jc w:val="both"/>
      </w:pPr>
      <w:r w:rsidRPr="00701945">
        <w:rPr>
          <w:u w:val="single"/>
        </w:rPr>
        <w:t xml:space="preserve">On behalf of </w:t>
      </w:r>
      <w:r>
        <w:rPr>
          <w:u w:val="single"/>
        </w:rPr>
        <w:t>Florida Power &amp; Light Company (FPL)</w:t>
      </w:r>
      <w:r w:rsidRPr="00701945">
        <w:t>.</w:t>
      </w:r>
    </w:p>
    <w:p w:rsidR="00FF2053" w:rsidRDefault="00FF2053" w:rsidP="00FF2053">
      <w:pPr>
        <w:jc w:val="both"/>
      </w:pPr>
    </w:p>
    <w:p w:rsidR="00FF2053" w:rsidRDefault="00FF2053" w:rsidP="00FF2053">
      <w:pPr>
        <w:ind w:left="1440"/>
        <w:jc w:val="both"/>
      </w:pPr>
      <w:r>
        <w:t>MATTHEW R. BERNIER</w:t>
      </w:r>
      <w:r w:rsidRPr="00701945">
        <w:t xml:space="preserve">, ESQUIRE, </w:t>
      </w:r>
      <w:r>
        <w:t>and STEPHANIE A. CUELLO, ESQUIRE, 106 East College Avenue, Suite 800, Tallahassee, Florida  32301</w:t>
      </w:r>
    </w:p>
    <w:p w:rsidR="00FF2053" w:rsidRPr="00701945" w:rsidRDefault="00FF2053" w:rsidP="00FF2053">
      <w:pPr>
        <w:ind w:left="720" w:firstLine="720"/>
        <w:jc w:val="both"/>
      </w:pPr>
      <w:r w:rsidRPr="00701945">
        <w:rPr>
          <w:u w:val="single"/>
        </w:rPr>
        <w:t xml:space="preserve">On behalf of </w:t>
      </w:r>
      <w:r>
        <w:rPr>
          <w:u w:val="single"/>
        </w:rPr>
        <w:t>Duke Energy Florida, LLC (DEF)</w:t>
      </w:r>
      <w:r w:rsidRPr="00701945">
        <w:t>.</w:t>
      </w:r>
    </w:p>
    <w:p w:rsidR="00FF2053" w:rsidRPr="00701945" w:rsidRDefault="00FF2053" w:rsidP="00FF2053">
      <w:pPr>
        <w:jc w:val="both"/>
      </w:pPr>
    </w:p>
    <w:p w:rsidR="00FF2053" w:rsidRPr="00701945" w:rsidRDefault="00FF2053" w:rsidP="00FF2053">
      <w:pPr>
        <w:ind w:left="1440"/>
        <w:jc w:val="both"/>
      </w:pPr>
      <w:r>
        <w:t>RICHARD GENTRY</w:t>
      </w:r>
      <w:r w:rsidRPr="00701945">
        <w:t xml:space="preserve">, ESQUIRE, </w:t>
      </w:r>
      <w:r>
        <w:t>CHARLES REHWINKEL, ESQUIRE, MARY A. WESSLING, ESQUIRE, and PATRICIA A. CHRISTENSEN, ESQUIRE, Office of Public Counsel, c/o The Florida Legislature, 111 W. Madison Street, Room 812, Tallahassee, Florida  32399</w:t>
      </w:r>
    </w:p>
    <w:p w:rsidR="00FF2053" w:rsidRPr="00701945" w:rsidRDefault="00FF2053" w:rsidP="00FF2053">
      <w:pPr>
        <w:ind w:left="720" w:firstLine="720"/>
        <w:jc w:val="both"/>
      </w:pPr>
      <w:r w:rsidRPr="00701945">
        <w:rPr>
          <w:u w:val="single"/>
        </w:rPr>
        <w:t xml:space="preserve">On behalf of </w:t>
      </w:r>
      <w:r>
        <w:rPr>
          <w:u w:val="single"/>
        </w:rPr>
        <w:t>Office of Public Counsel (OPC)</w:t>
      </w:r>
      <w:r w:rsidRPr="00701945">
        <w:t xml:space="preserve">. </w:t>
      </w:r>
    </w:p>
    <w:p w:rsidR="00FF2053" w:rsidRPr="00701945" w:rsidRDefault="00FF2053" w:rsidP="00FF2053">
      <w:pPr>
        <w:jc w:val="both"/>
      </w:pPr>
    </w:p>
    <w:p w:rsidR="00FF2053" w:rsidRPr="00701945" w:rsidRDefault="00FF2053" w:rsidP="00FF2053">
      <w:pPr>
        <w:ind w:left="1440"/>
        <w:jc w:val="both"/>
      </w:pPr>
      <w:r>
        <w:lastRenderedPageBreak/>
        <w:t>JON C. MOYLE, JR.</w:t>
      </w:r>
      <w:r w:rsidRPr="00701945">
        <w:t>, ESQUIRE,</w:t>
      </w:r>
      <w:r>
        <w:t xml:space="preserve"> and KAREN PUTNAL, ESQUIRE,</w:t>
      </w:r>
      <w:r w:rsidRPr="00701945">
        <w:t xml:space="preserve"> </w:t>
      </w:r>
      <w:r>
        <w:t>Moyle Law Firm, 118 North Gadsden Street, Tallahassee, Florida  32301</w:t>
      </w:r>
    </w:p>
    <w:p w:rsidR="00FF2053" w:rsidRPr="00701945" w:rsidRDefault="00FF2053" w:rsidP="00FF2053">
      <w:pPr>
        <w:ind w:left="720" w:firstLine="720"/>
        <w:jc w:val="both"/>
      </w:pPr>
      <w:r w:rsidRPr="00701945">
        <w:rPr>
          <w:u w:val="single"/>
        </w:rPr>
        <w:t xml:space="preserve">On behalf of </w:t>
      </w:r>
      <w:r>
        <w:rPr>
          <w:u w:val="single"/>
        </w:rPr>
        <w:t>Florida Industrial Power Users Group (FIPUG)</w:t>
      </w:r>
      <w:r w:rsidRPr="00701945">
        <w:t xml:space="preserve">. </w:t>
      </w:r>
    </w:p>
    <w:p w:rsidR="00FF2053" w:rsidRDefault="00FF2053" w:rsidP="00FF2053">
      <w:pPr>
        <w:ind w:left="1440"/>
        <w:jc w:val="both"/>
      </w:pPr>
    </w:p>
    <w:p w:rsidR="00FF2053" w:rsidRPr="00701945" w:rsidRDefault="00FF2053" w:rsidP="00FF2053">
      <w:pPr>
        <w:ind w:left="1440"/>
        <w:jc w:val="both"/>
      </w:pPr>
      <w:r>
        <w:t>PETER J. MATTHEIS</w:t>
      </w:r>
      <w:r w:rsidRPr="00701945">
        <w:t xml:space="preserve">, ESQUIRE, </w:t>
      </w:r>
      <w:r>
        <w:t>MICHAEL K. LAVANGA, ESQUIRE, and JOSEPH R. BRISCAR, ESQUIRE, Stone Mattheis Xenopoulos &amp; Brew, PC, 1025 Thomas Jefferson Street, NW, Suite 800 West, Washington, DC 20007</w:t>
      </w:r>
    </w:p>
    <w:p w:rsidR="00FF2053" w:rsidRPr="00701945" w:rsidRDefault="00FF2053" w:rsidP="00FF2053">
      <w:pPr>
        <w:ind w:left="720" w:firstLine="720"/>
        <w:jc w:val="both"/>
      </w:pPr>
      <w:r w:rsidRPr="00701945">
        <w:rPr>
          <w:u w:val="single"/>
        </w:rPr>
        <w:t xml:space="preserve">On behalf of </w:t>
      </w:r>
      <w:r>
        <w:rPr>
          <w:u w:val="single"/>
        </w:rPr>
        <w:t>Nucor Steel Florida, Inc. (Nucor)</w:t>
      </w:r>
      <w:r w:rsidRPr="00701945">
        <w:t xml:space="preserve">. </w:t>
      </w:r>
    </w:p>
    <w:p w:rsidR="00FF2053" w:rsidRDefault="00FF2053" w:rsidP="00FF2053">
      <w:pPr>
        <w:ind w:left="1440"/>
        <w:jc w:val="both"/>
      </w:pPr>
    </w:p>
    <w:p w:rsidR="00FF2053" w:rsidRPr="00701945" w:rsidRDefault="00FF2053" w:rsidP="00FF2053">
      <w:pPr>
        <w:ind w:left="1440"/>
        <w:jc w:val="both"/>
      </w:pPr>
      <w:r>
        <w:t>JAMES W. BREW</w:t>
      </w:r>
      <w:r w:rsidRPr="00701945">
        <w:t>, ESQUIRE,</w:t>
      </w:r>
      <w:r>
        <w:t xml:space="preserve"> and LAURA WYNN BAKER, ESQUIRE, Stone Mattheis Xenopoulos &amp; Brew, PC, 1025 Thomas Jefferson Street, NW, Eighth Floor, West Tower, Washington, DC 20007</w:t>
      </w:r>
    </w:p>
    <w:p w:rsidR="00FF2053" w:rsidRPr="00701945" w:rsidRDefault="00FF2053" w:rsidP="00FF2053">
      <w:pPr>
        <w:ind w:left="720" w:firstLine="720"/>
        <w:jc w:val="both"/>
      </w:pPr>
      <w:r w:rsidRPr="00701945">
        <w:rPr>
          <w:u w:val="single"/>
        </w:rPr>
        <w:t xml:space="preserve">On behalf of </w:t>
      </w:r>
      <w:r>
        <w:rPr>
          <w:u w:val="single"/>
        </w:rPr>
        <w:t>PCS Phosphate – White Springs (PCS)</w:t>
      </w:r>
      <w:r w:rsidRPr="00701945">
        <w:t xml:space="preserve">. </w:t>
      </w:r>
    </w:p>
    <w:p w:rsidR="00FF2053" w:rsidRDefault="00FF2053" w:rsidP="00FF2053">
      <w:pPr>
        <w:ind w:left="1440"/>
        <w:jc w:val="both"/>
      </w:pPr>
    </w:p>
    <w:p w:rsidR="00FF2053" w:rsidRDefault="00FF2053" w:rsidP="00FF2053">
      <w:pPr>
        <w:ind w:left="1440"/>
        <w:jc w:val="both"/>
      </w:pPr>
      <w:r>
        <w:t>STEPHANIE U. EATON</w:t>
      </w:r>
      <w:r w:rsidRPr="00701945">
        <w:t xml:space="preserve">, ESQUIRE, </w:t>
      </w:r>
      <w:r>
        <w:t>Spilman Thomas &amp; Battle, PLLC, 110 Oakwood Drive, Suite 500, Winston-Salem, North Carolina  27103</w:t>
      </w:r>
    </w:p>
    <w:p w:rsidR="00FF2053" w:rsidRPr="00701945" w:rsidRDefault="00FF2053" w:rsidP="00FF2053">
      <w:pPr>
        <w:ind w:left="1440"/>
        <w:jc w:val="both"/>
      </w:pPr>
      <w:r>
        <w:t>DERRICK PRICE WILLIAMSON, ESQUIRE, and BARRY A. NAUM, ESQUIRE, Spilman Thomas &amp; Battle, PLLC, 1100 Bent Creek Blvd., Suite 101, Mechanicsburg, Pennsylvania  17050</w:t>
      </w:r>
    </w:p>
    <w:p w:rsidR="00FF2053" w:rsidRPr="00701945" w:rsidRDefault="00FF2053" w:rsidP="00FF2053">
      <w:pPr>
        <w:ind w:left="720" w:firstLine="720"/>
        <w:jc w:val="both"/>
      </w:pPr>
      <w:r w:rsidRPr="00701945">
        <w:rPr>
          <w:u w:val="single"/>
        </w:rPr>
        <w:t xml:space="preserve">On behalf of </w:t>
      </w:r>
      <w:r>
        <w:rPr>
          <w:u w:val="single"/>
        </w:rPr>
        <w:t>Walmart, Inc. (Walmart)</w:t>
      </w:r>
      <w:r w:rsidRPr="00701945">
        <w:t xml:space="preserve">. </w:t>
      </w:r>
    </w:p>
    <w:p w:rsidR="00FF2053" w:rsidRDefault="00FF2053" w:rsidP="00FF2053">
      <w:pPr>
        <w:ind w:left="1440"/>
        <w:jc w:val="both"/>
      </w:pPr>
    </w:p>
    <w:p w:rsidR="00FF2053" w:rsidRPr="00701945" w:rsidRDefault="00FF2053" w:rsidP="00FF2053">
      <w:pPr>
        <w:ind w:left="1440"/>
        <w:jc w:val="both"/>
      </w:pPr>
      <w:r>
        <w:t>SHAW STILLER</w:t>
      </w:r>
      <w:r w:rsidRPr="00701945">
        <w:t xml:space="preserve">, ESQUIRE, </w:t>
      </w:r>
      <w:smartTag w:uri="urn:schemas-microsoft-com:office:smarttags" w:element="State">
        <w:smartTag w:uri="urn:schemas-microsoft-com:office:smarttags" w:element="plac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FF2053" w:rsidRPr="00701945" w:rsidRDefault="00FF2053" w:rsidP="00FF2053">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FF2053" w:rsidRPr="00701945" w:rsidRDefault="00FF2053" w:rsidP="00FF2053">
      <w:pPr>
        <w:jc w:val="both"/>
      </w:pPr>
    </w:p>
    <w:p w:rsidR="00FF2053" w:rsidRPr="00701945" w:rsidRDefault="00FF2053" w:rsidP="00FF2053">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FF2053" w:rsidRPr="00701945" w:rsidRDefault="00FF2053" w:rsidP="00FF2053">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FF2053" w:rsidRPr="00701945" w:rsidRDefault="00FF2053" w:rsidP="00FF2053">
      <w:pPr>
        <w:jc w:val="center"/>
        <w:rPr>
          <w:b/>
          <w:bCs/>
          <w:u w:val="single"/>
        </w:rPr>
      </w:pPr>
    </w:p>
    <w:p w:rsidR="00FF2053" w:rsidRPr="00D033EB" w:rsidRDefault="00FF2053" w:rsidP="00FF2053">
      <w:pPr>
        <w:ind w:left="1440"/>
        <w:jc w:val="both"/>
      </w:pPr>
      <w:r w:rsidRPr="00D033EB">
        <w:t>K</w:t>
      </w:r>
      <w:r>
        <w:t>EITH C. HETRICK</w:t>
      </w:r>
      <w:r w:rsidRPr="00D033EB">
        <w:t>, ESQUIRE, General Counsel, Florida Public Service Commission, 2540 Shumard Oak Boulevard, Tallahassee, Florida 32399-0850</w:t>
      </w:r>
    </w:p>
    <w:p w:rsidR="00FF2053" w:rsidRPr="00D033EB" w:rsidRDefault="00FF2053" w:rsidP="00FF2053">
      <w:pPr>
        <w:ind w:left="720" w:firstLine="720"/>
        <w:jc w:val="both"/>
      </w:pPr>
      <w:r w:rsidRPr="00D033EB">
        <w:rPr>
          <w:u w:val="single"/>
        </w:rPr>
        <w:t>Florida Public Service Commission General Counsel</w:t>
      </w:r>
    </w:p>
    <w:p w:rsidR="00FF2053" w:rsidRPr="00D033EB" w:rsidRDefault="00FF2053" w:rsidP="00FF2053">
      <w:pPr>
        <w:ind w:left="720" w:firstLine="720"/>
        <w:jc w:val="both"/>
      </w:pPr>
    </w:p>
    <w:p w:rsidR="00FF2053" w:rsidRDefault="00FF2053" w:rsidP="00D74615">
      <w:pPr>
        <w:pStyle w:val="OrderBody"/>
      </w:pPr>
    </w:p>
    <w:p w:rsidR="00D74615" w:rsidRDefault="00D74615" w:rsidP="00D74615">
      <w:pPr>
        <w:pStyle w:val="OrderBody"/>
      </w:pPr>
      <w:r>
        <w:t>BY THE COMMISSION:</w:t>
      </w:r>
    </w:p>
    <w:p w:rsidR="0077774B" w:rsidRDefault="0077774B" w:rsidP="0077774B">
      <w:pPr>
        <w:jc w:val="center"/>
      </w:pPr>
      <w:bookmarkStart w:id="5" w:name="OrderText"/>
      <w:bookmarkEnd w:id="5"/>
    </w:p>
    <w:p w:rsidR="00D74615" w:rsidRPr="00DA0EB0" w:rsidRDefault="00D74615" w:rsidP="0077774B">
      <w:pPr>
        <w:jc w:val="center"/>
        <w:rPr>
          <w:b/>
        </w:rPr>
      </w:pPr>
      <w:r w:rsidRPr="00DA0EB0">
        <w:rPr>
          <w:b/>
          <w:u w:val="single"/>
        </w:rPr>
        <w:t>BACKGROUND</w:t>
      </w:r>
    </w:p>
    <w:p w:rsidR="00D74615" w:rsidRPr="00701945" w:rsidRDefault="00D74615" w:rsidP="00D74615">
      <w:pPr>
        <w:jc w:val="both"/>
      </w:pPr>
    </w:p>
    <w:p w:rsidR="00D74615" w:rsidRPr="00385601" w:rsidRDefault="00D74615" w:rsidP="00D74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0E73EB">
        <w:t xml:space="preserve">The 2019 Florida Legislature enacted Section 366.96, Florida Statutes (F.S.), entitled “Storm protection plan cost recovery.” </w:t>
      </w:r>
      <w:r>
        <w:t>S</w:t>
      </w:r>
      <w:r w:rsidRPr="000E73EB">
        <w:t>ection 366.96(3), F.S.,</w:t>
      </w:r>
      <w:r>
        <w:t xml:space="preserve"> established a new requirement that each public utility</w:t>
      </w:r>
      <w:r w:rsidRPr="000E73EB">
        <w:t xml:space="preserve"> file a transmission and distribution storm protection plan </w:t>
      </w:r>
      <w:r>
        <w:t>(SPP) covering</w:t>
      </w:r>
      <w:r w:rsidRPr="000E73EB">
        <w:t xml:space="preserve"> the immediate 10-ye</w:t>
      </w:r>
      <w:r>
        <w:t>ar planning period, and explaining</w:t>
      </w:r>
      <w:r w:rsidRPr="000E73EB">
        <w:t xml:space="preserve"> the systematic approach the utility will follow to achieve the objectives of reducing restoration costs and outage times associated with extreme weather events and enhancing reliability. Pursuant to </w:t>
      </w:r>
      <w:r>
        <w:t>S</w:t>
      </w:r>
      <w:r w:rsidRPr="000E73EB">
        <w:t xml:space="preserve">ections 366.96(5) and 366.96(6), </w:t>
      </w:r>
      <w:r w:rsidRPr="000E73EB">
        <w:lastRenderedPageBreak/>
        <w:t xml:space="preserve">F.S., </w:t>
      </w:r>
      <w:r w:rsidR="0077774B">
        <w:t>we are</w:t>
      </w:r>
      <w:r w:rsidRPr="000E73EB">
        <w:t xml:space="preserve"> required</w:t>
      </w:r>
      <w:r w:rsidRPr="00DA2D08">
        <w:t xml:space="preserve"> </w:t>
      </w:r>
      <w:r>
        <w:t xml:space="preserve">at least </w:t>
      </w:r>
      <w:r w:rsidRPr="000E73EB">
        <w:t>every three years to determine whether it is in the public interest to approve, approve with modification, or deny each utility’s</w:t>
      </w:r>
      <w:r>
        <w:t xml:space="preserve"> S</w:t>
      </w:r>
      <w:r w:rsidRPr="00385601">
        <w:t>PP.</w:t>
      </w:r>
    </w:p>
    <w:p w:rsidR="00D74615" w:rsidRPr="00385601" w:rsidRDefault="00D74615" w:rsidP="00D74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4615" w:rsidRDefault="00D74615" w:rsidP="00D74615">
      <w:pPr>
        <w:pStyle w:val="FootnoteText"/>
        <w:rPr>
          <w:sz w:val="24"/>
          <w:szCs w:val="24"/>
        </w:rPr>
      </w:pPr>
      <w:r w:rsidRPr="00385601">
        <w:rPr>
          <w:sz w:val="24"/>
          <w:szCs w:val="24"/>
        </w:rPr>
        <w:tab/>
      </w:r>
      <w:r>
        <w:rPr>
          <w:sz w:val="24"/>
          <w:szCs w:val="24"/>
        </w:rPr>
        <w:t>The initial</w:t>
      </w:r>
      <w:r w:rsidRPr="00385601">
        <w:rPr>
          <w:sz w:val="24"/>
          <w:szCs w:val="24"/>
        </w:rPr>
        <w:t xml:space="preserve"> SPPs </w:t>
      </w:r>
      <w:r>
        <w:rPr>
          <w:sz w:val="24"/>
          <w:szCs w:val="24"/>
        </w:rPr>
        <w:t xml:space="preserve">under Section 366.96, F.S., were filed by FPL/Gulf Power Company, </w:t>
      </w:r>
      <w:r w:rsidRPr="00385601">
        <w:rPr>
          <w:sz w:val="24"/>
          <w:szCs w:val="24"/>
        </w:rPr>
        <w:t>TECO, and DEF</w:t>
      </w:r>
      <w:r>
        <w:rPr>
          <w:sz w:val="24"/>
          <w:szCs w:val="24"/>
        </w:rPr>
        <w:t xml:space="preserve"> in 2020. All of the utilities reached settlement agreements with various intervenors regarding the</w:t>
      </w:r>
      <w:r w:rsidR="00FA5195">
        <w:rPr>
          <w:sz w:val="24"/>
          <w:szCs w:val="24"/>
        </w:rPr>
        <w:t xml:space="preserve"> SPPs prior to final hearing.  We approved t</w:t>
      </w:r>
      <w:r>
        <w:rPr>
          <w:sz w:val="24"/>
          <w:szCs w:val="24"/>
        </w:rPr>
        <w:t xml:space="preserve">hese settlement agreements on </w:t>
      </w:r>
      <w:r w:rsidRPr="00385601">
        <w:rPr>
          <w:sz w:val="24"/>
          <w:szCs w:val="24"/>
        </w:rPr>
        <w:t>August 28, 2020.</w:t>
      </w:r>
      <w:r>
        <w:rPr>
          <w:rStyle w:val="FootnoteReference"/>
          <w:sz w:val="24"/>
          <w:szCs w:val="24"/>
        </w:rPr>
        <w:footnoteReference w:id="1"/>
      </w:r>
    </w:p>
    <w:p w:rsidR="00D74615" w:rsidRDefault="00D74615" w:rsidP="00D74615">
      <w:pPr>
        <w:pStyle w:val="FootnoteText"/>
        <w:rPr>
          <w:sz w:val="24"/>
          <w:szCs w:val="24"/>
        </w:rPr>
      </w:pPr>
    </w:p>
    <w:p w:rsidR="00D74615" w:rsidRPr="00385601" w:rsidRDefault="00D74615" w:rsidP="00D74615">
      <w:pPr>
        <w:pStyle w:val="FootnoteText"/>
        <w:rPr>
          <w:sz w:val="24"/>
          <w:szCs w:val="24"/>
        </w:rPr>
      </w:pPr>
      <w:r>
        <w:rPr>
          <w:sz w:val="24"/>
          <w:szCs w:val="24"/>
        </w:rPr>
        <w:tab/>
        <w:t>On March 9, 2022, p</w:t>
      </w:r>
      <w:r w:rsidRPr="00385601">
        <w:rPr>
          <w:sz w:val="24"/>
          <w:szCs w:val="24"/>
        </w:rPr>
        <w:t>ursuant to Sections 366.96(5) and 366.96(6), F.S</w:t>
      </w:r>
      <w:r>
        <w:rPr>
          <w:sz w:val="24"/>
          <w:szCs w:val="24"/>
        </w:rPr>
        <w:t>.</w:t>
      </w:r>
      <w:r w:rsidRPr="00385601">
        <w:rPr>
          <w:sz w:val="24"/>
          <w:szCs w:val="24"/>
        </w:rPr>
        <w:t>,</w:t>
      </w:r>
      <w:r>
        <w:rPr>
          <w:sz w:val="24"/>
          <w:szCs w:val="24"/>
        </w:rPr>
        <w:t xml:space="preserve"> and consistent with the terms of the above-referenced settlement agreements,</w:t>
      </w:r>
      <w:r>
        <w:rPr>
          <w:rStyle w:val="FootnoteReference"/>
          <w:sz w:val="24"/>
          <w:szCs w:val="24"/>
        </w:rPr>
        <w:footnoteReference w:id="2"/>
      </w:r>
      <w:r>
        <w:rPr>
          <w:sz w:val="24"/>
          <w:szCs w:val="24"/>
        </w:rPr>
        <w:t xml:space="preserve"> </w:t>
      </w:r>
      <w:r w:rsidRPr="00385601">
        <w:rPr>
          <w:sz w:val="24"/>
          <w:szCs w:val="24"/>
        </w:rPr>
        <w:t>FPL, TECO, and DEF filed</w:t>
      </w:r>
      <w:r>
        <w:rPr>
          <w:sz w:val="24"/>
          <w:szCs w:val="24"/>
        </w:rPr>
        <w:t xml:space="preserve"> </w:t>
      </w:r>
      <w:r w:rsidRPr="00385601">
        <w:rPr>
          <w:sz w:val="24"/>
          <w:szCs w:val="24"/>
        </w:rPr>
        <w:t xml:space="preserve">their </w:t>
      </w:r>
      <w:r>
        <w:rPr>
          <w:sz w:val="24"/>
          <w:szCs w:val="24"/>
        </w:rPr>
        <w:t xml:space="preserve">first </w:t>
      </w:r>
      <w:r w:rsidRPr="00385601">
        <w:rPr>
          <w:sz w:val="24"/>
          <w:szCs w:val="24"/>
        </w:rPr>
        <w:t>updated SPPs</w:t>
      </w:r>
      <w:r>
        <w:rPr>
          <w:sz w:val="24"/>
          <w:szCs w:val="24"/>
        </w:rPr>
        <w:t xml:space="preserve"> for </w:t>
      </w:r>
      <w:r w:rsidR="00FA5195">
        <w:rPr>
          <w:sz w:val="24"/>
          <w:szCs w:val="24"/>
        </w:rPr>
        <w:t>our</w:t>
      </w:r>
      <w:r>
        <w:rPr>
          <w:sz w:val="24"/>
          <w:szCs w:val="24"/>
        </w:rPr>
        <w:t xml:space="preserve"> review</w:t>
      </w:r>
      <w:r w:rsidRPr="00385601">
        <w:rPr>
          <w:sz w:val="24"/>
          <w:szCs w:val="24"/>
        </w:rPr>
        <w:t>.</w:t>
      </w:r>
      <w:r w:rsidRPr="00385601">
        <w:rPr>
          <w:rStyle w:val="FootnoteReference"/>
          <w:sz w:val="24"/>
          <w:szCs w:val="24"/>
        </w:rPr>
        <w:footnoteReference w:id="3"/>
      </w:r>
      <w:r w:rsidRPr="00385601">
        <w:rPr>
          <w:sz w:val="24"/>
          <w:szCs w:val="24"/>
        </w:rPr>
        <w:t xml:space="preserve"> On that same date, FPUC submitted its initial SPP</w:t>
      </w:r>
      <w:r w:rsidRPr="00385601">
        <w:rPr>
          <w:rStyle w:val="FootnoteReference"/>
          <w:sz w:val="24"/>
          <w:szCs w:val="24"/>
        </w:rPr>
        <w:footnoteReference w:id="4"/>
      </w:r>
      <w:r w:rsidRPr="00385601">
        <w:rPr>
          <w:sz w:val="24"/>
          <w:szCs w:val="24"/>
        </w:rPr>
        <w:t xml:space="preserve"> for review.</w:t>
      </w:r>
      <w:r>
        <w:rPr>
          <w:sz w:val="24"/>
          <w:szCs w:val="24"/>
        </w:rPr>
        <w:t xml:space="preserve"> Tho</w:t>
      </w:r>
      <w:r w:rsidRPr="00385601">
        <w:rPr>
          <w:sz w:val="24"/>
          <w:szCs w:val="24"/>
        </w:rPr>
        <w:t xml:space="preserve">se four dockets were consolidated </w:t>
      </w:r>
      <w:r>
        <w:rPr>
          <w:sz w:val="24"/>
          <w:szCs w:val="24"/>
        </w:rPr>
        <w:t xml:space="preserve">for purposes of hearing only </w:t>
      </w:r>
      <w:r w:rsidRPr="00385601">
        <w:rPr>
          <w:sz w:val="24"/>
          <w:szCs w:val="24"/>
        </w:rPr>
        <w:t>and proceeded t</w:t>
      </w:r>
      <w:r w:rsidR="00FA5195">
        <w:rPr>
          <w:sz w:val="24"/>
          <w:szCs w:val="24"/>
        </w:rPr>
        <w:t>o final hearing August 2, 2022. We voted to approve the four SPPs, with modifications, on October 4, 2022. Final Orders memorializing those approvals were entered in each of the four dockets on November 10, 2022.</w:t>
      </w:r>
    </w:p>
    <w:p w:rsidR="00D74615" w:rsidRPr="00385601" w:rsidRDefault="00D74615" w:rsidP="00D74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4615" w:rsidRDefault="00D74615" w:rsidP="00D74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601">
        <w:tab/>
        <w:t xml:space="preserve">In addition to reviewing SPPs </w:t>
      </w:r>
      <w:r>
        <w:t xml:space="preserve">at least </w:t>
      </w:r>
      <w:r w:rsidRPr="00385601">
        <w:t xml:space="preserve">every three years, </w:t>
      </w:r>
      <w:r w:rsidR="00FA5195">
        <w:t>we</w:t>
      </w:r>
      <w:r w:rsidRPr="00385601">
        <w:t xml:space="preserve"> must conduct an annual proceeding pursuant to Section 366.96(7), F.S., to determine a utility’s prudently incurred transmission and distribution storm protection plan costs and allow t</w:t>
      </w:r>
      <w:r w:rsidRPr="00D47CB7">
        <w:t>he utility to recover such costs through a charge separate and apart from its base rates, to be referred to as the storm protection plan cost recovery clause</w:t>
      </w:r>
      <w:r>
        <w:t xml:space="preserve"> (SPPCRC)</w:t>
      </w:r>
      <w:r w:rsidRPr="00D47CB7">
        <w:t>.</w:t>
      </w:r>
      <w:r>
        <w:t xml:space="preserve">  The annual SPPCRC proceeding is a rolling three-year review that includes a true-up of costs for the prior year, the calculation of actual/estimated costs for the year of the filing, and projected factors for the following year.</w:t>
      </w:r>
    </w:p>
    <w:p w:rsidR="00D74615" w:rsidRDefault="00D74615" w:rsidP="00D74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 </w:t>
      </w:r>
    </w:p>
    <w:p w:rsidR="00D74615" w:rsidRDefault="00D74615" w:rsidP="00D74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2022 annual SPPCRC docket was opened January 3, 2022, by Order No. PSC-2022-0010-PCO-EI. Tampa Electric Company, Duke Energy Florida, Florida Industrial Power Users Group, Florida Power &amp; Light, PCS Phosphate – White Springs, Nucor Steel Florida, Inc., Office of Public Counsel, Florida Public Utilities Company, and Walmart each filed a Notice of Intent to Retain Party Status.  No additional parties filed for intervention.</w:t>
      </w:r>
    </w:p>
    <w:p w:rsidR="00D74615" w:rsidRDefault="00D74615" w:rsidP="00D74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4615" w:rsidRDefault="00D74615" w:rsidP="00D74615">
      <w:pPr>
        <w:autoSpaceDE w:val="0"/>
        <w:autoSpaceDN w:val="0"/>
        <w:adjustRightInd w:val="0"/>
        <w:jc w:val="both"/>
        <w:rPr>
          <w:rFonts w:ascii="TimesNewRomanPSMT" w:hAnsi="TimesNewRomanPSMT" w:cs="TimesNewRomanPSMT"/>
        </w:rPr>
      </w:pPr>
      <w:r>
        <w:rPr>
          <w:rFonts w:ascii="TimesNewRomanPSMT" w:hAnsi="TimesNewRomanPSMT" w:cs="TimesNewRomanPSMT"/>
        </w:rPr>
        <w:lastRenderedPageBreak/>
        <w:tab/>
        <w:t>On April 1, 2022, FPL and DEF filed their petitions for approval of SPPCRC true-up for January through December 2021. On that same date, TECO filed direct testimony and exhibits in the SPPCRC docket, including “Schedules Supporting Storm Protection Cost Recovery Factor, Actual for the period January 2021- December 2021.”</w:t>
      </w:r>
    </w:p>
    <w:p w:rsidR="00D74615" w:rsidRDefault="00D74615" w:rsidP="00D74615">
      <w:pPr>
        <w:autoSpaceDE w:val="0"/>
        <w:autoSpaceDN w:val="0"/>
        <w:adjustRightInd w:val="0"/>
        <w:jc w:val="both"/>
        <w:rPr>
          <w:rFonts w:ascii="TimesNewRomanPSMT" w:hAnsi="TimesNewRomanPSMT" w:cs="TimesNewRomanPSMT"/>
        </w:rPr>
      </w:pPr>
    </w:p>
    <w:p w:rsidR="00D74615" w:rsidRDefault="00D74615" w:rsidP="00D74615">
      <w:pPr>
        <w:autoSpaceDE w:val="0"/>
        <w:autoSpaceDN w:val="0"/>
        <w:adjustRightInd w:val="0"/>
        <w:jc w:val="both"/>
        <w:rPr>
          <w:rFonts w:ascii="TimesNewRomanPSMT" w:hAnsi="TimesNewRomanPSMT" w:cs="TimesNewRomanPSMT"/>
        </w:rPr>
      </w:pPr>
      <w:r>
        <w:rPr>
          <w:rFonts w:ascii="TimesNewRomanPSMT" w:hAnsi="TimesNewRomanPSMT" w:cs="TimesNewRomanPSMT"/>
        </w:rPr>
        <w:tab/>
        <w:t>On May 2, 2022, FPL and DEF filed their petitions for approval of 2022 actual/estimated true-up and projected 2023 SPPCRC factors. On that same date, TECO filed a petition for approval of storm protection cost recovery factors for the period 1/23 through 12/23. TECO filed a revised petition</w:t>
      </w:r>
      <w:r w:rsidRPr="008C5934">
        <w:rPr>
          <w:rFonts w:ascii="TimesNewRomanPSMT" w:hAnsi="TimesNewRomanPSMT" w:cs="TimesNewRomanPSMT"/>
        </w:rPr>
        <w:t xml:space="preserve"> </w:t>
      </w:r>
      <w:r>
        <w:rPr>
          <w:rFonts w:ascii="TimesNewRomanPSMT" w:hAnsi="TimesNewRomanPSMT" w:cs="TimesNewRomanPSMT"/>
        </w:rPr>
        <w:t>on August 9, 2022,</w:t>
      </w:r>
      <w:r w:rsidRPr="008C5934">
        <w:rPr>
          <w:rFonts w:ascii="TimesNewRomanPSMT" w:hAnsi="TimesNewRomanPSMT" w:cs="TimesNewRomanPSMT"/>
        </w:rPr>
        <w:t xml:space="preserve"> </w:t>
      </w:r>
      <w:r>
        <w:rPr>
          <w:rFonts w:ascii="TimesNewRomanPSMT" w:hAnsi="TimesNewRomanPSMT" w:cs="TimesNewRomanPSMT"/>
        </w:rPr>
        <w:t>which replaced the May filing in its entirety.  On May 4, 2022, FPUC filed a petition for approval of storm protection plan costs recovery factors. FPUC filed a revised petition on August 18, 2022, which replaced the original filing in its entirety.</w:t>
      </w:r>
    </w:p>
    <w:p w:rsidR="00D74615" w:rsidRDefault="00D74615" w:rsidP="00D74615">
      <w:pPr>
        <w:autoSpaceDE w:val="0"/>
        <w:autoSpaceDN w:val="0"/>
        <w:adjustRightInd w:val="0"/>
        <w:jc w:val="both"/>
        <w:rPr>
          <w:rFonts w:ascii="TimesNewRomanPSMT" w:hAnsi="TimesNewRomanPSMT" w:cs="TimesNewRomanPSMT"/>
        </w:rPr>
      </w:pPr>
    </w:p>
    <w:p w:rsidR="00D74615" w:rsidRDefault="00D74615" w:rsidP="00D74615">
      <w:pPr>
        <w:autoSpaceDE w:val="0"/>
        <w:autoSpaceDN w:val="0"/>
        <w:adjustRightInd w:val="0"/>
        <w:jc w:val="both"/>
        <w:rPr>
          <w:rFonts w:ascii="TimesNewRomanPSMT" w:hAnsi="TimesNewRomanPSMT" w:cs="TimesNewRomanPSMT"/>
        </w:rPr>
      </w:pPr>
      <w:r>
        <w:rPr>
          <w:rFonts w:ascii="TimesNewRomanPSMT" w:hAnsi="TimesNewRomanPSMT" w:cs="TimesNewRomanPSMT"/>
        </w:rPr>
        <w:tab/>
        <w:t>On October 14, 2022, TECO and FPL each filed an amended petition and supplemental testimony addressing the modifications to their updated SPPs made by the Commission in the Orders entered November 10, 2022.</w:t>
      </w:r>
      <w:r>
        <w:rPr>
          <w:rStyle w:val="FootnoteReference"/>
          <w:rFonts w:ascii="TimesNewRomanPSMT" w:hAnsi="TimesNewRomanPSMT" w:cs="TimesNewRomanPSMT"/>
        </w:rPr>
        <w:footnoteReference w:id="5"/>
      </w:r>
      <w:r>
        <w:rPr>
          <w:rFonts w:ascii="TimesNewRomanPSMT" w:hAnsi="TimesNewRomanPSMT" w:cs="TimesNewRomanPSMT"/>
        </w:rPr>
        <w:t xml:space="preserve"> Th</w:t>
      </w:r>
      <w:r w:rsidR="00967949">
        <w:rPr>
          <w:rFonts w:ascii="TimesNewRomanPSMT" w:hAnsi="TimesNewRomanPSMT" w:cs="TimesNewRomanPSMT"/>
        </w:rPr>
        <w:t>os</w:t>
      </w:r>
      <w:r>
        <w:rPr>
          <w:rFonts w:ascii="TimesNewRomanPSMT" w:hAnsi="TimesNewRomanPSMT" w:cs="TimesNewRomanPSMT"/>
        </w:rPr>
        <w:t>e Orders did not include modifications that required DEF and FPUC to further amend or supplement their petitions in this docket.</w:t>
      </w:r>
    </w:p>
    <w:p w:rsidR="00D74615" w:rsidRDefault="00D74615" w:rsidP="00D74615">
      <w:pPr>
        <w:autoSpaceDE w:val="0"/>
        <w:autoSpaceDN w:val="0"/>
        <w:adjustRightInd w:val="0"/>
        <w:jc w:val="both"/>
        <w:rPr>
          <w:rFonts w:ascii="TimesNewRomanPSMT" w:hAnsi="TimesNewRomanPSMT" w:cs="TimesNewRomanPSMT"/>
        </w:rPr>
      </w:pPr>
    </w:p>
    <w:p w:rsidR="00D74615" w:rsidRDefault="00D74615" w:rsidP="009C5BA1">
      <w:pPr>
        <w:jc w:val="both"/>
      </w:pPr>
      <w:r>
        <w:rPr>
          <w:rFonts w:ascii="TimesNewRomanPSMT" w:hAnsi="TimesNewRomanPSMT" w:cs="TimesNewRomanPSMT"/>
        </w:rPr>
        <w:tab/>
      </w:r>
      <w:r w:rsidR="00967949">
        <w:t>We conducted a</w:t>
      </w:r>
      <w:r>
        <w:t xml:space="preserve">n administrative hearing </w:t>
      </w:r>
      <w:r w:rsidR="00365639">
        <w:t xml:space="preserve">in this matter </w:t>
      </w:r>
      <w:r>
        <w:t>November 17, 2022.</w:t>
      </w:r>
      <w:r w:rsidR="003F41B0">
        <w:t xml:space="preserve"> T</w:t>
      </w:r>
      <w:r w:rsidR="005324D6" w:rsidRPr="00DA11B6">
        <w:t>he</w:t>
      </w:r>
      <w:r w:rsidR="005324D6" w:rsidRPr="00925097">
        <w:t xml:space="preserve"> </w:t>
      </w:r>
      <w:r w:rsidR="00967949">
        <w:t xml:space="preserve">parties waived cross examination and stipulated to the admission of </w:t>
      </w:r>
      <w:r w:rsidR="00BA6DA8">
        <w:t>all</w:t>
      </w:r>
      <w:r w:rsidR="00967949">
        <w:t xml:space="preserve"> prefiled</w:t>
      </w:r>
      <w:r w:rsidR="005324D6">
        <w:t xml:space="preserve"> testimony</w:t>
      </w:r>
      <w:r w:rsidR="005324D6" w:rsidRPr="00925097">
        <w:t xml:space="preserve"> </w:t>
      </w:r>
      <w:r w:rsidR="00967949">
        <w:t>of the following witnesses:</w:t>
      </w:r>
      <w:r w:rsidR="005324D6" w:rsidRPr="00E752D1">
        <w:t xml:space="preserve"> </w:t>
      </w:r>
      <w:r w:rsidR="00BA6DA8" w:rsidRPr="00E752D1">
        <w:t xml:space="preserve">Mark R. </w:t>
      </w:r>
      <w:r w:rsidR="005324D6" w:rsidRPr="00E752D1">
        <w:t xml:space="preserve">Roche and </w:t>
      </w:r>
      <w:r w:rsidR="00BA6DA8" w:rsidRPr="00E752D1">
        <w:t xml:space="preserve">Richard </w:t>
      </w:r>
      <w:r w:rsidR="00E752D1">
        <w:t>Latta (TECO);</w:t>
      </w:r>
      <w:r w:rsidR="005324D6">
        <w:t xml:space="preserve"> </w:t>
      </w:r>
      <w:r w:rsidR="00BA6DA8">
        <w:t xml:space="preserve">Michelle D. </w:t>
      </w:r>
      <w:r w:rsidR="005324D6">
        <w:t xml:space="preserve">Napier and </w:t>
      </w:r>
      <w:r w:rsidR="00BA6DA8">
        <w:t xml:space="preserve">Robert C. </w:t>
      </w:r>
      <w:r w:rsidR="005324D6">
        <w:t>Waruszewski</w:t>
      </w:r>
      <w:r w:rsidR="00E752D1">
        <w:t xml:space="preserve"> (</w:t>
      </w:r>
      <w:r w:rsidR="00E752D1" w:rsidRPr="00E752D1">
        <w:t>FPUC</w:t>
      </w:r>
      <w:r w:rsidR="00E752D1">
        <w:t xml:space="preserve">); </w:t>
      </w:r>
      <w:r w:rsidR="00BA6DA8">
        <w:t xml:space="preserve">Renae B. </w:t>
      </w:r>
      <w:r w:rsidR="005324D6">
        <w:t xml:space="preserve">Deaton and </w:t>
      </w:r>
      <w:r w:rsidR="00BA6DA8">
        <w:t xml:space="preserve">Liz </w:t>
      </w:r>
      <w:r w:rsidR="005324D6">
        <w:t>Fuentes</w:t>
      </w:r>
      <w:r w:rsidR="00E752D1">
        <w:t xml:space="preserve"> (</w:t>
      </w:r>
      <w:r w:rsidR="00E752D1" w:rsidRPr="00E752D1">
        <w:t>FPL</w:t>
      </w:r>
      <w:r w:rsidR="00E752D1">
        <w:t xml:space="preserve">); </w:t>
      </w:r>
      <w:r w:rsidR="00BA6DA8">
        <w:t xml:space="preserve">Robert E. </w:t>
      </w:r>
      <w:r w:rsidR="005324D6">
        <w:t xml:space="preserve">Brong, </w:t>
      </w:r>
      <w:r w:rsidR="00BA6DA8">
        <w:t xml:space="preserve">Ron </w:t>
      </w:r>
      <w:r w:rsidR="005324D6">
        <w:t xml:space="preserve">Adams, and </w:t>
      </w:r>
      <w:r w:rsidR="00BA6DA8">
        <w:t xml:space="preserve">Christopher </w:t>
      </w:r>
      <w:r w:rsidR="005324D6">
        <w:t>Menendez</w:t>
      </w:r>
      <w:r w:rsidR="00E752D1">
        <w:t xml:space="preserve"> (</w:t>
      </w:r>
      <w:r w:rsidR="00E752D1" w:rsidRPr="00E752D1">
        <w:t>DEF</w:t>
      </w:r>
      <w:r w:rsidR="00E752D1">
        <w:t xml:space="preserve">); </w:t>
      </w:r>
      <w:r w:rsidR="00BA6DA8">
        <w:t xml:space="preserve">Lane </w:t>
      </w:r>
      <w:r w:rsidR="005324D6">
        <w:t xml:space="preserve">Kollen and </w:t>
      </w:r>
      <w:r w:rsidR="00BA6DA8">
        <w:t xml:space="preserve">Kevin </w:t>
      </w:r>
      <w:r w:rsidR="00E752D1">
        <w:t>Mara (</w:t>
      </w:r>
      <w:r w:rsidR="00E752D1" w:rsidRPr="00E752D1">
        <w:t>OPC</w:t>
      </w:r>
      <w:r w:rsidR="00E752D1">
        <w:t>); and</w:t>
      </w:r>
      <w:r w:rsidR="005324D6">
        <w:t xml:space="preserve"> </w:t>
      </w:r>
      <w:r w:rsidR="00BA6DA8">
        <w:t xml:space="preserve">Lisa V. </w:t>
      </w:r>
      <w:r w:rsidR="005324D6">
        <w:t>Perry</w:t>
      </w:r>
      <w:r w:rsidR="00E752D1">
        <w:t xml:space="preserve"> (W</w:t>
      </w:r>
      <w:r w:rsidR="00E752D1" w:rsidRPr="00E752D1">
        <w:t>almart</w:t>
      </w:r>
      <w:r w:rsidR="00E752D1">
        <w:t>)</w:t>
      </w:r>
      <w:r w:rsidR="005324D6">
        <w:t>.</w:t>
      </w:r>
      <w:r w:rsidR="009C5BA1">
        <w:t xml:space="preserve"> The testimony of the</w:t>
      </w:r>
      <w:r w:rsidR="00967949">
        <w:t xml:space="preserve">se witnesses was entered into the record as though read. </w:t>
      </w:r>
      <w:r w:rsidR="005324D6">
        <w:t>Witnesses David L. Plusquellic (TECO), Mark Cutshaw (FPUC), Michael Jarro (</w:t>
      </w:r>
      <w:r w:rsidR="00F20B3F">
        <w:t xml:space="preserve">FPL), and Brian M. Lloyd (DEF) appeared, </w:t>
      </w:r>
      <w:r w:rsidR="005324D6">
        <w:t>testified</w:t>
      </w:r>
      <w:r w:rsidR="00F20B3F">
        <w:t>,</w:t>
      </w:r>
      <w:r w:rsidR="005324D6">
        <w:t xml:space="preserve"> </w:t>
      </w:r>
      <w:r w:rsidR="000D3EDF">
        <w:t xml:space="preserve">and were subject to cross examination </w:t>
      </w:r>
      <w:r w:rsidR="005324D6">
        <w:t xml:space="preserve">at the hearing. Exhibits 1-54 as identified on the Comprehensive Exhibit List were admitted </w:t>
      </w:r>
      <w:r w:rsidR="000D3EDF">
        <w:t xml:space="preserve">into evidence </w:t>
      </w:r>
      <w:r w:rsidR="005324D6">
        <w:t>without objection.</w:t>
      </w:r>
    </w:p>
    <w:p w:rsidR="000D3EDF" w:rsidRDefault="000D3EDF">
      <w:pPr>
        <w:pStyle w:val="OrderBody"/>
      </w:pPr>
    </w:p>
    <w:p w:rsidR="000D3EDF" w:rsidRDefault="000D3EDF">
      <w:pPr>
        <w:pStyle w:val="OrderBody"/>
      </w:pPr>
      <w:r>
        <w:tab/>
        <w:t xml:space="preserve">The parties elected to present closing arguments in lieu of briefs. At the conclusion of the parties’ closing arguments, staff presented a recommendation on each of the issues. </w:t>
      </w:r>
    </w:p>
    <w:p w:rsidR="005324D6" w:rsidRDefault="005324D6">
      <w:pPr>
        <w:pStyle w:val="OrderBody"/>
      </w:pPr>
    </w:p>
    <w:p w:rsidR="005324D6" w:rsidRDefault="005324D6">
      <w:pPr>
        <w:pStyle w:val="OrderBody"/>
      </w:pPr>
      <w:r>
        <w:tab/>
        <w:t xml:space="preserve">We have jurisdiction over this matter pursuant to </w:t>
      </w:r>
      <w:r w:rsidR="00967949">
        <w:t xml:space="preserve">Sections 366.04, 366.05, 366.06, </w:t>
      </w:r>
      <w:r w:rsidR="00266C66">
        <w:t xml:space="preserve">and 366.96, </w:t>
      </w:r>
      <w:r w:rsidR="00967949">
        <w:t>F.S.</w:t>
      </w:r>
    </w:p>
    <w:p w:rsidR="000D3EDF" w:rsidRDefault="000D3EDF">
      <w:pPr>
        <w:pStyle w:val="OrderBody"/>
      </w:pPr>
    </w:p>
    <w:p w:rsidR="000D3EDF" w:rsidRPr="00DA0EB0" w:rsidRDefault="000D3EDF" w:rsidP="000D3EDF">
      <w:pPr>
        <w:pStyle w:val="OrderBody"/>
        <w:jc w:val="center"/>
        <w:rPr>
          <w:b/>
        </w:rPr>
      </w:pPr>
      <w:r w:rsidRPr="00DA0EB0">
        <w:rPr>
          <w:b/>
          <w:u w:val="single"/>
        </w:rPr>
        <w:t>DECISION</w:t>
      </w:r>
    </w:p>
    <w:p w:rsidR="00042DA4" w:rsidRDefault="00042DA4" w:rsidP="005224EC">
      <w:pPr>
        <w:pStyle w:val="OrderBody"/>
      </w:pPr>
    </w:p>
    <w:p w:rsidR="0097764E" w:rsidRDefault="0087086E" w:rsidP="005224EC">
      <w:pPr>
        <w:pStyle w:val="OrderBody"/>
      </w:pPr>
      <w:r>
        <w:tab/>
      </w:r>
      <w:r w:rsidR="00A453E2">
        <w:t>Based on the record evidence and</w:t>
      </w:r>
      <w:r>
        <w:t xml:space="preserve"> the testimony and argument presented at the November 17, 2022, </w:t>
      </w:r>
      <w:r w:rsidR="00A453E2">
        <w:t xml:space="preserve">final hearing, </w:t>
      </w:r>
      <w:r w:rsidR="003F41B0">
        <w:t>we make the following findings and conclusions.</w:t>
      </w:r>
    </w:p>
    <w:p w:rsidR="00AA3882" w:rsidRDefault="00AA3882" w:rsidP="005224EC">
      <w:pPr>
        <w:pStyle w:val="OrderBody"/>
      </w:pPr>
    </w:p>
    <w:p w:rsidR="00AA3882" w:rsidRDefault="00AA3882" w:rsidP="005224EC">
      <w:pPr>
        <w:pStyle w:val="OrderBody"/>
      </w:pPr>
    </w:p>
    <w:p w:rsidR="00AA3882" w:rsidRDefault="00AA3882" w:rsidP="005224EC">
      <w:pPr>
        <w:pStyle w:val="OrderBody"/>
      </w:pPr>
    </w:p>
    <w:p w:rsidR="0087086E" w:rsidRDefault="0087086E" w:rsidP="005224EC">
      <w:pPr>
        <w:pStyle w:val="OrderBody"/>
        <w:rPr>
          <w:u w:val="single"/>
        </w:rPr>
      </w:pPr>
    </w:p>
    <w:p w:rsidR="0087086E" w:rsidRPr="00DA0EB0" w:rsidRDefault="00CB5883" w:rsidP="00CB5883">
      <w:pPr>
        <w:pStyle w:val="OrderBody"/>
        <w:rPr>
          <w:b/>
          <w:u w:val="single"/>
        </w:rPr>
      </w:pPr>
      <w:r>
        <w:rPr>
          <w:b/>
        </w:rPr>
        <w:lastRenderedPageBreak/>
        <w:t>1.</w:t>
      </w:r>
      <w:r>
        <w:rPr>
          <w:b/>
        </w:rPr>
        <w:tab/>
      </w:r>
      <w:r w:rsidR="0087086E" w:rsidRPr="00DA0EB0">
        <w:rPr>
          <w:b/>
          <w:u w:val="single"/>
        </w:rPr>
        <w:t>Jurisdictional Cost Recovery Amounts</w:t>
      </w:r>
    </w:p>
    <w:p w:rsidR="0087086E" w:rsidRDefault="0087086E" w:rsidP="005224EC">
      <w:pPr>
        <w:pStyle w:val="OrderBody"/>
      </w:pPr>
    </w:p>
    <w:p w:rsidR="00FD1B54" w:rsidRDefault="0087086E" w:rsidP="00FD1B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A453E2">
        <w:t>T</w:t>
      </w:r>
      <w:r w:rsidR="00FD1B54">
        <w:t xml:space="preserve">he annual SPPCRC proceeding is a rolling three-year review that includes a </w:t>
      </w:r>
      <w:r w:rsidR="00795CF6">
        <w:t>final true-up of costs for the previous year, an</w:t>
      </w:r>
      <w:r w:rsidR="00FD1B54">
        <w:t xml:space="preserve"> actual/estimated</w:t>
      </w:r>
      <w:r w:rsidR="00795CF6">
        <w:t xml:space="preserve"> true-up of costs for the current year</w:t>
      </w:r>
      <w:r w:rsidR="00FD1B54">
        <w:t>, and</w:t>
      </w:r>
      <w:r w:rsidR="00795CF6">
        <w:t xml:space="preserve"> a projection of costs for the subsequent year</w:t>
      </w:r>
      <w:r w:rsidR="00C86470">
        <w:t>.</w:t>
      </w:r>
      <w:r w:rsidR="00795CF6">
        <w:t xml:space="preserve"> </w:t>
      </w:r>
      <w:r w:rsidR="00795CF6">
        <w:rPr>
          <w:i/>
        </w:rPr>
        <w:t>See</w:t>
      </w:r>
      <w:r w:rsidR="00795CF6">
        <w:t xml:space="preserve"> Rule 25-6.031(7)(a)-(c), </w:t>
      </w:r>
      <w:r w:rsidR="00993D8F">
        <w:t>Florida Administrative Code (</w:t>
      </w:r>
      <w:r w:rsidR="00795CF6">
        <w:t>F.A.C.</w:t>
      </w:r>
      <w:r w:rsidR="00993D8F">
        <w:t>).</w:t>
      </w:r>
      <w:r w:rsidR="00C86470">
        <w:t xml:space="preserve"> Applying that template to this docket</w:t>
      </w:r>
      <w:r w:rsidR="00FD1B54">
        <w:t xml:space="preserve">, </w:t>
      </w:r>
      <w:r w:rsidR="00C95AA8">
        <w:t xml:space="preserve">we are to consider the utilities’ </w:t>
      </w:r>
      <w:r w:rsidR="00795CF6">
        <w:t xml:space="preserve">final </w:t>
      </w:r>
      <w:r w:rsidR="00C95AA8">
        <w:t xml:space="preserve">true-up of </w:t>
      </w:r>
      <w:r w:rsidR="00C86470">
        <w:t>2021 costs</w:t>
      </w:r>
      <w:r w:rsidR="00C95AA8">
        <w:t xml:space="preserve">, </w:t>
      </w:r>
      <w:r w:rsidR="00FD1B54">
        <w:t xml:space="preserve">actual/estimated </w:t>
      </w:r>
      <w:r w:rsidR="00795CF6">
        <w:t>true-up</w:t>
      </w:r>
      <w:r w:rsidR="00FD1B54">
        <w:t xml:space="preserve"> for 2022, and </w:t>
      </w:r>
      <w:r w:rsidR="00C95AA8">
        <w:t xml:space="preserve">projected </w:t>
      </w:r>
      <w:r w:rsidR="00795CF6">
        <w:t>costs</w:t>
      </w:r>
      <w:r w:rsidR="00C95AA8">
        <w:t xml:space="preserve"> for </w:t>
      </w:r>
      <w:r w:rsidR="00FD1B54">
        <w:t>2023.</w:t>
      </w:r>
    </w:p>
    <w:p w:rsidR="007831B6" w:rsidRDefault="007831B6" w:rsidP="00FD1B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831B6" w:rsidRPr="00A12EC3" w:rsidRDefault="007831B6" w:rsidP="007831B6">
      <w:pPr>
        <w:autoSpaceDE w:val="0"/>
        <w:autoSpaceDN w:val="0"/>
        <w:adjustRightInd w:val="0"/>
        <w:jc w:val="both"/>
      </w:pPr>
      <w:r>
        <w:tab/>
        <w:t xml:space="preserve">As </w:t>
      </w:r>
      <w:r w:rsidR="00B63E1D">
        <w:t xml:space="preserve">to </w:t>
      </w:r>
      <w:r w:rsidR="00795CF6">
        <w:t>the</w:t>
      </w:r>
      <w:r w:rsidR="00C86470">
        <w:t xml:space="preserve"> </w:t>
      </w:r>
      <w:r w:rsidR="004346B3">
        <w:t>2021 and 2022</w:t>
      </w:r>
      <w:r w:rsidR="00795CF6">
        <w:t xml:space="preserve"> true-ups </w:t>
      </w:r>
      <w:r w:rsidR="00C95AA8">
        <w:t xml:space="preserve">and </w:t>
      </w:r>
      <w:r w:rsidR="007D35C2">
        <w:t>2023</w:t>
      </w:r>
      <w:r w:rsidR="00C95AA8">
        <w:t xml:space="preserve"> projection</w:t>
      </w:r>
      <w:r w:rsidR="00C86470">
        <w:t>s</w:t>
      </w:r>
      <w:r>
        <w:t xml:space="preserve">, </w:t>
      </w:r>
      <w:r w:rsidR="00C95AA8">
        <w:t>OPC raised only one</w:t>
      </w:r>
      <w:r w:rsidR="00B63E1D">
        <w:t>, blanket</w:t>
      </w:r>
      <w:r w:rsidR="00C95AA8">
        <w:t xml:space="preserve"> argument: </w:t>
      </w:r>
      <w:r>
        <w:t>“OPC is not in agreement th</w:t>
      </w:r>
      <w:r w:rsidRPr="007831B6">
        <w:t xml:space="preserve">at the </w:t>
      </w:r>
      <w:r>
        <w:t>Compani</w:t>
      </w:r>
      <w:r w:rsidRPr="007831B6">
        <w:t>es have demonstrated that they have met their burden to demonstrate that costs are reasonable and prudent</w:t>
      </w:r>
      <w:r>
        <w:t xml:space="preserve">.” </w:t>
      </w:r>
      <w:r w:rsidR="008F20AB">
        <w:t>The other intervenors adopted this argument</w:t>
      </w:r>
      <w:r w:rsidR="00450D05" w:rsidRPr="00A12EC3">
        <w:t xml:space="preserve"> with respect to </w:t>
      </w:r>
      <w:r w:rsidR="00CD4504">
        <w:t>the same issues. N</w:t>
      </w:r>
      <w:r w:rsidR="008F20AB">
        <w:t xml:space="preserve">o </w:t>
      </w:r>
      <w:r w:rsidR="00CD4504">
        <w:t xml:space="preserve">intervenor raised </w:t>
      </w:r>
      <w:r w:rsidR="008F20AB">
        <w:t>additional concerns or independent arguments.</w:t>
      </w:r>
    </w:p>
    <w:p w:rsidR="007831B6" w:rsidRPr="00A12EC3" w:rsidRDefault="007831B6" w:rsidP="00A12EC3">
      <w:pPr>
        <w:autoSpaceDE w:val="0"/>
        <w:autoSpaceDN w:val="0"/>
        <w:adjustRightInd w:val="0"/>
        <w:jc w:val="both"/>
      </w:pPr>
    </w:p>
    <w:p w:rsidR="00A12EC3" w:rsidRDefault="00A12EC3" w:rsidP="00A12EC3">
      <w:pPr>
        <w:jc w:val="both"/>
      </w:pPr>
      <w:r w:rsidRPr="00A12EC3">
        <w:tab/>
      </w:r>
      <w:r w:rsidR="004B3778">
        <w:t>We agree with OPC that t</w:t>
      </w:r>
      <w:r w:rsidR="004B3778" w:rsidRPr="00A12EC3">
        <w:t xml:space="preserve">he utilities bear the burden to demonstrate </w:t>
      </w:r>
      <w:r w:rsidR="004B3778">
        <w:t>that the costs for which they seek recovery were</w:t>
      </w:r>
      <w:r w:rsidR="004B3778" w:rsidRPr="00A12EC3">
        <w:t xml:space="preserve"> prudently</w:t>
      </w:r>
      <w:r w:rsidR="004B3778">
        <w:t xml:space="preserve"> incurred and that all projections </w:t>
      </w:r>
      <w:r w:rsidR="00097FE8">
        <w:t xml:space="preserve">they submitted </w:t>
      </w:r>
      <w:r w:rsidR="004B3778">
        <w:t xml:space="preserve">are reasonable. </w:t>
      </w:r>
      <w:r w:rsidR="004B3778">
        <w:rPr>
          <w:i/>
        </w:rPr>
        <w:t xml:space="preserve">See </w:t>
      </w:r>
      <w:r w:rsidRPr="00A12EC3">
        <w:rPr>
          <w:i/>
          <w:color w:val="000000"/>
          <w:bdr w:val="none" w:sz="0" w:space="0" w:color="auto" w:frame="1"/>
        </w:rPr>
        <w:t>Espinoza v. Dep't of Bus. &amp; Prof</w:t>
      </w:r>
      <w:r>
        <w:rPr>
          <w:i/>
          <w:color w:val="000000"/>
          <w:bdr w:val="none" w:sz="0" w:space="0" w:color="auto" w:frame="1"/>
        </w:rPr>
        <w:t>. Reg</w:t>
      </w:r>
      <w:r w:rsidRPr="00A12EC3">
        <w:rPr>
          <w:i/>
          <w:color w:val="000000"/>
          <w:bdr w:val="none" w:sz="0" w:space="0" w:color="auto" w:frame="1"/>
        </w:rPr>
        <w:t>.</w:t>
      </w:r>
      <w:r w:rsidRPr="00A12EC3">
        <w:rPr>
          <w:color w:val="000000"/>
        </w:rPr>
        <w:t>, 739 So. 2d 1250, 1251 (Fla. 3d DCA 1999)</w:t>
      </w:r>
      <w:r w:rsidR="004B3778">
        <w:rPr>
          <w:color w:val="000000"/>
        </w:rPr>
        <w:t xml:space="preserve"> (</w:t>
      </w:r>
      <w:r w:rsidR="004B3778" w:rsidRPr="00A12EC3">
        <w:t>“</w:t>
      </w:r>
      <w:r w:rsidR="004B3778" w:rsidRPr="00A12EC3">
        <w:rPr>
          <w:color w:val="000000"/>
          <w:shd w:val="clear" w:color="auto" w:fill="FFFFFF"/>
        </w:rPr>
        <w:t>The general</w:t>
      </w:r>
      <w:r w:rsidR="004B3778">
        <w:rPr>
          <w:color w:val="000000"/>
          <w:shd w:val="clear" w:color="auto" w:fill="FFFFFF"/>
        </w:rPr>
        <w:t xml:space="preserve"> rule is that, apart from statute</w:t>
      </w:r>
      <w:r w:rsidR="004B3778" w:rsidRPr="00A12EC3">
        <w:rPr>
          <w:color w:val="000000"/>
          <w:shd w:val="clear" w:color="auto" w:fill="FFFFFF"/>
        </w:rPr>
        <w:t>,</w:t>
      </w:r>
      <w:r w:rsidR="004B3778">
        <w:rPr>
          <w:color w:val="000000"/>
          <w:shd w:val="clear" w:color="auto" w:fill="FFFFFF"/>
        </w:rPr>
        <w:t xml:space="preserve"> the burden of proof is on the party </w:t>
      </w:r>
      <w:r w:rsidR="004B3778" w:rsidRPr="00A12EC3">
        <w:rPr>
          <w:color w:val="000000"/>
          <w:shd w:val="clear" w:color="auto" w:fill="FFFFFF"/>
        </w:rPr>
        <w:t>asserting the </w:t>
      </w:r>
      <w:r w:rsidR="004B3778" w:rsidRPr="00A12EC3">
        <w:rPr>
          <w:rStyle w:val="coconcept2333"/>
          <w:color w:val="000000"/>
          <w:bdr w:val="none" w:sz="0" w:space="0" w:color="auto" w:frame="1"/>
          <w:shd w:val="clear" w:color="auto" w:fill="FFFFFF"/>
        </w:rPr>
        <w:t>affirmative</w:t>
      </w:r>
      <w:r w:rsidR="004B3778" w:rsidRPr="00A12EC3">
        <w:rPr>
          <w:color w:val="000000"/>
          <w:shd w:val="clear" w:color="auto" w:fill="FFFFFF"/>
        </w:rPr>
        <w:t> of an issue before an </w:t>
      </w:r>
      <w:r w:rsidR="004B3778" w:rsidRPr="00A12EC3">
        <w:rPr>
          <w:rStyle w:val="coconcept3849"/>
          <w:color w:val="000000"/>
          <w:bdr w:val="none" w:sz="0" w:space="0" w:color="auto" w:frame="1"/>
          <w:shd w:val="clear" w:color="auto" w:fill="FFFFFF"/>
        </w:rPr>
        <w:t>administrative</w:t>
      </w:r>
      <w:r w:rsidR="004B3778" w:rsidRPr="00A12EC3">
        <w:rPr>
          <w:color w:val="000000"/>
          <w:shd w:val="clear" w:color="auto" w:fill="FFFFFF"/>
        </w:rPr>
        <w:t> tribunal.”</w:t>
      </w:r>
      <w:r w:rsidR="004B3778">
        <w:rPr>
          <w:color w:val="000000"/>
          <w:shd w:val="clear" w:color="auto" w:fill="FFFFFF"/>
        </w:rPr>
        <w:t>).</w:t>
      </w:r>
      <w:r>
        <w:rPr>
          <w:color w:val="000000"/>
        </w:rPr>
        <w:t xml:space="preserve"> </w:t>
      </w:r>
      <w:r w:rsidR="006A351B">
        <w:t>However, as explained below, we do not agree with OPC or the other intervenors that the utilities failed to carry this burden.</w:t>
      </w:r>
    </w:p>
    <w:p w:rsidR="0013113A" w:rsidRDefault="0013113A" w:rsidP="0013113A">
      <w:pPr>
        <w:jc w:val="both"/>
      </w:pPr>
    </w:p>
    <w:p w:rsidR="0013113A" w:rsidRPr="0013113A" w:rsidRDefault="0013113A" w:rsidP="0013113A">
      <w:pPr>
        <w:jc w:val="both"/>
        <w:rPr>
          <w:color w:val="000000"/>
        </w:rPr>
      </w:pPr>
      <w:r>
        <w:tab/>
      </w:r>
      <w:r w:rsidR="00A71113">
        <w:rPr>
          <w:color w:val="000000"/>
        </w:rPr>
        <w:t>Prudence and reasonableness are</w:t>
      </w:r>
      <w:r w:rsidR="007D35C2" w:rsidRPr="0013113A">
        <w:rPr>
          <w:color w:val="000000"/>
        </w:rPr>
        <w:t xml:space="preserve"> standard</w:t>
      </w:r>
      <w:r w:rsidR="00A71113">
        <w:rPr>
          <w:color w:val="000000"/>
        </w:rPr>
        <w:t>s</w:t>
      </w:r>
      <w:r w:rsidR="007D35C2" w:rsidRPr="0013113A">
        <w:rPr>
          <w:color w:val="000000"/>
        </w:rPr>
        <w:t xml:space="preserve"> of conduct. </w:t>
      </w:r>
      <w:r w:rsidR="007D35C2" w:rsidRPr="0013113A">
        <w:rPr>
          <w:i/>
          <w:color w:val="000000"/>
        </w:rPr>
        <w:t xml:space="preserve">See </w:t>
      </w:r>
      <w:r w:rsidR="007D35C2" w:rsidRPr="0013113A">
        <w:rPr>
          <w:i/>
          <w:color w:val="000000"/>
          <w:bdr w:val="none" w:sz="0" w:space="0" w:color="auto" w:frame="1"/>
        </w:rPr>
        <w:t>Vogel v. Allen</w:t>
      </w:r>
      <w:r w:rsidR="007D35C2" w:rsidRPr="0013113A">
        <w:rPr>
          <w:color w:val="000000"/>
        </w:rPr>
        <w:t xml:space="preserve">, 443 So. </w:t>
      </w:r>
      <w:r w:rsidR="007D35C2">
        <w:rPr>
          <w:color w:val="000000"/>
        </w:rPr>
        <w:t>2d 368, 369 (Fla. 5</w:t>
      </w:r>
      <w:r w:rsidR="007D35C2" w:rsidRPr="0013113A">
        <w:rPr>
          <w:color w:val="000000"/>
          <w:vertAlign w:val="superscript"/>
        </w:rPr>
        <w:t>th</w:t>
      </w:r>
      <w:r w:rsidR="007D35C2">
        <w:rPr>
          <w:color w:val="000000"/>
        </w:rPr>
        <w:t xml:space="preserve"> DCA</w:t>
      </w:r>
      <w:r w:rsidR="007D35C2" w:rsidRPr="0013113A">
        <w:rPr>
          <w:color w:val="000000"/>
        </w:rPr>
        <w:t xml:space="preserve"> 1983)</w:t>
      </w:r>
      <w:r w:rsidR="007D35C2">
        <w:rPr>
          <w:color w:val="000000"/>
        </w:rPr>
        <w:t xml:space="preserve">. </w:t>
      </w:r>
      <w:r>
        <w:t>Our well-established standard for determining prudence is “what a reasonable utility manager would have done, in light of the conditions and circumstances which were known, or should have been known, at the time the decision was made.”</w:t>
      </w:r>
      <w:r w:rsidRPr="0013113A">
        <w:rPr>
          <w:color w:val="000000"/>
        </w:rPr>
        <w:t xml:space="preserve"> </w:t>
      </w:r>
      <w:r>
        <w:rPr>
          <w:color w:val="000000"/>
        </w:rPr>
        <w:t xml:space="preserve">Order No. PSC-11-0547-FOF-EI, issued November 23, 2011, in Docket No. 20110009-EI, </w:t>
      </w:r>
      <w:r>
        <w:rPr>
          <w:i/>
          <w:color w:val="000000"/>
        </w:rPr>
        <w:t>In re: Nuclear cost recovery clause</w:t>
      </w:r>
      <w:r>
        <w:rPr>
          <w:color w:val="000000"/>
        </w:rPr>
        <w:t xml:space="preserve">. </w:t>
      </w:r>
    </w:p>
    <w:p w:rsidR="0013113A" w:rsidRPr="0013113A" w:rsidRDefault="0013113A" w:rsidP="00A12EC3">
      <w:pPr>
        <w:jc w:val="both"/>
        <w:rPr>
          <w:color w:val="000000"/>
        </w:rPr>
      </w:pPr>
    </w:p>
    <w:p w:rsidR="007831B6" w:rsidRPr="007831B6" w:rsidRDefault="00A12EC3" w:rsidP="00803938">
      <w:pPr>
        <w:jc w:val="both"/>
      </w:pPr>
      <w:r>
        <w:rPr>
          <w:color w:val="000000"/>
          <w:shd w:val="clear" w:color="auto" w:fill="FFFFFF"/>
        </w:rPr>
        <w:tab/>
      </w:r>
      <w:r w:rsidR="00C86470" w:rsidRPr="00A12EC3">
        <w:rPr>
          <w:color w:val="000000"/>
          <w:shd w:val="clear" w:color="auto" w:fill="FFFFFF"/>
        </w:rPr>
        <w:t>“[D]eviation from a standard of cond</w:t>
      </w:r>
      <w:r w:rsidR="00C86470" w:rsidRPr="00C86470">
        <w:rPr>
          <w:color w:val="000000"/>
          <w:shd w:val="clear" w:color="auto" w:fill="FFFFFF"/>
        </w:rPr>
        <w:t>uct is essentially an ultimate finding of fact clearly within the realm of the hear</w:t>
      </w:r>
      <w:r w:rsidR="00C86470" w:rsidRPr="0073415E">
        <w:rPr>
          <w:color w:val="000000"/>
          <w:shd w:val="clear" w:color="auto" w:fill="FFFFFF"/>
        </w:rPr>
        <w:t xml:space="preserve">ing officer's fact-finding discretion.” </w:t>
      </w:r>
      <w:r w:rsidR="00C86470" w:rsidRPr="0073415E">
        <w:rPr>
          <w:i/>
          <w:color w:val="000000"/>
          <w:bdr w:val="none" w:sz="0" w:space="0" w:color="auto" w:frame="1"/>
        </w:rPr>
        <w:t>Holmes v. Turlington</w:t>
      </w:r>
      <w:r w:rsidR="00C86470" w:rsidRPr="0073415E">
        <w:rPr>
          <w:color w:val="000000"/>
        </w:rPr>
        <w:t>, 480 So. 2d 150, 153 (Fla. 1</w:t>
      </w:r>
      <w:r w:rsidR="00C86470" w:rsidRPr="0073415E">
        <w:rPr>
          <w:color w:val="000000"/>
          <w:vertAlign w:val="superscript"/>
        </w:rPr>
        <w:t>st</w:t>
      </w:r>
      <w:r w:rsidR="00C86470" w:rsidRPr="0073415E">
        <w:rPr>
          <w:color w:val="000000"/>
        </w:rPr>
        <w:t xml:space="preserve"> DCA 1985)</w:t>
      </w:r>
      <w:r w:rsidR="00450D05" w:rsidRPr="0073415E">
        <w:rPr>
          <w:color w:val="000000"/>
        </w:rPr>
        <w:t xml:space="preserve">; </w:t>
      </w:r>
      <w:r w:rsidR="00450D05" w:rsidRPr="0073415E">
        <w:rPr>
          <w:i/>
          <w:color w:val="000000"/>
        </w:rPr>
        <w:t>see</w:t>
      </w:r>
      <w:r w:rsidR="008B44F6" w:rsidRPr="0073415E">
        <w:rPr>
          <w:color w:val="000000"/>
          <w:shd w:val="clear" w:color="auto" w:fill="FFFFFF"/>
        </w:rPr>
        <w:t xml:space="preserve"> </w:t>
      </w:r>
      <w:r w:rsidR="008B44F6" w:rsidRPr="00B36C51">
        <w:rPr>
          <w:i/>
          <w:color w:val="000000"/>
          <w:bdr w:val="none" w:sz="0" w:space="0" w:color="auto" w:frame="1"/>
        </w:rPr>
        <w:t>Safeway Ins. Co. v. Godoy</w:t>
      </w:r>
      <w:r w:rsidR="008B44F6" w:rsidRPr="0073415E">
        <w:rPr>
          <w:color w:val="000000"/>
        </w:rPr>
        <w:t xml:space="preserve">, 584 </w:t>
      </w:r>
      <w:r w:rsidR="00B36C51">
        <w:rPr>
          <w:color w:val="000000"/>
        </w:rPr>
        <w:t>So. 2d 1136, 1136 (Fla. 3d DCA</w:t>
      </w:r>
      <w:r w:rsidR="008B44F6" w:rsidRPr="0073415E">
        <w:rPr>
          <w:color w:val="000000"/>
        </w:rPr>
        <w:t xml:space="preserve"> 1991) (</w:t>
      </w:r>
      <w:r w:rsidR="00B36C51">
        <w:rPr>
          <w:color w:val="000000"/>
        </w:rPr>
        <w:t xml:space="preserve">whether </w:t>
      </w:r>
      <w:r w:rsidR="008B44F6" w:rsidRPr="0073415E">
        <w:rPr>
          <w:color w:val="000000"/>
          <w:shd w:val="clear" w:color="auto" w:fill="FFFFFF"/>
        </w:rPr>
        <w:t xml:space="preserve">hours claimed by counsel were </w:t>
      </w:r>
      <w:r w:rsidR="00B36C51">
        <w:rPr>
          <w:color w:val="000000"/>
          <w:shd w:val="clear" w:color="auto" w:fill="FFFFFF"/>
        </w:rPr>
        <w:t>“</w:t>
      </w:r>
      <w:r w:rsidR="008B44F6" w:rsidRPr="0073415E">
        <w:rPr>
          <w:color w:val="000000"/>
          <w:shd w:val="clear" w:color="auto" w:fill="FFFFFF"/>
        </w:rPr>
        <w:t>reasonably, necessarily, and </w:t>
      </w:r>
      <w:r w:rsidR="008B44F6" w:rsidRPr="0073415E">
        <w:rPr>
          <w:rStyle w:val="coconcept2935"/>
          <w:color w:val="000000"/>
          <w:bdr w:val="none" w:sz="0" w:space="0" w:color="auto" w:frame="1"/>
          <w:shd w:val="clear" w:color="auto" w:fill="FFFFFF"/>
        </w:rPr>
        <w:t>prudently</w:t>
      </w:r>
      <w:r w:rsidR="008B44F6" w:rsidRPr="0073415E">
        <w:rPr>
          <w:color w:val="000000"/>
          <w:shd w:val="clear" w:color="auto" w:fill="FFFFFF"/>
        </w:rPr>
        <w:t> expended</w:t>
      </w:r>
      <w:r w:rsidR="00B36C51">
        <w:rPr>
          <w:color w:val="000000"/>
          <w:shd w:val="clear" w:color="auto" w:fill="FFFFFF"/>
        </w:rPr>
        <w:t>” is a factual finding</w:t>
      </w:r>
      <w:r w:rsidR="008B44F6" w:rsidRPr="0073415E">
        <w:rPr>
          <w:color w:val="000000"/>
          <w:shd w:val="clear" w:color="auto" w:fill="FFFFFF"/>
        </w:rPr>
        <w:t>)</w:t>
      </w:r>
      <w:r w:rsidR="0073415E" w:rsidRPr="0073415E">
        <w:rPr>
          <w:color w:val="000000"/>
          <w:shd w:val="clear" w:color="auto" w:fill="FFFFFF"/>
        </w:rPr>
        <w:t>;</w:t>
      </w:r>
      <w:r w:rsidR="00450D05" w:rsidRPr="0073415E">
        <w:rPr>
          <w:i/>
          <w:color w:val="000000"/>
        </w:rPr>
        <w:t xml:space="preserve"> </w:t>
      </w:r>
      <w:r w:rsidR="006A4AC7" w:rsidRPr="0073415E">
        <w:rPr>
          <w:i/>
          <w:color w:val="000000"/>
          <w:bdr w:val="none" w:sz="0" w:space="0" w:color="auto" w:frame="1"/>
        </w:rPr>
        <w:t>Nest v. Dep't of Prof. Reg.,</w:t>
      </w:r>
      <w:r w:rsidR="006A4AC7" w:rsidRPr="0073415E">
        <w:rPr>
          <w:color w:val="000000"/>
        </w:rPr>
        <w:t xml:space="preserve"> 490 So. 2d 987, 989 (Fla. 1</w:t>
      </w:r>
      <w:r w:rsidR="006A4AC7" w:rsidRPr="0073415E">
        <w:rPr>
          <w:color w:val="000000"/>
          <w:vertAlign w:val="superscript"/>
        </w:rPr>
        <w:t>st</w:t>
      </w:r>
      <w:r w:rsidR="006A4AC7" w:rsidRPr="0073415E">
        <w:rPr>
          <w:color w:val="000000"/>
        </w:rPr>
        <w:t xml:space="preserve"> DCA 1986) (“</w:t>
      </w:r>
      <w:r w:rsidR="006A4AC7" w:rsidRPr="0073415E">
        <w:rPr>
          <w:color w:val="000000"/>
          <w:shd w:val="clear" w:color="auto" w:fill="FFFFFF"/>
        </w:rPr>
        <w:t>the ability to practice with </w:t>
      </w:r>
      <w:r w:rsidR="006A4AC7" w:rsidRPr="0073415E">
        <w:rPr>
          <w:rStyle w:val="coconcept3241"/>
          <w:color w:val="000000"/>
          <w:bdr w:val="none" w:sz="0" w:space="0" w:color="auto" w:frame="1"/>
          <w:shd w:val="clear" w:color="auto" w:fill="FFFFFF"/>
        </w:rPr>
        <w:t>reasonable</w:t>
      </w:r>
      <w:r w:rsidR="006A4AC7" w:rsidRPr="0073415E">
        <w:rPr>
          <w:color w:val="000000"/>
          <w:shd w:val="clear" w:color="auto" w:fill="FFFFFF"/>
        </w:rPr>
        <w:t> skill and safety is essentially an </w:t>
      </w:r>
      <w:r w:rsidR="006A4AC7" w:rsidRPr="0073415E">
        <w:rPr>
          <w:rStyle w:val="coconcept127"/>
          <w:color w:val="000000"/>
          <w:bdr w:val="none" w:sz="0" w:space="0" w:color="auto" w:frame="1"/>
          <w:shd w:val="clear" w:color="auto" w:fill="FFFFFF"/>
        </w:rPr>
        <w:t>ultimate</w:t>
      </w:r>
      <w:r w:rsidR="006A4AC7" w:rsidRPr="0073415E">
        <w:rPr>
          <w:color w:val="000000"/>
          <w:shd w:val="clear" w:color="auto" w:fill="FFFFFF"/>
        </w:rPr>
        <w:t> </w:t>
      </w:r>
      <w:r w:rsidR="006A4AC7" w:rsidRPr="0073415E">
        <w:rPr>
          <w:rStyle w:val="coconcept127"/>
          <w:color w:val="000000"/>
          <w:bdr w:val="none" w:sz="0" w:space="0" w:color="auto" w:frame="1"/>
          <w:shd w:val="clear" w:color="auto" w:fill="FFFFFF"/>
        </w:rPr>
        <w:t>finding</w:t>
      </w:r>
      <w:r w:rsidR="006A4AC7" w:rsidRPr="0073415E">
        <w:rPr>
          <w:color w:val="000000"/>
          <w:shd w:val="clear" w:color="auto" w:fill="FFFFFF"/>
        </w:rPr>
        <w:t> </w:t>
      </w:r>
      <w:r w:rsidR="006A4AC7" w:rsidRPr="0073415E">
        <w:rPr>
          <w:rStyle w:val="coconcept127"/>
          <w:color w:val="000000"/>
          <w:bdr w:val="none" w:sz="0" w:space="0" w:color="auto" w:frame="1"/>
          <w:shd w:val="clear" w:color="auto" w:fill="FFFFFF"/>
        </w:rPr>
        <w:t>of</w:t>
      </w:r>
      <w:r w:rsidR="006A4AC7" w:rsidRPr="0073415E">
        <w:rPr>
          <w:color w:val="000000"/>
          <w:shd w:val="clear" w:color="auto" w:fill="FFFFFF"/>
        </w:rPr>
        <w:t> </w:t>
      </w:r>
      <w:r w:rsidR="006A4AC7" w:rsidRPr="0073415E">
        <w:rPr>
          <w:rStyle w:val="coconcept127"/>
          <w:color w:val="000000"/>
          <w:bdr w:val="none" w:sz="0" w:space="0" w:color="auto" w:frame="1"/>
          <w:shd w:val="clear" w:color="auto" w:fill="FFFFFF"/>
        </w:rPr>
        <w:t>fact”).</w:t>
      </w:r>
      <w:r w:rsidR="0013113A">
        <w:rPr>
          <w:rStyle w:val="coconcept127"/>
          <w:color w:val="000000"/>
          <w:bdr w:val="none" w:sz="0" w:space="0" w:color="auto" w:frame="1"/>
          <w:shd w:val="clear" w:color="auto" w:fill="FFFFFF"/>
        </w:rPr>
        <w:t xml:space="preserve"> </w:t>
      </w:r>
      <w:r w:rsidR="0013113A" w:rsidRPr="0073415E">
        <w:rPr>
          <w:color w:val="000000"/>
        </w:rPr>
        <w:t>The question</w:t>
      </w:r>
      <w:r w:rsidR="00A71113">
        <w:rPr>
          <w:color w:val="000000"/>
        </w:rPr>
        <w:t>s</w:t>
      </w:r>
      <w:r w:rsidR="0013113A">
        <w:rPr>
          <w:color w:val="000000"/>
        </w:rPr>
        <w:t xml:space="preserve"> for us</w:t>
      </w:r>
      <w:r w:rsidR="00A71113">
        <w:rPr>
          <w:color w:val="000000"/>
        </w:rPr>
        <w:t>, then, are</w:t>
      </w:r>
      <w:r w:rsidR="0013113A" w:rsidRPr="0073415E">
        <w:rPr>
          <w:color w:val="000000"/>
        </w:rPr>
        <w:t xml:space="preserve"> whe</w:t>
      </w:r>
      <w:r w:rsidR="0013113A">
        <w:rPr>
          <w:color w:val="000000"/>
        </w:rPr>
        <w:t xml:space="preserve">ther there is competent, substantial evidence in the record to demonstrate that the utilities </w:t>
      </w:r>
      <w:r w:rsidR="00A71113">
        <w:rPr>
          <w:color w:val="000000"/>
        </w:rPr>
        <w:t xml:space="preserve">(1) </w:t>
      </w:r>
      <w:r w:rsidR="0013113A">
        <w:rPr>
          <w:color w:val="000000"/>
        </w:rPr>
        <w:t xml:space="preserve">acted </w:t>
      </w:r>
      <w:r w:rsidR="007D35C2">
        <w:rPr>
          <w:color w:val="000000"/>
        </w:rPr>
        <w:t>prudently in incurrin</w:t>
      </w:r>
      <w:r w:rsidR="00E14685">
        <w:rPr>
          <w:color w:val="000000"/>
        </w:rPr>
        <w:t xml:space="preserve">g </w:t>
      </w:r>
      <w:r w:rsidR="007237B6">
        <w:rPr>
          <w:color w:val="000000"/>
        </w:rPr>
        <w:t>th</w:t>
      </w:r>
      <w:r w:rsidR="00E14685">
        <w:rPr>
          <w:color w:val="000000"/>
        </w:rPr>
        <w:t xml:space="preserve">e </w:t>
      </w:r>
      <w:r w:rsidR="005768C5">
        <w:rPr>
          <w:color w:val="000000"/>
        </w:rPr>
        <w:t xml:space="preserve">actual </w:t>
      </w:r>
      <w:r w:rsidR="00E14685">
        <w:rPr>
          <w:color w:val="000000"/>
        </w:rPr>
        <w:t>costs for which they now s</w:t>
      </w:r>
      <w:r w:rsidR="007D35C2">
        <w:rPr>
          <w:color w:val="000000"/>
        </w:rPr>
        <w:t>eek recovery</w:t>
      </w:r>
      <w:r w:rsidR="00A71113">
        <w:rPr>
          <w:color w:val="000000"/>
        </w:rPr>
        <w:t xml:space="preserve">, and (2) </w:t>
      </w:r>
      <w:r w:rsidR="00E14685">
        <w:rPr>
          <w:color w:val="000000"/>
        </w:rPr>
        <w:t>made reasonable</w:t>
      </w:r>
      <w:r w:rsidR="00CD4504">
        <w:rPr>
          <w:color w:val="000000"/>
        </w:rPr>
        <w:t xml:space="preserve"> </w:t>
      </w:r>
      <w:r w:rsidR="005768C5">
        <w:rPr>
          <w:color w:val="000000"/>
        </w:rPr>
        <w:t xml:space="preserve">estimates and </w:t>
      </w:r>
      <w:r w:rsidR="00A71113">
        <w:rPr>
          <w:color w:val="000000"/>
        </w:rPr>
        <w:t>projections</w:t>
      </w:r>
      <w:r w:rsidR="00CD4504">
        <w:rPr>
          <w:color w:val="000000"/>
        </w:rPr>
        <w:t xml:space="preserve"> of future costs</w:t>
      </w:r>
      <w:r w:rsidR="00A71113">
        <w:rPr>
          <w:color w:val="000000"/>
        </w:rPr>
        <w:t>.</w:t>
      </w:r>
    </w:p>
    <w:p w:rsidR="00803938" w:rsidRPr="007831B6" w:rsidRDefault="00FD1B54" w:rsidP="00803938">
      <w:pPr>
        <w:autoSpaceDE w:val="0"/>
        <w:autoSpaceDN w:val="0"/>
        <w:adjustRightInd w:val="0"/>
        <w:jc w:val="both"/>
      </w:pPr>
      <w:r>
        <w:tab/>
      </w:r>
    </w:p>
    <w:p w:rsidR="00803938" w:rsidRDefault="00803938" w:rsidP="00803938">
      <w:pPr>
        <w:pStyle w:val="OrderBody"/>
      </w:pPr>
      <w:r>
        <w:tab/>
        <w:t>The jurisdictional cost recovery amounts set forth by the utilities in the 2021 true-up consist entirely of costs incurred to implement Commission-approved storm protection plans and programs.</w:t>
      </w:r>
      <w:r>
        <w:rPr>
          <w:rStyle w:val="FootnoteReference"/>
        </w:rPr>
        <w:footnoteReference w:id="6"/>
      </w:r>
      <w:r>
        <w:t xml:space="preserve"> Each utility supported its petition for recovery with testimony providing details </w:t>
      </w:r>
      <w:r>
        <w:lastRenderedPageBreak/>
        <w:t xml:space="preserve">regarding SPP implementation activities and costs, and how those costs are consistent with the SPP, as required by Rule 25-6.031(2), F.A.C. We find that the record contains competent, substantial evidence demonstrating that all </w:t>
      </w:r>
      <w:r w:rsidR="004C6033">
        <w:t xml:space="preserve">actual </w:t>
      </w:r>
      <w:r>
        <w:t xml:space="preserve">2021 costs were prudently incurred. We further find that the record contains competent, substantial evidence demonstrating that the utilities’ </w:t>
      </w:r>
      <w:r w:rsidR="005768C5">
        <w:t>actual/</w:t>
      </w:r>
      <w:r w:rsidR="004C6033">
        <w:t xml:space="preserve">estimated 2022 costs and </w:t>
      </w:r>
      <w:r>
        <w:t>projected jurisdictional cost recovery amounts for the period January 2023 to December 2023 are reasonable. Based on our approval of the utilities’ requested jurisdictional cost recovery amounts, we approve the total amounts to be included in establishing SPP cost recovery factors for the period January 2023 through December 2023.</w:t>
      </w:r>
    </w:p>
    <w:p w:rsidR="00803938" w:rsidRDefault="00803938" w:rsidP="00803938">
      <w:pPr>
        <w:pStyle w:val="OrderBody"/>
      </w:pPr>
    </w:p>
    <w:p w:rsidR="00803938" w:rsidRPr="005224EC" w:rsidRDefault="00803938" w:rsidP="00803938">
      <w:pPr>
        <w:pStyle w:val="OrderBody"/>
      </w:pPr>
      <w:r>
        <w:tab/>
        <w:t>The specific jurisdictional cost recovery amounts we approve by period and utility are set forth below.</w:t>
      </w:r>
    </w:p>
    <w:p w:rsidR="00803938" w:rsidRDefault="00803938" w:rsidP="00803938"/>
    <w:p w:rsidR="00803938" w:rsidRDefault="00803938" w:rsidP="00803938">
      <w:pPr>
        <w:jc w:val="center"/>
        <w:rPr>
          <w:b/>
        </w:rPr>
      </w:pPr>
      <w:r w:rsidRPr="00001242">
        <w:rPr>
          <w:b/>
        </w:rPr>
        <w:t xml:space="preserve">Final </w:t>
      </w:r>
      <w:r>
        <w:rPr>
          <w:b/>
        </w:rPr>
        <w:t xml:space="preserve">SPPCRC </w:t>
      </w:r>
      <w:r w:rsidRPr="00001242">
        <w:rPr>
          <w:b/>
        </w:rPr>
        <w:t>true-up amounts</w:t>
      </w:r>
      <w:r w:rsidR="00CB5883">
        <w:rPr>
          <w:b/>
        </w:rPr>
        <w:t>:</w:t>
      </w:r>
    </w:p>
    <w:p w:rsidR="00803938" w:rsidRPr="00CB5883" w:rsidRDefault="00803938" w:rsidP="00803938">
      <w:pPr>
        <w:jc w:val="center"/>
        <w:rPr>
          <w:b/>
          <w:u w:val="single"/>
        </w:rPr>
      </w:pPr>
      <w:r w:rsidRPr="00CB5883">
        <w:rPr>
          <w:b/>
          <w:u w:val="single"/>
        </w:rPr>
        <w:t>January 2021 through December 2021</w:t>
      </w:r>
    </w:p>
    <w:p w:rsidR="00711607" w:rsidRDefault="00711607" w:rsidP="00803938">
      <w:pPr>
        <w:pStyle w:val="OrderBody"/>
      </w:pPr>
    </w:p>
    <w:p w:rsidR="00711607" w:rsidRDefault="00711607" w:rsidP="00711607">
      <w:pPr>
        <w:pStyle w:val="PleadingSig"/>
      </w:pPr>
      <w:r>
        <w:tab/>
        <w:t xml:space="preserve">The final Storm Protection Plan Cost Recovery Clause jurisdictional cost recovery true-up amount for the period January 2021 through December 2021 for TECO is an over-recovery </w:t>
      </w:r>
      <w:r w:rsidRPr="00E83657">
        <w:t>of $</w:t>
      </w:r>
      <w:r>
        <w:t xml:space="preserve">4,939,848 </w:t>
      </w:r>
      <w:r w:rsidRPr="00FB67D6">
        <w:t>including</w:t>
      </w:r>
      <w:r>
        <w:t xml:space="preserve"> interest.</w:t>
      </w:r>
    </w:p>
    <w:p w:rsidR="00711607" w:rsidRDefault="00711607" w:rsidP="00711607">
      <w:pPr>
        <w:jc w:val="both"/>
      </w:pPr>
    </w:p>
    <w:p w:rsidR="00711607" w:rsidRDefault="00711607" w:rsidP="00711607">
      <w:pPr>
        <w:jc w:val="both"/>
        <w:rPr>
          <w:b/>
        </w:rPr>
      </w:pPr>
      <w:r>
        <w:tab/>
      </w:r>
      <w:r w:rsidRPr="00AA186B">
        <w:t>FPUC</w:t>
      </w:r>
      <w:r>
        <w:t xml:space="preserve"> did not have a Commission-approved SPP during</w:t>
      </w:r>
      <w:r w:rsidRPr="00AA186B">
        <w:t xml:space="preserve"> </w:t>
      </w:r>
      <w:r>
        <w:t>t</w:t>
      </w:r>
      <w:r w:rsidRPr="00AA186B">
        <w:t>he period January 2021 through December 2021</w:t>
      </w:r>
      <w:r>
        <w:t>. Therefore, there is no final true-up for this period for FPUC.</w:t>
      </w:r>
    </w:p>
    <w:p w:rsidR="00711607" w:rsidRDefault="00711607" w:rsidP="00711607">
      <w:pPr>
        <w:jc w:val="both"/>
        <w:rPr>
          <w:b/>
        </w:rPr>
      </w:pPr>
    </w:p>
    <w:p w:rsidR="00711607" w:rsidRDefault="00711607" w:rsidP="00711607">
      <w:pPr>
        <w:jc w:val="both"/>
      </w:pPr>
      <w:r>
        <w:tab/>
      </w:r>
      <w:r w:rsidRPr="00971568">
        <w:t>FPL’s SPPCRC final true-up for the period January 2021 through December 2021, including interest, in an over-recovery of $2,245,935.  Former Gulf’s SPPCRC final true-up for the period January 2021 through December 2021, including interest, in an over-recovery of $1,183,699.</w:t>
      </w:r>
    </w:p>
    <w:p w:rsidR="00711607" w:rsidRDefault="00711607" w:rsidP="00711607">
      <w:pPr>
        <w:jc w:val="both"/>
        <w:rPr>
          <w:b/>
        </w:rPr>
      </w:pPr>
      <w:r>
        <w:rPr>
          <w:b/>
        </w:rPr>
        <w:t xml:space="preserve"> </w:t>
      </w:r>
    </w:p>
    <w:p w:rsidR="00711607" w:rsidRPr="007C13A6" w:rsidRDefault="00711607" w:rsidP="00711607">
      <w:pPr>
        <w:jc w:val="both"/>
        <w:rPr>
          <w:b/>
        </w:rPr>
      </w:pPr>
      <w:r>
        <w:tab/>
      </w:r>
      <w:r w:rsidRPr="00AA186B">
        <w:t>DEF</w:t>
      </w:r>
      <w:r w:rsidRPr="00971568">
        <w:t>’s SPPCRC final true-up for the period January 2021 through December 2021</w:t>
      </w:r>
      <w:r>
        <w:t xml:space="preserve"> is an o</w:t>
      </w:r>
      <w:r w:rsidRPr="00BD1E62">
        <w:rPr>
          <w:color w:val="000000" w:themeColor="text1"/>
        </w:rPr>
        <w:t>ver-recovery of</w:t>
      </w:r>
      <w:r w:rsidRPr="00BD1E62">
        <w:rPr>
          <w:b/>
          <w:bCs/>
          <w:color w:val="000000" w:themeColor="text1"/>
        </w:rPr>
        <w:t xml:space="preserve"> </w:t>
      </w:r>
      <w:r w:rsidRPr="00BD1E62">
        <w:rPr>
          <w:color w:val="000000" w:themeColor="text1"/>
        </w:rPr>
        <w:t>$2,492,172.</w:t>
      </w:r>
    </w:p>
    <w:p w:rsidR="00711607" w:rsidRDefault="00711607" w:rsidP="005224EC">
      <w:pPr>
        <w:pStyle w:val="OrderBody"/>
      </w:pPr>
    </w:p>
    <w:p w:rsidR="00803938" w:rsidRDefault="00803938" w:rsidP="00803938">
      <w:pPr>
        <w:pStyle w:val="OrderBody"/>
        <w:jc w:val="center"/>
        <w:rPr>
          <w:b/>
        </w:rPr>
      </w:pPr>
      <w:r w:rsidRPr="00803938">
        <w:rPr>
          <w:b/>
        </w:rPr>
        <w:t>A</w:t>
      </w:r>
      <w:r w:rsidR="006857D4" w:rsidRPr="00803938">
        <w:rPr>
          <w:b/>
        </w:rPr>
        <w:t xml:space="preserve">ctual/estimated </w:t>
      </w:r>
      <w:r>
        <w:rPr>
          <w:b/>
        </w:rPr>
        <w:t>SPPCRC true-up</w:t>
      </w:r>
      <w:r w:rsidR="006857D4" w:rsidRPr="00803938">
        <w:rPr>
          <w:b/>
        </w:rPr>
        <w:t xml:space="preserve"> amounts</w:t>
      </w:r>
      <w:r w:rsidR="00CB5883">
        <w:rPr>
          <w:b/>
        </w:rPr>
        <w:t>:</w:t>
      </w:r>
    </w:p>
    <w:p w:rsidR="008D48D0" w:rsidRPr="00CB5883" w:rsidRDefault="00711607" w:rsidP="00803938">
      <w:pPr>
        <w:pStyle w:val="OrderBody"/>
        <w:jc w:val="center"/>
        <w:rPr>
          <w:u w:val="single"/>
        </w:rPr>
      </w:pPr>
      <w:r w:rsidRPr="00CB5883">
        <w:rPr>
          <w:b/>
          <w:u w:val="single"/>
        </w:rPr>
        <w:t>January 2022 to December 2022</w:t>
      </w:r>
    </w:p>
    <w:p w:rsidR="00711607" w:rsidRDefault="00711607" w:rsidP="005224EC">
      <w:pPr>
        <w:pStyle w:val="OrderBody"/>
      </w:pPr>
    </w:p>
    <w:p w:rsidR="00711607" w:rsidRDefault="00711607" w:rsidP="00711607">
      <w:pPr>
        <w:tabs>
          <w:tab w:val="left" w:pos="-720"/>
        </w:tabs>
        <w:suppressAutoHyphens/>
        <w:jc w:val="both"/>
      </w:pPr>
      <w:r>
        <w:rPr>
          <w:spacing w:val="-3"/>
        </w:rPr>
        <w:tab/>
        <w:t xml:space="preserve">The actual/estimated Storm </w:t>
      </w:r>
      <w:r w:rsidRPr="00EA5C67">
        <w:rPr>
          <w:spacing w:val="-3"/>
        </w:rPr>
        <w:t>Protection Plan Cost Recovery Clause jurisdictional cost recover true-up amounts for the period January through December 2022</w:t>
      </w:r>
      <w:r>
        <w:rPr>
          <w:spacing w:val="-3"/>
        </w:rPr>
        <w:t xml:space="preserve"> for TECO</w:t>
      </w:r>
      <w:r w:rsidRPr="00EA5C67">
        <w:rPr>
          <w:spacing w:val="-3"/>
        </w:rPr>
        <w:t xml:space="preserve"> is an over-recovery of $5,264,627 including interest.</w:t>
      </w:r>
    </w:p>
    <w:p w:rsidR="00711607" w:rsidRDefault="00711607" w:rsidP="00711607">
      <w:pPr>
        <w:jc w:val="both"/>
      </w:pPr>
    </w:p>
    <w:p w:rsidR="00711607" w:rsidRDefault="00711607" w:rsidP="00711607">
      <w:pPr>
        <w:jc w:val="both"/>
        <w:rPr>
          <w:b/>
        </w:rPr>
      </w:pPr>
      <w:r>
        <w:tab/>
        <w:t>FPUC projects total expenditures of $2,493,780, with a revenue requirement of $333,155, which is net of $650,336 already recovered through base rates.</w:t>
      </w:r>
    </w:p>
    <w:p w:rsidR="00711607" w:rsidRDefault="00711607" w:rsidP="00711607">
      <w:pPr>
        <w:jc w:val="both"/>
      </w:pPr>
    </w:p>
    <w:p w:rsidR="00711607" w:rsidRDefault="00711607" w:rsidP="00711607">
      <w:pPr>
        <w:jc w:val="both"/>
        <w:rPr>
          <w:b/>
        </w:rPr>
      </w:pPr>
      <w:r>
        <w:tab/>
      </w:r>
      <w:r w:rsidRPr="00971568">
        <w:t xml:space="preserve">FPL’s SPPCRC actual/estimated true-up for the period January 2022 through December 2022, including interest, in an </w:t>
      </w:r>
      <w:r>
        <w:t>under-recovery of $4,681,232.</w:t>
      </w:r>
    </w:p>
    <w:p w:rsidR="00711607" w:rsidRDefault="00711607" w:rsidP="00711607">
      <w:pPr>
        <w:jc w:val="both"/>
        <w:rPr>
          <w:b/>
        </w:rPr>
      </w:pPr>
    </w:p>
    <w:p w:rsidR="00711607" w:rsidRPr="00711607" w:rsidRDefault="00711607" w:rsidP="00711607">
      <w:pPr>
        <w:jc w:val="both"/>
        <w:rPr>
          <w:b/>
        </w:rPr>
      </w:pPr>
      <w:r>
        <w:tab/>
      </w:r>
      <w:r w:rsidRPr="00AA186B">
        <w:t>DEF’s</w:t>
      </w:r>
      <w:r>
        <w:rPr>
          <w:b/>
        </w:rPr>
        <w:tab/>
      </w:r>
      <w:r w:rsidRPr="00971568">
        <w:t>SPPCRC actual/estimated true-up for the period January 2022 through December 2022</w:t>
      </w:r>
      <w:r>
        <w:t xml:space="preserve"> </w:t>
      </w:r>
      <w:r>
        <w:rPr>
          <w:color w:val="000000" w:themeColor="text1"/>
        </w:rPr>
        <w:t>is an o</w:t>
      </w:r>
      <w:r w:rsidRPr="00BD1E62">
        <w:rPr>
          <w:color w:val="000000" w:themeColor="text1"/>
        </w:rPr>
        <w:t>ver-recovery of</w:t>
      </w:r>
      <w:r w:rsidRPr="00BD1E62">
        <w:rPr>
          <w:b/>
          <w:bCs/>
          <w:color w:val="000000" w:themeColor="text1"/>
        </w:rPr>
        <w:t xml:space="preserve"> </w:t>
      </w:r>
      <w:r w:rsidRPr="00BD1E62">
        <w:rPr>
          <w:color w:val="000000" w:themeColor="text1"/>
        </w:rPr>
        <w:t>$5,124,373</w:t>
      </w:r>
      <w:r>
        <w:t>.</w:t>
      </w:r>
    </w:p>
    <w:p w:rsidR="00711607" w:rsidRDefault="00711607" w:rsidP="005224EC">
      <w:pPr>
        <w:pStyle w:val="OrderBody"/>
      </w:pPr>
    </w:p>
    <w:p w:rsidR="009A4252" w:rsidRDefault="00B27CFC" w:rsidP="009A4252">
      <w:pPr>
        <w:jc w:val="center"/>
        <w:rPr>
          <w:b/>
        </w:rPr>
      </w:pPr>
      <w:r>
        <w:rPr>
          <w:b/>
        </w:rPr>
        <w:t>P</w:t>
      </w:r>
      <w:r w:rsidR="00D74615" w:rsidRPr="000B38DD">
        <w:rPr>
          <w:b/>
        </w:rPr>
        <w:t>rojected S</w:t>
      </w:r>
      <w:r w:rsidR="009A4252">
        <w:rPr>
          <w:b/>
        </w:rPr>
        <w:t>PPCRC</w:t>
      </w:r>
      <w:r w:rsidR="00D74615" w:rsidRPr="000B38DD">
        <w:rPr>
          <w:b/>
        </w:rPr>
        <w:t xml:space="preserve"> cost recovery amounts</w:t>
      </w:r>
      <w:r w:rsidR="00CB5883">
        <w:rPr>
          <w:b/>
        </w:rPr>
        <w:t>:</w:t>
      </w:r>
    </w:p>
    <w:p w:rsidR="00D74615" w:rsidRPr="00CB5883" w:rsidRDefault="00D74615" w:rsidP="009A4252">
      <w:pPr>
        <w:jc w:val="center"/>
        <w:rPr>
          <w:b/>
          <w:u w:val="single"/>
        </w:rPr>
      </w:pPr>
      <w:r w:rsidRPr="00CB5883">
        <w:rPr>
          <w:b/>
          <w:u w:val="single"/>
        </w:rPr>
        <w:t>January 2023 through December 2023</w:t>
      </w:r>
    </w:p>
    <w:p w:rsidR="00D74615" w:rsidRPr="000B38DD" w:rsidRDefault="00D74615" w:rsidP="00D74615">
      <w:pPr>
        <w:jc w:val="both"/>
        <w:rPr>
          <w:b/>
        </w:rPr>
      </w:pPr>
    </w:p>
    <w:p w:rsidR="00D74615" w:rsidRDefault="00AA186B" w:rsidP="00AA186B">
      <w:pPr>
        <w:pStyle w:val="BodyText"/>
        <w:tabs>
          <w:tab w:val="left" w:pos="720"/>
          <w:tab w:val="left" w:pos="1600"/>
        </w:tabs>
        <w:spacing w:after="0"/>
        <w:jc w:val="both"/>
      </w:pPr>
      <w:r>
        <w:tab/>
      </w:r>
      <w:r w:rsidR="00D74615">
        <w:t>The projected Storm Protection Plan Cost Recovery Clause jurisdictional cost recovery amount</w:t>
      </w:r>
      <w:r>
        <w:t xml:space="preserve"> for TECO</w:t>
      </w:r>
      <w:r w:rsidR="00D74615">
        <w:t xml:space="preserve"> is $64,422,723 for the period January 2023 through December </w:t>
      </w:r>
      <w:r w:rsidR="00D74615">
        <w:rPr>
          <w:spacing w:val="-2"/>
        </w:rPr>
        <w:t>2023.</w:t>
      </w:r>
    </w:p>
    <w:p w:rsidR="00D74615" w:rsidRDefault="00D74615" w:rsidP="00AA186B">
      <w:pPr>
        <w:jc w:val="both"/>
      </w:pPr>
    </w:p>
    <w:p w:rsidR="00D74615" w:rsidRDefault="00AA186B" w:rsidP="00AA186B">
      <w:pPr>
        <w:jc w:val="both"/>
      </w:pPr>
      <w:r>
        <w:tab/>
      </w:r>
      <w:r w:rsidR="00D74615">
        <w:t>FPUC projects total expenditures of $8,257,657, with a revenue requirement of $1,137,415, which is net of $975,504 alread</w:t>
      </w:r>
      <w:r w:rsidR="00F520E8">
        <w:t>y recovered through base rates.</w:t>
      </w:r>
    </w:p>
    <w:p w:rsidR="00F520E8" w:rsidRDefault="00F520E8" w:rsidP="00AA186B">
      <w:pPr>
        <w:jc w:val="both"/>
        <w:rPr>
          <w:b/>
        </w:rPr>
      </w:pPr>
    </w:p>
    <w:p w:rsidR="00D74615" w:rsidRDefault="00AA186B" w:rsidP="00AA186B">
      <w:pPr>
        <w:jc w:val="both"/>
        <w:rPr>
          <w:b/>
        </w:rPr>
      </w:pPr>
      <w:r>
        <w:tab/>
      </w:r>
      <w:r w:rsidR="00D74615" w:rsidRPr="00971568">
        <w:t xml:space="preserve">The total jurisdictional 2023 SPPCRC revenue requirement for the period January 2023 through December 2023 </w:t>
      </w:r>
      <w:r>
        <w:t xml:space="preserve">for FPL </w:t>
      </w:r>
      <w:r w:rsidR="00D74615">
        <w:t>is $366,315,710</w:t>
      </w:r>
      <w:r w:rsidR="00F520E8">
        <w:t>.</w:t>
      </w:r>
    </w:p>
    <w:p w:rsidR="00D74615" w:rsidRDefault="00D74615" w:rsidP="00AA186B">
      <w:pPr>
        <w:jc w:val="both"/>
        <w:rPr>
          <w:b/>
        </w:rPr>
      </w:pPr>
    </w:p>
    <w:p w:rsidR="00D74615" w:rsidRDefault="00AA186B" w:rsidP="00AA186B">
      <w:pPr>
        <w:jc w:val="both"/>
      </w:pPr>
      <w:r>
        <w:tab/>
      </w:r>
      <w:r w:rsidRPr="00971568">
        <w:t xml:space="preserve">The total jurisdictional 2023 SPPCRC revenue requirement for the period January 2023 through December 2023 </w:t>
      </w:r>
      <w:r>
        <w:t>for</w:t>
      </w:r>
      <w:r w:rsidRPr="00AA186B">
        <w:t xml:space="preserve"> DEF</w:t>
      </w:r>
      <w:r>
        <w:rPr>
          <w:color w:val="000000" w:themeColor="text1"/>
        </w:rPr>
        <w:t xml:space="preserve"> is </w:t>
      </w:r>
      <w:r w:rsidR="00D74615" w:rsidRPr="00BD1E62">
        <w:rPr>
          <w:color w:val="000000" w:themeColor="text1"/>
        </w:rPr>
        <w:t>$148,089,537</w:t>
      </w:r>
      <w:r w:rsidR="00D74615" w:rsidRPr="00BD1E62">
        <w:t>.</w:t>
      </w:r>
    </w:p>
    <w:p w:rsidR="00CB5883" w:rsidRDefault="00CB5883" w:rsidP="00AA186B">
      <w:pPr>
        <w:jc w:val="both"/>
      </w:pPr>
    </w:p>
    <w:p w:rsidR="00595E10" w:rsidRDefault="00595E10" w:rsidP="00D74615">
      <w:pPr>
        <w:ind w:left="1440" w:hanging="1440"/>
        <w:jc w:val="both"/>
        <w:rPr>
          <w:b/>
          <w:bCs/>
          <w:u w:val="single"/>
        </w:rPr>
      </w:pPr>
    </w:p>
    <w:p w:rsidR="00CB5883" w:rsidRDefault="00B27CFC" w:rsidP="00CB5883">
      <w:pPr>
        <w:jc w:val="center"/>
        <w:rPr>
          <w:b/>
        </w:rPr>
      </w:pPr>
      <w:r>
        <w:rPr>
          <w:b/>
        </w:rPr>
        <w:t xml:space="preserve">SPPCRC </w:t>
      </w:r>
      <w:r w:rsidR="00D74615" w:rsidRPr="000B38DD">
        <w:rPr>
          <w:b/>
        </w:rPr>
        <w:t>amounts to be included in establishing SP</w:t>
      </w:r>
      <w:r>
        <w:rPr>
          <w:b/>
        </w:rPr>
        <w:t>P</w:t>
      </w:r>
      <w:r w:rsidR="00D74615" w:rsidRPr="000B38DD">
        <w:rPr>
          <w:b/>
        </w:rPr>
        <w:t xml:space="preserve"> Cost Recovery factors</w:t>
      </w:r>
      <w:r w:rsidR="00CB5883">
        <w:rPr>
          <w:b/>
        </w:rPr>
        <w:t>:</w:t>
      </w:r>
    </w:p>
    <w:p w:rsidR="00D74615" w:rsidRPr="00CB5883" w:rsidRDefault="00D74615" w:rsidP="00CB5883">
      <w:pPr>
        <w:jc w:val="center"/>
        <w:rPr>
          <w:b/>
          <w:u w:val="single"/>
        </w:rPr>
      </w:pPr>
      <w:r w:rsidRPr="00CB5883">
        <w:rPr>
          <w:b/>
          <w:u w:val="single"/>
        </w:rPr>
        <w:t>January 2023</w:t>
      </w:r>
      <w:r w:rsidR="00011ED5" w:rsidRPr="00CB5883">
        <w:rPr>
          <w:b/>
          <w:u w:val="single"/>
        </w:rPr>
        <w:tab/>
      </w:r>
      <w:r w:rsidRPr="00CB5883">
        <w:rPr>
          <w:b/>
          <w:u w:val="single"/>
        </w:rPr>
        <w:t>through December 2023</w:t>
      </w:r>
    </w:p>
    <w:p w:rsidR="00D74615" w:rsidRPr="00701945" w:rsidRDefault="00D74615" w:rsidP="00D74615">
      <w:pPr>
        <w:jc w:val="both"/>
      </w:pPr>
    </w:p>
    <w:p w:rsidR="00D74615" w:rsidRPr="000B2247" w:rsidRDefault="000B2247" w:rsidP="000B2247">
      <w:pPr>
        <w:pStyle w:val="BodyText"/>
        <w:tabs>
          <w:tab w:val="left" w:pos="720"/>
          <w:tab w:val="left" w:pos="1600"/>
        </w:tabs>
        <w:spacing w:after="0"/>
        <w:jc w:val="both"/>
        <w:rPr>
          <w:spacing w:val="-5"/>
        </w:rPr>
      </w:pPr>
      <w:r>
        <w:tab/>
      </w:r>
      <w:r w:rsidR="00D74615">
        <w:t>The</w:t>
      </w:r>
      <w:r w:rsidR="00D74615">
        <w:rPr>
          <w:spacing w:val="-3"/>
        </w:rPr>
        <w:t xml:space="preserve"> </w:t>
      </w:r>
      <w:r w:rsidR="00D74615">
        <w:t>Storm</w:t>
      </w:r>
      <w:r w:rsidR="00D74615">
        <w:rPr>
          <w:spacing w:val="-2"/>
        </w:rPr>
        <w:t xml:space="preserve"> </w:t>
      </w:r>
      <w:r w:rsidR="00D74615">
        <w:t>Protection</w:t>
      </w:r>
      <w:r w:rsidR="00D74615">
        <w:rPr>
          <w:spacing w:val="-2"/>
        </w:rPr>
        <w:t xml:space="preserve"> </w:t>
      </w:r>
      <w:r w:rsidR="00D74615">
        <w:t>Plan</w:t>
      </w:r>
      <w:r w:rsidR="00D74615">
        <w:rPr>
          <w:spacing w:val="-1"/>
        </w:rPr>
        <w:t xml:space="preserve"> </w:t>
      </w:r>
      <w:r w:rsidR="00D74615">
        <w:t>Cost</w:t>
      </w:r>
      <w:r w:rsidR="00D74615">
        <w:rPr>
          <w:spacing w:val="-4"/>
        </w:rPr>
        <w:t xml:space="preserve"> </w:t>
      </w:r>
      <w:r w:rsidR="00D74615">
        <w:t>Recovery</w:t>
      </w:r>
      <w:r w:rsidR="00D74615">
        <w:rPr>
          <w:spacing w:val="-3"/>
        </w:rPr>
        <w:t xml:space="preserve"> </w:t>
      </w:r>
      <w:r w:rsidR="00D74615">
        <w:t>Clause</w:t>
      </w:r>
      <w:r w:rsidR="00D74615">
        <w:rPr>
          <w:spacing w:val="-3"/>
        </w:rPr>
        <w:t xml:space="preserve"> </w:t>
      </w:r>
      <w:r w:rsidR="00D74615">
        <w:t>total</w:t>
      </w:r>
      <w:r w:rsidR="00D74615">
        <w:rPr>
          <w:spacing w:val="-2"/>
        </w:rPr>
        <w:t xml:space="preserve"> </w:t>
      </w:r>
      <w:r w:rsidR="00D74615">
        <w:t>jurisdictional</w:t>
      </w:r>
      <w:r w:rsidR="00D74615">
        <w:rPr>
          <w:spacing w:val="-2"/>
        </w:rPr>
        <w:t xml:space="preserve"> </w:t>
      </w:r>
      <w:r w:rsidR="00D74615">
        <w:t>cost</w:t>
      </w:r>
      <w:r w:rsidR="00D74615">
        <w:rPr>
          <w:spacing w:val="-2"/>
        </w:rPr>
        <w:t xml:space="preserve"> </w:t>
      </w:r>
      <w:r w:rsidR="00D74615">
        <w:t>recovery amounts, including true-ups, to be included in establishing Storm Protection Plan Cost</w:t>
      </w:r>
      <w:r>
        <w:t xml:space="preserve"> </w:t>
      </w:r>
      <w:r w:rsidR="00D74615">
        <w:t>Recovery</w:t>
      </w:r>
      <w:r w:rsidR="00D74615">
        <w:rPr>
          <w:spacing w:val="40"/>
        </w:rPr>
        <w:t xml:space="preserve"> </w:t>
      </w:r>
      <w:r w:rsidR="00D74615">
        <w:t>factors</w:t>
      </w:r>
      <w:r>
        <w:t xml:space="preserve"> for TECO for the period </w:t>
      </w:r>
      <w:r w:rsidR="00D74615">
        <w:t>January</w:t>
      </w:r>
      <w:r w:rsidR="00D74615">
        <w:rPr>
          <w:spacing w:val="40"/>
        </w:rPr>
        <w:t xml:space="preserve"> </w:t>
      </w:r>
      <w:r w:rsidR="00D74615">
        <w:t>2023</w:t>
      </w:r>
      <w:r w:rsidR="00D74615">
        <w:rPr>
          <w:spacing w:val="42"/>
        </w:rPr>
        <w:t xml:space="preserve"> </w:t>
      </w:r>
      <w:r w:rsidR="00D74615">
        <w:t>through</w:t>
      </w:r>
      <w:r w:rsidR="00D74615">
        <w:rPr>
          <w:spacing w:val="40"/>
        </w:rPr>
        <w:t xml:space="preserve"> </w:t>
      </w:r>
      <w:r w:rsidR="00D74615">
        <w:t>December</w:t>
      </w:r>
      <w:r w:rsidR="00D74615">
        <w:rPr>
          <w:spacing w:val="42"/>
        </w:rPr>
        <w:t xml:space="preserve"> </w:t>
      </w:r>
      <w:r w:rsidR="00D74615">
        <w:t>2023</w:t>
      </w:r>
      <w:r w:rsidR="00D74615">
        <w:rPr>
          <w:spacing w:val="41"/>
        </w:rPr>
        <w:t xml:space="preserve"> </w:t>
      </w:r>
      <w:r w:rsidR="00D74615">
        <w:rPr>
          <w:spacing w:val="-5"/>
        </w:rPr>
        <w:t>is</w:t>
      </w:r>
      <w:r>
        <w:rPr>
          <w:spacing w:val="-5"/>
        </w:rPr>
        <w:t xml:space="preserve"> </w:t>
      </w:r>
      <w:r w:rsidR="00F520E8">
        <w:rPr>
          <w:spacing w:val="-2"/>
        </w:rPr>
        <w:t>$54,218,248.</w:t>
      </w:r>
    </w:p>
    <w:p w:rsidR="00D74615" w:rsidRDefault="00D74615" w:rsidP="000B2247">
      <w:pPr>
        <w:jc w:val="both"/>
      </w:pPr>
    </w:p>
    <w:p w:rsidR="00D74615" w:rsidRDefault="000B2247" w:rsidP="000B2247">
      <w:pPr>
        <w:jc w:val="both"/>
        <w:rPr>
          <w:b/>
        </w:rPr>
      </w:pPr>
      <w:r>
        <w:tab/>
      </w:r>
      <w:r w:rsidR="00D74615">
        <w:t>The total amount upon which FPUC’s proposed factors are calculated is $1,470,570, which when adjusted f</w:t>
      </w:r>
      <w:r w:rsidR="00F520E8">
        <w:t>or taxes is $1,471,629.</w:t>
      </w:r>
    </w:p>
    <w:p w:rsidR="00D74615" w:rsidRDefault="00D74615" w:rsidP="000B2247">
      <w:pPr>
        <w:jc w:val="both"/>
        <w:rPr>
          <w:b/>
        </w:rPr>
      </w:pPr>
    </w:p>
    <w:p w:rsidR="00D74615" w:rsidRDefault="000B2247" w:rsidP="000B2247">
      <w:pPr>
        <w:jc w:val="both"/>
        <w:rPr>
          <w:b/>
        </w:rPr>
      </w:pPr>
      <w:r>
        <w:tab/>
      </w:r>
      <w:r w:rsidR="00D74615" w:rsidRPr="000B2247">
        <w:t>FPL</w:t>
      </w:r>
      <w:r w:rsidRPr="000B2247">
        <w:t>’s</w:t>
      </w:r>
      <w:r w:rsidR="00D74615" w:rsidRPr="00971568">
        <w:t xml:space="preserve"> total jurisdictional 2023 SPPCRC revenue requirement for the period January 2023 through December 2023, including true-up amounts, </w:t>
      </w:r>
      <w:r w:rsidR="00D74615">
        <w:t>is $367,567,308</w:t>
      </w:r>
      <w:r w:rsidR="00F520E8">
        <w:t>.</w:t>
      </w:r>
    </w:p>
    <w:p w:rsidR="00D74615" w:rsidRDefault="00D74615" w:rsidP="000B2247">
      <w:pPr>
        <w:jc w:val="both"/>
        <w:rPr>
          <w:b/>
        </w:rPr>
      </w:pPr>
    </w:p>
    <w:p w:rsidR="00D74615" w:rsidRDefault="000B2247" w:rsidP="000B2247">
      <w:pPr>
        <w:jc w:val="both"/>
      </w:pPr>
      <w:r>
        <w:tab/>
      </w:r>
      <w:r w:rsidRPr="000B2247">
        <w:t>DEF’s</w:t>
      </w:r>
      <w:r>
        <w:rPr>
          <w:b/>
        </w:rPr>
        <w:t xml:space="preserve"> </w:t>
      </w:r>
      <w:r w:rsidRPr="00971568">
        <w:t xml:space="preserve">total jurisdictional 2023 SPPCRC revenue requirement for the period January 2023 through December 2023, including true-up amounts, </w:t>
      </w:r>
      <w:r>
        <w:t>is</w:t>
      </w:r>
      <w:r w:rsidRPr="00BD1E62">
        <w:rPr>
          <w:color w:val="000000" w:themeColor="text1"/>
        </w:rPr>
        <w:t xml:space="preserve"> </w:t>
      </w:r>
      <w:r w:rsidR="00D74615" w:rsidRPr="00BD1E62">
        <w:rPr>
          <w:color w:val="000000" w:themeColor="text1"/>
        </w:rPr>
        <w:t>$140,472,993</w:t>
      </w:r>
      <w:r w:rsidR="00F520E8">
        <w:t>.</w:t>
      </w:r>
    </w:p>
    <w:p w:rsidR="00DA0EB0" w:rsidRDefault="00DA0EB0" w:rsidP="000B2247">
      <w:pPr>
        <w:jc w:val="both"/>
      </w:pPr>
    </w:p>
    <w:p w:rsidR="005E69FB" w:rsidRDefault="005E69FB" w:rsidP="000B2247">
      <w:pPr>
        <w:jc w:val="both"/>
      </w:pPr>
    </w:p>
    <w:p w:rsidR="005E69FB" w:rsidRDefault="00CB5883" w:rsidP="00CB5883">
      <w:pPr>
        <w:jc w:val="both"/>
        <w:rPr>
          <w:b/>
          <w:u w:val="single"/>
        </w:rPr>
      </w:pPr>
      <w:r>
        <w:rPr>
          <w:b/>
        </w:rPr>
        <w:t>2.</w:t>
      </w:r>
      <w:r>
        <w:rPr>
          <w:b/>
        </w:rPr>
        <w:tab/>
      </w:r>
      <w:r w:rsidR="005E69FB" w:rsidRPr="00DA0EB0">
        <w:rPr>
          <w:b/>
          <w:u w:val="single"/>
        </w:rPr>
        <w:t>Depreciation</w:t>
      </w:r>
    </w:p>
    <w:p w:rsidR="00595E10" w:rsidRPr="00DA0EB0" w:rsidRDefault="00595E10" w:rsidP="00D74615">
      <w:pPr>
        <w:jc w:val="both"/>
      </w:pPr>
    </w:p>
    <w:p w:rsidR="00DA0EB0" w:rsidRDefault="00DA0EB0" w:rsidP="00011ED5">
      <w:pPr>
        <w:jc w:val="both"/>
        <w:rPr>
          <w:b/>
          <w:bCs/>
        </w:rPr>
      </w:pPr>
      <w:r w:rsidRPr="00DA0EB0">
        <w:rPr>
          <w:bCs/>
        </w:rPr>
        <w:tab/>
        <w:t>Rule 25-6.031(6)(c), F.A.C., provides that “</w:t>
      </w:r>
      <w:r>
        <w:rPr>
          <w:rFonts w:eastAsia="SimSun"/>
        </w:rPr>
        <w:t>[t]</w:t>
      </w:r>
      <w:r w:rsidRPr="00DA0EB0">
        <w:rPr>
          <w:rFonts w:eastAsia="SimSun"/>
        </w:rPr>
        <w:t>he utility may recover the annual depreciation expense on capitalized Storm Protection Plan expenditures using the utility’s most recent Commission-approved depreciation rates.</w:t>
      </w:r>
      <w:r>
        <w:rPr>
          <w:rFonts w:eastAsia="SimSun"/>
        </w:rPr>
        <w:t>”</w:t>
      </w:r>
      <w:r w:rsidR="00985F89">
        <w:rPr>
          <w:rFonts w:eastAsia="SimSun"/>
        </w:rPr>
        <w:t xml:space="preserve"> Based on the record in this proceeding, we find that the depreciation rates cont</w:t>
      </w:r>
      <w:r w:rsidR="00A453E2">
        <w:rPr>
          <w:rFonts w:eastAsia="SimSun"/>
        </w:rPr>
        <w:t>ained in the Orders cited</w:t>
      </w:r>
      <w:r w:rsidR="00985F89">
        <w:rPr>
          <w:rFonts w:eastAsia="SimSun"/>
        </w:rPr>
        <w:t xml:space="preserve"> below are each utility’s most recent Commission-approved depreciation rates. We approve these rates for use</w:t>
      </w:r>
      <w:r w:rsidR="00556050">
        <w:rPr>
          <w:rFonts w:eastAsia="SimSun"/>
        </w:rPr>
        <w:t xml:space="preserve"> as specified</w:t>
      </w:r>
      <w:r w:rsidR="00A453E2">
        <w:rPr>
          <w:rFonts w:eastAsia="SimSun"/>
        </w:rPr>
        <w:t xml:space="preserve"> herein</w:t>
      </w:r>
      <w:r w:rsidR="00985F89">
        <w:rPr>
          <w:rFonts w:eastAsia="SimSun"/>
        </w:rPr>
        <w:t xml:space="preserve"> for the period January 2023 through December 2023.</w:t>
      </w:r>
    </w:p>
    <w:p w:rsidR="00D74615" w:rsidRPr="00701945" w:rsidRDefault="00D74615" w:rsidP="00D74615">
      <w:pPr>
        <w:jc w:val="both"/>
      </w:pPr>
    </w:p>
    <w:p w:rsidR="00D74615" w:rsidRDefault="000B2247" w:rsidP="000B2247">
      <w:pPr>
        <w:jc w:val="both"/>
      </w:pPr>
      <w:r>
        <w:lastRenderedPageBreak/>
        <w:tab/>
      </w:r>
      <w:r w:rsidR="00D74615">
        <w:t>T</w:t>
      </w:r>
      <w:r>
        <w:t>ECO shall use t</w:t>
      </w:r>
      <w:r w:rsidR="00D74615">
        <w:t xml:space="preserve">he depreciation rates from </w:t>
      </w:r>
      <w:r>
        <w:t>it</w:t>
      </w:r>
      <w:r w:rsidR="00D74615">
        <w:t>s most current Depreciation Study,</w:t>
      </w:r>
      <w:r>
        <w:t xml:space="preserve"> which we approved in </w:t>
      </w:r>
      <w:r w:rsidR="00D74615">
        <w:t>Order No. PSC-2021-0423-S-EI</w:t>
      </w:r>
      <w:r>
        <w:t>,</w:t>
      </w:r>
      <w:r w:rsidR="00D74615">
        <w:t xml:space="preserve"> issued November 10, 2021, </w:t>
      </w:r>
      <w:r w:rsidR="00F520E8">
        <w:t>in Docket No. 20210034-EI</w:t>
      </w:r>
      <w:r w:rsidR="00D138FE">
        <w:t xml:space="preserve">, </w:t>
      </w:r>
      <w:r w:rsidR="00D138FE">
        <w:rPr>
          <w:i/>
        </w:rPr>
        <w:t>In re: Petition for rate increase by Tampa Electric Company</w:t>
      </w:r>
      <w:r w:rsidR="00F520E8">
        <w:t>.</w:t>
      </w:r>
    </w:p>
    <w:p w:rsidR="00D74615" w:rsidRDefault="00D74615" w:rsidP="000B2247">
      <w:pPr>
        <w:jc w:val="both"/>
      </w:pPr>
    </w:p>
    <w:p w:rsidR="00D74615" w:rsidRDefault="000B2247" w:rsidP="000B2247">
      <w:pPr>
        <w:jc w:val="both"/>
        <w:rPr>
          <w:b/>
        </w:rPr>
      </w:pPr>
      <w:r>
        <w:rPr>
          <w:b/>
        </w:rPr>
        <w:tab/>
      </w:r>
      <w:r>
        <w:rPr>
          <w:iCs/>
        </w:rPr>
        <w:t xml:space="preserve">FPUC </w:t>
      </w:r>
      <w:r w:rsidR="00974A22">
        <w:rPr>
          <w:iCs/>
        </w:rPr>
        <w:t>shall use the</w:t>
      </w:r>
      <w:r w:rsidR="00974A22" w:rsidRPr="00974A22">
        <w:rPr>
          <w:iCs/>
        </w:rPr>
        <w:t xml:space="preserve"> </w:t>
      </w:r>
      <w:r w:rsidR="00974A22">
        <w:rPr>
          <w:iCs/>
        </w:rPr>
        <w:t>depreciation rates</w:t>
      </w:r>
      <w:r w:rsidR="00D74615">
        <w:rPr>
          <w:iCs/>
        </w:rPr>
        <w:t xml:space="preserve"> </w:t>
      </w:r>
      <w:r>
        <w:rPr>
          <w:iCs/>
        </w:rPr>
        <w:t xml:space="preserve">we </w:t>
      </w:r>
      <w:r w:rsidR="00D74615">
        <w:rPr>
          <w:iCs/>
        </w:rPr>
        <w:t xml:space="preserve">approved </w:t>
      </w:r>
      <w:r>
        <w:rPr>
          <w:iCs/>
        </w:rPr>
        <w:t>in</w:t>
      </w:r>
      <w:r w:rsidR="00D74615">
        <w:rPr>
          <w:iCs/>
        </w:rPr>
        <w:t xml:space="preserve"> Order No. </w:t>
      </w:r>
      <w:r w:rsidR="00D74615">
        <w:t>PSC-2020-0347-AS-EI</w:t>
      </w:r>
      <w:r w:rsidR="00D74615">
        <w:rPr>
          <w:iCs/>
        </w:rPr>
        <w:t>, issued October 8, 2020, in Doc</w:t>
      </w:r>
      <w:r w:rsidR="00D138FE">
        <w:rPr>
          <w:iCs/>
        </w:rPr>
        <w:t>ket Nos. 20190155, 20190156 &amp;</w:t>
      </w:r>
      <w:r w:rsidR="00D74615">
        <w:rPr>
          <w:iCs/>
        </w:rPr>
        <w:t xml:space="preserve"> 20190174-EI</w:t>
      </w:r>
      <w:r w:rsidR="00D138FE">
        <w:rPr>
          <w:iCs/>
        </w:rPr>
        <w:t xml:space="preserve">, </w:t>
      </w:r>
      <w:r w:rsidR="00D138FE">
        <w:rPr>
          <w:i/>
          <w:iCs/>
        </w:rPr>
        <w:t>In re: Petition for approval of 2019 depreciation study by Florida Public Utilities Company</w:t>
      </w:r>
      <w:r w:rsidR="00D74615">
        <w:rPr>
          <w:iCs/>
        </w:rPr>
        <w:t>.</w:t>
      </w:r>
    </w:p>
    <w:p w:rsidR="00D74615" w:rsidRDefault="00D74615" w:rsidP="000B2247">
      <w:pPr>
        <w:jc w:val="both"/>
        <w:rPr>
          <w:b/>
        </w:rPr>
      </w:pPr>
    </w:p>
    <w:p w:rsidR="00D74615" w:rsidRDefault="000B2247" w:rsidP="000B2247">
      <w:pPr>
        <w:jc w:val="both"/>
        <w:rPr>
          <w:b/>
        </w:rPr>
      </w:pPr>
      <w:r>
        <w:tab/>
      </w:r>
      <w:r w:rsidR="00D74615" w:rsidRPr="00BB4023">
        <w:t>For the period January 2023 t</w:t>
      </w:r>
      <w:r>
        <w:t>hrough December 2023, FPL shall use</w:t>
      </w:r>
      <w:r w:rsidR="00D74615" w:rsidRPr="00BB4023">
        <w:t xml:space="preserve"> the final depreciation rates </w:t>
      </w:r>
      <w:r>
        <w:t>we approved in</w:t>
      </w:r>
      <w:r w:rsidR="00D74615">
        <w:t xml:space="preserve"> Order Nos. </w:t>
      </w:r>
      <w:r w:rsidR="00D74615" w:rsidRPr="00BB4023">
        <w:t>PSC-2021-0446-S-EI and PSC-2021-0446A-S-EI</w:t>
      </w:r>
      <w:r>
        <w:t xml:space="preserve">, issued December 2 &amp; 9, 2021, </w:t>
      </w:r>
      <w:r w:rsidR="002C637F">
        <w:t xml:space="preserve">respectively, </w:t>
      </w:r>
      <w:r>
        <w:t xml:space="preserve">in </w:t>
      </w:r>
      <w:r w:rsidR="00D74615" w:rsidRPr="00BB4023">
        <w:t>Docket No. 20210015-EI</w:t>
      </w:r>
      <w:r w:rsidR="00D138FE">
        <w:t xml:space="preserve">, </w:t>
      </w:r>
      <w:r w:rsidR="00D138FE">
        <w:rPr>
          <w:i/>
        </w:rPr>
        <w:t>In re: Petition for rate increase by Florida Power &amp; Light Company</w:t>
      </w:r>
      <w:r w:rsidR="00D74615" w:rsidRPr="00BB4023">
        <w:t>.</w:t>
      </w:r>
    </w:p>
    <w:p w:rsidR="00D74615" w:rsidRDefault="00D74615" w:rsidP="000B2247">
      <w:pPr>
        <w:jc w:val="both"/>
        <w:rPr>
          <w:b/>
        </w:rPr>
      </w:pPr>
    </w:p>
    <w:p w:rsidR="00D74615" w:rsidRDefault="000B2247" w:rsidP="000B2247">
      <w:pPr>
        <w:jc w:val="both"/>
        <w:rPr>
          <w:color w:val="000000" w:themeColor="text1"/>
        </w:rPr>
      </w:pPr>
      <w:r>
        <w:rPr>
          <w:color w:val="000000" w:themeColor="text1"/>
        </w:rPr>
        <w:tab/>
        <w:t>DEF shall</w:t>
      </w:r>
      <w:r w:rsidR="00D74615" w:rsidRPr="00BD1E62">
        <w:rPr>
          <w:color w:val="000000" w:themeColor="text1"/>
        </w:rPr>
        <w:t xml:space="preserve"> use the depreciation rates we approved in Order </w:t>
      </w:r>
      <w:r>
        <w:rPr>
          <w:color w:val="000000" w:themeColor="text1"/>
        </w:rPr>
        <w:t xml:space="preserve">No. </w:t>
      </w:r>
      <w:r w:rsidR="00D74615" w:rsidRPr="00BD1E62">
        <w:rPr>
          <w:color w:val="000000" w:themeColor="text1"/>
        </w:rPr>
        <w:t>PSC-2021-0202A-AS-EI</w:t>
      </w:r>
      <w:r>
        <w:rPr>
          <w:color w:val="000000" w:themeColor="text1"/>
        </w:rPr>
        <w:t xml:space="preserve">, issued </w:t>
      </w:r>
      <w:r w:rsidR="00D138FE">
        <w:rPr>
          <w:color w:val="000000" w:themeColor="text1"/>
        </w:rPr>
        <w:t xml:space="preserve">June 28, 2021, in Docket Nos. 20190110-EI, 20190222-EI &amp; 20210016-EI, </w:t>
      </w:r>
      <w:r w:rsidR="00D138FE">
        <w:rPr>
          <w:i/>
          <w:color w:val="000000" w:themeColor="text1"/>
        </w:rPr>
        <w:t>In re: Petition for limited proceeding to approve 2021 settlement agreement, including general base rate increases, by Duke Energy Florida, LLC</w:t>
      </w:r>
      <w:r w:rsidR="00D74615" w:rsidRPr="00BD1E62">
        <w:rPr>
          <w:color w:val="000000" w:themeColor="text1"/>
        </w:rPr>
        <w:t>.</w:t>
      </w:r>
    </w:p>
    <w:p w:rsidR="00985F89" w:rsidRPr="007C13A6" w:rsidRDefault="00985F89" w:rsidP="000B2247">
      <w:pPr>
        <w:jc w:val="both"/>
        <w:rPr>
          <w:b/>
        </w:rPr>
      </w:pPr>
    </w:p>
    <w:p w:rsidR="00D74615" w:rsidRDefault="00D74615" w:rsidP="00D74615">
      <w:pPr>
        <w:jc w:val="both"/>
      </w:pPr>
    </w:p>
    <w:p w:rsidR="005E69FB" w:rsidRDefault="00CB5883" w:rsidP="00CB5883">
      <w:pPr>
        <w:jc w:val="both"/>
        <w:rPr>
          <w:b/>
          <w:u w:val="single"/>
        </w:rPr>
      </w:pPr>
      <w:r>
        <w:rPr>
          <w:b/>
        </w:rPr>
        <w:t>3.</w:t>
      </w:r>
      <w:r>
        <w:rPr>
          <w:b/>
        </w:rPr>
        <w:tab/>
      </w:r>
      <w:r w:rsidR="005E69FB" w:rsidRPr="00FD0B0C">
        <w:rPr>
          <w:b/>
          <w:u w:val="single"/>
        </w:rPr>
        <w:t>2023 Factors</w:t>
      </w:r>
    </w:p>
    <w:p w:rsidR="00D74615" w:rsidRDefault="00D74615" w:rsidP="00D74615">
      <w:pPr>
        <w:jc w:val="both"/>
      </w:pPr>
    </w:p>
    <w:p w:rsidR="00062723" w:rsidRPr="00A12EC3" w:rsidRDefault="00985F89" w:rsidP="00062723">
      <w:pPr>
        <w:autoSpaceDE w:val="0"/>
        <w:autoSpaceDN w:val="0"/>
        <w:adjustRightInd w:val="0"/>
        <w:jc w:val="both"/>
      </w:pPr>
      <w:r w:rsidRPr="006265C8">
        <w:tab/>
      </w:r>
      <w:r w:rsidR="00CB5883">
        <w:t>The remaining matter</w:t>
      </w:r>
      <w:r w:rsidR="006265C8" w:rsidRPr="006265C8">
        <w:t xml:space="preserve">s </w:t>
      </w:r>
      <w:r w:rsidR="006265C8">
        <w:t xml:space="preserve">are largely </w:t>
      </w:r>
      <w:r w:rsidR="00D72C69">
        <w:t>dependent</w:t>
      </w:r>
      <w:r w:rsidR="006265C8">
        <w:t xml:space="preserve"> on</w:t>
      </w:r>
      <w:r w:rsidR="00D72C69">
        <w:t xml:space="preserve"> --</w:t>
      </w:r>
      <w:r w:rsidR="006265C8">
        <w:t xml:space="preserve"> or fall-out issues</w:t>
      </w:r>
      <w:r w:rsidR="00D72C69">
        <w:t xml:space="preserve"> from --</w:t>
      </w:r>
      <w:r w:rsidR="0006561D">
        <w:t xml:space="preserve"> our findings as set forth above</w:t>
      </w:r>
      <w:r w:rsidR="006265C8">
        <w:t xml:space="preserve">. OPC raised no new arguments in opposition to the utilities proposed 2023 jurisdictional </w:t>
      </w:r>
      <w:r w:rsidR="00862ED2">
        <w:t xml:space="preserve">separation </w:t>
      </w:r>
      <w:r w:rsidR="006265C8">
        <w:t xml:space="preserve">standards, factors, or the tariffs reflecting the new factors. Instead, OPC made the same argument as it did with respect to </w:t>
      </w:r>
      <w:r w:rsidR="0006561D">
        <w:t xml:space="preserve">matters addressed </w:t>
      </w:r>
      <w:r w:rsidR="006265C8">
        <w:t xml:space="preserve">above; to wit, that the utilities failed to carry their burden of proof. </w:t>
      </w:r>
      <w:r w:rsidR="00062723" w:rsidRPr="00062723">
        <w:t xml:space="preserve">OPC </w:t>
      </w:r>
      <w:r w:rsidR="006265C8">
        <w:t>took n</w:t>
      </w:r>
      <w:r w:rsidR="00062723" w:rsidRPr="00062723">
        <w:t xml:space="preserve">o position on </w:t>
      </w:r>
      <w:r w:rsidR="0006561D">
        <w:t>the effective date</w:t>
      </w:r>
      <w:r w:rsidR="00062723" w:rsidRPr="00062723">
        <w:t xml:space="preserve">. </w:t>
      </w:r>
      <w:r w:rsidR="00062723">
        <w:t xml:space="preserve">The other intervenors adopted </w:t>
      </w:r>
      <w:r w:rsidR="006265C8">
        <w:t>OPC’s</w:t>
      </w:r>
      <w:r w:rsidR="00062723">
        <w:t xml:space="preserve"> argument</w:t>
      </w:r>
      <w:r w:rsidR="006265C8">
        <w:t>s</w:t>
      </w:r>
      <w:r w:rsidR="00062723">
        <w:t>. No intervenor raised additional concerns or independent arguments.</w:t>
      </w:r>
    </w:p>
    <w:p w:rsidR="00985F89" w:rsidRPr="00062723" w:rsidRDefault="00985F89" w:rsidP="00D74615">
      <w:pPr>
        <w:jc w:val="both"/>
      </w:pPr>
    </w:p>
    <w:p w:rsidR="00985F89" w:rsidRDefault="006265C8" w:rsidP="00011ED5">
      <w:pPr>
        <w:jc w:val="both"/>
        <w:rPr>
          <w:bCs/>
        </w:rPr>
      </w:pPr>
      <w:r>
        <w:rPr>
          <w:b/>
          <w:bCs/>
        </w:rPr>
        <w:tab/>
      </w:r>
      <w:r w:rsidR="006855F3" w:rsidRPr="006855F3">
        <w:rPr>
          <w:bCs/>
        </w:rPr>
        <w:t>T</w:t>
      </w:r>
      <w:r>
        <w:rPr>
          <w:bCs/>
        </w:rPr>
        <w:t xml:space="preserve">he </w:t>
      </w:r>
      <w:r w:rsidR="00862ED2">
        <w:rPr>
          <w:bCs/>
        </w:rPr>
        <w:t xml:space="preserve">SPPCRC </w:t>
      </w:r>
      <w:r>
        <w:rPr>
          <w:bCs/>
        </w:rPr>
        <w:t xml:space="preserve">factors and tariffs </w:t>
      </w:r>
      <w:r w:rsidR="006855F3">
        <w:rPr>
          <w:bCs/>
        </w:rPr>
        <w:t xml:space="preserve">are calculations from and reflections of the cost and recovery amounts we approved </w:t>
      </w:r>
      <w:r w:rsidR="0006561D">
        <w:rPr>
          <w:bCs/>
        </w:rPr>
        <w:t>above</w:t>
      </w:r>
      <w:r w:rsidR="006855F3">
        <w:rPr>
          <w:bCs/>
        </w:rPr>
        <w:t>. Because we approved the amounts proposed by the utilities as reasonable and prudent without adjustment, we approve the factors and tariffs</w:t>
      </w:r>
      <w:r w:rsidR="006855F3">
        <w:t>.</w:t>
      </w:r>
      <w:r w:rsidR="006855F3">
        <w:rPr>
          <w:bCs/>
        </w:rPr>
        <w:t xml:space="preserve"> </w:t>
      </w:r>
    </w:p>
    <w:p w:rsidR="006855F3" w:rsidRDefault="006855F3" w:rsidP="00011ED5">
      <w:pPr>
        <w:jc w:val="both"/>
        <w:rPr>
          <w:b/>
          <w:bCs/>
        </w:rPr>
      </w:pPr>
    </w:p>
    <w:p w:rsidR="0006561D" w:rsidRDefault="0006561D" w:rsidP="0006561D">
      <w:pPr>
        <w:jc w:val="center"/>
        <w:rPr>
          <w:b/>
        </w:rPr>
      </w:pPr>
      <w:r>
        <w:rPr>
          <w:b/>
        </w:rPr>
        <w:t>SPPCRC j</w:t>
      </w:r>
      <w:r w:rsidR="00D74615" w:rsidRPr="000B38DD">
        <w:rPr>
          <w:b/>
        </w:rPr>
        <w:t>urisdictional separation factors</w:t>
      </w:r>
      <w:r>
        <w:rPr>
          <w:b/>
        </w:rPr>
        <w:t>:</w:t>
      </w:r>
    </w:p>
    <w:p w:rsidR="00D74615" w:rsidRPr="0006561D" w:rsidRDefault="00D74615" w:rsidP="0006561D">
      <w:pPr>
        <w:jc w:val="center"/>
        <w:rPr>
          <w:b/>
          <w:u w:val="single"/>
        </w:rPr>
      </w:pPr>
      <w:r w:rsidRPr="0006561D">
        <w:rPr>
          <w:b/>
          <w:u w:val="single"/>
        </w:rPr>
        <w:t>January 2023 through December 2023</w:t>
      </w:r>
    </w:p>
    <w:p w:rsidR="00D74615" w:rsidRPr="00701945" w:rsidRDefault="00D74615" w:rsidP="00D74615">
      <w:pPr>
        <w:jc w:val="both"/>
      </w:pPr>
    </w:p>
    <w:p w:rsidR="003505DA" w:rsidRPr="003505DA" w:rsidRDefault="003505DA" w:rsidP="00D6216A">
      <w:pPr>
        <w:rPr>
          <w:b/>
          <w:u w:val="single"/>
        </w:rPr>
      </w:pPr>
      <w:r w:rsidRPr="003505DA">
        <w:rPr>
          <w:b/>
          <w:u w:val="single"/>
        </w:rPr>
        <w:t>TECO</w:t>
      </w:r>
    </w:p>
    <w:p w:rsidR="00D74615" w:rsidRDefault="00D74615" w:rsidP="00D74615">
      <w:pPr>
        <w:ind w:left="1440" w:hanging="1440"/>
      </w:pPr>
    </w:p>
    <w:p w:rsidR="00D74615" w:rsidRDefault="00D74615" w:rsidP="003505DA">
      <w:r>
        <w:tab/>
        <w:t>FPSC Jurisdictional Factor:</w:t>
      </w:r>
      <w:r w:rsidR="004B6C46">
        <w:tab/>
      </w:r>
      <w:r w:rsidR="004B6C46">
        <w:tab/>
      </w:r>
      <w:r w:rsidR="004B6C46">
        <w:tab/>
      </w:r>
      <w:r>
        <w:tab/>
        <w:t>93.2509%</w:t>
      </w:r>
    </w:p>
    <w:p w:rsidR="00D74615" w:rsidRPr="00054AD5" w:rsidRDefault="00D74615" w:rsidP="003505DA">
      <w:r w:rsidRPr="00054AD5">
        <w:tab/>
      </w:r>
      <w:r>
        <w:t>FERC Jurisdictional Factor:</w:t>
      </w:r>
      <w:r>
        <w:tab/>
      </w:r>
      <w:r w:rsidR="004B6C46">
        <w:tab/>
      </w:r>
      <w:r w:rsidR="004B6C46">
        <w:tab/>
      </w:r>
      <w:r w:rsidR="004B6C46">
        <w:tab/>
      </w:r>
      <w:r>
        <w:t>6.7491%</w:t>
      </w:r>
    </w:p>
    <w:p w:rsidR="00D74615" w:rsidRDefault="00D74615" w:rsidP="00D74615">
      <w:pPr>
        <w:ind w:left="1440" w:hanging="1440"/>
        <w:jc w:val="both"/>
      </w:pPr>
      <w:r>
        <w:tab/>
      </w:r>
    </w:p>
    <w:p w:rsidR="003505DA" w:rsidRDefault="00D74615" w:rsidP="00D74615">
      <w:pPr>
        <w:ind w:left="1440" w:hanging="1440"/>
        <w:jc w:val="both"/>
        <w:rPr>
          <w:b/>
          <w:u w:val="single"/>
        </w:rPr>
      </w:pPr>
      <w:r w:rsidRPr="003505DA">
        <w:rPr>
          <w:b/>
          <w:u w:val="single"/>
        </w:rPr>
        <w:t>FPUC</w:t>
      </w:r>
    </w:p>
    <w:p w:rsidR="003505DA" w:rsidRDefault="003505DA" w:rsidP="003505DA">
      <w:pPr>
        <w:jc w:val="both"/>
        <w:rPr>
          <w:b/>
          <w:u w:val="single"/>
        </w:rPr>
      </w:pPr>
    </w:p>
    <w:p w:rsidR="00D74615" w:rsidRDefault="003505DA" w:rsidP="003505DA">
      <w:pPr>
        <w:jc w:val="both"/>
        <w:rPr>
          <w:b/>
        </w:rPr>
      </w:pPr>
      <w:r w:rsidRPr="003505DA">
        <w:rPr>
          <w:b/>
        </w:rPr>
        <w:tab/>
      </w:r>
      <w:r w:rsidR="00D74615">
        <w:rPr>
          <w:iCs/>
        </w:rPr>
        <w:t>There is no jurisdictional separation applicable to FPUC.</w:t>
      </w:r>
    </w:p>
    <w:p w:rsidR="00D74615" w:rsidRDefault="00D74615" w:rsidP="00D74615">
      <w:pPr>
        <w:ind w:left="1440" w:hanging="1440"/>
        <w:jc w:val="both"/>
        <w:rPr>
          <w:b/>
        </w:rPr>
      </w:pPr>
    </w:p>
    <w:p w:rsidR="00D74615" w:rsidRPr="003505DA" w:rsidRDefault="00D74615" w:rsidP="00D74615">
      <w:pPr>
        <w:ind w:left="1440" w:hanging="1440"/>
        <w:jc w:val="both"/>
        <w:rPr>
          <w:u w:val="single"/>
        </w:rPr>
      </w:pPr>
      <w:r w:rsidRPr="003505DA">
        <w:rPr>
          <w:b/>
          <w:u w:val="single"/>
        </w:rPr>
        <w:lastRenderedPageBreak/>
        <w:t>FPL</w:t>
      </w:r>
      <w:r w:rsidRPr="003505DA">
        <w:rPr>
          <w:b/>
        </w:rPr>
        <w:tab/>
      </w:r>
    </w:p>
    <w:p w:rsidR="00D74615" w:rsidRPr="00BF1A74" w:rsidRDefault="00D74615" w:rsidP="00D74615">
      <w:pPr>
        <w:ind w:left="1440" w:hanging="1440"/>
        <w:jc w:val="both"/>
      </w:pPr>
    </w:p>
    <w:p w:rsidR="00D74615" w:rsidRPr="00BF1A74" w:rsidRDefault="00D74615" w:rsidP="003505DA">
      <w:pPr>
        <w:jc w:val="both"/>
        <w:rPr>
          <w:bCs/>
        </w:rPr>
      </w:pPr>
      <w:r>
        <w:rPr>
          <w:bCs/>
        </w:rPr>
        <w:tab/>
      </w:r>
      <w:r w:rsidRPr="00BF1A74">
        <w:rPr>
          <w:bCs/>
        </w:rPr>
        <w:t>Distribution Demand Jurisdictional Factor</w:t>
      </w:r>
      <w:r w:rsidR="004B6C46">
        <w:rPr>
          <w:bCs/>
        </w:rPr>
        <w:t>:</w:t>
      </w:r>
      <w:r w:rsidRPr="00BF1A74">
        <w:rPr>
          <w:bCs/>
        </w:rPr>
        <w:tab/>
      </w:r>
      <w:r w:rsidRPr="00BF1A74">
        <w:rPr>
          <w:bCs/>
        </w:rPr>
        <w:tab/>
        <w:t>100.0000%</w:t>
      </w:r>
    </w:p>
    <w:p w:rsidR="00D74615" w:rsidRPr="00BF1A74" w:rsidRDefault="00D74615" w:rsidP="003505DA">
      <w:pPr>
        <w:jc w:val="both"/>
        <w:rPr>
          <w:bCs/>
        </w:rPr>
      </w:pPr>
      <w:r>
        <w:rPr>
          <w:bCs/>
        </w:rPr>
        <w:tab/>
      </w:r>
      <w:r w:rsidRPr="00BF1A74">
        <w:rPr>
          <w:bCs/>
        </w:rPr>
        <w:t>Transmission Demand Jurisdictional Factor</w:t>
      </w:r>
      <w:r w:rsidR="004B6C46">
        <w:rPr>
          <w:bCs/>
        </w:rPr>
        <w:t>:</w:t>
      </w:r>
      <w:r w:rsidRPr="00BF1A74">
        <w:rPr>
          <w:bCs/>
        </w:rPr>
        <w:tab/>
      </w:r>
      <w:r w:rsidRPr="00BF1A74">
        <w:rPr>
          <w:bCs/>
        </w:rPr>
        <w:tab/>
        <w:t>89.9282%</w:t>
      </w:r>
    </w:p>
    <w:p w:rsidR="00D74615" w:rsidRPr="00BF1A74" w:rsidRDefault="00D74615" w:rsidP="003505DA">
      <w:pPr>
        <w:jc w:val="both"/>
        <w:rPr>
          <w:bCs/>
        </w:rPr>
      </w:pPr>
      <w:r>
        <w:rPr>
          <w:bCs/>
        </w:rPr>
        <w:tab/>
      </w:r>
      <w:r w:rsidRPr="00BF1A74">
        <w:rPr>
          <w:bCs/>
        </w:rPr>
        <w:t>General &amp; Intangible Plan Jurisdictional Factor</w:t>
      </w:r>
      <w:r w:rsidR="004B6C46">
        <w:rPr>
          <w:bCs/>
        </w:rPr>
        <w:t>:</w:t>
      </w:r>
      <w:r w:rsidRPr="00BF1A74">
        <w:rPr>
          <w:bCs/>
        </w:rPr>
        <w:tab/>
        <w:t>96.7270%</w:t>
      </w:r>
    </w:p>
    <w:p w:rsidR="00D74615" w:rsidRDefault="00D74615" w:rsidP="00D74615">
      <w:pPr>
        <w:ind w:left="1440" w:hanging="1440"/>
        <w:jc w:val="both"/>
        <w:rPr>
          <w:b/>
        </w:rPr>
      </w:pPr>
      <w:r>
        <w:tab/>
      </w:r>
    </w:p>
    <w:p w:rsidR="003505DA" w:rsidRDefault="00D74615" w:rsidP="004B6C46">
      <w:pPr>
        <w:widowControl w:val="0"/>
        <w:jc w:val="both"/>
        <w:rPr>
          <w:b/>
        </w:rPr>
      </w:pPr>
      <w:r w:rsidRPr="003505DA">
        <w:rPr>
          <w:b/>
          <w:u w:val="single"/>
        </w:rPr>
        <w:t>DEF</w:t>
      </w:r>
    </w:p>
    <w:p w:rsidR="004B6C46" w:rsidRDefault="004B6C46" w:rsidP="004B6C46">
      <w:pPr>
        <w:widowControl w:val="0"/>
        <w:jc w:val="both"/>
        <w:rPr>
          <w:b/>
        </w:rPr>
      </w:pPr>
    </w:p>
    <w:p w:rsidR="00D74615" w:rsidRPr="004B6C46" w:rsidRDefault="004B6C46" w:rsidP="004B6C46">
      <w:pPr>
        <w:widowControl w:val="0"/>
        <w:rPr>
          <w:color w:val="000000" w:themeColor="text1"/>
        </w:rPr>
      </w:pPr>
      <w:r w:rsidRPr="004B6C46">
        <w:rPr>
          <w:color w:val="000000" w:themeColor="text1"/>
        </w:rPr>
        <w:tab/>
      </w:r>
      <w:r w:rsidR="00D74615" w:rsidRPr="004B6C46">
        <w:rPr>
          <w:color w:val="000000" w:themeColor="text1"/>
        </w:rPr>
        <w:t>Distribution:</w:t>
      </w:r>
      <w:r w:rsidR="00D74615" w:rsidRPr="004B6C46">
        <w:tab/>
      </w:r>
      <w:r>
        <w:tab/>
      </w:r>
      <w:r>
        <w:tab/>
      </w:r>
      <w:r>
        <w:tab/>
      </w:r>
      <w:r>
        <w:tab/>
      </w:r>
      <w:r>
        <w:tab/>
      </w:r>
      <w:r w:rsidR="00D74615" w:rsidRPr="004B6C46">
        <w:rPr>
          <w:color w:val="000000" w:themeColor="text1"/>
        </w:rPr>
        <w:t>1.0000000</w:t>
      </w:r>
    </w:p>
    <w:p w:rsidR="00D74615" w:rsidRPr="004B6C46" w:rsidRDefault="004B6C46" w:rsidP="004B6C46">
      <w:pPr>
        <w:widowControl w:val="0"/>
        <w:spacing w:line="259" w:lineRule="auto"/>
        <w:rPr>
          <w:color w:val="000000" w:themeColor="text1"/>
        </w:rPr>
      </w:pPr>
      <w:r w:rsidRPr="004B6C46">
        <w:rPr>
          <w:color w:val="000000" w:themeColor="text1"/>
        </w:rPr>
        <w:tab/>
      </w:r>
      <w:r w:rsidR="00D74615" w:rsidRPr="004B6C46">
        <w:rPr>
          <w:color w:val="000000" w:themeColor="text1"/>
        </w:rPr>
        <w:t xml:space="preserve">Transmission: </w:t>
      </w:r>
      <w:r w:rsidR="00D74615" w:rsidRPr="004B6C46">
        <w:tab/>
        <w:t xml:space="preserve"> </w:t>
      </w:r>
      <w:r>
        <w:tab/>
      </w:r>
      <w:r>
        <w:tab/>
      </w:r>
      <w:r>
        <w:tab/>
      </w:r>
      <w:r>
        <w:tab/>
      </w:r>
      <w:r>
        <w:tab/>
      </w:r>
      <w:r w:rsidR="00D74615" w:rsidRPr="004B6C46">
        <w:rPr>
          <w:color w:val="000000" w:themeColor="text1"/>
        </w:rPr>
        <w:t>0.7204117</w:t>
      </w:r>
    </w:p>
    <w:p w:rsidR="00D74615" w:rsidRPr="004B6C46" w:rsidRDefault="00D74615" w:rsidP="004B6C46">
      <w:pPr>
        <w:jc w:val="both"/>
        <w:rPr>
          <w:b/>
        </w:rPr>
      </w:pPr>
      <w:r w:rsidRPr="004B6C46">
        <w:rPr>
          <w:color w:val="000000" w:themeColor="text1"/>
        </w:rPr>
        <w:tab/>
        <w:t>Labor:</w:t>
      </w:r>
      <w:r w:rsidRPr="004B6C46">
        <w:tab/>
      </w:r>
      <w:r w:rsidRPr="004B6C46">
        <w:tab/>
      </w:r>
      <w:r w:rsidRPr="004B6C46">
        <w:rPr>
          <w:color w:val="000000" w:themeColor="text1"/>
        </w:rPr>
        <w:t xml:space="preserve"> </w:t>
      </w:r>
      <w:r w:rsidR="004B6C46">
        <w:rPr>
          <w:color w:val="000000" w:themeColor="text1"/>
        </w:rPr>
        <w:tab/>
      </w:r>
      <w:r w:rsidR="004B6C46">
        <w:rPr>
          <w:color w:val="000000" w:themeColor="text1"/>
        </w:rPr>
        <w:tab/>
      </w:r>
      <w:r w:rsidR="004B6C46">
        <w:rPr>
          <w:color w:val="000000" w:themeColor="text1"/>
        </w:rPr>
        <w:tab/>
      </w:r>
      <w:r w:rsidR="004B6C46">
        <w:rPr>
          <w:color w:val="000000" w:themeColor="text1"/>
        </w:rPr>
        <w:tab/>
      </w:r>
      <w:r w:rsidR="004B6C46">
        <w:rPr>
          <w:color w:val="000000" w:themeColor="text1"/>
        </w:rPr>
        <w:tab/>
      </w:r>
      <w:r w:rsidRPr="004B6C46">
        <w:rPr>
          <w:color w:val="000000" w:themeColor="text1"/>
        </w:rPr>
        <w:t>0.9677918</w:t>
      </w:r>
    </w:p>
    <w:p w:rsidR="00D74615" w:rsidRPr="004B6C46" w:rsidRDefault="00D74615" w:rsidP="004B6C46">
      <w:pPr>
        <w:jc w:val="both"/>
      </w:pPr>
    </w:p>
    <w:p w:rsidR="00595E10" w:rsidRPr="004B6C46" w:rsidRDefault="00595E10" w:rsidP="00D74615">
      <w:pPr>
        <w:jc w:val="both"/>
      </w:pPr>
    </w:p>
    <w:p w:rsidR="0006561D" w:rsidRDefault="00B27CFC" w:rsidP="0006561D">
      <w:pPr>
        <w:jc w:val="center"/>
        <w:rPr>
          <w:b/>
        </w:rPr>
      </w:pPr>
      <w:r w:rsidRPr="00B27CFC">
        <w:rPr>
          <w:b/>
        </w:rPr>
        <w:t>SPPCRC</w:t>
      </w:r>
      <w:r w:rsidR="00D74615" w:rsidRPr="00B27CFC">
        <w:rPr>
          <w:b/>
        </w:rPr>
        <w:t xml:space="preserve"> </w:t>
      </w:r>
      <w:r w:rsidR="00D74615" w:rsidRPr="000B38DD">
        <w:rPr>
          <w:b/>
        </w:rPr>
        <w:t xml:space="preserve">factors for </w:t>
      </w:r>
      <w:r w:rsidR="0006561D">
        <w:rPr>
          <w:b/>
        </w:rPr>
        <w:t>each rate group:</w:t>
      </w:r>
    </w:p>
    <w:p w:rsidR="00D74615" w:rsidRPr="000B38DD" w:rsidRDefault="00D74615" w:rsidP="0006561D">
      <w:pPr>
        <w:jc w:val="center"/>
        <w:rPr>
          <w:b/>
          <w:u w:val="single"/>
        </w:rPr>
      </w:pPr>
      <w:r w:rsidRPr="0057738F">
        <w:rPr>
          <w:b/>
          <w:u w:val="single"/>
        </w:rPr>
        <w:t>J</w:t>
      </w:r>
      <w:r w:rsidRPr="0006561D">
        <w:rPr>
          <w:b/>
          <w:u w:val="single"/>
        </w:rPr>
        <w:t>anuary 2023 through December 2023</w:t>
      </w:r>
    </w:p>
    <w:p w:rsidR="00D74615" w:rsidRPr="00701945" w:rsidRDefault="00D74615" w:rsidP="00D74615">
      <w:pPr>
        <w:jc w:val="both"/>
      </w:pPr>
    </w:p>
    <w:p w:rsidR="00A00362" w:rsidRPr="00A00362" w:rsidRDefault="00A00362" w:rsidP="00250568">
      <w:pPr>
        <w:pStyle w:val="BodyText"/>
        <w:tabs>
          <w:tab w:val="left" w:pos="720"/>
          <w:tab w:val="left" w:pos="1600"/>
        </w:tabs>
        <w:spacing w:after="0"/>
        <w:jc w:val="both"/>
        <w:rPr>
          <w:b/>
          <w:u w:val="single"/>
        </w:rPr>
      </w:pPr>
      <w:r>
        <w:rPr>
          <w:b/>
          <w:u w:val="single"/>
        </w:rPr>
        <w:t>TECO</w:t>
      </w:r>
    </w:p>
    <w:p w:rsidR="00D74615" w:rsidRDefault="00D74615" w:rsidP="00D74615">
      <w:pPr>
        <w:pStyle w:val="BodyText"/>
        <w:spacing w:after="0"/>
        <w:ind w:left="1440" w:hanging="1440"/>
        <w:jc w:val="both"/>
        <w:rPr>
          <w:sz w:val="21"/>
        </w:rPr>
      </w:pPr>
    </w:p>
    <w:tbl>
      <w:tblPr>
        <w:tblW w:w="0" w:type="auto"/>
        <w:tblInd w:w="1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85"/>
        <w:gridCol w:w="2791"/>
      </w:tblGrid>
      <w:tr w:rsidR="00D74615" w:rsidTr="00014CF9">
        <w:trPr>
          <w:trHeight w:val="753"/>
        </w:trPr>
        <w:tc>
          <w:tcPr>
            <w:tcW w:w="3685" w:type="dxa"/>
          </w:tcPr>
          <w:p w:rsidR="00D74615" w:rsidRDefault="00D74615" w:rsidP="00014CF9">
            <w:pPr>
              <w:pStyle w:val="TableParagraph"/>
              <w:ind w:left="1440" w:hanging="1440"/>
              <w:jc w:val="both"/>
              <w:rPr>
                <w:sz w:val="35"/>
              </w:rPr>
            </w:pPr>
          </w:p>
          <w:p w:rsidR="00D74615" w:rsidRDefault="00D74615" w:rsidP="00014CF9">
            <w:pPr>
              <w:pStyle w:val="TableParagraph"/>
              <w:ind w:left="1440" w:hanging="1440"/>
              <w:jc w:val="both"/>
              <w:rPr>
                <w:b/>
                <w:sz w:val="24"/>
              </w:rPr>
            </w:pPr>
            <w:r>
              <w:rPr>
                <w:b/>
                <w:sz w:val="24"/>
                <w:u w:val="single"/>
              </w:rPr>
              <w:t>Rate</w:t>
            </w:r>
            <w:r>
              <w:rPr>
                <w:b/>
                <w:spacing w:val="-7"/>
                <w:sz w:val="24"/>
                <w:u w:val="single"/>
              </w:rPr>
              <w:t xml:space="preserve"> </w:t>
            </w:r>
            <w:r>
              <w:rPr>
                <w:b/>
                <w:spacing w:val="-2"/>
                <w:sz w:val="24"/>
                <w:u w:val="single"/>
              </w:rPr>
              <w:t>Schedule</w:t>
            </w:r>
          </w:p>
        </w:tc>
        <w:tc>
          <w:tcPr>
            <w:tcW w:w="2791" w:type="dxa"/>
          </w:tcPr>
          <w:p w:rsidR="00D74615" w:rsidRDefault="00D74615" w:rsidP="00014CF9">
            <w:pPr>
              <w:pStyle w:val="TableParagraph"/>
              <w:ind w:left="1440" w:hanging="1440"/>
              <w:jc w:val="center"/>
              <w:rPr>
                <w:b/>
                <w:sz w:val="24"/>
              </w:rPr>
            </w:pPr>
            <w:r>
              <w:rPr>
                <w:b/>
                <w:sz w:val="24"/>
              </w:rPr>
              <w:t>Cost</w:t>
            </w:r>
            <w:r>
              <w:rPr>
                <w:b/>
                <w:spacing w:val="-7"/>
                <w:sz w:val="24"/>
              </w:rPr>
              <w:t xml:space="preserve"> </w:t>
            </w:r>
            <w:r>
              <w:rPr>
                <w:b/>
                <w:sz w:val="24"/>
              </w:rPr>
              <w:t>Recovery</w:t>
            </w:r>
            <w:r>
              <w:rPr>
                <w:b/>
                <w:spacing w:val="-5"/>
                <w:sz w:val="24"/>
              </w:rPr>
              <w:t xml:space="preserve"> </w:t>
            </w:r>
            <w:r>
              <w:rPr>
                <w:b/>
                <w:spacing w:val="-2"/>
                <w:sz w:val="24"/>
              </w:rPr>
              <w:t>Factors</w:t>
            </w:r>
          </w:p>
          <w:p w:rsidR="00D74615" w:rsidRDefault="00D74615" w:rsidP="00014CF9">
            <w:pPr>
              <w:pStyle w:val="TableParagraph"/>
              <w:ind w:left="1440" w:hanging="1440"/>
              <w:jc w:val="center"/>
              <w:rPr>
                <w:b/>
                <w:sz w:val="24"/>
              </w:rPr>
            </w:pPr>
            <w:r>
              <w:rPr>
                <w:b/>
                <w:sz w:val="24"/>
                <w:u w:val="single"/>
              </w:rPr>
              <w:t>(cents</w:t>
            </w:r>
            <w:r>
              <w:rPr>
                <w:b/>
                <w:spacing w:val="-6"/>
                <w:sz w:val="24"/>
                <w:u w:val="single"/>
              </w:rPr>
              <w:t xml:space="preserve"> </w:t>
            </w:r>
            <w:r>
              <w:rPr>
                <w:b/>
                <w:sz w:val="24"/>
                <w:u w:val="single"/>
              </w:rPr>
              <w:t>per</w:t>
            </w:r>
            <w:r>
              <w:rPr>
                <w:b/>
                <w:spacing w:val="-8"/>
                <w:sz w:val="24"/>
                <w:u w:val="single"/>
              </w:rPr>
              <w:t xml:space="preserve"> </w:t>
            </w:r>
            <w:r>
              <w:rPr>
                <w:b/>
                <w:spacing w:val="-4"/>
                <w:sz w:val="24"/>
                <w:u w:val="single"/>
              </w:rPr>
              <w:t>kWh)</w:t>
            </w:r>
          </w:p>
        </w:tc>
      </w:tr>
      <w:tr w:rsidR="00D74615" w:rsidTr="00014CF9">
        <w:trPr>
          <w:trHeight w:val="413"/>
        </w:trPr>
        <w:tc>
          <w:tcPr>
            <w:tcW w:w="3685" w:type="dxa"/>
          </w:tcPr>
          <w:p w:rsidR="00D74615" w:rsidRDefault="00D74615" w:rsidP="00014CF9">
            <w:pPr>
              <w:pStyle w:val="TableParagraph"/>
              <w:ind w:left="1440" w:hanging="1440"/>
              <w:jc w:val="both"/>
              <w:rPr>
                <w:sz w:val="24"/>
              </w:rPr>
            </w:pPr>
            <w:r>
              <w:rPr>
                <w:spacing w:val="-5"/>
                <w:sz w:val="24"/>
              </w:rPr>
              <w:t>RS</w:t>
            </w:r>
          </w:p>
        </w:tc>
        <w:tc>
          <w:tcPr>
            <w:tcW w:w="2791" w:type="dxa"/>
          </w:tcPr>
          <w:p w:rsidR="00D74615" w:rsidRDefault="00D74615" w:rsidP="00014CF9">
            <w:pPr>
              <w:pStyle w:val="TableParagraph"/>
              <w:ind w:left="1440" w:hanging="1440"/>
              <w:jc w:val="center"/>
              <w:rPr>
                <w:sz w:val="24"/>
              </w:rPr>
            </w:pPr>
            <w:r>
              <w:rPr>
                <w:spacing w:val="-2"/>
                <w:sz w:val="24"/>
              </w:rPr>
              <w:t>0.373</w:t>
            </w:r>
          </w:p>
        </w:tc>
      </w:tr>
      <w:tr w:rsidR="00D74615" w:rsidTr="00014CF9">
        <w:trPr>
          <w:trHeight w:val="413"/>
        </w:trPr>
        <w:tc>
          <w:tcPr>
            <w:tcW w:w="3685" w:type="dxa"/>
          </w:tcPr>
          <w:p w:rsidR="00D74615" w:rsidRDefault="00D74615" w:rsidP="00014CF9">
            <w:pPr>
              <w:pStyle w:val="TableParagraph"/>
              <w:ind w:left="1440" w:hanging="1440"/>
              <w:jc w:val="both"/>
              <w:rPr>
                <w:sz w:val="24"/>
              </w:rPr>
            </w:pPr>
            <w:r>
              <w:rPr>
                <w:sz w:val="24"/>
              </w:rPr>
              <w:t>GS</w:t>
            </w:r>
            <w:r>
              <w:rPr>
                <w:spacing w:val="-3"/>
                <w:sz w:val="24"/>
              </w:rPr>
              <w:t xml:space="preserve"> </w:t>
            </w:r>
            <w:r>
              <w:rPr>
                <w:sz w:val="24"/>
              </w:rPr>
              <w:t>and</w:t>
            </w:r>
            <w:r>
              <w:rPr>
                <w:spacing w:val="-3"/>
                <w:sz w:val="24"/>
              </w:rPr>
              <w:t xml:space="preserve"> </w:t>
            </w:r>
            <w:r>
              <w:rPr>
                <w:spacing w:val="-5"/>
                <w:sz w:val="24"/>
              </w:rPr>
              <w:t>CS</w:t>
            </w:r>
          </w:p>
        </w:tc>
        <w:tc>
          <w:tcPr>
            <w:tcW w:w="2791" w:type="dxa"/>
          </w:tcPr>
          <w:p w:rsidR="00D74615" w:rsidRDefault="00D74615" w:rsidP="00014CF9">
            <w:pPr>
              <w:pStyle w:val="TableParagraph"/>
              <w:ind w:left="1440" w:hanging="1440"/>
              <w:jc w:val="center"/>
              <w:rPr>
                <w:sz w:val="24"/>
              </w:rPr>
            </w:pPr>
            <w:r>
              <w:rPr>
                <w:spacing w:val="-2"/>
                <w:sz w:val="24"/>
              </w:rPr>
              <w:t>0.400</w:t>
            </w:r>
          </w:p>
        </w:tc>
      </w:tr>
      <w:tr w:rsidR="00D74615" w:rsidTr="00014CF9">
        <w:trPr>
          <w:trHeight w:val="413"/>
        </w:trPr>
        <w:tc>
          <w:tcPr>
            <w:tcW w:w="3685" w:type="dxa"/>
          </w:tcPr>
          <w:p w:rsidR="00D74615" w:rsidRDefault="00D74615" w:rsidP="00014CF9">
            <w:pPr>
              <w:pStyle w:val="TableParagraph"/>
              <w:ind w:left="1440" w:hanging="1440"/>
              <w:jc w:val="both"/>
              <w:rPr>
                <w:sz w:val="24"/>
              </w:rPr>
            </w:pPr>
            <w:r>
              <w:rPr>
                <w:sz w:val="24"/>
              </w:rPr>
              <w:t>GSD</w:t>
            </w:r>
            <w:r>
              <w:rPr>
                <w:spacing w:val="-3"/>
                <w:sz w:val="24"/>
              </w:rPr>
              <w:t xml:space="preserve"> </w:t>
            </w:r>
            <w:r>
              <w:rPr>
                <w:sz w:val="24"/>
              </w:rPr>
              <w:t>Optional</w:t>
            </w:r>
            <w:r>
              <w:rPr>
                <w:spacing w:val="-3"/>
                <w:sz w:val="24"/>
              </w:rPr>
              <w:t xml:space="preserve"> </w:t>
            </w:r>
            <w:r>
              <w:rPr>
                <w:sz w:val="24"/>
              </w:rPr>
              <w:t>–</w:t>
            </w:r>
            <w:r>
              <w:rPr>
                <w:spacing w:val="-3"/>
                <w:sz w:val="24"/>
              </w:rPr>
              <w:t xml:space="preserve"> </w:t>
            </w:r>
            <w:r>
              <w:rPr>
                <w:spacing w:val="-2"/>
                <w:sz w:val="24"/>
              </w:rPr>
              <w:t>Secondary</w:t>
            </w:r>
          </w:p>
        </w:tc>
        <w:tc>
          <w:tcPr>
            <w:tcW w:w="2791" w:type="dxa"/>
          </w:tcPr>
          <w:p w:rsidR="00D74615" w:rsidRDefault="00D74615" w:rsidP="00014CF9">
            <w:pPr>
              <w:pStyle w:val="TableParagraph"/>
              <w:ind w:left="1440" w:hanging="1440"/>
              <w:jc w:val="center"/>
              <w:rPr>
                <w:sz w:val="24"/>
              </w:rPr>
            </w:pPr>
            <w:r>
              <w:rPr>
                <w:spacing w:val="-2"/>
                <w:sz w:val="24"/>
              </w:rPr>
              <w:t>0.147</w:t>
            </w:r>
          </w:p>
        </w:tc>
      </w:tr>
      <w:tr w:rsidR="00D74615" w:rsidTr="00014CF9">
        <w:trPr>
          <w:trHeight w:val="413"/>
        </w:trPr>
        <w:tc>
          <w:tcPr>
            <w:tcW w:w="3685" w:type="dxa"/>
          </w:tcPr>
          <w:p w:rsidR="00D74615" w:rsidRDefault="00D74615" w:rsidP="00014CF9">
            <w:pPr>
              <w:pStyle w:val="TableParagraph"/>
              <w:ind w:left="1440" w:hanging="1440"/>
              <w:jc w:val="both"/>
              <w:rPr>
                <w:sz w:val="24"/>
              </w:rPr>
            </w:pPr>
            <w:r>
              <w:rPr>
                <w:sz w:val="24"/>
              </w:rPr>
              <w:t>GSD</w:t>
            </w:r>
            <w:r>
              <w:rPr>
                <w:spacing w:val="-3"/>
                <w:sz w:val="24"/>
              </w:rPr>
              <w:t xml:space="preserve"> </w:t>
            </w:r>
            <w:r>
              <w:rPr>
                <w:sz w:val="24"/>
              </w:rPr>
              <w:t>Optional</w:t>
            </w:r>
            <w:r>
              <w:rPr>
                <w:spacing w:val="-3"/>
                <w:sz w:val="24"/>
              </w:rPr>
              <w:t xml:space="preserve"> </w:t>
            </w:r>
            <w:r>
              <w:rPr>
                <w:sz w:val="24"/>
              </w:rPr>
              <w:t>–</w:t>
            </w:r>
            <w:r>
              <w:rPr>
                <w:spacing w:val="-2"/>
                <w:sz w:val="24"/>
              </w:rPr>
              <w:t xml:space="preserve"> Primary</w:t>
            </w:r>
          </w:p>
        </w:tc>
        <w:tc>
          <w:tcPr>
            <w:tcW w:w="2791" w:type="dxa"/>
          </w:tcPr>
          <w:p w:rsidR="00D74615" w:rsidRDefault="00D74615" w:rsidP="00014CF9">
            <w:pPr>
              <w:pStyle w:val="TableParagraph"/>
              <w:ind w:left="1440" w:hanging="1440"/>
              <w:jc w:val="center"/>
              <w:rPr>
                <w:sz w:val="24"/>
              </w:rPr>
            </w:pPr>
            <w:r>
              <w:rPr>
                <w:spacing w:val="-2"/>
                <w:sz w:val="24"/>
              </w:rPr>
              <w:t>0.145</w:t>
            </w:r>
          </w:p>
        </w:tc>
      </w:tr>
      <w:tr w:rsidR="00D74615" w:rsidTr="00014CF9">
        <w:trPr>
          <w:trHeight w:val="413"/>
        </w:trPr>
        <w:tc>
          <w:tcPr>
            <w:tcW w:w="3685" w:type="dxa"/>
          </w:tcPr>
          <w:p w:rsidR="00D74615" w:rsidRDefault="00D74615" w:rsidP="00014CF9">
            <w:pPr>
              <w:pStyle w:val="TableParagraph"/>
              <w:ind w:left="1440" w:hanging="1440"/>
              <w:jc w:val="both"/>
              <w:rPr>
                <w:sz w:val="24"/>
              </w:rPr>
            </w:pPr>
            <w:r>
              <w:rPr>
                <w:sz w:val="24"/>
              </w:rPr>
              <w:t>GSD</w:t>
            </w:r>
            <w:r>
              <w:rPr>
                <w:spacing w:val="-2"/>
                <w:sz w:val="24"/>
              </w:rPr>
              <w:t xml:space="preserve"> </w:t>
            </w:r>
            <w:r>
              <w:rPr>
                <w:sz w:val="24"/>
              </w:rPr>
              <w:t>Optional</w:t>
            </w:r>
            <w:r>
              <w:rPr>
                <w:spacing w:val="-2"/>
                <w:sz w:val="24"/>
              </w:rPr>
              <w:t xml:space="preserve"> </w:t>
            </w:r>
            <w:r>
              <w:rPr>
                <w:sz w:val="24"/>
              </w:rPr>
              <w:t>–</w:t>
            </w:r>
            <w:r>
              <w:rPr>
                <w:spacing w:val="-1"/>
                <w:sz w:val="24"/>
              </w:rPr>
              <w:t xml:space="preserve"> </w:t>
            </w:r>
            <w:r>
              <w:rPr>
                <w:spacing w:val="-2"/>
                <w:sz w:val="24"/>
              </w:rPr>
              <w:t>Subtransmission</w:t>
            </w:r>
          </w:p>
        </w:tc>
        <w:tc>
          <w:tcPr>
            <w:tcW w:w="2791" w:type="dxa"/>
          </w:tcPr>
          <w:p w:rsidR="00D74615" w:rsidRDefault="00D74615" w:rsidP="00014CF9">
            <w:pPr>
              <w:pStyle w:val="TableParagraph"/>
              <w:ind w:left="1440" w:hanging="1440"/>
              <w:jc w:val="center"/>
              <w:rPr>
                <w:sz w:val="24"/>
              </w:rPr>
            </w:pPr>
            <w:r>
              <w:rPr>
                <w:spacing w:val="-2"/>
                <w:sz w:val="24"/>
              </w:rPr>
              <w:t>0.144</w:t>
            </w:r>
          </w:p>
        </w:tc>
      </w:tr>
      <w:tr w:rsidR="00D74615" w:rsidTr="00014CF9">
        <w:trPr>
          <w:trHeight w:val="339"/>
        </w:trPr>
        <w:tc>
          <w:tcPr>
            <w:tcW w:w="3685" w:type="dxa"/>
          </w:tcPr>
          <w:p w:rsidR="00D74615" w:rsidRDefault="00D74615" w:rsidP="00014CF9">
            <w:pPr>
              <w:pStyle w:val="TableParagraph"/>
              <w:ind w:left="1440" w:hanging="1440"/>
              <w:jc w:val="both"/>
              <w:rPr>
                <w:sz w:val="24"/>
              </w:rPr>
            </w:pPr>
            <w:r>
              <w:rPr>
                <w:sz w:val="24"/>
              </w:rPr>
              <w:t>LS-1,</w:t>
            </w:r>
            <w:r>
              <w:rPr>
                <w:spacing w:val="-13"/>
                <w:sz w:val="24"/>
              </w:rPr>
              <w:t xml:space="preserve"> </w:t>
            </w:r>
            <w:r>
              <w:rPr>
                <w:sz w:val="24"/>
              </w:rPr>
              <w:t>LS-</w:t>
            </w:r>
            <w:r>
              <w:rPr>
                <w:spacing w:val="-10"/>
                <w:sz w:val="24"/>
              </w:rPr>
              <w:t>2</w:t>
            </w:r>
          </w:p>
        </w:tc>
        <w:tc>
          <w:tcPr>
            <w:tcW w:w="2791" w:type="dxa"/>
          </w:tcPr>
          <w:p w:rsidR="00D74615" w:rsidRDefault="00D74615" w:rsidP="00014CF9">
            <w:pPr>
              <w:pStyle w:val="TableParagraph"/>
              <w:ind w:left="1440" w:hanging="1440"/>
              <w:jc w:val="center"/>
              <w:rPr>
                <w:sz w:val="24"/>
              </w:rPr>
            </w:pPr>
            <w:r>
              <w:rPr>
                <w:spacing w:val="-2"/>
                <w:sz w:val="24"/>
              </w:rPr>
              <w:t>1.466</w:t>
            </w:r>
          </w:p>
        </w:tc>
      </w:tr>
    </w:tbl>
    <w:p w:rsidR="00D74615" w:rsidRDefault="00D74615" w:rsidP="00D74615">
      <w:pPr>
        <w:pStyle w:val="BodyText"/>
        <w:spacing w:after="0"/>
        <w:ind w:left="1440" w:hanging="1440"/>
        <w:jc w:val="both"/>
        <w:rPr>
          <w:sz w:val="2"/>
        </w:rPr>
      </w:pPr>
    </w:p>
    <w:tbl>
      <w:tblPr>
        <w:tblW w:w="0" w:type="auto"/>
        <w:tblInd w:w="1557" w:type="dxa"/>
        <w:tblLayout w:type="fixed"/>
        <w:tblCellMar>
          <w:left w:w="0" w:type="dxa"/>
          <w:right w:w="0" w:type="dxa"/>
        </w:tblCellMar>
        <w:tblLook w:val="01E0" w:firstRow="1" w:lastRow="1" w:firstColumn="1" w:lastColumn="1" w:noHBand="0" w:noVBand="0"/>
      </w:tblPr>
      <w:tblGrid>
        <w:gridCol w:w="3511"/>
        <w:gridCol w:w="2966"/>
      </w:tblGrid>
      <w:tr w:rsidR="00D74615" w:rsidTr="00014CF9">
        <w:trPr>
          <w:trHeight w:val="753"/>
        </w:trPr>
        <w:tc>
          <w:tcPr>
            <w:tcW w:w="3511" w:type="dxa"/>
          </w:tcPr>
          <w:p w:rsidR="00D74615" w:rsidRDefault="00D74615" w:rsidP="00014CF9">
            <w:pPr>
              <w:pStyle w:val="TableParagraph"/>
              <w:ind w:left="1440" w:hanging="1440"/>
              <w:jc w:val="both"/>
              <w:rPr>
                <w:sz w:val="35"/>
              </w:rPr>
            </w:pPr>
          </w:p>
          <w:p w:rsidR="00D74615" w:rsidRDefault="00D74615" w:rsidP="00014CF9">
            <w:pPr>
              <w:pStyle w:val="TableParagraph"/>
              <w:ind w:left="1440" w:hanging="1440"/>
              <w:jc w:val="both"/>
              <w:rPr>
                <w:b/>
                <w:sz w:val="24"/>
              </w:rPr>
            </w:pPr>
            <w:r>
              <w:rPr>
                <w:b/>
                <w:sz w:val="24"/>
                <w:u w:val="single"/>
              </w:rPr>
              <w:t>Rate</w:t>
            </w:r>
            <w:r>
              <w:rPr>
                <w:b/>
                <w:spacing w:val="-7"/>
                <w:sz w:val="24"/>
                <w:u w:val="single"/>
              </w:rPr>
              <w:t xml:space="preserve"> </w:t>
            </w:r>
            <w:r>
              <w:rPr>
                <w:b/>
                <w:spacing w:val="-2"/>
                <w:sz w:val="24"/>
                <w:u w:val="single"/>
              </w:rPr>
              <w:t>Schedule</w:t>
            </w:r>
          </w:p>
        </w:tc>
        <w:tc>
          <w:tcPr>
            <w:tcW w:w="2966" w:type="dxa"/>
          </w:tcPr>
          <w:p w:rsidR="00D74615" w:rsidRDefault="00D74615" w:rsidP="00014CF9">
            <w:pPr>
              <w:pStyle w:val="TableParagraph"/>
              <w:ind w:left="1440" w:hanging="1440"/>
              <w:jc w:val="center"/>
              <w:rPr>
                <w:b/>
                <w:sz w:val="24"/>
              </w:rPr>
            </w:pPr>
          </w:p>
          <w:p w:rsidR="00D74615" w:rsidRDefault="00D74615" w:rsidP="00014CF9">
            <w:pPr>
              <w:pStyle w:val="TableParagraph"/>
              <w:ind w:left="1440" w:hanging="1440"/>
              <w:jc w:val="center"/>
              <w:rPr>
                <w:b/>
                <w:sz w:val="24"/>
              </w:rPr>
            </w:pPr>
            <w:r>
              <w:rPr>
                <w:b/>
                <w:sz w:val="24"/>
              </w:rPr>
              <w:t>Cost</w:t>
            </w:r>
            <w:r>
              <w:rPr>
                <w:b/>
                <w:spacing w:val="-6"/>
                <w:sz w:val="24"/>
              </w:rPr>
              <w:t xml:space="preserve"> </w:t>
            </w:r>
            <w:r>
              <w:rPr>
                <w:b/>
                <w:sz w:val="24"/>
              </w:rPr>
              <w:t>Recovery</w:t>
            </w:r>
            <w:r>
              <w:rPr>
                <w:b/>
                <w:spacing w:val="-5"/>
                <w:sz w:val="24"/>
              </w:rPr>
              <w:t xml:space="preserve"> </w:t>
            </w:r>
            <w:r>
              <w:rPr>
                <w:b/>
                <w:spacing w:val="-2"/>
                <w:sz w:val="24"/>
              </w:rPr>
              <w:t>Factors</w:t>
            </w:r>
          </w:p>
          <w:p w:rsidR="00D74615" w:rsidRDefault="00D74615" w:rsidP="00014CF9">
            <w:pPr>
              <w:pStyle w:val="TableParagraph"/>
              <w:ind w:left="1440" w:hanging="1440"/>
              <w:jc w:val="center"/>
              <w:rPr>
                <w:b/>
                <w:sz w:val="24"/>
              </w:rPr>
            </w:pPr>
            <w:r>
              <w:rPr>
                <w:b/>
                <w:sz w:val="24"/>
                <w:u w:val="single"/>
              </w:rPr>
              <w:t>(dollars</w:t>
            </w:r>
            <w:r>
              <w:rPr>
                <w:b/>
                <w:spacing w:val="-4"/>
                <w:sz w:val="24"/>
                <w:u w:val="single"/>
              </w:rPr>
              <w:t xml:space="preserve"> </w:t>
            </w:r>
            <w:r>
              <w:rPr>
                <w:b/>
                <w:sz w:val="24"/>
                <w:u w:val="single"/>
              </w:rPr>
              <w:t>per</w:t>
            </w:r>
            <w:r>
              <w:rPr>
                <w:b/>
                <w:spacing w:val="-6"/>
                <w:sz w:val="24"/>
                <w:u w:val="single"/>
              </w:rPr>
              <w:t xml:space="preserve"> </w:t>
            </w:r>
            <w:r>
              <w:rPr>
                <w:b/>
                <w:spacing w:val="-5"/>
                <w:sz w:val="24"/>
                <w:u w:val="single"/>
              </w:rPr>
              <w:t>kW)</w:t>
            </w:r>
          </w:p>
        </w:tc>
      </w:tr>
      <w:tr w:rsidR="00D74615" w:rsidTr="00014CF9">
        <w:trPr>
          <w:trHeight w:val="414"/>
        </w:trPr>
        <w:tc>
          <w:tcPr>
            <w:tcW w:w="3511" w:type="dxa"/>
          </w:tcPr>
          <w:p w:rsidR="00D74615" w:rsidRDefault="00D74615" w:rsidP="00014CF9">
            <w:pPr>
              <w:pStyle w:val="TableParagraph"/>
              <w:ind w:left="1440" w:hanging="1440"/>
              <w:jc w:val="both"/>
              <w:rPr>
                <w:sz w:val="24"/>
              </w:rPr>
            </w:pPr>
            <w:r>
              <w:rPr>
                <w:sz w:val="24"/>
              </w:rPr>
              <w:t>GSD</w:t>
            </w:r>
            <w:r>
              <w:rPr>
                <w:spacing w:val="-3"/>
                <w:sz w:val="24"/>
              </w:rPr>
              <w:t xml:space="preserve"> </w:t>
            </w:r>
            <w:r>
              <w:rPr>
                <w:sz w:val="24"/>
              </w:rPr>
              <w:t>–</w:t>
            </w:r>
            <w:r>
              <w:rPr>
                <w:spacing w:val="-2"/>
                <w:sz w:val="24"/>
              </w:rPr>
              <w:t xml:space="preserve"> Secondary</w:t>
            </w:r>
          </w:p>
        </w:tc>
        <w:tc>
          <w:tcPr>
            <w:tcW w:w="2966" w:type="dxa"/>
          </w:tcPr>
          <w:p w:rsidR="00D74615" w:rsidRDefault="00D74615" w:rsidP="00014CF9">
            <w:pPr>
              <w:pStyle w:val="TableParagraph"/>
              <w:ind w:left="1440" w:hanging="1440"/>
              <w:jc w:val="center"/>
              <w:rPr>
                <w:sz w:val="24"/>
              </w:rPr>
            </w:pPr>
            <w:r>
              <w:rPr>
                <w:spacing w:val="-4"/>
                <w:sz w:val="24"/>
              </w:rPr>
              <w:t>0.62</w:t>
            </w:r>
          </w:p>
        </w:tc>
      </w:tr>
      <w:tr w:rsidR="00D74615" w:rsidTr="00014CF9">
        <w:trPr>
          <w:trHeight w:val="413"/>
        </w:trPr>
        <w:tc>
          <w:tcPr>
            <w:tcW w:w="3511" w:type="dxa"/>
          </w:tcPr>
          <w:p w:rsidR="00D74615" w:rsidRDefault="00D74615" w:rsidP="00014CF9">
            <w:pPr>
              <w:pStyle w:val="TableParagraph"/>
              <w:ind w:left="1440" w:hanging="1440"/>
              <w:jc w:val="both"/>
              <w:rPr>
                <w:sz w:val="24"/>
              </w:rPr>
            </w:pPr>
            <w:r>
              <w:rPr>
                <w:sz w:val="24"/>
              </w:rPr>
              <w:t>GSD</w:t>
            </w:r>
            <w:r>
              <w:rPr>
                <w:spacing w:val="-3"/>
                <w:sz w:val="24"/>
              </w:rPr>
              <w:t xml:space="preserve"> </w:t>
            </w:r>
            <w:r>
              <w:rPr>
                <w:sz w:val="24"/>
              </w:rPr>
              <w:t>–</w:t>
            </w:r>
            <w:r>
              <w:rPr>
                <w:spacing w:val="-2"/>
                <w:sz w:val="24"/>
              </w:rPr>
              <w:t xml:space="preserve"> Primary</w:t>
            </w:r>
          </w:p>
        </w:tc>
        <w:tc>
          <w:tcPr>
            <w:tcW w:w="2966" w:type="dxa"/>
          </w:tcPr>
          <w:p w:rsidR="00D74615" w:rsidRDefault="00D74615" w:rsidP="00014CF9">
            <w:pPr>
              <w:pStyle w:val="TableParagraph"/>
              <w:ind w:left="1440" w:hanging="1440"/>
              <w:jc w:val="center"/>
              <w:rPr>
                <w:sz w:val="24"/>
              </w:rPr>
            </w:pPr>
            <w:r>
              <w:rPr>
                <w:spacing w:val="-4"/>
                <w:sz w:val="24"/>
              </w:rPr>
              <w:t>0.61</w:t>
            </w:r>
          </w:p>
        </w:tc>
      </w:tr>
      <w:tr w:rsidR="00D74615" w:rsidTr="00014CF9">
        <w:trPr>
          <w:trHeight w:val="413"/>
        </w:trPr>
        <w:tc>
          <w:tcPr>
            <w:tcW w:w="3511" w:type="dxa"/>
          </w:tcPr>
          <w:p w:rsidR="00D74615" w:rsidRDefault="00D74615" w:rsidP="00014CF9">
            <w:pPr>
              <w:pStyle w:val="TableParagraph"/>
              <w:ind w:left="1440" w:hanging="1440"/>
              <w:jc w:val="both"/>
              <w:rPr>
                <w:sz w:val="24"/>
              </w:rPr>
            </w:pPr>
            <w:r>
              <w:rPr>
                <w:sz w:val="24"/>
              </w:rPr>
              <w:t>GSD</w:t>
            </w:r>
            <w:r>
              <w:rPr>
                <w:spacing w:val="-3"/>
                <w:sz w:val="24"/>
              </w:rPr>
              <w:t xml:space="preserve"> </w:t>
            </w:r>
            <w:r>
              <w:rPr>
                <w:sz w:val="24"/>
              </w:rPr>
              <w:t>–</w:t>
            </w:r>
            <w:r>
              <w:rPr>
                <w:spacing w:val="-2"/>
                <w:sz w:val="24"/>
              </w:rPr>
              <w:t xml:space="preserve"> Subtransmission</w:t>
            </w:r>
          </w:p>
        </w:tc>
        <w:tc>
          <w:tcPr>
            <w:tcW w:w="2966" w:type="dxa"/>
          </w:tcPr>
          <w:p w:rsidR="00D74615" w:rsidRDefault="00D74615" w:rsidP="00014CF9">
            <w:pPr>
              <w:pStyle w:val="TableParagraph"/>
              <w:ind w:left="1440" w:hanging="1440"/>
              <w:jc w:val="center"/>
              <w:rPr>
                <w:sz w:val="24"/>
              </w:rPr>
            </w:pPr>
            <w:r>
              <w:rPr>
                <w:spacing w:val="-4"/>
                <w:sz w:val="24"/>
              </w:rPr>
              <w:t>0.60</w:t>
            </w:r>
          </w:p>
        </w:tc>
      </w:tr>
      <w:tr w:rsidR="00D74615" w:rsidTr="00014CF9">
        <w:trPr>
          <w:trHeight w:val="414"/>
        </w:trPr>
        <w:tc>
          <w:tcPr>
            <w:tcW w:w="3511" w:type="dxa"/>
          </w:tcPr>
          <w:p w:rsidR="00D74615" w:rsidRDefault="00D74615" w:rsidP="00014CF9">
            <w:pPr>
              <w:pStyle w:val="TableParagraph"/>
              <w:ind w:left="1440" w:hanging="1440"/>
              <w:jc w:val="both"/>
              <w:rPr>
                <w:sz w:val="24"/>
              </w:rPr>
            </w:pPr>
            <w:r>
              <w:rPr>
                <w:sz w:val="24"/>
              </w:rPr>
              <w:t>SBD</w:t>
            </w:r>
            <w:r>
              <w:rPr>
                <w:spacing w:val="-4"/>
                <w:sz w:val="24"/>
              </w:rPr>
              <w:t xml:space="preserve"> </w:t>
            </w:r>
            <w:r>
              <w:rPr>
                <w:sz w:val="24"/>
              </w:rPr>
              <w:t>–</w:t>
            </w:r>
            <w:r>
              <w:rPr>
                <w:spacing w:val="-2"/>
                <w:sz w:val="24"/>
              </w:rPr>
              <w:t xml:space="preserve"> Secondary</w:t>
            </w:r>
          </w:p>
        </w:tc>
        <w:tc>
          <w:tcPr>
            <w:tcW w:w="2966" w:type="dxa"/>
          </w:tcPr>
          <w:p w:rsidR="00D74615" w:rsidRDefault="00D74615" w:rsidP="00014CF9">
            <w:pPr>
              <w:pStyle w:val="TableParagraph"/>
              <w:ind w:left="1440" w:hanging="1440"/>
              <w:jc w:val="center"/>
              <w:rPr>
                <w:sz w:val="24"/>
              </w:rPr>
            </w:pPr>
            <w:r>
              <w:rPr>
                <w:spacing w:val="-4"/>
                <w:sz w:val="24"/>
              </w:rPr>
              <w:t>0.62</w:t>
            </w:r>
          </w:p>
        </w:tc>
      </w:tr>
      <w:tr w:rsidR="00D74615" w:rsidTr="00014CF9">
        <w:trPr>
          <w:trHeight w:val="414"/>
        </w:trPr>
        <w:tc>
          <w:tcPr>
            <w:tcW w:w="3511" w:type="dxa"/>
          </w:tcPr>
          <w:p w:rsidR="00D74615" w:rsidRDefault="00D74615" w:rsidP="00014CF9">
            <w:pPr>
              <w:pStyle w:val="TableParagraph"/>
              <w:ind w:left="1440" w:hanging="1440"/>
              <w:jc w:val="both"/>
              <w:rPr>
                <w:sz w:val="24"/>
              </w:rPr>
            </w:pPr>
            <w:r>
              <w:rPr>
                <w:sz w:val="24"/>
              </w:rPr>
              <w:t>SBD</w:t>
            </w:r>
            <w:r>
              <w:rPr>
                <w:spacing w:val="-4"/>
                <w:sz w:val="24"/>
              </w:rPr>
              <w:t xml:space="preserve"> </w:t>
            </w:r>
            <w:r>
              <w:rPr>
                <w:sz w:val="24"/>
              </w:rPr>
              <w:t>–</w:t>
            </w:r>
            <w:r>
              <w:rPr>
                <w:spacing w:val="-2"/>
                <w:sz w:val="24"/>
              </w:rPr>
              <w:t xml:space="preserve"> Primary</w:t>
            </w:r>
          </w:p>
        </w:tc>
        <w:tc>
          <w:tcPr>
            <w:tcW w:w="2966" w:type="dxa"/>
          </w:tcPr>
          <w:p w:rsidR="00D74615" w:rsidRDefault="00D74615" w:rsidP="00014CF9">
            <w:pPr>
              <w:pStyle w:val="TableParagraph"/>
              <w:ind w:left="1440" w:hanging="1440"/>
              <w:jc w:val="center"/>
              <w:rPr>
                <w:sz w:val="24"/>
              </w:rPr>
            </w:pPr>
            <w:r>
              <w:rPr>
                <w:spacing w:val="-4"/>
                <w:sz w:val="24"/>
              </w:rPr>
              <w:t>0.61</w:t>
            </w:r>
          </w:p>
        </w:tc>
      </w:tr>
      <w:tr w:rsidR="00D74615" w:rsidTr="00014CF9">
        <w:trPr>
          <w:trHeight w:val="413"/>
        </w:trPr>
        <w:tc>
          <w:tcPr>
            <w:tcW w:w="3511" w:type="dxa"/>
          </w:tcPr>
          <w:p w:rsidR="00D74615" w:rsidRDefault="00D74615" w:rsidP="00014CF9">
            <w:pPr>
              <w:pStyle w:val="TableParagraph"/>
              <w:ind w:left="1440" w:hanging="1440"/>
              <w:jc w:val="both"/>
              <w:rPr>
                <w:sz w:val="24"/>
              </w:rPr>
            </w:pPr>
            <w:r>
              <w:rPr>
                <w:sz w:val="24"/>
              </w:rPr>
              <w:t>SBD</w:t>
            </w:r>
            <w:r>
              <w:rPr>
                <w:spacing w:val="-4"/>
                <w:sz w:val="24"/>
              </w:rPr>
              <w:t xml:space="preserve"> </w:t>
            </w:r>
            <w:r>
              <w:rPr>
                <w:sz w:val="24"/>
              </w:rPr>
              <w:t>–</w:t>
            </w:r>
            <w:r>
              <w:rPr>
                <w:spacing w:val="-2"/>
                <w:sz w:val="24"/>
              </w:rPr>
              <w:t xml:space="preserve"> Subtransmission</w:t>
            </w:r>
          </w:p>
        </w:tc>
        <w:tc>
          <w:tcPr>
            <w:tcW w:w="2966" w:type="dxa"/>
          </w:tcPr>
          <w:p w:rsidR="00D74615" w:rsidRDefault="00D74615" w:rsidP="00014CF9">
            <w:pPr>
              <w:pStyle w:val="TableParagraph"/>
              <w:ind w:left="1440" w:hanging="1440"/>
              <w:jc w:val="center"/>
              <w:rPr>
                <w:sz w:val="24"/>
              </w:rPr>
            </w:pPr>
            <w:r>
              <w:rPr>
                <w:spacing w:val="-4"/>
                <w:sz w:val="24"/>
              </w:rPr>
              <w:t>0.60</w:t>
            </w:r>
          </w:p>
        </w:tc>
      </w:tr>
      <w:tr w:rsidR="00D74615" w:rsidTr="00014CF9">
        <w:trPr>
          <w:trHeight w:val="414"/>
        </w:trPr>
        <w:tc>
          <w:tcPr>
            <w:tcW w:w="3511" w:type="dxa"/>
          </w:tcPr>
          <w:p w:rsidR="00D74615" w:rsidRDefault="00D74615" w:rsidP="00014CF9">
            <w:pPr>
              <w:pStyle w:val="TableParagraph"/>
              <w:ind w:left="1440" w:hanging="1440"/>
              <w:jc w:val="both"/>
              <w:rPr>
                <w:sz w:val="24"/>
              </w:rPr>
            </w:pPr>
            <w:r>
              <w:rPr>
                <w:sz w:val="24"/>
              </w:rPr>
              <w:t>GSLD</w:t>
            </w:r>
            <w:r>
              <w:rPr>
                <w:spacing w:val="-5"/>
                <w:sz w:val="24"/>
              </w:rPr>
              <w:t xml:space="preserve"> </w:t>
            </w:r>
            <w:r w:rsidR="00B27CFC">
              <w:rPr>
                <w:sz w:val="24"/>
              </w:rPr>
              <w:t>–</w:t>
            </w:r>
            <w:r>
              <w:rPr>
                <w:spacing w:val="-4"/>
                <w:sz w:val="24"/>
              </w:rPr>
              <w:t xml:space="preserve"> </w:t>
            </w:r>
            <w:r>
              <w:rPr>
                <w:spacing w:val="-2"/>
                <w:sz w:val="24"/>
              </w:rPr>
              <w:t>Primary</w:t>
            </w:r>
          </w:p>
        </w:tc>
        <w:tc>
          <w:tcPr>
            <w:tcW w:w="2966" w:type="dxa"/>
          </w:tcPr>
          <w:p w:rsidR="00D74615" w:rsidRDefault="00D74615" w:rsidP="00014CF9">
            <w:pPr>
              <w:pStyle w:val="TableParagraph"/>
              <w:ind w:left="1440" w:hanging="1440"/>
              <w:jc w:val="center"/>
              <w:rPr>
                <w:sz w:val="24"/>
              </w:rPr>
            </w:pPr>
            <w:r>
              <w:rPr>
                <w:spacing w:val="-4"/>
                <w:sz w:val="24"/>
              </w:rPr>
              <w:t>0.50</w:t>
            </w:r>
          </w:p>
        </w:tc>
      </w:tr>
      <w:tr w:rsidR="00D74615" w:rsidTr="00014CF9">
        <w:trPr>
          <w:trHeight w:val="414"/>
        </w:trPr>
        <w:tc>
          <w:tcPr>
            <w:tcW w:w="3511" w:type="dxa"/>
          </w:tcPr>
          <w:p w:rsidR="00D74615" w:rsidRDefault="00D74615" w:rsidP="00014CF9">
            <w:pPr>
              <w:pStyle w:val="TableParagraph"/>
              <w:ind w:left="1440" w:hanging="1440"/>
              <w:jc w:val="both"/>
              <w:rPr>
                <w:sz w:val="24"/>
              </w:rPr>
            </w:pPr>
            <w:r>
              <w:rPr>
                <w:sz w:val="24"/>
              </w:rPr>
              <w:t>GSLD</w:t>
            </w:r>
            <w:r>
              <w:rPr>
                <w:spacing w:val="-5"/>
                <w:sz w:val="24"/>
              </w:rPr>
              <w:t xml:space="preserve"> </w:t>
            </w:r>
            <w:r w:rsidR="00974A22">
              <w:rPr>
                <w:sz w:val="24"/>
              </w:rPr>
              <w:t>–</w:t>
            </w:r>
            <w:r>
              <w:rPr>
                <w:spacing w:val="-4"/>
                <w:sz w:val="24"/>
              </w:rPr>
              <w:t xml:space="preserve"> </w:t>
            </w:r>
            <w:r>
              <w:rPr>
                <w:spacing w:val="-2"/>
                <w:sz w:val="24"/>
              </w:rPr>
              <w:t>Subtransmission</w:t>
            </w:r>
          </w:p>
        </w:tc>
        <w:tc>
          <w:tcPr>
            <w:tcW w:w="2966" w:type="dxa"/>
          </w:tcPr>
          <w:p w:rsidR="00D74615" w:rsidRDefault="00D74615" w:rsidP="00014CF9">
            <w:pPr>
              <w:pStyle w:val="TableParagraph"/>
              <w:ind w:left="1440" w:hanging="1440"/>
              <w:jc w:val="center"/>
              <w:rPr>
                <w:sz w:val="24"/>
              </w:rPr>
            </w:pPr>
            <w:r>
              <w:rPr>
                <w:spacing w:val="-4"/>
                <w:sz w:val="24"/>
              </w:rPr>
              <w:t>0.05</w:t>
            </w:r>
          </w:p>
        </w:tc>
      </w:tr>
      <w:tr w:rsidR="00D74615" w:rsidTr="00014CF9">
        <w:trPr>
          <w:trHeight w:val="340"/>
        </w:trPr>
        <w:tc>
          <w:tcPr>
            <w:tcW w:w="3511" w:type="dxa"/>
          </w:tcPr>
          <w:p w:rsidR="00D74615" w:rsidRDefault="00D74615" w:rsidP="00014CF9">
            <w:pPr>
              <w:pStyle w:val="TableParagraph"/>
              <w:ind w:left="1440" w:hanging="1440"/>
              <w:jc w:val="both"/>
              <w:rPr>
                <w:sz w:val="24"/>
              </w:rPr>
            </w:pPr>
          </w:p>
        </w:tc>
        <w:tc>
          <w:tcPr>
            <w:tcW w:w="2966" w:type="dxa"/>
          </w:tcPr>
          <w:p w:rsidR="00D74615" w:rsidRDefault="00D74615" w:rsidP="00014CF9">
            <w:pPr>
              <w:pStyle w:val="TableParagraph"/>
              <w:ind w:left="1440" w:hanging="1440"/>
              <w:jc w:val="both"/>
              <w:rPr>
                <w:sz w:val="24"/>
              </w:rPr>
            </w:pPr>
          </w:p>
        </w:tc>
      </w:tr>
    </w:tbl>
    <w:p w:rsidR="00A00362" w:rsidRPr="00A00362" w:rsidRDefault="00A00362" w:rsidP="00D74615">
      <w:pPr>
        <w:ind w:left="1440" w:hanging="1440"/>
        <w:jc w:val="both"/>
        <w:rPr>
          <w:b/>
          <w:u w:val="single"/>
        </w:rPr>
      </w:pPr>
      <w:r w:rsidRPr="00A00362">
        <w:rPr>
          <w:b/>
          <w:u w:val="single"/>
        </w:rPr>
        <w:t>FPUC</w:t>
      </w:r>
    </w:p>
    <w:p w:rsidR="00D74615" w:rsidRDefault="00D74615" w:rsidP="00D74615">
      <w:pPr>
        <w:ind w:left="1440" w:hanging="1440"/>
        <w:jc w:val="both"/>
        <w:rPr>
          <w:b/>
        </w:rPr>
      </w:pPr>
      <w:r>
        <w:rPr>
          <w:b/>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050"/>
      </w:tblGrid>
      <w:tr w:rsidR="00D74615" w:rsidTr="00014CF9">
        <w:trPr>
          <w:trHeight w:val="1043"/>
        </w:trPr>
        <w:tc>
          <w:tcPr>
            <w:tcW w:w="3870" w:type="dxa"/>
            <w:shd w:val="clear" w:color="auto" w:fill="auto"/>
          </w:tcPr>
          <w:p w:rsidR="00D74615" w:rsidRPr="000B1572" w:rsidRDefault="00D74615" w:rsidP="00014CF9">
            <w:pPr>
              <w:pStyle w:val="BodyText2"/>
              <w:ind w:firstLine="0"/>
              <w:jc w:val="center"/>
            </w:pPr>
            <w:r>
              <w:t>Rate Schedule</w:t>
            </w:r>
          </w:p>
        </w:tc>
        <w:tc>
          <w:tcPr>
            <w:tcW w:w="4050" w:type="dxa"/>
            <w:shd w:val="clear" w:color="auto" w:fill="auto"/>
          </w:tcPr>
          <w:p w:rsidR="00D74615" w:rsidRPr="001327AF" w:rsidRDefault="00D74615" w:rsidP="00014CF9">
            <w:pPr>
              <w:pStyle w:val="BodyText2"/>
              <w:spacing w:line="240" w:lineRule="auto"/>
              <w:ind w:firstLine="0"/>
              <w:jc w:val="center"/>
            </w:pPr>
            <w:r w:rsidRPr="001327AF">
              <w:t>SPP</w:t>
            </w:r>
          </w:p>
          <w:p w:rsidR="00D74615" w:rsidRPr="001327AF" w:rsidRDefault="00D74615" w:rsidP="00014CF9">
            <w:pPr>
              <w:pStyle w:val="BodyText2"/>
              <w:spacing w:line="240" w:lineRule="auto"/>
              <w:ind w:firstLine="0"/>
              <w:jc w:val="center"/>
            </w:pPr>
            <w:r w:rsidRPr="001327AF">
              <w:t>FACTORS</w:t>
            </w:r>
          </w:p>
          <w:p w:rsidR="00D74615" w:rsidRPr="001327AF" w:rsidRDefault="00D74615" w:rsidP="00014CF9">
            <w:pPr>
              <w:pStyle w:val="BodyText2"/>
              <w:spacing w:line="240" w:lineRule="auto"/>
              <w:ind w:firstLine="0"/>
              <w:jc w:val="center"/>
            </w:pPr>
            <w:r w:rsidRPr="001327AF">
              <w:t>PER KWH</w:t>
            </w:r>
          </w:p>
        </w:tc>
      </w:tr>
      <w:tr w:rsidR="00D74615" w:rsidTr="00014CF9">
        <w:tc>
          <w:tcPr>
            <w:tcW w:w="3870" w:type="dxa"/>
            <w:shd w:val="clear" w:color="auto" w:fill="auto"/>
          </w:tcPr>
          <w:p w:rsidR="00D74615" w:rsidRPr="000B1572" w:rsidRDefault="00D74615" w:rsidP="00014CF9">
            <w:pPr>
              <w:pStyle w:val="BodyText2"/>
              <w:ind w:firstLine="0"/>
            </w:pPr>
            <w:r>
              <w:t>Residential</w:t>
            </w:r>
          </w:p>
        </w:tc>
        <w:tc>
          <w:tcPr>
            <w:tcW w:w="4050" w:type="dxa"/>
            <w:shd w:val="clear" w:color="auto" w:fill="auto"/>
          </w:tcPr>
          <w:p w:rsidR="00D74615" w:rsidRPr="001327AF" w:rsidRDefault="00D74615" w:rsidP="00014CF9">
            <w:pPr>
              <w:pStyle w:val="BodyText2"/>
              <w:ind w:firstLine="0"/>
            </w:pPr>
            <w:r w:rsidRPr="001327AF">
              <w:t>$0.0025</w:t>
            </w:r>
            <w:r>
              <w:t>0</w:t>
            </w:r>
          </w:p>
        </w:tc>
      </w:tr>
      <w:tr w:rsidR="00D74615" w:rsidTr="00014CF9">
        <w:tc>
          <w:tcPr>
            <w:tcW w:w="3870" w:type="dxa"/>
            <w:shd w:val="clear" w:color="auto" w:fill="auto"/>
          </w:tcPr>
          <w:p w:rsidR="00D74615" w:rsidRPr="000B1572" w:rsidRDefault="00D74615" w:rsidP="00014CF9">
            <w:pPr>
              <w:pStyle w:val="BodyText2"/>
              <w:ind w:firstLine="0"/>
            </w:pPr>
            <w:r w:rsidRPr="000B1572">
              <w:t>General Service</w:t>
            </w:r>
          </w:p>
        </w:tc>
        <w:tc>
          <w:tcPr>
            <w:tcW w:w="4050" w:type="dxa"/>
            <w:shd w:val="clear" w:color="auto" w:fill="auto"/>
          </w:tcPr>
          <w:p w:rsidR="00D74615" w:rsidRPr="001327AF" w:rsidRDefault="00D74615" w:rsidP="00014CF9">
            <w:pPr>
              <w:pStyle w:val="BodyText2"/>
              <w:ind w:firstLine="0"/>
            </w:pPr>
            <w:r w:rsidRPr="001327AF">
              <w:t>$0.0029</w:t>
            </w:r>
            <w:r>
              <w:t>3</w:t>
            </w:r>
          </w:p>
        </w:tc>
      </w:tr>
      <w:tr w:rsidR="00D74615" w:rsidTr="00014CF9">
        <w:tc>
          <w:tcPr>
            <w:tcW w:w="3870" w:type="dxa"/>
            <w:shd w:val="clear" w:color="auto" w:fill="auto"/>
          </w:tcPr>
          <w:p w:rsidR="00D74615" w:rsidRPr="000B1572" w:rsidRDefault="00D74615" w:rsidP="00014CF9">
            <w:pPr>
              <w:pStyle w:val="BodyText2"/>
              <w:ind w:firstLine="0"/>
            </w:pPr>
            <w:r w:rsidRPr="000B1572">
              <w:t>General Service Demand</w:t>
            </w:r>
          </w:p>
        </w:tc>
        <w:tc>
          <w:tcPr>
            <w:tcW w:w="4050" w:type="dxa"/>
            <w:shd w:val="clear" w:color="auto" w:fill="auto"/>
          </w:tcPr>
          <w:p w:rsidR="00D74615" w:rsidRPr="001327AF" w:rsidRDefault="00D74615" w:rsidP="00014CF9">
            <w:pPr>
              <w:pStyle w:val="BodyText2"/>
              <w:ind w:firstLine="0"/>
            </w:pPr>
            <w:r w:rsidRPr="001327AF">
              <w:t>$0.0013</w:t>
            </w:r>
            <w:r w:rsidR="009C6EDE">
              <w:t>4</w:t>
            </w:r>
          </w:p>
        </w:tc>
      </w:tr>
      <w:tr w:rsidR="00D74615" w:rsidTr="00014CF9">
        <w:tc>
          <w:tcPr>
            <w:tcW w:w="3870" w:type="dxa"/>
            <w:shd w:val="clear" w:color="auto" w:fill="auto"/>
          </w:tcPr>
          <w:p w:rsidR="00D74615" w:rsidRPr="000B1572" w:rsidRDefault="00D74615" w:rsidP="00014CF9">
            <w:pPr>
              <w:pStyle w:val="BodyText2"/>
              <w:ind w:firstLine="0"/>
            </w:pPr>
            <w:r w:rsidRPr="000B1572">
              <w:t>General Service Large Demand</w:t>
            </w:r>
          </w:p>
        </w:tc>
        <w:tc>
          <w:tcPr>
            <w:tcW w:w="4050" w:type="dxa"/>
            <w:shd w:val="clear" w:color="auto" w:fill="auto"/>
          </w:tcPr>
          <w:p w:rsidR="00D74615" w:rsidRPr="001327AF" w:rsidRDefault="00D74615" w:rsidP="00014CF9">
            <w:pPr>
              <w:pStyle w:val="BodyText2"/>
              <w:ind w:firstLine="0"/>
            </w:pPr>
            <w:r w:rsidRPr="001327AF">
              <w:t>$0.00153</w:t>
            </w:r>
          </w:p>
        </w:tc>
      </w:tr>
      <w:tr w:rsidR="00D74615" w:rsidTr="00014CF9">
        <w:tc>
          <w:tcPr>
            <w:tcW w:w="3870" w:type="dxa"/>
            <w:shd w:val="clear" w:color="auto" w:fill="auto"/>
          </w:tcPr>
          <w:p w:rsidR="00D74615" w:rsidRPr="000B1572" w:rsidRDefault="00D74615" w:rsidP="00014CF9">
            <w:pPr>
              <w:pStyle w:val="BodyText2"/>
              <w:ind w:firstLine="0"/>
            </w:pPr>
            <w:r w:rsidRPr="000B1572">
              <w:t>Industrial/Standby</w:t>
            </w:r>
          </w:p>
        </w:tc>
        <w:tc>
          <w:tcPr>
            <w:tcW w:w="4050" w:type="dxa"/>
            <w:shd w:val="clear" w:color="auto" w:fill="auto"/>
          </w:tcPr>
          <w:p w:rsidR="00D74615" w:rsidRPr="001327AF" w:rsidRDefault="00D74615" w:rsidP="00014CF9">
            <w:pPr>
              <w:pStyle w:val="BodyText2"/>
              <w:ind w:firstLine="0"/>
            </w:pPr>
            <w:r w:rsidRPr="001327AF">
              <w:t>$0.00172</w:t>
            </w:r>
          </w:p>
        </w:tc>
      </w:tr>
      <w:tr w:rsidR="00D74615" w:rsidTr="00014CF9">
        <w:tc>
          <w:tcPr>
            <w:tcW w:w="3870" w:type="dxa"/>
            <w:shd w:val="clear" w:color="auto" w:fill="auto"/>
          </w:tcPr>
          <w:p w:rsidR="00D74615" w:rsidRPr="000B1572" w:rsidRDefault="00D74615" w:rsidP="00014CF9">
            <w:pPr>
              <w:pStyle w:val="BodyText2"/>
              <w:ind w:firstLine="0"/>
            </w:pPr>
            <w:r w:rsidRPr="000B1572">
              <w:t>Lighting Service</w:t>
            </w:r>
          </w:p>
        </w:tc>
        <w:tc>
          <w:tcPr>
            <w:tcW w:w="4050" w:type="dxa"/>
            <w:shd w:val="clear" w:color="auto" w:fill="auto"/>
          </w:tcPr>
          <w:p w:rsidR="00D74615" w:rsidRPr="001327AF" w:rsidRDefault="00D74615" w:rsidP="00014CF9">
            <w:pPr>
              <w:pStyle w:val="BodyText2"/>
              <w:ind w:firstLine="0"/>
            </w:pPr>
            <w:r>
              <w:t>$0.01499</w:t>
            </w:r>
          </w:p>
        </w:tc>
      </w:tr>
    </w:tbl>
    <w:p w:rsidR="00D74615" w:rsidRDefault="00D74615" w:rsidP="00D74615">
      <w:pPr>
        <w:ind w:left="1440" w:hanging="1440"/>
        <w:jc w:val="both"/>
        <w:rPr>
          <w:b/>
        </w:rPr>
      </w:pPr>
      <w:r>
        <w:tab/>
      </w:r>
    </w:p>
    <w:p w:rsidR="00D74615" w:rsidRDefault="00D74615" w:rsidP="00D74615">
      <w:pPr>
        <w:ind w:left="1440" w:hanging="1440"/>
        <w:jc w:val="both"/>
        <w:rPr>
          <w:b/>
        </w:rPr>
      </w:pPr>
    </w:p>
    <w:p w:rsidR="00A00362" w:rsidRPr="00A00362" w:rsidRDefault="00A00362" w:rsidP="00D74615">
      <w:pPr>
        <w:ind w:left="1440" w:hanging="1440"/>
        <w:jc w:val="both"/>
        <w:rPr>
          <w:b/>
          <w:u w:val="single"/>
        </w:rPr>
      </w:pPr>
      <w:r w:rsidRPr="00A00362">
        <w:rPr>
          <w:b/>
          <w:u w:val="single"/>
        </w:rPr>
        <w:t>FPL</w:t>
      </w:r>
    </w:p>
    <w:p w:rsidR="00D74615" w:rsidRPr="00971568" w:rsidRDefault="00D74615" w:rsidP="00D74615">
      <w:pPr>
        <w:ind w:left="1440" w:hanging="1440"/>
        <w:jc w:val="both"/>
      </w:pPr>
      <w:r>
        <w:rPr>
          <w:b/>
        </w:rPr>
        <w:tab/>
      </w:r>
    </w:p>
    <w:tbl>
      <w:tblPr>
        <w:tblW w:w="7433" w:type="dxa"/>
        <w:tblInd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930"/>
        <w:gridCol w:w="1052"/>
        <w:gridCol w:w="1020"/>
        <w:gridCol w:w="931"/>
      </w:tblGrid>
      <w:tr w:rsidR="00D74615" w:rsidRPr="00791234" w:rsidTr="00014CF9">
        <w:trPr>
          <w:trHeight w:val="854"/>
        </w:trPr>
        <w:tc>
          <w:tcPr>
            <w:tcW w:w="3500" w:type="dxa"/>
            <w:tcBorders>
              <w:bottom w:val="single" w:sz="12" w:space="0" w:color="auto"/>
            </w:tcBorders>
            <w:shd w:val="clear" w:color="auto" w:fill="auto"/>
            <w:vAlign w:val="center"/>
            <w:hideMark/>
          </w:tcPr>
          <w:p w:rsidR="00D74615" w:rsidRPr="00791234" w:rsidRDefault="00D74615" w:rsidP="00014CF9">
            <w:pPr>
              <w:jc w:val="center"/>
              <w:rPr>
                <w:color w:val="000000"/>
                <w:sz w:val="22"/>
                <w:szCs w:val="22"/>
              </w:rPr>
            </w:pPr>
            <w:r w:rsidRPr="00791234">
              <w:rPr>
                <w:color w:val="000000"/>
                <w:sz w:val="22"/>
                <w:szCs w:val="22"/>
              </w:rPr>
              <w:t>Rate Class</w:t>
            </w:r>
          </w:p>
        </w:tc>
        <w:tc>
          <w:tcPr>
            <w:tcW w:w="930" w:type="dxa"/>
            <w:tcBorders>
              <w:bottom w:val="single" w:sz="12" w:space="0" w:color="auto"/>
            </w:tcBorders>
            <w:shd w:val="clear" w:color="auto" w:fill="auto"/>
            <w:vAlign w:val="center"/>
            <w:hideMark/>
          </w:tcPr>
          <w:p w:rsidR="00D74615" w:rsidRPr="00791234" w:rsidRDefault="00D74615" w:rsidP="00014CF9">
            <w:pPr>
              <w:jc w:val="center"/>
              <w:rPr>
                <w:color w:val="000000"/>
                <w:sz w:val="22"/>
                <w:szCs w:val="22"/>
              </w:rPr>
            </w:pPr>
            <w:r w:rsidRPr="00791234">
              <w:rPr>
                <w:color w:val="000000"/>
                <w:sz w:val="22"/>
                <w:szCs w:val="22"/>
              </w:rPr>
              <w:t>SPP Factor ($/kW)</w:t>
            </w:r>
          </w:p>
        </w:tc>
        <w:tc>
          <w:tcPr>
            <w:tcW w:w="1052" w:type="dxa"/>
            <w:tcBorders>
              <w:bottom w:val="single" w:sz="12" w:space="0" w:color="auto"/>
            </w:tcBorders>
            <w:shd w:val="clear" w:color="auto" w:fill="auto"/>
            <w:vAlign w:val="center"/>
            <w:hideMark/>
          </w:tcPr>
          <w:p w:rsidR="00D74615" w:rsidRPr="00791234" w:rsidRDefault="00D74615" w:rsidP="00014CF9">
            <w:pPr>
              <w:jc w:val="center"/>
              <w:rPr>
                <w:color w:val="000000"/>
                <w:sz w:val="22"/>
                <w:szCs w:val="22"/>
              </w:rPr>
            </w:pPr>
            <w:r w:rsidRPr="00791234">
              <w:rPr>
                <w:color w:val="000000"/>
                <w:sz w:val="22"/>
                <w:szCs w:val="22"/>
              </w:rPr>
              <w:t>SPP Factor ($/kWh)</w:t>
            </w:r>
          </w:p>
        </w:tc>
        <w:tc>
          <w:tcPr>
            <w:tcW w:w="1020" w:type="dxa"/>
            <w:tcBorders>
              <w:bottom w:val="single" w:sz="12" w:space="0" w:color="auto"/>
            </w:tcBorders>
            <w:shd w:val="clear" w:color="auto" w:fill="auto"/>
            <w:vAlign w:val="center"/>
            <w:hideMark/>
          </w:tcPr>
          <w:p w:rsidR="00D74615" w:rsidRPr="00791234" w:rsidRDefault="00D74615" w:rsidP="00014CF9">
            <w:pPr>
              <w:jc w:val="center"/>
              <w:rPr>
                <w:color w:val="000000"/>
                <w:sz w:val="22"/>
                <w:szCs w:val="22"/>
              </w:rPr>
            </w:pPr>
            <w:r w:rsidRPr="00791234">
              <w:rPr>
                <w:color w:val="000000"/>
                <w:sz w:val="22"/>
                <w:szCs w:val="22"/>
              </w:rPr>
              <w:t>RDC ($/KW)</w:t>
            </w:r>
          </w:p>
        </w:tc>
        <w:tc>
          <w:tcPr>
            <w:tcW w:w="931" w:type="dxa"/>
            <w:tcBorders>
              <w:bottom w:val="single" w:sz="12" w:space="0" w:color="auto"/>
            </w:tcBorders>
            <w:shd w:val="clear" w:color="auto" w:fill="auto"/>
            <w:vAlign w:val="center"/>
            <w:hideMark/>
          </w:tcPr>
          <w:p w:rsidR="00D74615" w:rsidRPr="00791234" w:rsidRDefault="00D74615" w:rsidP="00014CF9">
            <w:pPr>
              <w:jc w:val="center"/>
              <w:rPr>
                <w:color w:val="000000"/>
                <w:sz w:val="22"/>
                <w:szCs w:val="22"/>
              </w:rPr>
            </w:pPr>
            <w:r w:rsidRPr="00791234">
              <w:rPr>
                <w:color w:val="000000"/>
                <w:sz w:val="22"/>
                <w:szCs w:val="22"/>
              </w:rPr>
              <w:t>SDD ($/KW)</w:t>
            </w:r>
          </w:p>
        </w:tc>
      </w:tr>
      <w:tr w:rsidR="00D74615" w:rsidRPr="00791234" w:rsidTr="00014CF9">
        <w:trPr>
          <w:trHeight w:val="300"/>
        </w:trPr>
        <w:tc>
          <w:tcPr>
            <w:tcW w:w="3500" w:type="dxa"/>
            <w:tcBorders>
              <w:top w:val="single" w:sz="12" w:space="0" w:color="auto"/>
            </w:tcBorders>
            <w:shd w:val="clear" w:color="auto" w:fill="auto"/>
            <w:noWrap/>
            <w:vAlign w:val="bottom"/>
            <w:hideMark/>
          </w:tcPr>
          <w:p w:rsidR="00D74615" w:rsidRPr="00791234" w:rsidRDefault="00D74615" w:rsidP="00014CF9">
            <w:pPr>
              <w:rPr>
                <w:sz w:val="16"/>
                <w:szCs w:val="16"/>
              </w:rPr>
            </w:pPr>
            <w:r w:rsidRPr="00791234">
              <w:rPr>
                <w:sz w:val="16"/>
                <w:szCs w:val="16"/>
              </w:rPr>
              <w:t>RS1/RTR1</w:t>
            </w:r>
          </w:p>
        </w:tc>
        <w:tc>
          <w:tcPr>
            <w:tcW w:w="930" w:type="dxa"/>
            <w:tcBorders>
              <w:top w:val="single" w:sz="12" w:space="0" w:color="auto"/>
            </w:tcBorders>
            <w:shd w:val="clear" w:color="auto" w:fill="auto"/>
            <w:noWrap/>
            <w:vAlign w:val="bottom"/>
            <w:hideMark/>
          </w:tcPr>
          <w:p w:rsidR="00D74615" w:rsidRPr="00791234" w:rsidRDefault="00D74615" w:rsidP="00014CF9">
            <w:pPr>
              <w:rPr>
                <w:sz w:val="16"/>
                <w:szCs w:val="16"/>
              </w:rPr>
            </w:pPr>
          </w:p>
        </w:tc>
        <w:tc>
          <w:tcPr>
            <w:tcW w:w="1052" w:type="dxa"/>
            <w:tcBorders>
              <w:top w:val="single" w:sz="12" w:space="0" w:color="auto"/>
            </w:tcBorders>
            <w:shd w:val="clear" w:color="auto" w:fill="auto"/>
            <w:noWrap/>
            <w:vAlign w:val="bottom"/>
            <w:hideMark/>
          </w:tcPr>
          <w:p w:rsidR="00D74615" w:rsidRPr="00791234" w:rsidRDefault="00D74615" w:rsidP="00014CF9">
            <w:pPr>
              <w:jc w:val="right"/>
              <w:rPr>
                <w:sz w:val="16"/>
                <w:szCs w:val="16"/>
              </w:rPr>
            </w:pPr>
            <w:r w:rsidRPr="00791234">
              <w:rPr>
                <w:sz w:val="16"/>
                <w:szCs w:val="16"/>
              </w:rPr>
              <w:t xml:space="preserve">0.00382 </w:t>
            </w:r>
          </w:p>
        </w:tc>
        <w:tc>
          <w:tcPr>
            <w:tcW w:w="1020" w:type="dxa"/>
            <w:tcBorders>
              <w:top w:val="single" w:sz="12" w:space="0" w:color="auto"/>
            </w:tcBorders>
            <w:shd w:val="clear" w:color="auto" w:fill="auto"/>
            <w:noWrap/>
            <w:vAlign w:val="bottom"/>
            <w:hideMark/>
          </w:tcPr>
          <w:p w:rsidR="00D74615" w:rsidRPr="00791234" w:rsidRDefault="00D74615" w:rsidP="00014CF9">
            <w:pPr>
              <w:jc w:val="right"/>
              <w:rPr>
                <w:sz w:val="16"/>
                <w:szCs w:val="16"/>
              </w:rPr>
            </w:pPr>
          </w:p>
        </w:tc>
        <w:tc>
          <w:tcPr>
            <w:tcW w:w="931" w:type="dxa"/>
            <w:tcBorders>
              <w:top w:val="single" w:sz="12" w:space="0" w:color="auto"/>
            </w:tcBorders>
            <w:shd w:val="clear" w:color="auto" w:fill="auto"/>
            <w:noWrap/>
            <w:vAlign w:val="bottom"/>
            <w:hideMark/>
          </w:tcPr>
          <w:p w:rsidR="00D74615" w:rsidRPr="00791234" w:rsidRDefault="00D74615" w:rsidP="00014CF9">
            <w:pPr>
              <w:jc w:val="right"/>
              <w:rPr>
                <w:sz w:val="20"/>
                <w:szCs w:val="20"/>
              </w:rPr>
            </w:pPr>
          </w:p>
        </w:tc>
      </w:tr>
      <w:tr w:rsidR="00D74615" w:rsidRPr="00791234" w:rsidTr="00014CF9">
        <w:trPr>
          <w:trHeight w:val="300"/>
        </w:trPr>
        <w:tc>
          <w:tcPr>
            <w:tcW w:w="3500" w:type="dxa"/>
            <w:shd w:val="clear" w:color="auto" w:fill="auto"/>
            <w:noWrap/>
            <w:vAlign w:val="bottom"/>
            <w:hideMark/>
          </w:tcPr>
          <w:p w:rsidR="00D74615" w:rsidRPr="00791234" w:rsidRDefault="00D74615" w:rsidP="00014CF9">
            <w:pPr>
              <w:rPr>
                <w:sz w:val="16"/>
                <w:szCs w:val="16"/>
              </w:rPr>
            </w:pPr>
            <w:r w:rsidRPr="00791234">
              <w:rPr>
                <w:sz w:val="16"/>
                <w:szCs w:val="16"/>
              </w:rPr>
              <w:t>GS1/GST1</w:t>
            </w:r>
          </w:p>
        </w:tc>
        <w:tc>
          <w:tcPr>
            <w:tcW w:w="930" w:type="dxa"/>
            <w:shd w:val="clear" w:color="auto" w:fill="auto"/>
            <w:noWrap/>
            <w:vAlign w:val="bottom"/>
            <w:hideMark/>
          </w:tcPr>
          <w:p w:rsidR="00D74615" w:rsidRPr="00791234" w:rsidRDefault="00D74615" w:rsidP="00014CF9">
            <w:pPr>
              <w:rPr>
                <w:sz w:val="16"/>
                <w:szCs w:val="16"/>
              </w:rPr>
            </w:pPr>
          </w:p>
        </w:tc>
        <w:tc>
          <w:tcPr>
            <w:tcW w:w="1052" w:type="dxa"/>
            <w:shd w:val="clear" w:color="auto" w:fill="auto"/>
            <w:noWrap/>
            <w:vAlign w:val="bottom"/>
            <w:hideMark/>
          </w:tcPr>
          <w:p w:rsidR="00D74615" w:rsidRPr="00791234" w:rsidRDefault="00D74615" w:rsidP="00014CF9">
            <w:pPr>
              <w:jc w:val="right"/>
              <w:rPr>
                <w:sz w:val="16"/>
                <w:szCs w:val="16"/>
              </w:rPr>
            </w:pPr>
            <w:r w:rsidRPr="00791234">
              <w:rPr>
                <w:sz w:val="16"/>
                <w:szCs w:val="16"/>
              </w:rPr>
              <w:t xml:space="preserve">0.00346 </w:t>
            </w:r>
          </w:p>
        </w:tc>
        <w:tc>
          <w:tcPr>
            <w:tcW w:w="1020" w:type="dxa"/>
            <w:shd w:val="clear" w:color="auto" w:fill="auto"/>
            <w:noWrap/>
            <w:vAlign w:val="bottom"/>
            <w:hideMark/>
          </w:tcPr>
          <w:p w:rsidR="00D74615" w:rsidRPr="00791234" w:rsidRDefault="00D74615" w:rsidP="00014CF9">
            <w:pPr>
              <w:jc w:val="right"/>
              <w:rPr>
                <w:sz w:val="16"/>
                <w:szCs w:val="16"/>
              </w:rPr>
            </w:pPr>
          </w:p>
        </w:tc>
        <w:tc>
          <w:tcPr>
            <w:tcW w:w="931" w:type="dxa"/>
            <w:shd w:val="clear" w:color="auto" w:fill="auto"/>
            <w:noWrap/>
            <w:vAlign w:val="bottom"/>
            <w:hideMark/>
          </w:tcPr>
          <w:p w:rsidR="00D74615" w:rsidRPr="00791234" w:rsidRDefault="00D74615" w:rsidP="00014CF9">
            <w:pPr>
              <w:jc w:val="right"/>
              <w:rPr>
                <w:sz w:val="20"/>
                <w:szCs w:val="20"/>
              </w:rPr>
            </w:pPr>
          </w:p>
        </w:tc>
      </w:tr>
      <w:tr w:rsidR="00D74615" w:rsidRPr="00791234" w:rsidTr="00014CF9">
        <w:trPr>
          <w:trHeight w:val="300"/>
        </w:trPr>
        <w:tc>
          <w:tcPr>
            <w:tcW w:w="3500" w:type="dxa"/>
            <w:shd w:val="clear" w:color="auto" w:fill="auto"/>
            <w:noWrap/>
            <w:vAlign w:val="bottom"/>
            <w:hideMark/>
          </w:tcPr>
          <w:p w:rsidR="00D74615" w:rsidRPr="00791234" w:rsidRDefault="00D74615" w:rsidP="00014CF9">
            <w:pPr>
              <w:rPr>
                <w:sz w:val="16"/>
                <w:szCs w:val="16"/>
              </w:rPr>
            </w:pPr>
            <w:r w:rsidRPr="00791234">
              <w:rPr>
                <w:sz w:val="16"/>
                <w:szCs w:val="16"/>
              </w:rPr>
              <w:t>GSD1/GSDT1/HLFT1/GSD1-EV</w:t>
            </w:r>
          </w:p>
        </w:tc>
        <w:tc>
          <w:tcPr>
            <w:tcW w:w="930" w:type="dxa"/>
            <w:shd w:val="clear" w:color="auto" w:fill="auto"/>
            <w:noWrap/>
            <w:vAlign w:val="bottom"/>
            <w:hideMark/>
          </w:tcPr>
          <w:p w:rsidR="00D74615" w:rsidRPr="00791234" w:rsidRDefault="00D74615" w:rsidP="00014CF9">
            <w:pPr>
              <w:jc w:val="right"/>
              <w:rPr>
                <w:sz w:val="16"/>
                <w:szCs w:val="16"/>
              </w:rPr>
            </w:pPr>
            <w:r w:rsidRPr="00791234">
              <w:rPr>
                <w:sz w:val="16"/>
                <w:szCs w:val="16"/>
              </w:rPr>
              <w:t xml:space="preserve">0.70 </w:t>
            </w:r>
          </w:p>
        </w:tc>
        <w:tc>
          <w:tcPr>
            <w:tcW w:w="1052" w:type="dxa"/>
            <w:shd w:val="clear" w:color="auto" w:fill="auto"/>
            <w:noWrap/>
            <w:vAlign w:val="bottom"/>
            <w:hideMark/>
          </w:tcPr>
          <w:p w:rsidR="00D74615" w:rsidRPr="00791234" w:rsidRDefault="00D74615" w:rsidP="00014CF9">
            <w:pPr>
              <w:jc w:val="right"/>
              <w:rPr>
                <w:sz w:val="16"/>
                <w:szCs w:val="16"/>
              </w:rPr>
            </w:pPr>
          </w:p>
        </w:tc>
        <w:tc>
          <w:tcPr>
            <w:tcW w:w="1020" w:type="dxa"/>
            <w:shd w:val="clear" w:color="auto" w:fill="auto"/>
            <w:noWrap/>
            <w:vAlign w:val="bottom"/>
            <w:hideMark/>
          </w:tcPr>
          <w:p w:rsidR="00D74615" w:rsidRPr="00791234" w:rsidRDefault="00D74615" w:rsidP="00014CF9">
            <w:pPr>
              <w:jc w:val="right"/>
              <w:rPr>
                <w:sz w:val="20"/>
                <w:szCs w:val="20"/>
              </w:rPr>
            </w:pPr>
          </w:p>
        </w:tc>
        <w:tc>
          <w:tcPr>
            <w:tcW w:w="931" w:type="dxa"/>
            <w:shd w:val="clear" w:color="auto" w:fill="auto"/>
            <w:noWrap/>
            <w:vAlign w:val="bottom"/>
            <w:hideMark/>
          </w:tcPr>
          <w:p w:rsidR="00D74615" w:rsidRPr="00791234" w:rsidRDefault="00D74615" w:rsidP="00014CF9">
            <w:pPr>
              <w:jc w:val="right"/>
              <w:rPr>
                <w:sz w:val="20"/>
                <w:szCs w:val="20"/>
              </w:rPr>
            </w:pPr>
          </w:p>
        </w:tc>
      </w:tr>
      <w:tr w:rsidR="00D74615" w:rsidRPr="00791234" w:rsidTr="00014CF9">
        <w:trPr>
          <w:trHeight w:val="300"/>
        </w:trPr>
        <w:tc>
          <w:tcPr>
            <w:tcW w:w="3500" w:type="dxa"/>
            <w:shd w:val="clear" w:color="auto" w:fill="auto"/>
            <w:noWrap/>
            <w:vAlign w:val="bottom"/>
            <w:hideMark/>
          </w:tcPr>
          <w:p w:rsidR="00D74615" w:rsidRPr="00791234" w:rsidRDefault="00D74615" w:rsidP="00014CF9">
            <w:pPr>
              <w:rPr>
                <w:sz w:val="16"/>
                <w:szCs w:val="16"/>
              </w:rPr>
            </w:pPr>
            <w:r w:rsidRPr="00791234">
              <w:rPr>
                <w:sz w:val="16"/>
                <w:szCs w:val="16"/>
              </w:rPr>
              <w:t>OS2</w:t>
            </w:r>
          </w:p>
        </w:tc>
        <w:tc>
          <w:tcPr>
            <w:tcW w:w="930" w:type="dxa"/>
            <w:shd w:val="clear" w:color="auto" w:fill="auto"/>
            <w:noWrap/>
            <w:vAlign w:val="bottom"/>
            <w:hideMark/>
          </w:tcPr>
          <w:p w:rsidR="00D74615" w:rsidRPr="00791234" w:rsidRDefault="00D74615" w:rsidP="00014CF9">
            <w:pPr>
              <w:rPr>
                <w:sz w:val="16"/>
                <w:szCs w:val="16"/>
              </w:rPr>
            </w:pPr>
          </w:p>
        </w:tc>
        <w:tc>
          <w:tcPr>
            <w:tcW w:w="1052" w:type="dxa"/>
            <w:shd w:val="clear" w:color="auto" w:fill="auto"/>
            <w:noWrap/>
            <w:vAlign w:val="bottom"/>
            <w:hideMark/>
          </w:tcPr>
          <w:p w:rsidR="00D74615" w:rsidRPr="00791234" w:rsidRDefault="00D74615" w:rsidP="00014CF9">
            <w:pPr>
              <w:jc w:val="right"/>
              <w:rPr>
                <w:sz w:val="16"/>
                <w:szCs w:val="16"/>
              </w:rPr>
            </w:pPr>
            <w:r w:rsidRPr="00791234">
              <w:rPr>
                <w:sz w:val="16"/>
                <w:szCs w:val="16"/>
              </w:rPr>
              <w:t xml:space="preserve">0.00815 </w:t>
            </w:r>
          </w:p>
        </w:tc>
        <w:tc>
          <w:tcPr>
            <w:tcW w:w="1020" w:type="dxa"/>
            <w:shd w:val="clear" w:color="auto" w:fill="auto"/>
            <w:noWrap/>
            <w:vAlign w:val="bottom"/>
            <w:hideMark/>
          </w:tcPr>
          <w:p w:rsidR="00D74615" w:rsidRPr="00791234" w:rsidRDefault="00D74615" w:rsidP="00014CF9">
            <w:pPr>
              <w:jc w:val="right"/>
              <w:rPr>
                <w:sz w:val="16"/>
                <w:szCs w:val="16"/>
              </w:rPr>
            </w:pPr>
          </w:p>
        </w:tc>
        <w:tc>
          <w:tcPr>
            <w:tcW w:w="931" w:type="dxa"/>
            <w:shd w:val="clear" w:color="auto" w:fill="auto"/>
            <w:noWrap/>
            <w:vAlign w:val="bottom"/>
            <w:hideMark/>
          </w:tcPr>
          <w:p w:rsidR="00D74615" w:rsidRPr="00791234" w:rsidRDefault="00D74615" w:rsidP="00014CF9">
            <w:pPr>
              <w:jc w:val="right"/>
              <w:rPr>
                <w:sz w:val="20"/>
                <w:szCs w:val="20"/>
              </w:rPr>
            </w:pPr>
          </w:p>
        </w:tc>
      </w:tr>
      <w:tr w:rsidR="00D74615" w:rsidRPr="00791234" w:rsidTr="00014CF9">
        <w:trPr>
          <w:trHeight w:val="300"/>
        </w:trPr>
        <w:tc>
          <w:tcPr>
            <w:tcW w:w="3500" w:type="dxa"/>
            <w:shd w:val="clear" w:color="auto" w:fill="auto"/>
            <w:noWrap/>
            <w:vAlign w:val="bottom"/>
            <w:hideMark/>
          </w:tcPr>
          <w:p w:rsidR="00D74615" w:rsidRPr="00791234" w:rsidRDefault="00D74615" w:rsidP="00014CF9">
            <w:pPr>
              <w:rPr>
                <w:sz w:val="16"/>
                <w:szCs w:val="16"/>
              </w:rPr>
            </w:pPr>
            <w:r w:rsidRPr="00791234">
              <w:rPr>
                <w:sz w:val="16"/>
                <w:szCs w:val="16"/>
              </w:rPr>
              <w:t>GSLD1/GSLDT1/CS1/CST1/HLFT2/GSLD1-EV</w:t>
            </w:r>
          </w:p>
        </w:tc>
        <w:tc>
          <w:tcPr>
            <w:tcW w:w="930" w:type="dxa"/>
            <w:shd w:val="clear" w:color="auto" w:fill="auto"/>
            <w:noWrap/>
            <w:vAlign w:val="bottom"/>
            <w:hideMark/>
          </w:tcPr>
          <w:p w:rsidR="00D74615" w:rsidRPr="00791234" w:rsidRDefault="00D74615" w:rsidP="00014CF9">
            <w:pPr>
              <w:jc w:val="right"/>
              <w:rPr>
                <w:sz w:val="16"/>
                <w:szCs w:val="16"/>
              </w:rPr>
            </w:pPr>
            <w:r w:rsidRPr="00791234">
              <w:rPr>
                <w:sz w:val="16"/>
                <w:szCs w:val="16"/>
              </w:rPr>
              <w:t xml:space="preserve">0.73 </w:t>
            </w:r>
          </w:p>
        </w:tc>
        <w:tc>
          <w:tcPr>
            <w:tcW w:w="1052" w:type="dxa"/>
            <w:shd w:val="clear" w:color="auto" w:fill="auto"/>
            <w:noWrap/>
            <w:vAlign w:val="bottom"/>
            <w:hideMark/>
          </w:tcPr>
          <w:p w:rsidR="00D74615" w:rsidRPr="00791234" w:rsidRDefault="00D74615" w:rsidP="00014CF9">
            <w:pPr>
              <w:jc w:val="right"/>
              <w:rPr>
                <w:sz w:val="16"/>
                <w:szCs w:val="16"/>
              </w:rPr>
            </w:pPr>
          </w:p>
        </w:tc>
        <w:tc>
          <w:tcPr>
            <w:tcW w:w="1020" w:type="dxa"/>
            <w:shd w:val="clear" w:color="auto" w:fill="auto"/>
            <w:noWrap/>
            <w:vAlign w:val="bottom"/>
            <w:hideMark/>
          </w:tcPr>
          <w:p w:rsidR="00D74615" w:rsidRPr="00791234" w:rsidRDefault="00D74615" w:rsidP="00014CF9">
            <w:pPr>
              <w:jc w:val="right"/>
              <w:rPr>
                <w:sz w:val="20"/>
                <w:szCs w:val="20"/>
              </w:rPr>
            </w:pPr>
          </w:p>
        </w:tc>
        <w:tc>
          <w:tcPr>
            <w:tcW w:w="931" w:type="dxa"/>
            <w:shd w:val="clear" w:color="auto" w:fill="auto"/>
            <w:noWrap/>
            <w:vAlign w:val="bottom"/>
            <w:hideMark/>
          </w:tcPr>
          <w:p w:rsidR="00D74615" w:rsidRPr="00791234" w:rsidRDefault="00D74615" w:rsidP="00014CF9">
            <w:pPr>
              <w:jc w:val="right"/>
              <w:rPr>
                <w:sz w:val="20"/>
                <w:szCs w:val="20"/>
              </w:rPr>
            </w:pPr>
          </w:p>
        </w:tc>
      </w:tr>
      <w:tr w:rsidR="00D74615" w:rsidRPr="00791234" w:rsidTr="00014CF9">
        <w:trPr>
          <w:trHeight w:val="300"/>
        </w:trPr>
        <w:tc>
          <w:tcPr>
            <w:tcW w:w="3500" w:type="dxa"/>
            <w:shd w:val="clear" w:color="auto" w:fill="auto"/>
            <w:noWrap/>
            <w:vAlign w:val="bottom"/>
            <w:hideMark/>
          </w:tcPr>
          <w:p w:rsidR="00D74615" w:rsidRPr="00791234" w:rsidRDefault="00D74615" w:rsidP="00014CF9">
            <w:pPr>
              <w:rPr>
                <w:sz w:val="16"/>
                <w:szCs w:val="16"/>
              </w:rPr>
            </w:pPr>
            <w:r w:rsidRPr="00791234">
              <w:rPr>
                <w:sz w:val="16"/>
                <w:szCs w:val="16"/>
              </w:rPr>
              <w:t>GSLD2/GSLDT2/CS2/CST2/HLFT3</w:t>
            </w:r>
          </w:p>
        </w:tc>
        <w:tc>
          <w:tcPr>
            <w:tcW w:w="930" w:type="dxa"/>
            <w:shd w:val="clear" w:color="auto" w:fill="auto"/>
            <w:noWrap/>
            <w:vAlign w:val="bottom"/>
            <w:hideMark/>
          </w:tcPr>
          <w:p w:rsidR="00D74615" w:rsidRPr="00791234" w:rsidRDefault="00D74615" w:rsidP="00014CF9">
            <w:pPr>
              <w:jc w:val="right"/>
              <w:rPr>
                <w:sz w:val="16"/>
                <w:szCs w:val="16"/>
              </w:rPr>
            </w:pPr>
            <w:r w:rsidRPr="00791234">
              <w:rPr>
                <w:sz w:val="16"/>
                <w:szCs w:val="16"/>
              </w:rPr>
              <w:t xml:space="preserve">0.66 </w:t>
            </w:r>
          </w:p>
        </w:tc>
        <w:tc>
          <w:tcPr>
            <w:tcW w:w="1052" w:type="dxa"/>
            <w:shd w:val="clear" w:color="auto" w:fill="auto"/>
            <w:noWrap/>
            <w:vAlign w:val="bottom"/>
            <w:hideMark/>
          </w:tcPr>
          <w:p w:rsidR="00D74615" w:rsidRPr="00791234" w:rsidRDefault="00D74615" w:rsidP="00014CF9">
            <w:pPr>
              <w:jc w:val="right"/>
              <w:rPr>
                <w:sz w:val="16"/>
                <w:szCs w:val="16"/>
              </w:rPr>
            </w:pPr>
          </w:p>
        </w:tc>
        <w:tc>
          <w:tcPr>
            <w:tcW w:w="1020" w:type="dxa"/>
            <w:shd w:val="clear" w:color="auto" w:fill="auto"/>
            <w:noWrap/>
            <w:vAlign w:val="bottom"/>
            <w:hideMark/>
          </w:tcPr>
          <w:p w:rsidR="00D74615" w:rsidRPr="00791234" w:rsidRDefault="00D74615" w:rsidP="00014CF9">
            <w:pPr>
              <w:jc w:val="right"/>
              <w:rPr>
                <w:sz w:val="20"/>
                <w:szCs w:val="20"/>
              </w:rPr>
            </w:pPr>
          </w:p>
        </w:tc>
        <w:tc>
          <w:tcPr>
            <w:tcW w:w="931" w:type="dxa"/>
            <w:shd w:val="clear" w:color="auto" w:fill="auto"/>
            <w:noWrap/>
            <w:vAlign w:val="bottom"/>
            <w:hideMark/>
          </w:tcPr>
          <w:p w:rsidR="00D74615" w:rsidRPr="00791234" w:rsidRDefault="00D74615" w:rsidP="00014CF9">
            <w:pPr>
              <w:jc w:val="right"/>
              <w:rPr>
                <w:sz w:val="20"/>
                <w:szCs w:val="20"/>
              </w:rPr>
            </w:pPr>
          </w:p>
        </w:tc>
      </w:tr>
      <w:tr w:rsidR="00D74615" w:rsidRPr="00791234" w:rsidTr="00014CF9">
        <w:trPr>
          <w:trHeight w:val="300"/>
        </w:trPr>
        <w:tc>
          <w:tcPr>
            <w:tcW w:w="3500" w:type="dxa"/>
            <w:shd w:val="clear" w:color="auto" w:fill="auto"/>
            <w:noWrap/>
            <w:vAlign w:val="bottom"/>
            <w:hideMark/>
          </w:tcPr>
          <w:p w:rsidR="00D74615" w:rsidRPr="00791234" w:rsidRDefault="00D74615" w:rsidP="00014CF9">
            <w:pPr>
              <w:rPr>
                <w:sz w:val="16"/>
                <w:szCs w:val="16"/>
              </w:rPr>
            </w:pPr>
            <w:r w:rsidRPr="00791234">
              <w:rPr>
                <w:sz w:val="16"/>
                <w:szCs w:val="16"/>
              </w:rPr>
              <w:t>GSLD3/GSLDT3/CS3/CST3</w:t>
            </w:r>
          </w:p>
        </w:tc>
        <w:tc>
          <w:tcPr>
            <w:tcW w:w="930" w:type="dxa"/>
            <w:shd w:val="clear" w:color="auto" w:fill="auto"/>
            <w:noWrap/>
            <w:vAlign w:val="bottom"/>
            <w:hideMark/>
          </w:tcPr>
          <w:p w:rsidR="00D74615" w:rsidRPr="00791234" w:rsidRDefault="00D74615" w:rsidP="00014CF9">
            <w:pPr>
              <w:jc w:val="right"/>
              <w:rPr>
                <w:sz w:val="16"/>
                <w:szCs w:val="16"/>
              </w:rPr>
            </w:pPr>
            <w:r w:rsidRPr="00791234">
              <w:rPr>
                <w:sz w:val="16"/>
                <w:szCs w:val="16"/>
              </w:rPr>
              <w:t xml:space="preserve">0.10 </w:t>
            </w:r>
          </w:p>
        </w:tc>
        <w:tc>
          <w:tcPr>
            <w:tcW w:w="1052" w:type="dxa"/>
            <w:shd w:val="clear" w:color="auto" w:fill="auto"/>
            <w:noWrap/>
            <w:vAlign w:val="bottom"/>
            <w:hideMark/>
          </w:tcPr>
          <w:p w:rsidR="00D74615" w:rsidRPr="00791234" w:rsidRDefault="00D74615" w:rsidP="00014CF9">
            <w:pPr>
              <w:jc w:val="right"/>
              <w:rPr>
                <w:sz w:val="16"/>
                <w:szCs w:val="16"/>
              </w:rPr>
            </w:pPr>
          </w:p>
        </w:tc>
        <w:tc>
          <w:tcPr>
            <w:tcW w:w="1020" w:type="dxa"/>
            <w:shd w:val="clear" w:color="auto" w:fill="auto"/>
            <w:noWrap/>
            <w:vAlign w:val="bottom"/>
            <w:hideMark/>
          </w:tcPr>
          <w:p w:rsidR="00D74615" w:rsidRPr="00791234" w:rsidRDefault="00D74615" w:rsidP="00014CF9">
            <w:pPr>
              <w:jc w:val="right"/>
              <w:rPr>
                <w:sz w:val="20"/>
                <w:szCs w:val="20"/>
              </w:rPr>
            </w:pPr>
          </w:p>
        </w:tc>
        <w:tc>
          <w:tcPr>
            <w:tcW w:w="931" w:type="dxa"/>
            <w:shd w:val="clear" w:color="auto" w:fill="auto"/>
            <w:noWrap/>
            <w:vAlign w:val="bottom"/>
            <w:hideMark/>
          </w:tcPr>
          <w:p w:rsidR="00D74615" w:rsidRPr="00791234" w:rsidRDefault="00D74615" w:rsidP="00014CF9">
            <w:pPr>
              <w:jc w:val="right"/>
              <w:rPr>
                <w:sz w:val="20"/>
                <w:szCs w:val="20"/>
              </w:rPr>
            </w:pPr>
          </w:p>
        </w:tc>
      </w:tr>
      <w:tr w:rsidR="00D74615" w:rsidRPr="00791234" w:rsidTr="00014CF9">
        <w:trPr>
          <w:trHeight w:val="300"/>
        </w:trPr>
        <w:tc>
          <w:tcPr>
            <w:tcW w:w="3500" w:type="dxa"/>
            <w:shd w:val="clear" w:color="auto" w:fill="auto"/>
            <w:noWrap/>
            <w:vAlign w:val="bottom"/>
            <w:hideMark/>
          </w:tcPr>
          <w:p w:rsidR="00D74615" w:rsidRPr="00791234" w:rsidRDefault="00D74615" w:rsidP="00014CF9">
            <w:pPr>
              <w:rPr>
                <w:sz w:val="16"/>
                <w:szCs w:val="16"/>
              </w:rPr>
            </w:pPr>
            <w:r w:rsidRPr="00791234">
              <w:rPr>
                <w:sz w:val="16"/>
                <w:szCs w:val="16"/>
              </w:rPr>
              <w:t>SST1T</w:t>
            </w:r>
          </w:p>
        </w:tc>
        <w:tc>
          <w:tcPr>
            <w:tcW w:w="930" w:type="dxa"/>
            <w:shd w:val="clear" w:color="auto" w:fill="auto"/>
            <w:noWrap/>
            <w:vAlign w:val="bottom"/>
            <w:hideMark/>
          </w:tcPr>
          <w:p w:rsidR="00D74615" w:rsidRPr="00791234" w:rsidRDefault="00D74615" w:rsidP="00014CF9">
            <w:pPr>
              <w:rPr>
                <w:sz w:val="16"/>
                <w:szCs w:val="16"/>
              </w:rPr>
            </w:pPr>
          </w:p>
        </w:tc>
        <w:tc>
          <w:tcPr>
            <w:tcW w:w="1052" w:type="dxa"/>
            <w:shd w:val="clear" w:color="auto" w:fill="auto"/>
            <w:noWrap/>
            <w:vAlign w:val="bottom"/>
            <w:hideMark/>
          </w:tcPr>
          <w:p w:rsidR="00D74615" w:rsidRPr="00791234" w:rsidRDefault="00D74615" w:rsidP="00014CF9">
            <w:pPr>
              <w:jc w:val="right"/>
              <w:rPr>
                <w:sz w:val="20"/>
                <w:szCs w:val="20"/>
              </w:rPr>
            </w:pPr>
          </w:p>
        </w:tc>
        <w:tc>
          <w:tcPr>
            <w:tcW w:w="1020" w:type="dxa"/>
            <w:shd w:val="clear" w:color="auto" w:fill="auto"/>
            <w:noWrap/>
            <w:vAlign w:val="bottom"/>
            <w:hideMark/>
          </w:tcPr>
          <w:p w:rsidR="00D74615" w:rsidRPr="00791234" w:rsidRDefault="00D74615" w:rsidP="00014CF9">
            <w:pPr>
              <w:jc w:val="right"/>
              <w:rPr>
                <w:sz w:val="16"/>
                <w:szCs w:val="16"/>
              </w:rPr>
            </w:pPr>
            <w:r w:rsidRPr="00791234">
              <w:rPr>
                <w:sz w:val="16"/>
                <w:szCs w:val="16"/>
              </w:rPr>
              <w:t xml:space="preserve">0.01 </w:t>
            </w:r>
          </w:p>
        </w:tc>
        <w:tc>
          <w:tcPr>
            <w:tcW w:w="931" w:type="dxa"/>
            <w:shd w:val="clear" w:color="auto" w:fill="auto"/>
            <w:noWrap/>
            <w:vAlign w:val="bottom"/>
            <w:hideMark/>
          </w:tcPr>
          <w:p w:rsidR="00D74615" w:rsidRPr="00791234" w:rsidRDefault="00D74615" w:rsidP="00014CF9">
            <w:pPr>
              <w:jc w:val="right"/>
              <w:rPr>
                <w:sz w:val="16"/>
                <w:szCs w:val="16"/>
              </w:rPr>
            </w:pPr>
            <w:r w:rsidRPr="00791234">
              <w:rPr>
                <w:sz w:val="16"/>
                <w:szCs w:val="16"/>
              </w:rPr>
              <w:t xml:space="preserve">0.01 </w:t>
            </w:r>
          </w:p>
        </w:tc>
      </w:tr>
      <w:tr w:rsidR="00D74615" w:rsidRPr="00791234" w:rsidTr="00014CF9">
        <w:trPr>
          <w:trHeight w:val="300"/>
        </w:trPr>
        <w:tc>
          <w:tcPr>
            <w:tcW w:w="3500" w:type="dxa"/>
            <w:shd w:val="clear" w:color="auto" w:fill="auto"/>
            <w:noWrap/>
            <w:vAlign w:val="bottom"/>
            <w:hideMark/>
          </w:tcPr>
          <w:p w:rsidR="00D74615" w:rsidRPr="00791234" w:rsidRDefault="00D74615" w:rsidP="00014CF9">
            <w:pPr>
              <w:rPr>
                <w:sz w:val="16"/>
                <w:szCs w:val="16"/>
              </w:rPr>
            </w:pPr>
            <w:r w:rsidRPr="00791234">
              <w:rPr>
                <w:sz w:val="16"/>
                <w:szCs w:val="16"/>
              </w:rPr>
              <w:t>SST1D1/SST1D2/SST1D3</w:t>
            </w:r>
          </w:p>
        </w:tc>
        <w:tc>
          <w:tcPr>
            <w:tcW w:w="930" w:type="dxa"/>
            <w:shd w:val="clear" w:color="auto" w:fill="auto"/>
            <w:noWrap/>
            <w:vAlign w:val="bottom"/>
            <w:hideMark/>
          </w:tcPr>
          <w:p w:rsidR="00D74615" w:rsidRPr="00791234" w:rsidRDefault="00D74615" w:rsidP="00014CF9">
            <w:pPr>
              <w:rPr>
                <w:sz w:val="16"/>
                <w:szCs w:val="16"/>
              </w:rPr>
            </w:pPr>
          </w:p>
        </w:tc>
        <w:tc>
          <w:tcPr>
            <w:tcW w:w="1052" w:type="dxa"/>
            <w:shd w:val="clear" w:color="auto" w:fill="auto"/>
            <w:noWrap/>
            <w:vAlign w:val="bottom"/>
            <w:hideMark/>
          </w:tcPr>
          <w:p w:rsidR="00D74615" w:rsidRPr="00791234" w:rsidRDefault="00D74615" w:rsidP="00014CF9">
            <w:pPr>
              <w:jc w:val="right"/>
              <w:rPr>
                <w:sz w:val="20"/>
                <w:szCs w:val="20"/>
              </w:rPr>
            </w:pPr>
          </w:p>
        </w:tc>
        <w:tc>
          <w:tcPr>
            <w:tcW w:w="1020" w:type="dxa"/>
            <w:shd w:val="clear" w:color="auto" w:fill="auto"/>
            <w:noWrap/>
            <w:vAlign w:val="bottom"/>
            <w:hideMark/>
          </w:tcPr>
          <w:p w:rsidR="00D74615" w:rsidRPr="00791234" w:rsidRDefault="00D74615" w:rsidP="00014CF9">
            <w:pPr>
              <w:jc w:val="right"/>
              <w:rPr>
                <w:sz w:val="16"/>
                <w:szCs w:val="16"/>
              </w:rPr>
            </w:pPr>
            <w:r w:rsidRPr="00791234">
              <w:rPr>
                <w:sz w:val="16"/>
                <w:szCs w:val="16"/>
              </w:rPr>
              <w:t xml:space="preserve">0.12 </w:t>
            </w:r>
          </w:p>
        </w:tc>
        <w:tc>
          <w:tcPr>
            <w:tcW w:w="931" w:type="dxa"/>
            <w:shd w:val="clear" w:color="auto" w:fill="auto"/>
            <w:noWrap/>
            <w:vAlign w:val="bottom"/>
            <w:hideMark/>
          </w:tcPr>
          <w:p w:rsidR="00D74615" w:rsidRPr="00791234" w:rsidRDefault="00D74615" w:rsidP="00014CF9">
            <w:pPr>
              <w:jc w:val="right"/>
              <w:rPr>
                <w:sz w:val="16"/>
                <w:szCs w:val="16"/>
              </w:rPr>
            </w:pPr>
            <w:r w:rsidRPr="00791234">
              <w:rPr>
                <w:sz w:val="16"/>
                <w:szCs w:val="16"/>
              </w:rPr>
              <w:t xml:space="preserve">0.05 </w:t>
            </w:r>
          </w:p>
        </w:tc>
      </w:tr>
      <w:tr w:rsidR="00D74615" w:rsidRPr="00791234" w:rsidTr="00014CF9">
        <w:trPr>
          <w:trHeight w:val="300"/>
        </w:trPr>
        <w:tc>
          <w:tcPr>
            <w:tcW w:w="3500" w:type="dxa"/>
            <w:shd w:val="clear" w:color="auto" w:fill="auto"/>
            <w:noWrap/>
            <w:vAlign w:val="bottom"/>
            <w:hideMark/>
          </w:tcPr>
          <w:p w:rsidR="00D74615" w:rsidRPr="00791234" w:rsidRDefault="00D74615" w:rsidP="00014CF9">
            <w:pPr>
              <w:rPr>
                <w:sz w:val="16"/>
                <w:szCs w:val="16"/>
              </w:rPr>
            </w:pPr>
            <w:r w:rsidRPr="00791234">
              <w:rPr>
                <w:sz w:val="16"/>
                <w:szCs w:val="16"/>
              </w:rPr>
              <w:t>CILC D/CILC G</w:t>
            </w:r>
          </w:p>
        </w:tc>
        <w:tc>
          <w:tcPr>
            <w:tcW w:w="930" w:type="dxa"/>
            <w:shd w:val="clear" w:color="auto" w:fill="auto"/>
            <w:noWrap/>
            <w:vAlign w:val="bottom"/>
            <w:hideMark/>
          </w:tcPr>
          <w:p w:rsidR="00D74615" w:rsidRPr="00791234" w:rsidRDefault="00D74615" w:rsidP="00014CF9">
            <w:pPr>
              <w:jc w:val="right"/>
              <w:rPr>
                <w:sz w:val="16"/>
                <w:szCs w:val="16"/>
              </w:rPr>
            </w:pPr>
            <w:r w:rsidRPr="00791234">
              <w:rPr>
                <w:sz w:val="16"/>
                <w:szCs w:val="16"/>
              </w:rPr>
              <w:t xml:space="preserve">0.68 </w:t>
            </w:r>
          </w:p>
        </w:tc>
        <w:tc>
          <w:tcPr>
            <w:tcW w:w="1052" w:type="dxa"/>
            <w:shd w:val="clear" w:color="auto" w:fill="auto"/>
            <w:noWrap/>
            <w:vAlign w:val="bottom"/>
            <w:hideMark/>
          </w:tcPr>
          <w:p w:rsidR="00D74615" w:rsidRPr="00791234" w:rsidRDefault="00D74615" w:rsidP="00014CF9">
            <w:pPr>
              <w:jc w:val="right"/>
              <w:rPr>
                <w:sz w:val="16"/>
                <w:szCs w:val="16"/>
              </w:rPr>
            </w:pPr>
          </w:p>
        </w:tc>
        <w:tc>
          <w:tcPr>
            <w:tcW w:w="1020" w:type="dxa"/>
            <w:shd w:val="clear" w:color="auto" w:fill="auto"/>
            <w:noWrap/>
            <w:vAlign w:val="bottom"/>
            <w:hideMark/>
          </w:tcPr>
          <w:p w:rsidR="00D74615" w:rsidRPr="00791234" w:rsidRDefault="00D74615" w:rsidP="00014CF9">
            <w:pPr>
              <w:jc w:val="right"/>
              <w:rPr>
                <w:sz w:val="20"/>
                <w:szCs w:val="20"/>
              </w:rPr>
            </w:pPr>
          </w:p>
        </w:tc>
        <w:tc>
          <w:tcPr>
            <w:tcW w:w="931" w:type="dxa"/>
            <w:shd w:val="clear" w:color="auto" w:fill="auto"/>
            <w:noWrap/>
            <w:vAlign w:val="bottom"/>
            <w:hideMark/>
          </w:tcPr>
          <w:p w:rsidR="00D74615" w:rsidRPr="00791234" w:rsidRDefault="00D74615" w:rsidP="00014CF9">
            <w:pPr>
              <w:jc w:val="right"/>
              <w:rPr>
                <w:sz w:val="20"/>
                <w:szCs w:val="20"/>
              </w:rPr>
            </w:pPr>
          </w:p>
        </w:tc>
      </w:tr>
      <w:tr w:rsidR="00D74615" w:rsidRPr="00791234" w:rsidTr="00014CF9">
        <w:trPr>
          <w:trHeight w:val="300"/>
        </w:trPr>
        <w:tc>
          <w:tcPr>
            <w:tcW w:w="3500" w:type="dxa"/>
            <w:shd w:val="clear" w:color="auto" w:fill="auto"/>
            <w:noWrap/>
            <w:vAlign w:val="bottom"/>
            <w:hideMark/>
          </w:tcPr>
          <w:p w:rsidR="00D74615" w:rsidRPr="00791234" w:rsidRDefault="00D74615" w:rsidP="00014CF9">
            <w:pPr>
              <w:rPr>
                <w:sz w:val="16"/>
                <w:szCs w:val="16"/>
              </w:rPr>
            </w:pPr>
            <w:r w:rsidRPr="00791234">
              <w:rPr>
                <w:sz w:val="16"/>
                <w:szCs w:val="16"/>
              </w:rPr>
              <w:t>CILC T</w:t>
            </w:r>
          </w:p>
        </w:tc>
        <w:tc>
          <w:tcPr>
            <w:tcW w:w="930" w:type="dxa"/>
            <w:shd w:val="clear" w:color="auto" w:fill="auto"/>
            <w:noWrap/>
            <w:vAlign w:val="bottom"/>
            <w:hideMark/>
          </w:tcPr>
          <w:p w:rsidR="00D74615" w:rsidRPr="00791234" w:rsidRDefault="00D74615" w:rsidP="00014CF9">
            <w:pPr>
              <w:jc w:val="right"/>
              <w:rPr>
                <w:sz w:val="16"/>
                <w:szCs w:val="16"/>
              </w:rPr>
            </w:pPr>
            <w:r w:rsidRPr="00791234">
              <w:rPr>
                <w:sz w:val="16"/>
                <w:szCs w:val="16"/>
              </w:rPr>
              <w:t xml:space="preserve">0.11 </w:t>
            </w:r>
          </w:p>
        </w:tc>
        <w:tc>
          <w:tcPr>
            <w:tcW w:w="1052" w:type="dxa"/>
            <w:shd w:val="clear" w:color="auto" w:fill="auto"/>
            <w:noWrap/>
            <w:vAlign w:val="bottom"/>
            <w:hideMark/>
          </w:tcPr>
          <w:p w:rsidR="00D74615" w:rsidRPr="00791234" w:rsidRDefault="00D74615" w:rsidP="00014CF9">
            <w:pPr>
              <w:jc w:val="right"/>
              <w:rPr>
                <w:sz w:val="16"/>
                <w:szCs w:val="16"/>
              </w:rPr>
            </w:pPr>
          </w:p>
        </w:tc>
        <w:tc>
          <w:tcPr>
            <w:tcW w:w="1020" w:type="dxa"/>
            <w:shd w:val="clear" w:color="auto" w:fill="auto"/>
            <w:noWrap/>
            <w:vAlign w:val="bottom"/>
            <w:hideMark/>
          </w:tcPr>
          <w:p w:rsidR="00D74615" w:rsidRPr="00791234" w:rsidRDefault="00D74615" w:rsidP="00014CF9">
            <w:pPr>
              <w:jc w:val="right"/>
              <w:rPr>
                <w:sz w:val="20"/>
                <w:szCs w:val="20"/>
              </w:rPr>
            </w:pPr>
          </w:p>
        </w:tc>
        <w:tc>
          <w:tcPr>
            <w:tcW w:w="931" w:type="dxa"/>
            <w:shd w:val="clear" w:color="auto" w:fill="auto"/>
            <w:noWrap/>
            <w:vAlign w:val="bottom"/>
            <w:hideMark/>
          </w:tcPr>
          <w:p w:rsidR="00D74615" w:rsidRPr="00791234" w:rsidRDefault="00D74615" w:rsidP="00014CF9">
            <w:pPr>
              <w:jc w:val="right"/>
              <w:rPr>
                <w:sz w:val="20"/>
                <w:szCs w:val="20"/>
              </w:rPr>
            </w:pPr>
          </w:p>
        </w:tc>
      </w:tr>
      <w:tr w:rsidR="00D74615" w:rsidRPr="00791234" w:rsidTr="00014CF9">
        <w:trPr>
          <w:trHeight w:val="300"/>
        </w:trPr>
        <w:tc>
          <w:tcPr>
            <w:tcW w:w="3500" w:type="dxa"/>
            <w:shd w:val="clear" w:color="auto" w:fill="auto"/>
            <w:noWrap/>
            <w:vAlign w:val="bottom"/>
            <w:hideMark/>
          </w:tcPr>
          <w:p w:rsidR="00D74615" w:rsidRPr="00791234" w:rsidRDefault="00D74615" w:rsidP="00014CF9">
            <w:pPr>
              <w:rPr>
                <w:sz w:val="16"/>
                <w:szCs w:val="16"/>
              </w:rPr>
            </w:pPr>
            <w:r w:rsidRPr="00791234">
              <w:rPr>
                <w:sz w:val="16"/>
                <w:szCs w:val="16"/>
              </w:rPr>
              <w:t>MET</w:t>
            </w:r>
          </w:p>
        </w:tc>
        <w:tc>
          <w:tcPr>
            <w:tcW w:w="930" w:type="dxa"/>
            <w:shd w:val="clear" w:color="auto" w:fill="auto"/>
            <w:noWrap/>
            <w:vAlign w:val="bottom"/>
            <w:hideMark/>
          </w:tcPr>
          <w:p w:rsidR="00D74615" w:rsidRPr="00791234" w:rsidRDefault="00D74615" w:rsidP="00014CF9">
            <w:pPr>
              <w:jc w:val="right"/>
              <w:rPr>
                <w:sz w:val="16"/>
                <w:szCs w:val="16"/>
              </w:rPr>
            </w:pPr>
            <w:r w:rsidRPr="00791234">
              <w:rPr>
                <w:sz w:val="16"/>
                <w:szCs w:val="16"/>
              </w:rPr>
              <w:t xml:space="preserve">0.74 </w:t>
            </w:r>
          </w:p>
        </w:tc>
        <w:tc>
          <w:tcPr>
            <w:tcW w:w="1052" w:type="dxa"/>
            <w:shd w:val="clear" w:color="auto" w:fill="auto"/>
            <w:noWrap/>
            <w:vAlign w:val="bottom"/>
            <w:hideMark/>
          </w:tcPr>
          <w:p w:rsidR="00D74615" w:rsidRPr="00791234" w:rsidRDefault="00D74615" w:rsidP="00014CF9">
            <w:pPr>
              <w:jc w:val="right"/>
              <w:rPr>
                <w:sz w:val="16"/>
                <w:szCs w:val="16"/>
              </w:rPr>
            </w:pPr>
          </w:p>
        </w:tc>
        <w:tc>
          <w:tcPr>
            <w:tcW w:w="1020" w:type="dxa"/>
            <w:shd w:val="clear" w:color="auto" w:fill="auto"/>
            <w:noWrap/>
            <w:vAlign w:val="bottom"/>
            <w:hideMark/>
          </w:tcPr>
          <w:p w:rsidR="00D74615" w:rsidRPr="00791234" w:rsidRDefault="00D74615" w:rsidP="00014CF9">
            <w:pPr>
              <w:jc w:val="right"/>
              <w:rPr>
                <w:sz w:val="20"/>
                <w:szCs w:val="20"/>
              </w:rPr>
            </w:pPr>
          </w:p>
        </w:tc>
        <w:tc>
          <w:tcPr>
            <w:tcW w:w="931" w:type="dxa"/>
            <w:shd w:val="clear" w:color="auto" w:fill="auto"/>
            <w:noWrap/>
            <w:vAlign w:val="bottom"/>
            <w:hideMark/>
          </w:tcPr>
          <w:p w:rsidR="00D74615" w:rsidRPr="00791234" w:rsidRDefault="00D74615" w:rsidP="00014CF9">
            <w:pPr>
              <w:jc w:val="right"/>
              <w:rPr>
                <w:sz w:val="20"/>
                <w:szCs w:val="20"/>
              </w:rPr>
            </w:pPr>
          </w:p>
        </w:tc>
      </w:tr>
      <w:tr w:rsidR="00D74615" w:rsidRPr="00791234" w:rsidTr="00014CF9">
        <w:trPr>
          <w:trHeight w:val="300"/>
        </w:trPr>
        <w:tc>
          <w:tcPr>
            <w:tcW w:w="3500" w:type="dxa"/>
            <w:shd w:val="clear" w:color="auto" w:fill="auto"/>
            <w:noWrap/>
            <w:vAlign w:val="bottom"/>
            <w:hideMark/>
          </w:tcPr>
          <w:p w:rsidR="00D74615" w:rsidRPr="00791234" w:rsidRDefault="00D74615" w:rsidP="00014CF9">
            <w:pPr>
              <w:rPr>
                <w:sz w:val="16"/>
                <w:szCs w:val="16"/>
              </w:rPr>
            </w:pPr>
            <w:r w:rsidRPr="00791234">
              <w:rPr>
                <w:sz w:val="16"/>
                <w:szCs w:val="16"/>
              </w:rPr>
              <w:t>OL1/SL1/SL1M/PL1/OSI/II</w:t>
            </w:r>
          </w:p>
        </w:tc>
        <w:tc>
          <w:tcPr>
            <w:tcW w:w="930" w:type="dxa"/>
            <w:shd w:val="clear" w:color="auto" w:fill="auto"/>
            <w:noWrap/>
            <w:vAlign w:val="bottom"/>
            <w:hideMark/>
          </w:tcPr>
          <w:p w:rsidR="00D74615" w:rsidRPr="00791234" w:rsidRDefault="00D74615" w:rsidP="00014CF9">
            <w:pPr>
              <w:rPr>
                <w:sz w:val="16"/>
                <w:szCs w:val="16"/>
              </w:rPr>
            </w:pPr>
          </w:p>
        </w:tc>
        <w:tc>
          <w:tcPr>
            <w:tcW w:w="1052" w:type="dxa"/>
            <w:shd w:val="clear" w:color="auto" w:fill="auto"/>
            <w:noWrap/>
            <w:vAlign w:val="bottom"/>
            <w:hideMark/>
          </w:tcPr>
          <w:p w:rsidR="00D74615" w:rsidRPr="00791234" w:rsidRDefault="00D74615" w:rsidP="00014CF9">
            <w:pPr>
              <w:jc w:val="right"/>
              <w:rPr>
                <w:sz w:val="16"/>
                <w:szCs w:val="16"/>
              </w:rPr>
            </w:pPr>
            <w:r w:rsidRPr="00791234">
              <w:rPr>
                <w:sz w:val="16"/>
                <w:szCs w:val="16"/>
              </w:rPr>
              <w:t xml:space="preserve">0.00288 </w:t>
            </w:r>
          </w:p>
        </w:tc>
        <w:tc>
          <w:tcPr>
            <w:tcW w:w="1020" w:type="dxa"/>
            <w:shd w:val="clear" w:color="auto" w:fill="auto"/>
            <w:noWrap/>
            <w:vAlign w:val="bottom"/>
            <w:hideMark/>
          </w:tcPr>
          <w:p w:rsidR="00D74615" w:rsidRPr="00791234" w:rsidRDefault="00D74615" w:rsidP="00014CF9">
            <w:pPr>
              <w:jc w:val="right"/>
              <w:rPr>
                <w:sz w:val="16"/>
                <w:szCs w:val="16"/>
              </w:rPr>
            </w:pPr>
          </w:p>
        </w:tc>
        <w:tc>
          <w:tcPr>
            <w:tcW w:w="931" w:type="dxa"/>
            <w:shd w:val="clear" w:color="auto" w:fill="auto"/>
            <w:noWrap/>
            <w:vAlign w:val="bottom"/>
            <w:hideMark/>
          </w:tcPr>
          <w:p w:rsidR="00D74615" w:rsidRPr="00791234" w:rsidRDefault="00D74615" w:rsidP="00014CF9">
            <w:pPr>
              <w:jc w:val="right"/>
              <w:rPr>
                <w:sz w:val="20"/>
                <w:szCs w:val="20"/>
              </w:rPr>
            </w:pPr>
          </w:p>
        </w:tc>
      </w:tr>
      <w:tr w:rsidR="00D74615" w:rsidRPr="00791234" w:rsidTr="00014CF9">
        <w:trPr>
          <w:trHeight w:val="315"/>
        </w:trPr>
        <w:tc>
          <w:tcPr>
            <w:tcW w:w="3500" w:type="dxa"/>
            <w:shd w:val="clear" w:color="auto" w:fill="auto"/>
            <w:noWrap/>
            <w:vAlign w:val="bottom"/>
            <w:hideMark/>
          </w:tcPr>
          <w:p w:rsidR="00D74615" w:rsidRPr="00791234" w:rsidRDefault="00D74615" w:rsidP="00014CF9">
            <w:pPr>
              <w:rPr>
                <w:sz w:val="16"/>
                <w:szCs w:val="16"/>
              </w:rPr>
            </w:pPr>
            <w:r w:rsidRPr="00791234">
              <w:rPr>
                <w:sz w:val="16"/>
                <w:szCs w:val="16"/>
              </w:rPr>
              <w:t>SL2/SL2M/GSCU1</w:t>
            </w:r>
          </w:p>
        </w:tc>
        <w:tc>
          <w:tcPr>
            <w:tcW w:w="930" w:type="dxa"/>
            <w:shd w:val="clear" w:color="auto" w:fill="auto"/>
            <w:noWrap/>
            <w:vAlign w:val="bottom"/>
            <w:hideMark/>
          </w:tcPr>
          <w:p w:rsidR="00D74615" w:rsidRPr="00791234" w:rsidRDefault="00D74615" w:rsidP="00014CF9">
            <w:pPr>
              <w:rPr>
                <w:sz w:val="16"/>
                <w:szCs w:val="16"/>
              </w:rPr>
            </w:pPr>
          </w:p>
        </w:tc>
        <w:tc>
          <w:tcPr>
            <w:tcW w:w="1052" w:type="dxa"/>
            <w:shd w:val="clear" w:color="auto" w:fill="auto"/>
            <w:noWrap/>
            <w:vAlign w:val="bottom"/>
            <w:hideMark/>
          </w:tcPr>
          <w:p w:rsidR="00D74615" w:rsidRPr="00791234" w:rsidRDefault="00D74615" w:rsidP="00014CF9">
            <w:pPr>
              <w:jc w:val="right"/>
              <w:rPr>
                <w:sz w:val="16"/>
                <w:szCs w:val="16"/>
              </w:rPr>
            </w:pPr>
            <w:r w:rsidRPr="00791234">
              <w:rPr>
                <w:sz w:val="16"/>
                <w:szCs w:val="16"/>
              </w:rPr>
              <w:t xml:space="preserve">0.00316 </w:t>
            </w:r>
          </w:p>
        </w:tc>
        <w:tc>
          <w:tcPr>
            <w:tcW w:w="1020" w:type="dxa"/>
            <w:shd w:val="clear" w:color="auto" w:fill="auto"/>
            <w:noWrap/>
            <w:vAlign w:val="bottom"/>
            <w:hideMark/>
          </w:tcPr>
          <w:p w:rsidR="00D74615" w:rsidRPr="00791234" w:rsidRDefault="00D74615" w:rsidP="00014CF9">
            <w:pPr>
              <w:jc w:val="right"/>
              <w:rPr>
                <w:sz w:val="16"/>
                <w:szCs w:val="16"/>
              </w:rPr>
            </w:pPr>
          </w:p>
        </w:tc>
        <w:tc>
          <w:tcPr>
            <w:tcW w:w="931" w:type="dxa"/>
            <w:shd w:val="clear" w:color="auto" w:fill="auto"/>
            <w:noWrap/>
            <w:vAlign w:val="bottom"/>
            <w:hideMark/>
          </w:tcPr>
          <w:p w:rsidR="00D74615" w:rsidRPr="00791234" w:rsidRDefault="00D74615" w:rsidP="00014CF9">
            <w:pPr>
              <w:jc w:val="right"/>
              <w:rPr>
                <w:sz w:val="20"/>
                <w:szCs w:val="20"/>
              </w:rPr>
            </w:pPr>
          </w:p>
        </w:tc>
      </w:tr>
    </w:tbl>
    <w:p w:rsidR="00D74615" w:rsidRDefault="00D74615" w:rsidP="00D74615">
      <w:pPr>
        <w:ind w:left="1440" w:hanging="1440"/>
        <w:jc w:val="both"/>
        <w:rPr>
          <w:b/>
        </w:rPr>
      </w:pPr>
    </w:p>
    <w:p w:rsidR="00B27CFC" w:rsidRDefault="00B27CFC" w:rsidP="00D74615">
      <w:pPr>
        <w:ind w:left="1440" w:hanging="1440"/>
        <w:jc w:val="both"/>
        <w:rPr>
          <w:b/>
        </w:rPr>
      </w:pPr>
    </w:p>
    <w:p w:rsidR="00AA3882" w:rsidRDefault="00AA3882" w:rsidP="00D74615">
      <w:pPr>
        <w:ind w:left="1440" w:hanging="1440"/>
        <w:jc w:val="both"/>
        <w:rPr>
          <w:b/>
        </w:rPr>
      </w:pPr>
    </w:p>
    <w:p w:rsidR="00A00362" w:rsidRPr="00A00362" w:rsidRDefault="00D74615" w:rsidP="00D74615">
      <w:pPr>
        <w:adjustRightInd w:val="0"/>
        <w:spacing w:after="200" w:line="276" w:lineRule="auto"/>
        <w:ind w:left="1440" w:hanging="1440"/>
        <w:rPr>
          <w:b/>
          <w:u w:val="single"/>
        </w:rPr>
      </w:pPr>
      <w:r w:rsidRPr="00A00362">
        <w:rPr>
          <w:b/>
          <w:u w:val="single"/>
        </w:rPr>
        <w:lastRenderedPageBreak/>
        <w:t>DEF</w:t>
      </w:r>
    </w:p>
    <w:p w:rsidR="00D74615" w:rsidRPr="00BD1E62" w:rsidRDefault="00D74615" w:rsidP="00D74615">
      <w:pPr>
        <w:adjustRightInd w:val="0"/>
        <w:spacing w:after="200" w:line="276" w:lineRule="auto"/>
        <w:ind w:left="1440" w:hanging="1440"/>
        <w:rPr>
          <w:rFonts w:eastAsia="Calibri"/>
        </w:rPr>
      </w:pPr>
      <w:r>
        <w:rPr>
          <w:b/>
        </w:rPr>
        <w:tab/>
      </w:r>
      <w:r w:rsidRPr="00BD1E62">
        <w:rPr>
          <w:rFonts w:eastAsia="Calibri"/>
          <w:bCs/>
          <w:u w:val="single"/>
        </w:rPr>
        <w:t>Customer Class</w:t>
      </w:r>
      <w:r w:rsidRPr="00BD1E62">
        <w:rPr>
          <w:rFonts w:eastAsia="Calibri"/>
        </w:rPr>
        <w:t xml:space="preserve"> </w:t>
      </w:r>
      <w:r w:rsidRPr="00BD1E62">
        <w:rPr>
          <w:rFonts w:eastAsia="Calibri"/>
        </w:rPr>
        <w:tab/>
      </w:r>
      <w:r w:rsidRPr="00BD1E62">
        <w:rPr>
          <w:rFonts w:eastAsia="Calibri"/>
        </w:rPr>
        <w:tab/>
      </w:r>
      <w:r w:rsidRPr="00BD1E62">
        <w:rPr>
          <w:rFonts w:eastAsia="Calibri"/>
        </w:rPr>
        <w:tab/>
      </w:r>
      <w:r w:rsidRPr="00BD1E62">
        <w:rPr>
          <w:rFonts w:eastAsia="Calibri"/>
        </w:rPr>
        <w:tab/>
      </w:r>
      <w:r w:rsidRPr="00BD1E62">
        <w:rPr>
          <w:rFonts w:eastAsia="Calibri"/>
        </w:rPr>
        <w:tab/>
      </w:r>
      <w:r w:rsidRPr="00BD1E62">
        <w:rPr>
          <w:rFonts w:eastAsia="Calibri"/>
          <w:u w:val="single"/>
        </w:rPr>
        <w:t>SPPCRC Factor</w:t>
      </w:r>
    </w:p>
    <w:p w:rsidR="00D74615" w:rsidRPr="00BD1E62" w:rsidRDefault="00D74615" w:rsidP="00D74615">
      <w:pPr>
        <w:adjustRightInd w:val="0"/>
        <w:spacing w:line="276" w:lineRule="auto"/>
        <w:ind w:left="720" w:firstLine="720"/>
        <w:rPr>
          <w:rFonts w:eastAsia="Calibri"/>
        </w:rPr>
      </w:pPr>
      <w:r w:rsidRPr="00BD1E62">
        <w:rPr>
          <w:rFonts w:eastAsia="Calibri"/>
        </w:rPr>
        <w:t xml:space="preserve">Residential </w:t>
      </w:r>
      <w:r w:rsidRPr="00BD1E62">
        <w:rPr>
          <w:rFonts w:eastAsia="Calibri"/>
        </w:rPr>
        <w:tab/>
      </w:r>
      <w:r w:rsidRPr="00BD1E62">
        <w:rPr>
          <w:rFonts w:eastAsia="Calibri"/>
        </w:rPr>
        <w:tab/>
      </w:r>
      <w:r w:rsidRPr="00BD1E62">
        <w:rPr>
          <w:rFonts w:eastAsia="Calibri"/>
        </w:rPr>
        <w:tab/>
      </w:r>
      <w:r w:rsidRPr="00BD1E62">
        <w:rPr>
          <w:rFonts w:eastAsia="Calibri"/>
        </w:rPr>
        <w:tab/>
      </w:r>
      <w:r w:rsidRPr="00BD1E62">
        <w:rPr>
          <w:rFonts w:eastAsia="Calibri"/>
        </w:rPr>
        <w:tab/>
      </w:r>
      <w:r w:rsidRPr="00BD1E62">
        <w:rPr>
          <w:rFonts w:eastAsia="Calibri"/>
        </w:rPr>
        <w:tab/>
        <w:t>0.414 cents/kWh</w:t>
      </w:r>
    </w:p>
    <w:p w:rsidR="00D74615" w:rsidRPr="006D2729" w:rsidRDefault="00D74615" w:rsidP="00D74615">
      <w:pPr>
        <w:adjustRightInd w:val="0"/>
        <w:spacing w:line="276" w:lineRule="auto"/>
        <w:rPr>
          <w:rFonts w:eastAsia="Calibri"/>
        </w:rPr>
      </w:pPr>
      <w:r w:rsidRPr="00BD1E62">
        <w:rPr>
          <w:rFonts w:eastAsia="Calibri"/>
        </w:rPr>
        <w:tab/>
      </w:r>
      <w:r w:rsidRPr="00BD1E62">
        <w:rPr>
          <w:rFonts w:eastAsia="Calibri"/>
        </w:rPr>
        <w:tab/>
        <w:t>General Service</w:t>
      </w:r>
      <w:r w:rsidRPr="006D2729">
        <w:rPr>
          <w:rFonts w:eastAsia="Calibri"/>
        </w:rPr>
        <w:t xml:space="preserve"> Non-Demand </w:t>
      </w:r>
      <w:r w:rsidRPr="006D2729">
        <w:rPr>
          <w:rFonts w:eastAsia="Calibri"/>
        </w:rPr>
        <w:tab/>
      </w:r>
      <w:r w:rsidRPr="006D2729">
        <w:rPr>
          <w:rFonts w:eastAsia="Calibri"/>
        </w:rPr>
        <w:tab/>
      </w:r>
      <w:r w:rsidRPr="006D2729">
        <w:rPr>
          <w:rFonts w:eastAsia="Calibri"/>
        </w:rPr>
        <w:tab/>
        <w:t>0.401 cents/kWh</w:t>
      </w:r>
    </w:p>
    <w:p w:rsidR="00D74615" w:rsidRPr="003D257C" w:rsidRDefault="00D74615" w:rsidP="00D74615">
      <w:pPr>
        <w:adjustRightInd w:val="0"/>
        <w:spacing w:line="276" w:lineRule="auto"/>
        <w:rPr>
          <w:rFonts w:eastAsia="Calibri"/>
        </w:rPr>
      </w:pPr>
      <w:r w:rsidRPr="003D257C">
        <w:rPr>
          <w:rFonts w:eastAsia="Calibri"/>
        </w:rPr>
        <w:tab/>
      </w:r>
      <w:r w:rsidRPr="003D257C">
        <w:rPr>
          <w:rFonts w:eastAsia="Calibri"/>
        </w:rPr>
        <w:tab/>
        <w:t xml:space="preserve">   @ Primary Voltage </w:t>
      </w:r>
      <w:r w:rsidRPr="003D257C">
        <w:rPr>
          <w:rFonts w:eastAsia="Calibri"/>
        </w:rPr>
        <w:tab/>
      </w:r>
      <w:r w:rsidRPr="003D257C">
        <w:rPr>
          <w:rFonts w:eastAsia="Calibri"/>
        </w:rPr>
        <w:tab/>
      </w:r>
      <w:r w:rsidRPr="003D257C">
        <w:rPr>
          <w:rFonts w:eastAsia="Calibri"/>
        </w:rPr>
        <w:tab/>
      </w:r>
      <w:r w:rsidRPr="003D257C">
        <w:rPr>
          <w:rFonts w:eastAsia="Calibri"/>
        </w:rPr>
        <w:tab/>
      </w:r>
      <w:r w:rsidRPr="003D257C">
        <w:rPr>
          <w:rFonts w:eastAsia="Calibri"/>
        </w:rPr>
        <w:tab/>
        <w:t>0.397 cents/kWh</w:t>
      </w:r>
    </w:p>
    <w:p w:rsidR="00D74615" w:rsidRPr="00884466" w:rsidRDefault="00D74615" w:rsidP="00D74615">
      <w:pPr>
        <w:spacing w:line="276" w:lineRule="auto"/>
        <w:ind w:left="1440"/>
        <w:jc w:val="both"/>
        <w:rPr>
          <w:rFonts w:eastAsia="Calibri"/>
        </w:rPr>
      </w:pPr>
      <w:r w:rsidRPr="003D257C">
        <w:rPr>
          <w:rFonts w:eastAsia="Calibri"/>
        </w:rPr>
        <w:t xml:space="preserve">   </w:t>
      </w:r>
      <w:r w:rsidRPr="00884466">
        <w:rPr>
          <w:rFonts w:eastAsia="Calibri"/>
        </w:rPr>
        <w:t xml:space="preserve">@ Transmission Voltage </w:t>
      </w:r>
      <w:r w:rsidRPr="00884466">
        <w:rPr>
          <w:rFonts w:eastAsia="Calibri"/>
        </w:rPr>
        <w:tab/>
      </w:r>
      <w:r w:rsidRPr="00884466">
        <w:rPr>
          <w:rFonts w:eastAsia="Calibri"/>
        </w:rPr>
        <w:tab/>
      </w:r>
      <w:r w:rsidRPr="00884466">
        <w:rPr>
          <w:rFonts w:eastAsia="Calibri"/>
        </w:rPr>
        <w:tab/>
      </w:r>
      <w:r w:rsidRPr="00884466">
        <w:rPr>
          <w:rFonts w:eastAsia="Calibri"/>
        </w:rPr>
        <w:tab/>
        <w:t>0.393 cents/kWh</w:t>
      </w:r>
    </w:p>
    <w:p w:rsidR="00D74615" w:rsidRPr="00884466" w:rsidRDefault="00D74615" w:rsidP="00D74615">
      <w:pPr>
        <w:adjustRightInd w:val="0"/>
        <w:spacing w:line="276" w:lineRule="auto"/>
        <w:rPr>
          <w:rFonts w:eastAsia="Calibri"/>
        </w:rPr>
      </w:pPr>
      <w:r w:rsidRPr="00884466">
        <w:rPr>
          <w:rFonts w:eastAsia="Calibri"/>
        </w:rPr>
        <w:tab/>
      </w:r>
      <w:r w:rsidRPr="00884466">
        <w:rPr>
          <w:rFonts w:eastAsia="Calibri"/>
        </w:rPr>
        <w:tab/>
        <w:t>General Service 100% Load Factor</w:t>
      </w:r>
      <w:r w:rsidRPr="00884466">
        <w:rPr>
          <w:rFonts w:eastAsia="Calibri"/>
        </w:rPr>
        <w:tab/>
      </w:r>
      <w:r w:rsidRPr="00884466">
        <w:rPr>
          <w:rFonts w:eastAsia="Calibri"/>
        </w:rPr>
        <w:tab/>
      </w:r>
      <w:r w:rsidRPr="00884466">
        <w:rPr>
          <w:rFonts w:eastAsia="Calibri"/>
        </w:rPr>
        <w:tab/>
        <w:t>0.188 cents/kWh</w:t>
      </w:r>
    </w:p>
    <w:p w:rsidR="00D74615" w:rsidRPr="00F12835" w:rsidRDefault="00D74615" w:rsidP="00D74615">
      <w:pPr>
        <w:adjustRightInd w:val="0"/>
        <w:spacing w:line="276" w:lineRule="auto"/>
        <w:rPr>
          <w:rFonts w:eastAsia="Calibri"/>
        </w:rPr>
      </w:pPr>
      <w:r w:rsidRPr="00F12835">
        <w:rPr>
          <w:rFonts w:eastAsia="Calibri"/>
        </w:rPr>
        <w:tab/>
      </w:r>
      <w:r w:rsidRPr="00F12835">
        <w:rPr>
          <w:rFonts w:eastAsia="Calibri"/>
        </w:rPr>
        <w:tab/>
        <w:t>General Service Demand</w:t>
      </w:r>
      <w:r w:rsidRPr="00F12835">
        <w:rPr>
          <w:rFonts w:eastAsia="Calibri"/>
        </w:rPr>
        <w:tab/>
      </w:r>
      <w:r w:rsidRPr="00F12835">
        <w:rPr>
          <w:rFonts w:eastAsia="Calibri"/>
        </w:rPr>
        <w:tab/>
      </w:r>
      <w:r w:rsidRPr="00F12835">
        <w:rPr>
          <w:rFonts w:eastAsia="Calibri"/>
        </w:rPr>
        <w:tab/>
      </w:r>
      <w:r w:rsidRPr="00F12835">
        <w:rPr>
          <w:rFonts w:eastAsia="Calibri"/>
        </w:rPr>
        <w:tab/>
        <w:t>1.05 $/kW</w:t>
      </w:r>
      <w:r w:rsidRPr="00F12835">
        <w:rPr>
          <w:rFonts w:eastAsia="Calibri"/>
        </w:rPr>
        <w:tab/>
      </w:r>
    </w:p>
    <w:p w:rsidR="00D74615" w:rsidRPr="00B6080F" w:rsidRDefault="00D74615" w:rsidP="00D74615">
      <w:pPr>
        <w:adjustRightInd w:val="0"/>
        <w:spacing w:line="276" w:lineRule="auto"/>
        <w:rPr>
          <w:rFonts w:eastAsia="Calibri"/>
        </w:rPr>
      </w:pPr>
      <w:r w:rsidRPr="00F12835">
        <w:rPr>
          <w:rFonts w:eastAsia="Calibri"/>
        </w:rPr>
        <w:tab/>
      </w:r>
      <w:r w:rsidRPr="00F12835">
        <w:rPr>
          <w:rFonts w:eastAsia="Calibri"/>
        </w:rPr>
        <w:tab/>
        <w:t xml:space="preserve">   </w:t>
      </w:r>
      <w:r w:rsidRPr="00B6080F">
        <w:rPr>
          <w:rFonts w:eastAsia="Calibri"/>
        </w:rPr>
        <w:t>@ Primary Voltage</w:t>
      </w:r>
      <w:r w:rsidRPr="00B6080F">
        <w:rPr>
          <w:rFonts w:eastAsia="Calibri"/>
        </w:rPr>
        <w:tab/>
      </w:r>
      <w:r w:rsidRPr="00B6080F">
        <w:rPr>
          <w:rFonts w:eastAsia="Calibri"/>
        </w:rPr>
        <w:tab/>
      </w:r>
      <w:r w:rsidRPr="00B6080F">
        <w:rPr>
          <w:rFonts w:eastAsia="Calibri"/>
        </w:rPr>
        <w:tab/>
      </w:r>
      <w:r w:rsidRPr="00B6080F">
        <w:rPr>
          <w:rFonts w:eastAsia="Calibri"/>
        </w:rPr>
        <w:tab/>
      </w:r>
      <w:r w:rsidRPr="00B6080F">
        <w:rPr>
          <w:rFonts w:eastAsia="Calibri"/>
        </w:rPr>
        <w:tab/>
        <w:t>1.01 $/kW</w:t>
      </w:r>
    </w:p>
    <w:p w:rsidR="00D74615" w:rsidRPr="00B6080F" w:rsidRDefault="00D74615" w:rsidP="00D74615">
      <w:pPr>
        <w:adjustRightInd w:val="0"/>
        <w:spacing w:line="276" w:lineRule="auto"/>
        <w:rPr>
          <w:rFonts w:eastAsia="Calibri"/>
        </w:rPr>
      </w:pPr>
      <w:r w:rsidRPr="00B6080F">
        <w:rPr>
          <w:rFonts w:eastAsia="Calibri"/>
        </w:rPr>
        <w:tab/>
      </w:r>
      <w:r w:rsidRPr="00B6080F">
        <w:rPr>
          <w:rFonts w:eastAsia="Calibri"/>
        </w:rPr>
        <w:tab/>
        <w:t xml:space="preserve">   @ Transmission Voltage</w:t>
      </w:r>
      <w:r w:rsidRPr="00B6080F">
        <w:rPr>
          <w:rFonts w:eastAsia="Calibri"/>
        </w:rPr>
        <w:tab/>
      </w:r>
      <w:r w:rsidRPr="00B6080F">
        <w:rPr>
          <w:rFonts w:eastAsia="Calibri"/>
        </w:rPr>
        <w:tab/>
      </w:r>
      <w:r w:rsidRPr="00B6080F">
        <w:rPr>
          <w:rFonts w:eastAsia="Calibri"/>
        </w:rPr>
        <w:tab/>
      </w:r>
      <w:r w:rsidRPr="00B6080F">
        <w:rPr>
          <w:rFonts w:eastAsia="Calibri"/>
        </w:rPr>
        <w:tab/>
        <w:t>0.19 $/kW</w:t>
      </w:r>
    </w:p>
    <w:p w:rsidR="00D74615" w:rsidRPr="00B6080F" w:rsidRDefault="00D74615" w:rsidP="00D74615">
      <w:pPr>
        <w:adjustRightInd w:val="0"/>
        <w:spacing w:line="276" w:lineRule="auto"/>
        <w:rPr>
          <w:rFonts w:eastAsia="Calibri"/>
        </w:rPr>
      </w:pPr>
      <w:r w:rsidRPr="00B6080F">
        <w:rPr>
          <w:rFonts w:eastAsia="Calibri"/>
        </w:rPr>
        <w:tab/>
      </w:r>
      <w:r w:rsidRPr="00B6080F">
        <w:rPr>
          <w:rFonts w:eastAsia="Calibri"/>
        </w:rPr>
        <w:tab/>
        <w:t>Curtailable</w:t>
      </w:r>
      <w:r w:rsidRPr="00B6080F">
        <w:rPr>
          <w:rFonts w:eastAsia="Calibri"/>
        </w:rPr>
        <w:tab/>
      </w:r>
      <w:r w:rsidRPr="00B6080F">
        <w:rPr>
          <w:rFonts w:eastAsia="Calibri"/>
        </w:rPr>
        <w:tab/>
      </w:r>
      <w:r w:rsidRPr="00B6080F">
        <w:rPr>
          <w:rFonts w:eastAsia="Calibri"/>
        </w:rPr>
        <w:tab/>
      </w:r>
      <w:r w:rsidRPr="00B6080F">
        <w:rPr>
          <w:rFonts w:eastAsia="Calibri"/>
        </w:rPr>
        <w:tab/>
      </w:r>
      <w:r w:rsidRPr="00B6080F">
        <w:rPr>
          <w:rFonts w:eastAsia="Calibri"/>
        </w:rPr>
        <w:tab/>
      </w:r>
      <w:r w:rsidRPr="00B6080F">
        <w:rPr>
          <w:rFonts w:eastAsia="Calibri"/>
        </w:rPr>
        <w:tab/>
        <w:t>0.98 $/kW</w:t>
      </w:r>
    </w:p>
    <w:p w:rsidR="00D74615" w:rsidRPr="00B6080F" w:rsidRDefault="00D74615" w:rsidP="00D74615">
      <w:pPr>
        <w:adjustRightInd w:val="0"/>
        <w:spacing w:line="276" w:lineRule="auto"/>
        <w:rPr>
          <w:rFonts w:eastAsia="Calibri"/>
        </w:rPr>
      </w:pPr>
      <w:r w:rsidRPr="00B6080F">
        <w:rPr>
          <w:rFonts w:eastAsia="Calibri"/>
        </w:rPr>
        <w:tab/>
      </w:r>
      <w:r w:rsidRPr="00B6080F">
        <w:rPr>
          <w:rFonts w:eastAsia="Calibri"/>
        </w:rPr>
        <w:tab/>
        <w:t xml:space="preserve">   @ Primary Voltage</w:t>
      </w:r>
      <w:r w:rsidRPr="00B6080F">
        <w:rPr>
          <w:rFonts w:eastAsia="Calibri"/>
        </w:rPr>
        <w:tab/>
      </w:r>
      <w:r w:rsidRPr="00B6080F">
        <w:rPr>
          <w:rFonts w:eastAsia="Calibri"/>
        </w:rPr>
        <w:tab/>
      </w:r>
      <w:r w:rsidRPr="00B6080F">
        <w:rPr>
          <w:rFonts w:eastAsia="Calibri"/>
        </w:rPr>
        <w:tab/>
      </w:r>
      <w:r w:rsidRPr="00B6080F">
        <w:rPr>
          <w:rFonts w:eastAsia="Calibri"/>
        </w:rPr>
        <w:tab/>
      </w:r>
      <w:r w:rsidRPr="00B6080F">
        <w:rPr>
          <w:rFonts w:eastAsia="Calibri"/>
        </w:rPr>
        <w:tab/>
        <w:t>0.97 $/kW</w:t>
      </w:r>
    </w:p>
    <w:p w:rsidR="00D74615" w:rsidRPr="00B6080F" w:rsidRDefault="00D74615" w:rsidP="00D74615">
      <w:pPr>
        <w:adjustRightInd w:val="0"/>
        <w:spacing w:line="276" w:lineRule="auto"/>
        <w:rPr>
          <w:rFonts w:eastAsia="Calibri"/>
        </w:rPr>
      </w:pPr>
      <w:r w:rsidRPr="00B6080F">
        <w:rPr>
          <w:rFonts w:eastAsia="Calibri"/>
        </w:rPr>
        <w:tab/>
      </w:r>
      <w:r w:rsidRPr="00B6080F">
        <w:rPr>
          <w:rFonts w:eastAsia="Calibri"/>
        </w:rPr>
        <w:tab/>
        <w:t xml:space="preserve">   @ Transmission Voltage</w:t>
      </w:r>
      <w:r w:rsidRPr="00B6080F">
        <w:rPr>
          <w:rFonts w:eastAsia="Calibri"/>
        </w:rPr>
        <w:tab/>
      </w:r>
      <w:r w:rsidRPr="00B6080F">
        <w:rPr>
          <w:rFonts w:eastAsia="Calibri"/>
        </w:rPr>
        <w:tab/>
      </w:r>
      <w:r w:rsidRPr="00B6080F">
        <w:rPr>
          <w:rFonts w:eastAsia="Calibri"/>
        </w:rPr>
        <w:tab/>
      </w:r>
      <w:r w:rsidRPr="00B6080F">
        <w:rPr>
          <w:rFonts w:eastAsia="Calibri"/>
        </w:rPr>
        <w:tab/>
        <w:t xml:space="preserve">0.96 $/kW </w:t>
      </w:r>
    </w:p>
    <w:p w:rsidR="00D74615" w:rsidRPr="00D508E7" w:rsidRDefault="00D74615" w:rsidP="00D74615">
      <w:pPr>
        <w:adjustRightInd w:val="0"/>
        <w:spacing w:line="276" w:lineRule="auto"/>
        <w:rPr>
          <w:rFonts w:eastAsia="Calibri"/>
        </w:rPr>
      </w:pPr>
      <w:r w:rsidRPr="00D508E7">
        <w:rPr>
          <w:rFonts w:eastAsia="Calibri"/>
        </w:rPr>
        <w:tab/>
      </w:r>
      <w:r w:rsidRPr="00D508E7">
        <w:rPr>
          <w:rFonts w:eastAsia="Calibri"/>
        </w:rPr>
        <w:tab/>
        <w:t>Interruptible</w:t>
      </w:r>
      <w:r w:rsidRPr="00D508E7">
        <w:rPr>
          <w:rFonts w:eastAsia="Calibri"/>
        </w:rPr>
        <w:tab/>
      </w:r>
      <w:r w:rsidRPr="00D508E7">
        <w:rPr>
          <w:rFonts w:eastAsia="Calibri"/>
        </w:rPr>
        <w:tab/>
      </w:r>
      <w:r w:rsidRPr="00D508E7">
        <w:rPr>
          <w:rFonts w:eastAsia="Calibri"/>
        </w:rPr>
        <w:tab/>
      </w:r>
      <w:r w:rsidRPr="00D508E7">
        <w:rPr>
          <w:rFonts w:eastAsia="Calibri"/>
        </w:rPr>
        <w:tab/>
      </w:r>
      <w:r w:rsidRPr="00D508E7">
        <w:rPr>
          <w:rFonts w:eastAsia="Calibri"/>
        </w:rPr>
        <w:tab/>
      </w:r>
      <w:r w:rsidRPr="00D508E7">
        <w:rPr>
          <w:rFonts w:eastAsia="Calibri"/>
        </w:rPr>
        <w:tab/>
        <w:t xml:space="preserve">0.80 $/kW </w:t>
      </w:r>
    </w:p>
    <w:p w:rsidR="00D74615" w:rsidRPr="00D508E7" w:rsidRDefault="00D74615" w:rsidP="00D74615">
      <w:pPr>
        <w:adjustRightInd w:val="0"/>
        <w:spacing w:line="276" w:lineRule="auto"/>
        <w:rPr>
          <w:rFonts w:eastAsia="Calibri"/>
        </w:rPr>
      </w:pPr>
      <w:r w:rsidRPr="00D508E7">
        <w:rPr>
          <w:rFonts w:eastAsia="Calibri"/>
        </w:rPr>
        <w:tab/>
      </w:r>
      <w:r w:rsidRPr="00D508E7">
        <w:rPr>
          <w:rFonts w:eastAsia="Calibri"/>
        </w:rPr>
        <w:tab/>
        <w:t xml:space="preserve">   @ Primary Voltage</w:t>
      </w:r>
      <w:r w:rsidRPr="00D508E7">
        <w:rPr>
          <w:rFonts w:eastAsia="Calibri"/>
        </w:rPr>
        <w:tab/>
      </w:r>
      <w:r w:rsidRPr="00D508E7">
        <w:rPr>
          <w:rFonts w:eastAsia="Calibri"/>
        </w:rPr>
        <w:tab/>
      </w:r>
      <w:r w:rsidRPr="00D508E7">
        <w:rPr>
          <w:rFonts w:eastAsia="Calibri"/>
        </w:rPr>
        <w:tab/>
      </w:r>
      <w:r w:rsidRPr="00D508E7">
        <w:rPr>
          <w:rFonts w:eastAsia="Calibri"/>
        </w:rPr>
        <w:tab/>
      </w:r>
      <w:r w:rsidRPr="00D508E7">
        <w:rPr>
          <w:rFonts w:eastAsia="Calibri"/>
        </w:rPr>
        <w:tab/>
        <w:t>0.59 $/kW</w:t>
      </w:r>
    </w:p>
    <w:p w:rsidR="00D74615" w:rsidRPr="00D508E7" w:rsidRDefault="00D74615" w:rsidP="00D74615">
      <w:pPr>
        <w:adjustRightInd w:val="0"/>
        <w:spacing w:line="276" w:lineRule="auto"/>
        <w:rPr>
          <w:rFonts w:eastAsia="Calibri"/>
        </w:rPr>
      </w:pPr>
      <w:r w:rsidRPr="00D508E7">
        <w:rPr>
          <w:rFonts w:eastAsia="Calibri"/>
        </w:rPr>
        <w:tab/>
      </w:r>
      <w:r w:rsidRPr="00D508E7">
        <w:rPr>
          <w:rFonts w:eastAsia="Calibri"/>
        </w:rPr>
        <w:tab/>
        <w:t xml:space="preserve">   @ Transmission Voltage</w:t>
      </w:r>
      <w:r w:rsidRPr="00D508E7">
        <w:rPr>
          <w:rFonts w:eastAsia="Calibri"/>
        </w:rPr>
        <w:tab/>
      </w:r>
      <w:r w:rsidRPr="00D508E7">
        <w:rPr>
          <w:rFonts w:eastAsia="Calibri"/>
        </w:rPr>
        <w:tab/>
      </w:r>
      <w:r w:rsidRPr="00D508E7">
        <w:rPr>
          <w:rFonts w:eastAsia="Calibri"/>
        </w:rPr>
        <w:tab/>
      </w:r>
      <w:r w:rsidRPr="00D508E7">
        <w:rPr>
          <w:rFonts w:eastAsia="Calibri"/>
        </w:rPr>
        <w:tab/>
        <w:t xml:space="preserve">0.14 $/kW </w:t>
      </w:r>
    </w:p>
    <w:p w:rsidR="00D74615" w:rsidRPr="0093171F" w:rsidRDefault="00D74615" w:rsidP="00D74615">
      <w:pPr>
        <w:adjustRightInd w:val="0"/>
        <w:spacing w:line="276" w:lineRule="auto"/>
        <w:rPr>
          <w:rFonts w:eastAsia="Calibri"/>
        </w:rPr>
      </w:pPr>
      <w:r w:rsidRPr="0093171F">
        <w:rPr>
          <w:rFonts w:eastAsia="Calibri"/>
        </w:rPr>
        <w:tab/>
      </w:r>
      <w:r w:rsidRPr="0093171F">
        <w:rPr>
          <w:rFonts w:eastAsia="Calibri"/>
        </w:rPr>
        <w:tab/>
        <w:t>Standby Monthly</w:t>
      </w:r>
      <w:r w:rsidRPr="0093171F">
        <w:rPr>
          <w:rFonts w:eastAsia="Calibri"/>
        </w:rPr>
        <w:tab/>
      </w:r>
      <w:r w:rsidRPr="0093171F">
        <w:rPr>
          <w:rFonts w:eastAsia="Calibri"/>
        </w:rPr>
        <w:tab/>
      </w:r>
      <w:r w:rsidRPr="0093171F">
        <w:rPr>
          <w:rFonts w:eastAsia="Calibri"/>
        </w:rPr>
        <w:tab/>
      </w:r>
      <w:r w:rsidRPr="0093171F">
        <w:rPr>
          <w:rFonts w:eastAsia="Calibri"/>
        </w:rPr>
        <w:tab/>
      </w:r>
      <w:r w:rsidRPr="0093171F">
        <w:rPr>
          <w:rFonts w:eastAsia="Calibri"/>
        </w:rPr>
        <w:tab/>
        <w:t>0.094 $/kW</w:t>
      </w:r>
    </w:p>
    <w:p w:rsidR="00D74615" w:rsidRPr="0093171F" w:rsidRDefault="00D74615" w:rsidP="00D74615">
      <w:pPr>
        <w:adjustRightInd w:val="0"/>
        <w:spacing w:line="276" w:lineRule="auto"/>
        <w:rPr>
          <w:rFonts w:eastAsia="Calibri"/>
        </w:rPr>
      </w:pPr>
      <w:r w:rsidRPr="0093171F">
        <w:rPr>
          <w:rFonts w:eastAsia="Calibri"/>
        </w:rPr>
        <w:tab/>
      </w:r>
      <w:r w:rsidRPr="0093171F">
        <w:rPr>
          <w:rFonts w:eastAsia="Calibri"/>
        </w:rPr>
        <w:tab/>
        <w:t xml:space="preserve">   @ Primary Voltage</w:t>
      </w:r>
      <w:r w:rsidRPr="0093171F">
        <w:rPr>
          <w:rFonts w:eastAsia="Calibri"/>
        </w:rPr>
        <w:tab/>
      </w:r>
      <w:r w:rsidRPr="0093171F">
        <w:rPr>
          <w:rFonts w:eastAsia="Calibri"/>
        </w:rPr>
        <w:tab/>
      </w:r>
      <w:r w:rsidRPr="0093171F">
        <w:rPr>
          <w:rFonts w:eastAsia="Calibri"/>
        </w:rPr>
        <w:tab/>
      </w:r>
      <w:r w:rsidRPr="0093171F">
        <w:rPr>
          <w:rFonts w:eastAsia="Calibri"/>
        </w:rPr>
        <w:tab/>
      </w:r>
      <w:r w:rsidRPr="0093171F">
        <w:rPr>
          <w:rFonts w:eastAsia="Calibri"/>
        </w:rPr>
        <w:tab/>
        <w:t>0.093 $/kW</w:t>
      </w:r>
    </w:p>
    <w:p w:rsidR="00D74615" w:rsidRPr="0093171F" w:rsidRDefault="00D74615" w:rsidP="00D74615">
      <w:pPr>
        <w:adjustRightInd w:val="0"/>
        <w:spacing w:line="276" w:lineRule="auto"/>
        <w:rPr>
          <w:rFonts w:eastAsia="Calibri"/>
        </w:rPr>
      </w:pPr>
      <w:r w:rsidRPr="0093171F">
        <w:rPr>
          <w:rFonts w:eastAsia="Calibri"/>
        </w:rPr>
        <w:tab/>
      </w:r>
      <w:r w:rsidRPr="0093171F">
        <w:rPr>
          <w:rFonts w:eastAsia="Calibri"/>
        </w:rPr>
        <w:tab/>
        <w:t xml:space="preserve">   @ Transmission Voltage</w:t>
      </w:r>
      <w:r w:rsidRPr="0093171F">
        <w:rPr>
          <w:rFonts w:eastAsia="Calibri"/>
        </w:rPr>
        <w:tab/>
      </w:r>
      <w:r w:rsidRPr="0093171F">
        <w:rPr>
          <w:rFonts w:eastAsia="Calibri"/>
        </w:rPr>
        <w:tab/>
      </w:r>
      <w:r w:rsidRPr="0093171F">
        <w:rPr>
          <w:rFonts w:eastAsia="Calibri"/>
        </w:rPr>
        <w:tab/>
      </w:r>
      <w:r w:rsidRPr="0093171F">
        <w:rPr>
          <w:rFonts w:eastAsia="Calibri"/>
        </w:rPr>
        <w:tab/>
        <w:t>0.092 $/kW</w:t>
      </w:r>
    </w:p>
    <w:p w:rsidR="00D74615" w:rsidRPr="0093171F" w:rsidRDefault="00D74615" w:rsidP="00D74615">
      <w:pPr>
        <w:adjustRightInd w:val="0"/>
        <w:spacing w:line="276" w:lineRule="auto"/>
        <w:rPr>
          <w:rFonts w:eastAsia="Calibri"/>
        </w:rPr>
      </w:pPr>
      <w:r w:rsidRPr="0093171F">
        <w:rPr>
          <w:rFonts w:eastAsia="Calibri"/>
        </w:rPr>
        <w:tab/>
      </w:r>
      <w:r w:rsidRPr="0093171F">
        <w:rPr>
          <w:rFonts w:eastAsia="Calibri"/>
        </w:rPr>
        <w:tab/>
        <w:t>Standby Daily</w:t>
      </w:r>
      <w:r w:rsidRPr="0093171F">
        <w:rPr>
          <w:rFonts w:eastAsia="Calibri"/>
        </w:rPr>
        <w:tab/>
      </w:r>
      <w:r w:rsidRPr="0093171F">
        <w:rPr>
          <w:rFonts w:eastAsia="Calibri"/>
        </w:rPr>
        <w:tab/>
      </w:r>
      <w:r w:rsidRPr="0093171F">
        <w:rPr>
          <w:rFonts w:eastAsia="Calibri"/>
        </w:rPr>
        <w:tab/>
      </w:r>
      <w:r w:rsidRPr="0093171F">
        <w:rPr>
          <w:rFonts w:eastAsia="Calibri"/>
        </w:rPr>
        <w:tab/>
      </w:r>
      <w:r w:rsidRPr="0093171F">
        <w:rPr>
          <w:rFonts w:eastAsia="Calibri"/>
        </w:rPr>
        <w:tab/>
      </w:r>
      <w:r w:rsidRPr="0093171F">
        <w:rPr>
          <w:rFonts w:eastAsia="Calibri"/>
        </w:rPr>
        <w:tab/>
        <w:t xml:space="preserve">0.045 $/kW </w:t>
      </w:r>
    </w:p>
    <w:p w:rsidR="00D74615" w:rsidRPr="0093171F" w:rsidRDefault="00D74615" w:rsidP="00D74615">
      <w:pPr>
        <w:adjustRightInd w:val="0"/>
        <w:spacing w:line="276" w:lineRule="auto"/>
        <w:rPr>
          <w:rFonts w:eastAsia="Calibri"/>
        </w:rPr>
      </w:pPr>
      <w:r w:rsidRPr="0093171F">
        <w:rPr>
          <w:rFonts w:eastAsia="Calibri"/>
        </w:rPr>
        <w:tab/>
      </w:r>
      <w:r w:rsidRPr="0093171F">
        <w:rPr>
          <w:rFonts w:eastAsia="Calibri"/>
        </w:rPr>
        <w:tab/>
        <w:t xml:space="preserve">   @ Primary Voltage</w:t>
      </w:r>
      <w:r w:rsidRPr="0093171F">
        <w:rPr>
          <w:rFonts w:eastAsia="Calibri"/>
        </w:rPr>
        <w:tab/>
      </w:r>
      <w:r w:rsidRPr="0093171F">
        <w:rPr>
          <w:rFonts w:eastAsia="Calibri"/>
        </w:rPr>
        <w:tab/>
      </w:r>
      <w:r w:rsidRPr="0093171F">
        <w:rPr>
          <w:rFonts w:eastAsia="Calibri"/>
        </w:rPr>
        <w:tab/>
      </w:r>
      <w:r w:rsidRPr="0093171F">
        <w:rPr>
          <w:rFonts w:eastAsia="Calibri"/>
        </w:rPr>
        <w:tab/>
      </w:r>
      <w:r w:rsidRPr="0093171F">
        <w:rPr>
          <w:rFonts w:eastAsia="Calibri"/>
        </w:rPr>
        <w:tab/>
        <w:t xml:space="preserve">0.045 $/kW </w:t>
      </w:r>
    </w:p>
    <w:p w:rsidR="00D74615" w:rsidRPr="0093171F" w:rsidRDefault="00D74615" w:rsidP="00D74615">
      <w:pPr>
        <w:adjustRightInd w:val="0"/>
        <w:spacing w:line="276" w:lineRule="auto"/>
        <w:rPr>
          <w:rFonts w:eastAsia="Calibri"/>
        </w:rPr>
      </w:pPr>
      <w:r w:rsidRPr="0093171F">
        <w:rPr>
          <w:rFonts w:eastAsia="Calibri"/>
        </w:rPr>
        <w:tab/>
      </w:r>
      <w:r w:rsidRPr="0093171F">
        <w:rPr>
          <w:rFonts w:eastAsia="Calibri"/>
        </w:rPr>
        <w:tab/>
        <w:t xml:space="preserve">   @ Transmission Voltage</w:t>
      </w:r>
      <w:r w:rsidRPr="0093171F">
        <w:rPr>
          <w:rFonts w:eastAsia="Calibri"/>
        </w:rPr>
        <w:tab/>
      </w:r>
      <w:r w:rsidRPr="0093171F">
        <w:rPr>
          <w:rFonts w:eastAsia="Calibri"/>
        </w:rPr>
        <w:tab/>
      </w:r>
      <w:r w:rsidRPr="0093171F">
        <w:rPr>
          <w:rFonts w:eastAsia="Calibri"/>
        </w:rPr>
        <w:tab/>
      </w:r>
      <w:r w:rsidRPr="0093171F">
        <w:rPr>
          <w:rFonts w:eastAsia="Calibri"/>
        </w:rPr>
        <w:tab/>
        <w:t xml:space="preserve">0.044 $/kW </w:t>
      </w:r>
    </w:p>
    <w:p w:rsidR="00D74615" w:rsidRPr="004F23A2" w:rsidRDefault="00D74615" w:rsidP="00D74615">
      <w:pPr>
        <w:adjustRightInd w:val="0"/>
        <w:spacing w:line="276" w:lineRule="auto"/>
        <w:rPr>
          <w:rFonts w:eastAsia="Calibri"/>
        </w:rPr>
      </w:pPr>
      <w:r w:rsidRPr="00B674B5">
        <w:rPr>
          <w:rFonts w:eastAsia="Calibri"/>
        </w:rPr>
        <w:tab/>
      </w:r>
      <w:r w:rsidRPr="00B674B5">
        <w:rPr>
          <w:rFonts w:eastAsia="Calibri"/>
        </w:rPr>
        <w:tab/>
        <w:t>Lighting</w:t>
      </w:r>
      <w:r w:rsidRPr="00B674B5">
        <w:rPr>
          <w:rFonts w:eastAsia="Calibri"/>
        </w:rPr>
        <w:tab/>
      </w:r>
      <w:r w:rsidRPr="00B674B5">
        <w:rPr>
          <w:rFonts w:eastAsia="Calibri"/>
        </w:rPr>
        <w:tab/>
      </w:r>
      <w:r w:rsidRPr="00B674B5">
        <w:rPr>
          <w:rFonts w:eastAsia="Calibri"/>
        </w:rPr>
        <w:tab/>
      </w:r>
      <w:r w:rsidRPr="00B674B5">
        <w:rPr>
          <w:rFonts w:eastAsia="Calibri"/>
        </w:rPr>
        <w:tab/>
      </w:r>
      <w:r w:rsidRPr="00B674B5">
        <w:rPr>
          <w:rFonts w:eastAsia="Calibri"/>
        </w:rPr>
        <w:tab/>
      </w:r>
      <w:r w:rsidRPr="00B674B5">
        <w:rPr>
          <w:rFonts w:eastAsia="Calibri"/>
        </w:rPr>
        <w:tab/>
        <w:t>0.306 cents/kWh</w:t>
      </w:r>
      <w:r w:rsidRPr="00B1246F">
        <w:rPr>
          <w:rFonts w:eastAsia="Calibri"/>
        </w:rPr>
        <w:t xml:space="preserve"> </w:t>
      </w:r>
    </w:p>
    <w:p w:rsidR="00D74615" w:rsidRPr="007C13A6" w:rsidRDefault="00D74615" w:rsidP="00D74615">
      <w:pPr>
        <w:ind w:left="1440" w:hanging="1440"/>
        <w:jc w:val="both"/>
        <w:rPr>
          <w:b/>
        </w:rPr>
      </w:pP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p>
    <w:p w:rsidR="00042DA4" w:rsidRDefault="00042DA4" w:rsidP="00042DA4">
      <w:pPr>
        <w:pStyle w:val="OrderBody"/>
      </w:pPr>
      <w:r>
        <w:tab/>
        <w:t>We also approve the following stipulation between Walmart and FPUC:</w:t>
      </w:r>
    </w:p>
    <w:p w:rsidR="00042DA4" w:rsidRDefault="00042DA4" w:rsidP="00042DA4">
      <w:pPr>
        <w:pStyle w:val="OrderBody"/>
      </w:pPr>
    </w:p>
    <w:p w:rsidR="00042DA4" w:rsidRDefault="00042DA4" w:rsidP="00042DA4">
      <w:pPr>
        <w:spacing w:after="160" w:line="252" w:lineRule="auto"/>
        <w:ind w:left="720" w:right="720"/>
        <w:jc w:val="both"/>
      </w:pPr>
      <w:r>
        <w:t xml:space="preserve">FPUC and Walmart (the “Parties”) agree to work towards a potential modification to FPUC’s cost allocation in this proceeding consistent with the testimonies of Witnesses Waruszewski and Perry.  For purposes of this 2022 proceeding, the Parties agree that, given the current schedule, it may be necessary to implement the SPPCRC Cost Recovery Factors as set forth in Michelle Napier’s Revised Exhibit MDN-1 and that those factors are otherwise appropriate for implementation with the first billing cycle for January 1, 2023.  The Parties will nonetheless endeavor to reach an agreement as to a revised cost allocation methodology prior to the hearing in this proceeding, in which case, if approved by the Commission, the Parties’ intent would be that the revised allocation methodology would be reflected in FPUC’s true up filing in 2023, and thereafter, used to calculate subsequent SPPCRC factors for FPUC beginning with the factors developed for 2024 and continuing beyond.  The Parties likewise agree that the testimony of the witnesses for both Walmart and FPUC can be entered </w:t>
      </w:r>
      <w:r>
        <w:lastRenderedPageBreak/>
        <w:t>into the record and that neither would be subject to cross by the other Party.   In the event that the Parties are unable to reach an agreement as to an appropriate revised allocation methodology, Walmart would not be precluded from raising the issue in the 2023 SPPCRC proceeding.</w:t>
      </w:r>
    </w:p>
    <w:p w:rsidR="00D74615" w:rsidRDefault="00D74615" w:rsidP="00D74615">
      <w:pPr>
        <w:jc w:val="both"/>
      </w:pPr>
    </w:p>
    <w:p w:rsidR="00D74615" w:rsidRPr="000B38DD" w:rsidRDefault="0006561D" w:rsidP="00D74615">
      <w:pPr>
        <w:rPr>
          <w:b/>
          <w:u w:val="single"/>
        </w:rPr>
      </w:pPr>
      <w:r>
        <w:rPr>
          <w:b/>
          <w:bCs/>
        </w:rPr>
        <w:t>4</w:t>
      </w:r>
      <w:r w:rsidR="00B27CFC" w:rsidRPr="00B27CFC">
        <w:rPr>
          <w:b/>
          <w:bCs/>
        </w:rPr>
        <w:t>.</w:t>
      </w:r>
      <w:r w:rsidR="00D74615" w:rsidRPr="00C64C6F">
        <w:tab/>
      </w:r>
      <w:r w:rsidR="00B27CFC" w:rsidRPr="0006561D">
        <w:rPr>
          <w:b/>
          <w:u w:val="single"/>
        </w:rPr>
        <w:t>E</w:t>
      </w:r>
      <w:r w:rsidR="00D74615" w:rsidRPr="0006561D">
        <w:rPr>
          <w:rFonts w:eastAsia="Calibri"/>
          <w:b/>
          <w:bCs/>
          <w:u w:val="single"/>
        </w:rPr>
        <w:t xml:space="preserve">ffective date of the new </w:t>
      </w:r>
      <w:r w:rsidR="00B27CFC" w:rsidRPr="0006561D">
        <w:rPr>
          <w:rFonts w:eastAsia="Calibri"/>
          <w:b/>
          <w:bCs/>
          <w:u w:val="single"/>
        </w:rPr>
        <w:t>SPPCRC</w:t>
      </w:r>
      <w:r w:rsidR="00D74615" w:rsidRPr="0006561D">
        <w:rPr>
          <w:rFonts w:eastAsia="Calibri"/>
          <w:b/>
          <w:bCs/>
          <w:u w:val="single"/>
        </w:rPr>
        <w:t xml:space="preserve"> factors for billing purposes</w:t>
      </w:r>
    </w:p>
    <w:p w:rsidR="00D74615" w:rsidRPr="00701945" w:rsidRDefault="00D74615" w:rsidP="00D74615">
      <w:pPr>
        <w:jc w:val="both"/>
      </w:pPr>
    </w:p>
    <w:p w:rsidR="00D74615" w:rsidRPr="007C13A6" w:rsidRDefault="007C0235" w:rsidP="007C0235">
      <w:pPr>
        <w:jc w:val="both"/>
        <w:rPr>
          <w:b/>
        </w:rPr>
      </w:pPr>
      <w:r>
        <w:rPr>
          <w:rFonts w:eastAsia="Calibri"/>
        </w:rPr>
        <w:tab/>
      </w:r>
      <w:r w:rsidR="00D74615" w:rsidRPr="00BD1E62">
        <w:rPr>
          <w:rFonts w:eastAsia="Calibri"/>
        </w:rPr>
        <w:t>Th</w:t>
      </w:r>
      <w:r w:rsidR="00862ED2">
        <w:rPr>
          <w:rFonts w:eastAsia="Calibri"/>
        </w:rPr>
        <w:t>e factors shall be effective beginning with the</w:t>
      </w:r>
      <w:r w:rsidR="00D74615" w:rsidRPr="00BD1E62">
        <w:rPr>
          <w:rFonts w:eastAsia="Calibri"/>
        </w:rPr>
        <w:t xml:space="preserve"> </w:t>
      </w:r>
      <w:r w:rsidR="00862ED2">
        <w:rPr>
          <w:rFonts w:eastAsia="Calibri"/>
        </w:rPr>
        <w:t xml:space="preserve">specified SPPCRC cycle and thereafter for </w:t>
      </w:r>
      <w:r w:rsidR="00D74615" w:rsidRPr="00BD1E62">
        <w:rPr>
          <w:rFonts w:eastAsia="Calibri"/>
        </w:rPr>
        <w:t>the period January 2023 through December 2023.  Billing cycles may start before January 1, 2023</w:t>
      </w:r>
      <w:r w:rsidR="00862ED2">
        <w:rPr>
          <w:rFonts w:eastAsia="Calibri"/>
        </w:rPr>
        <w:t>,</w:t>
      </w:r>
      <w:r w:rsidR="00D74615" w:rsidRPr="00BD1E62">
        <w:rPr>
          <w:rFonts w:eastAsia="Calibri"/>
        </w:rPr>
        <w:t xml:space="preserve"> and the last cycle may be read after December 31, 2023, so that each customer is billed for twelve months, </w:t>
      </w:r>
      <w:r w:rsidR="00D74615" w:rsidRPr="00BD1E62">
        <w:rPr>
          <w:rFonts w:eastAsia="Calibri"/>
          <w:color w:val="000000"/>
        </w:rPr>
        <w:t>regardless of when the adjustment factor became effective.  These charges shall continue in effect until modified by subsequent order of this Commission</w:t>
      </w:r>
      <w:r w:rsidR="00D74615" w:rsidRPr="00BD1E62">
        <w:t>.</w:t>
      </w:r>
    </w:p>
    <w:p w:rsidR="00595E10" w:rsidRDefault="00595E10" w:rsidP="00D74615">
      <w:pPr>
        <w:jc w:val="both"/>
      </w:pPr>
    </w:p>
    <w:p w:rsidR="00D74615" w:rsidRPr="0006561D" w:rsidRDefault="0006561D" w:rsidP="00011ED5">
      <w:pPr>
        <w:jc w:val="both"/>
      </w:pPr>
      <w:r>
        <w:rPr>
          <w:b/>
          <w:bCs/>
        </w:rPr>
        <w:t>5</w:t>
      </w:r>
      <w:r w:rsidR="00EC5296">
        <w:rPr>
          <w:b/>
          <w:bCs/>
        </w:rPr>
        <w:t>.</w:t>
      </w:r>
      <w:r w:rsidR="00D74615" w:rsidRPr="00C64C6F">
        <w:tab/>
      </w:r>
      <w:r>
        <w:rPr>
          <w:b/>
          <w:u w:val="single"/>
        </w:rPr>
        <w:t>Tariffs</w:t>
      </w:r>
    </w:p>
    <w:p w:rsidR="00D74615" w:rsidRDefault="00D74615" w:rsidP="00D74615">
      <w:pPr>
        <w:jc w:val="both"/>
      </w:pPr>
    </w:p>
    <w:p w:rsidR="0006561D" w:rsidRDefault="00862ED2" w:rsidP="0006561D">
      <w:pPr>
        <w:jc w:val="both"/>
        <w:rPr>
          <w:color w:val="000000"/>
          <w:sz w:val="22"/>
          <w:szCs w:val="22"/>
          <w:shd w:val="clear" w:color="auto" w:fill="FFFFFF"/>
        </w:rPr>
      </w:pPr>
      <w:r>
        <w:tab/>
      </w:r>
      <w:r w:rsidR="0006561D">
        <w:rPr>
          <w:color w:val="000000"/>
          <w:shd w:val="clear" w:color="auto" w:fill="FFFFFF"/>
        </w:rPr>
        <w:t>We hereby grant our staff the authority to administratively approve tariff sheets consistent with our decisions as stated in the body of this Order.</w:t>
      </w:r>
    </w:p>
    <w:p w:rsidR="0006561D" w:rsidRDefault="0006561D"/>
    <w:p w:rsidR="0006561D" w:rsidRPr="0006561D" w:rsidRDefault="0006561D">
      <w:r>
        <w:rPr>
          <w:b/>
        </w:rPr>
        <w:t>6.</w:t>
      </w:r>
      <w:r>
        <w:rPr>
          <w:b/>
        </w:rPr>
        <w:tab/>
      </w:r>
      <w:r>
        <w:rPr>
          <w:b/>
          <w:u w:val="single"/>
        </w:rPr>
        <w:t>Continuing Docket</w:t>
      </w:r>
    </w:p>
    <w:p w:rsidR="00862ED2" w:rsidRDefault="00862ED2"/>
    <w:p w:rsidR="0006561D" w:rsidRPr="0006561D" w:rsidRDefault="0006561D" w:rsidP="0006561D">
      <w:pPr>
        <w:jc w:val="both"/>
        <w:rPr>
          <w:sz w:val="22"/>
          <w:szCs w:val="22"/>
        </w:rPr>
      </w:pPr>
      <w:r>
        <w:tab/>
        <w:t>While a separate docket number is assigned each year, this is a continuing docket and shall remain open for administrative convenience.</w:t>
      </w:r>
    </w:p>
    <w:p w:rsidR="0006561D" w:rsidRDefault="0006561D" w:rsidP="00147C82">
      <w:pPr>
        <w:pStyle w:val="OrderBody"/>
      </w:pPr>
    </w:p>
    <w:p w:rsidR="00147C82" w:rsidRDefault="00147C82" w:rsidP="00147C82">
      <w:pPr>
        <w:pStyle w:val="OrderBody"/>
      </w:pPr>
      <w:r>
        <w:tab/>
        <w:t>Based on the foregoing, it is</w:t>
      </w:r>
    </w:p>
    <w:p w:rsidR="00147C82" w:rsidRDefault="00147C82" w:rsidP="00147C82">
      <w:pPr>
        <w:pStyle w:val="OrderBody"/>
      </w:pPr>
    </w:p>
    <w:p w:rsidR="00147C82" w:rsidRDefault="00147C82" w:rsidP="00147C82">
      <w:pPr>
        <w:pStyle w:val="OrderBody"/>
      </w:pPr>
      <w:r>
        <w:tab/>
        <w:t>ORDERED by the Florida Public Service Commission that</w:t>
      </w:r>
      <w:r w:rsidR="003B304C">
        <w:t xml:space="preserve"> the stipulation, findings, and rulings he</w:t>
      </w:r>
      <w:r w:rsidR="00B571B0">
        <w:t>rein are approved. It is further</w:t>
      </w:r>
    </w:p>
    <w:p w:rsidR="003B304C" w:rsidRDefault="003B304C" w:rsidP="00147C82">
      <w:pPr>
        <w:pStyle w:val="OrderBody"/>
      </w:pPr>
    </w:p>
    <w:p w:rsidR="003B304C" w:rsidRDefault="003B304C" w:rsidP="00147C82">
      <w:pPr>
        <w:pStyle w:val="OrderBody"/>
      </w:pPr>
      <w:r>
        <w:tab/>
        <w:t xml:space="preserve">ORDERED that each utility that was a party to this docket shall abide by the stipulation, findings, and rulings herein which are applicable to it. It is further </w:t>
      </w:r>
    </w:p>
    <w:p w:rsidR="00A87BCA" w:rsidRDefault="00A87BCA" w:rsidP="00147C82">
      <w:pPr>
        <w:pStyle w:val="OrderBody"/>
      </w:pPr>
    </w:p>
    <w:p w:rsidR="00A87BCA" w:rsidRPr="00A87BCA" w:rsidRDefault="00A87BCA" w:rsidP="00A87BCA">
      <w:pPr>
        <w:autoSpaceDE w:val="0"/>
        <w:autoSpaceDN w:val="0"/>
        <w:adjustRightInd w:val="0"/>
        <w:jc w:val="both"/>
        <w:rPr>
          <w:rFonts w:ascii="TimesNewRomanPSMT" w:hAnsi="TimesNewRomanPSMT" w:cs="TimesNewRomanPSMT"/>
        </w:rPr>
      </w:pPr>
      <w:r>
        <w:rPr>
          <w:rFonts w:ascii="TimesNewRomanPSMT" w:hAnsi="TimesNewRomanPSMT" w:cs="TimesNewRomanPSMT"/>
        </w:rPr>
        <w:tab/>
        <w:t>ORDERED that Duke Energy Florida, LLC, Florida Power &amp; Light Company, Gulf Power Company, Tampa Electric Company, and Florida Public Utilities Company are hereby authorized to apply the storm cost recovery factors set forth above during the period January 2023 through December 2023. It is further</w:t>
      </w:r>
    </w:p>
    <w:p w:rsidR="003B304C" w:rsidRDefault="003B304C" w:rsidP="00A87BCA">
      <w:pPr>
        <w:pStyle w:val="OrderBody"/>
      </w:pPr>
    </w:p>
    <w:p w:rsidR="003B304C" w:rsidRDefault="003B304C" w:rsidP="00147C82">
      <w:pPr>
        <w:pStyle w:val="OrderBody"/>
      </w:pPr>
      <w:r>
        <w:tab/>
        <w:t xml:space="preserve">ORDERED that the storm protection plan cost recovery clause is a continuing docket and shall remain open until a new docket number is assigned next year. </w:t>
      </w:r>
    </w:p>
    <w:p w:rsidR="00147C82" w:rsidRDefault="00147C82" w:rsidP="00147C82">
      <w:pPr>
        <w:pStyle w:val="OrderBody"/>
      </w:pPr>
    </w:p>
    <w:p w:rsidR="00147C82" w:rsidRDefault="00147C82" w:rsidP="00147C82">
      <w:pPr>
        <w:pStyle w:val="OrderBody"/>
        <w:keepNext/>
        <w:keepLines/>
      </w:pPr>
      <w:r>
        <w:lastRenderedPageBreak/>
        <w:tab/>
        <w:t xml:space="preserve">By ORDER of the Florida Public Service Commission this </w:t>
      </w:r>
      <w:bookmarkStart w:id="6" w:name="replaceDate"/>
      <w:bookmarkEnd w:id="6"/>
      <w:r w:rsidR="00DA48DC">
        <w:rPr>
          <w:u w:val="single"/>
        </w:rPr>
        <w:t>12th</w:t>
      </w:r>
      <w:r w:rsidR="00DA48DC">
        <w:t xml:space="preserve"> day of </w:t>
      </w:r>
      <w:r w:rsidR="00DA48DC">
        <w:rPr>
          <w:u w:val="single"/>
        </w:rPr>
        <w:t>December</w:t>
      </w:r>
      <w:r w:rsidR="00DA48DC">
        <w:t xml:space="preserve">, </w:t>
      </w:r>
      <w:r w:rsidR="00DA48DC">
        <w:rPr>
          <w:u w:val="single"/>
        </w:rPr>
        <w:t>2022</w:t>
      </w:r>
      <w:r w:rsidR="00DA48DC">
        <w:t>.</w:t>
      </w:r>
    </w:p>
    <w:p w:rsidR="00DA48DC" w:rsidRPr="00DA48DC" w:rsidRDefault="00DA48DC" w:rsidP="00147C82">
      <w:pPr>
        <w:pStyle w:val="OrderBody"/>
        <w:keepNext/>
        <w:keepLines/>
      </w:pPr>
    </w:p>
    <w:p w:rsidR="00147C82" w:rsidRDefault="00147C82" w:rsidP="00147C82">
      <w:pPr>
        <w:pStyle w:val="OrderBody"/>
        <w:keepNext/>
        <w:keepLines/>
      </w:pPr>
    </w:p>
    <w:p w:rsidR="00147C82" w:rsidRDefault="00147C82" w:rsidP="00147C8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47C82" w:rsidTr="00147C82">
        <w:tc>
          <w:tcPr>
            <w:tcW w:w="720" w:type="dxa"/>
            <w:shd w:val="clear" w:color="auto" w:fill="auto"/>
          </w:tcPr>
          <w:p w:rsidR="00147C82" w:rsidRDefault="00147C82" w:rsidP="00147C82">
            <w:pPr>
              <w:pStyle w:val="OrderBody"/>
              <w:keepNext/>
              <w:keepLines/>
            </w:pPr>
            <w:bookmarkStart w:id="7" w:name="bkmrkSignature" w:colFirst="0" w:colLast="0"/>
          </w:p>
        </w:tc>
        <w:tc>
          <w:tcPr>
            <w:tcW w:w="4320" w:type="dxa"/>
            <w:tcBorders>
              <w:bottom w:val="single" w:sz="4" w:space="0" w:color="auto"/>
            </w:tcBorders>
            <w:shd w:val="clear" w:color="auto" w:fill="auto"/>
          </w:tcPr>
          <w:p w:rsidR="00147C82" w:rsidRDefault="00147C82" w:rsidP="00147C82">
            <w:pPr>
              <w:pStyle w:val="OrderBody"/>
              <w:keepNext/>
              <w:keepLines/>
            </w:pPr>
          </w:p>
        </w:tc>
      </w:tr>
      <w:bookmarkEnd w:id="7"/>
      <w:tr w:rsidR="00147C82" w:rsidTr="00147C82">
        <w:tc>
          <w:tcPr>
            <w:tcW w:w="720" w:type="dxa"/>
            <w:shd w:val="clear" w:color="auto" w:fill="auto"/>
          </w:tcPr>
          <w:p w:rsidR="00147C82" w:rsidRDefault="00147C82" w:rsidP="00147C82">
            <w:pPr>
              <w:pStyle w:val="OrderBody"/>
              <w:keepNext/>
              <w:keepLines/>
            </w:pPr>
          </w:p>
        </w:tc>
        <w:tc>
          <w:tcPr>
            <w:tcW w:w="4320" w:type="dxa"/>
            <w:tcBorders>
              <w:top w:val="single" w:sz="4" w:space="0" w:color="auto"/>
            </w:tcBorders>
            <w:shd w:val="clear" w:color="auto" w:fill="auto"/>
          </w:tcPr>
          <w:p w:rsidR="00147C82" w:rsidRDefault="00147C82" w:rsidP="00147C82">
            <w:pPr>
              <w:pStyle w:val="OrderBody"/>
              <w:keepNext/>
              <w:keepLines/>
            </w:pPr>
            <w:r>
              <w:t>ADAM J. TEITZMAN</w:t>
            </w:r>
          </w:p>
          <w:p w:rsidR="00147C82" w:rsidRDefault="00147C82" w:rsidP="00147C82">
            <w:pPr>
              <w:pStyle w:val="OrderBody"/>
              <w:keepNext/>
              <w:keepLines/>
            </w:pPr>
            <w:r>
              <w:t>Commission Clerk</w:t>
            </w:r>
          </w:p>
        </w:tc>
      </w:tr>
    </w:tbl>
    <w:p w:rsidR="00147C82" w:rsidRDefault="00147C82" w:rsidP="00147C82">
      <w:pPr>
        <w:pStyle w:val="OrderSigInfo"/>
        <w:keepNext/>
        <w:keepLines/>
      </w:pPr>
      <w:r>
        <w:t>Florida Public Service Commission</w:t>
      </w:r>
    </w:p>
    <w:p w:rsidR="00147C82" w:rsidRDefault="00147C82" w:rsidP="00147C82">
      <w:pPr>
        <w:pStyle w:val="OrderSigInfo"/>
        <w:keepNext/>
        <w:keepLines/>
      </w:pPr>
      <w:r>
        <w:t>2540 Shumard Oak Boulevard</w:t>
      </w:r>
    </w:p>
    <w:p w:rsidR="00147C82" w:rsidRDefault="00147C82" w:rsidP="00147C82">
      <w:pPr>
        <w:pStyle w:val="OrderSigInfo"/>
        <w:keepNext/>
        <w:keepLines/>
      </w:pPr>
      <w:r>
        <w:t>Tallahassee, Florida 32399</w:t>
      </w:r>
    </w:p>
    <w:p w:rsidR="00147C82" w:rsidRDefault="00147C82" w:rsidP="00147C82">
      <w:pPr>
        <w:pStyle w:val="OrderSigInfo"/>
        <w:keepNext/>
        <w:keepLines/>
      </w:pPr>
      <w:r>
        <w:t>(850) 413</w:t>
      </w:r>
      <w:r>
        <w:noBreakHyphen/>
        <w:t>6770</w:t>
      </w:r>
    </w:p>
    <w:p w:rsidR="00147C82" w:rsidRDefault="00147C82" w:rsidP="00147C82">
      <w:pPr>
        <w:pStyle w:val="OrderSigInfo"/>
        <w:keepNext/>
        <w:keepLines/>
      </w:pPr>
      <w:r>
        <w:t>www.floridapsc.com</w:t>
      </w:r>
    </w:p>
    <w:p w:rsidR="00147C82" w:rsidRDefault="00147C82" w:rsidP="00147C82">
      <w:pPr>
        <w:pStyle w:val="OrderSigInfo"/>
        <w:keepNext/>
        <w:keepLines/>
      </w:pPr>
    </w:p>
    <w:p w:rsidR="00147C82" w:rsidRDefault="00147C82" w:rsidP="00147C82">
      <w:pPr>
        <w:pStyle w:val="OrderSigInfo"/>
        <w:keepNext/>
        <w:keepLines/>
      </w:pPr>
      <w:r>
        <w:t>Copies furnished:  A copy of this document is provided to the parties of record at the time of issuance and, if applicable, interested persons.</w:t>
      </w:r>
    </w:p>
    <w:p w:rsidR="00147C82" w:rsidRDefault="00147C82" w:rsidP="00147C82">
      <w:pPr>
        <w:pStyle w:val="OrderBody"/>
        <w:keepNext/>
        <w:keepLines/>
      </w:pPr>
    </w:p>
    <w:p w:rsidR="00147C82" w:rsidRDefault="00147C82" w:rsidP="00147C82">
      <w:pPr>
        <w:pStyle w:val="OrderBody"/>
        <w:keepNext/>
        <w:keepLines/>
      </w:pPr>
    </w:p>
    <w:p w:rsidR="00147C82" w:rsidRDefault="00147C82" w:rsidP="00147C82">
      <w:pPr>
        <w:pStyle w:val="OrderBody"/>
        <w:keepNext/>
        <w:keepLines/>
      </w:pPr>
      <w:r>
        <w:t>SPS</w:t>
      </w:r>
    </w:p>
    <w:p w:rsidR="00147C82" w:rsidRDefault="00147C82" w:rsidP="00147C82">
      <w:pPr>
        <w:pStyle w:val="OrderBody"/>
      </w:pPr>
    </w:p>
    <w:p w:rsidR="00147C82" w:rsidRDefault="00147C82" w:rsidP="00147C82">
      <w:pPr>
        <w:pStyle w:val="OrderBody"/>
      </w:pPr>
    </w:p>
    <w:p w:rsidR="00147C82" w:rsidRDefault="00147C82" w:rsidP="00147C82">
      <w:pPr>
        <w:pStyle w:val="OrderBody"/>
      </w:pPr>
    </w:p>
    <w:p w:rsidR="00147C82" w:rsidRDefault="00147C82" w:rsidP="00147C82">
      <w:pPr>
        <w:pStyle w:val="CenterUnderline"/>
      </w:pPr>
      <w:r>
        <w:t>NOTICE OF FURTHER PROCEEDINGS OR JUDICIAL REVIEW</w:t>
      </w:r>
    </w:p>
    <w:p w:rsidR="00147C82" w:rsidRDefault="00147C82" w:rsidP="00147C82">
      <w:pPr>
        <w:pStyle w:val="CenterUnderline"/>
      </w:pPr>
    </w:p>
    <w:p w:rsidR="00147C82" w:rsidRDefault="00147C82" w:rsidP="00147C82">
      <w:pPr>
        <w:pStyle w:val="OrderBody"/>
      </w:pPr>
    </w:p>
    <w:p w:rsidR="00147C82" w:rsidRDefault="00147C82" w:rsidP="00147C8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w:t>
      </w:r>
      <w:bookmarkStart w:id="8" w:name="_GoBack"/>
      <w:bookmarkEnd w:id="8"/>
      <w:r>
        <w:t>sult in the relief sought.</w:t>
      </w:r>
    </w:p>
    <w:p w:rsidR="00147C82" w:rsidRDefault="00147C82" w:rsidP="00147C82">
      <w:pPr>
        <w:pStyle w:val="OrderBody"/>
      </w:pPr>
    </w:p>
    <w:p w:rsidR="00147C82" w:rsidRDefault="00147C82" w:rsidP="00147C82">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147C82">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CF9" w:rsidRDefault="00014CF9">
      <w:r>
        <w:separator/>
      </w:r>
    </w:p>
  </w:endnote>
  <w:endnote w:type="continuationSeparator" w:id="0">
    <w:p w:rsidR="00014CF9" w:rsidRDefault="0001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F9" w:rsidRDefault="00014CF9">
    <w:pPr>
      <w:pStyle w:val="Footer"/>
    </w:pPr>
  </w:p>
  <w:p w:rsidR="00014CF9" w:rsidRDefault="00014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CF9" w:rsidRDefault="00014CF9">
      <w:r>
        <w:separator/>
      </w:r>
    </w:p>
  </w:footnote>
  <w:footnote w:type="continuationSeparator" w:id="0">
    <w:p w:rsidR="00014CF9" w:rsidRDefault="00014CF9">
      <w:r>
        <w:continuationSeparator/>
      </w:r>
    </w:p>
  </w:footnote>
  <w:footnote w:id="1">
    <w:p w:rsidR="00014CF9" w:rsidRPr="000F2BBA" w:rsidRDefault="00014CF9" w:rsidP="00D74615">
      <w:pPr>
        <w:pStyle w:val="FootnoteText"/>
      </w:pPr>
      <w:r w:rsidRPr="000F2BBA">
        <w:rPr>
          <w:rStyle w:val="FootnoteReference"/>
        </w:rPr>
        <w:footnoteRef/>
      </w:r>
      <w:r w:rsidRPr="000F2BBA">
        <w:t xml:space="preserve"> Order No. PSC-2020-0293-AS-EI, issued August 28, 2020,</w:t>
      </w:r>
      <w:r>
        <w:t xml:space="preserve"> in Docket</w:t>
      </w:r>
      <w:r w:rsidRPr="000F2BBA">
        <w:t xml:space="preserve"> </w:t>
      </w:r>
      <w:r>
        <w:t xml:space="preserve">Nos. 20200067-EI, </w:t>
      </w:r>
      <w:r>
        <w:rPr>
          <w:i/>
        </w:rPr>
        <w:t>In re: Review of 2020-2029 Storm Protection Plan pursuant to Rule 25-6.030, F.A.C., Tampa Electric Company</w:t>
      </w:r>
      <w:r>
        <w:t xml:space="preserve">; 20200069-EI, </w:t>
      </w:r>
      <w:r>
        <w:rPr>
          <w:i/>
        </w:rPr>
        <w:t xml:space="preserve">In re: Review of 2020-2029 Storm Protection Plan pursuant to Rule 25-6.030, F.A.C., Duke Energy Florida, LLC; </w:t>
      </w:r>
      <w:r>
        <w:t xml:space="preserve">20200070-EI, </w:t>
      </w:r>
      <w:r>
        <w:rPr>
          <w:i/>
        </w:rPr>
        <w:t xml:space="preserve">In re: Review of 2020-2029 Storm Protection Plan pursuant to Rule 25-6.030, F.A.C., Gulf Power Company; </w:t>
      </w:r>
      <w:r>
        <w:t>20200071-EI,</w:t>
      </w:r>
      <w:r w:rsidRPr="000F2BBA">
        <w:rPr>
          <w:i/>
        </w:rPr>
        <w:t xml:space="preserve"> </w:t>
      </w:r>
      <w:r>
        <w:rPr>
          <w:i/>
        </w:rPr>
        <w:t>In re: Review of 2020-2029 Storm Protection Plan pursuant to Rule 25-6.030, F.A.C., Florida Power &amp; Light Company; and</w:t>
      </w:r>
      <w:r>
        <w:t xml:space="preserve"> 20200092-EI, </w:t>
      </w:r>
      <w:r>
        <w:rPr>
          <w:i/>
        </w:rPr>
        <w:t>In re: Storm Protection Plan cost recovery clause.</w:t>
      </w:r>
    </w:p>
  </w:footnote>
  <w:footnote w:id="2">
    <w:p w:rsidR="00014CF9" w:rsidRDefault="00014CF9" w:rsidP="00D74615">
      <w:pPr>
        <w:pStyle w:val="FootnoteText"/>
      </w:pPr>
      <w:r>
        <w:rPr>
          <w:rStyle w:val="FootnoteReference"/>
        </w:rPr>
        <w:footnoteRef/>
      </w:r>
      <w:r>
        <w:t xml:space="preserve"> The settlement agreements required these utilities to filed updates plans in 2022, consistent with the requirement in section 396.96(6), F.S., that the Commission conduct is review “[a]t least every 3 years.”</w:t>
      </w:r>
    </w:p>
  </w:footnote>
  <w:footnote w:id="3">
    <w:p w:rsidR="00014CF9" w:rsidRDefault="00014CF9" w:rsidP="00D74615">
      <w:pPr>
        <w:pStyle w:val="FootnoteText"/>
      </w:pPr>
      <w:r>
        <w:rPr>
          <w:rStyle w:val="FootnoteReference"/>
        </w:rPr>
        <w:footnoteRef/>
      </w:r>
      <w:r>
        <w:t xml:space="preserve"> Docket Nos. 20220051-EI (FPL), 20220050-EI (DEF) &amp; 20220048-EI (TECO).</w:t>
      </w:r>
    </w:p>
  </w:footnote>
  <w:footnote w:id="4">
    <w:p w:rsidR="00014CF9" w:rsidRPr="00544BCF" w:rsidRDefault="00014CF9" w:rsidP="00D74615">
      <w:pPr>
        <w:pStyle w:val="FootnoteText"/>
        <w:rPr>
          <w:i/>
        </w:rPr>
      </w:pPr>
      <w:r>
        <w:rPr>
          <w:rStyle w:val="FootnoteReference"/>
        </w:rPr>
        <w:footnoteRef/>
      </w:r>
      <w:r>
        <w:t xml:space="preserve"> On March 17, 2020, FPUC</w:t>
      </w:r>
      <w:r w:rsidRPr="00296353">
        <w:t xml:space="preserve"> requested that it be allowed </w:t>
      </w:r>
      <w:r>
        <w:t>to defer the filing of its initial</w:t>
      </w:r>
      <w:r w:rsidRPr="00296353">
        <w:t xml:space="preserve"> SPP for a pe</w:t>
      </w:r>
      <w:r w:rsidRPr="009D3337">
        <w:t>riod of one year, from April 10, 2020, to April 10, 2021. By Order No. PSC-2020-0097-PCO-EI, issued on April 6, 2020, the Prehearing Officer granted FPUC’s request</w:t>
      </w:r>
      <w:r>
        <w:t xml:space="preserve"> to file its initial SPP in 2021, and further </w:t>
      </w:r>
      <w:r w:rsidRPr="00296353">
        <w:t>instructed FPUC to submit its updated SPP in 2023</w:t>
      </w:r>
      <w:r>
        <w:t xml:space="preserve">. FPUC requested and was allowed by Order PSC-2021-0026-CO-EI entered January 10, 2021, </w:t>
      </w:r>
      <w:r w:rsidRPr="00296353">
        <w:t>to</w:t>
      </w:r>
      <w:r>
        <w:t xml:space="preserve"> defer the filing of its</w:t>
      </w:r>
      <w:r w:rsidRPr="00296353">
        <w:t xml:space="preserve"> </w:t>
      </w:r>
      <w:r>
        <w:t xml:space="preserve">initial </w:t>
      </w:r>
      <w:r w:rsidRPr="00296353">
        <w:t>SPP from April 1</w:t>
      </w:r>
      <w:r>
        <w:t>2, 2021, to April 2022,</w:t>
      </w:r>
      <w:r w:rsidRPr="00D502D9">
        <w:t xml:space="preserve"> </w:t>
      </w:r>
      <w:r>
        <w:t xml:space="preserve">so that it could remain in alignment with the overall plan update schedule for the other utilities. </w:t>
      </w:r>
      <w:r>
        <w:rPr>
          <w:i/>
        </w:rPr>
        <w:t>See</w:t>
      </w:r>
      <w:r w:rsidRPr="00544BCF">
        <w:t xml:space="preserve"> </w:t>
      </w:r>
      <w:r>
        <w:t xml:space="preserve">Docket No. 20200228-EI, </w:t>
      </w:r>
      <w:r>
        <w:rPr>
          <w:i/>
        </w:rPr>
        <w:t xml:space="preserve">In re: </w:t>
      </w:r>
      <w:r w:rsidRPr="001F272C">
        <w:rPr>
          <w:i/>
        </w:rPr>
        <w:t>Request to modify filing dates set forth</w:t>
      </w:r>
      <w:r>
        <w:rPr>
          <w:i/>
        </w:rPr>
        <w:t xml:space="preserve"> </w:t>
      </w:r>
      <w:r w:rsidRPr="001F272C">
        <w:rPr>
          <w:i/>
        </w:rPr>
        <w:t>in Order PSC-2020-0097-PCO-EI for storm</w:t>
      </w:r>
      <w:r>
        <w:rPr>
          <w:i/>
        </w:rPr>
        <w:t xml:space="preserve"> </w:t>
      </w:r>
      <w:r w:rsidRPr="001F272C">
        <w:rPr>
          <w:i/>
        </w:rPr>
        <w:t>protection pl</w:t>
      </w:r>
      <w:r>
        <w:rPr>
          <w:i/>
        </w:rPr>
        <w:t>a</w:t>
      </w:r>
      <w:r w:rsidRPr="001F272C">
        <w:rPr>
          <w:i/>
        </w:rPr>
        <w:t>n and first plan update, by</w:t>
      </w:r>
      <w:r>
        <w:rPr>
          <w:i/>
        </w:rPr>
        <w:t xml:space="preserve"> Florida Public Utilities Comp</w:t>
      </w:r>
      <w:r w:rsidRPr="001F272C">
        <w:rPr>
          <w:i/>
        </w:rPr>
        <w:t>any</w:t>
      </w:r>
      <w:r>
        <w:rPr>
          <w:i/>
        </w:rPr>
        <w:t>.</w:t>
      </w:r>
    </w:p>
  </w:footnote>
  <w:footnote w:id="5">
    <w:p w:rsidR="00014CF9" w:rsidRDefault="00014CF9" w:rsidP="00D74615">
      <w:pPr>
        <w:pStyle w:val="FootnoteText"/>
      </w:pPr>
      <w:r>
        <w:rPr>
          <w:rStyle w:val="FootnoteReference"/>
        </w:rPr>
        <w:footnoteRef/>
      </w:r>
      <w:r>
        <w:t xml:space="preserve"> “</w:t>
      </w:r>
      <w:r w:rsidRPr="00962C7A">
        <w:rPr>
          <w:rFonts w:eastAsia="SimSun"/>
        </w:rPr>
        <w:t>If the Commission approves the utility’s Storm Protection Plan with modifications, the utility shall, within 15 business days, file an amended cost recovery petition and supporting testimony reflecting the modifications.</w:t>
      </w:r>
      <w:r>
        <w:rPr>
          <w:rFonts w:eastAsia="SimSun"/>
        </w:rPr>
        <w:t>”  Rule 25-6.031(2). F.A.C.</w:t>
      </w:r>
    </w:p>
  </w:footnote>
  <w:footnote w:id="6">
    <w:p w:rsidR="00803938" w:rsidRDefault="00803938" w:rsidP="00803938">
      <w:pPr>
        <w:pStyle w:val="FootnoteText"/>
      </w:pPr>
      <w:r w:rsidRPr="00DA5730">
        <w:rPr>
          <w:rStyle w:val="FootnoteReference"/>
        </w:rPr>
        <w:footnoteRef/>
      </w:r>
      <w:r w:rsidRPr="00DA5730">
        <w:t xml:space="preserve"> On October 14, 2022, TECO and FPL each filed an amended petition and supplemental testimony addressing the modifications to their </w:t>
      </w:r>
      <w:r>
        <w:t>approved</w:t>
      </w:r>
      <w:r w:rsidRPr="00DA5730">
        <w:t xml:space="preserve"> SPPs</w:t>
      </w:r>
      <w:r>
        <w:t xml:space="preserve"> ordered by the Commission. With those modifications, the recovery requests in this docket match the most recent, Commission-approved utility SPPs.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F9" w:rsidRDefault="00014CF9">
    <w:pPr>
      <w:pStyle w:val="OrderHeader"/>
    </w:pPr>
    <w:r>
      <w:t xml:space="preserve">ORDER NO. </w:t>
    </w:r>
    <w:fldSimple w:instr=" REF OrderNo0418 ">
      <w:r w:rsidR="00DA48DC">
        <w:t>PSC-2022-0418-FOF-EI</w:t>
      </w:r>
    </w:fldSimple>
  </w:p>
  <w:p w:rsidR="00014CF9" w:rsidRDefault="00014CF9">
    <w:pPr>
      <w:pStyle w:val="OrderHeader"/>
    </w:pPr>
    <w:bookmarkStart w:id="9" w:name="HeaderDocketNo"/>
    <w:bookmarkEnd w:id="9"/>
    <w:r>
      <w:t>DOCKET NO. 20220010-EI</w:t>
    </w:r>
  </w:p>
  <w:p w:rsidR="00014CF9" w:rsidRDefault="00014CF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48DC">
      <w:rPr>
        <w:rStyle w:val="PageNumber"/>
        <w:noProof/>
      </w:rPr>
      <w:t>13</w:t>
    </w:r>
    <w:r>
      <w:rPr>
        <w:rStyle w:val="PageNumber"/>
      </w:rPr>
      <w:fldChar w:fldCharType="end"/>
    </w:r>
  </w:p>
  <w:p w:rsidR="00014CF9" w:rsidRDefault="00014CF9">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56238"/>
    <w:multiLevelType w:val="hybridMultilevel"/>
    <w:tmpl w:val="A54288A0"/>
    <w:lvl w:ilvl="0" w:tplc="DCEE4404">
      <w:start w:val="1"/>
      <w:numFmt w:val="upperLetter"/>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10-EI"/>
  </w:docVars>
  <w:rsids>
    <w:rsidRoot w:val="00D74615"/>
    <w:rsid w:val="00001242"/>
    <w:rsid w:val="000022B8"/>
    <w:rsid w:val="00003883"/>
    <w:rsid w:val="00011251"/>
    <w:rsid w:val="00011ED5"/>
    <w:rsid w:val="00014CF9"/>
    <w:rsid w:val="00025C2A"/>
    <w:rsid w:val="00025C9D"/>
    <w:rsid w:val="0003433F"/>
    <w:rsid w:val="00035A8C"/>
    <w:rsid w:val="00036BDD"/>
    <w:rsid w:val="00041FFD"/>
    <w:rsid w:val="00042C99"/>
    <w:rsid w:val="00042DA4"/>
    <w:rsid w:val="00053AB9"/>
    <w:rsid w:val="00056229"/>
    <w:rsid w:val="00057AF1"/>
    <w:rsid w:val="00062723"/>
    <w:rsid w:val="0006561D"/>
    <w:rsid w:val="00065FC2"/>
    <w:rsid w:val="00066A81"/>
    <w:rsid w:val="00067685"/>
    <w:rsid w:val="00067B07"/>
    <w:rsid w:val="000730D7"/>
    <w:rsid w:val="000740F5"/>
    <w:rsid w:val="00076E6B"/>
    <w:rsid w:val="00081AE4"/>
    <w:rsid w:val="0008247D"/>
    <w:rsid w:val="00090AFC"/>
    <w:rsid w:val="00096507"/>
    <w:rsid w:val="00097FE8"/>
    <w:rsid w:val="000A2B18"/>
    <w:rsid w:val="000A30B9"/>
    <w:rsid w:val="000A774F"/>
    <w:rsid w:val="000B2247"/>
    <w:rsid w:val="000B783E"/>
    <w:rsid w:val="000B7D81"/>
    <w:rsid w:val="000C1994"/>
    <w:rsid w:val="000C6926"/>
    <w:rsid w:val="000D02B8"/>
    <w:rsid w:val="000D06E8"/>
    <w:rsid w:val="000D3EDF"/>
    <w:rsid w:val="000D52C1"/>
    <w:rsid w:val="000D6E65"/>
    <w:rsid w:val="000D78FB"/>
    <w:rsid w:val="000E050C"/>
    <w:rsid w:val="000E10A7"/>
    <w:rsid w:val="000E20F0"/>
    <w:rsid w:val="000E2593"/>
    <w:rsid w:val="000E344D"/>
    <w:rsid w:val="000E3F6D"/>
    <w:rsid w:val="000F11F1"/>
    <w:rsid w:val="000F359F"/>
    <w:rsid w:val="000F3B2C"/>
    <w:rsid w:val="000F3F6C"/>
    <w:rsid w:val="000F63EB"/>
    <w:rsid w:val="000F648A"/>
    <w:rsid w:val="000F7BE3"/>
    <w:rsid w:val="0010124F"/>
    <w:rsid w:val="00103190"/>
    <w:rsid w:val="00104333"/>
    <w:rsid w:val="001052BA"/>
    <w:rsid w:val="001107B3"/>
    <w:rsid w:val="001114B1"/>
    <w:rsid w:val="001139D8"/>
    <w:rsid w:val="00116AD3"/>
    <w:rsid w:val="00121957"/>
    <w:rsid w:val="0012387E"/>
    <w:rsid w:val="001259EC"/>
    <w:rsid w:val="00126593"/>
    <w:rsid w:val="0013113A"/>
    <w:rsid w:val="00134177"/>
    <w:rsid w:val="00136087"/>
    <w:rsid w:val="00142A96"/>
    <w:rsid w:val="00147C82"/>
    <w:rsid w:val="001513DE"/>
    <w:rsid w:val="001532F2"/>
    <w:rsid w:val="00154A71"/>
    <w:rsid w:val="001655D4"/>
    <w:rsid w:val="00165803"/>
    <w:rsid w:val="00175609"/>
    <w:rsid w:val="00176D8C"/>
    <w:rsid w:val="00187E32"/>
    <w:rsid w:val="00194A97"/>
    <w:rsid w:val="00194E81"/>
    <w:rsid w:val="001A15E7"/>
    <w:rsid w:val="001A230A"/>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06EBA"/>
    <w:rsid w:val="002170E5"/>
    <w:rsid w:val="00220D57"/>
    <w:rsid w:val="00223B99"/>
    <w:rsid w:val="002261F3"/>
    <w:rsid w:val="0022721A"/>
    <w:rsid w:val="00230BB9"/>
    <w:rsid w:val="00241CEF"/>
    <w:rsid w:val="00247BCB"/>
    <w:rsid w:val="00250568"/>
    <w:rsid w:val="0025124E"/>
    <w:rsid w:val="00252B30"/>
    <w:rsid w:val="0025429E"/>
    <w:rsid w:val="00255291"/>
    <w:rsid w:val="002613E4"/>
    <w:rsid w:val="00262C43"/>
    <w:rsid w:val="0026544B"/>
    <w:rsid w:val="00266C66"/>
    <w:rsid w:val="00270F89"/>
    <w:rsid w:val="00276CDC"/>
    <w:rsid w:val="00277655"/>
    <w:rsid w:val="002824B7"/>
    <w:rsid w:val="00282AC4"/>
    <w:rsid w:val="00284F1C"/>
    <w:rsid w:val="00292E98"/>
    <w:rsid w:val="00293DC9"/>
    <w:rsid w:val="00297C37"/>
    <w:rsid w:val="002A11AC"/>
    <w:rsid w:val="002A6F30"/>
    <w:rsid w:val="002B3111"/>
    <w:rsid w:val="002C118E"/>
    <w:rsid w:val="002C2096"/>
    <w:rsid w:val="002C637F"/>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2FD0"/>
    <w:rsid w:val="003231C7"/>
    <w:rsid w:val="00323839"/>
    <w:rsid w:val="003270C4"/>
    <w:rsid w:val="0033010A"/>
    <w:rsid w:val="00331ED0"/>
    <w:rsid w:val="00332B0A"/>
    <w:rsid w:val="00333A41"/>
    <w:rsid w:val="00341036"/>
    <w:rsid w:val="00345434"/>
    <w:rsid w:val="003505DA"/>
    <w:rsid w:val="00351C22"/>
    <w:rsid w:val="0035495B"/>
    <w:rsid w:val="00355A93"/>
    <w:rsid w:val="00361522"/>
    <w:rsid w:val="00365639"/>
    <w:rsid w:val="0037196E"/>
    <w:rsid w:val="003744F5"/>
    <w:rsid w:val="00382C6A"/>
    <w:rsid w:val="003875A9"/>
    <w:rsid w:val="00387BDE"/>
    <w:rsid w:val="00390DD8"/>
    <w:rsid w:val="00394DC6"/>
    <w:rsid w:val="00397C3E"/>
    <w:rsid w:val="003B1A09"/>
    <w:rsid w:val="003B304C"/>
    <w:rsid w:val="003B6F02"/>
    <w:rsid w:val="003C0431"/>
    <w:rsid w:val="003C1FD3"/>
    <w:rsid w:val="003C29BB"/>
    <w:rsid w:val="003D3989"/>
    <w:rsid w:val="003D4CCA"/>
    <w:rsid w:val="003D52A6"/>
    <w:rsid w:val="003D6416"/>
    <w:rsid w:val="003E1D48"/>
    <w:rsid w:val="003E711F"/>
    <w:rsid w:val="003F1D2B"/>
    <w:rsid w:val="003F41B0"/>
    <w:rsid w:val="003F49A6"/>
    <w:rsid w:val="003F518F"/>
    <w:rsid w:val="003F6BA7"/>
    <w:rsid w:val="003F7445"/>
    <w:rsid w:val="00407B71"/>
    <w:rsid w:val="00411DF2"/>
    <w:rsid w:val="00411E8F"/>
    <w:rsid w:val="004216EE"/>
    <w:rsid w:val="004247F5"/>
    <w:rsid w:val="0042527B"/>
    <w:rsid w:val="00427EAC"/>
    <w:rsid w:val="004346B3"/>
    <w:rsid w:val="004431B4"/>
    <w:rsid w:val="00450D05"/>
    <w:rsid w:val="0045537F"/>
    <w:rsid w:val="00457DC7"/>
    <w:rsid w:val="004640B3"/>
    <w:rsid w:val="00472B13"/>
    <w:rsid w:val="00472BCC"/>
    <w:rsid w:val="00477699"/>
    <w:rsid w:val="004A25CD"/>
    <w:rsid w:val="004A26CC"/>
    <w:rsid w:val="004B2108"/>
    <w:rsid w:val="004B3778"/>
    <w:rsid w:val="004B3A2B"/>
    <w:rsid w:val="004B6C46"/>
    <w:rsid w:val="004B70D3"/>
    <w:rsid w:val="004C312D"/>
    <w:rsid w:val="004C6033"/>
    <w:rsid w:val="004D2D1B"/>
    <w:rsid w:val="004D5067"/>
    <w:rsid w:val="004D6838"/>
    <w:rsid w:val="004D72BC"/>
    <w:rsid w:val="004E469D"/>
    <w:rsid w:val="004E7F4F"/>
    <w:rsid w:val="004F2DDE"/>
    <w:rsid w:val="004F5A55"/>
    <w:rsid w:val="004F7826"/>
    <w:rsid w:val="0050097F"/>
    <w:rsid w:val="00514B1F"/>
    <w:rsid w:val="005224EC"/>
    <w:rsid w:val="00523C5C"/>
    <w:rsid w:val="00524884"/>
    <w:rsid w:val="00525E93"/>
    <w:rsid w:val="0052671D"/>
    <w:rsid w:val="005300C0"/>
    <w:rsid w:val="005324D6"/>
    <w:rsid w:val="00533EF6"/>
    <w:rsid w:val="00540E6B"/>
    <w:rsid w:val="0054109E"/>
    <w:rsid w:val="005453AA"/>
    <w:rsid w:val="0055595D"/>
    <w:rsid w:val="00556050"/>
    <w:rsid w:val="00556A10"/>
    <w:rsid w:val="00557F50"/>
    <w:rsid w:val="00563AE3"/>
    <w:rsid w:val="00571D3D"/>
    <w:rsid w:val="005768C5"/>
    <w:rsid w:val="0057738F"/>
    <w:rsid w:val="0058264B"/>
    <w:rsid w:val="00586368"/>
    <w:rsid w:val="005868AA"/>
    <w:rsid w:val="00590845"/>
    <w:rsid w:val="00595E10"/>
    <w:rsid w:val="005963C2"/>
    <w:rsid w:val="005A0D69"/>
    <w:rsid w:val="005A31F4"/>
    <w:rsid w:val="005A73EA"/>
    <w:rsid w:val="005B0BB8"/>
    <w:rsid w:val="005B45F7"/>
    <w:rsid w:val="005B63EA"/>
    <w:rsid w:val="005C1A88"/>
    <w:rsid w:val="005C5033"/>
    <w:rsid w:val="005D4E1B"/>
    <w:rsid w:val="005E0806"/>
    <w:rsid w:val="005E69FB"/>
    <w:rsid w:val="005E751B"/>
    <w:rsid w:val="005F2751"/>
    <w:rsid w:val="005F3354"/>
    <w:rsid w:val="005F4AD6"/>
    <w:rsid w:val="0060005E"/>
    <w:rsid w:val="0060095B"/>
    <w:rsid w:val="00601266"/>
    <w:rsid w:val="00610221"/>
    <w:rsid w:val="00610E73"/>
    <w:rsid w:val="00615F9B"/>
    <w:rsid w:val="00616DF2"/>
    <w:rsid w:val="0062385D"/>
    <w:rsid w:val="006265C8"/>
    <w:rsid w:val="0063168D"/>
    <w:rsid w:val="00635C79"/>
    <w:rsid w:val="006434D4"/>
    <w:rsid w:val="006455DF"/>
    <w:rsid w:val="00647025"/>
    <w:rsid w:val="0064730A"/>
    <w:rsid w:val="006507DA"/>
    <w:rsid w:val="006531A4"/>
    <w:rsid w:val="00660774"/>
    <w:rsid w:val="0066364C"/>
    <w:rsid w:val="0066389A"/>
    <w:rsid w:val="0066495C"/>
    <w:rsid w:val="00665CC7"/>
    <w:rsid w:val="00672612"/>
    <w:rsid w:val="00677F18"/>
    <w:rsid w:val="006855F3"/>
    <w:rsid w:val="006857D4"/>
    <w:rsid w:val="00693483"/>
    <w:rsid w:val="006A0BF3"/>
    <w:rsid w:val="006A351B"/>
    <w:rsid w:val="006A4AC7"/>
    <w:rsid w:val="006B0036"/>
    <w:rsid w:val="006B0DA6"/>
    <w:rsid w:val="006B3FA9"/>
    <w:rsid w:val="006C547E"/>
    <w:rsid w:val="006D2B51"/>
    <w:rsid w:val="006D5575"/>
    <w:rsid w:val="006D7191"/>
    <w:rsid w:val="006E21C4"/>
    <w:rsid w:val="006E42BE"/>
    <w:rsid w:val="006E5D4D"/>
    <w:rsid w:val="006E6D16"/>
    <w:rsid w:val="00700D57"/>
    <w:rsid w:val="00703F2A"/>
    <w:rsid w:val="00704C5D"/>
    <w:rsid w:val="007072BC"/>
    <w:rsid w:val="00711607"/>
    <w:rsid w:val="00715275"/>
    <w:rsid w:val="007171D2"/>
    <w:rsid w:val="00721B44"/>
    <w:rsid w:val="007232A2"/>
    <w:rsid w:val="007237B6"/>
    <w:rsid w:val="00726366"/>
    <w:rsid w:val="00731AB6"/>
    <w:rsid w:val="00733B6B"/>
    <w:rsid w:val="0073415E"/>
    <w:rsid w:val="00740808"/>
    <w:rsid w:val="00741DE0"/>
    <w:rsid w:val="007465B9"/>
    <w:rsid w:val="007467C4"/>
    <w:rsid w:val="0076170F"/>
    <w:rsid w:val="0076669C"/>
    <w:rsid w:val="00766E46"/>
    <w:rsid w:val="00772CCB"/>
    <w:rsid w:val="00777727"/>
    <w:rsid w:val="0077774B"/>
    <w:rsid w:val="0078166A"/>
    <w:rsid w:val="00782B79"/>
    <w:rsid w:val="007831B6"/>
    <w:rsid w:val="00783811"/>
    <w:rsid w:val="007865E9"/>
    <w:rsid w:val="0079237D"/>
    <w:rsid w:val="00792383"/>
    <w:rsid w:val="00794D5A"/>
    <w:rsid w:val="00794DD9"/>
    <w:rsid w:val="00795CF6"/>
    <w:rsid w:val="007A060F"/>
    <w:rsid w:val="007A4CAD"/>
    <w:rsid w:val="007B1C5E"/>
    <w:rsid w:val="007B350E"/>
    <w:rsid w:val="007C0235"/>
    <w:rsid w:val="007C0FBC"/>
    <w:rsid w:val="007C29C9"/>
    <w:rsid w:val="007C35B8"/>
    <w:rsid w:val="007C36E3"/>
    <w:rsid w:val="007C3ABB"/>
    <w:rsid w:val="007C7134"/>
    <w:rsid w:val="007C7ECF"/>
    <w:rsid w:val="007D0978"/>
    <w:rsid w:val="007D35C2"/>
    <w:rsid w:val="007D3D20"/>
    <w:rsid w:val="007D44F9"/>
    <w:rsid w:val="007D742E"/>
    <w:rsid w:val="007E3AFD"/>
    <w:rsid w:val="007F20B1"/>
    <w:rsid w:val="007F3F26"/>
    <w:rsid w:val="007F585E"/>
    <w:rsid w:val="00801DAD"/>
    <w:rsid w:val="00803189"/>
    <w:rsid w:val="00803938"/>
    <w:rsid w:val="00804E7A"/>
    <w:rsid w:val="00805FBB"/>
    <w:rsid w:val="00814292"/>
    <w:rsid w:val="008169A4"/>
    <w:rsid w:val="008278FE"/>
    <w:rsid w:val="00832598"/>
    <w:rsid w:val="0083397E"/>
    <w:rsid w:val="0083534B"/>
    <w:rsid w:val="00840DDA"/>
    <w:rsid w:val="00842035"/>
    <w:rsid w:val="00842602"/>
    <w:rsid w:val="008449F0"/>
    <w:rsid w:val="00846F11"/>
    <w:rsid w:val="00847B45"/>
    <w:rsid w:val="00862ED2"/>
    <w:rsid w:val="00863A66"/>
    <w:rsid w:val="008703D7"/>
    <w:rsid w:val="0087086E"/>
    <w:rsid w:val="00874429"/>
    <w:rsid w:val="00875D22"/>
    <w:rsid w:val="00883D9A"/>
    <w:rsid w:val="008919EF"/>
    <w:rsid w:val="00892B20"/>
    <w:rsid w:val="008931BC"/>
    <w:rsid w:val="0089695B"/>
    <w:rsid w:val="00897740"/>
    <w:rsid w:val="008A12EC"/>
    <w:rsid w:val="008B14BE"/>
    <w:rsid w:val="008B19A6"/>
    <w:rsid w:val="008B44F6"/>
    <w:rsid w:val="008B4EFB"/>
    <w:rsid w:val="008B7F0B"/>
    <w:rsid w:val="008C21C8"/>
    <w:rsid w:val="008C6375"/>
    <w:rsid w:val="008C6A5B"/>
    <w:rsid w:val="008D441D"/>
    <w:rsid w:val="008D48D0"/>
    <w:rsid w:val="008D498D"/>
    <w:rsid w:val="008D6D36"/>
    <w:rsid w:val="008E0693"/>
    <w:rsid w:val="008E26A5"/>
    <w:rsid w:val="008E42D2"/>
    <w:rsid w:val="008E6328"/>
    <w:rsid w:val="008F20AB"/>
    <w:rsid w:val="008F3234"/>
    <w:rsid w:val="008F578F"/>
    <w:rsid w:val="008F5D04"/>
    <w:rsid w:val="009040EE"/>
    <w:rsid w:val="009057FD"/>
    <w:rsid w:val="00906FBA"/>
    <w:rsid w:val="00907BDF"/>
    <w:rsid w:val="009163E8"/>
    <w:rsid w:val="00921BD3"/>
    <w:rsid w:val="009228C7"/>
    <w:rsid w:val="00922A7F"/>
    <w:rsid w:val="00923A5E"/>
    <w:rsid w:val="00924FE7"/>
    <w:rsid w:val="00926E27"/>
    <w:rsid w:val="00931C8C"/>
    <w:rsid w:val="00943D21"/>
    <w:rsid w:val="0094504B"/>
    <w:rsid w:val="00964A38"/>
    <w:rsid w:val="00966A9D"/>
    <w:rsid w:val="0096742B"/>
    <w:rsid w:val="00967949"/>
    <w:rsid w:val="00967C64"/>
    <w:rsid w:val="009718C5"/>
    <w:rsid w:val="00974A22"/>
    <w:rsid w:val="00976AFF"/>
    <w:rsid w:val="0097764E"/>
    <w:rsid w:val="00985F89"/>
    <w:rsid w:val="00986AED"/>
    <w:rsid w:val="009924CF"/>
    <w:rsid w:val="00993D8F"/>
    <w:rsid w:val="00994100"/>
    <w:rsid w:val="009A04B7"/>
    <w:rsid w:val="009A4252"/>
    <w:rsid w:val="009A6B17"/>
    <w:rsid w:val="009B052E"/>
    <w:rsid w:val="009B598B"/>
    <w:rsid w:val="009C5BA1"/>
    <w:rsid w:val="009C6EDE"/>
    <w:rsid w:val="009D0506"/>
    <w:rsid w:val="009D1535"/>
    <w:rsid w:val="009D3D48"/>
    <w:rsid w:val="009D4C29"/>
    <w:rsid w:val="009E58E9"/>
    <w:rsid w:val="009E6803"/>
    <w:rsid w:val="009F6AD2"/>
    <w:rsid w:val="009F7C1B"/>
    <w:rsid w:val="00A00362"/>
    <w:rsid w:val="00A00B5B"/>
    <w:rsid w:val="00A00D8D"/>
    <w:rsid w:val="00A010E3"/>
    <w:rsid w:val="00A01BB6"/>
    <w:rsid w:val="00A108A7"/>
    <w:rsid w:val="00A12EC3"/>
    <w:rsid w:val="00A20B3C"/>
    <w:rsid w:val="00A22B28"/>
    <w:rsid w:val="00A3351E"/>
    <w:rsid w:val="00A4303C"/>
    <w:rsid w:val="00A453E2"/>
    <w:rsid w:val="00A46CAF"/>
    <w:rsid w:val="00A470FD"/>
    <w:rsid w:val="00A50B5E"/>
    <w:rsid w:val="00A62DAB"/>
    <w:rsid w:val="00A6757A"/>
    <w:rsid w:val="00A71113"/>
    <w:rsid w:val="00A726A6"/>
    <w:rsid w:val="00A74842"/>
    <w:rsid w:val="00A8269A"/>
    <w:rsid w:val="00A86A50"/>
    <w:rsid w:val="00A87BCA"/>
    <w:rsid w:val="00A904A4"/>
    <w:rsid w:val="00A9178A"/>
    <w:rsid w:val="00A9515B"/>
    <w:rsid w:val="00A97535"/>
    <w:rsid w:val="00AA186B"/>
    <w:rsid w:val="00AA2BAA"/>
    <w:rsid w:val="00AA3882"/>
    <w:rsid w:val="00AA6516"/>
    <w:rsid w:val="00AA73F1"/>
    <w:rsid w:val="00AB0E1A"/>
    <w:rsid w:val="00AB1A30"/>
    <w:rsid w:val="00AB3C36"/>
    <w:rsid w:val="00AB3D30"/>
    <w:rsid w:val="00AC4B09"/>
    <w:rsid w:val="00AC5A01"/>
    <w:rsid w:val="00AD10EB"/>
    <w:rsid w:val="00AD1ED3"/>
    <w:rsid w:val="00AD3717"/>
    <w:rsid w:val="00AF2DC6"/>
    <w:rsid w:val="00B019C1"/>
    <w:rsid w:val="00B02001"/>
    <w:rsid w:val="00B03C50"/>
    <w:rsid w:val="00B0777D"/>
    <w:rsid w:val="00B11576"/>
    <w:rsid w:val="00B1195F"/>
    <w:rsid w:val="00B14D10"/>
    <w:rsid w:val="00B209C7"/>
    <w:rsid w:val="00B27CFC"/>
    <w:rsid w:val="00B3644F"/>
    <w:rsid w:val="00B36C51"/>
    <w:rsid w:val="00B4057A"/>
    <w:rsid w:val="00B40894"/>
    <w:rsid w:val="00B41039"/>
    <w:rsid w:val="00B42987"/>
    <w:rsid w:val="00B444AE"/>
    <w:rsid w:val="00B45E75"/>
    <w:rsid w:val="00B50876"/>
    <w:rsid w:val="00B51074"/>
    <w:rsid w:val="00B54DAA"/>
    <w:rsid w:val="00B552E0"/>
    <w:rsid w:val="00B5532C"/>
    <w:rsid w:val="00B55AB0"/>
    <w:rsid w:val="00B55EE5"/>
    <w:rsid w:val="00B571B0"/>
    <w:rsid w:val="00B61D42"/>
    <w:rsid w:val="00B63E1D"/>
    <w:rsid w:val="00B67A43"/>
    <w:rsid w:val="00B71D1F"/>
    <w:rsid w:val="00B72CFF"/>
    <w:rsid w:val="00B73DE6"/>
    <w:rsid w:val="00B761CD"/>
    <w:rsid w:val="00B76B66"/>
    <w:rsid w:val="00B86EF0"/>
    <w:rsid w:val="00B96969"/>
    <w:rsid w:val="00B97900"/>
    <w:rsid w:val="00BA1229"/>
    <w:rsid w:val="00BA44A8"/>
    <w:rsid w:val="00BA49C5"/>
    <w:rsid w:val="00BA6DA8"/>
    <w:rsid w:val="00BB0182"/>
    <w:rsid w:val="00BB2F4A"/>
    <w:rsid w:val="00BC0D94"/>
    <w:rsid w:val="00BC786E"/>
    <w:rsid w:val="00BD5C92"/>
    <w:rsid w:val="00BD7857"/>
    <w:rsid w:val="00BE50E6"/>
    <w:rsid w:val="00BE5E17"/>
    <w:rsid w:val="00BE7A0C"/>
    <w:rsid w:val="00BF2928"/>
    <w:rsid w:val="00BF5D60"/>
    <w:rsid w:val="00BF6691"/>
    <w:rsid w:val="00C028FC"/>
    <w:rsid w:val="00C037F2"/>
    <w:rsid w:val="00C0386D"/>
    <w:rsid w:val="00C065A1"/>
    <w:rsid w:val="00C10ED5"/>
    <w:rsid w:val="00C12574"/>
    <w:rsid w:val="00C151A6"/>
    <w:rsid w:val="00C24098"/>
    <w:rsid w:val="00C30A4E"/>
    <w:rsid w:val="00C321C9"/>
    <w:rsid w:val="00C40899"/>
    <w:rsid w:val="00C411F3"/>
    <w:rsid w:val="00C44105"/>
    <w:rsid w:val="00C523EC"/>
    <w:rsid w:val="00C55A33"/>
    <w:rsid w:val="00C64D49"/>
    <w:rsid w:val="00C66692"/>
    <w:rsid w:val="00C673B5"/>
    <w:rsid w:val="00C7063D"/>
    <w:rsid w:val="00C72339"/>
    <w:rsid w:val="00C830BC"/>
    <w:rsid w:val="00C8524D"/>
    <w:rsid w:val="00C86470"/>
    <w:rsid w:val="00C90904"/>
    <w:rsid w:val="00C91123"/>
    <w:rsid w:val="00C95AA8"/>
    <w:rsid w:val="00CA71FF"/>
    <w:rsid w:val="00CB2393"/>
    <w:rsid w:val="00CB5276"/>
    <w:rsid w:val="00CB5883"/>
    <w:rsid w:val="00CB5BFC"/>
    <w:rsid w:val="00CB68D7"/>
    <w:rsid w:val="00CB785B"/>
    <w:rsid w:val="00CC5377"/>
    <w:rsid w:val="00CC7E68"/>
    <w:rsid w:val="00CD3D74"/>
    <w:rsid w:val="00CD4504"/>
    <w:rsid w:val="00CD7132"/>
    <w:rsid w:val="00CE0342"/>
    <w:rsid w:val="00CE0E6F"/>
    <w:rsid w:val="00CE2E1A"/>
    <w:rsid w:val="00CE3B21"/>
    <w:rsid w:val="00CE56FC"/>
    <w:rsid w:val="00CE7A4D"/>
    <w:rsid w:val="00CF32D2"/>
    <w:rsid w:val="00CF4CFE"/>
    <w:rsid w:val="00D00E8E"/>
    <w:rsid w:val="00D02E0F"/>
    <w:rsid w:val="00D03EE8"/>
    <w:rsid w:val="00D13535"/>
    <w:rsid w:val="00D138FE"/>
    <w:rsid w:val="00D15497"/>
    <w:rsid w:val="00D17B79"/>
    <w:rsid w:val="00D205F5"/>
    <w:rsid w:val="00D23FEA"/>
    <w:rsid w:val="00D269CA"/>
    <w:rsid w:val="00D30B48"/>
    <w:rsid w:val="00D3168A"/>
    <w:rsid w:val="00D350D1"/>
    <w:rsid w:val="00D46FAA"/>
    <w:rsid w:val="00D47A40"/>
    <w:rsid w:val="00D51D33"/>
    <w:rsid w:val="00D57BB2"/>
    <w:rsid w:val="00D57E57"/>
    <w:rsid w:val="00D6216A"/>
    <w:rsid w:val="00D70752"/>
    <w:rsid w:val="00D72C69"/>
    <w:rsid w:val="00D74615"/>
    <w:rsid w:val="00D80E2D"/>
    <w:rsid w:val="00D84D5E"/>
    <w:rsid w:val="00D8560E"/>
    <w:rsid w:val="00D86333"/>
    <w:rsid w:val="00D8758F"/>
    <w:rsid w:val="00DA0EB0"/>
    <w:rsid w:val="00DA48DC"/>
    <w:rsid w:val="00DA4EDD"/>
    <w:rsid w:val="00DA5730"/>
    <w:rsid w:val="00DA6B78"/>
    <w:rsid w:val="00DB122B"/>
    <w:rsid w:val="00DC1D94"/>
    <w:rsid w:val="00DC42CF"/>
    <w:rsid w:val="00DC4491"/>
    <w:rsid w:val="00DC738A"/>
    <w:rsid w:val="00DD382A"/>
    <w:rsid w:val="00DD592E"/>
    <w:rsid w:val="00DE057F"/>
    <w:rsid w:val="00DE2082"/>
    <w:rsid w:val="00DE2289"/>
    <w:rsid w:val="00DF09A7"/>
    <w:rsid w:val="00DF2B51"/>
    <w:rsid w:val="00E001D6"/>
    <w:rsid w:val="00E03A76"/>
    <w:rsid w:val="00E04410"/>
    <w:rsid w:val="00E07484"/>
    <w:rsid w:val="00E11351"/>
    <w:rsid w:val="00E14685"/>
    <w:rsid w:val="00E33F44"/>
    <w:rsid w:val="00E37D48"/>
    <w:rsid w:val="00E4225C"/>
    <w:rsid w:val="00E44879"/>
    <w:rsid w:val="00E72914"/>
    <w:rsid w:val="00E752D1"/>
    <w:rsid w:val="00E75AE0"/>
    <w:rsid w:val="00E83C1F"/>
    <w:rsid w:val="00E85684"/>
    <w:rsid w:val="00E8794B"/>
    <w:rsid w:val="00E97656"/>
    <w:rsid w:val="00EA004A"/>
    <w:rsid w:val="00EA172C"/>
    <w:rsid w:val="00EA259B"/>
    <w:rsid w:val="00EA35A3"/>
    <w:rsid w:val="00EA3E6A"/>
    <w:rsid w:val="00EB18EF"/>
    <w:rsid w:val="00EB58F4"/>
    <w:rsid w:val="00EB7951"/>
    <w:rsid w:val="00EC5296"/>
    <w:rsid w:val="00ED6A79"/>
    <w:rsid w:val="00EE17DF"/>
    <w:rsid w:val="00EF1482"/>
    <w:rsid w:val="00EF423D"/>
    <w:rsid w:val="00EF4621"/>
    <w:rsid w:val="00EF4D52"/>
    <w:rsid w:val="00EF6312"/>
    <w:rsid w:val="00F0271C"/>
    <w:rsid w:val="00F03797"/>
    <w:rsid w:val="00F038B0"/>
    <w:rsid w:val="00F05F34"/>
    <w:rsid w:val="00F20B3F"/>
    <w:rsid w:val="00F22B27"/>
    <w:rsid w:val="00F234A7"/>
    <w:rsid w:val="00F277B6"/>
    <w:rsid w:val="00F27DA5"/>
    <w:rsid w:val="00F37E07"/>
    <w:rsid w:val="00F4182A"/>
    <w:rsid w:val="00F520E8"/>
    <w:rsid w:val="00F54380"/>
    <w:rsid w:val="00F54B47"/>
    <w:rsid w:val="00F61247"/>
    <w:rsid w:val="00F61F61"/>
    <w:rsid w:val="00F63191"/>
    <w:rsid w:val="00F6702E"/>
    <w:rsid w:val="00F70E84"/>
    <w:rsid w:val="00F80685"/>
    <w:rsid w:val="00F94968"/>
    <w:rsid w:val="00FA092B"/>
    <w:rsid w:val="00FA139A"/>
    <w:rsid w:val="00FA3827"/>
    <w:rsid w:val="00FA4F6C"/>
    <w:rsid w:val="00FA5195"/>
    <w:rsid w:val="00FA6EFD"/>
    <w:rsid w:val="00FB3791"/>
    <w:rsid w:val="00FB6780"/>
    <w:rsid w:val="00FB6E10"/>
    <w:rsid w:val="00FB74EA"/>
    <w:rsid w:val="00FC6AEB"/>
    <w:rsid w:val="00FD0ADB"/>
    <w:rsid w:val="00FD0B0C"/>
    <w:rsid w:val="00FD1B54"/>
    <w:rsid w:val="00FD2C9E"/>
    <w:rsid w:val="00FD4786"/>
    <w:rsid w:val="00FD616C"/>
    <w:rsid w:val="00FE09D2"/>
    <w:rsid w:val="00FE53F2"/>
    <w:rsid w:val="00FF0A00"/>
    <w:rsid w:val="00FF1C57"/>
    <w:rsid w:val="00FF2053"/>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PleadingSig">
    <w:name w:val="Pleading Sig"/>
    <w:basedOn w:val="Normal"/>
    <w:next w:val="Normal"/>
    <w:rsid w:val="00D74615"/>
    <w:pPr>
      <w:jc w:val="both"/>
    </w:pPr>
    <w:rPr>
      <w:szCs w:val="20"/>
    </w:rPr>
  </w:style>
  <w:style w:type="paragraph" w:styleId="BodyText2">
    <w:name w:val="Body Text 2"/>
    <w:basedOn w:val="Normal"/>
    <w:link w:val="BodyText2Char"/>
    <w:rsid w:val="00D74615"/>
    <w:pPr>
      <w:spacing w:line="480" w:lineRule="auto"/>
      <w:ind w:firstLine="720"/>
      <w:jc w:val="both"/>
    </w:pPr>
  </w:style>
  <w:style w:type="character" w:customStyle="1" w:styleId="BodyText2Char">
    <w:name w:val="Body Text 2 Char"/>
    <w:basedOn w:val="DefaultParagraphFont"/>
    <w:link w:val="BodyText2"/>
    <w:rsid w:val="00D74615"/>
    <w:rPr>
      <w:sz w:val="24"/>
      <w:szCs w:val="24"/>
    </w:rPr>
  </w:style>
  <w:style w:type="paragraph" w:customStyle="1" w:styleId="TableParagraph">
    <w:name w:val="Table Paragraph"/>
    <w:basedOn w:val="Normal"/>
    <w:uiPriority w:val="1"/>
    <w:qFormat/>
    <w:rsid w:val="00D74615"/>
    <w:pPr>
      <w:widowControl w:val="0"/>
      <w:autoSpaceDE w:val="0"/>
      <w:autoSpaceDN w:val="0"/>
    </w:pPr>
    <w:rPr>
      <w:sz w:val="22"/>
      <w:szCs w:val="22"/>
    </w:rPr>
  </w:style>
  <w:style w:type="character" w:customStyle="1" w:styleId="FootnoteTextChar">
    <w:name w:val="Footnote Text Char"/>
    <w:link w:val="FootnoteText"/>
    <w:uiPriority w:val="99"/>
    <w:rsid w:val="00D74615"/>
  </w:style>
  <w:style w:type="paragraph" w:styleId="ListParagraph">
    <w:name w:val="List Paragraph"/>
    <w:basedOn w:val="Normal"/>
    <w:uiPriority w:val="34"/>
    <w:qFormat/>
    <w:rsid w:val="00D74615"/>
    <w:pPr>
      <w:ind w:left="720"/>
      <w:contextualSpacing/>
    </w:pPr>
  </w:style>
  <w:style w:type="character" w:customStyle="1" w:styleId="coconcept3241">
    <w:name w:val="co_concept_32_41"/>
    <w:basedOn w:val="DefaultParagraphFont"/>
    <w:rsid w:val="006A4AC7"/>
  </w:style>
  <w:style w:type="character" w:customStyle="1" w:styleId="coconcept127">
    <w:name w:val="co_concept_1_27"/>
    <w:basedOn w:val="DefaultParagraphFont"/>
    <w:rsid w:val="006A4AC7"/>
  </w:style>
  <w:style w:type="character" w:customStyle="1" w:styleId="cosearchterm">
    <w:name w:val="co_searchterm"/>
    <w:basedOn w:val="DefaultParagraphFont"/>
    <w:rsid w:val="008B44F6"/>
  </w:style>
  <w:style w:type="character" w:customStyle="1" w:styleId="coconcept2935">
    <w:name w:val="co_concept_29_35"/>
    <w:basedOn w:val="DefaultParagraphFont"/>
    <w:rsid w:val="008B44F6"/>
  </w:style>
  <w:style w:type="character" w:customStyle="1" w:styleId="coconcept118">
    <w:name w:val="co_concept_1_18"/>
    <w:basedOn w:val="DefaultParagraphFont"/>
    <w:rsid w:val="00A12EC3"/>
  </w:style>
  <w:style w:type="character" w:customStyle="1" w:styleId="coconcept2333">
    <w:name w:val="co_concept_23_33"/>
    <w:basedOn w:val="DefaultParagraphFont"/>
    <w:rsid w:val="00A12EC3"/>
  </w:style>
  <w:style w:type="character" w:customStyle="1" w:styleId="coconcept3849">
    <w:name w:val="co_concept_38_49"/>
    <w:basedOn w:val="DefaultParagraphFont"/>
    <w:rsid w:val="00A12EC3"/>
  </w:style>
  <w:style w:type="paragraph" w:styleId="BalloonText">
    <w:name w:val="Balloon Text"/>
    <w:basedOn w:val="Normal"/>
    <w:link w:val="BalloonTextChar"/>
    <w:semiHidden/>
    <w:unhideWhenUsed/>
    <w:rsid w:val="00DA48DC"/>
    <w:rPr>
      <w:rFonts w:ascii="Segoe UI" w:hAnsi="Segoe UI" w:cs="Segoe UI"/>
      <w:sz w:val="18"/>
      <w:szCs w:val="18"/>
    </w:rPr>
  </w:style>
  <w:style w:type="character" w:customStyle="1" w:styleId="BalloonTextChar">
    <w:name w:val="Balloon Text Char"/>
    <w:basedOn w:val="DefaultParagraphFont"/>
    <w:link w:val="BalloonText"/>
    <w:semiHidden/>
    <w:rsid w:val="00DA48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68255085">
      <w:bodyDiv w:val="1"/>
      <w:marLeft w:val="0"/>
      <w:marRight w:val="0"/>
      <w:marTop w:val="0"/>
      <w:marBottom w:val="0"/>
      <w:divBdr>
        <w:top w:val="none" w:sz="0" w:space="0" w:color="auto"/>
        <w:left w:val="none" w:sz="0" w:space="0" w:color="auto"/>
        <w:bottom w:val="none" w:sz="0" w:space="0" w:color="auto"/>
        <w:right w:val="none" w:sz="0" w:space="0" w:color="auto"/>
      </w:divBdr>
      <w:divsChild>
        <w:div w:id="841049699">
          <w:marLeft w:val="0"/>
          <w:marRight w:val="0"/>
          <w:marTop w:val="0"/>
          <w:marBottom w:val="0"/>
          <w:divBdr>
            <w:top w:val="none" w:sz="0" w:space="0" w:color="auto"/>
            <w:left w:val="none" w:sz="0" w:space="0" w:color="auto"/>
            <w:bottom w:val="none" w:sz="0" w:space="0" w:color="auto"/>
            <w:right w:val="none" w:sz="0" w:space="0" w:color="auto"/>
          </w:divBdr>
        </w:div>
      </w:divsChild>
    </w:div>
    <w:div w:id="788282878">
      <w:bodyDiv w:val="1"/>
      <w:marLeft w:val="0"/>
      <w:marRight w:val="0"/>
      <w:marTop w:val="0"/>
      <w:marBottom w:val="0"/>
      <w:divBdr>
        <w:top w:val="none" w:sz="0" w:space="0" w:color="auto"/>
        <w:left w:val="none" w:sz="0" w:space="0" w:color="auto"/>
        <w:bottom w:val="none" w:sz="0" w:space="0" w:color="auto"/>
        <w:right w:val="none" w:sz="0" w:space="0" w:color="auto"/>
      </w:divBdr>
    </w:div>
    <w:div w:id="875040931">
      <w:bodyDiv w:val="1"/>
      <w:marLeft w:val="0"/>
      <w:marRight w:val="0"/>
      <w:marTop w:val="0"/>
      <w:marBottom w:val="0"/>
      <w:divBdr>
        <w:top w:val="none" w:sz="0" w:space="0" w:color="auto"/>
        <w:left w:val="none" w:sz="0" w:space="0" w:color="auto"/>
        <w:bottom w:val="none" w:sz="0" w:space="0" w:color="auto"/>
        <w:right w:val="none" w:sz="0" w:space="0" w:color="auto"/>
      </w:divBdr>
      <w:divsChild>
        <w:div w:id="233247006">
          <w:marLeft w:val="0"/>
          <w:marRight w:val="0"/>
          <w:marTop w:val="0"/>
          <w:marBottom w:val="0"/>
          <w:divBdr>
            <w:top w:val="none" w:sz="0" w:space="0" w:color="auto"/>
            <w:left w:val="none" w:sz="0" w:space="0" w:color="auto"/>
            <w:bottom w:val="none" w:sz="0" w:space="0" w:color="auto"/>
            <w:right w:val="none" w:sz="0" w:space="0" w:color="auto"/>
          </w:divBdr>
        </w:div>
      </w:divsChild>
    </w:div>
    <w:div w:id="899247430">
      <w:bodyDiv w:val="1"/>
      <w:marLeft w:val="0"/>
      <w:marRight w:val="0"/>
      <w:marTop w:val="0"/>
      <w:marBottom w:val="0"/>
      <w:divBdr>
        <w:top w:val="none" w:sz="0" w:space="0" w:color="auto"/>
        <w:left w:val="none" w:sz="0" w:space="0" w:color="auto"/>
        <w:bottom w:val="none" w:sz="0" w:space="0" w:color="auto"/>
        <w:right w:val="none" w:sz="0" w:space="0" w:color="auto"/>
      </w:divBdr>
      <w:divsChild>
        <w:div w:id="2012415441">
          <w:marLeft w:val="0"/>
          <w:marRight w:val="0"/>
          <w:marTop w:val="0"/>
          <w:marBottom w:val="0"/>
          <w:divBdr>
            <w:top w:val="none" w:sz="0" w:space="0" w:color="auto"/>
            <w:left w:val="none" w:sz="0" w:space="0" w:color="auto"/>
            <w:bottom w:val="none" w:sz="0" w:space="0" w:color="auto"/>
            <w:right w:val="none" w:sz="0" w:space="0" w:color="auto"/>
          </w:divBdr>
        </w:div>
      </w:divsChild>
    </w:div>
    <w:div w:id="1825900198">
      <w:bodyDiv w:val="1"/>
      <w:marLeft w:val="0"/>
      <w:marRight w:val="0"/>
      <w:marTop w:val="0"/>
      <w:marBottom w:val="0"/>
      <w:divBdr>
        <w:top w:val="none" w:sz="0" w:space="0" w:color="auto"/>
        <w:left w:val="none" w:sz="0" w:space="0" w:color="auto"/>
        <w:bottom w:val="none" w:sz="0" w:space="0" w:color="auto"/>
        <w:right w:val="none" w:sz="0" w:space="0" w:color="auto"/>
      </w:divBdr>
      <w:divsChild>
        <w:div w:id="1507093384">
          <w:marLeft w:val="0"/>
          <w:marRight w:val="0"/>
          <w:marTop w:val="0"/>
          <w:marBottom w:val="0"/>
          <w:divBdr>
            <w:top w:val="none" w:sz="0" w:space="0" w:color="auto"/>
            <w:left w:val="none" w:sz="0" w:space="0" w:color="auto"/>
            <w:bottom w:val="none" w:sz="0" w:space="0" w:color="auto"/>
            <w:right w:val="none" w:sz="0" w:space="0" w:color="auto"/>
          </w:divBdr>
        </w:div>
      </w:divsChild>
    </w:div>
    <w:div w:id="1914394355">
      <w:bodyDiv w:val="1"/>
      <w:marLeft w:val="0"/>
      <w:marRight w:val="0"/>
      <w:marTop w:val="0"/>
      <w:marBottom w:val="0"/>
      <w:divBdr>
        <w:top w:val="none" w:sz="0" w:space="0" w:color="auto"/>
        <w:left w:val="none" w:sz="0" w:space="0" w:color="auto"/>
        <w:bottom w:val="none" w:sz="0" w:space="0" w:color="auto"/>
        <w:right w:val="none" w:sz="0" w:space="0" w:color="auto"/>
      </w:divBdr>
    </w:div>
    <w:div w:id="1990740508">
      <w:bodyDiv w:val="1"/>
      <w:marLeft w:val="0"/>
      <w:marRight w:val="0"/>
      <w:marTop w:val="0"/>
      <w:marBottom w:val="0"/>
      <w:divBdr>
        <w:top w:val="none" w:sz="0" w:space="0" w:color="auto"/>
        <w:left w:val="none" w:sz="0" w:space="0" w:color="auto"/>
        <w:bottom w:val="none" w:sz="0" w:space="0" w:color="auto"/>
        <w:right w:val="none" w:sz="0" w:space="0" w:color="auto"/>
      </w:divBdr>
      <w:divsChild>
        <w:div w:id="1529298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15D05-02A8-4B50-B05E-9E944E2E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13</Pages>
  <Words>3771</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2022-12-12T18:46:00Z</dcterms:created>
  <dcterms:modified xsi:type="dcterms:W3CDTF">2022-12-12T19:03:00Z</dcterms:modified>
</cp:coreProperties>
</file>