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9F9" w:rsidRDefault="00D279F9" w:rsidP="00D279F9">
      <w:pPr>
        <w:pStyle w:val="OrderHeading"/>
      </w:pPr>
      <w:r>
        <w:t>BEFORE THE FLORIDA PUBLIC SERVICE COMMISSION</w:t>
      </w:r>
    </w:p>
    <w:p w:rsidR="00D279F9" w:rsidRDefault="00D279F9" w:rsidP="00D279F9">
      <w:pPr>
        <w:pStyle w:val="OrderBody"/>
      </w:pPr>
    </w:p>
    <w:p w:rsidR="00D279F9" w:rsidRDefault="00D279F9" w:rsidP="00D279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79F9" w:rsidRPr="00C63FCF" w:rsidTr="00C476E3">
        <w:trPr>
          <w:trHeight w:val="828"/>
        </w:trPr>
        <w:tc>
          <w:tcPr>
            <w:tcW w:w="4788" w:type="dxa"/>
            <w:tcBorders>
              <w:bottom w:val="single" w:sz="8" w:space="0" w:color="auto"/>
              <w:right w:val="double" w:sz="6" w:space="0" w:color="auto"/>
            </w:tcBorders>
            <w:shd w:val="clear" w:color="auto" w:fill="auto"/>
          </w:tcPr>
          <w:p w:rsidR="00D279F9" w:rsidRDefault="00D279F9" w:rsidP="00C476E3">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D279F9" w:rsidRDefault="00D279F9" w:rsidP="00C476E3">
            <w:pPr>
              <w:pStyle w:val="OrderBody"/>
            </w:pPr>
            <w:r>
              <w:t xml:space="preserve">DOCKET NO. </w:t>
            </w:r>
            <w:bookmarkStart w:id="1" w:name="SSDocketNo"/>
            <w:bookmarkEnd w:id="1"/>
            <w:r>
              <w:t>20230007-EI</w:t>
            </w:r>
          </w:p>
          <w:p w:rsidR="00D279F9" w:rsidRDefault="00D279F9" w:rsidP="00C476E3">
            <w:pPr>
              <w:pStyle w:val="OrderBody"/>
              <w:tabs>
                <w:tab w:val="center" w:pos="4320"/>
                <w:tab w:val="right" w:pos="8640"/>
              </w:tabs>
              <w:jc w:val="left"/>
            </w:pPr>
            <w:r>
              <w:t xml:space="preserve">ORDER NO. </w:t>
            </w:r>
            <w:bookmarkStart w:id="2" w:name="OrderNo0088"/>
            <w:r w:rsidR="00AE51CF">
              <w:t>PSC-2023-0088-PCO-EI</w:t>
            </w:r>
            <w:bookmarkEnd w:id="2"/>
          </w:p>
          <w:p w:rsidR="00D279F9" w:rsidRDefault="00D279F9" w:rsidP="00C476E3">
            <w:pPr>
              <w:pStyle w:val="OrderBody"/>
              <w:tabs>
                <w:tab w:val="center" w:pos="4320"/>
                <w:tab w:val="right" w:pos="8640"/>
              </w:tabs>
              <w:jc w:val="left"/>
            </w:pPr>
            <w:r>
              <w:t xml:space="preserve">ISSUED: </w:t>
            </w:r>
            <w:r w:rsidR="00AE51CF">
              <w:t>February 15, 2023</w:t>
            </w:r>
          </w:p>
        </w:tc>
      </w:tr>
    </w:tbl>
    <w:p w:rsidR="00D279F9" w:rsidRDefault="00D279F9" w:rsidP="00D279F9"/>
    <w:p w:rsidR="00D279F9" w:rsidRDefault="00D279F9" w:rsidP="00D279F9"/>
    <w:p w:rsidR="00D279F9" w:rsidRDefault="00D279F9" w:rsidP="00D279F9">
      <w:pPr>
        <w:pStyle w:val="CenterUnderline"/>
      </w:pPr>
      <w:bookmarkStart w:id="3" w:name="Commissioners"/>
      <w:bookmarkEnd w:id="3"/>
      <w:r>
        <w:t>ORDER</w:t>
      </w:r>
      <w:bookmarkStart w:id="4" w:name="OrderTitle"/>
      <w:r>
        <w:t xml:space="preserve"> ESTABLISHING PROCEDURE </w:t>
      </w:r>
      <w:bookmarkEnd w:id="4"/>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u w:val="single"/>
        </w:rPr>
      </w:pP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279F9" w:rsidRDefault="00D279F9" w:rsidP="00D279F9">
      <w:pPr>
        <w:jc w:val="both"/>
      </w:pPr>
      <w:r>
        <w:tab/>
      </w:r>
      <w:r w:rsidRPr="00963028">
        <w:t xml:space="preserve">As part of the Florida Public Service Commission’s (Commission) continuing Environmental Cost Recovery Clause (ECRC) proceeding, the Commission has set a hearing for November </w:t>
      </w:r>
      <w:r>
        <w:t>1-3</w:t>
      </w:r>
      <w:r w:rsidRPr="00963028">
        <w:t>, 202</w:t>
      </w:r>
      <w:r>
        <w:t xml:space="preserve">3. </w:t>
      </w:r>
      <w:r w:rsidRPr="00963028">
        <w:t>The ECRC proceeding allows investor-owned electric utilities to seek recovery of their costs for approved conservation programs on an annual basis</w:t>
      </w:r>
      <w:r>
        <w:t xml:space="preserve">. </w:t>
      </w:r>
      <w:r w:rsidRPr="00963028">
        <w:t>This Order sets forth the procedural requirements for all parties to this docket</w:t>
      </w:r>
      <w:r>
        <w:t xml:space="preserve">. </w:t>
      </w:r>
      <w:r w:rsidRPr="00963028">
        <w:t>Jurisdiction is vested in the Commission through Section 366.8255, Florida Statutes (F.S.)</w:t>
      </w:r>
      <w:r>
        <w:t xml:space="preserve">. </w:t>
      </w:r>
    </w:p>
    <w:p w:rsidR="00D279F9" w:rsidRDefault="00D279F9" w:rsidP="00D279F9">
      <w:pPr>
        <w:jc w:val="both"/>
      </w:pPr>
    </w:p>
    <w:p w:rsidR="00D279F9" w:rsidRDefault="00D279F9" w:rsidP="00D279F9">
      <w:pPr>
        <w:jc w:val="both"/>
      </w:pPr>
      <w:r w:rsidRPr="00963028">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w:t>
      </w:r>
      <w:r>
        <w:t>tion of all aspects of the case.</w:t>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279F9" w:rsidRPr="00C75702"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 If filing via</w:t>
      </w:r>
      <w:r w:rsidRPr="00C75702">
        <w:t xml:space="preserve"> mail, hand delivery, or courier service</w:t>
      </w:r>
      <w:r>
        <w:t>, the filing should be</w:t>
      </w:r>
      <w:r w:rsidRPr="00C75702">
        <w:t xml:space="preserve"> addressed to:</w:t>
      </w:r>
    </w:p>
    <w:p w:rsidR="00D279F9" w:rsidRPr="00C75702"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Pr="00C75702"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D279F9" w:rsidRPr="00C75702"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D279F9" w:rsidRPr="00C75702"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D279F9" w:rsidRPr="00C75702"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D279F9" w:rsidRPr="00C75702"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 </w:t>
      </w:r>
      <w:r w:rsidRPr="00C75702">
        <w:t xml:space="preserve">The filing party is responsible for ensuring that no information protected by privacy or confidentiality laws is contained in any </w:t>
      </w:r>
      <w:r>
        <w:t xml:space="preserve">electronic </w:t>
      </w:r>
      <w:r w:rsidRPr="00C75702">
        <w:t>document</w:t>
      </w:r>
      <w:r>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Pr>
          <w:b/>
        </w:rPr>
        <w:tab/>
      </w:r>
      <w:r>
        <w:rPr>
          <w:b/>
          <w:u w:val="single"/>
        </w:rPr>
        <w:t>Tentative List of Issues</w:t>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r>
        <w:rPr>
          <w:b/>
          <w:u w:val="single"/>
        </w:rPr>
        <w:t>Prefiled Testimony and Exhibits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Pr="00C75702"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t xml:space="preserve">IX </w:t>
      </w:r>
      <w:r w:rsidRPr="00C75702">
        <w:t>of this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Failure of a party to timely prefile exhibits and testimony from any witness in accordance with the foregoing requirements may bar admission of such exhibits and testimony. </w:t>
      </w:r>
    </w:p>
    <w:p w:rsidR="00D279F9" w:rsidRPr="00C75702"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w:t>
      </w:r>
      <w:r>
        <w:t xml:space="preserve">. </w:t>
      </w:r>
      <w:r w:rsidRPr="007659C3">
        <w:t>If filing paper copies of the testimony, all pages shall be filed on white, unglossed, three-holed paper and shall be unbound and without tabs.</w:t>
      </w:r>
    </w:p>
    <w:p w:rsidR="00D279F9" w:rsidRDefault="00D279F9" w:rsidP="00D279F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D279F9" w:rsidRDefault="00D279F9" w:rsidP="00D279F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D279F9" w:rsidRDefault="00D279F9" w:rsidP="00D279F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279F9" w:rsidRDefault="00D279F9" w:rsidP="00D279F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D279F9" w:rsidRPr="00C75702" w:rsidRDefault="00D279F9" w:rsidP="00D279F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D279F9" w:rsidRDefault="00D279F9" w:rsidP="00D279F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D279F9" w:rsidRDefault="00D279F9" w:rsidP="00D279F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D279F9" w:rsidRDefault="00D279F9" w:rsidP="00D279F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D279F9" w:rsidRDefault="00D279F9" w:rsidP="00D279F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279F9" w:rsidRDefault="00D279F9" w:rsidP="00D279F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Pr>
          <w:b/>
        </w:rPr>
        <w:tab/>
      </w:r>
      <w:r>
        <w:rPr>
          <w:b/>
          <w:u w:val="single"/>
        </w:rPr>
        <w:t>Discovery Procedures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Florida Statutes (F.S.), and the relevant provisions of Chapter 366, F.S., Rules 25-22, 25-40, and 28-106, F.A.C., and the Florida Rules of Civil Procedure (as applicable), as modified herein or as may be subsequently modified by the Prehearing Officer.</w:t>
      </w:r>
    </w:p>
    <w:p w:rsidR="00D279F9" w:rsidRDefault="00D279F9" w:rsidP="00D279F9">
      <w:pPr>
        <w:jc w:val="both"/>
        <w:rPr>
          <w:rFonts w:cs="Courier New"/>
        </w:rPr>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spacing w:line="2" w:lineRule="exact"/>
        <w:jc w:val="both"/>
      </w:pPr>
    </w:p>
    <w:p w:rsidR="00D279F9" w:rsidRDefault="00D279F9" w:rsidP="00D279F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October 10, 2023.</w:t>
      </w:r>
    </w:p>
    <w:p w:rsidR="00D279F9" w:rsidRPr="007659C3" w:rsidRDefault="00D279F9" w:rsidP="00D279F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D279F9" w:rsidRDefault="00D279F9" w:rsidP="00D279F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D279F9" w:rsidRDefault="00D279F9" w:rsidP="00D279F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D279F9" w:rsidRDefault="00D279F9" w:rsidP="00D279F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D279F9" w:rsidRDefault="00D279F9" w:rsidP="00D279F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For discovery requests made prior to the filing of the utility’s rebuttal testimony, discovery responses</w:t>
      </w:r>
      <w:r w:rsidRPr="007659C3">
        <w:t xml:space="preserve"> shall be served within </w:t>
      </w:r>
      <w:r>
        <w:t>20</w:t>
      </w:r>
      <w:r w:rsidRPr="007659C3">
        <w:t xml:space="preserve"> days (inclusive of mailing) of rec</w:t>
      </w:r>
      <w:r>
        <w:t xml:space="preserve">eipt of the discovery request. </w:t>
      </w:r>
      <w:r w:rsidRPr="007659C3">
        <w:t xml:space="preserve">For discovery </w:t>
      </w:r>
      <w:r>
        <w:t>requests</w:t>
      </w:r>
      <w:r w:rsidRPr="007659C3">
        <w:t xml:space="preserve"> </w:t>
      </w:r>
      <w:r>
        <w:t>related to matters addressed in the utility’s rebuttal testimony</w:t>
      </w:r>
      <w:r w:rsidRPr="007659C3">
        <w:t>, discovery re</w:t>
      </w:r>
      <w:r>
        <w:t>sponses shall be served within 1</w:t>
      </w:r>
      <w:r w:rsidRPr="007659C3">
        <w:t>0 days (inclusive of mailing) of receipt of the discovery request</w:t>
      </w:r>
      <w:r>
        <w:t xml:space="preserve">. </w:t>
      </w:r>
    </w:p>
    <w:p w:rsidR="00D279F9" w:rsidRDefault="00D279F9" w:rsidP="00D279F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D279F9" w:rsidRPr="007E338F" w:rsidRDefault="00D279F9" w:rsidP="00D279F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 In addition, copies of all responses to requests for production of documents shall be provided to the Commission staff at its Tallahassee office unless otherwise agreed.</w:t>
      </w:r>
    </w:p>
    <w:p w:rsidR="00D279F9" w:rsidRPr="00972F91" w:rsidRDefault="00D279F9" w:rsidP="00D279F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r>
        <w:t xml:space="preserve">. </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Unless subsequently modified by the Prehearing Officer, the following shall apply:</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spacing w:line="2" w:lineRule="exact"/>
        <w:jc w:val="both"/>
      </w:pPr>
    </w:p>
    <w:p w:rsidR="00D279F9" w:rsidRPr="002C3B18" w:rsidRDefault="00D279F9" w:rsidP="00D279F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 200.</w:t>
      </w:r>
    </w:p>
    <w:p w:rsidR="00D279F9" w:rsidRDefault="00D279F9" w:rsidP="00D279F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 subparts, shall be limited to 200.</w:t>
      </w:r>
    </w:p>
    <w:p w:rsidR="00D279F9" w:rsidRDefault="00D279F9" w:rsidP="00D279F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 100.</w:t>
      </w:r>
    </w:p>
    <w:p w:rsidR="00D279F9" w:rsidRDefault="00D279F9" w:rsidP="00D279F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279F9" w:rsidRDefault="00D279F9" w:rsidP="00D279F9">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10 days of service of the discovery request. </w:t>
      </w:r>
      <w:r w:rsidRPr="00B31F79">
        <w:rPr>
          <w:rFonts w:cs="Courier New"/>
        </w:rPr>
        <w:t>For discovery requests served after the date for rebuttal testimony, such clarifi</w:t>
      </w:r>
      <w:r>
        <w:rPr>
          <w:rFonts w:cs="Courier New"/>
        </w:rPr>
        <w:t>cation must be requested within five</w:t>
      </w:r>
      <w:r w:rsidRPr="00B31F79">
        <w:rPr>
          <w:rFonts w:cs="Courier New"/>
        </w:rPr>
        <w:t xml:space="preserve"> days</w:t>
      </w:r>
      <w:r>
        <w:rPr>
          <w:rFonts w:cs="Courier New"/>
        </w:rPr>
        <w:t>. This procedure is intended to reduce delay in resolving discovery disputes.</w:t>
      </w:r>
    </w:p>
    <w:p w:rsidR="00D279F9" w:rsidRDefault="00D279F9" w:rsidP="00D279F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279F9" w:rsidRDefault="00D279F9" w:rsidP="00D279F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D279F9" w:rsidRDefault="00D279F9" w:rsidP="00D279F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Pr="00AD5F83"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Redacted versions of confidential filings may be served electronically, but in no instance may confidential information be electronically submitted</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w:t>
      </w:r>
      <w:r>
        <w:lastRenderedPageBreak/>
        <w:t>respondent shall endeavor in good faith to reach agreement that will allow for the exchange of such information on reasonable terms, as set forth in Rule 25-22.006(7)(b), F.A.C.</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IX 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D279F9" w:rsidTr="00C476E3">
        <w:tc>
          <w:tcPr>
            <w:tcW w:w="3060" w:type="dxa"/>
            <w:shd w:val="clear" w:color="auto" w:fill="auto"/>
          </w:tcPr>
          <w:p w:rsidR="00D279F9" w:rsidRPr="004306A8"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D279F9" w:rsidRPr="004306A8"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D279F9" w:rsidRPr="004306A8"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D279F9" w:rsidTr="00C476E3">
        <w:tc>
          <w:tcPr>
            <w:tcW w:w="3060" w:type="dxa"/>
            <w:shd w:val="clear" w:color="auto" w:fill="auto"/>
          </w:tcPr>
          <w:p w:rsidR="00D279F9" w:rsidRPr="004306A8"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D279F9" w:rsidRPr="00A2428E"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279F9" w:rsidRPr="00A2428E"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279F9" w:rsidTr="00C476E3">
        <w:tc>
          <w:tcPr>
            <w:tcW w:w="3060" w:type="dxa"/>
            <w:shd w:val="clear" w:color="auto" w:fill="auto"/>
          </w:tcPr>
          <w:p w:rsidR="00D279F9" w:rsidRPr="00A2428E"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D279F9" w:rsidRPr="00A2428E"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D279F9" w:rsidRPr="00A2428E"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D279F9" w:rsidRPr="00B95E83" w:rsidTr="00C476E3">
        <w:tc>
          <w:tcPr>
            <w:tcW w:w="974" w:type="dxa"/>
            <w:shd w:val="clear" w:color="auto" w:fill="auto"/>
          </w:tcPr>
          <w:p w:rsidR="00D279F9" w:rsidRPr="00B95E83"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D279F9" w:rsidRPr="00B95E83" w:rsidRDefault="00D279F9" w:rsidP="00C476E3">
            <w:pPr>
              <w:rPr>
                <w:b/>
              </w:rPr>
            </w:pPr>
            <w:r w:rsidRPr="00B95E83">
              <w:rPr>
                <w:b/>
              </w:rPr>
              <w:t>Proffered By</w:t>
            </w:r>
          </w:p>
        </w:tc>
        <w:tc>
          <w:tcPr>
            <w:tcW w:w="1505" w:type="dxa"/>
            <w:shd w:val="clear" w:color="auto" w:fill="auto"/>
          </w:tcPr>
          <w:p w:rsidR="00D279F9" w:rsidRPr="00B95E83" w:rsidRDefault="00D279F9" w:rsidP="00C476E3">
            <w:pPr>
              <w:rPr>
                <w:b/>
              </w:rPr>
            </w:pPr>
            <w:r w:rsidRPr="00B95E83">
              <w:rPr>
                <w:b/>
              </w:rPr>
              <w:t>Exhibit No.</w:t>
            </w:r>
          </w:p>
        </w:tc>
        <w:tc>
          <w:tcPr>
            <w:tcW w:w="2123" w:type="dxa"/>
            <w:shd w:val="clear" w:color="auto" w:fill="auto"/>
          </w:tcPr>
          <w:p w:rsidR="00D279F9" w:rsidRPr="00B95E83"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D279F9" w:rsidRPr="00B95E83" w:rsidRDefault="00D279F9" w:rsidP="00C476E3">
            <w:pPr>
              <w:rPr>
                <w:b/>
              </w:rPr>
            </w:pPr>
            <w:r w:rsidRPr="00B95E83">
              <w:rPr>
                <w:b/>
              </w:rPr>
              <w:t>Issue  #</w:t>
            </w:r>
          </w:p>
        </w:tc>
      </w:tr>
      <w:tr w:rsidR="00D279F9" w:rsidRPr="00B95E83" w:rsidTr="00C476E3">
        <w:tc>
          <w:tcPr>
            <w:tcW w:w="974" w:type="dxa"/>
            <w:shd w:val="clear" w:color="auto" w:fill="auto"/>
          </w:tcPr>
          <w:p w:rsidR="00D279F9" w:rsidRPr="00B95E83" w:rsidRDefault="00D279F9" w:rsidP="00C476E3">
            <w:pPr>
              <w:jc w:val="center"/>
              <w:rPr>
                <w:b/>
              </w:rPr>
            </w:pPr>
            <w:r w:rsidRPr="00B95E83">
              <w:rPr>
                <w:b/>
              </w:rPr>
              <w:t>Direct</w:t>
            </w:r>
          </w:p>
        </w:tc>
        <w:tc>
          <w:tcPr>
            <w:tcW w:w="2086" w:type="dxa"/>
            <w:tcBorders>
              <w:top w:val="single" w:sz="4" w:space="0" w:color="auto"/>
            </w:tcBorders>
            <w:shd w:val="clear" w:color="auto" w:fill="auto"/>
          </w:tcPr>
          <w:p w:rsidR="00D279F9" w:rsidRPr="00B95E83" w:rsidRDefault="00D279F9" w:rsidP="00C476E3"/>
        </w:tc>
        <w:tc>
          <w:tcPr>
            <w:tcW w:w="1505" w:type="dxa"/>
            <w:shd w:val="clear" w:color="auto" w:fill="auto"/>
          </w:tcPr>
          <w:p w:rsidR="00D279F9" w:rsidRPr="00B95E83"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D279F9" w:rsidRPr="00B95E83"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D279F9" w:rsidRPr="00B95E83"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279F9" w:rsidRPr="00B95E83" w:rsidTr="00C476E3">
        <w:tc>
          <w:tcPr>
            <w:tcW w:w="974" w:type="dxa"/>
            <w:shd w:val="clear" w:color="auto" w:fill="auto"/>
          </w:tcPr>
          <w:p w:rsidR="00D279F9" w:rsidRPr="00B95E83" w:rsidRDefault="00D279F9" w:rsidP="00C476E3">
            <w:r w:rsidRPr="00B95E83">
              <w:t>John Smith</w:t>
            </w:r>
          </w:p>
        </w:tc>
        <w:tc>
          <w:tcPr>
            <w:tcW w:w="2086" w:type="dxa"/>
            <w:shd w:val="clear" w:color="auto" w:fill="auto"/>
          </w:tcPr>
          <w:p w:rsidR="00D279F9" w:rsidRPr="00B95E83" w:rsidRDefault="00D279F9" w:rsidP="00C476E3">
            <w:r w:rsidRPr="00B95E83">
              <w:t>Party/Utility Name</w:t>
            </w:r>
          </w:p>
        </w:tc>
        <w:tc>
          <w:tcPr>
            <w:tcW w:w="1505" w:type="dxa"/>
            <w:shd w:val="clear" w:color="auto" w:fill="auto"/>
          </w:tcPr>
          <w:p w:rsidR="00D279F9" w:rsidRPr="00B95E83" w:rsidRDefault="00D279F9" w:rsidP="00C476E3">
            <w:r w:rsidRPr="00B95E83">
              <w:t>ABC-1</w:t>
            </w:r>
          </w:p>
        </w:tc>
        <w:tc>
          <w:tcPr>
            <w:tcW w:w="2123" w:type="dxa"/>
            <w:shd w:val="clear" w:color="auto" w:fill="auto"/>
          </w:tcPr>
          <w:p w:rsidR="00D279F9" w:rsidRPr="00B95E83" w:rsidRDefault="00D279F9" w:rsidP="00C476E3">
            <w:r w:rsidRPr="00B95E83">
              <w:t>Title ......</w:t>
            </w:r>
          </w:p>
        </w:tc>
        <w:tc>
          <w:tcPr>
            <w:tcW w:w="1862" w:type="dxa"/>
            <w:shd w:val="clear" w:color="auto" w:fill="auto"/>
          </w:tcPr>
          <w:p w:rsidR="00D279F9" w:rsidRPr="00B95E83" w:rsidRDefault="00D279F9" w:rsidP="00C47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lastRenderedPageBreak/>
        <w:t>on any particular issue or issues should refer to the requirements of subsection C, below;</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D279F9" w:rsidRDefault="00D279F9" w:rsidP="00D279F9">
      <w:pPr>
        <w:spacing w:line="2" w:lineRule="exact"/>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 October 17, 2023,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spacing w:line="2" w:lineRule="exact"/>
        <w:jc w:val="both"/>
      </w:pPr>
    </w:p>
    <w:p w:rsidR="00D279F9" w:rsidRDefault="00D279F9" w:rsidP="00D279F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D279F9" w:rsidRDefault="00D279F9" w:rsidP="00D279F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D279F9" w:rsidRDefault="00D279F9" w:rsidP="00D279F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Whether due diligence was exercised to obtain facts touching on the issue; </w:t>
      </w:r>
    </w:p>
    <w:p w:rsidR="00D279F9" w:rsidRDefault="00D279F9" w:rsidP="00D279F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D279F9" w:rsidRDefault="00D279F9" w:rsidP="00D279F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three business days prior to the Prehearing Conference, and identify with specificity the page and line numbers of the information to be stricken. Motions to strike any portion of prefiled testimony and related portions of exhibits at hearing shall be considered untimely, absent good cause shown.</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Pr="00A42FA7">
        <w:t>two business days</w:t>
      </w:r>
      <w:r>
        <w:rPr>
          <w:b/>
          <w:i/>
        </w:rPr>
        <w:t xml:space="preserve"> </w:t>
      </w:r>
      <w:r>
        <w:t>prior to the first scheduled hearing date. Such notification shall identify all materials for which the party seeks official recognition, and such materials shall be provided along with the notification.</w:t>
      </w:r>
    </w:p>
    <w:p w:rsidR="00D279F9" w:rsidRPr="00205CA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Pr="00364D32">
        <w:t>G.</w:t>
      </w:r>
      <w:r w:rsidRPr="00364D32">
        <w:tab/>
      </w:r>
      <w:r w:rsidRPr="00364D32">
        <w:rPr>
          <w:u w:val="single"/>
        </w:rPr>
        <w:t>Use of Depositions at Hearing</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IX of this Order. The Notice shall include the following information for each deposition:</w:t>
      </w:r>
    </w:p>
    <w:p w:rsidR="00D279F9" w:rsidRDefault="00D279F9" w:rsidP="00D279F9">
      <w:pPr>
        <w:pStyle w:val="ListParagraph"/>
        <w:ind w:left="1080"/>
        <w:jc w:val="both"/>
      </w:pPr>
    </w:p>
    <w:p w:rsidR="00D279F9" w:rsidRDefault="00D279F9" w:rsidP="00D279F9">
      <w:pPr>
        <w:pStyle w:val="ListParagraph"/>
        <w:numPr>
          <w:ilvl w:val="0"/>
          <w:numId w:val="8"/>
        </w:numPr>
        <w:jc w:val="both"/>
      </w:pPr>
      <w:r>
        <w:t>Name of witness deposed;</w:t>
      </w:r>
    </w:p>
    <w:p w:rsidR="00D279F9" w:rsidRDefault="00D279F9" w:rsidP="00D279F9">
      <w:pPr>
        <w:pStyle w:val="ListParagraph"/>
        <w:numPr>
          <w:ilvl w:val="0"/>
          <w:numId w:val="8"/>
        </w:numPr>
        <w:jc w:val="both"/>
      </w:pPr>
      <w:r>
        <w:t>Date deposition was taken; and</w:t>
      </w:r>
    </w:p>
    <w:p w:rsidR="00D279F9" w:rsidRPr="00A42FA7" w:rsidRDefault="00D279F9" w:rsidP="00D279F9">
      <w:pPr>
        <w:pStyle w:val="ListParagraph"/>
        <w:numPr>
          <w:ilvl w:val="0"/>
          <w:numId w:val="8"/>
        </w:numPr>
        <w:jc w:val="both"/>
      </w:pPr>
      <w:r>
        <w:t xml:space="preserve">Page and line numbers of each deposition the party seeks to introduce, </w:t>
      </w:r>
      <w:r w:rsidRPr="00A42FA7">
        <w:t xml:space="preserve">when available. </w:t>
      </w:r>
    </w:p>
    <w:p w:rsidR="00D279F9" w:rsidRDefault="00D279F9" w:rsidP="00D279F9"/>
    <w:p w:rsidR="00D279F9" w:rsidRDefault="00D279F9" w:rsidP="00D279F9">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D279F9" w:rsidRDefault="00D279F9" w:rsidP="00D279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spacing w:line="2" w:lineRule="exact"/>
        <w:jc w:val="both"/>
      </w:pPr>
    </w:p>
    <w:p w:rsidR="00D279F9" w:rsidRDefault="00D279F9" w:rsidP="00D279F9">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D279F9" w:rsidRDefault="00D279F9" w:rsidP="00D279F9">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ind w:firstLine="720"/>
        <w:jc w:val="both"/>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spacing w:line="2" w:lineRule="exact"/>
        <w:jc w:val="both"/>
      </w:pPr>
    </w:p>
    <w:p w:rsidR="00D279F9" w:rsidRDefault="00D279F9" w:rsidP="00D279F9">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257A35" w:rsidRDefault="00257A35" w:rsidP="00257A35">
      <w:pPr>
        <w:rPr>
          <w:b/>
          <w:bCs/>
        </w:rPr>
      </w:pPr>
    </w:p>
    <w:p w:rsidR="00D279F9" w:rsidRPr="00257A35" w:rsidRDefault="00D279F9" w:rsidP="00257A35">
      <w:pPr>
        <w:rPr>
          <w:b/>
          <w:bCs/>
        </w:rPr>
      </w:pPr>
      <w:r>
        <w:rPr>
          <w:b/>
          <w:bCs/>
        </w:rPr>
        <w:t>VIII.</w:t>
      </w:r>
      <w:r>
        <w:rPr>
          <w:b/>
          <w:bCs/>
        </w:rPr>
        <w:tab/>
      </w:r>
      <w:r>
        <w:rPr>
          <w:b/>
          <w:bCs/>
          <w:u w:val="single"/>
        </w:rPr>
        <w:t>Post-Hearing Procedures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IX of this Order. In such event, a summary of each position of no more than 75 words, set off with asterisks, shall be included in that statement. If a party’s </w:t>
      </w:r>
      <w:r>
        <w:lastRenderedPageBreak/>
        <w:t>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40 pages and shall be filed at the same time, unless modified by the Presiding Officer. </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Pr>
          <w:b/>
          <w:bCs/>
        </w:rPr>
        <w:tab/>
      </w:r>
      <w:r>
        <w:rPr>
          <w:b/>
          <w:bCs/>
          <w:u w:val="single"/>
        </w:rPr>
        <w:t>Controlling Dates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310"/>
        <w:gridCol w:w="3420"/>
      </w:tblGrid>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(1)</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Final True-Up Testimony and Exhibits</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April 1, 2023</w:t>
            </w:r>
          </w:p>
        </w:tc>
      </w:tr>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(2)</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Preliminary List of New Projects</w:t>
            </w:r>
          </w:p>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for Cost Recovery, if any</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July 1, 2023</w:t>
            </w:r>
          </w:p>
        </w:tc>
      </w:tr>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(3)</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Estimated/Actual Testimony and Exhibits</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July 28, 2023</w:t>
            </w:r>
          </w:p>
        </w:tc>
      </w:tr>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(4)</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w:t>
            </w:r>
            <w:r>
              <w:rPr>
                <w:b/>
                <w:i/>
              </w:rPr>
              <w:t xml:space="preserve"> </w:t>
            </w:r>
            <w:r>
              <w:t>Projection Testimony and Exhibits</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August 25, 2023</w:t>
            </w:r>
          </w:p>
        </w:tc>
      </w:tr>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(5)</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 if any</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September 8, 2023</w:t>
            </w:r>
          </w:p>
        </w:tc>
      </w:tr>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(6)</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September 12, 2023</w:t>
            </w:r>
          </w:p>
        </w:tc>
      </w:tr>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(7)</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Rebuttal Testimony and Exhibits, if any</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September 18, 2023</w:t>
            </w:r>
          </w:p>
        </w:tc>
      </w:tr>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(8)</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October 6, 2023</w:t>
            </w:r>
          </w:p>
        </w:tc>
      </w:tr>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(9)</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October 10, 2023</w:t>
            </w:r>
          </w:p>
        </w:tc>
      </w:tr>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(10)</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October 17, 2023</w:t>
            </w:r>
          </w:p>
        </w:tc>
      </w:tr>
      <w:tr w:rsidR="00D279F9" w:rsidTr="00C476E3">
        <w:trPr>
          <w:cantSplit/>
          <w:trHeight w:val="454"/>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(11)</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after="57"/>
              <w:jc w:val="both"/>
            </w:pPr>
            <w:r>
              <w:t>November 1-3, 2023</w:t>
            </w:r>
          </w:p>
        </w:tc>
      </w:tr>
      <w:tr w:rsidR="00D279F9" w:rsidTr="00C476E3">
        <w:trPr>
          <w:cantSplit/>
        </w:trPr>
        <w:tc>
          <w:tcPr>
            <w:tcW w:w="720" w:type="dxa"/>
            <w:tcBorders>
              <w:top w:val="nil"/>
              <w:left w:val="nil"/>
              <w:bottom w:val="nil"/>
              <w:right w:val="nil"/>
            </w:tcBorders>
          </w:tcPr>
          <w:p w:rsidR="00D279F9" w:rsidRDefault="00D279F9" w:rsidP="00C476E3">
            <w:pPr>
              <w:numPr>
                <w:ilvl w:val="12"/>
                <w:numId w:val="0"/>
              </w:numPr>
              <w:tabs>
                <w:tab w:val="left" w:pos="0"/>
              </w:tabs>
              <w:spacing w:before="120" w:after="57"/>
              <w:jc w:val="both"/>
            </w:pPr>
            <w:r>
              <w:t>(12)</w:t>
            </w:r>
          </w:p>
        </w:tc>
        <w:tc>
          <w:tcPr>
            <w:tcW w:w="531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D279F9" w:rsidRDefault="00D279F9" w:rsidP="00C476E3">
            <w:pPr>
              <w:numPr>
                <w:ilvl w:val="12"/>
                <w:numId w:val="0"/>
              </w:numPr>
              <w:tabs>
                <w:tab w:val="left" w:pos="0"/>
                <w:tab w:val="left" w:pos="720"/>
                <w:tab w:val="left" w:pos="1440"/>
                <w:tab w:val="left" w:pos="2160"/>
                <w:tab w:val="left" w:pos="2880"/>
              </w:tabs>
              <w:spacing w:before="120"/>
              <w:jc w:val="both"/>
            </w:pPr>
            <w:r>
              <w:t>November 10, 2023</w:t>
            </w:r>
          </w:p>
        </w:tc>
      </w:tr>
    </w:tbl>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57A35"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D279F9" w:rsidRDefault="00257A35"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279F9">
        <w:t>Based upon the foregoing, it is</w:t>
      </w: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279F9"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sidRPr="00211A2C">
        <w:rPr>
          <w:color w:val="000000" w:themeColor="text1"/>
        </w:rPr>
        <w:t>Mike La Rosa</w:t>
      </w:r>
      <w:r>
        <w:t>, as Prehearing Officer, that the provisions of this Order shall govern this proceeding unless modified by the Commission.</w:t>
      </w:r>
    </w:p>
    <w:p w:rsidR="00D279F9" w:rsidRDefault="00D279F9" w:rsidP="00D279F9">
      <w:pPr>
        <w:keepNext/>
        <w:keepLines/>
        <w:jc w:val="both"/>
      </w:pPr>
      <w:r>
        <w:lastRenderedPageBreak/>
        <w:tab/>
      </w:r>
    </w:p>
    <w:p w:rsidR="00D279F9" w:rsidRDefault="00D279F9" w:rsidP="00AE51CF">
      <w:pPr>
        <w:keepNext/>
        <w:keepLines/>
        <w:ind w:firstLine="720"/>
        <w:jc w:val="both"/>
      </w:pPr>
      <w:r>
        <w:t xml:space="preserve">By ORDER of Commissioner Mike La Rosa, as Prehearing Officer, this </w:t>
      </w:r>
      <w:bookmarkStart w:id="5" w:name="replaceDate"/>
      <w:bookmarkEnd w:id="5"/>
      <w:r w:rsidR="00AE51CF">
        <w:rPr>
          <w:u w:val="single"/>
        </w:rPr>
        <w:t>15th</w:t>
      </w:r>
      <w:r w:rsidR="00AE51CF">
        <w:t xml:space="preserve"> day of </w:t>
      </w:r>
      <w:r w:rsidR="00AE51CF">
        <w:rPr>
          <w:u w:val="single"/>
        </w:rPr>
        <w:t>February</w:t>
      </w:r>
      <w:r w:rsidR="00AE51CF">
        <w:t xml:space="preserve">, </w:t>
      </w:r>
      <w:r w:rsidR="00AE51CF">
        <w:rPr>
          <w:u w:val="single"/>
        </w:rPr>
        <w:t>2023</w:t>
      </w:r>
      <w:r w:rsidR="00AE51CF">
        <w:t>.</w:t>
      </w:r>
    </w:p>
    <w:p w:rsidR="00AE51CF" w:rsidRPr="00AE51CF" w:rsidRDefault="00AE51CF" w:rsidP="00AE51CF">
      <w:pPr>
        <w:keepNext/>
        <w:keepLines/>
        <w:ind w:firstLine="720"/>
        <w:jc w:val="both"/>
      </w:pPr>
    </w:p>
    <w:p w:rsidR="00D279F9" w:rsidRDefault="00D279F9" w:rsidP="00D279F9">
      <w:pPr>
        <w:keepNext/>
        <w:keepLines/>
        <w:jc w:val="both"/>
      </w:pPr>
    </w:p>
    <w:p w:rsidR="00D279F9" w:rsidRDefault="00D279F9" w:rsidP="00D279F9">
      <w:pPr>
        <w:keepNext/>
        <w:keepLines/>
        <w:jc w:val="both"/>
      </w:pPr>
    </w:p>
    <w:p w:rsidR="00D279F9" w:rsidRDefault="00D279F9" w:rsidP="00D279F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279F9" w:rsidTr="00C476E3">
        <w:tc>
          <w:tcPr>
            <w:tcW w:w="720" w:type="dxa"/>
            <w:shd w:val="clear" w:color="auto" w:fill="auto"/>
          </w:tcPr>
          <w:p w:rsidR="00D279F9" w:rsidRDefault="00D279F9" w:rsidP="00C476E3">
            <w:pPr>
              <w:keepNext/>
              <w:keepLines/>
              <w:jc w:val="both"/>
              <w:rPr>
                <w:color w:val="000000" w:themeColor="text1"/>
              </w:rPr>
            </w:pPr>
            <w:bookmarkStart w:id="6" w:name="bkmrkSignature" w:colFirst="0" w:colLast="0"/>
          </w:p>
        </w:tc>
        <w:tc>
          <w:tcPr>
            <w:tcW w:w="4320" w:type="dxa"/>
            <w:tcBorders>
              <w:bottom w:val="single" w:sz="4" w:space="0" w:color="auto"/>
            </w:tcBorders>
            <w:shd w:val="clear" w:color="auto" w:fill="auto"/>
          </w:tcPr>
          <w:p w:rsidR="00D279F9" w:rsidRDefault="00AE51CF" w:rsidP="00C476E3">
            <w:pPr>
              <w:keepNext/>
              <w:keepLines/>
              <w:jc w:val="both"/>
              <w:rPr>
                <w:color w:val="000000" w:themeColor="text1"/>
              </w:rPr>
            </w:pPr>
            <w:r>
              <w:rPr>
                <w:color w:val="000000" w:themeColor="text1"/>
              </w:rPr>
              <w:t>/s/ Mike La Rosa</w:t>
            </w:r>
            <w:bookmarkStart w:id="7" w:name="_GoBack"/>
            <w:bookmarkEnd w:id="7"/>
          </w:p>
        </w:tc>
      </w:tr>
      <w:bookmarkEnd w:id="6"/>
      <w:tr w:rsidR="00D279F9" w:rsidTr="00C476E3">
        <w:tc>
          <w:tcPr>
            <w:tcW w:w="720" w:type="dxa"/>
            <w:shd w:val="clear" w:color="auto" w:fill="auto"/>
          </w:tcPr>
          <w:p w:rsidR="00D279F9" w:rsidRDefault="00D279F9" w:rsidP="00C476E3">
            <w:pPr>
              <w:keepNext/>
              <w:keepLines/>
              <w:jc w:val="both"/>
              <w:rPr>
                <w:color w:val="000000" w:themeColor="text1"/>
              </w:rPr>
            </w:pPr>
          </w:p>
        </w:tc>
        <w:tc>
          <w:tcPr>
            <w:tcW w:w="4320" w:type="dxa"/>
            <w:tcBorders>
              <w:top w:val="single" w:sz="4" w:space="0" w:color="auto"/>
            </w:tcBorders>
            <w:shd w:val="clear" w:color="auto" w:fill="auto"/>
          </w:tcPr>
          <w:p w:rsidR="00D279F9" w:rsidRDefault="00D279F9" w:rsidP="00C476E3">
            <w:pPr>
              <w:keepNext/>
              <w:keepLines/>
              <w:jc w:val="both"/>
              <w:rPr>
                <w:color w:val="000000" w:themeColor="text1"/>
              </w:rPr>
            </w:pPr>
            <w:r>
              <w:rPr>
                <w:color w:val="000000" w:themeColor="text1"/>
              </w:rPr>
              <w:t>Mike La Rosa</w:t>
            </w:r>
          </w:p>
          <w:p w:rsidR="00D279F9" w:rsidRDefault="00D279F9" w:rsidP="00C476E3">
            <w:pPr>
              <w:keepNext/>
              <w:keepLines/>
              <w:jc w:val="both"/>
              <w:rPr>
                <w:color w:val="000000" w:themeColor="text1"/>
              </w:rPr>
            </w:pPr>
            <w:r>
              <w:rPr>
                <w:color w:val="000000" w:themeColor="text1"/>
              </w:rPr>
              <w:t>Commissioner and Prehearing Officer</w:t>
            </w:r>
          </w:p>
        </w:tc>
      </w:tr>
    </w:tbl>
    <w:p w:rsidR="00D279F9" w:rsidRDefault="00D279F9" w:rsidP="00D279F9">
      <w:pPr>
        <w:pStyle w:val="OrderSigInfo"/>
        <w:keepNext/>
        <w:keepLines/>
      </w:pPr>
      <w:r>
        <w:t>Florida Public Service Commission</w:t>
      </w:r>
    </w:p>
    <w:p w:rsidR="00D279F9" w:rsidRDefault="00D279F9" w:rsidP="00D279F9">
      <w:pPr>
        <w:pStyle w:val="OrderSigInfo"/>
        <w:keepNext/>
        <w:keepLines/>
      </w:pPr>
      <w:r>
        <w:t>2540 Shumard Oak Boulevard</w:t>
      </w:r>
    </w:p>
    <w:p w:rsidR="00D279F9" w:rsidRDefault="00D279F9" w:rsidP="00D279F9">
      <w:pPr>
        <w:pStyle w:val="OrderSigInfo"/>
        <w:keepNext/>
        <w:keepLines/>
      </w:pPr>
      <w:r>
        <w:t>Tallahassee, Florida 32399</w:t>
      </w:r>
    </w:p>
    <w:p w:rsidR="00D279F9" w:rsidRDefault="00D279F9" w:rsidP="00D279F9">
      <w:pPr>
        <w:pStyle w:val="OrderSigInfo"/>
        <w:keepNext/>
        <w:keepLines/>
      </w:pPr>
      <w:r>
        <w:t>(850) 413</w:t>
      </w:r>
      <w:r>
        <w:noBreakHyphen/>
        <w:t>6770</w:t>
      </w:r>
    </w:p>
    <w:p w:rsidR="00D279F9" w:rsidRDefault="00D279F9" w:rsidP="00D279F9">
      <w:pPr>
        <w:pStyle w:val="OrderSigInfo"/>
        <w:keepNext/>
        <w:keepLines/>
      </w:pPr>
      <w:r>
        <w:t>www.floridapsc.com</w:t>
      </w:r>
    </w:p>
    <w:p w:rsidR="00D279F9" w:rsidRDefault="00D279F9" w:rsidP="00D279F9">
      <w:pPr>
        <w:pStyle w:val="OrderSigInfo"/>
        <w:keepNext/>
        <w:keepLines/>
      </w:pPr>
    </w:p>
    <w:p w:rsidR="00D279F9" w:rsidRDefault="00D279F9" w:rsidP="00D279F9">
      <w:pPr>
        <w:pStyle w:val="OrderSigInfo"/>
        <w:keepNext/>
        <w:keepLines/>
      </w:pPr>
      <w:r>
        <w:t>Copies furnished:  A copy of this document is provided to the parties of record at the time of issuance and, if applicable, interested persons.</w:t>
      </w:r>
    </w:p>
    <w:p w:rsidR="00D279F9" w:rsidRDefault="00D279F9" w:rsidP="00D279F9">
      <w:pPr>
        <w:pStyle w:val="OrderBody"/>
        <w:keepNext/>
        <w:keepLines/>
      </w:pPr>
    </w:p>
    <w:p w:rsidR="00D279F9" w:rsidRDefault="00D279F9" w:rsidP="00D279F9">
      <w:pPr>
        <w:keepNext/>
        <w:keepLines/>
        <w:jc w:val="both"/>
        <w:rPr>
          <w:color w:val="000000" w:themeColor="text1"/>
        </w:rPr>
      </w:pPr>
    </w:p>
    <w:p w:rsidR="00D279F9" w:rsidRDefault="00D279F9" w:rsidP="00D279F9">
      <w:pPr>
        <w:keepNext/>
        <w:keepLines/>
        <w:jc w:val="both"/>
        <w:rPr>
          <w:color w:val="000000" w:themeColor="text1"/>
        </w:rPr>
      </w:pPr>
      <w:r>
        <w:rPr>
          <w:color w:val="000000" w:themeColor="text1"/>
        </w:rPr>
        <w:t>JDI</w:t>
      </w:r>
    </w:p>
    <w:p w:rsidR="00D279F9" w:rsidRDefault="00D279F9" w:rsidP="00D279F9">
      <w:pPr>
        <w:keepNext/>
        <w:keepLines/>
        <w:jc w:val="both"/>
        <w:rPr>
          <w:color w:val="000000" w:themeColor="text1"/>
        </w:rPr>
      </w:pPr>
    </w:p>
    <w:p w:rsidR="00D279F9" w:rsidRDefault="00D279F9" w:rsidP="00D279F9">
      <w:pPr>
        <w:jc w:val="both"/>
        <w:rPr>
          <w:color w:val="000000" w:themeColor="text1"/>
        </w:rPr>
      </w:pPr>
    </w:p>
    <w:p w:rsidR="00D279F9" w:rsidRDefault="00D279F9" w:rsidP="00D279F9">
      <w:pPr>
        <w:pStyle w:val="CenterUnderline"/>
      </w:pPr>
      <w:r>
        <w:t>NOTICE OF FURTHER PROCEEDINGS OR JUDICIAL REVIEW</w:t>
      </w:r>
    </w:p>
    <w:p w:rsidR="00D279F9" w:rsidRDefault="00D279F9" w:rsidP="00D279F9">
      <w:pPr>
        <w:pStyle w:val="CenterUnderline"/>
      </w:pPr>
    </w:p>
    <w:p w:rsidR="00D279F9" w:rsidRDefault="00D279F9" w:rsidP="00D279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279F9" w:rsidRDefault="00D279F9" w:rsidP="00D279F9">
      <w:pPr>
        <w:pStyle w:val="OrderBody"/>
      </w:pPr>
    </w:p>
    <w:p w:rsidR="00D279F9" w:rsidRDefault="00D279F9" w:rsidP="00D279F9">
      <w:pPr>
        <w:pStyle w:val="OrderBody"/>
      </w:pPr>
      <w:r>
        <w:tab/>
        <w:t>Mediation may be available on a case-by-case basis. If mediation is conducted, it does not affect a substantially interested person's right to a hearing.</w:t>
      </w:r>
    </w:p>
    <w:p w:rsidR="00D279F9" w:rsidRDefault="00D279F9" w:rsidP="00D279F9">
      <w:pPr>
        <w:pStyle w:val="OrderBody"/>
      </w:pPr>
    </w:p>
    <w:p w:rsidR="00D279F9" w:rsidRDefault="00D279F9" w:rsidP="00D279F9">
      <w:pPr>
        <w:pStyle w:val="OrderBody"/>
        <w:sectPr w:rsidR="00D279F9">
          <w:headerReference w:type="default" r:id="rId8"/>
          <w:footerReference w:type="first" r:id="rId9"/>
          <w:pgSz w:w="12240" w:h="15840" w:code="1"/>
          <w:pgMar w:top="1440" w:right="1440" w:bottom="144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279F9" w:rsidRPr="00CF5B34" w:rsidRDefault="00D279F9" w:rsidP="00D279F9">
      <w:pPr>
        <w:pStyle w:val="OrderBody"/>
        <w:jc w:val="center"/>
        <w:rPr>
          <w:u w:val="single"/>
        </w:rPr>
      </w:pPr>
      <w:r>
        <w:rPr>
          <w:u w:val="single"/>
        </w:rPr>
        <w:lastRenderedPageBreak/>
        <w:t>APPENDIX A</w:t>
      </w:r>
    </w:p>
    <w:p w:rsidR="00D279F9" w:rsidRPr="00211A2C" w:rsidRDefault="00D279F9" w:rsidP="00D279F9">
      <w:pPr>
        <w:jc w:val="center"/>
        <w:rPr>
          <w:b/>
        </w:rPr>
      </w:pPr>
      <w:r w:rsidRPr="00211A2C">
        <w:rPr>
          <w:b/>
        </w:rPr>
        <w:t>TENTATIVE LIST OF ISSUES</w:t>
      </w:r>
    </w:p>
    <w:p w:rsidR="00D279F9" w:rsidRPr="00211A2C" w:rsidRDefault="00D279F9" w:rsidP="00D279F9">
      <w:pPr>
        <w:jc w:val="center"/>
      </w:pPr>
    </w:p>
    <w:p w:rsidR="00D279F9" w:rsidRPr="00211A2C" w:rsidRDefault="00D279F9" w:rsidP="00D279F9">
      <w:pPr>
        <w:jc w:val="both"/>
      </w:pPr>
    </w:p>
    <w:p w:rsidR="00D279F9" w:rsidRPr="00CF5B34" w:rsidRDefault="00D279F9" w:rsidP="00D279F9">
      <w:pPr>
        <w:jc w:val="both"/>
        <w:rPr>
          <w:u w:val="single"/>
        </w:rPr>
      </w:pPr>
      <w:r w:rsidRPr="00CF5B34">
        <w:rPr>
          <w:u w:val="single"/>
        </w:rPr>
        <w:t>G</w:t>
      </w:r>
      <w:r>
        <w:rPr>
          <w:u w:val="single"/>
        </w:rPr>
        <w:t>eneric</w:t>
      </w:r>
      <w:r w:rsidRPr="00CF5B34">
        <w:rPr>
          <w:u w:val="single"/>
        </w:rPr>
        <w:t xml:space="preserve"> E</w:t>
      </w:r>
      <w:r>
        <w:rPr>
          <w:u w:val="single"/>
        </w:rPr>
        <w:t>nvironmental</w:t>
      </w:r>
      <w:r w:rsidRPr="00CF5B34">
        <w:rPr>
          <w:u w:val="single"/>
        </w:rPr>
        <w:t xml:space="preserve"> C</w:t>
      </w:r>
      <w:r>
        <w:rPr>
          <w:u w:val="single"/>
        </w:rPr>
        <w:t>ost</w:t>
      </w:r>
      <w:r w:rsidRPr="00CF5B34">
        <w:rPr>
          <w:u w:val="single"/>
        </w:rPr>
        <w:t xml:space="preserve"> R</w:t>
      </w:r>
      <w:r>
        <w:rPr>
          <w:u w:val="single"/>
        </w:rPr>
        <w:t>ecovery</w:t>
      </w:r>
      <w:r w:rsidRPr="00CF5B34">
        <w:rPr>
          <w:u w:val="single"/>
        </w:rPr>
        <w:t xml:space="preserve"> I</w:t>
      </w:r>
      <w:r>
        <w:rPr>
          <w:u w:val="single"/>
        </w:rPr>
        <w:t>ssues</w:t>
      </w:r>
    </w:p>
    <w:p w:rsidR="00D279F9" w:rsidRPr="00211A2C" w:rsidRDefault="00D279F9" w:rsidP="00D279F9">
      <w:pPr>
        <w:jc w:val="both"/>
      </w:pPr>
    </w:p>
    <w:p w:rsidR="00D279F9" w:rsidRPr="00211A2C" w:rsidRDefault="00D279F9" w:rsidP="00D279F9">
      <w:pPr>
        <w:ind w:left="1440" w:hanging="1440"/>
        <w:jc w:val="both"/>
      </w:pPr>
      <w:r w:rsidRPr="00211A2C">
        <w:rPr>
          <w:bCs/>
          <w:u w:val="single"/>
        </w:rPr>
        <w:t>ISSUE 1</w:t>
      </w:r>
      <w:r w:rsidRPr="00211A2C">
        <w:rPr>
          <w:bCs/>
        </w:rPr>
        <w:t xml:space="preserve">:  </w:t>
      </w:r>
      <w:r w:rsidRPr="00211A2C">
        <w:rPr>
          <w:bCs/>
        </w:rPr>
        <w:tab/>
      </w:r>
      <w:r w:rsidRPr="00211A2C">
        <w:t>What are the final environmental cost recovery true-up amo</w:t>
      </w:r>
      <w:r>
        <w:t>unts for the period January 2022 through December 2022</w:t>
      </w:r>
      <w:r w:rsidRPr="00211A2C">
        <w:t>?</w:t>
      </w:r>
    </w:p>
    <w:p w:rsidR="00D279F9" w:rsidRPr="00211A2C" w:rsidRDefault="00D279F9" w:rsidP="00D279F9">
      <w:pPr>
        <w:jc w:val="both"/>
      </w:pPr>
    </w:p>
    <w:p w:rsidR="00D279F9" w:rsidRPr="00211A2C" w:rsidRDefault="00D279F9" w:rsidP="00D279F9">
      <w:pPr>
        <w:ind w:left="1440" w:hanging="1440"/>
        <w:jc w:val="both"/>
      </w:pPr>
      <w:r w:rsidRPr="00211A2C">
        <w:rPr>
          <w:u w:val="single"/>
        </w:rPr>
        <w:t>ISSUE 2</w:t>
      </w:r>
      <w:r w:rsidRPr="00211A2C">
        <w:t>:</w:t>
      </w:r>
      <w:r w:rsidRPr="00211A2C">
        <w:tab/>
        <w:t>What are the estimated/actual environmental cost recovery true-up amo</w:t>
      </w:r>
      <w:r>
        <w:t>unts for the period January 2023</w:t>
      </w:r>
      <w:r w:rsidRPr="00211A2C">
        <w:t xml:space="preserve"> through December 202</w:t>
      </w:r>
      <w:r>
        <w:t>3</w:t>
      </w:r>
      <w:r w:rsidRPr="00211A2C">
        <w:t>?</w:t>
      </w:r>
    </w:p>
    <w:p w:rsidR="00D279F9" w:rsidRPr="00211A2C" w:rsidRDefault="00D279F9" w:rsidP="00D279F9">
      <w:pPr>
        <w:ind w:left="1440" w:hanging="1440"/>
        <w:jc w:val="both"/>
      </w:pPr>
    </w:p>
    <w:p w:rsidR="00D279F9" w:rsidRPr="00211A2C" w:rsidRDefault="00D279F9" w:rsidP="00D279F9">
      <w:pPr>
        <w:ind w:left="1440" w:hanging="1440"/>
        <w:jc w:val="both"/>
      </w:pPr>
      <w:r w:rsidRPr="00211A2C">
        <w:rPr>
          <w:u w:val="single"/>
        </w:rPr>
        <w:t>ISSUE 3</w:t>
      </w:r>
      <w:r w:rsidRPr="00211A2C">
        <w:t>:</w:t>
      </w:r>
      <w:r w:rsidRPr="00211A2C">
        <w:tab/>
        <w:t>What are the projected environmental cost recovery amounts for the period January 202</w:t>
      </w:r>
      <w:r>
        <w:t>4 through December 2024</w:t>
      </w:r>
      <w:r w:rsidRPr="00211A2C">
        <w:t>?</w:t>
      </w:r>
    </w:p>
    <w:p w:rsidR="00D279F9" w:rsidRPr="00211A2C" w:rsidRDefault="00D279F9" w:rsidP="00D279F9">
      <w:pPr>
        <w:ind w:left="1440" w:hanging="1440"/>
        <w:jc w:val="both"/>
      </w:pPr>
    </w:p>
    <w:p w:rsidR="00D279F9" w:rsidRPr="00211A2C" w:rsidRDefault="00D279F9" w:rsidP="00D279F9">
      <w:pPr>
        <w:ind w:left="1440" w:hanging="1440"/>
        <w:jc w:val="both"/>
      </w:pPr>
      <w:r w:rsidRPr="00211A2C">
        <w:rPr>
          <w:u w:val="single"/>
        </w:rPr>
        <w:t>ISSUE 4</w:t>
      </w:r>
      <w:r w:rsidRPr="00211A2C">
        <w:t>:</w:t>
      </w:r>
      <w:r w:rsidRPr="00211A2C">
        <w:tab/>
        <w:t>What are the environmental cost recovery amounts, including true-up amou</w:t>
      </w:r>
      <w:r>
        <w:t>nts, for the period January 2024 through December 2024</w:t>
      </w:r>
      <w:r w:rsidRPr="00211A2C">
        <w:t>?</w:t>
      </w:r>
    </w:p>
    <w:p w:rsidR="00D279F9" w:rsidRPr="00211A2C" w:rsidRDefault="00D279F9" w:rsidP="00D279F9">
      <w:pPr>
        <w:jc w:val="both"/>
      </w:pPr>
    </w:p>
    <w:p w:rsidR="00D279F9" w:rsidRPr="00211A2C" w:rsidRDefault="00D279F9" w:rsidP="00D279F9">
      <w:pPr>
        <w:ind w:left="1440" w:hanging="1440"/>
        <w:jc w:val="both"/>
      </w:pPr>
      <w:r w:rsidRPr="00211A2C">
        <w:rPr>
          <w:u w:val="single"/>
        </w:rPr>
        <w:t>ISSUE 5</w:t>
      </w:r>
      <w:r w:rsidRPr="00211A2C">
        <w:t>:</w:t>
      </w:r>
      <w:r w:rsidRPr="00211A2C">
        <w:tab/>
        <w:t>What depreciation rates should be used to develop the depreciation expense included in the total environmental cost recovery amo</w:t>
      </w:r>
      <w:r>
        <w:t>unts for the period January 2024 through December 2024</w:t>
      </w:r>
      <w:r w:rsidRPr="00211A2C">
        <w:t>?</w:t>
      </w:r>
    </w:p>
    <w:p w:rsidR="00D279F9" w:rsidRPr="00211A2C" w:rsidRDefault="00D279F9" w:rsidP="00D279F9">
      <w:pPr>
        <w:ind w:left="1440" w:hanging="1440"/>
        <w:jc w:val="both"/>
      </w:pPr>
    </w:p>
    <w:p w:rsidR="00D279F9" w:rsidRPr="00211A2C" w:rsidRDefault="00D279F9" w:rsidP="00D279F9">
      <w:pPr>
        <w:ind w:left="1440" w:hanging="1440"/>
        <w:jc w:val="both"/>
      </w:pPr>
      <w:r w:rsidRPr="00211A2C">
        <w:rPr>
          <w:u w:val="single"/>
        </w:rPr>
        <w:t>ISSUE 6</w:t>
      </w:r>
      <w:r w:rsidRPr="00211A2C">
        <w:t>:</w:t>
      </w:r>
      <w:r w:rsidRPr="00211A2C">
        <w:tab/>
        <w:t>What are the appropriate jurisdictional separation factors for t</w:t>
      </w:r>
      <w:r>
        <w:t>he projected period January 2024 through December 2024</w:t>
      </w:r>
      <w:r w:rsidRPr="00211A2C">
        <w:t>?</w:t>
      </w:r>
    </w:p>
    <w:p w:rsidR="00D279F9" w:rsidRPr="00211A2C" w:rsidRDefault="00D279F9" w:rsidP="00D279F9">
      <w:pPr>
        <w:jc w:val="both"/>
      </w:pPr>
    </w:p>
    <w:p w:rsidR="00D279F9" w:rsidRPr="00211A2C" w:rsidRDefault="00D279F9" w:rsidP="00D279F9">
      <w:pPr>
        <w:ind w:left="1440" w:hanging="1440"/>
        <w:jc w:val="both"/>
      </w:pPr>
      <w:r w:rsidRPr="00211A2C">
        <w:rPr>
          <w:u w:val="single"/>
        </w:rPr>
        <w:t>ISSUE 7</w:t>
      </w:r>
      <w:r w:rsidRPr="00211A2C">
        <w:t>:</w:t>
      </w:r>
      <w:r w:rsidRPr="00211A2C">
        <w:tab/>
        <w:t>What are the appropriate environmental cost recovery fac</w:t>
      </w:r>
      <w:r>
        <w:t>tors for the period January 2024 through December 2024</w:t>
      </w:r>
      <w:r w:rsidRPr="00211A2C">
        <w:t xml:space="preserve"> for each rate group?</w:t>
      </w:r>
    </w:p>
    <w:p w:rsidR="00D279F9" w:rsidRPr="00211A2C" w:rsidRDefault="00D279F9" w:rsidP="00D279F9">
      <w:pPr>
        <w:ind w:left="1440" w:hanging="1440"/>
        <w:jc w:val="both"/>
      </w:pPr>
    </w:p>
    <w:p w:rsidR="00D279F9" w:rsidRPr="00211A2C" w:rsidRDefault="00D279F9" w:rsidP="00D279F9">
      <w:pPr>
        <w:ind w:left="1440" w:hanging="1440"/>
        <w:jc w:val="both"/>
      </w:pPr>
      <w:r w:rsidRPr="00211A2C">
        <w:rPr>
          <w:u w:val="single"/>
        </w:rPr>
        <w:t>ISSUE 8</w:t>
      </w:r>
      <w:r w:rsidRPr="00211A2C">
        <w:t>:</w:t>
      </w:r>
      <w:r w:rsidRPr="00211A2C">
        <w:tab/>
        <w:t>What should be the effective date of the new environmental cost recovery factors for billing purposes?</w:t>
      </w:r>
    </w:p>
    <w:p w:rsidR="00D279F9" w:rsidRPr="00211A2C" w:rsidRDefault="00D279F9" w:rsidP="00D279F9">
      <w:pPr>
        <w:spacing w:before="240" w:after="60"/>
        <w:ind w:left="1440" w:hanging="1440"/>
        <w:jc w:val="both"/>
        <w:outlineLvl w:val="2"/>
      </w:pPr>
      <w:r w:rsidRPr="00211A2C">
        <w:rPr>
          <w:bCs/>
          <w:u w:val="single"/>
        </w:rPr>
        <w:t>ISSUE 9</w:t>
      </w:r>
      <w:r w:rsidRPr="00211A2C">
        <w:rPr>
          <w:bCs/>
        </w:rPr>
        <w:t>:</w:t>
      </w:r>
      <w:r>
        <w:rPr>
          <w:bCs/>
        </w:rPr>
        <w:tab/>
      </w:r>
      <w:r w:rsidRPr="00211A2C">
        <w:rPr>
          <w:bCs/>
        </w:rPr>
        <w:t>Should the Commission approve revised tariffs reflecting the environmental cost recovery amounts and environmental cost recovery factors determined to be appropriate in this proceeding?</w:t>
      </w:r>
    </w:p>
    <w:p w:rsidR="00D279F9" w:rsidRPr="00211A2C" w:rsidRDefault="00D279F9" w:rsidP="00D279F9">
      <w:pPr>
        <w:spacing w:before="240" w:after="60"/>
        <w:jc w:val="both"/>
        <w:outlineLvl w:val="2"/>
      </w:pPr>
      <w:r w:rsidRPr="00211A2C">
        <w:tab/>
      </w:r>
    </w:p>
    <w:p w:rsidR="00D279F9" w:rsidRPr="00211A2C" w:rsidRDefault="00D279F9" w:rsidP="00D279F9">
      <w:pPr>
        <w:ind w:left="1440" w:hanging="1440"/>
        <w:jc w:val="both"/>
        <w:rPr>
          <w:bCs/>
        </w:rPr>
      </w:pPr>
      <w:r w:rsidRPr="00211A2C">
        <w:rPr>
          <w:bCs/>
          <w:u w:val="single"/>
        </w:rPr>
        <w:t>ISSUE 10</w:t>
      </w:r>
      <w:r w:rsidRPr="00211A2C">
        <w:rPr>
          <w:bCs/>
        </w:rPr>
        <w:t>:</w:t>
      </w:r>
      <w:r w:rsidRPr="00211A2C">
        <w:rPr>
          <w:bCs/>
        </w:rPr>
        <w:tab/>
        <w:t>Should this docket be closed?</w:t>
      </w:r>
    </w:p>
    <w:p w:rsidR="00D279F9" w:rsidRPr="00211A2C" w:rsidRDefault="00D279F9" w:rsidP="00D279F9">
      <w:pPr>
        <w:jc w:val="both"/>
        <w:rPr>
          <w:bCs/>
          <w:u w:val="single"/>
        </w:rPr>
      </w:pPr>
    </w:p>
    <w:p w:rsidR="00D279F9" w:rsidRPr="00211A2C" w:rsidRDefault="00D279F9" w:rsidP="00D279F9">
      <w:pPr>
        <w:ind w:left="1440" w:hanging="1440"/>
        <w:jc w:val="both"/>
      </w:pPr>
    </w:p>
    <w:p w:rsidR="00D279F9" w:rsidRPr="00CF5B34" w:rsidRDefault="00D279F9" w:rsidP="00D279F9">
      <w:pPr>
        <w:ind w:left="1440" w:hanging="1440"/>
        <w:jc w:val="both"/>
        <w:rPr>
          <w:u w:val="single"/>
        </w:rPr>
      </w:pPr>
      <w:r w:rsidRPr="00CF5B34">
        <w:rPr>
          <w:u w:val="single"/>
        </w:rPr>
        <w:t>C</w:t>
      </w:r>
      <w:r>
        <w:rPr>
          <w:u w:val="single"/>
        </w:rPr>
        <w:t>ompany</w:t>
      </w:r>
      <w:r w:rsidRPr="00CF5B34">
        <w:rPr>
          <w:u w:val="single"/>
        </w:rPr>
        <w:t>-S</w:t>
      </w:r>
      <w:r>
        <w:rPr>
          <w:u w:val="single"/>
        </w:rPr>
        <w:t>pecific</w:t>
      </w:r>
      <w:r w:rsidRPr="00CF5B34">
        <w:rPr>
          <w:u w:val="single"/>
        </w:rPr>
        <w:t xml:space="preserve"> E</w:t>
      </w:r>
      <w:r>
        <w:rPr>
          <w:u w:val="single"/>
        </w:rPr>
        <w:t>nvironmental</w:t>
      </w:r>
      <w:r w:rsidRPr="00CF5B34">
        <w:rPr>
          <w:u w:val="single"/>
        </w:rPr>
        <w:t xml:space="preserve"> C</w:t>
      </w:r>
      <w:r>
        <w:rPr>
          <w:u w:val="single"/>
        </w:rPr>
        <w:t>ost</w:t>
      </w:r>
      <w:r w:rsidRPr="00CF5B34">
        <w:rPr>
          <w:u w:val="single"/>
        </w:rPr>
        <w:t xml:space="preserve"> R</w:t>
      </w:r>
      <w:r>
        <w:rPr>
          <w:u w:val="single"/>
        </w:rPr>
        <w:t>ecovery</w:t>
      </w:r>
      <w:r w:rsidRPr="00CF5B34">
        <w:rPr>
          <w:u w:val="single"/>
        </w:rPr>
        <w:t xml:space="preserve"> I</w:t>
      </w:r>
      <w:r>
        <w:rPr>
          <w:u w:val="single"/>
        </w:rPr>
        <w:t>ssues</w:t>
      </w:r>
    </w:p>
    <w:p w:rsidR="00D279F9" w:rsidRPr="00211A2C" w:rsidRDefault="00D279F9" w:rsidP="00D279F9">
      <w:pPr>
        <w:ind w:left="1440" w:hanging="1440"/>
        <w:jc w:val="both"/>
      </w:pPr>
    </w:p>
    <w:p w:rsidR="00D279F9" w:rsidRPr="00211A2C" w:rsidRDefault="00D279F9" w:rsidP="00D279F9">
      <w:pPr>
        <w:jc w:val="both"/>
      </w:pPr>
      <w:r w:rsidRPr="00211A2C">
        <w:t>These issues will be added as they are developed.</w:t>
      </w:r>
    </w:p>
    <w:p w:rsidR="00D279F9" w:rsidRPr="00211A2C" w:rsidRDefault="00D279F9" w:rsidP="00D279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279F9" w:rsidRDefault="00D279F9" w:rsidP="00D279F9">
      <w:pPr>
        <w:pStyle w:val="OrderBody"/>
      </w:pPr>
    </w:p>
    <w:p w:rsidR="00211A2C" w:rsidRPr="00D279F9" w:rsidRDefault="00211A2C" w:rsidP="00D279F9"/>
    <w:sectPr w:rsidR="00211A2C" w:rsidRPr="00D279F9" w:rsidSect="006323AE">
      <w:headerReference w:type="defaul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62" w:rsidRDefault="00AB4C62">
      <w:r>
        <w:separator/>
      </w:r>
    </w:p>
  </w:endnote>
  <w:endnote w:type="continuationSeparator" w:id="0">
    <w:p w:rsidR="00AB4C62" w:rsidRDefault="00AB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F9" w:rsidRDefault="00D279F9">
    <w:pPr>
      <w:pStyle w:val="Footer"/>
    </w:pPr>
  </w:p>
  <w:p w:rsidR="00D279F9" w:rsidRDefault="00D27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62" w:rsidRDefault="00AB4C62">
      <w:r>
        <w:separator/>
      </w:r>
    </w:p>
  </w:footnote>
  <w:footnote w:type="continuationSeparator" w:id="0">
    <w:p w:rsidR="00AB4C62" w:rsidRDefault="00AB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F9" w:rsidRDefault="00D279F9">
    <w:pPr>
      <w:pStyle w:val="OrderHeader"/>
    </w:pPr>
    <w:r>
      <w:t xml:space="preserve">ORDER NO. </w:t>
    </w:r>
    <w:r w:rsidR="00AE51CF">
      <w:fldChar w:fldCharType="begin"/>
    </w:r>
    <w:r w:rsidR="00AE51CF">
      <w:instrText xml:space="preserve"> REF OrderNo0088 </w:instrText>
    </w:r>
    <w:r w:rsidR="00AE51CF">
      <w:fldChar w:fldCharType="separate"/>
    </w:r>
    <w:r w:rsidR="00AE51CF">
      <w:t>PSC-2023-0088-PCO-EI</w:t>
    </w:r>
    <w:r w:rsidR="00AE51CF">
      <w:fldChar w:fldCharType="end"/>
    </w:r>
  </w:p>
  <w:p w:rsidR="00D279F9" w:rsidRDefault="00D279F9">
    <w:pPr>
      <w:pStyle w:val="OrderHeader"/>
    </w:pPr>
    <w:r>
      <w:t>DOCKET NO. 20230007-EI</w:t>
    </w:r>
  </w:p>
  <w:p w:rsidR="00D279F9" w:rsidRDefault="00D279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1CF">
      <w:rPr>
        <w:rStyle w:val="PageNumber"/>
        <w:noProof/>
      </w:rPr>
      <w:t>10</w:t>
    </w:r>
    <w:r>
      <w:rPr>
        <w:rStyle w:val="PageNumber"/>
      </w:rPr>
      <w:fldChar w:fldCharType="end"/>
    </w:r>
  </w:p>
  <w:p w:rsidR="00D279F9" w:rsidRDefault="00D279F9">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8 ">
      <w:r w:rsidR="00AE51CF">
        <w:t>PSC-2023-0088-PCO-EI</w:t>
      </w:r>
    </w:fldSimple>
  </w:p>
  <w:p w:rsidR="00FA6EFD" w:rsidRDefault="00AB4C62">
    <w:pPr>
      <w:pStyle w:val="OrderHeader"/>
    </w:pPr>
    <w:bookmarkStart w:id="8" w:name="HeaderDocketNo"/>
    <w:bookmarkEnd w:id="8"/>
    <w:r>
      <w:t>DOCKET NO. 20230007-EI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1CF">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7-EI"/>
  </w:docVars>
  <w:rsids>
    <w:rsidRoot w:val="00AB4C6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2F8E"/>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4D18"/>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6A25"/>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1A2C"/>
    <w:rsid w:val="002170E5"/>
    <w:rsid w:val="00220D57"/>
    <w:rsid w:val="00223B99"/>
    <w:rsid w:val="0022721A"/>
    <w:rsid w:val="00230BB9"/>
    <w:rsid w:val="00241CEF"/>
    <w:rsid w:val="00246F55"/>
    <w:rsid w:val="0025124E"/>
    <w:rsid w:val="00251DC3"/>
    <w:rsid w:val="00252B30"/>
    <w:rsid w:val="00255291"/>
    <w:rsid w:val="00257A35"/>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3B18"/>
    <w:rsid w:val="002C7908"/>
    <w:rsid w:val="002D391B"/>
    <w:rsid w:val="002D4B1F"/>
    <w:rsid w:val="002D7D15"/>
    <w:rsid w:val="002E1B2E"/>
    <w:rsid w:val="002E27EB"/>
    <w:rsid w:val="002E4EF4"/>
    <w:rsid w:val="002F0F1C"/>
    <w:rsid w:val="002F2A9D"/>
    <w:rsid w:val="002F31C2"/>
    <w:rsid w:val="002F7BF6"/>
    <w:rsid w:val="00303FDE"/>
    <w:rsid w:val="00313505"/>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2B76"/>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38AB"/>
    <w:rsid w:val="0055595D"/>
    <w:rsid w:val="00556A10"/>
    <w:rsid w:val="005573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23AE"/>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6AC"/>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0347"/>
    <w:rsid w:val="008C21C8"/>
    <w:rsid w:val="008C6375"/>
    <w:rsid w:val="008C6A5B"/>
    <w:rsid w:val="008D441D"/>
    <w:rsid w:val="008D498D"/>
    <w:rsid w:val="008D6D36"/>
    <w:rsid w:val="008E0693"/>
    <w:rsid w:val="008E26A5"/>
    <w:rsid w:val="008E42D2"/>
    <w:rsid w:val="008E6328"/>
    <w:rsid w:val="008F578F"/>
    <w:rsid w:val="008F5D04"/>
    <w:rsid w:val="0090405D"/>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D75D2"/>
    <w:rsid w:val="009E58E9"/>
    <w:rsid w:val="009E6803"/>
    <w:rsid w:val="009F6AD2"/>
    <w:rsid w:val="009F7C1B"/>
    <w:rsid w:val="00A00B5B"/>
    <w:rsid w:val="00A00D8D"/>
    <w:rsid w:val="00A01BB6"/>
    <w:rsid w:val="00A10456"/>
    <w:rsid w:val="00A108A7"/>
    <w:rsid w:val="00A22B28"/>
    <w:rsid w:val="00A3351E"/>
    <w:rsid w:val="00A42FA7"/>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4C62"/>
    <w:rsid w:val="00AC4B09"/>
    <w:rsid w:val="00AC5A01"/>
    <w:rsid w:val="00AD10EB"/>
    <w:rsid w:val="00AD1ED3"/>
    <w:rsid w:val="00AD3717"/>
    <w:rsid w:val="00AE51CF"/>
    <w:rsid w:val="00B019C1"/>
    <w:rsid w:val="00B02001"/>
    <w:rsid w:val="00B03C50"/>
    <w:rsid w:val="00B0777D"/>
    <w:rsid w:val="00B11576"/>
    <w:rsid w:val="00B1195F"/>
    <w:rsid w:val="00B14D10"/>
    <w:rsid w:val="00B209C7"/>
    <w:rsid w:val="00B31F79"/>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1FF"/>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3604"/>
    <w:rsid w:val="00C82AE1"/>
    <w:rsid w:val="00C830BC"/>
    <w:rsid w:val="00C8524D"/>
    <w:rsid w:val="00C873AF"/>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79F9"/>
    <w:rsid w:val="00D30B48"/>
    <w:rsid w:val="00D3168A"/>
    <w:rsid w:val="00D350D1"/>
    <w:rsid w:val="00D42A59"/>
    <w:rsid w:val="00D46FAA"/>
    <w:rsid w:val="00D47A40"/>
    <w:rsid w:val="00D51D33"/>
    <w:rsid w:val="00D576C2"/>
    <w:rsid w:val="00D57BB2"/>
    <w:rsid w:val="00D57E57"/>
    <w:rsid w:val="00D70752"/>
    <w:rsid w:val="00D80E2D"/>
    <w:rsid w:val="00D84D5E"/>
    <w:rsid w:val="00D8560E"/>
    <w:rsid w:val="00D8758F"/>
    <w:rsid w:val="00D90555"/>
    <w:rsid w:val="00DA4EDD"/>
    <w:rsid w:val="00DA6B78"/>
    <w:rsid w:val="00DB122B"/>
    <w:rsid w:val="00DB3C4F"/>
    <w:rsid w:val="00DC1D94"/>
    <w:rsid w:val="00DC42CF"/>
    <w:rsid w:val="00DC738A"/>
    <w:rsid w:val="00DD382A"/>
    <w:rsid w:val="00DD592E"/>
    <w:rsid w:val="00DE057F"/>
    <w:rsid w:val="00DE2082"/>
    <w:rsid w:val="00DE2289"/>
    <w:rsid w:val="00DF09A7"/>
    <w:rsid w:val="00DF2B51"/>
    <w:rsid w:val="00DF7222"/>
    <w:rsid w:val="00E001D6"/>
    <w:rsid w:val="00E03A76"/>
    <w:rsid w:val="00E04410"/>
    <w:rsid w:val="00E07484"/>
    <w:rsid w:val="00E11351"/>
    <w:rsid w:val="00E33F44"/>
    <w:rsid w:val="00E37D48"/>
    <w:rsid w:val="00E4225C"/>
    <w:rsid w:val="00E44879"/>
    <w:rsid w:val="00E6312F"/>
    <w:rsid w:val="00E72914"/>
    <w:rsid w:val="00E75AE0"/>
    <w:rsid w:val="00E83C1F"/>
    <w:rsid w:val="00E85684"/>
    <w:rsid w:val="00E8794B"/>
    <w:rsid w:val="00E97656"/>
    <w:rsid w:val="00EA004A"/>
    <w:rsid w:val="00EA172C"/>
    <w:rsid w:val="00EA259B"/>
    <w:rsid w:val="00EA35A3"/>
    <w:rsid w:val="00EA3E6A"/>
    <w:rsid w:val="00EB18EF"/>
    <w:rsid w:val="00EB22A3"/>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782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9F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AB4C62"/>
    <w:pPr>
      <w:autoSpaceDE w:val="0"/>
      <w:autoSpaceDN w:val="0"/>
      <w:adjustRightInd w:val="0"/>
      <w:ind w:left="720"/>
    </w:pPr>
    <w:rPr>
      <w:sz w:val="24"/>
      <w:szCs w:val="24"/>
    </w:rPr>
  </w:style>
  <w:style w:type="paragraph" w:customStyle="1" w:styleId="Level2">
    <w:name w:val="Level 2"/>
    <w:rsid w:val="00AB4C62"/>
    <w:pPr>
      <w:autoSpaceDE w:val="0"/>
      <w:autoSpaceDN w:val="0"/>
      <w:adjustRightInd w:val="0"/>
      <w:ind w:left="1440"/>
    </w:pPr>
    <w:rPr>
      <w:sz w:val="24"/>
      <w:szCs w:val="24"/>
    </w:rPr>
  </w:style>
  <w:style w:type="character" w:styleId="Hyperlink">
    <w:name w:val="Hyperlink"/>
    <w:uiPriority w:val="99"/>
    <w:unhideWhenUsed/>
    <w:rsid w:val="00AB4C62"/>
    <w:rPr>
      <w:color w:val="0000FF"/>
      <w:u w:val="single"/>
    </w:rPr>
  </w:style>
  <w:style w:type="paragraph" w:styleId="ListParagraph">
    <w:name w:val="List Paragraph"/>
    <w:basedOn w:val="Normal"/>
    <w:uiPriority w:val="34"/>
    <w:qFormat/>
    <w:rsid w:val="00AB4C62"/>
    <w:pPr>
      <w:ind w:left="720"/>
      <w:contextualSpacing/>
    </w:pPr>
  </w:style>
  <w:style w:type="paragraph" w:styleId="BalloonText">
    <w:name w:val="Balloon Text"/>
    <w:basedOn w:val="Normal"/>
    <w:link w:val="BalloonTextChar"/>
    <w:semiHidden/>
    <w:unhideWhenUsed/>
    <w:rsid w:val="00AE51CF"/>
    <w:rPr>
      <w:rFonts w:ascii="Segoe UI" w:hAnsi="Segoe UI" w:cs="Segoe UI"/>
      <w:sz w:val="18"/>
      <w:szCs w:val="18"/>
    </w:rPr>
  </w:style>
  <w:style w:type="character" w:customStyle="1" w:styleId="BalloonTextChar">
    <w:name w:val="Balloon Text Char"/>
    <w:basedOn w:val="DefaultParagraphFont"/>
    <w:link w:val="BalloonText"/>
    <w:semiHidden/>
    <w:rsid w:val="00AE5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4263</Words>
  <Characters>24301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2023-02-07T18:48:00Z</dcterms:created>
  <dcterms:modified xsi:type="dcterms:W3CDTF">2023-02-15T15:17:00Z</dcterms:modified>
</cp:coreProperties>
</file>