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84" w:rsidRDefault="00BC3F84">
      <w:bookmarkStart w:id="0" w:name="_GoBack"/>
      <w:bookmarkEnd w:id="0"/>
      <w:r>
        <w:rPr>
          <w:noProof/>
        </w:rPr>
        <w:drawing>
          <wp:inline distT="0" distB="0" distL="0" distR="0" wp14:anchorId="00663352" wp14:editId="6BCB8F21">
            <wp:extent cx="5934075" cy="445709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mo - revised rec.jpg"/>
                    <pic:cNvPicPr/>
                  </pic:nvPicPr>
                  <pic:blipFill rotWithShape="1">
                    <a:blip r:embed="rId8" cstate="print">
                      <a:extLst>
                        <a:ext uri="{28A0092B-C50C-407E-A947-70E740481C1C}">
                          <a14:useLocalDpi xmlns:a14="http://schemas.microsoft.com/office/drawing/2010/main" val="0"/>
                        </a:ext>
                      </a:extLst>
                    </a:blip>
                    <a:srcRect l="-10" t="41816"/>
                    <a:stretch/>
                  </pic:blipFill>
                  <pic:spPr bwMode="auto">
                    <a:xfrm flipH="1" flipV="1">
                      <a:off x="0" y="0"/>
                      <a:ext cx="5948901" cy="4468228"/>
                    </a:xfrm>
                    <a:prstGeom prst="rect">
                      <a:avLst/>
                    </a:prstGeom>
                    <a:ln>
                      <a:noFill/>
                    </a:ln>
                    <a:extLst>
                      <a:ext uri="{53640926-AAD7-44D8-BBD7-CCE9431645EC}">
                        <a14:shadowObscured xmlns:a14="http://schemas.microsoft.com/office/drawing/2010/main"/>
                      </a:ext>
                    </a:extLst>
                  </pic:spPr>
                </pic:pic>
              </a:graphicData>
            </a:graphic>
          </wp:inline>
        </w:drawing>
      </w: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lastRenderedPageBreak/>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570F5">
            <w:pPr>
              <w:pStyle w:val="MemoHeading"/>
            </w:pPr>
            <w:bookmarkStart w:id="1" w:name="FilingDate"/>
            <w:r>
              <w:t>March 2</w:t>
            </w:r>
            <w:r w:rsidR="00B104D7">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442CF" w:rsidRDefault="00A442CF">
            <w:pPr>
              <w:pStyle w:val="MemoHeading"/>
            </w:pPr>
            <w:bookmarkStart w:id="2" w:name="From"/>
            <w:r>
              <w:t>Division of Accounting and Finance (Higgins, Kelley, Zaslow)</w:t>
            </w:r>
          </w:p>
          <w:p w:rsidR="00A442CF" w:rsidRDefault="00A442CF">
            <w:pPr>
              <w:pStyle w:val="MemoHeading"/>
            </w:pPr>
            <w:r>
              <w:t>Division of Economics (Hampson)</w:t>
            </w:r>
          </w:p>
          <w:p w:rsidR="007C0528" w:rsidRDefault="00A442CF">
            <w:pPr>
              <w:pStyle w:val="MemoHeading"/>
            </w:pPr>
            <w:r>
              <w:t>Office of the General Counsel (Brownless,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442CF">
            <w:pPr>
              <w:pStyle w:val="MemoHeadingRe"/>
            </w:pPr>
            <w:bookmarkStart w:id="3" w:name="Re"/>
            <w:r>
              <w:t>Docket No. 20230001-EI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442CF">
            <w:pPr>
              <w:pStyle w:val="MemoHeading"/>
            </w:pPr>
            <w:bookmarkStart w:id="4" w:name="AgendaDate"/>
            <w:r>
              <w:t>03/07/23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442C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442CF">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442C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226A8">
            <w:pPr>
              <w:pStyle w:val="MemoHeading"/>
            </w:pPr>
            <w:r>
              <w:t>None</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D0D9B" w:rsidRDefault="00A442CF" w:rsidP="007D0D9B">
      <w:pPr>
        <w:pStyle w:val="BodyText"/>
        <w:spacing w:after="0"/>
      </w:pPr>
      <w:r>
        <w:t>On January 23, 2023, Duke Energy Florida, LLC (DEF or Company), filed for a mid-course correction of both its 2023 fuel and capacity cost recovery factors.</w:t>
      </w:r>
      <w:r>
        <w:rPr>
          <w:rStyle w:val="FootnoteReference"/>
        </w:rPr>
        <w:footnoteReference w:id="1"/>
      </w:r>
      <w:r>
        <w:t xml:space="preserve"> </w:t>
      </w:r>
      <w:r w:rsidR="00585D18">
        <w:t>This petition was amended on February 27, 2023 (MCC Petition).</w:t>
      </w:r>
      <w:r w:rsidR="00585D18">
        <w:rPr>
          <w:rStyle w:val="FootnoteReference"/>
        </w:rPr>
        <w:footnoteReference w:id="2"/>
      </w:r>
      <w:r w:rsidR="00585D18">
        <w:t xml:space="preserve"> </w:t>
      </w:r>
      <w:r>
        <w:t>DEF’s currently-effective 2023 fuel and capacity factors were approved last year at the November 17-18, and December 6, 2022 final hearing.</w:t>
      </w:r>
      <w:r>
        <w:rPr>
          <w:rStyle w:val="FootnoteReference"/>
        </w:rPr>
        <w:footnoteReference w:id="3"/>
      </w:r>
      <w:r>
        <w:t xml:space="preserve"> Underlying the approval of DEF’s 2023 factors was the Florida Public Service Commission’s (Commission) review of the Company’s projected 2023 fuel- and capacity-related costs. These costs are recovered through fuel and capacity cost recovery factors that are set/reset annually in t</w:t>
      </w:r>
      <w:r w:rsidR="00EE7D9D">
        <w:t>his docket. However, during the 2022</w:t>
      </w:r>
      <w:r>
        <w:t xml:space="preserve"> annual fue</w:t>
      </w:r>
      <w:r w:rsidR="008160EB">
        <w:t>l clause cycle, DEF proposed not to</w:t>
      </w:r>
      <w:r>
        <w:t xml:space="preserve"> include the majority of its unrecovered 2022</w:t>
      </w:r>
      <w:r w:rsidR="008160EB">
        <w:t xml:space="preserve"> fuel costs in the fuel factors</w:t>
      </w:r>
      <w:r w:rsidR="00465F0B">
        <w:t xml:space="preserve"> </w:t>
      </w:r>
      <w:r>
        <w:t>approved at the December 6</w:t>
      </w:r>
      <w:r>
        <w:rPr>
          <w:vertAlign w:val="superscript"/>
        </w:rPr>
        <w:t>th</w:t>
      </w:r>
      <w:r>
        <w:t xml:space="preserve"> final hearing. Instead, DEF indicated it would be petitioning for recovery of those costs through a separate filing. The primary rationa</w:t>
      </w:r>
      <w:r w:rsidR="001F716A">
        <w:t>le for this course of action wa</w:t>
      </w:r>
      <w:r>
        <w:t>s th</w:t>
      </w:r>
      <w:r w:rsidR="00465F0B">
        <w:t>at the extreme volatility of</w:t>
      </w:r>
      <w:r w:rsidR="001E3248">
        <w:t xml:space="preserve"> natural gas </w:t>
      </w:r>
      <w:r w:rsidR="00465F0B">
        <w:t>p</w:t>
      </w:r>
      <w:r>
        <w:t>rices in 2022 had made a reliable projection</w:t>
      </w:r>
      <w:r w:rsidR="008160EB">
        <w:t xml:space="preserve"> of final 2022 costs</w:t>
      </w:r>
      <w:r>
        <w:t xml:space="preserve"> impractical. The Commission subsequently or</w:t>
      </w:r>
      <w:r w:rsidR="00095C31">
        <w:t>dered DEF’s filing to be submitted</w:t>
      </w:r>
      <w:r>
        <w:t xml:space="preserve"> on or before January 23, 2023.</w:t>
      </w:r>
      <w:r>
        <w:rPr>
          <w:rStyle w:val="FootnoteReference"/>
        </w:rPr>
        <w:footnoteReference w:id="4"/>
      </w:r>
    </w:p>
    <w:p w:rsidR="00A442CF" w:rsidRDefault="00A442CF" w:rsidP="007D0D9B">
      <w:pPr>
        <w:pStyle w:val="BodyText"/>
        <w:spacing w:after="0"/>
      </w:pPr>
      <w:r>
        <w:t xml:space="preserve">     </w:t>
      </w:r>
    </w:p>
    <w:p w:rsidR="00A442CF" w:rsidRDefault="00A442CF" w:rsidP="007D0D9B">
      <w:pPr>
        <w:pStyle w:val="BodyText"/>
        <w:spacing w:after="0"/>
        <w:rPr>
          <w:rFonts w:ascii="Arial" w:hAnsi="Arial" w:cs="Arial"/>
          <w:b/>
          <w:i/>
        </w:rPr>
      </w:pPr>
      <w:r>
        <w:rPr>
          <w:rFonts w:ascii="Arial" w:hAnsi="Arial" w:cs="Arial"/>
          <w:b/>
          <w:i/>
        </w:rPr>
        <w:t>Mid-Course Corrections</w:t>
      </w:r>
    </w:p>
    <w:p w:rsidR="00A442CF" w:rsidRDefault="00A442CF" w:rsidP="007D0D9B">
      <w:pPr>
        <w:pStyle w:val="BodyText"/>
        <w:spacing w:after="0"/>
      </w:pPr>
      <w:r>
        <w:t xml:space="preserve">Mid-course corrections are used by the Commission between annual clause hearings whenever costs deviate from revenue by a significant margin. Under Rule 25-6.0424, </w:t>
      </w:r>
      <w:r w:rsidR="00BA717D">
        <w:t>Florida Administrative Code (</w:t>
      </w:r>
      <w:r>
        <w:t>F.A.C.</w:t>
      </w:r>
      <w:r w:rsidR="00BA717D">
        <w:t>)</w:t>
      </w:r>
      <w:r>
        <w:t>, which is commonly referred to as the “mid-course correction rule,” a utility must notify the Commission whenever it expects to experience an under- or over-recovery of certain service costs greater than 10 percent. The notification of a 10 percent cost-to-revenue variance shall include a petition for mid-course correction to the fuel cost recovery or capacity cost recovery factors, or shall include an explanation of why a mid-course correction is not practical. The mid-course correction rule and its codified procedures are further discussed throughout this recommendation.</w:t>
      </w:r>
    </w:p>
    <w:p w:rsidR="007D0D9B" w:rsidRDefault="007D0D9B" w:rsidP="007D0D9B">
      <w:pPr>
        <w:pStyle w:val="BodyText"/>
        <w:spacing w:after="0"/>
      </w:pPr>
    </w:p>
    <w:p w:rsidR="00A442CF" w:rsidRDefault="00A442CF" w:rsidP="007D0D9B">
      <w:pPr>
        <w:pStyle w:val="BodyText"/>
        <w:spacing w:after="0"/>
        <w:rPr>
          <w:rFonts w:ascii="Arial" w:hAnsi="Arial" w:cs="Arial"/>
          <w:b/>
          <w:i/>
        </w:rPr>
      </w:pPr>
      <w:r>
        <w:rPr>
          <w:rFonts w:ascii="Arial" w:hAnsi="Arial" w:cs="Arial"/>
          <w:b/>
          <w:i/>
        </w:rPr>
        <w:t>DEF’s Petition for Mid-Course Correction</w:t>
      </w:r>
    </w:p>
    <w:p w:rsidR="00A442CF" w:rsidRDefault="00A442CF" w:rsidP="007D0D9B">
      <w:pPr>
        <w:pStyle w:val="BodyText"/>
        <w:spacing w:after="0"/>
        <w:rPr>
          <w:highlight w:val="yellow"/>
        </w:rPr>
      </w:pPr>
      <w:r>
        <w:t>Through its MCC Petition, DEF is proposing a mid-course correction of its 2023 fuel and capacity charges. Specifically, the Commiss</w:t>
      </w:r>
      <w:r w:rsidR="00465F0B">
        <w:t>ion is being asked to approve</w:t>
      </w:r>
      <w:r>
        <w:t xml:space="preserve"> increase</w:t>
      </w:r>
      <w:r w:rsidR="00465F0B">
        <w:t>s</w:t>
      </w:r>
      <w:r>
        <w:t xml:space="preserve"> to DEF’s fuel cost recov</w:t>
      </w:r>
      <w:r w:rsidR="00465F0B">
        <w:t xml:space="preserve">ery factors to </w:t>
      </w:r>
      <w:r w:rsidR="00B0157B">
        <w:t>incorporate its currently-projected 2023 end-of-year fuel cost under-recovery in the</w:t>
      </w:r>
      <w:r w:rsidR="00EE7D9D">
        <w:t xml:space="preserve"> amount of approximately $</w:t>
      </w:r>
      <w:r w:rsidR="00585D18">
        <w:t>469</w:t>
      </w:r>
      <w:r w:rsidR="00EE7D9D">
        <w:t xml:space="preserve"> million</w:t>
      </w:r>
      <w:r>
        <w:t xml:space="preserve">. </w:t>
      </w:r>
      <w:r w:rsidR="00465F0B">
        <w:t>With respect to</w:t>
      </w:r>
      <w:r>
        <w:t xml:space="preserve"> capacity</w:t>
      </w:r>
      <w:r w:rsidR="00465F0B">
        <w:t xml:space="preserve"> costs</w:t>
      </w:r>
      <w:r>
        <w:t>, the Company is proposing to incorporate into rates the 2022 tax-savings effect of the Inflation Reduction Act (IRA) of 2022</w:t>
      </w:r>
      <w:r w:rsidR="00EE7D9D">
        <w:t xml:space="preserve"> in the amount of approximately $11.7 million</w:t>
      </w:r>
      <w:r>
        <w:t>.</w:t>
      </w:r>
      <w:r>
        <w:rPr>
          <w:rStyle w:val="FootnoteReference"/>
        </w:rPr>
        <w:footnoteReference w:id="5"/>
      </w:r>
      <w:r>
        <w:t xml:space="preserve"> This topic is discussed further in Issue 1. </w:t>
      </w:r>
    </w:p>
    <w:p w:rsidR="00A442CF" w:rsidRDefault="00A442CF" w:rsidP="00A442CF">
      <w:pPr>
        <w:pStyle w:val="BodyText"/>
        <w:spacing w:after="0"/>
        <w:rPr>
          <w:highlight w:val="yellow"/>
        </w:rPr>
      </w:pPr>
    </w:p>
    <w:p w:rsidR="00A442CF" w:rsidRDefault="00A442CF" w:rsidP="007D0D9B">
      <w:pPr>
        <w:pStyle w:val="BodyText"/>
        <w:spacing w:after="0"/>
      </w:pPr>
      <w:r>
        <w:t xml:space="preserve">The Company is requesting that its revised fuel and capacity factors and associated tariff </w:t>
      </w:r>
      <w:r w:rsidR="00D83963" w:rsidRPr="00D83963">
        <w:t>sheet No. 6.105</w:t>
      </w:r>
      <w:r w:rsidR="00D83963">
        <w:t xml:space="preserve"> </w:t>
      </w:r>
      <w:r>
        <w:t>become effective beginning with the</w:t>
      </w:r>
      <w:r w:rsidR="003A6E97">
        <w:t xml:space="preserve"> first billing cycle of</w:t>
      </w:r>
      <w:r>
        <w:t xml:space="preserve"> April 2023</w:t>
      </w:r>
      <w:r w:rsidRPr="004A728D">
        <w:t>. The effective date is further discussed in both Issues 1 and 2. Also included in the Company’s p</w:t>
      </w:r>
      <w:r w:rsidR="004A728D" w:rsidRPr="004A728D">
        <w:t>roposed tariff are the</w:t>
      </w:r>
      <w:r w:rsidRPr="004A728D">
        <w:t xml:space="preserve"> </w:t>
      </w:r>
      <w:r w:rsidR="00EE7D9D">
        <w:t>(</w:t>
      </w:r>
      <w:r w:rsidR="004A728D" w:rsidRPr="004A728D">
        <w:t>proposed</w:t>
      </w:r>
      <w:r w:rsidR="00EE7D9D">
        <w:t>)</w:t>
      </w:r>
      <w:r w:rsidR="004A728D" w:rsidRPr="004A728D">
        <w:t xml:space="preserve"> </w:t>
      </w:r>
      <w:r w:rsidRPr="004A728D">
        <w:t>rate adjustmen</w:t>
      </w:r>
      <w:r w:rsidRPr="001F716A">
        <w:t xml:space="preserve">ts related to </w:t>
      </w:r>
      <w:r w:rsidR="004A728D" w:rsidRPr="001F716A">
        <w:t>its recovery of storm restoration</w:t>
      </w:r>
      <w:r w:rsidR="00E86D08" w:rsidRPr="001F716A">
        <w:t xml:space="preserve"> (to include reserve replenishment)</w:t>
      </w:r>
      <w:r w:rsidR="004A728D" w:rsidRPr="001F716A">
        <w:t xml:space="preserve"> costs related to Hurricanes</w:t>
      </w:r>
      <w:r w:rsidR="00EE7D9D" w:rsidRPr="001F716A">
        <w:t>:</w:t>
      </w:r>
      <w:r w:rsidR="004A728D" w:rsidRPr="001F716A">
        <w:t xml:space="preserve"> Elsa, Eta, Ian, Isaias,</w:t>
      </w:r>
      <w:r w:rsidR="00C91BFF" w:rsidRPr="001F716A">
        <w:t xml:space="preserve"> and</w:t>
      </w:r>
      <w:r w:rsidR="004A728D" w:rsidRPr="001F716A">
        <w:t xml:space="preserve"> Nicole, and Tropical Storm Fred</w:t>
      </w:r>
      <w:r w:rsidR="00465F0B" w:rsidRPr="001F716A">
        <w:t>,</w:t>
      </w:r>
      <w:r w:rsidR="004A728D" w:rsidRPr="001F716A">
        <w:t xml:space="preserve"> as petitioned for in Docket No. 20230020-EI.</w:t>
      </w:r>
      <w:r w:rsidR="004A728D" w:rsidRPr="001F716A">
        <w:rPr>
          <w:rStyle w:val="FootnoteReference"/>
        </w:rPr>
        <w:footnoteReference w:id="6"/>
      </w:r>
      <w:r w:rsidRPr="001F716A">
        <w:t xml:space="preserve"> However, while the ra</w:t>
      </w:r>
      <w:r w:rsidR="004C5990">
        <w:t>te adjustments are addressed</w:t>
      </w:r>
      <w:r w:rsidR="00E86D08" w:rsidRPr="001F716A">
        <w:t xml:space="preserve"> on</w:t>
      </w:r>
      <w:r w:rsidRPr="001F716A">
        <w:t xml:space="preserve"> proposed</w:t>
      </w:r>
      <w:r w:rsidR="00E86D08" w:rsidRPr="001F716A">
        <w:t xml:space="preserve"> tariff</w:t>
      </w:r>
      <w:r w:rsidR="00D83963" w:rsidRPr="001F716A">
        <w:t xml:space="preserve"> sheet</w:t>
      </w:r>
      <w:r w:rsidR="004C5990">
        <w:t>s No. 6.105 and</w:t>
      </w:r>
      <w:r w:rsidR="00D83963" w:rsidRPr="001F716A">
        <w:t xml:space="preserve"> No. 6.106 in Appendix A to th</w:t>
      </w:r>
      <w:r w:rsidR="00C0455C" w:rsidRPr="001F716A">
        <w:t>is</w:t>
      </w:r>
      <w:r w:rsidR="00D83963" w:rsidRPr="001F716A">
        <w:t xml:space="preserve"> recommendation</w:t>
      </w:r>
      <w:r w:rsidR="001F716A" w:rsidRPr="001F716A">
        <w:t>, neither the Interim Storm Charge or associated rates are at issue in this proceeding.</w:t>
      </w:r>
    </w:p>
    <w:p w:rsidR="007D0D9B" w:rsidRDefault="007D0D9B" w:rsidP="007D0D9B">
      <w:pPr>
        <w:pStyle w:val="BodyText"/>
        <w:spacing w:after="0"/>
      </w:pPr>
    </w:p>
    <w:p w:rsidR="0068481F" w:rsidRDefault="00A442CF" w:rsidP="007D0D9B">
      <w:pPr>
        <w:pStyle w:val="BodyText"/>
        <w:spacing w:after="0"/>
      </w:pPr>
      <w:r>
        <w:t>The Commission is vested with jurisdiction over the subject matter of this proceeding by the provisions of Chapter 366, Florida Statutes (F.S.), including Sections 366.04, 366.05, and 366.06, F.S.</w:t>
      </w:r>
    </w:p>
    <w:bookmarkEnd w:id="11"/>
    <w:p w:rsidR="00EA2273" w:rsidRDefault="00EA2273" w:rsidP="00341F7F">
      <w:pPr>
        <w:pStyle w:val="RecommendationMajorSectionHeading"/>
        <w:jc w:val="left"/>
        <w:sectPr w:rsidR="00EA2273">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A442CF" w:rsidRDefault="00A442CF">
      <w:pPr>
        <w:pStyle w:val="IssueHeading"/>
        <w:rPr>
          <w:vanish/>
          <w:specVanish/>
        </w:rPr>
      </w:pPr>
      <w:r w:rsidRPr="004C3641">
        <w:t xml:space="preserve">Issue </w:t>
      </w:r>
      <w:r w:rsidR="00C62459">
        <w:fldChar w:fldCharType="begin"/>
      </w:r>
      <w:r w:rsidR="00C62459">
        <w:instrText xml:space="preserve"> SEQ Issue \* MERGEFORMAT </w:instrText>
      </w:r>
      <w:r w:rsidR="00C62459">
        <w:fldChar w:fldCharType="separate"/>
      </w:r>
      <w:r w:rsidR="00F977DF">
        <w:rPr>
          <w:noProof/>
        </w:rPr>
        <w:t>1</w:t>
      </w:r>
      <w:r w:rsidR="00C6245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977DF">
        <w:rPr>
          <w:noProof/>
        </w:rPr>
        <w:instrText>1</w:instrText>
      </w:r>
      <w:r>
        <w:fldChar w:fldCharType="end"/>
      </w:r>
      <w:r>
        <w:tab/>
        <w:instrText xml:space="preserve">(Higgins)" \l 1 </w:instrText>
      </w:r>
      <w:r>
        <w:fldChar w:fldCharType="end"/>
      </w:r>
      <w:r>
        <w:t> </w:t>
      </w:r>
    </w:p>
    <w:p w:rsidR="00A442CF" w:rsidRDefault="00A442CF">
      <w:pPr>
        <w:pStyle w:val="BodyText"/>
      </w:pPr>
      <w:r>
        <w:t xml:space="preserve"> Should the Commission modify DEF’s currently-approved fuel </w:t>
      </w:r>
      <w:r w:rsidR="00451EA4">
        <w:t xml:space="preserve">and capacity </w:t>
      </w:r>
      <w:r>
        <w:t>cost recovery factors for the purpose of incorporating its actual 2022 under-recovery of fuel costs?</w:t>
      </w:r>
    </w:p>
    <w:p w:rsidR="00A442CF" w:rsidRPr="004C3641" w:rsidRDefault="00A442CF">
      <w:pPr>
        <w:pStyle w:val="IssueSubsectionHeading"/>
        <w:rPr>
          <w:vanish/>
          <w:specVanish/>
        </w:rPr>
      </w:pPr>
      <w:r w:rsidRPr="004C3641">
        <w:t>Recommendation: </w:t>
      </w:r>
    </w:p>
    <w:p w:rsidR="00A442CF" w:rsidRDefault="00A442CF" w:rsidP="00077C11">
      <w:pPr>
        <w:pStyle w:val="BodyText"/>
      </w:pPr>
      <w:r>
        <w:t> </w:t>
      </w:r>
      <w:r w:rsidR="00537739">
        <w:t xml:space="preserve">Yes. Staff recommends the </w:t>
      </w:r>
      <w:r w:rsidR="00077C11">
        <w:t xml:space="preserve">Commission approve </w:t>
      </w:r>
      <w:r w:rsidR="0031296E">
        <w:t>DEF’s proposed adjustments to its</w:t>
      </w:r>
      <w:r w:rsidR="00077C11">
        <w:t xml:space="preserve"> currently-approved fuel cost recovery factors to </w:t>
      </w:r>
      <w:r w:rsidR="0094133D">
        <w:t>incorporate the currently-projected 2023 end-of-year fuel cost under-recovery</w:t>
      </w:r>
      <w:r w:rsidR="00CD5719">
        <w:t xml:space="preserve"> in</w:t>
      </w:r>
      <w:r w:rsidR="0094133D">
        <w:t xml:space="preserve"> the amount of</w:t>
      </w:r>
      <w:r w:rsidR="0094133D" w:rsidRPr="00AC534B">
        <w:t xml:space="preserve"> $</w:t>
      </w:r>
      <w:r w:rsidR="00585D18">
        <w:t>468,961,606</w:t>
      </w:r>
      <w:r w:rsidR="0094133D">
        <w:t>.</w:t>
      </w:r>
      <w:r w:rsidR="00077C11">
        <w:t xml:space="preserve"> Further, staff recommends the Commission approve adjustments to DEF’s currently-approved capacity cost recovery factors to incorporate a refund of </w:t>
      </w:r>
      <w:r w:rsidR="00AE388A">
        <w:t>(</w:t>
      </w:r>
      <w:r w:rsidR="00077C11">
        <w:t>$11,668,131</w:t>
      </w:r>
      <w:r w:rsidR="00AE388A">
        <w:t>)</w:t>
      </w:r>
      <w:r w:rsidR="00077C11">
        <w:t xml:space="preserve"> related to the tax savings associated with the I</w:t>
      </w:r>
      <w:r w:rsidR="00162855">
        <w:t>RA</w:t>
      </w:r>
      <w:r w:rsidR="00077C11">
        <w:t xml:space="preserve"> of 2022. </w:t>
      </w:r>
      <w:r>
        <w:t>(Higgins</w:t>
      </w:r>
      <w:r w:rsidR="007F0A87">
        <w:t>, Zaslow, Kelley</w:t>
      </w:r>
      <w:r>
        <w:t>)</w:t>
      </w:r>
    </w:p>
    <w:p w:rsidR="00A442CF" w:rsidRPr="004C3641" w:rsidRDefault="00A442CF">
      <w:pPr>
        <w:pStyle w:val="IssueSubsectionHeading"/>
        <w:rPr>
          <w:vanish/>
          <w:specVanish/>
        </w:rPr>
      </w:pPr>
      <w:r w:rsidRPr="004C3641">
        <w:t>Staff Analysis: </w:t>
      </w:r>
    </w:p>
    <w:p w:rsidR="00537739" w:rsidRDefault="00A442CF" w:rsidP="00167FA6">
      <w:pPr>
        <w:pStyle w:val="BodyText"/>
        <w:spacing w:after="0"/>
      </w:pPr>
      <w:r>
        <w:t> </w:t>
      </w:r>
      <w:r w:rsidR="00537739">
        <w:t>DEF participated in the Commission’s most-recent fuel hearing which took place during November 17-18, 2022, and December 6, 2022. The fuel order stemming from this proceeding set forth the Com</w:t>
      </w:r>
      <w:r w:rsidR="00537739" w:rsidRPr="000A7D2E">
        <w:t>pany’s fuel and capacity cost recovery factors effective with the first billing cycle of January 2023.</w:t>
      </w:r>
      <w:r w:rsidR="00537739" w:rsidRPr="000A7D2E">
        <w:rPr>
          <w:rStyle w:val="FootnoteReference"/>
        </w:rPr>
        <w:footnoteReference w:id="7"/>
      </w:r>
      <w:r w:rsidR="00537739" w:rsidRPr="000A7D2E">
        <w:t xml:space="preserve"> Ho</w:t>
      </w:r>
      <w:r w:rsidR="00537739">
        <w:t xml:space="preserve">wever, as discussed below, the currently-authorized fuel cost recovery factors do not include certain </w:t>
      </w:r>
      <w:r w:rsidR="00EE7D9D">
        <w:t>deferred</w:t>
      </w:r>
      <w:r w:rsidR="00537739">
        <w:t xml:space="preserve"> fuel costs that were primarily incurred in 2022. In support of </w:t>
      </w:r>
      <w:r w:rsidR="00565532">
        <w:t>the deferral</w:t>
      </w:r>
      <w:r w:rsidR="00537739">
        <w:t>, DEF argued that the 2022 natural gas market was so volatile that</w:t>
      </w:r>
      <w:r w:rsidR="00451EA4">
        <w:t xml:space="preserve"> its</w:t>
      </w:r>
      <w:r w:rsidR="00537739">
        <w:t xml:space="preserve"> total annual fue</w:t>
      </w:r>
      <w:r w:rsidR="00F94A60">
        <w:t>l (natural gas) cost could</w:t>
      </w:r>
      <w:r w:rsidR="00537739">
        <w:t xml:space="preserve"> not be accurately predicted and that it was better to wait and use actual costs </w:t>
      </w:r>
      <w:r w:rsidR="006D5313">
        <w:t>for setting rates</w:t>
      </w:r>
      <w:r w:rsidR="00167FA6">
        <w:t xml:space="preserve"> with respect to the 2022 under-recovery. </w:t>
      </w:r>
      <w:r w:rsidR="00537739">
        <w:t>Some factors that influenced natural gas prices in 2022 include reduced storage levels, strong liquefied natural gas exports, global military conflict, and capital/expenditure discipline being pr</w:t>
      </w:r>
      <w:r w:rsidR="00167FA6">
        <w:t>acticed by drilling companies.</w:t>
      </w:r>
    </w:p>
    <w:p w:rsidR="00167FA6" w:rsidRDefault="00167FA6" w:rsidP="00167FA6">
      <w:pPr>
        <w:pStyle w:val="BodyText"/>
        <w:spacing w:after="0"/>
      </w:pPr>
    </w:p>
    <w:p w:rsidR="00537739" w:rsidRDefault="00E542C3" w:rsidP="00167FA6">
      <w:pPr>
        <w:pStyle w:val="BodyText"/>
        <w:spacing w:after="0"/>
        <w:rPr>
          <w:rFonts w:ascii="Arial" w:hAnsi="Arial" w:cs="Arial"/>
          <w:b/>
          <w:bCs/>
          <w:i/>
          <w:iCs/>
        </w:rPr>
      </w:pPr>
      <w:r>
        <w:rPr>
          <w:rFonts w:ascii="Arial" w:hAnsi="Arial" w:cs="Arial"/>
          <w:b/>
          <w:bCs/>
          <w:i/>
          <w:iCs/>
        </w:rPr>
        <w:t xml:space="preserve">DEF </w:t>
      </w:r>
      <w:r w:rsidR="00537739">
        <w:rPr>
          <w:rFonts w:ascii="Arial" w:hAnsi="Arial" w:cs="Arial"/>
          <w:b/>
          <w:bCs/>
          <w:i/>
          <w:iCs/>
        </w:rPr>
        <w:t>Fuel and Purchased Power Mid-Course Correction</w:t>
      </w:r>
    </w:p>
    <w:p w:rsidR="00537739" w:rsidRDefault="00537739" w:rsidP="00167FA6">
      <w:pPr>
        <w:pStyle w:val="BodyText"/>
        <w:spacing w:after="0"/>
      </w:pPr>
      <w:r>
        <w:t xml:space="preserve">DEF filed for a mid-course correction of its fuel and capacity charges on January </w:t>
      </w:r>
      <w:r w:rsidRPr="004847A7">
        <w:t>23, 2023.</w:t>
      </w:r>
      <w:r w:rsidRPr="004847A7">
        <w:rPr>
          <w:rStyle w:val="FootnoteReference"/>
        </w:rPr>
        <w:footnoteReference w:id="8"/>
      </w:r>
      <w:r w:rsidR="00136266">
        <w:t xml:space="preserve"> This filing was amended on February 27, 2023.</w:t>
      </w:r>
      <w:r w:rsidR="00136266">
        <w:rPr>
          <w:rStyle w:val="FootnoteReference"/>
        </w:rPr>
        <w:footnoteReference w:id="9"/>
      </w:r>
      <w:r>
        <w:t xml:space="preserve"> The Company’s </w:t>
      </w:r>
      <w:r w:rsidR="00136266">
        <w:t xml:space="preserve">amended </w:t>
      </w:r>
      <w:r>
        <w:t>petition and su</w:t>
      </w:r>
      <w:r w:rsidR="00B1522C">
        <w:t>pporting documentation satisfy</w:t>
      </w:r>
      <w:r>
        <w:t xml:space="preserve"> the filing requirements of Rule 25-6.0424(1)(b), </w:t>
      </w:r>
      <w:r w:rsidRPr="004847A7">
        <w:t>F.A.C.</w:t>
      </w:r>
      <w:r>
        <w:t xml:space="preserve"> In accordance with the noticing requirement of Rule 25-6.0424(2), F.A.C., DEF filed a letter on March 29, 2022, informing the Commission that it was projecting an under-</w:t>
      </w:r>
      <w:r w:rsidRPr="004847A7">
        <w:t>recovery position of greater than 10 percent for the recovery period ending on December 31, 2022.</w:t>
      </w:r>
      <w:r w:rsidRPr="004847A7">
        <w:rPr>
          <w:rStyle w:val="FootnoteReference"/>
        </w:rPr>
        <w:footnoteReference w:id="10"/>
      </w:r>
      <w:r w:rsidRPr="004847A7">
        <w:t xml:space="preserve"> However, in analyzing settlement prices for natural gas, the Company determined that the continuing price volatility warranted deferring a decision to file for a mid-course correction.</w:t>
      </w:r>
    </w:p>
    <w:p w:rsidR="00537739" w:rsidRDefault="00537739" w:rsidP="00537739">
      <w:pPr>
        <w:pStyle w:val="BodyText"/>
        <w:spacing w:after="0"/>
      </w:pPr>
    </w:p>
    <w:p w:rsidR="00537739" w:rsidRDefault="00537739" w:rsidP="00537739">
      <w:pPr>
        <w:pStyle w:val="BodyText"/>
        <w:spacing w:after="0"/>
      </w:pPr>
      <w:r w:rsidRPr="00A01379">
        <w:t>The Company developed its proposed mid-course correction factors using twelve months of forecasted sales data (April 2023 through March 2024). However</w:t>
      </w:r>
      <w:r w:rsidR="00F94A60">
        <w:t>,</w:t>
      </w:r>
      <w:r w:rsidRPr="00A01379">
        <w:t xml:space="preserve"> the exact factors proposed in this proceeding are currently contemplated to be charged for 9 months in 202</w:t>
      </w:r>
      <w:r w:rsidR="00CD38CD" w:rsidRPr="00A01379">
        <w:t>3</w:t>
      </w:r>
      <w:r w:rsidRPr="00A01379">
        <w:t>. As is typical procedure, later this year newly developed 12-month-applicable factors will be proposed for authorization to begin with the first billing cycle of January 2024.</w:t>
      </w:r>
    </w:p>
    <w:p w:rsidR="00537739" w:rsidRDefault="00537739" w:rsidP="00537739">
      <w:pPr>
        <w:pStyle w:val="BodyText"/>
        <w:spacing w:after="0"/>
      </w:pPr>
    </w:p>
    <w:p w:rsidR="00F05F1F" w:rsidRDefault="00F05F1F" w:rsidP="00537739">
      <w:pPr>
        <w:pStyle w:val="BodyText"/>
        <w:spacing w:after="0"/>
      </w:pPr>
    </w:p>
    <w:p w:rsidR="00F05F1F" w:rsidRDefault="00F05F1F" w:rsidP="00537739">
      <w:pPr>
        <w:pStyle w:val="BodyText"/>
        <w:spacing w:after="0"/>
      </w:pPr>
    </w:p>
    <w:p w:rsidR="00537739" w:rsidRPr="00E26CF0" w:rsidRDefault="00B17002" w:rsidP="00537739">
      <w:pPr>
        <w:pStyle w:val="BodyText"/>
        <w:spacing w:after="0"/>
        <w:rPr>
          <w:rFonts w:ascii="Arial" w:hAnsi="Arial" w:cs="Arial"/>
          <w:b/>
          <w:bCs/>
          <w:i/>
          <w:iCs/>
        </w:rPr>
      </w:pPr>
      <w:r>
        <w:rPr>
          <w:rFonts w:ascii="Arial" w:hAnsi="Arial" w:cs="Arial"/>
          <w:b/>
          <w:bCs/>
          <w:i/>
          <w:iCs/>
        </w:rPr>
        <w:t xml:space="preserve">DEF </w:t>
      </w:r>
      <w:r w:rsidR="00537739" w:rsidRPr="00E26CF0">
        <w:rPr>
          <w:rFonts w:ascii="Arial" w:hAnsi="Arial" w:cs="Arial"/>
          <w:b/>
          <w:bCs/>
          <w:i/>
          <w:iCs/>
        </w:rPr>
        <w:t>Capacity</w:t>
      </w:r>
      <w:r w:rsidR="002F59A4">
        <w:rPr>
          <w:rFonts w:ascii="Arial" w:hAnsi="Arial" w:cs="Arial"/>
          <w:b/>
          <w:bCs/>
          <w:i/>
          <w:iCs/>
        </w:rPr>
        <w:t xml:space="preserve"> </w:t>
      </w:r>
      <w:r w:rsidR="002F59A4" w:rsidRPr="00E26CF0">
        <w:rPr>
          <w:rFonts w:ascii="Arial" w:hAnsi="Arial" w:cs="Arial"/>
          <w:b/>
          <w:bCs/>
          <w:i/>
          <w:iCs/>
        </w:rPr>
        <w:t>Mid-Course Corr</w:t>
      </w:r>
      <w:r w:rsidR="002F59A4">
        <w:rPr>
          <w:rFonts w:ascii="Arial" w:hAnsi="Arial" w:cs="Arial"/>
          <w:b/>
          <w:bCs/>
          <w:i/>
          <w:iCs/>
        </w:rPr>
        <w:t>ection</w:t>
      </w:r>
    </w:p>
    <w:p w:rsidR="00537739" w:rsidRDefault="00537739" w:rsidP="00411CEE">
      <w:pPr>
        <w:pStyle w:val="BodyText"/>
        <w:spacing w:after="0"/>
      </w:pPr>
      <w:r w:rsidRPr="00E26CF0">
        <w:t xml:space="preserve">As </w:t>
      </w:r>
      <w:r w:rsidRPr="007D1819">
        <w:t>previously mentioned, DEF filed for a mid-course adjustment of its capacity charges along with its fuel mid-course correction.</w:t>
      </w:r>
      <w:r w:rsidR="000620BC" w:rsidRPr="007D1819">
        <w:t xml:space="preserve"> Staff notes </w:t>
      </w:r>
      <w:r w:rsidR="00E51455" w:rsidRPr="007D1819">
        <w:t xml:space="preserve">that </w:t>
      </w:r>
      <w:r w:rsidR="000620BC" w:rsidRPr="007D1819">
        <w:t xml:space="preserve">DEF’s </w:t>
      </w:r>
      <w:r w:rsidR="00A01379" w:rsidRPr="007D1819">
        <w:t xml:space="preserve">capacity proposal is not being driven by a cost recovery position outside </w:t>
      </w:r>
      <w:r w:rsidR="00E51455" w:rsidRPr="007D1819">
        <w:t>the absolute value of 10 percent as calculated using the methodology prescribed in Rule 25-6.0424(1)(a), F.A.C.</w:t>
      </w:r>
      <w:r w:rsidR="00A01379" w:rsidRPr="007D1819">
        <w:t>,</w:t>
      </w:r>
      <w:r w:rsidR="00E51455" w:rsidRPr="007D1819">
        <w:t xml:space="preserve"> </w:t>
      </w:r>
      <w:r w:rsidR="00A01379" w:rsidRPr="007D1819">
        <w:t>rather</w:t>
      </w:r>
      <w:r w:rsidR="00E51455" w:rsidRPr="007D1819">
        <w:t>, t</w:t>
      </w:r>
      <w:r w:rsidR="000620BC" w:rsidRPr="007D1819">
        <w:t>he</w:t>
      </w:r>
      <w:r w:rsidR="000620BC" w:rsidRPr="00E51455">
        <w:t xml:space="preserve"> </w:t>
      </w:r>
      <w:r w:rsidR="00193621">
        <w:t xml:space="preserve">driver or </w:t>
      </w:r>
      <w:r w:rsidR="000620BC" w:rsidRPr="00E51455">
        <w:t xml:space="preserve">purpose of this </w:t>
      </w:r>
      <w:r w:rsidR="00A01379">
        <w:t xml:space="preserve">proposed </w:t>
      </w:r>
      <w:r w:rsidR="000620BC" w:rsidRPr="00E51455">
        <w:t>change</w:t>
      </w:r>
      <w:r w:rsidR="00193621">
        <w:t xml:space="preserve"> is</w:t>
      </w:r>
      <w:r w:rsidR="000620BC" w:rsidRPr="00E51455">
        <w:t xml:space="preserve"> to expeditiously </w:t>
      </w:r>
      <w:r w:rsidR="00193621">
        <w:t xml:space="preserve">return to customers </w:t>
      </w:r>
      <w:r w:rsidR="000620BC" w:rsidRPr="00E51455">
        <w:t>the benefit of the 2022 tax savings produced by the IRA. The estimated 2022 tax benefit is $</w:t>
      </w:r>
      <w:r w:rsidR="00A01379">
        <w:t>11,668,131</w:t>
      </w:r>
      <w:r w:rsidR="003A6E97">
        <w:t>,</w:t>
      </w:r>
      <w:r w:rsidR="00A01379">
        <w:t xml:space="preserve"> and</w:t>
      </w:r>
      <w:r w:rsidR="000620BC" w:rsidRPr="00E51455">
        <w:t xml:space="preserve"> c</w:t>
      </w:r>
      <w:r w:rsidR="000620BC">
        <w:t>onstit</w:t>
      </w:r>
      <w:r w:rsidR="007D1819">
        <w:t>utes the amount DEF proposes</w:t>
      </w:r>
      <w:r w:rsidR="000620BC">
        <w:t xml:space="preserve"> to reduce </w:t>
      </w:r>
      <w:r w:rsidR="00C46472">
        <w:t>2023 capacity costs</w:t>
      </w:r>
      <w:r w:rsidR="000620BC">
        <w:t xml:space="preserve"> by in thi</w:t>
      </w:r>
      <w:r w:rsidR="000620BC" w:rsidRPr="002F59A4">
        <w:t xml:space="preserve">s proceeding. </w:t>
      </w:r>
      <w:r w:rsidR="007D1819">
        <w:t>As contemplated</w:t>
      </w:r>
      <w:r w:rsidR="00C46472">
        <w:t xml:space="preserve"> and proposed</w:t>
      </w:r>
      <w:r w:rsidRPr="002F59A4">
        <w:t>, th</w:t>
      </w:r>
      <w:r w:rsidR="00AB2AEE">
        <w:t>is amount will be r</w:t>
      </w:r>
      <w:r w:rsidR="002F59A4" w:rsidRPr="002F59A4">
        <w:t>efunded</w:t>
      </w:r>
      <w:r w:rsidRPr="002F59A4">
        <w:t xml:space="preserve"> over </w:t>
      </w:r>
      <w:r w:rsidR="002F59A4" w:rsidRPr="002F59A4">
        <w:t>a</w:t>
      </w:r>
      <w:r w:rsidRPr="002F59A4">
        <w:t xml:space="preserve"> 9-month period, or from April through December 202</w:t>
      </w:r>
      <w:r w:rsidR="002F59A4" w:rsidRPr="002F59A4">
        <w:t>3</w:t>
      </w:r>
      <w:r w:rsidR="0043438C">
        <w:t>.</w:t>
      </w:r>
    </w:p>
    <w:p w:rsidR="00411CEE" w:rsidRPr="00A01379" w:rsidRDefault="00411CEE" w:rsidP="00411CEE">
      <w:pPr>
        <w:pStyle w:val="BodyText"/>
        <w:spacing w:after="0"/>
        <w:rPr>
          <w:highlight w:val="yellow"/>
        </w:rPr>
      </w:pPr>
    </w:p>
    <w:p w:rsidR="00537739" w:rsidRDefault="00537739" w:rsidP="00411CEE">
      <w:pPr>
        <w:pStyle w:val="BodyText"/>
        <w:spacing w:after="0"/>
        <w:rPr>
          <w:rFonts w:ascii="Arial" w:hAnsi="Arial" w:cs="Arial"/>
          <w:b/>
          <w:i/>
        </w:rPr>
      </w:pPr>
      <w:r>
        <w:rPr>
          <w:rFonts w:ascii="Arial" w:hAnsi="Arial" w:cs="Arial"/>
          <w:b/>
          <w:i/>
        </w:rPr>
        <w:t>Actual Period-Ending 2022 Fuel Cost Recovery Position</w:t>
      </w:r>
    </w:p>
    <w:p w:rsidR="008512DA" w:rsidRDefault="00537739" w:rsidP="00411CEE">
      <w:pPr>
        <w:pStyle w:val="BodyText"/>
        <w:spacing w:after="0"/>
      </w:pPr>
      <w:r>
        <w:t>DEF’s actual fuel cost recovery position</w:t>
      </w:r>
      <w:r w:rsidR="003A6E97">
        <w:t xml:space="preserve"> at the end of 2022 is an under-</w:t>
      </w:r>
      <w:r w:rsidR="008002E8">
        <w:t xml:space="preserve">recovery of </w:t>
      </w:r>
      <w:r w:rsidR="00A4083F">
        <w:t>(</w:t>
      </w:r>
      <w:r w:rsidRPr="004847A7">
        <w:t>$1,354,975,755</w:t>
      </w:r>
      <w:r w:rsidR="00A4083F">
        <w:t>)</w:t>
      </w:r>
      <w:r w:rsidR="00CD38CD">
        <w:t xml:space="preserve">, of which </w:t>
      </w:r>
      <w:r w:rsidRPr="00CD38CD">
        <w:t>$175</w:t>
      </w:r>
      <w:r w:rsidR="00CD38CD" w:rsidRPr="00CD38CD">
        <w:t>,789</w:t>
      </w:r>
      <w:r w:rsidR="00CD38CD">
        <w:t>,361</w:t>
      </w:r>
      <w:r>
        <w:t xml:space="preserve"> has been</w:t>
      </w:r>
      <w:r w:rsidR="00C46472">
        <w:t xml:space="preserve"> previously</w:t>
      </w:r>
      <w:r>
        <w:t xml:space="preserve"> incorporated into 2023 rates.</w:t>
      </w:r>
      <w:r>
        <w:rPr>
          <w:rStyle w:val="FootnoteReference"/>
        </w:rPr>
        <w:footnoteReference w:id="11"/>
      </w:r>
      <w:r w:rsidR="008512DA" w:rsidRPr="008512DA">
        <w:t xml:space="preserve"> </w:t>
      </w:r>
      <w:r w:rsidR="008512DA">
        <w:t>Th</w:t>
      </w:r>
      <w:r w:rsidR="00C46472">
        <w:t>is</w:t>
      </w:r>
      <w:r w:rsidR="008512DA">
        <w:t xml:space="preserve"> </w:t>
      </w:r>
      <w:r w:rsidR="008512DA" w:rsidRPr="00CD38CD">
        <w:t>$175,789</w:t>
      </w:r>
      <w:r w:rsidR="008512DA">
        <w:t xml:space="preserve">,361 amount consists of the second half, or </w:t>
      </w:r>
      <w:r w:rsidR="008512DA" w:rsidRPr="008512DA">
        <w:t>$123,418,788</w:t>
      </w:r>
      <w:r w:rsidR="00C91BFF">
        <w:t>,</w:t>
      </w:r>
      <w:r w:rsidR="008512DA">
        <w:t xml:space="preserve"> associated with the </w:t>
      </w:r>
      <w:r w:rsidR="008512DA" w:rsidRPr="008512DA">
        <w:t xml:space="preserve">“Rate Mitigation Agreement” between DEF and the Office of Public Counsel, the Florida Industrial Power Users Group, the Florida Retail Federation, Nucor Steel Florida, Inc., the Southern Alliance for Clean Energy, and White Springs Agricultural Chemicals, Inc. </w:t>
      </w:r>
      <w:r w:rsidR="008512DA">
        <w:t>d/b/a PCS Phosphate.</w:t>
      </w:r>
      <w:r w:rsidR="00AF2A68">
        <w:rPr>
          <w:rStyle w:val="FootnoteReference"/>
        </w:rPr>
        <w:footnoteReference w:id="12"/>
      </w:r>
      <w:r w:rsidR="008512DA">
        <w:t xml:space="preserve"> The first half of the Rate Mitigation Agreement amount was</w:t>
      </w:r>
      <w:r w:rsidR="008512DA" w:rsidRPr="008512DA">
        <w:t xml:space="preserve"> collected in 2022.  </w:t>
      </w:r>
      <w:r w:rsidR="008512DA">
        <w:t>The remainder, or $52,370,573, represents the carry forward from DEF’s previous</w:t>
      </w:r>
      <w:r w:rsidR="00C91BFF">
        <w:t>,</w:t>
      </w:r>
      <w:r w:rsidR="00C46472">
        <w:t xml:space="preserve"> or 2022</w:t>
      </w:r>
      <w:r w:rsidR="008512DA">
        <w:t xml:space="preserve"> mid-course correction proceeding.</w:t>
      </w:r>
      <w:r w:rsidR="00AF2A68">
        <w:rPr>
          <w:rStyle w:val="FootnoteReference"/>
        </w:rPr>
        <w:footnoteReference w:id="13"/>
      </w:r>
    </w:p>
    <w:p w:rsidR="00411CEE" w:rsidRDefault="00411CEE" w:rsidP="00411CEE">
      <w:pPr>
        <w:pStyle w:val="BodyText"/>
        <w:spacing w:after="0"/>
      </w:pPr>
    </w:p>
    <w:p w:rsidR="00537739" w:rsidRDefault="00537739" w:rsidP="00411CEE">
      <w:pPr>
        <w:pStyle w:val="BodyText"/>
        <w:spacing w:after="0"/>
      </w:pPr>
      <w:r>
        <w:t>Increased pricing for natural gas was the primary driver of the 2022 under-recovery discussed above. More specifically, the Company estimated an annual natural gas cost of $5.2</w:t>
      </w:r>
      <w:r w:rsidR="00566BB0">
        <w:t>0</w:t>
      </w:r>
      <w:r>
        <w:t xml:space="preserve"> per million </w:t>
      </w:r>
      <w:r w:rsidRPr="00064331">
        <w:t>British thermal unit (MMBtu) in its last mid-course correction filing</w:t>
      </w:r>
      <w:r w:rsidR="00641E0D" w:rsidRPr="00064331">
        <w:t xml:space="preserve"> and </w:t>
      </w:r>
      <w:r w:rsidR="00566BB0" w:rsidRPr="00064331">
        <w:t>derivation of</w:t>
      </w:r>
      <w:r w:rsidR="00D84049">
        <w:t xml:space="preserve"> 2022</w:t>
      </w:r>
      <w:r w:rsidR="00566BB0" w:rsidRPr="00064331">
        <w:t xml:space="preserve"> customer fuel rates.</w:t>
      </w:r>
      <w:r w:rsidR="00DC7A46">
        <w:rPr>
          <w:rStyle w:val="FootnoteReference"/>
        </w:rPr>
        <w:footnoteReference w:id="14"/>
      </w:r>
      <w:r w:rsidR="00566BB0" w:rsidRPr="00064331">
        <w:t xml:space="preserve"> </w:t>
      </w:r>
      <w:r w:rsidR="008160EB">
        <w:t>This</w:t>
      </w:r>
      <w:r w:rsidR="006C3DE2" w:rsidRPr="00064331">
        <w:t xml:space="preserve"> figure includes delivery costs. </w:t>
      </w:r>
      <w:r>
        <w:t>Howeve</w:t>
      </w:r>
      <w:r w:rsidR="00566BB0">
        <w:t>r, as indicated in the Company’s December 2022 A-Schedule</w:t>
      </w:r>
      <w:r>
        <w:t>, DEF’s averag</w:t>
      </w:r>
      <w:r w:rsidR="00566BB0">
        <w:t xml:space="preserve">e 2022 cost of natural gas </w:t>
      </w:r>
      <w:r w:rsidR="00566BB0" w:rsidRPr="00641E0D">
        <w:t>wa</w:t>
      </w:r>
      <w:r w:rsidRPr="00641E0D">
        <w:t xml:space="preserve">s </w:t>
      </w:r>
      <w:r w:rsidR="00566BB0" w:rsidRPr="00641E0D">
        <w:t>$8.50</w:t>
      </w:r>
      <w:r w:rsidRPr="00641E0D">
        <w:t xml:space="preserve"> per MMBtu, r</w:t>
      </w:r>
      <w:r>
        <w:t xml:space="preserve">epresenting a </w:t>
      </w:r>
      <w:r w:rsidR="00566BB0">
        <w:t>d</w:t>
      </w:r>
      <w:r>
        <w:t>i</w:t>
      </w:r>
      <w:r w:rsidR="00566BB0">
        <w:t>ffere</w:t>
      </w:r>
      <w:r w:rsidR="00566BB0" w:rsidRPr="00DC7A46">
        <w:t>nce</w:t>
      </w:r>
      <w:r w:rsidRPr="00DC7A46">
        <w:t xml:space="preserve"> of</w:t>
      </w:r>
      <w:r w:rsidR="00DC7A46" w:rsidRPr="00DC7A46">
        <w:t xml:space="preserve"> 63</w:t>
      </w:r>
      <w:r w:rsidRPr="00DC7A46">
        <w:t>.</w:t>
      </w:r>
      <w:r w:rsidR="00DC7A46" w:rsidRPr="00DC7A46">
        <w:t>5</w:t>
      </w:r>
      <w:r w:rsidRPr="00DC7A46">
        <w:t xml:space="preserve"> percent.</w:t>
      </w:r>
      <w:r w:rsidR="00641E0D" w:rsidRPr="00121E53">
        <w:rPr>
          <w:rStyle w:val="FootnoteReference"/>
        </w:rPr>
        <w:footnoteReference w:id="15"/>
      </w:r>
      <w:r w:rsidR="00E03FA9">
        <w:t xml:space="preserve"> </w:t>
      </w:r>
      <w:r w:rsidR="003A6E97">
        <w:t>N</w:t>
      </w:r>
      <w:r w:rsidR="00E03FA9">
        <w:t xml:space="preserve">atural gas-fired generation comprised approximately </w:t>
      </w:r>
      <w:r w:rsidR="001321AA">
        <w:t>85.7</w:t>
      </w:r>
      <w:r w:rsidR="00E03FA9">
        <w:t xml:space="preserve"> percent of DEF’s generation mix in 2022.</w:t>
      </w:r>
      <w:r w:rsidR="00E03FA9">
        <w:rPr>
          <w:rStyle w:val="FootnoteReference"/>
        </w:rPr>
        <w:footnoteReference w:id="16"/>
      </w:r>
    </w:p>
    <w:p w:rsidR="00411CEE" w:rsidRPr="00121E53" w:rsidRDefault="00411CEE" w:rsidP="00411CEE">
      <w:pPr>
        <w:pStyle w:val="BodyText"/>
        <w:spacing w:after="0"/>
      </w:pPr>
    </w:p>
    <w:p w:rsidR="00537739" w:rsidRDefault="00537739" w:rsidP="00537739">
      <w:pPr>
        <w:pStyle w:val="BodyText"/>
        <w:spacing w:after="0"/>
        <w:rPr>
          <w:rFonts w:ascii="Arial" w:hAnsi="Arial" w:cs="Arial"/>
          <w:b/>
          <w:i/>
        </w:rPr>
      </w:pPr>
      <w:r>
        <w:rPr>
          <w:rFonts w:ascii="Arial" w:hAnsi="Arial" w:cs="Arial"/>
          <w:b/>
          <w:i/>
        </w:rPr>
        <w:t>Projected 202</w:t>
      </w:r>
      <w:r w:rsidR="006C3DE2">
        <w:rPr>
          <w:rFonts w:ascii="Arial" w:hAnsi="Arial" w:cs="Arial"/>
          <w:b/>
          <w:i/>
        </w:rPr>
        <w:t>3</w:t>
      </w:r>
      <w:r>
        <w:rPr>
          <w:rFonts w:ascii="Arial" w:hAnsi="Arial" w:cs="Arial"/>
          <w:b/>
          <w:i/>
        </w:rPr>
        <w:t xml:space="preserve"> Fuel Cost Recovery Position</w:t>
      </w:r>
    </w:p>
    <w:p w:rsidR="007F4EDC" w:rsidRDefault="00AF2A5B" w:rsidP="004D458B">
      <w:pPr>
        <w:pStyle w:val="BodyText"/>
        <w:spacing w:after="0"/>
      </w:pPr>
      <w:r>
        <w:t>DEF’s 2023 fuel-related revenue requirement decreased substantially since the filing of its last cost projection in September 2022.</w:t>
      </w:r>
      <w:r>
        <w:rPr>
          <w:rStyle w:val="FootnoteReference"/>
        </w:rPr>
        <w:footnoteReference w:id="17"/>
      </w:r>
      <w:r>
        <w:t xml:space="preserve"> More specifically, </w:t>
      </w:r>
      <w:r w:rsidR="00525D4E">
        <w:t>t</w:t>
      </w:r>
      <w:r w:rsidR="007F4EDC">
        <w:t>he results of this update</w:t>
      </w:r>
      <w:r w:rsidR="008F3AF9">
        <w:t xml:space="preserve">d </w:t>
      </w:r>
      <w:r w:rsidR="000D3CE5">
        <w:t>projection</w:t>
      </w:r>
      <w:r w:rsidR="007F4EDC">
        <w:t xml:space="preserve"> are a reduction in DEF’s estimated 2023 fuel-related costs in the amount of $</w:t>
      </w:r>
      <w:r w:rsidR="00585D18">
        <w:t>710,224,788</w:t>
      </w:r>
      <w:r w:rsidR="007F4EDC">
        <w:t>. Thus, given the net carry forward from 2022</w:t>
      </w:r>
      <w:r w:rsidR="00D84049">
        <w:t xml:space="preserve"> discussed above</w:t>
      </w:r>
      <w:r w:rsidR="007F4EDC">
        <w:t xml:space="preserve">, the proposed incremental amount for inclusion into rates is </w:t>
      </w:r>
      <w:r w:rsidR="00A4083F">
        <w:t>(</w:t>
      </w:r>
      <w:r w:rsidR="007F4EDC">
        <w:t>$</w:t>
      </w:r>
      <w:r w:rsidR="00585D18">
        <w:t>468</w:t>
      </w:r>
      <w:r w:rsidR="006E555B">
        <w:t>,</w:t>
      </w:r>
      <w:r w:rsidR="00585D18">
        <w:t>961,606</w:t>
      </w:r>
      <w:r w:rsidR="00A4083F">
        <w:t>)</w:t>
      </w:r>
      <w:r w:rsidR="007F4EDC">
        <w:t>.</w:t>
      </w:r>
    </w:p>
    <w:p w:rsidR="004D458B" w:rsidRDefault="004D458B" w:rsidP="004D458B">
      <w:pPr>
        <w:pStyle w:val="BodyText"/>
        <w:spacing w:after="0"/>
      </w:pPr>
    </w:p>
    <w:p w:rsidR="00537739" w:rsidRPr="00554485" w:rsidRDefault="00525D4E" w:rsidP="004D458B">
      <w:pPr>
        <w:pStyle w:val="BodyText"/>
        <w:spacing w:after="0"/>
      </w:pPr>
      <w:r>
        <w:t>The primary factor driving the change in projected 2023 fuel costs is lower assumed pricing for natural gas. More specifically, t</w:t>
      </w:r>
      <w:r w:rsidR="00537739" w:rsidRPr="00971C05">
        <w:t xml:space="preserve">he underlying market-based natural </w:t>
      </w:r>
      <w:r w:rsidR="00971C05" w:rsidRPr="00971C05">
        <w:t xml:space="preserve">gas price data used for the </w:t>
      </w:r>
      <w:r w:rsidR="00F94A60">
        <w:t xml:space="preserve">original </w:t>
      </w:r>
      <w:r w:rsidR="00971C05" w:rsidRPr="00971C05">
        <w:t>2023</w:t>
      </w:r>
      <w:r w:rsidR="00537739" w:rsidRPr="00971C05">
        <w:t xml:space="preserve"> fuel cos</w:t>
      </w:r>
      <w:r w:rsidR="00971C05" w:rsidRPr="00971C05">
        <w:t>t projection was sourced on June 13, 2022</w:t>
      </w:r>
      <w:r w:rsidR="00537739" w:rsidRPr="00971C05">
        <w:t>.</w:t>
      </w:r>
      <w:r w:rsidR="00537739" w:rsidRPr="00971C05">
        <w:rPr>
          <w:rStyle w:val="FootnoteReference"/>
        </w:rPr>
        <w:footnoteReference w:id="18"/>
      </w:r>
      <w:r w:rsidR="00537739" w:rsidRPr="00971C05">
        <w:t xml:space="preserve"> This data was used to produce an estimated averag</w:t>
      </w:r>
      <w:r w:rsidR="00971C05" w:rsidRPr="00971C05">
        <w:t>e 2023</w:t>
      </w:r>
      <w:r w:rsidR="00064331">
        <w:t xml:space="preserve"> delivered natural gas c</w:t>
      </w:r>
      <w:r w:rsidR="00064331" w:rsidRPr="00064331">
        <w:t>ost of $8.07 per</w:t>
      </w:r>
      <w:r w:rsidR="00537739" w:rsidRPr="00064331">
        <w:t xml:space="preserve"> MMBtu.</w:t>
      </w:r>
      <w:r w:rsidR="00537739" w:rsidRPr="00064331">
        <w:rPr>
          <w:rStyle w:val="FootnoteReference"/>
        </w:rPr>
        <w:footnoteReference w:id="19"/>
      </w:r>
      <w:r w:rsidR="00537739" w:rsidRPr="00064331">
        <w:t xml:space="preserve"> However, as</w:t>
      </w:r>
      <w:r w:rsidR="00064331" w:rsidRPr="00064331">
        <w:t xml:space="preserve"> </w:t>
      </w:r>
      <w:r w:rsidR="00537739" w:rsidRPr="00554485">
        <w:t>indicated in its MCC Petition, DEF now estimates its average cost of natural gas in 202</w:t>
      </w:r>
      <w:r w:rsidR="00F25C9A" w:rsidRPr="00554485">
        <w:t>3 will be $</w:t>
      </w:r>
      <w:r w:rsidR="00DF50B3">
        <w:t>4.76</w:t>
      </w:r>
      <w:r w:rsidR="00440F8C">
        <w:t xml:space="preserve"> per MMBtu, representing a</w:t>
      </w:r>
      <w:r w:rsidR="00064331" w:rsidRPr="00554485">
        <w:t xml:space="preserve"> de</w:t>
      </w:r>
      <w:r w:rsidR="00537739" w:rsidRPr="00554485">
        <w:t xml:space="preserve">crease of </w:t>
      </w:r>
      <w:r w:rsidR="00DF50B3">
        <w:t>41.0</w:t>
      </w:r>
      <w:r w:rsidR="00537739" w:rsidRPr="00554485">
        <w:t xml:space="preserve"> percent.</w:t>
      </w:r>
      <w:r w:rsidR="00537739" w:rsidRPr="00554485">
        <w:rPr>
          <w:rStyle w:val="FootnoteReference"/>
        </w:rPr>
        <w:footnoteReference w:id="20"/>
      </w:r>
      <w:r w:rsidR="00537739" w:rsidRPr="00554485">
        <w:t xml:space="preserve"> The updated cost estimate was based on natural gas futures</w:t>
      </w:r>
      <w:r w:rsidR="00D84049">
        <w:t>/prices</w:t>
      </w:r>
      <w:r w:rsidR="00537739" w:rsidRPr="00554485">
        <w:t xml:space="preserve"> source</w:t>
      </w:r>
      <w:r w:rsidR="00537739" w:rsidRPr="00490ED2">
        <w:t xml:space="preserve">d </w:t>
      </w:r>
      <w:r w:rsidR="00064331" w:rsidRPr="00490ED2">
        <w:t>on</w:t>
      </w:r>
      <w:r w:rsidR="00490ED2" w:rsidRPr="00AA5770">
        <w:t xml:space="preserve"> February 14, 2023</w:t>
      </w:r>
      <w:r w:rsidRPr="00490ED2">
        <w:t>, o</w:t>
      </w:r>
      <w:r w:rsidRPr="00554485">
        <w:t xml:space="preserve">r roughly </w:t>
      </w:r>
      <w:r w:rsidR="00F05F1F">
        <w:t>eight</w:t>
      </w:r>
      <w:r w:rsidR="00E9016F">
        <w:t xml:space="preserve"> months</w:t>
      </w:r>
      <w:r w:rsidRPr="00554485">
        <w:t xml:space="preserve"> </w:t>
      </w:r>
      <w:r w:rsidR="008160EB">
        <w:t xml:space="preserve">later than the previous estimate </w:t>
      </w:r>
      <w:r w:rsidR="00187023" w:rsidRPr="00554485">
        <w:t>used to set current rates</w:t>
      </w:r>
      <w:r w:rsidR="00537739" w:rsidRPr="00554485">
        <w:t>.</w:t>
      </w:r>
      <w:r w:rsidR="00537739" w:rsidRPr="00554485">
        <w:rPr>
          <w:rStyle w:val="FootnoteReference"/>
        </w:rPr>
        <w:footnoteReference w:id="21"/>
      </w:r>
    </w:p>
    <w:p w:rsidR="009376B5" w:rsidRDefault="009376B5" w:rsidP="00537739">
      <w:pPr>
        <w:pStyle w:val="BodyText"/>
        <w:spacing w:after="0"/>
      </w:pPr>
    </w:p>
    <w:p w:rsidR="00EA425C" w:rsidRPr="00FF5CBB" w:rsidRDefault="00EA425C" w:rsidP="00EA425C">
      <w:pPr>
        <w:pStyle w:val="BodyText"/>
        <w:spacing w:after="0"/>
      </w:pPr>
      <w:r w:rsidRPr="00FF5CBB">
        <w:rPr>
          <w:rFonts w:ascii="Arial" w:hAnsi="Arial" w:cs="Arial"/>
          <w:b/>
          <w:i/>
        </w:rPr>
        <w:t>Recovery Period and Interest Premium</w:t>
      </w:r>
    </w:p>
    <w:p w:rsidR="00EA425C" w:rsidRDefault="00EA425C" w:rsidP="00EA425C">
      <w:pPr>
        <w:pStyle w:val="BodyText"/>
        <w:spacing w:after="0"/>
      </w:pPr>
      <w:r w:rsidRPr="00FF5CBB">
        <w:t>As proposed, DEF’s recovery period for its 2022 under-recovery of fuel costs is over 12 months of sales (beginning April 2023 and ending March 2024).</w:t>
      </w:r>
      <w:r w:rsidRPr="00FF5CBB">
        <w:rPr>
          <w:rStyle w:val="FootnoteReference"/>
        </w:rPr>
        <w:footnoteReference w:id="22"/>
      </w:r>
      <w:r w:rsidRPr="00FF5CBB">
        <w:t xml:space="preserve"> DEF utilized the 30-day </w:t>
      </w:r>
      <w:r w:rsidRPr="00FF5CBB">
        <w:rPr>
          <w:bCs/>
        </w:rPr>
        <w:t>AA Financial</w:t>
      </w:r>
      <w:r w:rsidRPr="00FF5CBB">
        <w:t xml:space="preserve"> Commercial Paper Rate to determine its 2022 interest amount.</w:t>
      </w:r>
      <w:r w:rsidRPr="00FF5CBB">
        <w:rPr>
          <w:rStyle w:val="FootnoteReference"/>
        </w:rPr>
        <w:footnoteReference w:id="23"/>
      </w:r>
      <w:r w:rsidR="00A303F9">
        <w:t xml:space="preserve"> The </w:t>
      </w:r>
      <w:r w:rsidRPr="00FF5CBB">
        <w:t>projected 2023</w:t>
      </w:r>
      <w:r w:rsidR="00A303F9">
        <w:t xml:space="preserve"> monthly </w:t>
      </w:r>
      <w:r w:rsidRPr="00FF5CBB">
        <w:t>interest rate was estimated for all months by using</w:t>
      </w:r>
      <w:r w:rsidR="00CE30B0">
        <w:t xml:space="preserve"> the</w:t>
      </w:r>
      <w:r w:rsidRPr="00FF5CBB">
        <w:t xml:space="preserve"> </w:t>
      </w:r>
      <w:r w:rsidR="007774AB">
        <w:t>J</w:t>
      </w:r>
      <w:r w:rsidR="00CE30B0">
        <w:t>anuary 2023</w:t>
      </w:r>
      <w:r w:rsidRPr="00FF5CBB">
        <w:t xml:space="preserve"> average of the 30-day AA Financial Commercial Paper Rate</w:t>
      </w:r>
      <w:r w:rsidR="008F3AF9">
        <w:t xml:space="preserve"> of 0.3</w:t>
      </w:r>
      <w:r w:rsidR="007774AB">
        <w:t>7</w:t>
      </w:r>
      <w:r w:rsidR="008F3AF9">
        <w:t>4 percent</w:t>
      </w:r>
      <w:r w:rsidRPr="00FF5CBB">
        <w:t>.</w:t>
      </w:r>
      <w:r w:rsidRPr="00FF5CBB">
        <w:rPr>
          <w:rStyle w:val="FootnoteReference"/>
        </w:rPr>
        <w:footnoteReference w:id="24"/>
      </w:r>
    </w:p>
    <w:p w:rsidR="00EA425C" w:rsidRPr="00554485" w:rsidRDefault="00EA425C" w:rsidP="00537739">
      <w:pPr>
        <w:pStyle w:val="BodyText"/>
        <w:spacing w:after="0"/>
      </w:pPr>
    </w:p>
    <w:p w:rsidR="009376B5" w:rsidRPr="00554485" w:rsidRDefault="009376B5" w:rsidP="009376B5">
      <w:pPr>
        <w:pStyle w:val="BodyText"/>
        <w:spacing w:after="0"/>
        <w:rPr>
          <w:rFonts w:ascii="Arial" w:hAnsi="Arial" w:cs="Arial"/>
          <w:b/>
          <w:i/>
        </w:rPr>
      </w:pPr>
      <w:r w:rsidRPr="00554485">
        <w:rPr>
          <w:rFonts w:ascii="Arial" w:hAnsi="Arial" w:cs="Arial"/>
          <w:b/>
          <w:i/>
        </w:rPr>
        <w:t>Mid-Course Correction Percentage</w:t>
      </w:r>
    </w:p>
    <w:p w:rsidR="009376B5" w:rsidRPr="00554485" w:rsidRDefault="009376B5" w:rsidP="009376B5">
      <w:pPr>
        <w:pStyle w:val="BodyText"/>
        <w:spacing w:after="0"/>
        <w:rPr>
          <w:b/>
        </w:rPr>
      </w:pPr>
      <w:r w:rsidRPr="00554485">
        <w:t>Following the methodology prescribed in Rule 25-6.0424(1)(a), F.A.C., the mid-course percentage is equal to the estimated end-of-period total net true-up, including interest, divided by the current period’s total actual and estimated jurisdictional fuel revenue applicable to period, or ($</w:t>
      </w:r>
      <w:r w:rsidR="00E444CD">
        <w:t>468,961,606</w:t>
      </w:r>
      <w:r w:rsidRPr="00554485">
        <w:t>) / $</w:t>
      </w:r>
      <w:r w:rsidR="00E444CD">
        <w:t>2,281,046,501</w:t>
      </w:r>
      <w:r w:rsidRPr="00554485">
        <w:t>.</w:t>
      </w:r>
      <w:r w:rsidRPr="00554485">
        <w:rPr>
          <w:rStyle w:val="FootnoteReference"/>
        </w:rPr>
        <w:footnoteReference w:id="25"/>
      </w:r>
      <w:r w:rsidRPr="00554485">
        <w:t xml:space="preserve"> This calculation results in a mid-course correction level of (</w:t>
      </w:r>
      <w:r w:rsidR="00CB674A">
        <w:t>20.6</w:t>
      </w:r>
      <w:r w:rsidRPr="00554485">
        <w:t>) percent at D</w:t>
      </w:r>
      <w:r w:rsidR="009E2361" w:rsidRPr="00554485">
        <w:t>ecember 31, 2023</w:t>
      </w:r>
      <w:r w:rsidRPr="00554485">
        <w:t>.</w:t>
      </w:r>
    </w:p>
    <w:p w:rsidR="00537739" w:rsidRPr="00554485" w:rsidRDefault="00537739" w:rsidP="00537739">
      <w:pPr>
        <w:pStyle w:val="BodyText"/>
        <w:spacing w:after="0"/>
      </w:pPr>
    </w:p>
    <w:p w:rsidR="00537739" w:rsidRPr="00554485" w:rsidRDefault="00537739" w:rsidP="00537739">
      <w:pPr>
        <w:pStyle w:val="BodyText"/>
        <w:spacing w:after="0"/>
        <w:rPr>
          <w:rFonts w:ascii="Arial" w:hAnsi="Arial" w:cs="Arial"/>
          <w:b/>
          <w:i/>
        </w:rPr>
      </w:pPr>
      <w:r w:rsidRPr="00554485">
        <w:rPr>
          <w:rFonts w:ascii="Arial" w:hAnsi="Arial" w:cs="Arial"/>
          <w:b/>
          <w:i/>
        </w:rPr>
        <w:t>Fuel Factor</w:t>
      </w:r>
    </w:p>
    <w:p w:rsidR="00537739" w:rsidRPr="00554485" w:rsidRDefault="00537739" w:rsidP="00537739">
      <w:pPr>
        <w:pStyle w:val="BodyText"/>
        <w:spacing w:after="0"/>
      </w:pPr>
      <w:r w:rsidRPr="00554485">
        <w:t xml:space="preserve">DEF’s currently-approved annual levelized fuel factor beginning with the </w:t>
      </w:r>
      <w:r w:rsidR="002126D8" w:rsidRPr="00554485">
        <w:t xml:space="preserve">first </w:t>
      </w:r>
      <w:r w:rsidRPr="00554485">
        <w:t>January 2023 billing cycle is 6.257 cents per kilowatt-hour (kWh).</w:t>
      </w:r>
      <w:r w:rsidRPr="00554485">
        <w:rPr>
          <w:rStyle w:val="FootnoteReference"/>
        </w:rPr>
        <w:footnoteReference w:id="26"/>
      </w:r>
      <w:r w:rsidRPr="00554485">
        <w:t xml:space="preserve"> The Company is requesting to increase its currently-approved 2023 annual levelized fuel factor beginning April 2023 </w:t>
      </w:r>
      <w:r w:rsidR="002F59A4" w:rsidRPr="00554485">
        <w:t xml:space="preserve">to </w:t>
      </w:r>
      <w:r w:rsidR="001D739B">
        <w:t>7.445</w:t>
      </w:r>
      <w:r w:rsidRPr="00554485">
        <w:t xml:space="preserve"> cents per kWh, or by </w:t>
      </w:r>
      <w:r w:rsidR="001D739B">
        <w:t>19.0</w:t>
      </w:r>
      <w:r w:rsidRPr="00554485">
        <w:t xml:space="preserve"> percent.</w:t>
      </w:r>
      <w:r w:rsidRPr="00554485">
        <w:rPr>
          <w:rStyle w:val="FootnoteReference"/>
        </w:rPr>
        <w:footnoteReference w:id="27"/>
      </w:r>
    </w:p>
    <w:p w:rsidR="00537739" w:rsidRDefault="00537739" w:rsidP="00537739">
      <w:pPr>
        <w:pStyle w:val="BodyText"/>
        <w:spacing w:after="0"/>
        <w:rPr>
          <w:highlight w:val="yellow"/>
        </w:rPr>
      </w:pPr>
    </w:p>
    <w:p w:rsidR="00CE30B0" w:rsidRDefault="00CE30B0" w:rsidP="00537739">
      <w:pPr>
        <w:pStyle w:val="BodyText"/>
        <w:spacing w:after="0"/>
        <w:rPr>
          <w:highlight w:val="yellow"/>
        </w:rPr>
      </w:pPr>
    </w:p>
    <w:p w:rsidR="00537739" w:rsidRDefault="00537739" w:rsidP="00537739">
      <w:pPr>
        <w:pStyle w:val="BodyText"/>
        <w:spacing w:after="0"/>
        <w:rPr>
          <w:rFonts w:ascii="Arial" w:hAnsi="Arial" w:cs="Arial"/>
          <w:b/>
          <w:bCs/>
          <w:i/>
          <w:iCs/>
        </w:rPr>
      </w:pPr>
      <w:r>
        <w:rPr>
          <w:rFonts w:ascii="Arial" w:hAnsi="Arial" w:cs="Arial"/>
          <w:b/>
          <w:bCs/>
          <w:i/>
          <w:iCs/>
        </w:rPr>
        <w:t>Bill Impacts</w:t>
      </w:r>
    </w:p>
    <w:p w:rsidR="00537739" w:rsidRDefault="00537739" w:rsidP="00537739">
      <w:pPr>
        <w:pStyle w:val="BodyText"/>
        <w:spacing w:after="0"/>
        <w:rPr>
          <w:highlight w:val="yellow"/>
        </w:rPr>
      </w:pPr>
      <w:r>
        <w:t xml:space="preserve">Table 1-1 below shows the bill impact to a typical residential customer using 1,000 kWh of </w:t>
      </w:r>
      <w:r w:rsidRPr="00A549C3">
        <w:t xml:space="preserve">electricity a month associated with the current and proposed service charges. </w:t>
      </w:r>
      <w:r w:rsidR="00087334">
        <w:t>This table also includes the storm-related cost recovery proposal that, if approved, would begin i</w:t>
      </w:r>
      <w:r w:rsidR="00087334" w:rsidRPr="00087334">
        <w:t>n April 2023.</w:t>
      </w:r>
      <w:r w:rsidR="00087334" w:rsidRPr="00087334">
        <w:rPr>
          <w:rStyle w:val="FootnoteReference"/>
        </w:rPr>
        <w:footnoteReference w:id="28"/>
      </w:r>
      <w:r w:rsidR="00087334">
        <w:t xml:space="preserve"> </w:t>
      </w:r>
      <w:r w:rsidRPr="00A549C3">
        <w:t xml:space="preserve">In the discussion </w:t>
      </w:r>
      <w:r w:rsidR="00A549C3">
        <w:t xml:space="preserve">directly </w:t>
      </w:r>
      <w:r w:rsidR="00846E71">
        <w:t>below Table 1-1, staff discusses</w:t>
      </w:r>
      <w:r w:rsidRPr="00A549C3">
        <w:t xml:space="preserve"> the impacts of the proposed MCC on non-residential customers:</w:t>
      </w:r>
    </w:p>
    <w:p w:rsidR="00D75844" w:rsidRDefault="00D75844" w:rsidP="00537739">
      <w:pPr>
        <w:pStyle w:val="BodyText"/>
        <w:spacing w:after="0"/>
        <w:rPr>
          <w:highlight w:val="yellow"/>
        </w:rPr>
      </w:pPr>
    </w:p>
    <w:tbl>
      <w:tblPr>
        <w:tblW w:w="4887" w:type="pct"/>
        <w:tblInd w:w="108" w:type="dxa"/>
        <w:tblLook w:val="04A0" w:firstRow="1" w:lastRow="0" w:firstColumn="1" w:lastColumn="0" w:noHBand="0" w:noVBand="1"/>
      </w:tblPr>
      <w:tblGrid>
        <w:gridCol w:w="3481"/>
        <w:gridCol w:w="1496"/>
        <w:gridCol w:w="1496"/>
        <w:gridCol w:w="1496"/>
        <w:gridCol w:w="1391"/>
      </w:tblGrid>
      <w:tr w:rsidR="00537739" w:rsidTr="00C87618">
        <w:trPr>
          <w:cantSplit/>
          <w:trHeight w:val="310"/>
          <w:tblHeader/>
        </w:trPr>
        <w:tc>
          <w:tcPr>
            <w:tcW w:w="5000" w:type="pct"/>
            <w:gridSpan w:val="5"/>
            <w:vAlign w:val="center"/>
            <w:hideMark/>
          </w:tcPr>
          <w:p w:rsidR="00537739" w:rsidRPr="00AB6FE7" w:rsidRDefault="00537739" w:rsidP="00C87618">
            <w:pPr>
              <w:jc w:val="center"/>
              <w:rPr>
                <w:rFonts w:ascii="Arial" w:hAnsi="Arial" w:cs="Arial"/>
                <w:b/>
                <w:bCs/>
                <w:color w:val="000000"/>
              </w:rPr>
            </w:pPr>
            <w:r w:rsidRPr="00AB6FE7">
              <w:rPr>
                <w:rFonts w:ascii="Arial" w:hAnsi="Arial" w:cs="Arial"/>
                <w:b/>
                <w:bCs/>
                <w:color w:val="000000"/>
              </w:rPr>
              <w:t>Table 1-1</w:t>
            </w:r>
          </w:p>
        </w:tc>
      </w:tr>
      <w:tr w:rsidR="00537739" w:rsidTr="00C87618">
        <w:trPr>
          <w:cantSplit/>
          <w:trHeight w:val="320"/>
          <w:tblHeader/>
        </w:trPr>
        <w:tc>
          <w:tcPr>
            <w:tcW w:w="5000" w:type="pct"/>
            <w:gridSpan w:val="5"/>
            <w:tcBorders>
              <w:top w:val="nil"/>
              <w:left w:val="nil"/>
              <w:bottom w:val="single" w:sz="4" w:space="0" w:color="auto"/>
              <w:right w:val="nil"/>
            </w:tcBorders>
            <w:vAlign w:val="center"/>
            <w:hideMark/>
          </w:tcPr>
          <w:p w:rsidR="00537739" w:rsidRPr="00AB6FE7" w:rsidRDefault="00537739" w:rsidP="00C87618">
            <w:pPr>
              <w:jc w:val="center"/>
              <w:rPr>
                <w:rFonts w:ascii="Arial" w:hAnsi="Arial" w:cs="Arial"/>
                <w:b/>
                <w:bCs/>
                <w:color w:val="000000"/>
              </w:rPr>
            </w:pPr>
            <w:r w:rsidRPr="00AB6FE7">
              <w:rPr>
                <w:rFonts w:ascii="Arial" w:hAnsi="Arial" w:cs="Arial"/>
                <w:b/>
                <w:bCs/>
                <w:color w:val="000000"/>
              </w:rPr>
              <w:t>Monthly Residential Billing Detail for the First 1,000 kWh</w:t>
            </w:r>
          </w:p>
        </w:tc>
      </w:tr>
      <w:tr w:rsidR="00537739" w:rsidTr="00C87618">
        <w:trPr>
          <w:cantSplit/>
          <w:trHeight w:val="1871"/>
          <w:tblHeader/>
        </w:trPr>
        <w:tc>
          <w:tcPr>
            <w:tcW w:w="1860" w:type="pct"/>
            <w:tcBorders>
              <w:top w:val="single" w:sz="4" w:space="0" w:color="auto"/>
              <w:left w:val="single" w:sz="4" w:space="0" w:color="auto"/>
              <w:bottom w:val="single" w:sz="4" w:space="0" w:color="auto"/>
              <w:right w:val="single" w:sz="4" w:space="0" w:color="auto"/>
            </w:tcBorders>
            <w:vAlign w:val="center"/>
            <w:hideMark/>
          </w:tcPr>
          <w:p w:rsidR="00537739" w:rsidRPr="00AB6FE7" w:rsidRDefault="00537739" w:rsidP="00C87618">
            <w:pPr>
              <w:jc w:val="center"/>
              <w:rPr>
                <w:b/>
                <w:bCs/>
                <w:color w:val="000000"/>
                <w:sz w:val="22"/>
              </w:rPr>
            </w:pPr>
            <w:r w:rsidRPr="00AB6FE7">
              <w:rPr>
                <w:b/>
                <w:bCs/>
                <w:color w:val="000000"/>
                <w:sz w:val="22"/>
              </w:rPr>
              <w:t>Invoice Component</w:t>
            </w:r>
          </w:p>
        </w:tc>
        <w:tc>
          <w:tcPr>
            <w:tcW w:w="799" w:type="pct"/>
            <w:tcBorders>
              <w:top w:val="single" w:sz="4" w:space="0" w:color="auto"/>
              <w:left w:val="single" w:sz="4" w:space="0" w:color="auto"/>
              <w:bottom w:val="single" w:sz="4" w:space="0" w:color="auto"/>
              <w:right w:val="single" w:sz="4" w:space="0" w:color="auto"/>
            </w:tcBorders>
            <w:vAlign w:val="center"/>
            <w:hideMark/>
          </w:tcPr>
          <w:p w:rsidR="00537739" w:rsidRPr="00AB6FE7" w:rsidRDefault="00537739" w:rsidP="00C87618">
            <w:pPr>
              <w:jc w:val="center"/>
              <w:rPr>
                <w:b/>
                <w:bCs/>
                <w:color w:val="000000"/>
                <w:sz w:val="22"/>
              </w:rPr>
            </w:pPr>
            <w:r w:rsidRPr="00AB6FE7">
              <w:rPr>
                <w:b/>
                <w:bCs/>
                <w:color w:val="000000"/>
                <w:sz w:val="22"/>
              </w:rPr>
              <w:t xml:space="preserve">Currently-Approved Charges Beginning </w:t>
            </w:r>
            <w:r w:rsidR="00AB6FE7" w:rsidRPr="00AB6FE7">
              <w:rPr>
                <w:b/>
                <w:bCs/>
                <w:color w:val="000000"/>
                <w:sz w:val="22"/>
              </w:rPr>
              <w:t>March</w:t>
            </w:r>
            <w:r w:rsidRPr="00AB6FE7">
              <w:rPr>
                <w:b/>
                <w:bCs/>
                <w:color w:val="000000"/>
                <w:sz w:val="22"/>
              </w:rPr>
              <w:t xml:space="preserve"> 2023</w:t>
            </w:r>
          </w:p>
          <w:p w:rsidR="00537739" w:rsidRPr="00AB6FE7" w:rsidRDefault="00537739" w:rsidP="00C87618">
            <w:pPr>
              <w:jc w:val="center"/>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537739" w:rsidRPr="00AB6FE7" w:rsidRDefault="00537739" w:rsidP="00C87618">
            <w:pPr>
              <w:jc w:val="center"/>
              <w:rPr>
                <w:b/>
                <w:bCs/>
                <w:color w:val="000000"/>
                <w:sz w:val="22"/>
              </w:rPr>
            </w:pPr>
            <w:r w:rsidRPr="00AB6FE7">
              <w:rPr>
                <w:b/>
                <w:bCs/>
                <w:color w:val="000000"/>
                <w:sz w:val="22"/>
              </w:rPr>
              <w:t xml:space="preserve">Proposed Charges </w:t>
            </w:r>
          </w:p>
          <w:p w:rsidR="00537739" w:rsidRPr="00AB6FE7" w:rsidRDefault="00537739" w:rsidP="00C87618">
            <w:pPr>
              <w:jc w:val="center"/>
              <w:rPr>
                <w:b/>
                <w:bCs/>
                <w:color w:val="000000"/>
                <w:sz w:val="22"/>
              </w:rPr>
            </w:pPr>
            <w:r w:rsidRPr="00AB6FE7">
              <w:rPr>
                <w:b/>
                <w:bCs/>
                <w:color w:val="000000"/>
                <w:sz w:val="22"/>
              </w:rPr>
              <w:t>Beginning</w:t>
            </w:r>
          </w:p>
          <w:p w:rsidR="00537739" w:rsidRPr="00AB6FE7" w:rsidRDefault="00537739" w:rsidP="00C87618">
            <w:pPr>
              <w:jc w:val="center"/>
              <w:rPr>
                <w:b/>
                <w:bCs/>
                <w:color w:val="000000"/>
                <w:sz w:val="22"/>
              </w:rPr>
            </w:pPr>
            <w:r w:rsidRPr="00AB6FE7">
              <w:rPr>
                <w:b/>
                <w:bCs/>
                <w:color w:val="000000"/>
                <w:sz w:val="22"/>
              </w:rPr>
              <w:t>April</w:t>
            </w:r>
          </w:p>
          <w:p w:rsidR="00537739" w:rsidRPr="00AB6FE7" w:rsidRDefault="00537739" w:rsidP="00C87618">
            <w:pPr>
              <w:jc w:val="center"/>
              <w:rPr>
                <w:b/>
                <w:bCs/>
                <w:color w:val="000000"/>
                <w:sz w:val="22"/>
              </w:rPr>
            </w:pPr>
            <w:r w:rsidRPr="00AB6FE7">
              <w:rPr>
                <w:b/>
                <w:bCs/>
                <w:color w:val="000000"/>
                <w:sz w:val="22"/>
              </w:rPr>
              <w:t>2023</w:t>
            </w:r>
          </w:p>
          <w:p w:rsidR="00537739" w:rsidRPr="00AB6FE7" w:rsidRDefault="00537739" w:rsidP="00C87618">
            <w:pPr>
              <w:jc w:val="center"/>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537739" w:rsidRPr="00AB6FE7" w:rsidRDefault="00537739" w:rsidP="00C87618">
            <w:pPr>
              <w:jc w:val="center"/>
              <w:rPr>
                <w:b/>
                <w:bCs/>
                <w:color w:val="000000"/>
                <w:sz w:val="22"/>
              </w:rPr>
            </w:pPr>
            <w:r w:rsidRPr="00AB6FE7">
              <w:rPr>
                <w:b/>
                <w:bCs/>
                <w:color w:val="000000"/>
                <w:sz w:val="22"/>
              </w:rPr>
              <w:t>Difference</w:t>
            </w:r>
          </w:p>
          <w:p w:rsidR="00537739" w:rsidRPr="00AB6FE7" w:rsidRDefault="00537739" w:rsidP="00C87618">
            <w:pPr>
              <w:jc w:val="center"/>
              <w:rPr>
                <w:b/>
                <w:bCs/>
                <w:color w:val="000000"/>
                <w:sz w:val="22"/>
              </w:rPr>
            </w:pPr>
            <w:r w:rsidRPr="00AB6FE7">
              <w:rPr>
                <w:b/>
                <w:bCs/>
                <w:color w:val="000000"/>
                <w:sz w:val="22"/>
              </w:rPr>
              <w:t>($)</w:t>
            </w:r>
          </w:p>
        </w:tc>
        <w:tc>
          <w:tcPr>
            <w:tcW w:w="743" w:type="pct"/>
            <w:tcBorders>
              <w:top w:val="single" w:sz="4" w:space="0" w:color="auto"/>
              <w:left w:val="single" w:sz="4" w:space="0" w:color="auto"/>
              <w:bottom w:val="single" w:sz="4" w:space="0" w:color="auto"/>
              <w:right w:val="single" w:sz="4" w:space="0" w:color="auto"/>
            </w:tcBorders>
            <w:vAlign w:val="center"/>
            <w:hideMark/>
          </w:tcPr>
          <w:p w:rsidR="00537739" w:rsidRPr="00AB6FE7" w:rsidRDefault="00537739" w:rsidP="00C87618">
            <w:pPr>
              <w:jc w:val="center"/>
              <w:rPr>
                <w:b/>
                <w:bCs/>
                <w:color w:val="000000"/>
                <w:sz w:val="22"/>
              </w:rPr>
            </w:pPr>
            <w:r w:rsidRPr="00AB6FE7">
              <w:rPr>
                <w:b/>
                <w:bCs/>
                <w:color w:val="000000"/>
                <w:sz w:val="22"/>
              </w:rPr>
              <w:t>Difference</w:t>
            </w:r>
          </w:p>
          <w:p w:rsidR="00537739" w:rsidRPr="00AB6FE7" w:rsidRDefault="00537739" w:rsidP="00C87618">
            <w:pPr>
              <w:jc w:val="center"/>
              <w:rPr>
                <w:b/>
                <w:bCs/>
                <w:color w:val="000000"/>
                <w:sz w:val="22"/>
              </w:rPr>
            </w:pPr>
            <w:r w:rsidRPr="00AB6FE7">
              <w:rPr>
                <w:b/>
                <w:bCs/>
                <w:color w:val="000000"/>
                <w:sz w:val="22"/>
              </w:rPr>
              <w:t>(%)</w:t>
            </w:r>
          </w:p>
        </w:tc>
      </w:tr>
      <w:tr w:rsidR="001D739B"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rPr>
                <w:color w:val="000000"/>
                <w:sz w:val="22"/>
                <w:szCs w:val="22"/>
                <w:highlight w:val="yellow"/>
              </w:rPr>
            </w:pPr>
            <w:r w:rsidRPr="001D739B">
              <w:rPr>
                <w:color w:val="000000"/>
                <w:sz w:val="22"/>
                <w:szCs w:val="22"/>
              </w:rPr>
              <w:t>Base Charge</w:t>
            </w:r>
            <w:r w:rsidRPr="001D739B">
              <w:rPr>
                <w:rStyle w:val="FootnoteReference"/>
                <w:color w:val="000000"/>
                <w:sz w:val="22"/>
                <w:szCs w:val="22"/>
              </w:rPr>
              <w:footnoteReference w:id="29"/>
            </w:r>
          </w:p>
        </w:tc>
        <w:tc>
          <w:tcPr>
            <w:tcW w:w="799"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jc w:val="right"/>
              <w:rPr>
                <w:sz w:val="22"/>
                <w:szCs w:val="22"/>
              </w:rPr>
            </w:pPr>
            <w:r w:rsidRPr="00AA5770">
              <w:rPr>
                <w:sz w:val="22"/>
                <w:szCs w:val="22"/>
              </w:rPr>
              <w:t xml:space="preserve">$78.82 </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jc w:val="right"/>
              <w:rPr>
                <w:color w:val="000000"/>
                <w:sz w:val="22"/>
                <w:szCs w:val="22"/>
              </w:rPr>
            </w:pPr>
            <w:r w:rsidRPr="00AA5770">
              <w:rPr>
                <w:sz w:val="22"/>
                <w:szCs w:val="22"/>
              </w:rPr>
              <w:t xml:space="preserve">$78.82 </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0.0%</w:t>
            </w:r>
          </w:p>
        </w:tc>
      </w:tr>
      <w:tr w:rsidR="001D739B"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rPr>
                <w:color w:val="000000"/>
                <w:sz w:val="22"/>
                <w:szCs w:val="22"/>
              </w:rPr>
            </w:pPr>
            <w:r w:rsidRPr="001D739B">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jc w:val="right"/>
              <w:rPr>
                <w:sz w:val="22"/>
                <w:szCs w:val="22"/>
              </w:rPr>
            </w:pPr>
            <w:r w:rsidRPr="00AA5770">
              <w:rPr>
                <w:sz w:val="22"/>
                <w:szCs w:val="22"/>
              </w:rPr>
              <w:t>59.61</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71.27</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 xml:space="preserve">11.66 </w:t>
            </w:r>
          </w:p>
        </w:tc>
        <w:tc>
          <w:tcPr>
            <w:tcW w:w="743"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19.6%</w:t>
            </w:r>
          </w:p>
        </w:tc>
      </w:tr>
      <w:tr w:rsidR="001D739B"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rPr>
                <w:color w:val="000000"/>
                <w:sz w:val="22"/>
                <w:szCs w:val="22"/>
              </w:rPr>
            </w:pPr>
            <w:r w:rsidRPr="001D739B">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jc w:val="right"/>
              <w:rPr>
                <w:sz w:val="22"/>
                <w:szCs w:val="22"/>
              </w:rPr>
            </w:pPr>
            <w:r w:rsidRPr="00AA5770">
              <w:rPr>
                <w:sz w:val="22"/>
                <w:szCs w:val="22"/>
              </w:rPr>
              <w:t>13.28</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12.85</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481C81">
            <w:pPr>
              <w:autoSpaceDE w:val="0"/>
              <w:autoSpaceDN w:val="0"/>
              <w:adjustRightInd w:val="0"/>
              <w:jc w:val="right"/>
              <w:rPr>
                <w:color w:val="000000"/>
                <w:sz w:val="22"/>
                <w:szCs w:val="22"/>
              </w:rPr>
            </w:pPr>
            <w:r>
              <w:rPr>
                <w:sz w:val="22"/>
                <w:szCs w:val="22"/>
              </w:rPr>
              <w:t>(</w:t>
            </w:r>
            <w:r w:rsidR="001D739B" w:rsidRPr="00AA5770">
              <w:rPr>
                <w:sz w:val="22"/>
                <w:szCs w:val="22"/>
              </w:rPr>
              <w:t>0.43)</w:t>
            </w:r>
          </w:p>
        </w:tc>
        <w:tc>
          <w:tcPr>
            <w:tcW w:w="743"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Pr>
                <w:sz w:val="22"/>
                <w:szCs w:val="22"/>
              </w:rPr>
              <w:t>(</w:t>
            </w:r>
            <w:r w:rsidRPr="00AA5770">
              <w:rPr>
                <w:sz w:val="22"/>
                <w:szCs w:val="22"/>
              </w:rPr>
              <w:t>3.2%</w:t>
            </w:r>
            <w:r>
              <w:rPr>
                <w:sz w:val="22"/>
                <w:szCs w:val="22"/>
              </w:rPr>
              <w:t>)</w:t>
            </w:r>
          </w:p>
        </w:tc>
      </w:tr>
      <w:tr w:rsidR="001D739B"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rPr>
                <w:color w:val="000000"/>
                <w:sz w:val="22"/>
                <w:szCs w:val="22"/>
              </w:rPr>
            </w:pPr>
            <w:r w:rsidRPr="001D739B">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jc w:val="right"/>
              <w:rPr>
                <w:sz w:val="22"/>
                <w:szCs w:val="22"/>
              </w:rPr>
            </w:pPr>
            <w:r w:rsidRPr="00AA5770">
              <w:rPr>
                <w:sz w:val="22"/>
                <w:szCs w:val="22"/>
              </w:rPr>
              <w:t>3.2</w:t>
            </w:r>
            <w:r w:rsidR="00481C81">
              <w:rPr>
                <w:sz w:val="22"/>
                <w:szCs w:val="22"/>
              </w:rPr>
              <w:t>0</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3.2</w:t>
            </w:r>
            <w:r w:rsidR="00481C81">
              <w:rPr>
                <w:sz w:val="22"/>
                <w:szCs w:val="22"/>
              </w:rPr>
              <w:t>0</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0.0%</w:t>
            </w:r>
          </w:p>
        </w:tc>
      </w:tr>
      <w:tr w:rsidR="001D739B"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rPr>
                <w:color w:val="000000"/>
                <w:sz w:val="22"/>
                <w:szCs w:val="22"/>
              </w:rPr>
            </w:pPr>
            <w:r w:rsidRPr="001D739B">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jc w:val="right"/>
              <w:rPr>
                <w:sz w:val="22"/>
                <w:szCs w:val="22"/>
              </w:rPr>
            </w:pPr>
            <w:r w:rsidRPr="00AA5770">
              <w:rPr>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0.0%</w:t>
            </w:r>
          </w:p>
        </w:tc>
      </w:tr>
      <w:tr w:rsidR="001D739B"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rPr>
                <w:color w:val="000000"/>
                <w:sz w:val="22"/>
                <w:szCs w:val="22"/>
              </w:rPr>
            </w:pPr>
            <w:r w:rsidRPr="001D739B">
              <w:rPr>
                <w:color w:val="000000"/>
                <w:sz w:val="22"/>
                <w:szCs w:val="22"/>
              </w:rPr>
              <w:t>Storm Protection Plan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jc w:val="right"/>
              <w:rPr>
                <w:sz w:val="22"/>
                <w:szCs w:val="22"/>
              </w:rPr>
            </w:pPr>
            <w:r w:rsidRPr="00AA5770">
              <w:rPr>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0.0%</w:t>
            </w:r>
          </w:p>
        </w:tc>
      </w:tr>
      <w:tr w:rsidR="001D739B"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rPr>
                <w:color w:val="000000"/>
                <w:sz w:val="22"/>
                <w:szCs w:val="22"/>
              </w:rPr>
            </w:pPr>
            <w:r w:rsidRPr="001D739B">
              <w:rPr>
                <w:color w:val="000000"/>
                <w:sz w:val="22"/>
                <w:szCs w:val="22"/>
              </w:rPr>
              <w:t>Interim Storm Charge</w:t>
            </w:r>
            <w:r w:rsidRPr="001D739B">
              <w:rPr>
                <w:rStyle w:val="FootnoteReference"/>
                <w:color w:val="000000"/>
                <w:sz w:val="22"/>
                <w:szCs w:val="22"/>
              </w:rPr>
              <w:footnoteReference w:id="30"/>
            </w:r>
          </w:p>
        </w:tc>
        <w:tc>
          <w:tcPr>
            <w:tcW w:w="799"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481C81">
            <w:pPr>
              <w:jc w:val="right"/>
              <w:rPr>
                <w:sz w:val="22"/>
                <w:szCs w:val="22"/>
              </w:rPr>
            </w:pPr>
            <w:r>
              <w:rPr>
                <w:sz w:val="22"/>
                <w:szCs w:val="22"/>
              </w:rPr>
              <w:t>0.0</w:t>
            </w:r>
            <w:r w:rsidR="001D739B" w:rsidRPr="00AA5770">
              <w:rPr>
                <w:sz w:val="22"/>
                <w:szCs w:val="22"/>
              </w:rPr>
              <w:t>0</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13.14</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 xml:space="preserve">13.14 </w:t>
            </w:r>
          </w:p>
        </w:tc>
        <w:tc>
          <w:tcPr>
            <w:tcW w:w="743"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100.0%</w:t>
            </w:r>
          </w:p>
        </w:tc>
      </w:tr>
      <w:tr w:rsidR="001D739B"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rPr>
                <w:color w:val="000000"/>
                <w:sz w:val="22"/>
                <w:szCs w:val="22"/>
              </w:rPr>
            </w:pPr>
            <w:r w:rsidRPr="001D739B">
              <w:rPr>
                <w:color w:val="000000"/>
                <w:sz w:val="22"/>
                <w:szCs w:val="22"/>
              </w:rPr>
              <w:t>Asset Securitization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1D739B" w:rsidRPr="003C0071" w:rsidRDefault="001D739B">
            <w:pPr>
              <w:jc w:val="right"/>
              <w:rPr>
                <w:sz w:val="22"/>
                <w:szCs w:val="22"/>
                <w:u w:val="single"/>
              </w:rPr>
            </w:pPr>
            <w:r w:rsidRPr="00AA5770">
              <w:rPr>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3C0071" w:rsidRDefault="001D739B">
            <w:pPr>
              <w:autoSpaceDE w:val="0"/>
              <w:autoSpaceDN w:val="0"/>
              <w:adjustRightInd w:val="0"/>
              <w:jc w:val="right"/>
              <w:rPr>
                <w:color w:val="000000"/>
                <w:sz w:val="22"/>
                <w:szCs w:val="22"/>
                <w:u w:val="single"/>
              </w:rPr>
            </w:pPr>
            <w:r w:rsidRPr="00AA5770">
              <w:rPr>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u w:val="single"/>
              </w:rPr>
            </w:pPr>
            <w:r w:rsidRPr="00AA5770">
              <w:rPr>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0.0%</w:t>
            </w:r>
          </w:p>
        </w:tc>
      </w:tr>
      <w:tr w:rsidR="001D739B" w:rsidTr="00AA5770">
        <w:trPr>
          <w:trHeight w:val="314"/>
        </w:trPr>
        <w:tc>
          <w:tcPr>
            <w:tcW w:w="1860" w:type="pct"/>
            <w:tcBorders>
              <w:top w:val="single" w:sz="4" w:space="0" w:color="auto"/>
              <w:left w:val="single" w:sz="4" w:space="0" w:color="auto"/>
              <w:bottom w:val="single" w:sz="4" w:space="0" w:color="auto"/>
              <w:right w:val="single" w:sz="4" w:space="0" w:color="auto"/>
            </w:tcBorders>
            <w:vAlign w:val="bottom"/>
            <w:hideMark/>
          </w:tcPr>
          <w:p w:rsidR="001D739B" w:rsidRPr="001D739B" w:rsidRDefault="001D739B">
            <w:pPr>
              <w:rPr>
                <w:color w:val="000000"/>
                <w:sz w:val="22"/>
                <w:szCs w:val="22"/>
                <w:highlight w:val="yellow"/>
              </w:rPr>
            </w:pPr>
            <w:r w:rsidRPr="001D739B">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vAlign w:val="bottom"/>
            <w:hideMark/>
          </w:tcPr>
          <w:p w:rsidR="001D739B" w:rsidRPr="003C0071" w:rsidRDefault="001D739B">
            <w:pPr>
              <w:jc w:val="right"/>
              <w:rPr>
                <w:sz w:val="22"/>
                <w:szCs w:val="22"/>
                <w:u w:val="single"/>
              </w:rPr>
            </w:pPr>
            <w:r w:rsidRPr="00AA5770">
              <w:rPr>
                <w:sz w:val="22"/>
                <w:szCs w:val="22"/>
                <w:u w:val="single"/>
              </w:rPr>
              <w:t>4.25</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3C0071" w:rsidRDefault="001D739B">
            <w:pPr>
              <w:autoSpaceDE w:val="0"/>
              <w:autoSpaceDN w:val="0"/>
              <w:adjustRightInd w:val="0"/>
              <w:jc w:val="right"/>
              <w:rPr>
                <w:color w:val="000000"/>
                <w:sz w:val="22"/>
                <w:szCs w:val="22"/>
                <w:u w:val="single"/>
              </w:rPr>
            </w:pPr>
            <w:r w:rsidRPr="00AA5770">
              <w:rPr>
                <w:sz w:val="22"/>
                <w:szCs w:val="22"/>
                <w:u w:val="single"/>
              </w:rPr>
              <w:t>4.89</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u w:val="single"/>
              </w:rPr>
            </w:pPr>
            <w:r w:rsidRPr="00AA5770">
              <w:rPr>
                <w:sz w:val="22"/>
                <w:szCs w:val="22"/>
              </w:rPr>
              <w:t xml:space="preserve">0.64 </w:t>
            </w:r>
          </w:p>
        </w:tc>
        <w:tc>
          <w:tcPr>
            <w:tcW w:w="743"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15.1%</w:t>
            </w:r>
          </w:p>
        </w:tc>
      </w:tr>
      <w:tr w:rsidR="001D739B" w:rsidTr="00AA5770">
        <w:trPr>
          <w:trHeight w:val="350"/>
        </w:trPr>
        <w:tc>
          <w:tcPr>
            <w:tcW w:w="1860"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rPr>
                <w:b/>
                <w:bCs/>
                <w:color w:val="000000"/>
                <w:sz w:val="22"/>
                <w:szCs w:val="22"/>
                <w:highlight w:val="yellow"/>
              </w:rPr>
            </w:pPr>
            <w:r w:rsidRPr="001D739B">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jc w:val="right"/>
              <w:rPr>
                <w:color w:val="000000"/>
                <w:sz w:val="22"/>
                <w:szCs w:val="22"/>
                <w:u w:val="double"/>
              </w:rPr>
            </w:pPr>
            <w:r w:rsidRPr="00AA5770">
              <w:rPr>
                <w:sz w:val="22"/>
                <w:szCs w:val="22"/>
                <w:u w:val="double"/>
              </w:rPr>
              <w:t xml:space="preserve">$165.55 </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u w:val="double"/>
              </w:rPr>
            </w:pPr>
            <w:r w:rsidRPr="00AA5770">
              <w:rPr>
                <w:sz w:val="22"/>
                <w:szCs w:val="22"/>
                <w:u w:val="double"/>
              </w:rPr>
              <w:t xml:space="preserve">$190.56 </w:t>
            </w:r>
          </w:p>
        </w:tc>
        <w:tc>
          <w:tcPr>
            <w:tcW w:w="799"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u w:val="double"/>
              </w:rPr>
            </w:pPr>
            <w:r w:rsidRPr="00AA5770">
              <w:rPr>
                <w:sz w:val="22"/>
                <w:szCs w:val="22"/>
                <w:u w:val="double"/>
              </w:rPr>
              <w:t xml:space="preserve">$25.01 </w:t>
            </w:r>
          </w:p>
        </w:tc>
        <w:tc>
          <w:tcPr>
            <w:tcW w:w="743" w:type="pct"/>
            <w:tcBorders>
              <w:top w:val="single" w:sz="4" w:space="0" w:color="auto"/>
              <w:left w:val="single" w:sz="4" w:space="0" w:color="auto"/>
              <w:bottom w:val="single" w:sz="4" w:space="0" w:color="auto"/>
              <w:right w:val="single" w:sz="4" w:space="0" w:color="auto"/>
            </w:tcBorders>
            <w:vAlign w:val="bottom"/>
          </w:tcPr>
          <w:p w:rsidR="001D739B" w:rsidRPr="001D739B" w:rsidRDefault="001D739B">
            <w:pPr>
              <w:autoSpaceDE w:val="0"/>
              <w:autoSpaceDN w:val="0"/>
              <w:adjustRightInd w:val="0"/>
              <w:jc w:val="right"/>
              <w:rPr>
                <w:color w:val="000000"/>
                <w:sz w:val="22"/>
                <w:szCs w:val="22"/>
              </w:rPr>
            </w:pPr>
            <w:r w:rsidRPr="00AA5770">
              <w:rPr>
                <w:sz w:val="22"/>
                <w:szCs w:val="22"/>
              </w:rPr>
              <w:t>15.1%</w:t>
            </w:r>
          </w:p>
        </w:tc>
      </w:tr>
    </w:tbl>
    <w:p w:rsidR="00AB6FE7" w:rsidRDefault="00AB6FE7" w:rsidP="00AB6FE7">
      <w:pPr>
        <w:pStyle w:val="FootnoteText"/>
      </w:pPr>
      <w:r w:rsidRPr="003E6811">
        <w:t xml:space="preserve">Source: </w:t>
      </w:r>
      <w:r>
        <w:t>MCC</w:t>
      </w:r>
      <w:r w:rsidRPr="009C275E">
        <w:t xml:space="preserve"> Petition, Schedule E-10</w:t>
      </w:r>
      <w:r w:rsidR="00171107">
        <w:t>, and FPSC Division of Economics</w:t>
      </w:r>
      <w:r w:rsidRPr="009C275E">
        <w:t>.</w:t>
      </w:r>
    </w:p>
    <w:p w:rsidR="00537739" w:rsidRDefault="00537739" w:rsidP="00537739">
      <w:pPr>
        <w:pStyle w:val="BodyText"/>
        <w:spacing w:after="0"/>
        <w:rPr>
          <w:highlight w:val="yellow"/>
        </w:rPr>
      </w:pPr>
    </w:p>
    <w:p w:rsidR="00537739" w:rsidRDefault="00537739" w:rsidP="00537739">
      <w:pPr>
        <w:pStyle w:val="BodyText"/>
        <w:spacing w:after="0"/>
        <w:rPr>
          <w:highlight w:val="yellow"/>
        </w:rPr>
      </w:pPr>
    </w:p>
    <w:p w:rsidR="00537739" w:rsidRPr="00082F1D" w:rsidRDefault="00537739" w:rsidP="00537739">
      <w:pPr>
        <w:pStyle w:val="BodyText"/>
        <w:spacing w:after="0"/>
      </w:pPr>
      <w:r w:rsidRPr="00AF2A5B">
        <w:t xml:space="preserve">DEF’s current total residential </w:t>
      </w:r>
      <w:r w:rsidR="00D26A2C">
        <w:t>bill</w:t>
      </w:r>
      <w:r w:rsidRPr="00AF2A5B">
        <w:t xml:space="preserve"> for the first 1,000 kWh</w:t>
      </w:r>
      <w:r w:rsidR="00AF2A5B">
        <w:t xml:space="preserve"> of electricity usage in March of 202</w:t>
      </w:r>
      <w:r w:rsidR="00AF2A5B" w:rsidRPr="00BF4B44">
        <w:t>3</w:t>
      </w:r>
      <w:r w:rsidRPr="00BF4B44">
        <w:t xml:space="preserve"> is </w:t>
      </w:r>
      <w:r w:rsidR="00BF4B44" w:rsidRPr="00BF4B44">
        <w:t>$165.55</w:t>
      </w:r>
      <w:r w:rsidRPr="00BF4B44">
        <w:t>. If D</w:t>
      </w:r>
      <w:r w:rsidRPr="00AF2A5B">
        <w:t xml:space="preserve">EF’s mid-course correction proposal is approved, the current total </w:t>
      </w:r>
      <w:r w:rsidRPr="00A04730">
        <w:t xml:space="preserve">residential </w:t>
      </w:r>
      <w:r w:rsidR="0033746D">
        <w:t>bill</w:t>
      </w:r>
      <w:r w:rsidRPr="00A04730">
        <w:t xml:space="preserve"> for the first 1,000 kWh of electricity usage, beginning</w:t>
      </w:r>
      <w:r w:rsidR="00AF2A5B" w:rsidRPr="00A04730">
        <w:t xml:space="preserve"> April</w:t>
      </w:r>
      <w:r w:rsidRPr="00A04730">
        <w:t xml:space="preserve"> 202</w:t>
      </w:r>
      <w:r w:rsidR="00AF2A5B" w:rsidRPr="00A04730">
        <w:t>3</w:t>
      </w:r>
      <w:r w:rsidRPr="00A04730">
        <w:t xml:space="preserve">, will be </w:t>
      </w:r>
      <w:r w:rsidRPr="00A5708A">
        <w:t>$</w:t>
      </w:r>
      <w:r w:rsidR="00BF4B44" w:rsidRPr="00A5708A">
        <w:t>19</w:t>
      </w:r>
      <w:r w:rsidR="001D739B">
        <w:t>0</w:t>
      </w:r>
      <w:r w:rsidRPr="00A5708A">
        <w:t>.</w:t>
      </w:r>
      <w:r w:rsidR="001D739B">
        <w:t>56</w:t>
      </w:r>
      <w:r w:rsidRPr="00A5708A">
        <w:t>.</w:t>
      </w:r>
      <w:r w:rsidRPr="00A04730">
        <w:t xml:space="preserve"> </w:t>
      </w:r>
      <w:r w:rsidR="0033746D">
        <w:t xml:space="preserve">Staff notes this amount includes the proposed interim storm charge as filed in </w:t>
      </w:r>
      <w:r w:rsidR="0033746D" w:rsidRPr="004A728D">
        <w:t>Docket No. 20230020-EI</w:t>
      </w:r>
      <w:r w:rsidR="0033746D">
        <w:t xml:space="preserve">. </w:t>
      </w:r>
      <w:r w:rsidRPr="00A04730">
        <w:t>This</w:t>
      </w:r>
      <w:r w:rsidRPr="00AF2A5B">
        <w:t xml:space="preserve"> represen</w:t>
      </w:r>
      <w:r w:rsidRPr="00BF4B44">
        <w:t>ts an increase of</w:t>
      </w:r>
      <w:r w:rsidR="00D146AA">
        <w:t xml:space="preserve"> 15.1</w:t>
      </w:r>
      <w:r w:rsidRPr="00BF4B44">
        <w:t xml:space="preserve"> percent. For n</w:t>
      </w:r>
      <w:r w:rsidRPr="00AF2A5B">
        <w:t xml:space="preserve">on-residential customers, DEF reported that based on average levels of usage and specific rate schedules, bill increases for </w:t>
      </w:r>
      <w:r w:rsidRPr="008E2F9E">
        <w:t>small- and medium-size commercial customers would be</w:t>
      </w:r>
      <w:r w:rsidR="008E2F9E" w:rsidRPr="008E2F9E">
        <w:t xml:space="preserve"> </w:t>
      </w:r>
      <w:r w:rsidR="008C52E1">
        <w:t>15.0</w:t>
      </w:r>
      <w:r w:rsidR="008E2F9E" w:rsidRPr="008E2F9E">
        <w:t xml:space="preserve"> percent</w:t>
      </w:r>
      <w:r w:rsidRPr="008E2F9E">
        <w:t xml:space="preserve"> </w:t>
      </w:r>
      <w:r w:rsidR="008E2F9E" w:rsidRPr="008E2F9E">
        <w:t xml:space="preserve">and </w:t>
      </w:r>
      <w:r w:rsidR="008C52E1">
        <w:t>15.5</w:t>
      </w:r>
      <w:r w:rsidR="008E2F9E" w:rsidRPr="008E2F9E">
        <w:t xml:space="preserve"> </w:t>
      </w:r>
      <w:r w:rsidRPr="008E2F9E">
        <w:t>percent</w:t>
      </w:r>
      <w:r w:rsidR="008E2F9E" w:rsidRPr="008E2F9E">
        <w:t>, respectively</w:t>
      </w:r>
      <w:r w:rsidRPr="008E2F9E">
        <w:t>, bill increases for large-size co</w:t>
      </w:r>
      <w:r w:rsidR="008E2F9E" w:rsidRPr="008E2F9E">
        <w:t xml:space="preserve">mmercial customers would be </w:t>
      </w:r>
      <w:r w:rsidR="008C52E1">
        <w:t>16.6</w:t>
      </w:r>
      <w:r w:rsidRPr="008E2F9E">
        <w:t xml:space="preserve"> percen</w:t>
      </w:r>
      <w:r w:rsidR="00AF2A5B" w:rsidRPr="008E2F9E">
        <w:t xml:space="preserve">t, and </w:t>
      </w:r>
      <w:r w:rsidR="008C52E1">
        <w:t>17.7</w:t>
      </w:r>
      <w:r w:rsidRPr="008E2F9E">
        <w:t xml:space="preserve"> percent for industrial customers.</w:t>
      </w:r>
      <w:r w:rsidRPr="008E2F9E">
        <w:rPr>
          <w:rStyle w:val="FootnoteReference"/>
        </w:rPr>
        <w:footnoteReference w:id="31"/>
      </w:r>
      <w:r w:rsidRPr="008E2F9E">
        <w:t xml:space="preserve"> DEF’s</w:t>
      </w:r>
      <w:r w:rsidRPr="00082F1D">
        <w:t xml:space="preserve"> proposed tariff</w:t>
      </w:r>
      <w:r w:rsidR="00D83963" w:rsidRPr="00D83963">
        <w:t xml:space="preserve"> </w:t>
      </w:r>
      <w:r w:rsidR="00D83963">
        <w:t>sheet No. 6.105</w:t>
      </w:r>
      <w:r w:rsidRPr="00082F1D">
        <w:t xml:space="preserve"> is shown on Appendix A to this recommendation.</w:t>
      </w:r>
    </w:p>
    <w:p w:rsidR="000513F8" w:rsidRPr="0033746D" w:rsidRDefault="00EA1D03" w:rsidP="00537739">
      <w:pPr>
        <w:pStyle w:val="BodyText"/>
        <w:spacing w:after="0"/>
        <w:rPr>
          <w:rFonts w:ascii="Arial" w:hAnsi="Arial" w:cs="Arial"/>
          <w:b/>
          <w:i/>
        </w:rPr>
      </w:pPr>
      <w:r w:rsidRPr="0033746D">
        <w:rPr>
          <w:rFonts w:ascii="Arial" w:hAnsi="Arial" w:cs="Arial"/>
          <w:b/>
          <w:i/>
        </w:rPr>
        <w:t>Optional</w:t>
      </w:r>
      <w:r w:rsidR="000513F8" w:rsidRPr="0033746D">
        <w:rPr>
          <w:rFonts w:ascii="Arial" w:hAnsi="Arial" w:cs="Arial"/>
          <w:b/>
          <w:i/>
        </w:rPr>
        <w:t xml:space="preserve"> Recovery</w:t>
      </w:r>
    </w:p>
    <w:p w:rsidR="003A20C3" w:rsidRDefault="00095C31" w:rsidP="000C50C0">
      <w:pPr>
        <w:pStyle w:val="BodyText"/>
        <w:spacing w:after="0"/>
      </w:pPr>
      <w:r>
        <w:t>S</w:t>
      </w:r>
      <w:r w:rsidR="00EA1D03" w:rsidRPr="0033746D">
        <w:t xml:space="preserve">taff investigated the </w:t>
      </w:r>
      <w:r w:rsidR="0090384D" w:rsidRPr="0033746D">
        <w:t>e</w:t>
      </w:r>
      <w:r w:rsidR="00EA1D03" w:rsidRPr="0033746D">
        <w:t>ffect</w:t>
      </w:r>
      <w:r w:rsidR="0090384D" w:rsidRPr="0033746D">
        <w:t xml:space="preserve"> on monthly bills</w:t>
      </w:r>
      <w:r w:rsidR="00EA1D03" w:rsidRPr="0033746D">
        <w:t xml:space="preserve"> of lengthening the </w:t>
      </w:r>
      <w:r w:rsidR="000D3CE5">
        <w:t xml:space="preserve">proposed </w:t>
      </w:r>
      <w:r w:rsidR="00EA1D03" w:rsidRPr="0033746D">
        <w:t xml:space="preserve">recovery period from 12 to 21 months. </w:t>
      </w:r>
      <w:r w:rsidR="000513F8" w:rsidRPr="0033746D">
        <w:t xml:space="preserve">For recovery purposes, </w:t>
      </w:r>
      <w:r w:rsidR="00EA1D03" w:rsidRPr="0033746D">
        <w:t>the</w:t>
      </w:r>
      <w:r w:rsidR="003A2992">
        <w:t xml:space="preserve"> total</w:t>
      </w:r>
      <w:r w:rsidR="00EA1D03" w:rsidRPr="0033746D">
        <w:t xml:space="preserve"> </w:t>
      </w:r>
      <w:r w:rsidR="00271BDB" w:rsidRPr="0033746D">
        <w:t xml:space="preserve">base/unrecovered </w:t>
      </w:r>
      <w:r w:rsidR="00DE339A" w:rsidRPr="0033746D">
        <w:t xml:space="preserve">2022 </w:t>
      </w:r>
      <w:r w:rsidR="00271BDB" w:rsidRPr="0033746D">
        <w:t>fuel cost</w:t>
      </w:r>
      <w:r w:rsidR="00EA1D03" w:rsidRPr="0033746D">
        <w:t xml:space="preserve"> to collect is the same</w:t>
      </w:r>
      <w:r w:rsidR="008E2F9E">
        <w:t xml:space="preserve"> under the 21-month scenario</w:t>
      </w:r>
      <w:r w:rsidR="00232C08">
        <w:t>;</w:t>
      </w:r>
      <w:r w:rsidR="00EA1D03" w:rsidRPr="0033746D">
        <w:t xml:space="preserve"> however</w:t>
      </w:r>
      <w:r w:rsidR="00232C08">
        <w:t>,</w:t>
      </w:r>
      <w:r w:rsidR="00EA1D03" w:rsidRPr="0033746D">
        <w:t xml:space="preserve"> the impact can be </w:t>
      </w:r>
      <w:r w:rsidR="0090384D" w:rsidRPr="0033746D">
        <w:t>characterized</w:t>
      </w:r>
      <w:r w:rsidR="00EA1D03" w:rsidRPr="0033746D">
        <w:t xml:space="preserve"> as a lower monthly </w:t>
      </w:r>
      <w:r w:rsidR="0090384D" w:rsidRPr="0033746D">
        <w:t xml:space="preserve">fuel </w:t>
      </w:r>
      <w:r w:rsidR="00EA1D03" w:rsidRPr="0033746D">
        <w:t>charge for a longer period of time</w:t>
      </w:r>
      <w:r w:rsidR="000C50C0">
        <w:t>/greater number of months</w:t>
      </w:r>
      <w:r w:rsidR="00EA1D03" w:rsidRPr="0033746D">
        <w:t>.</w:t>
      </w:r>
      <w:r w:rsidR="00271BDB" w:rsidRPr="0033746D">
        <w:t xml:space="preserve"> </w:t>
      </w:r>
      <w:r w:rsidR="008E2F9E">
        <w:t>However, t</w:t>
      </w:r>
      <w:r w:rsidR="00271BDB" w:rsidRPr="0033746D">
        <w:t>his optional recovery would result in increased carrying</w:t>
      </w:r>
      <w:r w:rsidR="004C6AF0">
        <w:t xml:space="preserve"> </w:t>
      </w:r>
      <w:r w:rsidR="00271BDB" w:rsidRPr="0033746D">
        <w:t>charge</w:t>
      </w:r>
      <w:r w:rsidR="00926BFE">
        <w:t>s</w:t>
      </w:r>
      <w:r w:rsidR="00271BDB" w:rsidRPr="0033746D">
        <w:t>.</w:t>
      </w:r>
    </w:p>
    <w:p w:rsidR="000C50C0" w:rsidRDefault="000C50C0" w:rsidP="000C50C0">
      <w:pPr>
        <w:pStyle w:val="BodyText"/>
        <w:spacing w:after="0"/>
      </w:pPr>
    </w:p>
    <w:p w:rsidR="008E2F9E" w:rsidRDefault="003A20C3" w:rsidP="000C50C0">
      <w:pPr>
        <w:pStyle w:val="BodyText"/>
        <w:spacing w:after="0"/>
      </w:pPr>
      <w:r>
        <w:t xml:space="preserve">Table 1-2 below shows the bill impact to a typical residential customer using 1,000 kWh of </w:t>
      </w:r>
      <w:r w:rsidRPr="00A549C3">
        <w:t xml:space="preserve">electricity a month </w:t>
      </w:r>
      <w:r>
        <w:t>associated with the optional recovery scenario described in th</w:t>
      </w:r>
      <w:r w:rsidR="003A6E97">
        <w:t>is</w:t>
      </w:r>
      <w:r>
        <w:t xml:space="preserve"> section of the recommendation.</w:t>
      </w:r>
    </w:p>
    <w:p w:rsidR="003A20C3" w:rsidRPr="0033746D" w:rsidRDefault="003A20C3" w:rsidP="003A20C3">
      <w:pPr>
        <w:pStyle w:val="BodyText"/>
        <w:spacing w:after="0"/>
      </w:pPr>
    </w:p>
    <w:tbl>
      <w:tblPr>
        <w:tblW w:w="4887" w:type="pct"/>
        <w:tblInd w:w="108" w:type="dxa"/>
        <w:tblLook w:val="04A0" w:firstRow="1" w:lastRow="0" w:firstColumn="1" w:lastColumn="0" w:noHBand="0" w:noVBand="1"/>
      </w:tblPr>
      <w:tblGrid>
        <w:gridCol w:w="3481"/>
        <w:gridCol w:w="1496"/>
        <w:gridCol w:w="1496"/>
        <w:gridCol w:w="1496"/>
        <w:gridCol w:w="1391"/>
      </w:tblGrid>
      <w:tr w:rsidR="003A20C3" w:rsidTr="00C87618">
        <w:trPr>
          <w:cantSplit/>
          <w:trHeight w:val="310"/>
          <w:tblHeader/>
        </w:trPr>
        <w:tc>
          <w:tcPr>
            <w:tcW w:w="5000" w:type="pct"/>
            <w:gridSpan w:val="5"/>
            <w:vAlign w:val="center"/>
            <w:hideMark/>
          </w:tcPr>
          <w:p w:rsidR="003A20C3" w:rsidRPr="00AB6FE7" w:rsidRDefault="003A20C3" w:rsidP="00C87618">
            <w:pPr>
              <w:jc w:val="center"/>
              <w:rPr>
                <w:rFonts w:ascii="Arial" w:hAnsi="Arial" w:cs="Arial"/>
                <w:b/>
                <w:bCs/>
                <w:color w:val="000000"/>
              </w:rPr>
            </w:pPr>
            <w:r w:rsidRPr="00AB6FE7">
              <w:rPr>
                <w:rFonts w:ascii="Arial" w:hAnsi="Arial" w:cs="Arial"/>
                <w:b/>
                <w:bCs/>
                <w:color w:val="000000"/>
              </w:rPr>
              <w:t>T</w:t>
            </w:r>
            <w:r>
              <w:rPr>
                <w:rFonts w:ascii="Arial" w:hAnsi="Arial" w:cs="Arial"/>
                <w:b/>
                <w:bCs/>
                <w:color w:val="000000"/>
              </w:rPr>
              <w:t>able 1-2</w:t>
            </w:r>
          </w:p>
        </w:tc>
      </w:tr>
      <w:tr w:rsidR="003A20C3" w:rsidTr="00A173A5">
        <w:trPr>
          <w:cantSplit/>
          <w:trHeight w:val="320"/>
          <w:tblHeader/>
        </w:trPr>
        <w:tc>
          <w:tcPr>
            <w:tcW w:w="5000" w:type="pct"/>
            <w:gridSpan w:val="5"/>
            <w:tcBorders>
              <w:top w:val="nil"/>
              <w:left w:val="nil"/>
              <w:bottom w:val="single" w:sz="4" w:space="0" w:color="auto"/>
              <w:right w:val="nil"/>
            </w:tcBorders>
            <w:vAlign w:val="center"/>
            <w:hideMark/>
          </w:tcPr>
          <w:p w:rsidR="003A20C3" w:rsidRPr="00AB6FE7" w:rsidRDefault="001E7BCB" w:rsidP="00C87618">
            <w:pPr>
              <w:jc w:val="center"/>
              <w:rPr>
                <w:rFonts w:ascii="Arial" w:hAnsi="Arial" w:cs="Arial"/>
                <w:b/>
                <w:bCs/>
                <w:color w:val="000000"/>
              </w:rPr>
            </w:pPr>
            <w:r>
              <w:rPr>
                <w:rFonts w:ascii="Arial" w:hAnsi="Arial" w:cs="Arial"/>
                <w:b/>
                <w:bCs/>
                <w:color w:val="000000"/>
              </w:rPr>
              <w:t xml:space="preserve">Optional </w:t>
            </w:r>
            <w:r w:rsidR="003A20C3" w:rsidRPr="00AB6FE7">
              <w:rPr>
                <w:rFonts w:ascii="Arial" w:hAnsi="Arial" w:cs="Arial"/>
                <w:b/>
                <w:bCs/>
                <w:color w:val="000000"/>
              </w:rPr>
              <w:t>Monthly Residential Billing Detail for the First 1,000 kWh</w:t>
            </w:r>
          </w:p>
        </w:tc>
      </w:tr>
      <w:tr w:rsidR="003A20C3" w:rsidTr="00C87618">
        <w:trPr>
          <w:cantSplit/>
          <w:trHeight w:val="1871"/>
          <w:tblHeader/>
        </w:trPr>
        <w:tc>
          <w:tcPr>
            <w:tcW w:w="1860" w:type="pct"/>
            <w:tcBorders>
              <w:top w:val="single" w:sz="4" w:space="0" w:color="auto"/>
              <w:left w:val="single" w:sz="4" w:space="0" w:color="auto"/>
              <w:bottom w:val="single" w:sz="4" w:space="0" w:color="auto"/>
              <w:right w:val="single" w:sz="4" w:space="0" w:color="auto"/>
            </w:tcBorders>
            <w:vAlign w:val="center"/>
            <w:hideMark/>
          </w:tcPr>
          <w:p w:rsidR="003A20C3" w:rsidRPr="00AB6FE7" w:rsidRDefault="003A20C3" w:rsidP="00C87618">
            <w:pPr>
              <w:jc w:val="center"/>
              <w:rPr>
                <w:b/>
                <w:bCs/>
                <w:color w:val="000000"/>
                <w:sz w:val="22"/>
              </w:rPr>
            </w:pPr>
            <w:r w:rsidRPr="00AB6FE7">
              <w:rPr>
                <w:b/>
                <w:bCs/>
                <w:color w:val="000000"/>
                <w:sz w:val="22"/>
              </w:rPr>
              <w:t>Invoice Component</w:t>
            </w:r>
          </w:p>
        </w:tc>
        <w:tc>
          <w:tcPr>
            <w:tcW w:w="799" w:type="pct"/>
            <w:tcBorders>
              <w:top w:val="single" w:sz="4" w:space="0" w:color="auto"/>
              <w:left w:val="single" w:sz="4" w:space="0" w:color="auto"/>
              <w:bottom w:val="single" w:sz="4" w:space="0" w:color="auto"/>
              <w:right w:val="single" w:sz="4" w:space="0" w:color="auto"/>
            </w:tcBorders>
            <w:vAlign w:val="center"/>
            <w:hideMark/>
          </w:tcPr>
          <w:p w:rsidR="003A20C3" w:rsidRPr="00AB6FE7" w:rsidRDefault="003A20C3" w:rsidP="00C87618">
            <w:pPr>
              <w:jc w:val="center"/>
              <w:rPr>
                <w:b/>
                <w:bCs/>
                <w:color w:val="000000"/>
                <w:sz w:val="22"/>
              </w:rPr>
            </w:pPr>
            <w:r w:rsidRPr="00AB6FE7">
              <w:rPr>
                <w:b/>
                <w:bCs/>
                <w:color w:val="000000"/>
                <w:sz w:val="22"/>
              </w:rPr>
              <w:t>Currently-Approved Charges Beginning March 2023</w:t>
            </w:r>
          </w:p>
          <w:p w:rsidR="003A20C3" w:rsidRPr="00AB6FE7" w:rsidRDefault="003A20C3" w:rsidP="00C87618">
            <w:pPr>
              <w:jc w:val="center"/>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3A20C3" w:rsidRPr="00F20A80" w:rsidRDefault="00F20A80" w:rsidP="00C87618">
            <w:pPr>
              <w:jc w:val="center"/>
              <w:rPr>
                <w:b/>
                <w:bCs/>
                <w:color w:val="000000"/>
                <w:sz w:val="22"/>
              </w:rPr>
            </w:pPr>
            <w:r w:rsidRPr="00F20A80">
              <w:rPr>
                <w:b/>
                <w:bCs/>
                <w:color w:val="000000"/>
                <w:sz w:val="22"/>
              </w:rPr>
              <w:t>Optional</w:t>
            </w:r>
            <w:r w:rsidR="003A20C3" w:rsidRPr="00F20A80">
              <w:rPr>
                <w:b/>
                <w:bCs/>
                <w:color w:val="000000"/>
                <w:sz w:val="22"/>
              </w:rPr>
              <w:t xml:space="preserve"> Charges </w:t>
            </w:r>
          </w:p>
          <w:p w:rsidR="003A20C3" w:rsidRPr="00AB6FE7" w:rsidRDefault="003A20C3" w:rsidP="00C87618">
            <w:pPr>
              <w:jc w:val="center"/>
              <w:rPr>
                <w:b/>
                <w:bCs/>
                <w:color w:val="000000"/>
                <w:sz w:val="22"/>
              </w:rPr>
            </w:pPr>
            <w:r w:rsidRPr="00AB6FE7">
              <w:rPr>
                <w:b/>
                <w:bCs/>
                <w:color w:val="000000"/>
                <w:sz w:val="22"/>
              </w:rPr>
              <w:t>Beginning</w:t>
            </w:r>
          </w:p>
          <w:p w:rsidR="003A20C3" w:rsidRPr="00AB6FE7" w:rsidRDefault="003A20C3" w:rsidP="00C87618">
            <w:pPr>
              <w:jc w:val="center"/>
              <w:rPr>
                <w:b/>
                <w:bCs/>
                <w:color w:val="000000"/>
                <w:sz w:val="22"/>
              </w:rPr>
            </w:pPr>
            <w:r w:rsidRPr="00AB6FE7">
              <w:rPr>
                <w:b/>
                <w:bCs/>
                <w:color w:val="000000"/>
                <w:sz w:val="22"/>
              </w:rPr>
              <w:t>April</w:t>
            </w:r>
          </w:p>
          <w:p w:rsidR="003A20C3" w:rsidRPr="00AB6FE7" w:rsidRDefault="003A20C3" w:rsidP="00C87618">
            <w:pPr>
              <w:jc w:val="center"/>
              <w:rPr>
                <w:b/>
                <w:bCs/>
                <w:color w:val="000000"/>
                <w:sz w:val="22"/>
              </w:rPr>
            </w:pPr>
            <w:r w:rsidRPr="00AB6FE7">
              <w:rPr>
                <w:b/>
                <w:bCs/>
                <w:color w:val="000000"/>
                <w:sz w:val="22"/>
              </w:rPr>
              <w:t>2023</w:t>
            </w:r>
          </w:p>
          <w:p w:rsidR="003A20C3" w:rsidRPr="00AB6FE7" w:rsidRDefault="003A20C3" w:rsidP="00C87618">
            <w:pPr>
              <w:jc w:val="center"/>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3A20C3" w:rsidRPr="00AB6FE7" w:rsidRDefault="003A20C3" w:rsidP="00C87618">
            <w:pPr>
              <w:jc w:val="center"/>
              <w:rPr>
                <w:b/>
                <w:bCs/>
                <w:color w:val="000000"/>
                <w:sz w:val="22"/>
              </w:rPr>
            </w:pPr>
            <w:r w:rsidRPr="00AB6FE7">
              <w:rPr>
                <w:b/>
                <w:bCs/>
                <w:color w:val="000000"/>
                <w:sz w:val="22"/>
              </w:rPr>
              <w:t>Difference</w:t>
            </w:r>
          </w:p>
          <w:p w:rsidR="003A20C3" w:rsidRPr="00AB6FE7" w:rsidRDefault="003A20C3" w:rsidP="00C87618">
            <w:pPr>
              <w:jc w:val="center"/>
              <w:rPr>
                <w:b/>
                <w:bCs/>
                <w:color w:val="000000"/>
                <w:sz w:val="22"/>
              </w:rPr>
            </w:pPr>
            <w:r w:rsidRPr="00AB6FE7">
              <w:rPr>
                <w:b/>
                <w:bCs/>
                <w:color w:val="000000"/>
                <w:sz w:val="22"/>
              </w:rPr>
              <w:t>($)</w:t>
            </w:r>
          </w:p>
        </w:tc>
        <w:tc>
          <w:tcPr>
            <w:tcW w:w="743" w:type="pct"/>
            <w:tcBorders>
              <w:top w:val="single" w:sz="4" w:space="0" w:color="auto"/>
              <w:left w:val="single" w:sz="4" w:space="0" w:color="auto"/>
              <w:bottom w:val="single" w:sz="4" w:space="0" w:color="auto"/>
              <w:right w:val="single" w:sz="4" w:space="0" w:color="auto"/>
            </w:tcBorders>
            <w:vAlign w:val="center"/>
            <w:hideMark/>
          </w:tcPr>
          <w:p w:rsidR="003A20C3" w:rsidRPr="00AB6FE7" w:rsidRDefault="003A20C3" w:rsidP="00C87618">
            <w:pPr>
              <w:jc w:val="center"/>
              <w:rPr>
                <w:b/>
                <w:bCs/>
                <w:color w:val="000000"/>
                <w:sz w:val="22"/>
              </w:rPr>
            </w:pPr>
            <w:r w:rsidRPr="00AB6FE7">
              <w:rPr>
                <w:b/>
                <w:bCs/>
                <w:color w:val="000000"/>
                <w:sz w:val="22"/>
              </w:rPr>
              <w:t>Difference</w:t>
            </w:r>
          </w:p>
          <w:p w:rsidR="003A20C3" w:rsidRPr="00AB6FE7" w:rsidRDefault="003A20C3" w:rsidP="00C87618">
            <w:pPr>
              <w:jc w:val="center"/>
              <w:rPr>
                <w:b/>
                <w:bCs/>
                <w:color w:val="000000"/>
                <w:sz w:val="22"/>
              </w:rPr>
            </w:pPr>
            <w:r w:rsidRPr="00AB6FE7">
              <w:rPr>
                <w:b/>
                <w:bCs/>
                <w:color w:val="000000"/>
                <w:sz w:val="22"/>
              </w:rPr>
              <w:t>(%)</w:t>
            </w:r>
          </w:p>
        </w:tc>
      </w:tr>
      <w:tr w:rsidR="00C87618"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C87618" w:rsidRPr="00C87618" w:rsidRDefault="00C87618" w:rsidP="00C87618">
            <w:pPr>
              <w:spacing w:line="276" w:lineRule="auto"/>
              <w:rPr>
                <w:color w:val="000000"/>
                <w:sz w:val="22"/>
                <w:szCs w:val="22"/>
                <w:highlight w:val="yellow"/>
              </w:rPr>
            </w:pPr>
            <w:r w:rsidRPr="00C87618">
              <w:rPr>
                <w:color w:val="000000"/>
                <w:sz w:val="22"/>
                <w:szCs w:val="22"/>
              </w:rPr>
              <w:t>Base Charge</w:t>
            </w:r>
            <w:r w:rsidRPr="00C87618">
              <w:rPr>
                <w:rStyle w:val="FootnoteReference"/>
                <w:color w:val="000000"/>
                <w:sz w:val="22"/>
                <w:szCs w:val="22"/>
              </w:rPr>
              <w:footnoteReference w:id="32"/>
            </w:r>
          </w:p>
        </w:tc>
        <w:tc>
          <w:tcPr>
            <w:tcW w:w="799" w:type="pct"/>
            <w:tcBorders>
              <w:top w:val="single" w:sz="4" w:space="0" w:color="auto"/>
              <w:left w:val="single" w:sz="4" w:space="0" w:color="auto"/>
              <w:bottom w:val="single" w:sz="4" w:space="0" w:color="auto"/>
              <w:right w:val="single" w:sz="4" w:space="0" w:color="auto"/>
            </w:tcBorders>
            <w:vAlign w:val="bottom"/>
            <w:hideMark/>
          </w:tcPr>
          <w:p w:rsidR="00C87618" w:rsidRPr="0043285E" w:rsidRDefault="00C87618">
            <w:pPr>
              <w:spacing w:line="276" w:lineRule="auto"/>
              <w:jc w:val="right"/>
              <w:rPr>
                <w:sz w:val="22"/>
                <w:szCs w:val="22"/>
              </w:rPr>
            </w:pPr>
            <w:r w:rsidRPr="0043285E">
              <w:rPr>
                <w:color w:val="000000"/>
                <w:sz w:val="22"/>
                <w:szCs w:val="22"/>
              </w:rPr>
              <w:t xml:space="preserve">$78.82 </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816813" w:rsidRDefault="00C87618">
            <w:pPr>
              <w:spacing w:line="276" w:lineRule="auto"/>
              <w:jc w:val="right"/>
              <w:rPr>
                <w:color w:val="000000"/>
                <w:sz w:val="22"/>
                <w:szCs w:val="22"/>
              </w:rPr>
            </w:pPr>
            <w:r w:rsidRPr="00384078">
              <w:rPr>
                <w:color w:val="000000"/>
                <w:sz w:val="22"/>
                <w:szCs w:val="22"/>
              </w:rPr>
              <w:t xml:space="preserve">$78.82 </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B842B3" w:rsidRDefault="00C87618">
            <w:pPr>
              <w:autoSpaceDE w:val="0"/>
              <w:autoSpaceDN w:val="0"/>
              <w:spacing w:line="276" w:lineRule="auto"/>
              <w:jc w:val="right"/>
              <w:rPr>
                <w:color w:val="000000"/>
                <w:sz w:val="22"/>
                <w:szCs w:val="22"/>
              </w:rPr>
            </w:pPr>
            <w:r w:rsidRPr="008A2CDF">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C87618" w:rsidRPr="00C87618" w:rsidRDefault="00C87618">
            <w:pPr>
              <w:autoSpaceDE w:val="0"/>
              <w:autoSpaceDN w:val="0"/>
              <w:spacing w:line="276" w:lineRule="auto"/>
              <w:jc w:val="right"/>
              <w:rPr>
                <w:color w:val="000000"/>
                <w:sz w:val="22"/>
                <w:szCs w:val="22"/>
              </w:rPr>
            </w:pPr>
            <w:r w:rsidRPr="00C87618">
              <w:rPr>
                <w:color w:val="000000"/>
                <w:sz w:val="22"/>
                <w:szCs w:val="22"/>
              </w:rPr>
              <w:t>0.0%</w:t>
            </w:r>
          </w:p>
        </w:tc>
      </w:tr>
      <w:tr w:rsidR="00C87618"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C87618" w:rsidRPr="00C87618" w:rsidRDefault="00C87618" w:rsidP="00C87618">
            <w:pPr>
              <w:spacing w:line="276" w:lineRule="auto"/>
              <w:rPr>
                <w:color w:val="000000"/>
                <w:sz w:val="22"/>
                <w:szCs w:val="22"/>
              </w:rPr>
            </w:pPr>
            <w:r w:rsidRPr="00C87618">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C87618" w:rsidRPr="0043285E" w:rsidRDefault="00C87618">
            <w:pPr>
              <w:spacing w:line="276" w:lineRule="auto"/>
              <w:jc w:val="right"/>
              <w:rPr>
                <w:sz w:val="22"/>
                <w:szCs w:val="22"/>
              </w:rPr>
            </w:pPr>
            <w:r w:rsidRPr="0043285E">
              <w:rPr>
                <w:color w:val="000000"/>
                <w:sz w:val="22"/>
                <w:szCs w:val="22"/>
              </w:rPr>
              <w:t>59.61</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132F9C" w:rsidRDefault="00C87618">
            <w:pPr>
              <w:autoSpaceDE w:val="0"/>
              <w:autoSpaceDN w:val="0"/>
              <w:spacing w:line="276" w:lineRule="auto"/>
              <w:jc w:val="right"/>
              <w:rPr>
                <w:color w:val="000000"/>
                <w:sz w:val="22"/>
                <w:szCs w:val="22"/>
              </w:rPr>
            </w:pPr>
            <w:r w:rsidRPr="0043285E">
              <w:rPr>
                <w:color w:val="000000"/>
                <w:sz w:val="22"/>
                <w:szCs w:val="22"/>
              </w:rPr>
              <w:t>53.02</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0D2B24" w:rsidRDefault="00CE30B0">
            <w:pPr>
              <w:autoSpaceDE w:val="0"/>
              <w:autoSpaceDN w:val="0"/>
              <w:spacing w:line="276" w:lineRule="auto"/>
              <w:jc w:val="right"/>
              <w:rPr>
                <w:color w:val="000000" w:themeColor="text1"/>
                <w:sz w:val="22"/>
                <w:szCs w:val="22"/>
              </w:rPr>
            </w:pPr>
            <w:r w:rsidRPr="000D2B24">
              <w:rPr>
                <w:color w:val="000000" w:themeColor="text1"/>
                <w:sz w:val="22"/>
                <w:szCs w:val="22"/>
              </w:rPr>
              <w:t>(</w:t>
            </w:r>
            <w:r w:rsidR="00C87618" w:rsidRPr="000D2B24">
              <w:rPr>
                <w:color w:val="000000" w:themeColor="text1"/>
                <w:sz w:val="22"/>
                <w:szCs w:val="22"/>
              </w:rPr>
              <w:t>6.59)</w:t>
            </w:r>
          </w:p>
        </w:tc>
        <w:tc>
          <w:tcPr>
            <w:tcW w:w="743" w:type="pct"/>
            <w:tcBorders>
              <w:top w:val="single" w:sz="4" w:space="0" w:color="auto"/>
              <w:left w:val="single" w:sz="4" w:space="0" w:color="auto"/>
              <w:bottom w:val="single" w:sz="4" w:space="0" w:color="auto"/>
              <w:right w:val="single" w:sz="4" w:space="0" w:color="auto"/>
            </w:tcBorders>
            <w:vAlign w:val="bottom"/>
          </w:tcPr>
          <w:p w:rsidR="00C87618" w:rsidRPr="00C87618" w:rsidRDefault="00C87618">
            <w:pPr>
              <w:autoSpaceDE w:val="0"/>
              <w:autoSpaceDN w:val="0"/>
              <w:spacing w:line="276" w:lineRule="auto"/>
              <w:jc w:val="right"/>
              <w:rPr>
                <w:color w:val="000000"/>
                <w:sz w:val="22"/>
                <w:szCs w:val="22"/>
              </w:rPr>
            </w:pPr>
            <w:r>
              <w:rPr>
                <w:color w:val="000000"/>
                <w:sz w:val="22"/>
                <w:szCs w:val="22"/>
              </w:rPr>
              <w:t>(</w:t>
            </w:r>
            <w:r w:rsidRPr="00C87618">
              <w:rPr>
                <w:color w:val="000000"/>
                <w:sz w:val="22"/>
                <w:szCs w:val="22"/>
              </w:rPr>
              <w:t>11.1%</w:t>
            </w:r>
            <w:r>
              <w:rPr>
                <w:color w:val="000000"/>
                <w:sz w:val="22"/>
                <w:szCs w:val="22"/>
              </w:rPr>
              <w:t>)</w:t>
            </w:r>
          </w:p>
        </w:tc>
      </w:tr>
      <w:tr w:rsidR="00C87618"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C87618" w:rsidRPr="00C87618" w:rsidRDefault="00C87618" w:rsidP="00C87618">
            <w:pPr>
              <w:spacing w:line="276" w:lineRule="auto"/>
              <w:rPr>
                <w:color w:val="000000"/>
                <w:sz w:val="22"/>
                <w:szCs w:val="22"/>
              </w:rPr>
            </w:pPr>
            <w:r w:rsidRPr="00C87618">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C87618" w:rsidRPr="0043285E" w:rsidRDefault="00C87618">
            <w:pPr>
              <w:spacing w:line="276" w:lineRule="auto"/>
              <w:jc w:val="right"/>
              <w:rPr>
                <w:sz w:val="22"/>
                <w:szCs w:val="22"/>
              </w:rPr>
            </w:pPr>
            <w:r w:rsidRPr="0043285E">
              <w:rPr>
                <w:color w:val="000000"/>
                <w:sz w:val="22"/>
                <w:szCs w:val="22"/>
              </w:rPr>
              <w:t>13.28</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132F9C" w:rsidRDefault="00C87618">
            <w:pPr>
              <w:autoSpaceDE w:val="0"/>
              <w:autoSpaceDN w:val="0"/>
              <w:spacing w:line="276" w:lineRule="auto"/>
              <w:jc w:val="right"/>
              <w:rPr>
                <w:color w:val="000000"/>
                <w:sz w:val="22"/>
                <w:szCs w:val="22"/>
              </w:rPr>
            </w:pPr>
            <w:r w:rsidRPr="0043285E">
              <w:rPr>
                <w:color w:val="000000"/>
                <w:sz w:val="22"/>
                <w:szCs w:val="22"/>
              </w:rPr>
              <w:t>12.85</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0D2B24" w:rsidRDefault="00CE30B0">
            <w:pPr>
              <w:autoSpaceDE w:val="0"/>
              <w:autoSpaceDN w:val="0"/>
              <w:spacing w:line="276" w:lineRule="auto"/>
              <w:jc w:val="right"/>
              <w:rPr>
                <w:color w:val="000000" w:themeColor="text1"/>
                <w:sz w:val="22"/>
                <w:szCs w:val="22"/>
              </w:rPr>
            </w:pPr>
            <w:r w:rsidRPr="000D2B24">
              <w:rPr>
                <w:color w:val="000000" w:themeColor="text1"/>
                <w:sz w:val="22"/>
                <w:szCs w:val="22"/>
              </w:rPr>
              <w:t>(</w:t>
            </w:r>
            <w:r w:rsidR="00C87618" w:rsidRPr="000D2B24">
              <w:rPr>
                <w:color w:val="000000" w:themeColor="text1"/>
                <w:sz w:val="22"/>
                <w:szCs w:val="22"/>
              </w:rPr>
              <w:t>0.43)</w:t>
            </w:r>
          </w:p>
        </w:tc>
        <w:tc>
          <w:tcPr>
            <w:tcW w:w="743" w:type="pct"/>
            <w:tcBorders>
              <w:top w:val="single" w:sz="4" w:space="0" w:color="auto"/>
              <w:left w:val="single" w:sz="4" w:space="0" w:color="auto"/>
              <w:bottom w:val="single" w:sz="4" w:space="0" w:color="auto"/>
              <w:right w:val="single" w:sz="4" w:space="0" w:color="auto"/>
            </w:tcBorders>
            <w:vAlign w:val="bottom"/>
          </w:tcPr>
          <w:p w:rsidR="00C87618" w:rsidRPr="00C87618" w:rsidRDefault="00C87618">
            <w:pPr>
              <w:autoSpaceDE w:val="0"/>
              <w:autoSpaceDN w:val="0"/>
              <w:spacing w:line="276" w:lineRule="auto"/>
              <w:jc w:val="right"/>
              <w:rPr>
                <w:color w:val="000000"/>
                <w:sz w:val="22"/>
                <w:szCs w:val="22"/>
              </w:rPr>
            </w:pPr>
            <w:r>
              <w:rPr>
                <w:color w:val="000000"/>
                <w:sz w:val="22"/>
                <w:szCs w:val="22"/>
              </w:rPr>
              <w:t>(</w:t>
            </w:r>
            <w:r w:rsidRPr="00C87618">
              <w:rPr>
                <w:color w:val="000000"/>
                <w:sz w:val="22"/>
                <w:szCs w:val="22"/>
              </w:rPr>
              <w:t>3.2%</w:t>
            </w:r>
            <w:r>
              <w:rPr>
                <w:color w:val="000000"/>
                <w:sz w:val="22"/>
                <w:szCs w:val="22"/>
              </w:rPr>
              <w:t>)</w:t>
            </w:r>
          </w:p>
        </w:tc>
      </w:tr>
      <w:tr w:rsidR="00C87618"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C87618" w:rsidRPr="00C87618" w:rsidRDefault="00C87618" w:rsidP="00C87618">
            <w:pPr>
              <w:spacing w:line="276" w:lineRule="auto"/>
              <w:rPr>
                <w:color w:val="000000"/>
                <w:sz w:val="22"/>
                <w:szCs w:val="22"/>
              </w:rPr>
            </w:pPr>
            <w:r w:rsidRPr="00C87618">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C87618" w:rsidRPr="0043285E" w:rsidRDefault="00C87618">
            <w:pPr>
              <w:spacing w:line="276" w:lineRule="auto"/>
              <w:jc w:val="right"/>
              <w:rPr>
                <w:sz w:val="22"/>
                <w:szCs w:val="22"/>
              </w:rPr>
            </w:pPr>
            <w:r w:rsidRPr="0043285E">
              <w:rPr>
                <w:color w:val="000000"/>
                <w:sz w:val="22"/>
                <w:szCs w:val="22"/>
              </w:rPr>
              <w:t>3.2</w:t>
            </w:r>
            <w:r w:rsidR="000D2B24">
              <w:rPr>
                <w:color w:val="000000"/>
                <w:sz w:val="22"/>
                <w:szCs w:val="22"/>
              </w:rPr>
              <w:t>0</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132F9C" w:rsidRDefault="00C87618">
            <w:pPr>
              <w:autoSpaceDE w:val="0"/>
              <w:autoSpaceDN w:val="0"/>
              <w:spacing w:line="276" w:lineRule="auto"/>
              <w:jc w:val="right"/>
              <w:rPr>
                <w:color w:val="000000"/>
                <w:sz w:val="22"/>
                <w:szCs w:val="22"/>
              </w:rPr>
            </w:pPr>
            <w:r w:rsidRPr="0043285E">
              <w:rPr>
                <w:color w:val="000000"/>
                <w:sz w:val="22"/>
                <w:szCs w:val="22"/>
              </w:rPr>
              <w:t>3.2</w:t>
            </w:r>
            <w:r w:rsidR="000D2B24">
              <w:rPr>
                <w:color w:val="000000"/>
                <w:sz w:val="22"/>
                <w:szCs w:val="22"/>
              </w:rPr>
              <w:t>0</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DC7A7E" w:rsidRDefault="00C87618">
            <w:pPr>
              <w:autoSpaceDE w:val="0"/>
              <w:autoSpaceDN w:val="0"/>
              <w:spacing w:line="276" w:lineRule="auto"/>
              <w:jc w:val="right"/>
              <w:rPr>
                <w:color w:val="000000"/>
                <w:sz w:val="22"/>
                <w:szCs w:val="22"/>
              </w:rPr>
            </w:pPr>
            <w:r w:rsidRPr="00384078">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C87618" w:rsidRPr="00816813" w:rsidRDefault="00C87618">
            <w:pPr>
              <w:autoSpaceDE w:val="0"/>
              <w:autoSpaceDN w:val="0"/>
              <w:spacing w:line="276" w:lineRule="auto"/>
              <w:jc w:val="right"/>
              <w:rPr>
                <w:color w:val="000000"/>
                <w:sz w:val="22"/>
                <w:szCs w:val="22"/>
              </w:rPr>
            </w:pPr>
            <w:r w:rsidRPr="00DC7A7E">
              <w:rPr>
                <w:color w:val="000000"/>
                <w:sz w:val="22"/>
                <w:szCs w:val="22"/>
              </w:rPr>
              <w:t>0.0%</w:t>
            </w:r>
          </w:p>
        </w:tc>
      </w:tr>
      <w:tr w:rsidR="00C87618"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C87618" w:rsidRPr="00C87618" w:rsidRDefault="00C87618" w:rsidP="00C87618">
            <w:pPr>
              <w:spacing w:line="276" w:lineRule="auto"/>
              <w:rPr>
                <w:color w:val="000000"/>
                <w:sz w:val="22"/>
                <w:szCs w:val="22"/>
              </w:rPr>
            </w:pPr>
            <w:r w:rsidRPr="00C87618">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C87618" w:rsidRPr="0043285E" w:rsidRDefault="00C87618">
            <w:pPr>
              <w:spacing w:line="276" w:lineRule="auto"/>
              <w:jc w:val="right"/>
              <w:rPr>
                <w:sz w:val="22"/>
                <w:szCs w:val="22"/>
              </w:rPr>
            </w:pPr>
            <w:r w:rsidRPr="0043285E">
              <w:rPr>
                <w:color w:val="000000"/>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132F9C" w:rsidRDefault="00C87618">
            <w:pPr>
              <w:autoSpaceDE w:val="0"/>
              <w:autoSpaceDN w:val="0"/>
              <w:spacing w:line="276" w:lineRule="auto"/>
              <w:jc w:val="right"/>
              <w:rPr>
                <w:color w:val="000000"/>
                <w:sz w:val="22"/>
                <w:szCs w:val="22"/>
              </w:rPr>
            </w:pPr>
            <w:r w:rsidRPr="0043285E">
              <w:rPr>
                <w:color w:val="000000"/>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DC7A7E" w:rsidRDefault="00C87618">
            <w:pPr>
              <w:autoSpaceDE w:val="0"/>
              <w:autoSpaceDN w:val="0"/>
              <w:spacing w:line="276" w:lineRule="auto"/>
              <w:jc w:val="right"/>
              <w:rPr>
                <w:color w:val="000000"/>
                <w:sz w:val="22"/>
                <w:szCs w:val="22"/>
              </w:rPr>
            </w:pPr>
            <w:r w:rsidRPr="00384078">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C87618" w:rsidRPr="00816813" w:rsidRDefault="00C87618">
            <w:pPr>
              <w:autoSpaceDE w:val="0"/>
              <w:autoSpaceDN w:val="0"/>
              <w:spacing w:line="276" w:lineRule="auto"/>
              <w:jc w:val="right"/>
              <w:rPr>
                <w:color w:val="000000"/>
                <w:sz w:val="22"/>
                <w:szCs w:val="22"/>
              </w:rPr>
            </w:pPr>
            <w:r w:rsidRPr="00DC7A7E">
              <w:rPr>
                <w:color w:val="000000"/>
                <w:sz w:val="22"/>
                <w:szCs w:val="22"/>
              </w:rPr>
              <w:t>0.0%</w:t>
            </w:r>
          </w:p>
        </w:tc>
      </w:tr>
      <w:tr w:rsidR="00C87618"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C87618" w:rsidRPr="00C87618" w:rsidRDefault="00C87618" w:rsidP="00C87618">
            <w:pPr>
              <w:spacing w:line="276" w:lineRule="auto"/>
              <w:rPr>
                <w:color w:val="000000"/>
                <w:sz w:val="22"/>
                <w:szCs w:val="22"/>
              </w:rPr>
            </w:pPr>
            <w:r w:rsidRPr="00C87618">
              <w:rPr>
                <w:color w:val="000000"/>
                <w:sz w:val="22"/>
                <w:szCs w:val="22"/>
              </w:rPr>
              <w:t>Storm Protection Plan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C87618" w:rsidRPr="0043285E" w:rsidRDefault="00C87618">
            <w:pPr>
              <w:spacing w:line="276" w:lineRule="auto"/>
              <w:jc w:val="right"/>
              <w:rPr>
                <w:sz w:val="22"/>
                <w:szCs w:val="22"/>
              </w:rPr>
            </w:pPr>
            <w:r w:rsidRPr="0043285E">
              <w:rPr>
                <w:color w:val="000000"/>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132F9C" w:rsidRDefault="00C87618">
            <w:pPr>
              <w:autoSpaceDE w:val="0"/>
              <w:autoSpaceDN w:val="0"/>
              <w:spacing w:line="276" w:lineRule="auto"/>
              <w:jc w:val="right"/>
              <w:rPr>
                <w:color w:val="000000"/>
                <w:sz w:val="22"/>
                <w:szCs w:val="22"/>
              </w:rPr>
            </w:pPr>
            <w:r w:rsidRPr="0043285E">
              <w:rPr>
                <w:color w:val="000000"/>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DC7A7E" w:rsidRDefault="00C87618">
            <w:pPr>
              <w:autoSpaceDE w:val="0"/>
              <w:autoSpaceDN w:val="0"/>
              <w:spacing w:line="276" w:lineRule="auto"/>
              <w:jc w:val="right"/>
              <w:rPr>
                <w:color w:val="000000"/>
                <w:sz w:val="22"/>
                <w:szCs w:val="22"/>
              </w:rPr>
            </w:pPr>
            <w:r w:rsidRPr="00384078">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C87618" w:rsidRPr="00816813" w:rsidRDefault="00C87618">
            <w:pPr>
              <w:autoSpaceDE w:val="0"/>
              <w:autoSpaceDN w:val="0"/>
              <w:spacing w:line="276" w:lineRule="auto"/>
              <w:jc w:val="right"/>
              <w:rPr>
                <w:color w:val="000000"/>
                <w:sz w:val="22"/>
                <w:szCs w:val="22"/>
              </w:rPr>
            </w:pPr>
            <w:r w:rsidRPr="00DC7A7E">
              <w:rPr>
                <w:color w:val="000000"/>
                <w:sz w:val="22"/>
                <w:szCs w:val="22"/>
              </w:rPr>
              <w:t>0.0%</w:t>
            </w:r>
          </w:p>
        </w:tc>
      </w:tr>
      <w:tr w:rsidR="00C87618"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C87618" w:rsidRPr="00C87618" w:rsidRDefault="00C87618" w:rsidP="00C87618">
            <w:pPr>
              <w:spacing w:line="276" w:lineRule="auto"/>
              <w:rPr>
                <w:color w:val="000000"/>
                <w:sz w:val="22"/>
                <w:szCs w:val="22"/>
              </w:rPr>
            </w:pPr>
            <w:r w:rsidRPr="00C87618">
              <w:rPr>
                <w:color w:val="000000"/>
                <w:sz w:val="22"/>
                <w:szCs w:val="22"/>
              </w:rPr>
              <w:t>Interim Storm Charge</w:t>
            </w:r>
            <w:r w:rsidRPr="00C87618">
              <w:rPr>
                <w:rStyle w:val="FootnoteReference"/>
                <w:color w:val="000000"/>
                <w:sz w:val="22"/>
                <w:szCs w:val="22"/>
              </w:rPr>
              <w:footnoteReference w:id="33"/>
            </w:r>
          </w:p>
        </w:tc>
        <w:tc>
          <w:tcPr>
            <w:tcW w:w="799" w:type="pct"/>
            <w:tcBorders>
              <w:top w:val="single" w:sz="4" w:space="0" w:color="auto"/>
              <w:left w:val="single" w:sz="4" w:space="0" w:color="auto"/>
              <w:bottom w:val="single" w:sz="4" w:space="0" w:color="auto"/>
              <w:right w:val="single" w:sz="4" w:space="0" w:color="auto"/>
            </w:tcBorders>
            <w:vAlign w:val="bottom"/>
            <w:hideMark/>
          </w:tcPr>
          <w:p w:rsidR="00C87618" w:rsidRPr="0043285E" w:rsidRDefault="00C87618">
            <w:pPr>
              <w:spacing w:line="276" w:lineRule="auto"/>
              <w:jc w:val="right"/>
              <w:rPr>
                <w:sz w:val="22"/>
                <w:szCs w:val="22"/>
              </w:rPr>
            </w:pPr>
            <w:r w:rsidRPr="0043285E">
              <w:rPr>
                <w:color w:val="000000"/>
                <w:sz w:val="22"/>
                <w:szCs w:val="22"/>
              </w:rPr>
              <w:t>0</w:t>
            </w:r>
            <w:r w:rsidR="007570F5">
              <w:rPr>
                <w:color w:val="000000"/>
                <w:sz w:val="22"/>
                <w:szCs w:val="22"/>
              </w:rPr>
              <w:t>.00</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132F9C" w:rsidRDefault="00C87618">
            <w:pPr>
              <w:autoSpaceDE w:val="0"/>
              <w:autoSpaceDN w:val="0"/>
              <w:spacing w:line="276" w:lineRule="auto"/>
              <w:jc w:val="right"/>
              <w:rPr>
                <w:color w:val="000000"/>
                <w:sz w:val="22"/>
                <w:szCs w:val="22"/>
              </w:rPr>
            </w:pPr>
            <w:r w:rsidRPr="0043285E">
              <w:rPr>
                <w:color w:val="000000"/>
                <w:sz w:val="22"/>
                <w:szCs w:val="22"/>
              </w:rPr>
              <w:t>13.14</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DC7A7E" w:rsidRDefault="00C87618">
            <w:pPr>
              <w:autoSpaceDE w:val="0"/>
              <w:autoSpaceDN w:val="0"/>
              <w:spacing w:line="276" w:lineRule="auto"/>
              <w:jc w:val="right"/>
              <w:rPr>
                <w:color w:val="000000"/>
                <w:sz w:val="22"/>
                <w:szCs w:val="22"/>
              </w:rPr>
            </w:pPr>
            <w:r w:rsidRPr="00384078">
              <w:rPr>
                <w:color w:val="000000"/>
                <w:sz w:val="22"/>
                <w:szCs w:val="22"/>
              </w:rPr>
              <w:t xml:space="preserve">13.14 </w:t>
            </w:r>
          </w:p>
        </w:tc>
        <w:tc>
          <w:tcPr>
            <w:tcW w:w="743" w:type="pct"/>
            <w:tcBorders>
              <w:top w:val="single" w:sz="4" w:space="0" w:color="auto"/>
              <w:left w:val="single" w:sz="4" w:space="0" w:color="auto"/>
              <w:bottom w:val="single" w:sz="4" w:space="0" w:color="auto"/>
              <w:right w:val="single" w:sz="4" w:space="0" w:color="auto"/>
            </w:tcBorders>
            <w:vAlign w:val="bottom"/>
          </w:tcPr>
          <w:p w:rsidR="00C87618" w:rsidRPr="00816813" w:rsidRDefault="00C87618">
            <w:pPr>
              <w:autoSpaceDE w:val="0"/>
              <w:autoSpaceDN w:val="0"/>
              <w:spacing w:line="276" w:lineRule="auto"/>
              <w:jc w:val="right"/>
              <w:rPr>
                <w:color w:val="000000"/>
                <w:sz w:val="22"/>
                <w:szCs w:val="22"/>
              </w:rPr>
            </w:pPr>
            <w:r w:rsidRPr="00DC7A7E">
              <w:rPr>
                <w:color w:val="000000"/>
                <w:sz w:val="22"/>
                <w:szCs w:val="22"/>
              </w:rPr>
              <w:t>100.0%</w:t>
            </w:r>
          </w:p>
        </w:tc>
      </w:tr>
      <w:tr w:rsidR="00C87618" w:rsidTr="00AA5770">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C87618" w:rsidRPr="00C87618" w:rsidRDefault="00C87618" w:rsidP="00C87618">
            <w:pPr>
              <w:spacing w:line="276" w:lineRule="auto"/>
              <w:rPr>
                <w:color w:val="000000"/>
                <w:sz w:val="22"/>
                <w:szCs w:val="22"/>
              </w:rPr>
            </w:pPr>
            <w:r w:rsidRPr="00C87618">
              <w:rPr>
                <w:color w:val="000000"/>
                <w:sz w:val="22"/>
                <w:szCs w:val="22"/>
              </w:rPr>
              <w:t>Asset Securitization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C87618" w:rsidRPr="0043285E" w:rsidRDefault="00C87618">
            <w:pPr>
              <w:spacing w:line="276" w:lineRule="auto"/>
              <w:jc w:val="right"/>
              <w:rPr>
                <w:sz w:val="22"/>
                <w:szCs w:val="22"/>
                <w:u w:val="single"/>
              </w:rPr>
            </w:pPr>
            <w:r w:rsidRPr="0043285E">
              <w:rPr>
                <w:color w:val="000000"/>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132F9C" w:rsidRDefault="00C87618">
            <w:pPr>
              <w:autoSpaceDE w:val="0"/>
              <w:autoSpaceDN w:val="0"/>
              <w:spacing w:line="276" w:lineRule="auto"/>
              <w:jc w:val="right"/>
              <w:rPr>
                <w:color w:val="000000"/>
                <w:sz w:val="22"/>
                <w:szCs w:val="22"/>
                <w:u w:val="single"/>
              </w:rPr>
            </w:pPr>
            <w:r w:rsidRPr="0043285E">
              <w:rPr>
                <w:color w:val="000000"/>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DC7A7E" w:rsidRDefault="00C87618">
            <w:pPr>
              <w:autoSpaceDE w:val="0"/>
              <w:autoSpaceDN w:val="0"/>
              <w:spacing w:line="276" w:lineRule="auto"/>
              <w:jc w:val="right"/>
              <w:rPr>
                <w:color w:val="000000"/>
                <w:sz w:val="22"/>
                <w:szCs w:val="22"/>
                <w:u w:val="single"/>
              </w:rPr>
            </w:pPr>
            <w:r w:rsidRPr="00384078">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C87618" w:rsidRPr="00816813" w:rsidRDefault="00C87618">
            <w:pPr>
              <w:autoSpaceDE w:val="0"/>
              <w:autoSpaceDN w:val="0"/>
              <w:spacing w:line="276" w:lineRule="auto"/>
              <w:jc w:val="right"/>
              <w:rPr>
                <w:color w:val="000000"/>
                <w:sz w:val="22"/>
                <w:szCs w:val="22"/>
              </w:rPr>
            </w:pPr>
            <w:r w:rsidRPr="00DC7A7E">
              <w:rPr>
                <w:color w:val="000000"/>
                <w:sz w:val="22"/>
                <w:szCs w:val="22"/>
              </w:rPr>
              <w:t>0.0%</w:t>
            </w:r>
          </w:p>
        </w:tc>
      </w:tr>
      <w:tr w:rsidR="00C87618" w:rsidTr="00AA5770">
        <w:trPr>
          <w:trHeight w:val="269"/>
        </w:trPr>
        <w:tc>
          <w:tcPr>
            <w:tcW w:w="1860" w:type="pct"/>
            <w:tcBorders>
              <w:top w:val="single" w:sz="4" w:space="0" w:color="auto"/>
              <w:left w:val="single" w:sz="4" w:space="0" w:color="auto"/>
              <w:bottom w:val="single" w:sz="4" w:space="0" w:color="auto"/>
              <w:right w:val="single" w:sz="4" w:space="0" w:color="auto"/>
            </w:tcBorders>
            <w:vAlign w:val="bottom"/>
            <w:hideMark/>
          </w:tcPr>
          <w:p w:rsidR="00C87618" w:rsidRPr="00C87618" w:rsidRDefault="00C87618" w:rsidP="00C87618">
            <w:pPr>
              <w:spacing w:line="276" w:lineRule="auto"/>
              <w:rPr>
                <w:color w:val="000000"/>
                <w:sz w:val="22"/>
                <w:szCs w:val="22"/>
                <w:highlight w:val="yellow"/>
              </w:rPr>
            </w:pPr>
            <w:r w:rsidRPr="00C87618">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vAlign w:val="bottom"/>
            <w:hideMark/>
          </w:tcPr>
          <w:p w:rsidR="00C87618" w:rsidRPr="0043285E" w:rsidRDefault="00C87618">
            <w:pPr>
              <w:spacing w:line="276" w:lineRule="auto"/>
              <w:jc w:val="right"/>
              <w:rPr>
                <w:sz w:val="22"/>
                <w:szCs w:val="22"/>
                <w:u w:val="single"/>
              </w:rPr>
            </w:pPr>
            <w:r w:rsidRPr="0043285E">
              <w:rPr>
                <w:color w:val="000000"/>
                <w:sz w:val="22"/>
                <w:szCs w:val="22"/>
                <w:u w:val="single"/>
              </w:rPr>
              <w:t>4.25</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132F9C" w:rsidRDefault="00C87618">
            <w:pPr>
              <w:autoSpaceDE w:val="0"/>
              <w:autoSpaceDN w:val="0"/>
              <w:spacing w:line="276" w:lineRule="auto"/>
              <w:jc w:val="right"/>
              <w:rPr>
                <w:color w:val="000000"/>
                <w:sz w:val="22"/>
                <w:szCs w:val="22"/>
                <w:u w:val="single"/>
              </w:rPr>
            </w:pPr>
            <w:r w:rsidRPr="0043285E">
              <w:rPr>
                <w:color w:val="000000"/>
                <w:sz w:val="22"/>
                <w:szCs w:val="22"/>
                <w:u w:val="single"/>
              </w:rPr>
              <w:t>4.41</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DC7A7E" w:rsidRDefault="00C87618">
            <w:pPr>
              <w:autoSpaceDE w:val="0"/>
              <w:autoSpaceDN w:val="0"/>
              <w:spacing w:line="276" w:lineRule="auto"/>
              <w:jc w:val="right"/>
              <w:rPr>
                <w:color w:val="000000"/>
                <w:sz w:val="22"/>
                <w:szCs w:val="22"/>
                <w:u w:val="single"/>
              </w:rPr>
            </w:pPr>
            <w:r w:rsidRPr="00384078">
              <w:rPr>
                <w:color w:val="000000"/>
                <w:sz w:val="22"/>
                <w:szCs w:val="22"/>
              </w:rPr>
              <w:t xml:space="preserve">0.16 </w:t>
            </w:r>
          </w:p>
        </w:tc>
        <w:tc>
          <w:tcPr>
            <w:tcW w:w="743" w:type="pct"/>
            <w:tcBorders>
              <w:top w:val="single" w:sz="4" w:space="0" w:color="auto"/>
              <w:left w:val="single" w:sz="4" w:space="0" w:color="auto"/>
              <w:bottom w:val="single" w:sz="4" w:space="0" w:color="auto"/>
              <w:right w:val="single" w:sz="4" w:space="0" w:color="auto"/>
            </w:tcBorders>
            <w:vAlign w:val="bottom"/>
          </w:tcPr>
          <w:p w:rsidR="00C87618" w:rsidRPr="00816813" w:rsidRDefault="00C87618">
            <w:pPr>
              <w:autoSpaceDE w:val="0"/>
              <w:autoSpaceDN w:val="0"/>
              <w:spacing w:line="276" w:lineRule="auto"/>
              <w:jc w:val="right"/>
              <w:rPr>
                <w:color w:val="000000"/>
                <w:sz w:val="22"/>
                <w:szCs w:val="22"/>
              </w:rPr>
            </w:pPr>
            <w:r w:rsidRPr="00DC7A7E">
              <w:rPr>
                <w:color w:val="000000"/>
                <w:sz w:val="22"/>
                <w:szCs w:val="22"/>
              </w:rPr>
              <w:t>3.8%</w:t>
            </w:r>
          </w:p>
        </w:tc>
      </w:tr>
      <w:tr w:rsidR="00C87618" w:rsidTr="00AA5770">
        <w:trPr>
          <w:trHeight w:val="322"/>
        </w:trPr>
        <w:tc>
          <w:tcPr>
            <w:tcW w:w="1860" w:type="pct"/>
            <w:tcBorders>
              <w:top w:val="single" w:sz="4" w:space="0" w:color="auto"/>
              <w:left w:val="single" w:sz="4" w:space="0" w:color="auto"/>
              <w:bottom w:val="single" w:sz="4" w:space="0" w:color="auto"/>
              <w:right w:val="single" w:sz="4" w:space="0" w:color="auto"/>
            </w:tcBorders>
            <w:vAlign w:val="bottom"/>
          </w:tcPr>
          <w:p w:rsidR="00C87618" w:rsidRPr="00C87618" w:rsidRDefault="00C87618" w:rsidP="00C87618">
            <w:pPr>
              <w:spacing w:line="276" w:lineRule="auto"/>
              <w:rPr>
                <w:b/>
                <w:bCs/>
                <w:color w:val="000000"/>
                <w:sz w:val="22"/>
                <w:szCs w:val="22"/>
                <w:highlight w:val="yellow"/>
              </w:rPr>
            </w:pPr>
            <w:r w:rsidRPr="00C87618">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43285E" w:rsidRDefault="00C87618">
            <w:pPr>
              <w:spacing w:line="276" w:lineRule="auto"/>
              <w:jc w:val="right"/>
              <w:rPr>
                <w:color w:val="000000"/>
                <w:sz w:val="22"/>
                <w:szCs w:val="22"/>
                <w:u w:val="double"/>
              </w:rPr>
            </w:pPr>
            <w:r w:rsidRPr="0043285E">
              <w:rPr>
                <w:color w:val="000000"/>
                <w:sz w:val="22"/>
                <w:szCs w:val="22"/>
                <w:u w:val="double"/>
              </w:rPr>
              <w:t xml:space="preserve">$165.55 </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816813" w:rsidRDefault="00C87618">
            <w:pPr>
              <w:autoSpaceDE w:val="0"/>
              <w:autoSpaceDN w:val="0"/>
              <w:spacing w:line="276" w:lineRule="auto"/>
              <w:jc w:val="right"/>
              <w:rPr>
                <w:color w:val="000000"/>
                <w:sz w:val="22"/>
                <w:szCs w:val="22"/>
                <w:u w:val="double"/>
              </w:rPr>
            </w:pPr>
            <w:r w:rsidRPr="00384078">
              <w:rPr>
                <w:color w:val="000000"/>
                <w:sz w:val="22"/>
                <w:szCs w:val="22"/>
                <w:u w:val="double"/>
              </w:rPr>
              <w:t xml:space="preserve">$171.83 </w:t>
            </w:r>
          </w:p>
        </w:tc>
        <w:tc>
          <w:tcPr>
            <w:tcW w:w="799" w:type="pct"/>
            <w:tcBorders>
              <w:top w:val="single" w:sz="4" w:space="0" w:color="auto"/>
              <w:left w:val="single" w:sz="4" w:space="0" w:color="auto"/>
              <w:bottom w:val="single" w:sz="4" w:space="0" w:color="auto"/>
              <w:right w:val="single" w:sz="4" w:space="0" w:color="auto"/>
            </w:tcBorders>
            <w:vAlign w:val="bottom"/>
          </w:tcPr>
          <w:p w:rsidR="00C87618" w:rsidRPr="003C0071" w:rsidRDefault="00C87618">
            <w:pPr>
              <w:autoSpaceDE w:val="0"/>
              <w:autoSpaceDN w:val="0"/>
              <w:spacing w:line="276" w:lineRule="auto"/>
              <w:jc w:val="right"/>
              <w:rPr>
                <w:color w:val="000000"/>
                <w:sz w:val="22"/>
                <w:szCs w:val="22"/>
                <w:u w:val="double"/>
              </w:rPr>
            </w:pPr>
            <w:r w:rsidRPr="00AA5770">
              <w:rPr>
                <w:color w:val="000000"/>
                <w:sz w:val="22"/>
                <w:szCs w:val="22"/>
                <w:u w:val="double"/>
              </w:rPr>
              <w:t xml:space="preserve">$6.28 </w:t>
            </w:r>
          </w:p>
        </w:tc>
        <w:tc>
          <w:tcPr>
            <w:tcW w:w="743" w:type="pct"/>
            <w:tcBorders>
              <w:top w:val="single" w:sz="4" w:space="0" w:color="auto"/>
              <w:left w:val="single" w:sz="4" w:space="0" w:color="auto"/>
              <w:bottom w:val="single" w:sz="4" w:space="0" w:color="auto"/>
              <w:right w:val="single" w:sz="4" w:space="0" w:color="auto"/>
            </w:tcBorders>
            <w:vAlign w:val="bottom"/>
          </w:tcPr>
          <w:p w:rsidR="00C87618" w:rsidRPr="00C87618" w:rsidRDefault="00C87618">
            <w:pPr>
              <w:autoSpaceDE w:val="0"/>
              <w:autoSpaceDN w:val="0"/>
              <w:spacing w:line="276" w:lineRule="auto"/>
              <w:jc w:val="right"/>
              <w:rPr>
                <w:color w:val="000000"/>
                <w:sz w:val="22"/>
                <w:szCs w:val="22"/>
              </w:rPr>
            </w:pPr>
            <w:r w:rsidRPr="00C87618">
              <w:rPr>
                <w:color w:val="000000"/>
                <w:sz w:val="22"/>
                <w:szCs w:val="22"/>
              </w:rPr>
              <w:t>3.8%</w:t>
            </w:r>
          </w:p>
        </w:tc>
      </w:tr>
    </w:tbl>
    <w:p w:rsidR="003A20C3" w:rsidRDefault="003A20C3" w:rsidP="00EA1641">
      <w:pPr>
        <w:pStyle w:val="FootnoteText"/>
      </w:pPr>
      <w:r>
        <w:t>Source: Document No. 0</w:t>
      </w:r>
      <w:r w:rsidR="00C87618">
        <w:t>1387</w:t>
      </w:r>
      <w:r>
        <w:t>-2023, Schedule E-10</w:t>
      </w:r>
      <w:r w:rsidRPr="009C275E">
        <w:t>.</w:t>
      </w:r>
    </w:p>
    <w:p w:rsidR="000513F8" w:rsidRDefault="000513F8" w:rsidP="00EA1641">
      <w:pPr>
        <w:pStyle w:val="BodyText"/>
        <w:spacing w:after="0"/>
      </w:pPr>
    </w:p>
    <w:p w:rsidR="00EA1641" w:rsidRPr="0033746D" w:rsidRDefault="00EA1641" w:rsidP="00EA1641">
      <w:pPr>
        <w:pStyle w:val="BodyText"/>
        <w:spacing w:after="0"/>
      </w:pPr>
    </w:p>
    <w:p w:rsidR="001E7BCB" w:rsidRDefault="000513F8" w:rsidP="00EA1641">
      <w:pPr>
        <w:pStyle w:val="BodyText"/>
        <w:spacing w:after="0"/>
      </w:pPr>
      <w:r w:rsidRPr="0033746D">
        <w:t>DEF</w:t>
      </w:r>
      <w:r w:rsidR="00271BDB" w:rsidRPr="0033746D">
        <w:t>’s proposed fuel charge</w:t>
      </w:r>
      <w:r w:rsidRPr="0033746D">
        <w:t xml:space="preserve"> increase results in </w:t>
      </w:r>
      <w:r w:rsidR="00EA1D03" w:rsidRPr="0033746D">
        <w:t>a “first-tier residential”</w:t>
      </w:r>
      <w:r w:rsidR="00271BDB" w:rsidRPr="0033746D">
        <w:t xml:space="preserve"> fuel charge,</w:t>
      </w:r>
      <w:r w:rsidRPr="0033746D">
        <w:t xml:space="preserve"> (i.e., residential charge for the first 1,000 kWh of energy sales) </w:t>
      </w:r>
      <w:r w:rsidR="00EA1D03" w:rsidRPr="0033746D">
        <w:t>of 7.</w:t>
      </w:r>
      <w:r w:rsidR="00C87618">
        <w:t>127</w:t>
      </w:r>
      <w:r w:rsidRPr="0033746D">
        <w:t xml:space="preserve"> cents per kWh. This factor produces a</w:t>
      </w:r>
      <w:r w:rsidR="00232C08">
        <w:t xml:space="preserve"> corresponding monthly fuel charge</w:t>
      </w:r>
      <w:r w:rsidRPr="0033746D">
        <w:t xml:space="preserve"> of $</w:t>
      </w:r>
      <w:r w:rsidR="00EA1D03" w:rsidRPr="0033746D">
        <w:t>7</w:t>
      </w:r>
      <w:r w:rsidR="00C87618">
        <w:t>1</w:t>
      </w:r>
      <w:r w:rsidRPr="0033746D">
        <w:t>.</w:t>
      </w:r>
      <w:r w:rsidR="00C87618">
        <w:t>27</w:t>
      </w:r>
      <w:r w:rsidR="00EA1D03" w:rsidRPr="0033746D">
        <w:t xml:space="preserve">. With </w:t>
      </w:r>
      <w:r w:rsidR="0090384D" w:rsidRPr="0033746D">
        <w:t>respect</w:t>
      </w:r>
      <w:r w:rsidR="00EA1D03" w:rsidRPr="0033746D">
        <w:t xml:space="preserve"> to the </w:t>
      </w:r>
      <w:r w:rsidR="0090384D" w:rsidRPr="0033746D">
        <w:t>optional recovery scenario,</w:t>
      </w:r>
      <w:r w:rsidR="00EA1D03" w:rsidRPr="0033746D">
        <w:t xml:space="preserve"> </w:t>
      </w:r>
      <w:r w:rsidR="0090384D" w:rsidRPr="0033746D">
        <w:t>t</w:t>
      </w:r>
      <w:r w:rsidR="00EA1D03" w:rsidRPr="0033746D">
        <w:t>he</w:t>
      </w:r>
      <w:r w:rsidRPr="0033746D">
        <w:t xml:space="preserve"> </w:t>
      </w:r>
      <w:r w:rsidR="0090384D" w:rsidRPr="0033746D">
        <w:t>first-tier residential factor would be</w:t>
      </w:r>
      <w:r w:rsidRPr="0033746D">
        <w:t xml:space="preserve"> </w:t>
      </w:r>
      <w:r w:rsidR="00C87618">
        <w:t>5.302</w:t>
      </w:r>
      <w:r w:rsidRPr="0033746D">
        <w:t xml:space="preserve"> cents per kWh.</w:t>
      </w:r>
      <w:r w:rsidR="0090384D" w:rsidRPr="0033746D">
        <w:rPr>
          <w:rStyle w:val="FootnoteReference"/>
        </w:rPr>
        <w:footnoteReference w:id="34"/>
      </w:r>
      <w:r w:rsidR="005662FA">
        <w:t xml:space="preserve"> This would result in a </w:t>
      </w:r>
      <w:r w:rsidR="0090384D" w:rsidRPr="0033746D">
        <w:t>fuel charge of $</w:t>
      </w:r>
      <w:r w:rsidR="00C87618">
        <w:t>53.02</w:t>
      </w:r>
      <w:r w:rsidRPr="0033746D">
        <w:t xml:space="preserve"> for the first 1,000 kWh of energy usage. The </w:t>
      </w:r>
      <w:r w:rsidR="0090384D" w:rsidRPr="0033746D">
        <w:t xml:space="preserve">estimated </w:t>
      </w:r>
      <w:r w:rsidR="00C87618">
        <w:t>decrease</w:t>
      </w:r>
      <w:r w:rsidR="0090384D" w:rsidRPr="0033746D">
        <w:t xml:space="preserve"> in the</w:t>
      </w:r>
      <w:r w:rsidR="0033746D" w:rsidRPr="0033746D">
        <w:t xml:space="preserve"> monthly</w:t>
      </w:r>
      <w:r w:rsidR="00962838" w:rsidRPr="0033746D">
        <w:t xml:space="preserve"> </w:t>
      </w:r>
      <w:r w:rsidR="0090384D" w:rsidRPr="0033746D">
        <w:t>first-tier residential fuel charge</w:t>
      </w:r>
      <w:r w:rsidR="0033746D" w:rsidRPr="0033746D">
        <w:t xml:space="preserve"> (1,000 kWh)</w:t>
      </w:r>
      <w:r w:rsidR="00962838" w:rsidRPr="0033746D">
        <w:t xml:space="preserve"> </w:t>
      </w:r>
      <w:r w:rsidRPr="0033746D">
        <w:t>under this</w:t>
      </w:r>
      <w:r w:rsidR="0090384D" w:rsidRPr="0033746D">
        <w:t xml:space="preserve"> scenario is approximately </w:t>
      </w:r>
      <w:r w:rsidR="00C87618">
        <w:t>($6.59)</w:t>
      </w:r>
      <w:r w:rsidR="003C0071">
        <w:t>,</w:t>
      </w:r>
      <w:r w:rsidR="00295509" w:rsidRPr="0033746D">
        <w:t xml:space="preserve"> </w:t>
      </w:r>
      <w:r w:rsidRPr="0033746D">
        <w:t xml:space="preserve">or a </w:t>
      </w:r>
      <w:r w:rsidR="00C87618">
        <w:t>(11.1</w:t>
      </w:r>
      <w:r w:rsidR="0043285E">
        <w:t>)</w:t>
      </w:r>
      <w:r w:rsidR="0090384D" w:rsidRPr="0033746D">
        <w:t xml:space="preserve"> percent </w:t>
      </w:r>
      <w:r w:rsidR="0043285E">
        <w:t>de</w:t>
      </w:r>
      <w:r w:rsidR="0090384D" w:rsidRPr="0033746D">
        <w:t>crease</w:t>
      </w:r>
      <w:r w:rsidR="0033746D" w:rsidRPr="0033746D">
        <w:t xml:space="preserve"> from </w:t>
      </w:r>
      <w:r w:rsidR="00D969DC">
        <w:t xml:space="preserve">the </w:t>
      </w:r>
      <w:r w:rsidR="0033746D" w:rsidRPr="0033746D">
        <w:t>current</w:t>
      </w:r>
      <w:r w:rsidR="00D969DC">
        <w:t>ly-approved</w:t>
      </w:r>
      <w:r w:rsidR="0033746D" w:rsidRPr="0033746D">
        <w:t xml:space="preserve"> level</w:t>
      </w:r>
      <w:r w:rsidR="0090384D" w:rsidRPr="0033746D">
        <w:t xml:space="preserve">, </w:t>
      </w:r>
      <w:r w:rsidR="00295509" w:rsidRPr="0033746D">
        <w:t>going from $</w:t>
      </w:r>
      <w:r w:rsidR="0090384D" w:rsidRPr="0033746D">
        <w:t>59</w:t>
      </w:r>
      <w:r w:rsidRPr="0033746D">
        <w:t>.</w:t>
      </w:r>
      <w:r w:rsidR="0090384D" w:rsidRPr="0033746D">
        <w:t>61 to $</w:t>
      </w:r>
      <w:r w:rsidR="00384078">
        <w:t>53.02</w:t>
      </w:r>
      <w:r w:rsidRPr="0033746D">
        <w:t>.</w:t>
      </w:r>
      <w:r w:rsidR="0033746D">
        <w:t xml:space="preserve"> The </w:t>
      </w:r>
      <w:r w:rsidR="004A7440">
        <w:t xml:space="preserve">difference in </w:t>
      </w:r>
      <w:r w:rsidR="0033746D">
        <w:t>total</w:t>
      </w:r>
      <w:r w:rsidR="003A2992">
        <w:t xml:space="preserve"> bill amount</w:t>
      </w:r>
      <w:r w:rsidR="004A7440">
        <w:t xml:space="preserve"> (first-tier residential - 1,000 kWh), which encompass</w:t>
      </w:r>
      <w:r w:rsidR="00D26A2C">
        <w:t>es</w:t>
      </w:r>
      <w:r w:rsidR="004A7440">
        <w:t xml:space="preserve"> all proposed changes beginning in April 2023, is from $19</w:t>
      </w:r>
      <w:r w:rsidR="00384078">
        <w:t>0</w:t>
      </w:r>
      <w:r w:rsidR="004A7440">
        <w:t>.</w:t>
      </w:r>
      <w:r w:rsidR="00384078">
        <w:t>56</w:t>
      </w:r>
      <w:r w:rsidR="004A7440">
        <w:t xml:space="preserve"> to $1</w:t>
      </w:r>
      <w:r w:rsidR="00384078">
        <w:t>71.83</w:t>
      </w:r>
      <w:r w:rsidR="00D26A2C">
        <w:t xml:space="preserve">, or a reduction of </w:t>
      </w:r>
      <w:r w:rsidR="00DC7A7E">
        <w:t>(9.8)</w:t>
      </w:r>
      <w:r w:rsidR="00D26A2C">
        <w:t xml:space="preserve"> percent if the fuel cost under-recovery is spread over 21 months, rather than the proposed 12 months</w:t>
      </w:r>
      <w:r w:rsidR="004A7440">
        <w:t>.</w:t>
      </w:r>
      <w:r w:rsidR="008160EB">
        <w:t xml:space="preserve"> T</w:t>
      </w:r>
      <w:r w:rsidR="002C45FE">
        <w:t>he propos</w:t>
      </w:r>
      <w:r w:rsidR="00A12E7F">
        <w:t>ed capacity cost recovery reduction</w:t>
      </w:r>
      <w:r w:rsidR="002C45FE">
        <w:t xml:space="preserve"> would be unaffected by the optional recovery</w:t>
      </w:r>
      <w:r w:rsidR="00D50573">
        <w:t xml:space="preserve"> </w:t>
      </w:r>
      <w:r w:rsidR="00D969DC">
        <w:t>scenario</w:t>
      </w:r>
      <w:r w:rsidR="002C45FE">
        <w:t>.</w:t>
      </w:r>
    </w:p>
    <w:p w:rsidR="001E7BCB" w:rsidRDefault="001E7BCB" w:rsidP="000513F8">
      <w:pPr>
        <w:pStyle w:val="BodyText"/>
        <w:spacing w:after="0"/>
      </w:pPr>
    </w:p>
    <w:p w:rsidR="000513F8" w:rsidRPr="000513F8" w:rsidRDefault="001E7BCB" w:rsidP="000513F8">
      <w:pPr>
        <w:pStyle w:val="BodyText"/>
        <w:spacing w:after="0"/>
      </w:pPr>
      <w:r w:rsidRPr="00BF4B44">
        <w:t>For n</w:t>
      </w:r>
      <w:r w:rsidRPr="00AF2A5B">
        <w:t>on-residenti</w:t>
      </w:r>
      <w:r>
        <w:t xml:space="preserve">al customers, </w:t>
      </w:r>
      <w:r w:rsidRPr="00AF2A5B">
        <w:t xml:space="preserve">based on average levels of usage and specific rate schedules, bill increases for </w:t>
      </w:r>
      <w:r w:rsidRPr="008E2F9E">
        <w:t>small- and medium-size commercial customers would be</w:t>
      </w:r>
      <w:r>
        <w:t xml:space="preserve"> </w:t>
      </w:r>
      <w:r w:rsidR="00DC7A7E">
        <w:t>3.9</w:t>
      </w:r>
      <w:r w:rsidRPr="008E2F9E">
        <w:t xml:space="preserve"> percent and </w:t>
      </w:r>
      <w:r w:rsidR="00DC7A7E">
        <w:t>2.0</w:t>
      </w:r>
      <w:r w:rsidRPr="008E2F9E">
        <w:t xml:space="preserve"> percent, respectively, bill increases for large-size commercial customers wou</w:t>
      </w:r>
      <w:r w:rsidRPr="00303BF1">
        <w:t xml:space="preserve">ld be </w:t>
      </w:r>
      <w:r w:rsidR="00DC7A7E">
        <w:t>2.3</w:t>
      </w:r>
      <w:r w:rsidRPr="00303BF1">
        <w:t xml:space="preserve"> percent, and </w:t>
      </w:r>
      <w:r w:rsidR="00DC7A7E">
        <w:t>(2.5)</w:t>
      </w:r>
      <w:r w:rsidRPr="00303BF1">
        <w:t xml:space="preserve"> percent for industrial customers.</w:t>
      </w:r>
      <w:r w:rsidRPr="00303BF1">
        <w:rPr>
          <w:rStyle w:val="FootnoteReference"/>
        </w:rPr>
        <w:footnoteReference w:id="35"/>
      </w:r>
      <w:r w:rsidRPr="00303BF1">
        <w:t xml:space="preserve"> </w:t>
      </w:r>
      <w:r w:rsidR="00303BF1" w:rsidRPr="00303BF1">
        <w:t>T</w:t>
      </w:r>
      <w:r w:rsidR="00F5241B" w:rsidRPr="00303BF1">
        <w:t>he hypothetical tariff associated with the optional recovery scenario</w:t>
      </w:r>
      <w:r w:rsidR="00303BF1" w:rsidRPr="00303BF1">
        <w:t xml:space="preserve"> was provided in</w:t>
      </w:r>
      <w:r w:rsidR="003472E9">
        <w:t xml:space="preserve"> the </w:t>
      </w:r>
      <w:r w:rsidR="009B5CFB">
        <w:t xml:space="preserve">amended </w:t>
      </w:r>
      <w:r w:rsidR="00303BF1" w:rsidRPr="00303BF1">
        <w:t>response to Staff’s Third Data Request</w:t>
      </w:r>
      <w:r w:rsidR="00D75844">
        <w:t xml:space="preserve"> (Response No. 3)</w:t>
      </w:r>
      <w:r w:rsidR="00303BF1" w:rsidRPr="00303BF1">
        <w:t>.</w:t>
      </w:r>
      <w:r w:rsidR="00303BF1" w:rsidRPr="00303BF1">
        <w:rPr>
          <w:rStyle w:val="FootnoteReference"/>
        </w:rPr>
        <w:footnoteReference w:id="36"/>
      </w:r>
      <w:r w:rsidR="00303BF1" w:rsidRPr="00303BF1">
        <w:t xml:space="preserve"> However,</w:t>
      </w:r>
      <w:r w:rsidR="00303BF1">
        <w:t xml:space="preserve"> the tariff</w:t>
      </w:r>
      <w:r w:rsidR="00303BF1" w:rsidRPr="00303BF1">
        <w:t xml:space="preserve"> </w:t>
      </w:r>
      <w:r w:rsidR="00303BF1">
        <w:t xml:space="preserve">was </w:t>
      </w:r>
      <w:r w:rsidR="00303BF1" w:rsidRPr="00303BF1">
        <w:t>not include</w:t>
      </w:r>
      <w:r w:rsidR="00303BF1">
        <w:t>d</w:t>
      </w:r>
      <w:r w:rsidR="00F5241B" w:rsidRPr="00303BF1">
        <w:t xml:space="preserve"> as an attachment to this recommendation</w:t>
      </w:r>
      <w:r w:rsidR="003A7BA0" w:rsidRPr="00303BF1">
        <w:t>.</w:t>
      </w:r>
    </w:p>
    <w:p w:rsidR="000513F8" w:rsidRPr="00082F1D" w:rsidRDefault="000513F8" w:rsidP="00537739">
      <w:pPr>
        <w:pStyle w:val="BodyText"/>
        <w:spacing w:after="0"/>
        <w:rPr>
          <w:bCs/>
          <w:iCs/>
        </w:rPr>
      </w:pPr>
    </w:p>
    <w:p w:rsidR="00537739" w:rsidRDefault="00537739" w:rsidP="00537739">
      <w:pPr>
        <w:pStyle w:val="BodyText"/>
        <w:spacing w:after="0"/>
        <w:rPr>
          <w:rFonts w:ascii="Arial" w:hAnsi="Arial" w:cs="Arial"/>
          <w:b/>
          <w:i/>
        </w:rPr>
      </w:pPr>
      <w:r>
        <w:rPr>
          <w:rFonts w:ascii="Arial" w:hAnsi="Arial" w:cs="Arial"/>
          <w:b/>
          <w:i/>
        </w:rPr>
        <w:t>Summary</w:t>
      </w:r>
    </w:p>
    <w:p w:rsidR="00537739" w:rsidRDefault="00537739" w:rsidP="00537739">
      <w:pPr>
        <w:pStyle w:val="BodyText"/>
        <w:spacing w:after="0"/>
        <w:rPr>
          <w:highlight w:val="yellow"/>
        </w:rPr>
      </w:pPr>
      <w:r>
        <w:t xml:space="preserve">DEF’s </w:t>
      </w:r>
      <w:r w:rsidR="002F3F07">
        <w:t xml:space="preserve">MCC Petition indicates a need for its fuel cost recovery factors to be revised. Thus, DEF’s </w:t>
      </w:r>
      <w:r w:rsidR="003B7D36">
        <w:t xml:space="preserve">current </w:t>
      </w:r>
      <w:r>
        <w:t xml:space="preserve">fuel cost recovery factors </w:t>
      </w:r>
      <w:r w:rsidR="002F3F07">
        <w:t>should be adjusted by</w:t>
      </w:r>
      <w:r>
        <w:t xml:space="preserve"> </w:t>
      </w:r>
      <w:r w:rsidR="006112B6">
        <w:t>$</w:t>
      </w:r>
      <w:r w:rsidR="00DC7A7E">
        <w:t>468,961,606</w:t>
      </w:r>
      <w:r w:rsidR="005662FA">
        <w:t xml:space="preserve"> </w:t>
      </w:r>
      <w:r w:rsidR="002F3F07">
        <w:t>to incorporate</w:t>
      </w:r>
      <w:r>
        <w:t xml:space="preserve"> its</w:t>
      </w:r>
      <w:r w:rsidR="003A6E97">
        <w:t xml:space="preserve"> currently-</w:t>
      </w:r>
      <w:r w:rsidR="002F3F07">
        <w:t>projected</w:t>
      </w:r>
      <w:r>
        <w:t xml:space="preserve"> 202</w:t>
      </w:r>
      <w:r w:rsidR="002F3F07">
        <w:t>3</w:t>
      </w:r>
      <w:r>
        <w:t xml:space="preserve"> end-of-year fuel cost under-recovery. </w:t>
      </w:r>
      <w:r w:rsidR="002F3F07">
        <w:t xml:space="preserve">Additionally, DEF’s currently-approved capacity cost recovery factors should be amended to incorporate a refund of </w:t>
      </w:r>
      <w:r w:rsidR="00AE388A">
        <w:t>(</w:t>
      </w:r>
      <w:r w:rsidR="002F3F07">
        <w:t>$11,668,131</w:t>
      </w:r>
      <w:r w:rsidR="00AE388A">
        <w:t>)</w:t>
      </w:r>
      <w:r w:rsidR="002F3F07">
        <w:t xml:space="preserve">. </w:t>
      </w:r>
      <w:r>
        <w:t>The revised fuel</w:t>
      </w:r>
      <w:r w:rsidR="002F3F07">
        <w:t xml:space="preserve"> and capacity cost recovery</w:t>
      </w:r>
      <w:r>
        <w:t xml:space="preserve"> factors associated with staff’s recommendation</w:t>
      </w:r>
      <w:r w:rsidR="00EE1869">
        <w:t>s</w:t>
      </w:r>
      <w:r>
        <w:t xml:space="preserve"> are shown on Appendix A.</w:t>
      </w:r>
    </w:p>
    <w:p w:rsidR="00537739" w:rsidRDefault="00537739" w:rsidP="00537739">
      <w:pPr>
        <w:pStyle w:val="BodyText"/>
        <w:spacing w:after="0"/>
      </w:pPr>
    </w:p>
    <w:p w:rsidR="00537739" w:rsidRPr="00162855" w:rsidRDefault="00537739" w:rsidP="00537739">
      <w:pPr>
        <w:pStyle w:val="BodyText"/>
        <w:spacing w:after="0"/>
        <w:rPr>
          <w:rFonts w:ascii="Arial" w:hAnsi="Arial" w:cs="Arial"/>
          <w:b/>
        </w:rPr>
      </w:pPr>
      <w:r w:rsidRPr="00162855">
        <w:rPr>
          <w:rFonts w:ascii="Arial" w:hAnsi="Arial" w:cs="Arial"/>
          <w:b/>
        </w:rPr>
        <w:t>Conclusion</w:t>
      </w:r>
    </w:p>
    <w:p w:rsidR="00A442CF" w:rsidRDefault="00537739" w:rsidP="00537739">
      <w:pPr>
        <w:pStyle w:val="BodyText"/>
      </w:pPr>
      <w:r w:rsidRPr="00162855">
        <w:t xml:space="preserve">Staff recommends </w:t>
      </w:r>
      <w:r w:rsidR="008160EB">
        <w:t xml:space="preserve">that </w:t>
      </w:r>
      <w:r w:rsidRPr="00162855">
        <w:t>the</w:t>
      </w:r>
      <w:r>
        <w:t xml:space="preserve"> </w:t>
      </w:r>
      <w:r w:rsidR="0031296E">
        <w:t>Commission approve DEF’s proposed adjustments to its currently-approved fuel cost recovery factors to incorporate the currently-projected</w:t>
      </w:r>
      <w:r w:rsidR="0094133D">
        <w:t xml:space="preserve"> 2023 end-of-year fuel cost under-recovery</w:t>
      </w:r>
      <w:r>
        <w:t xml:space="preserve"> </w:t>
      </w:r>
      <w:r w:rsidR="00CD5719">
        <w:t xml:space="preserve">in </w:t>
      </w:r>
      <w:r>
        <w:t>the amount of</w:t>
      </w:r>
      <w:r w:rsidRPr="00AC534B">
        <w:t xml:space="preserve"> $</w:t>
      </w:r>
      <w:r w:rsidR="00DC7A7E">
        <w:t>468,961,606</w:t>
      </w:r>
      <w:r>
        <w:t xml:space="preserve">. Further, staff recommends </w:t>
      </w:r>
      <w:r w:rsidR="008160EB">
        <w:t xml:space="preserve">that </w:t>
      </w:r>
      <w:r>
        <w:t xml:space="preserve">the Commission approve adjustments to DEF’s currently-approved capacity cost recovery factors to incorporate a refund of </w:t>
      </w:r>
      <w:r w:rsidR="00AE388A">
        <w:t>(</w:t>
      </w:r>
      <w:r>
        <w:t>$11,668,131</w:t>
      </w:r>
      <w:r w:rsidR="00AE388A">
        <w:t>)</w:t>
      </w:r>
      <w:r>
        <w:t xml:space="preserve"> related to the t</w:t>
      </w:r>
      <w:r w:rsidR="00162855">
        <w:t>ax savings associated with the IRA</w:t>
      </w:r>
      <w:r>
        <w:t xml:space="preserve"> of 2022.</w:t>
      </w:r>
    </w:p>
    <w:p w:rsidR="00537739" w:rsidRDefault="00537739">
      <w:pPr>
        <w:pStyle w:val="IssueHeading"/>
        <w:rPr>
          <w:vanish/>
          <w:specVanish/>
        </w:rPr>
      </w:pPr>
      <w:r w:rsidRPr="004C3641">
        <w:rPr>
          <w:b w:val="0"/>
          <w:i w:val="0"/>
        </w:rPr>
        <w:br w:type="page"/>
      </w:r>
      <w:r w:rsidRPr="004C3641">
        <w:t xml:space="preserve">Issue </w:t>
      </w:r>
      <w:r w:rsidR="00C62459">
        <w:fldChar w:fldCharType="begin"/>
      </w:r>
      <w:r w:rsidR="00C62459">
        <w:instrText xml:space="preserve"> SEQ Issue \* MERGEFORMAT </w:instrText>
      </w:r>
      <w:r w:rsidR="00C62459">
        <w:fldChar w:fldCharType="separate"/>
      </w:r>
      <w:r w:rsidR="00F977DF">
        <w:rPr>
          <w:noProof/>
        </w:rPr>
        <w:t>2</w:t>
      </w:r>
      <w:r w:rsidR="00C6245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977DF">
        <w:rPr>
          <w:noProof/>
        </w:rPr>
        <w:instrText>2</w:instrText>
      </w:r>
      <w:r>
        <w:fldChar w:fldCharType="end"/>
      </w:r>
      <w:r>
        <w:tab/>
        <w:instrText xml:space="preserve">(Hampson)" \l 1 </w:instrText>
      </w:r>
      <w:r>
        <w:fldChar w:fldCharType="end"/>
      </w:r>
      <w:r>
        <w:t> </w:t>
      </w:r>
    </w:p>
    <w:p w:rsidR="00537739" w:rsidRDefault="00537739">
      <w:pPr>
        <w:pStyle w:val="BodyText"/>
      </w:pPr>
      <w:r>
        <w:t>  If approved by the Commission, what is the appropriate effective date for DEF’s revised fuel</w:t>
      </w:r>
      <w:r w:rsidR="00C44CE6">
        <w:t xml:space="preserve"> and capacity</w:t>
      </w:r>
      <w:r>
        <w:t xml:space="preserve"> cost recovery factors?</w:t>
      </w:r>
    </w:p>
    <w:p w:rsidR="00537739" w:rsidRPr="004C3641" w:rsidRDefault="00537739">
      <w:pPr>
        <w:pStyle w:val="IssueSubsectionHeading"/>
        <w:rPr>
          <w:vanish/>
          <w:specVanish/>
        </w:rPr>
      </w:pPr>
      <w:r w:rsidRPr="004C3641">
        <w:t>Recommendation: </w:t>
      </w:r>
    </w:p>
    <w:p w:rsidR="00537739" w:rsidRDefault="00537739">
      <w:pPr>
        <w:pStyle w:val="BodyText"/>
      </w:pPr>
      <w:r>
        <w:t> The fu</w:t>
      </w:r>
      <w:r w:rsidRPr="00162855">
        <w:t xml:space="preserve">el </w:t>
      </w:r>
      <w:r w:rsidR="00162855">
        <w:t xml:space="preserve">and capacity </w:t>
      </w:r>
      <w:r w:rsidRPr="00162855">
        <w:t>cost recovery</w:t>
      </w:r>
      <w:r>
        <w:t xml:space="preserve"> factors, as shown on</w:t>
      </w:r>
      <w:r w:rsidR="00D83963" w:rsidRPr="00D83963">
        <w:t xml:space="preserve"> </w:t>
      </w:r>
      <w:r w:rsidR="00D83963">
        <w:t xml:space="preserve">sheet No. 6.105 in </w:t>
      </w:r>
      <w:r>
        <w:t xml:space="preserve">Appendix A, should become effective with the first billing cycle </w:t>
      </w:r>
      <w:r w:rsidRPr="00162855">
        <w:t>of April</w:t>
      </w:r>
      <w:r>
        <w:t xml:space="preserve"> 2023. (Hampson</w:t>
      </w:r>
      <w:r w:rsidR="0090384D">
        <w:t>, Brownless</w:t>
      </w:r>
      <w:r w:rsidR="0034286D">
        <w:t>, Sandy</w:t>
      </w:r>
      <w:r>
        <w:t>)</w:t>
      </w:r>
    </w:p>
    <w:p w:rsidR="00537739" w:rsidRPr="004C3641" w:rsidRDefault="00537739">
      <w:pPr>
        <w:pStyle w:val="IssueSubsectionHeading"/>
        <w:rPr>
          <w:vanish/>
          <w:specVanish/>
        </w:rPr>
      </w:pPr>
      <w:r w:rsidRPr="004C3641">
        <w:t>Staff Analysis: </w:t>
      </w:r>
    </w:p>
    <w:p w:rsidR="000012DF" w:rsidRDefault="00537739" w:rsidP="000012DF">
      <w:pPr>
        <w:pStyle w:val="BodyText"/>
        <w:spacing w:after="0"/>
      </w:pPr>
      <w:r>
        <w:t> Over the last 20 years in the Fuel Clause docket, the Commission has considered the effective date of rates and charges of revised fuel cost recovery factors on a case-by-case basis. The Commission has approved fuel cost recovery factor rate decreases effective sooner than the next full billing cycle after the date of the Commission’s vote with the range between the vote and the effective date being from 25 to 2 days. The rationale for that action being that it was in the customers’ best interests to implement the lower rate as soon as possible.</w:t>
      </w:r>
      <w:r>
        <w:rPr>
          <w:vertAlign w:val="superscript"/>
        </w:rPr>
        <w:footnoteReference w:id="37"/>
      </w:r>
    </w:p>
    <w:p w:rsidR="00685C17" w:rsidRDefault="00537739" w:rsidP="000012DF">
      <w:pPr>
        <w:pStyle w:val="BodyText"/>
        <w:spacing w:after="0"/>
      </w:pPr>
      <w:r>
        <w:t xml:space="preserve"> </w:t>
      </w:r>
    </w:p>
    <w:p w:rsidR="00BF4B44" w:rsidRDefault="00537739" w:rsidP="000012DF">
      <w:pPr>
        <w:pStyle w:val="BodyText"/>
        <w:spacing w:after="0"/>
      </w:pPr>
      <w:r>
        <w:t>With regard to fuel cost recovery factor rate increases, the Commission has approved an effective date of the revised factors ranging from 14 to 29 days after the vote.</w:t>
      </w:r>
      <w:r>
        <w:rPr>
          <w:vertAlign w:val="superscript"/>
        </w:rPr>
        <w:footnoteReference w:id="38"/>
      </w:r>
      <w:r>
        <w:t xml:space="preserve"> </w:t>
      </w:r>
      <w:r w:rsidR="006047FC">
        <w:t>T</w:t>
      </w:r>
      <w:r>
        <w:t>he Commission noted that</w:t>
      </w:r>
      <w:r w:rsidR="006047FC">
        <w:t xml:space="preserve"> typically</w:t>
      </w:r>
      <w:r>
        <w:t xml:space="preserve"> the utility had given its customers 30 days</w:t>
      </w:r>
      <w:r w:rsidR="00F26AAD">
        <w:t>’</w:t>
      </w:r>
      <w:r>
        <w:t xml:space="preserve"> written notice before the date of the vote that a fuel cost recovery factor increase had been requested and provided the proposed effective date of the higher fuel factors.</w:t>
      </w:r>
    </w:p>
    <w:p w:rsidR="000012DF" w:rsidRDefault="000012DF" w:rsidP="000012DF">
      <w:pPr>
        <w:pStyle w:val="BodyText"/>
        <w:spacing w:after="0"/>
      </w:pPr>
    </w:p>
    <w:p w:rsidR="00537739" w:rsidRDefault="00537739" w:rsidP="000012DF">
      <w:pPr>
        <w:pStyle w:val="BodyText"/>
        <w:spacing w:after="0"/>
      </w:pPr>
      <w:r>
        <w:t xml:space="preserve">In its MCC Petition, DEF proposes to collect the actual 2022 under-recovery of fuel costs over </w:t>
      </w:r>
      <w:r w:rsidR="00162855" w:rsidRPr="00162855">
        <w:t>12</w:t>
      </w:r>
      <w:r>
        <w:t xml:space="preserve"> </w:t>
      </w:r>
      <w:r w:rsidRPr="00BF4B44">
        <w:t>months, beginning with the first billing cycle of April 2023.</w:t>
      </w:r>
      <w:r w:rsidR="00772E35">
        <w:t xml:space="preserve"> The </w:t>
      </w:r>
      <w:r w:rsidR="00E3452B">
        <w:t xml:space="preserve">capacity cost reduction (2022 tax reduction) </w:t>
      </w:r>
      <w:r w:rsidR="00772E35">
        <w:t>will</w:t>
      </w:r>
      <w:r w:rsidR="00E3452B">
        <w:t xml:space="preserve"> occur over 9 months, or from April through December, 2023.</w:t>
      </w:r>
      <w:r w:rsidR="00772E35">
        <w:t xml:space="preserve"> </w:t>
      </w:r>
      <w:r w:rsidRPr="00BF4B44">
        <w:t xml:space="preserve">In the instant case, there are </w:t>
      </w:r>
      <w:r w:rsidR="00BF4B44" w:rsidRPr="00BF4B44">
        <w:t>25</w:t>
      </w:r>
      <w:r w:rsidRPr="00BF4B44">
        <w:t xml:space="preserve"> days between the C</w:t>
      </w:r>
      <w:r w:rsidR="00276528">
        <w:t>ommission’s vote on</w:t>
      </w:r>
      <w:r w:rsidR="00554485" w:rsidRPr="00BF4B44">
        <w:t xml:space="preserve"> March 7</w:t>
      </w:r>
      <w:r w:rsidR="00554485" w:rsidRPr="00BF4B44">
        <w:rPr>
          <w:vertAlign w:val="superscript"/>
        </w:rPr>
        <w:t>th</w:t>
      </w:r>
      <w:r w:rsidR="00554485" w:rsidRPr="00BF4B44">
        <w:t xml:space="preserve"> </w:t>
      </w:r>
      <w:r w:rsidRPr="00BF4B44">
        <w:t xml:space="preserve">and the beginning of DEF’s April 2023 billing cycle </w:t>
      </w:r>
      <w:r w:rsidR="005874DC" w:rsidRPr="00BF4B44">
        <w:t>(April 1</w:t>
      </w:r>
      <w:r w:rsidR="005874DC" w:rsidRPr="00BF4B44">
        <w:rPr>
          <w:vertAlign w:val="superscript"/>
        </w:rPr>
        <w:t>st</w:t>
      </w:r>
      <w:r w:rsidRPr="00BF4B44">
        <w:t>).</w:t>
      </w:r>
      <w:r w:rsidRPr="00BF4B44">
        <w:rPr>
          <w:rStyle w:val="FootnoteReference"/>
        </w:rPr>
        <w:footnoteReference w:id="39"/>
      </w:r>
    </w:p>
    <w:p w:rsidR="00D93E3E" w:rsidRDefault="00D93E3E" w:rsidP="00D93E3E">
      <w:pPr>
        <w:pStyle w:val="BodyText"/>
        <w:spacing w:after="0"/>
        <w:rPr>
          <w:highlight w:val="yellow"/>
        </w:rPr>
      </w:pPr>
    </w:p>
    <w:p w:rsidR="00537739" w:rsidRDefault="005874DC" w:rsidP="00D93E3E">
      <w:pPr>
        <w:pStyle w:val="BodyText"/>
        <w:spacing w:after="0"/>
      </w:pPr>
      <w:r w:rsidRPr="005874DC">
        <w:t>Concerning customer advisement of the instant request, DEF states that it will notify its customers of the proposed rate changes thro</w:t>
      </w:r>
      <w:r>
        <w:t>ugh bill inserts included with its March</w:t>
      </w:r>
      <w:r w:rsidRPr="005874DC">
        <w:t xml:space="preserve"> 202</w:t>
      </w:r>
      <w:r>
        <w:t>3</w:t>
      </w:r>
      <w:r w:rsidRPr="005874DC">
        <w:t xml:space="preserve"> inv</w:t>
      </w:r>
      <w:r>
        <w:t>oices. Additionally, on January 23</w:t>
      </w:r>
      <w:r w:rsidRPr="005874DC">
        <w:t>, 202</w:t>
      </w:r>
      <w:r>
        <w:t>3</w:t>
      </w:r>
      <w:r w:rsidR="008160EB">
        <w:t xml:space="preserve">, </w:t>
      </w:r>
      <w:r w:rsidR="00BF4B44">
        <w:t>the same day DEF fil</w:t>
      </w:r>
      <w:r w:rsidRPr="005874DC">
        <w:t xml:space="preserve">ed its </w:t>
      </w:r>
      <w:r w:rsidR="007570F5">
        <w:t>original</w:t>
      </w:r>
      <w:r w:rsidRPr="005874DC">
        <w:t xml:space="preserve"> </w:t>
      </w:r>
      <w:r w:rsidR="007570F5">
        <w:t>p</w:t>
      </w:r>
      <w:r w:rsidRPr="005874DC">
        <w:t>etition</w:t>
      </w:r>
      <w:r w:rsidR="007570F5">
        <w:t xml:space="preserve"> for mid-course correction</w:t>
      </w:r>
      <w:r w:rsidRPr="005874DC">
        <w:t>, the Company posted a “press release” to its website</w:t>
      </w:r>
      <w:r w:rsidR="00772E35">
        <w:t>,</w:t>
      </w:r>
      <w:r w:rsidRPr="005874DC">
        <w:t xml:space="preserve"> while also issuing the information to various media outlets describing t</w:t>
      </w:r>
      <w:r w:rsidRPr="00BF4B44">
        <w:t>he proposal</w:t>
      </w:r>
      <w:r w:rsidR="00537739" w:rsidRPr="00BF4B44">
        <w:t>.</w:t>
      </w:r>
      <w:r w:rsidR="00537739" w:rsidRPr="00BF4B44">
        <w:rPr>
          <w:rStyle w:val="FootnoteReference"/>
        </w:rPr>
        <w:footnoteReference w:id="40"/>
      </w:r>
      <w:r w:rsidR="00BF4B44" w:rsidRPr="00BF4B44">
        <w:t xml:space="preserve"> An</w:t>
      </w:r>
      <w:r w:rsidR="00BF4B44">
        <w:t xml:space="preserve"> additional email will also be sent to large-account customers. </w:t>
      </w:r>
    </w:p>
    <w:p w:rsidR="00537739" w:rsidRDefault="00537739" w:rsidP="00537739">
      <w:pPr>
        <w:pStyle w:val="BodyText"/>
        <w:spacing w:after="0"/>
        <w:rPr>
          <w:highlight w:val="yellow"/>
        </w:rPr>
      </w:pPr>
    </w:p>
    <w:p w:rsidR="00537739" w:rsidRDefault="00537739" w:rsidP="00537739">
      <w:pPr>
        <w:pStyle w:val="BodyText"/>
        <w:spacing w:after="0"/>
        <w:rPr>
          <w:rFonts w:ascii="Arial" w:hAnsi="Arial" w:cs="Arial"/>
          <w:b/>
        </w:rPr>
      </w:pPr>
      <w:r>
        <w:rPr>
          <w:rFonts w:ascii="Arial" w:hAnsi="Arial" w:cs="Arial"/>
          <w:b/>
        </w:rPr>
        <w:t>Conclusion</w:t>
      </w:r>
    </w:p>
    <w:p w:rsidR="00537739" w:rsidRDefault="00162855" w:rsidP="00537739">
      <w:pPr>
        <w:pStyle w:val="BodyText"/>
      </w:pPr>
      <w:r>
        <w:t>Staff recommends that the f</w:t>
      </w:r>
      <w:r w:rsidR="00537739">
        <w:t>uel</w:t>
      </w:r>
      <w:r>
        <w:t xml:space="preserve"> and capacity</w:t>
      </w:r>
      <w:r w:rsidR="00537739">
        <w:t xml:space="preserve"> cost recovery factors, as shown on </w:t>
      </w:r>
      <w:r w:rsidR="00D83963">
        <w:t xml:space="preserve">sheet No. 6.105 in </w:t>
      </w:r>
      <w:r w:rsidR="00537739">
        <w:t>Appendix A, become effective with the first billing cycle of April 2023.</w:t>
      </w:r>
    </w:p>
    <w:p w:rsidR="00537739" w:rsidRDefault="00537739">
      <w:pPr>
        <w:pStyle w:val="BodyText"/>
      </w:pPr>
    </w:p>
    <w:p w:rsidR="00537739" w:rsidRDefault="00537739">
      <w:pPr>
        <w:pStyle w:val="IssueHeading"/>
        <w:rPr>
          <w:vanish/>
          <w:specVanish/>
        </w:rPr>
      </w:pPr>
      <w:r w:rsidRPr="004C3641">
        <w:rPr>
          <w:b w:val="0"/>
          <w:i w:val="0"/>
        </w:rPr>
        <w:br w:type="page"/>
      </w:r>
      <w:r w:rsidRPr="004C3641">
        <w:t xml:space="preserve">Issue </w:t>
      </w:r>
      <w:r w:rsidR="00C62459">
        <w:fldChar w:fldCharType="begin"/>
      </w:r>
      <w:r w:rsidR="00C62459">
        <w:instrText xml:space="preserve"> SEQ Issue \* MERGEFORMAT </w:instrText>
      </w:r>
      <w:r w:rsidR="00C62459">
        <w:fldChar w:fldCharType="separate"/>
      </w:r>
      <w:r w:rsidR="00F977DF">
        <w:rPr>
          <w:noProof/>
        </w:rPr>
        <w:t>3</w:t>
      </w:r>
      <w:r w:rsidR="00C6245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977DF">
        <w:rPr>
          <w:noProof/>
        </w:rPr>
        <w:instrText>3</w:instrText>
      </w:r>
      <w:r>
        <w:fldChar w:fldCharType="end"/>
      </w:r>
      <w:r>
        <w:tab/>
        <w:instrText xml:space="preserve">(Brownless, Sandy)" \l 1 </w:instrText>
      </w:r>
      <w:r>
        <w:fldChar w:fldCharType="end"/>
      </w:r>
      <w:r>
        <w:t> </w:t>
      </w:r>
    </w:p>
    <w:p w:rsidR="00537739" w:rsidRDefault="00537739">
      <w:pPr>
        <w:pStyle w:val="BodyText"/>
      </w:pPr>
      <w:r>
        <w:t> Should this docket be closed?</w:t>
      </w:r>
    </w:p>
    <w:p w:rsidR="00537739" w:rsidRPr="004C3641" w:rsidRDefault="00537739">
      <w:pPr>
        <w:pStyle w:val="IssueSubsectionHeading"/>
        <w:rPr>
          <w:vanish/>
          <w:specVanish/>
        </w:rPr>
      </w:pPr>
      <w:r w:rsidRPr="004C3641">
        <w:t>Recommendation: </w:t>
      </w:r>
    </w:p>
    <w:p w:rsidR="00537739" w:rsidRDefault="00F94A60">
      <w:pPr>
        <w:pStyle w:val="BodyText"/>
      </w:pPr>
      <w:r>
        <w:t> No. The 2023</w:t>
      </w:r>
      <w:r w:rsidR="00537739" w:rsidRPr="00101B15">
        <w:t>0001-EI docket is an on-going proceeding and should remain open.</w:t>
      </w:r>
      <w:r w:rsidR="00537739">
        <w:t xml:space="preserve"> (Brownless, Sandy)</w:t>
      </w:r>
    </w:p>
    <w:p w:rsidR="00537739" w:rsidRPr="004C3641" w:rsidRDefault="00537739">
      <w:pPr>
        <w:pStyle w:val="IssueSubsectionHeading"/>
        <w:rPr>
          <w:vanish/>
          <w:specVanish/>
        </w:rPr>
      </w:pPr>
      <w:r w:rsidRPr="004C3641">
        <w:t>Staff Analysis: </w:t>
      </w:r>
    </w:p>
    <w:p w:rsidR="00537739" w:rsidRDefault="00537739">
      <w:pPr>
        <w:pStyle w:val="BodyText"/>
      </w:pPr>
      <w:r>
        <w:t> The fuel docket is</w:t>
      </w:r>
      <w:r w:rsidR="008160EB">
        <w:t xml:space="preserve"> an</w:t>
      </w:r>
      <w:r>
        <w:t xml:space="preserve"> on-going</w:t>
      </w:r>
      <w:r w:rsidR="008160EB">
        <w:t xml:space="preserve"> proceeding</w:t>
      </w:r>
      <w:r>
        <w:t xml:space="preserve"> and should remain open.</w:t>
      </w:r>
    </w:p>
    <w:p w:rsidR="00537739" w:rsidRDefault="00537739">
      <w:pPr>
        <w:pStyle w:val="BodyText"/>
      </w:pPr>
    </w:p>
    <w:p w:rsidR="00EA162E" w:rsidRDefault="00EA162E" w:rsidP="00E275D8">
      <w:pPr>
        <w:pStyle w:val="BodyText"/>
        <w:sectPr w:rsidR="00EA162E" w:rsidSect="0068481F">
          <w:headerReference w:type="even" r:id="rId13"/>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pPr>
    </w:p>
    <w:p w:rsidR="00E06484" w:rsidRDefault="00816813" w:rsidP="00F2547E">
      <w:pPr>
        <w:pStyle w:val="BodyText"/>
        <w:jc w:val="center"/>
      </w:pPr>
      <w:r w:rsidRPr="00816813">
        <w:rPr>
          <w:noProof/>
        </w:rPr>
        <w:drawing>
          <wp:inline distT="0" distB="0" distL="0" distR="0">
            <wp:extent cx="5448300" cy="7399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8300" cy="7399020"/>
                    </a:xfrm>
                    <a:prstGeom prst="rect">
                      <a:avLst/>
                    </a:prstGeom>
                    <a:noFill/>
                    <a:ln>
                      <a:noFill/>
                    </a:ln>
                  </pic:spPr>
                </pic:pic>
              </a:graphicData>
            </a:graphic>
          </wp:inline>
        </w:drawing>
      </w:r>
    </w:p>
    <w:p w:rsidR="00F2547E" w:rsidRDefault="00F2547E" w:rsidP="00F2547E">
      <w:pPr>
        <w:pStyle w:val="BodyText"/>
        <w:jc w:val="center"/>
      </w:pPr>
    </w:p>
    <w:p w:rsidR="00816813" w:rsidRDefault="00816813" w:rsidP="00F2547E">
      <w:pPr>
        <w:pStyle w:val="BodyText"/>
        <w:jc w:val="center"/>
      </w:pPr>
      <w:r w:rsidRPr="00816813">
        <w:rPr>
          <w:noProof/>
        </w:rPr>
        <w:drawing>
          <wp:inline distT="0" distB="0" distL="0" distR="0">
            <wp:extent cx="5951220" cy="7292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1220" cy="7292340"/>
                    </a:xfrm>
                    <a:prstGeom prst="rect">
                      <a:avLst/>
                    </a:prstGeom>
                    <a:noFill/>
                    <a:ln>
                      <a:noFill/>
                    </a:ln>
                  </pic:spPr>
                </pic:pic>
              </a:graphicData>
            </a:graphic>
          </wp:inline>
        </w:drawing>
      </w:r>
    </w:p>
    <w:p w:rsidR="00F2547E" w:rsidRDefault="00F2547E" w:rsidP="00F2547E">
      <w:pPr>
        <w:pStyle w:val="BodyText"/>
        <w:jc w:val="center"/>
      </w:pPr>
    </w:p>
    <w:p w:rsidR="00816813" w:rsidRDefault="00816813" w:rsidP="00F2547E">
      <w:pPr>
        <w:pStyle w:val="BodyText"/>
        <w:jc w:val="center"/>
      </w:pPr>
      <w:r w:rsidRPr="00816813">
        <w:rPr>
          <w:noProof/>
        </w:rPr>
        <w:drawing>
          <wp:inline distT="0" distB="0" distL="0" distR="0">
            <wp:extent cx="6096000" cy="7338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7338060"/>
                    </a:xfrm>
                    <a:prstGeom prst="rect">
                      <a:avLst/>
                    </a:prstGeom>
                    <a:noFill/>
                    <a:ln>
                      <a:noFill/>
                    </a:ln>
                  </pic:spPr>
                </pic:pic>
              </a:graphicData>
            </a:graphic>
          </wp:inline>
        </w:drawing>
      </w:r>
    </w:p>
    <w:sectPr w:rsidR="00816813" w:rsidSect="0068481F">
      <w:headerReference w:type="even" r:id="rId20"/>
      <w:headerReference w:type="default" r:id="rId21"/>
      <w:headerReference w:type="firs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0A" w:rsidRDefault="003F430A">
      <w:r>
        <w:separator/>
      </w:r>
    </w:p>
  </w:endnote>
  <w:endnote w:type="continuationSeparator" w:id="0">
    <w:p w:rsidR="003F430A" w:rsidRDefault="003F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8" w:rsidRDefault="00C8761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6174F">
      <w:rPr>
        <w:rStyle w:val="PageNumber"/>
        <w:noProof/>
      </w:rPr>
      <w:t>15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8" w:rsidRDefault="00C8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0A" w:rsidRDefault="003F430A">
      <w:r>
        <w:separator/>
      </w:r>
    </w:p>
  </w:footnote>
  <w:footnote w:type="continuationSeparator" w:id="0">
    <w:p w:rsidR="003F430A" w:rsidRDefault="003F430A">
      <w:r>
        <w:continuationSeparator/>
      </w:r>
    </w:p>
  </w:footnote>
  <w:footnote w:id="1">
    <w:p w:rsidR="00C87618" w:rsidRDefault="00C87618" w:rsidP="00A442CF">
      <w:pPr>
        <w:pStyle w:val="FootnoteText"/>
      </w:pPr>
      <w:r>
        <w:rPr>
          <w:rStyle w:val="FootnoteReference"/>
        </w:rPr>
        <w:footnoteRef/>
      </w:r>
      <w:r>
        <w:t>Document No. 00417-2023.</w:t>
      </w:r>
    </w:p>
  </w:footnote>
  <w:footnote w:id="2">
    <w:p w:rsidR="00C87618" w:rsidRDefault="00C87618">
      <w:pPr>
        <w:pStyle w:val="FootnoteText"/>
      </w:pPr>
      <w:r>
        <w:rPr>
          <w:rStyle w:val="FootnoteReference"/>
        </w:rPr>
        <w:footnoteRef/>
      </w:r>
      <w:r w:rsidR="0091100E">
        <w:t>Document N</w:t>
      </w:r>
      <w:r>
        <w:t>o. 01366-2023.</w:t>
      </w:r>
    </w:p>
  </w:footnote>
  <w:footnote w:id="3">
    <w:p w:rsidR="00C87618" w:rsidRDefault="00C87618" w:rsidP="00A442CF">
      <w:pPr>
        <w:pStyle w:val="FootnoteText"/>
      </w:pPr>
      <w:r>
        <w:rPr>
          <w:rStyle w:val="FootnoteReference"/>
        </w:rPr>
        <w:footnoteRef/>
      </w:r>
      <w:r>
        <w:t xml:space="preserve">Order No. PSC-2023-0026-FOF-EI, issued January 6, 2023, in Docket No. 20230001-EI, </w:t>
      </w:r>
      <w:r>
        <w:rPr>
          <w:i/>
        </w:rPr>
        <w:t>In re: Fuel and purchased power cost recovery clause with generating performance incentive factor</w:t>
      </w:r>
      <w:r>
        <w:t>.</w:t>
      </w:r>
      <w:r>
        <w:tab/>
      </w:r>
    </w:p>
  </w:footnote>
  <w:footnote w:id="4">
    <w:p w:rsidR="00C87618" w:rsidRDefault="00C87618" w:rsidP="00A442CF">
      <w:pPr>
        <w:pStyle w:val="FootnoteText"/>
      </w:pPr>
      <w:r w:rsidRPr="00AC0C1D">
        <w:rPr>
          <w:rStyle w:val="FootnoteReference"/>
        </w:rPr>
        <w:footnoteRef/>
      </w:r>
      <w:r>
        <w:t>Order No. PSC-2023-0026-FOF-EI.</w:t>
      </w:r>
    </w:p>
  </w:footnote>
  <w:footnote w:id="5">
    <w:p w:rsidR="00C87618" w:rsidRDefault="00C87618" w:rsidP="00A442CF">
      <w:pPr>
        <w:pStyle w:val="FootnoteText"/>
      </w:pPr>
      <w:r>
        <w:rPr>
          <w:rStyle w:val="FootnoteReference"/>
        </w:rPr>
        <w:footnoteRef/>
      </w:r>
      <w:r>
        <w:t>Retroactively effective to January 1, 2022, the IRA expanded federal income tax benefits for renewable energy by allowing owners of solar projects which begin construction before 2025 the option to elect to receive Production Tax Credits rather than Investment Tax Credits for eligible facilities. The tax savings noted through-out this recommendation were produced by the Company electing to record Production Tax Credits rather than Investment Tax Credits for eligible facilities.</w:t>
      </w:r>
    </w:p>
  </w:footnote>
  <w:footnote w:id="6">
    <w:p w:rsidR="00C87618" w:rsidRDefault="00C87618">
      <w:pPr>
        <w:pStyle w:val="FootnoteText"/>
      </w:pPr>
      <w:r>
        <w:rPr>
          <w:rStyle w:val="FootnoteReference"/>
        </w:rPr>
        <w:footnoteRef/>
      </w:r>
      <w:r>
        <w:t xml:space="preserve">See Document No. 00418-2023 for further information regarding DEF’s Interim Storm Charge request. </w:t>
      </w:r>
    </w:p>
  </w:footnote>
  <w:footnote w:id="7">
    <w:p w:rsidR="00C87618" w:rsidRDefault="00C87618" w:rsidP="00537739">
      <w:pPr>
        <w:pStyle w:val="FootnoteText"/>
        <w:rPr>
          <w:highlight w:val="yellow"/>
        </w:rPr>
      </w:pPr>
      <w:r w:rsidRPr="000A7D2E">
        <w:rPr>
          <w:rStyle w:val="FootnoteReference"/>
        </w:rPr>
        <w:footnoteRef/>
      </w:r>
      <w:r w:rsidRPr="000A7D2E">
        <w:t>Order No. PSC-2023-0026-FOF-EI.</w:t>
      </w:r>
    </w:p>
  </w:footnote>
  <w:footnote w:id="8">
    <w:p w:rsidR="00C87618" w:rsidRDefault="00C87618" w:rsidP="00537739">
      <w:pPr>
        <w:pStyle w:val="FootnoteText"/>
        <w:rPr>
          <w:highlight w:val="yellow"/>
        </w:rPr>
      </w:pPr>
      <w:r w:rsidRPr="004847A7">
        <w:rPr>
          <w:rStyle w:val="FootnoteReference"/>
        </w:rPr>
        <w:footnoteRef/>
      </w:r>
      <w:r w:rsidRPr="004847A7">
        <w:t>Document No. 00417-2023.</w:t>
      </w:r>
    </w:p>
  </w:footnote>
  <w:footnote w:id="9">
    <w:p w:rsidR="00136266" w:rsidRDefault="00136266">
      <w:pPr>
        <w:pStyle w:val="FootnoteText"/>
      </w:pPr>
      <w:r>
        <w:rPr>
          <w:rStyle w:val="FootnoteReference"/>
        </w:rPr>
        <w:footnoteRef/>
      </w:r>
      <w:r>
        <w:t>Document No. 01366-2023.</w:t>
      </w:r>
    </w:p>
  </w:footnote>
  <w:footnote w:id="10">
    <w:p w:rsidR="00C87618" w:rsidRDefault="00C87618" w:rsidP="00537739">
      <w:pPr>
        <w:pStyle w:val="FootnoteText"/>
        <w:rPr>
          <w:highlight w:val="yellow"/>
        </w:rPr>
      </w:pPr>
      <w:r>
        <w:rPr>
          <w:rStyle w:val="FootnoteReference"/>
        </w:rPr>
        <w:footnoteRef/>
      </w:r>
      <w:r>
        <w:t>Document No. 02134-2022.</w:t>
      </w:r>
    </w:p>
  </w:footnote>
  <w:footnote w:id="11">
    <w:p w:rsidR="00C87618" w:rsidRDefault="00C87618" w:rsidP="00537739">
      <w:pPr>
        <w:pStyle w:val="FootnoteText"/>
      </w:pPr>
      <w:r>
        <w:rPr>
          <w:rStyle w:val="FootnoteReference"/>
        </w:rPr>
        <w:footnoteRef/>
      </w:r>
      <w:r>
        <w:t xml:space="preserve">Order No. PSC-2023-0026-FOF-EI. </w:t>
      </w:r>
    </w:p>
  </w:footnote>
  <w:footnote w:id="12">
    <w:p w:rsidR="00C87618" w:rsidRDefault="00C87618">
      <w:pPr>
        <w:pStyle w:val="FootnoteText"/>
      </w:pPr>
      <w:r>
        <w:rPr>
          <w:rStyle w:val="FootnoteReference"/>
        </w:rPr>
        <w:footnoteRef/>
      </w:r>
      <w:r>
        <w:t>See Document No. 10082-2021, f</w:t>
      </w:r>
      <w:r w:rsidRPr="00FB6419">
        <w:t>iled in Docket No. 20210001-EI,</w:t>
      </w:r>
      <w:r w:rsidRPr="00FB6419">
        <w:rPr>
          <w:i/>
        </w:rPr>
        <w:t xml:space="preserve"> In re: Fuel and purchased power cost recovery clause with generating performance incentive factor</w:t>
      </w:r>
      <w:r w:rsidRPr="00FB6419">
        <w:t xml:space="preserve">, Docket No. 20210097-EI, </w:t>
      </w:r>
      <w:r w:rsidRPr="00FB6419">
        <w:rPr>
          <w:i/>
        </w:rPr>
        <w:t>In re: Petition for Limited Proceeding for Recovery of</w:t>
      </w:r>
      <w:r>
        <w:rPr>
          <w:i/>
        </w:rPr>
        <w:t xml:space="preserve"> Incremental Storm Restoration C</w:t>
      </w:r>
      <w:r w:rsidRPr="00FB6419">
        <w:rPr>
          <w:i/>
        </w:rPr>
        <w:t>osts Related to Hurricane Eta and Isaias, by Duke Energy Florida, LLC</w:t>
      </w:r>
      <w:r w:rsidRPr="00FB6419">
        <w:t xml:space="preserve">, and Docket No. 20210010-EI, </w:t>
      </w:r>
      <w:r w:rsidRPr="00FB6419">
        <w:rPr>
          <w:i/>
        </w:rPr>
        <w:t>In re: Storm Protection Plan Cost Recovery Clause</w:t>
      </w:r>
      <w:r w:rsidRPr="00FB6419">
        <w:t>.</w:t>
      </w:r>
      <w:r>
        <w:t xml:space="preserve"> This motion was ultimately adjudicated in Docket No. 20210158-EI.</w:t>
      </w:r>
    </w:p>
  </w:footnote>
  <w:footnote w:id="13">
    <w:p w:rsidR="00C87618" w:rsidRDefault="00C87618">
      <w:pPr>
        <w:pStyle w:val="FootnoteText"/>
      </w:pPr>
      <w:r>
        <w:rPr>
          <w:rStyle w:val="FootnoteReference"/>
        </w:rPr>
        <w:footnoteRef/>
      </w:r>
      <w:r>
        <w:t xml:space="preserve">Order No. PSC-2022-0061-PCO-EI, issued February 17, 2022, in Docket No. 20220001-EI, </w:t>
      </w:r>
      <w:r>
        <w:rPr>
          <w:i/>
        </w:rPr>
        <w:t>In re: Fuel and purchased power cost recovery clause with generating performance incentive factor</w:t>
      </w:r>
      <w:r>
        <w:t>.</w:t>
      </w:r>
    </w:p>
  </w:footnote>
  <w:footnote w:id="14">
    <w:p w:rsidR="00C87618" w:rsidRDefault="00C87618">
      <w:pPr>
        <w:pStyle w:val="FootnoteText"/>
      </w:pPr>
      <w:r>
        <w:rPr>
          <w:rStyle w:val="FootnoteReference"/>
        </w:rPr>
        <w:footnoteRef/>
      </w:r>
      <w:r>
        <w:t>Document No. 13092-2021.</w:t>
      </w:r>
    </w:p>
  </w:footnote>
  <w:footnote w:id="15">
    <w:p w:rsidR="00C87618" w:rsidRDefault="00C87618">
      <w:pPr>
        <w:pStyle w:val="FootnoteText"/>
      </w:pPr>
      <w:r>
        <w:rPr>
          <w:rStyle w:val="FootnoteReference"/>
        </w:rPr>
        <w:footnoteRef/>
      </w:r>
      <w:r>
        <w:t xml:space="preserve">Document No. 00282-2023. </w:t>
      </w:r>
    </w:p>
  </w:footnote>
  <w:footnote w:id="16">
    <w:p w:rsidR="00C87618" w:rsidRDefault="00C87618" w:rsidP="00E03FA9">
      <w:pPr>
        <w:pStyle w:val="FootnoteText"/>
      </w:pPr>
      <w:r>
        <w:rPr>
          <w:rStyle w:val="FootnoteReference"/>
        </w:rPr>
        <w:footnoteRef/>
      </w:r>
      <w:r w:rsidRPr="00414B79">
        <w:rPr>
          <w:i/>
        </w:rPr>
        <w:t>Id</w:t>
      </w:r>
      <w:r>
        <w:t>.</w:t>
      </w:r>
    </w:p>
  </w:footnote>
  <w:footnote w:id="17">
    <w:p w:rsidR="00C87618" w:rsidRDefault="00C87618">
      <w:pPr>
        <w:pStyle w:val="FootnoteText"/>
      </w:pPr>
      <w:r>
        <w:rPr>
          <w:rStyle w:val="FootnoteReference"/>
        </w:rPr>
        <w:footnoteRef/>
      </w:r>
      <w:r>
        <w:t>Document No. 05978-2022.</w:t>
      </w:r>
    </w:p>
  </w:footnote>
  <w:footnote w:id="18">
    <w:p w:rsidR="00C87618" w:rsidRDefault="00C87618" w:rsidP="00537739">
      <w:pPr>
        <w:pStyle w:val="FootnoteText"/>
        <w:rPr>
          <w:highlight w:val="yellow"/>
        </w:rPr>
      </w:pPr>
      <w:r w:rsidRPr="00971C05">
        <w:rPr>
          <w:rStyle w:val="FootnoteReference"/>
        </w:rPr>
        <w:footnoteRef/>
      </w:r>
      <w:r>
        <w:t>Document No. 01366-2023.</w:t>
      </w:r>
    </w:p>
  </w:footnote>
  <w:footnote w:id="19">
    <w:p w:rsidR="00C87618" w:rsidRPr="00F94A60" w:rsidRDefault="00C87618" w:rsidP="00537739">
      <w:pPr>
        <w:pStyle w:val="FootnoteText"/>
        <w:rPr>
          <w:highlight w:val="yellow"/>
        </w:rPr>
      </w:pPr>
      <w:r w:rsidRPr="00566BB0">
        <w:rPr>
          <w:rStyle w:val="FootnoteReference"/>
        </w:rPr>
        <w:footnoteRef/>
      </w:r>
      <w:r>
        <w:t>Document No. 05978-2022.</w:t>
      </w:r>
    </w:p>
  </w:footnote>
  <w:footnote w:id="20">
    <w:p w:rsidR="00C87618" w:rsidRDefault="00C87618" w:rsidP="00537739">
      <w:pPr>
        <w:pStyle w:val="FootnoteText"/>
        <w:rPr>
          <w:highlight w:val="yellow"/>
        </w:rPr>
      </w:pPr>
      <w:r w:rsidRPr="00064331">
        <w:rPr>
          <w:rStyle w:val="FootnoteReference"/>
        </w:rPr>
        <w:footnoteRef/>
      </w:r>
      <w:r>
        <w:t>Document No. 01366-2023.</w:t>
      </w:r>
    </w:p>
  </w:footnote>
  <w:footnote w:id="21">
    <w:p w:rsidR="00C87618" w:rsidRPr="009E2361" w:rsidRDefault="00C87618" w:rsidP="00537739">
      <w:pPr>
        <w:pStyle w:val="FootnoteText"/>
        <w:tabs>
          <w:tab w:val="left" w:pos="3307"/>
        </w:tabs>
      </w:pPr>
      <w:r w:rsidRPr="00187023">
        <w:rPr>
          <w:rStyle w:val="FootnoteReference"/>
        </w:rPr>
        <w:footnoteRef/>
      </w:r>
      <w:r w:rsidRPr="00187023">
        <w:rPr>
          <w:i/>
        </w:rPr>
        <w:t>Id</w:t>
      </w:r>
      <w:r w:rsidRPr="00187023">
        <w:t>.</w:t>
      </w:r>
    </w:p>
  </w:footnote>
  <w:footnote w:id="22">
    <w:p w:rsidR="00C87618" w:rsidRDefault="00C87618" w:rsidP="00EA425C">
      <w:pPr>
        <w:pStyle w:val="FootnoteText"/>
      </w:pPr>
      <w:r>
        <w:rPr>
          <w:rStyle w:val="FootnoteReference"/>
        </w:rPr>
        <w:footnoteRef/>
      </w:r>
      <w:r>
        <w:t>Document No. 01366-2023.</w:t>
      </w:r>
    </w:p>
  </w:footnote>
  <w:footnote w:id="23">
    <w:p w:rsidR="00C87618" w:rsidRDefault="00C87618" w:rsidP="00EA425C">
      <w:pPr>
        <w:pStyle w:val="FootnoteText"/>
      </w:pPr>
      <w:r>
        <w:rPr>
          <w:rStyle w:val="FootnoteReference"/>
        </w:rPr>
        <w:footnoteRef/>
      </w:r>
      <w:r>
        <w:t>Document No. 00864-2023.</w:t>
      </w:r>
    </w:p>
  </w:footnote>
  <w:footnote w:id="24">
    <w:p w:rsidR="00C87618" w:rsidRDefault="00C87618" w:rsidP="00EA425C">
      <w:pPr>
        <w:pStyle w:val="FootnoteText"/>
      </w:pPr>
      <w:r>
        <w:rPr>
          <w:rStyle w:val="FootnoteReference"/>
        </w:rPr>
        <w:footnoteRef/>
      </w:r>
      <w:r>
        <w:t>Document No</w:t>
      </w:r>
      <w:r w:rsidR="00EC32E3">
        <w:t>s</w:t>
      </w:r>
      <w:r>
        <w:t>. 00864-2023</w:t>
      </w:r>
      <w:r w:rsidR="00EC32E3">
        <w:t xml:space="preserve"> and 01368-2023,</w:t>
      </w:r>
      <w:r>
        <w:t xml:space="preserve"> and The </w:t>
      </w:r>
      <w:r w:rsidRPr="000D209E">
        <w:t>Federal Reserve System</w:t>
      </w:r>
      <w:r>
        <w:t xml:space="preserve"> (U.S. Federal Reserve) published Commercial Paper Rates which can be located via the following link:  </w:t>
      </w:r>
      <w:hyperlink r:id="rId1" w:history="1">
        <w:r w:rsidRPr="00A77F10">
          <w:rPr>
            <w:rStyle w:val="Hyperlink"/>
          </w:rPr>
          <w:t>https://www.federalreserve.gov/releases/cp/</w:t>
        </w:r>
      </w:hyperlink>
    </w:p>
  </w:footnote>
  <w:footnote w:id="25">
    <w:p w:rsidR="00C87618" w:rsidRPr="000A7D2E" w:rsidRDefault="00C87618" w:rsidP="009376B5">
      <w:pPr>
        <w:pStyle w:val="FootnoteText"/>
        <w:rPr>
          <w:highlight w:val="yellow"/>
        </w:rPr>
      </w:pPr>
      <w:r w:rsidRPr="009E2361">
        <w:rPr>
          <w:rStyle w:val="FootnoteReference"/>
        </w:rPr>
        <w:footnoteRef/>
      </w:r>
      <w:r>
        <w:t>T</w:t>
      </w:r>
      <w:r w:rsidRPr="009376B5">
        <w:t xml:space="preserve">he estimated </w:t>
      </w:r>
      <w:r>
        <w:t xml:space="preserve">end-of-period total net true-up, or </w:t>
      </w:r>
      <w:r w:rsidRPr="009E2361">
        <w:t xml:space="preserve"> </w:t>
      </w:r>
      <w:r>
        <w:t>t</w:t>
      </w:r>
      <w:r w:rsidRPr="009E2361">
        <w:t>he mid-course correction amount being sought for recovery in this proceeding</w:t>
      </w:r>
      <w:r>
        <w:t>,</w:t>
      </w:r>
      <w:r w:rsidRPr="009E2361">
        <w:t xml:space="preserve"> consists of the 2022 under-recovery of ($1,354,975,755), the Rate Mitigation Plan amount for 2023</w:t>
      </w:r>
      <w:r>
        <w:t xml:space="preserve"> of</w:t>
      </w:r>
      <w:r w:rsidRPr="009E2361">
        <w:t xml:space="preserve"> $123,418,788,</w:t>
      </w:r>
      <w:r>
        <w:t xml:space="preserve"> the 2022 mid-course correction carry forward amount of $52,370,573,</w:t>
      </w:r>
      <w:r w:rsidRPr="009E2361">
        <w:t xml:space="preserve"> and the change in projected 2023 fuel</w:t>
      </w:r>
      <w:r>
        <w:t>-related</w:t>
      </w:r>
      <w:r w:rsidRPr="009E2361">
        <w:t xml:space="preserve"> cost</w:t>
      </w:r>
      <w:r>
        <w:t>s</w:t>
      </w:r>
      <w:r w:rsidRPr="009E2361">
        <w:t xml:space="preserve"> </w:t>
      </w:r>
      <w:r>
        <w:t xml:space="preserve">of </w:t>
      </w:r>
      <w:r w:rsidRPr="009E2361">
        <w:t>$</w:t>
      </w:r>
      <w:r w:rsidR="00496F5E">
        <w:t>710,224,788</w:t>
      </w:r>
      <w:r>
        <w:t>,</w:t>
      </w:r>
      <w:r w:rsidRPr="009E2361">
        <w:t xml:space="preserve"> for a total of ($</w:t>
      </w:r>
      <w:r w:rsidR="00496F5E">
        <w:t>468</w:t>
      </w:r>
      <w:r w:rsidRPr="009E2361">
        <w:t>,</w:t>
      </w:r>
      <w:r w:rsidR="00496F5E">
        <w:t>961</w:t>
      </w:r>
      <w:r w:rsidRPr="009E2361">
        <w:t>,</w:t>
      </w:r>
      <w:r w:rsidR="00496F5E">
        <w:t>606</w:t>
      </w:r>
      <w:r w:rsidRPr="009E2361">
        <w:t>).</w:t>
      </w:r>
    </w:p>
  </w:footnote>
  <w:footnote w:id="26">
    <w:p w:rsidR="00C87618" w:rsidRDefault="00C87618" w:rsidP="00537739">
      <w:pPr>
        <w:pStyle w:val="FootnoteText"/>
      </w:pPr>
      <w:r w:rsidRPr="002F59A4">
        <w:rPr>
          <w:rStyle w:val="FootnoteReference"/>
        </w:rPr>
        <w:footnoteRef/>
      </w:r>
      <w:r w:rsidRPr="002F59A4">
        <w:t>Order</w:t>
      </w:r>
      <w:r w:rsidRPr="000A7D2E">
        <w:t xml:space="preserve"> No. PSC-2023-0026-FOF-EI.</w:t>
      </w:r>
    </w:p>
  </w:footnote>
  <w:footnote w:id="27">
    <w:p w:rsidR="00C87618" w:rsidRDefault="00C87618" w:rsidP="00537739">
      <w:pPr>
        <w:pStyle w:val="FootnoteText"/>
      </w:pPr>
      <w:r>
        <w:rPr>
          <w:rStyle w:val="FootnoteReference"/>
        </w:rPr>
        <w:footnoteRef/>
      </w:r>
      <w:r>
        <w:t>Document No. 01366-2023.</w:t>
      </w:r>
    </w:p>
  </w:footnote>
  <w:footnote w:id="28">
    <w:p w:rsidR="00C87618" w:rsidRDefault="00C87618">
      <w:pPr>
        <w:pStyle w:val="FootnoteText"/>
      </w:pPr>
      <w:r>
        <w:rPr>
          <w:rStyle w:val="FootnoteReference"/>
        </w:rPr>
        <w:footnoteRef/>
      </w:r>
      <w:r>
        <w:t>Document No. 00418-2023.</w:t>
      </w:r>
    </w:p>
  </w:footnote>
  <w:footnote w:id="29">
    <w:p w:rsidR="00C87618" w:rsidRPr="00AB6FE7" w:rsidRDefault="00C87618" w:rsidP="001D739B">
      <w:pPr>
        <w:pStyle w:val="FootnoteText"/>
      </w:pPr>
      <w:r w:rsidRPr="00AB6FE7">
        <w:rPr>
          <w:rStyle w:val="FootnoteReference"/>
        </w:rPr>
        <w:footnoteRef/>
      </w:r>
      <w:r>
        <w:t>DEF</w:t>
      </w:r>
      <w:r w:rsidRPr="00DD46A6">
        <w:t>’s 2023 base rates for December</w:t>
      </w:r>
      <w:r>
        <w:t xml:space="preserve"> 2022</w:t>
      </w:r>
      <w:r w:rsidRPr="00DD46A6">
        <w:t xml:space="preserve"> – February</w:t>
      </w:r>
      <w:r>
        <w:t xml:space="preserve"> 2023</w:t>
      </w:r>
      <w:r w:rsidRPr="00DD46A6">
        <w:t xml:space="preserve"> is $89.39; for March</w:t>
      </w:r>
      <w:r>
        <w:t xml:space="preserve"> 2023</w:t>
      </w:r>
      <w:r w:rsidRPr="00DD46A6">
        <w:t xml:space="preserve"> – November</w:t>
      </w:r>
      <w:r>
        <w:t xml:space="preserve"> 2023</w:t>
      </w:r>
      <w:r w:rsidRPr="00DD46A6">
        <w:t xml:space="preserve"> is</w:t>
      </w:r>
      <w:r>
        <w:t xml:space="preserve"> $78</w:t>
      </w:r>
      <w:r w:rsidRPr="00DD46A6">
        <w:t>.82.</w:t>
      </w:r>
      <w:r>
        <w:t xml:space="preserve"> The</w:t>
      </w:r>
      <w:r w:rsidRPr="00DD46A6">
        <w:t xml:space="preserve"> </w:t>
      </w:r>
      <w:r>
        <w:t>w</w:t>
      </w:r>
      <w:r w:rsidRPr="00DD46A6">
        <w:t>eighted average</w:t>
      </w:r>
      <w:r>
        <w:t xml:space="preserve"> is equal to</w:t>
      </w:r>
      <w:r w:rsidRPr="00DD46A6">
        <w:t>: (($89.39</w:t>
      </w:r>
      <w:r>
        <w:t xml:space="preserve"> * </w:t>
      </w:r>
      <w:r w:rsidRPr="00DD46A6">
        <w:t>3)</w:t>
      </w:r>
      <w:r>
        <w:t xml:space="preserve"> </w:t>
      </w:r>
      <w:r w:rsidRPr="00DD46A6">
        <w:t>+</w:t>
      </w:r>
      <w:r>
        <w:t xml:space="preserve"> </w:t>
      </w:r>
      <w:r w:rsidRPr="00DD46A6">
        <w:t>(78.8</w:t>
      </w:r>
      <w:r>
        <w:t xml:space="preserve">2 * </w:t>
      </w:r>
      <w:r w:rsidRPr="00DD46A6">
        <w:t>9))</w:t>
      </w:r>
      <w:r>
        <w:t xml:space="preserve"> </w:t>
      </w:r>
      <w:r w:rsidRPr="00DD46A6">
        <w:t>/</w:t>
      </w:r>
      <w:r>
        <w:t xml:space="preserve"> </w:t>
      </w:r>
      <w:r w:rsidRPr="00DD46A6">
        <w:t>12</w:t>
      </w:r>
      <w:r>
        <w:t xml:space="preserve"> </w:t>
      </w:r>
      <w:r w:rsidRPr="00DD46A6">
        <w:t>=</w:t>
      </w:r>
      <w:r>
        <w:t xml:space="preserve"> </w:t>
      </w:r>
      <w:r w:rsidRPr="00DD46A6">
        <w:t>$81.46</w:t>
      </w:r>
      <w:r>
        <w:t>.</w:t>
      </w:r>
    </w:p>
  </w:footnote>
  <w:footnote w:id="30">
    <w:p w:rsidR="00C87618" w:rsidRDefault="00C87618" w:rsidP="001D739B">
      <w:pPr>
        <w:pStyle w:val="FootnoteText"/>
      </w:pPr>
      <w:r w:rsidRPr="00AB6FE7">
        <w:rPr>
          <w:rStyle w:val="FootnoteReference"/>
        </w:rPr>
        <w:footnoteRef/>
      </w:r>
      <w:r>
        <w:t>Subject to Commission approval in</w:t>
      </w:r>
      <w:r w:rsidRPr="00087334">
        <w:t xml:space="preserve"> </w:t>
      </w:r>
      <w:r w:rsidRPr="004A728D">
        <w:t>Docket No. 20230020-EI</w:t>
      </w:r>
      <w:r>
        <w:t>.</w:t>
      </w:r>
    </w:p>
  </w:footnote>
  <w:footnote w:id="31">
    <w:p w:rsidR="00C87618" w:rsidRDefault="00C87618" w:rsidP="00AB6FE7">
      <w:pPr>
        <w:pStyle w:val="FootnoteText"/>
        <w:rPr>
          <w:highlight w:val="yellow"/>
        </w:rPr>
      </w:pPr>
      <w:r w:rsidRPr="008E2F9E">
        <w:rPr>
          <w:rStyle w:val="FootnoteReference"/>
        </w:rPr>
        <w:footnoteRef/>
      </w:r>
      <w:r w:rsidRPr="008E2F9E">
        <w:t>Document No. 01</w:t>
      </w:r>
      <w:r>
        <w:t>394</w:t>
      </w:r>
      <w:r w:rsidRPr="008E2F9E">
        <w:t>-2023.</w:t>
      </w:r>
    </w:p>
  </w:footnote>
  <w:footnote w:id="32">
    <w:p w:rsidR="00C87618" w:rsidRPr="00AB6FE7" w:rsidRDefault="00C87618" w:rsidP="00C566DF">
      <w:pPr>
        <w:pStyle w:val="FootnoteText"/>
      </w:pPr>
      <w:r w:rsidRPr="00AB6FE7">
        <w:rPr>
          <w:rStyle w:val="FootnoteReference"/>
        </w:rPr>
        <w:footnoteRef/>
      </w:r>
      <w:r>
        <w:t>DEF</w:t>
      </w:r>
      <w:r w:rsidRPr="00DD46A6">
        <w:t>’s 2023 base rates for December</w:t>
      </w:r>
      <w:r>
        <w:t xml:space="preserve"> 2022</w:t>
      </w:r>
      <w:r w:rsidRPr="00DD46A6">
        <w:t xml:space="preserve"> – February</w:t>
      </w:r>
      <w:r>
        <w:t xml:space="preserve"> 2023</w:t>
      </w:r>
      <w:r w:rsidRPr="00DD46A6">
        <w:t xml:space="preserve"> is $89.39; for March</w:t>
      </w:r>
      <w:r>
        <w:t xml:space="preserve"> 2023</w:t>
      </w:r>
      <w:r w:rsidRPr="00DD46A6">
        <w:t xml:space="preserve"> – November</w:t>
      </w:r>
      <w:r>
        <w:t xml:space="preserve"> 2023</w:t>
      </w:r>
      <w:r w:rsidRPr="00DD46A6">
        <w:t xml:space="preserve"> is</w:t>
      </w:r>
      <w:r>
        <w:t xml:space="preserve"> $</w:t>
      </w:r>
      <w:r w:rsidRPr="00DD46A6">
        <w:t>7</w:t>
      </w:r>
      <w:r>
        <w:t>8</w:t>
      </w:r>
      <w:r w:rsidRPr="00DD46A6">
        <w:t>.82.</w:t>
      </w:r>
      <w:r>
        <w:t xml:space="preserve"> The</w:t>
      </w:r>
      <w:r w:rsidRPr="00DD46A6">
        <w:t xml:space="preserve"> </w:t>
      </w:r>
      <w:r>
        <w:t>w</w:t>
      </w:r>
      <w:r w:rsidRPr="00DD46A6">
        <w:t>eighted average</w:t>
      </w:r>
      <w:r>
        <w:t xml:space="preserve"> is equal to</w:t>
      </w:r>
      <w:r w:rsidRPr="00DD46A6">
        <w:t>: (($89.39</w:t>
      </w:r>
      <w:r>
        <w:t xml:space="preserve"> * </w:t>
      </w:r>
      <w:r w:rsidRPr="00DD46A6">
        <w:t>3)</w:t>
      </w:r>
      <w:r>
        <w:t xml:space="preserve"> </w:t>
      </w:r>
      <w:r w:rsidRPr="00DD46A6">
        <w:t>+</w:t>
      </w:r>
      <w:r>
        <w:t xml:space="preserve"> </w:t>
      </w:r>
      <w:r w:rsidRPr="00DD46A6">
        <w:t>(78.8</w:t>
      </w:r>
      <w:r>
        <w:t xml:space="preserve">2 * </w:t>
      </w:r>
      <w:r w:rsidRPr="00DD46A6">
        <w:t>9))</w:t>
      </w:r>
      <w:r>
        <w:t xml:space="preserve"> </w:t>
      </w:r>
      <w:r w:rsidRPr="00DD46A6">
        <w:t>/</w:t>
      </w:r>
      <w:r>
        <w:t xml:space="preserve"> </w:t>
      </w:r>
      <w:r w:rsidRPr="00DD46A6">
        <w:t>12</w:t>
      </w:r>
      <w:r>
        <w:t xml:space="preserve"> </w:t>
      </w:r>
      <w:r w:rsidRPr="00DD46A6">
        <w:t>=</w:t>
      </w:r>
      <w:r>
        <w:t xml:space="preserve"> </w:t>
      </w:r>
      <w:r w:rsidRPr="00DD46A6">
        <w:t>$81.46</w:t>
      </w:r>
      <w:r>
        <w:t>.</w:t>
      </w:r>
    </w:p>
  </w:footnote>
  <w:footnote w:id="33">
    <w:p w:rsidR="00C87618" w:rsidRDefault="00C87618" w:rsidP="00066E06">
      <w:pPr>
        <w:pStyle w:val="FootnoteText"/>
      </w:pPr>
      <w:r w:rsidRPr="00AB6FE7">
        <w:rPr>
          <w:rStyle w:val="FootnoteReference"/>
        </w:rPr>
        <w:footnoteRef/>
      </w:r>
      <w:r>
        <w:t>Subject to Commission approval in</w:t>
      </w:r>
      <w:r w:rsidRPr="00087334">
        <w:t xml:space="preserve"> </w:t>
      </w:r>
      <w:r w:rsidRPr="004A728D">
        <w:t>Docket No. 20230020-EI</w:t>
      </w:r>
      <w:r>
        <w:t>.</w:t>
      </w:r>
    </w:p>
  </w:footnote>
  <w:footnote w:id="34">
    <w:p w:rsidR="00C87618" w:rsidRDefault="00C87618">
      <w:pPr>
        <w:pStyle w:val="FootnoteText"/>
      </w:pPr>
      <w:r>
        <w:rPr>
          <w:rStyle w:val="FootnoteReference"/>
        </w:rPr>
        <w:footnoteRef/>
      </w:r>
      <w:r>
        <w:t>Document No. 0</w:t>
      </w:r>
      <w:r w:rsidR="00DA1CE6">
        <w:t>1387</w:t>
      </w:r>
      <w:r>
        <w:t>-2023.</w:t>
      </w:r>
    </w:p>
  </w:footnote>
  <w:footnote w:id="35">
    <w:p w:rsidR="00C87618" w:rsidRDefault="00C87618" w:rsidP="001E7BCB">
      <w:pPr>
        <w:pStyle w:val="FootnoteText"/>
        <w:rPr>
          <w:highlight w:val="yellow"/>
        </w:rPr>
      </w:pPr>
      <w:r w:rsidRPr="008E2F9E">
        <w:rPr>
          <w:rStyle w:val="FootnoteReference"/>
        </w:rPr>
        <w:footnoteRef/>
      </w:r>
      <w:r w:rsidRPr="008E2F9E">
        <w:t xml:space="preserve">Document No. </w:t>
      </w:r>
      <w:r w:rsidR="00D23A8D">
        <w:t>01394</w:t>
      </w:r>
      <w:r w:rsidRPr="008E2F9E">
        <w:t>-2023.</w:t>
      </w:r>
    </w:p>
  </w:footnote>
  <w:footnote w:id="36">
    <w:p w:rsidR="00C87618" w:rsidRDefault="00C87618" w:rsidP="00303BF1">
      <w:pPr>
        <w:pStyle w:val="FootnoteText"/>
      </w:pPr>
      <w:r>
        <w:rPr>
          <w:rStyle w:val="FootnoteReference"/>
        </w:rPr>
        <w:footnoteRef/>
      </w:r>
      <w:r w:rsidRPr="00A41036">
        <w:rPr>
          <w:i/>
        </w:rPr>
        <w:t>Id</w:t>
      </w:r>
      <w:r>
        <w:t xml:space="preserve">. </w:t>
      </w:r>
    </w:p>
  </w:footnote>
  <w:footnote w:id="37">
    <w:p w:rsidR="00C87618" w:rsidRPr="00BF4B44" w:rsidRDefault="00C87618" w:rsidP="00537739">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t xml:space="preserve">Order No. PSC-11-0581-PCO-EI,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p>
  </w:footnote>
  <w:footnote w:id="38">
    <w:p w:rsidR="00C87618" w:rsidRDefault="00C87618" w:rsidP="00537739">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39">
    <w:p w:rsidR="00C87618" w:rsidRDefault="00C87618" w:rsidP="00537739">
      <w:pPr>
        <w:pStyle w:val="FootnoteText"/>
        <w:rPr>
          <w:highlight w:val="yellow"/>
        </w:rPr>
      </w:pPr>
      <w:r w:rsidRPr="005874DC">
        <w:rPr>
          <w:rStyle w:val="FootnoteReference"/>
        </w:rPr>
        <w:footnoteRef/>
      </w:r>
      <w:r w:rsidRPr="005874DC">
        <w:t>Document No. 00864-2023.</w:t>
      </w:r>
    </w:p>
  </w:footnote>
  <w:footnote w:id="40">
    <w:p w:rsidR="00C87618" w:rsidRPr="00BF4B44" w:rsidRDefault="00C87618" w:rsidP="00537739">
      <w:pPr>
        <w:pStyle w:val="FootnoteText"/>
      </w:pPr>
      <w:r w:rsidRPr="00BF4B44">
        <w:rPr>
          <w:rStyle w:val="FootnoteReference"/>
        </w:rPr>
        <w:footnoteRef/>
      </w:r>
      <w:r w:rsidRPr="000D3CE5">
        <w:rPr>
          <w:i/>
        </w:rPr>
        <w:t>Id</w:t>
      </w:r>
      <w:r w:rsidRPr="00BF4B4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8" w:rsidRDefault="00C87618"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20230001-EI</w:t>
    </w:r>
    <w:bookmarkEnd w:id="14"/>
  </w:p>
  <w:p w:rsidR="00C87618" w:rsidRDefault="00C87618">
    <w:pPr>
      <w:pStyle w:val="Header"/>
    </w:pPr>
    <w:r>
      <w:t xml:space="preserve">Date: </w:t>
    </w:r>
    <w:r w:rsidR="00247652" w:rsidRPr="00C27C1B">
      <w:fldChar w:fldCharType="begin"/>
    </w:r>
    <w:r w:rsidR="00247652" w:rsidRPr="00B104D7">
      <w:instrText xml:space="preserve"> REF FilingDate </w:instrText>
    </w:r>
    <w:r w:rsidR="00B104D7">
      <w:instrText xml:space="preserve"> \* MERGEFORMAT </w:instrText>
    </w:r>
    <w:r w:rsidR="00247652" w:rsidRPr="00C27C1B">
      <w:fldChar w:fldCharType="separate"/>
    </w:r>
    <w:r w:rsidR="00341F7F">
      <w:t>March 2, 2023</w:t>
    </w:r>
    <w:r w:rsidR="00247652" w:rsidRPr="00C27C1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DF" w:rsidRDefault="00516074" w:rsidP="00516074">
    <w:pPr>
      <w:pStyle w:val="Header"/>
      <w:jc w:val="right"/>
    </w:pPr>
    <w:r>
      <w:t>REVISED 03/02/23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8" w:rsidRDefault="00C87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8" w:rsidRDefault="00C87618" w:rsidP="00220732">
    <w:pPr>
      <w:pStyle w:val="Header"/>
      <w:tabs>
        <w:tab w:val="clear" w:pos="4320"/>
        <w:tab w:val="clear" w:pos="8640"/>
        <w:tab w:val="right" w:pos="9360"/>
      </w:tabs>
    </w:pPr>
    <w:r>
      <w:fldChar w:fldCharType="begin"/>
    </w:r>
    <w:r>
      <w:instrText xml:space="preserve"> REF DocketLabel</w:instrText>
    </w:r>
    <w:r>
      <w:fldChar w:fldCharType="separate"/>
    </w:r>
    <w:r w:rsidR="00F977DF">
      <w:t>Docket No.</w:t>
    </w:r>
    <w:r>
      <w:fldChar w:fldCharType="end"/>
    </w:r>
    <w:r>
      <w:t xml:space="preserve"> </w:t>
    </w:r>
    <w:r>
      <w:fldChar w:fldCharType="begin"/>
    </w:r>
    <w:r>
      <w:instrText xml:space="preserve"> REF DocketList</w:instrText>
    </w:r>
    <w:r>
      <w:fldChar w:fldCharType="separate"/>
    </w:r>
    <w:r w:rsidR="00F977DF">
      <w:t>20230001-EI</w:t>
    </w:r>
    <w:r>
      <w:fldChar w:fldCharType="end"/>
    </w:r>
    <w:r>
      <w:tab/>
      <w:t xml:space="preserve">Issue </w:t>
    </w:r>
    <w:r w:rsidR="00C62459">
      <w:fldChar w:fldCharType="begin"/>
    </w:r>
    <w:r w:rsidR="00C62459">
      <w:instrText xml:space="preserve"> Seq Issue \c \* Arabic </w:instrText>
    </w:r>
    <w:r w:rsidR="00C62459">
      <w:fldChar w:fldCharType="separate"/>
    </w:r>
    <w:r w:rsidR="0026174F">
      <w:rPr>
        <w:noProof/>
      </w:rPr>
      <w:t>3</w:t>
    </w:r>
    <w:r w:rsidR="00C62459">
      <w:rPr>
        <w:noProof/>
      </w:rPr>
      <w:fldChar w:fldCharType="end"/>
    </w:r>
  </w:p>
  <w:p w:rsidR="00C87618" w:rsidRDefault="00C87618">
    <w:pPr>
      <w:pStyle w:val="Header"/>
    </w:pPr>
    <w:r w:rsidRPr="00B104D7">
      <w:t xml:space="preserve">Date: </w:t>
    </w:r>
    <w:r w:rsidR="00247652" w:rsidRPr="00C27C1B">
      <w:fldChar w:fldCharType="begin"/>
    </w:r>
    <w:r w:rsidR="00247652" w:rsidRPr="00B104D7">
      <w:instrText xml:space="preserve"> REF FilingDate </w:instrText>
    </w:r>
    <w:r w:rsidR="00B104D7">
      <w:instrText xml:space="preserve"> \* MERGEFORMAT </w:instrText>
    </w:r>
    <w:r w:rsidR="00247652" w:rsidRPr="00C27C1B">
      <w:fldChar w:fldCharType="separate"/>
    </w:r>
    <w:r w:rsidR="00341F7F">
      <w:t>March 2, 2023</w:t>
    </w:r>
    <w:r w:rsidR="00247652" w:rsidRPr="00C27C1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8" w:rsidRDefault="00C876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8" w:rsidRDefault="00C876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8" w:rsidRDefault="00C87618" w:rsidP="00220732">
    <w:pPr>
      <w:pStyle w:val="Header"/>
      <w:tabs>
        <w:tab w:val="clear" w:pos="4320"/>
        <w:tab w:val="clear" w:pos="8640"/>
        <w:tab w:val="right" w:pos="9360"/>
      </w:tabs>
    </w:pPr>
    <w:r>
      <w:fldChar w:fldCharType="begin"/>
    </w:r>
    <w:r>
      <w:instrText xml:space="preserve"> REF DocketLabel</w:instrText>
    </w:r>
    <w:r>
      <w:fldChar w:fldCharType="separate"/>
    </w:r>
    <w:r w:rsidR="00F977DF">
      <w:t>Docket No.</w:t>
    </w:r>
    <w:r>
      <w:fldChar w:fldCharType="end"/>
    </w:r>
    <w:r>
      <w:t xml:space="preserve"> </w:t>
    </w:r>
    <w:r>
      <w:fldChar w:fldCharType="begin"/>
    </w:r>
    <w:r>
      <w:instrText xml:space="preserve"> REF DocketList</w:instrText>
    </w:r>
    <w:r>
      <w:fldChar w:fldCharType="separate"/>
    </w:r>
    <w:r w:rsidR="00F977DF">
      <w:t>20230001-EI</w:t>
    </w:r>
    <w:r>
      <w:fldChar w:fldCharType="end"/>
    </w:r>
    <w:r>
      <w:tab/>
      <w:t>Appendix A</w:t>
    </w:r>
  </w:p>
  <w:p w:rsidR="00C87618" w:rsidRDefault="00C87618">
    <w:pPr>
      <w:pStyle w:val="Header"/>
    </w:pPr>
    <w:r>
      <w:t>Dat</w:t>
    </w:r>
    <w:r w:rsidRPr="00B104D7">
      <w:t xml:space="preserve">e: </w:t>
    </w:r>
    <w:r w:rsidR="00247652" w:rsidRPr="00C27C1B">
      <w:fldChar w:fldCharType="begin"/>
    </w:r>
    <w:r w:rsidR="00247652" w:rsidRPr="00B104D7">
      <w:instrText xml:space="preserve"> REF FilingDate </w:instrText>
    </w:r>
    <w:r w:rsidR="00B104D7">
      <w:instrText xml:space="preserve"> \* MERGEFORMAT </w:instrText>
    </w:r>
    <w:r w:rsidR="00247652" w:rsidRPr="00C27C1B">
      <w:fldChar w:fldCharType="separate"/>
    </w:r>
    <w:r w:rsidR="00341F7F">
      <w:t>March 2, 2023</w:t>
    </w:r>
    <w:r w:rsidR="00247652" w:rsidRPr="00C27C1B">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8" w:rsidRDefault="00C8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442CF"/>
    <w:rsid w:val="000012DF"/>
    <w:rsid w:val="000027B6"/>
    <w:rsid w:val="000043D5"/>
    <w:rsid w:val="00006170"/>
    <w:rsid w:val="00010E37"/>
    <w:rsid w:val="0001170E"/>
    <w:rsid w:val="0001253B"/>
    <w:rsid w:val="000151B0"/>
    <w:rsid w:val="000172DA"/>
    <w:rsid w:val="000207CC"/>
    <w:rsid w:val="00022337"/>
    <w:rsid w:val="00023A0E"/>
    <w:rsid w:val="000247C5"/>
    <w:rsid w:val="00024F6D"/>
    <w:rsid w:val="000277C2"/>
    <w:rsid w:val="00035B48"/>
    <w:rsid w:val="00036CE2"/>
    <w:rsid w:val="00041104"/>
    <w:rsid w:val="000437FE"/>
    <w:rsid w:val="000513BE"/>
    <w:rsid w:val="000513F8"/>
    <w:rsid w:val="00051573"/>
    <w:rsid w:val="0005451B"/>
    <w:rsid w:val="000620BC"/>
    <w:rsid w:val="00064331"/>
    <w:rsid w:val="00065A06"/>
    <w:rsid w:val="000666F3"/>
    <w:rsid w:val="00066E06"/>
    <w:rsid w:val="00070DCB"/>
    <w:rsid w:val="00072847"/>
    <w:rsid w:val="00072CCA"/>
    <w:rsid w:val="00073120"/>
    <w:rsid w:val="000764D0"/>
    <w:rsid w:val="00077C11"/>
    <w:rsid w:val="000828D3"/>
    <w:rsid w:val="00082AA5"/>
    <w:rsid w:val="00082F1D"/>
    <w:rsid w:val="00086EBC"/>
    <w:rsid w:val="00087334"/>
    <w:rsid w:val="00095C31"/>
    <w:rsid w:val="000A2B57"/>
    <w:rsid w:val="000A418B"/>
    <w:rsid w:val="000A5ED9"/>
    <w:rsid w:val="000B0ACE"/>
    <w:rsid w:val="000C4431"/>
    <w:rsid w:val="000C50C0"/>
    <w:rsid w:val="000C6607"/>
    <w:rsid w:val="000D0B2C"/>
    <w:rsid w:val="000D1C06"/>
    <w:rsid w:val="000D2B24"/>
    <w:rsid w:val="000D3043"/>
    <w:rsid w:val="000D3CE5"/>
    <w:rsid w:val="000D4319"/>
    <w:rsid w:val="000E24FA"/>
    <w:rsid w:val="000E338A"/>
    <w:rsid w:val="000E4392"/>
    <w:rsid w:val="000E74F5"/>
    <w:rsid w:val="000F374A"/>
    <w:rsid w:val="000F3D66"/>
    <w:rsid w:val="000F4DAF"/>
    <w:rsid w:val="000F5F64"/>
    <w:rsid w:val="00105BA1"/>
    <w:rsid w:val="001076AF"/>
    <w:rsid w:val="001109F6"/>
    <w:rsid w:val="00116C6B"/>
    <w:rsid w:val="00117C8C"/>
    <w:rsid w:val="00121E53"/>
    <w:rsid w:val="001221E9"/>
    <w:rsid w:val="001239F0"/>
    <w:rsid w:val="00124C38"/>
    <w:rsid w:val="00124E2E"/>
    <w:rsid w:val="00125ED4"/>
    <w:rsid w:val="00127A1F"/>
    <w:rsid w:val="001303BF"/>
    <w:rsid w:val="001305E9"/>
    <w:rsid w:val="001307AF"/>
    <w:rsid w:val="001321AA"/>
    <w:rsid w:val="00132F9C"/>
    <w:rsid w:val="0013347E"/>
    <w:rsid w:val="00135687"/>
    <w:rsid w:val="00136266"/>
    <w:rsid w:val="00136BD1"/>
    <w:rsid w:val="00143547"/>
    <w:rsid w:val="00146B5D"/>
    <w:rsid w:val="00150ECE"/>
    <w:rsid w:val="0015506E"/>
    <w:rsid w:val="00162855"/>
    <w:rsid w:val="00163031"/>
    <w:rsid w:val="001654C4"/>
    <w:rsid w:val="00167FA6"/>
    <w:rsid w:val="00171107"/>
    <w:rsid w:val="00171A90"/>
    <w:rsid w:val="00180254"/>
    <w:rsid w:val="00187023"/>
    <w:rsid w:val="00191E1F"/>
    <w:rsid w:val="00191EE8"/>
    <w:rsid w:val="00192943"/>
    <w:rsid w:val="00193621"/>
    <w:rsid w:val="00193BAF"/>
    <w:rsid w:val="00194791"/>
    <w:rsid w:val="001A7406"/>
    <w:rsid w:val="001A7AE4"/>
    <w:rsid w:val="001B1EDC"/>
    <w:rsid w:val="001B4053"/>
    <w:rsid w:val="001B4FEE"/>
    <w:rsid w:val="001B51C5"/>
    <w:rsid w:val="001B672A"/>
    <w:rsid w:val="001B6F3F"/>
    <w:rsid w:val="001C3CCD"/>
    <w:rsid w:val="001C52B5"/>
    <w:rsid w:val="001D0D3E"/>
    <w:rsid w:val="001D2817"/>
    <w:rsid w:val="001D2899"/>
    <w:rsid w:val="001D593A"/>
    <w:rsid w:val="001D739B"/>
    <w:rsid w:val="001E14A3"/>
    <w:rsid w:val="001E3248"/>
    <w:rsid w:val="001E56B8"/>
    <w:rsid w:val="001E7BCB"/>
    <w:rsid w:val="001E7FF4"/>
    <w:rsid w:val="001F2245"/>
    <w:rsid w:val="001F2C63"/>
    <w:rsid w:val="001F48C7"/>
    <w:rsid w:val="001F534F"/>
    <w:rsid w:val="001F6DA1"/>
    <w:rsid w:val="001F716A"/>
    <w:rsid w:val="001F78A5"/>
    <w:rsid w:val="00200178"/>
    <w:rsid w:val="00204200"/>
    <w:rsid w:val="002044E6"/>
    <w:rsid w:val="00205C82"/>
    <w:rsid w:val="00205DC2"/>
    <w:rsid w:val="00207E64"/>
    <w:rsid w:val="002126D8"/>
    <w:rsid w:val="00212B17"/>
    <w:rsid w:val="002163B6"/>
    <w:rsid w:val="00217215"/>
    <w:rsid w:val="00220732"/>
    <w:rsid w:val="0022121F"/>
    <w:rsid w:val="00221D32"/>
    <w:rsid w:val="00222AC1"/>
    <w:rsid w:val="00223723"/>
    <w:rsid w:val="00225C3F"/>
    <w:rsid w:val="00232C08"/>
    <w:rsid w:val="00241E96"/>
    <w:rsid w:val="00247652"/>
    <w:rsid w:val="0026174F"/>
    <w:rsid w:val="00263D44"/>
    <w:rsid w:val="002702AD"/>
    <w:rsid w:val="00271BDB"/>
    <w:rsid w:val="00276528"/>
    <w:rsid w:val="00281EB4"/>
    <w:rsid w:val="002836DC"/>
    <w:rsid w:val="00292D82"/>
    <w:rsid w:val="00293EE7"/>
    <w:rsid w:val="00295509"/>
    <w:rsid w:val="002963CB"/>
    <w:rsid w:val="002A5BA4"/>
    <w:rsid w:val="002B2DAC"/>
    <w:rsid w:val="002B4A01"/>
    <w:rsid w:val="002C2360"/>
    <w:rsid w:val="002C291B"/>
    <w:rsid w:val="002C45FE"/>
    <w:rsid w:val="002C746A"/>
    <w:rsid w:val="002C7E4E"/>
    <w:rsid w:val="002D226D"/>
    <w:rsid w:val="002D74E3"/>
    <w:rsid w:val="002E5C11"/>
    <w:rsid w:val="002F3F07"/>
    <w:rsid w:val="002F59A4"/>
    <w:rsid w:val="002F6030"/>
    <w:rsid w:val="003001AC"/>
    <w:rsid w:val="00300ED5"/>
    <w:rsid w:val="003037E1"/>
    <w:rsid w:val="00303BF1"/>
    <w:rsid w:val="00307E51"/>
    <w:rsid w:val="003103EC"/>
    <w:rsid w:val="00312132"/>
    <w:rsid w:val="0031296E"/>
    <w:rsid w:val="003130BA"/>
    <w:rsid w:val="003144EF"/>
    <w:rsid w:val="0031480E"/>
    <w:rsid w:val="00316877"/>
    <w:rsid w:val="00322F74"/>
    <w:rsid w:val="00325E15"/>
    <w:rsid w:val="00336183"/>
    <w:rsid w:val="0033746D"/>
    <w:rsid w:val="00340073"/>
    <w:rsid w:val="003411D8"/>
    <w:rsid w:val="00341F7F"/>
    <w:rsid w:val="0034286D"/>
    <w:rsid w:val="003445B0"/>
    <w:rsid w:val="003472E9"/>
    <w:rsid w:val="00353282"/>
    <w:rsid w:val="00353B66"/>
    <w:rsid w:val="00355934"/>
    <w:rsid w:val="00357928"/>
    <w:rsid w:val="003632FD"/>
    <w:rsid w:val="00366E2F"/>
    <w:rsid w:val="00370F78"/>
    <w:rsid w:val="0037251E"/>
    <w:rsid w:val="00372805"/>
    <w:rsid w:val="00373180"/>
    <w:rsid w:val="00375AB9"/>
    <w:rsid w:val="0037691E"/>
    <w:rsid w:val="003821A0"/>
    <w:rsid w:val="00384078"/>
    <w:rsid w:val="00385B04"/>
    <w:rsid w:val="003864CF"/>
    <w:rsid w:val="003948AE"/>
    <w:rsid w:val="003A08C0"/>
    <w:rsid w:val="003A20C3"/>
    <w:rsid w:val="003A22A6"/>
    <w:rsid w:val="003A2992"/>
    <w:rsid w:val="003A32EB"/>
    <w:rsid w:val="003A5494"/>
    <w:rsid w:val="003A6E97"/>
    <w:rsid w:val="003A7BA0"/>
    <w:rsid w:val="003A7D73"/>
    <w:rsid w:val="003B2510"/>
    <w:rsid w:val="003B4355"/>
    <w:rsid w:val="003B7D36"/>
    <w:rsid w:val="003C0071"/>
    <w:rsid w:val="003C2CC4"/>
    <w:rsid w:val="003C3710"/>
    <w:rsid w:val="003C42A3"/>
    <w:rsid w:val="003C48F7"/>
    <w:rsid w:val="003E0463"/>
    <w:rsid w:val="003E0EFC"/>
    <w:rsid w:val="003E2864"/>
    <w:rsid w:val="003E33C4"/>
    <w:rsid w:val="003E4A2B"/>
    <w:rsid w:val="003E6FE9"/>
    <w:rsid w:val="003E76C2"/>
    <w:rsid w:val="003F1367"/>
    <w:rsid w:val="003F1679"/>
    <w:rsid w:val="003F21EB"/>
    <w:rsid w:val="003F430A"/>
    <w:rsid w:val="003F4A35"/>
    <w:rsid w:val="003F5F03"/>
    <w:rsid w:val="003F7FDD"/>
    <w:rsid w:val="00402101"/>
    <w:rsid w:val="00402481"/>
    <w:rsid w:val="004042B4"/>
    <w:rsid w:val="00410DC4"/>
    <w:rsid w:val="00411CEE"/>
    <w:rsid w:val="00412DAE"/>
    <w:rsid w:val="0041302D"/>
    <w:rsid w:val="004242E6"/>
    <w:rsid w:val="00426342"/>
    <w:rsid w:val="00427B35"/>
    <w:rsid w:val="00431598"/>
    <w:rsid w:val="004319AD"/>
    <w:rsid w:val="0043285E"/>
    <w:rsid w:val="0043438C"/>
    <w:rsid w:val="00440F8C"/>
    <w:rsid w:val="0044106E"/>
    <w:rsid w:val="004426B8"/>
    <w:rsid w:val="00444432"/>
    <w:rsid w:val="00447D5C"/>
    <w:rsid w:val="00450202"/>
    <w:rsid w:val="004502B2"/>
    <w:rsid w:val="00451EA4"/>
    <w:rsid w:val="00454439"/>
    <w:rsid w:val="00455499"/>
    <w:rsid w:val="004649A7"/>
    <w:rsid w:val="00465F0B"/>
    <w:rsid w:val="00471860"/>
    <w:rsid w:val="00477026"/>
    <w:rsid w:val="00477730"/>
    <w:rsid w:val="00481C81"/>
    <w:rsid w:val="00490ED2"/>
    <w:rsid w:val="00495D29"/>
    <w:rsid w:val="00496F5E"/>
    <w:rsid w:val="004A728D"/>
    <w:rsid w:val="004A7440"/>
    <w:rsid w:val="004A744D"/>
    <w:rsid w:val="004B60BD"/>
    <w:rsid w:val="004B7C36"/>
    <w:rsid w:val="004C3150"/>
    <w:rsid w:val="004C3641"/>
    <w:rsid w:val="004C3873"/>
    <w:rsid w:val="004C4390"/>
    <w:rsid w:val="004C4AF7"/>
    <w:rsid w:val="004C5990"/>
    <w:rsid w:val="004C6AF0"/>
    <w:rsid w:val="004C7501"/>
    <w:rsid w:val="004D020C"/>
    <w:rsid w:val="004D1FA2"/>
    <w:rsid w:val="004D2881"/>
    <w:rsid w:val="004D2D7D"/>
    <w:rsid w:val="004D385F"/>
    <w:rsid w:val="004D458B"/>
    <w:rsid w:val="004D5B39"/>
    <w:rsid w:val="004D7976"/>
    <w:rsid w:val="004E0CEA"/>
    <w:rsid w:val="004E2479"/>
    <w:rsid w:val="004E330D"/>
    <w:rsid w:val="004E4985"/>
    <w:rsid w:val="004E5147"/>
    <w:rsid w:val="004E69B5"/>
    <w:rsid w:val="004F50D1"/>
    <w:rsid w:val="004F5C43"/>
    <w:rsid w:val="005050A2"/>
    <w:rsid w:val="00505223"/>
    <w:rsid w:val="00506030"/>
    <w:rsid w:val="0050652D"/>
    <w:rsid w:val="00506C03"/>
    <w:rsid w:val="00511A11"/>
    <w:rsid w:val="00513E59"/>
    <w:rsid w:val="00516074"/>
    <w:rsid w:val="00516496"/>
    <w:rsid w:val="00522E7D"/>
    <w:rsid w:val="00523B11"/>
    <w:rsid w:val="0052455B"/>
    <w:rsid w:val="0052572A"/>
    <w:rsid w:val="00525D4E"/>
    <w:rsid w:val="00532DFB"/>
    <w:rsid w:val="00537739"/>
    <w:rsid w:val="00543CB3"/>
    <w:rsid w:val="005442E4"/>
    <w:rsid w:val="00547652"/>
    <w:rsid w:val="00551693"/>
    <w:rsid w:val="00554485"/>
    <w:rsid w:val="0055529B"/>
    <w:rsid w:val="005561C6"/>
    <w:rsid w:val="00560FF0"/>
    <w:rsid w:val="005614BD"/>
    <w:rsid w:val="00565532"/>
    <w:rsid w:val="005662FA"/>
    <w:rsid w:val="00566BB0"/>
    <w:rsid w:val="0057154F"/>
    <w:rsid w:val="00580F69"/>
    <w:rsid w:val="00581CA3"/>
    <w:rsid w:val="005835BF"/>
    <w:rsid w:val="005838CC"/>
    <w:rsid w:val="00585031"/>
    <w:rsid w:val="00585D18"/>
    <w:rsid w:val="00586E8B"/>
    <w:rsid w:val="005874DC"/>
    <w:rsid w:val="00587A44"/>
    <w:rsid w:val="00596BE7"/>
    <w:rsid w:val="00597730"/>
    <w:rsid w:val="005977EC"/>
    <w:rsid w:val="00597DE7"/>
    <w:rsid w:val="005A4AA2"/>
    <w:rsid w:val="005B34B6"/>
    <w:rsid w:val="005B606A"/>
    <w:rsid w:val="005B692E"/>
    <w:rsid w:val="005B6C8F"/>
    <w:rsid w:val="005B6EC3"/>
    <w:rsid w:val="005C17D7"/>
    <w:rsid w:val="005C33CE"/>
    <w:rsid w:val="005C7D0B"/>
    <w:rsid w:val="005D0F74"/>
    <w:rsid w:val="005D2E7D"/>
    <w:rsid w:val="005D4A8F"/>
    <w:rsid w:val="005D561B"/>
    <w:rsid w:val="005D578F"/>
    <w:rsid w:val="005D5ECF"/>
    <w:rsid w:val="005D7DBD"/>
    <w:rsid w:val="005E1D6F"/>
    <w:rsid w:val="005F468D"/>
    <w:rsid w:val="005F69A3"/>
    <w:rsid w:val="005F799B"/>
    <w:rsid w:val="006047FC"/>
    <w:rsid w:val="00604CC7"/>
    <w:rsid w:val="006112B6"/>
    <w:rsid w:val="00611FD0"/>
    <w:rsid w:val="00613441"/>
    <w:rsid w:val="00615423"/>
    <w:rsid w:val="006155A7"/>
    <w:rsid w:val="006165B2"/>
    <w:rsid w:val="00617276"/>
    <w:rsid w:val="0062527B"/>
    <w:rsid w:val="00625D97"/>
    <w:rsid w:val="00625F1C"/>
    <w:rsid w:val="0062658E"/>
    <w:rsid w:val="006279E1"/>
    <w:rsid w:val="00630CEB"/>
    <w:rsid w:val="00630E0E"/>
    <w:rsid w:val="00632264"/>
    <w:rsid w:val="006355F2"/>
    <w:rsid w:val="00641E0D"/>
    <w:rsid w:val="006470BC"/>
    <w:rsid w:val="006554D3"/>
    <w:rsid w:val="006603F4"/>
    <w:rsid w:val="00661708"/>
    <w:rsid w:val="00666522"/>
    <w:rsid w:val="00667036"/>
    <w:rsid w:val="00667B89"/>
    <w:rsid w:val="00673BDB"/>
    <w:rsid w:val="00674341"/>
    <w:rsid w:val="006771B8"/>
    <w:rsid w:val="00681E64"/>
    <w:rsid w:val="00682631"/>
    <w:rsid w:val="00683A89"/>
    <w:rsid w:val="006843B6"/>
    <w:rsid w:val="0068481F"/>
    <w:rsid w:val="00685C17"/>
    <w:rsid w:val="00693EA1"/>
    <w:rsid w:val="0069636F"/>
    <w:rsid w:val="00696BE9"/>
    <w:rsid w:val="00696F5D"/>
    <w:rsid w:val="00697249"/>
    <w:rsid w:val="006A06F3"/>
    <w:rsid w:val="006A1A67"/>
    <w:rsid w:val="006A21CB"/>
    <w:rsid w:val="006B09C4"/>
    <w:rsid w:val="006B3947"/>
    <w:rsid w:val="006B4293"/>
    <w:rsid w:val="006B624F"/>
    <w:rsid w:val="006C0C95"/>
    <w:rsid w:val="006C31E3"/>
    <w:rsid w:val="006C3DE2"/>
    <w:rsid w:val="006D18D3"/>
    <w:rsid w:val="006D1986"/>
    <w:rsid w:val="006D1EE9"/>
    <w:rsid w:val="006D3BD1"/>
    <w:rsid w:val="006D5313"/>
    <w:rsid w:val="006E010E"/>
    <w:rsid w:val="006E08CB"/>
    <w:rsid w:val="006E555B"/>
    <w:rsid w:val="006E598D"/>
    <w:rsid w:val="006F119A"/>
    <w:rsid w:val="0070437D"/>
    <w:rsid w:val="00704CF1"/>
    <w:rsid w:val="00705B04"/>
    <w:rsid w:val="0071040E"/>
    <w:rsid w:val="00712DA9"/>
    <w:rsid w:val="0071653C"/>
    <w:rsid w:val="00717EE9"/>
    <w:rsid w:val="00723D8E"/>
    <w:rsid w:val="00724992"/>
    <w:rsid w:val="00724F64"/>
    <w:rsid w:val="00727F90"/>
    <w:rsid w:val="00734820"/>
    <w:rsid w:val="007349DC"/>
    <w:rsid w:val="0074365E"/>
    <w:rsid w:val="00744B55"/>
    <w:rsid w:val="00745941"/>
    <w:rsid w:val="007515FD"/>
    <w:rsid w:val="007570F5"/>
    <w:rsid w:val="00760D80"/>
    <w:rsid w:val="00761CB4"/>
    <w:rsid w:val="00772E35"/>
    <w:rsid w:val="007774AB"/>
    <w:rsid w:val="007777CC"/>
    <w:rsid w:val="00780C09"/>
    <w:rsid w:val="00780DDF"/>
    <w:rsid w:val="007834E9"/>
    <w:rsid w:val="00785174"/>
    <w:rsid w:val="00787184"/>
    <w:rsid w:val="00787DBC"/>
    <w:rsid w:val="0079019A"/>
    <w:rsid w:val="00790F95"/>
    <w:rsid w:val="00792935"/>
    <w:rsid w:val="00794228"/>
    <w:rsid w:val="007A04A1"/>
    <w:rsid w:val="007A1840"/>
    <w:rsid w:val="007B3951"/>
    <w:rsid w:val="007B730C"/>
    <w:rsid w:val="007C0528"/>
    <w:rsid w:val="007C08EA"/>
    <w:rsid w:val="007C3D38"/>
    <w:rsid w:val="007D0D9B"/>
    <w:rsid w:val="007D0F35"/>
    <w:rsid w:val="007D1819"/>
    <w:rsid w:val="007D4546"/>
    <w:rsid w:val="007D4FEB"/>
    <w:rsid w:val="007D6146"/>
    <w:rsid w:val="007E0CE7"/>
    <w:rsid w:val="007F0A87"/>
    <w:rsid w:val="007F1193"/>
    <w:rsid w:val="007F417F"/>
    <w:rsid w:val="007F4EDC"/>
    <w:rsid w:val="007F7644"/>
    <w:rsid w:val="007F78B5"/>
    <w:rsid w:val="008002E8"/>
    <w:rsid w:val="00803E40"/>
    <w:rsid w:val="008042BD"/>
    <w:rsid w:val="008050B3"/>
    <w:rsid w:val="00805904"/>
    <w:rsid w:val="00806FD5"/>
    <w:rsid w:val="0081504E"/>
    <w:rsid w:val="008160EB"/>
    <w:rsid w:val="00816624"/>
    <w:rsid w:val="00816813"/>
    <w:rsid w:val="008169DB"/>
    <w:rsid w:val="00822427"/>
    <w:rsid w:val="00822562"/>
    <w:rsid w:val="00823663"/>
    <w:rsid w:val="00823664"/>
    <w:rsid w:val="008305B7"/>
    <w:rsid w:val="00832DDC"/>
    <w:rsid w:val="008426B0"/>
    <w:rsid w:val="008431BB"/>
    <w:rsid w:val="00845E34"/>
    <w:rsid w:val="00846E71"/>
    <w:rsid w:val="00850BAC"/>
    <w:rsid w:val="008512DA"/>
    <w:rsid w:val="00854A3E"/>
    <w:rsid w:val="00855D08"/>
    <w:rsid w:val="008618A4"/>
    <w:rsid w:val="008731AB"/>
    <w:rsid w:val="00874344"/>
    <w:rsid w:val="0087505D"/>
    <w:rsid w:val="00877703"/>
    <w:rsid w:val="00882155"/>
    <w:rsid w:val="0088233B"/>
    <w:rsid w:val="0088295A"/>
    <w:rsid w:val="0088599E"/>
    <w:rsid w:val="00886C37"/>
    <w:rsid w:val="008915FC"/>
    <w:rsid w:val="00892D99"/>
    <w:rsid w:val="00893315"/>
    <w:rsid w:val="00894C09"/>
    <w:rsid w:val="0089522E"/>
    <w:rsid w:val="008A2CDF"/>
    <w:rsid w:val="008A341D"/>
    <w:rsid w:val="008A526B"/>
    <w:rsid w:val="008B5C68"/>
    <w:rsid w:val="008B62AE"/>
    <w:rsid w:val="008C04B5"/>
    <w:rsid w:val="008C14FA"/>
    <w:rsid w:val="008C52E1"/>
    <w:rsid w:val="008C7B0B"/>
    <w:rsid w:val="008D0924"/>
    <w:rsid w:val="008D4057"/>
    <w:rsid w:val="008E1F19"/>
    <w:rsid w:val="008E2F9E"/>
    <w:rsid w:val="008F2262"/>
    <w:rsid w:val="008F3AF9"/>
    <w:rsid w:val="008F3C56"/>
    <w:rsid w:val="008F4D2B"/>
    <w:rsid w:val="008F52D6"/>
    <w:rsid w:val="008F5B91"/>
    <w:rsid w:val="008F7718"/>
    <w:rsid w:val="008F7736"/>
    <w:rsid w:val="0090019E"/>
    <w:rsid w:val="00900435"/>
    <w:rsid w:val="00901086"/>
    <w:rsid w:val="00901C8A"/>
    <w:rsid w:val="00902F66"/>
    <w:rsid w:val="0090384D"/>
    <w:rsid w:val="00904F3B"/>
    <w:rsid w:val="009051AA"/>
    <w:rsid w:val="00905886"/>
    <w:rsid w:val="009070D6"/>
    <w:rsid w:val="009076C6"/>
    <w:rsid w:val="0091019E"/>
    <w:rsid w:val="009106F1"/>
    <w:rsid w:val="0091100E"/>
    <w:rsid w:val="00912404"/>
    <w:rsid w:val="009145D6"/>
    <w:rsid w:val="00915541"/>
    <w:rsid w:val="00920E64"/>
    <w:rsid w:val="00922002"/>
    <w:rsid w:val="009225CB"/>
    <w:rsid w:val="00923792"/>
    <w:rsid w:val="00924020"/>
    <w:rsid w:val="00924BF4"/>
    <w:rsid w:val="00926BFE"/>
    <w:rsid w:val="009271A7"/>
    <w:rsid w:val="0092762F"/>
    <w:rsid w:val="0093658B"/>
    <w:rsid w:val="009376B5"/>
    <w:rsid w:val="0094133D"/>
    <w:rsid w:val="009429FF"/>
    <w:rsid w:val="009444D1"/>
    <w:rsid w:val="00945BD6"/>
    <w:rsid w:val="009479FB"/>
    <w:rsid w:val="00951C45"/>
    <w:rsid w:val="00951DD8"/>
    <w:rsid w:val="009607B7"/>
    <w:rsid w:val="00962838"/>
    <w:rsid w:val="009656F2"/>
    <w:rsid w:val="00966A08"/>
    <w:rsid w:val="009701B7"/>
    <w:rsid w:val="00971207"/>
    <w:rsid w:val="00971C05"/>
    <w:rsid w:val="00975CB4"/>
    <w:rsid w:val="009863B0"/>
    <w:rsid w:val="00987DE1"/>
    <w:rsid w:val="00990571"/>
    <w:rsid w:val="00991905"/>
    <w:rsid w:val="009926B2"/>
    <w:rsid w:val="0099673A"/>
    <w:rsid w:val="009A3291"/>
    <w:rsid w:val="009A3330"/>
    <w:rsid w:val="009A3B50"/>
    <w:rsid w:val="009A548F"/>
    <w:rsid w:val="009A7C96"/>
    <w:rsid w:val="009B080A"/>
    <w:rsid w:val="009B5CFB"/>
    <w:rsid w:val="009B6126"/>
    <w:rsid w:val="009B61BF"/>
    <w:rsid w:val="009C3253"/>
    <w:rsid w:val="009C3DB9"/>
    <w:rsid w:val="009C5968"/>
    <w:rsid w:val="009D0436"/>
    <w:rsid w:val="009D46E5"/>
    <w:rsid w:val="009D568A"/>
    <w:rsid w:val="009E2361"/>
    <w:rsid w:val="009F04EC"/>
    <w:rsid w:val="009F2A7C"/>
    <w:rsid w:val="009F3B36"/>
    <w:rsid w:val="00A01379"/>
    <w:rsid w:val="00A019B9"/>
    <w:rsid w:val="00A03157"/>
    <w:rsid w:val="00A04730"/>
    <w:rsid w:val="00A10287"/>
    <w:rsid w:val="00A11756"/>
    <w:rsid w:val="00A12497"/>
    <w:rsid w:val="00A12508"/>
    <w:rsid w:val="00A1282B"/>
    <w:rsid w:val="00A12E7F"/>
    <w:rsid w:val="00A13A27"/>
    <w:rsid w:val="00A15B7C"/>
    <w:rsid w:val="00A173A5"/>
    <w:rsid w:val="00A175B6"/>
    <w:rsid w:val="00A21835"/>
    <w:rsid w:val="00A2374B"/>
    <w:rsid w:val="00A23AAB"/>
    <w:rsid w:val="00A27D6E"/>
    <w:rsid w:val="00A303F9"/>
    <w:rsid w:val="00A328EC"/>
    <w:rsid w:val="00A33A51"/>
    <w:rsid w:val="00A40294"/>
    <w:rsid w:val="00A4083F"/>
    <w:rsid w:val="00A41036"/>
    <w:rsid w:val="00A41CA6"/>
    <w:rsid w:val="00A41F5F"/>
    <w:rsid w:val="00A431ED"/>
    <w:rsid w:val="00A442CF"/>
    <w:rsid w:val="00A47927"/>
    <w:rsid w:val="00A47FFC"/>
    <w:rsid w:val="00A5442F"/>
    <w:rsid w:val="00A549C3"/>
    <w:rsid w:val="00A54FF9"/>
    <w:rsid w:val="00A56765"/>
    <w:rsid w:val="00A5708A"/>
    <w:rsid w:val="00A675AC"/>
    <w:rsid w:val="00A7097D"/>
    <w:rsid w:val="00A72BE9"/>
    <w:rsid w:val="00A7581F"/>
    <w:rsid w:val="00A81274"/>
    <w:rsid w:val="00A86ACA"/>
    <w:rsid w:val="00A92439"/>
    <w:rsid w:val="00A92FB1"/>
    <w:rsid w:val="00A95980"/>
    <w:rsid w:val="00A95A0C"/>
    <w:rsid w:val="00AA2108"/>
    <w:rsid w:val="00AA2765"/>
    <w:rsid w:val="00AA47C7"/>
    <w:rsid w:val="00AA5770"/>
    <w:rsid w:val="00AA77B5"/>
    <w:rsid w:val="00AB2AEE"/>
    <w:rsid w:val="00AB6C5D"/>
    <w:rsid w:val="00AB6FE7"/>
    <w:rsid w:val="00AC2AA8"/>
    <w:rsid w:val="00AC3401"/>
    <w:rsid w:val="00AC51A7"/>
    <w:rsid w:val="00AC603B"/>
    <w:rsid w:val="00AD0E89"/>
    <w:rsid w:val="00AD444B"/>
    <w:rsid w:val="00AD5614"/>
    <w:rsid w:val="00AD6C78"/>
    <w:rsid w:val="00AE03F0"/>
    <w:rsid w:val="00AE2EAB"/>
    <w:rsid w:val="00AE388A"/>
    <w:rsid w:val="00AE6AF4"/>
    <w:rsid w:val="00AF13D0"/>
    <w:rsid w:val="00AF2A5B"/>
    <w:rsid w:val="00AF2A68"/>
    <w:rsid w:val="00AF5E0E"/>
    <w:rsid w:val="00AF5F89"/>
    <w:rsid w:val="00AF6FB4"/>
    <w:rsid w:val="00AF73CB"/>
    <w:rsid w:val="00B002D6"/>
    <w:rsid w:val="00B0157B"/>
    <w:rsid w:val="00B02EF0"/>
    <w:rsid w:val="00B03379"/>
    <w:rsid w:val="00B03FA5"/>
    <w:rsid w:val="00B04110"/>
    <w:rsid w:val="00B05B51"/>
    <w:rsid w:val="00B104D7"/>
    <w:rsid w:val="00B14E5A"/>
    <w:rsid w:val="00B1522C"/>
    <w:rsid w:val="00B15370"/>
    <w:rsid w:val="00B16DA4"/>
    <w:rsid w:val="00B17002"/>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110D"/>
    <w:rsid w:val="00B760F1"/>
    <w:rsid w:val="00B7669E"/>
    <w:rsid w:val="00B76EBB"/>
    <w:rsid w:val="00B77DA1"/>
    <w:rsid w:val="00B822A0"/>
    <w:rsid w:val="00B82F85"/>
    <w:rsid w:val="00B842B3"/>
    <w:rsid w:val="00B858AE"/>
    <w:rsid w:val="00B85964"/>
    <w:rsid w:val="00B96250"/>
    <w:rsid w:val="00BA05D8"/>
    <w:rsid w:val="00BA0D55"/>
    <w:rsid w:val="00BA37B3"/>
    <w:rsid w:val="00BA4CC6"/>
    <w:rsid w:val="00BA717D"/>
    <w:rsid w:val="00BA7F46"/>
    <w:rsid w:val="00BB0F1D"/>
    <w:rsid w:val="00BB3493"/>
    <w:rsid w:val="00BB37BF"/>
    <w:rsid w:val="00BB6E4C"/>
    <w:rsid w:val="00BB7468"/>
    <w:rsid w:val="00BC0514"/>
    <w:rsid w:val="00BC188A"/>
    <w:rsid w:val="00BC3F84"/>
    <w:rsid w:val="00BC402E"/>
    <w:rsid w:val="00BC70C6"/>
    <w:rsid w:val="00BD0F48"/>
    <w:rsid w:val="00BD14E5"/>
    <w:rsid w:val="00BD3153"/>
    <w:rsid w:val="00BD52BE"/>
    <w:rsid w:val="00BE0E50"/>
    <w:rsid w:val="00BE5025"/>
    <w:rsid w:val="00BE6DDB"/>
    <w:rsid w:val="00BF03E0"/>
    <w:rsid w:val="00BF4B44"/>
    <w:rsid w:val="00BF5010"/>
    <w:rsid w:val="00C001E5"/>
    <w:rsid w:val="00C03009"/>
    <w:rsid w:val="00C03D5F"/>
    <w:rsid w:val="00C0455C"/>
    <w:rsid w:val="00C13791"/>
    <w:rsid w:val="00C210BD"/>
    <w:rsid w:val="00C2575A"/>
    <w:rsid w:val="00C27C1B"/>
    <w:rsid w:val="00C30124"/>
    <w:rsid w:val="00C31BB3"/>
    <w:rsid w:val="00C3355D"/>
    <w:rsid w:val="00C36977"/>
    <w:rsid w:val="00C44CE6"/>
    <w:rsid w:val="00C46472"/>
    <w:rsid w:val="00C46628"/>
    <w:rsid w:val="00C467DA"/>
    <w:rsid w:val="00C477D9"/>
    <w:rsid w:val="00C566DF"/>
    <w:rsid w:val="00C57869"/>
    <w:rsid w:val="00C60BA3"/>
    <w:rsid w:val="00C623F7"/>
    <w:rsid w:val="00C62A81"/>
    <w:rsid w:val="00C67CD7"/>
    <w:rsid w:val="00C71E00"/>
    <w:rsid w:val="00C72688"/>
    <w:rsid w:val="00C75BC5"/>
    <w:rsid w:val="00C81670"/>
    <w:rsid w:val="00C81773"/>
    <w:rsid w:val="00C82861"/>
    <w:rsid w:val="00C8388B"/>
    <w:rsid w:val="00C86896"/>
    <w:rsid w:val="00C87618"/>
    <w:rsid w:val="00C907A8"/>
    <w:rsid w:val="00C91670"/>
    <w:rsid w:val="00C91BFF"/>
    <w:rsid w:val="00C93211"/>
    <w:rsid w:val="00C93DB8"/>
    <w:rsid w:val="00C942EC"/>
    <w:rsid w:val="00C958FE"/>
    <w:rsid w:val="00C96047"/>
    <w:rsid w:val="00C979D0"/>
    <w:rsid w:val="00CA0818"/>
    <w:rsid w:val="00CA15C8"/>
    <w:rsid w:val="00CA22C7"/>
    <w:rsid w:val="00CA2C8F"/>
    <w:rsid w:val="00CA30DA"/>
    <w:rsid w:val="00CA3A24"/>
    <w:rsid w:val="00CB1777"/>
    <w:rsid w:val="00CB2E74"/>
    <w:rsid w:val="00CB33E9"/>
    <w:rsid w:val="00CB674A"/>
    <w:rsid w:val="00CB6B20"/>
    <w:rsid w:val="00CC10A9"/>
    <w:rsid w:val="00CD0655"/>
    <w:rsid w:val="00CD38CD"/>
    <w:rsid w:val="00CD5719"/>
    <w:rsid w:val="00CE2BF8"/>
    <w:rsid w:val="00CE30B0"/>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146AA"/>
    <w:rsid w:val="00D15C42"/>
    <w:rsid w:val="00D23A8D"/>
    <w:rsid w:val="00D26A2C"/>
    <w:rsid w:val="00D27BC6"/>
    <w:rsid w:val="00D32C69"/>
    <w:rsid w:val="00D479AE"/>
    <w:rsid w:val="00D50573"/>
    <w:rsid w:val="00D50FCD"/>
    <w:rsid w:val="00D533E3"/>
    <w:rsid w:val="00D567E2"/>
    <w:rsid w:val="00D60B16"/>
    <w:rsid w:val="00D60F02"/>
    <w:rsid w:val="00D66E49"/>
    <w:rsid w:val="00D70D71"/>
    <w:rsid w:val="00D72F74"/>
    <w:rsid w:val="00D75844"/>
    <w:rsid w:val="00D81563"/>
    <w:rsid w:val="00D818E2"/>
    <w:rsid w:val="00D837C1"/>
    <w:rsid w:val="00D83963"/>
    <w:rsid w:val="00D84049"/>
    <w:rsid w:val="00D85907"/>
    <w:rsid w:val="00D860AC"/>
    <w:rsid w:val="00D9073E"/>
    <w:rsid w:val="00D9221D"/>
    <w:rsid w:val="00D9253C"/>
    <w:rsid w:val="00D93E3E"/>
    <w:rsid w:val="00D94F5B"/>
    <w:rsid w:val="00D958DF"/>
    <w:rsid w:val="00D969DC"/>
    <w:rsid w:val="00D96DA1"/>
    <w:rsid w:val="00DA1CE6"/>
    <w:rsid w:val="00DA51E7"/>
    <w:rsid w:val="00DB0260"/>
    <w:rsid w:val="00DB1C78"/>
    <w:rsid w:val="00DB7D96"/>
    <w:rsid w:val="00DC23FE"/>
    <w:rsid w:val="00DC29EA"/>
    <w:rsid w:val="00DC59E6"/>
    <w:rsid w:val="00DC7A46"/>
    <w:rsid w:val="00DC7A7E"/>
    <w:rsid w:val="00DD150B"/>
    <w:rsid w:val="00DD3356"/>
    <w:rsid w:val="00DD45C8"/>
    <w:rsid w:val="00DD46A6"/>
    <w:rsid w:val="00DD5025"/>
    <w:rsid w:val="00DD5464"/>
    <w:rsid w:val="00DD6F85"/>
    <w:rsid w:val="00DE254E"/>
    <w:rsid w:val="00DE32C0"/>
    <w:rsid w:val="00DE339A"/>
    <w:rsid w:val="00DE76A7"/>
    <w:rsid w:val="00DF1510"/>
    <w:rsid w:val="00DF50B3"/>
    <w:rsid w:val="00E02F1F"/>
    <w:rsid w:val="00E03FA9"/>
    <w:rsid w:val="00E05454"/>
    <w:rsid w:val="00E06484"/>
    <w:rsid w:val="00E06B24"/>
    <w:rsid w:val="00E20A7D"/>
    <w:rsid w:val="00E23FE4"/>
    <w:rsid w:val="00E275D8"/>
    <w:rsid w:val="00E30F6A"/>
    <w:rsid w:val="00E3117C"/>
    <w:rsid w:val="00E31288"/>
    <w:rsid w:val="00E34307"/>
    <w:rsid w:val="00E34511"/>
    <w:rsid w:val="00E3452B"/>
    <w:rsid w:val="00E3635B"/>
    <w:rsid w:val="00E36906"/>
    <w:rsid w:val="00E375C3"/>
    <w:rsid w:val="00E375CA"/>
    <w:rsid w:val="00E43AFB"/>
    <w:rsid w:val="00E444CD"/>
    <w:rsid w:val="00E51455"/>
    <w:rsid w:val="00E5364F"/>
    <w:rsid w:val="00E53CDE"/>
    <w:rsid w:val="00E542C3"/>
    <w:rsid w:val="00E567E8"/>
    <w:rsid w:val="00E62675"/>
    <w:rsid w:val="00E63766"/>
    <w:rsid w:val="00E64679"/>
    <w:rsid w:val="00E65EBC"/>
    <w:rsid w:val="00E6602E"/>
    <w:rsid w:val="00E66702"/>
    <w:rsid w:val="00E677FE"/>
    <w:rsid w:val="00E73432"/>
    <w:rsid w:val="00E73ED1"/>
    <w:rsid w:val="00E77B0C"/>
    <w:rsid w:val="00E77FB8"/>
    <w:rsid w:val="00E838B0"/>
    <w:rsid w:val="00E86A7C"/>
    <w:rsid w:val="00E86D08"/>
    <w:rsid w:val="00E878E1"/>
    <w:rsid w:val="00E87F2C"/>
    <w:rsid w:val="00E9016F"/>
    <w:rsid w:val="00E95278"/>
    <w:rsid w:val="00E96A42"/>
    <w:rsid w:val="00EA162E"/>
    <w:rsid w:val="00EA1641"/>
    <w:rsid w:val="00EA1D03"/>
    <w:rsid w:val="00EA2273"/>
    <w:rsid w:val="00EA425C"/>
    <w:rsid w:val="00EA7C3C"/>
    <w:rsid w:val="00EB2DB3"/>
    <w:rsid w:val="00EC32E3"/>
    <w:rsid w:val="00EC3FBB"/>
    <w:rsid w:val="00EC4742"/>
    <w:rsid w:val="00EC6B7A"/>
    <w:rsid w:val="00EC763B"/>
    <w:rsid w:val="00ED25FB"/>
    <w:rsid w:val="00ED3A87"/>
    <w:rsid w:val="00ED5B67"/>
    <w:rsid w:val="00EE1258"/>
    <w:rsid w:val="00EE1869"/>
    <w:rsid w:val="00EE1A5C"/>
    <w:rsid w:val="00EE5F5A"/>
    <w:rsid w:val="00EE6B37"/>
    <w:rsid w:val="00EE7D9D"/>
    <w:rsid w:val="00EF264C"/>
    <w:rsid w:val="00EF3FEE"/>
    <w:rsid w:val="00EF6B41"/>
    <w:rsid w:val="00F04B59"/>
    <w:rsid w:val="00F05F1F"/>
    <w:rsid w:val="00F07B69"/>
    <w:rsid w:val="00F11741"/>
    <w:rsid w:val="00F117B0"/>
    <w:rsid w:val="00F12B1C"/>
    <w:rsid w:val="00F13CF8"/>
    <w:rsid w:val="00F15855"/>
    <w:rsid w:val="00F200B2"/>
    <w:rsid w:val="00F20A80"/>
    <w:rsid w:val="00F226A8"/>
    <w:rsid w:val="00F227DC"/>
    <w:rsid w:val="00F2547E"/>
    <w:rsid w:val="00F25C9A"/>
    <w:rsid w:val="00F26AAD"/>
    <w:rsid w:val="00F30701"/>
    <w:rsid w:val="00F32978"/>
    <w:rsid w:val="00F45CB2"/>
    <w:rsid w:val="00F4712F"/>
    <w:rsid w:val="00F511F3"/>
    <w:rsid w:val="00F51384"/>
    <w:rsid w:val="00F5241B"/>
    <w:rsid w:val="00F544C0"/>
    <w:rsid w:val="00F55332"/>
    <w:rsid w:val="00F6156E"/>
    <w:rsid w:val="00F626EC"/>
    <w:rsid w:val="00F6504A"/>
    <w:rsid w:val="00F65519"/>
    <w:rsid w:val="00F66AAF"/>
    <w:rsid w:val="00F66D9F"/>
    <w:rsid w:val="00F713C0"/>
    <w:rsid w:val="00F75DDC"/>
    <w:rsid w:val="00F7792F"/>
    <w:rsid w:val="00F842AA"/>
    <w:rsid w:val="00F8476F"/>
    <w:rsid w:val="00F853E1"/>
    <w:rsid w:val="00F85604"/>
    <w:rsid w:val="00F93809"/>
    <w:rsid w:val="00F94A60"/>
    <w:rsid w:val="00F94B7A"/>
    <w:rsid w:val="00F977DF"/>
    <w:rsid w:val="00FA17AC"/>
    <w:rsid w:val="00FA32DE"/>
    <w:rsid w:val="00FA3382"/>
    <w:rsid w:val="00FA59CD"/>
    <w:rsid w:val="00FB0CDC"/>
    <w:rsid w:val="00FB1740"/>
    <w:rsid w:val="00FB2EF7"/>
    <w:rsid w:val="00FB41FB"/>
    <w:rsid w:val="00FB4235"/>
    <w:rsid w:val="00FC4446"/>
    <w:rsid w:val="00FC5469"/>
    <w:rsid w:val="00FC6D7D"/>
    <w:rsid w:val="00FD16B0"/>
    <w:rsid w:val="00FD4096"/>
    <w:rsid w:val="00FD4FED"/>
    <w:rsid w:val="00FE00C8"/>
    <w:rsid w:val="00FE0577"/>
    <w:rsid w:val="00FE1E53"/>
    <w:rsid w:val="00FE2FF8"/>
    <w:rsid w:val="00FE59EC"/>
    <w:rsid w:val="00FE5B67"/>
    <w:rsid w:val="00FE60D6"/>
    <w:rsid w:val="00FF4046"/>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69EA19-BFF9-4B76-A358-8D81263A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A442CF"/>
  </w:style>
  <w:style w:type="character" w:styleId="FootnoteReference">
    <w:name w:val="footnote reference"/>
    <w:basedOn w:val="DefaultParagraphFont"/>
    <w:uiPriority w:val="99"/>
    <w:unhideWhenUsed/>
    <w:rsid w:val="00A442CF"/>
    <w:rPr>
      <w:vertAlign w:val="superscript"/>
    </w:rPr>
  </w:style>
  <w:style w:type="paragraph" w:styleId="Revision">
    <w:name w:val="Revision"/>
    <w:hidden/>
    <w:uiPriority w:val="99"/>
    <w:semiHidden/>
    <w:rsid w:val="00AA57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serve.gov/releases/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A5FBF-35D2-474E-BEC2-D0DC8B59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15</Pages>
  <Words>3055</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Hanna Black</cp:lastModifiedBy>
  <cp:revision>2</cp:revision>
  <cp:lastPrinted>2023-02-28T19:55:00Z</cp:lastPrinted>
  <dcterms:created xsi:type="dcterms:W3CDTF">2023-03-02T19:16:00Z</dcterms:created>
  <dcterms:modified xsi:type="dcterms:W3CDTF">2023-03-02T19:16:00Z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20230001-EI</vt:lpwstr>
  </property>
  <property fmtid="{D5CDD505-2E9C-101B-9397-08002B2CF9AE}" pid="3" name="MasterDocument">
    <vt:bool>false</vt:bool>
  </property>
</Properties>
</file>