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03738A">
            <w:pPr>
              <w:pStyle w:val="MastHeadState"/>
              <w:jc w:val="left"/>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642EB">
            <w:pPr>
              <w:pStyle w:val="MemoHeading"/>
            </w:pPr>
            <w:bookmarkStart w:id="1" w:name="FilingDate"/>
            <w:r>
              <w:t>July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642EB" w:rsidRDefault="00F642EB">
            <w:pPr>
              <w:pStyle w:val="MemoHeading"/>
            </w:pPr>
            <w:bookmarkStart w:id="2" w:name="From"/>
            <w:r>
              <w:t>Division of Engineering (</w:t>
            </w:r>
            <w:r w:rsidR="00FD6E4A">
              <w:t xml:space="preserve">M. </w:t>
            </w:r>
            <w:r>
              <w:t>Watts, Ramos)</w:t>
            </w:r>
          </w:p>
          <w:p w:rsidR="00F642EB" w:rsidRDefault="00F642EB">
            <w:pPr>
              <w:pStyle w:val="MemoHeading"/>
            </w:pPr>
            <w:r>
              <w:t>Division of Accounting and Finance (Sewards, Thurmond)</w:t>
            </w:r>
          </w:p>
          <w:p w:rsidR="00F642EB" w:rsidRDefault="00F642EB">
            <w:pPr>
              <w:pStyle w:val="MemoHeading"/>
            </w:pPr>
            <w:r>
              <w:t>Division of Economics (Bruce, Hudson)</w:t>
            </w:r>
          </w:p>
          <w:p w:rsidR="007C0528" w:rsidRDefault="00F642EB">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642EB">
            <w:pPr>
              <w:pStyle w:val="MemoHeadingRe"/>
            </w:pPr>
            <w:bookmarkStart w:id="3" w:name="Re"/>
            <w:r>
              <w:t>Docket No. 20220061-SU – Application for transfer of wastewater Certificate No. 318-S from BFF Corp to CSWR-Florida utility Operating Company, LLC, in Marion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D6E4A" w:rsidP="008C44FF">
            <w:pPr>
              <w:pStyle w:val="MemoHeading"/>
            </w:pPr>
            <w:bookmarkStart w:id="4" w:name="AgendaDate"/>
            <w:r>
              <w:t>08/01</w:t>
            </w:r>
            <w:r w:rsidR="00F642EB">
              <w:t>/23</w:t>
            </w:r>
            <w:bookmarkEnd w:id="4"/>
            <w:r w:rsidR="007C0528">
              <w:t xml:space="preserve"> – </w:t>
            </w:r>
            <w:bookmarkStart w:id="5" w:name="PermittedStatus"/>
            <w:r w:rsidR="00F642EB">
              <w:t>Regular Agenda –</w:t>
            </w:r>
            <w:r w:rsidR="008C44FF">
              <w:rPr>
                <w:color w:val="242424"/>
                <w:sz w:val="23"/>
                <w:szCs w:val="23"/>
              </w:rPr>
              <w:t>Propose</w:t>
            </w:r>
            <w:r w:rsidR="008C44FF">
              <w:rPr>
                <w:color w:val="0B0B0B"/>
                <w:sz w:val="23"/>
                <w:szCs w:val="23"/>
              </w:rPr>
              <w:t xml:space="preserve">d </w:t>
            </w:r>
            <w:r w:rsidR="008C44FF">
              <w:rPr>
                <w:color w:val="242424"/>
                <w:sz w:val="23"/>
                <w:szCs w:val="23"/>
              </w:rPr>
              <w:t>Age</w:t>
            </w:r>
            <w:r w:rsidR="008C44FF">
              <w:rPr>
                <w:color w:val="0B0B0B"/>
                <w:sz w:val="23"/>
                <w:szCs w:val="23"/>
              </w:rPr>
              <w:t>n</w:t>
            </w:r>
            <w:r w:rsidR="008C44FF">
              <w:rPr>
                <w:color w:val="242424"/>
                <w:sz w:val="23"/>
                <w:szCs w:val="23"/>
              </w:rPr>
              <w:t>cy Ac</w:t>
            </w:r>
            <w:r w:rsidR="008C44FF">
              <w:rPr>
                <w:color w:val="0B0B0B"/>
                <w:sz w:val="23"/>
                <w:szCs w:val="23"/>
              </w:rPr>
              <w:t>ti</w:t>
            </w:r>
            <w:r w:rsidR="008C44FF">
              <w:rPr>
                <w:color w:val="242424"/>
                <w:sz w:val="23"/>
                <w:szCs w:val="23"/>
              </w:rPr>
              <w:t>o</w:t>
            </w:r>
            <w:r w:rsidR="008C44FF">
              <w:rPr>
                <w:color w:val="0B0B0B"/>
                <w:sz w:val="23"/>
                <w:szCs w:val="23"/>
              </w:rPr>
              <w:t xml:space="preserve">n </w:t>
            </w:r>
            <w:r w:rsidR="008C44FF">
              <w:rPr>
                <w:color w:val="242424"/>
                <w:sz w:val="23"/>
                <w:szCs w:val="23"/>
              </w:rPr>
              <w:t>fo</w:t>
            </w:r>
            <w:r w:rsidR="008C44FF">
              <w:rPr>
                <w:color w:val="0B0B0B"/>
                <w:sz w:val="23"/>
                <w:szCs w:val="23"/>
              </w:rPr>
              <w:t>r I</w:t>
            </w:r>
            <w:r w:rsidR="008C44FF">
              <w:rPr>
                <w:color w:val="242424"/>
                <w:sz w:val="23"/>
                <w:szCs w:val="23"/>
              </w:rPr>
              <w:t>ss</w:t>
            </w:r>
            <w:r w:rsidR="008C44FF">
              <w:rPr>
                <w:color w:val="0B0B0B"/>
                <w:sz w:val="23"/>
                <w:szCs w:val="23"/>
              </w:rPr>
              <w:t>u</w:t>
            </w:r>
            <w:r w:rsidR="008C44FF">
              <w:rPr>
                <w:color w:val="242424"/>
                <w:sz w:val="23"/>
                <w:szCs w:val="23"/>
              </w:rPr>
              <w:t xml:space="preserve">es 2, 3, </w:t>
            </w:r>
            <w:r w:rsidR="008C44FF">
              <w:rPr>
                <w:color w:val="393939"/>
                <w:sz w:val="23"/>
                <w:szCs w:val="23"/>
              </w:rPr>
              <w:t>a</w:t>
            </w:r>
            <w:r w:rsidR="008C44FF">
              <w:rPr>
                <w:color w:val="0B0B0B"/>
                <w:sz w:val="23"/>
                <w:szCs w:val="23"/>
              </w:rPr>
              <w:t xml:space="preserve">nd 4 </w:t>
            </w:r>
            <w:r w:rsidR="008C44FF" w:rsidRPr="00AE7534">
              <w:rPr>
                <w:color w:val="656466"/>
                <w:sz w:val="23"/>
                <w:szCs w:val="23"/>
              </w:rPr>
              <w:t>–</w:t>
            </w:r>
            <w:r w:rsidR="008C44FF">
              <w:t xml:space="preserve"> </w:t>
            </w:r>
            <w:r w:rsidR="00F642EB">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642E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642EB">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642E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5E68" w:rsidP="00015E68">
            <w:pPr>
              <w:pStyle w:val="MemoHeading"/>
            </w:pPr>
            <w:r w:rsidRPr="00015E68">
              <w:t>Schedule immediately after Docket No. 2022020</w:t>
            </w:r>
            <w:r>
              <w:t>6</w:t>
            </w:r>
            <w:r w:rsidRPr="00015E68">
              <w:t>-WS</w:t>
            </w:r>
          </w:p>
        </w:tc>
      </w:tr>
    </w:tbl>
    <w:p w:rsidR="007C0528" w:rsidRDefault="007C0528">
      <w:pPr>
        <w:pStyle w:val="BodyText"/>
      </w:pPr>
    </w:p>
    <w:p w:rsidR="007C0528" w:rsidRPr="00162BC8" w:rsidRDefault="007C0528">
      <w:pPr>
        <w:pStyle w:val="RecommendationMajorSectionHeading"/>
      </w:pPr>
      <w:bookmarkStart w:id="10" w:name="RecToC"/>
      <w:bookmarkEnd w:id="10"/>
      <w:r w:rsidRPr="00162BC8">
        <w:t xml:space="preserve"> </w:t>
      </w:r>
      <w:bookmarkStart w:id="11" w:name="CaseBackground"/>
      <w:r w:rsidRPr="00162BC8">
        <w:t>Case Background</w:t>
      </w:r>
      <w:r w:rsidRPr="00162BC8">
        <w:fldChar w:fldCharType="begin"/>
      </w:r>
      <w:r w:rsidRPr="00162BC8">
        <w:instrText xml:space="preserve"> TC  "</w:instrText>
      </w:r>
      <w:r w:rsidRPr="00162BC8">
        <w:tab/>
      </w:r>
      <w:bookmarkStart w:id="12" w:name="_Toc94516455"/>
      <w:r w:rsidRPr="00162BC8">
        <w:instrText>Case Background</w:instrText>
      </w:r>
      <w:bookmarkEnd w:id="12"/>
      <w:r w:rsidRPr="00162BC8">
        <w:instrText xml:space="preserve">" \l 1 </w:instrText>
      </w:r>
      <w:r w:rsidRPr="00162BC8">
        <w:fldChar w:fldCharType="end"/>
      </w:r>
    </w:p>
    <w:p w:rsidR="007C05F1" w:rsidRPr="00A9218A" w:rsidRDefault="00162BC8" w:rsidP="007C05F1">
      <w:pPr>
        <w:pStyle w:val="BodyText"/>
      </w:pPr>
      <w:r w:rsidRPr="00162BC8">
        <w:t>BFF Corp.</w:t>
      </w:r>
      <w:r w:rsidR="007C05F1" w:rsidRPr="00162BC8">
        <w:t xml:space="preserve"> (</w:t>
      </w:r>
      <w:r w:rsidRPr="00162BC8">
        <w:t>BFF</w:t>
      </w:r>
      <w:r w:rsidR="007C05F1" w:rsidRPr="00162BC8">
        <w:t xml:space="preserve">, Utility, or Seller) is a Class C wastewater utility operating in Marion County. </w:t>
      </w:r>
      <w:r w:rsidRPr="00162BC8">
        <w:t>BFF</w:t>
      </w:r>
      <w:r w:rsidR="007C05F1" w:rsidRPr="00162BC8">
        <w:t xml:space="preserve"> provides service to approximately </w:t>
      </w:r>
      <w:r w:rsidR="00BF3CAA" w:rsidRPr="00162BC8">
        <w:t>10</w:t>
      </w:r>
      <w:r w:rsidR="007C05F1" w:rsidRPr="00162BC8">
        <w:t>8 wastewater customers. The Utility is in the St. Johns R</w:t>
      </w:r>
      <w:r w:rsidR="007C05F1" w:rsidRPr="00BF3CAA">
        <w:t>iver Water Management District (SJRWMD). The SJRWMD has year-round watering restrictions in place for the portion of Marion County within its district.</w:t>
      </w:r>
      <w:r w:rsidR="007C05F1" w:rsidRPr="00162BC8">
        <w:t xml:space="preserve"> In its 2022 Annual Report, </w:t>
      </w:r>
      <w:r w:rsidR="00BF3CAA" w:rsidRPr="00162BC8">
        <w:t>BFF</w:t>
      </w:r>
      <w:r w:rsidR="007C05F1" w:rsidRPr="00162BC8">
        <w:t xml:space="preserve"> reported</w:t>
      </w:r>
      <w:r w:rsidRPr="00162BC8">
        <w:t xml:space="preserve"> a</w:t>
      </w:r>
      <w:r w:rsidR="007C05F1" w:rsidRPr="00162BC8">
        <w:t xml:space="preserve"> net operating </w:t>
      </w:r>
      <w:r w:rsidR="00BF3CAA" w:rsidRPr="00162BC8">
        <w:t>loss</w:t>
      </w:r>
      <w:r w:rsidR="007C05F1" w:rsidRPr="00162BC8">
        <w:t xml:space="preserve"> of $</w:t>
      </w:r>
      <w:r w:rsidR="00BF3CAA" w:rsidRPr="00162BC8">
        <w:t>62</w:t>
      </w:r>
      <w:r w:rsidR="007C05F1" w:rsidRPr="00162BC8">
        <w:t>7. The Utility’s last rate case was in 20</w:t>
      </w:r>
      <w:r w:rsidRPr="00162BC8">
        <w:t>0</w:t>
      </w:r>
      <w:r w:rsidRPr="00A9218A">
        <w:t>2</w:t>
      </w:r>
      <w:r w:rsidR="007C05F1" w:rsidRPr="00A9218A">
        <w:t>.</w:t>
      </w:r>
      <w:r w:rsidR="007C05F1" w:rsidRPr="00A9218A">
        <w:rPr>
          <w:vertAlign w:val="superscript"/>
        </w:rPr>
        <w:footnoteReference w:id="1"/>
      </w:r>
    </w:p>
    <w:p w:rsidR="007C05F1" w:rsidRPr="00E04F09" w:rsidRDefault="007C05F1" w:rsidP="007C05F1">
      <w:pPr>
        <w:pStyle w:val="BodyText"/>
      </w:pPr>
      <w:r w:rsidRPr="003A6692">
        <w:lastRenderedPageBreak/>
        <w:t>In 19</w:t>
      </w:r>
      <w:r w:rsidR="003A6692" w:rsidRPr="003A6692">
        <w:t>89</w:t>
      </w:r>
      <w:r w:rsidRPr="003A6692">
        <w:t xml:space="preserve">, the Florida Public Service Commission (Commission) approved the transfer </w:t>
      </w:r>
      <w:r w:rsidR="003A6692" w:rsidRPr="003A6692">
        <w:t>of</w:t>
      </w:r>
      <w:r w:rsidRPr="003A6692">
        <w:t xml:space="preserve"> wastewater Certificate No. </w:t>
      </w:r>
      <w:r w:rsidR="003A6692" w:rsidRPr="003A6692">
        <w:t>318</w:t>
      </w:r>
      <w:r w:rsidRPr="003A6692">
        <w:t xml:space="preserve">-S from </w:t>
      </w:r>
      <w:r w:rsidR="003A6692" w:rsidRPr="003A6692">
        <w:t>LTB Utility, Inc.</w:t>
      </w:r>
      <w:r w:rsidRPr="003A6692">
        <w:t xml:space="preserve"> to </w:t>
      </w:r>
      <w:r w:rsidR="003A6692" w:rsidRPr="00E04F09">
        <w:t>BFF</w:t>
      </w:r>
      <w:r w:rsidRPr="00E04F09">
        <w:t>.</w:t>
      </w:r>
      <w:r w:rsidRPr="00E04F09">
        <w:rPr>
          <w:rStyle w:val="FootnoteReference"/>
        </w:rPr>
        <w:footnoteReference w:id="2"/>
      </w:r>
      <w:r w:rsidRPr="00E04F09">
        <w:t xml:space="preserve"> The </w:t>
      </w:r>
      <w:r w:rsidR="00E04F09" w:rsidRPr="00E04F09">
        <w:t>certificated service territory has not been amended since that time</w:t>
      </w:r>
      <w:r w:rsidRPr="00E04F09">
        <w:t>.</w:t>
      </w:r>
    </w:p>
    <w:p w:rsidR="007C05F1" w:rsidRPr="00E04F09" w:rsidRDefault="007C05F1" w:rsidP="007C05F1">
      <w:pPr>
        <w:pStyle w:val="BodyText"/>
      </w:pPr>
      <w:r w:rsidRPr="00E04F09">
        <w:t xml:space="preserve">On March 15, 2022, </w:t>
      </w:r>
      <w:r w:rsidRPr="00E04F09">
        <w:rPr>
          <w:bCs/>
        </w:rPr>
        <w:t>CSWR-Florida Utility Operating Company, LLC</w:t>
      </w:r>
      <w:r w:rsidRPr="00E04F09">
        <w:t xml:space="preserve"> (CSWR-</w:t>
      </w:r>
      <w:r w:rsidR="00E04F09" w:rsidRPr="00E04F09">
        <w:t>BFF</w:t>
      </w:r>
      <w:r w:rsidRPr="00E04F09">
        <w:t xml:space="preserve"> or Buyer) filed an application with the Commission for the transfer of Certificate No. </w:t>
      </w:r>
      <w:r w:rsidR="00E04F09" w:rsidRPr="00E04F09">
        <w:t>318</w:t>
      </w:r>
      <w:r w:rsidRPr="00E04F09">
        <w:t xml:space="preserve">-S from </w:t>
      </w:r>
      <w:r w:rsidR="00E04F09" w:rsidRPr="00E04F09">
        <w:t>BFF</w:t>
      </w:r>
      <w:r w:rsidRPr="00E04F09">
        <w:t xml:space="preserve"> to CSWR-</w:t>
      </w:r>
      <w:r w:rsidR="00E04F09" w:rsidRPr="00E04F09">
        <w:t>BFF</w:t>
      </w:r>
      <w:r w:rsidRPr="00E04F09">
        <w:t xml:space="preserve"> in Marion County. The application was found to be deficient. The Buyer cured the deficiencies on May 1, 2023. The sale will close after the Commission votes to approve the transfer. In its application, the Buyer has requested a positive acquisition adjustment, which is discussed in Issue 3. The Office of Public Counsel’s (OPC) intervention was acknowledged by Order No. </w:t>
      </w:r>
      <w:r w:rsidR="00E04F09" w:rsidRPr="00E04F09">
        <w:t>PSC-2022-0207-PCO-SU</w:t>
      </w:r>
      <w:r w:rsidRPr="00E04F09">
        <w:t xml:space="preserve">, issued </w:t>
      </w:r>
      <w:r w:rsidR="00E04F09" w:rsidRPr="00E04F09">
        <w:t>June</w:t>
      </w:r>
      <w:r w:rsidRPr="00E04F09">
        <w:t xml:space="preserve"> </w:t>
      </w:r>
      <w:r w:rsidR="00E04F09" w:rsidRPr="00E04F09">
        <w:t>1</w:t>
      </w:r>
      <w:r w:rsidRPr="00E04F09">
        <w:t xml:space="preserve">4, 2022. </w:t>
      </w:r>
    </w:p>
    <w:p w:rsidR="0068481F" w:rsidRPr="00E04F09" w:rsidRDefault="007C05F1" w:rsidP="007C05F1">
      <w:pPr>
        <w:pStyle w:val="BodyText"/>
      </w:pPr>
      <w:r w:rsidRPr="00E04F09">
        <w:t xml:space="preserve">This recommendation addresses the transfer of the wastewater system and Certificate No. </w:t>
      </w:r>
      <w:r w:rsidR="00E04F09" w:rsidRPr="00E04F09">
        <w:t>318</w:t>
      </w:r>
      <w:r w:rsidRPr="00E04F09">
        <w:t>-S, the appropriate net book value of the wastewater system for transfer purposes, and the request for an acquisition adjustment. The Commission has jurisdiction pursuant to Sections 367.071 and 367.081, Florida Statutes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F642EB" w:rsidRDefault="00F642EB">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(M. Watts, Thurmond, Bruce)" \l 1 </w:instrText>
      </w:r>
      <w:r>
        <w:fldChar w:fldCharType="end"/>
      </w:r>
      <w:r>
        <w:t> </w:t>
      </w:r>
    </w:p>
    <w:p w:rsidR="00F642EB" w:rsidRDefault="00F642EB">
      <w:pPr>
        <w:pStyle w:val="BodyText"/>
      </w:pPr>
      <w:r>
        <w:t> Should the transfer of Certificate No. 318-S in Marion County from BFF Corp to CSWR-Florida Utility Operating Company, LLC be approved?</w:t>
      </w:r>
    </w:p>
    <w:p w:rsidR="00F642EB" w:rsidRPr="004C3641" w:rsidRDefault="00F642EB">
      <w:pPr>
        <w:pStyle w:val="IssueSubsectionHeading"/>
        <w:rPr>
          <w:vanish/>
          <w:specVanish/>
        </w:rPr>
      </w:pPr>
      <w:r w:rsidRPr="004C3641">
        <w:t>Recommendation: </w:t>
      </w:r>
    </w:p>
    <w:p w:rsidR="00F642EB" w:rsidRDefault="00F642EB">
      <w:pPr>
        <w:pStyle w:val="BodyText"/>
      </w:pPr>
      <w:r>
        <w:t> </w:t>
      </w:r>
      <w:r w:rsidR="007C05F1" w:rsidRPr="006638AB">
        <w:t xml:space="preserve">Yes. The transfer of the wastewater system and Certificate No. </w:t>
      </w:r>
      <w:r w:rsidR="007C05F1">
        <w:t>318</w:t>
      </w:r>
      <w:r w:rsidR="007C05F1" w:rsidRPr="006638AB">
        <w:t xml:space="preserve">-S is in the public interest and should be approved effective the date that the sale becomes final. </w:t>
      </w:r>
      <w:proofErr w:type="gramStart"/>
      <w:r w:rsidR="007C05F1" w:rsidRPr="006638AB">
        <w:t>The resultant Order should serve as the Buyer’s certificate and should be retained by the Buyer.</w:t>
      </w:r>
      <w:proofErr w:type="gramEnd"/>
      <w:r w:rsidR="007C05F1" w:rsidRPr="006638AB">
        <w:t xml:space="preserve"> The Buyer should submit the executed and recorded deed for continued access to the land upon which its facilities are located,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rates, service availability charges, and initial customer deposits, as shown on </w:t>
      </w:r>
      <w:r w:rsidR="007C05F1" w:rsidRPr="008077A6">
        <w:t>Schedule No</w:t>
      </w:r>
      <w:r w:rsidR="007C05F1" w:rsidRPr="00253DBC">
        <w:t xml:space="preserve">. </w:t>
      </w:r>
      <w:r w:rsidR="007C05F1" w:rsidRPr="00AA38E1">
        <w:t>4</w:t>
      </w:r>
      <w:r w:rsidR="007C05F1" w:rsidRPr="00253DBC">
        <w:t>,</w:t>
      </w:r>
      <w:r w:rsidR="007C05F1" w:rsidRPr="008077A6">
        <w:t xml:space="preserve"> </w:t>
      </w:r>
      <w:r w:rsidR="007C05F1" w:rsidRPr="006638AB">
        <w:t>should remain in effect until a change is authorized by the Commission in a subsequent proceeding. The tariff pages reflecting the transfer should be effective on or after the stamped approval date on the tariff sheets, pursuant to Rule 25-30.475(1), Florida Administrative Code (F.A.C.). The Seller is current with respect to annual reports and regulatory assessment fees (RAFs) through December 31, 2022. The Buyer should be responsible for filing annual reports and paying RAFs for all future years.</w:t>
      </w:r>
      <w:r>
        <w:t xml:space="preserve"> (M. Watts, Thurmond, Bruce)</w:t>
      </w:r>
    </w:p>
    <w:p w:rsidR="00F642EB" w:rsidRPr="004C3641" w:rsidRDefault="00F642EB">
      <w:pPr>
        <w:pStyle w:val="IssueSubsectionHeading"/>
        <w:rPr>
          <w:vanish/>
          <w:specVanish/>
        </w:rPr>
      </w:pPr>
      <w:r w:rsidRPr="004C3641">
        <w:t>Staff Analysis: </w:t>
      </w:r>
    </w:p>
    <w:p w:rsidR="00F642EB" w:rsidRPr="00C47288" w:rsidRDefault="00F642EB">
      <w:pPr>
        <w:pStyle w:val="BodyText"/>
      </w:pPr>
      <w:r w:rsidRPr="00C47288">
        <w:t> </w:t>
      </w:r>
      <w:r w:rsidR="007C05F1" w:rsidRPr="00C47288">
        <w:t>On March 15, 2022, CSWR-</w:t>
      </w:r>
      <w:r w:rsidR="00C47288" w:rsidRPr="00C47288">
        <w:t>BFF</w:t>
      </w:r>
      <w:r w:rsidR="007C05F1" w:rsidRPr="00C47288">
        <w:t xml:space="preserve"> filed an application for the transfer of </w:t>
      </w:r>
      <w:r w:rsidR="00AA38E1">
        <w:t>Certificate No. 318-S</w:t>
      </w:r>
      <w:r w:rsidR="007C05F1" w:rsidRPr="00C47288">
        <w:t xml:space="preserve"> from </w:t>
      </w:r>
      <w:r w:rsidR="00C47288" w:rsidRPr="00C47288">
        <w:t>BFF</w:t>
      </w:r>
      <w:r w:rsidR="007C05F1" w:rsidRPr="00C47288">
        <w:t xml:space="preserve"> to CSWR-</w:t>
      </w:r>
      <w:r w:rsidR="00C47288" w:rsidRPr="00C47288">
        <w:t>BFF</w:t>
      </w:r>
      <w:r w:rsidR="007C05F1" w:rsidRPr="00C47288">
        <w:t xml:space="preserve"> in Marion County. The application is in compliance with Section 367.071, F.S., and Commission rules concerning applications for transfer of certificates. The sale to CSWR-</w:t>
      </w:r>
      <w:r w:rsidR="00C47288" w:rsidRPr="00C47288">
        <w:t>BFF</w:t>
      </w:r>
      <w:r w:rsidR="007C05F1" w:rsidRPr="00C47288">
        <w:t xml:space="preserve"> will become final after Commission approval of the transfer, pursuant to Section 367.071(1), F.S.</w:t>
      </w:r>
    </w:p>
    <w:p w:rsidR="00F642EB" w:rsidRDefault="00F642EB" w:rsidP="00F642EB">
      <w:pPr>
        <w:pStyle w:val="First-LevelSubheading"/>
      </w:pPr>
      <w:r>
        <w:t>Noticing, Territory, and Land Ownership</w:t>
      </w:r>
    </w:p>
    <w:p w:rsidR="00F642EB" w:rsidRPr="00C47288" w:rsidRDefault="007C05F1">
      <w:pPr>
        <w:pStyle w:val="BodyText"/>
      </w:pPr>
      <w:r w:rsidRPr="00C47288">
        <w:rPr>
          <w:bCs/>
        </w:rPr>
        <w:t>CSWR</w:t>
      </w:r>
      <w:r w:rsidRPr="00C47288">
        <w:t>-</w:t>
      </w:r>
      <w:r w:rsidR="00C47288" w:rsidRPr="00C47288">
        <w:t>BFF</w:t>
      </w:r>
      <w:r w:rsidRPr="00C47288">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In its application, CSWR</w:t>
      </w:r>
      <w:r w:rsidRPr="00C47288">
        <w:t>-</w:t>
      </w:r>
      <w:r w:rsidR="00C47288" w:rsidRPr="00C47288">
        <w:t>BFF</w:t>
      </w:r>
      <w:r w:rsidRPr="00C47288">
        <w:rPr>
          <w:bCs/>
        </w:rPr>
        <w:t xml:space="preserve"> provided a copy of an unrecorded warranty deed as evidence that the Buyer will have rights to long-term use of the land upon which the treatment facilities are located pursuant to Rule 25-30.037(2</w:t>
      </w:r>
      <w:proofErr w:type="gramStart"/>
      <w:r w:rsidRPr="00C47288">
        <w:rPr>
          <w:bCs/>
        </w:rPr>
        <w:t>)(</w:t>
      </w:r>
      <w:proofErr w:type="gramEnd"/>
      <w:r w:rsidRPr="00C47288">
        <w:rPr>
          <w:bCs/>
        </w:rPr>
        <w:t>s), F.A.C. CSWR</w:t>
      </w:r>
      <w:r w:rsidRPr="00C47288">
        <w:t>-</w:t>
      </w:r>
      <w:r w:rsidR="00C47288" w:rsidRPr="00C47288">
        <w:t>BFF</w:t>
      </w:r>
      <w:r w:rsidRPr="00C47288">
        <w:rPr>
          <w:bCs/>
        </w:rPr>
        <w:t xml:space="preserve"> committed to providing the executed and recorded deed to the Commission within 60 days after the closing of the sale.</w:t>
      </w:r>
    </w:p>
    <w:p w:rsidR="00E06484" w:rsidRDefault="00F642EB" w:rsidP="00F642EB">
      <w:pPr>
        <w:pStyle w:val="First-LevelSubheading"/>
      </w:pPr>
      <w:r>
        <w:t>Purchase Agreement and Financing</w:t>
      </w:r>
    </w:p>
    <w:p w:rsidR="00F642EB" w:rsidRDefault="007C05F1" w:rsidP="00E275D8">
      <w:pPr>
        <w:pStyle w:val="BodyText"/>
      </w:pPr>
      <w:r w:rsidRPr="006035FA">
        <w:t xml:space="preserve">Pursuant to Rule 25-30.037(2)(g), (h), and (i), </w:t>
      </w:r>
      <w:r>
        <w:t>F.A.C.</w:t>
      </w:r>
      <w:r w:rsidRPr="006035FA">
        <w:t>, the application contains a statement regarding financing and a copy of the purchase agreement, which includes the purchase price, terms of payment, and a list of the assets purchased. There are no guaranteed revenue contracts, or customer advances of BFF that must be disposed of with regard to the transfer. CSWR</w:t>
      </w:r>
      <w:r>
        <w:t>-BFF</w:t>
      </w:r>
      <w:r w:rsidRPr="006035FA">
        <w:t xml:space="preserve">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$405,000. According to the Buyer, the closing has not yet taken place and is dependent on Commission approval of the transfer, pursuant to Section 367.071(1), F.S.</w:t>
      </w:r>
    </w:p>
    <w:p w:rsidR="00F642EB" w:rsidRDefault="00F642EB" w:rsidP="00F642EB">
      <w:pPr>
        <w:pStyle w:val="First-LevelSubheading"/>
      </w:pPr>
      <w:r>
        <w:t>Facility Description and Compliance</w:t>
      </w:r>
    </w:p>
    <w:p w:rsidR="00C76EDE" w:rsidRPr="008B44F8" w:rsidRDefault="00C47288" w:rsidP="007C05F1">
      <w:pPr>
        <w:pStyle w:val="BodyText"/>
      </w:pPr>
      <w:r w:rsidRPr="008B44F8">
        <w:t>BFF</w:t>
      </w:r>
      <w:r w:rsidR="007C05F1" w:rsidRPr="008B44F8">
        <w:t xml:space="preserve"> </w:t>
      </w:r>
      <w:r w:rsidR="00C76EDE" w:rsidRPr="008B44F8">
        <w:t>provides wastewater treatment</w:t>
      </w:r>
      <w:r w:rsidR="007C05F1" w:rsidRPr="008B44F8">
        <w:t xml:space="preserve"> service pursuant to a bulk service agreement with Marion County Utilities. </w:t>
      </w:r>
      <w:r w:rsidR="00C76EDE" w:rsidRPr="008B44F8">
        <w:t>Since the Utility does not have treatment facilities of its</w:t>
      </w:r>
      <w:r w:rsidR="008B44F8" w:rsidRPr="008B44F8">
        <w:t xml:space="preserve"> own, it has no permits, inspections, reports, or correspondence from the Florida Department of Environmental Protection. </w:t>
      </w:r>
      <w:r w:rsidRPr="008B44F8">
        <w:t>BFF</w:t>
      </w:r>
      <w:r w:rsidR="007C05F1" w:rsidRPr="008B44F8">
        <w:t xml:space="preserve"> has </w:t>
      </w:r>
      <w:r w:rsidR="00C76EDE" w:rsidRPr="008B44F8">
        <w:t>three</w:t>
      </w:r>
      <w:r w:rsidR="007C05F1" w:rsidRPr="008B44F8">
        <w:t xml:space="preserve"> lift stations </w:t>
      </w:r>
      <w:r w:rsidR="00C76EDE" w:rsidRPr="008B44F8">
        <w:t xml:space="preserve">and a master lift station that conveys wastewater to Marion County Utilities. </w:t>
      </w:r>
    </w:p>
    <w:p w:rsidR="00F642EB" w:rsidRDefault="00F642EB" w:rsidP="00F642EB">
      <w:pPr>
        <w:pStyle w:val="First-LevelSubheading"/>
      </w:pPr>
      <w:r>
        <w:t>Technical and Financial Ability</w:t>
      </w:r>
    </w:p>
    <w:p w:rsidR="007C05F1" w:rsidRPr="007C05F1" w:rsidRDefault="007C05F1" w:rsidP="007C05F1">
      <w:pPr>
        <w:pStyle w:val="BodyText"/>
      </w:pPr>
      <w:r w:rsidRPr="007C05F1">
        <w:t>Pursuant to Rule 25-30.037(2</w:t>
      </w:r>
      <w:proofErr w:type="gramStart"/>
      <w:r w:rsidRPr="007C05F1">
        <w:t>)(</w:t>
      </w:r>
      <w:proofErr w:type="gramEnd"/>
      <w:r w:rsidRPr="007C05F1">
        <w:t>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CSWR-BFF’s application states that it owns and operates water and wastewater systems in Missouri, Arkansas, Kentucky, Louisiana, Texas, Mississippi, Arizona, North Carolina, and Tennessee that currently serve more than 73,000 water and 117,000 wastewater customers. The Commission has also approved CSWR’s purchase of f</w:t>
      </w:r>
      <w:r w:rsidR="007358DF">
        <w:t>ive</w:t>
      </w:r>
      <w:r w:rsidRPr="007C05F1">
        <w:t xml:space="preserve"> Florida certificated utilities in prior dockets.</w:t>
      </w:r>
      <w:r w:rsidRPr="007C05F1">
        <w:rPr>
          <w:rStyle w:val="FootnoteReference"/>
        </w:rPr>
        <w:footnoteReference w:id="3"/>
      </w:r>
    </w:p>
    <w:p w:rsidR="00F642EB" w:rsidRPr="008077A6" w:rsidRDefault="007C05F1" w:rsidP="007C05F1">
      <w:pPr>
        <w:pStyle w:val="BodyText"/>
      </w:pPr>
      <w:r w:rsidRPr="007C05F1">
        <w:t>The Buyer plans to use qualified and licensed contractors to provide routine operation and maintenance (O&amp;M) of the systems, as well as to handle billing and customer service. Staff reviewed the financial statements of CSWR-BFF and believes the Buyer has documented adequate resources to support the Utility’s wastewater operations. Based on the above, the Buyer has demonstrated the technical and financial ability to provide service to the existing service territory.</w:t>
      </w:r>
    </w:p>
    <w:p w:rsidR="00F642EB" w:rsidRPr="008077A6" w:rsidRDefault="00F642EB" w:rsidP="00F642EB">
      <w:pPr>
        <w:pStyle w:val="First-LevelSubheading"/>
      </w:pPr>
      <w:r w:rsidRPr="008077A6">
        <w:t>Rates and Charges</w:t>
      </w:r>
    </w:p>
    <w:p w:rsidR="00F642EB" w:rsidRDefault="008077A6" w:rsidP="00F642EB">
      <w:pPr>
        <w:pStyle w:val="BodyText"/>
      </w:pPr>
      <w:r>
        <w:rPr>
          <w:rFonts w:eastAsiaTheme="minorHAnsi" w:cstheme="minorBidi"/>
          <w:szCs w:val="22"/>
        </w:rPr>
        <w:t>BFF</w:t>
      </w:r>
      <w:r w:rsidRPr="008077A6">
        <w:rPr>
          <w:rFonts w:eastAsiaTheme="minorHAnsi" w:cstheme="minorBidi"/>
          <w:szCs w:val="22"/>
        </w:rPr>
        <w:t>’s wastewater rates were last approved in 2002.</w:t>
      </w:r>
      <w:r w:rsidRPr="008077A6">
        <w:rPr>
          <w:rFonts w:eastAsiaTheme="minorHAnsi" w:cstheme="minorBidi"/>
          <w:szCs w:val="22"/>
          <w:vertAlign w:val="superscript"/>
        </w:rPr>
        <w:footnoteReference w:id="4"/>
      </w:r>
      <w:r w:rsidRPr="008077A6">
        <w:rPr>
          <w:rFonts w:eastAsiaTheme="minorHAnsi" w:cstheme="minorBidi"/>
          <w:szCs w:val="22"/>
        </w:rPr>
        <w:t xml:space="preserve"> Since the last rate case, the rates were subsequently amended by several price indexes and pass-through rate adjustments with the most recent being in 2022. The Utility’s current charges were approved in 1990.</w:t>
      </w:r>
      <w:r w:rsidRPr="008077A6">
        <w:rPr>
          <w:rFonts w:eastAsiaTheme="minorHAnsi" w:cstheme="minorBidi"/>
          <w:szCs w:val="22"/>
          <w:vertAlign w:val="superscript"/>
        </w:rPr>
        <w:footnoteReference w:id="5"/>
      </w:r>
      <w:r w:rsidRPr="008077A6">
        <w:rPr>
          <w:rFonts w:eastAsiaTheme="minorHAnsi" w:cstheme="minorBidi"/>
          <w:szCs w:val="22"/>
        </w:rPr>
        <w:t xml:space="preserve"> The initial customer deposits have been in effect since the Utility’s certification in the late 1990. </w:t>
      </w:r>
      <w:r w:rsidRPr="008077A6">
        <w:rPr>
          <w:rFonts w:eastAsia="Calibri"/>
        </w:rPr>
        <w:t xml:space="preserve">Rule 25-9.044(1), F.A.C., provides that, in the case of a change of ownership or control of a Utility, the rates, classifications, and regulations of the former owner must continue unless authorized to change by this Commission. </w:t>
      </w:r>
      <w:r w:rsidRPr="008077A6">
        <w:rPr>
          <w:rFonts w:eastAsiaTheme="minorHAnsi" w:cstheme="minorBidi"/>
          <w:szCs w:val="22"/>
        </w:rPr>
        <w:t>However, the miscellaneous service charges do not conform to Rule 25-30.460, F.A.</w:t>
      </w:r>
      <w:r>
        <w:rPr>
          <w:rFonts w:eastAsiaTheme="minorHAnsi" w:cstheme="minorBidi"/>
          <w:szCs w:val="22"/>
        </w:rPr>
        <w:t>C., and are discussed in Issue 4</w:t>
      </w:r>
      <w:r w:rsidRPr="008077A6">
        <w:rPr>
          <w:rFonts w:eastAsiaTheme="minorHAnsi" w:cstheme="minorBidi"/>
          <w:szCs w:val="22"/>
        </w:rPr>
        <w:t xml:space="preserve">. Therefore, staff recommends that the Utility's existing rates, service availability charges, and initial customer deposits as shown on Schedule No. </w:t>
      </w:r>
      <w:r w:rsidR="00253DBC" w:rsidRPr="00253DBC">
        <w:rPr>
          <w:rFonts w:eastAsiaTheme="minorHAnsi" w:cstheme="minorBidi"/>
          <w:szCs w:val="22"/>
        </w:rPr>
        <w:t>4</w:t>
      </w:r>
      <w:r w:rsidRPr="008077A6">
        <w:rPr>
          <w:rFonts w:eastAsiaTheme="minorHAnsi" w:cstheme="minorBidi"/>
          <w:szCs w:val="22"/>
        </w:rPr>
        <w:t>, should remain in effect, until a change is authorized by th</w:t>
      </w:r>
      <w:r w:rsidR="007358DF">
        <w:rPr>
          <w:rFonts w:eastAsiaTheme="minorHAnsi" w:cstheme="minorBidi"/>
          <w:szCs w:val="22"/>
        </w:rPr>
        <w:t>e</w:t>
      </w:r>
      <w:r w:rsidRPr="008077A6">
        <w:rPr>
          <w:rFonts w:eastAsiaTheme="minorHAnsi" w:cstheme="minorBidi"/>
          <w:szCs w:val="22"/>
        </w:rPr>
        <w:t xml:space="preserve"> Commission in a subsequent proceeding. The tariff pages reflecting the transfer should be effective on or after the stamped approval date on the tariff sheets, pursuant to Rule 25-30.475(1), F.A.C.</w:t>
      </w:r>
    </w:p>
    <w:p w:rsidR="00F642EB" w:rsidRDefault="00F642EB" w:rsidP="00F642EB">
      <w:pPr>
        <w:pStyle w:val="First-LevelSubheading"/>
      </w:pPr>
      <w:r>
        <w:t>Regulatory Assessment Fees and Annual Report</w:t>
      </w:r>
    </w:p>
    <w:p w:rsidR="00F642EB" w:rsidRPr="007C05F1" w:rsidRDefault="007C05F1" w:rsidP="00F642EB">
      <w:pPr>
        <w:pStyle w:val="BodyText"/>
      </w:pPr>
      <w:r w:rsidRPr="00313ECB">
        <w:t xml:space="preserve">Staff has verified that the Utility is current on the filing of annual reports and RAFs through December 31, 2022. The Buyer </w:t>
      </w:r>
      <w:r w:rsidR="007358DF">
        <w:t>should</w:t>
      </w:r>
      <w:r w:rsidRPr="00313ECB">
        <w:t xml:space="preserve"> be responsible for filing the Utility’s annual reports and paying RAFs for all future years.</w:t>
      </w:r>
    </w:p>
    <w:p w:rsidR="00F642EB" w:rsidRDefault="00F642EB" w:rsidP="00F642EB">
      <w:pPr>
        <w:pStyle w:val="First-LevelSubheading"/>
      </w:pPr>
      <w:r>
        <w:t>Conclusion</w:t>
      </w:r>
    </w:p>
    <w:p w:rsidR="007C05F1" w:rsidRPr="007C05F1" w:rsidRDefault="007C05F1" w:rsidP="007C05F1">
      <w:pPr>
        <w:pStyle w:val="BodyText"/>
      </w:pPr>
      <w:r w:rsidRPr="00313ECB">
        <w:t>B</w:t>
      </w:r>
      <w:r w:rsidRPr="007C05F1">
        <w:t>ased on the foregoing, staff recommends that the transfer of the water and wastewater systems and Certificate No. 318-S is in the public intere</w:t>
      </w:r>
      <w:r w:rsidRPr="006638AB">
        <w:t xml:space="preserve">st and should be approved effective the date that the sale becomes final. </w:t>
      </w:r>
      <w:proofErr w:type="gramStart"/>
      <w:r w:rsidRPr="006638AB">
        <w:t>The resultant Order should serve as the Buyer’s certificate and should be retained by the Buyer.</w:t>
      </w:r>
      <w:proofErr w:type="gramEnd"/>
      <w:r w:rsidRPr="006638AB">
        <w:t xml:space="preserve"> The Buyer should submit the executed and recorded deed for continued access to the land upon which its facilities are located,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rates, service availability charges, and initial customer deposits, as shown on </w:t>
      </w:r>
      <w:r w:rsidRPr="008077A6">
        <w:t xml:space="preserve">Schedule No. </w:t>
      </w:r>
      <w:r w:rsidRPr="00253DBC">
        <w:t>4,</w:t>
      </w:r>
      <w:r w:rsidRPr="006638AB">
        <w:t xml:space="preserve"> should remain in effect until a change is authorized by the Commission in a subsequent proceeding. The tariff pages reflecting the transfer should be effective on or after the stamped approval date on the tariff sheets, pursuant to Rule 25-30.475(1), </w:t>
      </w:r>
      <w:r>
        <w:t>F.A.C.</w:t>
      </w:r>
      <w:r w:rsidRPr="006638AB">
        <w:t xml:space="preserve"> The Seller is current with respect to annual reports and </w:t>
      </w:r>
      <w:r w:rsidR="004B4A3E">
        <w:t>RAFs</w:t>
      </w:r>
      <w:r w:rsidRPr="006638AB">
        <w:t xml:space="preserve"> through December 31, 2022. The Buyer should be responsible for filing annual reports and paying RAFs for all future years</w:t>
      </w:r>
      <w:r>
        <w:t>.</w:t>
      </w:r>
    </w:p>
    <w:p w:rsidR="00F642EB" w:rsidRDefault="00F642EB">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(Thurmond)" \l 1 </w:instrText>
      </w:r>
      <w:r>
        <w:fldChar w:fldCharType="end"/>
      </w:r>
      <w:r>
        <w:t> </w:t>
      </w:r>
    </w:p>
    <w:p w:rsidR="00F642EB" w:rsidRDefault="00F642EB">
      <w:pPr>
        <w:pStyle w:val="BodyText"/>
      </w:pPr>
      <w:r>
        <w:t> What is the appropriate net book value for CSWR-Florida Utility Operating Company LLC’s wastewater system for transfer purposes?</w:t>
      </w:r>
    </w:p>
    <w:p w:rsidR="00F642EB" w:rsidRPr="004C3641" w:rsidRDefault="00F642EB">
      <w:pPr>
        <w:pStyle w:val="IssueSubsectionHeading"/>
        <w:rPr>
          <w:vanish/>
          <w:specVanish/>
        </w:rPr>
      </w:pPr>
      <w:r w:rsidRPr="004C3641">
        <w:t>Recommendation: </w:t>
      </w:r>
    </w:p>
    <w:p w:rsidR="00F642EB" w:rsidRDefault="00F642EB">
      <w:pPr>
        <w:pStyle w:val="BodyText"/>
      </w:pPr>
      <w:r>
        <w:t> </w:t>
      </w:r>
      <w:r w:rsidR="004B4A3E">
        <w:t xml:space="preserve">For </w:t>
      </w:r>
      <w:r w:rsidR="004B4A3E" w:rsidRPr="00BE7677">
        <w:t xml:space="preserve">transfer purposes, the net book value (NBV) of the </w:t>
      </w:r>
      <w:r w:rsidR="004B4A3E">
        <w:t>wastewater</w:t>
      </w:r>
      <w:r w:rsidR="004B4A3E" w:rsidRPr="00BE7677">
        <w:t xml:space="preserve"> system</w:t>
      </w:r>
      <w:r w:rsidR="004B4A3E">
        <w:t xml:space="preserve"> is $39,708</w:t>
      </w:r>
      <w:r w:rsidR="004B4A3E" w:rsidRPr="00BE7677">
        <w:t xml:space="preserve"> as of </w:t>
      </w:r>
      <w:r w:rsidR="004B4A3E">
        <w:t>February 28, 2022</w:t>
      </w:r>
      <w:r w:rsidR="004B4A3E" w:rsidRPr="00BE7677">
        <w:t xml:space="preserve">. </w:t>
      </w:r>
      <w:r w:rsidR="004B4A3E" w:rsidRPr="005367BB">
        <w:t>Within 90 days</w:t>
      </w:r>
      <w:r w:rsidR="004B4A3E" w:rsidRPr="00BE7677">
        <w:t xml:space="preserve"> of the date of the</w:t>
      </w:r>
      <w:r w:rsidR="00513FDF">
        <w:t xml:space="preserve"> C</w:t>
      </w:r>
      <w:r w:rsidR="004B4A3E">
        <w:t>onsummating O</w:t>
      </w:r>
      <w:r w:rsidR="004B4A3E" w:rsidRPr="00BE7677">
        <w:t>rder, CSWR</w:t>
      </w:r>
      <w:r w:rsidR="004B4A3E">
        <w:t>-BFF</w:t>
      </w:r>
      <w:r w:rsidR="004B4A3E" w:rsidRPr="00BE7677">
        <w:t xml:space="preserve"> should be required to notify the Commission in writing, that it has adjusted its books in accordance with the Commission’s decision. </w:t>
      </w:r>
      <w:r w:rsidR="004B4A3E" w:rsidRPr="006035FA">
        <w:t>The adjustments should be reflected in the Utility’s 2023 Annual Report when filed.</w:t>
      </w:r>
      <w:r>
        <w:t xml:space="preserve"> (Thurmond)</w:t>
      </w:r>
    </w:p>
    <w:p w:rsidR="00F642EB" w:rsidRPr="004C3641" w:rsidRDefault="00F642EB">
      <w:pPr>
        <w:pStyle w:val="IssueSubsectionHeading"/>
        <w:rPr>
          <w:vanish/>
          <w:specVanish/>
        </w:rPr>
      </w:pPr>
      <w:r w:rsidRPr="004C3641">
        <w:t>Staff Analysis: </w:t>
      </w:r>
    </w:p>
    <w:p w:rsidR="004B4A3E" w:rsidRPr="004B4A3E" w:rsidRDefault="00F642EB" w:rsidP="004B4A3E">
      <w:pPr>
        <w:pStyle w:val="BodyText"/>
      </w:pPr>
      <w:r>
        <w:t> </w:t>
      </w:r>
      <w:r w:rsidR="004B4A3E" w:rsidRPr="004B4A3E">
        <w:t xml:space="preserve">Rate base was last established as of August </w:t>
      </w:r>
      <w:r w:rsidR="005234D7">
        <w:t>31, 2002</w:t>
      </w:r>
      <w:r w:rsidR="004B4A3E" w:rsidRPr="004B4A3E">
        <w:t>.</w:t>
      </w:r>
      <w:r w:rsidR="004B4A3E" w:rsidRPr="004B4A3E">
        <w:rPr>
          <w:vertAlign w:val="superscript"/>
        </w:rPr>
        <w:footnoteReference w:id="6"/>
      </w:r>
      <w:r w:rsidR="004B4A3E" w:rsidRPr="004B4A3E">
        <w:t xml:space="preserve"> The purpose of establishing NBV for transfers is to determine whether an acquisition adjustment should be approved. CSWR</w:t>
      </w:r>
      <w:r w:rsidR="004B4A3E">
        <w:t>-BFF</w:t>
      </w:r>
      <w:r w:rsidR="004B4A3E" w:rsidRPr="004B4A3E">
        <w:t>’s request for a positive acquisition adjustment is addressed in Issue 3. The NBV does not include normal ratemaking adjustments for used and useful plant or working capital. The Utility’s NBV has been updated to reflect balances as of February 28, 2022.</w:t>
      </w:r>
      <w:r w:rsidR="004B4A3E" w:rsidRPr="004B4A3E">
        <w:rPr>
          <w:vertAlign w:val="superscript"/>
        </w:rPr>
        <w:footnoteReference w:id="7"/>
      </w:r>
      <w:r w:rsidR="004B4A3E" w:rsidRPr="004B4A3E">
        <w:t xml:space="preserve"> Staff’s recommended NBV, as described below, is shown on Schedule No. 1.</w:t>
      </w:r>
    </w:p>
    <w:p w:rsidR="004B4A3E" w:rsidRPr="004B4A3E" w:rsidRDefault="004B4A3E" w:rsidP="004B4A3E">
      <w:pPr>
        <w:spacing w:after="240"/>
        <w:contextualSpacing/>
        <w:jc w:val="both"/>
        <w:rPr>
          <w:rFonts w:ascii="Arial" w:hAnsi="Arial" w:cs="Arial"/>
          <w:b/>
        </w:rPr>
      </w:pPr>
      <w:r w:rsidRPr="004B4A3E">
        <w:rPr>
          <w:rFonts w:ascii="Arial" w:hAnsi="Arial" w:cs="Arial"/>
          <w:b/>
        </w:rPr>
        <w:t>Utility Plant in Service (UPIS)</w:t>
      </w:r>
    </w:p>
    <w:p w:rsidR="004B4A3E" w:rsidRPr="004B4A3E" w:rsidRDefault="004B4A3E" w:rsidP="004B4A3E">
      <w:pPr>
        <w:spacing w:after="240"/>
        <w:contextualSpacing/>
        <w:jc w:val="both"/>
      </w:pPr>
      <w:r w:rsidRPr="004B4A3E">
        <w:t>According to the Utility’s general ledger, the total UPIS balance was $270,192 as of February 28, 2022. Staff auditors compiled the plant additions and retirements to UPIS from August 31, 2002, to February 28, 2022, and traced supporting documentation. As a result, staff recommends a decrease to UPIS of $34,341 as of February 28, 2022. Accordingly, staff recommends a total UPIS balance of $235,851 as of February 28, 2022.</w:t>
      </w:r>
    </w:p>
    <w:p w:rsidR="004B4A3E" w:rsidRPr="004B4A3E" w:rsidRDefault="004B4A3E" w:rsidP="004B4A3E">
      <w:pPr>
        <w:spacing w:after="240"/>
        <w:contextualSpacing/>
        <w:jc w:val="both"/>
      </w:pPr>
    </w:p>
    <w:p w:rsidR="004B4A3E" w:rsidRPr="004B4A3E" w:rsidRDefault="004B4A3E" w:rsidP="004B4A3E">
      <w:pPr>
        <w:spacing w:after="240"/>
        <w:contextualSpacing/>
        <w:jc w:val="both"/>
        <w:rPr>
          <w:rFonts w:ascii="Arial" w:hAnsi="Arial" w:cs="Arial"/>
          <w:b/>
        </w:rPr>
      </w:pPr>
      <w:r w:rsidRPr="004B4A3E">
        <w:rPr>
          <w:rFonts w:ascii="Arial" w:hAnsi="Arial" w:cs="Arial"/>
          <w:b/>
        </w:rPr>
        <w:t>Land</w:t>
      </w:r>
    </w:p>
    <w:p w:rsidR="004B4A3E" w:rsidRPr="004B4A3E" w:rsidRDefault="004B4A3E" w:rsidP="004B4A3E">
      <w:pPr>
        <w:spacing w:after="240"/>
        <w:contextualSpacing/>
        <w:jc w:val="both"/>
      </w:pPr>
      <w:r w:rsidRPr="004B4A3E">
        <w:t>The Utility’s general ledger reflected a land balance of $1,579 as of August 31, 2002. There have been no additions to land since August 31, 2002. Therefore, staff recommends no adjustments to its land balance.</w:t>
      </w:r>
    </w:p>
    <w:p w:rsidR="004B4A3E" w:rsidRPr="004B4A3E" w:rsidRDefault="004B4A3E" w:rsidP="004B4A3E">
      <w:pPr>
        <w:spacing w:after="240"/>
        <w:contextualSpacing/>
        <w:jc w:val="both"/>
      </w:pPr>
    </w:p>
    <w:p w:rsidR="004B4A3E" w:rsidRPr="004B4A3E" w:rsidRDefault="004B4A3E" w:rsidP="004B4A3E">
      <w:pPr>
        <w:spacing w:after="240"/>
        <w:contextualSpacing/>
        <w:jc w:val="both"/>
        <w:rPr>
          <w:rFonts w:ascii="Arial" w:hAnsi="Arial" w:cs="Arial"/>
          <w:b/>
        </w:rPr>
      </w:pPr>
      <w:r w:rsidRPr="004B4A3E">
        <w:rPr>
          <w:rFonts w:ascii="Arial" w:hAnsi="Arial" w:cs="Arial"/>
          <w:b/>
        </w:rPr>
        <w:t>Accumulated Depreciation</w:t>
      </w:r>
    </w:p>
    <w:p w:rsidR="004B4A3E" w:rsidRPr="004B4A3E" w:rsidRDefault="004B4A3E" w:rsidP="004B4A3E">
      <w:pPr>
        <w:spacing w:after="240"/>
        <w:contextualSpacing/>
        <w:jc w:val="both"/>
      </w:pPr>
      <w:r w:rsidRPr="004B4A3E">
        <w:t>According to the Utility’s general ledger, the total accumulated depreciation balance was $214,723 as of February 28, 2022. Staff auditors recalculated depreciation accruals using the depreciation rates established by Rule 25-30.140, F.A.C. As a result, staff recommends that the accumulated depreciation balance be decreased by $24,057 as of February 28, 2022. Accordingly, staff recommends a total accumulated depreciation balance of $190,666 as of February 28, 2022.</w:t>
      </w:r>
    </w:p>
    <w:p w:rsidR="004B4A3E" w:rsidRPr="004B4A3E" w:rsidRDefault="004B4A3E" w:rsidP="004B4A3E">
      <w:pPr>
        <w:spacing w:after="240"/>
        <w:contextualSpacing/>
        <w:jc w:val="both"/>
      </w:pPr>
    </w:p>
    <w:p w:rsidR="004B4A3E" w:rsidRPr="004B4A3E" w:rsidRDefault="004B4A3E" w:rsidP="004B4A3E">
      <w:pPr>
        <w:spacing w:after="240"/>
        <w:contextualSpacing/>
        <w:jc w:val="both"/>
        <w:rPr>
          <w:rFonts w:ascii="Arial" w:hAnsi="Arial" w:cs="Arial"/>
          <w:b/>
        </w:rPr>
      </w:pPr>
      <w:r w:rsidRPr="004B4A3E">
        <w:rPr>
          <w:rFonts w:ascii="Arial" w:hAnsi="Arial" w:cs="Arial"/>
          <w:b/>
        </w:rPr>
        <w:t>Contributions-in-Aid-of-Construction (CIAC) and Accumulated Amortization of CIAC</w:t>
      </w:r>
    </w:p>
    <w:p w:rsidR="004B4A3E" w:rsidRPr="004B4A3E" w:rsidRDefault="004B4A3E" w:rsidP="004B4A3E">
      <w:pPr>
        <w:spacing w:after="240"/>
        <w:contextualSpacing/>
        <w:jc w:val="both"/>
      </w:pPr>
      <w:r w:rsidRPr="004B4A3E">
        <w:t xml:space="preserve">According to the Utility’s general ledger, the CIAC balance and accumulated amortization of CIAC were $41,036 and $29,740, respectively, as of February 28, 2022. Staff auditors recalculated CIAC and accumulated amortization of CIAC balances from August 31, 2002, to February 28, 2022, using supporting documentation. As a result, staff recommends that the CIAC balance be decreased by $5,634 as of February 28, 2022. Staff also recommends that the accumulated amortization of CIAC balance be decreased by $1,394 as of February 28, 2022. Accordingly, staff recommends total CIAC and Accumulated Amortization of CIAC balances of $35,402 and $28,346, respectively, as of February 28, 2022. </w:t>
      </w:r>
    </w:p>
    <w:p w:rsidR="004B4A3E" w:rsidRPr="004B4A3E" w:rsidRDefault="004B4A3E" w:rsidP="004B4A3E">
      <w:pPr>
        <w:spacing w:after="240"/>
        <w:contextualSpacing/>
        <w:jc w:val="both"/>
        <w:rPr>
          <w:rFonts w:ascii="Arial" w:hAnsi="Arial" w:cs="Arial"/>
          <w:b/>
        </w:rPr>
      </w:pPr>
    </w:p>
    <w:p w:rsidR="004B4A3E" w:rsidRPr="004B4A3E" w:rsidRDefault="004B4A3E" w:rsidP="004B4A3E">
      <w:pPr>
        <w:spacing w:after="240"/>
        <w:contextualSpacing/>
        <w:jc w:val="both"/>
        <w:rPr>
          <w:rFonts w:ascii="Arial" w:hAnsi="Arial" w:cs="Arial"/>
          <w:b/>
        </w:rPr>
      </w:pPr>
      <w:r w:rsidRPr="004B4A3E">
        <w:rPr>
          <w:rFonts w:ascii="Arial" w:hAnsi="Arial" w:cs="Arial"/>
          <w:b/>
        </w:rPr>
        <w:t>Net Book Value</w:t>
      </w:r>
    </w:p>
    <w:p w:rsidR="004B4A3E" w:rsidRPr="004B4A3E" w:rsidRDefault="004B4A3E" w:rsidP="004B4A3E">
      <w:pPr>
        <w:spacing w:after="240"/>
        <w:contextualSpacing/>
        <w:jc w:val="both"/>
      </w:pPr>
      <w:r w:rsidRPr="004B4A3E">
        <w:t>The Utility’s general ledger reflected a NBV of $45,752 as of February 28, 2022. Based on the adjustments described above, staff recommends a NBV of $39,708 as of February 28, 2022. Staff’s recommended NBV and the National Association of Regulatory Utility Commissioners, Uniform System of Accounts (NARUC USOA) balances for UPIS and accumulated depreciation are shown on Schedule No. 1 as of February 28, 2022. As addressed in Issue 3, staff recommends a positive acquisition adjustment not be recognized for ratemaking purposes.</w:t>
      </w:r>
    </w:p>
    <w:p w:rsidR="004B4A3E" w:rsidRPr="004B4A3E" w:rsidRDefault="004B4A3E" w:rsidP="004B4A3E">
      <w:pPr>
        <w:spacing w:after="240"/>
        <w:contextualSpacing/>
        <w:jc w:val="both"/>
      </w:pPr>
    </w:p>
    <w:p w:rsidR="004B4A3E" w:rsidRDefault="004B4A3E" w:rsidP="004B4A3E">
      <w:pPr>
        <w:spacing w:after="240"/>
        <w:contextualSpacing/>
        <w:jc w:val="both"/>
        <w:rPr>
          <w:rFonts w:ascii="Arial" w:hAnsi="Arial" w:cs="Arial"/>
          <w:b/>
        </w:rPr>
      </w:pPr>
      <w:r w:rsidRPr="004B4A3E">
        <w:rPr>
          <w:rFonts w:ascii="Arial" w:hAnsi="Arial" w:cs="Arial"/>
          <w:b/>
        </w:rPr>
        <w:t>Conclusion</w:t>
      </w:r>
    </w:p>
    <w:p w:rsidR="00F642EB" w:rsidRPr="004B4A3E" w:rsidRDefault="004B4A3E" w:rsidP="004B4A3E">
      <w:pPr>
        <w:spacing w:after="240"/>
        <w:contextualSpacing/>
        <w:jc w:val="both"/>
        <w:rPr>
          <w:rFonts w:ascii="Arial" w:hAnsi="Arial" w:cs="Arial"/>
          <w:b/>
        </w:rPr>
      </w:pPr>
      <w:r w:rsidRPr="004B4A3E">
        <w:t xml:space="preserve">Based on the above, staff recommends a NBV of $39,708 as of February 28, 2022, for transfer purposes. Within 90 days of the date of the </w:t>
      </w:r>
      <w:r w:rsidR="00513FDF">
        <w:t>C</w:t>
      </w:r>
      <w:r w:rsidRPr="004B4A3E">
        <w:t xml:space="preserve">onsummating </w:t>
      </w:r>
      <w:r w:rsidR="00513FDF">
        <w:t>O</w:t>
      </w:r>
      <w:r w:rsidRPr="004B4A3E">
        <w:t>rder, the Buyer should be required to notify the Commission in writing, that it has adjusted its books in accordance with the Commission’s decision. The adjustments should be reflected in the Utility’s 2023 Annual Report when filed</w:t>
      </w:r>
      <w:r>
        <w:t>.</w:t>
      </w:r>
    </w:p>
    <w:p w:rsidR="00F642EB" w:rsidRDefault="00F642EB">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(Thurmond, M. Watts)" \l 1 </w:instrText>
      </w:r>
      <w:r>
        <w:fldChar w:fldCharType="end"/>
      </w:r>
      <w:r>
        <w:t> </w:t>
      </w:r>
    </w:p>
    <w:p w:rsidR="00F642EB" w:rsidRDefault="00F642EB">
      <w:pPr>
        <w:pStyle w:val="BodyText"/>
      </w:pPr>
      <w:r>
        <w:t> Should a positive acquisition adjustment be recognized for ratemaking purposes?</w:t>
      </w:r>
    </w:p>
    <w:p w:rsidR="00F642EB" w:rsidRPr="004C3641" w:rsidRDefault="00F642EB">
      <w:pPr>
        <w:pStyle w:val="IssueSubsectionHeading"/>
        <w:rPr>
          <w:vanish/>
          <w:specVanish/>
        </w:rPr>
      </w:pPr>
      <w:r w:rsidRPr="004C3641">
        <w:t>Recommendation: </w:t>
      </w:r>
    </w:p>
    <w:p w:rsidR="00F642EB" w:rsidRDefault="00F642EB">
      <w:pPr>
        <w:pStyle w:val="BodyText"/>
      </w:pPr>
      <w:r>
        <w:t> </w:t>
      </w:r>
      <w:r w:rsidR="004B4A3E" w:rsidRPr="00071050">
        <w:t>No. Pursuant to Rule 25-30.0371, F.A.C., a positive acquisition adjustment shoul</w:t>
      </w:r>
      <w:r w:rsidR="004B4A3E">
        <w:t xml:space="preserve">d not be granted as the Buyer </w:t>
      </w:r>
      <w:r w:rsidR="004B4A3E" w:rsidRPr="00071050">
        <w:t>failed to demonstrate extraordinary circumsta</w:t>
      </w:r>
      <w:r w:rsidR="004B4A3E">
        <w:t>nces.</w:t>
      </w:r>
      <w:r>
        <w:t xml:space="preserve"> (Thurmond, M. Watts)</w:t>
      </w:r>
    </w:p>
    <w:p w:rsidR="00F642EB" w:rsidRPr="004C3641" w:rsidRDefault="00F642EB">
      <w:pPr>
        <w:pStyle w:val="IssueSubsectionHeading"/>
        <w:rPr>
          <w:vanish/>
          <w:specVanish/>
        </w:rPr>
      </w:pPr>
      <w:r w:rsidRPr="004C3641">
        <w:t>Staff Analysis: </w:t>
      </w:r>
    </w:p>
    <w:p w:rsidR="004B4A3E" w:rsidRPr="004B4A3E" w:rsidRDefault="00F642EB" w:rsidP="004B4A3E">
      <w:pPr>
        <w:pStyle w:val="BodyText"/>
      </w:pPr>
      <w:r>
        <w:t> </w:t>
      </w:r>
      <w:r w:rsidR="004B4A3E" w:rsidRPr="004B4A3E">
        <w:t xml:space="preserve">In its filing, the applicant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rsidR="004B4A3E" w:rsidRPr="004B4A3E" w:rsidRDefault="004B4A3E" w:rsidP="004B4A3E">
      <w:pPr>
        <w:spacing w:after="240"/>
        <w:jc w:val="both"/>
      </w:pPr>
      <w:r w:rsidRPr="004B4A3E">
        <w:t>According to the purchase agreement, the Buyer will purchase the Utility for $405,000. As discussed in Issue 2, staff is recommending a NBV of $39,708. This would result in a positive acquisition adjustment of $365,292.</w:t>
      </w:r>
    </w:p>
    <w:p w:rsidR="004B4A3E" w:rsidRPr="004B4A3E" w:rsidRDefault="004B4A3E" w:rsidP="004B4A3E">
      <w:pPr>
        <w:spacing w:after="240"/>
        <w:jc w:val="both"/>
      </w:pPr>
      <w:r w:rsidRPr="004B4A3E">
        <w:t>Any entity that believes a full or partial positive acquisition adjustment should be made has the burden to prove the existence of extraordinary circumstances. Rule 25-30.0371(2), F.A.C., states:</w:t>
      </w:r>
    </w:p>
    <w:p w:rsidR="004B4A3E" w:rsidRPr="004B4A3E" w:rsidRDefault="004B4A3E" w:rsidP="007358DF">
      <w:pPr>
        <w:spacing w:after="240"/>
        <w:ind w:left="720" w:right="720"/>
        <w:jc w:val="both"/>
      </w:pPr>
      <w:r w:rsidRPr="004B4A3E">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4B4A3E" w:rsidRPr="004B4A3E" w:rsidRDefault="004B4A3E" w:rsidP="004B4A3E">
      <w:pPr>
        <w:jc w:val="both"/>
        <w:outlineLvl w:val="2"/>
      </w:pPr>
      <w:r w:rsidRPr="004B4A3E">
        <w:t xml:space="preserve">If a purchase price above depreciated original cost is used to determine rate base, without the requirement for extraordinary circumstances, it could encourage utilities to </w:t>
      </w:r>
      <w:r w:rsidR="00513FDF">
        <w:t>“</w:t>
      </w:r>
      <w:r w:rsidRPr="004B4A3E">
        <w:t>swap assets</w:t>
      </w:r>
      <w:r w:rsidR="00513FDF">
        <w:t>”</w:t>
      </w:r>
      <w:r w:rsidRPr="004B4A3E">
        <w:t xml:space="preserve"> and inappropriately increase cost to customers.</w:t>
      </w:r>
    </w:p>
    <w:p w:rsidR="004B4A3E" w:rsidRPr="004B4A3E" w:rsidRDefault="004B4A3E" w:rsidP="004B4A3E">
      <w:pPr>
        <w:jc w:val="both"/>
        <w:outlineLvl w:val="2"/>
      </w:pPr>
    </w:p>
    <w:p w:rsidR="004B4A3E" w:rsidRPr="004B4A3E" w:rsidRDefault="004B4A3E" w:rsidP="004B4A3E">
      <w:pPr>
        <w:jc w:val="both"/>
        <w:outlineLvl w:val="2"/>
        <w:rPr>
          <w:rFonts w:ascii="Arial" w:hAnsi="Arial" w:cs="Arial"/>
          <w:b/>
          <w:bCs/>
          <w:iCs/>
          <w:szCs w:val="28"/>
        </w:rPr>
      </w:pPr>
      <w:r w:rsidRPr="004B4A3E">
        <w:rPr>
          <w:rFonts w:ascii="Arial" w:hAnsi="Arial" w:cs="Arial"/>
          <w:b/>
          <w:bCs/>
          <w:iCs/>
          <w:szCs w:val="28"/>
        </w:rPr>
        <w:t>Deferral</w:t>
      </w:r>
    </w:p>
    <w:p w:rsidR="004B4A3E" w:rsidRPr="004B4A3E" w:rsidRDefault="004B4A3E" w:rsidP="004B4A3E">
      <w:pPr>
        <w:spacing w:after="240"/>
        <w:jc w:val="both"/>
      </w:pPr>
      <w:r w:rsidRPr="004B4A3E">
        <w:t>In discovery</w:t>
      </w:r>
      <w:r w:rsidR="007C7613">
        <w:t xml:space="preserve"> responses</w:t>
      </w:r>
      <w:r w:rsidRPr="004B4A3E">
        <w:t>, CSWR</w:t>
      </w:r>
      <w:r w:rsidR="00EC0B26">
        <w:t>-BFF</w:t>
      </w:r>
      <w:r w:rsidRPr="004B4A3E">
        <w:t xml:space="preserve"> stated that it intends to ask for deferral of a decision regarding the requested acquisition adjustment. In its application, the Buyer laid out factors such as improvements to quality of service, cost efficiencies, and rate stability. These are discussed below and staff finds these factors do not constitute extraordinary circumstances. In response to discovery, the Buyer agreed that after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are not considered extraordinary circumstances. </w:t>
      </w:r>
    </w:p>
    <w:p w:rsidR="004B4A3E" w:rsidRPr="004B4A3E" w:rsidRDefault="004B4A3E" w:rsidP="004B4A3E">
      <w:pPr>
        <w:spacing w:after="240"/>
        <w:jc w:val="both"/>
      </w:pPr>
      <w:r w:rsidRPr="004B4A3E">
        <w:t>Pursuant to Commission practice, the Buyer has the burden to prove extraordinary circumstances at the time of transfer. Staff believes in the instant case the Buyer has failed to provide proof of extraordinary circumstances. Further, the Buyer had multiple opportunities to provide pertinent information needed to determine if a positive acquisition adjustment is appropriate. As such, staff recommends the Commission deny the request to defer a decision on the positive acquisition adjustment.</w:t>
      </w:r>
    </w:p>
    <w:p w:rsidR="004B4A3E" w:rsidRPr="004B4A3E" w:rsidRDefault="004B4A3E" w:rsidP="004B4A3E">
      <w:pPr>
        <w:jc w:val="both"/>
      </w:pPr>
      <w:r w:rsidRPr="004B4A3E">
        <w:t>Finally, it is long-standing Commission practice to address the disposition of any positive or negative acquisition adjustment at the time of transfer. Pursuant to Section 120.68(7</w:t>
      </w:r>
      <w:proofErr w:type="gramStart"/>
      <w:r w:rsidRPr="004B4A3E">
        <w:t>)(</w:t>
      </w:r>
      <w:proofErr w:type="gramEnd"/>
      <w:r w:rsidRPr="004B4A3E">
        <w:t xml:space="preserve">e)3., F.S., when agencies change their established policies, practices and procedures, they must give an explanation for the deviation. Staff does not believe the facts in this case warrant such a deviation. As such, staff believes the deferral of a positive acquisition adjustment decision in this docket would result in an unnecessary deviation from Commission practice. </w:t>
      </w:r>
    </w:p>
    <w:p w:rsidR="004B4A3E" w:rsidRPr="004B4A3E" w:rsidRDefault="004B4A3E" w:rsidP="004B4A3E">
      <w:pPr>
        <w:jc w:val="both"/>
        <w:outlineLvl w:val="2"/>
      </w:pPr>
    </w:p>
    <w:p w:rsidR="004B4A3E" w:rsidRPr="004B4A3E" w:rsidRDefault="004B4A3E" w:rsidP="004B4A3E">
      <w:pPr>
        <w:jc w:val="both"/>
        <w:outlineLvl w:val="2"/>
        <w:rPr>
          <w:rFonts w:ascii="Arial" w:hAnsi="Arial" w:cs="Arial"/>
          <w:b/>
          <w:bCs/>
          <w:iCs/>
          <w:szCs w:val="28"/>
        </w:rPr>
      </w:pPr>
      <w:r>
        <w:rPr>
          <w:rFonts w:ascii="Arial" w:hAnsi="Arial" w:cs="Arial"/>
          <w:b/>
        </w:rPr>
        <w:t>I</w:t>
      </w:r>
      <w:r w:rsidRPr="00823A2F">
        <w:rPr>
          <w:rFonts w:ascii="Arial" w:hAnsi="Arial" w:cs="Arial"/>
          <w:b/>
        </w:rPr>
        <w:t>mprovements in Quality of Service and Compliance with Regulatory Mandates</w:t>
      </w:r>
    </w:p>
    <w:p w:rsidR="004B4A3E" w:rsidRPr="00BB6591" w:rsidRDefault="004B4A3E" w:rsidP="004B4A3E">
      <w:pPr>
        <w:pStyle w:val="BodyText"/>
      </w:pPr>
      <w:r w:rsidRPr="00BB6591">
        <w:t>In its application, CSWR-</w:t>
      </w:r>
      <w:r w:rsidR="00C47288" w:rsidRPr="00BB6591">
        <w:t>BFF</w:t>
      </w:r>
      <w:r w:rsidRPr="00BB6591">
        <w:t xml:space="preserve">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rsidR="004B4A3E" w:rsidRPr="00AB2969" w:rsidRDefault="00BB6591" w:rsidP="004B4A3E">
      <w:pPr>
        <w:jc w:val="both"/>
      </w:pPr>
      <w:r w:rsidRPr="00AB2969">
        <w:t>No</w:t>
      </w:r>
      <w:r w:rsidR="004B4A3E" w:rsidRPr="00AB2969">
        <w:t xml:space="preserve"> complaints </w:t>
      </w:r>
      <w:r w:rsidR="00AB2969" w:rsidRPr="00AB2969">
        <w:t xml:space="preserve">were </w:t>
      </w:r>
      <w:r w:rsidR="004B4A3E" w:rsidRPr="00AB2969">
        <w:t xml:space="preserve">filed with the Commission for the five-year period prior to the application, </w:t>
      </w:r>
      <w:r w:rsidRPr="00AB2969">
        <w:t xml:space="preserve">from March 2017 to March 2022. </w:t>
      </w:r>
      <w:r w:rsidR="004B4A3E" w:rsidRPr="00AB2969">
        <w:t>In its application, CSWR-</w:t>
      </w:r>
      <w:r w:rsidR="00C47288" w:rsidRPr="00AB2969">
        <w:t>BFF</w:t>
      </w:r>
      <w:r w:rsidR="004B4A3E" w:rsidRPr="00AB2969">
        <w:t xml:space="preserve"> did not list any customer complaints related to the wastewater </w:t>
      </w:r>
      <w:r w:rsidRPr="00AB2969">
        <w:t>service</w:t>
      </w:r>
      <w:r w:rsidR="004B4A3E" w:rsidRPr="00AB2969">
        <w:t>.</w:t>
      </w:r>
    </w:p>
    <w:p w:rsidR="004B4A3E" w:rsidRPr="00D46902" w:rsidRDefault="004B4A3E" w:rsidP="004B4A3E">
      <w:pPr>
        <w:jc w:val="both"/>
        <w:rPr>
          <w:rFonts w:eastAsiaTheme="minorHAnsi" w:cstheme="minorBidi"/>
          <w:szCs w:val="22"/>
        </w:rPr>
      </w:pPr>
    </w:p>
    <w:p w:rsidR="004B4A3E" w:rsidRPr="00AB2969" w:rsidRDefault="004B4A3E" w:rsidP="004B4A3E">
      <w:pPr>
        <w:jc w:val="both"/>
        <w:rPr>
          <w:rFonts w:eastAsiaTheme="minorHAnsi" w:cstheme="minorBidi"/>
          <w:szCs w:val="22"/>
        </w:rPr>
      </w:pPr>
      <w:r w:rsidRPr="00AB2969">
        <w:rPr>
          <w:rFonts w:eastAsiaTheme="minorHAnsi" w:cstheme="minorBidi"/>
          <w:szCs w:val="22"/>
        </w:rPr>
        <w:t>In Exhibit H of its application, CSWR-</w:t>
      </w:r>
      <w:r w:rsidR="00C47288" w:rsidRPr="00AB2969">
        <w:rPr>
          <w:rFonts w:eastAsiaTheme="minorHAnsi" w:cstheme="minorBidi"/>
          <w:szCs w:val="22"/>
        </w:rPr>
        <w:t>BFF</w:t>
      </w:r>
      <w:r w:rsidRPr="00AB2969">
        <w:rPr>
          <w:rFonts w:eastAsiaTheme="minorHAnsi" w:cstheme="minorBidi"/>
          <w:szCs w:val="22"/>
        </w:rPr>
        <w:t xml:space="preserve"> </w:t>
      </w:r>
      <w:r w:rsidR="00AB2969" w:rsidRPr="00AB2969">
        <w:rPr>
          <w:rFonts w:eastAsiaTheme="minorHAnsi" w:cstheme="minorBidi"/>
          <w:szCs w:val="22"/>
        </w:rPr>
        <w:t>listed</w:t>
      </w:r>
      <w:r w:rsidRPr="00AB2969">
        <w:rPr>
          <w:rFonts w:eastAsiaTheme="minorHAnsi" w:cstheme="minorBidi"/>
          <w:szCs w:val="22"/>
        </w:rPr>
        <w:t xml:space="preserve"> its plans for </w:t>
      </w:r>
      <w:r w:rsidR="00AB2969" w:rsidRPr="00AB2969">
        <w:rPr>
          <w:rFonts w:eastAsiaTheme="minorHAnsi" w:cstheme="minorBidi"/>
          <w:szCs w:val="22"/>
        </w:rPr>
        <w:t>improvements of the Utility’s collection system.</w:t>
      </w:r>
      <w:r w:rsidRPr="00AB2969">
        <w:rPr>
          <w:rFonts w:eastAsiaTheme="minorHAnsi" w:cstheme="minorBidi"/>
          <w:szCs w:val="22"/>
        </w:rPr>
        <w:t xml:space="preserve"> </w:t>
      </w:r>
      <w:r w:rsidR="00AB2969" w:rsidRPr="00AB2969">
        <w:rPr>
          <w:rFonts w:eastAsiaTheme="minorHAnsi" w:cstheme="minorBidi"/>
          <w:szCs w:val="22"/>
        </w:rPr>
        <w:t xml:space="preserve">The improvements consist of installing a remote monitoring system, rehabilitating the four lift stations, and collection system repairs. However, no specific repairs or system deficiencies were noted. </w:t>
      </w:r>
      <w:r w:rsidRPr="00AB2969">
        <w:rPr>
          <w:rFonts w:eastAsiaTheme="minorHAnsi" w:cstheme="minorBidi"/>
          <w:szCs w:val="22"/>
        </w:rPr>
        <w:t xml:space="preserve">The Buyer stated in its application that </w:t>
      </w:r>
      <w:r w:rsidRPr="00AB2969">
        <w:t>no governmental authorities are presently requiring repairs or improvements to the systems.</w:t>
      </w:r>
    </w:p>
    <w:p w:rsidR="004B4A3E" w:rsidRPr="00D46902" w:rsidRDefault="004B4A3E" w:rsidP="004B4A3E">
      <w:pPr>
        <w:jc w:val="both"/>
      </w:pPr>
    </w:p>
    <w:p w:rsidR="004B4A3E" w:rsidRPr="00AB2969" w:rsidRDefault="004B4A3E" w:rsidP="004B4A3E">
      <w:pPr>
        <w:spacing w:after="240"/>
        <w:jc w:val="both"/>
      </w:pPr>
      <w:r w:rsidRPr="00AB2969">
        <w:t xml:space="preserve">Based on the above, it appears that </w:t>
      </w:r>
      <w:r w:rsidR="00C47288" w:rsidRPr="00AB2969">
        <w:t>BFF</w:t>
      </w:r>
      <w:r w:rsidRPr="00AB2969">
        <w:t xml:space="preserve"> currently has no issues with respect to regulatory compliance. While the Buyer identified some general improvements it intends to implement, staff does not believe the Buyer has demonstrated extraordinary circumstances in support of its requested positive acquisition adjustment. Instead, staff believes that the proposed anticipated improvements in quality of service demonstrate CSWR-</w:t>
      </w:r>
      <w:r w:rsidR="00C47288" w:rsidRPr="00AB2969">
        <w:t>BFF</w:t>
      </w:r>
      <w:r w:rsidRPr="00AB2969">
        <w:t>’</w:t>
      </w:r>
      <w:r w:rsidR="00AB2969" w:rsidRPr="00AB2969">
        <w:t>s</w:t>
      </w:r>
      <w:r w:rsidRPr="00AB2969">
        <w:t xml:space="preserve"> intention to responsibly execute its obligations as a utility owner. </w:t>
      </w:r>
      <w:r w:rsidRPr="00AB2969">
        <w:rPr>
          <w:rFonts w:eastAsiaTheme="minorHAnsi" w:cstheme="minorBidi"/>
          <w:szCs w:val="22"/>
        </w:rPr>
        <w:t>While staff does not believe the Utility’s anticipated improvements justify its requested positive acquisition adjustment, these improvements may be considered for prudence and cost recovery in a future rate proceeding.</w:t>
      </w:r>
    </w:p>
    <w:p w:rsidR="004B4A3E" w:rsidRPr="004B4A3E" w:rsidRDefault="004B4A3E" w:rsidP="004B4A3E">
      <w:pPr>
        <w:jc w:val="both"/>
        <w:outlineLvl w:val="2"/>
        <w:rPr>
          <w:rFonts w:ascii="Arial" w:hAnsi="Arial" w:cs="Arial"/>
          <w:b/>
          <w:bCs/>
          <w:iCs/>
          <w:szCs w:val="28"/>
        </w:rPr>
      </w:pPr>
      <w:r w:rsidRPr="004B4A3E">
        <w:rPr>
          <w:rFonts w:ascii="Arial" w:hAnsi="Arial" w:cs="Arial"/>
          <w:b/>
          <w:bCs/>
          <w:iCs/>
          <w:szCs w:val="28"/>
        </w:rPr>
        <w:t>Anticipated Cost Efficiencies and Rates</w:t>
      </w:r>
    </w:p>
    <w:p w:rsidR="004B4A3E" w:rsidRPr="000A391B" w:rsidRDefault="004B4A3E" w:rsidP="004B4A3E">
      <w:pPr>
        <w:pStyle w:val="BodyText"/>
      </w:pPr>
      <w:r w:rsidRPr="000A391B">
        <w:t>In its application, the Buyer stated that its size and anticipated consolidation of many small systems under one financial and managerial entity would result in operational cost efficiencies, particularly in the areas of:</w:t>
      </w:r>
    </w:p>
    <w:p w:rsidR="004B4A3E" w:rsidRPr="000A391B" w:rsidRDefault="004B4A3E" w:rsidP="004B4A3E">
      <w:pPr>
        <w:pStyle w:val="BodyText"/>
        <w:numPr>
          <w:ilvl w:val="0"/>
          <w:numId w:val="11"/>
        </w:numPr>
        <w:spacing w:after="0"/>
        <w:ind w:left="1080"/>
      </w:pPr>
      <w:r w:rsidRPr="000A391B">
        <w:t>PSC and environmental regulatory reporting</w:t>
      </w:r>
    </w:p>
    <w:p w:rsidR="004B4A3E" w:rsidRPr="000A391B" w:rsidRDefault="004B4A3E" w:rsidP="004B4A3E">
      <w:pPr>
        <w:pStyle w:val="BodyText"/>
        <w:numPr>
          <w:ilvl w:val="0"/>
          <w:numId w:val="11"/>
        </w:numPr>
        <w:spacing w:after="0"/>
        <w:ind w:left="1080"/>
      </w:pPr>
      <w:r w:rsidRPr="000A391B">
        <w:t>Managerial and operational oversight</w:t>
      </w:r>
    </w:p>
    <w:p w:rsidR="004B4A3E" w:rsidRPr="000A391B" w:rsidRDefault="004B4A3E" w:rsidP="004B4A3E">
      <w:pPr>
        <w:pStyle w:val="BodyText"/>
        <w:numPr>
          <w:ilvl w:val="0"/>
          <w:numId w:val="11"/>
        </w:numPr>
        <w:spacing w:after="0"/>
        <w:ind w:left="1080"/>
      </w:pPr>
      <w:r w:rsidRPr="000A391B">
        <w:t>Utility asset planning</w:t>
      </w:r>
    </w:p>
    <w:p w:rsidR="004B4A3E" w:rsidRPr="000A391B" w:rsidRDefault="004B4A3E" w:rsidP="004B4A3E">
      <w:pPr>
        <w:pStyle w:val="BodyText"/>
        <w:numPr>
          <w:ilvl w:val="0"/>
          <w:numId w:val="11"/>
        </w:numPr>
        <w:spacing w:after="0"/>
        <w:ind w:left="1080"/>
      </w:pPr>
      <w:r w:rsidRPr="000A391B">
        <w:t>Engineering planning</w:t>
      </w:r>
    </w:p>
    <w:p w:rsidR="004B4A3E" w:rsidRPr="000A391B" w:rsidRDefault="004B4A3E" w:rsidP="004B4A3E">
      <w:pPr>
        <w:pStyle w:val="BodyText"/>
        <w:numPr>
          <w:ilvl w:val="0"/>
          <w:numId w:val="11"/>
        </w:numPr>
        <w:spacing w:after="0"/>
        <w:ind w:left="1080"/>
      </w:pPr>
      <w:r w:rsidRPr="000A391B">
        <w:t>Ongoing utility maintenance</w:t>
      </w:r>
    </w:p>
    <w:p w:rsidR="004B4A3E" w:rsidRPr="000A391B" w:rsidRDefault="004B4A3E" w:rsidP="004B4A3E">
      <w:pPr>
        <w:pStyle w:val="BodyText"/>
        <w:numPr>
          <w:ilvl w:val="0"/>
          <w:numId w:val="11"/>
        </w:numPr>
        <w:spacing w:after="0"/>
        <w:ind w:left="1080"/>
      </w:pPr>
      <w:r w:rsidRPr="000A391B">
        <w:t>Utility record keeping</w:t>
      </w:r>
    </w:p>
    <w:p w:rsidR="004B4A3E" w:rsidRPr="000A391B" w:rsidRDefault="004B4A3E" w:rsidP="004B4A3E">
      <w:pPr>
        <w:pStyle w:val="BodyText"/>
        <w:numPr>
          <w:ilvl w:val="0"/>
          <w:numId w:val="11"/>
        </w:numPr>
        <w:spacing w:after="0"/>
        <w:ind w:left="1080"/>
      </w:pPr>
      <w:r w:rsidRPr="000A391B">
        <w:t>Customer service responsiveness</w:t>
      </w:r>
    </w:p>
    <w:p w:rsidR="004B4A3E" w:rsidRPr="000A391B" w:rsidRDefault="004B4A3E" w:rsidP="004B4A3E">
      <w:pPr>
        <w:pStyle w:val="BodyText"/>
        <w:numPr>
          <w:ilvl w:val="0"/>
          <w:numId w:val="11"/>
        </w:numPr>
        <w:spacing w:after="0"/>
        <w:ind w:left="1080"/>
      </w:pPr>
      <w:r w:rsidRPr="000A391B">
        <w:t xml:space="preserve">Improved access to capital is necessary to repair and upgrade </w:t>
      </w:r>
      <w:r w:rsidR="00C47288">
        <w:t>BFF</w:t>
      </w:r>
      <w:r w:rsidRPr="000A391B">
        <w:t>’</w:t>
      </w:r>
      <w:r w:rsidR="001456CC">
        <w:t>s</w:t>
      </w:r>
      <w:r w:rsidRPr="000A391B">
        <w:t xml:space="preserve"> systems to ensure compliance with all health and environmental requirements and ensure service to customers remains safe and reliable</w:t>
      </w:r>
    </w:p>
    <w:p w:rsidR="004B4A3E" w:rsidRPr="007C7613" w:rsidRDefault="004B4A3E" w:rsidP="004B4A3E">
      <w:pPr>
        <w:pStyle w:val="BodyText"/>
        <w:spacing w:after="0"/>
        <w:ind w:left="1080"/>
      </w:pPr>
    </w:p>
    <w:p w:rsidR="004B4A3E" w:rsidRPr="004B4A3E" w:rsidRDefault="004B4A3E" w:rsidP="004B4A3E">
      <w:pPr>
        <w:spacing w:after="240"/>
        <w:jc w:val="both"/>
      </w:pPr>
      <w:r>
        <w:t>In response to discovery,</w:t>
      </w:r>
      <w:r w:rsidRPr="004B4A3E">
        <w:t xml:space="preserve"> the Buyer provided an estimated annual reduction of O&amp;M expense of approximately $11,000. However, with a requested acquisition adjustment of $365,292, the requested amount is over nine times greater than the system’s current NBV of $39,708. Even if the Buyer was able to achieve these savings in O&amp;M expense, the inclusion of the requested acquisition adjustment in rate base and the inclusion of the annual amortization expense in the NOI calculation, would result in an increased revenue requirement. By operation of math, the overall impact would be a net increase to customer rates. </w:t>
      </w:r>
    </w:p>
    <w:p w:rsidR="004B4A3E" w:rsidRPr="004B4A3E" w:rsidRDefault="004B4A3E" w:rsidP="004B4A3E">
      <w:pPr>
        <w:spacing w:after="240"/>
        <w:jc w:val="both"/>
      </w:pPr>
      <w:r w:rsidRPr="004B4A3E">
        <w:t>The Buyer also stated that CSWR</w:t>
      </w:r>
      <w:r>
        <w:t>-BFF</w:t>
      </w:r>
      <w:r w:rsidRPr="004B4A3E">
        <w:t xml:space="preserve"> would bring long-term rate stability to the Utility, should the transfer be approved. Staff agrees that economies of scale and potential consolidation of several systems in Florida, as proposed by CSWR</w:t>
      </w:r>
      <w:r>
        <w:t>-BFF</w:t>
      </w:r>
      <w:r w:rsidRPr="004B4A3E">
        <w:t xml:space="preserve">, could bring some amount of long-term rate stability. However, absent specific and detailed support for these assertions, the Buyer has failed to meet its burden of demonstrating extraordinary circumstances. </w:t>
      </w:r>
    </w:p>
    <w:p w:rsidR="004B4A3E" w:rsidRPr="004B4A3E" w:rsidRDefault="004B4A3E" w:rsidP="004B4A3E">
      <w:pPr>
        <w:spacing w:after="240"/>
        <w:jc w:val="both"/>
      </w:pPr>
      <w:r w:rsidRPr="004B4A3E">
        <w:t>Staff’s recommendation is consistent with the Commission’s decision in Order No. PSC-2020-0458-PAA-WS.</w:t>
      </w:r>
      <w:r w:rsidRPr="004B4A3E">
        <w:rPr>
          <w:vertAlign w:val="superscript"/>
        </w:rPr>
        <w:footnoteReference w:id="8"/>
      </w:r>
      <w:r w:rsidRPr="004B4A3E">
        <w:t xml:space="preserve"> In that docket, the Buyer identified estimates of anticipated cost efficiencies, including a reduction in O&amp;M expense and a reduction of cost of capital that would result from the transfer. Additionally, the Buyer cited several improvements it made to the wastewater treatment plant and wastewater lift station since acquisition to improve the quality of service and compliance with regulatory mandates. While the Commission acknowledged that the Buyer accomplished cost savings, it did not believe the actions performed demonstrated extraordinary circumstances that would justify approval of a positive acquisition adjustment. </w:t>
      </w:r>
    </w:p>
    <w:p w:rsidR="004B4A3E" w:rsidRPr="004B4A3E" w:rsidRDefault="004B4A3E" w:rsidP="004B4A3E">
      <w:pPr>
        <w:spacing w:after="240"/>
        <w:jc w:val="both"/>
      </w:pPr>
      <w:r w:rsidRPr="004B4A3E">
        <w:t>Staff’s recommendation is also consistent with the Commissions decisions to deny CSWR</w:t>
      </w:r>
      <w:r>
        <w:t>-</w:t>
      </w:r>
      <w:r w:rsidR="007358DF">
        <w:t>Florida Utility Operating Company, LLC</w:t>
      </w:r>
      <w:r w:rsidRPr="004B4A3E">
        <w:t xml:space="preserve"> a positive acquisition adjustment in Order Nos. PSC-2022-0116-PAA-SU, PSC-2022-0120-PAA-WU, PSC-2022-0115-PAA-WS, PSC-2022-0364-PAA-WU</w:t>
      </w:r>
      <w:r w:rsidR="007358DF">
        <w:t>, and Docket No. 20220149-WS</w:t>
      </w:r>
      <w:r w:rsidRPr="004B4A3E">
        <w:t>.</w:t>
      </w:r>
      <w:r w:rsidRPr="004B4A3E">
        <w:rPr>
          <w:vertAlign w:val="superscript"/>
        </w:rPr>
        <w:footnoteReference w:id="9"/>
      </w:r>
      <w:r w:rsidRPr="004B4A3E">
        <w:t xml:space="preserve"> In those cases, it was determined </w:t>
      </w:r>
      <w:r>
        <w:t>the Buyer</w:t>
      </w:r>
      <w:r w:rsidRPr="004B4A3E">
        <w:t xml:space="preserve"> failed to provide sufficient evidence of extraordinary circumstances and was denied a positive acquisition adjustment in all f</w:t>
      </w:r>
      <w:r w:rsidR="007358DF">
        <w:t>ive</w:t>
      </w:r>
      <w:r w:rsidRPr="004B4A3E">
        <w:t xml:space="preserve"> cases. In those cases, CSWR also requested a deferral of the decision regarding the positive acquisition adjustments which was denied by the Commission. Staff finds the facts of this case similar to the f</w:t>
      </w:r>
      <w:r w:rsidR="007358DF">
        <w:t>ive</w:t>
      </w:r>
      <w:r w:rsidRPr="004B4A3E">
        <w:t xml:space="preserve"> cases discussed above. </w:t>
      </w:r>
    </w:p>
    <w:p w:rsidR="004B4A3E" w:rsidRPr="004B4A3E" w:rsidRDefault="004B4A3E" w:rsidP="004B4A3E">
      <w:pPr>
        <w:jc w:val="both"/>
        <w:outlineLvl w:val="2"/>
        <w:rPr>
          <w:rFonts w:ascii="Arial" w:hAnsi="Arial" w:cs="Arial"/>
          <w:b/>
          <w:bCs/>
          <w:iCs/>
          <w:szCs w:val="28"/>
        </w:rPr>
      </w:pPr>
      <w:r w:rsidRPr="004B4A3E">
        <w:rPr>
          <w:rFonts w:ascii="Arial" w:hAnsi="Arial" w:cs="Arial"/>
          <w:b/>
          <w:bCs/>
          <w:iCs/>
          <w:szCs w:val="28"/>
        </w:rPr>
        <w:t>Conclusion</w:t>
      </w:r>
    </w:p>
    <w:p w:rsidR="00F642EB" w:rsidRDefault="004B4A3E" w:rsidP="004B4A3E">
      <w:pPr>
        <w:pStyle w:val="BodyText"/>
      </w:pPr>
      <w:r w:rsidRPr="004B4A3E">
        <w:t xml:space="preserve">Pursuant to Rule 25-30.0371, F.A.C., staff recommends a positive acquisition adjustment not be </w:t>
      </w:r>
      <w:proofErr w:type="gramStart"/>
      <w:r w:rsidRPr="004B4A3E">
        <w:t>granted</w:t>
      </w:r>
      <w:proofErr w:type="gramEnd"/>
      <w:r w:rsidRPr="004B4A3E">
        <w:t xml:space="preserve"> as the Buyer did not demonstrate extraordinary circumstances. Staff believes the Buyer’s anticipated improvements in quality of service and compliance with regulatory mandates do not illustrate extraordinary circumstances and instead demonstrates CSWR</w:t>
      </w:r>
      <w:r>
        <w:t>-BFF</w:t>
      </w:r>
      <w:r w:rsidRPr="004B4A3E">
        <w:t>’s intentions to responsibly provide utility servic</w:t>
      </w:r>
      <w:r>
        <w:t>e.</w:t>
      </w:r>
    </w:p>
    <w:p w:rsidR="00F642EB" w:rsidRDefault="00F642EB">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(Bruce)" \l 1 </w:instrText>
      </w:r>
      <w:r>
        <w:fldChar w:fldCharType="end"/>
      </w:r>
      <w:r>
        <w:t> </w:t>
      </w:r>
    </w:p>
    <w:p w:rsidR="00F642EB" w:rsidRDefault="00F642EB">
      <w:pPr>
        <w:pStyle w:val="BodyText"/>
      </w:pPr>
      <w:r>
        <w:t> Should CSWR-Florida Utility Operating Company, LLC’s miscellaneous service charges be revised to conform to amended Rule 25-30.460, F.A.C.?</w:t>
      </w:r>
    </w:p>
    <w:p w:rsidR="00F642EB" w:rsidRPr="004C3641" w:rsidRDefault="00F642EB">
      <w:pPr>
        <w:pStyle w:val="IssueSubsectionHeading"/>
        <w:rPr>
          <w:vanish/>
          <w:specVanish/>
        </w:rPr>
      </w:pPr>
      <w:r w:rsidRPr="004C3641">
        <w:t>Recommendation: </w:t>
      </w:r>
    </w:p>
    <w:p w:rsidR="00F642EB" w:rsidRDefault="00F642EB">
      <w:pPr>
        <w:pStyle w:val="BodyText"/>
      </w:pPr>
      <w:r>
        <w:t> </w:t>
      </w:r>
      <w:r w:rsidR="008077A6" w:rsidRPr="00946450">
        <w:t xml:space="preserve">Yes. </w:t>
      </w:r>
      <w:r w:rsidR="007C7613">
        <w:t>Staff recommends t</w:t>
      </w:r>
      <w:r w:rsidR="008077A6" w:rsidRPr="00946450">
        <w:t xml:space="preserve">he miscellaneous service </w:t>
      </w:r>
      <w:r w:rsidR="007C7613">
        <w:t xml:space="preserve">charges </w:t>
      </w:r>
      <w:r w:rsidR="008077A6" w:rsidRPr="00946450">
        <w:t>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 The Utility</w:t>
      </w:r>
      <w:r w:rsidR="008077A6" w:rsidRPr="00946450">
        <w:rPr>
          <w:rFonts w:ascii="TimesNewRomanPSMT" w:hAnsi="TimesNewRomanPSMT" w:cs="TimesNewRomanPSMT"/>
        </w:rPr>
        <w:t xml:space="preserve"> should be required to charge the approved miscellaneous service charges until authorized to change them by the Commission in a subsequent proceeding.</w:t>
      </w:r>
      <w:r w:rsidR="008077A6" w:rsidRPr="00946450">
        <w:t xml:space="preserve"> </w:t>
      </w:r>
      <w:r>
        <w:t>(Bruce)</w:t>
      </w:r>
    </w:p>
    <w:p w:rsidR="00F642EB" w:rsidRPr="004C3641" w:rsidRDefault="00F642EB">
      <w:pPr>
        <w:pStyle w:val="IssueSubsectionHeading"/>
        <w:rPr>
          <w:vanish/>
          <w:specVanish/>
        </w:rPr>
      </w:pPr>
      <w:r w:rsidRPr="004C3641">
        <w:t>Staff Analysis: </w:t>
      </w:r>
    </w:p>
    <w:p w:rsidR="008077A6" w:rsidRDefault="00F642EB" w:rsidP="008077A6">
      <w:pPr>
        <w:spacing w:after="120"/>
        <w:jc w:val="both"/>
      </w:pPr>
      <w:r>
        <w:t> </w:t>
      </w:r>
      <w:r w:rsidR="008077A6" w:rsidRPr="008077A6">
        <w:t>Effective June 24, 2021, Rule 25-30.460, F.A.C., was amended to remove initial connection and normal reconnection charges.</w:t>
      </w:r>
      <w:r w:rsidR="008077A6" w:rsidRPr="008077A6">
        <w:rPr>
          <w:vertAlign w:val="superscript"/>
        </w:rPr>
        <w:footnoteReference w:id="10"/>
      </w:r>
      <w:r w:rsidR="008077A6" w:rsidRPr="008077A6">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should reflect the amount of the normal reconnection charge of $15 for normal hours. Therefore, staff recommends that the initial connection and normal reconnection charges be removed, the premises visit should be revised to $15 for normal hours, and the definition for the premises visit charge be updated to comply with amended Rule 25-30.460, F.A.C. The Utility’s existing and staff’s recommended miscellaneous service charges are shown in Table </w:t>
      </w:r>
      <w:r w:rsidR="00253DBC">
        <w:t>4</w:t>
      </w:r>
      <w:r w:rsidR="008077A6" w:rsidRPr="008077A6">
        <w:t>-1.</w:t>
      </w:r>
    </w:p>
    <w:p w:rsidR="00513FDF" w:rsidRPr="008077A6" w:rsidRDefault="00513FDF" w:rsidP="008077A6">
      <w:pPr>
        <w:spacing w:after="120"/>
        <w:jc w:val="both"/>
      </w:pPr>
    </w:p>
    <w:p w:rsidR="008077A6" w:rsidRPr="008077A6" w:rsidRDefault="008077A6" w:rsidP="008077A6">
      <w:pPr>
        <w:keepNext/>
        <w:spacing w:before="240"/>
        <w:jc w:val="center"/>
        <w:rPr>
          <w:rFonts w:ascii="Arial" w:hAnsi="Arial"/>
          <w:b/>
        </w:rPr>
      </w:pPr>
      <w:r w:rsidRPr="008077A6">
        <w:rPr>
          <w:rFonts w:ascii="Arial" w:hAnsi="Arial"/>
          <w:b/>
        </w:rPr>
        <w:t xml:space="preserve">Table </w:t>
      </w:r>
      <w:r>
        <w:rPr>
          <w:rFonts w:ascii="Arial" w:hAnsi="Arial"/>
          <w:b/>
        </w:rPr>
        <w:t>4</w:t>
      </w:r>
      <w:r w:rsidRPr="008077A6">
        <w:rPr>
          <w:rFonts w:ascii="Arial" w:hAnsi="Arial"/>
          <w:b/>
        </w:rPr>
        <w:t>-1</w:t>
      </w:r>
    </w:p>
    <w:p w:rsidR="008077A6" w:rsidRPr="008077A6" w:rsidRDefault="008077A6" w:rsidP="008077A6">
      <w:pPr>
        <w:jc w:val="center"/>
      </w:pPr>
      <w:r>
        <w:rPr>
          <w:rFonts w:ascii="Arial" w:hAnsi="Arial"/>
          <w:b/>
        </w:rPr>
        <w:t>Utility</w:t>
      </w:r>
      <w:r w:rsidRPr="008077A6">
        <w:rPr>
          <w:rFonts w:ascii="Arial" w:hAnsi="Arial"/>
          <w:b/>
        </w:rPr>
        <w:t xml:space="preserve"> Existing and Staff Recommended Miscellaneous Service Charges</w:t>
      </w:r>
    </w:p>
    <w:tbl>
      <w:tblPr>
        <w:tblStyle w:val="TableGrid121"/>
        <w:tblW w:w="0" w:type="auto"/>
        <w:jc w:val="center"/>
        <w:tblInd w:w="0" w:type="dxa"/>
        <w:tblLook w:val="04A0" w:firstRow="1" w:lastRow="0" w:firstColumn="1" w:lastColumn="0" w:noHBand="0" w:noVBand="1"/>
      </w:tblPr>
      <w:tblGrid>
        <w:gridCol w:w="4596"/>
        <w:gridCol w:w="2528"/>
        <w:gridCol w:w="2452"/>
      </w:tblGrid>
      <w:tr w:rsidR="008077A6" w:rsidRPr="008077A6" w:rsidTr="00BF3CAA">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u w:val="single"/>
              </w:rPr>
            </w:pPr>
            <w:r w:rsidRPr="008077A6">
              <w:rPr>
                <w:rFonts w:ascii="Times New Roman" w:hAnsi="Times New Roman"/>
                <w:u w:val="single"/>
              </w:rPr>
              <w:t>Existing</w:t>
            </w:r>
          </w:p>
        </w:tc>
        <w:tc>
          <w:tcPr>
            <w:tcW w:w="2452"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u w:val="single"/>
              </w:rPr>
            </w:pPr>
            <w:r w:rsidRPr="008077A6">
              <w:rPr>
                <w:rFonts w:ascii="Times New Roman" w:hAnsi="Times New Roman"/>
                <w:u w:val="single"/>
              </w:rPr>
              <w:t>Staff Recommended</w:t>
            </w:r>
          </w:p>
        </w:tc>
      </w:tr>
      <w:tr w:rsidR="008077A6" w:rsidRPr="008077A6" w:rsidTr="00BF3CAA">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rPr>
                <w:rFonts w:ascii="Times New Roman" w:hAnsi="Times New Roman"/>
              </w:rPr>
            </w:pPr>
          </w:p>
        </w:tc>
        <w:tc>
          <w:tcPr>
            <w:tcW w:w="2528"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u w:val="single"/>
              </w:rPr>
            </w:pPr>
            <w:r w:rsidRPr="008077A6">
              <w:rPr>
                <w:rFonts w:ascii="Times New Roman" w:hAnsi="Times New Roman"/>
                <w:u w:val="single"/>
              </w:rPr>
              <w:t>Normal Hours</w:t>
            </w:r>
          </w:p>
        </w:tc>
        <w:tc>
          <w:tcPr>
            <w:tcW w:w="2452"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u w:val="single"/>
              </w:rPr>
            </w:pPr>
            <w:r w:rsidRPr="008077A6">
              <w:rPr>
                <w:rFonts w:ascii="Times New Roman" w:hAnsi="Times New Roman"/>
                <w:u w:val="single"/>
              </w:rPr>
              <w:t>Normal Hours</w:t>
            </w:r>
          </w:p>
        </w:tc>
      </w:tr>
      <w:tr w:rsidR="008077A6" w:rsidRPr="008077A6" w:rsidTr="00BF3CAA">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rPr>
                <w:rFonts w:ascii="Times New Roman" w:hAnsi="Times New Roman"/>
              </w:rPr>
            </w:pPr>
            <w:r w:rsidRPr="008077A6">
              <w:rPr>
                <w:rFonts w:ascii="Times New Roman" w:hAnsi="Times New Roman"/>
              </w:rPr>
              <w:t>Initial Connection Charge</w:t>
            </w:r>
          </w:p>
        </w:tc>
        <w:tc>
          <w:tcPr>
            <w:tcW w:w="2528"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$15.00</w:t>
            </w:r>
          </w:p>
        </w:tc>
        <w:tc>
          <w:tcPr>
            <w:tcW w:w="2452"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N/A</w:t>
            </w:r>
          </w:p>
        </w:tc>
      </w:tr>
      <w:tr w:rsidR="008077A6" w:rsidRPr="008077A6" w:rsidTr="00BF3CAA">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rPr>
                <w:rFonts w:ascii="Times New Roman" w:hAnsi="Times New Roman"/>
              </w:rPr>
            </w:pPr>
            <w:r w:rsidRPr="008077A6">
              <w:rPr>
                <w:rFonts w:ascii="Times New Roman" w:hAnsi="Times New Roman"/>
              </w:rPr>
              <w:t>Normal Reconnection Charge</w:t>
            </w:r>
          </w:p>
        </w:tc>
        <w:tc>
          <w:tcPr>
            <w:tcW w:w="2528"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$15.00</w:t>
            </w:r>
          </w:p>
        </w:tc>
        <w:tc>
          <w:tcPr>
            <w:tcW w:w="2452"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N/A</w:t>
            </w:r>
          </w:p>
        </w:tc>
      </w:tr>
      <w:tr w:rsidR="008077A6" w:rsidRPr="008077A6" w:rsidTr="00BF3CAA">
        <w:trPr>
          <w:trHeight w:val="280"/>
          <w:jc w:val="center"/>
        </w:trPr>
        <w:tc>
          <w:tcPr>
            <w:tcW w:w="4596"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rPr>
                <w:rFonts w:ascii="Times New Roman" w:hAnsi="Times New Roman"/>
              </w:rPr>
            </w:pPr>
            <w:r w:rsidRPr="008077A6">
              <w:rPr>
                <w:rFonts w:ascii="Times New Roman" w:hAnsi="Times New Roman"/>
              </w:rPr>
              <w:t>Violation Reconnection Charge - Wastewater</w:t>
            </w:r>
          </w:p>
        </w:tc>
        <w:tc>
          <w:tcPr>
            <w:tcW w:w="2528"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Actual Cost</w:t>
            </w:r>
          </w:p>
        </w:tc>
        <w:tc>
          <w:tcPr>
            <w:tcW w:w="2452"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Actual Cost</w:t>
            </w:r>
          </w:p>
        </w:tc>
      </w:tr>
      <w:tr w:rsidR="008077A6" w:rsidRPr="008077A6" w:rsidTr="00BF3CAA">
        <w:trPr>
          <w:trHeight w:val="280"/>
          <w:jc w:val="center"/>
        </w:trPr>
        <w:tc>
          <w:tcPr>
            <w:tcW w:w="4596" w:type="dxa"/>
            <w:tcBorders>
              <w:top w:val="single" w:sz="4" w:space="0" w:color="auto"/>
              <w:left w:val="single" w:sz="4" w:space="0" w:color="auto"/>
              <w:bottom w:val="single" w:sz="4" w:space="0" w:color="auto"/>
              <w:right w:val="single" w:sz="4" w:space="0" w:color="auto"/>
            </w:tcBorders>
            <w:hideMark/>
          </w:tcPr>
          <w:p w:rsidR="008077A6" w:rsidRPr="008077A6" w:rsidRDefault="008077A6" w:rsidP="008077A6">
            <w:pPr>
              <w:rPr>
                <w:rFonts w:ascii="Times New Roman" w:hAnsi="Times New Roman"/>
              </w:rPr>
            </w:pPr>
            <w:r w:rsidRPr="008077A6">
              <w:rPr>
                <w:rFonts w:ascii="Times New Roman" w:hAnsi="Times New Roman"/>
              </w:rPr>
              <w:t>Premises Visit Charge</w:t>
            </w:r>
          </w:p>
        </w:tc>
        <w:tc>
          <w:tcPr>
            <w:tcW w:w="2528" w:type="dxa"/>
            <w:tcBorders>
              <w:top w:val="single" w:sz="4" w:space="0" w:color="auto"/>
              <w:left w:val="single" w:sz="4" w:space="0" w:color="auto"/>
              <w:bottom w:val="single" w:sz="4" w:space="0" w:color="auto"/>
              <w:right w:val="single" w:sz="4" w:space="0" w:color="auto"/>
            </w:tcBorders>
            <w:hideMark/>
          </w:tcPr>
          <w:p w:rsidR="008077A6" w:rsidRPr="008077A6" w:rsidRDefault="008077A6" w:rsidP="008077A6">
            <w:pPr>
              <w:jc w:val="center"/>
              <w:rPr>
                <w:rFonts w:ascii="Times New Roman" w:hAnsi="Times New Roman"/>
              </w:rPr>
            </w:pPr>
            <w:r w:rsidRPr="008077A6">
              <w:rPr>
                <w:rFonts w:ascii="Times New Roman" w:hAnsi="Times New Roman"/>
              </w:rPr>
              <w:t>$10.00</w:t>
            </w:r>
          </w:p>
        </w:tc>
        <w:tc>
          <w:tcPr>
            <w:tcW w:w="2452" w:type="dxa"/>
            <w:tcBorders>
              <w:top w:val="single" w:sz="4" w:space="0" w:color="auto"/>
              <w:left w:val="single" w:sz="4" w:space="0" w:color="auto"/>
              <w:bottom w:val="single" w:sz="4" w:space="0" w:color="auto"/>
              <w:right w:val="single" w:sz="4" w:space="0" w:color="auto"/>
            </w:tcBorders>
          </w:tcPr>
          <w:p w:rsidR="008077A6" w:rsidRPr="008077A6" w:rsidRDefault="008077A6" w:rsidP="008077A6">
            <w:pPr>
              <w:jc w:val="center"/>
              <w:rPr>
                <w:rFonts w:ascii="Times New Roman" w:hAnsi="Times New Roman"/>
              </w:rPr>
            </w:pPr>
            <w:r w:rsidRPr="008077A6">
              <w:rPr>
                <w:rFonts w:ascii="Times New Roman" w:hAnsi="Times New Roman"/>
              </w:rPr>
              <w:t>$15.00</w:t>
            </w:r>
          </w:p>
        </w:tc>
      </w:tr>
    </w:tbl>
    <w:p w:rsidR="008077A6" w:rsidRDefault="008077A6" w:rsidP="008077A6">
      <w:pPr>
        <w:rPr>
          <w:rFonts w:ascii="Arial" w:hAnsi="Arial" w:cs="Arial"/>
          <w:b/>
          <w:bCs/>
        </w:rPr>
      </w:pPr>
    </w:p>
    <w:p w:rsidR="00513FDF" w:rsidRPr="008077A6" w:rsidRDefault="00513FDF" w:rsidP="008077A6">
      <w:pPr>
        <w:rPr>
          <w:rFonts w:ascii="Arial" w:hAnsi="Arial" w:cs="Arial"/>
          <w:b/>
          <w:bCs/>
        </w:rPr>
      </w:pPr>
    </w:p>
    <w:p w:rsidR="008077A6" w:rsidRPr="008077A6" w:rsidRDefault="008077A6" w:rsidP="008077A6">
      <w:pPr>
        <w:rPr>
          <w:rFonts w:ascii="Arial" w:hAnsi="Arial" w:cs="Arial"/>
          <w:b/>
          <w:bCs/>
        </w:rPr>
      </w:pPr>
      <w:r w:rsidRPr="008077A6">
        <w:rPr>
          <w:rFonts w:ascii="Arial" w:hAnsi="Arial" w:cs="Arial"/>
          <w:b/>
          <w:bCs/>
        </w:rPr>
        <w:t>Conclusion</w:t>
      </w:r>
    </w:p>
    <w:p w:rsidR="008077A6" w:rsidRPr="008077A6" w:rsidRDefault="008077A6" w:rsidP="008077A6">
      <w:pPr>
        <w:contextualSpacing/>
        <w:jc w:val="both"/>
        <w:rPr>
          <w:rFonts w:ascii="TimesNewRomanPSMT" w:hAnsi="TimesNewRomanPSMT" w:cs="TimesNewRomanPSMT"/>
        </w:rPr>
      </w:pPr>
      <w:r w:rsidRPr="008077A6">
        <w:t>Based on the above, staff recommends the miscellaneous service charges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within 10 days of the date of the notice. The Utility</w:t>
      </w:r>
      <w:r w:rsidRPr="008077A6">
        <w:rPr>
          <w:rFonts w:ascii="TimesNewRomanPSMT" w:hAnsi="TimesNewRomanPSMT" w:cs="TimesNewRomanPSMT"/>
        </w:rPr>
        <w:t xml:space="preserve"> should be required to charge the approved miscellaneous service charges until authorized to change them by the Commission in a subsequent proceeding.</w:t>
      </w:r>
    </w:p>
    <w:p w:rsidR="008077A6" w:rsidRPr="008077A6" w:rsidRDefault="008077A6" w:rsidP="008077A6">
      <w:pPr>
        <w:contextualSpacing/>
        <w:jc w:val="both"/>
        <w:rPr>
          <w:rFonts w:ascii="TimesNewRomanPSMT" w:hAnsi="TimesNewRomanPSMT" w:cs="TimesNewRomanPSMT"/>
        </w:rPr>
      </w:pPr>
    </w:p>
    <w:p w:rsidR="00F642EB" w:rsidRPr="008077A6" w:rsidRDefault="00F642EB" w:rsidP="008077A6">
      <w:pPr>
        <w:spacing w:after="240"/>
        <w:jc w:val="both"/>
        <w:rPr>
          <w:rFonts w:ascii="Arial" w:hAnsi="Arial" w:cs="Arial"/>
          <w:vanish/>
          <w:specVanish/>
        </w:rPr>
      </w:pPr>
      <w:r w:rsidRPr="004C3641">
        <w:br w:type="page"/>
      </w:r>
      <w:r w:rsidRPr="008077A6">
        <w:rPr>
          <w:rFonts w:ascii="Arial" w:hAnsi="Arial" w:cs="Arial"/>
          <w:b/>
          <w:i/>
        </w:rPr>
        <w:t xml:space="preserve">Issue </w:t>
      </w:r>
      <w:r w:rsidR="00253DBC" w:rsidRPr="008077A6">
        <w:rPr>
          <w:rFonts w:ascii="Arial" w:hAnsi="Arial" w:cs="Arial"/>
          <w:b/>
          <w:i/>
        </w:rPr>
        <w:fldChar w:fldCharType="begin"/>
      </w:r>
      <w:r w:rsidR="00253DBC" w:rsidRPr="008077A6">
        <w:rPr>
          <w:rFonts w:ascii="Arial" w:hAnsi="Arial" w:cs="Arial"/>
          <w:b/>
          <w:i/>
        </w:rPr>
        <w:instrText xml:space="preserve"> SEQ Issue \* MERGEFORMAT </w:instrText>
      </w:r>
      <w:r w:rsidR="00253DBC" w:rsidRPr="008077A6">
        <w:rPr>
          <w:rFonts w:ascii="Arial" w:hAnsi="Arial" w:cs="Arial"/>
          <w:b/>
          <w:i/>
        </w:rPr>
        <w:fldChar w:fldCharType="separate"/>
      </w:r>
      <w:r w:rsidRPr="008077A6">
        <w:rPr>
          <w:rFonts w:ascii="Arial" w:hAnsi="Arial" w:cs="Arial"/>
          <w:b/>
          <w:i/>
          <w:noProof/>
        </w:rPr>
        <w:t>5</w:t>
      </w:r>
      <w:r w:rsidR="00253DBC" w:rsidRPr="008077A6">
        <w:rPr>
          <w:rFonts w:ascii="Arial" w:hAnsi="Arial" w:cs="Arial"/>
          <w:b/>
          <w:i/>
          <w:noProof/>
        </w:rPr>
        <w:fldChar w:fldCharType="end"/>
      </w:r>
      <w:r w:rsidRPr="008077A6">
        <w:rPr>
          <w:rFonts w:ascii="Arial" w:hAnsi="Arial" w:cs="Arial"/>
          <w:b/>
          <w:i/>
        </w:rPr>
        <w:t>:</w:t>
      </w:r>
      <w:r w:rsidRPr="008077A6">
        <w:rPr>
          <w:rFonts w:ascii="Arial" w:hAnsi="Arial" w:cs="Arial"/>
          <w:b/>
          <w:i/>
        </w:rPr>
        <w:fldChar w:fldCharType="begin"/>
      </w:r>
      <w:r w:rsidRPr="008077A6">
        <w:rPr>
          <w:rFonts w:ascii="Arial" w:hAnsi="Arial" w:cs="Arial"/>
          <w:b/>
          <w:i/>
        </w:rPr>
        <w:instrText xml:space="preserve"> TC "</w:instrText>
      </w:r>
      <w:r w:rsidRPr="008077A6">
        <w:rPr>
          <w:rFonts w:ascii="Arial" w:hAnsi="Arial" w:cs="Arial"/>
          <w:b/>
          <w:i/>
        </w:rPr>
        <w:fldChar w:fldCharType="begin"/>
      </w:r>
      <w:r w:rsidRPr="008077A6">
        <w:rPr>
          <w:rFonts w:ascii="Arial" w:hAnsi="Arial" w:cs="Arial"/>
          <w:b/>
          <w:i/>
        </w:rPr>
        <w:instrText xml:space="preserve"> SEQ issue \c </w:instrText>
      </w:r>
      <w:r w:rsidRPr="008077A6">
        <w:rPr>
          <w:rFonts w:ascii="Arial" w:hAnsi="Arial" w:cs="Arial"/>
          <w:b/>
          <w:i/>
        </w:rPr>
        <w:fldChar w:fldCharType="separate"/>
      </w:r>
      <w:r w:rsidRPr="008077A6">
        <w:rPr>
          <w:rFonts w:ascii="Arial" w:hAnsi="Arial" w:cs="Arial"/>
          <w:b/>
          <w:i/>
          <w:noProof/>
        </w:rPr>
        <w:instrText>5</w:instrText>
      </w:r>
      <w:r w:rsidRPr="008077A6">
        <w:rPr>
          <w:rFonts w:ascii="Arial" w:hAnsi="Arial" w:cs="Arial"/>
          <w:b/>
          <w:i/>
        </w:rPr>
        <w:fldChar w:fldCharType="end"/>
      </w:r>
      <w:r w:rsidRPr="008077A6">
        <w:rPr>
          <w:rFonts w:ascii="Arial" w:hAnsi="Arial" w:cs="Arial"/>
          <w:b/>
          <w:i/>
        </w:rPr>
        <w:tab/>
        <w:instrText xml:space="preserve">(Sandy)" \l 1 </w:instrText>
      </w:r>
      <w:r w:rsidRPr="008077A6">
        <w:rPr>
          <w:rFonts w:ascii="Arial" w:hAnsi="Arial" w:cs="Arial"/>
          <w:b/>
          <w:i/>
        </w:rPr>
        <w:fldChar w:fldCharType="end"/>
      </w:r>
      <w:r w:rsidRPr="008077A6">
        <w:rPr>
          <w:rFonts w:ascii="Arial" w:hAnsi="Arial" w:cs="Arial"/>
        </w:rPr>
        <w:t> </w:t>
      </w:r>
    </w:p>
    <w:p w:rsidR="00F642EB" w:rsidRPr="008077A6" w:rsidRDefault="00F642EB">
      <w:pPr>
        <w:pStyle w:val="BodyText"/>
      </w:pPr>
      <w:r w:rsidRPr="008077A6">
        <w:rPr>
          <w:rFonts w:ascii="Arial" w:hAnsi="Arial" w:cs="Arial"/>
        </w:rPr>
        <w:t> </w:t>
      </w:r>
      <w:r w:rsidRPr="008077A6">
        <w:t>Should this docket be closed?</w:t>
      </w:r>
    </w:p>
    <w:p w:rsidR="00F642EB" w:rsidRPr="004C3641" w:rsidRDefault="00F642EB">
      <w:pPr>
        <w:pStyle w:val="IssueSubsectionHeading"/>
        <w:rPr>
          <w:vanish/>
          <w:specVanish/>
        </w:rPr>
      </w:pPr>
      <w:r w:rsidRPr="004C3641">
        <w:t>Recommendation: </w:t>
      </w:r>
    </w:p>
    <w:p w:rsidR="00F642EB" w:rsidRDefault="00F642EB">
      <w:pPr>
        <w:pStyle w:val="BodyText"/>
      </w:pPr>
      <w:r>
        <w:t> </w:t>
      </w:r>
      <w:r w:rsidR="004B4A3E" w:rsidRPr="00FB037C">
        <w:t xml:space="preserve">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w:t>
      </w:r>
      <w:r w:rsidR="007358DF" w:rsidRPr="007358DF">
        <w:t xml:space="preserve">that proof has been provided that appropriate noticing has been done pursuant to Rule 25-30.4345, F.A.C., </w:t>
      </w:r>
      <w:r w:rsidR="004B4A3E" w:rsidRPr="00FB037C">
        <w:t>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a signed and executed copy of its contract for sale within 60 days of the Commission’</w:t>
      </w:r>
      <w:r w:rsidR="004B4A3E">
        <w:t>s Order approving the transfer.</w:t>
      </w:r>
      <w:r>
        <w:t xml:space="preserve"> (Sandy)</w:t>
      </w:r>
    </w:p>
    <w:p w:rsidR="00F642EB" w:rsidRPr="004C3641" w:rsidRDefault="00F642EB">
      <w:pPr>
        <w:pStyle w:val="IssueSubsectionHeading"/>
        <w:rPr>
          <w:vanish/>
          <w:specVanish/>
        </w:rPr>
      </w:pPr>
      <w:r w:rsidRPr="004C3641">
        <w:t>Staff Analysis: </w:t>
      </w:r>
    </w:p>
    <w:p w:rsidR="00F642EB" w:rsidRDefault="00F642EB">
      <w:pPr>
        <w:pStyle w:val="BodyText"/>
      </w:pPr>
      <w:r>
        <w:t> </w:t>
      </w:r>
      <w:r w:rsidR="004B4A3E" w:rsidRPr="00FB037C">
        <w:t xml:space="preserve">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w:t>
      </w:r>
      <w:r w:rsidR="007358DF" w:rsidRPr="007358DF">
        <w:t xml:space="preserve">that proof has been provided that appropriate noticing has been done pursuant to Rule 25-30.4345, F.A.C., </w:t>
      </w:r>
      <w:r w:rsidR="004B4A3E" w:rsidRPr="00FB037C">
        <w:t>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a signed and executed copy of its contract for sale within 60 days of the Commission’s Order approving the transf</w:t>
      </w:r>
      <w:r w:rsidR="004B4A3E">
        <w:t>er.</w:t>
      </w:r>
    </w:p>
    <w:p w:rsidR="00290D83" w:rsidRDefault="00290D83" w:rsidP="00E275D8">
      <w:pPr>
        <w:pStyle w:val="BodyText"/>
      </w:pPr>
    </w:p>
    <w:p w:rsidR="008F218D" w:rsidRDefault="008F218D" w:rsidP="00E275D8">
      <w:pPr>
        <w:pStyle w:val="BodyText"/>
        <w:sectPr w:rsidR="008F218D"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08624C" w:rsidRDefault="0008624C" w:rsidP="00E275D8">
      <w:pPr>
        <w:pStyle w:val="BodyText"/>
      </w:pPr>
      <w:r>
        <w:rPr>
          <w:noProof/>
        </w:rPr>
        <w:drawing>
          <wp:inline distT="0" distB="0" distL="0" distR="0">
            <wp:extent cx="5943600" cy="76917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F218D" w:rsidRDefault="008F218D" w:rsidP="0008624C">
      <w:pPr>
        <w:sectPr w:rsidR="008F218D" w:rsidSect="0068481F">
          <w:headerReference w:type="default" r:id="rId15"/>
          <w:footerReference w:type="default" r:id="rId16"/>
          <w:pgSz w:w="12240" w:h="15840" w:code="1"/>
          <w:pgMar w:top="1584" w:right="1440" w:bottom="1440" w:left="1440" w:header="720" w:footer="720" w:gutter="0"/>
          <w:cols w:space="720"/>
          <w:formProt w:val="0"/>
          <w:docGrid w:linePitch="360"/>
        </w:sectPr>
      </w:pPr>
    </w:p>
    <w:p w:rsidR="0008624C" w:rsidRDefault="0008624C" w:rsidP="00E275D8">
      <w:pPr>
        <w:pStyle w:val="BodyText"/>
      </w:pPr>
      <w:r>
        <w:rPr>
          <w:noProof/>
        </w:rPr>
        <w:drawing>
          <wp:inline distT="0" distB="0" distL="0" distR="0">
            <wp:extent cx="5943600" cy="7691755"/>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F218D" w:rsidRDefault="008F218D" w:rsidP="0008624C">
      <w:pPr>
        <w:sectPr w:rsidR="008F218D" w:rsidSect="0068481F">
          <w:headerReference w:type="default" r:id="rId18"/>
          <w:pgSz w:w="12240" w:h="15840" w:code="1"/>
          <w:pgMar w:top="1584" w:right="1440" w:bottom="1440" w:left="1440" w:header="720" w:footer="720" w:gutter="0"/>
          <w:cols w:space="720"/>
          <w:formProt w:val="0"/>
          <w:docGrid w:linePitch="360"/>
        </w:sectPr>
      </w:pPr>
    </w:p>
    <w:p w:rsidR="0008624C" w:rsidRDefault="0008624C" w:rsidP="00E275D8">
      <w:pPr>
        <w:pStyle w:val="BodyText"/>
      </w:pPr>
      <w:r>
        <w:rPr>
          <w:noProof/>
        </w:rPr>
        <w:drawing>
          <wp:inline distT="0" distB="0" distL="0" distR="0">
            <wp:extent cx="5943600" cy="7691755"/>
            <wp:effectExtent l="0" t="0" r="0" b="444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F218D" w:rsidRDefault="008F218D" w:rsidP="0008624C">
      <w:pPr>
        <w:sectPr w:rsidR="008F218D" w:rsidSect="0068481F">
          <w:headerReference w:type="default" r:id="rId20"/>
          <w:pgSz w:w="12240" w:h="15840" w:code="1"/>
          <w:pgMar w:top="1584" w:right="1440" w:bottom="1440" w:left="1440" w:header="720" w:footer="720" w:gutter="0"/>
          <w:cols w:space="720"/>
          <w:formProt w:val="0"/>
          <w:docGrid w:linePitch="360"/>
        </w:sectPr>
      </w:pPr>
    </w:p>
    <w:p w:rsidR="0008624C" w:rsidRDefault="0008624C" w:rsidP="00E275D8">
      <w:pPr>
        <w:pStyle w:val="BodyText"/>
      </w:pPr>
      <w:r>
        <w:rPr>
          <w:noProof/>
        </w:rPr>
        <w:drawing>
          <wp:inline distT="0" distB="0" distL="0" distR="0">
            <wp:extent cx="5943600" cy="769175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F218D" w:rsidRDefault="008F218D" w:rsidP="0008624C">
      <w:pPr>
        <w:sectPr w:rsidR="008F218D" w:rsidSect="0068481F">
          <w:headerReference w:type="default" r:id="rId22"/>
          <w:pgSz w:w="12240" w:h="15840" w:code="1"/>
          <w:pgMar w:top="1584" w:right="1440" w:bottom="1440" w:left="1440" w:header="720" w:footer="720" w:gutter="0"/>
          <w:cols w:space="720"/>
          <w:formProt w:val="0"/>
          <w:docGrid w:linePitch="360"/>
        </w:sectPr>
      </w:pPr>
    </w:p>
    <w:p w:rsidR="00290D83" w:rsidRDefault="0008624C" w:rsidP="00E275D8">
      <w:pPr>
        <w:pStyle w:val="BodyText"/>
      </w:pPr>
      <w:r>
        <w:rPr>
          <w:noProof/>
        </w:rPr>
        <w:drawing>
          <wp:inline distT="0" distB="0" distL="0" distR="0">
            <wp:extent cx="5943600" cy="7691755"/>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206749" w:rsidRDefault="00206749" w:rsidP="00E275D8">
      <w:pPr>
        <w:pStyle w:val="BodyText"/>
        <w:sectPr w:rsidR="00206749" w:rsidSect="0068481F">
          <w:headerReference w:type="default" r:id="rId24"/>
          <w:footerReference w:type="default" r:id="rId25"/>
          <w:pgSz w:w="12240" w:h="15840" w:code="1"/>
          <w:pgMar w:top="1584" w:right="1440" w:bottom="1440" w:left="1440" w:header="720" w:footer="720" w:gutter="0"/>
          <w:cols w:space="720"/>
          <w:formProt w:val="0"/>
          <w:docGrid w:linePitch="360"/>
        </w:sectPr>
      </w:pPr>
    </w:p>
    <w:p w:rsidR="00206749" w:rsidRDefault="00206749" w:rsidP="00E275D8">
      <w:pPr>
        <w:pStyle w:val="BodyText"/>
      </w:pPr>
    </w:p>
    <w:p w:rsidR="00206749" w:rsidRPr="005367BB" w:rsidRDefault="00206749" w:rsidP="00206749">
      <w:pPr>
        <w:pStyle w:val="BodyText"/>
        <w:spacing w:after="0"/>
        <w:jc w:val="center"/>
        <w:rPr>
          <w:rFonts w:ascii="Arial" w:hAnsi="Arial" w:cs="Arial"/>
          <w:b/>
        </w:rPr>
      </w:pPr>
      <w:r w:rsidRPr="005367BB">
        <w:rPr>
          <w:rFonts w:ascii="Arial" w:hAnsi="Arial" w:cs="Arial"/>
          <w:b/>
        </w:rPr>
        <w:t xml:space="preserve">CSWR-Florida Utility Operating Company, LLC </w:t>
      </w:r>
    </w:p>
    <w:p w:rsidR="00206749" w:rsidRPr="005367BB" w:rsidRDefault="0043441F" w:rsidP="00206749">
      <w:pPr>
        <w:pStyle w:val="BodyText"/>
        <w:spacing w:after="0"/>
        <w:jc w:val="center"/>
        <w:rPr>
          <w:rFonts w:ascii="Arial" w:hAnsi="Arial" w:cs="Arial"/>
          <w:b/>
        </w:rPr>
      </w:pPr>
      <w:r w:rsidRPr="0043441F">
        <w:rPr>
          <w:rFonts w:ascii="Arial" w:hAnsi="Arial" w:cs="Arial"/>
          <w:b/>
        </w:rPr>
        <w:t>BFF Corp</w:t>
      </w:r>
    </w:p>
    <w:p w:rsidR="00206749" w:rsidRPr="005367BB" w:rsidRDefault="00206749" w:rsidP="00206749">
      <w:pPr>
        <w:pStyle w:val="BodyText"/>
        <w:spacing w:after="0"/>
        <w:jc w:val="center"/>
        <w:rPr>
          <w:rFonts w:ascii="Arial" w:hAnsi="Arial" w:cs="Arial"/>
          <w:b/>
        </w:rPr>
      </w:pPr>
    </w:p>
    <w:p w:rsidR="00206749" w:rsidRPr="005367BB" w:rsidRDefault="00206749" w:rsidP="00206749">
      <w:pPr>
        <w:pStyle w:val="BodyText"/>
        <w:spacing w:after="0"/>
        <w:jc w:val="center"/>
        <w:rPr>
          <w:rFonts w:ascii="Arial" w:hAnsi="Arial" w:cs="Arial"/>
          <w:b/>
        </w:rPr>
      </w:pPr>
      <w:r w:rsidRPr="005367BB">
        <w:rPr>
          <w:rFonts w:ascii="Arial" w:hAnsi="Arial" w:cs="Arial"/>
          <w:b/>
        </w:rPr>
        <w:t xml:space="preserve">Schedule of Net Book Value as of </w:t>
      </w:r>
      <w:r>
        <w:rPr>
          <w:rFonts w:ascii="Arial" w:hAnsi="Arial" w:cs="Arial"/>
          <w:b/>
        </w:rPr>
        <w:t>February 28, 2022</w:t>
      </w:r>
    </w:p>
    <w:p w:rsidR="00206749" w:rsidRPr="005367BB" w:rsidRDefault="00206749" w:rsidP="00206749">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206749" w:rsidRPr="005367BB" w:rsidTr="001419DB">
        <w:trPr>
          <w:trHeight w:val="290"/>
        </w:trPr>
        <w:tc>
          <w:tcPr>
            <w:tcW w:w="3568" w:type="dxa"/>
            <w:shd w:val="clear" w:color="auto" w:fill="auto"/>
            <w:noWrap/>
            <w:vAlign w:val="bottom"/>
            <w:hideMark/>
          </w:tcPr>
          <w:p w:rsidR="00206749" w:rsidRPr="005367BB" w:rsidRDefault="00206749" w:rsidP="001419DB">
            <w:pPr>
              <w:jc w:val="center"/>
            </w:pPr>
            <w:r w:rsidRPr="005367BB">
              <w:rPr>
                <w:b/>
                <w:bCs/>
                <w:u w:val="single"/>
              </w:rPr>
              <w:t>Description</w:t>
            </w:r>
          </w:p>
        </w:tc>
        <w:tc>
          <w:tcPr>
            <w:tcW w:w="1545" w:type="dxa"/>
            <w:shd w:val="clear" w:color="auto" w:fill="auto"/>
            <w:noWrap/>
            <w:vAlign w:val="bottom"/>
            <w:hideMark/>
          </w:tcPr>
          <w:p w:rsidR="00206749" w:rsidRPr="005367BB" w:rsidRDefault="00206749" w:rsidP="001419DB">
            <w:pPr>
              <w:jc w:val="center"/>
              <w:rPr>
                <w:b/>
                <w:bCs/>
                <w:color w:val="000000"/>
              </w:rPr>
            </w:pPr>
            <w:r w:rsidRPr="005367BB">
              <w:rPr>
                <w:b/>
                <w:bCs/>
                <w:color w:val="000000"/>
              </w:rPr>
              <w:t xml:space="preserve">Balance </w:t>
            </w:r>
          </w:p>
          <w:p w:rsidR="00206749" w:rsidRPr="00E9272C" w:rsidRDefault="00206749" w:rsidP="001419DB">
            <w:pPr>
              <w:jc w:val="center"/>
              <w:rPr>
                <w:b/>
                <w:bCs/>
                <w:color w:val="000000"/>
              </w:rPr>
            </w:pPr>
            <w:r w:rsidRPr="00E9272C">
              <w:rPr>
                <w:b/>
                <w:bCs/>
                <w:color w:val="000000"/>
              </w:rPr>
              <w:t>Per Utility</w:t>
            </w:r>
          </w:p>
          <w:p w:rsidR="00206749" w:rsidRPr="005367BB" w:rsidRDefault="00206749" w:rsidP="001419DB">
            <w:pPr>
              <w:jc w:val="center"/>
              <w:rPr>
                <w:color w:val="000000"/>
              </w:rPr>
            </w:pPr>
            <w:r>
              <w:rPr>
                <w:b/>
                <w:bCs/>
                <w:color w:val="000000"/>
                <w:u w:val="single"/>
              </w:rPr>
              <w:t>2/28/22</w:t>
            </w:r>
          </w:p>
        </w:tc>
        <w:tc>
          <w:tcPr>
            <w:tcW w:w="1794" w:type="dxa"/>
            <w:shd w:val="clear" w:color="auto" w:fill="auto"/>
            <w:noWrap/>
            <w:vAlign w:val="bottom"/>
            <w:hideMark/>
          </w:tcPr>
          <w:p w:rsidR="00206749" w:rsidRPr="005367BB" w:rsidRDefault="00206749" w:rsidP="001419DB">
            <w:pPr>
              <w:jc w:val="center"/>
              <w:rPr>
                <w:b/>
                <w:bCs/>
                <w:color w:val="000000"/>
                <w:u w:val="single"/>
              </w:rPr>
            </w:pPr>
          </w:p>
          <w:p w:rsidR="00206749" w:rsidRPr="005367BB" w:rsidRDefault="00206749" w:rsidP="001419DB">
            <w:pPr>
              <w:jc w:val="center"/>
              <w:rPr>
                <w:b/>
                <w:bCs/>
                <w:color w:val="000000"/>
                <w:u w:val="single"/>
              </w:rPr>
            </w:pPr>
            <w:r w:rsidRPr="005367BB">
              <w:rPr>
                <w:b/>
                <w:bCs/>
                <w:color w:val="000000"/>
                <w:u w:val="single"/>
              </w:rPr>
              <w:t>Adjustments</w:t>
            </w:r>
          </w:p>
        </w:tc>
        <w:tc>
          <w:tcPr>
            <w:tcW w:w="853" w:type="dxa"/>
          </w:tcPr>
          <w:p w:rsidR="00206749" w:rsidRPr="005367BB" w:rsidRDefault="00206749" w:rsidP="001419DB">
            <w:pPr>
              <w:jc w:val="center"/>
              <w:rPr>
                <w:b/>
                <w:bCs/>
                <w:color w:val="000000"/>
                <w:u w:val="single"/>
              </w:rPr>
            </w:pPr>
          </w:p>
        </w:tc>
        <w:tc>
          <w:tcPr>
            <w:tcW w:w="1703" w:type="dxa"/>
            <w:shd w:val="clear" w:color="auto" w:fill="auto"/>
            <w:noWrap/>
            <w:vAlign w:val="bottom"/>
            <w:hideMark/>
          </w:tcPr>
          <w:p w:rsidR="00206749" w:rsidRDefault="00206749" w:rsidP="001419DB">
            <w:pPr>
              <w:jc w:val="center"/>
              <w:rPr>
                <w:b/>
                <w:bCs/>
                <w:color w:val="000000"/>
                <w:u w:val="single"/>
              </w:rPr>
            </w:pPr>
            <w:r w:rsidRPr="005367BB">
              <w:rPr>
                <w:b/>
                <w:bCs/>
                <w:color w:val="000000"/>
                <w:u w:val="single"/>
              </w:rPr>
              <w:t>Staff</w:t>
            </w:r>
          </w:p>
          <w:p w:rsidR="00206749" w:rsidRPr="005367BB" w:rsidRDefault="00206749" w:rsidP="001419DB">
            <w:pPr>
              <w:jc w:val="center"/>
              <w:rPr>
                <w:b/>
                <w:bCs/>
                <w:color w:val="000000"/>
                <w:u w:val="single"/>
              </w:rPr>
            </w:pPr>
            <w:r>
              <w:rPr>
                <w:b/>
                <w:bCs/>
                <w:color w:val="000000"/>
                <w:u w:val="single"/>
              </w:rPr>
              <w:t>2/28/22</w:t>
            </w:r>
          </w:p>
        </w:tc>
      </w:tr>
      <w:tr w:rsidR="00206749" w:rsidRPr="005367BB" w:rsidTr="001419DB">
        <w:trPr>
          <w:trHeight w:val="290"/>
        </w:trPr>
        <w:tc>
          <w:tcPr>
            <w:tcW w:w="3568" w:type="dxa"/>
            <w:shd w:val="clear" w:color="auto" w:fill="auto"/>
            <w:noWrap/>
            <w:vAlign w:val="bottom"/>
          </w:tcPr>
          <w:p w:rsidR="00206749" w:rsidRPr="005367BB" w:rsidRDefault="00206749" w:rsidP="001419DB">
            <w:pPr>
              <w:rPr>
                <w:color w:val="000000"/>
              </w:rPr>
            </w:pPr>
          </w:p>
        </w:tc>
        <w:tc>
          <w:tcPr>
            <w:tcW w:w="1545" w:type="dxa"/>
            <w:shd w:val="clear" w:color="auto" w:fill="auto"/>
            <w:noWrap/>
            <w:vAlign w:val="bottom"/>
          </w:tcPr>
          <w:p w:rsidR="00206749" w:rsidRPr="005367BB" w:rsidRDefault="00206749" w:rsidP="001419DB">
            <w:pPr>
              <w:jc w:val="right"/>
              <w:rPr>
                <w:color w:val="000000"/>
              </w:rPr>
            </w:pPr>
          </w:p>
        </w:tc>
        <w:tc>
          <w:tcPr>
            <w:tcW w:w="1794" w:type="dxa"/>
            <w:shd w:val="clear" w:color="auto" w:fill="auto"/>
            <w:noWrap/>
            <w:vAlign w:val="bottom"/>
          </w:tcPr>
          <w:p w:rsidR="00206749" w:rsidRPr="005367BB" w:rsidRDefault="00206749" w:rsidP="001419DB">
            <w:pPr>
              <w:jc w:val="right"/>
              <w:rPr>
                <w:color w:val="000000"/>
              </w:rPr>
            </w:pPr>
          </w:p>
        </w:tc>
        <w:tc>
          <w:tcPr>
            <w:tcW w:w="853" w:type="dxa"/>
          </w:tcPr>
          <w:p w:rsidR="00206749" w:rsidRPr="005367BB" w:rsidRDefault="00206749" w:rsidP="001419DB">
            <w:pPr>
              <w:jc w:val="right"/>
              <w:rPr>
                <w:color w:val="000000"/>
              </w:rPr>
            </w:pPr>
          </w:p>
        </w:tc>
        <w:tc>
          <w:tcPr>
            <w:tcW w:w="1703" w:type="dxa"/>
            <w:shd w:val="clear" w:color="auto" w:fill="auto"/>
            <w:noWrap/>
            <w:vAlign w:val="bottom"/>
          </w:tcPr>
          <w:p w:rsidR="00206749" w:rsidRPr="005367BB" w:rsidRDefault="00206749" w:rsidP="001419DB">
            <w:pPr>
              <w:jc w:val="right"/>
              <w:rPr>
                <w:color w:val="000000"/>
              </w:rPr>
            </w:pPr>
          </w:p>
        </w:tc>
      </w:tr>
      <w:tr w:rsidR="00206749" w:rsidRPr="005367BB" w:rsidTr="001419DB">
        <w:trPr>
          <w:trHeight w:val="290"/>
        </w:trPr>
        <w:tc>
          <w:tcPr>
            <w:tcW w:w="3568" w:type="dxa"/>
            <w:shd w:val="clear" w:color="auto" w:fill="auto"/>
            <w:noWrap/>
            <w:vAlign w:val="bottom"/>
            <w:hideMark/>
          </w:tcPr>
          <w:p w:rsidR="00206749" w:rsidRPr="005367BB" w:rsidRDefault="00206749" w:rsidP="001419DB">
            <w:pPr>
              <w:rPr>
                <w:color w:val="000000"/>
              </w:rPr>
            </w:pPr>
            <w:r w:rsidRPr="005367BB">
              <w:rPr>
                <w:color w:val="000000"/>
              </w:rPr>
              <w:t xml:space="preserve"> Utility Plant in Service </w:t>
            </w:r>
          </w:p>
        </w:tc>
        <w:tc>
          <w:tcPr>
            <w:tcW w:w="1545" w:type="dxa"/>
            <w:noWrap/>
            <w:hideMark/>
          </w:tcPr>
          <w:p w:rsidR="00206749" w:rsidRPr="005367BB" w:rsidRDefault="00206749" w:rsidP="001419DB">
            <w:pPr>
              <w:jc w:val="right"/>
              <w:rPr>
                <w:color w:val="000000"/>
              </w:rPr>
            </w:pPr>
            <w:r w:rsidRPr="005367BB">
              <w:t>$</w:t>
            </w:r>
            <w:r>
              <w:t>270,192</w:t>
            </w:r>
          </w:p>
        </w:tc>
        <w:tc>
          <w:tcPr>
            <w:tcW w:w="1794" w:type="dxa"/>
            <w:noWrap/>
            <w:hideMark/>
          </w:tcPr>
          <w:p w:rsidR="00206749" w:rsidRPr="005367BB" w:rsidRDefault="00206749" w:rsidP="001419DB">
            <w:pPr>
              <w:jc w:val="right"/>
              <w:rPr>
                <w:color w:val="000000"/>
              </w:rPr>
            </w:pPr>
            <w:r>
              <w:t>($34,341)</w:t>
            </w:r>
          </w:p>
        </w:tc>
        <w:tc>
          <w:tcPr>
            <w:tcW w:w="853" w:type="dxa"/>
          </w:tcPr>
          <w:p w:rsidR="00206749" w:rsidRPr="005367BB" w:rsidRDefault="00206749" w:rsidP="001419DB">
            <w:pPr>
              <w:jc w:val="right"/>
            </w:pPr>
            <w:r w:rsidRPr="005367BB">
              <w:t>A</w:t>
            </w:r>
          </w:p>
        </w:tc>
        <w:tc>
          <w:tcPr>
            <w:tcW w:w="1703" w:type="dxa"/>
            <w:noWrap/>
            <w:hideMark/>
          </w:tcPr>
          <w:p w:rsidR="00206749" w:rsidRPr="005367BB" w:rsidRDefault="00206749" w:rsidP="001419DB">
            <w:pPr>
              <w:jc w:val="right"/>
              <w:rPr>
                <w:color w:val="000000"/>
              </w:rPr>
            </w:pPr>
            <w:r w:rsidRPr="005367BB">
              <w:t>$</w:t>
            </w:r>
            <w:r>
              <w:t>235,851</w:t>
            </w:r>
          </w:p>
        </w:tc>
      </w:tr>
      <w:tr w:rsidR="00206749" w:rsidRPr="005367BB" w:rsidTr="001419DB">
        <w:trPr>
          <w:trHeight w:val="290"/>
        </w:trPr>
        <w:tc>
          <w:tcPr>
            <w:tcW w:w="3568" w:type="dxa"/>
            <w:shd w:val="clear" w:color="auto" w:fill="auto"/>
            <w:noWrap/>
            <w:vAlign w:val="bottom"/>
            <w:hideMark/>
          </w:tcPr>
          <w:p w:rsidR="00206749" w:rsidRPr="005367BB" w:rsidRDefault="00206749" w:rsidP="001419DB">
            <w:pPr>
              <w:rPr>
                <w:color w:val="000000"/>
              </w:rPr>
            </w:pPr>
            <w:r w:rsidRPr="005367BB">
              <w:rPr>
                <w:color w:val="000000"/>
              </w:rPr>
              <w:t xml:space="preserve"> Land &amp; Land Rights </w:t>
            </w:r>
          </w:p>
        </w:tc>
        <w:tc>
          <w:tcPr>
            <w:tcW w:w="1545" w:type="dxa"/>
            <w:noWrap/>
            <w:hideMark/>
          </w:tcPr>
          <w:p w:rsidR="00206749" w:rsidRPr="005367BB" w:rsidRDefault="00206749" w:rsidP="001419DB">
            <w:pPr>
              <w:jc w:val="right"/>
              <w:rPr>
                <w:color w:val="000000"/>
              </w:rPr>
            </w:pPr>
            <w:r>
              <w:t>1,579</w:t>
            </w:r>
          </w:p>
        </w:tc>
        <w:tc>
          <w:tcPr>
            <w:tcW w:w="1794" w:type="dxa"/>
            <w:noWrap/>
            <w:hideMark/>
          </w:tcPr>
          <w:p w:rsidR="00206749" w:rsidRPr="005367BB" w:rsidRDefault="00206749" w:rsidP="001419DB">
            <w:pPr>
              <w:jc w:val="right"/>
              <w:rPr>
                <w:color w:val="000000"/>
              </w:rPr>
            </w:pPr>
            <w:r w:rsidRPr="005367BB">
              <w:rPr>
                <w:color w:val="000000"/>
              </w:rPr>
              <w:t>-</w:t>
            </w:r>
          </w:p>
        </w:tc>
        <w:tc>
          <w:tcPr>
            <w:tcW w:w="853" w:type="dxa"/>
          </w:tcPr>
          <w:p w:rsidR="00206749" w:rsidRPr="005367BB" w:rsidRDefault="00206749" w:rsidP="001419DB">
            <w:pPr>
              <w:jc w:val="right"/>
            </w:pPr>
          </w:p>
        </w:tc>
        <w:tc>
          <w:tcPr>
            <w:tcW w:w="1703" w:type="dxa"/>
            <w:noWrap/>
            <w:hideMark/>
          </w:tcPr>
          <w:p w:rsidR="00206749" w:rsidRPr="005367BB" w:rsidRDefault="00206749" w:rsidP="001419DB">
            <w:pPr>
              <w:jc w:val="right"/>
              <w:rPr>
                <w:color w:val="000000"/>
              </w:rPr>
            </w:pPr>
            <w:r>
              <w:t>1,579</w:t>
            </w:r>
          </w:p>
        </w:tc>
      </w:tr>
      <w:tr w:rsidR="00206749" w:rsidRPr="005367BB" w:rsidTr="001419DB">
        <w:trPr>
          <w:trHeight w:val="290"/>
        </w:trPr>
        <w:tc>
          <w:tcPr>
            <w:tcW w:w="3568" w:type="dxa"/>
            <w:shd w:val="clear" w:color="auto" w:fill="auto"/>
            <w:noWrap/>
            <w:vAlign w:val="bottom"/>
            <w:hideMark/>
          </w:tcPr>
          <w:p w:rsidR="00206749" w:rsidRPr="005367BB" w:rsidRDefault="00206749" w:rsidP="001419DB">
            <w:pPr>
              <w:rPr>
                <w:color w:val="000000"/>
              </w:rPr>
            </w:pPr>
            <w:r w:rsidRPr="005367BB">
              <w:rPr>
                <w:color w:val="000000"/>
              </w:rPr>
              <w:t xml:space="preserve"> Accumulated Depreciation </w:t>
            </w:r>
          </w:p>
        </w:tc>
        <w:tc>
          <w:tcPr>
            <w:tcW w:w="1545" w:type="dxa"/>
            <w:noWrap/>
            <w:hideMark/>
          </w:tcPr>
          <w:p w:rsidR="00206749" w:rsidRPr="005367BB" w:rsidRDefault="00206749" w:rsidP="001419DB">
            <w:pPr>
              <w:jc w:val="right"/>
              <w:rPr>
                <w:color w:val="000000"/>
              </w:rPr>
            </w:pPr>
            <w:r w:rsidRPr="005367BB">
              <w:t>(</w:t>
            </w:r>
            <w:r>
              <w:t>214,723</w:t>
            </w:r>
            <w:r w:rsidRPr="005367BB">
              <w:t>)</w:t>
            </w:r>
          </w:p>
        </w:tc>
        <w:tc>
          <w:tcPr>
            <w:tcW w:w="1794" w:type="dxa"/>
            <w:noWrap/>
            <w:hideMark/>
          </w:tcPr>
          <w:p w:rsidR="00206749" w:rsidRPr="005367BB" w:rsidRDefault="00206749" w:rsidP="001419DB">
            <w:pPr>
              <w:jc w:val="right"/>
              <w:rPr>
                <w:color w:val="000000"/>
              </w:rPr>
            </w:pPr>
            <w:r>
              <w:t>24,057</w:t>
            </w:r>
          </w:p>
        </w:tc>
        <w:tc>
          <w:tcPr>
            <w:tcW w:w="853" w:type="dxa"/>
          </w:tcPr>
          <w:p w:rsidR="00206749" w:rsidRPr="005367BB" w:rsidRDefault="00206749" w:rsidP="001419DB">
            <w:pPr>
              <w:jc w:val="right"/>
            </w:pPr>
            <w:r w:rsidRPr="005367BB">
              <w:t>B</w:t>
            </w:r>
          </w:p>
        </w:tc>
        <w:tc>
          <w:tcPr>
            <w:tcW w:w="1703" w:type="dxa"/>
            <w:noWrap/>
            <w:hideMark/>
          </w:tcPr>
          <w:p w:rsidR="00206749" w:rsidRPr="005367BB" w:rsidRDefault="00206749" w:rsidP="001419DB">
            <w:pPr>
              <w:jc w:val="right"/>
              <w:rPr>
                <w:color w:val="000000"/>
              </w:rPr>
            </w:pPr>
            <w:r w:rsidRPr="005367BB">
              <w:t>(</w:t>
            </w:r>
            <w:r>
              <w:t>190,666</w:t>
            </w:r>
            <w:r w:rsidRPr="005367BB">
              <w:t>)</w:t>
            </w:r>
          </w:p>
        </w:tc>
      </w:tr>
      <w:tr w:rsidR="00206749" w:rsidRPr="005367BB" w:rsidTr="001419DB">
        <w:trPr>
          <w:trHeight w:val="290"/>
        </w:trPr>
        <w:tc>
          <w:tcPr>
            <w:tcW w:w="3568" w:type="dxa"/>
            <w:shd w:val="clear" w:color="auto" w:fill="auto"/>
            <w:noWrap/>
            <w:vAlign w:val="bottom"/>
            <w:hideMark/>
          </w:tcPr>
          <w:p w:rsidR="00206749" w:rsidRPr="005367BB" w:rsidRDefault="00206749" w:rsidP="001419DB">
            <w:pPr>
              <w:rPr>
                <w:color w:val="000000"/>
              </w:rPr>
            </w:pPr>
            <w:r w:rsidRPr="005367BB">
              <w:rPr>
                <w:color w:val="000000"/>
              </w:rPr>
              <w:t xml:space="preserve"> CIAC </w:t>
            </w:r>
          </w:p>
        </w:tc>
        <w:tc>
          <w:tcPr>
            <w:tcW w:w="1545" w:type="dxa"/>
            <w:noWrap/>
            <w:hideMark/>
          </w:tcPr>
          <w:p w:rsidR="00206749" w:rsidRPr="005367BB" w:rsidRDefault="00206749" w:rsidP="001419DB">
            <w:pPr>
              <w:jc w:val="right"/>
              <w:rPr>
                <w:color w:val="000000"/>
              </w:rPr>
            </w:pPr>
            <w:r>
              <w:t>(41,036)</w:t>
            </w:r>
          </w:p>
        </w:tc>
        <w:tc>
          <w:tcPr>
            <w:tcW w:w="1794" w:type="dxa"/>
            <w:noWrap/>
            <w:hideMark/>
          </w:tcPr>
          <w:p w:rsidR="00206749" w:rsidRPr="005367BB" w:rsidRDefault="00206749" w:rsidP="001419DB">
            <w:pPr>
              <w:jc w:val="right"/>
              <w:rPr>
                <w:color w:val="000000"/>
              </w:rPr>
            </w:pPr>
            <w:r>
              <w:rPr>
                <w:color w:val="000000"/>
              </w:rPr>
              <w:t>5,634</w:t>
            </w:r>
          </w:p>
        </w:tc>
        <w:tc>
          <w:tcPr>
            <w:tcW w:w="853" w:type="dxa"/>
          </w:tcPr>
          <w:p w:rsidR="00206749" w:rsidRPr="005367BB" w:rsidRDefault="00206749" w:rsidP="001419DB">
            <w:pPr>
              <w:jc w:val="right"/>
            </w:pPr>
            <w:r w:rsidRPr="005367BB">
              <w:t>C</w:t>
            </w:r>
          </w:p>
        </w:tc>
        <w:tc>
          <w:tcPr>
            <w:tcW w:w="1703" w:type="dxa"/>
            <w:noWrap/>
            <w:hideMark/>
          </w:tcPr>
          <w:p w:rsidR="00206749" w:rsidRPr="005367BB" w:rsidRDefault="00206749" w:rsidP="001419DB">
            <w:pPr>
              <w:jc w:val="right"/>
              <w:rPr>
                <w:color w:val="000000"/>
              </w:rPr>
            </w:pPr>
            <w:r>
              <w:t>(35,402</w:t>
            </w:r>
            <w:r w:rsidRPr="005367BB">
              <w:t>)</w:t>
            </w:r>
          </w:p>
        </w:tc>
      </w:tr>
      <w:tr w:rsidR="00206749" w:rsidRPr="005367BB" w:rsidTr="001419DB">
        <w:trPr>
          <w:trHeight w:val="301"/>
        </w:trPr>
        <w:tc>
          <w:tcPr>
            <w:tcW w:w="3568" w:type="dxa"/>
            <w:shd w:val="clear" w:color="auto" w:fill="auto"/>
            <w:noWrap/>
            <w:vAlign w:val="bottom"/>
            <w:hideMark/>
          </w:tcPr>
          <w:p w:rsidR="00206749" w:rsidRPr="005367BB" w:rsidRDefault="00206749" w:rsidP="001419DB">
            <w:pPr>
              <w:rPr>
                <w:color w:val="000000"/>
              </w:rPr>
            </w:pPr>
            <w:r w:rsidRPr="005367BB">
              <w:rPr>
                <w:color w:val="000000"/>
              </w:rPr>
              <w:t xml:space="preserve"> Amortization of CIAC </w:t>
            </w:r>
          </w:p>
        </w:tc>
        <w:tc>
          <w:tcPr>
            <w:tcW w:w="1545" w:type="dxa"/>
            <w:noWrap/>
            <w:hideMark/>
          </w:tcPr>
          <w:p w:rsidR="00206749" w:rsidRPr="005367BB" w:rsidRDefault="00206749" w:rsidP="001419DB">
            <w:pPr>
              <w:jc w:val="right"/>
              <w:rPr>
                <w:color w:val="000000"/>
                <w:u w:val="single"/>
              </w:rPr>
            </w:pPr>
            <w:r>
              <w:rPr>
                <w:u w:val="single"/>
              </w:rPr>
              <w:t>29,740</w:t>
            </w:r>
          </w:p>
        </w:tc>
        <w:tc>
          <w:tcPr>
            <w:tcW w:w="1794" w:type="dxa"/>
            <w:noWrap/>
            <w:hideMark/>
          </w:tcPr>
          <w:p w:rsidR="00206749" w:rsidRPr="005367BB" w:rsidRDefault="00206749" w:rsidP="001419DB">
            <w:pPr>
              <w:jc w:val="right"/>
              <w:rPr>
                <w:color w:val="000000"/>
                <w:u w:val="single"/>
              </w:rPr>
            </w:pPr>
            <w:r>
              <w:rPr>
                <w:u w:val="single"/>
              </w:rPr>
              <w:t>(1,394)</w:t>
            </w:r>
          </w:p>
        </w:tc>
        <w:tc>
          <w:tcPr>
            <w:tcW w:w="853" w:type="dxa"/>
          </w:tcPr>
          <w:p w:rsidR="00206749" w:rsidRPr="005367BB" w:rsidRDefault="00206749" w:rsidP="001419DB">
            <w:pPr>
              <w:jc w:val="right"/>
            </w:pPr>
            <w:r w:rsidRPr="005367BB">
              <w:t>D</w:t>
            </w:r>
          </w:p>
        </w:tc>
        <w:tc>
          <w:tcPr>
            <w:tcW w:w="1703" w:type="dxa"/>
            <w:noWrap/>
            <w:hideMark/>
          </w:tcPr>
          <w:p w:rsidR="00206749" w:rsidRPr="005367BB" w:rsidRDefault="00206749" w:rsidP="001419DB">
            <w:pPr>
              <w:jc w:val="right"/>
              <w:rPr>
                <w:color w:val="000000"/>
                <w:u w:val="single"/>
              </w:rPr>
            </w:pPr>
            <w:r>
              <w:rPr>
                <w:u w:val="single"/>
              </w:rPr>
              <w:t>28,346</w:t>
            </w:r>
          </w:p>
        </w:tc>
      </w:tr>
      <w:tr w:rsidR="00206749" w:rsidRPr="005367BB" w:rsidTr="001419DB">
        <w:trPr>
          <w:trHeight w:val="301"/>
        </w:trPr>
        <w:tc>
          <w:tcPr>
            <w:tcW w:w="3568" w:type="dxa"/>
            <w:shd w:val="clear" w:color="auto" w:fill="auto"/>
            <w:noWrap/>
            <w:vAlign w:val="bottom"/>
          </w:tcPr>
          <w:p w:rsidR="00206749" w:rsidRPr="005367BB" w:rsidRDefault="00206749" w:rsidP="001419DB">
            <w:pPr>
              <w:rPr>
                <w:color w:val="000000"/>
              </w:rPr>
            </w:pPr>
          </w:p>
        </w:tc>
        <w:tc>
          <w:tcPr>
            <w:tcW w:w="1545" w:type="dxa"/>
            <w:noWrap/>
          </w:tcPr>
          <w:p w:rsidR="00206749" w:rsidRPr="005367BB" w:rsidRDefault="00206749" w:rsidP="001419DB">
            <w:pPr>
              <w:jc w:val="right"/>
              <w:rPr>
                <w:color w:val="000000"/>
              </w:rPr>
            </w:pPr>
          </w:p>
        </w:tc>
        <w:tc>
          <w:tcPr>
            <w:tcW w:w="1794" w:type="dxa"/>
            <w:noWrap/>
          </w:tcPr>
          <w:p w:rsidR="00206749" w:rsidRPr="005367BB" w:rsidRDefault="00206749" w:rsidP="001419DB">
            <w:pPr>
              <w:jc w:val="right"/>
              <w:rPr>
                <w:color w:val="000000"/>
              </w:rPr>
            </w:pPr>
          </w:p>
        </w:tc>
        <w:tc>
          <w:tcPr>
            <w:tcW w:w="853" w:type="dxa"/>
          </w:tcPr>
          <w:p w:rsidR="00206749" w:rsidRPr="005367BB" w:rsidRDefault="00206749" w:rsidP="001419DB">
            <w:pPr>
              <w:jc w:val="right"/>
              <w:rPr>
                <w:color w:val="000000"/>
              </w:rPr>
            </w:pPr>
          </w:p>
        </w:tc>
        <w:tc>
          <w:tcPr>
            <w:tcW w:w="1703" w:type="dxa"/>
            <w:noWrap/>
          </w:tcPr>
          <w:p w:rsidR="00206749" w:rsidRPr="005367BB" w:rsidRDefault="00206749" w:rsidP="001419DB">
            <w:pPr>
              <w:jc w:val="right"/>
              <w:rPr>
                <w:color w:val="000000"/>
              </w:rPr>
            </w:pPr>
          </w:p>
        </w:tc>
      </w:tr>
      <w:tr w:rsidR="00206749" w:rsidRPr="005367BB" w:rsidTr="001419DB">
        <w:trPr>
          <w:trHeight w:val="301"/>
        </w:trPr>
        <w:tc>
          <w:tcPr>
            <w:tcW w:w="3568" w:type="dxa"/>
            <w:shd w:val="clear" w:color="auto" w:fill="auto"/>
            <w:noWrap/>
            <w:vAlign w:val="bottom"/>
            <w:hideMark/>
          </w:tcPr>
          <w:p w:rsidR="00206749" w:rsidRPr="005367BB" w:rsidRDefault="00206749" w:rsidP="001419DB">
            <w:pPr>
              <w:rPr>
                <w:color w:val="000000"/>
              </w:rPr>
            </w:pPr>
            <w:r w:rsidRPr="005367BB">
              <w:rPr>
                <w:color w:val="000000"/>
              </w:rPr>
              <w:t>Total</w:t>
            </w:r>
          </w:p>
        </w:tc>
        <w:tc>
          <w:tcPr>
            <w:tcW w:w="1545" w:type="dxa"/>
            <w:noWrap/>
            <w:hideMark/>
          </w:tcPr>
          <w:p w:rsidR="00206749" w:rsidRPr="005367BB" w:rsidRDefault="00206749" w:rsidP="001419DB">
            <w:pPr>
              <w:jc w:val="right"/>
              <w:rPr>
                <w:color w:val="000000"/>
                <w:u w:val="double"/>
              </w:rPr>
            </w:pPr>
            <w:r w:rsidRPr="005367BB">
              <w:rPr>
                <w:u w:val="double"/>
              </w:rPr>
              <w:t>$</w:t>
            </w:r>
            <w:r>
              <w:rPr>
                <w:u w:val="double"/>
              </w:rPr>
              <w:t>45,752</w:t>
            </w:r>
          </w:p>
        </w:tc>
        <w:tc>
          <w:tcPr>
            <w:tcW w:w="1794" w:type="dxa"/>
            <w:noWrap/>
            <w:hideMark/>
          </w:tcPr>
          <w:p w:rsidR="00206749" w:rsidRPr="005367BB" w:rsidRDefault="00206749" w:rsidP="001419DB">
            <w:pPr>
              <w:jc w:val="right"/>
              <w:rPr>
                <w:color w:val="000000"/>
                <w:u w:val="double"/>
              </w:rPr>
            </w:pPr>
            <w:r>
              <w:rPr>
                <w:u w:val="double"/>
              </w:rPr>
              <w:t>($6,044)</w:t>
            </w:r>
          </w:p>
        </w:tc>
        <w:tc>
          <w:tcPr>
            <w:tcW w:w="853" w:type="dxa"/>
          </w:tcPr>
          <w:p w:rsidR="00206749" w:rsidRPr="005367BB" w:rsidRDefault="00206749" w:rsidP="001419DB">
            <w:pPr>
              <w:jc w:val="right"/>
              <w:rPr>
                <w:u w:val="double"/>
              </w:rPr>
            </w:pPr>
          </w:p>
        </w:tc>
        <w:tc>
          <w:tcPr>
            <w:tcW w:w="1703" w:type="dxa"/>
            <w:noWrap/>
            <w:hideMark/>
          </w:tcPr>
          <w:p w:rsidR="00206749" w:rsidRPr="005367BB" w:rsidRDefault="00206749" w:rsidP="001419DB">
            <w:pPr>
              <w:jc w:val="right"/>
              <w:rPr>
                <w:color w:val="000000"/>
                <w:u w:val="double"/>
              </w:rPr>
            </w:pPr>
            <w:r w:rsidRPr="005367BB">
              <w:rPr>
                <w:u w:val="double"/>
              </w:rPr>
              <w:t>$</w:t>
            </w:r>
            <w:r>
              <w:rPr>
                <w:u w:val="double"/>
              </w:rPr>
              <w:t>39,708</w:t>
            </w:r>
          </w:p>
        </w:tc>
      </w:tr>
    </w:tbl>
    <w:p w:rsidR="00206749" w:rsidRDefault="00206749" w:rsidP="00E275D8">
      <w:pPr>
        <w:pStyle w:val="BodyText"/>
      </w:pPr>
    </w:p>
    <w:p w:rsidR="00206749" w:rsidRDefault="00206749" w:rsidP="00E275D8">
      <w:pPr>
        <w:pStyle w:val="BodyText"/>
        <w:sectPr w:rsidR="00206749" w:rsidSect="0068481F">
          <w:headerReference w:type="default" r:id="rId26"/>
          <w:footerReference w:type="default" r:id="rId27"/>
          <w:pgSz w:w="12240" w:h="15840" w:code="1"/>
          <w:pgMar w:top="1584" w:right="1440" w:bottom="1440" w:left="1440" w:header="720" w:footer="720" w:gutter="0"/>
          <w:cols w:space="720"/>
          <w:formProt w:val="0"/>
          <w:docGrid w:linePitch="360"/>
        </w:sectPr>
      </w:pPr>
    </w:p>
    <w:p w:rsidR="00206749" w:rsidRDefault="00206749" w:rsidP="00E275D8">
      <w:pPr>
        <w:pStyle w:val="BodyText"/>
      </w:pPr>
    </w:p>
    <w:p w:rsidR="00206749" w:rsidRPr="005367BB" w:rsidRDefault="00206749" w:rsidP="00206749">
      <w:pPr>
        <w:pStyle w:val="BodyText"/>
        <w:spacing w:after="0"/>
        <w:jc w:val="center"/>
        <w:rPr>
          <w:rFonts w:ascii="Arial" w:hAnsi="Arial" w:cs="Arial"/>
          <w:b/>
        </w:rPr>
      </w:pPr>
      <w:r w:rsidRPr="005367BB">
        <w:rPr>
          <w:rFonts w:ascii="Arial" w:hAnsi="Arial" w:cs="Arial"/>
          <w:b/>
        </w:rPr>
        <w:t xml:space="preserve">CSWR-Florida Utility Operating Company, LLC </w:t>
      </w:r>
    </w:p>
    <w:p w:rsidR="00206749" w:rsidRDefault="0043441F" w:rsidP="00206749">
      <w:pPr>
        <w:pStyle w:val="BodyText"/>
        <w:spacing w:after="0"/>
        <w:jc w:val="center"/>
        <w:rPr>
          <w:rFonts w:ascii="Arial" w:hAnsi="Arial" w:cs="Arial"/>
          <w:b/>
        </w:rPr>
      </w:pPr>
      <w:r w:rsidRPr="0043441F">
        <w:rPr>
          <w:rFonts w:ascii="Arial" w:hAnsi="Arial" w:cs="Arial"/>
          <w:b/>
        </w:rPr>
        <w:t>BFF Corp</w:t>
      </w:r>
    </w:p>
    <w:p w:rsidR="0043441F" w:rsidRPr="005367BB" w:rsidRDefault="0043441F" w:rsidP="00206749">
      <w:pPr>
        <w:pStyle w:val="BodyText"/>
        <w:spacing w:after="0"/>
        <w:jc w:val="center"/>
        <w:rPr>
          <w:rFonts w:ascii="Arial" w:hAnsi="Arial" w:cs="Arial"/>
          <w:b/>
        </w:rPr>
      </w:pPr>
    </w:p>
    <w:p w:rsidR="00206749" w:rsidRPr="005367BB" w:rsidRDefault="00206749" w:rsidP="00206749">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Net Book Value as of February 28, 2022</w:t>
      </w:r>
    </w:p>
    <w:p w:rsidR="00206749" w:rsidRPr="005367BB" w:rsidRDefault="00206749" w:rsidP="00206749">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206749" w:rsidRPr="005367BB" w:rsidTr="001419DB">
        <w:tc>
          <w:tcPr>
            <w:tcW w:w="8118" w:type="dxa"/>
          </w:tcPr>
          <w:p w:rsidR="00206749" w:rsidRPr="005367BB" w:rsidRDefault="00206749" w:rsidP="001419DB">
            <w:pPr>
              <w:rPr>
                <w:b/>
                <w:bCs/>
              </w:rPr>
            </w:pPr>
            <w:r w:rsidRPr="005367BB">
              <w:rPr>
                <w:b/>
                <w:bCs/>
              </w:rPr>
              <w:t>Explanation</w:t>
            </w:r>
          </w:p>
        </w:tc>
        <w:tc>
          <w:tcPr>
            <w:tcW w:w="1458" w:type="dxa"/>
          </w:tcPr>
          <w:p w:rsidR="00206749" w:rsidRPr="005367BB" w:rsidRDefault="00206749" w:rsidP="001419DB">
            <w:pPr>
              <w:jc w:val="center"/>
              <w:rPr>
                <w:b/>
              </w:rPr>
            </w:pPr>
            <w:r w:rsidRPr="005367BB">
              <w:rPr>
                <w:b/>
              </w:rPr>
              <w:t>Amount</w:t>
            </w:r>
          </w:p>
        </w:tc>
      </w:tr>
      <w:tr w:rsidR="00206749" w:rsidRPr="005367BB" w:rsidTr="001419DB">
        <w:tc>
          <w:tcPr>
            <w:tcW w:w="8118" w:type="dxa"/>
          </w:tcPr>
          <w:p w:rsidR="00206749" w:rsidRPr="005367BB" w:rsidRDefault="00206749" w:rsidP="001419DB">
            <w:pPr>
              <w:rPr>
                <w:b/>
                <w:bCs/>
              </w:rPr>
            </w:pPr>
          </w:p>
        </w:tc>
        <w:tc>
          <w:tcPr>
            <w:tcW w:w="1458" w:type="dxa"/>
          </w:tcPr>
          <w:p w:rsidR="00206749" w:rsidRPr="005367BB" w:rsidRDefault="00206749" w:rsidP="001419DB">
            <w:pPr>
              <w:jc w:val="center"/>
            </w:pPr>
          </w:p>
        </w:tc>
      </w:tr>
      <w:tr w:rsidR="00206749" w:rsidRPr="005367BB" w:rsidTr="001419DB">
        <w:tc>
          <w:tcPr>
            <w:tcW w:w="8118" w:type="dxa"/>
          </w:tcPr>
          <w:p w:rsidR="00206749" w:rsidRPr="005367BB" w:rsidRDefault="00206749" w:rsidP="00206749">
            <w:pPr>
              <w:pStyle w:val="ListParagraph"/>
              <w:numPr>
                <w:ilvl w:val="0"/>
                <w:numId w:val="12"/>
              </w:numPr>
            </w:pPr>
            <w:r w:rsidRPr="005367BB">
              <w:t>UPIS</w:t>
            </w:r>
          </w:p>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1419DB">
            <w:pPr>
              <w:ind w:left="360"/>
            </w:pPr>
            <w:r w:rsidRPr="005367BB">
              <w:t xml:space="preserve">To </w:t>
            </w:r>
            <w:r>
              <w:t>reflect the appropriate balance.</w:t>
            </w:r>
          </w:p>
        </w:tc>
        <w:tc>
          <w:tcPr>
            <w:tcW w:w="1458" w:type="dxa"/>
          </w:tcPr>
          <w:p w:rsidR="00206749" w:rsidRPr="005367BB" w:rsidRDefault="00206749" w:rsidP="001419DB">
            <w:pPr>
              <w:jc w:val="right"/>
            </w:pPr>
            <w:r>
              <w:t>($34,341)</w:t>
            </w:r>
          </w:p>
        </w:tc>
      </w:tr>
      <w:tr w:rsidR="00206749" w:rsidRPr="005367BB" w:rsidTr="001419DB">
        <w:tc>
          <w:tcPr>
            <w:tcW w:w="8118" w:type="dxa"/>
          </w:tcPr>
          <w:p w:rsidR="00206749" w:rsidRPr="005367BB" w:rsidRDefault="00206749" w:rsidP="001419DB"/>
          <w:p w:rsidR="00206749" w:rsidRPr="005367BB" w:rsidRDefault="00206749" w:rsidP="001419DB">
            <w:pPr>
              <w:ind w:left="360"/>
            </w:pPr>
          </w:p>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206749">
            <w:pPr>
              <w:pStyle w:val="ListParagraph"/>
              <w:numPr>
                <w:ilvl w:val="0"/>
                <w:numId w:val="12"/>
              </w:numPr>
            </w:pPr>
            <w:r w:rsidRPr="005367BB">
              <w:t>Accumulated Depreciation</w:t>
            </w:r>
          </w:p>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1419DB">
            <w:pPr>
              <w:pStyle w:val="ListParagraph"/>
              <w:ind w:left="360"/>
            </w:pPr>
            <w:r w:rsidRPr="005367BB">
              <w:t xml:space="preserve">To reflect the appropriate </w:t>
            </w:r>
            <w:r>
              <w:t>balance.</w:t>
            </w:r>
          </w:p>
        </w:tc>
        <w:tc>
          <w:tcPr>
            <w:tcW w:w="1458" w:type="dxa"/>
          </w:tcPr>
          <w:p w:rsidR="00206749" w:rsidRPr="005367BB" w:rsidRDefault="00206749" w:rsidP="001419DB">
            <w:pPr>
              <w:jc w:val="right"/>
            </w:pPr>
            <w:r w:rsidRPr="006035FA">
              <w:t>24,057</w:t>
            </w:r>
          </w:p>
        </w:tc>
      </w:tr>
      <w:tr w:rsidR="00206749" w:rsidRPr="005367BB" w:rsidTr="001419DB">
        <w:tc>
          <w:tcPr>
            <w:tcW w:w="8118" w:type="dxa"/>
          </w:tcPr>
          <w:p w:rsidR="00206749" w:rsidRPr="005367BB" w:rsidRDefault="00206749" w:rsidP="001419DB"/>
        </w:tc>
        <w:tc>
          <w:tcPr>
            <w:tcW w:w="1458" w:type="dxa"/>
          </w:tcPr>
          <w:p w:rsidR="00206749" w:rsidRPr="005367BB" w:rsidRDefault="00206749" w:rsidP="001419DB">
            <w:pPr>
              <w:jc w:val="right"/>
            </w:pPr>
          </w:p>
        </w:tc>
      </w:tr>
      <w:tr w:rsidR="00206749" w:rsidRPr="005367BB" w:rsidTr="001419DB">
        <w:trPr>
          <w:trHeight w:val="80"/>
        </w:trPr>
        <w:tc>
          <w:tcPr>
            <w:tcW w:w="8118" w:type="dxa"/>
          </w:tcPr>
          <w:p w:rsidR="00206749" w:rsidRPr="005367BB" w:rsidRDefault="00206749" w:rsidP="001419DB"/>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206749">
            <w:pPr>
              <w:pStyle w:val="ListParagraph"/>
              <w:numPr>
                <w:ilvl w:val="0"/>
                <w:numId w:val="12"/>
              </w:numPr>
            </w:pPr>
            <w:r w:rsidRPr="005367BB">
              <w:t>CIAC</w:t>
            </w:r>
          </w:p>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1419DB">
            <w:pPr>
              <w:pStyle w:val="ListParagraph"/>
              <w:ind w:left="360"/>
            </w:pPr>
            <w:r w:rsidRPr="005367BB">
              <w:t xml:space="preserve">To reflect the appropriate </w:t>
            </w:r>
            <w:r>
              <w:t>balance.</w:t>
            </w:r>
          </w:p>
        </w:tc>
        <w:tc>
          <w:tcPr>
            <w:tcW w:w="1458" w:type="dxa"/>
          </w:tcPr>
          <w:p w:rsidR="00206749" w:rsidRPr="005367BB" w:rsidRDefault="00206749" w:rsidP="001419DB">
            <w:pPr>
              <w:jc w:val="right"/>
            </w:pPr>
            <w:r>
              <w:t>5,634</w:t>
            </w:r>
          </w:p>
        </w:tc>
      </w:tr>
      <w:tr w:rsidR="00206749" w:rsidRPr="005367BB" w:rsidTr="001419DB">
        <w:tc>
          <w:tcPr>
            <w:tcW w:w="8118" w:type="dxa"/>
          </w:tcPr>
          <w:p w:rsidR="00206749" w:rsidRPr="005367BB" w:rsidRDefault="00206749" w:rsidP="001419DB">
            <w:pPr>
              <w:pStyle w:val="ListParagraph"/>
              <w:ind w:left="360"/>
            </w:pPr>
          </w:p>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1419DB">
            <w:pPr>
              <w:pStyle w:val="ListParagraph"/>
              <w:ind w:left="360"/>
            </w:pPr>
          </w:p>
        </w:tc>
        <w:tc>
          <w:tcPr>
            <w:tcW w:w="1458" w:type="dxa"/>
          </w:tcPr>
          <w:p w:rsidR="00206749" w:rsidRPr="005367BB" w:rsidRDefault="00206749" w:rsidP="001419DB"/>
        </w:tc>
      </w:tr>
      <w:tr w:rsidR="00206749" w:rsidRPr="005367BB" w:rsidTr="001419DB">
        <w:tc>
          <w:tcPr>
            <w:tcW w:w="8118" w:type="dxa"/>
          </w:tcPr>
          <w:p w:rsidR="00206749" w:rsidRPr="005367BB" w:rsidRDefault="00206749" w:rsidP="00206749">
            <w:pPr>
              <w:pStyle w:val="ListParagraph"/>
              <w:numPr>
                <w:ilvl w:val="0"/>
                <w:numId w:val="12"/>
              </w:numPr>
            </w:pPr>
            <w:r w:rsidRPr="005367BB">
              <w:t>Accumulated Amortization of CIAC</w:t>
            </w:r>
          </w:p>
        </w:tc>
        <w:tc>
          <w:tcPr>
            <w:tcW w:w="1458" w:type="dxa"/>
          </w:tcPr>
          <w:p w:rsidR="00206749" w:rsidRPr="005367BB" w:rsidRDefault="00206749" w:rsidP="001419DB">
            <w:pPr>
              <w:jc w:val="right"/>
              <w:rPr>
                <w:u w:val="single"/>
              </w:rPr>
            </w:pPr>
          </w:p>
        </w:tc>
      </w:tr>
      <w:tr w:rsidR="00206749" w:rsidRPr="005367BB" w:rsidTr="001419DB">
        <w:tc>
          <w:tcPr>
            <w:tcW w:w="8118" w:type="dxa"/>
          </w:tcPr>
          <w:p w:rsidR="00206749" w:rsidRPr="005367BB" w:rsidRDefault="00206749" w:rsidP="001419DB">
            <w:pPr>
              <w:pStyle w:val="ListParagraph"/>
              <w:ind w:left="360"/>
            </w:pPr>
            <w:r w:rsidRPr="005367BB">
              <w:t xml:space="preserve">To reflect the appropriate </w:t>
            </w:r>
            <w:r>
              <w:t>balance.</w:t>
            </w:r>
          </w:p>
        </w:tc>
        <w:tc>
          <w:tcPr>
            <w:tcW w:w="1458" w:type="dxa"/>
          </w:tcPr>
          <w:p w:rsidR="00206749" w:rsidRPr="002C5402" w:rsidRDefault="00206749" w:rsidP="001419DB">
            <w:pPr>
              <w:jc w:val="right"/>
              <w:rPr>
                <w:u w:val="single"/>
              </w:rPr>
            </w:pPr>
            <w:r>
              <w:rPr>
                <w:u w:val="single"/>
              </w:rPr>
              <w:t>(1,394)</w:t>
            </w:r>
          </w:p>
        </w:tc>
      </w:tr>
      <w:tr w:rsidR="00206749" w:rsidRPr="005367BB" w:rsidTr="001419DB">
        <w:tc>
          <w:tcPr>
            <w:tcW w:w="8118" w:type="dxa"/>
          </w:tcPr>
          <w:p w:rsidR="00206749" w:rsidRPr="005367BB" w:rsidRDefault="00206749" w:rsidP="001419DB"/>
        </w:tc>
        <w:tc>
          <w:tcPr>
            <w:tcW w:w="1458" w:type="dxa"/>
          </w:tcPr>
          <w:p w:rsidR="00206749" w:rsidRPr="005367BB" w:rsidRDefault="00206749" w:rsidP="001419DB">
            <w:pPr>
              <w:jc w:val="right"/>
            </w:pPr>
          </w:p>
        </w:tc>
      </w:tr>
      <w:tr w:rsidR="00206749" w:rsidRPr="005367BB" w:rsidTr="001419DB">
        <w:tc>
          <w:tcPr>
            <w:tcW w:w="8118" w:type="dxa"/>
          </w:tcPr>
          <w:p w:rsidR="00206749" w:rsidRPr="005367BB" w:rsidRDefault="00206749" w:rsidP="001419DB">
            <w:pPr>
              <w:ind w:left="360"/>
            </w:pPr>
          </w:p>
        </w:tc>
        <w:tc>
          <w:tcPr>
            <w:tcW w:w="1458" w:type="dxa"/>
          </w:tcPr>
          <w:p w:rsidR="00206749" w:rsidRPr="005367BB" w:rsidRDefault="00206749" w:rsidP="001419DB">
            <w:pPr>
              <w:jc w:val="right"/>
              <w:rPr>
                <w:u w:val="single"/>
              </w:rPr>
            </w:pPr>
          </w:p>
        </w:tc>
      </w:tr>
      <w:tr w:rsidR="00206749" w:rsidRPr="005367BB" w:rsidTr="001419DB">
        <w:tc>
          <w:tcPr>
            <w:tcW w:w="8118" w:type="dxa"/>
          </w:tcPr>
          <w:p w:rsidR="00206749" w:rsidRPr="005367BB" w:rsidRDefault="00206749" w:rsidP="001419DB">
            <w:r w:rsidRPr="005367BB">
              <w:t xml:space="preserve">Total Adjustments to Net Book Value as of </w:t>
            </w:r>
            <w:r>
              <w:t>February 28, 2022</w:t>
            </w:r>
          </w:p>
        </w:tc>
        <w:tc>
          <w:tcPr>
            <w:tcW w:w="1458" w:type="dxa"/>
          </w:tcPr>
          <w:p w:rsidR="00206749" w:rsidRPr="005367BB" w:rsidRDefault="00206749" w:rsidP="001419DB">
            <w:pPr>
              <w:jc w:val="right"/>
              <w:rPr>
                <w:u w:val="double"/>
              </w:rPr>
            </w:pPr>
            <w:r>
              <w:rPr>
                <w:u w:val="double"/>
              </w:rPr>
              <w:t>($6,044</w:t>
            </w:r>
            <w:r w:rsidRPr="005367BB">
              <w:rPr>
                <w:u w:val="double"/>
              </w:rPr>
              <w:t>)</w:t>
            </w:r>
          </w:p>
        </w:tc>
      </w:tr>
    </w:tbl>
    <w:p w:rsidR="00206749" w:rsidRDefault="00206749" w:rsidP="00E275D8">
      <w:pPr>
        <w:pStyle w:val="BodyText"/>
      </w:pPr>
    </w:p>
    <w:p w:rsidR="00206749" w:rsidRDefault="00206749" w:rsidP="00E275D8">
      <w:pPr>
        <w:pStyle w:val="BodyText"/>
        <w:sectPr w:rsidR="00206749" w:rsidSect="0068481F">
          <w:headerReference w:type="default" r:id="rId28"/>
          <w:footerReference w:type="default" r:id="rId29"/>
          <w:pgSz w:w="12240" w:h="15840" w:code="1"/>
          <w:pgMar w:top="1584" w:right="1440" w:bottom="1440" w:left="1440" w:header="720" w:footer="720" w:gutter="0"/>
          <w:cols w:space="720"/>
          <w:formProt w:val="0"/>
          <w:docGrid w:linePitch="360"/>
        </w:sectPr>
      </w:pPr>
    </w:p>
    <w:p w:rsidR="00206749" w:rsidRDefault="00206749" w:rsidP="00E275D8">
      <w:pPr>
        <w:pStyle w:val="BodyText"/>
      </w:pPr>
    </w:p>
    <w:p w:rsidR="00206749" w:rsidRPr="005367BB" w:rsidRDefault="00206749" w:rsidP="00206749">
      <w:pPr>
        <w:pStyle w:val="BodyText"/>
        <w:spacing w:after="0"/>
        <w:jc w:val="center"/>
        <w:rPr>
          <w:rFonts w:ascii="Arial" w:hAnsi="Arial" w:cs="Arial"/>
          <w:b/>
        </w:rPr>
      </w:pPr>
      <w:r w:rsidRPr="005367BB">
        <w:rPr>
          <w:rFonts w:ascii="Arial" w:hAnsi="Arial" w:cs="Arial"/>
          <w:b/>
        </w:rPr>
        <w:t xml:space="preserve">CSWR-Florida Utility Operating Company, LLC </w:t>
      </w:r>
    </w:p>
    <w:p w:rsidR="00206749" w:rsidRDefault="0043441F" w:rsidP="00206749">
      <w:pPr>
        <w:pStyle w:val="BodyText"/>
        <w:spacing w:after="0"/>
        <w:jc w:val="center"/>
        <w:rPr>
          <w:rFonts w:ascii="Arial" w:hAnsi="Arial" w:cs="Arial"/>
          <w:b/>
        </w:rPr>
      </w:pPr>
      <w:r w:rsidRPr="0043441F">
        <w:rPr>
          <w:rFonts w:ascii="Arial" w:hAnsi="Arial" w:cs="Arial"/>
          <w:b/>
        </w:rPr>
        <w:t>BFF Corp</w:t>
      </w:r>
    </w:p>
    <w:p w:rsidR="0043441F" w:rsidRPr="005367BB" w:rsidRDefault="0043441F" w:rsidP="00206749">
      <w:pPr>
        <w:pStyle w:val="BodyText"/>
        <w:spacing w:after="0"/>
        <w:jc w:val="center"/>
        <w:rPr>
          <w:rFonts w:ascii="Arial" w:hAnsi="Arial" w:cs="Arial"/>
          <w:b/>
        </w:rPr>
      </w:pPr>
    </w:p>
    <w:p w:rsidR="00206749" w:rsidRPr="00A00808" w:rsidRDefault="00206749" w:rsidP="00206749">
      <w:pPr>
        <w:pStyle w:val="TableTitle"/>
        <w:keepNext/>
      </w:pPr>
      <w:r>
        <w:t>Schedule of Staff’s Recommended Account Balances as of February 28, 2022</w:t>
      </w:r>
    </w:p>
    <w:p w:rsidR="00206749" w:rsidRPr="005367BB" w:rsidRDefault="00206749" w:rsidP="00206749">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206749" w:rsidRPr="005367BB" w:rsidTr="001419DB">
        <w:tc>
          <w:tcPr>
            <w:tcW w:w="1098" w:type="dxa"/>
            <w:vAlign w:val="bottom"/>
          </w:tcPr>
          <w:p w:rsidR="00206749" w:rsidRPr="005367BB" w:rsidRDefault="00206749" w:rsidP="001419DB">
            <w:pPr>
              <w:jc w:val="center"/>
              <w:rPr>
                <w:b/>
                <w:bCs/>
              </w:rPr>
            </w:pPr>
            <w:r w:rsidRPr="005367BB">
              <w:rPr>
                <w:b/>
                <w:bCs/>
              </w:rPr>
              <w:t>Account</w:t>
            </w:r>
          </w:p>
          <w:p w:rsidR="00206749" w:rsidRPr="005367BB" w:rsidRDefault="00206749" w:rsidP="001419DB">
            <w:pPr>
              <w:jc w:val="center"/>
              <w:rPr>
                <w:b/>
                <w:bCs/>
              </w:rPr>
            </w:pPr>
            <w:r w:rsidRPr="005367BB">
              <w:rPr>
                <w:b/>
                <w:bCs/>
              </w:rPr>
              <w:t>No.</w:t>
            </w:r>
          </w:p>
        </w:tc>
        <w:tc>
          <w:tcPr>
            <w:tcW w:w="4320" w:type="dxa"/>
            <w:vAlign w:val="bottom"/>
          </w:tcPr>
          <w:p w:rsidR="00206749" w:rsidRPr="005367BB" w:rsidRDefault="00206749" w:rsidP="001419DB">
            <w:pPr>
              <w:jc w:val="center"/>
              <w:rPr>
                <w:b/>
                <w:bCs/>
              </w:rPr>
            </w:pPr>
            <w:r w:rsidRPr="005367BB">
              <w:rPr>
                <w:b/>
                <w:bCs/>
              </w:rPr>
              <w:t>Description</w:t>
            </w:r>
          </w:p>
        </w:tc>
        <w:tc>
          <w:tcPr>
            <w:tcW w:w="2214" w:type="dxa"/>
            <w:vAlign w:val="bottom"/>
          </w:tcPr>
          <w:p w:rsidR="00206749" w:rsidRPr="005367BB" w:rsidRDefault="00206749" w:rsidP="001419DB">
            <w:pPr>
              <w:jc w:val="center"/>
              <w:rPr>
                <w:b/>
                <w:bCs/>
              </w:rPr>
            </w:pPr>
            <w:r>
              <w:rPr>
                <w:b/>
                <w:bCs/>
              </w:rPr>
              <w:t xml:space="preserve">                        </w:t>
            </w:r>
            <w:r w:rsidRPr="005367BB">
              <w:rPr>
                <w:b/>
                <w:bCs/>
              </w:rPr>
              <w:t>UPIS</w:t>
            </w:r>
          </w:p>
        </w:tc>
        <w:tc>
          <w:tcPr>
            <w:tcW w:w="2394" w:type="dxa"/>
            <w:vAlign w:val="bottom"/>
          </w:tcPr>
          <w:p w:rsidR="00206749" w:rsidRPr="005367BB" w:rsidRDefault="00206749" w:rsidP="001419DB">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206749" w:rsidRPr="005367BB" w:rsidTr="001419DB">
        <w:tc>
          <w:tcPr>
            <w:tcW w:w="1098" w:type="dxa"/>
            <w:vAlign w:val="bottom"/>
          </w:tcPr>
          <w:p w:rsidR="00206749" w:rsidRDefault="00206749" w:rsidP="001419DB">
            <w:pPr>
              <w:jc w:val="center"/>
              <w:rPr>
                <w:color w:val="000000"/>
              </w:rPr>
            </w:pPr>
            <w:r>
              <w:rPr>
                <w:color w:val="000000"/>
              </w:rPr>
              <w:t>351</w:t>
            </w:r>
          </w:p>
        </w:tc>
        <w:tc>
          <w:tcPr>
            <w:tcW w:w="4320" w:type="dxa"/>
            <w:vAlign w:val="bottom"/>
          </w:tcPr>
          <w:p w:rsidR="00206749" w:rsidRPr="005367BB" w:rsidRDefault="00206749" w:rsidP="001419DB">
            <w:pPr>
              <w:rPr>
                <w:color w:val="000000"/>
              </w:rPr>
            </w:pPr>
            <w:r>
              <w:rPr>
                <w:color w:val="000000"/>
              </w:rPr>
              <w:t>Organization</w:t>
            </w:r>
          </w:p>
        </w:tc>
        <w:tc>
          <w:tcPr>
            <w:tcW w:w="2214" w:type="dxa"/>
            <w:vAlign w:val="bottom"/>
          </w:tcPr>
          <w:p w:rsidR="00206749" w:rsidRDefault="00206749" w:rsidP="001419DB">
            <w:pPr>
              <w:jc w:val="right"/>
              <w:rPr>
                <w:color w:val="000000"/>
              </w:rPr>
            </w:pPr>
            <w:r>
              <w:rPr>
                <w:color w:val="000000"/>
              </w:rPr>
              <w:t>$2,411</w:t>
            </w:r>
          </w:p>
        </w:tc>
        <w:tc>
          <w:tcPr>
            <w:tcW w:w="2394" w:type="dxa"/>
            <w:vAlign w:val="bottom"/>
          </w:tcPr>
          <w:p w:rsidR="00206749" w:rsidRDefault="00206749" w:rsidP="001419DB">
            <w:pPr>
              <w:jc w:val="right"/>
            </w:pPr>
            <w:r>
              <w:t>($1,918)</w:t>
            </w:r>
          </w:p>
        </w:tc>
      </w:tr>
      <w:tr w:rsidR="00206749" w:rsidRPr="005367BB" w:rsidTr="001419DB">
        <w:tc>
          <w:tcPr>
            <w:tcW w:w="1098" w:type="dxa"/>
            <w:vAlign w:val="bottom"/>
          </w:tcPr>
          <w:p w:rsidR="00206749" w:rsidRPr="005367BB" w:rsidRDefault="00206749" w:rsidP="001419DB">
            <w:pPr>
              <w:jc w:val="center"/>
            </w:pPr>
            <w:r>
              <w:rPr>
                <w:color w:val="000000"/>
              </w:rPr>
              <w:t>354</w:t>
            </w:r>
          </w:p>
        </w:tc>
        <w:tc>
          <w:tcPr>
            <w:tcW w:w="4320" w:type="dxa"/>
            <w:vAlign w:val="bottom"/>
          </w:tcPr>
          <w:p w:rsidR="00206749" w:rsidRPr="005367BB" w:rsidRDefault="00206749" w:rsidP="001419DB">
            <w:r w:rsidRPr="005367BB">
              <w:rPr>
                <w:color w:val="000000"/>
              </w:rPr>
              <w:t xml:space="preserve">Structures &amp; Improvements  </w:t>
            </w:r>
          </w:p>
        </w:tc>
        <w:tc>
          <w:tcPr>
            <w:tcW w:w="2214" w:type="dxa"/>
            <w:vAlign w:val="bottom"/>
          </w:tcPr>
          <w:p w:rsidR="00206749" w:rsidRPr="005367BB" w:rsidRDefault="00206749" w:rsidP="001419DB">
            <w:pPr>
              <w:jc w:val="right"/>
            </w:pPr>
            <w:r>
              <w:rPr>
                <w:color w:val="000000"/>
              </w:rPr>
              <w:t xml:space="preserve"> -</w:t>
            </w:r>
          </w:p>
        </w:tc>
        <w:tc>
          <w:tcPr>
            <w:tcW w:w="2394" w:type="dxa"/>
            <w:vAlign w:val="bottom"/>
          </w:tcPr>
          <w:p w:rsidR="00206749" w:rsidRPr="005367BB" w:rsidRDefault="00206749" w:rsidP="001419DB">
            <w:pPr>
              <w:jc w:val="right"/>
            </w:pPr>
            <w:r>
              <w:t>-</w:t>
            </w:r>
          </w:p>
        </w:tc>
      </w:tr>
      <w:tr w:rsidR="00206749" w:rsidRPr="005367BB" w:rsidTr="001419DB">
        <w:tc>
          <w:tcPr>
            <w:tcW w:w="1098" w:type="dxa"/>
            <w:vAlign w:val="bottom"/>
          </w:tcPr>
          <w:p w:rsidR="00206749" w:rsidRPr="005367BB" w:rsidRDefault="00206749" w:rsidP="001419DB">
            <w:pPr>
              <w:jc w:val="center"/>
            </w:pPr>
            <w:r>
              <w:rPr>
                <w:color w:val="000000"/>
              </w:rPr>
              <w:t>360</w:t>
            </w:r>
          </w:p>
        </w:tc>
        <w:tc>
          <w:tcPr>
            <w:tcW w:w="4320" w:type="dxa"/>
            <w:vAlign w:val="bottom"/>
          </w:tcPr>
          <w:p w:rsidR="00206749" w:rsidRPr="005367BB" w:rsidRDefault="00206749" w:rsidP="001419DB">
            <w:r>
              <w:rPr>
                <w:color w:val="000000"/>
              </w:rPr>
              <w:t>Collection Sewers - Force</w:t>
            </w:r>
          </w:p>
        </w:tc>
        <w:tc>
          <w:tcPr>
            <w:tcW w:w="2214" w:type="dxa"/>
            <w:vAlign w:val="bottom"/>
          </w:tcPr>
          <w:p w:rsidR="00206749" w:rsidRPr="005367BB" w:rsidRDefault="00206749" w:rsidP="001419DB">
            <w:pPr>
              <w:jc w:val="right"/>
            </w:pPr>
            <w:r>
              <w:t>110,666</w:t>
            </w:r>
          </w:p>
        </w:tc>
        <w:tc>
          <w:tcPr>
            <w:tcW w:w="2394" w:type="dxa"/>
            <w:vAlign w:val="bottom"/>
          </w:tcPr>
          <w:p w:rsidR="00206749" w:rsidRPr="005367BB" w:rsidRDefault="00206749" w:rsidP="001419DB">
            <w:pPr>
              <w:jc w:val="right"/>
            </w:pPr>
            <w:r>
              <w:t>(86,210)</w:t>
            </w:r>
          </w:p>
        </w:tc>
      </w:tr>
      <w:tr w:rsidR="00206749" w:rsidRPr="005367BB" w:rsidTr="001419DB">
        <w:tc>
          <w:tcPr>
            <w:tcW w:w="1098" w:type="dxa"/>
            <w:vAlign w:val="bottom"/>
          </w:tcPr>
          <w:p w:rsidR="00206749" w:rsidRPr="005367BB" w:rsidRDefault="00206749" w:rsidP="001419DB">
            <w:pPr>
              <w:jc w:val="center"/>
            </w:pPr>
            <w:r>
              <w:rPr>
                <w:color w:val="000000"/>
              </w:rPr>
              <w:t>361</w:t>
            </w:r>
          </w:p>
        </w:tc>
        <w:tc>
          <w:tcPr>
            <w:tcW w:w="4320" w:type="dxa"/>
            <w:vAlign w:val="bottom"/>
          </w:tcPr>
          <w:p w:rsidR="00206749" w:rsidRPr="005367BB" w:rsidRDefault="00206749" w:rsidP="001419DB">
            <w:r>
              <w:rPr>
                <w:color w:val="000000"/>
              </w:rPr>
              <w:t>Collection Sewers - Gravity</w:t>
            </w:r>
          </w:p>
        </w:tc>
        <w:tc>
          <w:tcPr>
            <w:tcW w:w="2214" w:type="dxa"/>
            <w:vAlign w:val="bottom"/>
          </w:tcPr>
          <w:p w:rsidR="00206749" w:rsidRPr="005367BB" w:rsidRDefault="00206749" w:rsidP="001419DB">
            <w:pPr>
              <w:jc w:val="right"/>
            </w:pPr>
            <w:r>
              <w:t>77,795</w:t>
            </w:r>
          </w:p>
        </w:tc>
        <w:tc>
          <w:tcPr>
            <w:tcW w:w="2394" w:type="dxa"/>
            <w:vAlign w:val="bottom"/>
          </w:tcPr>
          <w:p w:rsidR="00206749" w:rsidRPr="005367BB" w:rsidRDefault="00206749" w:rsidP="001419DB">
            <w:pPr>
              <w:jc w:val="right"/>
            </w:pPr>
            <w:r>
              <w:t>(74,581)</w:t>
            </w:r>
          </w:p>
        </w:tc>
      </w:tr>
      <w:tr w:rsidR="00206749" w:rsidRPr="005367BB" w:rsidTr="001419DB">
        <w:tc>
          <w:tcPr>
            <w:tcW w:w="1098" w:type="dxa"/>
            <w:vAlign w:val="bottom"/>
          </w:tcPr>
          <w:p w:rsidR="00206749" w:rsidRPr="005367BB" w:rsidRDefault="00206749" w:rsidP="001419DB">
            <w:pPr>
              <w:jc w:val="center"/>
            </w:pPr>
            <w:r>
              <w:rPr>
                <w:color w:val="000000"/>
              </w:rPr>
              <w:t>362</w:t>
            </w:r>
          </w:p>
        </w:tc>
        <w:tc>
          <w:tcPr>
            <w:tcW w:w="4320" w:type="dxa"/>
            <w:vAlign w:val="bottom"/>
          </w:tcPr>
          <w:p w:rsidR="00206749" w:rsidRPr="005367BB" w:rsidRDefault="00206749" w:rsidP="001419DB">
            <w:r>
              <w:rPr>
                <w:color w:val="000000"/>
              </w:rPr>
              <w:t>Special Collection Structures</w:t>
            </w:r>
            <w:r w:rsidRPr="005367BB">
              <w:rPr>
                <w:color w:val="000000"/>
              </w:rPr>
              <w:t xml:space="preserve">  </w:t>
            </w:r>
          </w:p>
        </w:tc>
        <w:tc>
          <w:tcPr>
            <w:tcW w:w="2214" w:type="dxa"/>
            <w:vAlign w:val="bottom"/>
          </w:tcPr>
          <w:p w:rsidR="00206749" w:rsidRPr="005367BB" w:rsidRDefault="00206749" w:rsidP="001419DB">
            <w:pPr>
              <w:jc w:val="right"/>
            </w:pPr>
            <w:r>
              <w:t>17,043</w:t>
            </w:r>
          </w:p>
        </w:tc>
        <w:tc>
          <w:tcPr>
            <w:tcW w:w="2394" w:type="dxa"/>
            <w:vAlign w:val="bottom"/>
          </w:tcPr>
          <w:p w:rsidR="00206749" w:rsidRPr="005367BB" w:rsidRDefault="00206749" w:rsidP="001419DB">
            <w:pPr>
              <w:jc w:val="right"/>
            </w:pPr>
            <w:r>
              <w:t>(9,323)</w:t>
            </w:r>
          </w:p>
        </w:tc>
      </w:tr>
      <w:tr w:rsidR="00206749" w:rsidRPr="005367BB" w:rsidTr="001419DB">
        <w:tc>
          <w:tcPr>
            <w:tcW w:w="1098" w:type="dxa"/>
            <w:vAlign w:val="bottom"/>
          </w:tcPr>
          <w:p w:rsidR="00206749" w:rsidRPr="005367BB" w:rsidRDefault="00206749" w:rsidP="001419DB">
            <w:pPr>
              <w:jc w:val="center"/>
            </w:pPr>
            <w:r>
              <w:rPr>
                <w:color w:val="000000"/>
              </w:rPr>
              <w:t>363</w:t>
            </w:r>
          </w:p>
        </w:tc>
        <w:tc>
          <w:tcPr>
            <w:tcW w:w="4320" w:type="dxa"/>
            <w:vAlign w:val="bottom"/>
          </w:tcPr>
          <w:p w:rsidR="00206749" w:rsidRPr="005367BB" w:rsidRDefault="00206749" w:rsidP="001419DB">
            <w:r>
              <w:rPr>
                <w:color w:val="000000"/>
              </w:rPr>
              <w:t>Service to Customers</w:t>
            </w:r>
            <w:r w:rsidRPr="005367BB">
              <w:rPr>
                <w:color w:val="000000"/>
              </w:rPr>
              <w:t xml:space="preserve"> </w:t>
            </w:r>
          </w:p>
        </w:tc>
        <w:tc>
          <w:tcPr>
            <w:tcW w:w="2214" w:type="dxa"/>
            <w:vAlign w:val="bottom"/>
          </w:tcPr>
          <w:p w:rsidR="00206749" w:rsidRPr="005367BB" w:rsidRDefault="00206749" w:rsidP="001419DB">
            <w:pPr>
              <w:jc w:val="right"/>
            </w:pPr>
            <w:r>
              <w:t>6,219</w:t>
            </w:r>
          </w:p>
        </w:tc>
        <w:tc>
          <w:tcPr>
            <w:tcW w:w="2394" w:type="dxa"/>
            <w:vAlign w:val="bottom"/>
          </w:tcPr>
          <w:p w:rsidR="00206749" w:rsidRPr="005367BB" w:rsidRDefault="00206749" w:rsidP="001419DB">
            <w:pPr>
              <w:jc w:val="right"/>
            </w:pPr>
            <w:r>
              <w:t>(6,219)</w:t>
            </w:r>
          </w:p>
        </w:tc>
      </w:tr>
      <w:tr w:rsidR="00206749" w:rsidRPr="005367BB" w:rsidTr="001419DB">
        <w:tc>
          <w:tcPr>
            <w:tcW w:w="1098" w:type="dxa"/>
            <w:vAlign w:val="bottom"/>
          </w:tcPr>
          <w:p w:rsidR="00206749" w:rsidRPr="005367BB" w:rsidRDefault="00206749" w:rsidP="001419DB">
            <w:pPr>
              <w:jc w:val="center"/>
            </w:pPr>
            <w:r>
              <w:rPr>
                <w:color w:val="000000"/>
              </w:rPr>
              <w:t>365</w:t>
            </w:r>
          </w:p>
        </w:tc>
        <w:tc>
          <w:tcPr>
            <w:tcW w:w="4320" w:type="dxa"/>
            <w:vAlign w:val="bottom"/>
          </w:tcPr>
          <w:p w:rsidR="00206749" w:rsidRPr="005367BB" w:rsidRDefault="00206749" w:rsidP="001419DB">
            <w:r>
              <w:rPr>
                <w:color w:val="000000"/>
              </w:rPr>
              <w:t>Flow Measuring Installations</w:t>
            </w:r>
          </w:p>
        </w:tc>
        <w:tc>
          <w:tcPr>
            <w:tcW w:w="2214" w:type="dxa"/>
            <w:vAlign w:val="bottom"/>
          </w:tcPr>
          <w:p w:rsidR="00206749" w:rsidRPr="005367BB" w:rsidRDefault="00206749" w:rsidP="001419DB">
            <w:pPr>
              <w:jc w:val="right"/>
            </w:pPr>
            <w:r>
              <w:t xml:space="preserve">  383</w:t>
            </w:r>
          </w:p>
        </w:tc>
        <w:tc>
          <w:tcPr>
            <w:tcW w:w="2394" w:type="dxa"/>
            <w:vAlign w:val="bottom"/>
          </w:tcPr>
          <w:p w:rsidR="00206749" w:rsidRPr="005367BB" w:rsidRDefault="00206749" w:rsidP="001419DB">
            <w:pPr>
              <w:jc w:val="right"/>
            </w:pPr>
            <w:r>
              <w:t>(218)</w:t>
            </w:r>
          </w:p>
        </w:tc>
      </w:tr>
      <w:tr w:rsidR="00206749" w:rsidRPr="005367BB" w:rsidTr="001419DB">
        <w:tc>
          <w:tcPr>
            <w:tcW w:w="1098" w:type="dxa"/>
            <w:vAlign w:val="bottom"/>
          </w:tcPr>
          <w:p w:rsidR="00206749" w:rsidRPr="005367BB" w:rsidRDefault="00206749" w:rsidP="001419DB">
            <w:pPr>
              <w:jc w:val="center"/>
            </w:pPr>
            <w:r>
              <w:rPr>
                <w:color w:val="000000"/>
              </w:rPr>
              <w:t>370</w:t>
            </w:r>
          </w:p>
        </w:tc>
        <w:tc>
          <w:tcPr>
            <w:tcW w:w="4320" w:type="dxa"/>
            <w:vAlign w:val="bottom"/>
          </w:tcPr>
          <w:p w:rsidR="00206749" w:rsidRPr="005367BB" w:rsidRDefault="00206749" w:rsidP="001419DB">
            <w:r>
              <w:rPr>
                <w:color w:val="000000"/>
              </w:rPr>
              <w:t>Receiving Wells</w:t>
            </w:r>
          </w:p>
        </w:tc>
        <w:tc>
          <w:tcPr>
            <w:tcW w:w="2214" w:type="dxa"/>
            <w:vAlign w:val="bottom"/>
          </w:tcPr>
          <w:p w:rsidR="00206749" w:rsidRPr="0071640E" w:rsidRDefault="00206749" w:rsidP="001419DB">
            <w:pPr>
              <w:jc w:val="right"/>
              <w:rPr>
                <w:u w:val="single"/>
              </w:rPr>
            </w:pPr>
            <w:r w:rsidRPr="0071640E">
              <w:rPr>
                <w:u w:val="single"/>
              </w:rPr>
              <w:t>21,334</w:t>
            </w:r>
          </w:p>
        </w:tc>
        <w:tc>
          <w:tcPr>
            <w:tcW w:w="2394" w:type="dxa"/>
            <w:vAlign w:val="bottom"/>
          </w:tcPr>
          <w:p w:rsidR="00206749" w:rsidRPr="0071640E" w:rsidRDefault="00206749" w:rsidP="001419DB">
            <w:pPr>
              <w:jc w:val="right"/>
              <w:rPr>
                <w:u w:val="single"/>
              </w:rPr>
            </w:pPr>
            <w:r w:rsidRPr="0071640E">
              <w:rPr>
                <w:u w:val="single"/>
              </w:rPr>
              <w:t>(12,195)</w:t>
            </w:r>
          </w:p>
        </w:tc>
      </w:tr>
      <w:tr w:rsidR="00206749" w:rsidRPr="005367BB" w:rsidTr="001419DB">
        <w:tc>
          <w:tcPr>
            <w:tcW w:w="1098" w:type="dxa"/>
            <w:vAlign w:val="bottom"/>
          </w:tcPr>
          <w:p w:rsidR="00206749" w:rsidRPr="005367BB" w:rsidRDefault="00206749" w:rsidP="001419DB">
            <w:pPr>
              <w:jc w:val="center"/>
            </w:pPr>
          </w:p>
        </w:tc>
        <w:tc>
          <w:tcPr>
            <w:tcW w:w="4320" w:type="dxa"/>
            <w:vAlign w:val="bottom"/>
          </w:tcPr>
          <w:p w:rsidR="00206749" w:rsidRPr="005367BB" w:rsidRDefault="00206749" w:rsidP="001419DB"/>
        </w:tc>
        <w:tc>
          <w:tcPr>
            <w:tcW w:w="2214" w:type="dxa"/>
            <w:vAlign w:val="bottom"/>
          </w:tcPr>
          <w:p w:rsidR="00206749" w:rsidRPr="005367BB" w:rsidRDefault="00206749" w:rsidP="001419DB">
            <w:pPr>
              <w:jc w:val="right"/>
            </w:pPr>
          </w:p>
        </w:tc>
        <w:tc>
          <w:tcPr>
            <w:tcW w:w="2394" w:type="dxa"/>
            <w:vAlign w:val="bottom"/>
          </w:tcPr>
          <w:p w:rsidR="00206749" w:rsidRPr="009D4A08" w:rsidRDefault="00206749" w:rsidP="001419DB">
            <w:pPr>
              <w:jc w:val="right"/>
            </w:pPr>
          </w:p>
        </w:tc>
      </w:tr>
      <w:tr w:rsidR="00206749" w:rsidRPr="005367BB" w:rsidTr="001419DB">
        <w:tc>
          <w:tcPr>
            <w:tcW w:w="1098" w:type="dxa"/>
            <w:vAlign w:val="bottom"/>
          </w:tcPr>
          <w:p w:rsidR="00206749" w:rsidRDefault="00206749" w:rsidP="001419DB">
            <w:pPr>
              <w:jc w:val="center"/>
              <w:rPr>
                <w:color w:val="000000"/>
              </w:rPr>
            </w:pPr>
          </w:p>
        </w:tc>
        <w:tc>
          <w:tcPr>
            <w:tcW w:w="4320" w:type="dxa"/>
            <w:vAlign w:val="bottom"/>
          </w:tcPr>
          <w:p w:rsidR="00206749" w:rsidRDefault="00206749" w:rsidP="001419DB">
            <w:pPr>
              <w:rPr>
                <w:color w:val="000000"/>
              </w:rPr>
            </w:pPr>
            <w:r w:rsidRPr="005367BB">
              <w:rPr>
                <w:color w:val="000000"/>
              </w:rPr>
              <w:t>Total</w:t>
            </w:r>
          </w:p>
        </w:tc>
        <w:tc>
          <w:tcPr>
            <w:tcW w:w="2214" w:type="dxa"/>
            <w:vAlign w:val="bottom"/>
          </w:tcPr>
          <w:p w:rsidR="00206749" w:rsidRPr="009D4A08" w:rsidRDefault="00206749" w:rsidP="001419DB">
            <w:pPr>
              <w:jc w:val="right"/>
              <w:rPr>
                <w:color w:val="000000"/>
              </w:rPr>
            </w:pPr>
            <w:r w:rsidRPr="005367BB">
              <w:rPr>
                <w:color w:val="000000"/>
                <w:u w:val="double"/>
              </w:rPr>
              <w:t>$</w:t>
            </w:r>
            <w:r>
              <w:rPr>
                <w:color w:val="000000"/>
                <w:u w:val="double"/>
              </w:rPr>
              <w:t>235,851</w:t>
            </w:r>
          </w:p>
        </w:tc>
        <w:tc>
          <w:tcPr>
            <w:tcW w:w="2394" w:type="dxa"/>
            <w:vAlign w:val="bottom"/>
          </w:tcPr>
          <w:p w:rsidR="00206749" w:rsidRPr="009D4A08" w:rsidRDefault="00206749" w:rsidP="001419DB">
            <w:pPr>
              <w:jc w:val="right"/>
              <w:rPr>
                <w:color w:val="000000"/>
                <w:szCs w:val="22"/>
              </w:rPr>
            </w:pPr>
            <w:r>
              <w:rPr>
                <w:color w:val="000000"/>
                <w:u w:val="double"/>
              </w:rPr>
              <w:t>($190,666)</w:t>
            </w:r>
          </w:p>
        </w:tc>
      </w:tr>
    </w:tbl>
    <w:p w:rsidR="001419DB" w:rsidRDefault="001419DB" w:rsidP="00E275D8">
      <w:pPr>
        <w:pStyle w:val="BodyText"/>
        <w:sectPr w:rsidR="001419DB" w:rsidSect="0068481F">
          <w:headerReference w:type="default" r:id="rId30"/>
          <w:footerReference w:type="default" r:id="rId31"/>
          <w:pgSz w:w="12240" w:h="15840" w:code="1"/>
          <w:pgMar w:top="1584" w:right="1440" w:bottom="1440" w:left="1440" w:header="720" w:footer="720" w:gutter="0"/>
          <w:cols w:space="720"/>
          <w:formProt w:val="0"/>
          <w:docGrid w:linePitch="360"/>
        </w:sectPr>
      </w:pPr>
    </w:p>
    <w:p w:rsidR="00C5665C" w:rsidRDefault="00C5665C" w:rsidP="00C5665C">
      <w:pPr>
        <w:autoSpaceDE w:val="0"/>
        <w:autoSpaceDN w:val="0"/>
        <w:adjustRightInd w:val="0"/>
        <w:jc w:val="center"/>
        <w:rPr>
          <w:rFonts w:ascii="Arial" w:hAnsi="Arial" w:cs="Arial"/>
          <w:b/>
          <w:bCs/>
        </w:rPr>
      </w:pPr>
      <w:r>
        <w:rPr>
          <w:rFonts w:ascii="Arial" w:hAnsi="Arial" w:cs="Arial"/>
          <w:b/>
          <w:bCs/>
        </w:rPr>
        <w:t>C</w:t>
      </w:r>
      <w:r w:rsidRPr="006438FA">
        <w:rPr>
          <w:rFonts w:ascii="Arial" w:hAnsi="Arial" w:cs="Arial"/>
          <w:b/>
          <w:bCs/>
        </w:rPr>
        <w:t>SWR – Florida Utility Operating Company, LLC.</w:t>
      </w:r>
    </w:p>
    <w:p w:rsidR="00C5665C" w:rsidRPr="006438FA" w:rsidRDefault="00C5665C" w:rsidP="00C5665C">
      <w:pPr>
        <w:autoSpaceDE w:val="0"/>
        <w:autoSpaceDN w:val="0"/>
        <w:adjustRightInd w:val="0"/>
        <w:jc w:val="center"/>
        <w:rPr>
          <w:rFonts w:ascii="Arial" w:hAnsi="Arial" w:cs="Arial"/>
        </w:rPr>
      </w:pPr>
      <w:r>
        <w:rPr>
          <w:rFonts w:ascii="Arial" w:hAnsi="Arial" w:cs="Arial"/>
          <w:b/>
          <w:bCs/>
        </w:rPr>
        <w:t>BFF Corp.</w:t>
      </w:r>
    </w:p>
    <w:p w:rsidR="00C5665C" w:rsidRDefault="00C5665C" w:rsidP="00C566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6438FA">
        <w:rPr>
          <w:rFonts w:ascii="Arial" w:hAnsi="Arial" w:cs="Arial"/>
          <w:b/>
        </w:rPr>
        <w:t>Monthly Wa</w:t>
      </w:r>
      <w:r>
        <w:rPr>
          <w:rFonts w:ascii="Arial" w:hAnsi="Arial" w:cs="Arial"/>
          <w:b/>
        </w:rPr>
        <w:t>s</w:t>
      </w:r>
      <w:r w:rsidRPr="006438FA">
        <w:rPr>
          <w:rFonts w:ascii="Arial" w:hAnsi="Arial" w:cs="Arial"/>
          <w:b/>
        </w:rPr>
        <w:t>te</w:t>
      </w:r>
      <w:r>
        <w:rPr>
          <w:rFonts w:ascii="Arial" w:hAnsi="Arial" w:cs="Arial"/>
          <w:b/>
        </w:rPr>
        <w:t>wate</w:t>
      </w:r>
      <w:r w:rsidRPr="006438FA">
        <w:rPr>
          <w:rFonts w:ascii="Arial" w:hAnsi="Arial" w:cs="Arial"/>
          <w:b/>
        </w:rPr>
        <w:t>r Rates</w:t>
      </w:r>
    </w:p>
    <w:p w:rsidR="00C5665C" w:rsidRDefault="00C5665C" w:rsidP="00C566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C5665C" w:rsidRPr="006438FA" w:rsidRDefault="00C5665C" w:rsidP="00C566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tbl>
      <w:tblPr>
        <w:tblStyle w:val="TableMasthead"/>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2"/>
        <w:gridCol w:w="514"/>
        <w:gridCol w:w="1824"/>
        <w:gridCol w:w="990"/>
        <w:gridCol w:w="873"/>
        <w:gridCol w:w="2444"/>
        <w:gridCol w:w="82"/>
      </w:tblGrid>
      <w:tr w:rsidR="00C5665C" w:rsidRPr="008A18AB" w:rsidTr="00911780">
        <w:tc>
          <w:tcPr>
            <w:tcW w:w="5580" w:type="dxa"/>
            <w:gridSpan w:val="3"/>
            <w:hideMark/>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8A18AB">
              <w:rPr>
                <w:rFonts w:ascii="Arial" w:hAnsi="Arial" w:cs="Arial"/>
                <w:b/>
              </w:rPr>
              <w:t>Residential Service</w:t>
            </w:r>
          </w:p>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Base Facility Charge by Meter Size</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5665C" w:rsidRPr="008A18AB" w:rsidTr="00911780">
        <w:tc>
          <w:tcPr>
            <w:tcW w:w="5580" w:type="dxa"/>
            <w:gridSpan w:val="3"/>
            <w:hideMark/>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32.98</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 xml:space="preserve">Charge Per 1,000 gallons – </w:t>
            </w:r>
            <w:r>
              <w:t>Residential</w:t>
            </w:r>
            <w:r w:rsidRPr="008A18AB">
              <w:t xml:space="preserve"> Service</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5665C" w:rsidRPr="008A18AB" w:rsidTr="00911780">
        <w:tc>
          <w:tcPr>
            <w:tcW w:w="5580" w:type="dxa"/>
            <w:gridSpan w:val="3"/>
          </w:tcPr>
          <w:p w:rsidR="00C5665C" w:rsidRPr="00BB181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10,000 gallon cap</w:t>
            </w:r>
          </w:p>
        </w:tc>
        <w:tc>
          <w:tcPr>
            <w:tcW w:w="990" w:type="dxa"/>
          </w:tcPr>
          <w:p w:rsidR="00C5665C" w:rsidRPr="00BB181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BB181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B181B">
              <w:t>$</w:t>
            </w:r>
            <w:r>
              <w:t>8.75</w:t>
            </w:r>
          </w:p>
        </w:tc>
      </w:tr>
      <w:tr w:rsidR="00911780" w:rsidRPr="008A18AB" w:rsidTr="00911780">
        <w:tc>
          <w:tcPr>
            <w:tcW w:w="5580" w:type="dxa"/>
            <w:gridSpan w:val="3"/>
          </w:tcPr>
          <w:p w:rsidR="00911780" w:rsidRDefault="00911780"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rsidR="00911780" w:rsidRPr="00BB181B" w:rsidRDefault="00911780"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911780" w:rsidRPr="00BB181B" w:rsidRDefault="00911780"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11780" w:rsidRPr="008A18AB" w:rsidTr="00911780">
        <w:tc>
          <w:tcPr>
            <w:tcW w:w="5580" w:type="dxa"/>
            <w:gridSpan w:val="3"/>
          </w:tcPr>
          <w:p w:rsidR="00911780" w:rsidRDefault="00911780"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Flat Rate (for unmetered residential customers)</w:t>
            </w:r>
          </w:p>
        </w:tc>
        <w:tc>
          <w:tcPr>
            <w:tcW w:w="990" w:type="dxa"/>
          </w:tcPr>
          <w:p w:rsidR="00911780" w:rsidRPr="00BB181B" w:rsidRDefault="00911780"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911780" w:rsidRPr="00BB181B" w:rsidRDefault="00911780"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$75.35</w:t>
            </w:r>
          </w:p>
        </w:tc>
      </w:tr>
      <w:tr w:rsidR="00C5665C" w:rsidRPr="008A18AB" w:rsidTr="00911780">
        <w:tc>
          <w:tcPr>
            <w:tcW w:w="5580" w:type="dxa"/>
            <w:gridSpan w:val="3"/>
          </w:tcPr>
          <w:p w:rsidR="00C5665C"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Pr>
                <w:rFonts w:ascii="Arial" w:hAnsi="Arial" w:cs="Arial"/>
                <w:b/>
              </w:rPr>
              <w:t>General</w:t>
            </w:r>
            <w:r w:rsidRPr="008A18AB">
              <w:rPr>
                <w:rFonts w:ascii="Arial" w:hAnsi="Arial" w:cs="Arial"/>
                <w:b/>
              </w:rPr>
              <w:t xml:space="preserve"> Service</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Base Facility Charge by Meter Size</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32.98</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3/4"</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$49.47</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1"</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$82.45</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1 1/2"</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$164.90</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2"</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$263.84</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3"</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$527.68</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4"</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$824.50</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6"</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1,649.00</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8A18AB">
              <w:t>Charge Per 1,</w:t>
            </w:r>
            <w:r>
              <w:t xml:space="preserve">000 gallons </w:t>
            </w: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8A18AB">
              <w:t>$</w:t>
            </w:r>
            <w:r>
              <w:t>10.18</w:t>
            </w: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C5665C" w:rsidRPr="008A18AB" w:rsidTr="00911780">
        <w:tc>
          <w:tcPr>
            <w:tcW w:w="5580"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90"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C5665C" w:rsidRPr="008A18AB" w:rsidTr="00911780">
        <w:trPr>
          <w:gridAfter w:val="1"/>
          <w:wAfter w:w="82" w:type="dxa"/>
        </w:trPr>
        <w:tc>
          <w:tcPr>
            <w:tcW w:w="9887" w:type="dxa"/>
            <w:gridSpan w:val="6"/>
            <w:hideMark/>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A18AB">
              <w:rPr>
                <w:rFonts w:ascii="Arial" w:hAnsi="Arial" w:cs="Arial"/>
                <w:b/>
              </w:rPr>
              <w:t>Initial Customer Deposits</w:t>
            </w:r>
          </w:p>
        </w:tc>
      </w:tr>
      <w:tr w:rsidR="00C5665C" w:rsidRPr="008A18AB" w:rsidTr="00911780">
        <w:trPr>
          <w:gridAfter w:val="1"/>
          <w:wAfter w:w="82" w:type="dxa"/>
        </w:trPr>
        <w:tc>
          <w:tcPr>
            <w:tcW w:w="3242"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328"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17" w:type="dxa"/>
            <w:gridSpan w:val="2"/>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5665C" w:rsidRPr="008A18AB" w:rsidTr="00911780">
        <w:trPr>
          <w:gridAfter w:val="1"/>
          <w:wAfter w:w="82" w:type="dxa"/>
        </w:trPr>
        <w:tc>
          <w:tcPr>
            <w:tcW w:w="3242" w:type="dxa"/>
            <w:hideMark/>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328" w:type="dxa"/>
            <w:gridSpan w:val="3"/>
          </w:tcPr>
          <w:p w:rsidR="00C5665C" w:rsidRPr="006A450C"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sz w:val="20"/>
                <w:szCs w:val="20"/>
                <w:u w:val="single"/>
              </w:rPr>
            </w:pPr>
            <w:r w:rsidRPr="006A450C">
              <w:rPr>
                <w:b/>
                <w:u w:val="single"/>
              </w:rPr>
              <w:t>Residential Service</w:t>
            </w:r>
          </w:p>
        </w:tc>
        <w:tc>
          <w:tcPr>
            <w:tcW w:w="3317" w:type="dxa"/>
            <w:gridSpan w:val="2"/>
          </w:tcPr>
          <w:p w:rsidR="00C5665C" w:rsidRPr="006A450C"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u w:val="single"/>
              </w:rPr>
            </w:pPr>
            <w:r w:rsidRPr="006A450C">
              <w:rPr>
                <w:b/>
                <w:u w:val="single"/>
              </w:rPr>
              <w:t>General Service</w:t>
            </w:r>
          </w:p>
        </w:tc>
      </w:tr>
      <w:tr w:rsidR="00C5665C" w:rsidRPr="008A18AB" w:rsidTr="00911780">
        <w:trPr>
          <w:gridAfter w:val="1"/>
          <w:wAfter w:w="82" w:type="dxa"/>
        </w:trPr>
        <w:tc>
          <w:tcPr>
            <w:tcW w:w="3242" w:type="dxa"/>
            <w:hideMark/>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A18AB">
              <w:t>5/8” x 3/4”</w:t>
            </w:r>
          </w:p>
        </w:tc>
        <w:tc>
          <w:tcPr>
            <w:tcW w:w="3328"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$120.00</w:t>
            </w:r>
          </w:p>
        </w:tc>
        <w:tc>
          <w:tcPr>
            <w:tcW w:w="3317" w:type="dxa"/>
            <w:gridSpan w:val="2"/>
            <w:hideMark/>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$133.00</w:t>
            </w:r>
          </w:p>
        </w:tc>
      </w:tr>
      <w:tr w:rsidR="00C5665C" w:rsidRPr="008A18AB" w:rsidTr="00911780">
        <w:trPr>
          <w:gridAfter w:val="1"/>
          <w:wAfter w:w="82" w:type="dxa"/>
        </w:trPr>
        <w:tc>
          <w:tcPr>
            <w:tcW w:w="3242"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Over 5/8”x 3/4”</w:t>
            </w:r>
          </w:p>
        </w:tc>
        <w:tc>
          <w:tcPr>
            <w:tcW w:w="3328"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$120.00</w:t>
            </w:r>
          </w:p>
        </w:tc>
        <w:tc>
          <w:tcPr>
            <w:tcW w:w="3317" w:type="dxa"/>
            <w:gridSpan w:val="2"/>
          </w:tcPr>
          <w:p w:rsidR="00C5665C"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2x average estimated bill</w:t>
            </w:r>
          </w:p>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5665C" w:rsidRPr="008A18AB" w:rsidTr="00911780">
        <w:trPr>
          <w:gridAfter w:val="1"/>
          <w:wAfter w:w="82" w:type="dxa"/>
        </w:trPr>
        <w:tc>
          <w:tcPr>
            <w:tcW w:w="3242" w:type="dxa"/>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328" w:type="dxa"/>
            <w:gridSpan w:val="3"/>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17" w:type="dxa"/>
            <w:gridSpan w:val="2"/>
          </w:tcPr>
          <w:p w:rsidR="00C5665C" w:rsidRPr="008A18AB"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C5665C" w:rsidRPr="00E87BB0" w:rsidTr="00911780">
        <w:trPr>
          <w:gridAfter w:val="1"/>
          <w:wAfter w:w="82" w:type="dxa"/>
        </w:trPr>
        <w:tc>
          <w:tcPr>
            <w:tcW w:w="9887" w:type="dxa"/>
            <w:gridSpan w:val="6"/>
            <w:hideMark/>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E87BB0">
              <w:rPr>
                <w:rFonts w:ascii="Arial" w:hAnsi="Arial" w:cs="Arial"/>
                <w:b/>
              </w:rPr>
              <w:t>Service Availability Charges</w:t>
            </w:r>
          </w:p>
        </w:tc>
      </w:tr>
      <w:tr w:rsidR="00C5665C" w:rsidRPr="00E87BB0" w:rsidTr="00911780">
        <w:trPr>
          <w:gridAfter w:val="1"/>
          <w:wAfter w:w="82" w:type="dxa"/>
        </w:trPr>
        <w:tc>
          <w:tcPr>
            <w:tcW w:w="3756" w:type="dxa"/>
            <w:gridSpan w:val="2"/>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687" w:type="dxa"/>
            <w:gridSpan w:val="3"/>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444" w:type="dxa"/>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5665C" w:rsidRPr="00E87BB0" w:rsidTr="00911780">
        <w:trPr>
          <w:gridAfter w:val="1"/>
          <w:wAfter w:w="82" w:type="dxa"/>
        </w:trPr>
        <w:tc>
          <w:tcPr>
            <w:tcW w:w="3756" w:type="dxa"/>
            <w:gridSpan w:val="2"/>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t>System</w:t>
            </w:r>
            <w:r w:rsidRPr="00E87BB0">
              <w:t xml:space="preserve"> Capacity Charge</w:t>
            </w:r>
          </w:p>
        </w:tc>
        <w:tc>
          <w:tcPr>
            <w:tcW w:w="3687" w:type="dxa"/>
            <w:gridSpan w:val="3"/>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444" w:type="dxa"/>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5665C" w:rsidRPr="00E87BB0" w:rsidTr="00911780">
        <w:trPr>
          <w:gridAfter w:val="1"/>
          <w:wAfter w:w="82" w:type="dxa"/>
        </w:trPr>
        <w:tc>
          <w:tcPr>
            <w:tcW w:w="7443" w:type="dxa"/>
            <w:gridSpan w:val="5"/>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87BB0">
              <w:t>Residential per ERC</w:t>
            </w:r>
            <w:r>
              <w:t xml:space="preserve"> (350 gallons per day)</w:t>
            </w:r>
            <w:r w:rsidRPr="00E87BB0">
              <w:t xml:space="preserve"> </w:t>
            </w:r>
          </w:p>
        </w:tc>
        <w:tc>
          <w:tcPr>
            <w:tcW w:w="2444" w:type="dxa"/>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$1,62</w:t>
            </w:r>
            <w:r w:rsidRPr="00E87BB0">
              <w:t>0.00</w:t>
            </w:r>
          </w:p>
        </w:tc>
      </w:tr>
      <w:tr w:rsidR="00C5665C" w:rsidRPr="00E87BB0" w:rsidTr="00911780">
        <w:trPr>
          <w:gridAfter w:val="1"/>
          <w:wAfter w:w="82" w:type="dxa"/>
        </w:trPr>
        <w:tc>
          <w:tcPr>
            <w:tcW w:w="3756" w:type="dxa"/>
            <w:gridSpan w:val="2"/>
          </w:tcPr>
          <w:p w:rsidR="00C5665C" w:rsidRPr="00F01829"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01829">
              <w:t>All others – per gallon</w:t>
            </w:r>
          </w:p>
        </w:tc>
        <w:tc>
          <w:tcPr>
            <w:tcW w:w="3687" w:type="dxa"/>
            <w:gridSpan w:val="3"/>
          </w:tcPr>
          <w:p w:rsidR="00C5665C" w:rsidRPr="00E87BB0"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444" w:type="dxa"/>
          </w:tcPr>
          <w:p w:rsidR="00C5665C" w:rsidRPr="00CC45F4" w:rsidRDefault="00C5665C" w:rsidP="00BF3C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CC45F4">
              <w:t>$4.63</w:t>
            </w:r>
          </w:p>
        </w:tc>
      </w:tr>
    </w:tbl>
    <w:p w:rsidR="00FC49D4" w:rsidRDefault="00FC49D4" w:rsidP="00C5665C"/>
    <w:sectPr w:rsidR="00FC49D4" w:rsidSect="0068481F">
      <w:headerReference w:type="default" r:id="rId3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AA" w:rsidRDefault="00BF3CAA">
      <w:r>
        <w:separator/>
      </w:r>
    </w:p>
  </w:endnote>
  <w:endnote w:type="continuationSeparator" w:id="0">
    <w:p w:rsidR="00BF3CAA" w:rsidRDefault="00BF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14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18</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19</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20</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21</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53CD">
      <w:rPr>
        <w:rStyle w:val="PageNumber"/>
        <w:noProof/>
      </w:rPr>
      <w:t>23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AA" w:rsidRDefault="00BF3CAA">
      <w:r>
        <w:separator/>
      </w:r>
    </w:p>
  </w:footnote>
  <w:footnote w:type="continuationSeparator" w:id="0">
    <w:p w:rsidR="00BF3CAA" w:rsidRDefault="00BF3CAA">
      <w:r>
        <w:continuationSeparator/>
      </w:r>
    </w:p>
  </w:footnote>
  <w:footnote w:id="1">
    <w:p w:rsidR="00BF3CAA" w:rsidRPr="005F0590" w:rsidRDefault="00BF3CAA" w:rsidP="007C05F1">
      <w:pPr>
        <w:pStyle w:val="FootnoteText"/>
      </w:pPr>
      <w:r w:rsidRPr="001276F0">
        <w:rPr>
          <w:rStyle w:val="FootnoteReference"/>
        </w:rPr>
        <w:footnoteRef/>
      </w:r>
      <w:r w:rsidRPr="00FF6CC1">
        <w:t xml:space="preserve">Order No. </w:t>
      </w:r>
      <w:r w:rsidR="00162BC8" w:rsidRPr="00162BC8">
        <w:t>PSC-02-0487-PAA-SU</w:t>
      </w:r>
      <w:r w:rsidRPr="00FF6CC1">
        <w:t xml:space="preserve">, issued </w:t>
      </w:r>
      <w:r>
        <w:t>A</w:t>
      </w:r>
      <w:r w:rsidR="00A9218A">
        <w:t>pril</w:t>
      </w:r>
      <w:r w:rsidRPr="00FF6CC1">
        <w:t xml:space="preserve"> </w:t>
      </w:r>
      <w:r w:rsidR="00A9218A">
        <w:t>8</w:t>
      </w:r>
      <w:r w:rsidRPr="00FF6CC1">
        <w:t xml:space="preserve">, </w:t>
      </w:r>
      <w:r>
        <w:t>20</w:t>
      </w:r>
      <w:r w:rsidR="00A9218A">
        <w:t>02</w:t>
      </w:r>
      <w:r w:rsidRPr="00FF6CC1">
        <w:t xml:space="preserve">, in Docket No. </w:t>
      </w:r>
      <w:r>
        <w:t>20</w:t>
      </w:r>
      <w:r w:rsidR="00A9218A">
        <w:t>01</w:t>
      </w:r>
      <w:r>
        <w:t>0</w:t>
      </w:r>
      <w:r w:rsidR="00A9218A">
        <w:t>919</w:t>
      </w:r>
      <w:r w:rsidRPr="00FF6CC1">
        <w:t>-</w:t>
      </w:r>
      <w:r w:rsidR="00A9218A">
        <w:t>S</w:t>
      </w:r>
      <w:r>
        <w:t>U</w:t>
      </w:r>
      <w:r w:rsidRPr="00FF6CC1">
        <w:t xml:space="preserve">, </w:t>
      </w:r>
      <w:r w:rsidRPr="00FF6CC1">
        <w:rPr>
          <w:i/>
        </w:rPr>
        <w:t xml:space="preserve">In </w:t>
      </w:r>
      <w:proofErr w:type="gramStart"/>
      <w:r w:rsidRPr="00FF6CC1">
        <w:rPr>
          <w:i/>
        </w:rPr>
        <w:t>re:</w:t>
      </w:r>
      <w:proofErr w:type="gramEnd"/>
      <w:r w:rsidRPr="00FF6CC1">
        <w:rPr>
          <w:i/>
        </w:rPr>
        <w:t xml:space="preserve"> </w:t>
      </w:r>
      <w:r w:rsidR="00A9218A" w:rsidRPr="00A9218A">
        <w:rPr>
          <w:i/>
        </w:rPr>
        <w:t>Application for staff-assisted rate case in Marion County by BFF Corp.</w:t>
      </w:r>
    </w:p>
  </w:footnote>
  <w:footnote w:id="2">
    <w:p w:rsidR="00BF3CAA" w:rsidRPr="00E27CB8" w:rsidRDefault="00BF3CAA" w:rsidP="007C05F1">
      <w:pPr>
        <w:pStyle w:val="FootnoteText"/>
      </w:pPr>
      <w:r>
        <w:rPr>
          <w:rStyle w:val="FootnoteReference"/>
        </w:rPr>
        <w:footnoteRef/>
      </w:r>
      <w:r w:rsidRPr="00266BCE">
        <w:t xml:space="preserve">Order No. </w:t>
      </w:r>
      <w:r w:rsidR="00E8290D" w:rsidRPr="00E8290D">
        <w:t>22371</w:t>
      </w:r>
      <w:r w:rsidRPr="00266BCE">
        <w:t>, issued J</w:t>
      </w:r>
      <w:r w:rsidR="00E8290D">
        <w:t>anuary</w:t>
      </w:r>
      <w:r w:rsidRPr="00266BCE">
        <w:t xml:space="preserve"> 8, 19</w:t>
      </w:r>
      <w:r w:rsidR="00E8290D">
        <w:t>90</w:t>
      </w:r>
      <w:r w:rsidRPr="00266BCE">
        <w:t>,</w:t>
      </w:r>
      <w:r w:rsidRPr="00E27CB8">
        <w:t xml:space="preserve"> in Docket No. </w:t>
      </w:r>
      <w:r w:rsidR="00E27CB8" w:rsidRPr="00E27CB8">
        <w:t>19890045</w:t>
      </w:r>
      <w:r w:rsidRPr="00E27CB8">
        <w:t>-</w:t>
      </w:r>
      <w:r w:rsidR="00E27CB8" w:rsidRPr="00E27CB8">
        <w:t>SU</w:t>
      </w:r>
      <w:r w:rsidRPr="00E27CB8">
        <w:t xml:space="preserve">, </w:t>
      </w:r>
      <w:r w:rsidRPr="00E27CB8">
        <w:rPr>
          <w:i/>
        </w:rPr>
        <w:t xml:space="preserve">In re: </w:t>
      </w:r>
      <w:r w:rsidR="00E27CB8" w:rsidRPr="00E27CB8">
        <w:rPr>
          <w:i/>
        </w:rPr>
        <w:t>Application for transfer and amendment of Certificate No. 318-S in Marion County from LTB Utility, Inc. to BFF Corp.</w:t>
      </w:r>
    </w:p>
  </w:footnote>
  <w:footnote w:id="3">
    <w:p w:rsidR="00BF3CAA" w:rsidRPr="007358DF" w:rsidRDefault="00BF3CAA" w:rsidP="007C05F1">
      <w:pPr>
        <w:pStyle w:val="FootnoteText"/>
        <w:keepLines/>
      </w:pPr>
      <w:r>
        <w:rPr>
          <w:rStyle w:val="FootnoteReference"/>
        </w:rPr>
        <w:footnoteRef/>
      </w:r>
      <w:r w:rsidRPr="006C397E">
        <w:t xml:space="preserve">See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water Certificate No. </w:t>
      </w:r>
      <w:r w:rsidRPr="00360720">
        <w:t>517-W, and wastewater Certificate No. 450-S to CSWR-Florida Utility Operating Company, LLC, in Brevard County</w:t>
      </w:r>
      <w:r>
        <w:t>; Order No. P</w:t>
      </w:r>
      <w:r w:rsidRPr="00360720">
        <w:t>SC-2022-0120-PAA-W</w:t>
      </w:r>
      <w:r>
        <w:t xml:space="preserve">U, issued March 18, 2022, in Docket </w:t>
      </w:r>
      <w:proofErr w:type="gramStart"/>
      <w:r>
        <w:t>No</w:t>
      </w:r>
      <w:proofErr w:type="gramEnd"/>
      <w:r>
        <w:t xml:space="preserve">.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w:t>
      </w:r>
      <w:proofErr w:type="gramStart"/>
      <w:r>
        <w:t>No</w:t>
      </w:r>
      <w:proofErr w:type="gramEnd"/>
      <w:r>
        <w:t xml:space="preserve">.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Operating Company, LLC, in Duval County</w:t>
      </w:r>
      <w:r w:rsidR="007358DF">
        <w:rPr>
          <w:i/>
        </w:rPr>
        <w:t xml:space="preserve">; </w:t>
      </w:r>
      <w:r w:rsidR="007358DF" w:rsidRPr="007358DF">
        <w:rPr>
          <w:i/>
        </w:rPr>
        <w:t xml:space="preserve">Docket No. 20220149-SU, In re: Application for transfer of wastewater Certificate No. 365-S of Sebring Ridge Utilities, Inc. to CSWR-Florida Utility Operating Company, LLC, in Highlands County </w:t>
      </w:r>
      <w:r w:rsidR="007358DF" w:rsidRPr="007358DF">
        <w:t xml:space="preserve">(the Commission approved the transfer of this system at the July 11, 2023 </w:t>
      </w:r>
      <w:r w:rsidR="0003738A">
        <w:t>Commission</w:t>
      </w:r>
      <w:r w:rsidR="007358DF" w:rsidRPr="007358DF">
        <w:t xml:space="preserve"> Conference; an order is forthcoming)</w:t>
      </w:r>
      <w:r w:rsidRPr="007358DF">
        <w:t>.</w:t>
      </w:r>
    </w:p>
  </w:footnote>
  <w:footnote w:id="4">
    <w:p w:rsidR="00BF3CAA" w:rsidRDefault="00BF3CAA" w:rsidP="008077A6">
      <w:pPr>
        <w:pStyle w:val="FootnoteText"/>
      </w:pPr>
      <w:r>
        <w:rPr>
          <w:rStyle w:val="FootnoteReference"/>
        </w:rPr>
        <w:footnoteRef/>
      </w:r>
      <w:r>
        <w:t xml:space="preserve">Order No. PSC-02-0487-PAA-SU, issued April 8, 2002, in Docket No. 20010919-SU, </w:t>
      </w:r>
      <w:r w:rsidRPr="004C785A">
        <w:rPr>
          <w:i/>
        </w:rPr>
        <w:t xml:space="preserve">In </w:t>
      </w:r>
      <w:proofErr w:type="gramStart"/>
      <w:r w:rsidRPr="004C785A">
        <w:rPr>
          <w:i/>
        </w:rPr>
        <w:t>re:</w:t>
      </w:r>
      <w:proofErr w:type="gramEnd"/>
      <w:r w:rsidRPr="004C785A">
        <w:rPr>
          <w:i/>
        </w:rPr>
        <w:t xml:space="preserve"> Application for staff-assisted rate case in Marion County by BFF Corp</w:t>
      </w:r>
      <w:r>
        <w:t>.</w:t>
      </w:r>
    </w:p>
  </w:footnote>
  <w:footnote w:id="5">
    <w:p w:rsidR="00BF3CAA" w:rsidRDefault="00BF3CAA" w:rsidP="008077A6">
      <w:pPr>
        <w:pStyle w:val="FootnoteText"/>
      </w:pPr>
      <w:r>
        <w:rPr>
          <w:rStyle w:val="FootnoteReference"/>
        </w:rPr>
        <w:footnoteRef/>
      </w:r>
      <w:r>
        <w:t xml:space="preserve">Order No. 22570, issued February 19, 1990, in Docket No. 19890916-SU, </w:t>
      </w:r>
      <w:r w:rsidRPr="00E80447">
        <w:rPr>
          <w:i/>
        </w:rPr>
        <w:t>In re: Application of BFF Corp. for a staff-assisted rate case in Marion County</w:t>
      </w:r>
      <w:r>
        <w:t>.</w:t>
      </w:r>
    </w:p>
  </w:footnote>
  <w:footnote w:id="6">
    <w:p w:rsidR="00BF3CAA" w:rsidRPr="00CC2932" w:rsidRDefault="00BF3CAA" w:rsidP="004B4A3E">
      <w:pPr>
        <w:pStyle w:val="FootnoteText"/>
      </w:pPr>
      <w:r>
        <w:rPr>
          <w:rStyle w:val="FootnoteReference"/>
        </w:rPr>
        <w:footnoteRef/>
      </w:r>
      <w:r>
        <w:t xml:space="preserve">Order No. PSC-02-0487-PAA-SU, issued April 8, 2002, in Docket No. 20010919-SU, </w:t>
      </w:r>
      <w:r>
        <w:rPr>
          <w:i/>
        </w:rPr>
        <w:t xml:space="preserve">In </w:t>
      </w:r>
      <w:proofErr w:type="gramStart"/>
      <w:r>
        <w:rPr>
          <w:i/>
        </w:rPr>
        <w:t>re:</w:t>
      </w:r>
      <w:proofErr w:type="gramEnd"/>
      <w:r>
        <w:rPr>
          <w:i/>
        </w:rPr>
        <w:t xml:space="preserve"> Application for staff-assisted rate case in Marion County by BFF Corp.</w:t>
      </w:r>
    </w:p>
  </w:footnote>
  <w:footnote w:id="7">
    <w:p w:rsidR="00BF3CAA" w:rsidRDefault="00BF3CAA" w:rsidP="004B4A3E">
      <w:pPr>
        <w:pStyle w:val="FootnoteText"/>
      </w:pPr>
      <w:r>
        <w:rPr>
          <w:rStyle w:val="FootnoteReference"/>
        </w:rPr>
        <w:footnoteRef/>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8">
    <w:p w:rsidR="00BF3CAA" w:rsidRPr="00965112" w:rsidRDefault="00BF3CAA" w:rsidP="00513FDF">
      <w:pPr>
        <w:pStyle w:val="FootnoteText"/>
        <w:keepLines/>
        <w:rPr>
          <w:rFonts w:eastAsiaTheme="minorHAnsi" w:cstheme="minorBidi"/>
          <w:i/>
        </w:rPr>
      </w:pPr>
      <w:r>
        <w:rPr>
          <w:rStyle w:val="FootnoteReference"/>
        </w:rPr>
        <w:footnoteRef/>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9">
    <w:p w:rsidR="00BF3CAA" w:rsidRPr="00121280" w:rsidRDefault="00BF3CAA" w:rsidP="00513FDF">
      <w:pPr>
        <w:pStyle w:val="FootnoteText"/>
        <w:keepLines/>
        <w:rPr>
          <w:rFonts w:eastAsiaTheme="minorHAnsi" w:cstheme="minorBidi"/>
          <w:bCs/>
          <w:i/>
        </w:rPr>
      </w:pPr>
      <w:r>
        <w:rPr>
          <w:rStyle w:val="FootnoteReference"/>
        </w:rPr>
        <w:footnoteRef/>
      </w:r>
      <w:r w:rsidRPr="00A47C29">
        <w:t>Order No. PSC-20</w:t>
      </w:r>
      <w:r>
        <w:t>22-0116-PAA-SU</w:t>
      </w:r>
      <w:r w:rsidRPr="00A47C29">
        <w:t xml:space="preserve">, issued </w:t>
      </w:r>
      <w:r>
        <w:t>March 17, 2022, in Docket No. 20210133-SU</w:t>
      </w:r>
      <w:r w:rsidRPr="00A47C29">
        <w:t xml:space="preserve">, </w:t>
      </w:r>
      <w:r w:rsidRPr="00A47C29">
        <w:rPr>
          <w:i/>
        </w:rPr>
        <w:t xml:space="preserve">In </w:t>
      </w:r>
      <w:proofErr w:type="gramStart"/>
      <w:r w:rsidRPr="00A47C29">
        <w:rPr>
          <w:i/>
        </w:rPr>
        <w:t>re:</w:t>
      </w:r>
      <w:proofErr w:type="gramEnd"/>
      <w:r w:rsidRPr="00A47C29">
        <w:rPr>
          <w:i/>
        </w:rPr>
        <w:t xml:space="preserv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i/>
        </w:rPr>
        <w:t xml:space="preserve"> </w:t>
      </w:r>
      <w:r>
        <w:rPr>
          <w:rFonts w:eastAsiaTheme="minorHAnsi" w:cstheme="minorBidi"/>
          <w:bCs/>
        </w:rPr>
        <w:t xml:space="preserve">; Order No. PSC-2022-0120-PAA-WU, issued March 18, 2022, in Docket No. 20220095-WU, </w:t>
      </w:r>
      <w:r>
        <w:rPr>
          <w:rFonts w:eastAsiaTheme="minorHAnsi" w:cstheme="minorBidi"/>
          <w:bCs/>
          <w:i/>
        </w:rPr>
        <w:t xml:space="preserve">In </w:t>
      </w:r>
      <w:proofErr w:type="gramStart"/>
      <w:r>
        <w:rPr>
          <w:rFonts w:eastAsiaTheme="minorHAnsi" w:cstheme="minorBidi"/>
          <w:bCs/>
          <w:i/>
        </w:rPr>
        <w:t>re:</w:t>
      </w:r>
      <w:proofErr w:type="gramEnd"/>
      <w:r>
        <w:rPr>
          <w:rFonts w:eastAsiaTheme="minorHAnsi" w:cstheme="minorBidi"/>
          <w:bCs/>
          <w:i/>
        </w:rPr>
        <w:t xml:space="preserv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In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In re: Application for the transfer of water facilities in Neighborhood Utilities, Inc. and water Certificate No. 430-W to CSWR-Florida Utility Operating Company, LLC, in Duval County</w:t>
      </w:r>
      <w:r w:rsidR="007358DF">
        <w:rPr>
          <w:rFonts w:eastAsiaTheme="minorHAnsi" w:cstheme="minorBidi"/>
          <w:i/>
        </w:rPr>
        <w:t xml:space="preserve">; </w:t>
      </w:r>
      <w:r w:rsidR="007358DF" w:rsidRPr="007358DF">
        <w:rPr>
          <w:rFonts w:eastAsiaTheme="minorHAnsi" w:cstheme="minorBidi"/>
          <w:i/>
        </w:rPr>
        <w:t xml:space="preserve">Docket No. 20220149-SU, In re: Application for transfer of wastewater Certificate No. 365-S of Sebring Ridge Utilities, Inc. to CSWR-Florida Utility Operating Company, LLC, in Highlands County </w:t>
      </w:r>
      <w:r w:rsidR="007358DF" w:rsidRPr="007358DF">
        <w:rPr>
          <w:rFonts w:eastAsiaTheme="minorHAnsi" w:cstheme="minorBidi"/>
        </w:rPr>
        <w:t xml:space="preserve">(the Commission approved the transfer of this system at the July 11, 2023 </w:t>
      </w:r>
      <w:r w:rsidR="0003738A">
        <w:rPr>
          <w:rFonts w:eastAsiaTheme="minorHAnsi" w:cstheme="minorBidi"/>
        </w:rPr>
        <w:t>Commission</w:t>
      </w:r>
      <w:r w:rsidR="007358DF" w:rsidRPr="007358DF">
        <w:rPr>
          <w:rFonts w:eastAsiaTheme="minorHAnsi" w:cstheme="minorBidi"/>
        </w:rPr>
        <w:t xml:space="preserve"> Conference; an order is forthcoming).</w:t>
      </w:r>
    </w:p>
  </w:footnote>
  <w:footnote w:id="10">
    <w:p w:rsidR="00BF3CAA" w:rsidRDefault="00BF3CAA" w:rsidP="008077A6">
      <w:pPr>
        <w:pStyle w:val="FootnoteText"/>
      </w:pPr>
      <w:r>
        <w:rPr>
          <w:rStyle w:val="FootnoteReference"/>
          <w:rFonts w:eastAsiaTheme="majorEastAsia"/>
        </w:rPr>
        <w:footnoteRef/>
      </w:r>
      <w:r>
        <w:t xml:space="preserve">Order No. PSC-2021-0201-FOF-WS, issued June 4, 2021, in Docket No. 20200240-WS, </w:t>
      </w:r>
      <w:r>
        <w:rPr>
          <w:i/>
        </w:rPr>
        <w:t xml:space="preserve">In </w:t>
      </w:r>
      <w:proofErr w:type="gramStart"/>
      <w:r>
        <w:rPr>
          <w:i/>
        </w:rPr>
        <w:t>re: Proposed</w:t>
      </w:r>
      <w:proofErr w:type="gramEnd"/>
      <w:r>
        <w:rPr>
          <w:i/>
        </w:rPr>
        <w:t xml:space="preserve">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20220061-SU</w:t>
    </w:r>
    <w:bookmarkEnd w:id="14"/>
  </w:p>
  <w:p w:rsidR="00BF3CAA" w:rsidRDefault="00BF3CAA">
    <w:pPr>
      <w:pStyle w:val="Header"/>
    </w:pPr>
    <w:r>
      <w:t xml:space="preserve">Date: </w:t>
    </w:r>
    <w:fldSimple w:instr=" REF FilingDate ">
      <w:r>
        <w:t>July 20,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Schedule No. 2</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Schedule No. 3</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Schedule No. 4</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 xml:space="preserve">Issue </w:t>
    </w:r>
    <w:fldSimple w:instr=" Seq Issue \c \* Arabic ">
      <w:r w:rsidR="00F153CD">
        <w:rPr>
          <w:noProof/>
        </w:rPr>
        <w:t>5</w:t>
      </w:r>
    </w:fldSimple>
  </w:p>
  <w:p w:rsidR="00BF3CAA" w:rsidRDefault="00BF3CAA">
    <w:pPr>
      <w:pStyle w:val="Header"/>
    </w:pPr>
    <w:r>
      <w:t xml:space="preserve">Date: </w:t>
    </w:r>
    <w:fldSimple w:instr=" REF FilingDate ">
      <w:r>
        <w:t>July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Attachment A</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1 of 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Attachment A</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2 of 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Attachment A</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3 of 5</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Attachment A</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4 of 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Attachment A</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5 of 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AA" w:rsidRDefault="00BF3CA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20220061-SU</w:t>
    </w:r>
    <w:r>
      <w:fldChar w:fldCharType="end"/>
    </w:r>
    <w:r>
      <w:tab/>
      <w:t>Schedule No. 1</w:t>
    </w:r>
  </w:p>
  <w:p w:rsidR="00BF3CAA" w:rsidRDefault="00BF3CAA" w:rsidP="00290D83">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642EB"/>
    <w:rsid w:val="000043D5"/>
    <w:rsid w:val="00006170"/>
    <w:rsid w:val="00010E37"/>
    <w:rsid w:val="00015E68"/>
    <w:rsid w:val="000172DA"/>
    <w:rsid w:val="00022337"/>
    <w:rsid w:val="00023A0E"/>
    <w:rsid w:val="000247C5"/>
    <w:rsid w:val="000277C2"/>
    <w:rsid w:val="00035B48"/>
    <w:rsid w:val="00036CE2"/>
    <w:rsid w:val="0003738A"/>
    <w:rsid w:val="000437FE"/>
    <w:rsid w:val="000513BE"/>
    <w:rsid w:val="00051573"/>
    <w:rsid w:val="0005451B"/>
    <w:rsid w:val="00065A06"/>
    <w:rsid w:val="000666F3"/>
    <w:rsid w:val="00070DCB"/>
    <w:rsid w:val="00072CCA"/>
    <w:rsid w:val="00073120"/>
    <w:rsid w:val="000764D0"/>
    <w:rsid w:val="000828D3"/>
    <w:rsid w:val="0008624C"/>
    <w:rsid w:val="000A2B57"/>
    <w:rsid w:val="000A418B"/>
    <w:rsid w:val="000B0ACE"/>
    <w:rsid w:val="000C4431"/>
    <w:rsid w:val="000C6607"/>
    <w:rsid w:val="000D1C06"/>
    <w:rsid w:val="000D3043"/>
    <w:rsid w:val="000D4319"/>
    <w:rsid w:val="000E24FA"/>
    <w:rsid w:val="000E338A"/>
    <w:rsid w:val="000E4392"/>
    <w:rsid w:val="000F2937"/>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19DB"/>
    <w:rsid w:val="001456CC"/>
    <w:rsid w:val="00146B5D"/>
    <w:rsid w:val="00150ECE"/>
    <w:rsid w:val="0015506E"/>
    <w:rsid w:val="00162BC8"/>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06749"/>
    <w:rsid w:val="00212B17"/>
    <w:rsid w:val="002163B6"/>
    <w:rsid w:val="00217215"/>
    <w:rsid w:val="00220732"/>
    <w:rsid w:val="0022121F"/>
    <w:rsid w:val="00221D32"/>
    <w:rsid w:val="00222AC1"/>
    <w:rsid w:val="00225C3F"/>
    <w:rsid w:val="00253DBC"/>
    <w:rsid w:val="00263D44"/>
    <w:rsid w:val="002702AD"/>
    <w:rsid w:val="00281EB4"/>
    <w:rsid w:val="00290D83"/>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A6692"/>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441F"/>
    <w:rsid w:val="004426B8"/>
    <w:rsid w:val="00444432"/>
    <w:rsid w:val="00447D5C"/>
    <w:rsid w:val="00450202"/>
    <w:rsid w:val="004502B2"/>
    <w:rsid w:val="00455499"/>
    <w:rsid w:val="004649A7"/>
    <w:rsid w:val="00471860"/>
    <w:rsid w:val="00477026"/>
    <w:rsid w:val="00477730"/>
    <w:rsid w:val="004A744D"/>
    <w:rsid w:val="004B4A3E"/>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3FDF"/>
    <w:rsid w:val="00516496"/>
    <w:rsid w:val="00522E7D"/>
    <w:rsid w:val="005234D7"/>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60E"/>
    <w:rsid w:val="005D0F74"/>
    <w:rsid w:val="005D2E7D"/>
    <w:rsid w:val="005D4A8F"/>
    <w:rsid w:val="005D561B"/>
    <w:rsid w:val="005D578F"/>
    <w:rsid w:val="005D5ECF"/>
    <w:rsid w:val="005F468D"/>
    <w:rsid w:val="005F69A3"/>
    <w:rsid w:val="00604CC7"/>
    <w:rsid w:val="00604ECB"/>
    <w:rsid w:val="00606480"/>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4E2C"/>
    <w:rsid w:val="00705B04"/>
    <w:rsid w:val="0071040E"/>
    <w:rsid w:val="00717EE9"/>
    <w:rsid w:val="00724992"/>
    <w:rsid w:val="00724F64"/>
    <w:rsid w:val="00727F90"/>
    <w:rsid w:val="00734820"/>
    <w:rsid w:val="007349DC"/>
    <w:rsid w:val="007358DF"/>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5F1"/>
    <w:rsid w:val="007C08EA"/>
    <w:rsid w:val="007C3D38"/>
    <w:rsid w:val="007C7613"/>
    <w:rsid w:val="007D0F35"/>
    <w:rsid w:val="007D4546"/>
    <w:rsid w:val="007D4FEB"/>
    <w:rsid w:val="007D6146"/>
    <w:rsid w:val="007E0CE7"/>
    <w:rsid w:val="007F1193"/>
    <w:rsid w:val="007F417F"/>
    <w:rsid w:val="007F7644"/>
    <w:rsid w:val="008042BD"/>
    <w:rsid w:val="008050B3"/>
    <w:rsid w:val="008077A6"/>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44F8"/>
    <w:rsid w:val="008B5C68"/>
    <w:rsid w:val="008B62AE"/>
    <w:rsid w:val="008C04B5"/>
    <w:rsid w:val="008C14FA"/>
    <w:rsid w:val="008C44FF"/>
    <w:rsid w:val="008C7B0B"/>
    <w:rsid w:val="008D4057"/>
    <w:rsid w:val="008E1F19"/>
    <w:rsid w:val="008F218D"/>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1780"/>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0484"/>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18A"/>
    <w:rsid w:val="00A92439"/>
    <w:rsid w:val="00A92FB1"/>
    <w:rsid w:val="00A95980"/>
    <w:rsid w:val="00A95A0C"/>
    <w:rsid w:val="00AA2765"/>
    <w:rsid w:val="00AA38E1"/>
    <w:rsid w:val="00AA77B5"/>
    <w:rsid w:val="00AB2969"/>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52F2"/>
    <w:rsid w:val="00BB6591"/>
    <w:rsid w:val="00BB6E4C"/>
    <w:rsid w:val="00BB7468"/>
    <w:rsid w:val="00BC0514"/>
    <w:rsid w:val="00BC188A"/>
    <w:rsid w:val="00BC402E"/>
    <w:rsid w:val="00BC70C6"/>
    <w:rsid w:val="00BD0F48"/>
    <w:rsid w:val="00BD14E5"/>
    <w:rsid w:val="00BE0E50"/>
    <w:rsid w:val="00BE6DDB"/>
    <w:rsid w:val="00BF03E0"/>
    <w:rsid w:val="00BF3CAA"/>
    <w:rsid w:val="00BF5010"/>
    <w:rsid w:val="00C03009"/>
    <w:rsid w:val="00C03D5F"/>
    <w:rsid w:val="00C13791"/>
    <w:rsid w:val="00C210BD"/>
    <w:rsid w:val="00C2575A"/>
    <w:rsid w:val="00C31BB3"/>
    <w:rsid w:val="00C36977"/>
    <w:rsid w:val="00C46628"/>
    <w:rsid w:val="00C467DA"/>
    <w:rsid w:val="00C47288"/>
    <w:rsid w:val="00C477D9"/>
    <w:rsid w:val="00C5665C"/>
    <w:rsid w:val="00C57869"/>
    <w:rsid w:val="00C60BA3"/>
    <w:rsid w:val="00C623F7"/>
    <w:rsid w:val="00C62A81"/>
    <w:rsid w:val="00C67CD7"/>
    <w:rsid w:val="00C71E00"/>
    <w:rsid w:val="00C75BC5"/>
    <w:rsid w:val="00C76EDE"/>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6902"/>
    <w:rsid w:val="00D479AE"/>
    <w:rsid w:val="00D50FCD"/>
    <w:rsid w:val="00D533E3"/>
    <w:rsid w:val="00D53B29"/>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3C8E"/>
    <w:rsid w:val="00DC59E6"/>
    <w:rsid w:val="00DD150B"/>
    <w:rsid w:val="00DD3356"/>
    <w:rsid w:val="00DD5025"/>
    <w:rsid w:val="00DD5464"/>
    <w:rsid w:val="00DD6F85"/>
    <w:rsid w:val="00DE254E"/>
    <w:rsid w:val="00DE32C0"/>
    <w:rsid w:val="00DE76A7"/>
    <w:rsid w:val="00DF1510"/>
    <w:rsid w:val="00E02F1F"/>
    <w:rsid w:val="00E04F09"/>
    <w:rsid w:val="00E05454"/>
    <w:rsid w:val="00E06484"/>
    <w:rsid w:val="00E06B24"/>
    <w:rsid w:val="00E20A7D"/>
    <w:rsid w:val="00E23FE4"/>
    <w:rsid w:val="00E275D8"/>
    <w:rsid w:val="00E27CB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290D"/>
    <w:rsid w:val="00E838B0"/>
    <w:rsid w:val="00E86A7C"/>
    <w:rsid w:val="00E878E1"/>
    <w:rsid w:val="00E87F2C"/>
    <w:rsid w:val="00E95278"/>
    <w:rsid w:val="00E96A42"/>
    <w:rsid w:val="00EA2273"/>
    <w:rsid w:val="00EA7C3C"/>
    <w:rsid w:val="00EB2DB3"/>
    <w:rsid w:val="00EC0B26"/>
    <w:rsid w:val="00EC3FBB"/>
    <w:rsid w:val="00EC6B7A"/>
    <w:rsid w:val="00ED3A87"/>
    <w:rsid w:val="00ED5B67"/>
    <w:rsid w:val="00EE1A5C"/>
    <w:rsid w:val="00EE4583"/>
    <w:rsid w:val="00EE5F5A"/>
    <w:rsid w:val="00EF264C"/>
    <w:rsid w:val="00EF3FEE"/>
    <w:rsid w:val="00EF6B41"/>
    <w:rsid w:val="00F04B59"/>
    <w:rsid w:val="00F07B69"/>
    <w:rsid w:val="00F11741"/>
    <w:rsid w:val="00F117B0"/>
    <w:rsid w:val="00F12B1C"/>
    <w:rsid w:val="00F13CF8"/>
    <w:rsid w:val="00F153CD"/>
    <w:rsid w:val="00F15855"/>
    <w:rsid w:val="00F200B2"/>
    <w:rsid w:val="00F227DC"/>
    <w:rsid w:val="00F30701"/>
    <w:rsid w:val="00F32978"/>
    <w:rsid w:val="00F45CB2"/>
    <w:rsid w:val="00F511F3"/>
    <w:rsid w:val="00F544C0"/>
    <w:rsid w:val="00F55332"/>
    <w:rsid w:val="00F6156E"/>
    <w:rsid w:val="00F642EB"/>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49D4"/>
    <w:rsid w:val="00FC5469"/>
    <w:rsid w:val="00FC6D7D"/>
    <w:rsid w:val="00FD16B0"/>
    <w:rsid w:val="00FD4FED"/>
    <w:rsid w:val="00FD6E4A"/>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1F6E324E-EB16-4D49-A0DA-09B6D2A2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7C05F1"/>
    <w:rPr>
      <w:vertAlign w:val="superscript"/>
    </w:rPr>
  </w:style>
  <w:style w:type="character" w:customStyle="1" w:styleId="FootnoteTextChar">
    <w:name w:val="Footnote Text Char"/>
    <w:basedOn w:val="DefaultParagraphFont"/>
    <w:link w:val="FootnoteText"/>
    <w:rsid w:val="007C05F1"/>
  </w:style>
  <w:style w:type="table" w:customStyle="1" w:styleId="TableGrid12">
    <w:name w:val="Table Grid12"/>
    <w:basedOn w:val="TableNormal"/>
    <w:next w:val="TableGrid"/>
    <w:uiPriority w:val="59"/>
    <w:rsid w:val="004B4A3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749"/>
    <w:pPr>
      <w:ind w:left="720"/>
      <w:contextualSpacing/>
    </w:pPr>
  </w:style>
  <w:style w:type="character" w:customStyle="1" w:styleId="HeaderChar">
    <w:name w:val="Header Char"/>
    <w:basedOn w:val="DefaultParagraphFont"/>
    <w:link w:val="Header"/>
    <w:uiPriority w:val="99"/>
    <w:rsid w:val="00FC49D4"/>
    <w:rPr>
      <w:sz w:val="24"/>
      <w:szCs w:val="24"/>
    </w:rPr>
  </w:style>
  <w:style w:type="table" w:customStyle="1" w:styleId="TableGrid121">
    <w:name w:val="Table Grid121"/>
    <w:basedOn w:val="TableNormal"/>
    <w:uiPriority w:val="59"/>
    <w:rsid w:val="008077A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11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5.JP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JPG"/><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6.JP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4.JP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23</Pages>
  <Words>4680</Words>
  <Characters>27284</Characters>
  <Application>Microsoft Office Word</Application>
  <DocSecurity>0</DocSecurity>
  <Lines>802</Lines>
  <Paragraphs>437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Patti Zellner</cp:lastModifiedBy>
  <cp:revision>2</cp:revision>
  <cp:lastPrinted>2004-01-27T20:32:00Z</cp:lastPrinted>
  <dcterms:created xsi:type="dcterms:W3CDTF">2023-07-20T12:11:00Z</dcterms:created>
  <dcterms:modified xsi:type="dcterms:W3CDTF">2023-07-20T12:11:00Z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20220061-SU</vt:lpwstr>
  </property>
  <property fmtid="{D5CDD505-2E9C-101B-9397-08002B2CF9AE}" pid="3" name="MasterDocument">
    <vt:bool>false</vt:bool>
  </property>
</Properties>
</file>