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E217C" w:rsidP="00EE217C">
      <w:pPr>
        <w:pStyle w:val="OrderHeading"/>
      </w:pPr>
      <w:r>
        <w:t>BEFORE THE FLORIDA PUBLIC SERVICE COMMISSION</w:t>
      </w:r>
    </w:p>
    <w:p w:rsidR="00EE217C" w:rsidRDefault="00EE217C" w:rsidP="00EE217C">
      <w:pPr>
        <w:pStyle w:val="OrderBody"/>
      </w:pPr>
    </w:p>
    <w:p w:rsidR="00EE217C" w:rsidRDefault="00EE217C" w:rsidP="00EE217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E217C" w:rsidRPr="00C63FCF" w:rsidTr="00C63FCF">
        <w:trPr>
          <w:trHeight w:val="828"/>
        </w:trPr>
        <w:tc>
          <w:tcPr>
            <w:tcW w:w="4788" w:type="dxa"/>
            <w:tcBorders>
              <w:bottom w:val="single" w:sz="8" w:space="0" w:color="auto"/>
              <w:right w:val="double" w:sz="6" w:space="0" w:color="auto"/>
            </w:tcBorders>
            <w:shd w:val="clear" w:color="auto" w:fill="auto"/>
          </w:tcPr>
          <w:p w:rsidR="00EE217C" w:rsidRDefault="00EE217C" w:rsidP="00C63FCF">
            <w:pPr>
              <w:pStyle w:val="OrderBody"/>
              <w:tabs>
                <w:tab w:val="center" w:pos="4320"/>
                <w:tab w:val="right" w:pos="8640"/>
              </w:tabs>
              <w:jc w:val="left"/>
            </w:pPr>
            <w:r>
              <w:t xml:space="preserve">In re: </w:t>
            </w:r>
            <w:bookmarkStart w:id="0" w:name="SSInRe"/>
            <w:bookmarkEnd w:id="0"/>
            <w:r>
              <w:t>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EE217C" w:rsidRDefault="00EE217C" w:rsidP="00EE217C">
            <w:pPr>
              <w:pStyle w:val="OrderBody"/>
            </w:pPr>
            <w:r>
              <w:t xml:space="preserve">DOCKET NO. </w:t>
            </w:r>
            <w:bookmarkStart w:id="1" w:name="SSDocketNo"/>
            <w:bookmarkEnd w:id="1"/>
            <w:r>
              <w:t>20230090-EI</w:t>
            </w:r>
          </w:p>
          <w:p w:rsidR="00EE217C" w:rsidRDefault="00EE217C" w:rsidP="00C63FCF">
            <w:pPr>
              <w:pStyle w:val="OrderBody"/>
              <w:tabs>
                <w:tab w:val="center" w:pos="4320"/>
                <w:tab w:val="right" w:pos="8640"/>
              </w:tabs>
              <w:jc w:val="left"/>
            </w:pPr>
            <w:r>
              <w:t xml:space="preserve">ORDER NO. </w:t>
            </w:r>
            <w:bookmarkStart w:id="2" w:name="OrderNo0303"/>
            <w:r w:rsidR="00764645">
              <w:t>PSC-2023-0303-PCO-EI</w:t>
            </w:r>
            <w:bookmarkEnd w:id="2"/>
          </w:p>
          <w:p w:rsidR="00EE217C" w:rsidRDefault="00EE217C" w:rsidP="00C63FCF">
            <w:pPr>
              <w:pStyle w:val="OrderBody"/>
              <w:tabs>
                <w:tab w:val="center" w:pos="4320"/>
                <w:tab w:val="right" w:pos="8640"/>
              </w:tabs>
              <w:jc w:val="left"/>
            </w:pPr>
            <w:r>
              <w:t xml:space="preserve">ISSUED: </w:t>
            </w:r>
            <w:r w:rsidR="00764645">
              <w:t>October 12, 2023</w:t>
            </w:r>
          </w:p>
        </w:tc>
      </w:tr>
    </w:tbl>
    <w:p w:rsidR="00EE217C" w:rsidRDefault="00EE217C" w:rsidP="00EE217C"/>
    <w:p w:rsidR="00EE217C" w:rsidRDefault="00EE217C" w:rsidP="00EE217C"/>
    <w:p w:rsidR="00EE217C" w:rsidRDefault="00EE217C" w:rsidP="00B67A43">
      <w:pPr>
        <w:ind w:firstLine="720"/>
        <w:jc w:val="both"/>
      </w:pPr>
      <w:bookmarkStart w:id="3" w:name="Commissioners"/>
      <w:bookmarkEnd w:id="3"/>
      <w:r>
        <w:t>The following Commissioners participated in the disposition of this matter:</w:t>
      </w:r>
    </w:p>
    <w:p w:rsidR="00EE217C" w:rsidRDefault="00EE217C" w:rsidP="00B67A43"/>
    <w:p w:rsidR="00EE217C" w:rsidRDefault="00EE217C" w:rsidP="00477699">
      <w:pPr>
        <w:jc w:val="center"/>
      </w:pPr>
      <w:r>
        <w:t>ANDREW GILES FAY, Chairman</w:t>
      </w:r>
    </w:p>
    <w:p w:rsidR="00EE217C" w:rsidRDefault="00EE217C" w:rsidP="00B67A43">
      <w:pPr>
        <w:jc w:val="center"/>
      </w:pPr>
      <w:r>
        <w:t>ART GRAHAM</w:t>
      </w:r>
    </w:p>
    <w:p w:rsidR="00EE217C" w:rsidRDefault="00EE217C" w:rsidP="00B67A43">
      <w:pPr>
        <w:jc w:val="center"/>
      </w:pPr>
      <w:r>
        <w:t>GARY F. CLARK</w:t>
      </w:r>
    </w:p>
    <w:p w:rsidR="00EE217C" w:rsidRDefault="00EE217C" w:rsidP="00B67A43">
      <w:pPr>
        <w:jc w:val="center"/>
      </w:pPr>
      <w:r>
        <w:t>MIKE LA ROSA</w:t>
      </w:r>
    </w:p>
    <w:p w:rsidR="00EE217C" w:rsidRPr="005F2751" w:rsidRDefault="00EE217C" w:rsidP="00B67A43">
      <w:pPr>
        <w:jc w:val="center"/>
      </w:pPr>
      <w:r w:rsidRPr="005F2751">
        <w:rPr>
          <w:lang w:val="en"/>
        </w:rPr>
        <w:t>GABRIELLA PASSIDOMO</w:t>
      </w:r>
    </w:p>
    <w:p w:rsidR="00EE217C" w:rsidRDefault="00EE217C" w:rsidP="00B67A43"/>
    <w:p w:rsidR="00CB5276" w:rsidRDefault="00CB5276">
      <w:pPr>
        <w:pStyle w:val="OrderBody"/>
      </w:pPr>
    </w:p>
    <w:p w:rsidR="00EE217C" w:rsidRDefault="00EE217C" w:rsidP="00EE217C">
      <w:pPr>
        <w:pStyle w:val="CenterUnderline"/>
      </w:pPr>
      <w:r>
        <w:t>ORDER</w:t>
      </w:r>
      <w:bookmarkStart w:id="4" w:name="OrderTitle"/>
      <w:r>
        <w:t xml:space="preserve"> </w:t>
      </w:r>
      <w:r w:rsidR="00A8712E">
        <w:t>SUSPENDING TARIFF</w:t>
      </w:r>
      <w:r>
        <w:t xml:space="preserve"> </w:t>
      </w:r>
      <w:bookmarkEnd w:id="4"/>
    </w:p>
    <w:p w:rsidR="00EE217C" w:rsidRDefault="00EE217C" w:rsidP="00EE217C">
      <w:pPr>
        <w:pStyle w:val="CenterUnderline"/>
      </w:pPr>
    </w:p>
    <w:p w:rsidR="00EE217C" w:rsidRDefault="00EE217C" w:rsidP="00EE217C">
      <w:pPr>
        <w:pStyle w:val="CenterUnderline"/>
      </w:pPr>
    </w:p>
    <w:p w:rsidR="00EE217C" w:rsidRDefault="00EE217C" w:rsidP="00EE217C">
      <w:pPr>
        <w:pStyle w:val="OrderBody"/>
      </w:pPr>
      <w:r>
        <w:t>BY THE COMMISSION:</w:t>
      </w:r>
    </w:p>
    <w:p w:rsidR="00EE217C" w:rsidRDefault="00EE217C" w:rsidP="00EE217C">
      <w:pPr>
        <w:pStyle w:val="OrderBody"/>
      </w:pPr>
    </w:p>
    <w:p w:rsidR="00EE217C" w:rsidRPr="00993032" w:rsidRDefault="00EE217C" w:rsidP="00EE217C">
      <w:pPr>
        <w:keepNext/>
        <w:spacing w:after="240"/>
        <w:jc w:val="center"/>
        <w:outlineLvl w:val="0"/>
        <w:rPr>
          <w:bCs/>
          <w:kern w:val="32"/>
          <w:szCs w:val="32"/>
          <w:u w:val="single"/>
        </w:rPr>
      </w:pPr>
      <w:bookmarkStart w:id="5" w:name="OrderText"/>
      <w:bookmarkEnd w:id="5"/>
      <w:r w:rsidRPr="00993032">
        <w:rPr>
          <w:bCs/>
          <w:kern w:val="32"/>
          <w:szCs w:val="32"/>
          <w:u w:val="single"/>
        </w:rPr>
        <w:t>Background</w:t>
      </w:r>
    </w:p>
    <w:p w:rsidR="00CB5276" w:rsidRDefault="00104C70" w:rsidP="00EE217C">
      <w:pPr>
        <w:pStyle w:val="OrderBody"/>
      </w:pPr>
      <w:r>
        <w:tab/>
      </w:r>
      <w:r w:rsidR="00EE217C" w:rsidRPr="00EE217C">
        <w:t xml:space="preserve">On August 16, 2023, Tampa Electric Company (TECO or Company) filed a petition to implement the 2024 Generation Base Rate Adjustment (GBRA) provisions pursuant to its 2021 rate case Stipulation and Settlement Agreement (settlement agreement). </w:t>
      </w:r>
      <w:r w:rsidR="006F2323">
        <w:t xml:space="preserve">We </w:t>
      </w:r>
      <w:r w:rsidR="00EE217C" w:rsidRPr="00EE217C">
        <w:t>previously approved the settlement agreement in Order No. PSC-2021-0423-S-EI (</w:t>
      </w:r>
      <w:r w:rsidR="00E53745">
        <w:t xml:space="preserve">2021 </w:t>
      </w:r>
      <w:r w:rsidR="00EE217C" w:rsidRPr="00EE217C">
        <w:t>settlement order).</w:t>
      </w:r>
      <w:r w:rsidR="00EE217C" w:rsidRPr="00EE217C">
        <w:rPr>
          <w:vertAlign w:val="superscript"/>
        </w:rPr>
        <w:footnoteReference w:id="1"/>
      </w:r>
      <w:r w:rsidR="00EE217C" w:rsidRPr="00EE217C">
        <w:t xml:space="preserve"> The GBRA provisions of the settlement order and agreement provide for an increase in base rates to reflect the 2024 GBRA amount of $21,376,909, effective with the first billing cycle of January 2024.</w:t>
      </w:r>
      <w:r w:rsidR="00EE217C" w:rsidRPr="00EE217C">
        <w:rPr>
          <w:vertAlign w:val="superscript"/>
        </w:rPr>
        <w:footnoteReference w:id="2"/>
      </w:r>
      <w:r w:rsidR="00EE217C" w:rsidRPr="00EE217C">
        <w:t xml:space="preserve"> In this petition, TECO proposed to increase the GBRA amount to $21,689,323 to reflect the updated 10.20 percent mid-point return on equity (ROE) allowed by a trigger provision of the 2021 settlement agreement and approved by </w:t>
      </w:r>
      <w:r w:rsidR="006F2323">
        <w:t>us</w:t>
      </w:r>
      <w:r w:rsidR="00EE217C" w:rsidRPr="00EE217C">
        <w:t xml:space="preserve"> on August 16, 2022, in Docket No. 20220122-EI.</w:t>
      </w:r>
      <w:r w:rsidR="00EE217C" w:rsidRPr="00EE217C">
        <w:rPr>
          <w:vertAlign w:val="superscript"/>
        </w:rPr>
        <w:footnoteReference w:id="3"/>
      </w:r>
      <w:r w:rsidR="00EE217C" w:rsidRPr="00EE217C">
        <w:t xml:space="preserve"> In Order No. PSC-2022-0434-TRF-EI, </w:t>
      </w:r>
      <w:r w:rsidR="006F2323">
        <w:t>we</w:t>
      </w:r>
      <w:r w:rsidR="00EE217C" w:rsidRPr="00EE217C">
        <w:t xml:space="preserve"> approved TECO’s 2023 GBRA provision of the 2021 settlement agreement.</w:t>
      </w:r>
      <w:r w:rsidR="00EE217C" w:rsidRPr="00EE217C">
        <w:rPr>
          <w:vertAlign w:val="superscript"/>
        </w:rPr>
        <w:footnoteReference w:id="4"/>
      </w:r>
      <w:r w:rsidR="00EE217C" w:rsidRPr="00EE217C">
        <w:t xml:space="preserve"> During the review process, </w:t>
      </w:r>
      <w:r w:rsidR="006F2323">
        <w:t xml:space="preserve">Commission </w:t>
      </w:r>
      <w:r w:rsidR="00EE217C" w:rsidRPr="00EE217C">
        <w:t xml:space="preserve">staff issued a data request to TECO on September 7, 2023, for which </w:t>
      </w:r>
      <w:r w:rsidR="00E53745">
        <w:t>responses were received on September 14, 2023</w:t>
      </w:r>
      <w:r w:rsidR="00EE217C" w:rsidRPr="00EE217C">
        <w:t>.</w:t>
      </w:r>
      <w:r w:rsidR="00BC6CC1">
        <w:t xml:space="preserve"> On October 2, 2023, Commission staff had an informal meeting with TECO and the Office of Public </w:t>
      </w:r>
      <w:r w:rsidR="00BC6CC1">
        <w:lastRenderedPageBreak/>
        <w:t>Counsel to discuss TECO’s filing in the petition.</w:t>
      </w:r>
      <w:r w:rsidR="00EE217C" w:rsidRPr="00EE217C">
        <w:t xml:space="preserve"> This is </w:t>
      </w:r>
      <w:r w:rsidR="006F2323">
        <w:t>our order</w:t>
      </w:r>
      <w:r w:rsidR="00EE217C" w:rsidRPr="00EE217C">
        <w:t xml:space="preserve"> to suspend the </w:t>
      </w:r>
      <w:r w:rsidR="006F2323">
        <w:t>proposed tariffs. We have</w:t>
      </w:r>
      <w:r w:rsidR="00EE217C" w:rsidRPr="00EE217C">
        <w:t xml:space="preserve"> jurisdiction over this matter pursuant to Sections 366.04, 366.05, and 366.06, Florida Statutes (F.S.).</w:t>
      </w:r>
    </w:p>
    <w:p w:rsidR="006F2323" w:rsidRDefault="006F2323" w:rsidP="00EE217C">
      <w:pPr>
        <w:pStyle w:val="OrderBody"/>
      </w:pPr>
    </w:p>
    <w:p w:rsidR="00EE217C" w:rsidRPr="00993032" w:rsidRDefault="00993032" w:rsidP="00EE217C">
      <w:pPr>
        <w:keepNext/>
        <w:spacing w:after="240"/>
        <w:jc w:val="center"/>
        <w:outlineLvl w:val="0"/>
        <w:rPr>
          <w:bCs/>
          <w:kern w:val="32"/>
          <w:szCs w:val="32"/>
          <w:u w:val="single"/>
        </w:rPr>
      </w:pPr>
      <w:bookmarkStart w:id="6" w:name="DiscussionOfIssues"/>
      <w:r>
        <w:rPr>
          <w:bCs/>
          <w:kern w:val="32"/>
          <w:szCs w:val="32"/>
          <w:u w:val="single"/>
        </w:rPr>
        <w:t>Decision</w:t>
      </w:r>
    </w:p>
    <w:bookmarkEnd w:id="6"/>
    <w:p w:rsidR="00EE217C" w:rsidRPr="00EE217C" w:rsidRDefault="004158DC" w:rsidP="004158DC">
      <w:pPr>
        <w:spacing w:after="240"/>
        <w:ind w:firstLine="720"/>
        <w:jc w:val="both"/>
      </w:pPr>
      <w:r>
        <w:t>We find</w:t>
      </w:r>
      <w:r w:rsidR="00EE217C" w:rsidRPr="00EE217C">
        <w:t xml:space="preserve"> that TECO's revised tariffs to implement the 2024 GBRA increase effective January 2024 </w:t>
      </w:r>
      <w:r>
        <w:t xml:space="preserve">shall </w:t>
      </w:r>
      <w:r w:rsidR="00EE217C" w:rsidRPr="00EE217C">
        <w:t>be suspended to allow</w:t>
      </w:r>
      <w:r>
        <w:t xml:space="preserve"> Commission</w:t>
      </w:r>
      <w:r w:rsidR="00EE217C" w:rsidRPr="00EE217C">
        <w:t xml:space="preserve"> staff sufficient time to review the petition and gather all pertinent information in order to present </w:t>
      </w:r>
      <w:r>
        <w:t>us</w:t>
      </w:r>
      <w:r w:rsidR="00EE217C" w:rsidRPr="00EE217C">
        <w:t xml:space="preserve"> with an informed recommendation on the proposed tariff modifications.</w:t>
      </w:r>
    </w:p>
    <w:p w:rsidR="00EE217C" w:rsidRDefault="00104C70" w:rsidP="00EE217C">
      <w:pPr>
        <w:pStyle w:val="OrderBody"/>
      </w:pPr>
      <w:r>
        <w:tab/>
      </w:r>
      <w:r w:rsidR="00EE217C" w:rsidRPr="00EE217C">
        <w:t>Pursua</w:t>
      </w:r>
      <w:r w:rsidR="004158DC">
        <w:t>nt to Section 366.06(3), F.S., we</w:t>
      </w:r>
      <w:r w:rsidR="00EE217C" w:rsidRPr="00EE217C">
        <w:t xml:space="preserve"> may withhold consent to the operation of all or any portion of the new rate schedules, delivering to the utility requesting such a change a reason or written statement of a good cause for doing so within 60 days. </w:t>
      </w:r>
      <w:r w:rsidR="004158DC">
        <w:t>We find</w:t>
      </w:r>
      <w:r w:rsidR="00EE217C" w:rsidRPr="00EE217C">
        <w:t xml:space="preserve"> that the reason stated above is a good cause consistent with the requirement of Section 366.06(3), F.S.</w:t>
      </w:r>
    </w:p>
    <w:p w:rsidR="00EE217C" w:rsidRDefault="00EE217C" w:rsidP="00EE217C">
      <w:pPr>
        <w:pStyle w:val="OrderBody"/>
      </w:pPr>
    </w:p>
    <w:p w:rsidR="00EE217C" w:rsidRDefault="00EE217C" w:rsidP="00EE217C">
      <w:pPr>
        <w:pStyle w:val="OrderBody"/>
      </w:pPr>
      <w:r>
        <w:tab/>
        <w:t>Based on the foregoing, it is</w:t>
      </w:r>
    </w:p>
    <w:p w:rsidR="00EE217C" w:rsidRDefault="00EE217C" w:rsidP="00EE217C">
      <w:pPr>
        <w:pStyle w:val="OrderBody"/>
      </w:pPr>
    </w:p>
    <w:p w:rsidR="00EE217C" w:rsidRDefault="00EE217C" w:rsidP="00EE217C">
      <w:pPr>
        <w:pStyle w:val="OrderBody"/>
      </w:pPr>
      <w:r>
        <w:tab/>
        <w:t>ORDERED by the Florida Public Service Commission that</w:t>
      </w:r>
      <w:r w:rsidR="00BA2936">
        <w:t xml:space="preserve"> </w:t>
      </w:r>
      <w:r w:rsidR="00CA7E9E">
        <w:t>Tampa Electric Company’s revised tariffs to implement the 2024 Generation Base Rate Adjustment increase effective January 2024 shall be suspended. It is further</w:t>
      </w:r>
    </w:p>
    <w:p w:rsidR="00EE217C" w:rsidRDefault="00EE217C" w:rsidP="00EE217C">
      <w:pPr>
        <w:pStyle w:val="OrderBody"/>
      </w:pPr>
    </w:p>
    <w:p w:rsidR="00EE217C" w:rsidRDefault="00EE217C" w:rsidP="00CA7E9E">
      <w:pPr>
        <w:jc w:val="both"/>
      </w:pPr>
      <w:r>
        <w:tab/>
        <w:t xml:space="preserve">ORDERED that </w:t>
      </w:r>
      <w:r w:rsidR="00CA7E9E">
        <w:t>this docket shall remain open pending our decision on the proposed tariff modifications.</w:t>
      </w:r>
    </w:p>
    <w:p w:rsidR="00EE217C" w:rsidRDefault="00EE217C" w:rsidP="00EE217C"/>
    <w:p w:rsidR="00EE217C" w:rsidRDefault="00EE217C" w:rsidP="00EE217C">
      <w:pPr>
        <w:keepNext/>
        <w:keepLines/>
        <w:jc w:val="both"/>
      </w:pPr>
      <w:r>
        <w:lastRenderedPageBreak/>
        <w:tab/>
        <w:t xml:space="preserve">By ORDER of the Florida Public Service Commission this </w:t>
      </w:r>
      <w:bookmarkStart w:id="7" w:name="replaceDate"/>
      <w:bookmarkEnd w:id="7"/>
      <w:r w:rsidR="00764645">
        <w:rPr>
          <w:u w:val="single"/>
        </w:rPr>
        <w:t>12th</w:t>
      </w:r>
      <w:r w:rsidR="00764645">
        <w:t xml:space="preserve"> day of </w:t>
      </w:r>
      <w:r w:rsidR="00764645">
        <w:rPr>
          <w:u w:val="single"/>
        </w:rPr>
        <w:t>October</w:t>
      </w:r>
      <w:r w:rsidR="00764645">
        <w:t xml:space="preserve">, </w:t>
      </w:r>
      <w:r w:rsidR="00764645">
        <w:rPr>
          <w:u w:val="single"/>
        </w:rPr>
        <w:t>2023</w:t>
      </w:r>
      <w:r w:rsidR="00764645">
        <w:t>.</w:t>
      </w:r>
    </w:p>
    <w:p w:rsidR="00764645" w:rsidRPr="00764645" w:rsidRDefault="00764645" w:rsidP="00EE217C">
      <w:pPr>
        <w:keepNext/>
        <w:keepLines/>
        <w:jc w:val="both"/>
      </w:pPr>
    </w:p>
    <w:p w:rsidR="00EE217C" w:rsidRDefault="00EE217C" w:rsidP="00EE217C">
      <w:pPr>
        <w:keepNext/>
        <w:keepLines/>
        <w:jc w:val="both"/>
      </w:pPr>
    </w:p>
    <w:p w:rsidR="00EE217C" w:rsidRDefault="00EE217C" w:rsidP="00EE217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E217C" w:rsidTr="00EE217C">
        <w:tc>
          <w:tcPr>
            <w:tcW w:w="720" w:type="dxa"/>
            <w:shd w:val="clear" w:color="auto" w:fill="auto"/>
          </w:tcPr>
          <w:p w:rsidR="00EE217C" w:rsidRDefault="00EE217C" w:rsidP="00EE217C">
            <w:pPr>
              <w:keepNext/>
              <w:keepLines/>
              <w:jc w:val="both"/>
            </w:pPr>
            <w:bookmarkStart w:id="8" w:name="bkmrkSignature" w:colFirst="0" w:colLast="0"/>
          </w:p>
        </w:tc>
        <w:tc>
          <w:tcPr>
            <w:tcW w:w="4320" w:type="dxa"/>
            <w:tcBorders>
              <w:bottom w:val="single" w:sz="4" w:space="0" w:color="auto"/>
            </w:tcBorders>
            <w:shd w:val="clear" w:color="auto" w:fill="auto"/>
          </w:tcPr>
          <w:p w:rsidR="00EE217C" w:rsidRDefault="00EC3191" w:rsidP="00EE217C">
            <w:pPr>
              <w:keepNext/>
              <w:keepLines/>
              <w:jc w:val="both"/>
            </w:pPr>
            <w:r>
              <w:t>/s/ Adam J. Teitzman</w:t>
            </w:r>
            <w:bookmarkStart w:id="9" w:name="_GoBack"/>
            <w:bookmarkEnd w:id="9"/>
          </w:p>
        </w:tc>
      </w:tr>
      <w:bookmarkEnd w:id="8"/>
      <w:tr w:rsidR="00EE217C" w:rsidTr="00EE217C">
        <w:tc>
          <w:tcPr>
            <w:tcW w:w="720" w:type="dxa"/>
            <w:shd w:val="clear" w:color="auto" w:fill="auto"/>
          </w:tcPr>
          <w:p w:rsidR="00EE217C" w:rsidRDefault="00EE217C" w:rsidP="00EE217C">
            <w:pPr>
              <w:keepNext/>
              <w:keepLines/>
              <w:jc w:val="both"/>
            </w:pPr>
          </w:p>
        </w:tc>
        <w:tc>
          <w:tcPr>
            <w:tcW w:w="4320" w:type="dxa"/>
            <w:tcBorders>
              <w:top w:val="single" w:sz="4" w:space="0" w:color="auto"/>
            </w:tcBorders>
            <w:shd w:val="clear" w:color="auto" w:fill="auto"/>
          </w:tcPr>
          <w:p w:rsidR="00EE217C" w:rsidRDefault="00EE217C" w:rsidP="00EE217C">
            <w:pPr>
              <w:keepNext/>
              <w:keepLines/>
              <w:jc w:val="both"/>
            </w:pPr>
            <w:r>
              <w:t>ADAM J. TEITZMAN</w:t>
            </w:r>
          </w:p>
          <w:p w:rsidR="00EE217C" w:rsidRDefault="00EE217C" w:rsidP="00EE217C">
            <w:pPr>
              <w:keepNext/>
              <w:keepLines/>
              <w:jc w:val="both"/>
            </w:pPr>
            <w:r>
              <w:t>Commission Clerk</w:t>
            </w:r>
          </w:p>
        </w:tc>
      </w:tr>
    </w:tbl>
    <w:p w:rsidR="00EE217C" w:rsidRDefault="00EE217C" w:rsidP="00EE217C">
      <w:pPr>
        <w:pStyle w:val="OrderSigInfo"/>
        <w:keepNext/>
        <w:keepLines/>
      </w:pPr>
      <w:r>
        <w:t>Florida Public Service Commission</w:t>
      </w:r>
    </w:p>
    <w:p w:rsidR="00EE217C" w:rsidRDefault="00EE217C" w:rsidP="00EE217C">
      <w:pPr>
        <w:pStyle w:val="OrderSigInfo"/>
        <w:keepNext/>
        <w:keepLines/>
      </w:pPr>
      <w:r>
        <w:t>2540 Shumard Oak Boulevard</w:t>
      </w:r>
    </w:p>
    <w:p w:rsidR="00EE217C" w:rsidRDefault="00EE217C" w:rsidP="00EE217C">
      <w:pPr>
        <w:pStyle w:val="OrderSigInfo"/>
        <w:keepNext/>
        <w:keepLines/>
      </w:pPr>
      <w:r>
        <w:t>Tallahassee, Florida 32399</w:t>
      </w:r>
    </w:p>
    <w:p w:rsidR="00EE217C" w:rsidRDefault="00EE217C" w:rsidP="00EE217C">
      <w:pPr>
        <w:pStyle w:val="OrderSigInfo"/>
        <w:keepNext/>
        <w:keepLines/>
      </w:pPr>
      <w:r>
        <w:t>(850) 413</w:t>
      </w:r>
      <w:r>
        <w:noBreakHyphen/>
        <w:t>6770</w:t>
      </w:r>
    </w:p>
    <w:p w:rsidR="00EE217C" w:rsidRDefault="00EE217C" w:rsidP="00EE217C">
      <w:pPr>
        <w:pStyle w:val="OrderSigInfo"/>
        <w:keepNext/>
        <w:keepLines/>
      </w:pPr>
      <w:r>
        <w:t>www.floridapsc.com</w:t>
      </w:r>
    </w:p>
    <w:p w:rsidR="00EE217C" w:rsidRDefault="00EE217C" w:rsidP="00EE217C">
      <w:pPr>
        <w:pStyle w:val="OrderSigInfo"/>
        <w:keepNext/>
        <w:keepLines/>
      </w:pPr>
    </w:p>
    <w:p w:rsidR="00EE217C" w:rsidRDefault="00EE217C" w:rsidP="00EE217C">
      <w:pPr>
        <w:pStyle w:val="OrderSigInfo"/>
        <w:keepNext/>
        <w:keepLines/>
      </w:pPr>
      <w:r>
        <w:t>Copies furnished:  A copy of this document is provided to the parties of record at the time of issuance and, if applicable, interested persons.</w:t>
      </w:r>
    </w:p>
    <w:p w:rsidR="00EE217C" w:rsidRDefault="00EE217C" w:rsidP="00EE217C">
      <w:pPr>
        <w:pStyle w:val="OrderBody"/>
        <w:keepNext/>
        <w:keepLines/>
      </w:pPr>
    </w:p>
    <w:p w:rsidR="00EE217C" w:rsidRDefault="00EE217C" w:rsidP="00EE217C">
      <w:pPr>
        <w:keepNext/>
        <w:keepLines/>
        <w:jc w:val="both"/>
      </w:pPr>
    </w:p>
    <w:p w:rsidR="00EE217C" w:rsidRDefault="00EE217C" w:rsidP="00EE217C">
      <w:pPr>
        <w:keepNext/>
        <w:keepLines/>
        <w:jc w:val="both"/>
      </w:pPr>
      <w:r>
        <w:t>DD</w:t>
      </w:r>
    </w:p>
    <w:p w:rsidR="00EE217C" w:rsidRDefault="00EE217C" w:rsidP="00EE217C">
      <w:pPr>
        <w:jc w:val="both"/>
      </w:pPr>
    </w:p>
    <w:p w:rsidR="00EE217C" w:rsidRDefault="00EE217C" w:rsidP="00EE217C">
      <w:pPr>
        <w:jc w:val="both"/>
      </w:pPr>
    </w:p>
    <w:p w:rsidR="00CA7E9E" w:rsidRDefault="00CA7E9E" w:rsidP="00CA7E9E">
      <w:pPr>
        <w:pStyle w:val="CenterUnderline"/>
      </w:pPr>
      <w:r>
        <w:t>NOTICE OF FURTHER PROCEEDINGS OR JUDICIAL REVIEW</w:t>
      </w:r>
    </w:p>
    <w:p w:rsidR="00EE217C" w:rsidRDefault="00EE217C" w:rsidP="00CA7E9E">
      <w:pPr>
        <w:pStyle w:val="CenterUnderline"/>
      </w:pPr>
    </w:p>
    <w:p w:rsidR="00CA7E9E" w:rsidRDefault="00CA7E9E" w:rsidP="00CA7E9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A7E9E" w:rsidRDefault="00CA7E9E" w:rsidP="00CA7E9E">
      <w:pPr>
        <w:pStyle w:val="OrderBody"/>
      </w:pPr>
    </w:p>
    <w:p w:rsidR="00CA7E9E" w:rsidRDefault="00CA7E9E" w:rsidP="00CA7E9E">
      <w:pPr>
        <w:pStyle w:val="OrderBody"/>
      </w:pPr>
      <w:r>
        <w:tab/>
        <w:t>Mediation may be available on a case-by-case basis.  If mediation is conducted, it does not affect a substantially interested person's right to a hearing.</w:t>
      </w:r>
    </w:p>
    <w:p w:rsidR="00CA7E9E" w:rsidRDefault="00CA7E9E" w:rsidP="00CA7E9E">
      <w:pPr>
        <w:pStyle w:val="OrderBody"/>
      </w:pPr>
    </w:p>
    <w:p w:rsidR="00CA7E9E" w:rsidRDefault="00CA7E9E" w:rsidP="00CA7E9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A7E9E" w:rsidRDefault="00CA7E9E" w:rsidP="00CA7E9E">
      <w:pPr>
        <w:pStyle w:val="OrderBody"/>
      </w:pPr>
    </w:p>
    <w:sectPr w:rsidR="00CA7E9E">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17C" w:rsidRDefault="00EE217C">
      <w:r>
        <w:separator/>
      </w:r>
    </w:p>
  </w:endnote>
  <w:endnote w:type="continuationSeparator" w:id="0">
    <w:p w:rsidR="00EE217C" w:rsidRDefault="00EE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17C" w:rsidRDefault="00EE217C">
      <w:r>
        <w:separator/>
      </w:r>
    </w:p>
  </w:footnote>
  <w:footnote w:type="continuationSeparator" w:id="0">
    <w:p w:rsidR="00EE217C" w:rsidRDefault="00EE217C">
      <w:r>
        <w:continuationSeparator/>
      </w:r>
    </w:p>
  </w:footnote>
  <w:footnote w:id="1">
    <w:p w:rsidR="00EE217C" w:rsidRPr="004F5ADB" w:rsidRDefault="00EE217C" w:rsidP="00EE217C">
      <w:pPr>
        <w:pStyle w:val="FootnoteText"/>
        <w:rPr>
          <w:i/>
        </w:rPr>
      </w:pPr>
      <w:r>
        <w:rPr>
          <w:rStyle w:val="FootnoteReference"/>
        </w:rPr>
        <w:footnoteRef/>
      </w:r>
      <w:r>
        <w:t xml:space="preserve"> Order No. PSC-2021-0423-S-EI, issued November 10, 2021, in Docket No. 20210034-EI, </w:t>
      </w:r>
      <w:r w:rsidRPr="004F5ADB">
        <w:rPr>
          <w:i/>
        </w:rPr>
        <w:t>In re: Petition for rate increase by Tampa Electric</w:t>
      </w:r>
      <w:r>
        <w:rPr>
          <w:i/>
        </w:rPr>
        <w:t xml:space="preserve"> Company</w:t>
      </w:r>
      <w:r w:rsidRPr="004F5ADB">
        <w:rPr>
          <w:i/>
        </w:rPr>
        <w:t>.</w:t>
      </w:r>
    </w:p>
  </w:footnote>
  <w:footnote w:id="2">
    <w:p w:rsidR="00EE217C" w:rsidRDefault="00EE217C" w:rsidP="00EE217C">
      <w:pPr>
        <w:pStyle w:val="FootnoteText"/>
      </w:pPr>
      <w:r>
        <w:rPr>
          <w:rStyle w:val="FootnoteReference"/>
        </w:rPr>
        <w:footnoteRef/>
      </w:r>
      <w:r>
        <w:t xml:space="preserve"> See page 20 in Order No. PSC-2021-0423-S-EI, issued November 10, 2021, in Docket No. 20210034-EI, </w:t>
      </w:r>
      <w:r w:rsidRPr="004F5ADB">
        <w:rPr>
          <w:i/>
        </w:rPr>
        <w:t>In re: Petition for rate increase by Tampa Electric</w:t>
      </w:r>
      <w:r>
        <w:rPr>
          <w:i/>
        </w:rPr>
        <w:t xml:space="preserve"> Company.</w:t>
      </w:r>
    </w:p>
  </w:footnote>
  <w:footnote w:id="3">
    <w:p w:rsidR="00EE217C" w:rsidRDefault="00EE217C" w:rsidP="00EE217C">
      <w:pPr>
        <w:pStyle w:val="FootnoteText"/>
      </w:pPr>
      <w:r>
        <w:rPr>
          <w:rStyle w:val="FootnoteReference"/>
        </w:rPr>
        <w:footnoteRef/>
      </w:r>
      <w:r>
        <w:t xml:space="preserve"> Order No. PSC-2022-0322-FOF-EI, issued September 12, 2022, in Docket No. 20220122-EI, </w:t>
      </w:r>
      <w:r>
        <w:rPr>
          <w:i/>
        </w:rPr>
        <w:t>In re: Petition for limited proceeding rate increase to implement return on equity provisions in 2021 agreement, by Tampa Electric Company.</w:t>
      </w:r>
    </w:p>
  </w:footnote>
  <w:footnote w:id="4">
    <w:p w:rsidR="00EE217C" w:rsidRDefault="00EE217C" w:rsidP="00EE217C">
      <w:pPr>
        <w:pStyle w:val="FootnoteText"/>
      </w:pPr>
      <w:r>
        <w:rPr>
          <w:rStyle w:val="FootnoteReference"/>
        </w:rPr>
        <w:footnoteRef/>
      </w:r>
      <w:r>
        <w:t xml:space="preserve"> Order No. PSC-2022-0434-TRF-EI, issued December 21, 2022, in Docket No. 20220148-EI, </w:t>
      </w:r>
      <w:r w:rsidRPr="001F59BF">
        <w:rPr>
          <w:i/>
        </w:rPr>
        <w:t>In re: Petition to implement 2023 generation base rate adjustment provisions in 2021 agreement, by Tampa Electric Company.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03 ">
      <w:r w:rsidR="00764645">
        <w:t>PSC-2023-0303-PCO-EI</w:t>
      </w:r>
    </w:fldSimple>
  </w:p>
  <w:p w:rsidR="00FA6EFD" w:rsidRDefault="00EE217C">
    <w:pPr>
      <w:pStyle w:val="OrderHeader"/>
    </w:pPr>
    <w:bookmarkStart w:id="10" w:name="HeaderDocketNo"/>
    <w:bookmarkEnd w:id="10"/>
    <w:r>
      <w:t>DOCKET NO. 20230090-EI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C319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90-EI"/>
  </w:docVars>
  <w:rsids>
    <w:rsidRoot w:val="00EE217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4C70"/>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58DC"/>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2323"/>
    <w:rsid w:val="00703F2A"/>
    <w:rsid w:val="00704C5D"/>
    <w:rsid w:val="007072BC"/>
    <w:rsid w:val="00715275"/>
    <w:rsid w:val="00721B44"/>
    <w:rsid w:val="007232A2"/>
    <w:rsid w:val="00726366"/>
    <w:rsid w:val="00731AB6"/>
    <w:rsid w:val="00733B6B"/>
    <w:rsid w:val="00740808"/>
    <w:rsid w:val="007467C4"/>
    <w:rsid w:val="00755D11"/>
    <w:rsid w:val="0076170F"/>
    <w:rsid w:val="00764645"/>
    <w:rsid w:val="0076669C"/>
    <w:rsid w:val="00766E46"/>
    <w:rsid w:val="007707F5"/>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7B16"/>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3032"/>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8712E"/>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2936"/>
    <w:rsid w:val="00BA44A8"/>
    <w:rsid w:val="00BA49C5"/>
    <w:rsid w:val="00BB0182"/>
    <w:rsid w:val="00BB2F4A"/>
    <w:rsid w:val="00BC6CC1"/>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A7E9E"/>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1DD6"/>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3745"/>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3191"/>
    <w:rsid w:val="00ED6A79"/>
    <w:rsid w:val="00EE17DF"/>
    <w:rsid w:val="00EE217C"/>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EE217C"/>
  </w:style>
  <w:style w:type="character" w:styleId="CommentReference">
    <w:name w:val="annotation reference"/>
    <w:basedOn w:val="DefaultParagraphFont"/>
    <w:semiHidden/>
    <w:unhideWhenUsed/>
    <w:rsid w:val="00BC6CC1"/>
    <w:rPr>
      <w:sz w:val="16"/>
      <w:szCs w:val="16"/>
    </w:rPr>
  </w:style>
  <w:style w:type="paragraph" w:styleId="CommentText">
    <w:name w:val="annotation text"/>
    <w:basedOn w:val="Normal"/>
    <w:link w:val="CommentTextChar"/>
    <w:semiHidden/>
    <w:unhideWhenUsed/>
    <w:rsid w:val="00BC6CC1"/>
    <w:rPr>
      <w:sz w:val="20"/>
      <w:szCs w:val="20"/>
    </w:rPr>
  </w:style>
  <w:style w:type="character" w:customStyle="1" w:styleId="CommentTextChar">
    <w:name w:val="Comment Text Char"/>
    <w:basedOn w:val="DefaultParagraphFont"/>
    <w:link w:val="CommentText"/>
    <w:semiHidden/>
    <w:rsid w:val="00BC6CC1"/>
  </w:style>
  <w:style w:type="paragraph" w:styleId="CommentSubject">
    <w:name w:val="annotation subject"/>
    <w:basedOn w:val="CommentText"/>
    <w:next w:val="CommentText"/>
    <w:link w:val="CommentSubjectChar"/>
    <w:semiHidden/>
    <w:unhideWhenUsed/>
    <w:rsid w:val="00BC6CC1"/>
    <w:rPr>
      <w:b/>
      <w:bCs/>
    </w:rPr>
  </w:style>
  <w:style w:type="character" w:customStyle="1" w:styleId="CommentSubjectChar">
    <w:name w:val="Comment Subject Char"/>
    <w:basedOn w:val="CommentTextChar"/>
    <w:link w:val="CommentSubject"/>
    <w:semiHidden/>
    <w:rsid w:val="00BC6CC1"/>
    <w:rPr>
      <w:b/>
      <w:bCs/>
    </w:rPr>
  </w:style>
  <w:style w:type="paragraph" w:styleId="BalloonText">
    <w:name w:val="Balloon Text"/>
    <w:basedOn w:val="Normal"/>
    <w:link w:val="BalloonTextChar"/>
    <w:semiHidden/>
    <w:unhideWhenUsed/>
    <w:rsid w:val="00BC6CC1"/>
    <w:rPr>
      <w:rFonts w:ascii="Segoe UI" w:hAnsi="Segoe UI" w:cs="Segoe UI"/>
      <w:sz w:val="18"/>
      <w:szCs w:val="18"/>
    </w:rPr>
  </w:style>
  <w:style w:type="character" w:customStyle="1" w:styleId="BalloonTextChar">
    <w:name w:val="Balloon Text Char"/>
    <w:basedOn w:val="DefaultParagraphFont"/>
    <w:link w:val="BalloonText"/>
    <w:semiHidden/>
    <w:rsid w:val="00BC6C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2023-10-12T12:50:00Z</dcterms:created>
  <dcterms:modified xsi:type="dcterms:W3CDTF">2023-10-12T13:54:00Z</dcterms:modified>
</cp:coreProperties>
</file>