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CE0521" w:rsidP="00CE0521">
      <w:pPr>
        <w:pStyle w:val="OrderHeading"/>
      </w:pPr>
      <w:r>
        <w:t>BEFORE THE FLORIDA PUBLIC SERVICE COMMISSION</w:t>
      </w:r>
    </w:p>
    <w:p w:rsidR="00CE0521" w:rsidRDefault="00CE0521" w:rsidP="00CE0521">
      <w:pPr>
        <w:pStyle w:val="OrderBody"/>
      </w:pPr>
    </w:p>
    <w:p w:rsidR="00CE0521" w:rsidRDefault="00CE0521" w:rsidP="00CE0521">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CE0521" w:rsidRPr="00C63FCF" w:rsidTr="00C63FCF">
        <w:trPr>
          <w:trHeight w:val="828"/>
        </w:trPr>
        <w:tc>
          <w:tcPr>
            <w:tcW w:w="4788" w:type="dxa"/>
            <w:tcBorders>
              <w:bottom w:val="single" w:sz="8" w:space="0" w:color="auto"/>
              <w:right w:val="double" w:sz="6" w:space="0" w:color="auto"/>
            </w:tcBorders>
            <w:shd w:val="clear" w:color="auto" w:fill="auto"/>
          </w:tcPr>
          <w:p w:rsidR="00CE0521" w:rsidRDefault="00CE0521" w:rsidP="00C63FCF">
            <w:pPr>
              <w:pStyle w:val="OrderBody"/>
              <w:tabs>
                <w:tab w:val="center" w:pos="4320"/>
                <w:tab w:val="right" w:pos="8640"/>
              </w:tabs>
              <w:jc w:val="left"/>
            </w:pPr>
            <w:r>
              <w:t xml:space="preserve">In re: </w:t>
            </w:r>
            <w:bookmarkStart w:id="0" w:name="SSInRe"/>
            <w:bookmarkEnd w:id="0"/>
            <w:r>
              <w:t>Fuel and purchased power cost recovery clause with generating performance incentive factor.</w:t>
            </w:r>
          </w:p>
        </w:tc>
        <w:tc>
          <w:tcPr>
            <w:tcW w:w="4788" w:type="dxa"/>
            <w:tcBorders>
              <w:left w:val="double" w:sz="6" w:space="0" w:color="auto"/>
            </w:tcBorders>
            <w:shd w:val="clear" w:color="auto" w:fill="auto"/>
          </w:tcPr>
          <w:p w:rsidR="00CE0521" w:rsidRDefault="00CE0521" w:rsidP="00CE0521">
            <w:pPr>
              <w:pStyle w:val="OrderBody"/>
            </w:pPr>
            <w:r>
              <w:t xml:space="preserve">DOCKET NO. </w:t>
            </w:r>
            <w:bookmarkStart w:id="1" w:name="SSDocketNo"/>
            <w:bookmarkEnd w:id="1"/>
            <w:r>
              <w:t>20240001-EI</w:t>
            </w:r>
          </w:p>
          <w:p w:rsidR="00CE0521" w:rsidRDefault="00CE0521" w:rsidP="00C63FCF">
            <w:pPr>
              <w:pStyle w:val="OrderBody"/>
              <w:tabs>
                <w:tab w:val="center" w:pos="4320"/>
                <w:tab w:val="right" w:pos="8640"/>
              </w:tabs>
              <w:jc w:val="left"/>
            </w:pPr>
            <w:r>
              <w:t xml:space="preserve">ORDER NO. </w:t>
            </w:r>
            <w:bookmarkStart w:id="2" w:name="OrderNo0091"/>
            <w:r w:rsidR="007D3D36">
              <w:t>PSC-2024-0091-PCO-EI</w:t>
            </w:r>
            <w:bookmarkEnd w:id="2"/>
          </w:p>
          <w:p w:rsidR="00CE0521" w:rsidRDefault="00CE0521" w:rsidP="00C63FCF">
            <w:pPr>
              <w:pStyle w:val="OrderBody"/>
              <w:tabs>
                <w:tab w:val="center" w:pos="4320"/>
                <w:tab w:val="right" w:pos="8640"/>
              </w:tabs>
              <w:jc w:val="left"/>
            </w:pPr>
            <w:r>
              <w:t xml:space="preserve">ISSUED: </w:t>
            </w:r>
            <w:r w:rsidR="007D3D36">
              <w:t>April 10, 2024</w:t>
            </w:r>
          </w:p>
        </w:tc>
      </w:tr>
    </w:tbl>
    <w:p w:rsidR="00CE0521" w:rsidRDefault="00CE0521" w:rsidP="00CE0521"/>
    <w:p w:rsidR="00CE0521" w:rsidRDefault="00CE0521" w:rsidP="00CE0521"/>
    <w:p w:rsidR="00CE0521" w:rsidRDefault="00CE0521" w:rsidP="00B67A43">
      <w:pPr>
        <w:ind w:firstLine="720"/>
        <w:jc w:val="both"/>
      </w:pPr>
      <w:bookmarkStart w:id="3" w:name="Commissioners"/>
      <w:bookmarkEnd w:id="3"/>
      <w:r>
        <w:t>The following Commissioners participated in the disposition of this matter:</w:t>
      </w:r>
    </w:p>
    <w:p w:rsidR="00CE0521" w:rsidRDefault="00CE0521" w:rsidP="00B67A43"/>
    <w:p w:rsidR="00CE0521" w:rsidRDefault="00CE0521" w:rsidP="00477699">
      <w:pPr>
        <w:jc w:val="center"/>
      </w:pPr>
      <w:r>
        <w:t>MIKE LA ROSA, Chairman</w:t>
      </w:r>
    </w:p>
    <w:p w:rsidR="00CE0521" w:rsidRDefault="00CE0521" w:rsidP="00B67A43">
      <w:pPr>
        <w:jc w:val="center"/>
      </w:pPr>
      <w:r>
        <w:t>ART GRAHAM</w:t>
      </w:r>
    </w:p>
    <w:p w:rsidR="00CE0521" w:rsidRDefault="00CE0521" w:rsidP="00B67A43">
      <w:pPr>
        <w:jc w:val="center"/>
      </w:pPr>
      <w:r>
        <w:t>GARY F. CLARK</w:t>
      </w:r>
    </w:p>
    <w:p w:rsidR="00CE0521" w:rsidRDefault="00CE0521" w:rsidP="00B67A43">
      <w:pPr>
        <w:jc w:val="center"/>
      </w:pPr>
      <w:r>
        <w:t>ANDREW GILES FAY</w:t>
      </w:r>
    </w:p>
    <w:p w:rsidR="00CB5276" w:rsidRDefault="00CB5276">
      <w:pPr>
        <w:pStyle w:val="OrderBody"/>
      </w:pPr>
    </w:p>
    <w:p w:rsidR="00CE0521" w:rsidRDefault="00CE0521" w:rsidP="00CE0521">
      <w:pPr>
        <w:pStyle w:val="CenterUnderline"/>
      </w:pPr>
      <w:bookmarkStart w:id="4" w:name="OrderTitle"/>
      <w:r>
        <w:t xml:space="preserve"> </w:t>
      </w:r>
      <w:r w:rsidR="00441F89">
        <w:t xml:space="preserve">ORDER </w:t>
      </w:r>
      <w:r>
        <w:t>APPROVING FLORIDA POWER &amp; LIGHT COMPANY’S</w:t>
      </w:r>
    </w:p>
    <w:p w:rsidR="00CE0521" w:rsidRDefault="00CE0521" w:rsidP="00CE0521">
      <w:pPr>
        <w:pStyle w:val="CenterUnderline"/>
      </w:pPr>
      <w:r>
        <w:t xml:space="preserve">MID-COURSE CORRECTION  </w:t>
      </w:r>
      <w:bookmarkEnd w:id="4"/>
    </w:p>
    <w:p w:rsidR="00CE0521" w:rsidRDefault="00CE0521" w:rsidP="00CE0521">
      <w:pPr>
        <w:pStyle w:val="CenterUnderline"/>
      </w:pPr>
    </w:p>
    <w:p w:rsidR="00CE0521" w:rsidRDefault="00CE0521" w:rsidP="00CE0521">
      <w:pPr>
        <w:pStyle w:val="OrderBody"/>
      </w:pPr>
      <w:r>
        <w:t>BY THE COMMISSION:</w:t>
      </w:r>
    </w:p>
    <w:p w:rsidR="00CB5276" w:rsidRDefault="00CE0521" w:rsidP="00CE0521">
      <w:pPr>
        <w:jc w:val="center"/>
        <w:rPr>
          <w:u w:val="single"/>
        </w:rPr>
      </w:pPr>
      <w:bookmarkStart w:id="5" w:name="OrderText"/>
      <w:bookmarkEnd w:id="5"/>
      <w:r>
        <w:rPr>
          <w:u w:val="single"/>
        </w:rPr>
        <w:t>BACKGROUND</w:t>
      </w:r>
    </w:p>
    <w:p w:rsidR="00CE0521" w:rsidRDefault="00CE0521" w:rsidP="00CE0521">
      <w:pPr>
        <w:jc w:val="center"/>
        <w:rPr>
          <w:u w:val="single"/>
        </w:rPr>
      </w:pPr>
    </w:p>
    <w:p w:rsidR="00CE0521" w:rsidRDefault="00CE0521" w:rsidP="00CE0521">
      <w:pPr>
        <w:ind w:firstLine="720"/>
        <w:jc w:val="both"/>
      </w:pPr>
      <w:r w:rsidRPr="003B08AC">
        <w:t>O</w:t>
      </w:r>
      <w:r>
        <w:t xml:space="preserve">n </w:t>
      </w:r>
      <w:r w:rsidRPr="000156FA">
        <w:t>March 13, 2024,</w:t>
      </w:r>
      <w:r>
        <w:t xml:space="preserve"> Florida Power &amp; Light Company (FPL or Company</w:t>
      </w:r>
      <w:r w:rsidRPr="003B08AC">
        <w:t>)</w:t>
      </w:r>
      <w:r>
        <w:t>, filed for revision of its currently-effective</w:t>
      </w:r>
      <w:r w:rsidRPr="003B08AC">
        <w:t xml:space="preserve"> 202</w:t>
      </w:r>
      <w:r>
        <w:t>4</w:t>
      </w:r>
      <w:r w:rsidRPr="003B08AC">
        <w:t xml:space="preserve"> fuel</w:t>
      </w:r>
      <w:r>
        <w:t xml:space="preserve"> </w:t>
      </w:r>
      <w:r w:rsidRPr="003B08AC">
        <w:t>cost recovery factors</w:t>
      </w:r>
      <w:r>
        <w:t xml:space="preserve"> (MCC Petition)</w:t>
      </w:r>
      <w:r w:rsidRPr="003B08AC">
        <w:t>.</w:t>
      </w:r>
      <w:r>
        <w:rPr>
          <w:rStyle w:val="FootnoteReference"/>
        </w:rPr>
        <w:footnoteReference w:id="1"/>
      </w:r>
      <w:r>
        <w:t xml:space="preserve"> FPL’s currently-effective 2024 fuel </w:t>
      </w:r>
      <w:r w:rsidRPr="002A3DC0">
        <w:t xml:space="preserve">factors were approved last year at the </w:t>
      </w:r>
      <w:r w:rsidRPr="00AC7C9E">
        <w:t>November 1, 2023 final hearing.</w:t>
      </w:r>
      <w:r w:rsidRPr="00AC7C9E">
        <w:rPr>
          <w:rStyle w:val="FootnoteReference"/>
        </w:rPr>
        <w:footnoteReference w:id="2"/>
      </w:r>
      <w:r>
        <w:t xml:space="preserve"> Underlying the approval of FPL’s 2024 fuel factors was the Florida Public Service Commission’s (Commission) review of the Company’s projected 2024 fuel- and capacity-related costs. These costs are recovered through fuel and capacity cost recovery factors that are set/reset annually in this docket.</w:t>
      </w:r>
    </w:p>
    <w:p w:rsidR="00CE0521" w:rsidRDefault="00CE0521" w:rsidP="00CE0521">
      <w:pPr>
        <w:ind w:firstLine="720"/>
        <w:jc w:val="both"/>
      </w:pPr>
    </w:p>
    <w:p w:rsidR="00CE0521" w:rsidRDefault="00CE0521" w:rsidP="00CE0521">
      <w:pPr>
        <w:ind w:firstLine="720"/>
        <w:jc w:val="both"/>
        <w:rPr>
          <w:u w:val="single"/>
        </w:rPr>
      </w:pPr>
      <w:r>
        <w:rPr>
          <w:u w:val="single"/>
        </w:rPr>
        <w:t>Mid-Course Corrections</w:t>
      </w:r>
    </w:p>
    <w:p w:rsidR="00CE0521" w:rsidRPr="00CE0521" w:rsidRDefault="00CE0521" w:rsidP="00CE0521">
      <w:pPr>
        <w:ind w:firstLine="720"/>
        <w:jc w:val="both"/>
        <w:rPr>
          <w:u w:val="single"/>
        </w:rPr>
      </w:pPr>
    </w:p>
    <w:p w:rsidR="00CE0521" w:rsidRDefault="00CE0521" w:rsidP="00CE0521">
      <w:pPr>
        <w:pStyle w:val="BodyText"/>
        <w:spacing w:after="0"/>
        <w:ind w:firstLine="720"/>
        <w:jc w:val="both"/>
      </w:pPr>
      <w:r>
        <w:t>Mid-course corrections are used by th</w:t>
      </w:r>
      <w:r w:rsidR="00F40F47">
        <w:t>is</w:t>
      </w:r>
      <w:r>
        <w:t xml:space="preserve"> Commission between annual clause hearings whenever costs deviate from revenue by a significant margin. Under Rule 25-6.0424, Florida Administrative Code (F.A.C.), which is commonly referred to as the “mid-course correction rule,” a utility must notify </w:t>
      </w:r>
      <w:r w:rsidR="00F40F47">
        <w:t xml:space="preserve">us </w:t>
      </w:r>
      <w:r>
        <w:t xml:space="preserve">whenever it expects to experience an under- or over-recovery of certain service costs greater than 10 percent. The notification of a 10 percent cost-to-revenue variance shall include a petition for mid-course correction to the fuel cost recovery or capacity cost recovery factors, or shall include an explanation of why a mid-course correction is not practical. The mid-course correction rule and its codified procedures are further discussed throughout this </w:t>
      </w:r>
      <w:r w:rsidR="00F40F47">
        <w:t>order</w:t>
      </w:r>
      <w:r>
        <w:t>.</w:t>
      </w:r>
    </w:p>
    <w:p w:rsidR="00CE0521" w:rsidRDefault="00CE0521" w:rsidP="00CE0521">
      <w:pPr>
        <w:ind w:firstLine="720"/>
        <w:jc w:val="both"/>
      </w:pPr>
    </w:p>
    <w:p w:rsidR="00441F89" w:rsidRDefault="00441F89">
      <w:pPr>
        <w:rPr>
          <w:u w:val="single"/>
        </w:rPr>
      </w:pPr>
      <w:r>
        <w:rPr>
          <w:u w:val="single"/>
        </w:rPr>
        <w:br w:type="page"/>
      </w:r>
    </w:p>
    <w:p w:rsidR="00CE0521" w:rsidRDefault="00CE0521" w:rsidP="00CE0521">
      <w:pPr>
        <w:ind w:firstLine="720"/>
        <w:jc w:val="both"/>
        <w:rPr>
          <w:u w:val="single"/>
        </w:rPr>
      </w:pPr>
      <w:r>
        <w:rPr>
          <w:u w:val="single"/>
        </w:rPr>
        <w:lastRenderedPageBreak/>
        <w:t>FPL’s Petition</w:t>
      </w:r>
    </w:p>
    <w:p w:rsidR="00CE0521" w:rsidRDefault="00CE0521" w:rsidP="00CE0521">
      <w:pPr>
        <w:ind w:firstLine="720"/>
        <w:jc w:val="both"/>
        <w:rPr>
          <w:u w:val="single"/>
        </w:rPr>
      </w:pPr>
    </w:p>
    <w:p w:rsidR="00CE0521" w:rsidRDefault="00CE0521" w:rsidP="00CE0521">
      <w:pPr>
        <w:pStyle w:val="BodyText"/>
        <w:spacing w:after="0"/>
        <w:ind w:firstLine="720"/>
        <w:jc w:val="both"/>
      </w:pPr>
      <w:r>
        <w:t>In</w:t>
      </w:r>
      <w:r w:rsidRPr="003B128E">
        <w:t xml:space="preserve"> its </w:t>
      </w:r>
      <w:r>
        <w:t xml:space="preserve">MCC </w:t>
      </w:r>
      <w:r w:rsidRPr="003B128E">
        <w:t>Pe</w:t>
      </w:r>
      <w:r>
        <w:t xml:space="preserve">tition, the Company currently estimates </w:t>
      </w:r>
      <w:r w:rsidRPr="00284D6A">
        <w:t>a</w:t>
      </w:r>
      <w:r>
        <w:t xml:space="preserve"> net</w:t>
      </w:r>
      <w:r w:rsidRPr="00284D6A">
        <w:t xml:space="preserve"> $661,767,174 million reduction in fuel-related costs for the 2024 period relative to its previous estimate. </w:t>
      </w:r>
      <w:r>
        <w:t xml:space="preserve"> </w:t>
      </w:r>
      <w:r w:rsidRPr="00284D6A">
        <w:t>FPL i</w:t>
      </w:r>
      <w:r>
        <w:t>s proposing to apply this cost reduction to the time perio</w:t>
      </w:r>
      <w:r w:rsidRPr="00A14EBD">
        <w:t>d May 2024 through December 2024,</w:t>
      </w:r>
      <w:r>
        <w:t xml:space="preserve"> thereby reducing fuel cost recovery factors for the remainder of the year.  Thus, the Company is requesting that its revised fuel cost recovery factors and associated tariff become effective beginning with the first billing cycle of </w:t>
      </w:r>
      <w:r w:rsidRPr="00A14EBD">
        <w:t>May</w:t>
      </w:r>
      <w:r>
        <w:t xml:space="preserve"> 2024</w:t>
      </w:r>
      <w:r w:rsidRPr="00A14EBD">
        <w:t>.</w:t>
      </w:r>
      <w:r>
        <w:t xml:space="preserve">  The proposed effective date is further discussed </w:t>
      </w:r>
      <w:r w:rsidR="00F40F47">
        <w:t>below</w:t>
      </w:r>
      <w:r>
        <w:t>.</w:t>
      </w:r>
    </w:p>
    <w:p w:rsidR="00CE0521" w:rsidRDefault="00CE0521" w:rsidP="00CE0521">
      <w:pPr>
        <w:ind w:firstLine="720"/>
        <w:jc w:val="both"/>
        <w:rPr>
          <w:u w:val="single"/>
        </w:rPr>
      </w:pPr>
    </w:p>
    <w:p w:rsidR="00CE0521" w:rsidRDefault="00F40F47" w:rsidP="00CE0521">
      <w:pPr>
        <w:pStyle w:val="BodyText"/>
        <w:ind w:firstLine="720"/>
        <w:jc w:val="both"/>
      </w:pPr>
      <w:r>
        <w:t xml:space="preserve">We are </w:t>
      </w:r>
      <w:r w:rsidR="00CE0521">
        <w:t>vested with jurisdiction over the subject matter of this proceeding by the provisions of Chapter 366, Florida Statutes (F.S.), including Sections 366.04, 366.05, and 366.06, F.S.</w:t>
      </w:r>
    </w:p>
    <w:p w:rsidR="00CE0521" w:rsidRDefault="00CE0521" w:rsidP="00CE0521">
      <w:pPr>
        <w:ind w:firstLine="720"/>
        <w:jc w:val="center"/>
        <w:rPr>
          <w:u w:val="single"/>
        </w:rPr>
      </w:pPr>
      <w:r>
        <w:rPr>
          <w:u w:val="single"/>
        </w:rPr>
        <w:t>DECISION</w:t>
      </w:r>
    </w:p>
    <w:p w:rsidR="00CE0521" w:rsidRDefault="00CE0521" w:rsidP="00CE0521">
      <w:pPr>
        <w:ind w:firstLine="720"/>
        <w:jc w:val="center"/>
        <w:rPr>
          <w:u w:val="single"/>
        </w:rPr>
      </w:pPr>
    </w:p>
    <w:p w:rsidR="00CE0521" w:rsidRDefault="00CE0521" w:rsidP="00CE0521">
      <w:pPr>
        <w:ind w:firstLine="720"/>
        <w:jc w:val="both"/>
      </w:pPr>
      <w:r>
        <w:t xml:space="preserve">FPL participated in </w:t>
      </w:r>
      <w:r w:rsidR="00F40F47">
        <w:t xml:space="preserve">our </w:t>
      </w:r>
      <w:r>
        <w:t>most-recent fuel hearing which took place on</w:t>
      </w:r>
      <w:r w:rsidRPr="00AC7C9E">
        <w:t xml:space="preserve"> </w:t>
      </w:r>
      <w:r w:rsidRPr="00A45347">
        <w:t xml:space="preserve">November 1, 2023. </w:t>
      </w:r>
      <w:r>
        <w:t xml:space="preserve"> </w:t>
      </w:r>
      <w:r w:rsidRPr="00A45347">
        <w:t>The fuel order stemming from this proceeding set forth the Company’s fuel and capacity c</w:t>
      </w:r>
      <w:r w:rsidRPr="000A7D2E">
        <w:t>ost recovery factors effective with the fir</w:t>
      </w:r>
      <w:r>
        <w:t>st billing cycle of January 2024</w:t>
      </w:r>
      <w:r w:rsidRPr="000A7D2E">
        <w:t>.</w:t>
      </w:r>
      <w:r w:rsidRPr="000A7D2E">
        <w:rPr>
          <w:rStyle w:val="FootnoteReference"/>
        </w:rPr>
        <w:footnoteReference w:id="3"/>
      </w:r>
      <w:r w:rsidRPr="000A7D2E">
        <w:t xml:space="preserve"> </w:t>
      </w:r>
      <w:r>
        <w:t xml:space="preserve"> This order also authorized changes to FPL’s fuel cost recovery factors coinciding with the in-service of the 2024 Solar Base Rate Adjustment Project (2024 SoBRA Project).</w:t>
      </w:r>
      <w:r>
        <w:rPr>
          <w:rStyle w:val="FootnoteReference"/>
        </w:rPr>
        <w:footnoteReference w:id="4"/>
      </w:r>
      <w:r>
        <w:t xml:space="preserve">  The Company’s 2024 SoBRA Project-related generating plants went into service as anticipated or prior to the planned February 2024 completion date; thus, FPL’s current fuel cost recovery factors became effective at that time.</w:t>
      </w:r>
    </w:p>
    <w:p w:rsidR="00CE0521" w:rsidRDefault="00CE0521" w:rsidP="00CE0521">
      <w:pPr>
        <w:ind w:firstLine="720"/>
        <w:jc w:val="both"/>
      </w:pPr>
    </w:p>
    <w:p w:rsidR="00CE0521" w:rsidRDefault="00CE0521" w:rsidP="00CE0521">
      <w:pPr>
        <w:pStyle w:val="BodyText"/>
        <w:spacing w:after="0"/>
        <w:ind w:firstLine="720"/>
        <w:rPr>
          <w:bCs/>
          <w:iCs/>
          <w:u w:val="single"/>
        </w:rPr>
      </w:pPr>
      <w:r w:rsidRPr="00CE0521">
        <w:rPr>
          <w:bCs/>
          <w:iCs/>
          <w:u w:val="single"/>
        </w:rPr>
        <w:t>FPL Fuel and Purchased Power Mid-Course Correction</w:t>
      </w:r>
    </w:p>
    <w:p w:rsidR="00CE0521" w:rsidRPr="00CE0521" w:rsidRDefault="00CE0521" w:rsidP="00CE0521">
      <w:pPr>
        <w:pStyle w:val="BodyText"/>
        <w:spacing w:after="0"/>
        <w:ind w:firstLine="720"/>
        <w:rPr>
          <w:bCs/>
          <w:iCs/>
          <w:u w:val="single"/>
        </w:rPr>
      </w:pPr>
    </w:p>
    <w:p w:rsidR="00CE0521" w:rsidRDefault="00CE0521" w:rsidP="00CE0521">
      <w:pPr>
        <w:pStyle w:val="BodyText"/>
        <w:ind w:firstLine="720"/>
        <w:jc w:val="both"/>
      </w:pPr>
      <w:r w:rsidRPr="00C503ED">
        <w:t>FPL filed for a mid-course correction of its fue</w:t>
      </w:r>
      <w:r>
        <w:t xml:space="preserve">l charges on </w:t>
      </w:r>
      <w:r w:rsidRPr="000156FA">
        <w:t>March 13, 2024</w:t>
      </w:r>
      <w:r w:rsidRPr="00C503ED">
        <w:t>.</w:t>
      </w:r>
      <w:r w:rsidRPr="00C503ED">
        <w:rPr>
          <w:rStyle w:val="FootnoteReference"/>
        </w:rPr>
        <w:footnoteReference w:id="5"/>
      </w:r>
      <w:r w:rsidRPr="00C503ED">
        <w:t xml:space="preserve"> </w:t>
      </w:r>
      <w:r>
        <w:t xml:space="preserve"> </w:t>
      </w:r>
      <w:r w:rsidRPr="00C503ED">
        <w:t xml:space="preserve">The Company’s </w:t>
      </w:r>
      <w:r>
        <w:t>MCC P</w:t>
      </w:r>
      <w:r w:rsidRPr="00C503ED">
        <w:t xml:space="preserve">etition and supporting documentation satisfies the filing requirements of Rule 25-6.0424(1)(b), F.A.C. </w:t>
      </w:r>
    </w:p>
    <w:p w:rsidR="00CE0521" w:rsidRDefault="00CE0521" w:rsidP="00CE0521">
      <w:pPr>
        <w:pStyle w:val="BodyText"/>
        <w:ind w:firstLine="720"/>
        <w:jc w:val="both"/>
      </w:pPr>
      <w:r w:rsidRPr="00C503ED">
        <w:t>In accordance with the noticing requirement of Rule 25-6.0424(2), F.A</w:t>
      </w:r>
      <w:r>
        <w:t>.C., FPL filed a letter on January</w:t>
      </w:r>
      <w:r w:rsidRPr="00C503ED">
        <w:t xml:space="preserve"> </w:t>
      </w:r>
      <w:r>
        <w:t>11</w:t>
      </w:r>
      <w:r w:rsidRPr="00C503ED">
        <w:t>, 202</w:t>
      </w:r>
      <w:r>
        <w:t>4</w:t>
      </w:r>
      <w:r w:rsidRPr="00C503ED">
        <w:t xml:space="preserve">, informing the Commission that it was projecting an </w:t>
      </w:r>
      <w:r>
        <w:t>over</w:t>
      </w:r>
      <w:r w:rsidRPr="00C503ED">
        <w:t xml:space="preserve">-recovery position of greater </w:t>
      </w:r>
      <w:r>
        <w:t>than 10 percent for the current</w:t>
      </w:r>
      <w:r w:rsidRPr="00C503ED">
        <w:t xml:space="preserve"> pe</w:t>
      </w:r>
      <w:r>
        <w:t>riod ending December 31, 2024</w:t>
      </w:r>
      <w:r w:rsidRPr="00C503ED">
        <w:t>.</w:t>
      </w:r>
      <w:r w:rsidRPr="00C503ED">
        <w:rPr>
          <w:rStyle w:val="FootnoteReference"/>
        </w:rPr>
        <w:footnoteReference w:id="6"/>
      </w:r>
      <w:r>
        <w:t xml:space="preserve"> </w:t>
      </w:r>
      <w:r w:rsidR="00613D14">
        <w:t xml:space="preserve"> </w:t>
      </w:r>
      <w:r w:rsidRPr="007B6FD8">
        <w:t>The main factors influencing the decline in actual and projected natural gas prices in 2024 are elevated quantities of natural gas in storage and milder weather compared to previous years.</w:t>
      </w:r>
      <w:r w:rsidRPr="007B6FD8">
        <w:rPr>
          <w:rStyle w:val="FootnoteReference"/>
        </w:rPr>
        <w:footnoteReference w:id="7"/>
      </w:r>
    </w:p>
    <w:p w:rsidR="00CE0521" w:rsidRDefault="00CE0521" w:rsidP="00CE0521">
      <w:pPr>
        <w:ind w:firstLine="720"/>
        <w:jc w:val="both"/>
      </w:pPr>
      <w:r>
        <w:t xml:space="preserve">Additionally, FPL included a $5 million fuel cost credit in its request which reflects a stipulated position proposed by FPL and the Office of Public Counsel to resolve replacement </w:t>
      </w:r>
      <w:r>
        <w:lastRenderedPageBreak/>
        <w:t>pow</w:t>
      </w:r>
      <w:r w:rsidRPr="007B6FD8">
        <w:t xml:space="preserve">er cost </w:t>
      </w:r>
      <w:r>
        <w:t>matters</w:t>
      </w:r>
      <w:r w:rsidRPr="007B6FD8">
        <w:t xml:space="preserve"> with respect to the Company’s nuclear operations.</w:t>
      </w:r>
      <w:r w:rsidRPr="007B6FD8">
        <w:rPr>
          <w:rStyle w:val="FootnoteReference"/>
        </w:rPr>
        <w:footnoteReference w:id="8"/>
      </w:r>
      <w:r w:rsidRPr="006F14A4">
        <w:rPr>
          <w:vertAlign w:val="superscript"/>
        </w:rPr>
        <w:t>,</w:t>
      </w:r>
      <w:r>
        <w:rPr>
          <w:rStyle w:val="FootnoteReference"/>
        </w:rPr>
        <w:footnoteReference w:id="9"/>
      </w:r>
      <w:r w:rsidRPr="007B6FD8">
        <w:t xml:space="preserve"> </w:t>
      </w:r>
      <w:r w:rsidR="00613D14">
        <w:t xml:space="preserve"> </w:t>
      </w:r>
      <w:r w:rsidRPr="007B6FD8">
        <w:t xml:space="preserve">This </w:t>
      </w:r>
      <w:r w:rsidR="00613D14">
        <w:t xml:space="preserve">stipulation was approved on </w:t>
      </w:r>
      <w:r w:rsidRPr="007B6FD8">
        <w:t>March 26, 2024.</w:t>
      </w:r>
      <w:r w:rsidRPr="007B6FD8">
        <w:rPr>
          <w:rStyle w:val="FootnoteReference"/>
        </w:rPr>
        <w:footnoteReference w:id="10"/>
      </w:r>
      <w:r w:rsidRPr="007B6FD8">
        <w:t xml:space="preserve"> </w:t>
      </w:r>
      <w:r w:rsidR="00613D14">
        <w:t xml:space="preserve"> </w:t>
      </w:r>
    </w:p>
    <w:p w:rsidR="00613D14" w:rsidRDefault="00613D14" w:rsidP="00CE0521">
      <w:pPr>
        <w:ind w:firstLine="720"/>
        <w:jc w:val="both"/>
      </w:pPr>
    </w:p>
    <w:p w:rsidR="00613D14" w:rsidRPr="002255FF" w:rsidRDefault="00613D14" w:rsidP="00613D14">
      <w:pPr>
        <w:pStyle w:val="BodyText"/>
        <w:spacing w:after="0"/>
        <w:ind w:firstLine="720"/>
        <w:jc w:val="both"/>
      </w:pPr>
      <w:r>
        <w:t>The</w:t>
      </w:r>
      <w:r w:rsidRPr="002255FF">
        <w:t xml:space="preserve"> factors proposed in this proceeding are currently </w:t>
      </w:r>
      <w:r>
        <w:t xml:space="preserve">contemplated to be charged for </w:t>
      </w:r>
      <w:r w:rsidRPr="000156FA">
        <w:t>8 months.</w:t>
      </w:r>
      <w:r w:rsidRPr="002255FF">
        <w:t xml:space="preserve"> As is typical procedure, later this year newly developed 12-month-applicable factors will be proposed for authorization to begin with the fir</w:t>
      </w:r>
      <w:r>
        <w:t>st billing cycle of January 2025</w:t>
      </w:r>
      <w:r w:rsidRPr="002255FF">
        <w:t>.</w:t>
      </w:r>
    </w:p>
    <w:p w:rsidR="00613D14" w:rsidRPr="00C503ED" w:rsidRDefault="00613D14" w:rsidP="00613D14">
      <w:pPr>
        <w:pStyle w:val="BodyText"/>
        <w:spacing w:after="0"/>
        <w:jc w:val="both"/>
        <w:rPr>
          <w:highlight w:val="yellow"/>
        </w:rPr>
      </w:pPr>
    </w:p>
    <w:p w:rsidR="00613D14" w:rsidRPr="00613D14" w:rsidRDefault="00613D14" w:rsidP="00613D14">
      <w:pPr>
        <w:pStyle w:val="BodyText"/>
        <w:spacing w:after="0"/>
        <w:ind w:firstLine="720"/>
        <w:jc w:val="both"/>
        <w:rPr>
          <w:u w:val="single"/>
        </w:rPr>
      </w:pPr>
      <w:r w:rsidRPr="00613D14">
        <w:rPr>
          <w:u w:val="single"/>
        </w:rPr>
        <w:t>Actual Period-Ending 2023 Fuel Cost Recovery Position</w:t>
      </w:r>
    </w:p>
    <w:p w:rsidR="00613D14" w:rsidRDefault="00613D14" w:rsidP="00613D14">
      <w:pPr>
        <w:pStyle w:val="BodyText"/>
        <w:spacing w:after="0"/>
        <w:jc w:val="both"/>
      </w:pPr>
    </w:p>
    <w:p w:rsidR="00613D14" w:rsidRDefault="00613D14" w:rsidP="00613D14">
      <w:pPr>
        <w:pStyle w:val="BodyText"/>
        <w:spacing w:after="0"/>
        <w:ind w:firstLine="720"/>
        <w:jc w:val="both"/>
      </w:pPr>
      <w:r w:rsidRPr="00C066BF">
        <w:t>FPL’s net fuel cost recovery position at the end of 2023 is an under-recovery of ($956,463,844).</w:t>
      </w:r>
      <w:r w:rsidRPr="00C066BF">
        <w:rPr>
          <w:rStyle w:val="FootnoteReference"/>
        </w:rPr>
        <w:footnoteReference w:id="11"/>
      </w:r>
      <w:r w:rsidRPr="00C066BF">
        <w:t xml:space="preserve"> This amount includes FPL’s 2023 actual/estimated </w:t>
      </w:r>
      <w:r>
        <w:t xml:space="preserve">over-recovery </w:t>
      </w:r>
      <w:r w:rsidRPr="00C066BF">
        <w:t>of $207,586,520.</w:t>
      </w:r>
      <w:r w:rsidRPr="00C066BF">
        <w:rPr>
          <w:rStyle w:val="FootnoteReference"/>
        </w:rPr>
        <w:footnoteReference w:id="12"/>
      </w:r>
    </w:p>
    <w:p w:rsidR="00613D14" w:rsidRPr="00C503ED" w:rsidRDefault="00613D14" w:rsidP="00613D14">
      <w:pPr>
        <w:pStyle w:val="BodyText"/>
        <w:spacing w:after="0"/>
        <w:jc w:val="both"/>
        <w:rPr>
          <w:highlight w:val="yellow"/>
        </w:rPr>
      </w:pPr>
    </w:p>
    <w:p w:rsidR="00613D14" w:rsidRDefault="00613D14" w:rsidP="00613D14">
      <w:pPr>
        <w:pStyle w:val="BodyText"/>
        <w:spacing w:after="0"/>
        <w:ind w:firstLine="720"/>
        <w:jc w:val="both"/>
      </w:pPr>
      <w:r>
        <w:t>Decreased</w:t>
      </w:r>
      <w:r w:rsidRPr="00A05899">
        <w:t xml:space="preserve"> pri</w:t>
      </w:r>
      <w:r>
        <w:t>cing for natural g</w:t>
      </w:r>
      <w:r w:rsidRPr="00FC3992">
        <w:t>as is the primary driver of the 202</w:t>
      </w:r>
      <w:r>
        <w:t>3</w:t>
      </w:r>
      <w:r w:rsidRPr="00FC3992">
        <w:t xml:space="preserve"> over-recovery identified above. </w:t>
      </w:r>
      <w:r>
        <w:t xml:space="preserve"> </w:t>
      </w:r>
      <w:r w:rsidRPr="00FC3992">
        <w:t>More specifically, the Company estimated an annual natural gas cost of $4.37 per million British thermal unit (MMBtu) in its 2023 actual/estimated filing.</w:t>
      </w:r>
      <w:r w:rsidRPr="00FC3992">
        <w:rPr>
          <w:rStyle w:val="FootnoteReference"/>
        </w:rPr>
        <w:footnoteReference w:id="13"/>
      </w:r>
      <w:r w:rsidRPr="00FC3992">
        <w:t xml:space="preserve"> </w:t>
      </w:r>
      <w:r>
        <w:t xml:space="preserve"> T</w:t>
      </w:r>
      <w:r w:rsidRPr="00FC3992">
        <w:t>his</w:t>
      </w:r>
      <w:r>
        <w:t xml:space="preserve"> </w:t>
      </w:r>
      <w:r w:rsidRPr="00902751">
        <w:t xml:space="preserve">figure includes delivery costs. </w:t>
      </w:r>
      <w:r>
        <w:t xml:space="preserve"> </w:t>
      </w:r>
      <w:r w:rsidRPr="00902751">
        <w:t>However, as indicate</w:t>
      </w:r>
      <w:r>
        <w:t>d in the Company’s December 2023 A-Schedule, FPL’s average 2023</w:t>
      </w:r>
      <w:r w:rsidRPr="00902751">
        <w:t xml:space="preserve"> </w:t>
      </w:r>
      <w:r w:rsidRPr="005F2B7D">
        <w:t xml:space="preserve">cost of natural gas was $4.22 per MMBtu, representing a difference of </w:t>
      </w:r>
      <w:r w:rsidRPr="00A357CC">
        <w:t>3.4</w:t>
      </w:r>
      <w:r w:rsidRPr="005F2B7D">
        <w:t xml:space="preserve"> percent.</w:t>
      </w:r>
      <w:r w:rsidRPr="005F2B7D">
        <w:rPr>
          <w:rStyle w:val="FootnoteReference"/>
        </w:rPr>
        <w:footnoteReference w:id="14"/>
      </w:r>
      <w:r>
        <w:t xml:space="preserve"> Natural gas-fired generation comprised approximatel</w:t>
      </w:r>
      <w:r w:rsidRPr="005F2B7D">
        <w:t>y 73.0 percent of FPL’s g</w:t>
      </w:r>
      <w:r>
        <w:t>eneration mix in 2023.</w:t>
      </w:r>
      <w:r>
        <w:rPr>
          <w:rStyle w:val="FootnoteReference"/>
        </w:rPr>
        <w:footnoteReference w:id="15"/>
      </w:r>
      <w:r>
        <w:t xml:space="preserve"> </w:t>
      </w:r>
    </w:p>
    <w:p w:rsidR="00613D14" w:rsidRDefault="00613D14" w:rsidP="00CE0521">
      <w:pPr>
        <w:ind w:firstLine="720"/>
        <w:jc w:val="both"/>
        <w:rPr>
          <w:u w:val="single"/>
        </w:rPr>
      </w:pPr>
    </w:p>
    <w:p w:rsidR="00613D14" w:rsidRPr="00613D14" w:rsidRDefault="00613D14" w:rsidP="00613D14">
      <w:pPr>
        <w:pStyle w:val="BodyText"/>
        <w:spacing w:after="0"/>
        <w:ind w:firstLine="720"/>
        <w:rPr>
          <w:u w:val="single"/>
        </w:rPr>
      </w:pPr>
      <w:r w:rsidRPr="00613D14">
        <w:rPr>
          <w:u w:val="single"/>
        </w:rPr>
        <w:t>Projected 2024 Fuel Cost Recovery Position</w:t>
      </w:r>
    </w:p>
    <w:p w:rsidR="00613D14" w:rsidRDefault="00613D14" w:rsidP="00613D14">
      <w:pPr>
        <w:pStyle w:val="BodyText"/>
        <w:spacing w:after="0"/>
      </w:pPr>
    </w:p>
    <w:p w:rsidR="00613D14" w:rsidRDefault="00613D14" w:rsidP="00613D14">
      <w:pPr>
        <w:pStyle w:val="BodyText"/>
        <w:spacing w:after="0"/>
        <w:ind w:firstLine="720"/>
        <w:jc w:val="both"/>
      </w:pPr>
      <w:r w:rsidRPr="006D61A0">
        <w:t>FPL</w:t>
      </w:r>
      <w:r>
        <w:t>’s 2024</w:t>
      </w:r>
      <w:r w:rsidRPr="006D61A0">
        <w:t xml:space="preserve"> fuel-related revenue requirement</w:t>
      </w:r>
      <w:r>
        <w:t xml:space="preserve"> has</w:t>
      </w:r>
      <w:r w:rsidRPr="006D61A0">
        <w:t xml:space="preserve"> decreased substantially since the filing of its last c</w:t>
      </w:r>
      <w:r>
        <w:t>ost projection in September 2023</w:t>
      </w:r>
      <w:r w:rsidRPr="006D61A0">
        <w:t>.</w:t>
      </w:r>
      <w:r w:rsidRPr="006D61A0">
        <w:rPr>
          <w:rStyle w:val="FootnoteReference"/>
        </w:rPr>
        <w:footnoteReference w:id="16"/>
      </w:r>
      <w:r w:rsidRPr="006D61A0">
        <w:t xml:space="preserve"> </w:t>
      </w:r>
      <w:r>
        <w:t xml:space="preserve"> </w:t>
      </w:r>
      <w:r w:rsidRPr="006D61A0">
        <w:t>More spe</w:t>
      </w:r>
      <w:r w:rsidRPr="00301B94">
        <w:t xml:space="preserve">cifically, the results of this </w:t>
      </w:r>
      <w:r>
        <w:t>updated estimate</w:t>
      </w:r>
      <w:r w:rsidRPr="00301B94">
        <w:t xml:space="preserve"> are a reduction in FPL</w:t>
      </w:r>
      <w:r>
        <w:t>’s estimated 2024</w:t>
      </w:r>
      <w:r w:rsidRPr="00301B94">
        <w:t xml:space="preserve"> fuel-</w:t>
      </w:r>
      <w:r>
        <w:t xml:space="preserve">related costs in the amount of </w:t>
      </w:r>
      <w:r w:rsidRPr="0069313F">
        <w:t>$6</w:t>
      </w:r>
      <w:r>
        <w:t>24,476,902</w:t>
      </w:r>
      <w:r w:rsidRPr="00301B94">
        <w:t xml:space="preserve">. </w:t>
      </w:r>
      <w:r>
        <w:t xml:space="preserve"> The amount of the 2023 (period-specific net true-up) over</w:t>
      </w:r>
      <w:r w:rsidRPr="00301B94">
        <w:t xml:space="preserve">-recovery proposed for </w:t>
      </w:r>
      <w:r>
        <w:t>refund</w:t>
      </w:r>
      <w:r w:rsidRPr="00301B94">
        <w:t xml:space="preserve"> through new</w:t>
      </w:r>
      <w:r>
        <w:t xml:space="preserve"> 2024</w:t>
      </w:r>
      <w:r w:rsidRPr="00301B94">
        <w:t xml:space="preserve"> rates is $</w:t>
      </w:r>
      <w:r w:rsidRPr="0069313F">
        <w:t>37,</w:t>
      </w:r>
      <w:r>
        <w:t>290,272</w:t>
      </w:r>
      <w:r w:rsidRPr="00301B94">
        <w:t xml:space="preserve">. </w:t>
      </w:r>
      <w:r>
        <w:t xml:space="preserve"> </w:t>
      </w:r>
      <w:r w:rsidRPr="00301B94">
        <w:t>Thus, the proposed net or decremental amount for incl</w:t>
      </w:r>
      <w:r>
        <w:t xml:space="preserve">usion into 2024 rates is </w:t>
      </w:r>
      <w:r w:rsidRPr="0069313F">
        <w:t>$</w:t>
      </w:r>
      <w:r>
        <w:t>661,767,174</w:t>
      </w:r>
      <w:r w:rsidRPr="00301B94">
        <w:t>.</w:t>
      </w:r>
      <w:r>
        <w:rPr>
          <w:rStyle w:val="FootnoteReference"/>
        </w:rPr>
        <w:footnoteReference w:id="17"/>
      </w:r>
    </w:p>
    <w:p w:rsidR="00613D14" w:rsidRPr="006D61A0" w:rsidRDefault="00613D14" w:rsidP="00613D14">
      <w:pPr>
        <w:pStyle w:val="BodyText"/>
        <w:spacing w:after="0"/>
        <w:jc w:val="both"/>
      </w:pPr>
    </w:p>
    <w:p w:rsidR="00C221AE" w:rsidRDefault="00613D14" w:rsidP="00C221AE">
      <w:pPr>
        <w:pStyle w:val="BodyText"/>
        <w:spacing w:after="0"/>
        <w:jc w:val="both"/>
      </w:pPr>
      <w:r w:rsidRPr="00976339">
        <w:t xml:space="preserve">The primary factor driving the change in projected 2024 fuel costs is lower assumed pricing for natural gas. </w:t>
      </w:r>
      <w:r>
        <w:t xml:space="preserve"> </w:t>
      </w:r>
      <w:r w:rsidRPr="00976339">
        <w:t xml:space="preserve">More specifically, the underlying market-based natural gas price data used for the </w:t>
      </w:r>
      <w:r w:rsidRPr="00976339">
        <w:lastRenderedPageBreak/>
        <w:t xml:space="preserve">2024 fuel cost projection was sourced </w:t>
      </w:r>
      <w:r w:rsidRPr="007B56BB">
        <w:t>on August 1, 2023.</w:t>
      </w:r>
      <w:r w:rsidRPr="007B56BB">
        <w:rPr>
          <w:rStyle w:val="FootnoteReference"/>
        </w:rPr>
        <w:footnoteReference w:id="18"/>
      </w:r>
      <w:r w:rsidRPr="00E86F85">
        <w:t xml:space="preserve"> </w:t>
      </w:r>
      <w:r>
        <w:t xml:space="preserve"> </w:t>
      </w:r>
      <w:r w:rsidRPr="00E86F85">
        <w:t>This underlying data was used to produce an estimated average 2024 delivered natural gas cost of approximately $5.20 per MMBtu.</w:t>
      </w:r>
      <w:r w:rsidRPr="00E86F85">
        <w:rPr>
          <w:rStyle w:val="FootnoteReference"/>
        </w:rPr>
        <w:footnoteReference w:id="19"/>
      </w:r>
      <w:r w:rsidRPr="00E86F85">
        <w:t xml:space="preserve"> </w:t>
      </w:r>
      <w:r>
        <w:t xml:space="preserve"> </w:t>
      </w:r>
      <w:r w:rsidRPr="00E86F85">
        <w:t>However,</w:t>
      </w:r>
      <w:r w:rsidRPr="003C2E62">
        <w:t xml:space="preserve"> as noted above and indicated in its MCC Petition, FPL now estimates its average cost of natural gas in 202</w:t>
      </w:r>
      <w:r>
        <w:t>4</w:t>
      </w:r>
      <w:r w:rsidRPr="003C2E62">
        <w:t xml:space="preserve"> wil</w:t>
      </w:r>
      <w:r w:rsidRPr="00680F0A">
        <w:t>l be $4.17 per MMBtu,</w:t>
      </w:r>
      <w:r w:rsidRPr="003C2E62">
        <w:t xml:space="preserve"> representing a decreas</w:t>
      </w:r>
      <w:r w:rsidRPr="0020345C">
        <w:t xml:space="preserve">e </w:t>
      </w:r>
      <w:r w:rsidRPr="00680F0A">
        <w:t>of 20.0 percent.</w:t>
      </w:r>
      <w:r w:rsidRPr="0020345C">
        <w:rPr>
          <w:rStyle w:val="FootnoteReference"/>
        </w:rPr>
        <w:footnoteReference w:id="20"/>
      </w:r>
      <w:r w:rsidRPr="0020345C">
        <w:t xml:space="preserve"> </w:t>
      </w:r>
      <w:r>
        <w:t xml:space="preserve"> </w:t>
      </w:r>
      <w:r w:rsidRPr="0020345C">
        <w:t>The up</w:t>
      </w:r>
      <w:r w:rsidRPr="003C2E62">
        <w:t>dated cost estimate was based on natural gas futures</w:t>
      </w:r>
      <w:r>
        <w:t>/prices</w:t>
      </w:r>
      <w:r w:rsidRPr="003C2E62">
        <w:t xml:space="preserve"> sou</w:t>
      </w:r>
      <w:r w:rsidRPr="00425D11">
        <w:t xml:space="preserve">rced on </w:t>
      </w:r>
      <w:r w:rsidRPr="007B56BB">
        <w:t>March 1,</w:t>
      </w:r>
      <w:r>
        <w:t xml:space="preserve"> </w:t>
      </w:r>
      <w:r w:rsidR="00C221AE" w:rsidRPr="007B56BB">
        <w:t>2024, or roughly seven months lat</w:t>
      </w:r>
      <w:r w:rsidR="00C221AE">
        <w:t xml:space="preserve">er than the previous estimate </w:t>
      </w:r>
      <w:r w:rsidR="00C221AE" w:rsidRPr="00425D11">
        <w:t>used to set current rates.</w:t>
      </w:r>
      <w:r w:rsidR="00C221AE" w:rsidRPr="00425D11">
        <w:rPr>
          <w:rStyle w:val="FootnoteReference"/>
        </w:rPr>
        <w:footnoteReference w:id="21"/>
      </w:r>
      <w:r w:rsidR="00C221AE">
        <w:t xml:space="preserve"> Natural gas-fired generation is projected to comprise approximatel</w:t>
      </w:r>
      <w:r w:rsidR="00C221AE" w:rsidRPr="005F2B7D">
        <w:t>y 7</w:t>
      </w:r>
      <w:r w:rsidR="00C221AE">
        <w:t>0</w:t>
      </w:r>
      <w:r w:rsidR="00C221AE" w:rsidRPr="005F2B7D">
        <w:t>.</w:t>
      </w:r>
      <w:r w:rsidR="00C221AE">
        <w:t>2</w:t>
      </w:r>
      <w:r w:rsidR="00C221AE" w:rsidRPr="005F2B7D">
        <w:t xml:space="preserve"> percent of FPL’s g</w:t>
      </w:r>
      <w:r w:rsidR="00C221AE">
        <w:t>eneration mix in 2024.</w:t>
      </w:r>
      <w:r w:rsidR="00C221AE">
        <w:rPr>
          <w:rStyle w:val="FootnoteReference"/>
        </w:rPr>
        <w:footnoteReference w:id="22"/>
      </w:r>
    </w:p>
    <w:p w:rsidR="00C221AE" w:rsidRDefault="00C221AE" w:rsidP="00C221AE">
      <w:pPr>
        <w:pStyle w:val="BodyText"/>
        <w:spacing w:after="0"/>
        <w:jc w:val="both"/>
      </w:pPr>
    </w:p>
    <w:p w:rsidR="00C221AE" w:rsidRDefault="00C221AE" w:rsidP="00C221AE">
      <w:pPr>
        <w:pStyle w:val="BodyText"/>
        <w:spacing w:after="0"/>
        <w:ind w:firstLine="720"/>
        <w:jc w:val="both"/>
        <w:rPr>
          <w:u w:val="single"/>
        </w:rPr>
      </w:pPr>
      <w:r w:rsidRPr="00C221AE">
        <w:rPr>
          <w:u w:val="single"/>
        </w:rPr>
        <w:t>Recovery Period and Interest Premium</w:t>
      </w:r>
    </w:p>
    <w:p w:rsidR="00C221AE" w:rsidRPr="00C221AE" w:rsidRDefault="00C221AE" w:rsidP="00C221AE">
      <w:pPr>
        <w:pStyle w:val="BodyText"/>
        <w:spacing w:after="0"/>
        <w:ind w:firstLine="720"/>
        <w:jc w:val="both"/>
        <w:rPr>
          <w:u w:val="single"/>
        </w:rPr>
      </w:pPr>
    </w:p>
    <w:p w:rsidR="00C221AE" w:rsidRPr="00DD6480" w:rsidRDefault="00C221AE" w:rsidP="00C221AE">
      <w:pPr>
        <w:pStyle w:val="BodyText"/>
        <w:spacing w:after="0"/>
        <w:ind w:firstLine="720"/>
        <w:jc w:val="both"/>
      </w:pPr>
      <w:r>
        <w:t>As proposed</w:t>
      </w:r>
      <w:r w:rsidRPr="00DD6480">
        <w:t>, FPL’s r</w:t>
      </w:r>
      <w:r>
        <w:t>efund period for its projected 2024 over-recovery is</w:t>
      </w:r>
      <w:r w:rsidRPr="00DD6480">
        <w:t xml:space="preserve"> </w:t>
      </w:r>
      <w:r w:rsidRPr="009928AD">
        <w:t>8 months (beginning May 2024 and ending December 2024).</w:t>
      </w:r>
      <w:r w:rsidRPr="009928AD">
        <w:rPr>
          <w:vertAlign w:val="superscript"/>
        </w:rPr>
        <w:footnoteReference w:id="23"/>
      </w:r>
      <w:r w:rsidRPr="009928AD">
        <w:t xml:space="preserve"> </w:t>
      </w:r>
      <w:r>
        <w:t xml:space="preserve"> </w:t>
      </w:r>
      <w:r w:rsidRPr="009928AD">
        <w:t>FPL utilized the 30-day AA Financial Commercial Paper</w:t>
      </w:r>
      <w:r w:rsidRPr="00DD6480">
        <w:t xml:space="preserve"> R</w:t>
      </w:r>
      <w:r w:rsidRPr="00897795">
        <w:t>ate published by the Commission to deter</w:t>
      </w:r>
      <w:r>
        <w:t>mine its actual 2023 and 2024 (January and February)</w:t>
      </w:r>
      <w:r w:rsidRPr="00DD6480">
        <w:t xml:space="preserve"> interest amount</w:t>
      </w:r>
      <w:r>
        <w:t>s</w:t>
      </w:r>
      <w:r w:rsidRPr="00DD6480">
        <w:t>.</w:t>
      </w:r>
      <w:r>
        <w:rPr>
          <w:rStyle w:val="FootnoteReference"/>
        </w:rPr>
        <w:footnoteReference w:id="24"/>
      </w:r>
      <w:r>
        <w:t xml:space="preserve">  The projected 2024 monthly</w:t>
      </w:r>
      <w:r w:rsidRPr="00DD6480">
        <w:t xml:space="preserve"> in</w:t>
      </w:r>
      <w:r w:rsidRPr="00254B65">
        <w:t xml:space="preserve">terest rate was assumed for all </w:t>
      </w:r>
      <w:r>
        <w:t xml:space="preserve">forward </w:t>
      </w:r>
      <w:r w:rsidRPr="00254B65">
        <w:t>months by using the 30-day AA Financial Commercial Paper Rate published on the first business day of March 2024 of 0.441 percent (monthly).</w:t>
      </w:r>
      <w:r w:rsidRPr="00254B65">
        <w:rPr>
          <w:vertAlign w:val="superscript"/>
        </w:rPr>
        <w:footnoteReference w:id="25"/>
      </w:r>
    </w:p>
    <w:p w:rsidR="00C221AE" w:rsidRPr="00350DF2" w:rsidRDefault="00C221AE" w:rsidP="00C221AE">
      <w:pPr>
        <w:pStyle w:val="BodyText"/>
        <w:spacing w:after="0"/>
        <w:jc w:val="both"/>
      </w:pPr>
    </w:p>
    <w:p w:rsidR="00C221AE" w:rsidRDefault="00C221AE" w:rsidP="00C221AE">
      <w:pPr>
        <w:pStyle w:val="BodyText"/>
        <w:spacing w:after="0"/>
        <w:ind w:firstLine="720"/>
        <w:jc w:val="both"/>
        <w:rPr>
          <w:u w:val="single"/>
        </w:rPr>
      </w:pPr>
      <w:r w:rsidRPr="00C221AE">
        <w:rPr>
          <w:u w:val="single"/>
        </w:rPr>
        <w:t>Mid-Course Correction Percentage</w:t>
      </w:r>
    </w:p>
    <w:p w:rsidR="00C221AE" w:rsidRPr="00C221AE" w:rsidRDefault="00C221AE" w:rsidP="00C221AE">
      <w:pPr>
        <w:pStyle w:val="BodyText"/>
        <w:spacing w:after="0"/>
        <w:ind w:firstLine="720"/>
        <w:jc w:val="both"/>
        <w:rPr>
          <w:u w:val="single"/>
        </w:rPr>
      </w:pPr>
    </w:p>
    <w:p w:rsidR="00C221AE" w:rsidRPr="00350DF2" w:rsidRDefault="00C221AE" w:rsidP="00C221AE">
      <w:pPr>
        <w:pStyle w:val="BodyText"/>
        <w:spacing w:after="0"/>
        <w:ind w:firstLine="720"/>
        <w:jc w:val="both"/>
        <w:rPr>
          <w:b/>
        </w:rPr>
      </w:pPr>
      <w:r w:rsidRPr="00A47188">
        <w:t xml:space="preserve">Following the methodology prescribed in Rule 25-6.0424(1)(a), F.A.C., the mid-course percentage is equal to the estimated end-of-period total net true-up, including interest, divided by the current period’s total actual and estimated jurisdictional fuel revenue applicable to period, or </w:t>
      </w:r>
      <w:r>
        <w:t>$661,767,174</w:t>
      </w:r>
      <w:r w:rsidRPr="0069313F">
        <w:t xml:space="preserve"> / $3,362,375,577.</w:t>
      </w:r>
      <w:r w:rsidRPr="0069313F">
        <w:rPr>
          <w:rStyle w:val="FootnoteReference"/>
        </w:rPr>
        <w:footnoteReference w:id="26"/>
      </w:r>
      <w:r w:rsidRPr="0069313F">
        <w:t xml:space="preserve"> </w:t>
      </w:r>
      <w:r>
        <w:t xml:space="preserve"> </w:t>
      </w:r>
      <w:r w:rsidRPr="0069313F">
        <w:t xml:space="preserve">This calculation results in a mid-course correction level of </w:t>
      </w:r>
      <w:r>
        <w:t xml:space="preserve">approximately </w:t>
      </w:r>
      <w:r w:rsidRPr="0069313F">
        <w:t>19.7</w:t>
      </w:r>
      <w:r w:rsidRPr="00A47188">
        <w:t xml:space="preserve"> percent at D</w:t>
      </w:r>
      <w:r>
        <w:t>ecember 31, 2024</w:t>
      </w:r>
      <w:r w:rsidRPr="00A47188">
        <w:t>.</w:t>
      </w:r>
    </w:p>
    <w:p w:rsidR="00C221AE" w:rsidRPr="00C503ED" w:rsidRDefault="00C221AE" w:rsidP="00C221AE">
      <w:pPr>
        <w:pStyle w:val="BodyText"/>
        <w:spacing w:after="0"/>
        <w:jc w:val="both"/>
        <w:rPr>
          <w:highlight w:val="yellow"/>
        </w:rPr>
      </w:pPr>
    </w:p>
    <w:p w:rsidR="00C221AE" w:rsidRPr="00C221AE" w:rsidRDefault="00C221AE" w:rsidP="00C221AE">
      <w:pPr>
        <w:pStyle w:val="BodyText"/>
        <w:spacing w:after="0"/>
        <w:ind w:firstLine="720"/>
        <w:jc w:val="both"/>
        <w:rPr>
          <w:u w:val="single"/>
        </w:rPr>
      </w:pPr>
      <w:r w:rsidRPr="00C221AE">
        <w:rPr>
          <w:u w:val="single"/>
        </w:rPr>
        <w:t>Fuel Factor</w:t>
      </w:r>
    </w:p>
    <w:p w:rsidR="00C221AE" w:rsidRDefault="00C221AE" w:rsidP="00C221AE">
      <w:pPr>
        <w:pStyle w:val="BodyText"/>
        <w:spacing w:after="0"/>
        <w:jc w:val="both"/>
      </w:pPr>
    </w:p>
    <w:p w:rsidR="00C221AE" w:rsidRPr="00A14EBD" w:rsidRDefault="00C221AE" w:rsidP="00C221AE">
      <w:pPr>
        <w:pStyle w:val="BodyText"/>
        <w:spacing w:after="0"/>
        <w:ind w:firstLine="720"/>
        <w:jc w:val="both"/>
      </w:pPr>
      <w:r w:rsidRPr="00425D11">
        <w:t xml:space="preserve">FPL’s currently-approved annual levelized fuel factor beginning with the </w:t>
      </w:r>
      <w:r>
        <w:t>first February</w:t>
      </w:r>
      <w:r w:rsidRPr="00425D11">
        <w:t xml:space="preserve"> 202</w:t>
      </w:r>
      <w:r>
        <w:t>4</w:t>
      </w:r>
      <w:r w:rsidRPr="00425D11">
        <w:t xml:space="preserve"> </w:t>
      </w:r>
      <w:r w:rsidRPr="00D53424">
        <w:t xml:space="preserve">billing cycle is </w:t>
      </w:r>
      <w:r w:rsidRPr="00A14EBD">
        <w:t>3.718 cents per kilowatt-hour</w:t>
      </w:r>
      <w:r w:rsidRPr="00D53424">
        <w:t xml:space="preserve"> (kWh).</w:t>
      </w:r>
      <w:r w:rsidRPr="00D53424">
        <w:rPr>
          <w:rStyle w:val="FootnoteReference"/>
        </w:rPr>
        <w:footnoteReference w:id="27"/>
      </w:r>
      <w:r>
        <w:t xml:space="preserve">  The Company is requesting to de</w:t>
      </w:r>
      <w:r w:rsidRPr="00D53424">
        <w:t xml:space="preserve">crease its </w:t>
      </w:r>
      <w:r w:rsidRPr="0020345C">
        <w:t>currently-approved 202</w:t>
      </w:r>
      <w:r>
        <w:t>4 annual levelized fuel factor beginning May</w:t>
      </w:r>
      <w:r w:rsidRPr="0020345C">
        <w:t xml:space="preserve"> 2</w:t>
      </w:r>
      <w:r>
        <w:t>024</w:t>
      </w:r>
      <w:r w:rsidRPr="0020345C">
        <w:t xml:space="preserve"> to </w:t>
      </w:r>
      <w:r w:rsidRPr="00A14EBD">
        <w:t>2.970 cents per kWh, a decrease of approximately 20.1 percent.</w:t>
      </w:r>
      <w:r w:rsidRPr="00A14EBD">
        <w:rPr>
          <w:rStyle w:val="FootnoteReference"/>
        </w:rPr>
        <w:footnoteReference w:id="28"/>
      </w:r>
    </w:p>
    <w:p w:rsidR="00C221AE" w:rsidRPr="00C503ED" w:rsidRDefault="00C221AE" w:rsidP="00C221AE">
      <w:pPr>
        <w:pStyle w:val="BodyText"/>
        <w:spacing w:after="0"/>
        <w:jc w:val="both"/>
        <w:rPr>
          <w:highlight w:val="yellow"/>
        </w:rPr>
      </w:pPr>
    </w:p>
    <w:p w:rsidR="00C221AE" w:rsidRDefault="00C221AE">
      <w:pPr>
        <w:rPr>
          <w:rFonts w:ascii="Arial" w:hAnsi="Arial" w:cs="Arial"/>
          <w:b/>
          <w:bCs/>
          <w:i/>
          <w:iCs/>
        </w:rPr>
      </w:pPr>
      <w:r>
        <w:rPr>
          <w:rFonts w:ascii="Arial" w:hAnsi="Arial" w:cs="Arial"/>
          <w:b/>
          <w:bCs/>
          <w:i/>
          <w:iCs/>
        </w:rPr>
        <w:br w:type="page"/>
      </w:r>
    </w:p>
    <w:p w:rsidR="00C221AE" w:rsidRPr="00C221AE" w:rsidRDefault="00C221AE" w:rsidP="00C221AE">
      <w:pPr>
        <w:pStyle w:val="BodyText"/>
        <w:spacing w:after="0"/>
        <w:ind w:firstLine="720"/>
        <w:jc w:val="both"/>
        <w:rPr>
          <w:bCs/>
          <w:iCs/>
          <w:u w:val="single"/>
        </w:rPr>
      </w:pPr>
      <w:r w:rsidRPr="00C221AE">
        <w:rPr>
          <w:bCs/>
          <w:iCs/>
          <w:u w:val="single"/>
        </w:rPr>
        <w:lastRenderedPageBreak/>
        <w:t>Bill Impacts</w:t>
      </w:r>
    </w:p>
    <w:p w:rsidR="00C221AE" w:rsidRDefault="00C221AE" w:rsidP="00C221AE">
      <w:pPr>
        <w:pStyle w:val="BodyText"/>
        <w:spacing w:after="0"/>
        <w:jc w:val="both"/>
        <w:rPr>
          <w:u w:val="single"/>
        </w:rPr>
      </w:pPr>
    </w:p>
    <w:p w:rsidR="00C221AE" w:rsidRDefault="00C221AE" w:rsidP="00C221AE">
      <w:pPr>
        <w:pStyle w:val="BodyText"/>
        <w:spacing w:after="0"/>
        <w:ind w:firstLine="720"/>
        <w:jc w:val="both"/>
      </w:pPr>
      <w:r w:rsidRPr="00F40F47">
        <w:t>I</w:t>
      </w:r>
      <w:r>
        <w:t>n Tables 1 and 2</w:t>
      </w:r>
      <w:r w:rsidRPr="00333DC7">
        <w:t xml:space="preserve"> bel</w:t>
      </w:r>
      <w:r>
        <w:t xml:space="preserve">ow, </w:t>
      </w:r>
      <w:r w:rsidRPr="00333DC7">
        <w:t>the bill impacts of the MCC o</w:t>
      </w:r>
      <w:r w:rsidR="006E0492">
        <w:t>n</w:t>
      </w:r>
      <w:r w:rsidRPr="00333DC7">
        <w:t xml:space="preserve"> typical residential customers using 1,000 kWh of electricity</w:t>
      </w:r>
      <w:r>
        <w:t xml:space="preserve"> a month in FPL’s Peninsular </w:t>
      </w:r>
      <w:r w:rsidRPr="00333DC7">
        <w:t>service territory and FPL’s Northwest (former Gulf Power Compan</w:t>
      </w:r>
      <w:r w:rsidRPr="00394121">
        <w:t>y) service territory</w:t>
      </w:r>
      <w:r>
        <w:t xml:space="preserve"> are shown. </w:t>
      </w:r>
      <w:r w:rsidR="006E0492">
        <w:t xml:space="preserve"> </w:t>
      </w:r>
    </w:p>
    <w:tbl>
      <w:tblPr>
        <w:tblW w:w="4887" w:type="pct"/>
        <w:tblInd w:w="108" w:type="dxa"/>
        <w:tblLook w:val="04A0" w:firstRow="1" w:lastRow="0" w:firstColumn="1" w:lastColumn="0" w:noHBand="0" w:noVBand="1"/>
      </w:tblPr>
      <w:tblGrid>
        <w:gridCol w:w="3600"/>
        <w:gridCol w:w="1441"/>
        <w:gridCol w:w="1432"/>
        <w:gridCol w:w="1496"/>
        <w:gridCol w:w="1391"/>
      </w:tblGrid>
      <w:tr w:rsidR="006E0492" w:rsidRPr="004B191B" w:rsidTr="00684876">
        <w:trPr>
          <w:cantSplit/>
          <w:trHeight w:val="310"/>
          <w:tblHeader/>
        </w:trPr>
        <w:tc>
          <w:tcPr>
            <w:tcW w:w="5000" w:type="pct"/>
            <w:gridSpan w:val="5"/>
            <w:tcBorders>
              <w:top w:val="nil"/>
              <w:left w:val="nil"/>
              <w:bottom w:val="nil"/>
              <w:right w:val="nil"/>
            </w:tcBorders>
            <w:shd w:val="clear" w:color="auto" w:fill="auto"/>
            <w:vAlign w:val="center"/>
            <w:hideMark/>
          </w:tcPr>
          <w:p w:rsidR="006E0492" w:rsidRPr="006E0492" w:rsidRDefault="006E0492" w:rsidP="00684876">
            <w:pPr>
              <w:jc w:val="center"/>
              <w:rPr>
                <w:bCs/>
                <w:color w:val="000000"/>
                <w:sz w:val="10"/>
              </w:rPr>
            </w:pPr>
          </w:p>
          <w:p w:rsidR="006E0492" w:rsidRPr="006E0492" w:rsidRDefault="006E0492" w:rsidP="006E0492">
            <w:pPr>
              <w:jc w:val="center"/>
              <w:rPr>
                <w:bCs/>
                <w:color w:val="000000"/>
              </w:rPr>
            </w:pPr>
            <w:r w:rsidRPr="006E0492">
              <w:rPr>
                <w:bCs/>
                <w:color w:val="000000"/>
              </w:rPr>
              <w:t>Table 1</w:t>
            </w:r>
          </w:p>
          <w:p w:rsidR="006E0492" w:rsidRPr="006E0492" w:rsidRDefault="006E0492" w:rsidP="006E0492">
            <w:pPr>
              <w:jc w:val="center"/>
              <w:rPr>
                <w:bCs/>
                <w:color w:val="000000"/>
              </w:rPr>
            </w:pPr>
            <w:r w:rsidRPr="006E0492">
              <w:rPr>
                <w:bCs/>
                <w:color w:val="000000"/>
              </w:rPr>
              <w:t>FPL Peninsular Service Territory</w:t>
            </w:r>
          </w:p>
        </w:tc>
      </w:tr>
      <w:tr w:rsidR="006E0492" w:rsidRPr="004B191B" w:rsidTr="00684876">
        <w:trPr>
          <w:cantSplit/>
          <w:trHeight w:val="320"/>
          <w:tblHeader/>
        </w:trPr>
        <w:tc>
          <w:tcPr>
            <w:tcW w:w="5000" w:type="pct"/>
            <w:gridSpan w:val="5"/>
            <w:tcBorders>
              <w:top w:val="nil"/>
              <w:left w:val="nil"/>
              <w:bottom w:val="single" w:sz="4" w:space="0" w:color="auto"/>
              <w:right w:val="nil"/>
            </w:tcBorders>
            <w:shd w:val="clear" w:color="auto" w:fill="auto"/>
            <w:vAlign w:val="center"/>
            <w:hideMark/>
          </w:tcPr>
          <w:p w:rsidR="006E0492" w:rsidRPr="006E0492" w:rsidRDefault="006E0492" w:rsidP="00684876">
            <w:pPr>
              <w:jc w:val="center"/>
              <w:rPr>
                <w:bCs/>
                <w:color w:val="000000"/>
              </w:rPr>
            </w:pPr>
            <w:r w:rsidRPr="006E0492">
              <w:rPr>
                <w:bCs/>
                <w:color w:val="000000"/>
              </w:rPr>
              <w:t>Monthly Residential Billing Detail for the First 1,000 kWh</w:t>
            </w:r>
          </w:p>
        </w:tc>
      </w:tr>
      <w:tr w:rsidR="006E0492" w:rsidRPr="00DF18E6" w:rsidTr="00684876">
        <w:trPr>
          <w:cantSplit/>
          <w:trHeight w:val="1240"/>
          <w:tblHeader/>
        </w:trPr>
        <w:tc>
          <w:tcPr>
            <w:tcW w:w="19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0492" w:rsidRPr="00DF18E6" w:rsidRDefault="006E0492" w:rsidP="00684876">
            <w:pPr>
              <w:jc w:val="center"/>
              <w:rPr>
                <w:b/>
                <w:bCs/>
                <w:color w:val="000000"/>
                <w:sz w:val="22"/>
                <w:szCs w:val="22"/>
              </w:rPr>
            </w:pPr>
            <w:r w:rsidRPr="00DF18E6">
              <w:rPr>
                <w:b/>
                <w:bCs/>
                <w:color w:val="000000"/>
                <w:sz w:val="22"/>
                <w:szCs w:val="22"/>
              </w:rPr>
              <w:t>Invoice Component</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0492" w:rsidRPr="00DF18E6" w:rsidRDefault="006E0492" w:rsidP="00684876">
            <w:pPr>
              <w:jc w:val="center"/>
              <w:rPr>
                <w:b/>
                <w:bCs/>
                <w:color w:val="000000"/>
                <w:sz w:val="22"/>
                <w:szCs w:val="22"/>
              </w:rPr>
            </w:pPr>
            <w:r w:rsidRPr="00DF18E6">
              <w:rPr>
                <w:b/>
                <w:bCs/>
                <w:color w:val="000000"/>
                <w:sz w:val="22"/>
                <w:szCs w:val="22"/>
              </w:rPr>
              <w:t>Currently-Approved Charges</w:t>
            </w:r>
          </w:p>
          <w:p w:rsidR="006E0492" w:rsidRPr="00DF18E6" w:rsidRDefault="006E0492" w:rsidP="00684876">
            <w:pPr>
              <w:jc w:val="center"/>
              <w:rPr>
                <w:b/>
                <w:bCs/>
                <w:color w:val="000000"/>
                <w:sz w:val="22"/>
                <w:szCs w:val="22"/>
              </w:rPr>
            </w:pPr>
            <w:r>
              <w:rPr>
                <w:b/>
                <w:bCs/>
                <w:color w:val="000000"/>
                <w:sz w:val="22"/>
                <w:szCs w:val="22"/>
              </w:rPr>
              <w:t>April 2024</w:t>
            </w:r>
          </w:p>
          <w:p w:rsidR="006E0492" w:rsidRPr="00DF18E6" w:rsidRDefault="006E0492" w:rsidP="00684876">
            <w:pPr>
              <w:jc w:val="center"/>
              <w:rPr>
                <w:b/>
                <w:bCs/>
                <w:color w:val="000000"/>
                <w:sz w:val="22"/>
                <w:szCs w:val="22"/>
              </w:rPr>
            </w:pPr>
            <w:r w:rsidRPr="00DF18E6">
              <w:rPr>
                <w:b/>
                <w:bCs/>
                <w:color w:val="000000"/>
                <w:sz w:val="22"/>
                <w:szCs w:val="22"/>
              </w:rPr>
              <w:t>($)</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0492" w:rsidRPr="00DB2CD1" w:rsidRDefault="006E0492" w:rsidP="00684876">
            <w:pPr>
              <w:jc w:val="center"/>
              <w:rPr>
                <w:b/>
                <w:bCs/>
                <w:color w:val="000000"/>
                <w:sz w:val="22"/>
              </w:rPr>
            </w:pPr>
            <w:r w:rsidRPr="00DB2CD1">
              <w:rPr>
                <w:b/>
                <w:bCs/>
                <w:color w:val="000000"/>
                <w:sz w:val="22"/>
              </w:rPr>
              <w:t xml:space="preserve">Proposed Charges </w:t>
            </w:r>
          </w:p>
          <w:p w:rsidR="006E0492" w:rsidRPr="00DB2CD1" w:rsidRDefault="006E0492" w:rsidP="00684876">
            <w:pPr>
              <w:jc w:val="center"/>
              <w:rPr>
                <w:b/>
                <w:bCs/>
                <w:color w:val="000000"/>
                <w:sz w:val="22"/>
              </w:rPr>
            </w:pPr>
            <w:r w:rsidRPr="00DB2CD1">
              <w:rPr>
                <w:b/>
                <w:bCs/>
                <w:color w:val="000000"/>
                <w:sz w:val="22"/>
              </w:rPr>
              <w:t>Beginning</w:t>
            </w:r>
          </w:p>
          <w:p w:rsidR="006E0492" w:rsidRPr="00DB2CD1" w:rsidRDefault="006E0492" w:rsidP="00684876">
            <w:pPr>
              <w:jc w:val="center"/>
              <w:rPr>
                <w:b/>
                <w:bCs/>
                <w:color w:val="000000"/>
                <w:sz w:val="22"/>
              </w:rPr>
            </w:pPr>
            <w:r>
              <w:rPr>
                <w:b/>
                <w:bCs/>
                <w:color w:val="000000"/>
                <w:sz w:val="22"/>
              </w:rPr>
              <w:t>May 2024</w:t>
            </w:r>
          </w:p>
          <w:p w:rsidR="006E0492" w:rsidRPr="00DF18E6" w:rsidRDefault="006E0492" w:rsidP="00684876">
            <w:pPr>
              <w:jc w:val="center"/>
              <w:rPr>
                <w:b/>
                <w:bCs/>
                <w:color w:val="000000"/>
                <w:sz w:val="22"/>
                <w:szCs w:val="22"/>
              </w:rPr>
            </w:pPr>
            <w:r w:rsidRPr="00DF18E6">
              <w:rPr>
                <w:b/>
                <w:bCs/>
                <w:color w:val="000000"/>
                <w:sz w:val="22"/>
                <w:szCs w:val="22"/>
              </w:rPr>
              <w:t xml:space="preserve"> ($)</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0492" w:rsidRPr="00DF18E6" w:rsidRDefault="006E0492" w:rsidP="00684876">
            <w:pPr>
              <w:jc w:val="center"/>
              <w:rPr>
                <w:b/>
                <w:bCs/>
                <w:color w:val="000000"/>
                <w:sz w:val="22"/>
                <w:szCs w:val="22"/>
              </w:rPr>
            </w:pPr>
            <w:r w:rsidRPr="00DF18E6">
              <w:rPr>
                <w:b/>
                <w:bCs/>
                <w:color w:val="000000"/>
                <w:sz w:val="22"/>
                <w:szCs w:val="22"/>
              </w:rPr>
              <w:t>Difference</w:t>
            </w:r>
          </w:p>
          <w:p w:rsidR="006E0492" w:rsidRPr="00DF18E6" w:rsidRDefault="006E0492" w:rsidP="00684876">
            <w:pPr>
              <w:jc w:val="center"/>
              <w:rPr>
                <w:b/>
                <w:bCs/>
                <w:color w:val="000000"/>
                <w:sz w:val="22"/>
                <w:szCs w:val="22"/>
              </w:rPr>
            </w:pPr>
            <w:r w:rsidRPr="00DF18E6">
              <w:rPr>
                <w:b/>
                <w:bCs/>
                <w:color w:val="000000"/>
                <w:sz w:val="22"/>
                <w:szCs w:val="22"/>
              </w:rPr>
              <w:t>($)</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0492" w:rsidRPr="00DF18E6" w:rsidRDefault="006E0492" w:rsidP="00684876">
            <w:pPr>
              <w:jc w:val="center"/>
              <w:rPr>
                <w:b/>
                <w:bCs/>
                <w:color w:val="000000"/>
                <w:sz w:val="22"/>
                <w:szCs w:val="22"/>
              </w:rPr>
            </w:pPr>
            <w:r w:rsidRPr="00DF18E6">
              <w:rPr>
                <w:b/>
                <w:bCs/>
                <w:color w:val="000000"/>
                <w:sz w:val="22"/>
                <w:szCs w:val="22"/>
              </w:rPr>
              <w:t>Difference</w:t>
            </w:r>
          </w:p>
          <w:p w:rsidR="006E0492" w:rsidRPr="00DF18E6" w:rsidRDefault="006E0492" w:rsidP="00684876">
            <w:pPr>
              <w:jc w:val="center"/>
              <w:rPr>
                <w:b/>
                <w:bCs/>
                <w:color w:val="000000"/>
                <w:sz w:val="22"/>
                <w:szCs w:val="22"/>
              </w:rPr>
            </w:pPr>
            <w:r w:rsidRPr="00DF18E6">
              <w:rPr>
                <w:b/>
                <w:bCs/>
                <w:color w:val="000000"/>
                <w:sz w:val="22"/>
                <w:szCs w:val="22"/>
              </w:rPr>
              <w:t>(%)</w:t>
            </w:r>
          </w:p>
        </w:tc>
      </w:tr>
      <w:tr w:rsidR="006E0492" w:rsidRPr="00DF18E6" w:rsidTr="00684876">
        <w:trPr>
          <w:trHeight w:val="300"/>
        </w:trPr>
        <w:tc>
          <w:tcPr>
            <w:tcW w:w="19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492" w:rsidRPr="00DF18E6" w:rsidRDefault="006E0492" w:rsidP="00684876">
            <w:pPr>
              <w:rPr>
                <w:color w:val="000000"/>
                <w:sz w:val="22"/>
                <w:szCs w:val="22"/>
              </w:rPr>
            </w:pPr>
            <w:r w:rsidRPr="00DF18E6">
              <w:rPr>
                <w:color w:val="000000"/>
                <w:sz w:val="22"/>
                <w:szCs w:val="22"/>
              </w:rPr>
              <w:t>Base Charge</w:t>
            </w:r>
          </w:p>
        </w:tc>
        <w:tc>
          <w:tcPr>
            <w:tcW w:w="770"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jc w:val="right"/>
              <w:rPr>
                <w:color w:val="000000"/>
                <w:sz w:val="22"/>
                <w:szCs w:val="22"/>
              </w:rPr>
            </w:pPr>
            <w:r>
              <w:rPr>
                <w:color w:val="000000"/>
                <w:sz w:val="22"/>
                <w:szCs w:val="22"/>
              </w:rPr>
              <w:t>$80.72</w:t>
            </w:r>
          </w:p>
        </w:tc>
        <w:tc>
          <w:tcPr>
            <w:tcW w:w="765"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jc w:val="right"/>
              <w:rPr>
                <w:color w:val="000000"/>
                <w:sz w:val="22"/>
                <w:szCs w:val="22"/>
              </w:rPr>
            </w:pPr>
            <w:r>
              <w:rPr>
                <w:color w:val="000000"/>
                <w:sz w:val="22"/>
                <w:szCs w:val="22"/>
              </w:rPr>
              <w:t>$80.72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B16CD8" w:rsidRDefault="006E0492" w:rsidP="00684876">
            <w:pPr>
              <w:jc w:val="right"/>
              <w:rPr>
                <w:sz w:val="22"/>
                <w:szCs w:val="22"/>
              </w:rPr>
            </w:pPr>
            <w:r>
              <w:rPr>
                <w:sz w:val="22"/>
                <w:szCs w:val="22"/>
              </w:rPr>
              <w:t>$0.00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B16CD8" w:rsidRDefault="006E0492" w:rsidP="00684876">
            <w:pPr>
              <w:jc w:val="right"/>
              <w:rPr>
                <w:sz w:val="22"/>
                <w:szCs w:val="22"/>
              </w:rPr>
            </w:pPr>
            <w:r>
              <w:rPr>
                <w:sz w:val="22"/>
                <w:szCs w:val="22"/>
              </w:rPr>
              <w:t>0.0%</w:t>
            </w:r>
          </w:p>
        </w:tc>
      </w:tr>
      <w:tr w:rsidR="006E0492" w:rsidRPr="00DF18E6" w:rsidTr="00684876">
        <w:trPr>
          <w:trHeight w:val="300"/>
        </w:trPr>
        <w:tc>
          <w:tcPr>
            <w:tcW w:w="19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492" w:rsidRPr="00DF18E6" w:rsidRDefault="006E0492" w:rsidP="00684876">
            <w:pPr>
              <w:rPr>
                <w:color w:val="000000"/>
                <w:sz w:val="22"/>
                <w:szCs w:val="22"/>
              </w:rPr>
            </w:pPr>
            <w:r w:rsidRPr="00DF18E6">
              <w:rPr>
                <w:color w:val="000000"/>
                <w:sz w:val="22"/>
                <w:szCs w:val="22"/>
              </w:rPr>
              <w:t>Fuel Charge</w:t>
            </w:r>
          </w:p>
        </w:tc>
        <w:tc>
          <w:tcPr>
            <w:tcW w:w="770"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jc w:val="right"/>
              <w:rPr>
                <w:color w:val="000000"/>
                <w:sz w:val="22"/>
                <w:szCs w:val="22"/>
              </w:rPr>
            </w:pPr>
            <w:r>
              <w:rPr>
                <w:color w:val="000000"/>
                <w:sz w:val="22"/>
                <w:szCs w:val="22"/>
              </w:rPr>
              <w:t>34.19</w:t>
            </w:r>
          </w:p>
        </w:tc>
        <w:tc>
          <w:tcPr>
            <w:tcW w:w="765"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jc w:val="right"/>
              <w:rPr>
                <w:color w:val="000000"/>
                <w:sz w:val="22"/>
                <w:szCs w:val="22"/>
              </w:rPr>
            </w:pPr>
            <w:r>
              <w:rPr>
                <w:color w:val="000000"/>
                <w:sz w:val="22"/>
                <w:szCs w:val="22"/>
              </w:rPr>
              <w:t>26.70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jc w:val="right"/>
              <w:rPr>
                <w:sz w:val="22"/>
                <w:szCs w:val="22"/>
              </w:rPr>
            </w:pPr>
            <w:r>
              <w:rPr>
                <w:sz w:val="22"/>
                <w:szCs w:val="22"/>
              </w:rPr>
              <w:t>(7.49)</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jc w:val="right"/>
              <w:rPr>
                <w:sz w:val="22"/>
                <w:szCs w:val="22"/>
              </w:rPr>
            </w:pPr>
            <w:r>
              <w:rPr>
                <w:sz w:val="22"/>
                <w:szCs w:val="22"/>
              </w:rPr>
              <w:t>(21.9%)</w:t>
            </w:r>
          </w:p>
        </w:tc>
      </w:tr>
      <w:tr w:rsidR="006E0492" w:rsidRPr="00DF18E6" w:rsidTr="00684876">
        <w:trPr>
          <w:trHeight w:val="300"/>
        </w:trPr>
        <w:tc>
          <w:tcPr>
            <w:tcW w:w="19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492" w:rsidRPr="00DF18E6" w:rsidRDefault="006E0492" w:rsidP="00684876">
            <w:pPr>
              <w:rPr>
                <w:color w:val="000000"/>
                <w:sz w:val="22"/>
                <w:szCs w:val="22"/>
              </w:rPr>
            </w:pPr>
            <w:r w:rsidRPr="00DF18E6">
              <w:rPr>
                <w:color w:val="000000"/>
                <w:sz w:val="22"/>
                <w:szCs w:val="22"/>
              </w:rPr>
              <w:t>Conservation Charge</w:t>
            </w:r>
          </w:p>
        </w:tc>
        <w:tc>
          <w:tcPr>
            <w:tcW w:w="770"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jc w:val="right"/>
              <w:rPr>
                <w:color w:val="000000"/>
                <w:sz w:val="22"/>
                <w:szCs w:val="22"/>
              </w:rPr>
            </w:pPr>
            <w:r>
              <w:rPr>
                <w:color w:val="000000"/>
                <w:sz w:val="22"/>
                <w:szCs w:val="22"/>
              </w:rPr>
              <w:t>1.24</w:t>
            </w:r>
          </w:p>
        </w:tc>
        <w:tc>
          <w:tcPr>
            <w:tcW w:w="765"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jc w:val="right"/>
              <w:rPr>
                <w:color w:val="000000"/>
                <w:sz w:val="22"/>
                <w:szCs w:val="22"/>
              </w:rPr>
            </w:pPr>
            <w:r>
              <w:rPr>
                <w:color w:val="000000"/>
                <w:sz w:val="22"/>
                <w:szCs w:val="22"/>
              </w:rPr>
              <w:t>1.24</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B16CD8" w:rsidRDefault="006E0492" w:rsidP="00684876">
            <w:pPr>
              <w:jc w:val="right"/>
              <w:rPr>
                <w:sz w:val="22"/>
                <w:szCs w:val="22"/>
              </w:rPr>
            </w:pPr>
            <w:r>
              <w:rPr>
                <w:sz w:val="22"/>
                <w:szCs w:val="22"/>
              </w:rPr>
              <w:t>0.00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B16CD8" w:rsidRDefault="006E0492" w:rsidP="00684876">
            <w:pPr>
              <w:jc w:val="right"/>
              <w:rPr>
                <w:sz w:val="22"/>
                <w:szCs w:val="22"/>
              </w:rPr>
            </w:pPr>
            <w:r>
              <w:rPr>
                <w:sz w:val="22"/>
                <w:szCs w:val="22"/>
              </w:rPr>
              <w:t>0.0%</w:t>
            </w:r>
          </w:p>
        </w:tc>
      </w:tr>
      <w:tr w:rsidR="006E0492" w:rsidRPr="00DF18E6" w:rsidTr="00684876">
        <w:trPr>
          <w:trHeight w:val="300"/>
        </w:trPr>
        <w:tc>
          <w:tcPr>
            <w:tcW w:w="19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492" w:rsidRPr="00DF18E6" w:rsidRDefault="006E0492" w:rsidP="00684876">
            <w:pPr>
              <w:rPr>
                <w:color w:val="000000"/>
                <w:sz w:val="22"/>
                <w:szCs w:val="22"/>
              </w:rPr>
            </w:pPr>
            <w:r w:rsidRPr="00DF18E6">
              <w:rPr>
                <w:color w:val="000000"/>
                <w:sz w:val="22"/>
                <w:szCs w:val="22"/>
              </w:rPr>
              <w:t>Capacity Charge</w:t>
            </w:r>
          </w:p>
        </w:tc>
        <w:tc>
          <w:tcPr>
            <w:tcW w:w="770"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jc w:val="right"/>
              <w:rPr>
                <w:color w:val="000000"/>
                <w:sz w:val="22"/>
                <w:szCs w:val="22"/>
              </w:rPr>
            </w:pPr>
            <w:r>
              <w:rPr>
                <w:color w:val="000000"/>
                <w:sz w:val="22"/>
                <w:szCs w:val="22"/>
              </w:rPr>
              <w:t>1.70</w:t>
            </w:r>
          </w:p>
        </w:tc>
        <w:tc>
          <w:tcPr>
            <w:tcW w:w="765"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jc w:val="right"/>
              <w:rPr>
                <w:color w:val="000000"/>
                <w:sz w:val="22"/>
                <w:szCs w:val="22"/>
              </w:rPr>
            </w:pPr>
            <w:r>
              <w:rPr>
                <w:color w:val="000000"/>
                <w:sz w:val="22"/>
                <w:szCs w:val="22"/>
              </w:rPr>
              <w:t>1.70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B16CD8" w:rsidRDefault="006E0492" w:rsidP="00684876">
            <w:pPr>
              <w:jc w:val="right"/>
              <w:rPr>
                <w:sz w:val="22"/>
                <w:szCs w:val="22"/>
              </w:rPr>
            </w:pPr>
            <w:r>
              <w:rPr>
                <w:sz w:val="22"/>
                <w:szCs w:val="22"/>
              </w:rPr>
              <w:t>0.00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B16CD8" w:rsidRDefault="006E0492" w:rsidP="00684876">
            <w:pPr>
              <w:jc w:val="right"/>
              <w:rPr>
                <w:sz w:val="22"/>
                <w:szCs w:val="22"/>
              </w:rPr>
            </w:pPr>
            <w:r>
              <w:rPr>
                <w:sz w:val="22"/>
                <w:szCs w:val="22"/>
              </w:rPr>
              <w:t>0.0%</w:t>
            </w:r>
          </w:p>
        </w:tc>
      </w:tr>
      <w:tr w:rsidR="006E0492" w:rsidRPr="00DF18E6" w:rsidTr="00684876">
        <w:trPr>
          <w:trHeight w:val="300"/>
        </w:trPr>
        <w:tc>
          <w:tcPr>
            <w:tcW w:w="19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492" w:rsidRPr="00DF18E6" w:rsidRDefault="006E0492" w:rsidP="00684876">
            <w:pPr>
              <w:rPr>
                <w:color w:val="000000"/>
                <w:sz w:val="22"/>
                <w:szCs w:val="22"/>
              </w:rPr>
            </w:pPr>
            <w:r w:rsidRPr="00DF18E6">
              <w:rPr>
                <w:color w:val="000000"/>
                <w:sz w:val="22"/>
                <w:szCs w:val="22"/>
              </w:rPr>
              <w:t>Environmental Charge</w:t>
            </w:r>
          </w:p>
        </w:tc>
        <w:tc>
          <w:tcPr>
            <w:tcW w:w="770"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jc w:val="right"/>
              <w:rPr>
                <w:color w:val="000000"/>
                <w:sz w:val="22"/>
                <w:szCs w:val="22"/>
              </w:rPr>
            </w:pPr>
            <w:r>
              <w:rPr>
                <w:color w:val="000000"/>
                <w:sz w:val="22"/>
                <w:szCs w:val="22"/>
              </w:rPr>
              <w:t>3.32</w:t>
            </w:r>
          </w:p>
        </w:tc>
        <w:tc>
          <w:tcPr>
            <w:tcW w:w="765"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jc w:val="right"/>
              <w:rPr>
                <w:color w:val="000000"/>
                <w:sz w:val="22"/>
                <w:szCs w:val="22"/>
              </w:rPr>
            </w:pPr>
            <w:r>
              <w:rPr>
                <w:color w:val="000000"/>
                <w:sz w:val="22"/>
                <w:szCs w:val="22"/>
              </w:rPr>
              <w:t>3.32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B16CD8" w:rsidRDefault="006E0492" w:rsidP="00684876">
            <w:pPr>
              <w:jc w:val="right"/>
              <w:rPr>
                <w:sz w:val="22"/>
                <w:szCs w:val="22"/>
              </w:rPr>
            </w:pPr>
            <w:r>
              <w:rPr>
                <w:sz w:val="22"/>
                <w:szCs w:val="22"/>
              </w:rPr>
              <w:t>0.00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B16CD8" w:rsidRDefault="006E0492" w:rsidP="00684876">
            <w:pPr>
              <w:jc w:val="right"/>
              <w:rPr>
                <w:sz w:val="22"/>
                <w:szCs w:val="22"/>
              </w:rPr>
            </w:pPr>
            <w:r>
              <w:rPr>
                <w:sz w:val="22"/>
                <w:szCs w:val="22"/>
              </w:rPr>
              <w:t>0.0%</w:t>
            </w:r>
          </w:p>
        </w:tc>
      </w:tr>
      <w:tr w:rsidR="006E0492" w:rsidRPr="00DF18E6" w:rsidTr="00684876">
        <w:trPr>
          <w:trHeight w:val="300"/>
        </w:trPr>
        <w:tc>
          <w:tcPr>
            <w:tcW w:w="19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492" w:rsidRPr="00DF18E6" w:rsidRDefault="006E0492" w:rsidP="00684876">
            <w:pPr>
              <w:rPr>
                <w:color w:val="000000"/>
                <w:sz w:val="22"/>
                <w:szCs w:val="22"/>
              </w:rPr>
            </w:pPr>
            <w:r w:rsidRPr="00DF18E6">
              <w:rPr>
                <w:color w:val="000000"/>
                <w:sz w:val="22"/>
                <w:szCs w:val="22"/>
              </w:rPr>
              <w:t>Storm Protection Plan</w:t>
            </w:r>
            <w:r>
              <w:rPr>
                <w:color w:val="000000"/>
                <w:sz w:val="22"/>
                <w:szCs w:val="22"/>
              </w:rPr>
              <w:t xml:space="preserve"> Charge</w:t>
            </w:r>
          </w:p>
        </w:tc>
        <w:tc>
          <w:tcPr>
            <w:tcW w:w="770"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jc w:val="right"/>
              <w:rPr>
                <w:color w:val="000000"/>
                <w:sz w:val="22"/>
                <w:szCs w:val="22"/>
              </w:rPr>
            </w:pPr>
            <w:r>
              <w:rPr>
                <w:color w:val="000000"/>
                <w:sz w:val="22"/>
                <w:szCs w:val="22"/>
              </w:rPr>
              <w:t>5.57</w:t>
            </w:r>
          </w:p>
        </w:tc>
        <w:tc>
          <w:tcPr>
            <w:tcW w:w="765"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jc w:val="right"/>
              <w:rPr>
                <w:color w:val="000000"/>
                <w:sz w:val="22"/>
                <w:szCs w:val="22"/>
              </w:rPr>
            </w:pPr>
            <w:r>
              <w:rPr>
                <w:color w:val="000000"/>
                <w:sz w:val="22"/>
                <w:szCs w:val="22"/>
              </w:rPr>
              <w:t>5.57</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B16CD8" w:rsidRDefault="006E0492" w:rsidP="00684876">
            <w:pPr>
              <w:jc w:val="right"/>
              <w:rPr>
                <w:sz w:val="22"/>
                <w:szCs w:val="22"/>
              </w:rPr>
            </w:pPr>
            <w:r>
              <w:rPr>
                <w:sz w:val="22"/>
                <w:szCs w:val="22"/>
              </w:rPr>
              <w:t>0.00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B16CD8" w:rsidRDefault="006E0492" w:rsidP="00684876">
            <w:pPr>
              <w:jc w:val="right"/>
              <w:rPr>
                <w:sz w:val="22"/>
                <w:szCs w:val="22"/>
              </w:rPr>
            </w:pPr>
            <w:r>
              <w:rPr>
                <w:sz w:val="22"/>
                <w:szCs w:val="22"/>
              </w:rPr>
              <w:t>0.0%</w:t>
            </w:r>
          </w:p>
        </w:tc>
      </w:tr>
      <w:tr w:rsidR="006E0492" w:rsidRPr="00DF18E6" w:rsidTr="00684876">
        <w:trPr>
          <w:trHeight w:val="300"/>
        </w:trPr>
        <w:tc>
          <w:tcPr>
            <w:tcW w:w="1923"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rPr>
                <w:color w:val="000000"/>
                <w:sz w:val="22"/>
                <w:szCs w:val="22"/>
              </w:rPr>
            </w:pPr>
            <w:r>
              <w:rPr>
                <w:color w:val="000000"/>
                <w:sz w:val="22"/>
                <w:szCs w:val="22"/>
              </w:rPr>
              <w:t>Storm Restoration Surcharge</w:t>
            </w:r>
            <w:r>
              <w:rPr>
                <w:rStyle w:val="FootnoteReference"/>
                <w:color w:val="000000"/>
                <w:sz w:val="22"/>
                <w:szCs w:val="22"/>
              </w:rPr>
              <w:footnoteReference w:id="29"/>
            </w:r>
          </w:p>
        </w:tc>
        <w:tc>
          <w:tcPr>
            <w:tcW w:w="770"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jc w:val="right"/>
              <w:rPr>
                <w:color w:val="000000"/>
                <w:sz w:val="22"/>
                <w:szCs w:val="22"/>
              </w:rPr>
            </w:pPr>
            <w:r>
              <w:rPr>
                <w:color w:val="000000"/>
                <w:sz w:val="22"/>
                <w:szCs w:val="22"/>
              </w:rPr>
              <w:t>0.00</w:t>
            </w:r>
          </w:p>
        </w:tc>
        <w:tc>
          <w:tcPr>
            <w:tcW w:w="765"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jc w:val="right"/>
              <w:rPr>
                <w:color w:val="000000"/>
                <w:sz w:val="22"/>
                <w:szCs w:val="22"/>
              </w:rPr>
            </w:pPr>
            <w:r>
              <w:rPr>
                <w:color w:val="000000"/>
                <w:sz w:val="22"/>
                <w:szCs w:val="22"/>
              </w:rPr>
              <w:t>0.00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B16CD8" w:rsidRDefault="006E0492" w:rsidP="00684876">
            <w:pPr>
              <w:jc w:val="right"/>
              <w:rPr>
                <w:sz w:val="22"/>
                <w:szCs w:val="22"/>
              </w:rPr>
            </w:pPr>
            <w:r>
              <w:rPr>
                <w:sz w:val="22"/>
                <w:szCs w:val="22"/>
              </w:rPr>
              <w:t>0.00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B16CD8" w:rsidRDefault="006E0492" w:rsidP="00684876">
            <w:pPr>
              <w:jc w:val="right"/>
              <w:rPr>
                <w:sz w:val="22"/>
                <w:szCs w:val="22"/>
              </w:rPr>
            </w:pPr>
            <w:r>
              <w:rPr>
                <w:sz w:val="22"/>
                <w:szCs w:val="22"/>
              </w:rPr>
              <w:t>0.0%</w:t>
            </w:r>
          </w:p>
        </w:tc>
      </w:tr>
      <w:tr w:rsidR="006E0492" w:rsidRPr="00DF18E6" w:rsidTr="00684876">
        <w:trPr>
          <w:trHeight w:val="300"/>
        </w:trPr>
        <w:tc>
          <w:tcPr>
            <w:tcW w:w="1923"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rPr>
                <w:color w:val="000000"/>
                <w:sz w:val="22"/>
                <w:szCs w:val="22"/>
              </w:rPr>
            </w:pPr>
            <w:r w:rsidRPr="00DF18E6">
              <w:rPr>
                <w:color w:val="000000"/>
                <w:sz w:val="22"/>
                <w:szCs w:val="22"/>
              </w:rPr>
              <w:t>Transition Rider</w:t>
            </w:r>
          </w:p>
        </w:tc>
        <w:tc>
          <w:tcPr>
            <w:tcW w:w="770"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EC5E77" w:rsidRDefault="006E0492" w:rsidP="00684876">
            <w:pPr>
              <w:jc w:val="right"/>
              <w:rPr>
                <w:color w:val="000000"/>
                <w:sz w:val="22"/>
                <w:szCs w:val="22"/>
                <w:u w:val="single"/>
              </w:rPr>
            </w:pPr>
            <w:r>
              <w:rPr>
                <w:color w:val="000000"/>
                <w:sz w:val="22"/>
                <w:szCs w:val="22"/>
                <w:u w:val="single"/>
              </w:rPr>
              <w:t>(1.19)</w:t>
            </w:r>
          </w:p>
        </w:tc>
        <w:tc>
          <w:tcPr>
            <w:tcW w:w="765"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EC5E77" w:rsidRDefault="006E0492" w:rsidP="00684876">
            <w:pPr>
              <w:jc w:val="right"/>
              <w:rPr>
                <w:color w:val="000000"/>
                <w:sz w:val="22"/>
                <w:szCs w:val="22"/>
                <w:u w:val="single"/>
              </w:rPr>
            </w:pPr>
            <w:r>
              <w:rPr>
                <w:color w:val="000000"/>
                <w:sz w:val="22"/>
                <w:szCs w:val="22"/>
                <w:u w:val="single"/>
              </w:rPr>
              <w:t>(1.19)</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EC5E77" w:rsidRDefault="006E0492" w:rsidP="00684876">
            <w:pPr>
              <w:jc w:val="right"/>
              <w:rPr>
                <w:sz w:val="22"/>
                <w:szCs w:val="22"/>
                <w:u w:val="single"/>
              </w:rPr>
            </w:pPr>
            <w:r w:rsidRPr="00EC5E77">
              <w:rPr>
                <w:sz w:val="22"/>
                <w:szCs w:val="22"/>
                <w:u w:val="single"/>
              </w:rPr>
              <w:t>0.00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B756AB" w:rsidRDefault="006E0492" w:rsidP="00684876">
            <w:pPr>
              <w:jc w:val="right"/>
              <w:rPr>
                <w:sz w:val="22"/>
                <w:szCs w:val="22"/>
              </w:rPr>
            </w:pPr>
            <w:r>
              <w:rPr>
                <w:sz w:val="22"/>
                <w:szCs w:val="22"/>
              </w:rPr>
              <w:t>0.0%</w:t>
            </w:r>
          </w:p>
        </w:tc>
      </w:tr>
      <w:tr w:rsidR="006E0492" w:rsidRPr="009C275E" w:rsidTr="00684876">
        <w:trPr>
          <w:trHeight w:val="300"/>
        </w:trPr>
        <w:tc>
          <w:tcPr>
            <w:tcW w:w="19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492" w:rsidRPr="009C275E" w:rsidRDefault="006E0492" w:rsidP="00684876">
            <w:pPr>
              <w:rPr>
                <w:color w:val="000000"/>
                <w:sz w:val="22"/>
                <w:szCs w:val="22"/>
              </w:rPr>
            </w:pPr>
            <w:r w:rsidRPr="009C275E">
              <w:rPr>
                <w:color w:val="000000"/>
                <w:sz w:val="22"/>
                <w:szCs w:val="22"/>
              </w:rPr>
              <w:t>Gross Receipts Tax</w:t>
            </w:r>
          </w:p>
        </w:tc>
        <w:tc>
          <w:tcPr>
            <w:tcW w:w="770"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EC5E77" w:rsidRDefault="006E0492" w:rsidP="00684876">
            <w:pPr>
              <w:jc w:val="right"/>
              <w:rPr>
                <w:color w:val="000000"/>
                <w:sz w:val="22"/>
                <w:szCs w:val="22"/>
                <w:u w:val="single"/>
              </w:rPr>
            </w:pPr>
            <w:r>
              <w:rPr>
                <w:color w:val="000000"/>
                <w:sz w:val="22"/>
                <w:szCs w:val="22"/>
                <w:u w:val="single"/>
              </w:rPr>
              <w:t>3.33</w:t>
            </w:r>
          </w:p>
        </w:tc>
        <w:tc>
          <w:tcPr>
            <w:tcW w:w="765"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EC5E77" w:rsidRDefault="006E0492" w:rsidP="00684876">
            <w:pPr>
              <w:jc w:val="right"/>
              <w:rPr>
                <w:sz w:val="22"/>
                <w:szCs w:val="22"/>
                <w:u w:val="single"/>
              </w:rPr>
            </w:pPr>
            <w:r>
              <w:rPr>
                <w:sz w:val="22"/>
                <w:szCs w:val="22"/>
                <w:u w:val="single"/>
              </w:rPr>
              <w:t>3.13</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EC5E77" w:rsidRDefault="006E0492" w:rsidP="00684876">
            <w:pPr>
              <w:jc w:val="right"/>
              <w:rPr>
                <w:sz w:val="22"/>
                <w:szCs w:val="22"/>
                <w:u w:val="single"/>
              </w:rPr>
            </w:pPr>
            <w:r>
              <w:rPr>
                <w:sz w:val="22"/>
                <w:szCs w:val="22"/>
                <w:u w:val="single"/>
              </w:rPr>
              <w:t>(0.20)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B756AB" w:rsidRDefault="006E0492" w:rsidP="00684876">
            <w:pPr>
              <w:jc w:val="right"/>
              <w:rPr>
                <w:sz w:val="22"/>
                <w:szCs w:val="22"/>
              </w:rPr>
            </w:pPr>
            <w:r>
              <w:rPr>
                <w:sz w:val="22"/>
                <w:szCs w:val="22"/>
              </w:rPr>
              <w:t>(6.0%)</w:t>
            </w:r>
          </w:p>
        </w:tc>
      </w:tr>
      <w:tr w:rsidR="006E0492" w:rsidRPr="009C275E" w:rsidTr="00684876">
        <w:trPr>
          <w:trHeight w:val="300"/>
        </w:trPr>
        <w:tc>
          <w:tcPr>
            <w:tcW w:w="19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492" w:rsidRPr="009C275E" w:rsidRDefault="006E0492" w:rsidP="00684876">
            <w:pPr>
              <w:rPr>
                <w:b/>
                <w:bCs/>
                <w:color w:val="000000"/>
                <w:sz w:val="22"/>
                <w:szCs w:val="22"/>
              </w:rPr>
            </w:pPr>
            <w:r w:rsidRPr="009C275E">
              <w:rPr>
                <w:b/>
                <w:bCs/>
                <w:color w:val="000000"/>
                <w:sz w:val="22"/>
                <w:szCs w:val="22"/>
              </w:rPr>
              <w:t>Total</w:t>
            </w:r>
          </w:p>
        </w:tc>
        <w:tc>
          <w:tcPr>
            <w:tcW w:w="770"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9C275E" w:rsidRDefault="006E0492" w:rsidP="00684876">
            <w:pPr>
              <w:jc w:val="right"/>
              <w:rPr>
                <w:color w:val="000000"/>
                <w:sz w:val="22"/>
                <w:szCs w:val="22"/>
                <w:u w:val="double"/>
              </w:rPr>
            </w:pPr>
            <w:r>
              <w:rPr>
                <w:color w:val="000000"/>
                <w:sz w:val="22"/>
                <w:szCs w:val="22"/>
                <w:u w:val="double"/>
              </w:rPr>
              <w:t>$128.88</w:t>
            </w:r>
          </w:p>
        </w:tc>
        <w:tc>
          <w:tcPr>
            <w:tcW w:w="765"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9C275E" w:rsidRDefault="006E0492" w:rsidP="00684876">
            <w:pPr>
              <w:jc w:val="right"/>
              <w:rPr>
                <w:sz w:val="22"/>
                <w:szCs w:val="22"/>
                <w:u w:val="double"/>
              </w:rPr>
            </w:pPr>
            <w:r>
              <w:rPr>
                <w:sz w:val="22"/>
                <w:szCs w:val="22"/>
                <w:u w:val="double"/>
              </w:rPr>
              <w:t>$121.19</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240F45" w:rsidRDefault="006E0492" w:rsidP="00684876">
            <w:pPr>
              <w:jc w:val="right"/>
              <w:rPr>
                <w:sz w:val="22"/>
                <w:szCs w:val="22"/>
                <w:u w:val="double"/>
              </w:rPr>
            </w:pPr>
            <w:r>
              <w:rPr>
                <w:sz w:val="22"/>
                <w:szCs w:val="22"/>
                <w:u w:val="double"/>
              </w:rPr>
              <w:t>($7.69)</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9C275E" w:rsidRDefault="006E0492" w:rsidP="00684876">
            <w:pPr>
              <w:jc w:val="right"/>
              <w:rPr>
                <w:sz w:val="22"/>
                <w:szCs w:val="22"/>
              </w:rPr>
            </w:pPr>
            <w:r>
              <w:rPr>
                <w:sz w:val="22"/>
                <w:szCs w:val="22"/>
              </w:rPr>
              <w:t>(6.0%)</w:t>
            </w:r>
          </w:p>
        </w:tc>
      </w:tr>
    </w:tbl>
    <w:p w:rsidR="006E0492" w:rsidRDefault="006E0492" w:rsidP="006E0492">
      <w:pPr>
        <w:pStyle w:val="FootnoteText"/>
      </w:pPr>
      <w:r>
        <w:t>Source: Document No. 01142-2024.</w:t>
      </w:r>
    </w:p>
    <w:p w:rsidR="006E0492" w:rsidRDefault="006E0492" w:rsidP="006E0492">
      <w:pPr>
        <w:pStyle w:val="BodyText"/>
        <w:spacing w:after="0"/>
      </w:pPr>
    </w:p>
    <w:p w:rsidR="006E0492" w:rsidRPr="006E0492" w:rsidRDefault="006E0492" w:rsidP="006E0492">
      <w:pPr>
        <w:pStyle w:val="BodyText"/>
        <w:spacing w:after="0"/>
        <w:ind w:firstLine="720"/>
        <w:rPr>
          <w:u w:val="single"/>
        </w:rPr>
      </w:pPr>
      <w:r w:rsidRPr="006E0492">
        <w:rPr>
          <w:u w:val="single"/>
        </w:rPr>
        <w:t>Bill Impacts - FPL Peninsular Service Territory</w:t>
      </w:r>
    </w:p>
    <w:p w:rsidR="006E0492" w:rsidRPr="009C275E" w:rsidRDefault="006E0492" w:rsidP="006E0492">
      <w:pPr>
        <w:pStyle w:val="BodyText"/>
        <w:spacing w:after="0"/>
        <w:ind w:firstLine="720"/>
        <w:rPr>
          <w:rFonts w:ascii="Arial" w:hAnsi="Arial" w:cs="Arial"/>
          <w:b/>
          <w:i/>
        </w:rPr>
      </w:pPr>
    </w:p>
    <w:p w:rsidR="006E0492" w:rsidRDefault="006E0492" w:rsidP="006E0492">
      <w:pPr>
        <w:pStyle w:val="BodyText"/>
        <w:spacing w:after="0"/>
        <w:ind w:firstLine="720"/>
        <w:jc w:val="both"/>
      </w:pPr>
      <w:r w:rsidRPr="00380A46">
        <w:t>FPL’s currently-approved total residential charge for the first 1</w:t>
      </w:r>
      <w:r>
        <w:t>,000 kWh of usage for April 2024</w:t>
      </w:r>
      <w:r w:rsidRPr="00380A46">
        <w:t xml:space="preserve"> </w:t>
      </w:r>
      <w:r w:rsidRPr="00576318">
        <w:t>is $128.88.</w:t>
      </w:r>
      <w:r w:rsidRPr="00576318">
        <w:rPr>
          <w:rStyle w:val="FootnoteReference"/>
        </w:rPr>
        <w:footnoteReference w:id="30"/>
      </w:r>
      <w:r w:rsidRPr="00576318">
        <w:t xml:space="preserve"> </w:t>
      </w:r>
      <w:r>
        <w:t xml:space="preserve"> </w:t>
      </w:r>
      <w:r w:rsidRPr="00576318">
        <w:t>If t</w:t>
      </w:r>
      <w:r w:rsidRPr="00D53424">
        <w:t>he Company’</w:t>
      </w:r>
      <w:r>
        <w:t>s mid-course correction</w:t>
      </w:r>
      <w:r w:rsidRPr="00D53424">
        <w:t xml:space="preserve"> </w:t>
      </w:r>
      <w:r>
        <w:t>is</w:t>
      </w:r>
      <w:r w:rsidRPr="00D53424">
        <w:t xml:space="preserve"> approved, then the current total re</w:t>
      </w:r>
      <w:r w:rsidRPr="00B666E7">
        <w:t xml:space="preserve">sidential charge for the first 1,000 kWh of usage </w:t>
      </w:r>
      <w:r>
        <w:t>beginning in May</w:t>
      </w:r>
      <w:r w:rsidRPr="00CE7065">
        <w:t xml:space="preserve"> will be </w:t>
      </w:r>
      <w:r w:rsidRPr="009928AD">
        <w:t>$121.19, a decrease of 6.0</w:t>
      </w:r>
      <w:r w:rsidRPr="00CE7065">
        <w:t xml:space="preserve"> percent. </w:t>
      </w:r>
      <w:r>
        <w:t xml:space="preserve"> For</w:t>
      </w:r>
      <w:r w:rsidRPr="00CE7065">
        <w:t xml:space="preserve"> non-residential customers, FPL reported that bill </w:t>
      </w:r>
      <w:r w:rsidRPr="00A45347">
        <w:t>de</w:t>
      </w:r>
      <w:r w:rsidRPr="00284D6A">
        <w:t>creases based on average levels of usage for small-size commercial customers would range from approximately 9.6 to 10 percent, 9.7 percent for medium-size commercial customers, 9.8 percent for large-size commercial customers, and 12.5 percent for industrial customers.</w:t>
      </w:r>
      <w:r w:rsidRPr="00284D6A">
        <w:rPr>
          <w:rStyle w:val="FootnoteReference"/>
        </w:rPr>
        <w:footnoteReference w:id="31"/>
      </w:r>
      <w:r w:rsidRPr="002F60CF">
        <w:t xml:space="preserve"> </w:t>
      </w:r>
    </w:p>
    <w:p w:rsidR="006E0492" w:rsidRDefault="006E0492" w:rsidP="00C221AE">
      <w:pPr>
        <w:pStyle w:val="BodyText"/>
        <w:spacing w:after="0"/>
        <w:ind w:firstLine="720"/>
        <w:jc w:val="both"/>
      </w:pPr>
    </w:p>
    <w:tbl>
      <w:tblPr>
        <w:tblpPr w:leftFromText="180" w:rightFromText="180" w:horzAnchor="margin" w:tblpY="815"/>
        <w:tblW w:w="4887" w:type="pct"/>
        <w:tblLook w:val="04A0" w:firstRow="1" w:lastRow="0" w:firstColumn="1" w:lastColumn="0" w:noHBand="0" w:noVBand="1"/>
      </w:tblPr>
      <w:tblGrid>
        <w:gridCol w:w="3481"/>
        <w:gridCol w:w="1496"/>
        <w:gridCol w:w="1496"/>
        <w:gridCol w:w="1496"/>
        <w:gridCol w:w="1391"/>
      </w:tblGrid>
      <w:tr w:rsidR="006E0492" w:rsidRPr="004B191B" w:rsidTr="00684876">
        <w:trPr>
          <w:cantSplit/>
          <w:trHeight w:val="320"/>
          <w:tblHeader/>
        </w:trPr>
        <w:tc>
          <w:tcPr>
            <w:tcW w:w="5000" w:type="pct"/>
            <w:gridSpan w:val="5"/>
            <w:tcBorders>
              <w:top w:val="nil"/>
              <w:left w:val="nil"/>
              <w:right w:val="nil"/>
            </w:tcBorders>
            <w:shd w:val="clear" w:color="auto" w:fill="auto"/>
            <w:vAlign w:val="center"/>
          </w:tcPr>
          <w:p w:rsidR="006E0492" w:rsidRPr="006E0492" w:rsidRDefault="006E0492" w:rsidP="00684876">
            <w:pPr>
              <w:jc w:val="center"/>
              <w:rPr>
                <w:bCs/>
                <w:color w:val="000000"/>
              </w:rPr>
            </w:pPr>
            <w:r w:rsidRPr="006E0492">
              <w:rPr>
                <w:bCs/>
                <w:color w:val="000000"/>
              </w:rPr>
              <w:lastRenderedPageBreak/>
              <w:t>Table 2</w:t>
            </w:r>
          </w:p>
          <w:p w:rsidR="006E0492" w:rsidRPr="006E0492" w:rsidRDefault="006E0492" w:rsidP="00684876">
            <w:pPr>
              <w:jc w:val="center"/>
              <w:rPr>
                <w:bCs/>
                <w:color w:val="000000"/>
              </w:rPr>
            </w:pPr>
            <w:r w:rsidRPr="006E0492">
              <w:rPr>
                <w:bCs/>
                <w:color w:val="000000"/>
              </w:rPr>
              <w:t>FPL Northwest Service Territory</w:t>
            </w:r>
          </w:p>
        </w:tc>
      </w:tr>
      <w:tr w:rsidR="006E0492" w:rsidRPr="004B191B" w:rsidTr="00684876">
        <w:trPr>
          <w:cantSplit/>
          <w:trHeight w:val="320"/>
          <w:tblHeader/>
        </w:trPr>
        <w:tc>
          <w:tcPr>
            <w:tcW w:w="5000" w:type="pct"/>
            <w:gridSpan w:val="5"/>
            <w:tcBorders>
              <w:left w:val="nil"/>
              <w:bottom w:val="single" w:sz="4" w:space="0" w:color="auto"/>
              <w:right w:val="nil"/>
            </w:tcBorders>
            <w:shd w:val="clear" w:color="auto" w:fill="auto"/>
            <w:vAlign w:val="center"/>
            <w:hideMark/>
          </w:tcPr>
          <w:p w:rsidR="006E0492" w:rsidRPr="006E0492" w:rsidRDefault="006E0492" w:rsidP="00684876">
            <w:pPr>
              <w:jc w:val="center"/>
              <w:rPr>
                <w:bCs/>
                <w:color w:val="000000"/>
              </w:rPr>
            </w:pPr>
            <w:r w:rsidRPr="006E0492">
              <w:rPr>
                <w:bCs/>
                <w:color w:val="000000"/>
              </w:rPr>
              <w:t>Monthly Residential Billing Detail for the First 1,000 kWh</w:t>
            </w:r>
          </w:p>
        </w:tc>
      </w:tr>
      <w:tr w:rsidR="006E0492" w:rsidRPr="004B191B" w:rsidTr="00684876">
        <w:trPr>
          <w:cantSplit/>
          <w:trHeight w:val="1240"/>
          <w:tblHeader/>
        </w:trPr>
        <w:tc>
          <w:tcPr>
            <w:tcW w:w="1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0492" w:rsidRPr="00DF18E6" w:rsidRDefault="006E0492" w:rsidP="00684876">
            <w:pPr>
              <w:jc w:val="center"/>
              <w:rPr>
                <w:b/>
                <w:bCs/>
                <w:color w:val="000000"/>
                <w:sz w:val="22"/>
                <w:szCs w:val="22"/>
              </w:rPr>
            </w:pPr>
            <w:r w:rsidRPr="00DF18E6">
              <w:rPr>
                <w:b/>
                <w:bCs/>
                <w:color w:val="000000"/>
                <w:sz w:val="22"/>
                <w:szCs w:val="22"/>
              </w:rPr>
              <w:t>Invoice Component</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0492" w:rsidRPr="006612BB" w:rsidRDefault="006E0492" w:rsidP="00684876">
            <w:pPr>
              <w:jc w:val="center"/>
              <w:rPr>
                <w:b/>
                <w:bCs/>
                <w:color w:val="000000"/>
                <w:sz w:val="22"/>
                <w:szCs w:val="22"/>
              </w:rPr>
            </w:pPr>
            <w:r w:rsidRPr="006612BB">
              <w:rPr>
                <w:b/>
                <w:bCs/>
                <w:color w:val="000000"/>
                <w:sz w:val="22"/>
                <w:szCs w:val="22"/>
              </w:rPr>
              <w:t>Currently-Ap</w:t>
            </w:r>
            <w:r>
              <w:rPr>
                <w:b/>
                <w:bCs/>
                <w:color w:val="000000"/>
                <w:sz w:val="22"/>
                <w:szCs w:val="22"/>
              </w:rPr>
              <w:t>proved Charges April</w:t>
            </w:r>
            <w:r w:rsidRPr="006612BB">
              <w:rPr>
                <w:b/>
                <w:bCs/>
                <w:color w:val="000000"/>
                <w:sz w:val="22"/>
                <w:szCs w:val="22"/>
              </w:rPr>
              <w:t xml:space="preserve"> 202</w:t>
            </w:r>
            <w:r>
              <w:rPr>
                <w:b/>
                <w:bCs/>
                <w:color w:val="000000"/>
                <w:sz w:val="22"/>
                <w:szCs w:val="22"/>
              </w:rPr>
              <w:t>4</w:t>
            </w:r>
          </w:p>
          <w:p w:rsidR="006E0492" w:rsidRPr="006612BB" w:rsidRDefault="006E0492" w:rsidP="00684876">
            <w:pPr>
              <w:jc w:val="center"/>
              <w:rPr>
                <w:b/>
                <w:bCs/>
                <w:color w:val="000000"/>
                <w:sz w:val="22"/>
                <w:szCs w:val="22"/>
              </w:rPr>
            </w:pPr>
            <w:r w:rsidRPr="006612BB">
              <w:rPr>
                <w:b/>
                <w:bCs/>
                <w:color w:val="000000"/>
                <w:sz w:val="22"/>
                <w:szCs w:val="22"/>
              </w:rPr>
              <w:t>($)</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0492" w:rsidRPr="00DB2CD1" w:rsidRDefault="006E0492" w:rsidP="00684876">
            <w:pPr>
              <w:jc w:val="center"/>
              <w:rPr>
                <w:b/>
                <w:bCs/>
                <w:color w:val="000000"/>
                <w:sz w:val="22"/>
              </w:rPr>
            </w:pPr>
            <w:r w:rsidRPr="00DB2CD1">
              <w:rPr>
                <w:b/>
                <w:bCs/>
                <w:color w:val="000000"/>
                <w:sz w:val="22"/>
              </w:rPr>
              <w:t xml:space="preserve">Proposed Charges </w:t>
            </w:r>
          </w:p>
          <w:p w:rsidR="006E0492" w:rsidRPr="00DB2CD1" w:rsidRDefault="006E0492" w:rsidP="00684876">
            <w:pPr>
              <w:jc w:val="center"/>
              <w:rPr>
                <w:b/>
                <w:bCs/>
                <w:color w:val="000000"/>
                <w:sz w:val="22"/>
              </w:rPr>
            </w:pPr>
            <w:r w:rsidRPr="00DB2CD1">
              <w:rPr>
                <w:b/>
                <w:bCs/>
                <w:color w:val="000000"/>
                <w:sz w:val="22"/>
              </w:rPr>
              <w:t>Beginning</w:t>
            </w:r>
          </w:p>
          <w:p w:rsidR="006E0492" w:rsidRPr="00DB2CD1" w:rsidRDefault="006E0492" w:rsidP="00684876">
            <w:pPr>
              <w:jc w:val="center"/>
              <w:rPr>
                <w:b/>
                <w:bCs/>
                <w:color w:val="000000"/>
                <w:sz w:val="22"/>
              </w:rPr>
            </w:pPr>
            <w:r>
              <w:rPr>
                <w:b/>
                <w:bCs/>
                <w:color w:val="000000"/>
                <w:sz w:val="22"/>
              </w:rPr>
              <w:t>May 2024</w:t>
            </w:r>
          </w:p>
          <w:p w:rsidR="006E0492" w:rsidRPr="00DF18E6" w:rsidRDefault="006E0492" w:rsidP="00684876">
            <w:pPr>
              <w:jc w:val="center"/>
              <w:rPr>
                <w:b/>
                <w:bCs/>
                <w:color w:val="000000"/>
                <w:sz w:val="22"/>
                <w:szCs w:val="22"/>
              </w:rPr>
            </w:pPr>
            <w:r w:rsidRPr="00DF18E6">
              <w:rPr>
                <w:b/>
                <w:bCs/>
                <w:color w:val="000000"/>
                <w:sz w:val="22"/>
                <w:szCs w:val="22"/>
              </w:rPr>
              <w:t xml:space="preserve"> ($)</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0492" w:rsidRPr="00DF18E6" w:rsidRDefault="006E0492" w:rsidP="00684876">
            <w:pPr>
              <w:jc w:val="center"/>
              <w:rPr>
                <w:b/>
                <w:bCs/>
                <w:color w:val="000000"/>
                <w:sz w:val="22"/>
                <w:szCs w:val="22"/>
              </w:rPr>
            </w:pPr>
            <w:r w:rsidRPr="00DF18E6">
              <w:rPr>
                <w:b/>
                <w:bCs/>
                <w:color w:val="000000"/>
                <w:sz w:val="22"/>
                <w:szCs w:val="22"/>
              </w:rPr>
              <w:t>Difference</w:t>
            </w:r>
          </w:p>
          <w:p w:rsidR="006E0492" w:rsidRPr="00DF18E6" w:rsidRDefault="006E0492" w:rsidP="00684876">
            <w:pPr>
              <w:jc w:val="center"/>
              <w:rPr>
                <w:b/>
                <w:bCs/>
                <w:color w:val="000000"/>
                <w:sz w:val="22"/>
                <w:szCs w:val="22"/>
              </w:rPr>
            </w:pPr>
            <w:r w:rsidRPr="00DF18E6">
              <w:rPr>
                <w:b/>
                <w:bCs/>
                <w:color w:val="000000"/>
                <w:sz w:val="22"/>
                <w:szCs w:val="22"/>
              </w:rPr>
              <w:t>($)</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0492" w:rsidRPr="00DF18E6" w:rsidRDefault="006E0492" w:rsidP="00684876">
            <w:pPr>
              <w:jc w:val="center"/>
              <w:rPr>
                <w:b/>
                <w:bCs/>
                <w:color w:val="000000"/>
                <w:sz w:val="22"/>
                <w:szCs w:val="22"/>
              </w:rPr>
            </w:pPr>
            <w:r w:rsidRPr="00DF18E6">
              <w:rPr>
                <w:b/>
                <w:bCs/>
                <w:color w:val="000000"/>
                <w:sz w:val="22"/>
                <w:szCs w:val="22"/>
              </w:rPr>
              <w:t>Difference</w:t>
            </w:r>
          </w:p>
          <w:p w:rsidR="006E0492" w:rsidRPr="00DF18E6" w:rsidRDefault="006E0492" w:rsidP="00684876">
            <w:pPr>
              <w:jc w:val="center"/>
              <w:rPr>
                <w:b/>
                <w:bCs/>
                <w:color w:val="000000"/>
                <w:sz w:val="22"/>
                <w:szCs w:val="22"/>
              </w:rPr>
            </w:pPr>
            <w:r w:rsidRPr="00DF18E6">
              <w:rPr>
                <w:b/>
                <w:bCs/>
                <w:color w:val="000000"/>
                <w:sz w:val="22"/>
                <w:szCs w:val="22"/>
              </w:rPr>
              <w:t>(%)</w:t>
            </w:r>
          </w:p>
        </w:tc>
      </w:tr>
      <w:tr w:rsidR="006E0492" w:rsidRPr="004B191B" w:rsidTr="00684876">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492" w:rsidRPr="00DF18E6" w:rsidRDefault="006E0492" w:rsidP="00684876">
            <w:pPr>
              <w:rPr>
                <w:color w:val="000000"/>
                <w:sz w:val="22"/>
                <w:szCs w:val="22"/>
              </w:rPr>
            </w:pPr>
            <w:r w:rsidRPr="00DF18E6">
              <w:rPr>
                <w:color w:val="000000"/>
                <w:sz w:val="22"/>
                <w:szCs w:val="22"/>
              </w:rPr>
              <w:t>Base Charge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jc w:val="right"/>
              <w:rPr>
                <w:color w:val="000000"/>
                <w:sz w:val="22"/>
                <w:szCs w:val="22"/>
              </w:rPr>
            </w:pPr>
            <w:r>
              <w:rPr>
                <w:color w:val="000000"/>
                <w:sz w:val="22"/>
                <w:szCs w:val="22"/>
              </w:rPr>
              <w:t>$80.72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jc w:val="right"/>
              <w:rPr>
                <w:color w:val="000000"/>
                <w:sz w:val="22"/>
                <w:szCs w:val="22"/>
              </w:rPr>
            </w:pPr>
            <w:r>
              <w:rPr>
                <w:color w:val="000000"/>
                <w:sz w:val="22"/>
                <w:szCs w:val="22"/>
              </w:rPr>
              <w:t>$80.72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B16CD8" w:rsidRDefault="006E0492" w:rsidP="00684876">
            <w:pPr>
              <w:jc w:val="right"/>
              <w:rPr>
                <w:sz w:val="22"/>
                <w:szCs w:val="22"/>
              </w:rPr>
            </w:pPr>
            <w:r>
              <w:rPr>
                <w:sz w:val="22"/>
                <w:szCs w:val="22"/>
              </w:rPr>
              <w:t>$0.00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B16CD8" w:rsidRDefault="006E0492" w:rsidP="00684876">
            <w:pPr>
              <w:jc w:val="right"/>
              <w:rPr>
                <w:sz w:val="22"/>
                <w:szCs w:val="22"/>
              </w:rPr>
            </w:pPr>
            <w:r>
              <w:rPr>
                <w:sz w:val="22"/>
                <w:szCs w:val="22"/>
              </w:rPr>
              <w:t>0.0%</w:t>
            </w:r>
          </w:p>
        </w:tc>
      </w:tr>
      <w:tr w:rsidR="006E0492" w:rsidRPr="004B191B" w:rsidTr="00684876">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492" w:rsidRPr="00DF18E6" w:rsidRDefault="006E0492" w:rsidP="00684876">
            <w:pPr>
              <w:rPr>
                <w:color w:val="000000"/>
                <w:sz w:val="22"/>
                <w:szCs w:val="22"/>
              </w:rPr>
            </w:pPr>
            <w:r w:rsidRPr="00DF18E6">
              <w:rPr>
                <w:color w:val="000000"/>
                <w:sz w:val="22"/>
                <w:szCs w:val="22"/>
              </w:rPr>
              <w:t>Fuel Charge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jc w:val="right"/>
              <w:rPr>
                <w:color w:val="000000"/>
                <w:sz w:val="22"/>
                <w:szCs w:val="22"/>
              </w:rPr>
            </w:pPr>
            <w:r>
              <w:rPr>
                <w:color w:val="000000"/>
                <w:sz w:val="22"/>
                <w:szCs w:val="22"/>
              </w:rPr>
              <w:t>34.19</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jc w:val="right"/>
              <w:rPr>
                <w:color w:val="000000"/>
                <w:sz w:val="22"/>
                <w:szCs w:val="22"/>
              </w:rPr>
            </w:pPr>
            <w:r>
              <w:rPr>
                <w:color w:val="000000"/>
                <w:sz w:val="22"/>
                <w:szCs w:val="22"/>
              </w:rPr>
              <w:t>26.70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jc w:val="right"/>
              <w:rPr>
                <w:sz w:val="22"/>
                <w:szCs w:val="22"/>
              </w:rPr>
            </w:pPr>
            <w:r>
              <w:rPr>
                <w:sz w:val="22"/>
                <w:szCs w:val="22"/>
              </w:rPr>
              <w:t>(7.49)</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jc w:val="right"/>
              <w:rPr>
                <w:sz w:val="22"/>
                <w:szCs w:val="22"/>
              </w:rPr>
            </w:pPr>
            <w:r>
              <w:rPr>
                <w:sz w:val="22"/>
                <w:szCs w:val="22"/>
              </w:rPr>
              <w:t>(21.9%)</w:t>
            </w:r>
          </w:p>
        </w:tc>
      </w:tr>
      <w:tr w:rsidR="006E0492" w:rsidRPr="004B191B" w:rsidTr="00684876">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492" w:rsidRPr="00DF18E6" w:rsidRDefault="006E0492" w:rsidP="00684876">
            <w:pPr>
              <w:rPr>
                <w:color w:val="000000"/>
                <w:sz w:val="22"/>
                <w:szCs w:val="22"/>
              </w:rPr>
            </w:pPr>
            <w:r w:rsidRPr="00DF18E6">
              <w:rPr>
                <w:color w:val="000000"/>
                <w:sz w:val="22"/>
                <w:szCs w:val="22"/>
              </w:rPr>
              <w:t>Conservation Charge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jc w:val="right"/>
              <w:rPr>
                <w:color w:val="000000"/>
                <w:sz w:val="22"/>
                <w:szCs w:val="22"/>
              </w:rPr>
            </w:pPr>
            <w:r>
              <w:rPr>
                <w:color w:val="000000"/>
                <w:sz w:val="22"/>
                <w:szCs w:val="22"/>
              </w:rPr>
              <w:t>1.24</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jc w:val="right"/>
              <w:rPr>
                <w:color w:val="000000"/>
                <w:sz w:val="22"/>
                <w:szCs w:val="22"/>
              </w:rPr>
            </w:pPr>
            <w:r>
              <w:rPr>
                <w:color w:val="000000"/>
                <w:sz w:val="22"/>
                <w:szCs w:val="22"/>
              </w:rPr>
              <w:t>1.24</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B16CD8" w:rsidRDefault="006E0492" w:rsidP="00684876">
            <w:pPr>
              <w:jc w:val="right"/>
              <w:rPr>
                <w:sz w:val="22"/>
                <w:szCs w:val="22"/>
              </w:rPr>
            </w:pPr>
            <w:r>
              <w:rPr>
                <w:sz w:val="22"/>
                <w:szCs w:val="22"/>
              </w:rPr>
              <w:t>0.00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B16CD8" w:rsidRDefault="006E0492" w:rsidP="00684876">
            <w:pPr>
              <w:jc w:val="right"/>
              <w:rPr>
                <w:sz w:val="22"/>
                <w:szCs w:val="22"/>
              </w:rPr>
            </w:pPr>
            <w:r>
              <w:rPr>
                <w:sz w:val="22"/>
                <w:szCs w:val="22"/>
              </w:rPr>
              <w:t>0.0%</w:t>
            </w:r>
          </w:p>
        </w:tc>
      </w:tr>
      <w:tr w:rsidR="006E0492" w:rsidRPr="004B191B" w:rsidTr="00684876">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492" w:rsidRPr="00DF18E6" w:rsidRDefault="006E0492" w:rsidP="00684876">
            <w:pPr>
              <w:rPr>
                <w:color w:val="000000"/>
                <w:sz w:val="22"/>
                <w:szCs w:val="22"/>
              </w:rPr>
            </w:pPr>
            <w:r w:rsidRPr="00DF18E6">
              <w:rPr>
                <w:color w:val="000000"/>
                <w:sz w:val="22"/>
                <w:szCs w:val="22"/>
              </w:rPr>
              <w:t>Capacity Charge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jc w:val="right"/>
              <w:rPr>
                <w:color w:val="000000"/>
                <w:sz w:val="22"/>
                <w:szCs w:val="22"/>
              </w:rPr>
            </w:pPr>
            <w:r>
              <w:rPr>
                <w:color w:val="000000"/>
                <w:sz w:val="22"/>
                <w:szCs w:val="22"/>
              </w:rPr>
              <w:t>1.70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jc w:val="right"/>
              <w:rPr>
                <w:color w:val="000000"/>
                <w:sz w:val="22"/>
                <w:szCs w:val="22"/>
              </w:rPr>
            </w:pPr>
            <w:r>
              <w:rPr>
                <w:color w:val="000000"/>
                <w:sz w:val="22"/>
                <w:szCs w:val="22"/>
              </w:rPr>
              <w:t>1.70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B16CD8" w:rsidRDefault="006E0492" w:rsidP="00684876">
            <w:pPr>
              <w:jc w:val="right"/>
              <w:rPr>
                <w:sz w:val="22"/>
                <w:szCs w:val="22"/>
              </w:rPr>
            </w:pPr>
            <w:r>
              <w:rPr>
                <w:sz w:val="22"/>
                <w:szCs w:val="22"/>
              </w:rPr>
              <w:t>0.00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B16CD8" w:rsidRDefault="006E0492" w:rsidP="00684876">
            <w:pPr>
              <w:jc w:val="right"/>
              <w:rPr>
                <w:sz w:val="22"/>
                <w:szCs w:val="22"/>
              </w:rPr>
            </w:pPr>
            <w:r>
              <w:rPr>
                <w:sz w:val="22"/>
                <w:szCs w:val="22"/>
              </w:rPr>
              <w:t>0.0%</w:t>
            </w:r>
          </w:p>
        </w:tc>
      </w:tr>
      <w:tr w:rsidR="006E0492" w:rsidRPr="004B191B" w:rsidTr="00684876">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492" w:rsidRPr="00DF18E6" w:rsidRDefault="006E0492" w:rsidP="00684876">
            <w:pPr>
              <w:rPr>
                <w:color w:val="000000"/>
                <w:sz w:val="22"/>
                <w:szCs w:val="22"/>
              </w:rPr>
            </w:pPr>
            <w:r w:rsidRPr="00DF18E6">
              <w:rPr>
                <w:color w:val="000000"/>
                <w:sz w:val="22"/>
                <w:szCs w:val="22"/>
              </w:rPr>
              <w:t>Environmental Charge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jc w:val="right"/>
              <w:rPr>
                <w:color w:val="000000"/>
                <w:sz w:val="22"/>
                <w:szCs w:val="22"/>
              </w:rPr>
            </w:pPr>
            <w:r>
              <w:rPr>
                <w:color w:val="000000"/>
                <w:sz w:val="22"/>
                <w:szCs w:val="22"/>
              </w:rPr>
              <w:t>3.32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jc w:val="right"/>
              <w:rPr>
                <w:color w:val="000000"/>
                <w:sz w:val="22"/>
                <w:szCs w:val="22"/>
              </w:rPr>
            </w:pPr>
            <w:r>
              <w:rPr>
                <w:color w:val="000000"/>
                <w:sz w:val="22"/>
                <w:szCs w:val="22"/>
              </w:rPr>
              <w:t>3.32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B16CD8" w:rsidRDefault="006E0492" w:rsidP="00684876">
            <w:pPr>
              <w:jc w:val="right"/>
              <w:rPr>
                <w:sz w:val="22"/>
                <w:szCs w:val="22"/>
              </w:rPr>
            </w:pPr>
            <w:r>
              <w:rPr>
                <w:sz w:val="22"/>
                <w:szCs w:val="22"/>
              </w:rPr>
              <w:t>0.00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B16CD8" w:rsidRDefault="006E0492" w:rsidP="00684876">
            <w:pPr>
              <w:jc w:val="right"/>
              <w:rPr>
                <w:sz w:val="22"/>
                <w:szCs w:val="22"/>
              </w:rPr>
            </w:pPr>
            <w:r>
              <w:rPr>
                <w:sz w:val="22"/>
                <w:szCs w:val="22"/>
              </w:rPr>
              <w:t>0.0%</w:t>
            </w:r>
          </w:p>
        </w:tc>
      </w:tr>
      <w:tr w:rsidR="006E0492" w:rsidRPr="004B191B" w:rsidTr="00684876">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492" w:rsidRPr="00DF18E6" w:rsidRDefault="006E0492" w:rsidP="00684876">
            <w:pPr>
              <w:rPr>
                <w:color w:val="000000"/>
                <w:sz w:val="22"/>
                <w:szCs w:val="22"/>
              </w:rPr>
            </w:pPr>
            <w:r w:rsidRPr="00DF18E6">
              <w:rPr>
                <w:color w:val="000000"/>
                <w:sz w:val="22"/>
                <w:szCs w:val="22"/>
              </w:rPr>
              <w:t>Storm Protection Plan</w:t>
            </w:r>
            <w:r>
              <w:rPr>
                <w:color w:val="000000"/>
                <w:sz w:val="22"/>
                <w:szCs w:val="22"/>
              </w:rPr>
              <w:t xml:space="preserve"> Charge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jc w:val="right"/>
              <w:rPr>
                <w:color w:val="000000"/>
                <w:sz w:val="22"/>
                <w:szCs w:val="22"/>
              </w:rPr>
            </w:pPr>
            <w:r>
              <w:rPr>
                <w:color w:val="000000"/>
                <w:sz w:val="22"/>
                <w:szCs w:val="22"/>
              </w:rPr>
              <w:t>5.57</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jc w:val="right"/>
              <w:rPr>
                <w:color w:val="000000"/>
                <w:sz w:val="22"/>
                <w:szCs w:val="22"/>
              </w:rPr>
            </w:pPr>
            <w:r>
              <w:rPr>
                <w:color w:val="000000"/>
                <w:sz w:val="22"/>
                <w:szCs w:val="22"/>
              </w:rPr>
              <w:t>5.57</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B16CD8" w:rsidRDefault="006E0492" w:rsidP="00684876">
            <w:pPr>
              <w:jc w:val="right"/>
              <w:rPr>
                <w:sz w:val="22"/>
                <w:szCs w:val="22"/>
              </w:rPr>
            </w:pPr>
            <w:r>
              <w:rPr>
                <w:sz w:val="22"/>
                <w:szCs w:val="22"/>
              </w:rPr>
              <w:t>0.00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B16CD8" w:rsidRDefault="006E0492" w:rsidP="00684876">
            <w:pPr>
              <w:jc w:val="right"/>
              <w:rPr>
                <w:sz w:val="22"/>
                <w:szCs w:val="22"/>
              </w:rPr>
            </w:pPr>
            <w:r>
              <w:rPr>
                <w:sz w:val="22"/>
                <w:szCs w:val="22"/>
              </w:rPr>
              <w:t>0.0%</w:t>
            </w:r>
          </w:p>
        </w:tc>
      </w:tr>
      <w:tr w:rsidR="006E0492" w:rsidRPr="004B191B" w:rsidTr="00684876">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rPr>
                <w:color w:val="000000"/>
                <w:sz w:val="22"/>
                <w:szCs w:val="22"/>
              </w:rPr>
            </w:pPr>
            <w:r w:rsidRPr="00DF18E6">
              <w:rPr>
                <w:color w:val="000000"/>
                <w:sz w:val="22"/>
                <w:szCs w:val="22"/>
              </w:rPr>
              <w:t>Storm Restoration Surcharge</w:t>
            </w:r>
            <w:r>
              <w:rPr>
                <w:rStyle w:val="FootnoteReference"/>
                <w:color w:val="000000"/>
                <w:sz w:val="22"/>
                <w:szCs w:val="22"/>
              </w:rPr>
              <w:footnoteReference w:id="32"/>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jc w:val="right"/>
              <w:rPr>
                <w:color w:val="000000"/>
                <w:sz w:val="22"/>
                <w:szCs w:val="22"/>
              </w:rPr>
            </w:pPr>
            <w:r>
              <w:rPr>
                <w:color w:val="000000"/>
                <w:sz w:val="22"/>
                <w:szCs w:val="22"/>
              </w:rPr>
              <w:t>0.00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jc w:val="right"/>
              <w:rPr>
                <w:color w:val="000000"/>
                <w:sz w:val="22"/>
                <w:szCs w:val="22"/>
              </w:rPr>
            </w:pPr>
            <w:r>
              <w:rPr>
                <w:color w:val="000000"/>
                <w:sz w:val="22"/>
                <w:szCs w:val="22"/>
              </w:rPr>
              <w:t>0.00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B16CD8" w:rsidRDefault="006E0492" w:rsidP="00684876">
            <w:pPr>
              <w:jc w:val="right"/>
              <w:rPr>
                <w:sz w:val="22"/>
                <w:szCs w:val="22"/>
              </w:rPr>
            </w:pPr>
            <w:r>
              <w:rPr>
                <w:sz w:val="22"/>
                <w:szCs w:val="22"/>
              </w:rPr>
              <w:t>0.00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B16CD8" w:rsidRDefault="006E0492" w:rsidP="00684876">
            <w:pPr>
              <w:jc w:val="right"/>
              <w:rPr>
                <w:sz w:val="22"/>
                <w:szCs w:val="22"/>
              </w:rPr>
            </w:pPr>
            <w:r>
              <w:rPr>
                <w:sz w:val="22"/>
                <w:szCs w:val="22"/>
              </w:rPr>
              <w:t>0.0%</w:t>
            </w:r>
          </w:p>
        </w:tc>
      </w:tr>
      <w:tr w:rsidR="006E0492" w:rsidRPr="004B191B" w:rsidTr="00684876">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DF18E6" w:rsidRDefault="006E0492" w:rsidP="00684876">
            <w:pPr>
              <w:rPr>
                <w:color w:val="000000"/>
                <w:sz w:val="22"/>
                <w:szCs w:val="22"/>
              </w:rPr>
            </w:pPr>
            <w:r w:rsidRPr="00DF18E6">
              <w:rPr>
                <w:color w:val="000000"/>
                <w:sz w:val="22"/>
                <w:szCs w:val="22"/>
              </w:rPr>
              <w:t>Transition Rider</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EC5E77" w:rsidRDefault="006E0492" w:rsidP="00684876">
            <w:pPr>
              <w:jc w:val="right"/>
              <w:rPr>
                <w:color w:val="000000"/>
                <w:sz w:val="22"/>
                <w:szCs w:val="22"/>
                <w:u w:val="single"/>
              </w:rPr>
            </w:pPr>
            <w:r>
              <w:rPr>
                <w:color w:val="000000"/>
                <w:sz w:val="22"/>
                <w:szCs w:val="22"/>
                <w:u w:val="single"/>
              </w:rPr>
              <w:t>12.64</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EC5E77" w:rsidRDefault="006E0492" w:rsidP="00684876">
            <w:pPr>
              <w:jc w:val="right"/>
              <w:rPr>
                <w:color w:val="000000"/>
                <w:sz w:val="22"/>
                <w:szCs w:val="22"/>
                <w:u w:val="single"/>
              </w:rPr>
            </w:pPr>
            <w:r>
              <w:rPr>
                <w:color w:val="000000"/>
                <w:sz w:val="22"/>
                <w:szCs w:val="22"/>
                <w:u w:val="single"/>
              </w:rPr>
              <w:t>12.64</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EC5E77" w:rsidRDefault="006E0492" w:rsidP="00684876">
            <w:pPr>
              <w:jc w:val="right"/>
              <w:rPr>
                <w:sz w:val="22"/>
                <w:szCs w:val="22"/>
                <w:u w:val="single"/>
              </w:rPr>
            </w:pPr>
            <w:r w:rsidRPr="00EC5E77">
              <w:rPr>
                <w:sz w:val="22"/>
                <w:szCs w:val="22"/>
                <w:u w:val="single"/>
              </w:rPr>
              <w:t>0.00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B756AB" w:rsidRDefault="006E0492" w:rsidP="00684876">
            <w:pPr>
              <w:jc w:val="right"/>
              <w:rPr>
                <w:sz w:val="22"/>
                <w:szCs w:val="22"/>
              </w:rPr>
            </w:pPr>
            <w:r>
              <w:rPr>
                <w:sz w:val="22"/>
                <w:szCs w:val="22"/>
              </w:rPr>
              <w:t>0.0%</w:t>
            </w:r>
          </w:p>
        </w:tc>
      </w:tr>
      <w:tr w:rsidR="006E0492" w:rsidRPr="004B191B" w:rsidTr="00684876">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492" w:rsidRPr="00DF18E6" w:rsidRDefault="006E0492" w:rsidP="00684876">
            <w:pPr>
              <w:rPr>
                <w:color w:val="000000"/>
                <w:sz w:val="22"/>
                <w:szCs w:val="22"/>
              </w:rPr>
            </w:pPr>
            <w:r w:rsidRPr="00DF18E6">
              <w:rPr>
                <w:color w:val="000000"/>
                <w:sz w:val="22"/>
                <w:szCs w:val="22"/>
              </w:rPr>
              <w:t>Gross Receipts Tax</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EC5E77" w:rsidRDefault="006E0492" w:rsidP="00684876">
            <w:pPr>
              <w:jc w:val="right"/>
              <w:rPr>
                <w:color w:val="000000"/>
                <w:sz w:val="22"/>
                <w:szCs w:val="22"/>
                <w:u w:val="single"/>
              </w:rPr>
            </w:pPr>
            <w:r>
              <w:rPr>
                <w:color w:val="000000"/>
                <w:sz w:val="22"/>
                <w:szCs w:val="22"/>
                <w:u w:val="single"/>
              </w:rPr>
              <w:t>3.70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EC5E77" w:rsidRDefault="006E0492" w:rsidP="00684876">
            <w:pPr>
              <w:jc w:val="right"/>
              <w:rPr>
                <w:sz w:val="22"/>
                <w:szCs w:val="22"/>
                <w:u w:val="single"/>
              </w:rPr>
            </w:pPr>
            <w:r>
              <w:rPr>
                <w:sz w:val="22"/>
                <w:szCs w:val="22"/>
                <w:u w:val="single"/>
              </w:rPr>
              <w:t>3.49</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EC5E77" w:rsidRDefault="006E0492" w:rsidP="00684876">
            <w:pPr>
              <w:jc w:val="right"/>
              <w:rPr>
                <w:sz w:val="22"/>
                <w:szCs w:val="22"/>
                <w:u w:val="single"/>
              </w:rPr>
            </w:pPr>
            <w:r>
              <w:rPr>
                <w:sz w:val="22"/>
                <w:szCs w:val="22"/>
                <w:u w:val="single"/>
              </w:rPr>
              <w:t>(0.21)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B756AB" w:rsidRDefault="006E0492" w:rsidP="00684876">
            <w:pPr>
              <w:jc w:val="right"/>
              <w:rPr>
                <w:sz w:val="22"/>
                <w:szCs w:val="22"/>
              </w:rPr>
            </w:pPr>
            <w:r>
              <w:rPr>
                <w:sz w:val="22"/>
                <w:szCs w:val="22"/>
              </w:rPr>
              <w:t>(5.7%)</w:t>
            </w:r>
          </w:p>
        </w:tc>
      </w:tr>
      <w:tr w:rsidR="006E0492" w:rsidRPr="009C275E" w:rsidTr="00684876">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492" w:rsidRPr="009C275E" w:rsidRDefault="006E0492" w:rsidP="00684876">
            <w:pPr>
              <w:rPr>
                <w:b/>
                <w:bCs/>
                <w:color w:val="000000"/>
                <w:sz w:val="22"/>
                <w:szCs w:val="22"/>
              </w:rPr>
            </w:pPr>
            <w:r w:rsidRPr="009C275E">
              <w:rPr>
                <w:b/>
                <w:bCs/>
                <w:color w:val="000000"/>
                <w:sz w:val="22"/>
                <w:szCs w:val="22"/>
              </w:rPr>
              <w:t>Total</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9C275E" w:rsidRDefault="006E0492" w:rsidP="00684876">
            <w:pPr>
              <w:jc w:val="right"/>
              <w:rPr>
                <w:color w:val="000000"/>
                <w:sz w:val="22"/>
                <w:szCs w:val="22"/>
                <w:u w:val="double"/>
              </w:rPr>
            </w:pPr>
            <w:r>
              <w:rPr>
                <w:color w:val="000000"/>
                <w:sz w:val="22"/>
                <w:szCs w:val="22"/>
                <w:u w:val="double"/>
              </w:rPr>
              <w:t>$143.08</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9C275E" w:rsidRDefault="006E0492" w:rsidP="00684876">
            <w:pPr>
              <w:jc w:val="right"/>
              <w:rPr>
                <w:sz w:val="22"/>
                <w:szCs w:val="22"/>
                <w:u w:val="double"/>
              </w:rPr>
            </w:pPr>
            <w:r>
              <w:rPr>
                <w:sz w:val="22"/>
                <w:szCs w:val="22"/>
                <w:u w:val="double"/>
              </w:rPr>
              <w:t>$135.38</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240F45" w:rsidRDefault="006E0492" w:rsidP="00684876">
            <w:pPr>
              <w:jc w:val="right"/>
              <w:rPr>
                <w:sz w:val="22"/>
                <w:szCs w:val="22"/>
                <w:u w:val="double"/>
              </w:rPr>
            </w:pPr>
            <w:r>
              <w:rPr>
                <w:sz w:val="22"/>
                <w:szCs w:val="22"/>
                <w:u w:val="double"/>
              </w:rPr>
              <w:t>($7.70)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6E0492" w:rsidRPr="009C275E" w:rsidRDefault="006E0492" w:rsidP="00684876">
            <w:pPr>
              <w:jc w:val="right"/>
              <w:rPr>
                <w:sz w:val="22"/>
                <w:szCs w:val="22"/>
              </w:rPr>
            </w:pPr>
            <w:r>
              <w:rPr>
                <w:sz w:val="22"/>
                <w:szCs w:val="22"/>
              </w:rPr>
              <w:t>(5.4%)</w:t>
            </w:r>
          </w:p>
        </w:tc>
      </w:tr>
    </w:tbl>
    <w:p w:rsidR="006E0492" w:rsidRDefault="006E0492" w:rsidP="006E0492">
      <w:pPr>
        <w:pStyle w:val="BodyText"/>
        <w:spacing w:after="0"/>
      </w:pPr>
    </w:p>
    <w:p w:rsidR="00140C9D" w:rsidRPr="00140C9D" w:rsidRDefault="00140C9D" w:rsidP="00140C9D">
      <w:pPr>
        <w:rPr>
          <w:sz w:val="20"/>
          <w:szCs w:val="20"/>
        </w:rPr>
      </w:pPr>
      <w:r>
        <w:rPr>
          <w:sz w:val="20"/>
          <w:szCs w:val="20"/>
        </w:rPr>
        <w:t>Source : Document No. 01142-2024</w:t>
      </w:r>
    </w:p>
    <w:p w:rsidR="00140C9D" w:rsidRDefault="00140C9D" w:rsidP="006E0492">
      <w:pPr>
        <w:pStyle w:val="BodyText"/>
        <w:spacing w:after="0"/>
        <w:ind w:firstLine="720"/>
        <w:jc w:val="both"/>
      </w:pPr>
    </w:p>
    <w:p w:rsidR="00140C9D" w:rsidRDefault="00140C9D" w:rsidP="006E0492">
      <w:pPr>
        <w:pStyle w:val="BodyText"/>
        <w:spacing w:after="0"/>
        <w:ind w:firstLine="720"/>
        <w:jc w:val="both"/>
        <w:rPr>
          <w:u w:val="single"/>
        </w:rPr>
      </w:pPr>
      <w:r>
        <w:rPr>
          <w:u w:val="single"/>
        </w:rPr>
        <w:t>Bill Impacts - FPL Northwest Service Territory</w:t>
      </w:r>
    </w:p>
    <w:p w:rsidR="00140C9D" w:rsidRPr="00140C9D" w:rsidRDefault="00140C9D" w:rsidP="006E0492">
      <w:pPr>
        <w:pStyle w:val="BodyText"/>
        <w:spacing w:after="0"/>
        <w:ind w:firstLine="720"/>
        <w:jc w:val="both"/>
        <w:rPr>
          <w:u w:val="single"/>
        </w:rPr>
      </w:pPr>
    </w:p>
    <w:p w:rsidR="006E0492" w:rsidRDefault="006E0492" w:rsidP="006E0492">
      <w:pPr>
        <w:pStyle w:val="BodyText"/>
        <w:spacing w:after="0"/>
        <w:ind w:firstLine="720"/>
        <w:jc w:val="both"/>
      </w:pPr>
      <w:r w:rsidRPr="002930D3">
        <w:t xml:space="preserve">FPL’s </w:t>
      </w:r>
      <w:r w:rsidRPr="001A6285">
        <w:t>currently-approved Northwest total residential charge for the first 1,000 kWh of usage for April 2024 is $143.08.</w:t>
      </w:r>
      <w:r w:rsidRPr="001A6285">
        <w:rPr>
          <w:rStyle w:val="FootnoteReference"/>
        </w:rPr>
        <w:footnoteReference w:id="33"/>
      </w:r>
      <w:r w:rsidRPr="001A6285">
        <w:t xml:space="preserve"> </w:t>
      </w:r>
      <w:r>
        <w:t xml:space="preserve"> </w:t>
      </w:r>
      <w:r w:rsidRPr="001A6285">
        <w:t>If the</w:t>
      </w:r>
      <w:r w:rsidRPr="00D53424">
        <w:t xml:space="preserve"> Company’s mid-course correction </w:t>
      </w:r>
      <w:r>
        <w:t>is</w:t>
      </w:r>
      <w:r w:rsidRPr="00D53424">
        <w:t xml:space="preserve"> approved, the current total Northwest residential charge for </w:t>
      </w:r>
      <w:r>
        <w:t>the first 1,000 kWh of usage beginning in</w:t>
      </w:r>
      <w:r w:rsidRPr="00D53424">
        <w:t xml:space="preserve"> </w:t>
      </w:r>
      <w:r>
        <w:t>May</w:t>
      </w:r>
      <w:r w:rsidRPr="00D53424">
        <w:t xml:space="preserve"> wi</w:t>
      </w:r>
      <w:r w:rsidRPr="006F259C">
        <w:t xml:space="preserve">ll be </w:t>
      </w:r>
      <w:r w:rsidRPr="009928AD">
        <w:t>$135.38, a decrease of 5.4 percent</w:t>
      </w:r>
      <w:r w:rsidRPr="006F259C">
        <w:t xml:space="preserve">. </w:t>
      </w:r>
      <w:r>
        <w:t xml:space="preserve"> For</w:t>
      </w:r>
      <w:r w:rsidRPr="006F259C">
        <w:t xml:space="preserve"> non-residential cust</w:t>
      </w:r>
      <w:r>
        <w:t>omers, FPL reported that bill de</w:t>
      </w:r>
      <w:r w:rsidRPr="006F259C">
        <w:t>creases based on average levels of usage fo</w:t>
      </w:r>
      <w:r w:rsidRPr="00284D6A">
        <w:t xml:space="preserve">r small-size commercial customers would range from approximately 9.0 to 8.7 percent, and 8.8 percent for medium-size commercial customers, and 8.8 percent for large-size commercial customers. </w:t>
      </w:r>
      <w:r>
        <w:t xml:space="preserve"> </w:t>
      </w:r>
      <w:r w:rsidRPr="00284D6A">
        <w:t>A</w:t>
      </w:r>
      <w:r w:rsidRPr="006F259C">
        <w:t xml:space="preserve"> figure associated with an industrial </w:t>
      </w:r>
      <w:r>
        <w:t>class for the Northwest service territory</w:t>
      </w:r>
      <w:r w:rsidRPr="006F259C">
        <w:t xml:space="preserve"> was not identified.</w:t>
      </w:r>
      <w:r w:rsidRPr="006F259C">
        <w:rPr>
          <w:rStyle w:val="FootnoteReference"/>
        </w:rPr>
        <w:footnoteReference w:id="34"/>
      </w:r>
    </w:p>
    <w:p w:rsidR="006E0492" w:rsidRPr="00C503ED" w:rsidRDefault="006E0492" w:rsidP="006E0492">
      <w:pPr>
        <w:pStyle w:val="BodyText"/>
        <w:spacing w:after="0"/>
        <w:rPr>
          <w:bCs/>
          <w:iCs/>
          <w:highlight w:val="yellow"/>
        </w:rPr>
      </w:pPr>
    </w:p>
    <w:p w:rsidR="00676407" w:rsidRDefault="00676407" w:rsidP="00676407">
      <w:pPr>
        <w:pStyle w:val="BodyText"/>
        <w:spacing w:after="0"/>
        <w:ind w:firstLine="720"/>
        <w:jc w:val="both"/>
      </w:pPr>
      <w:r w:rsidRPr="005A6944">
        <w:t>FPL’s MCC Petition indicates a need for its fuel cost rec</w:t>
      </w:r>
      <w:r>
        <w:t>overy factors to be revised.  More specifically</w:t>
      </w:r>
      <w:r w:rsidRPr="005A6944">
        <w:t>, t</w:t>
      </w:r>
      <w:r>
        <w:t>he Company’s underlying 2024</w:t>
      </w:r>
      <w:r w:rsidRPr="005A6944">
        <w:t xml:space="preserve"> </w:t>
      </w:r>
      <w:r>
        <w:t xml:space="preserve">projected </w:t>
      </w:r>
      <w:r w:rsidRPr="005A6944">
        <w:t xml:space="preserve">fuel-related revenue requirement has been reduced </w:t>
      </w:r>
      <w:r>
        <w:t xml:space="preserve">by </w:t>
      </w:r>
      <w:r w:rsidRPr="00301B94">
        <w:t>$</w:t>
      </w:r>
      <w:r>
        <w:t>624,476,902.  Additionally</w:t>
      </w:r>
      <w:r w:rsidRPr="00301B94">
        <w:t>, the</w:t>
      </w:r>
      <w:r w:rsidRPr="005A6944">
        <w:t xml:space="preserve"> Company proposes to incorporate </w:t>
      </w:r>
      <w:r>
        <w:t xml:space="preserve">its period-specific final 2023 fuel cost true-up (over-recovery) of </w:t>
      </w:r>
      <w:r w:rsidRPr="005A6944">
        <w:t>$</w:t>
      </w:r>
      <w:r w:rsidRPr="0069313F">
        <w:t>37,2</w:t>
      </w:r>
      <w:r>
        <w:t xml:space="preserve">90,272 </w:t>
      </w:r>
      <w:r w:rsidRPr="005A6944">
        <w:t xml:space="preserve">into the current period. </w:t>
      </w:r>
      <w:r>
        <w:t xml:space="preserve"> </w:t>
      </w:r>
      <w:r w:rsidRPr="005A6944">
        <w:t xml:space="preserve">Thus, FPL’s current fuel cost recovery factors should be </w:t>
      </w:r>
      <w:r>
        <w:t>reduc</w:t>
      </w:r>
      <w:r w:rsidRPr="005A6944">
        <w:t xml:space="preserve">ed by </w:t>
      </w:r>
      <w:r w:rsidRPr="001D692B">
        <w:t>$661,7</w:t>
      </w:r>
      <w:r>
        <w:t>67,174</w:t>
      </w:r>
      <w:r w:rsidRPr="005A6944">
        <w:t xml:space="preserve">. </w:t>
      </w:r>
      <w:r>
        <w:t xml:space="preserve"> </w:t>
      </w:r>
      <w:r w:rsidRPr="005A6944">
        <w:t xml:space="preserve">The revised fuel cost recovery factors </w:t>
      </w:r>
      <w:r>
        <w:t xml:space="preserve">reflecting this revision </w:t>
      </w:r>
      <w:r w:rsidRPr="005A6944">
        <w:t>are shown on Appendix A.</w:t>
      </w:r>
    </w:p>
    <w:p w:rsidR="00676407" w:rsidRDefault="00676407" w:rsidP="00676407">
      <w:pPr>
        <w:pStyle w:val="BodyText"/>
        <w:spacing w:after="0"/>
      </w:pPr>
    </w:p>
    <w:p w:rsidR="006E0492" w:rsidRDefault="00676407" w:rsidP="00676407">
      <w:pPr>
        <w:jc w:val="both"/>
      </w:pPr>
      <w:r>
        <w:tab/>
        <w:t xml:space="preserve">For these reasons, we </w:t>
      </w:r>
      <w:r w:rsidRPr="00CE41DE">
        <w:t xml:space="preserve">authorize adjustments to FPL’s fuel cost recovery factors for the purpose of incorporating the Company’s projected net 2024 fuel cost reduction. </w:t>
      </w:r>
      <w:r>
        <w:t xml:space="preserve"> </w:t>
      </w:r>
      <w:r w:rsidRPr="00CE41DE">
        <w:t>Accordingly, FPL’s currently-authorized 2024 fuel cost recovery factors should be reduced by $661,767,174.</w:t>
      </w:r>
    </w:p>
    <w:p w:rsidR="00676407" w:rsidRDefault="00676407" w:rsidP="00676407">
      <w:pPr>
        <w:jc w:val="both"/>
      </w:pPr>
    </w:p>
    <w:p w:rsidR="00676407" w:rsidRDefault="00676407" w:rsidP="00676407">
      <w:pPr>
        <w:jc w:val="both"/>
        <w:rPr>
          <w:u w:val="single"/>
        </w:rPr>
      </w:pPr>
      <w:r>
        <w:tab/>
      </w:r>
      <w:r>
        <w:rPr>
          <w:u w:val="single"/>
        </w:rPr>
        <w:t>Effective date</w:t>
      </w:r>
    </w:p>
    <w:p w:rsidR="00676407" w:rsidRDefault="00676407" w:rsidP="00676407">
      <w:pPr>
        <w:jc w:val="both"/>
        <w:rPr>
          <w:u w:val="single"/>
        </w:rPr>
      </w:pPr>
    </w:p>
    <w:p w:rsidR="00676407" w:rsidRDefault="00676407" w:rsidP="00676407">
      <w:pPr>
        <w:pStyle w:val="BodyText"/>
        <w:jc w:val="both"/>
      </w:pPr>
      <w:r>
        <w:tab/>
        <w:t>Over the last 20 years in the Fuel Clause docket, we have con</w:t>
      </w:r>
      <w:r w:rsidRPr="00F65749">
        <w:t xml:space="preserve">sidered the effective date of rates and charges of revised fuel cost factors on a case-by-case basis. </w:t>
      </w:r>
      <w:r>
        <w:t xml:space="preserve">We have </w:t>
      </w:r>
      <w:r w:rsidRPr="00F65749">
        <w:t>approved rate decreases to be effective less than 30 days after</w:t>
      </w:r>
      <w:r>
        <w:t xml:space="preserve"> the date of our vote</w:t>
      </w:r>
      <w:r w:rsidRPr="00F65749">
        <w:t xml:space="preserve"> because </w:t>
      </w:r>
      <w:r>
        <w:t xml:space="preserve">it </w:t>
      </w:r>
      <w:r w:rsidRPr="00F65749">
        <w:t>was in the customers’ best interest</w:t>
      </w:r>
      <w:r>
        <w:t>s</w:t>
      </w:r>
      <w:r w:rsidRPr="00F65749">
        <w:t xml:space="preserve"> </w:t>
      </w:r>
      <w:r>
        <w:t xml:space="preserve">for </w:t>
      </w:r>
      <w:r w:rsidRPr="00F65749">
        <w:t>the rate decrease to be implemented as soon as possible.</w:t>
      </w:r>
      <w:r w:rsidRPr="00F65749">
        <w:rPr>
          <w:rStyle w:val="FootnoteReference"/>
        </w:rPr>
        <w:footnoteReference w:id="35"/>
      </w:r>
      <w:r w:rsidRPr="00F65749">
        <w:t xml:space="preserve"> </w:t>
      </w:r>
      <w:r>
        <w:t xml:space="preserve"> </w:t>
      </w:r>
      <w:r w:rsidRPr="00F65749">
        <w:t>In its MCC Petition, FPL proposes to</w:t>
      </w:r>
      <w:r>
        <w:t xml:space="preserve"> decrease its 2024 fuel factors</w:t>
      </w:r>
      <w:r w:rsidRPr="00F65749">
        <w:t xml:space="preserve"> beginning with the </w:t>
      </w:r>
      <w:r>
        <w:t xml:space="preserve">first billing cycle of </w:t>
      </w:r>
      <w:r w:rsidRPr="00F65749">
        <w:t>M</w:t>
      </w:r>
      <w:r>
        <w:t>ay 2024.  Further, FPL has stated that it would include a message on customer bills in the April billing cycle explaining that the utility’s proposed rate decrease is set to begin in May.</w:t>
      </w:r>
      <w:r>
        <w:rPr>
          <w:rStyle w:val="FootnoteReference"/>
        </w:rPr>
        <w:footnoteReference w:id="36"/>
      </w:r>
    </w:p>
    <w:p w:rsidR="00676407" w:rsidRDefault="00DC42F6" w:rsidP="00676407">
      <w:pPr>
        <w:ind w:firstLine="720"/>
        <w:jc w:val="both"/>
      </w:pPr>
      <w:r>
        <w:t>T</w:t>
      </w:r>
      <w:r w:rsidR="00676407">
        <w:t>he Company has engaged in numerous outreach efforts regarding the potential bill impacts of th</w:t>
      </w:r>
      <w:r>
        <w:t>is</w:t>
      </w:r>
      <w:r w:rsidR="00676407">
        <w:t xml:space="preserve"> proceeding.  Specifically, FPL issued a press release on March 13, 2024, informing its customers of the potential adjustments related to the mid-course correction through a web-based billing information portal titled “Rates and Your Bill.”</w:t>
      </w:r>
      <w:r w:rsidR="00676407">
        <w:rPr>
          <w:rStyle w:val="FootnoteReference"/>
        </w:rPr>
        <w:footnoteReference w:id="37"/>
      </w:r>
      <w:r w:rsidR="00676407">
        <w:t xml:space="preserve">  For these reasons</w:t>
      </w:r>
      <w:r>
        <w:t>,</w:t>
      </w:r>
      <w:r w:rsidR="00676407">
        <w:t xml:space="preserve"> we find that the fuel cost recovery factors shown on Appendix A shall become effective with the billing cycle of May 2024.</w:t>
      </w:r>
    </w:p>
    <w:p w:rsidR="00DC42F6" w:rsidRDefault="00DC42F6" w:rsidP="00676407">
      <w:pPr>
        <w:ind w:firstLine="720"/>
        <w:jc w:val="both"/>
      </w:pPr>
    </w:p>
    <w:p w:rsidR="00FF78C6" w:rsidRDefault="00FF78C6" w:rsidP="00676407">
      <w:pPr>
        <w:ind w:firstLine="720"/>
        <w:jc w:val="both"/>
      </w:pPr>
      <w:r>
        <w:t>Therefore, it is</w:t>
      </w:r>
    </w:p>
    <w:p w:rsidR="00FF78C6" w:rsidRDefault="00FF78C6" w:rsidP="00676407">
      <w:pPr>
        <w:ind w:firstLine="720"/>
        <w:jc w:val="both"/>
      </w:pPr>
    </w:p>
    <w:p w:rsidR="00FF78C6" w:rsidRDefault="00FF78C6" w:rsidP="00FF78C6">
      <w:pPr>
        <w:pStyle w:val="BodyText"/>
        <w:ind w:firstLine="720"/>
        <w:jc w:val="both"/>
      </w:pPr>
      <w:r>
        <w:t>ORDERED by the Florida Public Service Commission that adjustments shall be made to FPL’s fuel cost recovery factors for the purpose of incorporating the Company’s projected net 2024 fuel cost reduction.  Accordingly, FPL’s currently authorized 2024 fuel cost recovery factors should be reduced by $661,767,174.   It is further</w:t>
      </w:r>
    </w:p>
    <w:p w:rsidR="00FF78C6" w:rsidRDefault="00FF78C6" w:rsidP="00FF78C6">
      <w:pPr>
        <w:pStyle w:val="BodyText"/>
        <w:jc w:val="both"/>
      </w:pPr>
      <w:r>
        <w:tab/>
        <w:t>ORDERED that the fuel cost recovery factors, as shown on Appendix A to this order, shall become effective with the first billing cycle of May 2024.  It is further</w:t>
      </w:r>
    </w:p>
    <w:p w:rsidR="00FF78C6" w:rsidRDefault="00FF78C6" w:rsidP="00FF78C6">
      <w:pPr>
        <w:pStyle w:val="BodyText"/>
        <w:jc w:val="both"/>
      </w:pPr>
      <w:r>
        <w:tab/>
        <w:t>ORDERED that the fuel and purchased power cost recovery clause docket is an ongoing proceeding and shall remain open.</w:t>
      </w:r>
    </w:p>
    <w:p w:rsidR="00FF78C6" w:rsidRDefault="00FF78C6" w:rsidP="00FF78C6">
      <w:pPr>
        <w:keepNext/>
        <w:keepLines/>
        <w:ind w:firstLine="720"/>
        <w:jc w:val="both"/>
      </w:pPr>
      <w:r>
        <w:lastRenderedPageBreak/>
        <w:t xml:space="preserve">By ORDER of the Florida Public Service Commission this </w:t>
      </w:r>
      <w:bookmarkStart w:id="6" w:name="replaceDate"/>
      <w:bookmarkEnd w:id="6"/>
      <w:r w:rsidR="007D3D36">
        <w:rPr>
          <w:u w:val="single"/>
        </w:rPr>
        <w:t>10th</w:t>
      </w:r>
      <w:r w:rsidR="007D3D36">
        <w:t xml:space="preserve"> day of </w:t>
      </w:r>
      <w:r w:rsidR="007D3D36">
        <w:rPr>
          <w:u w:val="single"/>
        </w:rPr>
        <w:t>April</w:t>
      </w:r>
      <w:r w:rsidR="007D3D36">
        <w:t xml:space="preserve">, </w:t>
      </w:r>
      <w:r w:rsidR="007D3D36">
        <w:rPr>
          <w:u w:val="single"/>
        </w:rPr>
        <w:t>2024</w:t>
      </w:r>
      <w:r w:rsidR="007D3D36">
        <w:t>.</w:t>
      </w:r>
    </w:p>
    <w:p w:rsidR="007D3D36" w:rsidRPr="007D3D36" w:rsidRDefault="007D3D36" w:rsidP="00FF78C6">
      <w:pPr>
        <w:keepNext/>
        <w:keepLines/>
        <w:ind w:firstLine="720"/>
        <w:jc w:val="both"/>
      </w:pPr>
    </w:p>
    <w:p w:rsidR="00FF78C6" w:rsidRDefault="00FF78C6" w:rsidP="00FF78C6">
      <w:pPr>
        <w:keepNext/>
        <w:keepLines/>
        <w:ind w:firstLine="720"/>
        <w:jc w:val="both"/>
      </w:pPr>
    </w:p>
    <w:p w:rsidR="00FF78C6" w:rsidRDefault="00FF78C6" w:rsidP="00FF78C6">
      <w:pPr>
        <w:keepNext/>
        <w:keepLines/>
        <w:ind w:firstLine="720"/>
        <w:jc w:val="both"/>
      </w:pPr>
    </w:p>
    <w:tbl>
      <w:tblPr>
        <w:tblW w:w="4720" w:type="dxa"/>
        <w:tblInd w:w="3800" w:type="dxa"/>
        <w:tblLayout w:type="fixed"/>
        <w:tblLook w:val="0000" w:firstRow="0" w:lastRow="0" w:firstColumn="0" w:lastColumn="0" w:noHBand="0" w:noVBand="0"/>
      </w:tblPr>
      <w:tblGrid>
        <w:gridCol w:w="686"/>
        <w:gridCol w:w="4034"/>
      </w:tblGrid>
      <w:tr w:rsidR="00FF78C6" w:rsidTr="00FF78C6">
        <w:tc>
          <w:tcPr>
            <w:tcW w:w="720" w:type="dxa"/>
            <w:shd w:val="clear" w:color="auto" w:fill="auto"/>
          </w:tcPr>
          <w:p w:rsidR="00FF78C6" w:rsidRDefault="00FF78C6" w:rsidP="00FF78C6">
            <w:pPr>
              <w:keepNext/>
              <w:keepLines/>
              <w:jc w:val="both"/>
            </w:pPr>
            <w:bookmarkStart w:id="7" w:name="bkmrkSignature" w:colFirst="0" w:colLast="0"/>
          </w:p>
        </w:tc>
        <w:tc>
          <w:tcPr>
            <w:tcW w:w="4320" w:type="dxa"/>
            <w:tcBorders>
              <w:bottom w:val="single" w:sz="4" w:space="0" w:color="auto"/>
            </w:tcBorders>
            <w:shd w:val="clear" w:color="auto" w:fill="auto"/>
          </w:tcPr>
          <w:p w:rsidR="00FF78C6" w:rsidRDefault="00FF78C6" w:rsidP="00FF78C6">
            <w:pPr>
              <w:keepNext/>
              <w:keepLines/>
              <w:jc w:val="both"/>
            </w:pPr>
          </w:p>
        </w:tc>
      </w:tr>
      <w:bookmarkEnd w:id="7"/>
      <w:tr w:rsidR="00FF78C6" w:rsidTr="00FF78C6">
        <w:tc>
          <w:tcPr>
            <w:tcW w:w="720" w:type="dxa"/>
            <w:shd w:val="clear" w:color="auto" w:fill="auto"/>
          </w:tcPr>
          <w:p w:rsidR="00FF78C6" w:rsidRDefault="00FF78C6" w:rsidP="00FF78C6">
            <w:pPr>
              <w:keepNext/>
              <w:keepLines/>
              <w:jc w:val="both"/>
            </w:pPr>
          </w:p>
        </w:tc>
        <w:tc>
          <w:tcPr>
            <w:tcW w:w="4320" w:type="dxa"/>
            <w:tcBorders>
              <w:top w:val="single" w:sz="4" w:space="0" w:color="auto"/>
            </w:tcBorders>
            <w:shd w:val="clear" w:color="auto" w:fill="auto"/>
          </w:tcPr>
          <w:p w:rsidR="00FF78C6" w:rsidRDefault="00FF78C6" w:rsidP="00FF78C6">
            <w:pPr>
              <w:keepNext/>
              <w:keepLines/>
              <w:jc w:val="both"/>
            </w:pPr>
            <w:r>
              <w:t>ADAM J. TEITZMAN</w:t>
            </w:r>
          </w:p>
          <w:p w:rsidR="00FF78C6" w:rsidRDefault="00FF78C6" w:rsidP="00FF78C6">
            <w:pPr>
              <w:keepNext/>
              <w:keepLines/>
              <w:jc w:val="both"/>
            </w:pPr>
            <w:r>
              <w:t>Commission Clerk</w:t>
            </w:r>
          </w:p>
        </w:tc>
      </w:tr>
    </w:tbl>
    <w:p w:rsidR="00FF78C6" w:rsidRDefault="00FF78C6" w:rsidP="00FF78C6">
      <w:pPr>
        <w:pStyle w:val="OrderSigInfo"/>
        <w:keepNext/>
        <w:keepLines/>
      </w:pPr>
      <w:r>
        <w:t>Florida Public Service Commission</w:t>
      </w:r>
    </w:p>
    <w:p w:rsidR="00FF78C6" w:rsidRDefault="00FF78C6" w:rsidP="00FF78C6">
      <w:pPr>
        <w:pStyle w:val="OrderSigInfo"/>
        <w:keepNext/>
        <w:keepLines/>
      </w:pPr>
      <w:r>
        <w:t>2540 Shumard Oak Boulevard</w:t>
      </w:r>
    </w:p>
    <w:p w:rsidR="00FF78C6" w:rsidRDefault="00FF78C6" w:rsidP="00FF78C6">
      <w:pPr>
        <w:pStyle w:val="OrderSigInfo"/>
        <w:keepNext/>
        <w:keepLines/>
      </w:pPr>
      <w:r>
        <w:t>Tallahassee, Florida 32399</w:t>
      </w:r>
    </w:p>
    <w:p w:rsidR="00FF78C6" w:rsidRDefault="00FF78C6" w:rsidP="00FF78C6">
      <w:pPr>
        <w:pStyle w:val="OrderSigInfo"/>
        <w:keepNext/>
        <w:keepLines/>
      </w:pPr>
      <w:r>
        <w:t>(850) 413</w:t>
      </w:r>
      <w:r>
        <w:noBreakHyphen/>
        <w:t>6770</w:t>
      </w:r>
    </w:p>
    <w:p w:rsidR="00FF78C6" w:rsidRDefault="00FF78C6" w:rsidP="00FF78C6">
      <w:pPr>
        <w:pStyle w:val="OrderSigInfo"/>
        <w:keepNext/>
        <w:keepLines/>
      </w:pPr>
      <w:r>
        <w:t>www.floridapsc.com</w:t>
      </w:r>
    </w:p>
    <w:p w:rsidR="00FF78C6" w:rsidRDefault="00FF78C6" w:rsidP="00FF78C6">
      <w:pPr>
        <w:pStyle w:val="OrderSigInfo"/>
        <w:keepNext/>
        <w:keepLines/>
      </w:pPr>
    </w:p>
    <w:p w:rsidR="00FF78C6" w:rsidRDefault="00FF78C6" w:rsidP="00FF78C6">
      <w:pPr>
        <w:pStyle w:val="OrderSigInfo"/>
        <w:keepNext/>
        <w:keepLines/>
      </w:pPr>
      <w:r>
        <w:t>Copies furnished:  A copy of this document is provided to the parties of record at the time of issuance and, if applicable, interested persons.</w:t>
      </w:r>
    </w:p>
    <w:p w:rsidR="00FF78C6" w:rsidRDefault="00FF78C6" w:rsidP="00FF78C6">
      <w:pPr>
        <w:pStyle w:val="OrderBody"/>
        <w:keepNext/>
        <w:keepLines/>
      </w:pPr>
      <w:bookmarkStart w:id="8" w:name="_GoBack"/>
      <w:bookmarkEnd w:id="8"/>
    </w:p>
    <w:p w:rsidR="00FF78C6" w:rsidRDefault="00FF78C6" w:rsidP="00FF78C6">
      <w:pPr>
        <w:pStyle w:val="OrderBody"/>
        <w:keepNext/>
        <w:keepLines/>
      </w:pPr>
      <w:r>
        <w:t>SBr</w:t>
      </w:r>
    </w:p>
    <w:p w:rsidR="00FF78C6" w:rsidRDefault="00FF78C6" w:rsidP="00FF78C6">
      <w:pPr>
        <w:pStyle w:val="CenterUnderline"/>
      </w:pPr>
      <w:r>
        <w:t>NOTICE OF FURTHER PROCEEDINGS OR JUDICIAL REVIEW</w:t>
      </w:r>
    </w:p>
    <w:p w:rsidR="00FF78C6" w:rsidRDefault="00FF78C6" w:rsidP="00FF78C6">
      <w:pPr>
        <w:pStyle w:val="CenterUnderline"/>
      </w:pPr>
    </w:p>
    <w:p w:rsidR="00FF78C6" w:rsidRDefault="00FF78C6" w:rsidP="00FF78C6">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FF78C6" w:rsidRDefault="00FF78C6" w:rsidP="00FF78C6">
      <w:pPr>
        <w:pStyle w:val="OrderBody"/>
      </w:pPr>
    </w:p>
    <w:p w:rsidR="00FF78C6" w:rsidRDefault="00FF78C6" w:rsidP="00FF78C6">
      <w:pPr>
        <w:pStyle w:val="OrderBody"/>
      </w:pPr>
      <w:r>
        <w:tab/>
        <w:t>Mediation may be available on a case-by-case basis.  If mediation is conducted, it does not affect a substantially interested person's right to a hearing.</w:t>
      </w:r>
    </w:p>
    <w:p w:rsidR="00FF78C6" w:rsidRDefault="00FF78C6" w:rsidP="00FF78C6">
      <w:pPr>
        <w:pStyle w:val="OrderBody"/>
      </w:pPr>
    </w:p>
    <w:p w:rsidR="0093592E" w:rsidRDefault="00FF78C6" w:rsidP="00FF78C6">
      <w:pPr>
        <w:pStyle w:val="OrderBody"/>
        <w:sectPr w:rsidR="0093592E">
          <w:headerReference w:type="default" r:id="rId6"/>
          <w:footerReference w:type="first" r:id="rId7"/>
          <w:pgSz w:w="12240" w:h="15840" w:code="1"/>
          <w:pgMar w:top="1440" w:right="1440" w:bottom="1440" w:left="1440" w:header="720" w:footer="720" w:gutter="0"/>
          <w:cols w:space="720"/>
          <w:titlePg/>
          <w:docGrid w:linePitch="360"/>
        </w:sectPr>
      </w:pPr>
      <w:r>
        <w:tab/>
        <w:t>Any party adversely affected by this order, which is preliminary, procedural or intermediate in nature, may request: (1) reconsideration within 10 days pursuant to Rule 25-22.0376, Florida Administrative Code; or (2) judicial review by the Florida Supreme Court, in the case of an electric, gas or telephone utility, or the First District Court of Appeal, in the case of a water or wastewater utility.  A motion for reconsideration shall be filed with the Office of Commission Clerk, in the form prescribed by Rule 25-22.0376, Florida Administrative Code.  Judicial review of a preliminary, procedural or intermediate ruling or order is available if review of the final action will not provide an adequate remedy.  Such review may be requested from the appropriate court, as described above, pursuant to Rule 9.100, Florida Rules of Appellate Procedure.</w:t>
      </w:r>
    </w:p>
    <w:p w:rsidR="0093592E" w:rsidRDefault="0093592E" w:rsidP="0093592E">
      <w:pPr>
        <w:sectPr w:rsidR="0093592E">
          <w:headerReference w:type="first" r:id="rId8"/>
          <w:pgSz w:w="12240" w:h="15840" w:code="1"/>
          <w:pgMar w:top="1440" w:right="1440" w:bottom="1440" w:left="1440" w:header="720" w:footer="720" w:gutter="0"/>
          <w:cols w:space="720"/>
          <w:titlePg/>
          <w:docGrid w:linePitch="360"/>
        </w:sectPr>
      </w:pPr>
      <w:r>
        <w:rPr>
          <w:noProof/>
        </w:rPr>
        <w:lastRenderedPageBreak/>
        <w:drawing>
          <wp:inline distT="0" distB="0" distL="0" distR="0" wp14:anchorId="080A54D0">
            <wp:extent cx="6590030" cy="8114665"/>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0030" cy="8114665"/>
                    </a:xfrm>
                    <a:prstGeom prst="rect">
                      <a:avLst/>
                    </a:prstGeom>
                    <a:noFill/>
                  </pic:spPr>
                </pic:pic>
              </a:graphicData>
            </a:graphic>
          </wp:inline>
        </w:drawing>
      </w:r>
    </w:p>
    <w:p w:rsidR="00FF78C6" w:rsidRDefault="0093592E" w:rsidP="0093592E">
      <w:r>
        <w:rPr>
          <w:noProof/>
        </w:rPr>
        <w:lastRenderedPageBreak/>
        <w:drawing>
          <wp:inline distT="0" distB="0" distL="0" distR="0" wp14:anchorId="7D2F1540">
            <wp:extent cx="6584315" cy="819404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4315" cy="8194040"/>
                    </a:xfrm>
                    <a:prstGeom prst="rect">
                      <a:avLst/>
                    </a:prstGeom>
                    <a:noFill/>
                  </pic:spPr>
                </pic:pic>
              </a:graphicData>
            </a:graphic>
          </wp:inline>
        </w:drawing>
      </w:r>
    </w:p>
    <w:sectPr w:rsidR="00FF78C6">
      <w:headerReference w:type="first" r:id="rId1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0521" w:rsidRDefault="00CE0521">
      <w:r>
        <w:separator/>
      </w:r>
    </w:p>
  </w:endnote>
  <w:endnote w:type="continuationSeparator" w:id="0">
    <w:p w:rsidR="00CE0521" w:rsidRDefault="00CE0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0521" w:rsidRDefault="00CE0521">
      <w:r>
        <w:separator/>
      </w:r>
    </w:p>
  </w:footnote>
  <w:footnote w:type="continuationSeparator" w:id="0">
    <w:p w:rsidR="00CE0521" w:rsidRDefault="00CE0521">
      <w:r>
        <w:continuationSeparator/>
      </w:r>
    </w:p>
  </w:footnote>
  <w:footnote w:id="1">
    <w:p w:rsidR="00CE0521" w:rsidRDefault="00CE0521" w:rsidP="00CE0521">
      <w:pPr>
        <w:pStyle w:val="FootnoteText"/>
      </w:pPr>
      <w:r>
        <w:rPr>
          <w:rStyle w:val="FootnoteReference"/>
        </w:rPr>
        <w:footnoteRef/>
      </w:r>
      <w:r>
        <w:t>Document No. 01142-2024</w:t>
      </w:r>
      <w:r w:rsidRPr="00BC7666">
        <w:t>.</w:t>
      </w:r>
    </w:p>
  </w:footnote>
  <w:footnote w:id="2">
    <w:p w:rsidR="00CE0521" w:rsidRDefault="00CE0521" w:rsidP="00CE0521">
      <w:pPr>
        <w:pStyle w:val="FootnoteText"/>
      </w:pPr>
      <w:r>
        <w:rPr>
          <w:rStyle w:val="FootnoteReference"/>
        </w:rPr>
        <w:footnoteRef/>
      </w:r>
      <w:r w:rsidRPr="00BC7666">
        <w:t>Order No. PSC-2023-0</w:t>
      </w:r>
      <w:r>
        <w:t>343</w:t>
      </w:r>
      <w:r w:rsidRPr="00BC7666">
        <w:t xml:space="preserve">-FOF-EI, issued </w:t>
      </w:r>
      <w:r>
        <w:t>November</w:t>
      </w:r>
      <w:r w:rsidRPr="00BC7666">
        <w:t xml:space="preserve"> </w:t>
      </w:r>
      <w:r>
        <w:t>1</w:t>
      </w:r>
      <w:r w:rsidRPr="00BC7666">
        <w:t xml:space="preserve">6, 2023, in Docket No. 20230001-EI, </w:t>
      </w:r>
      <w:r w:rsidRPr="00BC7666">
        <w:rPr>
          <w:i/>
        </w:rPr>
        <w:t>In re: Fuel and purchased power cost recovery clause with generating performance incentive factor</w:t>
      </w:r>
      <w:r w:rsidRPr="00BC7666">
        <w:t>.</w:t>
      </w:r>
      <w:r w:rsidRPr="003176DE">
        <w:tab/>
      </w:r>
    </w:p>
  </w:footnote>
  <w:footnote w:id="3">
    <w:p w:rsidR="00CE0521" w:rsidRDefault="00CE0521" w:rsidP="00CE0521">
      <w:pPr>
        <w:pStyle w:val="FootnoteText"/>
        <w:rPr>
          <w:highlight w:val="yellow"/>
        </w:rPr>
      </w:pPr>
      <w:r w:rsidRPr="000A7D2E">
        <w:rPr>
          <w:rStyle w:val="FootnoteReference"/>
        </w:rPr>
        <w:footnoteRef/>
      </w:r>
      <w:r w:rsidRPr="000A7D2E">
        <w:t>Order No. PSC-2023-0</w:t>
      </w:r>
      <w:r>
        <w:t>343</w:t>
      </w:r>
      <w:r w:rsidRPr="000A7D2E">
        <w:t>-FOF-EI.</w:t>
      </w:r>
    </w:p>
  </w:footnote>
  <w:footnote w:id="4">
    <w:p w:rsidR="00CE0521" w:rsidRDefault="00CE0521" w:rsidP="00CE0521">
      <w:pPr>
        <w:pStyle w:val="FootnoteText"/>
      </w:pPr>
      <w:r>
        <w:rPr>
          <w:rStyle w:val="FootnoteReference"/>
        </w:rPr>
        <w:footnoteRef/>
      </w:r>
      <w:r w:rsidRPr="002C3455">
        <w:rPr>
          <w:i/>
        </w:rPr>
        <w:t>Id</w:t>
      </w:r>
      <w:r>
        <w:t>., and Order No. PSC-2021-0446A-S-EI, i</w:t>
      </w:r>
      <w:r w:rsidRPr="00314C46">
        <w:t xml:space="preserve">ssued December 9, 2021, in Docket No. 20210015-EI, </w:t>
      </w:r>
      <w:r w:rsidRPr="00314C46">
        <w:rPr>
          <w:i/>
        </w:rPr>
        <w:t>In re: Petition for rate increase by Florida Power &amp; Light Company</w:t>
      </w:r>
      <w:r w:rsidRPr="00314C46">
        <w:t>.</w:t>
      </w:r>
    </w:p>
  </w:footnote>
  <w:footnote w:id="5">
    <w:p w:rsidR="00CE0521" w:rsidRPr="00925C38" w:rsidRDefault="00CE0521" w:rsidP="00CE0521">
      <w:pPr>
        <w:pStyle w:val="FootnoteText"/>
      </w:pPr>
      <w:r w:rsidRPr="00925C38">
        <w:rPr>
          <w:rStyle w:val="FootnoteReference"/>
        </w:rPr>
        <w:footnoteRef/>
      </w:r>
      <w:r>
        <w:t>Document No. 01142-2024</w:t>
      </w:r>
      <w:r w:rsidRPr="00BC7666">
        <w:t>.</w:t>
      </w:r>
    </w:p>
  </w:footnote>
  <w:footnote w:id="6">
    <w:p w:rsidR="00CE0521" w:rsidRDefault="00CE0521" w:rsidP="00CE0521">
      <w:pPr>
        <w:pStyle w:val="FootnoteText"/>
        <w:rPr>
          <w:highlight w:val="yellow"/>
        </w:rPr>
      </w:pPr>
      <w:r w:rsidRPr="00925C38">
        <w:rPr>
          <w:rStyle w:val="FootnoteReference"/>
        </w:rPr>
        <w:footnoteRef/>
      </w:r>
      <w:r w:rsidRPr="00925C38">
        <w:t>Document No. 0</w:t>
      </w:r>
      <w:r>
        <w:t>0155</w:t>
      </w:r>
      <w:r w:rsidRPr="00925C38">
        <w:t>-202</w:t>
      </w:r>
      <w:r>
        <w:t>4</w:t>
      </w:r>
      <w:r w:rsidRPr="00925C38">
        <w:t>.</w:t>
      </w:r>
    </w:p>
  </w:footnote>
  <w:footnote w:id="7">
    <w:p w:rsidR="00CE0521" w:rsidRDefault="00CE0521" w:rsidP="00CE0521">
      <w:pPr>
        <w:pStyle w:val="FootnoteText"/>
      </w:pPr>
      <w:r>
        <w:rPr>
          <w:rStyle w:val="FootnoteReference"/>
        </w:rPr>
        <w:footnoteRef/>
      </w:r>
      <w:hyperlink r:id="rId1" w:history="1">
        <w:r w:rsidRPr="00124822">
          <w:rPr>
            <w:rStyle w:val="Hyperlink"/>
          </w:rPr>
          <w:t>https://www.eia.gov/outlooks/steo/archives/mar24.pdf</w:t>
        </w:r>
      </w:hyperlink>
    </w:p>
  </w:footnote>
  <w:footnote w:id="8">
    <w:p w:rsidR="00CE0521" w:rsidRDefault="00CE0521" w:rsidP="00CE0521">
      <w:pPr>
        <w:pStyle w:val="FootnoteText"/>
      </w:pPr>
      <w:r>
        <w:rPr>
          <w:rStyle w:val="FootnoteReference"/>
        </w:rPr>
        <w:footnoteRef/>
      </w:r>
      <w:r w:rsidRPr="00FF0A2E">
        <w:t xml:space="preserve">Order No. PSC-2023-0207-PCO-EI, </w:t>
      </w:r>
      <w:r>
        <w:t>i</w:t>
      </w:r>
      <w:r w:rsidRPr="00FF0A2E">
        <w:t>ssued July 24, 2023,</w:t>
      </w:r>
      <w:r w:rsidRPr="00B55682">
        <w:t xml:space="preserve"> </w:t>
      </w:r>
      <w:r>
        <w:t xml:space="preserve">in </w:t>
      </w:r>
      <w:r w:rsidRPr="00FF0A2E">
        <w:t xml:space="preserve">Docket No. 20230001-EI, </w:t>
      </w:r>
      <w:r w:rsidRPr="00FF0A2E">
        <w:rPr>
          <w:i/>
        </w:rPr>
        <w:t>In re: Fuel and purchased power cost recovery clause with generating performance incentive factor</w:t>
      </w:r>
      <w:r w:rsidRPr="00FF0A2E">
        <w:t>.</w:t>
      </w:r>
    </w:p>
  </w:footnote>
  <w:footnote w:id="9">
    <w:p w:rsidR="00CE0521" w:rsidRDefault="00CE0521" w:rsidP="00CE0521">
      <w:pPr>
        <w:pStyle w:val="FootnoteText"/>
      </w:pPr>
      <w:r>
        <w:rPr>
          <w:rStyle w:val="FootnoteReference"/>
        </w:rPr>
        <w:footnoteRef/>
      </w:r>
      <w:r>
        <w:t>Document No. 01142-2024. This credit can be found on page 2 of 126, Schedule E1-B, Line 19.</w:t>
      </w:r>
    </w:p>
  </w:footnote>
  <w:footnote w:id="10">
    <w:p w:rsidR="00CE0521" w:rsidRDefault="00CE0521" w:rsidP="00CE0521">
      <w:pPr>
        <w:pStyle w:val="FootnoteText"/>
      </w:pPr>
      <w:r>
        <w:rPr>
          <w:rStyle w:val="FootnoteReference"/>
        </w:rPr>
        <w:footnoteRef/>
      </w:r>
      <w:r w:rsidRPr="00FF0A2E">
        <w:t>Order No. PSC-2023-0207-PCO-EI</w:t>
      </w:r>
      <w:r>
        <w:t>.</w:t>
      </w:r>
    </w:p>
  </w:footnote>
  <w:footnote w:id="11">
    <w:p w:rsidR="00613D14" w:rsidRDefault="00613D14" w:rsidP="00613D14">
      <w:pPr>
        <w:pStyle w:val="FootnoteText"/>
      </w:pPr>
      <w:r>
        <w:rPr>
          <w:rStyle w:val="FootnoteReference"/>
        </w:rPr>
        <w:footnoteRef/>
      </w:r>
      <w:r w:rsidRPr="00925C38">
        <w:t>Document No. 0</w:t>
      </w:r>
      <w:r>
        <w:t>0388</w:t>
      </w:r>
      <w:r w:rsidRPr="00925C38">
        <w:t>-202</w:t>
      </w:r>
      <w:r>
        <w:t xml:space="preserve">4. Further, the Company’s estimated end-of-period 2023 under-recovery in the amount of ($993,754,116) is embedded in current rates per </w:t>
      </w:r>
      <w:r w:rsidRPr="00BC7666">
        <w:t>Order No. PSC-2023-0</w:t>
      </w:r>
      <w:r>
        <w:t>343</w:t>
      </w:r>
      <w:r w:rsidRPr="00BC7666">
        <w:t>-FOF-EI</w:t>
      </w:r>
      <w:r>
        <w:t>. This amount constitutes the remainder of the $1.2 billion under-recovery of 2022 fuel costs ordered to be collected in 2024.</w:t>
      </w:r>
      <w:r w:rsidRPr="00F40F47">
        <w:rPr>
          <w:i/>
        </w:rPr>
        <w:t xml:space="preserve"> See</w:t>
      </w:r>
      <w:r>
        <w:t xml:space="preserve"> </w:t>
      </w:r>
      <w:r w:rsidRPr="00CB0F31">
        <w:t xml:space="preserve">Order No. PSC-2023-0108-PCO-EI, issued March 23, 2023, in Docket No. 20230001-EI, </w:t>
      </w:r>
      <w:r w:rsidRPr="00CB0F31">
        <w:rPr>
          <w:i/>
        </w:rPr>
        <w:t>In re: Fuel and purchased power cost recovery clause with generating performance incentive factor</w:t>
      </w:r>
      <w:r w:rsidRPr="00CB0F31">
        <w:t xml:space="preserve">.        </w:t>
      </w:r>
      <w:r>
        <w:t xml:space="preserve">   </w:t>
      </w:r>
    </w:p>
  </w:footnote>
  <w:footnote w:id="12">
    <w:p w:rsidR="00613D14" w:rsidRDefault="00613D14" w:rsidP="00613D14">
      <w:pPr>
        <w:pStyle w:val="FootnoteText"/>
      </w:pPr>
      <w:r>
        <w:rPr>
          <w:rStyle w:val="FootnoteReference"/>
        </w:rPr>
        <w:footnoteRef/>
      </w:r>
      <w:r w:rsidRPr="00925C38">
        <w:t>Document No. 0</w:t>
      </w:r>
      <w:r>
        <w:t>4332</w:t>
      </w:r>
      <w:r w:rsidRPr="00925C38">
        <w:t>-202</w:t>
      </w:r>
      <w:r>
        <w:t>3</w:t>
      </w:r>
      <w:r w:rsidRPr="003B128E">
        <w:t>.</w:t>
      </w:r>
    </w:p>
  </w:footnote>
  <w:footnote w:id="13">
    <w:p w:rsidR="00613D14" w:rsidRDefault="00613D14" w:rsidP="00613D14">
      <w:pPr>
        <w:pStyle w:val="FootnoteText"/>
      </w:pPr>
      <w:r>
        <w:rPr>
          <w:rStyle w:val="FootnoteReference"/>
        </w:rPr>
        <w:footnoteRef/>
      </w:r>
      <w:r w:rsidRPr="005F2B7D">
        <w:rPr>
          <w:i/>
        </w:rPr>
        <w:t>Id</w:t>
      </w:r>
      <w:r>
        <w:t>.</w:t>
      </w:r>
    </w:p>
  </w:footnote>
  <w:footnote w:id="14">
    <w:p w:rsidR="00613D14" w:rsidRDefault="00613D14" w:rsidP="00613D14">
      <w:pPr>
        <w:pStyle w:val="FootnoteText"/>
      </w:pPr>
      <w:r w:rsidRPr="00902751">
        <w:rPr>
          <w:rStyle w:val="FootnoteReference"/>
        </w:rPr>
        <w:footnoteRef/>
      </w:r>
      <w:r w:rsidRPr="00902751">
        <w:t>Document No. 00</w:t>
      </w:r>
      <w:r>
        <w:t>388</w:t>
      </w:r>
      <w:r w:rsidRPr="00902751">
        <w:t>-202</w:t>
      </w:r>
      <w:r>
        <w:t>4</w:t>
      </w:r>
      <w:r w:rsidRPr="00902751">
        <w:t>.</w:t>
      </w:r>
      <w:r>
        <w:t xml:space="preserve"> </w:t>
      </w:r>
    </w:p>
  </w:footnote>
  <w:footnote w:id="15">
    <w:p w:rsidR="00613D14" w:rsidRDefault="00613D14" w:rsidP="00613D14">
      <w:pPr>
        <w:pStyle w:val="FootnoteText"/>
      </w:pPr>
      <w:r>
        <w:rPr>
          <w:rStyle w:val="FootnoteReference"/>
        </w:rPr>
        <w:footnoteRef/>
      </w:r>
      <w:r w:rsidRPr="004C5D92">
        <w:rPr>
          <w:i/>
        </w:rPr>
        <w:t>Id</w:t>
      </w:r>
      <w:r>
        <w:t>.</w:t>
      </w:r>
    </w:p>
  </w:footnote>
  <w:footnote w:id="16">
    <w:p w:rsidR="00613D14" w:rsidRDefault="00613D14" w:rsidP="00613D14">
      <w:pPr>
        <w:pStyle w:val="FootnoteText"/>
      </w:pPr>
      <w:r>
        <w:rPr>
          <w:rStyle w:val="FootnoteReference"/>
        </w:rPr>
        <w:footnoteRef/>
      </w:r>
      <w:r>
        <w:t>Document No. 05080-2023.</w:t>
      </w:r>
    </w:p>
  </w:footnote>
  <w:footnote w:id="17">
    <w:p w:rsidR="00613D14" w:rsidRDefault="00613D14" w:rsidP="00613D14">
      <w:pPr>
        <w:pStyle w:val="FootnoteText"/>
      </w:pPr>
      <w:r>
        <w:rPr>
          <w:rStyle w:val="FootnoteReference"/>
        </w:rPr>
        <w:footnoteRef/>
      </w:r>
      <w:r>
        <w:t>Document No. 01142-2024</w:t>
      </w:r>
      <w:r w:rsidRPr="00BC7666">
        <w:t>.</w:t>
      </w:r>
    </w:p>
  </w:footnote>
  <w:footnote w:id="18">
    <w:p w:rsidR="00613D14" w:rsidRPr="006D61A0" w:rsidRDefault="00613D14" w:rsidP="00613D14">
      <w:pPr>
        <w:pStyle w:val="FootnoteText"/>
        <w:rPr>
          <w:highlight w:val="yellow"/>
        </w:rPr>
      </w:pPr>
      <w:r w:rsidRPr="006F77D9">
        <w:rPr>
          <w:rStyle w:val="FootnoteReference"/>
        </w:rPr>
        <w:footnoteRef/>
      </w:r>
      <w:r>
        <w:t>Hearing Exhibit No. 61, entered in Docket No. 20230001-EI.</w:t>
      </w:r>
    </w:p>
  </w:footnote>
  <w:footnote w:id="19">
    <w:p w:rsidR="00613D14" w:rsidRPr="00E86F85" w:rsidRDefault="00613D14" w:rsidP="00613D14">
      <w:pPr>
        <w:pStyle w:val="FootnoteText"/>
        <w:rPr>
          <w:highlight w:val="yellow"/>
        </w:rPr>
      </w:pPr>
      <w:r w:rsidRPr="003C2E62">
        <w:rPr>
          <w:rStyle w:val="FootnoteReference"/>
        </w:rPr>
        <w:footnoteRef/>
      </w:r>
      <w:r>
        <w:t>Document No. 05080-2023.</w:t>
      </w:r>
    </w:p>
  </w:footnote>
  <w:footnote w:id="20">
    <w:p w:rsidR="00613D14" w:rsidRPr="006D61A0" w:rsidRDefault="00613D14" w:rsidP="00613D14">
      <w:pPr>
        <w:pStyle w:val="FootnoteText"/>
        <w:rPr>
          <w:highlight w:val="yellow"/>
        </w:rPr>
      </w:pPr>
      <w:r w:rsidRPr="003C2E62">
        <w:rPr>
          <w:rStyle w:val="FootnoteReference"/>
        </w:rPr>
        <w:footnoteRef/>
      </w:r>
      <w:r>
        <w:t>Document No. 01142-2024</w:t>
      </w:r>
      <w:r w:rsidRPr="00BC7666">
        <w:t>.</w:t>
      </w:r>
    </w:p>
  </w:footnote>
  <w:footnote w:id="21">
    <w:p w:rsidR="00C221AE" w:rsidRPr="006D61A0" w:rsidRDefault="00C221AE" w:rsidP="00C221AE">
      <w:pPr>
        <w:pStyle w:val="FootnoteText"/>
        <w:tabs>
          <w:tab w:val="left" w:pos="3307"/>
        </w:tabs>
        <w:rPr>
          <w:highlight w:val="yellow"/>
        </w:rPr>
      </w:pPr>
      <w:r w:rsidRPr="00E42C84">
        <w:rPr>
          <w:rStyle w:val="FootnoteReference"/>
        </w:rPr>
        <w:footnoteRef/>
      </w:r>
      <w:r w:rsidRPr="00E42C84">
        <w:rPr>
          <w:i/>
        </w:rPr>
        <w:t>Id</w:t>
      </w:r>
      <w:r w:rsidRPr="00E42C84">
        <w:t>.</w:t>
      </w:r>
    </w:p>
  </w:footnote>
  <w:footnote w:id="22">
    <w:p w:rsidR="00C221AE" w:rsidRDefault="00C221AE" w:rsidP="00C221AE">
      <w:pPr>
        <w:pStyle w:val="FootnoteText"/>
      </w:pPr>
      <w:r>
        <w:rPr>
          <w:rStyle w:val="FootnoteReference"/>
        </w:rPr>
        <w:footnoteRef/>
      </w:r>
      <w:r w:rsidRPr="0058226E">
        <w:rPr>
          <w:i/>
        </w:rPr>
        <w:t>Id</w:t>
      </w:r>
      <w:r w:rsidRPr="00BC7666">
        <w:t>.</w:t>
      </w:r>
    </w:p>
  </w:footnote>
  <w:footnote w:id="23">
    <w:p w:rsidR="00C221AE" w:rsidRDefault="00C221AE" w:rsidP="00C221AE">
      <w:pPr>
        <w:pStyle w:val="FootnoteText"/>
      </w:pPr>
      <w:r>
        <w:rPr>
          <w:rStyle w:val="FootnoteReference"/>
        </w:rPr>
        <w:footnoteRef/>
      </w:r>
      <w:r w:rsidRPr="003461E3">
        <w:rPr>
          <w:i/>
        </w:rPr>
        <w:t>Id</w:t>
      </w:r>
      <w:r>
        <w:t>.</w:t>
      </w:r>
    </w:p>
  </w:footnote>
  <w:footnote w:id="24">
    <w:p w:rsidR="00C221AE" w:rsidRDefault="00C221AE" w:rsidP="00C221AE">
      <w:pPr>
        <w:pStyle w:val="FootnoteText"/>
      </w:pPr>
      <w:r>
        <w:rPr>
          <w:rStyle w:val="FootnoteReference"/>
        </w:rPr>
        <w:footnoteRef/>
      </w:r>
      <w:r>
        <w:t>Document No. 01184-2024.</w:t>
      </w:r>
    </w:p>
  </w:footnote>
  <w:footnote w:id="25">
    <w:p w:rsidR="00C221AE" w:rsidRDefault="00C221AE" w:rsidP="00C221AE">
      <w:pPr>
        <w:pStyle w:val="FootnoteText"/>
      </w:pPr>
      <w:r>
        <w:rPr>
          <w:rStyle w:val="FootnoteReference"/>
        </w:rPr>
        <w:footnoteRef/>
      </w:r>
      <w:r>
        <w:t>Rates as published monthly by the Florida Public Service Commission’s Division of Accounting &amp; Finance.</w:t>
      </w:r>
    </w:p>
  </w:footnote>
  <w:footnote w:id="26">
    <w:p w:rsidR="00C221AE" w:rsidRDefault="00C221AE" w:rsidP="00C221AE">
      <w:pPr>
        <w:pStyle w:val="FootnoteText"/>
      </w:pPr>
      <w:r>
        <w:rPr>
          <w:rStyle w:val="FootnoteReference"/>
        </w:rPr>
        <w:footnoteRef/>
      </w:r>
      <w:r>
        <w:t>Document No. 01142-2024, Schedule E1-B.</w:t>
      </w:r>
    </w:p>
  </w:footnote>
  <w:footnote w:id="27">
    <w:p w:rsidR="00C221AE" w:rsidRPr="006D61A0" w:rsidRDefault="00C221AE" w:rsidP="00C221AE">
      <w:pPr>
        <w:pStyle w:val="FootnoteText"/>
        <w:rPr>
          <w:highlight w:val="yellow"/>
        </w:rPr>
      </w:pPr>
      <w:r w:rsidRPr="00425D11">
        <w:rPr>
          <w:rStyle w:val="FootnoteReference"/>
        </w:rPr>
        <w:footnoteRef/>
      </w:r>
      <w:r w:rsidRPr="00425D11">
        <w:t>Order No. PSC-2023-0</w:t>
      </w:r>
      <w:r>
        <w:t>343</w:t>
      </w:r>
      <w:r w:rsidRPr="00425D11">
        <w:t>-FOF-EI.</w:t>
      </w:r>
    </w:p>
  </w:footnote>
  <w:footnote w:id="28">
    <w:p w:rsidR="00C221AE" w:rsidRDefault="00C221AE" w:rsidP="00C221AE">
      <w:pPr>
        <w:pStyle w:val="FootnoteText"/>
      </w:pPr>
      <w:r w:rsidRPr="00E42C84">
        <w:rPr>
          <w:rStyle w:val="FootnoteReference"/>
        </w:rPr>
        <w:footnoteRef/>
      </w:r>
      <w:r>
        <w:t>Document No. 01142-2024</w:t>
      </w:r>
      <w:r w:rsidRPr="00BC7666">
        <w:t>.</w:t>
      </w:r>
    </w:p>
  </w:footnote>
  <w:footnote w:id="29">
    <w:p w:rsidR="006E0492" w:rsidRDefault="006E0492" w:rsidP="006E0492">
      <w:pPr>
        <w:pStyle w:val="FootnoteText"/>
      </w:pPr>
      <w:r>
        <w:rPr>
          <w:rStyle w:val="FootnoteReference"/>
        </w:rPr>
        <w:footnoteRef/>
      </w:r>
      <w:r>
        <w:t xml:space="preserve">FPL’s 12-month-applicable Storm Restoration Surcharge originally authorized by </w:t>
      </w:r>
      <w:r w:rsidRPr="004A0EFB">
        <w:t>Order No. PSC-2023-0110-PCO-EI, issued March 23, 2023, in Docket No. 20230017-EI,</w:t>
      </w:r>
      <w:r w:rsidRPr="004A0EFB">
        <w:rPr>
          <w:i/>
        </w:rPr>
        <w:t xml:space="preserve"> In re: Petition for limited proceeding for recovery of incremental storm restoration costs related to Hurricanes Ian and Nicole, by Florida Power &amp; Light Company</w:t>
      </w:r>
      <w:r>
        <w:t xml:space="preserve">, and as amended by </w:t>
      </w:r>
      <w:r w:rsidRPr="004A0EFB">
        <w:t xml:space="preserve">Order No. PSC-2023-0354-PCO-EI, </w:t>
      </w:r>
      <w:r>
        <w:t xml:space="preserve">in </w:t>
      </w:r>
      <w:r w:rsidRPr="004A0EFB">
        <w:t xml:space="preserve">Docket No. 20230017-EI, issued November 27, 2023, </w:t>
      </w:r>
      <w:r w:rsidRPr="004A0EFB">
        <w:rPr>
          <w:i/>
        </w:rPr>
        <w:t>In re: Petition for limited proceeding for recovery of incremental storm restoration costs related to Hurricanes Ian and Nicole, by Florida Power &amp; Light Company</w:t>
      </w:r>
      <w:r>
        <w:t xml:space="preserve"> in the amount of $6.65 per month will conclude following March 2024.</w:t>
      </w:r>
    </w:p>
  </w:footnote>
  <w:footnote w:id="30">
    <w:p w:rsidR="006E0492" w:rsidRPr="00CE7065" w:rsidRDefault="006E0492" w:rsidP="006E0492">
      <w:pPr>
        <w:pStyle w:val="FootnoteText"/>
      </w:pPr>
      <w:r w:rsidRPr="00576318">
        <w:rPr>
          <w:rStyle w:val="FootnoteReference"/>
        </w:rPr>
        <w:footnoteRef/>
      </w:r>
      <w:r w:rsidRPr="00576318">
        <w:t>Order No. PSC-2023-0343-FOF-EI.</w:t>
      </w:r>
    </w:p>
  </w:footnote>
  <w:footnote w:id="31">
    <w:p w:rsidR="006E0492" w:rsidRPr="002F60CF" w:rsidRDefault="006E0492" w:rsidP="006E0492">
      <w:pPr>
        <w:pStyle w:val="FootnoteText"/>
      </w:pPr>
      <w:r w:rsidRPr="00CE7065">
        <w:rPr>
          <w:rStyle w:val="FootnoteReference"/>
        </w:rPr>
        <w:footnoteRef/>
      </w:r>
      <w:r>
        <w:t>Document No. 01184-2024.</w:t>
      </w:r>
    </w:p>
  </w:footnote>
  <w:footnote w:id="32">
    <w:p w:rsidR="006E0492" w:rsidRDefault="006E0492" w:rsidP="006E0492">
      <w:pPr>
        <w:pStyle w:val="FootnoteText"/>
      </w:pPr>
      <w:r>
        <w:rPr>
          <w:rStyle w:val="FootnoteReference"/>
        </w:rPr>
        <w:footnoteRef/>
      </w:r>
      <w:r>
        <w:t xml:space="preserve"> FPL’s 12-month-applicable Storm Restoration Surcharge originally authorized by Order No. PSC-2023-0110-PCO-EI, and as amended by Order No. PSC-2023-0354-PCO-EI in the amount of $6.65 per month, will conclude following March 2024.</w:t>
      </w:r>
    </w:p>
  </w:footnote>
  <w:footnote w:id="33">
    <w:p w:rsidR="006E0492" w:rsidRPr="006F259C" w:rsidRDefault="006E0492" w:rsidP="006E0492">
      <w:pPr>
        <w:pStyle w:val="FootnoteText"/>
      </w:pPr>
      <w:r w:rsidRPr="006F259C">
        <w:rPr>
          <w:rStyle w:val="FootnoteReference"/>
        </w:rPr>
        <w:footnoteRef/>
      </w:r>
      <w:r w:rsidRPr="00576318">
        <w:t>Order No. PSC-2023-0343-FOF-EI.</w:t>
      </w:r>
    </w:p>
  </w:footnote>
  <w:footnote w:id="34">
    <w:p w:rsidR="006E0492" w:rsidRDefault="006E0492" w:rsidP="006E0492">
      <w:pPr>
        <w:pStyle w:val="FootnoteText"/>
      </w:pPr>
      <w:r w:rsidRPr="006F259C">
        <w:rPr>
          <w:rStyle w:val="FootnoteReference"/>
        </w:rPr>
        <w:footnoteRef/>
      </w:r>
      <w:r>
        <w:t>Document No. 01184-2024.</w:t>
      </w:r>
    </w:p>
  </w:footnote>
  <w:footnote w:id="35">
    <w:p w:rsidR="00676407" w:rsidRDefault="00676407" w:rsidP="00676407">
      <w:pPr>
        <w:pStyle w:val="FootnoteText"/>
      </w:pPr>
      <w:r>
        <w:rPr>
          <w:rStyle w:val="FootnoteReference"/>
        </w:rPr>
        <w:footnoteRef/>
      </w:r>
      <w:r w:rsidRPr="00425D11">
        <w:t>Order No. PSC-2023-0</w:t>
      </w:r>
      <w:r>
        <w:t>185-PCO</w:t>
      </w:r>
      <w:r w:rsidRPr="00425D11">
        <w:t>-EI</w:t>
      </w:r>
      <w:r>
        <w:t xml:space="preserve">, issued June 27, 2023, in Docket No. 20230001-EI, </w:t>
      </w:r>
      <w:r>
        <w:rPr>
          <w:i/>
        </w:rPr>
        <w:t>In re: Fuel and purchased power cost recovery clause with generating performance incentive factor</w:t>
      </w:r>
      <w:r w:rsidRPr="00425D11">
        <w:t>.</w:t>
      </w:r>
    </w:p>
  </w:footnote>
  <w:footnote w:id="36">
    <w:p w:rsidR="00676407" w:rsidRDefault="00676407" w:rsidP="00676407">
      <w:pPr>
        <w:pStyle w:val="FootnoteText"/>
      </w:pPr>
      <w:r>
        <w:rPr>
          <w:rStyle w:val="FootnoteReference"/>
        </w:rPr>
        <w:footnoteRef/>
      </w:r>
      <w:r>
        <w:t>Document No. 01184-2024.</w:t>
      </w:r>
    </w:p>
  </w:footnote>
  <w:footnote w:id="37">
    <w:p w:rsidR="00676407" w:rsidRDefault="00676407" w:rsidP="00676407">
      <w:pPr>
        <w:pStyle w:val="FootnoteText"/>
      </w:pPr>
      <w:r>
        <w:rPr>
          <w:rStyle w:val="FootnoteReference"/>
        </w:rPr>
        <w:footnoteRef/>
      </w:r>
      <w:r w:rsidRPr="0094105D">
        <w:rPr>
          <w:i/>
        </w:rPr>
        <w:t>Id</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091 ">
      <w:r w:rsidR="007D3D36">
        <w:t>PSC-2024-0091-PCO-EI</w:t>
      </w:r>
    </w:fldSimple>
  </w:p>
  <w:p w:rsidR="00FA6EFD" w:rsidRDefault="00CE0521">
    <w:pPr>
      <w:pStyle w:val="OrderHeader"/>
    </w:pPr>
    <w:bookmarkStart w:id="9" w:name="HeaderDocketNo"/>
    <w:bookmarkEnd w:id="9"/>
    <w:r>
      <w:t>DOCKET NO. 20240001-EI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D3D36">
      <w:rPr>
        <w:rStyle w:val="PageNumber"/>
        <w:noProof/>
      </w:rPr>
      <w:t>8</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92E" w:rsidRDefault="0093592E" w:rsidP="0093592E">
    <w:pPr>
      <w:pStyle w:val="OrderHeader"/>
    </w:pPr>
    <w:r>
      <w:t xml:space="preserve">ORDER NO. </w:t>
    </w:r>
    <w:r w:rsidR="007D3D36">
      <w:fldChar w:fldCharType="begin"/>
    </w:r>
    <w:r w:rsidR="007D3D36">
      <w:instrText xml:space="preserve"> REF OrderNo0091 </w:instrText>
    </w:r>
    <w:r w:rsidR="007D3D36">
      <w:fldChar w:fldCharType="separate"/>
    </w:r>
    <w:r w:rsidR="007D3D36">
      <w:t>PSC-2024-0091-PCO-EI</w:t>
    </w:r>
    <w:r w:rsidR="007D3D36">
      <w:fldChar w:fldCharType="end"/>
    </w:r>
  </w:p>
  <w:p w:rsidR="0093592E" w:rsidRDefault="0093592E" w:rsidP="0093592E">
    <w:pPr>
      <w:pStyle w:val="OrderHeader"/>
    </w:pPr>
    <w:r>
      <w:t>DOCKET NO. 20240001-EI</w:t>
    </w:r>
    <w:r>
      <w:tab/>
    </w:r>
    <w:r>
      <w:tab/>
      <w:t>Appendix A</w:t>
    </w:r>
  </w:p>
  <w:p w:rsidR="0093592E" w:rsidRDefault="0093592E" w:rsidP="0093592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D3D36">
      <w:rPr>
        <w:rStyle w:val="PageNumber"/>
        <w:noProof/>
      </w:rPr>
      <w:t>9</w:t>
    </w:r>
    <w:r>
      <w:rPr>
        <w:rStyle w:val="PageNumber"/>
      </w:rPr>
      <w:fldChar w:fldCharType="end"/>
    </w:r>
  </w:p>
  <w:p w:rsidR="0093592E" w:rsidRDefault="009359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92E" w:rsidRDefault="0093592E" w:rsidP="0093592E">
    <w:pPr>
      <w:pStyle w:val="OrderHeader"/>
    </w:pPr>
    <w:r>
      <w:t xml:space="preserve">ORDER NO. </w:t>
    </w:r>
    <w:r w:rsidR="007D3D36">
      <w:fldChar w:fldCharType="begin"/>
    </w:r>
    <w:r w:rsidR="007D3D36">
      <w:instrText xml:space="preserve"> REF OrderNo0091 </w:instrText>
    </w:r>
    <w:r w:rsidR="007D3D36">
      <w:fldChar w:fldCharType="separate"/>
    </w:r>
    <w:r w:rsidR="007D3D36">
      <w:t>PSC-2024-0091-PCO-EI</w:t>
    </w:r>
    <w:r w:rsidR="007D3D36">
      <w:fldChar w:fldCharType="end"/>
    </w:r>
  </w:p>
  <w:p w:rsidR="0093592E" w:rsidRDefault="0093592E" w:rsidP="0093592E">
    <w:pPr>
      <w:pStyle w:val="OrderHeader"/>
    </w:pPr>
    <w:r>
      <w:t>DOCKET NO. 20240001-EI</w:t>
    </w:r>
    <w:r>
      <w:tab/>
    </w:r>
    <w:r>
      <w:tab/>
      <w:t>Appendix A</w:t>
    </w:r>
  </w:p>
  <w:p w:rsidR="0093592E" w:rsidRDefault="0093592E" w:rsidP="0093592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D3D36">
      <w:rPr>
        <w:rStyle w:val="PageNumber"/>
        <w:noProof/>
      </w:rPr>
      <w:t>10</w:t>
    </w:r>
    <w:r>
      <w:rPr>
        <w:rStyle w:val="PageNumber"/>
      </w:rPr>
      <w:fldChar w:fldCharType="end"/>
    </w:r>
  </w:p>
  <w:p w:rsidR="0093592E" w:rsidRDefault="0093592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40001-EI"/>
  </w:docVars>
  <w:rsids>
    <w:rsidRoot w:val="00CE0521"/>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1603"/>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0C9D"/>
    <w:rsid w:val="00142A96"/>
    <w:rsid w:val="001513DE"/>
    <w:rsid w:val="00154A71"/>
    <w:rsid w:val="001655D4"/>
    <w:rsid w:val="00165803"/>
    <w:rsid w:val="00187E32"/>
    <w:rsid w:val="001918FF"/>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A7884"/>
    <w:rsid w:val="002B3111"/>
    <w:rsid w:val="002C09F5"/>
    <w:rsid w:val="002C118E"/>
    <w:rsid w:val="002C2096"/>
    <w:rsid w:val="002C7908"/>
    <w:rsid w:val="002D391B"/>
    <w:rsid w:val="002D4B1F"/>
    <w:rsid w:val="002D7D15"/>
    <w:rsid w:val="002E1B2E"/>
    <w:rsid w:val="002E27EB"/>
    <w:rsid w:val="002E4EF4"/>
    <w:rsid w:val="002E78B6"/>
    <w:rsid w:val="002F0F1C"/>
    <w:rsid w:val="002F2A9D"/>
    <w:rsid w:val="002F31C2"/>
    <w:rsid w:val="002F7BF6"/>
    <w:rsid w:val="00303FDE"/>
    <w:rsid w:val="00313C5B"/>
    <w:rsid w:val="003140E8"/>
    <w:rsid w:val="003231C7"/>
    <w:rsid w:val="00323839"/>
    <w:rsid w:val="003270C4"/>
    <w:rsid w:val="00331ED0"/>
    <w:rsid w:val="00332B0A"/>
    <w:rsid w:val="00333A41"/>
    <w:rsid w:val="00341036"/>
    <w:rsid w:val="00345434"/>
    <w:rsid w:val="00351C22"/>
    <w:rsid w:val="0035495B"/>
    <w:rsid w:val="00355A93"/>
    <w:rsid w:val="00360F30"/>
    <w:rsid w:val="00361522"/>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EAC"/>
    <w:rsid w:val="00441F89"/>
    <w:rsid w:val="004431B4"/>
    <w:rsid w:val="00445604"/>
    <w:rsid w:val="00451158"/>
    <w:rsid w:val="0045537F"/>
    <w:rsid w:val="00457DC7"/>
    <w:rsid w:val="004640B3"/>
    <w:rsid w:val="00472BCC"/>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6426"/>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71D3D"/>
    <w:rsid w:val="0058264B"/>
    <w:rsid w:val="00586368"/>
    <w:rsid w:val="005868AA"/>
    <w:rsid w:val="00590626"/>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3D14"/>
    <w:rsid w:val="00615F9B"/>
    <w:rsid w:val="00616DF2"/>
    <w:rsid w:val="0062385D"/>
    <w:rsid w:val="0063168D"/>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6407"/>
    <w:rsid w:val="00677F18"/>
    <w:rsid w:val="00693483"/>
    <w:rsid w:val="006A0BF3"/>
    <w:rsid w:val="006B0036"/>
    <w:rsid w:val="006B0DA6"/>
    <w:rsid w:val="006B3FA9"/>
    <w:rsid w:val="006C547E"/>
    <w:rsid w:val="006D2B51"/>
    <w:rsid w:val="006D5575"/>
    <w:rsid w:val="006D7191"/>
    <w:rsid w:val="006E0492"/>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0A1B"/>
    <w:rsid w:val="007467C4"/>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6BFD"/>
    <w:rsid w:val="007C7134"/>
    <w:rsid w:val="007C7ECF"/>
    <w:rsid w:val="007D3D20"/>
    <w:rsid w:val="007D3D36"/>
    <w:rsid w:val="007D44F9"/>
    <w:rsid w:val="007D742E"/>
    <w:rsid w:val="007E3AFD"/>
    <w:rsid w:val="007F589E"/>
    <w:rsid w:val="00801DAD"/>
    <w:rsid w:val="00803189"/>
    <w:rsid w:val="00804E7A"/>
    <w:rsid w:val="00805FBB"/>
    <w:rsid w:val="00814292"/>
    <w:rsid w:val="008169A4"/>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6375"/>
    <w:rsid w:val="008C6A5B"/>
    <w:rsid w:val="008D441D"/>
    <w:rsid w:val="008D498D"/>
    <w:rsid w:val="008D6D36"/>
    <w:rsid w:val="008E0693"/>
    <w:rsid w:val="008E26A5"/>
    <w:rsid w:val="008E42D2"/>
    <w:rsid w:val="008E6328"/>
    <w:rsid w:val="008F578F"/>
    <w:rsid w:val="008F5D04"/>
    <w:rsid w:val="008F6B3F"/>
    <w:rsid w:val="009040EE"/>
    <w:rsid w:val="009057FD"/>
    <w:rsid w:val="00906FBA"/>
    <w:rsid w:val="009163E8"/>
    <w:rsid w:val="00921BD3"/>
    <w:rsid w:val="009228C7"/>
    <w:rsid w:val="00922A7F"/>
    <w:rsid w:val="00923A5E"/>
    <w:rsid w:val="00924FE7"/>
    <w:rsid w:val="00926E27"/>
    <w:rsid w:val="00931C8C"/>
    <w:rsid w:val="0093592E"/>
    <w:rsid w:val="00943D21"/>
    <w:rsid w:val="0094504B"/>
    <w:rsid w:val="00964A38"/>
    <w:rsid w:val="00966A9D"/>
    <w:rsid w:val="0096742B"/>
    <w:rsid w:val="00967C64"/>
    <w:rsid w:val="009718C5"/>
    <w:rsid w:val="00976AFF"/>
    <w:rsid w:val="00986AED"/>
    <w:rsid w:val="009924CF"/>
    <w:rsid w:val="00994100"/>
    <w:rsid w:val="009A04B7"/>
    <w:rsid w:val="009A6B17"/>
    <w:rsid w:val="009B052E"/>
    <w:rsid w:val="009D4C29"/>
    <w:rsid w:val="009E58E9"/>
    <w:rsid w:val="009E6803"/>
    <w:rsid w:val="009F6AD2"/>
    <w:rsid w:val="009F7C1B"/>
    <w:rsid w:val="00A00B5B"/>
    <w:rsid w:val="00A00D8D"/>
    <w:rsid w:val="00A01BB6"/>
    <w:rsid w:val="00A108A7"/>
    <w:rsid w:val="00A228DA"/>
    <w:rsid w:val="00A22B28"/>
    <w:rsid w:val="00A3351E"/>
    <w:rsid w:val="00A4303C"/>
    <w:rsid w:val="00A46CAF"/>
    <w:rsid w:val="00A470FD"/>
    <w:rsid w:val="00A50B5E"/>
    <w:rsid w:val="00A62DAB"/>
    <w:rsid w:val="00A6757A"/>
    <w:rsid w:val="00A726A6"/>
    <w:rsid w:val="00A74842"/>
    <w:rsid w:val="00A8269A"/>
    <w:rsid w:val="00A86A50"/>
    <w:rsid w:val="00A9178A"/>
    <w:rsid w:val="00A9515B"/>
    <w:rsid w:val="00A97535"/>
    <w:rsid w:val="00AA2BAA"/>
    <w:rsid w:val="00AA6516"/>
    <w:rsid w:val="00AA73F1"/>
    <w:rsid w:val="00AB0E1A"/>
    <w:rsid w:val="00AB1A30"/>
    <w:rsid w:val="00AB3C36"/>
    <w:rsid w:val="00AB3D30"/>
    <w:rsid w:val="00AC4B09"/>
    <w:rsid w:val="00AC5A01"/>
    <w:rsid w:val="00AD10EB"/>
    <w:rsid w:val="00AD1ED3"/>
    <w:rsid w:val="00AD3717"/>
    <w:rsid w:val="00AD74F4"/>
    <w:rsid w:val="00B019C1"/>
    <w:rsid w:val="00B02001"/>
    <w:rsid w:val="00B03C50"/>
    <w:rsid w:val="00B0777D"/>
    <w:rsid w:val="00B11576"/>
    <w:rsid w:val="00B1195F"/>
    <w:rsid w:val="00B14D10"/>
    <w:rsid w:val="00B209C7"/>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21AE"/>
    <w:rsid w:val="00C24098"/>
    <w:rsid w:val="00C30A4E"/>
    <w:rsid w:val="00C411F3"/>
    <w:rsid w:val="00C44105"/>
    <w:rsid w:val="00C523EC"/>
    <w:rsid w:val="00C55A33"/>
    <w:rsid w:val="00C64D49"/>
    <w:rsid w:val="00C66692"/>
    <w:rsid w:val="00C673B5"/>
    <w:rsid w:val="00C7063D"/>
    <w:rsid w:val="00C72339"/>
    <w:rsid w:val="00C820BC"/>
    <w:rsid w:val="00C830BC"/>
    <w:rsid w:val="00C8524D"/>
    <w:rsid w:val="00C90904"/>
    <w:rsid w:val="00C91123"/>
    <w:rsid w:val="00CA6CC2"/>
    <w:rsid w:val="00CA71FF"/>
    <w:rsid w:val="00CB2393"/>
    <w:rsid w:val="00CB2456"/>
    <w:rsid w:val="00CB5276"/>
    <w:rsid w:val="00CB5BFC"/>
    <w:rsid w:val="00CB68D7"/>
    <w:rsid w:val="00CB785B"/>
    <w:rsid w:val="00CC7E68"/>
    <w:rsid w:val="00CD3D74"/>
    <w:rsid w:val="00CD7132"/>
    <w:rsid w:val="00CE0521"/>
    <w:rsid w:val="00CE0E6F"/>
    <w:rsid w:val="00CE3B21"/>
    <w:rsid w:val="00CE56FC"/>
    <w:rsid w:val="00CE7A4D"/>
    <w:rsid w:val="00CF32D2"/>
    <w:rsid w:val="00CF4CFE"/>
    <w:rsid w:val="00D00E8E"/>
    <w:rsid w:val="00D02E0F"/>
    <w:rsid w:val="00D03EE8"/>
    <w:rsid w:val="00D10250"/>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C42F6"/>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0F47"/>
    <w:rsid w:val="00F4182A"/>
    <w:rsid w:val="00F464ED"/>
    <w:rsid w:val="00F54380"/>
    <w:rsid w:val="00F54B47"/>
    <w:rsid w:val="00F61247"/>
    <w:rsid w:val="00F61F61"/>
    <w:rsid w:val="00F63191"/>
    <w:rsid w:val="00F6702E"/>
    <w:rsid w:val="00F70E84"/>
    <w:rsid w:val="00F80685"/>
    <w:rsid w:val="00F94968"/>
    <w:rsid w:val="00FA092B"/>
    <w:rsid w:val="00FA0C74"/>
    <w:rsid w:val="00FA4F6C"/>
    <w:rsid w:val="00FA6EFD"/>
    <w:rsid w:val="00FB3791"/>
    <w:rsid w:val="00FB6780"/>
    <w:rsid w:val="00FB74EA"/>
    <w:rsid w:val="00FD0ADB"/>
    <w:rsid w:val="00FD2C9E"/>
    <w:rsid w:val="00FD4786"/>
    <w:rsid w:val="00FD616C"/>
    <w:rsid w:val="00FE53F2"/>
    <w:rsid w:val="00FF0A00"/>
    <w:rsid w:val="00FF1C57"/>
    <w:rsid w:val="00FF2581"/>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uiPriority w:val="99"/>
    <w:rsid w:val="00CE0521"/>
  </w:style>
  <w:style w:type="character" w:styleId="Hyperlink">
    <w:name w:val="Hyperlink"/>
    <w:rsid w:val="00CE0521"/>
    <w:rPr>
      <w:color w:val="0000FF"/>
      <w:u w:val="single"/>
    </w:rPr>
  </w:style>
  <w:style w:type="paragraph" w:styleId="BalloonText">
    <w:name w:val="Balloon Text"/>
    <w:basedOn w:val="Normal"/>
    <w:link w:val="BalloonTextChar"/>
    <w:semiHidden/>
    <w:unhideWhenUsed/>
    <w:rsid w:val="007D3D36"/>
    <w:rPr>
      <w:rFonts w:ascii="Segoe UI" w:hAnsi="Segoe UI" w:cs="Segoe UI"/>
      <w:sz w:val="18"/>
      <w:szCs w:val="18"/>
    </w:rPr>
  </w:style>
  <w:style w:type="character" w:customStyle="1" w:styleId="BalloonTextChar">
    <w:name w:val="Balloon Text Char"/>
    <w:basedOn w:val="DefaultParagraphFont"/>
    <w:link w:val="BalloonText"/>
    <w:semiHidden/>
    <w:rsid w:val="007D3D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eia.gov/outlooks/steo/archives/mar24.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Template>
  <TotalTime>0</TotalTime>
  <Pages>10</Pages>
  <Words>2347</Words>
  <Characters>13384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2024-04-10T14:18:00Z</dcterms:created>
  <dcterms:modified xsi:type="dcterms:W3CDTF">2024-04-10T14:37:00Z</dcterms:modified>
</cp:coreProperties>
</file>