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057FD">
            <w:pPr>
              <w:pStyle w:val="MemoHeading"/>
            </w:pPr>
            <w:bookmarkStart w:id="1" w:name="FilingDate"/>
            <w:r>
              <w:t>April 25,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proofErr w:type="spellStart"/>
            <w:r w:rsidR="004E69B5">
              <w:t>Teitzman</w:t>
            </w:r>
            <w:proofErr w:type="spellEnd"/>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057FD" w:rsidRDefault="005057FD">
            <w:pPr>
              <w:pStyle w:val="MemoHeading"/>
            </w:pPr>
            <w:bookmarkStart w:id="2" w:name="From"/>
            <w:r>
              <w:t xml:space="preserve">Division of Accounting and Finance (Souchik, Andrews, </w:t>
            </w:r>
            <w:r w:rsidR="00AE5315">
              <w:t xml:space="preserve">D. </w:t>
            </w:r>
            <w:r>
              <w:t>Buys, Vogel)</w:t>
            </w:r>
          </w:p>
          <w:p w:rsidR="005057FD" w:rsidRDefault="005057FD">
            <w:pPr>
              <w:pStyle w:val="MemoHeading"/>
            </w:pPr>
            <w:r>
              <w:t>Division of Economics (Guffey, Hampson)</w:t>
            </w:r>
          </w:p>
          <w:p w:rsidR="007C0528" w:rsidRDefault="005057FD">
            <w:pPr>
              <w:pStyle w:val="MemoHeading"/>
            </w:pPr>
            <w:r>
              <w:t>Office of the General Counsel (Thompson)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057FD">
            <w:pPr>
              <w:pStyle w:val="MemoHeadingRe"/>
            </w:pPr>
            <w:bookmarkStart w:id="3" w:name="Re"/>
            <w:r>
              <w:t>Docket No. 20240028-GU – Petition to implement long-term debt cost true-up mechanism, by Peoples Gas System,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057FD" w:rsidP="005057FD">
            <w:pPr>
              <w:pStyle w:val="MemoHeading"/>
            </w:pPr>
            <w:bookmarkStart w:id="4" w:name="AgendaDate"/>
            <w:r>
              <w:t>05/07/24</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057F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057FD">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B3AA3" w:rsidP="00CB3AA3">
            <w:pPr>
              <w:pStyle w:val="MemoHeading"/>
            </w:pPr>
            <w:bookmarkStart w:id="9" w:name="CriticalDates"/>
            <w:r>
              <w:t>10/02/24</w:t>
            </w:r>
            <w:bookmarkEnd w:id="9"/>
            <w:r w:rsidR="00DA1205">
              <w:t xml:space="preserve"> (</w:t>
            </w:r>
            <w:r>
              <w:t>8-Month 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057F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5057FD" w:rsidRDefault="005057FD" w:rsidP="005057FD">
      <w:pPr>
        <w:pStyle w:val="BodyText"/>
      </w:pPr>
      <w:r w:rsidRPr="005057FD">
        <w:t xml:space="preserve">Peoples Gas System, Inc. (PGS or Company) is a wholly-owned subsidiary of TECO Gas Operations, Inc., which is a subsidiary of TECO Energy, Inc., which is a wholly-owned subsidiary of </w:t>
      </w:r>
      <w:proofErr w:type="spellStart"/>
      <w:r w:rsidRPr="005057FD">
        <w:t>Emera</w:t>
      </w:r>
      <w:proofErr w:type="spellEnd"/>
      <w:r w:rsidRPr="005057FD">
        <w:t xml:space="preserve"> United States Holdings, Inc., which is a wholly-owned subsidiary of </w:t>
      </w:r>
      <w:proofErr w:type="spellStart"/>
      <w:r w:rsidRPr="005057FD">
        <w:t>Emera</w:t>
      </w:r>
      <w:proofErr w:type="spellEnd"/>
      <w:r w:rsidRPr="005057FD">
        <w:t xml:space="preserve"> Incorporated. PGS owns and operates natural gas distribution facilities in Florida and provides service to 470,000 customers in 39 of Florida’s 67 counties. On January 1, 2023, PGS ceased to be a division of Tampa Electric Company and was spun-off into its own entity. As a new entity, PGS ceased obtaining long-term debt capital from its affiliate, Tampa </w:t>
      </w:r>
      <w:r w:rsidR="004F3922" w:rsidRPr="005057FD">
        <w:t>Electric</w:t>
      </w:r>
      <w:r w:rsidRPr="005057FD">
        <w:t xml:space="preserve"> Company</w:t>
      </w:r>
      <w:r w:rsidR="000170AF">
        <w:t>,</w:t>
      </w:r>
      <w:r w:rsidRPr="005057FD">
        <w:t xml:space="preserve"> and issued its own debt on December 19, 2023</w:t>
      </w:r>
      <w:r>
        <w:t>.</w:t>
      </w:r>
      <w:r w:rsidRPr="005057FD">
        <w:t xml:space="preserve"> </w:t>
      </w:r>
      <w:r>
        <w:t>The Company’s current rates were approved by Order No. PSC-2023</w:t>
      </w:r>
      <w:r w:rsidR="00FE47FF">
        <w:t>-0388</w:t>
      </w:r>
      <w:r>
        <w:t>-FOF-GU, issued December 27, 2023 (2023 Rate Case Order)</w:t>
      </w:r>
      <w:r w:rsidR="00F3550A">
        <w:t>,</w:t>
      </w:r>
      <w:r>
        <w:t xml:space="preserve"> which </w:t>
      </w:r>
      <w:r>
        <w:lastRenderedPageBreak/>
        <w:t>included approval of the Long-Term Debt Cost Rate True-Up Mechanism (LTDR True-Up Mechanism).</w:t>
      </w:r>
      <w:r w:rsidR="000170AF">
        <w:rPr>
          <w:rStyle w:val="FootnoteReference"/>
        </w:rPr>
        <w:footnoteReference w:id="1"/>
      </w:r>
      <w:r>
        <w:t xml:space="preserve"> </w:t>
      </w:r>
    </w:p>
    <w:p w:rsidR="005057FD" w:rsidRDefault="005057FD" w:rsidP="005057FD">
      <w:pPr>
        <w:pStyle w:val="BodyText"/>
      </w:pPr>
      <w:r>
        <w:t>On February 2, 2024, PGS filed its petition to implement the aforementioned LTDR True-Up Mechanism. The LTDR True-</w:t>
      </w:r>
      <w:r w:rsidR="000170AF">
        <w:t>Up Mechanism allows</w:t>
      </w:r>
      <w:r>
        <w:t xml:space="preserve"> the Company to make a one-time adjustment to its estimated cost of long-term debt for the projected test year ending December 31, 2024, to reflect the actual embedded cost of PGS’s inaugural long-term debt issuance in its revenue requirement and rates.</w:t>
      </w:r>
      <w:r>
        <w:rPr>
          <w:rStyle w:val="FootnoteReference"/>
        </w:rPr>
        <w:footnoteReference w:id="2"/>
      </w:r>
      <w:r>
        <w:t xml:space="preserve">  </w:t>
      </w:r>
    </w:p>
    <w:p w:rsidR="005057FD" w:rsidRDefault="005057FD" w:rsidP="005057FD">
      <w:pPr>
        <w:pStyle w:val="BodyText"/>
      </w:pPr>
      <w:r>
        <w:t>In its petition, PGS is seeking approval of an increase of the long-term debt cost rate from 5.54 percent to 5.64 percent, which would increase the weighted average cost of capital from 7.02 percent to 7.05 percent, and</w:t>
      </w:r>
      <w:r w:rsidR="00790D46">
        <w:t xml:space="preserve"> there</w:t>
      </w:r>
      <w:r w:rsidR="000170AF">
        <w:t>by</w:t>
      </w:r>
      <w:r>
        <w:t xml:space="preserve"> increase the incre</w:t>
      </w:r>
      <w:r w:rsidR="000170AF">
        <w:t xml:space="preserve">mental base rate revenue </w:t>
      </w:r>
      <w:r w:rsidR="00790D46">
        <w:t xml:space="preserve">increase </w:t>
      </w:r>
      <w:r w:rsidR="000170AF">
        <w:t>approved in the 2023 Rate Case Order</w:t>
      </w:r>
      <w:r>
        <w:t xml:space="preserve"> by $874,085. The Company also requested Commission approval of the updated base rates and charges and associated tariffs, effective for the first billing cycle of June 2024. PGS also requested the Commission specify the amount of incremental revenue requirement from January 1, 2024, to the effective date of the Company’s updated 2024 tariffs to be deferred by the Company for recovery through the Cast Iron/Bare Steel Replacement Rider for 2025 as approved in the 2023 Rate Case Order. </w:t>
      </w:r>
    </w:p>
    <w:p w:rsidR="0068481F" w:rsidRDefault="005057FD" w:rsidP="005057FD">
      <w:pPr>
        <w:pStyle w:val="BodyText"/>
      </w:pPr>
      <w:r>
        <w:t>During the review process, staff issued two data requests to PGS. The first data request was issued on February 13, 2024, and the Company’s response was received on February 23, 2024.</w:t>
      </w:r>
      <w:r>
        <w:rPr>
          <w:rStyle w:val="FootnoteReference"/>
        </w:rPr>
        <w:footnoteReference w:id="3"/>
      </w:r>
      <w:r>
        <w:t xml:space="preserve">   The second data request was issued on February 29, 2024, and a response was received on March 11, 2024.</w:t>
      </w:r>
      <w:r>
        <w:rPr>
          <w:rStyle w:val="FootnoteReference"/>
        </w:rPr>
        <w:footnoteReference w:id="4"/>
      </w:r>
      <w:r w:rsidR="00C67D9C">
        <w:t xml:space="preserve"> In Order No. PSC-2024-0090-PCO-GU</w:t>
      </w:r>
      <w:r w:rsidR="00CB3AA3">
        <w:t>, the Commission suspended the proposed tariffs.</w:t>
      </w:r>
      <w:r w:rsidR="00CB3AA3">
        <w:rPr>
          <w:rStyle w:val="FootnoteReference"/>
        </w:rPr>
        <w:footnoteReference w:id="5"/>
      </w:r>
      <w:r w:rsidR="00CB3AA3">
        <w:t xml:space="preserve"> </w:t>
      </w:r>
      <w:r>
        <w:t>The Commission has jurisdiction over this matter pursuant to Sections 366.03, 366.04, 366.05, 366.06, and 366.076, Florida Statutes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5057FD" w:rsidRDefault="005057FD">
      <w:pPr>
        <w:pStyle w:val="IssueHeading"/>
        <w:rPr>
          <w:vanish/>
          <w:specVanish/>
        </w:rPr>
      </w:pPr>
      <w:r w:rsidRPr="004C3641">
        <w:t xml:space="preserve">Issue </w:t>
      </w:r>
      <w:r w:rsidR="00E60379">
        <w:fldChar w:fldCharType="begin"/>
      </w:r>
      <w:r w:rsidR="00E60379">
        <w:instrText xml:space="preserve"> SEQ Issue \* MERGEFORMAT </w:instrText>
      </w:r>
      <w:r w:rsidR="00E60379">
        <w:fldChar w:fldCharType="separate"/>
      </w:r>
      <w:r w:rsidR="00250828">
        <w:rPr>
          <w:noProof/>
        </w:rPr>
        <w:t>1</w:t>
      </w:r>
      <w:r w:rsidR="00E6037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50828">
        <w:rPr>
          <w:noProof/>
        </w:rPr>
        <w:instrText>1</w:instrText>
      </w:r>
      <w:r>
        <w:fldChar w:fldCharType="end"/>
      </w:r>
      <w:r>
        <w:tab/>
        <w:instrText xml:space="preserve">" \l 1 </w:instrText>
      </w:r>
      <w:r>
        <w:fldChar w:fldCharType="end"/>
      </w:r>
      <w:r>
        <w:t> </w:t>
      </w:r>
    </w:p>
    <w:p w:rsidR="005057FD" w:rsidRDefault="005057FD">
      <w:pPr>
        <w:pStyle w:val="BodyText"/>
      </w:pPr>
      <w:r>
        <w:t> Should the Commission approve PGS's request to increase the cost rate for long-term debt from 5.54 percent to 5.64 percent for the test year ending December 31, 2024?</w:t>
      </w:r>
    </w:p>
    <w:p w:rsidR="005057FD" w:rsidRPr="004C3641" w:rsidRDefault="005057FD">
      <w:pPr>
        <w:pStyle w:val="IssueSubsectionHeading"/>
        <w:rPr>
          <w:vanish/>
          <w:specVanish/>
        </w:rPr>
      </w:pPr>
      <w:r w:rsidRPr="004C3641">
        <w:t>Recommendation: </w:t>
      </w:r>
    </w:p>
    <w:p w:rsidR="005057FD" w:rsidRDefault="005057FD">
      <w:pPr>
        <w:pStyle w:val="BodyText"/>
      </w:pPr>
      <w:r>
        <w:t> </w:t>
      </w:r>
      <w:r w:rsidR="001B39C7" w:rsidRPr="001B39C7">
        <w:t>Yes. The Commission should approve an increase in the cost rate for long-term debt from 5.54 percent to 5.64 percent for the test year ending December 31, 2024</w:t>
      </w:r>
      <w:r w:rsidR="001B39C7">
        <w:t>. (Souchik)</w:t>
      </w:r>
      <w:r>
        <w:t xml:space="preserve"> </w:t>
      </w:r>
    </w:p>
    <w:p w:rsidR="005057FD" w:rsidRPr="004C3641" w:rsidRDefault="005057FD">
      <w:pPr>
        <w:pStyle w:val="IssueSubsectionHeading"/>
        <w:rPr>
          <w:vanish/>
          <w:specVanish/>
        </w:rPr>
      </w:pPr>
      <w:r w:rsidRPr="004C3641">
        <w:t>Staff Analysis: </w:t>
      </w:r>
    </w:p>
    <w:p w:rsidR="002F4040" w:rsidRDefault="005057FD">
      <w:pPr>
        <w:pStyle w:val="BodyText"/>
      </w:pPr>
      <w:r>
        <w:t> </w:t>
      </w:r>
      <w:r w:rsidR="00FB1A95">
        <w:t>The LTD</w:t>
      </w:r>
      <w:r w:rsidR="001B39C7" w:rsidRPr="001B39C7">
        <w:t xml:space="preserve">R True-Up Mechanism </w:t>
      </w:r>
      <w:r w:rsidR="00790D46">
        <w:t xml:space="preserve">was approved by the Commission in the 2023 Rate Case Order and </w:t>
      </w:r>
      <w:r w:rsidR="001B39C7" w:rsidRPr="001B39C7">
        <w:t xml:space="preserve">allows PGS to </w:t>
      </w:r>
      <w:r w:rsidR="00FB1A95">
        <w:t>make a one-time adjustment to the Company’s</w:t>
      </w:r>
      <w:r w:rsidR="001B39C7" w:rsidRPr="001B39C7">
        <w:t xml:space="preserve"> forecasted long-term</w:t>
      </w:r>
      <w:r w:rsidR="00790D46">
        <w:t xml:space="preserve"> debt cost rate</w:t>
      </w:r>
      <w:r w:rsidR="00FB1A95">
        <w:t xml:space="preserve"> after its inaugural long-term debt issuance.</w:t>
      </w:r>
      <w:r w:rsidR="000170AF">
        <w:rPr>
          <w:rStyle w:val="FootnoteReference"/>
        </w:rPr>
        <w:footnoteReference w:id="6"/>
      </w:r>
      <w:r w:rsidR="000170AF" w:rsidRPr="001B39C7">
        <w:t xml:space="preserve"> </w:t>
      </w:r>
      <w:r w:rsidR="002F4040">
        <w:t xml:space="preserve">In the 2023 </w:t>
      </w:r>
      <w:r w:rsidR="0012035F">
        <w:t>Rate</w:t>
      </w:r>
      <w:r w:rsidR="002F4040">
        <w:t xml:space="preserve"> Case Order, the </w:t>
      </w:r>
      <w:r w:rsidR="0012035F">
        <w:t>Commission</w:t>
      </w:r>
      <w:r w:rsidR="002F4040">
        <w:t xml:space="preserve"> approved a long-term debt cost rate </w:t>
      </w:r>
      <w:r w:rsidR="00FB1A95" w:rsidRPr="00FB1A95">
        <w:t>of 5.54 percent</w:t>
      </w:r>
      <w:r w:rsidR="002F4040">
        <w:t>.</w:t>
      </w:r>
      <w:r w:rsidR="002F4040">
        <w:rPr>
          <w:rStyle w:val="FootnoteReference"/>
        </w:rPr>
        <w:footnoteReference w:id="7"/>
      </w:r>
      <w:r w:rsidR="00FB1A95" w:rsidRPr="00FB1A95">
        <w:t xml:space="preserve"> </w:t>
      </w:r>
      <w:r w:rsidR="001B39C7" w:rsidRPr="001B39C7">
        <w:t xml:space="preserve">PGS completed its inaugural long-term debt issuance on December 19, 2023, by issuing a total of $925 million of long-term debt in the following amounts and maturities: $350 million at five years, $350 million at ten years, and $225 million at thirty years. </w:t>
      </w:r>
      <w:r w:rsidR="002F4040" w:rsidRPr="002F4040">
        <w:t>The embedded cost rate of the three debt issuances, including debt issuing expense, is 5.64 percent.</w:t>
      </w:r>
      <w:r w:rsidR="002F4040">
        <w:rPr>
          <w:rStyle w:val="FootnoteReference"/>
        </w:rPr>
        <w:footnoteReference w:id="8"/>
      </w:r>
      <w:r w:rsidR="002F4040" w:rsidRPr="002F4040">
        <w:t xml:space="preserve"> Staff reviewed the Company’s calculation of 5.64 percent for the embedded cost of long-term debt in Exhibit One attached to its petition and verified its accuracy. PGS used the same methodology to calculate the actual long-term debt cost rate of 5.64 percent that was approved by the Commission in the 2023 Rate Case Order.</w:t>
      </w:r>
    </w:p>
    <w:p w:rsidR="005057FD" w:rsidRDefault="00D20A03">
      <w:pPr>
        <w:pStyle w:val="BodyText"/>
      </w:pPr>
      <w:r w:rsidRPr="002F4040">
        <w:t>In early 2023, PGS forecasted to issue approximately $825 million of long-term debt on September 30, 2023</w:t>
      </w:r>
      <w:r w:rsidR="0045291F" w:rsidRPr="002F4040">
        <w:t>,</w:t>
      </w:r>
      <w:r w:rsidRPr="002F4040">
        <w:t xml:space="preserve"> and expected approximately $910 million of intercompany debt to be outstanding at the time </w:t>
      </w:r>
      <w:r w:rsidR="0012035F">
        <w:t>the intercompany loan with Tampa Electric Company was paid off.</w:t>
      </w:r>
      <w:r w:rsidR="00DD3AE4">
        <w:rPr>
          <w:rStyle w:val="FootnoteReference"/>
        </w:rPr>
        <w:footnoteReference w:id="9"/>
      </w:r>
      <w:r w:rsidR="001B39C7" w:rsidRPr="001B39C7">
        <w:t xml:space="preserve"> Ultimately, PGS issued $1</w:t>
      </w:r>
      <w:r w:rsidR="0086046D">
        <w:t>0</w:t>
      </w:r>
      <w:r w:rsidR="001B39C7" w:rsidRPr="001B39C7">
        <w:t>0 million more than forecasted based on the amount of intercompany debt outstanding at the tim</w:t>
      </w:r>
      <w:r w:rsidR="00923ECA">
        <w:t>e of the Company’s inaugural</w:t>
      </w:r>
      <w:r w:rsidR="001B39C7" w:rsidRPr="001B39C7">
        <w:t xml:space="preserve"> long-term debt issuance</w:t>
      </w:r>
      <w:r w:rsidR="0012035F">
        <w:t xml:space="preserve"> (December 19, 2023)</w:t>
      </w:r>
      <w:r w:rsidR="001B39C7" w:rsidRPr="001B39C7">
        <w:t>. In respons</w:t>
      </w:r>
      <w:r w:rsidR="0086046D">
        <w:t>e to staffs second data request,</w:t>
      </w:r>
      <w:r w:rsidR="001B39C7" w:rsidRPr="001B39C7">
        <w:t xml:space="preserve"> PGS explained that the</w:t>
      </w:r>
      <w:r w:rsidR="00956BAF" w:rsidRPr="002F4040">
        <w:t xml:space="preserve"> purpose for the</w:t>
      </w:r>
      <w:r w:rsidR="001B39C7" w:rsidRPr="001B39C7">
        <w:t xml:space="preserve"> additional $100 million was to satisfy the combined intercompany long-term and short-term debt outstanding of $95</w:t>
      </w:r>
      <w:r w:rsidR="00617AB4">
        <w:t>6 million</w:t>
      </w:r>
      <w:r w:rsidR="001B39C7" w:rsidRPr="001B39C7">
        <w:t>.</w:t>
      </w:r>
      <w:r w:rsidR="001B39C7">
        <w:rPr>
          <w:rStyle w:val="FootnoteReference"/>
        </w:rPr>
        <w:footnoteReference w:id="10"/>
      </w:r>
      <w:r w:rsidR="001B39C7" w:rsidRPr="001B39C7">
        <w:t xml:space="preserve"> </w:t>
      </w:r>
      <w:r w:rsidR="002F4040">
        <w:t xml:space="preserve">After staff’s review of PGS’s </w:t>
      </w:r>
      <w:r w:rsidR="0012035F">
        <w:t xml:space="preserve">implementation of the LTDR True-Up Mechanism, </w:t>
      </w:r>
      <w:r w:rsidR="002F4040">
        <w:t xml:space="preserve">staff believes </w:t>
      </w:r>
      <w:r w:rsidR="0012035F">
        <w:t>the Company complied with the Commission’s 2023 Rate Case Order, and t</w:t>
      </w:r>
      <w:r w:rsidR="004F3922" w:rsidRPr="001B39C7">
        <w:t>herefore</w:t>
      </w:r>
      <w:r w:rsidR="001B39C7" w:rsidRPr="001B39C7">
        <w:t>, staff recommends t</w:t>
      </w:r>
      <w:r w:rsidR="00250828">
        <w:t>he Commission</w:t>
      </w:r>
      <w:r w:rsidR="001B39C7" w:rsidRPr="001B39C7">
        <w:t xml:space="preserve"> approve PGS’s request to increase its cost rate for long-term debt from 5.54 percent to 5.64 percent for the test year ending December 31, 2024</w:t>
      </w:r>
      <w:r w:rsidR="001B39C7">
        <w:t>.</w:t>
      </w:r>
    </w:p>
    <w:p w:rsidR="001B39C7" w:rsidRDefault="001B39C7">
      <w:pPr>
        <w:pStyle w:val="IssueHeading"/>
        <w:rPr>
          <w:vanish/>
          <w:specVanish/>
        </w:rPr>
      </w:pPr>
      <w:r w:rsidRPr="004C3641">
        <w:rPr>
          <w:b w:val="0"/>
          <w:i w:val="0"/>
        </w:rPr>
        <w:br w:type="page"/>
      </w:r>
      <w:r w:rsidRPr="004C3641">
        <w:lastRenderedPageBreak/>
        <w:t xml:space="preserve">Issue </w:t>
      </w:r>
      <w:r w:rsidR="00E60379">
        <w:fldChar w:fldCharType="begin"/>
      </w:r>
      <w:r w:rsidR="00E60379">
        <w:instrText xml:space="preserve"> SEQ Issue \* MERGEFORMAT </w:instrText>
      </w:r>
      <w:r w:rsidR="00E60379">
        <w:fldChar w:fldCharType="separate"/>
      </w:r>
      <w:r w:rsidR="00250828">
        <w:rPr>
          <w:noProof/>
        </w:rPr>
        <w:t>2</w:t>
      </w:r>
      <w:r w:rsidR="00E6037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50828">
        <w:rPr>
          <w:noProof/>
        </w:rPr>
        <w:instrText>2</w:instrText>
      </w:r>
      <w:r>
        <w:fldChar w:fldCharType="end"/>
      </w:r>
      <w:r>
        <w:tab/>
        <w:instrText xml:space="preserve">" \l 1 </w:instrText>
      </w:r>
      <w:r>
        <w:fldChar w:fldCharType="end"/>
      </w:r>
      <w:r>
        <w:t> </w:t>
      </w:r>
    </w:p>
    <w:p w:rsidR="001B39C7" w:rsidRDefault="001B39C7">
      <w:pPr>
        <w:pStyle w:val="BodyText"/>
      </w:pPr>
      <w:r>
        <w:t> Should the Commission approve PGS's request to increase the weighted average cost of capital from 7.02 percent to 7.05 percent for the test year ending December 31, 2024?</w:t>
      </w:r>
    </w:p>
    <w:p w:rsidR="001B39C7" w:rsidRPr="004C3641" w:rsidRDefault="001B39C7">
      <w:pPr>
        <w:pStyle w:val="IssueSubsectionHeading"/>
        <w:rPr>
          <w:vanish/>
          <w:specVanish/>
        </w:rPr>
      </w:pPr>
      <w:r w:rsidRPr="004C3641">
        <w:t>Recommendation: </w:t>
      </w:r>
    </w:p>
    <w:p w:rsidR="001B39C7" w:rsidRDefault="001B39C7">
      <w:pPr>
        <w:pStyle w:val="BodyText"/>
      </w:pPr>
      <w:r>
        <w:t> </w:t>
      </w:r>
      <w:r w:rsidRPr="001B39C7">
        <w:t>Yes. The Commission should approve an increase in the weighted average cost of capital from 7.02 percent to 7.05 percent for the test year ending December 31, 2024</w:t>
      </w:r>
      <w:r>
        <w:t>. (Souchik)</w:t>
      </w:r>
    </w:p>
    <w:p w:rsidR="001B39C7" w:rsidRPr="004C3641" w:rsidRDefault="001B39C7">
      <w:pPr>
        <w:pStyle w:val="IssueSubsectionHeading"/>
        <w:rPr>
          <w:vanish/>
          <w:specVanish/>
        </w:rPr>
      </w:pPr>
      <w:r w:rsidRPr="004C3641">
        <w:t>Staff Analysis: </w:t>
      </w:r>
    </w:p>
    <w:p w:rsidR="001B39C7" w:rsidRDefault="001B39C7">
      <w:pPr>
        <w:pStyle w:val="BodyText"/>
      </w:pPr>
      <w:r>
        <w:t> </w:t>
      </w:r>
      <w:r w:rsidRPr="001B39C7">
        <w:t xml:space="preserve">By </w:t>
      </w:r>
      <w:r w:rsidR="00617AB4">
        <w:t>updating</w:t>
      </w:r>
      <w:r w:rsidRPr="001B39C7">
        <w:t xml:space="preserve"> the </w:t>
      </w:r>
      <w:r w:rsidR="004F3922" w:rsidRPr="001B39C7">
        <w:t>forecasted</w:t>
      </w:r>
      <w:r w:rsidRPr="001B39C7">
        <w:t xml:space="preserve"> long-term debt cost rate of 5.54 percent with the </w:t>
      </w:r>
      <w:r w:rsidR="004F3922" w:rsidRPr="001B39C7">
        <w:t>actual</w:t>
      </w:r>
      <w:r w:rsidRPr="001B39C7">
        <w:t xml:space="preserve"> cost rate of 5.64 percent, and making no other changes to PGS’s capital structure approved by the </w:t>
      </w:r>
      <w:r w:rsidR="004F3922" w:rsidRPr="001B39C7">
        <w:t>Commission</w:t>
      </w:r>
      <w:r w:rsidRPr="001B39C7">
        <w:t xml:space="preserve"> in the 2023 Rate Case Order, the weighted average cost of capital increased from 7.02 percent to 7.05 percent. </w:t>
      </w:r>
      <w:r w:rsidR="00D9623E" w:rsidRPr="00D9623E">
        <w:t>The balance of long-term debt in the updated capital structure is unchanged from the balance of $830,722,209 approved by the Commission in the 2023 Rate Case Order.</w:t>
      </w:r>
      <w:r w:rsidR="00D9623E">
        <w:t xml:space="preserve"> </w:t>
      </w:r>
      <w:r w:rsidRPr="001B39C7">
        <w:t xml:space="preserve">Staff reviewed the Company’s revised </w:t>
      </w:r>
      <w:r w:rsidR="004F3922" w:rsidRPr="001B39C7">
        <w:t>capital</w:t>
      </w:r>
      <w:r w:rsidRPr="001B39C7">
        <w:t xml:space="preserve"> structure in Exhibit Two attached to its pet</w:t>
      </w:r>
      <w:r w:rsidR="005913A0">
        <w:t>ition and verified it’</w:t>
      </w:r>
      <w:r w:rsidR="00DD3AE4">
        <w:t>s</w:t>
      </w:r>
      <w:r w:rsidR="005913A0">
        <w:t xml:space="preserve"> </w:t>
      </w:r>
      <w:r w:rsidR="00BF31BC">
        <w:t>calculated</w:t>
      </w:r>
      <w:r w:rsidR="00DD3AE4">
        <w:t xml:space="preserve"> correctly</w:t>
      </w:r>
      <w:r w:rsidR="005913A0">
        <w:t xml:space="preserve"> pursuant to the 2023 Rate Case Order</w:t>
      </w:r>
      <w:r w:rsidRPr="001B39C7">
        <w:t>.</w:t>
      </w:r>
      <w:r w:rsidR="00D9623E">
        <w:rPr>
          <w:rStyle w:val="FootnoteReference"/>
        </w:rPr>
        <w:footnoteReference w:id="11"/>
      </w:r>
      <w:r w:rsidRPr="001B39C7">
        <w:t xml:space="preserve"> Therefore, staff recommends the Commission approve PGS’s request to increase the weighted average cost of capital from 7.02 percent to 7.05 percent for the test year ending December 31, 2024</w:t>
      </w:r>
      <w:r>
        <w:t>.</w:t>
      </w:r>
    </w:p>
    <w:p w:rsidR="001B39C7" w:rsidRDefault="001B39C7">
      <w:pPr>
        <w:pStyle w:val="IssueHeading"/>
        <w:rPr>
          <w:vanish/>
          <w:specVanish/>
        </w:rPr>
      </w:pPr>
      <w:r w:rsidRPr="004C3641">
        <w:rPr>
          <w:b w:val="0"/>
          <w:i w:val="0"/>
        </w:rPr>
        <w:br w:type="page"/>
      </w:r>
      <w:r w:rsidRPr="004C3641">
        <w:lastRenderedPageBreak/>
        <w:t xml:space="preserve">Issue </w:t>
      </w:r>
      <w:r w:rsidR="00E60379">
        <w:fldChar w:fldCharType="begin"/>
      </w:r>
      <w:r w:rsidR="00E60379">
        <w:instrText xml:space="preserve"> SEQ Issue \* MERGEFORMAT </w:instrText>
      </w:r>
      <w:r w:rsidR="00E60379">
        <w:fldChar w:fldCharType="separate"/>
      </w:r>
      <w:r w:rsidR="00250828">
        <w:rPr>
          <w:noProof/>
        </w:rPr>
        <w:t>3</w:t>
      </w:r>
      <w:r w:rsidR="00E6037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50828">
        <w:rPr>
          <w:noProof/>
        </w:rPr>
        <w:instrText>3</w:instrText>
      </w:r>
      <w:r>
        <w:fldChar w:fldCharType="end"/>
      </w:r>
      <w:r>
        <w:tab/>
        <w:instrText xml:space="preserve">" \l 1 </w:instrText>
      </w:r>
      <w:r>
        <w:fldChar w:fldCharType="end"/>
      </w:r>
      <w:r>
        <w:t> </w:t>
      </w:r>
    </w:p>
    <w:p w:rsidR="001B39C7" w:rsidRDefault="001B39C7">
      <w:pPr>
        <w:pStyle w:val="BodyText"/>
      </w:pPr>
      <w:r>
        <w:t> Should the Commission approve PGS's request to increase the</w:t>
      </w:r>
      <w:r w:rsidR="00617AB4">
        <w:t xml:space="preserve"> incremental base rate revenue requirement approved in the 2023 Rate Case Order</w:t>
      </w:r>
      <w:r>
        <w:t xml:space="preserve"> from $117,839,527 to $118,713,612 for the test year ending December 31, 2024?</w:t>
      </w:r>
    </w:p>
    <w:p w:rsidR="001B39C7" w:rsidRPr="004C3641" w:rsidRDefault="001B39C7">
      <w:pPr>
        <w:pStyle w:val="IssueSubsectionHeading"/>
        <w:rPr>
          <w:vanish/>
          <w:specVanish/>
        </w:rPr>
      </w:pPr>
      <w:r w:rsidRPr="004C3641">
        <w:t>Recommendation: </w:t>
      </w:r>
    </w:p>
    <w:p w:rsidR="001B39C7" w:rsidRDefault="001B39C7">
      <w:pPr>
        <w:pStyle w:val="BodyText"/>
      </w:pPr>
      <w:r>
        <w:t> </w:t>
      </w:r>
      <w:r w:rsidRPr="001B39C7">
        <w:t>Yes. The Commission should approve an increase in the increm</w:t>
      </w:r>
      <w:r w:rsidR="00617AB4">
        <w:t>ental base rate revenue requirement</w:t>
      </w:r>
      <w:r w:rsidRPr="001B39C7">
        <w:t xml:space="preserve"> </w:t>
      </w:r>
      <w:r w:rsidR="00617AB4">
        <w:t xml:space="preserve">approved in the 2023 Rate Case Order </w:t>
      </w:r>
      <w:r w:rsidRPr="001B39C7">
        <w:t>from $117,839,527 to $118,713,612 for the test year ending December 31, 2024</w:t>
      </w:r>
      <w:r>
        <w:t>. (</w:t>
      </w:r>
      <w:r w:rsidR="00AE5315">
        <w:t xml:space="preserve">Andrews, </w:t>
      </w:r>
      <w:r>
        <w:t>Souchik)</w:t>
      </w:r>
    </w:p>
    <w:p w:rsidR="001B39C7" w:rsidRPr="004C3641" w:rsidRDefault="001B39C7">
      <w:pPr>
        <w:pStyle w:val="IssueSubsectionHeading"/>
        <w:rPr>
          <w:vanish/>
          <w:specVanish/>
        </w:rPr>
      </w:pPr>
      <w:r w:rsidRPr="004C3641">
        <w:t>Staff Analysis: </w:t>
      </w:r>
    </w:p>
    <w:p w:rsidR="001B39C7" w:rsidRDefault="001B39C7">
      <w:pPr>
        <w:pStyle w:val="BodyText"/>
      </w:pPr>
      <w:r>
        <w:t> </w:t>
      </w:r>
      <w:r w:rsidRPr="001B39C7">
        <w:t xml:space="preserve">In the 2023 Rate Case Order, the Commission </w:t>
      </w:r>
      <w:r w:rsidR="00617AB4">
        <w:t xml:space="preserve">approved PGS’s incremental base rate revenue requirement of $117,839,527 based on an </w:t>
      </w:r>
      <w:r w:rsidRPr="001B39C7">
        <w:t>overall rate of return of 7.02 percent</w:t>
      </w:r>
      <w:r w:rsidR="00617AB4">
        <w:t>.</w:t>
      </w:r>
      <w:r>
        <w:rPr>
          <w:rStyle w:val="FootnoteReference"/>
        </w:rPr>
        <w:footnoteReference w:id="12"/>
      </w:r>
      <w:r w:rsidRPr="001B39C7">
        <w:t xml:space="preserve"> Updating the 7.02 percent overall rate of return</w:t>
      </w:r>
      <w:r w:rsidR="00AE5315">
        <w:t xml:space="preserve"> </w:t>
      </w:r>
      <w:r w:rsidR="00D9623E">
        <w:t>to</w:t>
      </w:r>
      <w:r w:rsidRPr="001B39C7">
        <w:t xml:space="preserve"> 7.05 percent, the incremental revenue </w:t>
      </w:r>
      <w:r w:rsidR="00D9623E">
        <w:t>requirement</w:t>
      </w:r>
      <w:r w:rsidRPr="001B39C7">
        <w:t xml:space="preserve"> increased to $118,713,612.</w:t>
      </w:r>
      <w:r w:rsidR="00AE5315">
        <w:rPr>
          <w:rStyle w:val="FootnoteReference"/>
        </w:rPr>
        <w:footnoteReference w:id="13"/>
      </w:r>
      <w:r w:rsidR="00AE5315" w:rsidRPr="001B39C7">
        <w:t xml:space="preserve"> </w:t>
      </w:r>
      <w:r w:rsidRPr="001B39C7">
        <w:t>This equates to an increase of $874,085 or</w:t>
      </w:r>
      <w:r w:rsidR="00AE5315">
        <w:t xml:space="preserve"> 0.74 percent. Staff reviewed</w:t>
      </w:r>
      <w:r w:rsidRPr="001B39C7">
        <w:t xml:space="preserve"> PGS’s updated incremental base rate revenue increase calculations in Exhibit Three attached to its petition and </w:t>
      </w:r>
      <w:r w:rsidR="004F3922" w:rsidRPr="001B39C7">
        <w:t>verified</w:t>
      </w:r>
      <w:r w:rsidRPr="001B39C7">
        <w:t xml:space="preserve"> </w:t>
      </w:r>
      <w:r w:rsidR="005913A0">
        <w:t>it was calculated correctly pursuant to the 2023 Rate Case Order</w:t>
      </w:r>
      <w:r w:rsidRPr="001B39C7">
        <w:t>.</w:t>
      </w:r>
      <w:r w:rsidR="00D9623E">
        <w:rPr>
          <w:rStyle w:val="FootnoteReference"/>
        </w:rPr>
        <w:footnoteReference w:id="14"/>
      </w:r>
      <w:r w:rsidRPr="001B39C7">
        <w:t xml:space="preserve"> Therefore, staf</w:t>
      </w:r>
      <w:r w:rsidR="00250828">
        <w:t xml:space="preserve">f recommends the Commission </w:t>
      </w:r>
      <w:r w:rsidRPr="001B39C7">
        <w:t xml:space="preserve">approve an increase in the amount of the incremental base rate revenue </w:t>
      </w:r>
      <w:r w:rsidR="00D9623E">
        <w:t xml:space="preserve">requirement </w:t>
      </w:r>
      <w:r w:rsidRPr="001B39C7">
        <w:t>from $117,839,527 to $118,713,612 for the test year ending December 31, 2024</w:t>
      </w:r>
      <w:r>
        <w:t>.</w:t>
      </w:r>
    </w:p>
    <w:p w:rsidR="001B39C7" w:rsidRDefault="001B39C7">
      <w:pPr>
        <w:pStyle w:val="IssueHeading"/>
        <w:rPr>
          <w:vanish/>
          <w:specVanish/>
        </w:rPr>
      </w:pPr>
      <w:r w:rsidRPr="004C3641">
        <w:rPr>
          <w:b w:val="0"/>
          <w:i w:val="0"/>
        </w:rPr>
        <w:br w:type="page"/>
      </w:r>
      <w:r w:rsidRPr="004C3641">
        <w:lastRenderedPageBreak/>
        <w:t xml:space="preserve">Issue </w:t>
      </w:r>
      <w:r w:rsidR="00E60379">
        <w:fldChar w:fldCharType="begin"/>
      </w:r>
      <w:r w:rsidR="00E60379">
        <w:instrText xml:space="preserve"> SEQ Issue \* MERGEFORMAT </w:instrText>
      </w:r>
      <w:r w:rsidR="00E60379">
        <w:fldChar w:fldCharType="separate"/>
      </w:r>
      <w:r w:rsidR="00250828">
        <w:rPr>
          <w:noProof/>
        </w:rPr>
        <w:t>4</w:t>
      </w:r>
      <w:r w:rsidR="00E6037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50828">
        <w:rPr>
          <w:noProof/>
        </w:rPr>
        <w:instrText>4</w:instrText>
      </w:r>
      <w:r>
        <w:fldChar w:fldCharType="end"/>
      </w:r>
      <w:r>
        <w:tab/>
        <w:instrText xml:space="preserve">" \l 1 </w:instrText>
      </w:r>
      <w:r>
        <w:fldChar w:fldCharType="end"/>
      </w:r>
      <w:r>
        <w:t> </w:t>
      </w:r>
    </w:p>
    <w:p w:rsidR="001B39C7" w:rsidRDefault="001B39C7">
      <w:pPr>
        <w:pStyle w:val="BodyText"/>
      </w:pPr>
      <w:r>
        <w:t xml:space="preserve"> Should the Commission approve PGS’s request to update its base rates, charges, and tariffs reflected in </w:t>
      </w:r>
      <w:r w:rsidR="00CB3AA3">
        <w:t>Attachment A</w:t>
      </w:r>
      <w:r>
        <w:t xml:space="preserve"> attached to this recommendation, with an effective date of July 1, 2024?</w:t>
      </w:r>
    </w:p>
    <w:p w:rsidR="001B39C7" w:rsidRPr="004C3641" w:rsidRDefault="001B39C7">
      <w:pPr>
        <w:pStyle w:val="IssueSubsectionHeading"/>
        <w:rPr>
          <w:vanish/>
          <w:specVanish/>
        </w:rPr>
      </w:pPr>
      <w:r w:rsidRPr="004C3641">
        <w:t>Recommendation: </w:t>
      </w:r>
    </w:p>
    <w:p w:rsidR="001B39C7" w:rsidRDefault="001B39C7">
      <w:pPr>
        <w:pStyle w:val="BodyText"/>
      </w:pPr>
      <w:r>
        <w:t> </w:t>
      </w:r>
      <w:r w:rsidR="005402B8">
        <w:t xml:space="preserve">Yes. </w:t>
      </w:r>
      <w:r w:rsidRPr="001B39C7">
        <w:t>If the Commission approves Issue 3, PGS’s request to update its base rates, charges, and tariffs reflected</w:t>
      </w:r>
      <w:r w:rsidR="00250828">
        <w:t xml:space="preserve"> in </w:t>
      </w:r>
      <w:r w:rsidR="00CB3AA3">
        <w:t>Attachment A</w:t>
      </w:r>
      <w:r w:rsidRPr="001B39C7">
        <w:t xml:space="preserve"> to this recommendation, should go into effect with the first billing cycle in July 1, 2024</w:t>
      </w:r>
      <w:r>
        <w:t>. (Guffey)</w:t>
      </w:r>
    </w:p>
    <w:p w:rsidR="001B39C7" w:rsidRPr="004C3641" w:rsidRDefault="001B39C7">
      <w:pPr>
        <w:pStyle w:val="IssueSubsectionHeading"/>
        <w:rPr>
          <w:vanish/>
          <w:specVanish/>
        </w:rPr>
      </w:pPr>
      <w:r w:rsidRPr="004C3641">
        <w:t>Staff Analysis: </w:t>
      </w:r>
    </w:p>
    <w:p w:rsidR="001B39C7" w:rsidRDefault="005402B8" w:rsidP="001B39C7">
      <w:pPr>
        <w:pStyle w:val="BodyText"/>
      </w:pPr>
      <w:r>
        <w:t> As discussed in Issue 3, PGS requested</w:t>
      </w:r>
      <w:r w:rsidR="001B39C7">
        <w:t xml:space="preserve"> to increase the incremental base rate revenue increase from $117,839,527 to $118,713,612 for the test year ending December 31, 2024</w:t>
      </w:r>
      <w:r w:rsidR="0094292C">
        <w:t xml:space="preserve">, which results in an increase of $874,085. </w:t>
      </w:r>
      <w:r w:rsidR="001B39C7">
        <w:t>PGS allocated this amount to</w:t>
      </w:r>
      <w:r w:rsidR="0094292C">
        <w:t xml:space="preserve"> the monthly customer charge and distribution charge in</w:t>
      </w:r>
      <w:r w:rsidR="001B39C7">
        <w:t xml:space="preserve"> all its rate classes as shown in</w:t>
      </w:r>
      <w:r w:rsidR="00250828">
        <w:t xml:space="preserve"> Exhibit Four of the petition.</w:t>
      </w:r>
      <w:r w:rsidR="001B39C7">
        <w:t xml:space="preserve"> A residential customer in the RS-2 rate schedule, using 14 </w:t>
      </w:r>
      <w:proofErr w:type="spellStart"/>
      <w:r w:rsidR="001B39C7">
        <w:t>t</w:t>
      </w:r>
      <w:r w:rsidR="0094292C">
        <w:t>herms</w:t>
      </w:r>
      <w:proofErr w:type="spellEnd"/>
      <w:r w:rsidR="0094292C">
        <w:t xml:space="preserve"> per month would see a</w:t>
      </w:r>
      <w:r w:rsidR="001B39C7">
        <w:t xml:space="preserve"> bill increase of $0.06, from $29.27 to $29.33, excluding clause factors and taxes. </w:t>
      </w:r>
    </w:p>
    <w:p w:rsidR="001B39C7" w:rsidRDefault="001B39C7" w:rsidP="001B39C7">
      <w:pPr>
        <w:pStyle w:val="BodyText"/>
      </w:pPr>
      <w:r>
        <w:t>In response to staff’s second data request, PGS stated that it intends to notify its customers of the rate changes at least 30 days prior to their effective date, via bill inserts, email notification for electronic bill customers and the PGS website.</w:t>
      </w:r>
      <w:r w:rsidR="005402B8">
        <w:rPr>
          <w:rStyle w:val="FootnoteReference"/>
        </w:rPr>
        <w:footnoteReference w:id="15"/>
      </w:r>
      <w:r>
        <w:t xml:space="preserve"> Staff has reviewed the proposed customer notice, which was provided in response to staff’s second data request. </w:t>
      </w:r>
    </w:p>
    <w:p w:rsidR="001B39C7" w:rsidRDefault="005402B8">
      <w:pPr>
        <w:pStyle w:val="IssueHeading"/>
        <w:rPr>
          <w:vanish/>
          <w:specVanish/>
        </w:rPr>
      </w:pPr>
      <w:r>
        <w:rPr>
          <w:rFonts w:ascii="Times New Roman" w:hAnsi="Times New Roman" w:cs="Times New Roman"/>
          <w:b w:val="0"/>
          <w:bCs w:val="0"/>
          <w:i w:val="0"/>
          <w:kern w:val="0"/>
          <w:szCs w:val="24"/>
        </w:rPr>
        <w:t xml:space="preserve">PGS </w:t>
      </w:r>
      <w:r w:rsidR="001B39C7" w:rsidRPr="00FA1EE0">
        <w:rPr>
          <w:rFonts w:ascii="Times New Roman" w:hAnsi="Times New Roman" w:cs="Times New Roman"/>
          <w:b w:val="0"/>
          <w:bCs w:val="0"/>
          <w:i w:val="0"/>
          <w:kern w:val="0"/>
          <w:szCs w:val="24"/>
        </w:rPr>
        <w:t>requested that th</w:t>
      </w:r>
      <w:r>
        <w:rPr>
          <w:rFonts w:ascii="Times New Roman" w:hAnsi="Times New Roman" w:cs="Times New Roman"/>
          <w:b w:val="0"/>
          <w:bCs w:val="0"/>
          <w:i w:val="0"/>
          <w:kern w:val="0"/>
          <w:szCs w:val="24"/>
        </w:rPr>
        <w:t>e proposed tariffs</w:t>
      </w:r>
      <w:r w:rsidR="001B39C7" w:rsidRPr="00FA1EE0">
        <w:rPr>
          <w:rFonts w:ascii="Times New Roman" w:hAnsi="Times New Roman" w:cs="Times New Roman"/>
          <w:b w:val="0"/>
          <w:bCs w:val="0"/>
          <w:i w:val="0"/>
          <w:kern w:val="0"/>
          <w:szCs w:val="24"/>
        </w:rPr>
        <w:t xml:space="preserve"> be effective with the first billing cycle in</w:t>
      </w:r>
      <w:r>
        <w:rPr>
          <w:rFonts w:ascii="Times New Roman" w:hAnsi="Times New Roman" w:cs="Times New Roman"/>
          <w:b w:val="0"/>
          <w:bCs w:val="0"/>
          <w:i w:val="0"/>
          <w:kern w:val="0"/>
          <w:szCs w:val="24"/>
        </w:rPr>
        <w:t xml:space="preserve"> June 2024 or soon thereafter. </w:t>
      </w:r>
      <w:r w:rsidR="001B39C7" w:rsidRPr="00FA1EE0">
        <w:rPr>
          <w:rFonts w:ascii="Times New Roman" w:hAnsi="Times New Roman" w:cs="Times New Roman"/>
          <w:b w:val="0"/>
          <w:bCs w:val="0"/>
          <w:i w:val="0"/>
          <w:kern w:val="0"/>
          <w:szCs w:val="24"/>
        </w:rPr>
        <w:t>Staff has reviewed the proposed tariffs, calculations of the revised base rate charges and PGS’s responses to data requests and recommends that they be approved and be effective with the first billing cycle in July 2024.</w:t>
      </w:r>
      <w:r w:rsidR="001B39C7" w:rsidRPr="004C3641">
        <w:rPr>
          <w:b w:val="0"/>
          <w:i w:val="0"/>
        </w:rPr>
        <w:br w:type="page"/>
      </w:r>
      <w:r w:rsidR="001B39C7" w:rsidRPr="004C3641">
        <w:lastRenderedPageBreak/>
        <w:t xml:space="preserve">Issue </w:t>
      </w:r>
      <w:r w:rsidR="00E60379">
        <w:fldChar w:fldCharType="begin"/>
      </w:r>
      <w:r w:rsidR="00E60379">
        <w:instrText xml:space="preserve"> SEQ Issue \* MERGEFORMAT </w:instrText>
      </w:r>
      <w:r w:rsidR="00E60379">
        <w:fldChar w:fldCharType="separate"/>
      </w:r>
      <w:r w:rsidR="00250828">
        <w:rPr>
          <w:noProof/>
        </w:rPr>
        <w:t>5</w:t>
      </w:r>
      <w:r w:rsidR="00E60379">
        <w:rPr>
          <w:noProof/>
        </w:rPr>
        <w:fldChar w:fldCharType="end"/>
      </w:r>
      <w:r w:rsidR="001B39C7" w:rsidRPr="004C3641">
        <w:t>:</w:t>
      </w:r>
      <w:r w:rsidR="001B39C7">
        <w:fldChar w:fldCharType="begin"/>
      </w:r>
      <w:r w:rsidR="001B39C7">
        <w:instrText xml:space="preserve"> TC "</w:instrText>
      </w:r>
      <w:r w:rsidR="001B39C7">
        <w:fldChar w:fldCharType="begin"/>
      </w:r>
      <w:r w:rsidR="001B39C7">
        <w:instrText xml:space="preserve"> SEQ issue \c </w:instrText>
      </w:r>
      <w:r w:rsidR="001B39C7">
        <w:fldChar w:fldCharType="separate"/>
      </w:r>
      <w:r w:rsidR="00250828">
        <w:rPr>
          <w:noProof/>
        </w:rPr>
        <w:instrText>5</w:instrText>
      </w:r>
      <w:r w:rsidR="001B39C7">
        <w:fldChar w:fldCharType="end"/>
      </w:r>
      <w:r w:rsidR="001B39C7">
        <w:tab/>
        <w:instrText xml:space="preserve">" \l 1 </w:instrText>
      </w:r>
      <w:r w:rsidR="001B39C7">
        <w:fldChar w:fldCharType="end"/>
      </w:r>
      <w:r w:rsidR="001B39C7">
        <w:t> </w:t>
      </w:r>
    </w:p>
    <w:p w:rsidR="001B39C7" w:rsidRDefault="001B39C7">
      <w:pPr>
        <w:pStyle w:val="BodyText"/>
      </w:pPr>
      <w:r>
        <w:t> Should the Commission approve PGS’s request to defer recovery of the incremental revenue</w:t>
      </w:r>
      <w:r w:rsidR="00016483">
        <w:t xml:space="preserve"> requirement for the six-</w:t>
      </w:r>
      <w:r>
        <w:t>month period from January 1, 2024, through June 30, 2024, through the Cast Iron/Bare Steel Replacement Rider for 2025?</w:t>
      </w:r>
    </w:p>
    <w:p w:rsidR="001B39C7" w:rsidRPr="004C3641" w:rsidRDefault="001B39C7">
      <w:pPr>
        <w:pStyle w:val="IssueSubsectionHeading"/>
        <w:rPr>
          <w:vanish/>
          <w:specVanish/>
        </w:rPr>
      </w:pPr>
      <w:r w:rsidRPr="004C3641">
        <w:t>Recommendation: </w:t>
      </w:r>
    </w:p>
    <w:p w:rsidR="001B39C7" w:rsidRDefault="001B39C7">
      <w:pPr>
        <w:pStyle w:val="BodyText"/>
      </w:pPr>
      <w:r>
        <w:t> </w:t>
      </w:r>
      <w:r w:rsidR="00016483">
        <w:t>Yes. Pursuant to the 2023 R</w:t>
      </w:r>
      <w:r w:rsidR="00DA1205">
        <w:t>ate C</w:t>
      </w:r>
      <w:r w:rsidR="00016483">
        <w:t xml:space="preserve">ase </w:t>
      </w:r>
      <w:r w:rsidR="00DA1205">
        <w:t>O</w:t>
      </w:r>
      <w:r w:rsidR="00016483">
        <w:t>rder, t</w:t>
      </w:r>
      <w:r w:rsidRPr="001B39C7">
        <w:t>he Commission should approve PGS’s request to defer recovery of the incremental revenue increase</w:t>
      </w:r>
      <w:r w:rsidR="00016483">
        <w:t xml:space="preserve"> for the six-month period from January 1,</w:t>
      </w:r>
      <w:r w:rsidR="008E064F">
        <w:t xml:space="preserve"> </w:t>
      </w:r>
      <w:r w:rsidR="00016483">
        <w:t xml:space="preserve">2024, through </w:t>
      </w:r>
      <w:r w:rsidR="008E064F">
        <w:t>J</w:t>
      </w:r>
      <w:r w:rsidR="00016483">
        <w:t xml:space="preserve">une </w:t>
      </w:r>
      <w:r w:rsidR="008E064F">
        <w:t>3</w:t>
      </w:r>
      <w:r w:rsidR="00016483">
        <w:t>0,</w:t>
      </w:r>
      <w:r w:rsidR="008E064F">
        <w:t xml:space="preserve"> </w:t>
      </w:r>
      <w:r w:rsidR="00016483">
        <w:t xml:space="preserve">2024, to the Cast Iron/Bare Steel Replacement Rider for 2025.  The Company should include the </w:t>
      </w:r>
      <w:r w:rsidR="008E064F">
        <w:t>actual incremental amount for r</w:t>
      </w:r>
      <w:r w:rsidR="00016483">
        <w:t xml:space="preserve">ecovery in the </w:t>
      </w:r>
      <w:r w:rsidR="00DA1205">
        <w:t xml:space="preserve">2024 </w:t>
      </w:r>
      <w:r w:rsidR="00016483">
        <w:t xml:space="preserve">Cast Iron/Bare Steel Replacement Rider </w:t>
      </w:r>
      <w:r w:rsidR="00250828">
        <w:t>d</w:t>
      </w:r>
      <w:r w:rsidR="00016483">
        <w:t>ocket</w:t>
      </w:r>
      <w:r w:rsidR="008E064F">
        <w:t>.</w:t>
      </w:r>
      <w:r w:rsidRPr="001B39C7">
        <w:t xml:space="preserve"> </w:t>
      </w:r>
      <w:r>
        <w:t>(Souchik)</w:t>
      </w:r>
    </w:p>
    <w:p w:rsidR="001B39C7" w:rsidRPr="004C3641" w:rsidRDefault="001B39C7">
      <w:pPr>
        <w:pStyle w:val="IssueSubsectionHeading"/>
        <w:rPr>
          <w:vanish/>
          <w:specVanish/>
        </w:rPr>
      </w:pPr>
      <w:r w:rsidRPr="004C3641">
        <w:t>Staff Analysis: </w:t>
      </w:r>
    </w:p>
    <w:p w:rsidR="00466F0B" w:rsidRDefault="001B39C7">
      <w:pPr>
        <w:pStyle w:val="IssueHeading"/>
        <w:rPr>
          <w:vanish/>
          <w:specVanish/>
        </w:rPr>
      </w:pPr>
      <w:r>
        <w:t> </w:t>
      </w:r>
      <w:r w:rsidR="00016483" w:rsidRPr="004C3641">
        <w:rPr>
          <w:b w:val="0"/>
          <w:i w:val="0"/>
        </w:rPr>
        <w:t xml:space="preserve"> </w:t>
      </w:r>
      <w:r w:rsidR="00016483" w:rsidRPr="00016483">
        <w:rPr>
          <w:rFonts w:ascii="Times New Roman" w:hAnsi="Times New Roman" w:cs="Times New Roman"/>
          <w:b w:val="0"/>
          <w:i w:val="0"/>
        </w:rPr>
        <w:t xml:space="preserve">In the 2023 Rate Case </w:t>
      </w:r>
      <w:r w:rsidR="008E064F">
        <w:rPr>
          <w:rFonts w:ascii="Times New Roman" w:hAnsi="Times New Roman" w:cs="Times New Roman"/>
          <w:b w:val="0"/>
          <w:i w:val="0"/>
        </w:rPr>
        <w:t>O</w:t>
      </w:r>
      <w:r w:rsidR="00016483" w:rsidRPr="00016483">
        <w:rPr>
          <w:rFonts w:ascii="Times New Roman" w:hAnsi="Times New Roman" w:cs="Times New Roman"/>
          <w:b w:val="0"/>
          <w:i w:val="0"/>
        </w:rPr>
        <w:t xml:space="preserve">rder, the Commission approved PGS’s proposal that for the time period between </w:t>
      </w:r>
      <w:r w:rsidR="00250828">
        <w:rPr>
          <w:rFonts w:ascii="Times New Roman" w:hAnsi="Times New Roman" w:cs="Times New Roman"/>
          <w:b w:val="0"/>
          <w:i w:val="0"/>
        </w:rPr>
        <w:t xml:space="preserve">when </w:t>
      </w:r>
      <w:r w:rsidR="00016483" w:rsidRPr="00016483">
        <w:rPr>
          <w:rFonts w:ascii="Times New Roman" w:hAnsi="Times New Roman" w:cs="Times New Roman"/>
          <w:b w:val="0"/>
          <w:i w:val="0"/>
        </w:rPr>
        <w:t>the new approved base</w:t>
      </w:r>
      <w:r w:rsidR="008E064F">
        <w:rPr>
          <w:rFonts w:ascii="Times New Roman" w:hAnsi="Times New Roman" w:cs="Times New Roman"/>
          <w:b w:val="0"/>
          <w:i w:val="0"/>
        </w:rPr>
        <w:t xml:space="preserve"> rates</w:t>
      </w:r>
      <w:r w:rsidR="00250828">
        <w:rPr>
          <w:rFonts w:ascii="Times New Roman" w:hAnsi="Times New Roman" w:cs="Times New Roman"/>
          <w:b w:val="0"/>
          <w:i w:val="0"/>
        </w:rPr>
        <w:t xml:space="preserve"> went</w:t>
      </w:r>
      <w:r w:rsidR="00016483">
        <w:rPr>
          <w:rFonts w:ascii="Times New Roman" w:hAnsi="Times New Roman" w:cs="Times New Roman"/>
          <w:b w:val="0"/>
          <w:i w:val="0"/>
        </w:rPr>
        <w:t xml:space="preserve"> into effect (January 1, 2024) and the implementation date of the LTDR True-Up Mechanism adjusted base rates (first billing cycle of July 2024), the Company will defer the rate impact of the LTDR True-Up Mechanism to its balance sheet for refund or collection through the Cast Iron/Bare Steel Replacement (CI/BSR) Rider in the subsequent year if the amount of the LTDR True-Up Mechanism </w:t>
      </w:r>
      <w:r w:rsidR="008E064F">
        <w:rPr>
          <w:rFonts w:ascii="Times New Roman" w:hAnsi="Times New Roman" w:cs="Times New Roman"/>
          <w:b w:val="0"/>
          <w:i w:val="0"/>
        </w:rPr>
        <w:t>is</w:t>
      </w:r>
      <w:r w:rsidR="00016483">
        <w:rPr>
          <w:rFonts w:ascii="Times New Roman" w:hAnsi="Times New Roman" w:cs="Times New Roman"/>
          <w:b w:val="0"/>
          <w:i w:val="0"/>
        </w:rPr>
        <w:t xml:space="preserve"> greater than $500,000. As discussed in Issue 3, the impact of the LTDR True-Up Mechanism on the incremental revenue increase is $874,085. Therefore, the recovery of the incremental revenue requirement for the six-month period from January 1, 2024, through June 30,</w:t>
      </w:r>
      <w:r w:rsidR="008E064F">
        <w:rPr>
          <w:rFonts w:ascii="Times New Roman" w:hAnsi="Times New Roman" w:cs="Times New Roman"/>
          <w:b w:val="0"/>
          <w:i w:val="0"/>
        </w:rPr>
        <w:t xml:space="preserve"> </w:t>
      </w:r>
      <w:r w:rsidR="00016483">
        <w:rPr>
          <w:rFonts w:ascii="Times New Roman" w:hAnsi="Times New Roman" w:cs="Times New Roman"/>
          <w:b w:val="0"/>
          <w:i w:val="0"/>
        </w:rPr>
        <w:t>2024, should be recovered through the CI/BSR Rider for 2025. Therefore, staff recommends the Commission approve PGS’s request to defer recovery of the incremental revenue increase for the six-month period from January</w:t>
      </w:r>
      <w:r w:rsidR="008E064F">
        <w:rPr>
          <w:rFonts w:ascii="Times New Roman" w:hAnsi="Times New Roman" w:cs="Times New Roman"/>
          <w:b w:val="0"/>
          <w:i w:val="0"/>
        </w:rPr>
        <w:t xml:space="preserve"> </w:t>
      </w:r>
      <w:r w:rsidR="00016483">
        <w:rPr>
          <w:rFonts w:ascii="Times New Roman" w:hAnsi="Times New Roman" w:cs="Times New Roman"/>
          <w:b w:val="0"/>
          <w:i w:val="0"/>
        </w:rPr>
        <w:t>1, 2024, through June 30, 2024, to the C</w:t>
      </w:r>
      <w:r w:rsidR="008E064F">
        <w:rPr>
          <w:rFonts w:ascii="Times New Roman" w:hAnsi="Times New Roman" w:cs="Times New Roman"/>
          <w:b w:val="0"/>
          <w:i w:val="0"/>
        </w:rPr>
        <w:t>I</w:t>
      </w:r>
      <w:r w:rsidR="00016483">
        <w:rPr>
          <w:rFonts w:ascii="Times New Roman" w:hAnsi="Times New Roman" w:cs="Times New Roman"/>
          <w:b w:val="0"/>
          <w:i w:val="0"/>
        </w:rPr>
        <w:t xml:space="preserve">/BSR Rider for 2025. The Company should include the actual incremental amount for recovery in the </w:t>
      </w:r>
      <w:r w:rsidR="001B27CD">
        <w:rPr>
          <w:rFonts w:ascii="Times New Roman" w:hAnsi="Times New Roman" w:cs="Times New Roman"/>
          <w:b w:val="0"/>
          <w:i w:val="0"/>
        </w:rPr>
        <w:t xml:space="preserve">2024 </w:t>
      </w:r>
      <w:r w:rsidR="00016483">
        <w:rPr>
          <w:rFonts w:ascii="Times New Roman" w:hAnsi="Times New Roman" w:cs="Times New Roman"/>
          <w:b w:val="0"/>
          <w:i w:val="0"/>
        </w:rPr>
        <w:t xml:space="preserve">CI/BSR Rider docket. </w:t>
      </w:r>
      <w:r w:rsidR="00466F0B" w:rsidRPr="004C3641">
        <w:rPr>
          <w:b w:val="0"/>
          <w:i w:val="0"/>
        </w:rPr>
        <w:br w:type="page"/>
      </w:r>
      <w:r w:rsidR="00466F0B" w:rsidRPr="004C3641">
        <w:lastRenderedPageBreak/>
        <w:t xml:space="preserve">Issue </w:t>
      </w:r>
      <w:r w:rsidR="00E60379">
        <w:fldChar w:fldCharType="begin"/>
      </w:r>
      <w:r w:rsidR="00E60379">
        <w:instrText xml:space="preserve"> SEQ Issue \* MERGEFORMAT </w:instrText>
      </w:r>
      <w:r w:rsidR="00E60379">
        <w:fldChar w:fldCharType="separate"/>
      </w:r>
      <w:r w:rsidR="00250828">
        <w:rPr>
          <w:noProof/>
        </w:rPr>
        <w:t>6</w:t>
      </w:r>
      <w:r w:rsidR="00E60379">
        <w:rPr>
          <w:noProof/>
        </w:rPr>
        <w:fldChar w:fldCharType="end"/>
      </w:r>
      <w:r w:rsidR="00466F0B" w:rsidRPr="004C3641">
        <w:t>:</w:t>
      </w:r>
      <w:r w:rsidR="00466F0B">
        <w:fldChar w:fldCharType="begin"/>
      </w:r>
      <w:r w:rsidR="00466F0B">
        <w:instrText xml:space="preserve"> TC "</w:instrText>
      </w:r>
      <w:r w:rsidR="00466F0B">
        <w:fldChar w:fldCharType="begin"/>
      </w:r>
      <w:r w:rsidR="00466F0B">
        <w:instrText xml:space="preserve"> SEQ issue \c </w:instrText>
      </w:r>
      <w:r w:rsidR="00466F0B">
        <w:fldChar w:fldCharType="separate"/>
      </w:r>
      <w:r w:rsidR="00250828">
        <w:rPr>
          <w:noProof/>
        </w:rPr>
        <w:instrText>6</w:instrText>
      </w:r>
      <w:r w:rsidR="00466F0B">
        <w:fldChar w:fldCharType="end"/>
      </w:r>
      <w:r w:rsidR="00466F0B">
        <w:tab/>
        <w:instrText xml:space="preserve">" \l 1 </w:instrText>
      </w:r>
      <w:r w:rsidR="00466F0B">
        <w:fldChar w:fldCharType="end"/>
      </w:r>
      <w:r w:rsidR="00466F0B">
        <w:t> </w:t>
      </w:r>
    </w:p>
    <w:p w:rsidR="00466F0B" w:rsidRDefault="00466F0B">
      <w:pPr>
        <w:pStyle w:val="BodyText"/>
      </w:pPr>
      <w:r>
        <w:t> Should this docket be closed?</w:t>
      </w:r>
    </w:p>
    <w:p w:rsidR="00466F0B" w:rsidRPr="004C3641" w:rsidRDefault="00466F0B">
      <w:pPr>
        <w:pStyle w:val="IssueSubsectionHeading"/>
        <w:rPr>
          <w:vanish/>
          <w:specVanish/>
        </w:rPr>
      </w:pPr>
      <w:r w:rsidRPr="004C3641">
        <w:t>Recommendation: </w:t>
      </w:r>
    </w:p>
    <w:p w:rsidR="00466F0B" w:rsidRDefault="00466F0B">
      <w:pPr>
        <w:pStyle w:val="BodyText"/>
      </w:pPr>
      <w:r>
        <w:t> Yes. If Issues 1 through 5 are approved and a protest is filed within 21 days of the issuance order, the tariff should remain in effect, with any revenues held subject to refund, pending resolution of the protest. If no timely protest is filed, this docket should be closed upon the issuance of a consummating order.  (M. Thompson)</w:t>
      </w:r>
    </w:p>
    <w:p w:rsidR="00466F0B" w:rsidRPr="004C3641" w:rsidRDefault="00466F0B">
      <w:pPr>
        <w:pStyle w:val="IssueSubsectionHeading"/>
        <w:rPr>
          <w:vanish/>
          <w:specVanish/>
        </w:rPr>
      </w:pPr>
      <w:r w:rsidRPr="004C3641">
        <w:t>Staff Analysis: </w:t>
      </w:r>
    </w:p>
    <w:p w:rsidR="00466F0B" w:rsidRDefault="00466F0B">
      <w:pPr>
        <w:pStyle w:val="BodyText"/>
      </w:pPr>
      <w:r>
        <w:t> </w:t>
      </w:r>
      <w:r w:rsidRPr="00466F0B">
        <w:t>Yes. If Issues 1 through 5 are approved and a protest is filed within 21 days of the issuance order, the tariff should remain in effect, with any revenues held subject to refund, pending resolution of the protest. If no timely protest is filed, this docket should be closed upon the issuance of a consummating order</w:t>
      </w:r>
      <w:r>
        <w:t>.</w:t>
      </w:r>
    </w:p>
    <w:p w:rsidR="005B55C5" w:rsidRDefault="005B55C5" w:rsidP="00E275D8">
      <w:pPr>
        <w:pStyle w:val="BodyText"/>
        <w:sectPr w:rsidR="005B55C5"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5B55C5"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Term Debt True Mechanism-Legislative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g-Term Debt True Mechanism-Legislative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Term Debt True Mechanism-Legislative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Term Debt True Mechanism-Legislative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g-Term Debt True Mechanism-Legislative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g-Term Debt True Mechanism-Legislative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ng-Term Debt True Mechanism-Legislative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ng-Term Debt True Mechanism-Legislative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ng-Term Debt True Mechanism-Legislative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ng-Term Debt True Mechanism-Legislative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ng-Term Debt True Mechanism-Legislative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ng-Term Debt True Mechanism-Legislative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g-Term Debt True Mechanism-Legislative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ng-Term Debt True Mechanism-Legislative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ng-Term Debt True Mechanism-Legislative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FD" w:rsidRDefault="005057FD">
      <w:r>
        <w:separator/>
      </w:r>
    </w:p>
  </w:endnote>
  <w:endnote w:type="continuationSeparator" w:id="0">
    <w:p w:rsidR="005057FD" w:rsidRDefault="0050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20A7B">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FD" w:rsidRDefault="005057FD">
      <w:r>
        <w:separator/>
      </w:r>
    </w:p>
  </w:footnote>
  <w:footnote w:type="continuationSeparator" w:id="0">
    <w:p w:rsidR="005057FD" w:rsidRDefault="005057FD">
      <w:r>
        <w:continuationSeparator/>
      </w:r>
    </w:p>
  </w:footnote>
  <w:footnote w:id="1">
    <w:p w:rsidR="000170AF" w:rsidRDefault="000170AF">
      <w:pPr>
        <w:pStyle w:val="FootnoteText"/>
      </w:pPr>
      <w:r>
        <w:rPr>
          <w:rStyle w:val="FootnoteReference"/>
        </w:rPr>
        <w:footnoteRef/>
      </w:r>
      <w:r w:rsidRPr="005057FD">
        <w:t xml:space="preserve">Order No. PSC-2023-0388-FOF-GU, issued December 27, 2023, in Docket No. 20230023-GU, </w:t>
      </w:r>
      <w:r w:rsidRPr="005057FD">
        <w:rPr>
          <w:i/>
        </w:rPr>
        <w:t>In re: Petition for rate increase by Peoples Gas System, Inc</w:t>
      </w:r>
      <w:r>
        <w:rPr>
          <w:i/>
        </w:rPr>
        <w:t>.</w:t>
      </w:r>
    </w:p>
  </w:footnote>
  <w:footnote w:id="2">
    <w:p w:rsidR="005057FD" w:rsidRPr="005057FD" w:rsidRDefault="005057FD">
      <w:pPr>
        <w:pStyle w:val="FootnoteText"/>
        <w:rPr>
          <w:i/>
        </w:rPr>
      </w:pPr>
      <w:r>
        <w:rPr>
          <w:rStyle w:val="FootnoteReference"/>
        </w:rPr>
        <w:footnoteRef/>
      </w:r>
      <w:r w:rsidRPr="005057FD">
        <w:t xml:space="preserve">Order No. PSC-2023-0388-FOF-GU, issued December 27, 2023, in Docket No. 20230023-GU, </w:t>
      </w:r>
      <w:r w:rsidRPr="005057FD">
        <w:rPr>
          <w:i/>
        </w:rPr>
        <w:t xml:space="preserve">In re: Petition for rate increase by Peoples Gas System, Inc., </w:t>
      </w:r>
      <w:r w:rsidRPr="00F3550A">
        <w:t>p. 107-109.</w:t>
      </w:r>
    </w:p>
  </w:footnote>
  <w:footnote w:id="3">
    <w:p w:rsidR="005057FD" w:rsidRDefault="005057FD">
      <w:pPr>
        <w:pStyle w:val="FootnoteText"/>
      </w:pPr>
      <w:r>
        <w:rPr>
          <w:rStyle w:val="FootnoteReference"/>
        </w:rPr>
        <w:footnoteRef/>
      </w:r>
      <w:r w:rsidRPr="005057FD">
        <w:t>Document No. 00892-2024</w:t>
      </w:r>
    </w:p>
  </w:footnote>
  <w:footnote w:id="4">
    <w:p w:rsidR="005057FD" w:rsidRDefault="005057FD">
      <w:pPr>
        <w:pStyle w:val="FootnoteText"/>
      </w:pPr>
      <w:r>
        <w:rPr>
          <w:rStyle w:val="FootnoteReference"/>
        </w:rPr>
        <w:footnoteRef/>
      </w:r>
      <w:r w:rsidRPr="005057FD">
        <w:t>Document No. 01103-2024</w:t>
      </w:r>
    </w:p>
  </w:footnote>
  <w:footnote w:id="5">
    <w:p w:rsidR="00CB3AA3" w:rsidRPr="00CB3AA3" w:rsidRDefault="00CB3AA3">
      <w:pPr>
        <w:pStyle w:val="FootnoteText"/>
        <w:rPr>
          <w:i/>
        </w:rPr>
      </w:pPr>
      <w:r>
        <w:rPr>
          <w:rStyle w:val="FootnoteReference"/>
        </w:rPr>
        <w:footnoteRef/>
      </w:r>
      <w:r w:rsidR="00C67D9C">
        <w:t>Order No. PSC-2024-0090-PCO-GU</w:t>
      </w:r>
      <w:r>
        <w:t xml:space="preserve">, issued April 8, 2024, in Docket No. 20240028-GU, </w:t>
      </w:r>
      <w:r>
        <w:rPr>
          <w:i/>
        </w:rPr>
        <w:t>In re: Petition for rate increase by Peoples Gas System, Inc.</w:t>
      </w:r>
    </w:p>
  </w:footnote>
  <w:footnote w:id="6">
    <w:p w:rsidR="000170AF" w:rsidRPr="001B39C7" w:rsidRDefault="000170AF" w:rsidP="000170AF">
      <w:pPr>
        <w:pStyle w:val="FootnoteText"/>
        <w:rPr>
          <w:i/>
        </w:rPr>
      </w:pPr>
      <w:r>
        <w:rPr>
          <w:rStyle w:val="FootnoteReference"/>
        </w:rPr>
        <w:footnoteRef/>
      </w:r>
      <w:r w:rsidRPr="001B39C7">
        <w:t xml:space="preserve">Order No. PSC-2023-0388-FOF-GU, issued December 27, 2023, in Docket No. 20230023-GU, </w:t>
      </w:r>
      <w:r w:rsidRPr="001B39C7">
        <w:rPr>
          <w:i/>
        </w:rPr>
        <w:t>In re: Petition for rate increase by Pe</w:t>
      </w:r>
      <w:r w:rsidR="00FB1A95">
        <w:rPr>
          <w:i/>
        </w:rPr>
        <w:t>oples Gas System, Inc.,</w:t>
      </w:r>
      <w:r w:rsidR="00FB1A95" w:rsidRPr="00F3550A">
        <w:t xml:space="preserve"> p. 107-110</w:t>
      </w:r>
      <w:r>
        <w:rPr>
          <w:i/>
        </w:rPr>
        <w:t>.</w:t>
      </w:r>
    </w:p>
  </w:footnote>
  <w:footnote w:id="7">
    <w:p w:rsidR="002F4040" w:rsidRDefault="002F4040">
      <w:pPr>
        <w:pStyle w:val="FootnoteText"/>
      </w:pPr>
      <w:r>
        <w:rPr>
          <w:rStyle w:val="FootnoteReference"/>
        </w:rPr>
        <w:footnoteRef/>
      </w:r>
      <w:r w:rsidRPr="002F4040">
        <w:rPr>
          <w:i/>
        </w:rPr>
        <w:t>Id</w:t>
      </w:r>
      <w:r>
        <w:t>. at p. 45-51.</w:t>
      </w:r>
    </w:p>
  </w:footnote>
  <w:footnote w:id="8">
    <w:p w:rsidR="002F4040" w:rsidRDefault="002F4040">
      <w:pPr>
        <w:pStyle w:val="FootnoteText"/>
      </w:pPr>
      <w:r>
        <w:rPr>
          <w:rStyle w:val="FootnoteReference"/>
        </w:rPr>
        <w:footnoteRef/>
      </w:r>
      <w:r>
        <w:t>Document No. 00534-2024, p. 11.</w:t>
      </w:r>
    </w:p>
  </w:footnote>
  <w:footnote w:id="9">
    <w:p w:rsidR="00DD3AE4" w:rsidRDefault="00DD3AE4">
      <w:pPr>
        <w:pStyle w:val="FootnoteText"/>
      </w:pPr>
      <w:r>
        <w:rPr>
          <w:rStyle w:val="FootnoteReference"/>
        </w:rPr>
        <w:footnoteRef/>
      </w:r>
      <w:r>
        <w:t>Document No. 00534-2024, p. 3.</w:t>
      </w:r>
    </w:p>
  </w:footnote>
  <w:footnote w:id="10">
    <w:p w:rsidR="001B39C7" w:rsidRDefault="001B39C7">
      <w:pPr>
        <w:pStyle w:val="FootnoteText"/>
      </w:pPr>
      <w:r>
        <w:rPr>
          <w:rStyle w:val="FootnoteReference"/>
        </w:rPr>
        <w:footnoteRef/>
      </w:r>
      <w:r w:rsidRPr="001B39C7">
        <w:t>Document No. 01103-2024</w:t>
      </w:r>
    </w:p>
  </w:footnote>
  <w:footnote w:id="11">
    <w:p w:rsidR="00D9623E" w:rsidRDefault="00D9623E">
      <w:pPr>
        <w:pStyle w:val="FootnoteText"/>
      </w:pPr>
      <w:r>
        <w:rPr>
          <w:rStyle w:val="FootnoteReference"/>
        </w:rPr>
        <w:footnoteRef/>
      </w:r>
      <w:r>
        <w:t>Document No. 00534-2024, p. 13.</w:t>
      </w:r>
    </w:p>
  </w:footnote>
  <w:footnote w:id="12">
    <w:p w:rsidR="001B39C7" w:rsidRPr="001B39C7" w:rsidRDefault="001B39C7">
      <w:pPr>
        <w:pStyle w:val="FootnoteText"/>
        <w:rPr>
          <w:rStyle w:val="FootnoteReference"/>
        </w:rPr>
      </w:pPr>
      <w:r>
        <w:rPr>
          <w:rStyle w:val="FootnoteReference"/>
        </w:rPr>
        <w:footnoteRef/>
      </w:r>
      <w:r w:rsidRPr="001B39C7">
        <w:t xml:space="preserve">Order No. PSC-2023-0388-FOF-GU, issued December 27, 2023, in Docket No. 20230023-GU, </w:t>
      </w:r>
      <w:r w:rsidRPr="001B39C7">
        <w:rPr>
          <w:i/>
        </w:rPr>
        <w:t>In re: Petition for rate increase by Peoples Gas System, Inc.</w:t>
      </w:r>
      <w:r w:rsidRPr="00F3550A">
        <w:t>, Attachment 5, p. 121.</w:t>
      </w:r>
      <w:r w:rsidRPr="00F3550A">
        <w:rPr>
          <w:rStyle w:val="FootnoteReference"/>
        </w:rPr>
        <w:t xml:space="preserve"> </w:t>
      </w:r>
    </w:p>
  </w:footnote>
  <w:footnote w:id="13">
    <w:p w:rsidR="00AE5315" w:rsidRDefault="00AE5315" w:rsidP="00AE5315">
      <w:pPr>
        <w:pStyle w:val="FootnoteText"/>
      </w:pPr>
      <w:r>
        <w:rPr>
          <w:rStyle w:val="FootnoteReference"/>
        </w:rPr>
        <w:footnoteRef/>
      </w:r>
      <w:r w:rsidRPr="001B39C7">
        <w:t>The overall rate of return is synonymous with the average weighted averag</w:t>
      </w:r>
      <w:r>
        <w:t>e</w:t>
      </w:r>
      <w:r w:rsidRPr="001B39C7">
        <w:t xml:space="preserve"> cost of </w:t>
      </w:r>
      <w:r>
        <w:t>capital.</w:t>
      </w:r>
    </w:p>
  </w:footnote>
  <w:footnote w:id="14">
    <w:p w:rsidR="00D9623E" w:rsidRDefault="00D9623E">
      <w:pPr>
        <w:pStyle w:val="FootnoteText"/>
      </w:pPr>
      <w:r>
        <w:rPr>
          <w:rStyle w:val="FootnoteReference"/>
        </w:rPr>
        <w:footnoteRef/>
      </w:r>
      <w:r>
        <w:t>Document No. 00534-2024, p. 15.</w:t>
      </w:r>
    </w:p>
  </w:footnote>
  <w:footnote w:id="15">
    <w:p w:rsidR="005402B8" w:rsidRDefault="005402B8">
      <w:pPr>
        <w:pStyle w:val="FootnoteText"/>
      </w:pPr>
      <w:r>
        <w:rPr>
          <w:rStyle w:val="FootnoteReference"/>
        </w:rPr>
        <w:footnoteRef/>
      </w:r>
      <w:r w:rsidR="00C734ED">
        <w:t xml:space="preserve">Response No. 10 in Staff’s Second Data Request, </w:t>
      </w:r>
      <w:r>
        <w:t>Document No. 01103-2024</w:t>
      </w:r>
      <w:r w:rsidR="0065594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5057F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20240028-GU</w:t>
    </w:r>
    <w:bookmarkEnd w:id="15"/>
  </w:p>
  <w:p w:rsidR="00BC402E" w:rsidRDefault="00BC402E">
    <w:pPr>
      <w:pStyle w:val="Header"/>
    </w:pPr>
    <w:r>
      <w:t xml:space="preserve">Date: </w:t>
    </w:r>
    <w:r w:rsidR="00E60379">
      <w:fldChar w:fldCharType="begin"/>
    </w:r>
    <w:r w:rsidR="00E60379">
      <w:instrText xml:space="preserve"> REF FilingDate </w:instrText>
    </w:r>
    <w:r w:rsidR="00E60379">
      <w:fldChar w:fldCharType="separate"/>
    </w:r>
    <w:r w:rsidR="00250828">
      <w:t>April 25, 2024</w:t>
    </w:r>
    <w:r w:rsidR="00E6037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50828">
      <w:t>Docket No.</w:t>
    </w:r>
    <w:r>
      <w:fldChar w:fldCharType="end"/>
    </w:r>
    <w:r>
      <w:t xml:space="preserve"> </w:t>
    </w:r>
    <w:r>
      <w:fldChar w:fldCharType="begin"/>
    </w:r>
    <w:r>
      <w:instrText xml:space="preserve"> REF DocketList</w:instrText>
    </w:r>
    <w:r>
      <w:fldChar w:fldCharType="separate"/>
    </w:r>
    <w:r w:rsidR="00250828">
      <w:t>20240028-GU</w:t>
    </w:r>
    <w:r>
      <w:fldChar w:fldCharType="end"/>
    </w:r>
    <w:r>
      <w:tab/>
      <w:t xml:space="preserve">Issue </w:t>
    </w:r>
    <w:fldSimple w:instr=" Seq Issue \c \* Arabic ">
      <w:r w:rsidR="00E20A7B">
        <w:rPr>
          <w:noProof/>
        </w:rPr>
        <w:t>6</w:t>
      </w:r>
    </w:fldSimple>
  </w:p>
  <w:p w:rsidR="00BC402E" w:rsidRDefault="00BC402E">
    <w:pPr>
      <w:pStyle w:val="Header"/>
    </w:pPr>
    <w:r>
      <w:t xml:space="preserve">Date: </w:t>
    </w:r>
    <w:r w:rsidR="00E60379">
      <w:fldChar w:fldCharType="begin"/>
    </w:r>
    <w:r w:rsidR="00E60379">
      <w:instrText xml:space="preserve"> REF FilingDate </w:instrText>
    </w:r>
    <w:r w:rsidR="00E60379">
      <w:fldChar w:fldCharType="separate"/>
    </w:r>
    <w:r w:rsidR="00250828">
      <w:t>April 25, 2024</w:t>
    </w:r>
    <w:r w:rsidR="00E6037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5C5" w:rsidRDefault="005B55C5"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20240028-GU</w:t>
    </w:r>
    <w:r>
      <w:fldChar w:fldCharType="end"/>
    </w:r>
    <w:r>
      <w:tab/>
      <w:t>Attachment A</w:t>
    </w:r>
  </w:p>
  <w:p w:rsidR="005B55C5" w:rsidRDefault="005B55C5">
    <w:pPr>
      <w:pStyle w:val="Header"/>
    </w:pPr>
    <w:r>
      <w:t xml:space="preserve">Date: </w:t>
    </w:r>
    <w:fldSimple w:instr=" REF FilingDate ">
      <w:r>
        <w:t>April 25, 2024</w:t>
      </w:r>
    </w:fldSimple>
    <w:r w:rsidR="009D6C46">
      <w:tab/>
    </w:r>
    <w:r w:rsidR="009D6C46">
      <w:tab/>
      <w:t xml:space="preserve">                                                             Page </w:t>
    </w:r>
    <w:r w:rsidR="009D6C46">
      <w:fldChar w:fldCharType="begin"/>
    </w:r>
    <w:r w:rsidR="009D6C46">
      <w:instrText>=</w:instrText>
    </w:r>
    <w:r w:rsidR="009D6C46">
      <w:fldChar w:fldCharType="begin"/>
    </w:r>
    <w:r w:rsidR="009D6C46">
      <w:instrText>Page</w:instrText>
    </w:r>
    <w:r w:rsidR="009D6C46">
      <w:fldChar w:fldCharType="separate"/>
    </w:r>
    <w:r w:rsidR="00E20A7B">
      <w:rPr>
        <w:noProof/>
      </w:rPr>
      <w:instrText>21</w:instrText>
    </w:r>
    <w:r w:rsidR="009D6C46">
      <w:fldChar w:fldCharType="end"/>
    </w:r>
    <w:r w:rsidR="009D6C46">
      <w:instrText>-8</w:instrText>
    </w:r>
    <w:r w:rsidR="009D6C46">
      <w:fldChar w:fldCharType="separate"/>
    </w:r>
    <w:r w:rsidR="00E20A7B">
      <w:rPr>
        <w:noProof/>
      </w:rPr>
      <w:t>13</w:t>
    </w:r>
    <w:r w:rsidR="009D6C46">
      <w:fldChar w:fldCharType="end"/>
    </w:r>
    <w:r w:rsidR="009D6C46">
      <w:t xml:space="preserve"> of </w:t>
    </w:r>
    <w:r w:rsidR="003236CA">
      <w:t>1</w:t>
    </w:r>
    <w:r w:rsidR="00EF7C43">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activeWritingStyle w:appName="MSWord" w:lang="en-US" w:vendorID="64" w:dllVersion="131078" w:nlCheck="1" w:checkStyle="1"/>
  <w:activeWritingStyle w:appName="MSWord" w:lang="es-MX" w:vendorID="64" w:dllVersion="131078" w:nlCheck="1"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057FD"/>
    <w:rsid w:val="000043D5"/>
    <w:rsid w:val="00006170"/>
    <w:rsid w:val="00010E37"/>
    <w:rsid w:val="00016483"/>
    <w:rsid w:val="000170AF"/>
    <w:rsid w:val="000172DA"/>
    <w:rsid w:val="00022337"/>
    <w:rsid w:val="00023A0E"/>
    <w:rsid w:val="000247C5"/>
    <w:rsid w:val="000277C2"/>
    <w:rsid w:val="00035B48"/>
    <w:rsid w:val="00036CE2"/>
    <w:rsid w:val="000437FE"/>
    <w:rsid w:val="000513BE"/>
    <w:rsid w:val="00051573"/>
    <w:rsid w:val="0005451B"/>
    <w:rsid w:val="000561D6"/>
    <w:rsid w:val="00065A06"/>
    <w:rsid w:val="000666F3"/>
    <w:rsid w:val="00070DCB"/>
    <w:rsid w:val="00072CCA"/>
    <w:rsid w:val="00073120"/>
    <w:rsid w:val="000764D0"/>
    <w:rsid w:val="000828D3"/>
    <w:rsid w:val="000A2B57"/>
    <w:rsid w:val="000A418B"/>
    <w:rsid w:val="000A7318"/>
    <w:rsid w:val="000B0ACE"/>
    <w:rsid w:val="000C4431"/>
    <w:rsid w:val="000C6607"/>
    <w:rsid w:val="000D1C06"/>
    <w:rsid w:val="000D3043"/>
    <w:rsid w:val="000D4319"/>
    <w:rsid w:val="000E24FA"/>
    <w:rsid w:val="000E338A"/>
    <w:rsid w:val="000E4392"/>
    <w:rsid w:val="000E5633"/>
    <w:rsid w:val="000F374A"/>
    <w:rsid w:val="000F4DAF"/>
    <w:rsid w:val="00105BA1"/>
    <w:rsid w:val="001076AF"/>
    <w:rsid w:val="001109F6"/>
    <w:rsid w:val="00116C6B"/>
    <w:rsid w:val="00117C8C"/>
    <w:rsid w:val="0012035F"/>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27CD"/>
    <w:rsid w:val="001B39C7"/>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50828"/>
    <w:rsid w:val="00263D44"/>
    <w:rsid w:val="002702AD"/>
    <w:rsid w:val="00281EB4"/>
    <w:rsid w:val="00292D82"/>
    <w:rsid w:val="00293EE7"/>
    <w:rsid w:val="002963CB"/>
    <w:rsid w:val="002B2DAC"/>
    <w:rsid w:val="002B4A01"/>
    <w:rsid w:val="002C291B"/>
    <w:rsid w:val="002C746A"/>
    <w:rsid w:val="002C7E4E"/>
    <w:rsid w:val="002D226D"/>
    <w:rsid w:val="002D74E3"/>
    <w:rsid w:val="002F398E"/>
    <w:rsid w:val="002F4040"/>
    <w:rsid w:val="002F6030"/>
    <w:rsid w:val="003001AC"/>
    <w:rsid w:val="003037E1"/>
    <w:rsid w:val="00307E51"/>
    <w:rsid w:val="003103EC"/>
    <w:rsid w:val="00312132"/>
    <w:rsid w:val="003130BA"/>
    <w:rsid w:val="003144EF"/>
    <w:rsid w:val="0031480E"/>
    <w:rsid w:val="00316877"/>
    <w:rsid w:val="00322F74"/>
    <w:rsid w:val="003236CA"/>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291F"/>
    <w:rsid w:val="00455499"/>
    <w:rsid w:val="004649A7"/>
    <w:rsid w:val="00466F0B"/>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349"/>
    <w:rsid w:val="004D385F"/>
    <w:rsid w:val="004D5B39"/>
    <w:rsid w:val="004D7976"/>
    <w:rsid w:val="004E0CEA"/>
    <w:rsid w:val="004E330D"/>
    <w:rsid w:val="004E4985"/>
    <w:rsid w:val="004E5147"/>
    <w:rsid w:val="004E69B5"/>
    <w:rsid w:val="004F3922"/>
    <w:rsid w:val="004F50D1"/>
    <w:rsid w:val="004F5C43"/>
    <w:rsid w:val="005050A2"/>
    <w:rsid w:val="005057FD"/>
    <w:rsid w:val="00506030"/>
    <w:rsid w:val="0050652D"/>
    <w:rsid w:val="00506C03"/>
    <w:rsid w:val="00511A11"/>
    <w:rsid w:val="00516496"/>
    <w:rsid w:val="00522E7D"/>
    <w:rsid w:val="00523B11"/>
    <w:rsid w:val="0052455B"/>
    <w:rsid w:val="0052572A"/>
    <w:rsid w:val="00532DFB"/>
    <w:rsid w:val="005402B8"/>
    <w:rsid w:val="00543CB3"/>
    <w:rsid w:val="005442E4"/>
    <w:rsid w:val="00547652"/>
    <w:rsid w:val="0055529B"/>
    <w:rsid w:val="00560FF0"/>
    <w:rsid w:val="005614BD"/>
    <w:rsid w:val="0057154F"/>
    <w:rsid w:val="00580F69"/>
    <w:rsid w:val="00581CA3"/>
    <w:rsid w:val="00585031"/>
    <w:rsid w:val="00586E8B"/>
    <w:rsid w:val="00587090"/>
    <w:rsid w:val="00587A44"/>
    <w:rsid w:val="005913A0"/>
    <w:rsid w:val="00597730"/>
    <w:rsid w:val="005977EC"/>
    <w:rsid w:val="00597DE7"/>
    <w:rsid w:val="005A1CD3"/>
    <w:rsid w:val="005A4AA2"/>
    <w:rsid w:val="005A7846"/>
    <w:rsid w:val="005B34B6"/>
    <w:rsid w:val="005B55C5"/>
    <w:rsid w:val="005B606A"/>
    <w:rsid w:val="005B6C8F"/>
    <w:rsid w:val="005B6EC3"/>
    <w:rsid w:val="005C17D7"/>
    <w:rsid w:val="005C33CE"/>
    <w:rsid w:val="005D0F74"/>
    <w:rsid w:val="005D2E7D"/>
    <w:rsid w:val="005D4A8F"/>
    <w:rsid w:val="005D4B04"/>
    <w:rsid w:val="005D561B"/>
    <w:rsid w:val="005D578F"/>
    <w:rsid w:val="005D5ECF"/>
    <w:rsid w:val="005F468D"/>
    <w:rsid w:val="005F69A3"/>
    <w:rsid w:val="00604CC7"/>
    <w:rsid w:val="00613441"/>
    <w:rsid w:val="00615423"/>
    <w:rsid w:val="006165B2"/>
    <w:rsid w:val="00617276"/>
    <w:rsid w:val="00617AB4"/>
    <w:rsid w:val="0062527B"/>
    <w:rsid w:val="00625D97"/>
    <w:rsid w:val="00625F1C"/>
    <w:rsid w:val="0062658E"/>
    <w:rsid w:val="006279E1"/>
    <w:rsid w:val="00630CEB"/>
    <w:rsid w:val="00632264"/>
    <w:rsid w:val="006355F2"/>
    <w:rsid w:val="006470BC"/>
    <w:rsid w:val="006554D3"/>
    <w:rsid w:val="00655942"/>
    <w:rsid w:val="006603F4"/>
    <w:rsid w:val="00661708"/>
    <w:rsid w:val="00666522"/>
    <w:rsid w:val="00667036"/>
    <w:rsid w:val="00667B89"/>
    <w:rsid w:val="0067072F"/>
    <w:rsid w:val="00673BDB"/>
    <w:rsid w:val="00674341"/>
    <w:rsid w:val="006771B8"/>
    <w:rsid w:val="00682631"/>
    <w:rsid w:val="00683A89"/>
    <w:rsid w:val="006843B6"/>
    <w:rsid w:val="0068481F"/>
    <w:rsid w:val="00693EA1"/>
    <w:rsid w:val="00695B0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0D46"/>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046D"/>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064F"/>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3ECA"/>
    <w:rsid w:val="00924020"/>
    <w:rsid w:val="00924BF4"/>
    <w:rsid w:val="009271A7"/>
    <w:rsid w:val="0092762F"/>
    <w:rsid w:val="0093658B"/>
    <w:rsid w:val="0094292C"/>
    <w:rsid w:val="009429FF"/>
    <w:rsid w:val="009444D1"/>
    <w:rsid w:val="00945BD6"/>
    <w:rsid w:val="00947778"/>
    <w:rsid w:val="009479FB"/>
    <w:rsid w:val="00951C45"/>
    <w:rsid w:val="00951DD8"/>
    <w:rsid w:val="00956BAF"/>
    <w:rsid w:val="009656F2"/>
    <w:rsid w:val="00966A08"/>
    <w:rsid w:val="009701B7"/>
    <w:rsid w:val="00971207"/>
    <w:rsid w:val="009756B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D6C46"/>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1105"/>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E5315"/>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05B9"/>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5CA2"/>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31BC"/>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67D9C"/>
    <w:rsid w:val="00C71E00"/>
    <w:rsid w:val="00C734ED"/>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B3AA3"/>
    <w:rsid w:val="00CC10A9"/>
    <w:rsid w:val="00CD0655"/>
    <w:rsid w:val="00CE2BF8"/>
    <w:rsid w:val="00CE484E"/>
    <w:rsid w:val="00CE4D20"/>
    <w:rsid w:val="00CE5819"/>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0A03"/>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23E"/>
    <w:rsid w:val="00D96DA1"/>
    <w:rsid w:val="00DA1205"/>
    <w:rsid w:val="00DA51E7"/>
    <w:rsid w:val="00DB0260"/>
    <w:rsid w:val="00DB1C78"/>
    <w:rsid w:val="00DB7D96"/>
    <w:rsid w:val="00DC23FE"/>
    <w:rsid w:val="00DC2F08"/>
    <w:rsid w:val="00DC59E6"/>
    <w:rsid w:val="00DD150B"/>
    <w:rsid w:val="00DD3356"/>
    <w:rsid w:val="00DD3AE4"/>
    <w:rsid w:val="00DD5025"/>
    <w:rsid w:val="00DD5464"/>
    <w:rsid w:val="00DD6F85"/>
    <w:rsid w:val="00DE254E"/>
    <w:rsid w:val="00DE32C0"/>
    <w:rsid w:val="00DE76A7"/>
    <w:rsid w:val="00DF1510"/>
    <w:rsid w:val="00E02F1F"/>
    <w:rsid w:val="00E05454"/>
    <w:rsid w:val="00E06484"/>
    <w:rsid w:val="00E06B24"/>
    <w:rsid w:val="00E20A7B"/>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EF7C43"/>
    <w:rsid w:val="00F04B59"/>
    <w:rsid w:val="00F07B69"/>
    <w:rsid w:val="00F11741"/>
    <w:rsid w:val="00F117B0"/>
    <w:rsid w:val="00F12B1C"/>
    <w:rsid w:val="00F13CF8"/>
    <w:rsid w:val="00F15855"/>
    <w:rsid w:val="00F200B2"/>
    <w:rsid w:val="00F227DC"/>
    <w:rsid w:val="00F263B9"/>
    <w:rsid w:val="00F30701"/>
    <w:rsid w:val="00F328E9"/>
    <w:rsid w:val="00F32978"/>
    <w:rsid w:val="00F3550A"/>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1EE0"/>
    <w:rsid w:val="00FA32DE"/>
    <w:rsid w:val="00FA3382"/>
    <w:rsid w:val="00FA59CD"/>
    <w:rsid w:val="00FB0CDC"/>
    <w:rsid w:val="00FB1740"/>
    <w:rsid w:val="00FB1A95"/>
    <w:rsid w:val="00FB4235"/>
    <w:rsid w:val="00FC4446"/>
    <w:rsid w:val="00FC5469"/>
    <w:rsid w:val="00FC65B1"/>
    <w:rsid w:val="00FC6D7D"/>
    <w:rsid w:val="00FD16B0"/>
    <w:rsid w:val="00FD4FED"/>
    <w:rsid w:val="00FE00C8"/>
    <w:rsid w:val="00FE0577"/>
    <w:rsid w:val="00FE2FF8"/>
    <w:rsid w:val="00FE47FF"/>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882744D7-6281-41D8-9FAD-B971B072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5057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89FCB-B233-4059-9B84-61C2E216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6</TotalTime>
  <Pages>23</Pages>
  <Words>1972</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Andrew  Souchik</dc:creator>
  <cp:lastModifiedBy>Lauren Smith</cp:lastModifiedBy>
  <cp:revision>2</cp:revision>
  <cp:lastPrinted>2024-04-17T16:32:00Z</cp:lastPrinted>
  <dcterms:created xsi:type="dcterms:W3CDTF">2024-04-25T11:49:00Z</dcterms:created>
  <dcterms:modified xsi:type="dcterms:W3CDTF">2024-04-25T11:49:00Z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20240028-GU</vt:lpwstr>
  </property>
  <property fmtid="{D5CDD505-2E9C-101B-9397-08002B2CF9AE}" pid="3" name="MasterDocument">
    <vt:bool>false</vt:bool>
  </property>
</Properties>
</file>