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Pr="009D4078" w:rsidRDefault="009D4078" w:rsidP="009D4078">
      <w:pPr>
        <w:pStyle w:val="OrderHeading"/>
      </w:pPr>
      <w:r w:rsidRPr="009D4078">
        <w:t>BEFORE THE FLORIDA PUBLIC SERVICE COMMISSION</w:t>
      </w:r>
    </w:p>
    <w:p w:rsidR="009D4078" w:rsidRPr="009D4078" w:rsidRDefault="009D4078" w:rsidP="009D4078">
      <w:pPr>
        <w:pStyle w:val="OrderBody"/>
      </w:pPr>
    </w:p>
    <w:p w:rsidR="009D4078" w:rsidRPr="009D4078" w:rsidRDefault="009D4078" w:rsidP="009D407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D4078" w:rsidRPr="009D4078" w:rsidTr="00C63FCF">
        <w:trPr>
          <w:trHeight w:val="828"/>
        </w:trPr>
        <w:tc>
          <w:tcPr>
            <w:tcW w:w="4788" w:type="dxa"/>
            <w:tcBorders>
              <w:bottom w:val="single" w:sz="8" w:space="0" w:color="auto"/>
              <w:right w:val="double" w:sz="6" w:space="0" w:color="auto"/>
            </w:tcBorders>
            <w:shd w:val="clear" w:color="auto" w:fill="auto"/>
          </w:tcPr>
          <w:p w:rsidR="009D4078" w:rsidRDefault="009D4078" w:rsidP="00C63FCF">
            <w:pPr>
              <w:pStyle w:val="OrderBody"/>
              <w:tabs>
                <w:tab w:val="center" w:pos="4320"/>
                <w:tab w:val="right" w:pos="8640"/>
              </w:tabs>
              <w:jc w:val="left"/>
            </w:pPr>
            <w:r w:rsidRPr="009D4078">
              <w:t xml:space="preserve">In re: </w:t>
            </w:r>
            <w:bookmarkStart w:id="0" w:name="SSInRe"/>
            <w:bookmarkEnd w:id="0"/>
            <w:r w:rsidRPr="009D4078">
              <w:t>Petition for rate increase by Tampa Electric Company.</w:t>
            </w:r>
          </w:p>
          <w:p w:rsidR="00CE504F" w:rsidRDefault="00CE504F" w:rsidP="00C63FCF">
            <w:pPr>
              <w:pStyle w:val="OrderBody"/>
              <w:tabs>
                <w:tab w:val="center" w:pos="4320"/>
                <w:tab w:val="right" w:pos="8640"/>
              </w:tabs>
              <w:jc w:val="left"/>
            </w:pPr>
          </w:p>
          <w:p w:rsidR="00CE504F" w:rsidRDefault="00CE504F" w:rsidP="00CE504F">
            <w:pPr>
              <w:pStyle w:val="OrderBody"/>
              <w:tabs>
                <w:tab w:val="center" w:pos="4320"/>
                <w:tab w:val="right" w:pos="8640"/>
              </w:tabs>
              <w:jc w:val="left"/>
            </w:pPr>
            <w:r w:rsidRPr="009D4078">
              <w:t xml:space="preserve">In re: Petition </w:t>
            </w:r>
            <w:r w:rsidR="00385998">
              <w:t>for approval of 2023 depreciation and dismantlement study, by Tampa Electric Company.</w:t>
            </w:r>
          </w:p>
          <w:p w:rsidR="00CE504F" w:rsidRDefault="00CE504F" w:rsidP="00C63FCF">
            <w:pPr>
              <w:pStyle w:val="OrderBody"/>
              <w:tabs>
                <w:tab w:val="center" w:pos="4320"/>
                <w:tab w:val="right" w:pos="8640"/>
              </w:tabs>
              <w:jc w:val="left"/>
            </w:pPr>
          </w:p>
          <w:p w:rsidR="00CE504F" w:rsidRPr="009D4078" w:rsidRDefault="00CE504F" w:rsidP="00385998">
            <w:pPr>
              <w:pStyle w:val="OrderBody"/>
              <w:tabs>
                <w:tab w:val="center" w:pos="4320"/>
                <w:tab w:val="right" w:pos="8640"/>
              </w:tabs>
              <w:jc w:val="left"/>
            </w:pPr>
            <w:r w:rsidRPr="009D4078">
              <w:t xml:space="preserve">In re: Petition </w:t>
            </w:r>
            <w:r w:rsidR="00385998">
              <w:t>to implement 2024 generation base rate adjustment provisions in paragraph 4 of the 2021 stipulation and settlement agreement, by Tampa Electric Company.</w:t>
            </w:r>
          </w:p>
        </w:tc>
        <w:tc>
          <w:tcPr>
            <w:tcW w:w="4788" w:type="dxa"/>
            <w:tcBorders>
              <w:left w:val="double" w:sz="6" w:space="0" w:color="auto"/>
            </w:tcBorders>
            <w:shd w:val="clear" w:color="auto" w:fill="auto"/>
          </w:tcPr>
          <w:p w:rsidR="009D4078" w:rsidRPr="009D4078" w:rsidRDefault="009D4078" w:rsidP="009D4078">
            <w:pPr>
              <w:pStyle w:val="OrderBody"/>
            </w:pPr>
            <w:r w:rsidRPr="009D4078">
              <w:t xml:space="preserve">DOCKET NO. </w:t>
            </w:r>
            <w:bookmarkStart w:id="1" w:name="SSDocketNo"/>
            <w:bookmarkEnd w:id="1"/>
            <w:r w:rsidRPr="009D4078">
              <w:t>20240026-EI</w:t>
            </w:r>
          </w:p>
          <w:p w:rsidR="00CE504F" w:rsidRDefault="00CE504F" w:rsidP="00C63FCF">
            <w:pPr>
              <w:pStyle w:val="OrderBody"/>
              <w:tabs>
                <w:tab w:val="center" w:pos="4320"/>
                <w:tab w:val="right" w:pos="8640"/>
              </w:tabs>
              <w:jc w:val="left"/>
            </w:pPr>
          </w:p>
          <w:p w:rsidR="00CE504F" w:rsidRDefault="00CE504F" w:rsidP="00C63FCF">
            <w:pPr>
              <w:pStyle w:val="OrderBody"/>
              <w:tabs>
                <w:tab w:val="center" w:pos="4320"/>
                <w:tab w:val="right" w:pos="8640"/>
              </w:tabs>
              <w:jc w:val="left"/>
            </w:pPr>
          </w:p>
          <w:p w:rsidR="00CE504F" w:rsidRPr="009D4078" w:rsidRDefault="00CE504F" w:rsidP="00CE504F">
            <w:pPr>
              <w:pStyle w:val="OrderBody"/>
            </w:pPr>
            <w:r w:rsidRPr="009D4078">
              <w:t>DOCKET NO. 20</w:t>
            </w:r>
            <w:r>
              <w:t>230139</w:t>
            </w:r>
            <w:r w:rsidRPr="009D4078">
              <w:t>-EI</w:t>
            </w:r>
          </w:p>
          <w:p w:rsidR="00CE504F" w:rsidRDefault="00CE504F" w:rsidP="00C63FCF">
            <w:pPr>
              <w:pStyle w:val="OrderBody"/>
              <w:tabs>
                <w:tab w:val="center" w:pos="4320"/>
                <w:tab w:val="right" w:pos="8640"/>
              </w:tabs>
              <w:jc w:val="left"/>
            </w:pPr>
          </w:p>
          <w:p w:rsidR="00CE504F" w:rsidRDefault="00CE504F" w:rsidP="00C63FCF">
            <w:pPr>
              <w:pStyle w:val="OrderBody"/>
              <w:tabs>
                <w:tab w:val="center" w:pos="4320"/>
                <w:tab w:val="right" w:pos="8640"/>
              </w:tabs>
              <w:jc w:val="left"/>
            </w:pPr>
          </w:p>
          <w:p w:rsidR="00CE504F" w:rsidRPr="009D4078" w:rsidRDefault="00CE504F" w:rsidP="00CE504F">
            <w:pPr>
              <w:pStyle w:val="OrderBody"/>
            </w:pPr>
            <w:r w:rsidRPr="009D4078">
              <w:t>DOCKET NO. 2</w:t>
            </w:r>
            <w:r>
              <w:t>0230090</w:t>
            </w:r>
            <w:r w:rsidRPr="009D4078">
              <w:t>-EI</w:t>
            </w:r>
          </w:p>
          <w:p w:rsidR="00385998" w:rsidRDefault="00385998" w:rsidP="00C63FCF">
            <w:pPr>
              <w:pStyle w:val="OrderBody"/>
              <w:tabs>
                <w:tab w:val="center" w:pos="4320"/>
                <w:tab w:val="right" w:pos="8640"/>
              </w:tabs>
              <w:jc w:val="left"/>
            </w:pPr>
          </w:p>
          <w:p w:rsidR="00385998" w:rsidRDefault="00385998" w:rsidP="00C63FCF">
            <w:pPr>
              <w:pStyle w:val="OrderBody"/>
              <w:tabs>
                <w:tab w:val="center" w:pos="4320"/>
                <w:tab w:val="right" w:pos="8640"/>
              </w:tabs>
              <w:jc w:val="left"/>
            </w:pPr>
          </w:p>
          <w:p w:rsidR="009D4078" w:rsidRPr="009D4078" w:rsidRDefault="009D4078" w:rsidP="00C63FCF">
            <w:pPr>
              <w:pStyle w:val="OrderBody"/>
              <w:tabs>
                <w:tab w:val="center" w:pos="4320"/>
                <w:tab w:val="right" w:pos="8640"/>
              </w:tabs>
              <w:jc w:val="left"/>
            </w:pPr>
            <w:r w:rsidRPr="009D4078">
              <w:t xml:space="preserve">ORDER NO. </w:t>
            </w:r>
            <w:bookmarkStart w:id="2" w:name="OrderNo0160"/>
            <w:r w:rsidR="008369CB">
              <w:t>PSC-2024-0160-PCO-EI</w:t>
            </w:r>
            <w:bookmarkEnd w:id="2"/>
          </w:p>
          <w:p w:rsidR="009D4078" w:rsidRPr="009D4078" w:rsidRDefault="009D4078" w:rsidP="00C63FCF">
            <w:pPr>
              <w:pStyle w:val="OrderBody"/>
              <w:tabs>
                <w:tab w:val="center" w:pos="4320"/>
                <w:tab w:val="right" w:pos="8640"/>
              </w:tabs>
              <w:jc w:val="left"/>
            </w:pPr>
            <w:r w:rsidRPr="009D4078">
              <w:t xml:space="preserve">ISSUED: </w:t>
            </w:r>
            <w:r w:rsidR="008369CB">
              <w:t>May 20, 2024</w:t>
            </w:r>
          </w:p>
        </w:tc>
      </w:tr>
    </w:tbl>
    <w:p w:rsidR="009D4078" w:rsidRPr="009D4078" w:rsidRDefault="009D4078" w:rsidP="00F94F9B">
      <w:pPr>
        <w:jc w:val="both"/>
      </w:pPr>
    </w:p>
    <w:p w:rsidR="009D4078" w:rsidRPr="009D4078" w:rsidRDefault="009D4078" w:rsidP="00F94F9B">
      <w:pPr>
        <w:jc w:val="both"/>
      </w:pPr>
    </w:p>
    <w:p w:rsidR="00085A79" w:rsidRDefault="009D4078" w:rsidP="00085A79">
      <w:pPr>
        <w:pStyle w:val="CenterUnderline"/>
      </w:pPr>
      <w:bookmarkStart w:id="3" w:name="Commissioners"/>
      <w:bookmarkEnd w:id="3"/>
      <w:r w:rsidRPr="009D4078">
        <w:t>ORDER</w:t>
      </w:r>
      <w:bookmarkStart w:id="4" w:name="OrderTitle"/>
      <w:r w:rsidRPr="009D4078">
        <w:t xml:space="preserve"> </w:t>
      </w:r>
      <w:r w:rsidR="00085A79">
        <w:t>DENYING OFFICE OF PUBLIC COUNSEL’S MOTION FOR</w:t>
      </w:r>
    </w:p>
    <w:p w:rsidR="00CB5276" w:rsidRPr="009D4078" w:rsidRDefault="00085A79" w:rsidP="00085A79">
      <w:pPr>
        <w:pStyle w:val="CenterUnderline"/>
      </w:pPr>
      <w:r>
        <w:t>AN ADDITIONAL EVENING CUSTOMER SERVICE HEARING</w:t>
      </w:r>
      <w:r w:rsidR="009D4078" w:rsidRPr="009D4078">
        <w:t xml:space="preserve"> </w:t>
      </w:r>
      <w:bookmarkEnd w:id="4"/>
    </w:p>
    <w:p w:rsidR="009D4078" w:rsidRPr="009D4078" w:rsidRDefault="009D4078" w:rsidP="00F94F9B">
      <w:pPr>
        <w:pStyle w:val="CenterUnderline"/>
        <w:jc w:val="both"/>
      </w:pPr>
    </w:p>
    <w:p w:rsidR="009D4078" w:rsidRPr="009D4078" w:rsidRDefault="009D4078" w:rsidP="00F94F9B">
      <w:pPr>
        <w:pStyle w:val="CenterUnderline"/>
        <w:jc w:val="both"/>
      </w:pPr>
    </w:p>
    <w:p w:rsidR="009D4078" w:rsidRPr="00A7004E" w:rsidRDefault="00A7004E" w:rsidP="00F94F9B">
      <w:pPr>
        <w:pStyle w:val="CenterUnderline"/>
        <w:jc w:val="both"/>
        <w:rPr>
          <w:u w:val="none"/>
        </w:rPr>
      </w:pPr>
      <w:r>
        <w:rPr>
          <w:u w:val="none"/>
        </w:rPr>
        <w:tab/>
        <w:t xml:space="preserve">On </w:t>
      </w:r>
      <w:r w:rsidR="00FB4550">
        <w:rPr>
          <w:u w:val="none"/>
        </w:rPr>
        <w:t>May 6</w:t>
      </w:r>
      <w:r>
        <w:rPr>
          <w:u w:val="none"/>
        </w:rPr>
        <w:t xml:space="preserve">, 2024, the Office of Public Counsel (“OPC”) filed a Motion for an Additional Evening Customer Service Hearing. </w:t>
      </w:r>
      <w:r w:rsidR="00BA39DB">
        <w:rPr>
          <w:u w:val="none"/>
        </w:rPr>
        <w:t xml:space="preserve">On May 7, 2024, Florida Rising, Inc. </w:t>
      </w:r>
      <w:r w:rsidR="00D42043">
        <w:rPr>
          <w:u w:val="none"/>
        </w:rPr>
        <w:t xml:space="preserve">(“Florida Rising”) </w:t>
      </w:r>
      <w:r w:rsidR="00BA39DB">
        <w:rPr>
          <w:u w:val="none"/>
        </w:rPr>
        <w:t xml:space="preserve">and League of United Latin American Citizens </w:t>
      </w:r>
      <w:r w:rsidR="00FC4740">
        <w:rPr>
          <w:u w:val="none"/>
        </w:rPr>
        <w:t xml:space="preserve">of Florida (“LULAC”) </w:t>
      </w:r>
      <w:r w:rsidR="00BA39DB">
        <w:rPr>
          <w:u w:val="none"/>
        </w:rPr>
        <w:t xml:space="preserve">filed a Notice of Joinder in OPC’s motion. </w:t>
      </w:r>
      <w:r w:rsidR="00691DB4">
        <w:rPr>
          <w:u w:val="none"/>
        </w:rPr>
        <w:t xml:space="preserve">No other party has filed in support </w:t>
      </w:r>
      <w:r w:rsidR="00D7296A">
        <w:rPr>
          <w:u w:val="none"/>
        </w:rPr>
        <w:t xml:space="preserve">of, </w:t>
      </w:r>
      <w:r w:rsidR="00691DB4">
        <w:rPr>
          <w:u w:val="none"/>
        </w:rPr>
        <w:t>or opposition to</w:t>
      </w:r>
      <w:r w:rsidR="00D7296A">
        <w:rPr>
          <w:u w:val="none"/>
        </w:rPr>
        <w:t>,</w:t>
      </w:r>
      <w:r w:rsidR="00691DB4">
        <w:rPr>
          <w:u w:val="none"/>
        </w:rPr>
        <w:t xml:space="preserve"> OPC’s motion.</w:t>
      </w:r>
    </w:p>
    <w:p w:rsidR="009D4078" w:rsidRPr="00BA39DB" w:rsidRDefault="009D4078" w:rsidP="00F94F9B">
      <w:pPr>
        <w:pStyle w:val="CenterUnderline"/>
        <w:jc w:val="both"/>
        <w:rPr>
          <w:u w:val="none"/>
        </w:rPr>
      </w:pPr>
    </w:p>
    <w:p w:rsidR="009D4078" w:rsidRPr="00BA39DB" w:rsidRDefault="00BA39DB" w:rsidP="00F94F9B">
      <w:pPr>
        <w:pStyle w:val="CenterUnderline"/>
        <w:jc w:val="both"/>
      </w:pPr>
      <w:r w:rsidRPr="00BA39DB">
        <w:t>Parties’ Arguments</w:t>
      </w:r>
    </w:p>
    <w:p w:rsidR="00BA39DB" w:rsidRDefault="00BA39DB" w:rsidP="00F94F9B">
      <w:pPr>
        <w:pStyle w:val="CenterUnderline"/>
        <w:jc w:val="both"/>
        <w:rPr>
          <w:u w:val="none"/>
        </w:rPr>
      </w:pPr>
    </w:p>
    <w:p w:rsidR="00D77AB2" w:rsidRDefault="00BA39DB" w:rsidP="00F94F9B">
      <w:pPr>
        <w:pStyle w:val="CenterUnderline"/>
        <w:jc w:val="both"/>
        <w:rPr>
          <w:u w:val="none"/>
        </w:rPr>
      </w:pPr>
      <w:r>
        <w:rPr>
          <w:u w:val="none"/>
        </w:rPr>
        <w:tab/>
      </w:r>
      <w:r w:rsidR="00BE29B8">
        <w:rPr>
          <w:u w:val="none"/>
        </w:rPr>
        <w:t xml:space="preserve">OPC </w:t>
      </w:r>
      <w:r w:rsidR="00625D9D">
        <w:rPr>
          <w:u w:val="none"/>
        </w:rPr>
        <w:t xml:space="preserve">contends that the anticipated schedule of customer service hearings provides insufficient </w:t>
      </w:r>
      <w:r w:rsidR="00872A7C">
        <w:rPr>
          <w:u w:val="none"/>
        </w:rPr>
        <w:t xml:space="preserve">opportunity for customer input. OPC </w:t>
      </w:r>
      <w:r w:rsidR="00A33BE6">
        <w:rPr>
          <w:u w:val="none"/>
        </w:rPr>
        <w:t>states</w:t>
      </w:r>
      <w:r w:rsidR="00FE6D54">
        <w:rPr>
          <w:u w:val="none"/>
        </w:rPr>
        <w:t xml:space="preserve"> that only one of the three customer service hearings are designated as “in-person.” </w:t>
      </w:r>
      <w:r w:rsidR="00F63850">
        <w:rPr>
          <w:u w:val="none"/>
        </w:rPr>
        <w:t xml:space="preserve">By way of comparison, OPC notes that in Tampa Electric Company’s 2009 rate case proceeding, two in-person customer service hearings were held. </w:t>
      </w:r>
      <w:r w:rsidR="003C02AC">
        <w:rPr>
          <w:u w:val="none"/>
        </w:rPr>
        <w:t>OPC alleges that working customers would be unlikely to have time to attend the in-person hearing scheduled f</w:t>
      </w:r>
      <w:r w:rsidR="00F63850">
        <w:rPr>
          <w:u w:val="none"/>
        </w:rPr>
        <w:t xml:space="preserve">or June 13, 2024, at 10:00 a.m. </w:t>
      </w:r>
      <w:r w:rsidR="00063BC0" w:rsidRPr="00654AE7">
        <w:rPr>
          <w:u w:val="none"/>
        </w:rPr>
        <w:t>OPC alleges that in-person customer service hearings offer more opportunities for engagement and interaction than do virtual meetings.</w:t>
      </w:r>
      <w:r w:rsidR="00063BC0">
        <w:rPr>
          <w:u w:val="none"/>
        </w:rPr>
        <w:t xml:space="preserve"> </w:t>
      </w:r>
      <w:r w:rsidR="00A33BE6">
        <w:rPr>
          <w:u w:val="none"/>
        </w:rPr>
        <w:t xml:space="preserve">OPC specifically requests that the Florida Public Service Commission (“Commission”) </w:t>
      </w:r>
      <w:r w:rsidR="00D77AB2">
        <w:rPr>
          <w:u w:val="none"/>
        </w:rPr>
        <w:t>schedule an additional in-person customer service hearing after 6:00 p.m.</w:t>
      </w:r>
    </w:p>
    <w:p w:rsidR="00A951F7" w:rsidRDefault="00A951F7" w:rsidP="00F94F9B">
      <w:pPr>
        <w:pStyle w:val="CenterUnderline"/>
        <w:jc w:val="both"/>
        <w:rPr>
          <w:u w:val="none"/>
        </w:rPr>
      </w:pPr>
    </w:p>
    <w:p w:rsidR="00A951F7" w:rsidRDefault="00A951F7" w:rsidP="00F94F9B">
      <w:pPr>
        <w:pStyle w:val="CenterUnderline"/>
        <w:jc w:val="both"/>
        <w:rPr>
          <w:u w:val="none"/>
        </w:rPr>
      </w:pPr>
      <w:r>
        <w:rPr>
          <w:u w:val="none"/>
        </w:rPr>
        <w:tab/>
      </w:r>
      <w:r w:rsidR="00D42043">
        <w:rPr>
          <w:u w:val="none"/>
        </w:rPr>
        <w:t>Florida Rising</w:t>
      </w:r>
      <w:r w:rsidR="007835F1">
        <w:rPr>
          <w:u w:val="none"/>
        </w:rPr>
        <w:t xml:space="preserve"> </w:t>
      </w:r>
      <w:r w:rsidR="00D42043">
        <w:rPr>
          <w:u w:val="none"/>
        </w:rPr>
        <w:t xml:space="preserve">and </w:t>
      </w:r>
      <w:r w:rsidR="007835F1">
        <w:rPr>
          <w:u w:val="none"/>
        </w:rPr>
        <w:t xml:space="preserve">LULAC joined OPC’s motion. </w:t>
      </w:r>
      <w:r w:rsidR="003A741D">
        <w:rPr>
          <w:u w:val="none"/>
        </w:rPr>
        <w:t>Florida Rising and LULAC add that</w:t>
      </w:r>
      <w:r w:rsidR="007835F1">
        <w:rPr>
          <w:u w:val="none"/>
        </w:rPr>
        <w:t xml:space="preserve"> </w:t>
      </w:r>
      <w:r w:rsidR="00402FFB">
        <w:rPr>
          <w:u w:val="none"/>
        </w:rPr>
        <w:t>many of their members work full-time jobs and are unavailable to attend the currently scheduled in-person customer service hearing on June 13, 2024.</w:t>
      </w:r>
    </w:p>
    <w:p w:rsidR="009D4078" w:rsidRPr="00BA39DB" w:rsidRDefault="009D4078" w:rsidP="00F94F9B">
      <w:pPr>
        <w:pStyle w:val="CenterUnderline"/>
        <w:jc w:val="both"/>
        <w:rPr>
          <w:u w:val="none"/>
        </w:rPr>
      </w:pPr>
    </w:p>
    <w:p w:rsidR="009D4078" w:rsidRPr="004F43F5" w:rsidRDefault="005977F3" w:rsidP="00F94F9B">
      <w:pPr>
        <w:pStyle w:val="CenterUnderline"/>
        <w:jc w:val="both"/>
      </w:pPr>
      <w:r>
        <w:t>Decision</w:t>
      </w:r>
    </w:p>
    <w:p w:rsidR="004F43F5" w:rsidRDefault="004F43F5" w:rsidP="00F94F9B">
      <w:pPr>
        <w:pStyle w:val="CenterUnderline"/>
        <w:jc w:val="both"/>
        <w:rPr>
          <w:u w:val="none"/>
        </w:rPr>
      </w:pPr>
    </w:p>
    <w:p w:rsidR="004F43F5" w:rsidRDefault="004F43F5" w:rsidP="00F94F9B">
      <w:pPr>
        <w:pStyle w:val="CenterUnderline"/>
        <w:jc w:val="both"/>
        <w:rPr>
          <w:u w:val="none"/>
        </w:rPr>
      </w:pPr>
      <w:r>
        <w:rPr>
          <w:u w:val="none"/>
        </w:rPr>
        <w:tab/>
        <w:t xml:space="preserve">There is no statutory or administrative rule formula by which customer service hearings are set. The Commission establishes each customer service hearing schedule based upon the specific circumstances of the case at issue. Although prior customer service hearing schedules </w:t>
      </w:r>
      <w:r>
        <w:rPr>
          <w:u w:val="none"/>
        </w:rPr>
        <w:lastRenderedPageBreak/>
        <w:t>from other dockets are informative, they do not establish hard standards and baselines that bind future Commissions.</w:t>
      </w:r>
    </w:p>
    <w:p w:rsidR="00AB65EB" w:rsidRDefault="00AB65EB" w:rsidP="00F94F9B">
      <w:pPr>
        <w:pStyle w:val="CenterUnderline"/>
        <w:jc w:val="both"/>
        <w:rPr>
          <w:u w:val="none"/>
        </w:rPr>
      </w:pPr>
    </w:p>
    <w:p w:rsidR="00AB65EB" w:rsidRDefault="00AB65EB" w:rsidP="00F94F9B">
      <w:pPr>
        <w:pStyle w:val="CenterUnderline"/>
        <w:jc w:val="both"/>
        <w:rPr>
          <w:u w:val="none"/>
        </w:rPr>
      </w:pPr>
      <w:r>
        <w:rPr>
          <w:u w:val="none"/>
        </w:rPr>
        <w:tab/>
        <w:t>Since 2009, the Commission has conducted several customer service hearings in other dockets virtually, which allows customers to participate by telephone from any location with wired or wireless service. Experience indicates that overall participation may increase if customers are allowed the option to participate in these types of hearings virtually,</w:t>
      </w:r>
      <w:r>
        <w:rPr>
          <w:rStyle w:val="FootnoteReference"/>
          <w:u w:val="none"/>
        </w:rPr>
        <w:footnoteReference w:id="1"/>
      </w:r>
      <w:r>
        <w:rPr>
          <w:u w:val="none"/>
        </w:rPr>
        <w:t xml:space="preserve"> and that customers may actually prefer virtual to in-person participation.</w:t>
      </w:r>
      <w:r>
        <w:rPr>
          <w:rStyle w:val="FootnoteReference"/>
          <w:u w:val="none"/>
        </w:rPr>
        <w:footnoteReference w:id="2"/>
      </w:r>
      <w:r>
        <w:rPr>
          <w:u w:val="none"/>
        </w:rPr>
        <w:t xml:space="preserve"> Taking into account this experience as well as historic practice, the current schedule combines two virtual and one in-person customer service hearings. This schedule affords multiple opportunities and choices for customers who wish to participate.</w:t>
      </w:r>
      <w:r w:rsidR="00BB2495">
        <w:rPr>
          <w:rStyle w:val="FootnoteReference"/>
          <w:u w:val="none"/>
        </w:rPr>
        <w:footnoteReference w:id="3"/>
      </w:r>
      <w:r>
        <w:rPr>
          <w:u w:val="none"/>
        </w:rPr>
        <w:t xml:space="preserve"> OPC</w:t>
      </w:r>
      <w:r w:rsidR="008C4F19">
        <w:rPr>
          <w:u w:val="none"/>
        </w:rPr>
        <w:t>, Florida Rising, and LULAC</w:t>
      </w:r>
      <w:r>
        <w:rPr>
          <w:u w:val="none"/>
        </w:rPr>
        <w:t xml:space="preserve"> ha</w:t>
      </w:r>
      <w:r w:rsidR="008C4F19">
        <w:rPr>
          <w:u w:val="none"/>
        </w:rPr>
        <w:t>ve</w:t>
      </w:r>
      <w:r>
        <w:rPr>
          <w:u w:val="none"/>
        </w:rPr>
        <w:t xml:space="preserve"> not demonstrated a need at this time to further expand this schedule to include an additional in-person customer service hearing.</w:t>
      </w:r>
    </w:p>
    <w:p w:rsidR="00AB65EB" w:rsidRDefault="00AB65EB" w:rsidP="00F94F9B">
      <w:pPr>
        <w:pStyle w:val="CenterUnderline"/>
        <w:jc w:val="both"/>
        <w:rPr>
          <w:u w:val="none"/>
        </w:rPr>
      </w:pPr>
    </w:p>
    <w:p w:rsidR="00AB65EB" w:rsidRPr="00BA39DB" w:rsidRDefault="00AB65EB" w:rsidP="00F94F9B">
      <w:pPr>
        <w:pStyle w:val="CenterUnderline"/>
        <w:jc w:val="both"/>
        <w:rPr>
          <w:u w:val="none"/>
        </w:rPr>
      </w:pPr>
      <w:r>
        <w:rPr>
          <w:u w:val="none"/>
        </w:rPr>
        <w:tab/>
        <w:t xml:space="preserve">Having fully considered </w:t>
      </w:r>
      <w:r w:rsidR="00141E36">
        <w:rPr>
          <w:u w:val="none"/>
        </w:rPr>
        <w:t>the arguments raised, OPC’s motion</w:t>
      </w:r>
      <w:r w:rsidR="00115711">
        <w:rPr>
          <w:u w:val="none"/>
        </w:rPr>
        <w:t xml:space="preserve"> (joined by Florida Rising and LULAC)</w:t>
      </w:r>
      <w:r w:rsidR="00141E36">
        <w:rPr>
          <w:u w:val="none"/>
        </w:rPr>
        <w:t xml:space="preserve"> is hereby denied.</w:t>
      </w:r>
    </w:p>
    <w:p w:rsidR="009D4078" w:rsidRPr="00BA39DB" w:rsidRDefault="009D4078" w:rsidP="00813E1C">
      <w:pPr>
        <w:pStyle w:val="ListParagraph"/>
        <w:ind w:left="0"/>
        <w:jc w:val="both"/>
        <w:rPr>
          <w:rFonts w:ascii="Times New Roman" w:hAnsi="Times New Roman"/>
          <w:iCs/>
        </w:rPr>
      </w:pPr>
    </w:p>
    <w:p w:rsidR="009D4078" w:rsidRPr="009D4078" w:rsidRDefault="009D4078" w:rsidP="00813E1C">
      <w:pPr>
        <w:pStyle w:val="ListParagraph"/>
        <w:ind w:left="0"/>
        <w:jc w:val="both"/>
        <w:rPr>
          <w:rFonts w:ascii="Times New Roman" w:hAnsi="Times New Roman"/>
          <w:iCs/>
        </w:rPr>
      </w:pPr>
      <w:r w:rsidRPr="009D4078">
        <w:rPr>
          <w:rFonts w:ascii="Times New Roman" w:hAnsi="Times New Roman"/>
          <w:iCs/>
        </w:rPr>
        <w:tab/>
      </w:r>
      <w:r w:rsidR="00141E36">
        <w:rPr>
          <w:rFonts w:ascii="Times New Roman" w:hAnsi="Times New Roman"/>
          <w:iCs/>
        </w:rPr>
        <w:t>Based on the foregoing</w:t>
      </w:r>
      <w:r w:rsidRPr="009D4078">
        <w:rPr>
          <w:rFonts w:ascii="Times New Roman" w:hAnsi="Times New Roman"/>
          <w:iCs/>
        </w:rPr>
        <w:t>, it is</w:t>
      </w:r>
    </w:p>
    <w:p w:rsidR="009D4078" w:rsidRPr="009D4078" w:rsidRDefault="009D4078" w:rsidP="00813E1C">
      <w:pPr>
        <w:pStyle w:val="ListParagraph"/>
        <w:ind w:left="0"/>
        <w:jc w:val="both"/>
        <w:rPr>
          <w:rFonts w:ascii="Times New Roman" w:hAnsi="Times New Roman"/>
          <w:iCs/>
        </w:rPr>
      </w:pPr>
    </w:p>
    <w:p w:rsidR="009D4078" w:rsidRPr="009D4078" w:rsidRDefault="009D4078" w:rsidP="00813E1C">
      <w:pPr>
        <w:pStyle w:val="ListParagraph"/>
        <w:ind w:left="0"/>
        <w:jc w:val="both"/>
        <w:rPr>
          <w:rFonts w:ascii="Times New Roman" w:hAnsi="Times New Roman"/>
          <w:iCs/>
        </w:rPr>
      </w:pPr>
      <w:r w:rsidRPr="009D4078">
        <w:rPr>
          <w:rFonts w:ascii="Times New Roman" w:hAnsi="Times New Roman"/>
          <w:iCs/>
        </w:rPr>
        <w:tab/>
        <w:t xml:space="preserve">ORDERED by Commissioner Gary F. Clark, as Prehearing Officer, that the </w:t>
      </w:r>
      <w:r w:rsidR="00CD67FA">
        <w:rPr>
          <w:rFonts w:ascii="Times New Roman" w:hAnsi="Times New Roman"/>
          <w:iCs/>
        </w:rPr>
        <w:t xml:space="preserve">Office of Public Counsel’s Motion for an Additional Evening Customer Service Hearing is </w:t>
      </w:r>
      <w:r w:rsidR="00327F8E">
        <w:rPr>
          <w:rFonts w:ascii="Times New Roman" w:hAnsi="Times New Roman"/>
          <w:iCs/>
        </w:rPr>
        <w:t>DENIED</w:t>
      </w:r>
      <w:r w:rsidRPr="009D4078">
        <w:rPr>
          <w:rFonts w:ascii="Times New Roman" w:hAnsi="Times New Roman"/>
          <w:iCs/>
        </w:rPr>
        <w:t>.</w:t>
      </w:r>
    </w:p>
    <w:p w:rsidR="009D4078" w:rsidRPr="009D4078" w:rsidRDefault="009D4078" w:rsidP="00813E1C">
      <w:pPr>
        <w:pStyle w:val="ListParagraph"/>
        <w:ind w:left="0"/>
        <w:jc w:val="both"/>
        <w:rPr>
          <w:rFonts w:ascii="Times New Roman" w:hAnsi="Times New Roman"/>
          <w:iCs/>
        </w:rPr>
      </w:pPr>
    </w:p>
    <w:p w:rsidR="009D4078" w:rsidRPr="009D4078" w:rsidRDefault="009D4078" w:rsidP="00813E1C">
      <w:pPr>
        <w:pStyle w:val="ListParagraph"/>
        <w:ind w:left="0"/>
        <w:jc w:val="both"/>
        <w:rPr>
          <w:rFonts w:ascii="Times New Roman" w:hAnsi="Times New Roman"/>
          <w:iCs/>
        </w:rPr>
      </w:pPr>
    </w:p>
    <w:p w:rsidR="009D4078" w:rsidRDefault="009D4078" w:rsidP="009D4078">
      <w:pPr>
        <w:pStyle w:val="ListParagraph"/>
        <w:keepNext/>
        <w:keepLines/>
        <w:ind w:left="0"/>
        <w:jc w:val="both"/>
        <w:rPr>
          <w:rFonts w:ascii="Times New Roman" w:hAnsi="Times New Roman"/>
          <w:iCs/>
        </w:rPr>
      </w:pPr>
      <w:r w:rsidRPr="009D4078">
        <w:rPr>
          <w:rFonts w:ascii="Times New Roman" w:hAnsi="Times New Roman"/>
          <w:iCs/>
        </w:rPr>
        <w:lastRenderedPageBreak/>
        <w:tab/>
        <w:t xml:space="preserve">By ORDER of Commissioner Gary F. Clark, as Prehearing Officer, this </w:t>
      </w:r>
      <w:bookmarkStart w:id="5" w:name="replaceDate"/>
      <w:bookmarkEnd w:id="5"/>
      <w:r w:rsidR="008369CB">
        <w:rPr>
          <w:rFonts w:ascii="Times New Roman" w:hAnsi="Times New Roman"/>
          <w:iCs/>
          <w:u w:val="single"/>
        </w:rPr>
        <w:t>20th</w:t>
      </w:r>
      <w:r w:rsidR="008369CB">
        <w:rPr>
          <w:rFonts w:ascii="Times New Roman" w:hAnsi="Times New Roman"/>
          <w:iCs/>
        </w:rPr>
        <w:t xml:space="preserve"> day of </w:t>
      </w:r>
      <w:r w:rsidR="008369CB">
        <w:rPr>
          <w:rFonts w:ascii="Times New Roman" w:hAnsi="Times New Roman"/>
          <w:iCs/>
          <w:u w:val="single"/>
        </w:rPr>
        <w:t>May</w:t>
      </w:r>
      <w:r w:rsidR="008369CB">
        <w:rPr>
          <w:rFonts w:ascii="Times New Roman" w:hAnsi="Times New Roman"/>
          <w:iCs/>
        </w:rPr>
        <w:t xml:space="preserve">, </w:t>
      </w:r>
      <w:r w:rsidR="008369CB">
        <w:rPr>
          <w:rFonts w:ascii="Times New Roman" w:hAnsi="Times New Roman"/>
          <w:iCs/>
          <w:u w:val="single"/>
        </w:rPr>
        <w:t>2024</w:t>
      </w:r>
      <w:r w:rsidR="008369CB">
        <w:rPr>
          <w:rFonts w:ascii="Times New Roman" w:hAnsi="Times New Roman"/>
          <w:iCs/>
        </w:rPr>
        <w:t>.</w:t>
      </w:r>
    </w:p>
    <w:p w:rsidR="008369CB" w:rsidRPr="008369CB" w:rsidRDefault="008369CB" w:rsidP="009D4078">
      <w:pPr>
        <w:pStyle w:val="ListParagraph"/>
        <w:keepNext/>
        <w:keepLines/>
        <w:ind w:left="0"/>
        <w:jc w:val="both"/>
        <w:rPr>
          <w:rFonts w:ascii="Times New Roman" w:hAnsi="Times New Roman"/>
          <w:iCs/>
        </w:rPr>
      </w:pPr>
    </w:p>
    <w:p w:rsidR="009D4078" w:rsidRPr="009D4078" w:rsidRDefault="009D4078" w:rsidP="009D4078">
      <w:pPr>
        <w:pStyle w:val="ListParagraph"/>
        <w:keepNext/>
        <w:keepLines/>
        <w:ind w:left="0"/>
        <w:jc w:val="both"/>
        <w:rPr>
          <w:rFonts w:ascii="Times New Roman" w:hAnsi="Times New Roman"/>
          <w:iCs/>
        </w:rPr>
      </w:pPr>
    </w:p>
    <w:p w:rsidR="009D4078" w:rsidRDefault="009D4078" w:rsidP="009D4078">
      <w:pPr>
        <w:pStyle w:val="ListParagraph"/>
        <w:keepNext/>
        <w:keepLines/>
        <w:ind w:left="0"/>
        <w:jc w:val="both"/>
        <w:rPr>
          <w:rFonts w:ascii="Times New Roman" w:hAnsi="Times New Roman"/>
          <w:iCs/>
        </w:rPr>
      </w:pPr>
    </w:p>
    <w:p w:rsidR="008369CB" w:rsidRPr="009D4078" w:rsidRDefault="008369CB" w:rsidP="009D4078">
      <w:pPr>
        <w:pStyle w:val="ListParagraph"/>
        <w:keepNext/>
        <w:keepLines/>
        <w:ind w:left="0"/>
        <w:jc w:val="both"/>
        <w:rPr>
          <w:rFonts w:ascii="Times New Roman" w:hAnsi="Times New Roman"/>
          <w:iCs/>
        </w:rPr>
      </w:pPr>
    </w:p>
    <w:tbl>
      <w:tblPr>
        <w:tblW w:w="4720" w:type="dxa"/>
        <w:tblInd w:w="3800" w:type="dxa"/>
        <w:tblLayout w:type="fixed"/>
        <w:tblLook w:val="0000" w:firstRow="0" w:lastRow="0" w:firstColumn="0" w:lastColumn="0" w:noHBand="0" w:noVBand="0"/>
      </w:tblPr>
      <w:tblGrid>
        <w:gridCol w:w="686"/>
        <w:gridCol w:w="4034"/>
      </w:tblGrid>
      <w:tr w:rsidR="009D4078" w:rsidRPr="009D4078" w:rsidTr="009D4078">
        <w:tc>
          <w:tcPr>
            <w:tcW w:w="720" w:type="dxa"/>
            <w:shd w:val="clear" w:color="auto" w:fill="auto"/>
          </w:tcPr>
          <w:p w:rsidR="009D4078" w:rsidRPr="009D4078" w:rsidRDefault="009D4078" w:rsidP="009D4078">
            <w:pPr>
              <w:pStyle w:val="ListParagraph"/>
              <w:keepNext/>
              <w:keepLines/>
              <w:ind w:left="0"/>
              <w:jc w:val="both"/>
              <w:rPr>
                <w:rFonts w:ascii="Times New Roman" w:hAnsi="Times New Roman"/>
                <w:iCs/>
              </w:rPr>
            </w:pPr>
            <w:bookmarkStart w:id="6" w:name="bkmrkSignature" w:colFirst="0" w:colLast="0"/>
          </w:p>
        </w:tc>
        <w:tc>
          <w:tcPr>
            <w:tcW w:w="4320" w:type="dxa"/>
            <w:tcBorders>
              <w:bottom w:val="single" w:sz="4" w:space="0" w:color="auto"/>
            </w:tcBorders>
            <w:shd w:val="clear" w:color="auto" w:fill="auto"/>
          </w:tcPr>
          <w:p w:rsidR="009D4078" w:rsidRPr="009D4078" w:rsidRDefault="008369CB" w:rsidP="009D4078">
            <w:pPr>
              <w:pStyle w:val="ListParagraph"/>
              <w:keepNext/>
              <w:keepLines/>
              <w:ind w:left="0"/>
              <w:jc w:val="both"/>
              <w:rPr>
                <w:rFonts w:ascii="Times New Roman" w:hAnsi="Times New Roman"/>
                <w:iCs/>
              </w:rPr>
            </w:pPr>
            <w:r>
              <w:rPr>
                <w:rFonts w:ascii="Times New Roman" w:hAnsi="Times New Roman"/>
                <w:iCs/>
              </w:rPr>
              <w:t>/s/ Gary F. Clark</w:t>
            </w:r>
            <w:bookmarkStart w:id="7" w:name="_GoBack"/>
            <w:bookmarkEnd w:id="7"/>
          </w:p>
        </w:tc>
      </w:tr>
      <w:bookmarkEnd w:id="6"/>
      <w:tr w:rsidR="009D4078" w:rsidRPr="009D4078" w:rsidTr="009D4078">
        <w:tc>
          <w:tcPr>
            <w:tcW w:w="720" w:type="dxa"/>
            <w:shd w:val="clear" w:color="auto" w:fill="auto"/>
          </w:tcPr>
          <w:p w:rsidR="009D4078" w:rsidRPr="009D4078" w:rsidRDefault="009D4078" w:rsidP="009D4078">
            <w:pPr>
              <w:pStyle w:val="ListParagraph"/>
              <w:keepNext/>
              <w:keepLines/>
              <w:ind w:left="0"/>
              <w:jc w:val="both"/>
              <w:rPr>
                <w:rFonts w:ascii="Times New Roman" w:hAnsi="Times New Roman"/>
                <w:iCs/>
              </w:rPr>
            </w:pPr>
          </w:p>
        </w:tc>
        <w:tc>
          <w:tcPr>
            <w:tcW w:w="4320" w:type="dxa"/>
            <w:tcBorders>
              <w:top w:val="single" w:sz="4" w:space="0" w:color="auto"/>
            </w:tcBorders>
            <w:shd w:val="clear" w:color="auto" w:fill="auto"/>
          </w:tcPr>
          <w:p w:rsidR="009D4078" w:rsidRPr="009D4078" w:rsidRDefault="009D4078" w:rsidP="009D4078">
            <w:pPr>
              <w:pStyle w:val="ListParagraph"/>
              <w:keepNext/>
              <w:keepLines/>
              <w:ind w:left="0"/>
              <w:jc w:val="both"/>
              <w:rPr>
                <w:rFonts w:ascii="Times New Roman" w:hAnsi="Times New Roman"/>
                <w:iCs/>
              </w:rPr>
            </w:pPr>
            <w:r w:rsidRPr="009D4078">
              <w:rPr>
                <w:rFonts w:ascii="Times New Roman" w:hAnsi="Times New Roman"/>
                <w:iCs/>
              </w:rPr>
              <w:t>GARY F. CLARK</w:t>
            </w:r>
          </w:p>
          <w:p w:rsidR="009D4078" w:rsidRPr="009D4078" w:rsidRDefault="009D4078" w:rsidP="009D4078">
            <w:pPr>
              <w:pStyle w:val="ListParagraph"/>
              <w:keepNext/>
              <w:keepLines/>
              <w:ind w:left="0"/>
              <w:jc w:val="both"/>
              <w:rPr>
                <w:rFonts w:ascii="Times New Roman" w:hAnsi="Times New Roman"/>
                <w:iCs/>
              </w:rPr>
            </w:pPr>
            <w:r w:rsidRPr="009D4078">
              <w:rPr>
                <w:rFonts w:ascii="Times New Roman" w:hAnsi="Times New Roman"/>
                <w:iCs/>
              </w:rPr>
              <w:t>Commissioner and Prehearing Officer</w:t>
            </w:r>
          </w:p>
        </w:tc>
      </w:tr>
    </w:tbl>
    <w:p w:rsidR="009D4078" w:rsidRPr="009D4078" w:rsidRDefault="009D4078" w:rsidP="009D4078">
      <w:pPr>
        <w:pStyle w:val="OrderSigInfo"/>
        <w:keepNext/>
        <w:keepLines/>
      </w:pPr>
      <w:r w:rsidRPr="009D4078">
        <w:t>Florida Public Service Commission</w:t>
      </w:r>
    </w:p>
    <w:p w:rsidR="009D4078" w:rsidRPr="009D4078" w:rsidRDefault="009D4078" w:rsidP="009D4078">
      <w:pPr>
        <w:pStyle w:val="OrderSigInfo"/>
        <w:keepNext/>
        <w:keepLines/>
      </w:pPr>
      <w:r w:rsidRPr="009D4078">
        <w:t>2540 Shumard Oak Boulevard</w:t>
      </w:r>
    </w:p>
    <w:p w:rsidR="009D4078" w:rsidRPr="009D4078" w:rsidRDefault="009D4078" w:rsidP="009D4078">
      <w:pPr>
        <w:pStyle w:val="OrderSigInfo"/>
        <w:keepNext/>
        <w:keepLines/>
      </w:pPr>
      <w:r w:rsidRPr="009D4078">
        <w:t>Tallahassee, Florida 32399</w:t>
      </w:r>
    </w:p>
    <w:p w:rsidR="009D4078" w:rsidRPr="009D4078" w:rsidRDefault="008F7C4F" w:rsidP="009D4078">
      <w:pPr>
        <w:pStyle w:val="OrderSigInfo"/>
        <w:keepNext/>
        <w:keepLines/>
      </w:pPr>
      <w:r>
        <w:t>(850) 413–</w:t>
      </w:r>
      <w:r w:rsidR="009D4078" w:rsidRPr="009D4078">
        <w:t>6770</w:t>
      </w:r>
    </w:p>
    <w:p w:rsidR="009D4078" w:rsidRPr="009D4078" w:rsidRDefault="009D4078" w:rsidP="009D4078">
      <w:pPr>
        <w:pStyle w:val="OrderSigInfo"/>
        <w:keepNext/>
        <w:keepLines/>
      </w:pPr>
      <w:r w:rsidRPr="009D4078">
        <w:t>www.floridapsc.com</w:t>
      </w:r>
    </w:p>
    <w:p w:rsidR="009D4078" w:rsidRPr="009D4078" w:rsidRDefault="009D4078" w:rsidP="009D4078">
      <w:pPr>
        <w:pStyle w:val="OrderSigInfo"/>
        <w:keepNext/>
        <w:keepLines/>
      </w:pPr>
    </w:p>
    <w:p w:rsidR="009D4078" w:rsidRPr="009D4078" w:rsidRDefault="009D4078" w:rsidP="009D4078">
      <w:pPr>
        <w:pStyle w:val="OrderSigInfo"/>
        <w:keepNext/>
        <w:keepLines/>
      </w:pPr>
      <w:r w:rsidRPr="009D4078">
        <w:t>Copies furnished: A copy of this document is provided to the parties of record at the time of issuance and, if applicable, interested persons.</w:t>
      </w:r>
    </w:p>
    <w:p w:rsidR="009D4078" w:rsidRPr="009D4078" w:rsidRDefault="009D4078" w:rsidP="009D4078">
      <w:pPr>
        <w:pStyle w:val="OrderBody"/>
        <w:keepNext/>
        <w:keepLines/>
      </w:pPr>
    </w:p>
    <w:p w:rsidR="009D4078" w:rsidRPr="009D4078" w:rsidRDefault="009D4078" w:rsidP="009D4078">
      <w:pPr>
        <w:pStyle w:val="ListParagraph"/>
        <w:keepNext/>
        <w:keepLines/>
        <w:ind w:left="0"/>
        <w:jc w:val="both"/>
        <w:rPr>
          <w:rFonts w:ascii="Times New Roman" w:hAnsi="Times New Roman"/>
          <w:iCs/>
        </w:rPr>
      </w:pPr>
    </w:p>
    <w:p w:rsidR="009D4078" w:rsidRPr="009D4078" w:rsidRDefault="009D4078" w:rsidP="009D4078">
      <w:pPr>
        <w:pStyle w:val="ListParagraph"/>
        <w:keepNext/>
        <w:keepLines/>
        <w:ind w:left="0"/>
        <w:jc w:val="both"/>
        <w:rPr>
          <w:rFonts w:ascii="Times New Roman" w:hAnsi="Times New Roman"/>
          <w:iCs/>
        </w:rPr>
      </w:pPr>
      <w:r w:rsidRPr="009D4078">
        <w:rPr>
          <w:rFonts w:ascii="Times New Roman" w:hAnsi="Times New Roman"/>
          <w:iCs/>
        </w:rPr>
        <w:t>CMM</w:t>
      </w:r>
    </w:p>
    <w:p w:rsidR="009D4078" w:rsidRDefault="009D4078" w:rsidP="009D4078">
      <w:pPr>
        <w:pStyle w:val="ListParagraph"/>
        <w:ind w:left="0"/>
        <w:jc w:val="both"/>
        <w:rPr>
          <w:rFonts w:ascii="Times New Roman" w:hAnsi="Times New Roman"/>
          <w:iCs/>
        </w:rPr>
      </w:pPr>
    </w:p>
    <w:p w:rsidR="00CD67FA" w:rsidRDefault="00CD67FA" w:rsidP="009D4078">
      <w:pPr>
        <w:pStyle w:val="ListParagraph"/>
        <w:ind w:left="0"/>
        <w:jc w:val="both"/>
        <w:rPr>
          <w:rFonts w:ascii="Times New Roman" w:hAnsi="Times New Roman"/>
          <w:iCs/>
        </w:rPr>
      </w:pPr>
    </w:p>
    <w:p w:rsidR="00CD67FA" w:rsidRDefault="00CD67FA" w:rsidP="009D4078">
      <w:pPr>
        <w:pStyle w:val="ListParagraph"/>
        <w:ind w:left="0"/>
        <w:jc w:val="both"/>
        <w:rPr>
          <w:rFonts w:ascii="Times New Roman" w:hAnsi="Times New Roman"/>
          <w:iCs/>
        </w:rPr>
      </w:pPr>
    </w:p>
    <w:p w:rsidR="00CD67FA" w:rsidRDefault="00CD67FA" w:rsidP="009D4078">
      <w:pPr>
        <w:pStyle w:val="ListParagraph"/>
        <w:ind w:left="0"/>
        <w:jc w:val="both"/>
        <w:rPr>
          <w:rFonts w:ascii="Times New Roman" w:hAnsi="Times New Roman"/>
          <w:iCs/>
        </w:rPr>
      </w:pPr>
    </w:p>
    <w:p w:rsidR="00CD67FA" w:rsidRDefault="00CD67FA" w:rsidP="009D4078">
      <w:pPr>
        <w:pStyle w:val="ListParagraph"/>
        <w:ind w:left="0"/>
        <w:jc w:val="both"/>
        <w:rPr>
          <w:rFonts w:ascii="Times New Roman" w:hAnsi="Times New Roman"/>
          <w:iCs/>
        </w:rPr>
      </w:pPr>
    </w:p>
    <w:p w:rsidR="00CD67FA" w:rsidRDefault="00CD67FA" w:rsidP="009D4078">
      <w:pPr>
        <w:pStyle w:val="ListParagraph"/>
        <w:ind w:left="0"/>
        <w:jc w:val="both"/>
        <w:rPr>
          <w:rFonts w:ascii="Times New Roman" w:hAnsi="Times New Roman"/>
          <w:iCs/>
        </w:rPr>
      </w:pPr>
    </w:p>
    <w:p w:rsidR="00CD67FA" w:rsidRDefault="00CD67FA" w:rsidP="009D4078">
      <w:pPr>
        <w:pStyle w:val="ListParagraph"/>
        <w:ind w:left="0"/>
        <w:jc w:val="both"/>
        <w:rPr>
          <w:rFonts w:ascii="Times New Roman" w:hAnsi="Times New Roman"/>
          <w:iCs/>
        </w:rPr>
      </w:pPr>
    </w:p>
    <w:p w:rsidR="00CD67FA" w:rsidRDefault="00CD67FA" w:rsidP="009D4078">
      <w:pPr>
        <w:pStyle w:val="ListParagraph"/>
        <w:ind w:left="0"/>
        <w:jc w:val="both"/>
        <w:rPr>
          <w:rFonts w:ascii="Times New Roman" w:hAnsi="Times New Roman"/>
          <w:iCs/>
        </w:rPr>
      </w:pPr>
    </w:p>
    <w:p w:rsidR="00CD67FA" w:rsidRDefault="00CD67FA" w:rsidP="009D4078">
      <w:pPr>
        <w:pStyle w:val="ListParagraph"/>
        <w:ind w:left="0"/>
        <w:jc w:val="both"/>
        <w:rPr>
          <w:rFonts w:ascii="Times New Roman" w:hAnsi="Times New Roman"/>
          <w:iCs/>
        </w:rPr>
      </w:pPr>
    </w:p>
    <w:p w:rsidR="00CD67FA" w:rsidRDefault="00CD67FA" w:rsidP="009D4078">
      <w:pPr>
        <w:pStyle w:val="ListParagraph"/>
        <w:ind w:left="0"/>
        <w:jc w:val="both"/>
        <w:rPr>
          <w:rFonts w:ascii="Times New Roman" w:hAnsi="Times New Roman"/>
          <w:iCs/>
        </w:rPr>
      </w:pPr>
    </w:p>
    <w:p w:rsidR="00CD67FA" w:rsidRDefault="00CD67FA" w:rsidP="009D4078">
      <w:pPr>
        <w:pStyle w:val="ListParagraph"/>
        <w:ind w:left="0"/>
        <w:jc w:val="both"/>
        <w:rPr>
          <w:rFonts w:ascii="Times New Roman" w:hAnsi="Times New Roman"/>
          <w:iCs/>
        </w:rPr>
      </w:pPr>
    </w:p>
    <w:p w:rsidR="00CD67FA" w:rsidRDefault="00CD67FA" w:rsidP="009D4078">
      <w:pPr>
        <w:pStyle w:val="ListParagraph"/>
        <w:ind w:left="0"/>
        <w:jc w:val="both"/>
        <w:rPr>
          <w:rFonts w:ascii="Times New Roman" w:hAnsi="Times New Roman"/>
          <w:iCs/>
        </w:rPr>
      </w:pPr>
    </w:p>
    <w:p w:rsidR="008369CB" w:rsidRDefault="008369CB" w:rsidP="009D4078">
      <w:pPr>
        <w:pStyle w:val="ListParagraph"/>
        <w:ind w:left="0"/>
        <w:jc w:val="both"/>
        <w:rPr>
          <w:rFonts w:ascii="Times New Roman" w:hAnsi="Times New Roman"/>
          <w:iCs/>
        </w:rPr>
      </w:pPr>
    </w:p>
    <w:p w:rsidR="008369CB" w:rsidRDefault="008369CB" w:rsidP="009D4078">
      <w:pPr>
        <w:pStyle w:val="ListParagraph"/>
        <w:ind w:left="0"/>
        <w:jc w:val="both"/>
        <w:rPr>
          <w:rFonts w:ascii="Times New Roman" w:hAnsi="Times New Roman"/>
          <w:iCs/>
        </w:rPr>
      </w:pPr>
    </w:p>
    <w:p w:rsidR="00B92FF1" w:rsidRDefault="00B92FF1" w:rsidP="009D4078">
      <w:pPr>
        <w:pStyle w:val="ListParagraph"/>
        <w:ind w:left="0"/>
        <w:jc w:val="both"/>
        <w:rPr>
          <w:rFonts w:ascii="Times New Roman" w:hAnsi="Times New Roman"/>
          <w:iCs/>
        </w:rPr>
      </w:pPr>
    </w:p>
    <w:p w:rsidR="00B92FF1" w:rsidRDefault="00B92FF1" w:rsidP="009D4078">
      <w:pPr>
        <w:pStyle w:val="ListParagraph"/>
        <w:ind w:left="0"/>
        <w:jc w:val="both"/>
        <w:rPr>
          <w:rFonts w:ascii="Times New Roman" w:hAnsi="Times New Roman"/>
          <w:iCs/>
        </w:rPr>
      </w:pPr>
    </w:p>
    <w:p w:rsidR="00B92FF1" w:rsidRDefault="00B92FF1" w:rsidP="009D4078">
      <w:pPr>
        <w:pStyle w:val="ListParagraph"/>
        <w:ind w:left="0"/>
        <w:jc w:val="both"/>
        <w:rPr>
          <w:rFonts w:ascii="Times New Roman" w:hAnsi="Times New Roman"/>
          <w:iCs/>
        </w:rPr>
      </w:pPr>
    </w:p>
    <w:p w:rsidR="00B92FF1" w:rsidRDefault="00B92FF1" w:rsidP="009D4078">
      <w:pPr>
        <w:pStyle w:val="ListParagraph"/>
        <w:ind w:left="0"/>
        <w:jc w:val="both"/>
        <w:rPr>
          <w:rFonts w:ascii="Times New Roman" w:hAnsi="Times New Roman"/>
          <w:iCs/>
        </w:rPr>
      </w:pPr>
    </w:p>
    <w:p w:rsidR="00B92FF1" w:rsidRDefault="00B92FF1" w:rsidP="009D4078">
      <w:pPr>
        <w:pStyle w:val="ListParagraph"/>
        <w:ind w:left="0"/>
        <w:jc w:val="both"/>
        <w:rPr>
          <w:rFonts w:ascii="Times New Roman" w:hAnsi="Times New Roman"/>
          <w:iCs/>
        </w:rPr>
      </w:pPr>
    </w:p>
    <w:p w:rsidR="00B92FF1" w:rsidRDefault="00B92FF1" w:rsidP="009D4078">
      <w:pPr>
        <w:pStyle w:val="ListParagraph"/>
        <w:ind w:left="0"/>
        <w:jc w:val="both"/>
        <w:rPr>
          <w:rFonts w:ascii="Times New Roman" w:hAnsi="Times New Roman"/>
          <w:iCs/>
        </w:rPr>
      </w:pPr>
    </w:p>
    <w:p w:rsidR="00B92FF1" w:rsidRDefault="00B92FF1" w:rsidP="009D4078">
      <w:pPr>
        <w:pStyle w:val="ListParagraph"/>
        <w:ind w:left="0"/>
        <w:jc w:val="both"/>
        <w:rPr>
          <w:rFonts w:ascii="Times New Roman" w:hAnsi="Times New Roman"/>
          <w:iCs/>
        </w:rPr>
      </w:pPr>
    </w:p>
    <w:p w:rsidR="00B92FF1" w:rsidRDefault="00B92FF1" w:rsidP="009D4078">
      <w:pPr>
        <w:pStyle w:val="ListParagraph"/>
        <w:ind w:left="0"/>
        <w:jc w:val="both"/>
        <w:rPr>
          <w:rFonts w:ascii="Times New Roman" w:hAnsi="Times New Roman"/>
          <w:iCs/>
        </w:rPr>
      </w:pPr>
    </w:p>
    <w:p w:rsidR="00B92FF1" w:rsidRDefault="00B92FF1" w:rsidP="009D4078">
      <w:pPr>
        <w:pStyle w:val="ListParagraph"/>
        <w:ind w:left="0"/>
        <w:jc w:val="both"/>
        <w:rPr>
          <w:rFonts w:ascii="Times New Roman" w:hAnsi="Times New Roman"/>
          <w:iCs/>
        </w:rPr>
      </w:pPr>
    </w:p>
    <w:p w:rsidR="00B92FF1" w:rsidRPr="009D4078" w:rsidRDefault="00B92FF1" w:rsidP="009D4078">
      <w:pPr>
        <w:pStyle w:val="ListParagraph"/>
        <w:ind w:left="0"/>
        <w:jc w:val="both"/>
        <w:rPr>
          <w:rFonts w:ascii="Times New Roman" w:hAnsi="Times New Roman"/>
          <w:iCs/>
        </w:rPr>
      </w:pPr>
    </w:p>
    <w:p w:rsidR="009D4078" w:rsidRPr="009D4078" w:rsidRDefault="009D4078" w:rsidP="009D4078">
      <w:pPr>
        <w:pStyle w:val="CenterUnderline"/>
      </w:pPr>
      <w:r w:rsidRPr="009D4078">
        <w:lastRenderedPageBreak/>
        <w:t>NOTICE OF FURTHER PROCEEDINGS OR JUDICIAL REVIEW</w:t>
      </w:r>
    </w:p>
    <w:p w:rsidR="009D4078" w:rsidRPr="009D4078" w:rsidRDefault="009D4078" w:rsidP="009D4078">
      <w:pPr>
        <w:pStyle w:val="CenterUnderline"/>
      </w:pPr>
    </w:p>
    <w:p w:rsidR="009D4078" w:rsidRPr="009D4078" w:rsidRDefault="009D4078" w:rsidP="009D4078">
      <w:pPr>
        <w:pStyle w:val="OrderBody"/>
      </w:pPr>
      <w:r w:rsidRPr="009D4078">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D4078" w:rsidRPr="009D4078" w:rsidRDefault="009D4078" w:rsidP="009D4078">
      <w:pPr>
        <w:pStyle w:val="OrderBody"/>
      </w:pPr>
      <w:r w:rsidRPr="009D4078">
        <w:tab/>
      </w:r>
    </w:p>
    <w:p w:rsidR="009D4078" w:rsidRPr="009D4078" w:rsidRDefault="009D4078" w:rsidP="009D4078">
      <w:pPr>
        <w:pStyle w:val="OrderBody"/>
      </w:pPr>
      <w:r w:rsidRPr="009D4078">
        <w:tab/>
        <w:t xml:space="preserve">Any party adversely affected by this order, which is </w:t>
      </w:r>
      <w:r w:rsidR="008F7C4F" w:rsidRPr="009D4078">
        <w:t>preliminary, procedural</w:t>
      </w:r>
      <w:r w:rsidR="008F7C4F">
        <w:t>,</w:t>
      </w:r>
      <w:r w:rsidR="008F7C4F" w:rsidRPr="009D4078">
        <w:t xml:space="preserve"> or intermediate</w:t>
      </w:r>
      <w:r w:rsidR="001C7BAA">
        <w:t xml:space="preserve"> </w:t>
      </w:r>
      <w:r w:rsidRPr="009D4078">
        <w:t>in nature, may request: (1) reconsideration within 10 days pursuant to Rule 25-22.0376, Florida Administrative Code; or (2) judicial review by the Florida Supreme Court in the case of an electric, gas</w:t>
      </w:r>
      <w:r w:rsidR="00BD3B48">
        <w:t>,</w:t>
      </w:r>
      <w:r w:rsidRPr="009D4078">
        <w:t xml:space="preserve"> or telephone utility</w:t>
      </w:r>
      <w:r w:rsidR="00BD3B48">
        <w:t xml:space="preserve">. </w:t>
      </w:r>
      <w:r w:rsidRPr="009D4078">
        <w:t>A motion for reconsideration shall be filed with the Office of Commission Clerk, in the form prescribed by Rule 25-22.0376, Florida Administrative Code. Judicial review of a preliminary, procedural</w:t>
      </w:r>
      <w:r w:rsidR="008F7C4F">
        <w:t>,</w:t>
      </w:r>
      <w:r w:rsidRPr="009D4078">
        <w:t xml:space="preserve"> or intermediate ruling or order is available if review of the final action will not provide an adequate remedy. Such review may be requested from the appropriate court, as described above, pursuant to Rule 9.100, Florida Rules of Appellate Procedure.</w:t>
      </w:r>
    </w:p>
    <w:p w:rsidR="009D4078" w:rsidRPr="009D4078" w:rsidRDefault="009D4078" w:rsidP="009D4078">
      <w:pPr>
        <w:pStyle w:val="OrderBody"/>
      </w:pPr>
    </w:p>
    <w:sectPr w:rsidR="009D4078" w:rsidRPr="009D4078">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078" w:rsidRDefault="009D4078">
      <w:r>
        <w:separator/>
      </w:r>
    </w:p>
  </w:endnote>
  <w:endnote w:type="continuationSeparator" w:id="0">
    <w:p w:rsidR="009D4078" w:rsidRDefault="009D4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078" w:rsidRDefault="009D4078">
      <w:r>
        <w:separator/>
      </w:r>
    </w:p>
  </w:footnote>
  <w:footnote w:type="continuationSeparator" w:id="0">
    <w:p w:rsidR="009D4078" w:rsidRDefault="009D4078">
      <w:r>
        <w:continuationSeparator/>
      </w:r>
    </w:p>
  </w:footnote>
  <w:footnote w:id="1">
    <w:p w:rsidR="00AB65EB" w:rsidRDefault="00AB65EB">
      <w:pPr>
        <w:pStyle w:val="FootnoteText"/>
      </w:pPr>
      <w:r>
        <w:rPr>
          <w:rStyle w:val="FootnoteReference"/>
        </w:rPr>
        <w:footnoteRef/>
      </w:r>
      <w:r>
        <w:t xml:space="preserve"> </w:t>
      </w:r>
      <w:r w:rsidR="00850149" w:rsidRPr="00850149">
        <w:rPr>
          <w:i/>
        </w:rPr>
        <w:t>In re: Petition for rate increase by Fla. City Gas</w:t>
      </w:r>
      <w:r w:rsidR="00850149">
        <w:t xml:space="preserve">, </w:t>
      </w:r>
      <w:r w:rsidR="00ED1BCA">
        <w:t>Docket No. 20220069-GU, Order No. PSC-2022-0276-PCO-GU (Fla. PSC July 15, 2022)</w:t>
      </w:r>
      <w:r w:rsidR="00D43B01">
        <w:t xml:space="preserve"> (noting 162.5% increase in </w:t>
      </w:r>
      <w:r w:rsidR="002C5B0A">
        <w:t xml:space="preserve">total number of participating customers in the </w:t>
      </w:r>
      <w:r w:rsidR="00D43B01">
        <w:t xml:space="preserve">virtual </w:t>
      </w:r>
      <w:r w:rsidR="002C5B0A">
        <w:t xml:space="preserve">customer service hearings held </w:t>
      </w:r>
      <w:r w:rsidR="00D43B01">
        <w:t xml:space="preserve">in the Peoples Gas System’s 2020 rate case compared to </w:t>
      </w:r>
      <w:r w:rsidR="00C4360E">
        <w:t xml:space="preserve">the </w:t>
      </w:r>
      <w:r w:rsidR="00D43B01">
        <w:t xml:space="preserve">in-person </w:t>
      </w:r>
      <w:r w:rsidR="00C4360E">
        <w:t xml:space="preserve">customer </w:t>
      </w:r>
      <w:r w:rsidR="00D43B01">
        <w:t>service hearing</w:t>
      </w:r>
      <w:r w:rsidR="00C4360E">
        <w:t xml:space="preserve">s held in the </w:t>
      </w:r>
      <w:r w:rsidR="00D43B01">
        <w:t>Peoples Gas System’s 2008 rate case).</w:t>
      </w:r>
    </w:p>
  </w:footnote>
  <w:footnote w:id="2">
    <w:p w:rsidR="00AB65EB" w:rsidRDefault="00AB65EB">
      <w:pPr>
        <w:pStyle w:val="FootnoteText"/>
      </w:pPr>
      <w:r>
        <w:rPr>
          <w:rStyle w:val="FootnoteReference"/>
        </w:rPr>
        <w:footnoteRef/>
      </w:r>
      <w:r>
        <w:t xml:space="preserve"> </w:t>
      </w:r>
      <w:r w:rsidR="00E731DD" w:rsidRPr="00E731DD">
        <w:rPr>
          <w:i/>
        </w:rPr>
        <w:t>See</w:t>
      </w:r>
      <w:r w:rsidR="00E731DD">
        <w:t xml:space="preserve"> </w:t>
      </w:r>
      <w:r w:rsidR="00710928" w:rsidRPr="00386FFA">
        <w:rPr>
          <w:i/>
        </w:rPr>
        <w:t>In re: Petition for rate increase by Fla. City Gas</w:t>
      </w:r>
      <w:r w:rsidR="00710928">
        <w:t>, Docket No. 20220069-GU, Order No. PSC-2023-0177-FOF-GU (Fla. PSC June 9, 2023) (</w:t>
      </w:r>
      <w:r w:rsidR="001F2CFB">
        <w:t>noting more customers participated in the virtual customer service hearings than the in-person customer service hearings).</w:t>
      </w:r>
    </w:p>
  </w:footnote>
  <w:footnote w:id="3">
    <w:p w:rsidR="00BB2495" w:rsidRDefault="00BB2495">
      <w:pPr>
        <w:pStyle w:val="FootnoteText"/>
      </w:pPr>
      <w:r>
        <w:rPr>
          <w:rStyle w:val="FootnoteReference"/>
        </w:rPr>
        <w:footnoteRef/>
      </w:r>
      <w:r>
        <w:t xml:space="preserve"> In addition to the in-person and virtual customer service hearings, </w:t>
      </w:r>
      <w:r w:rsidR="00852D02">
        <w:t>customers may provide comments by (1) calling the Commission’s Office of Consumer Assistance and Outreach at 1-800-342-3552</w:t>
      </w:r>
      <w:r w:rsidR="00E00FAE">
        <w:t xml:space="preserve"> or (2</w:t>
      </w:r>
      <w:r w:rsidR="00852D02">
        <w:t xml:space="preserve">) sending a letter to the Office of Commission Clerk, Florida Public Service Commission, 2540 Shumard Oak Blvd., Tallahassee, FL 32399-0850. </w:t>
      </w:r>
      <w:r w:rsidR="006D38B8">
        <w:t xml:space="preserve">Rule 25-22.0406(2), Florida Administrative Code; </w:t>
      </w:r>
      <w:r w:rsidR="00092A29" w:rsidRPr="001766F6">
        <w:rPr>
          <w:i/>
        </w:rPr>
        <w:t>In re: Petition for rate increase by Tampa Elec. Co.</w:t>
      </w:r>
      <w:r w:rsidR="00092A29">
        <w:t xml:space="preserve">, Docket No. 20240026-EI, Order No. PSC-2024-0096-PCO-EI (Fla. PSC Apr. 16, 2024). </w:t>
      </w:r>
      <w:r w:rsidR="00852D02">
        <w:t>Any written comments should refer to Docket No. 20240026-EI.</w:t>
      </w:r>
      <w:r w:rsidR="00AD4012">
        <w:t xml:space="preserve"> </w:t>
      </w:r>
      <w:r w:rsidR="00092A29" w:rsidRPr="00092A29">
        <w:rPr>
          <w:i/>
        </w:rPr>
        <w:t>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60 ">
      <w:r w:rsidR="008369CB">
        <w:t>PSC-2024-0160-PCO-EI</w:t>
      </w:r>
    </w:fldSimple>
  </w:p>
  <w:p w:rsidR="00FA6EFD" w:rsidRDefault="009D4078">
    <w:pPr>
      <w:pStyle w:val="OrderHeader"/>
    </w:pPr>
    <w:bookmarkStart w:id="8" w:name="HeaderDocketNo"/>
    <w:bookmarkEnd w:id="8"/>
    <w:r>
      <w:t>DOCKET NO. 20240026-EI</w:t>
    </w:r>
  </w:p>
  <w:p w:rsidR="00AC5766" w:rsidRDefault="00AC5766" w:rsidP="00AC5766">
    <w:pPr>
      <w:pStyle w:val="OrderHeader"/>
    </w:pPr>
    <w:r>
      <w:t>DOCKET NO. 20230139-EI</w:t>
    </w:r>
  </w:p>
  <w:p w:rsidR="00AC5766" w:rsidRDefault="00AC5766" w:rsidP="00AC5766">
    <w:pPr>
      <w:pStyle w:val="OrderHeader"/>
    </w:pPr>
    <w:r>
      <w:t>DOCKET NO. 20230090-EI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22894">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6-EI"/>
  </w:docVars>
  <w:rsids>
    <w:rsidRoot w:val="009D4078"/>
    <w:rsid w:val="000022B8"/>
    <w:rsid w:val="00003883"/>
    <w:rsid w:val="00007F1B"/>
    <w:rsid w:val="00011251"/>
    <w:rsid w:val="00022894"/>
    <w:rsid w:val="00025C2A"/>
    <w:rsid w:val="00025C9D"/>
    <w:rsid w:val="0003433F"/>
    <w:rsid w:val="00035A8C"/>
    <w:rsid w:val="00036BDD"/>
    <w:rsid w:val="0004090B"/>
    <w:rsid w:val="00041FFD"/>
    <w:rsid w:val="00042C99"/>
    <w:rsid w:val="00053AB9"/>
    <w:rsid w:val="00056229"/>
    <w:rsid w:val="000563B7"/>
    <w:rsid w:val="00057AF1"/>
    <w:rsid w:val="00063BC0"/>
    <w:rsid w:val="00065FC2"/>
    <w:rsid w:val="00067685"/>
    <w:rsid w:val="00067B07"/>
    <w:rsid w:val="000730D7"/>
    <w:rsid w:val="00076E6B"/>
    <w:rsid w:val="00081AE4"/>
    <w:rsid w:val="0008247D"/>
    <w:rsid w:val="00085A79"/>
    <w:rsid w:val="00090AFC"/>
    <w:rsid w:val="00092A29"/>
    <w:rsid w:val="00096507"/>
    <w:rsid w:val="000A6CE5"/>
    <w:rsid w:val="000A774F"/>
    <w:rsid w:val="000B1603"/>
    <w:rsid w:val="000B783E"/>
    <w:rsid w:val="000B7D81"/>
    <w:rsid w:val="000C1994"/>
    <w:rsid w:val="000C1DD7"/>
    <w:rsid w:val="000C6926"/>
    <w:rsid w:val="000D02B8"/>
    <w:rsid w:val="000D06E8"/>
    <w:rsid w:val="000D12B4"/>
    <w:rsid w:val="000D52C1"/>
    <w:rsid w:val="000D6E65"/>
    <w:rsid w:val="000D7221"/>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5711"/>
    <w:rsid w:val="00116AD3"/>
    <w:rsid w:val="00121957"/>
    <w:rsid w:val="0012387E"/>
    <w:rsid w:val="001259EC"/>
    <w:rsid w:val="00126593"/>
    <w:rsid w:val="00134177"/>
    <w:rsid w:val="00136087"/>
    <w:rsid w:val="0013780C"/>
    <w:rsid w:val="00141E36"/>
    <w:rsid w:val="00142A96"/>
    <w:rsid w:val="001513DE"/>
    <w:rsid w:val="00154A71"/>
    <w:rsid w:val="001655D4"/>
    <w:rsid w:val="00165803"/>
    <w:rsid w:val="001766F6"/>
    <w:rsid w:val="00187E32"/>
    <w:rsid w:val="001918FF"/>
    <w:rsid w:val="00194A97"/>
    <w:rsid w:val="00194E81"/>
    <w:rsid w:val="001A15E7"/>
    <w:rsid w:val="001A33C9"/>
    <w:rsid w:val="001A58F3"/>
    <w:rsid w:val="001B034E"/>
    <w:rsid w:val="001B2F37"/>
    <w:rsid w:val="001C2847"/>
    <w:rsid w:val="001C3BB5"/>
    <w:rsid w:val="001C3F8C"/>
    <w:rsid w:val="001C6097"/>
    <w:rsid w:val="001C7126"/>
    <w:rsid w:val="001C7BAA"/>
    <w:rsid w:val="001D008A"/>
    <w:rsid w:val="001E0152"/>
    <w:rsid w:val="001E0FF5"/>
    <w:rsid w:val="001F0095"/>
    <w:rsid w:val="001F1F62"/>
    <w:rsid w:val="001F2CFB"/>
    <w:rsid w:val="001F36B0"/>
    <w:rsid w:val="001F4CA3"/>
    <w:rsid w:val="001F59E0"/>
    <w:rsid w:val="002002ED"/>
    <w:rsid w:val="002044DD"/>
    <w:rsid w:val="00214BC0"/>
    <w:rsid w:val="002170E5"/>
    <w:rsid w:val="00220D57"/>
    <w:rsid w:val="00223B99"/>
    <w:rsid w:val="0022721A"/>
    <w:rsid w:val="00230BB9"/>
    <w:rsid w:val="00233D1B"/>
    <w:rsid w:val="00241CEF"/>
    <w:rsid w:val="0025124E"/>
    <w:rsid w:val="0025183B"/>
    <w:rsid w:val="00252B30"/>
    <w:rsid w:val="00255291"/>
    <w:rsid w:val="002613E4"/>
    <w:rsid w:val="00262C43"/>
    <w:rsid w:val="0026544B"/>
    <w:rsid w:val="00270F89"/>
    <w:rsid w:val="00276CDC"/>
    <w:rsid w:val="00277655"/>
    <w:rsid w:val="002824B7"/>
    <w:rsid w:val="00282AC4"/>
    <w:rsid w:val="00293DC9"/>
    <w:rsid w:val="00296B62"/>
    <w:rsid w:val="00297C37"/>
    <w:rsid w:val="002A11AC"/>
    <w:rsid w:val="002A6F30"/>
    <w:rsid w:val="002A7884"/>
    <w:rsid w:val="002B3111"/>
    <w:rsid w:val="002B65FF"/>
    <w:rsid w:val="002C09F5"/>
    <w:rsid w:val="002C118E"/>
    <w:rsid w:val="002C2096"/>
    <w:rsid w:val="002C5B0A"/>
    <w:rsid w:val="002C7908"/>
    <w:rsid w:val="002D391B"/>
    <w:rsid w:val="002D4B1F"/>
    <w:rsid w:val="002D7D15"/>
    <w:rsid w:val="002E1B2E"/>
    <w:rsid w:val="002E27EB"/>
    <w:rsid w:val="002E4EF4"/>
    <w:rsid w:val="002E78B6"/>
    <w:rsid w:val="002F0F1C"/>
    <w:rsid w:val="002F2A9D"/>
    <w:rsid w:val="002F31C2"/>
    <w:rsid w:val="002F7BF6"/>
    <w:rsid w:val="00303FDE"/>
    <w:rsid w:val="003111CA"/>
    <w:rsid w:val="00313C5B"/>
    <w:rsid w:val="003140E8"/>
    <w:rsid w:val="003231C7"/>
    <w:rsid w:val="00323839"/>
    <w:rsid w:val="003270C4"/>
    <w:rsid w:val="00327F8E"/>
    <w:rsid w:val="00331ED0"/>
    <w:rsid w:val="00332B0A"/>
    <w:rsid w:val="00333A41"/>
    <w:rsid w:val="00341036"/>
    <w:rsid w:val="00345434"/>
    <w:rsid w:val="00351C22"/>
    <w:rsid w:val="0035495B"/>
    <w:rsid w:val="00355A93"/>
    <w:rsid w:val="00360F30"/>
    <w:rsid w:val="00361522"/>
    <w:rsid w:val="0037196E"/>
    <w:rsid w:val="003744F5"/>
    <w:rsid w:val="00382C6A"/>
    <w:rsid w:val="00385998"/>
    <w:rsid w:val="00386FFA"/>
    <w:rsid w:val="003875A9"/>
    <w:rsid w:val="00387BDE"/>
    <w:rsid w:val="00390DD8"/>
    <w:rsid w:val="00394DC6"/>
    <w:rsid w:val="00397C3E"/>
    <w:rsid w:val="003A24BE"/>
    <w:rsid w:val="003A741D"/>
    <w:rsid w:val="003B1A09"/>
    <w:rsid w:val="003B6F02"/>
    <w:rsid w:val="003C02AC"/>
    <w:rsid w:val="003C0431"/>
    <w:rsid w:val="003C29BB"/>
    <w:rsid w:val="003D3989"/>
    <w:rsid w:val="003D4CCA"/>
    <w:rsid w:val="003D52A6"/>
    <w:rsid w:val="003D6416"/>
    <w:rsid w:val="003E1D48"/>
    <w:rsid w:val="003E711F"/>
    <w:rsid w:val="003F1D2B"/>
    <w:rsid w:val="003F49A6"/>
    <w:rsid w:val="003F518F"/>
    <w:rsid w:val="003F6BA7"/>
    <w:rsid w:val="003F7445"/>
    <w:rsid w:val="00402FFB"/>
    <w:rsid w:val="00411DF2"/>
    <w:rsid w:val="00411E8F"/>
    <w:rsid w:val="004247F5"/>
    <w:rsid w:val="0042527B"/>
    <w:rsid w:val="00427EAC"/>
    <w:rsid w:val="004431B4"/>
    <w:rsid w:val="00445604"/>
    <w:rsid w:val="00450AA1"/>
    <w:rsid w:val="00451158"/>
    <w:rsid w:val="0045537F"/>
    <w:rsid w:val="00457DC7"/>
    <w:rsid w:val="004640B3"/>
    <w:rsid w:val="00472BCC"/>
    <w:rsid w:val="00477699"/>
    <w:rsid w:val="004A25CD"/>
    <w:rsid w:val="004A26CC"/>
    <w:rsid w:val="004B2108"/>
    <w:rsid w:val="004B3A2B"/>
    <w:rsid w:val="004B70D3"/>
    <w:rsid w:val="004C0112"/>
    <w:rsid w:val="004C312D"/>
    <w:rsid w:val="004D2D1B"/>
    <w:rsid w:val="004D5067"/>
    <w:rsid w:val="004D6838"/>
    <w:rsid w:val="004D72BC"/>
    <w:rsid w:val="004E469D"/>
    <w:rsid w:val="004E7F4F"/>
    <w:rsid w:val="004F2DDE"/>
    <w:rsid w:val="004F43F5"/>
    <w:rsid w:val="004F5A55"/>
    <w:rsid w:val="004F6426"/>
    <w:rsid w:val="004F7826"/>
    <w:rsid w:val="0050097F"/>
    <w:rsid w:val="00510620"/>
    <w:rsid w:val="00511370"/>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87351"/>
    <w:rsid w:val="00590845"/>
    <w:rsid w:val="005963C2"/>
    <w:rsid w:val="005977F3"/>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0B8D"/>
    <w:rsid w:val="00601266"/>
    <w:rsid w:val="00610221"/>
    <w:rsid w:val="00610E73"/>
    <w:rsid w:val="00615F9B"/>
    <w:rsid w:val="00616DF2"/>
    <w:rsid w:val="0062385D"/>
    <w:rsid w:val="00625D9D"/>
    <w:rsid w:val="0063168D"/>
    <w:rsid w:val="00635C79"/>
    <w:rsid w:val="00641631"/>
    <w:rsid w:val="006423A7"/>
    <w:rsid w:val="006455DF"/>
    <w:rsid w:val="00645AF6"/>
    <w:rsid w:val="00647025"/>
    <w:rsid w:val="0064730A"/>
    <w:rsid w:val="006507DA"/>
    <w:rsid w:val="006531A4"/>
    <w:rsid w:val="00654AE7"/>
    <w:rsid w:val="00660774"/>
    <w:rsid w:val="00662A7D"/>
    <w:rsid w:val="0066389A"/>
    <w:rsid w:val="0066495C"/>
    <w:rsid w:val="00665CC7"/>
    <w:rsid w:val="00672612"/>
    <w:rsid w:val="00673B35"/>
    <w:rsid w:val="00674ECC"/>
    <w:rsid w:val="00677F18"/>
    <w:rsid w:val="00691DB4"/>
    <w:rsid w:val="006931A4"/>
    <w:rsid w:val="00693483"/>
    <w:rsid w:val="00694E8E"/>
    <w:rsid w:val="0069513D"/>
    <w:rsid w:val="006A0BF3"/>
    <w:rsid w:val="006B0036"/>
    <w:rsid w:val="006B0DA6"/>
    <w:rsid w:val="006B3FA9"/>
    <w:rsid w:val="006C3F2A"/>
    <w:rsid w:val="006C547E"/>
    <w:rsid w:val="006D2B51"/>
    <w:rsid w:val="006D38B8"/>
    <w:rsid w:val="006D5575"/>
    <w:rsid w:val="006D7191"/>
    <w:rsid w:val="006E21C4"/>
    <w:rsid w:val="006E42BE"/>
    <w:rsid w:val="006E4505"/>
    <w:rsid w:val="006E5D4D"/>
    <w:rsid w:val="006E6D16"/>
    <w:rsid w:val="00703F2A"/>
    <w:rsid w:val="00704C5D"/>
    <w:rsid w:val="007072BC"/>
    <w:rsid w:val="00710928"/>
    <w:rsid w:val="00713712"/>
    <w:rsid w:val="00715275"/>
    <w:rsid w:val="00721B44"/>
    <w:rsid w:val="007232A2"/>
    <w:rsid w:val="00726366"/>
    <w:rsid w:val="00731AB6"/>
    <w:rsid w:val="00733B6B"/>
    <w:rsid w:val="00740808"/>
    <w:rsid w:val="00740A1B"/>
    <w:rsid w:val="0074405E"/>
    <w:rsid w:val="007467C4"/>
    <w:rsid w:val="007471EC"/>
    <w:rsid w:val="0076071E"/>
    <w:rsid w:val="0076170F"/>
    <w:rsid w:val="0076669C"/>
    <w:rsid w:val="00766E46"/>
    <w:rsid w:val="00772CCB"/>
    <w:rsid w:val="00776321"/>
    <w:rsid w:val="0077724D"/>
    <w:rsid w:val="00777727"/>
    <w:rsid w:val="0078166A"/>
    <w:rsid w:val="00782B79"/>
    <w:rsid w:val="007835F1"/>
    <w:rsid w:val="00783811"/>
    <w:rsid w:val="007865E9"/>
    <w:rsid w:val="0079237D"/>
    <w:rsid w:val="00792383"/>
    <w:rsid w:val="007923EB"/>
    <w:rsid w:val="00794D5A"/>
    <w:rsid w:val="00794DD9"/>
    <w:rsid w:val="007A060F"/>
    <w:rsid w:val="007B1C5E"/>
    <w:rsid w:val="007B350E"/>
    <w:rsid w:val="007B5FCF"/>
    <w:rsid w:val="007C0FBC"/>
    <w:rsid w:val="007C29C9"/>
    <w:rsid w:val="007C35B8"/>
    <w:rsid w:val="007C36E3"/>
    <w:rsid w:val="007C3ABB"/>
    <w:rsid w:val="007C7134"/>
    <w:rsid w:val="007C7ECF"/>
    <w:rsid w:val="007D1177"/>
    <w:rsid w:val="007D3D20"/>
    <w:rsid w:val="007D44F9"/>
    <w:rsid w:val="007D742E"/>
    <w:rsid w:val="007E3AFD"/>
    <w:rsid w:val="007F37B7"/>
    <w:rsid w:val="007F522B"/>
    <w:rsid w:val="00801DAD"/>
    <w:rsid w:val="00803189"/>
    <w:rsid w:val="00804E7A"/>
    <w:rsid w:val="00805FBB"/>
    <w:rsid w:val="00813E1C"/>
    <w:rsid w:val="00814292"/>
    <w:rsid w:val="008169A4"/>
    <w:rsid w:val="008236CF"/>
    <w:rsid w:val="00827079"/>
    <w:rsid w:val="008278FE"/>
    <w:rsid w:val="00832598"/>
    <w:rsid w:val="0083397E"/>
    <w:rsid w:val="0083534B"/>
    <w:rsid w:val="008369CB"/>
    <w:rsid w:val="00842035"/>
    <w:rsid w:val="00842602"/>
    <w:rsid w:val="008449F0"/>
    <w:rsid w:val="00846F11"/>
    <w:rsid w:val="00847B45"/>
    <w:rsid w:val="00850149"/>
    <w:rsid w:val="00852D02"/>
    <w:rsid w:val="00861BF2"/>
    <w:rsid w:val="00863A66"/>
    <w:rsid w:val="008703D7"/>
    <w:rsid w:val="00872A7C"/>
    <w:rsid w:val="00874429"/>
    <w:rsid w:val="008758A1"/>
    <w:rsid w:val="00875D22"/>
    <w:rsid w:val="00883D9A"/>
    <w:rsid w:val="008919EF"/>
    <w:rsid w:val="00891F67"/>
    <w:rsid w:val="00892B20"/>
    <w:rsid w:val="008931BC"/>
    <w:rsid w:val="0089695B"/>
    <w:rsid w:val="00897740"/>
    <w:rsid w:val="008A12EC"/>
    <w:rsid w:val="008B14BE"/>
    <w:rsid w:val="008B19A6"/>
    <w:rsid w:val="008B4EFB"/>
    <w:rsid w:val="008B7615"/>
    <w:rsid w:val="008C21C8"/>
    <w:rsid w:val="008C4F19"/>
    <w:rsid w:val="008C6375"/>
    <w:rsid w:val="008C6A5B"/>
    <w:rsid w:val="008D441D"/>
    <w:rsid w:val="008D498D"/>
    <w:rsid w:val="008D6D36"/>
    <w:rsid w:val="008E0693"/>
    <w:rsid w:val="008E26A5"/>
    <w:rsid w:val="008E42D2"/>
    <w:rsid w:val="008E6328"/>
    <w:rsid w:val="008F578F"/>
    <w:rsid w:val="008F5D04"/>
    <w:rsid w:val="008F6B3F"/>
    <w:rsid w:val="008F7C4F"/>
    <w:rsid w:val="009040EE"/>
    <w:rsid w:val="009057FD"/>
    <w:rsid w:val="00906FBA"/>
    <w:rsid w:val="009163E8"/>
    <w:rsid w:val="00921BD3"/>
    <w:rsid w:val="009228C7"/>
    <w:rsid w:val="00922A7F"/>
    <w:rsid w:val="00923A5E"/>
    <w:rsid w:val="00924FE7"/>
    <w:rsid w:val="00926E27"/>
    <w:rsid w:val="00931C8C"/>
    <w:rsid w:val="0093305C"/>
    <w:rsid w:val="00943D21"/>
    <w:rsid w:val="0094504B"/>
    <w:rsid w:val="00964A38"/>
    <w:rsid w:val="00966A9D"/>
    <w:rsid w:val="0096742B"/>
    <w:rsid w:val="00967C64"/>
    <w:rsid w:val="009718C5"/>
    <w:rsid w:val="00976AFF"/>
    <w:rsid w:val="00986AED"/>
    <w:rsid w:val="00990CCB"/>
    <w:rsid w:val="009924CF"/>
    <w:rsid w:val="00994100"/>
    <w:rsid w:val="00997FB7"/>
    <w:rsid w:val="009A04B7"/>
    <w:rsid w:val="009A0DD2"/>
    <w:rsid w:val="009A6B17"/>
    <w:rsid w:val="009B052E"/>
    <w:rsid w:val="009B14CA"/>
    <w:rsid w:val="009B4E00"/>
    <w:rsid w:val="009C3544"/>
    <w:rsid w:val="009D3AC6"/>
    <w:rsid w:val="009D4078"/>
    <w:rsid w:val="009D4C29"/>
    <w:rsid w:val="009E58E9"/>
    <w:rsid w:val="009E6803"/>
    <w:rsid w:val="009F6AD2"/>
    <w:rsid w:val="009F7C1B"/>
    <w:rsid w:val="00A00B5B"/>
    <w:rsid w:val="00A00D8D"/>
    <w:rsid w:val="00A01BB6"/>
    <w:rsid w:val="00A05F89"/>
    <w:rsid w:val="00A108A7"/>
    <w:rsid w:val="00A228DA"/>
    <w:rsid w:val="00A22B28"/>
    <w:rsid w:val="00A30B3D"/>
    <w:rsid w:val="00A3351E"/>
    <w:rsid w:val="00A33BE6"/>
    <w:rsid w:val="00A4303C"/>
    <w:rsid w:val="00A46CAF"/>
    <w:rsid w:val="00A470FD"/>
    <w:rsid w:val="00A50B5E"/>
    <w:rsid w:val="00A62DAB"/>
    <w:rsid w:val="00A6757A"/>
    <w:rsid w:val="00A7004E"/>
    <w:rsid w:val="00A726A6"/>
    <w:rsid w:val="00A74842"/>
    <w:rsid w:val="00A8269A"/>
    <w:rsid w:val="00A86A50"/>
    <w:rsid w:val="00A9178A"/>
    <w:rsid w:val="00A9515B"/>
    <w:rsid w:val="00A951F7"/>
    <w:rsid w:val="00A97535"/>
    <w:rsid w:val="00AA2BAA"/>
    <w:rsid w:val="00AA3833"/>
    <w:rsid w:val="00AA6516"/>
    <w:rsid w:val="00AA73F1"/>
    <w:rsid w:val="00AB0E1A"/>
    <w:rsid w:val="00AB1A30"/>
    <w:rsid w:val="00AB3C36"/>
    <w:rsid w:val="00AB3D30"/>
    <w:rsid w:val="00AB65EB"/>
    <w:rsid w:val="00AC4B09"/>
    <w:rsid w:val="00AC5766"/>
    <w:rsid w:val="00AC5A01"/>
    <w:rsid w:val="00AD10EB"/>
    <w:rsid w:val="00AD1ED3"/>
    <w:rsid w:val="00AD3717"/>
    <w:rsid w:val="00AD4012"/>
    <w:rsid w:val="00AD74F4"/>
    <w:rsid w:val="00B019C1"/>
    <w:rsid w:val="00B02001"/>
    <w:rsid w:val="00B03C50"/>
    <w:rsid w:val="00B0777D"/>
    <w:rsid w:val="00B11576"/>
    <w:rsid w:val="00B1195F"/>
    <w:rsid w:val="00B120D1"/>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2FF1"/>
    <w:rsid w:val="00B96969"/>
    <w:rsid w:val="00B97900"/>
    <w:rsid w:val="00BA1229"/>
    <w:rsid w:val="00BA39DB"/>
    <w:rsid w:val="00BA44A8"/>
    <w:rsid w:val="00BA49C5"/>
    <w:rsid w:val="00BB0182"/>
    <w:rsid w:val="00BB2495"/>
    <w:rsid w:val="00BB2F4A"/>
    <w:rsid w:val="00BC095A"/>
    <w:rsid w:val="00BC786E"/>
    <w:rsid w:val="00BD3B48"/>
    <w:rsid w:val="00BD3F63"/>
    <w:rsid w:val="00BD5C92"/>
    <w:rsid w:val="00BE024C"/>
    <w:rsid w:val="00BE29B8"/>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360E"/>
    <w:rsid w:val="00C44105"/>
    <w:rsid w:val="00C523EC"/>
    <w:rsid w:val="00C55A33"/>
    <w:rsid w:val="00C64D49"/>
    <w:rsid w:val="00C66692"/>
    <w:rsid w:val="00C673B5"/>
    <w:rsid w:val="00C7063D"/>
    <w:rsid w:val="00C72339"/>
    <w:rsid w:val="00C820BC"/>
    <w:rsid w:val="00C830BC"/>
    <w:rsid w:val="00C8524D"/>
    <w:rsid w:val="00C90904"/>
    <w:rsid w:val="00C91123"/>
    <w:rsid w:val="00CA3778"/>
    <w:rsid w:val="00CA6BEA"/>
    <w:rsid w:val="00CA6CC2"/>
    <w:rsid w:val="00CA71FF"/>
    <w:rsid w:val="00CB2393"/>
    <w:rsid w:val="00CB2456"/>
    <w:rsid w:val="00CB5276"/>
    <w:rsid w:val="00CB545F"/>
    <w:rsid w:val="00CB5BFC"/>
    <w:rsid w:val="00CB672C"/>
    <w:rsid w:val="00CB68D7"/>
    <w:rsid w:val="00CB785B"/>
    <w:rsid w:val="00CC6683"/>
    <w:rsid w:val="00CC7E68"/>
    <w:rsid w:val="00CD3D74"/>
    <w:rsid w:val="00CD67FA"/>
    <w:rsid w:val="00CD7132"/>
    <w:rsid w:val="00CE0E6F"/>
    <w:rsid w:val="00CE3B21"/>
    <w:rsid w:val="00CE504F"/>
    <w:rsid w:val="00CE56FC"/>
    <w:rsid w:val="00CE7A4D"/>
    <w:rsid w:val="00CF32D2"/>
    <w:rsid w:val="00CF4CFE"/>
    <w:rsid w:val="00D00E8E"/>
    <w:rsid w:val="00D02E0F"/>
    <w:rsid w:val="00D03EE8"/>
    <w:rsid w:val="00D059CF"/>
    <w:rsid w:val="00D10250"/>
    <w:rsid w:val="00D13535"/>
    <w:rsid w:val="00D15497"/>
    <w:rsid w:val="00D17B79"/>
    <w:rsid w:val="00D205F5"/>
    <w:rsid w:val="00D23FEA"/>
    <w:rsid w:val="00D269CA"/>
    <w:rsid w:val="00D26F46"/>
    <w:rsid w:val="00D30B48"/>
    <w:rsid w:val="00D3168A"/>
    <w:rsid w:val="00D350D1"/>
    <w:rsid w:val="00D42043"/>
    <w:rsid w:val="00D42D2D"/>
    <w:rsid w:val="00D43B01"/>
    <w:rsid w:val="00D46FAA"/>
    <w:rsid w:val="00D479D8"/>
    <w:rsid w:val="00D47A40"/>
    <w:rsid w:val="00D51D33"/>
    <w:rsid w:val="00D57BB2"/>
    <w:rsid w:val="00D57E57"/>
    <w:rsid w:val="00D66B43"/>
    <w:rsid w:val="00D70752"/>
    <w:rsid w:val="00D7296A"/>
    <w:rsid w:val="00D77AB2"/>
    <w:rsid w:val="00D80E2D"/>
    <w:rsid w:val="00D84D5E"/>
    <w:rsid w:val="00D8560E"/>
    <w:rsid w:val="00D8758F"/>
    <w:rsid w:val="00D96AB0"/>
    <w:rsid w:val="00DA4EDD"/>
    <w:rsid w:val="00DA6B78"/>
    <w:rsid w:val="00DB122B"/>
    <w:rsid w:val="00DC1D94"/>
    <w:rsid w:val="00DC42CF"/>
    <w:rsid w:val="00DC738A"/>
    <w:rsid w:val="00DD382A"/>
    <w:rsid w:val="00DD592E"/>
    <w:rsid w:val="00DE057F"/>
    <w:rsid w:val="00DE2082"/>
    <w:rsid w:val="00DE2289"/>
    <w:rsid w:val="00DE3363"/>
    <w:rsid w:val="00DF09A7"/>
    <w:rsid w:val="00DF2B51"/>
    <w:rsid w:val="00DF6753"/>
    <w:rsid w:val="00E001D6"/>
    <w:rsid w:val="00E00FAE"/>
    <w:rsid w:val="00E03A76"/>
    <w:rsid w:val="00E04410"/>
    <w:rsid w:val="00E07484"/>
    <w:rsid w:val="00E07EC7"/>
    <w:rsid w:val="00E11351"/>
    <w:rsid w:val="00E11566"/>
    <w:rsid w:val="00E33F44"/>
    <w:rsid w:val="00E37909"/>
    <w:rsid w:val="00E37D48"/>
    <w:rsid w:val="00E4225C"/>
    <w:rsid w:val="00E44879"/>
    <w:rsid w:val="00E72914"/>
    <w:rsid w:val="00E731DD"/>
    <w:rsid w:val="00E74ECD"/>
    <w:rsid w:val="00E75046"/>
    <w:rsid w:val="00E75AE0"/>
    <w:rsid w:val="00E83C1F"/>
    <w:rsid w:val="00E85684"/>
    <w:rsid w:val="00E8794B"/>
    <w:rsid w:val="00E97656"/>
    <w:rsid w:val="00EA004A"/>
    <w:rsid w:val="00EA172C"/>
    <w:rsid w:val="00EA259B"/>
    <w:rsid w:val="00EA35A3"/>
    <w:rsid w:val="00EA3E6A"/>
    <w:rsid w:val="00EB18EF"/>
    <w:rsid w:val="00EB3640"/>
    <w:rsid w:val="00EB58F4"/>
    <w:rsid w:val="00EB7951"/>
    <w:rsid w:val="00ED1BCA"/>
    <w:rsid w:val="00ED6A79"/>
    <w:rsid w:val="00EE089F"/>
    <w:rsid w:val="00EE17DF"/>
    <w:rsid w:val="00EE18E8"/>
    <w:rsid w:val="00EF1482"/>
    <w:rsid w:val="00EF4621"/>
    <w:rsid w:val="00EF4D52"/>
    <w:rsid w:val="00EF6312"/>
    <w:rsid w:val="00EF7DBF"/>
    <w:rsid w:val="00F038B0"/>
    <w:rsid w:val="00F05F34"/>
    <w:rsid w:val="00F22B27"/>
    <w:rsid w:val="00F234A7"/>
    <w:rsid w:val="00F277B6"/>
    <w:rsid w:val="00F27DA5"/>
    <w:rsid w:val="00F37E07"/>
    <w:rsid w:val="00F4182A"/>
    <w:rsid w:val="00F464ED"/>
    <w:rsid w:val="00F54202"/>
    <w:rsid w:val="00F54380"/>
    <w:rsid w:val="00F54B47"/>
    <w:rsid w:val="00F61247"/>
    <w:rsid w:val="00F61F61"/>
    <w:rsid w:val="00F63191"/>
    <w:rsid w:val="00F63850"/>
    <w:rsid w:val="00F6702E"/>
    <w:rsid w:val="00F70E84"/>
    <w:rsid w:val="00F77B1D"/>
    <w:rsid w:val="00F80685"/>
    <w:rsid w:val="00F92DE5"/>
    <w:rsid w:val="00F94968"/>
    <w:rsid w:val="00F94F9B"/>
    <w:rsid w:val="00FA092B"/>
    <w:rsid w:val="00FA4F6C"/>
    <w:rsid w:val="00FA6EFD"/>
    <w:rsid w:val="00FB3791"/>
    <w:rsid w:val="00FB4550"/>
    <w:rsid w:val="00FB6780"/>
    <w:rsid w:val="00FB74EA"/>
    <w:rsid w:val="00FC4740"/>
    <w:rsid w:val="00FD0ADB"/>
    <w:rsid w:val="00FD2C9E"/>
    <w:rsid w:val="00FD4786"/>
    <w:rsid w:val="00FD616C"/>
    <w:rsid w:val="00FE53F2"/>
    <w:rsid w:val="00FE6D54"/>
    <w:rsid w:val="00FF0A00"/>
    <w:rsid w:val="00FF1C57"/>
    <w:rsid w:val="00FF2581"/>
    <w:rsid w:val="00FF6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BC0E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9D4078"/>
    <w:pPr>
      <w:ind w:left="720"/>
      <w:contextualSpacing/>
    </w:pPr>
    <w:rPr>
      <w:rFonts w:ascii="Calibri" w:eastAsia="Calibri" w:hAnsi="Calibri"/>
    </w:rPr>
  </w:style>
  <w:style w:type="character" w:styleId="Hyperlink">
    <w:name w:val="Hyperlink"/>
    <w:basedOn w:val="DefaultParagraphFont"/>
    <w:unhideWhenUsed/>
    <w:rsid w:val="00990CCB"/>
    <w:rPr>
      <w:color w:val="0000FF" w:themeColor="hyperlink"/>
      <w:u w:val="single"/>
    </w:rPr>
  </w:style>
  <w:style w:type="paragraph" w:styleId="BalloonText">
    <w:name w:val="Balloon Text"/>
    <w:basedOn w:val="Normal"/>
    <w:link w:val="BalloonTextChar"/>
    <w:semiHidden/>
    <w:unhideWhenUsed/>
    <w:rsid w:val="008369CB"/>
    <w:rPr>
      <w:rFonts w:ascii="Segoe UI" w:hAnsi="Segoe UI" w:cs="Segoe UI"/>
      <w:sz w:val="18"/>
      <w:szCs w:val="18"/>
    </w:rPr>
  </w:style>
  <w:style w:type="character" w:customStyle="1" w:styleId="BalloonTextChar">
    <w:name w:val="Balloon Text Char"/>
    <w:basedOn w:val="DefaultParagraphFont"/>
    <w:link w:val="BalloonText"/>
    <w:semiHidden/>
    <w:rsid w:val="008369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EC0A7-F97A-4CD5-B9DB-4BD1671C0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4</Pages>
  <Words>796</Words>
  <Characters>4539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2024-05-20T12:00:00Z</dcterms:created>
  <dcterms:modified xsi:type="dcterms:W3CDTF">2024-05-20T12:43:00Z</dcterms:modified>
</cp:coreProperties>
</file>