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219E4" w:rsidP="008219E4">
      <w:pPr>
        <w:pStyle w:val="OrderHeading"/>
      </w:pPr>
      <w:r>
        <w:t>BEFORE THE FLORIDA PUBLIC SERVICE COMMISSION</w:t>
      </w:r>
    </w:p>
    <w:p w:rsidR="008219E4" w:rsidRDefault="008219E4" w:rsidP="008219E4">
      <w:pPr>
        <w:pStyle w:val="OrderBody"/>
      </w:pPr>
    </w:p>
    <w:p w:rsidR="008219E4" w:rsidRDefault="008219E4" w:rsidP="008219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19E4" w:rsidRPr="00C63FCF" w:rsidTr="00C63FCF">
        <w:trPr>
          <w:trHeight w:val="828"/>
        </w:trPr>
        <w:tc>
          <w:tcPr>
            <w:tcW w:w="4788" w:type="dxa"/>
            <w:tcBorders>
              <w:bottom w:val="nil"/>
              <w:right w:val="double" w:sz="6" w:space="0" w:color="auto"/>
            </w:tcBorders>
            <w:shd w:val="clear" w:color="auto" w:fill="auto"/>
          </w:tcPr>
          <w:p w:rsidR="008219E4" w:rsidRDefault="008219E4"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8219E4" w:rsidRDefault="008219E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219E4" w:rsidRDefault="008219E4" w:rsidP="00C63FCF">
            <w:pPr>
              <w:pStyle w:val="OrderBody"/>
              <w:tabs>
                <w:tab w:val="center" w:pos="4320"/>
                <w:tab w:val="right" w:pos="8640"/>
              </w:tabs>
              <w:jc w:val="left"/>
            </w:pPr>
            <w:r>
              <w:t xml:space="preserve">DOCKET NO. </w:t>
            </w:r>
            <w:bookmarkStart w:id="1" w:name="SMDocketNo"/>
            <w:bookmarkEnd w:id="1"/>
            <w:r>
              <w:t>20240026-EI</w:t>
            </w:r>
          </w:p>
        </w:tc>
      </w:tr>
      <w:tr w:rsidR="008219E4" w:rsidRPr="00C63FCF" w:rsidTr="00C63FCF">
        <w:trPr>
          <w:trHeight w:val="828"/>
        </w:trPr>
        <w:tc>
          <w:tcPr>
            <w:tcW w:w="4788" w:type="dxa"/>
            <w:tcBorders>
              <w:bottom w:val="nil"/>
              <w:right w:val="double" w:sz="6" w:space="0" w:color="auto"/>
            </w:tcBorders>
            <w:shd w:val="clear" w:color="auto" w:fill="auto"/>
          </w:tcPr>
          <w:p w:rsidR="008219E4" w:rsidRDefault="008219E4" w:rsidP="00C63FCF">
            <w:pPr>
              <w:pStyle w:val="OrderBody"/>
              <w:tabs>
                <w:tab w:val="center" w:pos="4320"/>
                <w:tab w:val="right" w:pos="8640"/>
              </w:tabs>
              <w:jc w:val="left"/>
            </w:pPr>
            <w:r>
              <w:t>In re: Petition for approval of 2023 depreciation and dismantlement study, by Tampa Electric Company.</w:t>
            </w:r>
          </w:p>
          <w:p w:rsidR="008219E4" w:rsidRDefault="008219E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219E4" w:rsidRDefault="008219E4" w:rsidP="00C63FCF">
            <w:pPr>
              <w:pStyle w:val="OrderBody"/>
              <w:tabs>
                <w:tab w:val="center" w:pos="4320"/>
                <w:tab w:val="right" w:pos="8640"/>
              </w:tabs>
              <w:jc w:val="left"/>
            </w:pPr>
            <w:r>
              <w:t>DOCKET NO. 20230139-EI</w:t>
            </w:r>
          </w:p>
          <w:p w:rsidR="008219E4" w:rsidRDefault="008219E4" w:rsidP="00C63FCF">
            <w:pPr>
              <w:pStyle w:val="OrderBody"/>
              <w:tabs>
                <w:tab w:val="center" w:pos="4320"/>
                <w:tab w:val="right" w:pos="8640"/>
              </w:tabs>
              <w:jc w:val="left"/>
            </w:pPr>
          </w:p>
        </w:tc>
      </w:tr>
      <w:tr w:rsidR="008219E4" w:rsidRPr="00C63FCF" w:rsidTr="00C63FCF">
        <w:trPr>
          <w:trHeight w:val="828"/>
        </w:trPr>
        <w:tc>
          <w:tcPr>
            <w:tcW w:w="4788" w:type="dxa"/>
            <w:tcBorders>
              <w:top w:val="nil"/>
              <w:bottom w:val="single" w:sz="8" w:space="0" w:color="auto"/>
              <w:right w:val="double" w:sz="6" w:space="0" w:color="auto"/>
            </w:tcBorders>
            <w:shd w:val="clear" w:color="auto" w:fill="auto"/>
          </w:tcPr>
          <w:p w:rsidR="008219E4" w:rsidRDefault="008219E4"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8219E4" w:rsidRDefault="008219E4" w:rsidP="008219E4">
            <w:pPr>
              <w:pStyle w:val="OrderBody"/>
            </w:pPr>
            <w:r>
              <w:t xml:space="preserve">DOCKET NO. </w:t>
            </w:r>
            <w:bookmarkStart w:id="2" w:name="SMDocketNo2"/>
            <w:bookmarkEnd w:id="2"/>
            <w:r>
              <w:t>20230090-EI</w:t>
            </w:r>
          </w:p>
          <w:p w:rsidR="001512A2" w:rsidRDefault="001512A2" w:rsidP="00C63FCF">
            <w:pPr>
              <w:pStyle w:val="OrderBody"/>
              <w:tabs>
                <w:tab w:val="center" w:pos="4320"/>
                <w:tab w:val="right" w:pos="8640"/>
              </w:tabs>
              <w:jc w:val="left"/>
            </w:pPr>
          </w:p>
          <w:p w:rsidR="008219E4" w:rsidRDefault="008219E4" w:rsidP="00C63FCF">
            <w:pPr>
              <w:pStyle w:val="OrderBody"/>
              <w:tabs>
                <w:tab w:val="center" w:pos="4320"/>
                <w:tab w:val="right" w:pos="8640"/>
              </w:tabs>
              <w:jc w:val="left"/>
            </w:pPr>
            <w:r>
              <w:t xml:space="preserve">ORDER NO. </w:t>
            </w:r>
            <w:bookmarkStart w:id="3" w:name="OrderNo0182"/>
            <w:r w:rsidR="00737E71">
              <w:t>PSC-2024-0182-PCO-EI</w:t>
            </w:r>
            <w:bookmarkEnd w:id="3"/>
          </w:p>
          <w:p w:rsidR="008219E4" w:rsidRDefault="008219E4" w:rsidP="00C63FCF">
            <w:pPr>
              <w:pStyle w:val="OrderBody"/>
              <w:tabs>
                <w:tab w:val="center" w:pos="4320"/>
                <w:tab w:val="right" w:pos="8640"/>
              </w:tabs>
              <w:jc w:val="left"/>
            </w:pPr>
            <w:r>
              <w:t xml:space="preserve">ISSUED: </w:t>
            </w:r>
            <w:r w:rsidR="00737E71">
              <w:t>June 3, 2024</w:t>
            </w:r>
          </w:p>
          <w:p w:rsidR="008219E4" w:rsidRDefault="008219E4" w:rsidP="00C63FCF">
            <w:pPr>
              <w:pStyle w:val="OrderBody"/>
              <w:tabs>
                <w:tab w:val="center" w:pos="4320"/>
                <w:tab w:val="right" w:pos="8640"/>
              </w:tabs>
              <w:jc w:val="left"/>
            </w:pPr>
          </w:p>
        </w:tc>
      </w:tr>
    </w:tbl>
    <w:p w:rsidR="008219E4" w:rsidRDefault="008219E4" w:rsidP="008219E4"/>
    <w:p w:rsidR="008219E4" w:rsidRDefault="008219E4" w:rsidP="008219E4"/>
    <w:p w:rsidR="00D34C56" w:rsidRDefault="008219E4" w:rsidP="008219E4">
      <w:pPr>
        <w:pStyle w:val="CenterUnderline"/>
      </w:pPr>
      <w:bookmarkStart w:id="4" w:name="Commissioners"/>
      <w:bookmarkEnd w:id="4"/>
      <w:r>
        <w:t>ORDER</w:t>
      </w:r>
      <w:bookmarkStart w:id="5" w:name="OrderTitle"/>
      <w:r>
        <w:t xml:space="preserve"> GRANTING INTERVENTION</w:t>
      </w:r>
      <w:r w:rsidR="00D34C56">
        <w:t xml:space="preserve"> </w:t>
      </w:r>
      <w:r w:rsidR="001512A2">
        <w:t>OF</w:t>
      </w:r>
    </w:p>
    <w:p w:rsidR="007F39D0" w:rsidRPr="007F39D0" w:rsidRDefault="00D34C56" w:rsidP="00D34C56">
      <w:pPr>
        <w:jc w:val="center"/>
        <w:rPr>
          <w:u w:val="single"/>
        </w:rPr>
      </w:pPr>
      <w:r w:rsidRPr="007F39D0">
        <w:rPr>
          <w:u w:val="single"/>
        </w:rPr>
        <w:t xml:space="preserve">THE </w:t>
      </w:r>
      <w:r w:rsidR="007F39D0" w:rsidRPr="007F39D0">
        <w:rPr>
          <w:u w:val="single"/>
        </w:rPr>
        <w:t xml:space="preserve">AMERICANS FOR </w:t>
      </w:r>
      <w:r w:rsidRPr="007F39D0">
        <w:rPr>
          <w:u w:val="single"/>
        </w:rPr>
        <w:t xml:space="preserve">AFFORDABLE CLEAN </w:t>
      </w:r>
    </w:p>
    <w:p w:rsidR="00D34C56" w:rsidRPr="007F39D0" w:rsidRDefault="00D34C56" w:rsidP="00D34C56">
      <w:pPr>
        <w:jc w:val="center"/>
        <w:rPr>
          <w:u w:val="single"/>
        </w:rPr>
      </w:pPr>
      <w:r w:rsidRPr="007F39D0">
        <w:rPr>
          <w:u w:val="single"/>
        </w:rPr>
        <w:t>ENERGY, INC., CIRCLE K STORES, INC.,</w:t>
      </w:r>
    </w:p>
    <w:p w:rsidR="008219E4" w:rsidRDefault="007F39D0" w:rsidP="00D34C56">
      <w:pPr>
        <w:pStyle w:val="CenterUnderline"/>
      </w:pPr>
      <w:r>
        <w:t xml:space="preserve"> RACE</w:t>
      </w:r>
      <w:r w:rsidR="00D34C56">
        <w:t>TRAC, INC. AND WAWA, INC.</w:t>
      </w:r>
      <w:r w:rsidR="008219E4">
        <w:t xml:space="preserve"> </w:t>
      </w:r>
      <w:bookmarkEnd w:id="5"/>
    </w:p>
    <w:p w:rsidR="008219E4" w:rsidRDefault="008219E4" w:rsidP="008219E4">
      <w:pPr>
        <w:pStyle w:val="CenterUnderline"/>
      </w:pPr>
    </w:p>
    <w:p w:rsidR="00D34C56" w:rsidRDefault="00D34C56" w:rsidP="008219E4">
      <w:pPr>
        <w:ind w:firstLine="720"/>
        <w:jc w:val="both"/>
      </w:pPr>
    </w:p>
    <w:p w:rsidR="008219E4" w:rsidRDefault="00603514" w:rsidP="008219E4">
      <w:pPr>
        <w:ind w:firstLine="720"/>
        <w:jc w:val="both"/>
      </w:pPr>
      <w:r>
        <w:t>On April 2, 2024, Tampa Electric Company (“TECO</w:t>
      </w:r>
      <w:r w:rsidR="00F360BC">
        <w:t>” or “Utility</w:t>
      </w:r>
      <w:r>
        <w:t xml:space="preserve">”) filed a petition, minimum filing requirements, and testimony for an increase in base rates effective January 2025. </w:t>
      </w:r>
      <w:r w:rsidR="007F39D0">
        <w:t>By Order No. PSC-2024-0096-PCO-EI, an administrative hearing has been scheduled for these matters for August 26</w:t>
      </w:r>
      <w:r w:rsidR="001512A2">
        <w:t>–</w:t>
      </w:r>
      <w:r w:rsidR="007F39D0">
        <w:t>30, 2024.</w:t>
      </w:r>
    </w:p>
    <w:p w:rsidR="008219E4" w:rsidRDefault="008219E4" w:rsidP="008219E4">
      <w:pPr>
        <w:jc w:val="both"/>
      </w:pPr>
    </w:p>
    <w:p w:rsidR="008219E4" w:rsidRPr="00173CF1" w:rsidRDefault="008219E4" w:rsidP="008219E4">
      <w:pPr>
        <w:jc w:val="both"/>
        <w:rPr>
          <w:u w:val="single"/>
        </w:rPr>
      </w:pPr>
      <w:r w:rsidRPr="00173CF1">
        <w:rPr>
          <w:u w:val="single"/>
        </w:rPr>
        <w:t>Petition for Intervention</w:t>
      </w:r>
    </w:p>
    <w:p w:rsidR="008219E4" w:rsidRDefault="008219E4" w:rsidP="008219E4">
      <w:pPr>
        <w:jc w:val="both"/>
      </w:pPr>
    </w:p>
    <w:p w:rsidR="008219E4" w:rsidRDefault="008219E4" w:rsidP="008219E4">
      <w:pPr>
        <w:pStyle w:val="Default"/>
        <w:jc w:val="both"/>
      </w:pPr>
      <w:r>
        <w:tab/>
      </w:r>
      <w:r w:rsidR="00603514">
        <w:t xml:space="preserve">On </w:t>
      </w:r>
      <w:r>
        <w:t xml:space="preserve">April 24, 2024, </w:t>
      </w:r>
      <w:r w:rsidRPr="00EB5771">
        <w:t xml:space="preserve">the </w:t>
      </w:r>
      <w:r w:rsidRPr="008219E4">
        <w:t>Americans for Affordable Clean Energy, Inc. (“AACE”), Circle K Stores, Inc. (“Circle K”), RaceTrac Inc. (“RaceTrac”), and Wawa, Inc. (“Wawa”)</w:t>
      </w:r>
      <w:r>
        <w:rPr>
          <w:sz w:val="23"/>
          <w:szCs w:val="23"/>
        </w:rPr>
        <w:t xml:space="preserve"> </w:t>
      </w:r>
      <w:r w:rsidR="00603514">
        <w:t>(collectively “Petitioners”) filed their Petition</w:t>
      </w:r>
      <w:r w:rsidR="001512A2">
        <w:t>s</w:t>
      </w:r>
      <w:r w:rsidR="00603514">
        <w:t xml:space="preserve"> to Intervene</w:t>
      </w:r>
      <w:r w:rsidR="0082013B">
        <w:t xml:space="preserve"> (“Petition”)</w:t>
      </w:r>
      <w:r w:rsidR="00603514">
        <w:t xml:space="preserve">. Petitioners represent that they consulted with TECO </w:t>
      </w:r>
      <w:r w:rsidR="001512A2">
        <w:t xml:space="preserve">and </w:t>
      </w:r>
      <w:r w:rsidR="00603514">
        <w:t xml:space="preserve">the Office of Public Counsel </w:t>
      </w:r>
      <w:r w:rsidR="001512A2">
        <w:t xml:space="preserve">and neither objects to its </w:t>
      </w:r>
      <w:r w:rsidR="00603514">
        <w:t>intervention.</w:t>
      </w:r>
      <w:r w:rsidR="001512A2">
        <w:t xml:space="preserve"> No intervenor filed an objection to this intervention.</w:t>
      </w:r>
    </w:p>
    <w:p w:rsidR="007F39D0" w:rsidRDefault="007F39D0" w:rsidP="008219E4">
      <w:pPr>
        <w:pStyle w:val="Default"/>
        <w:jc w:val="both"/>
      </w:pPr>
    </w:p>
    <w:p w:rsidR="007F39D0" w:rsidRPr="007F39D0" w:rsidRDefault="007F39D0" w:rsidP="008219E4">
      <w:pPr>
        <w:pStyle w:val="Default"/>
        <w:jc w:val="both"/>
        <w:rPr>
          <w:u w:val="single"/>
        </w:rPr>
      </w:pPr>
      <w:r>
        <w:tab/>
      </w:r>
      <w:r w:rsidRPr="007F39D0">
        <w:rPr>
          <w:u w:val="single"/>
        </w:rPr>
        <w:t>AACE</w:t>
      </w:r>
    </w:p>
    <w:p w:rsidR="00603514" w:rsidRDefault="00603514" w:rsidP="008219E4">
      <w:pPr>
        <w:pStyle w:val="Default"/>
        <w:jc w:val="both"/>
      </w:pPr>
    </w:p>
    <w:p w:rsidR="00603514" w:rsidRDefault="00603514" w:rsidP="008219E4">
      <w:pPr>
        <w:pStyle w:val="Default"/>
        <w:jc w:val="both"/>
      </w:pPr>
      <w:r>
        <w:tab/>
      </w:r>
      <w:r w:rsidR="0082013B">
        <w:t>According to the Petition,</w:t>
      </w:r>
      <w:r>
        <w:t xml:space="preserve"> AACE is an established nonprofit association of fuel retailers that </w:t>
      </w:r>
      <w:r w:rsidR="007F39D0">
        <w:t>includes</w:t>
      </w:r>
      <w:r>
        <w:t xml:space="preserve"> Circle K, RaceTrac, and Wawa, each of which also </w:t>
      </w:r>
      <w:r w:rsidR="001512A2">
        <w:t xml:space="preserve">seeks </w:t>
      </w:r>
      <w:r>
        <w:t>interven</w:t>
      </w:r>
      <w:r w:rsidR="001512A2">
        <w:t xml:space="preserve">tion </w:t>
      </w:r>
      <w:r>
        <w:t>in this matter. The Petition states AACE’s intervention in this matter is on behalf of its five fuel retailer members in Florida all of whom are TECO customers and include owners and operators of convenience stores, public travel facilities, and truck stops</w:t>
      </w:r>
      <w:r w:rsidR="00B806C0">
        <w:t xml:space="preserve">. AACE asserts that its members provide fuel of all types, including electric vehicle </w:t>
      </w:r>
      <w:r w:rsidR="0082013B">
        <w:t>(</w:t>
      </w:r>
      <w:r w:rsidR="001512A2">
        <w:t>“</w:t>
      </w:r>
      <w:r w:rsidR="0082013B">
        <w:t>EV</w:t>
      </w:r>
      <w:r w:rsidR="001512A2">
        <w:t>”</w:t>
      </w:r>
      <w:r w:rsidR="0082013B">
        <w:t xml:space="preserve">) </w:t>
      </w:r>
      <w:r w:rsidR="007F39D0">
        <w:t>charging</w:t>
      </w:r>
      <w:r w:rsidR="00B806C0">
        <w:t xml:space="preserve">, as well as other services dependent upon electric service from TECO and thus the rates, terms, and conditions governing the provision of that electric service will have a substantial and material impact on AACE. </w:t>
      </w:r>
    </w:p>
    <w:p w:rsidR="0082013B" w:rsidRDefault="0082013B" w:rsidP="008219E4">
      <w:pPr>
        <w:pStyle w:val="Default"/>
        <w:jc w:val="both"/>
      </w:pPr>
    </w:p>
    <w:p w:rsidR="007F39D0" w:rsidRDefault="0082013B" w:rsidP="008219E4">
      <w:pPr>
        <w:pStyle w:val="Default"/>
        <w:jc w:val="both"/>
      </w:pPr>
      <w:r>
        <w:tab/>
      </w:r>
    </w:p>
    <w:p w:rsidR="007F39D0" w:rsidRDefault="007F39D0" w:rsidP="007F39D0">
      <w:pPr>
        <w:pStyle w:val="Default"/>
        <w:ind w:firstLine="720"/>
        <w:jc w:val="both"/>
        <w:rPr>
          <w:u w:val="single"/>
        </w:rPr>
      </w:pPr>
      <w:r w:rsidRPr="007F39D0">
        <w:rPr>
          <w:u w:val="single"/>
        </w:rPr>
        <w:t>Circle K</w:t>
      </w:r>
    </w:p>
    <w:p w:rsidR="007F39D0" w:rsidRPr="007F39D0" w:rsidRDefault="007F39D0" w:rsidP="007F39D0">
      <w:pPr>
        <w:pStyle w:val="Default"/>
        <w:ind w:firstLine="720"/>
        <w:jc w:val="both"/>
        <w:rPr>
          <w:u w:val="single"/>
        </w:rPr>
      </w:pPr>
    </w:p>
    <w:p w:rsidR="0082013B" w:rsidRDefault="00A42237" w:rsidP="007F39D0">
      <w:pPr>
        <w:pStyle w:val="Default"/>
        <w:ind w:firstLine="720"/>
        <w:jc w:val="both"/>
      </w:pPr>
      <w:r>
        <w:t xml:space="preserve">Also </w:t>
      </w:r>
      <w:r w:rsidR="007F39D0">
        <w:t xml:space="preserve">according to the Petition, </w:t>
      </w:r>
      <w:r w:rsidR="0082013B">
        <w:t>Circle K is one of the largest independent convenience store operators in the United States, with approximately 70 locations within TECO’s service territory, one of which currently offers electric vehicle charging services. Accordingly, Circle K is a large retail customer of TECO, whose further expansion of EV refueling stations with TECO’s service territory is dependent, in part, upon the outcome of this hearing.</w:t>
      </w:r>
    </w:p>
    <w:p w:rsidR="007F39D0" w:rsidRDefault="007F39D0" w:rsidP="007F39D0">
      <w:pPr>
        <w:pStyle w:val="Default"/>
        <w:ind w:firstLine="720"/>
        <w:jc w:val="both"/>
      </w:pPr>
    </w:p>
    <w:p w:rsidR="007F39D0" w:rsidRDefault="007F39D0" w:rsidP="007F39D0">
      <w:pPr>
        <w:pStyle w:val="Default"/>
        <w:ind w:firstLine="720"/>
        <w:jc w:val="both"/>
        <w:rPr>
          <w:u w:val="single"/>
        </w:rPr>
      </w:pPr>
      <w:r w:rsidRPr="007F39D0">
        <w:rPr>
          <w:u w:val="single"/>
        </w:rPr>
        <w:t>RaceTrac</w:t>
      </w:r>
    </w:p>
    <w:p w:rsidR="007F39D0" w:rsidRPr="007F39D0" w:rsidRDefault="007F39D0" w:rsidP="007F39D0">
      <w:pPr>
        <w:pStyle w:val="Default"/>
        <w:ind w:firstLine="720"/>
        <w:jc w:val="both"/>
        <w:rPr>
          <w:u w:val="single"/>
        </w:rPr>
      </w:pPr>
    </w:p>
    <w:p w:rsidR="0082013B" w:rsidRDefault="0082013B" w:rsidP="008219E4">
      <w:pPr>
        <w:pStyle w:val="Default"/>
        <w:jc w:val="both"/>
      </w:pPr>
      <w:r>
        <w:tab/>
      </w:r>
      <w:r w:rsidR="00A42237">
        <w:t>Again</w:t>
      </w:r>
      <w:r>
        <w:t xml:space="preserve"> according to the Petition, RaceTrac is a family-owned business currently operating over 800 convenience stores, with 295 stores operating in Florida including 39 refueling stations located within TECO’s service territory. RaceTrac pays TECO substantial amounts for electric service each year, making RaceTrac a large retail customer of TECO. RaceTrac currently offers EV charging in areas outside of TECO’s service area and looks to expand its EV charging services into the TECO area.</w:t>
      </w:r>
    </w:p>
    <w:p w:rsidR="0082013B" w:rsidRDefault="0082013B" w:rsidP="008219E4">
      <w:pPr>
        <w:pStyle w:val="Default"/>
        <w:jc w:val="both"/>
      </w:pPr>
    </w:p>
    <w:p w:rsidR="007F39D0" w:rsidRPr="007F39D0" w:rsidRDefault="0082013B" w:rsidP="008219E4">
      <w:pPr>
        <w:pStyle w:val="Default"/>
        <w:jc w:val="both"/>
        <w:rPr>
          <w:u w:val="single"/>
        </w:rPr>
      </w:pPr>
      <w:r>
        <w:tab/>
      </w:r>
      <w:r w:rsidR="007F39D0" w:rsidRPr="007F39D0">
        <w:rPr>
          <w:u w:val="single"/>
        </w:rPr>
        <w:t>Wawa</w:t>
      </w:r>
    </w:p>
    <w:p w:rsidR="007F39D0" w:rsidRDefault="007F39D0" w:rsidP="008219E4">
      <w:pPr>
        <w:pStyle w:val="Default"/>
        <w:jc w:val="both"/>
      </w:pPr>
    </w:p>
    <w:p w:rsidR="0082013B" w:rsidRDefault="0082013B" w:rsidP="007F39D0">
      <w:pPr>
        <w:pStyle w:val="Default"/>
        <w:ind w:firstLine="720"/>
        <w:jc w:val="both"/>
      </w:pPr>
      <w:r>
        <w:t xml:space="preserve">Finally, according to the Petition, Wawa is a privately held, family-owned company operating approximately 280 stores in Florida while continuing to actively expand in Florida. Wawa currently has 30 locations within TECO’s service </w:t>
      </w:r>
      <w:r w:rsidR="007F39D0">
        <w:t>territory</w:t>
      </w:r>
      <w:r>
        <w:t xml:space="preserve">, including 6 which have EV charging stations, making Wawa a large retail customer of TECO. Wawa anticipates adding 25 EV refueling stations within TECO’s service territory over the next 10 years. </w:t>
      </w:r>
    </w:p>
    <w:p w:rsidR="0082013B" w:rsidRDefault="0082013B" w:rsidP="008219E4">
      <w:pPr>
        <w:pStyle w:val="Default"/>
        <w:jc w:val="both"/>
      </w:pPr>
    </w:p>
    <w:p w:rsidR="008219E4" w:rsidRPr="00173CF1" w:rsidRDefault="008219E4" w:rsidP="008219E4">
      <w:pPr>
        <w:jc w:val="both"/>
        <w:rPr>
          <w:u w:val="single"/>
        </w:rPr>
      </w:pPr>
      <w:r w:rsidRPr="00173CF1">
        <w:rPr>
          <w:u w:val="single"/>
        </w:rPr>
        <w:t>Standards for Intervention</w:t>
      </w:r>
    </w:p>
    <w:p w:rsidR="008219E4" w:rsidRDefault="008219E4" w:rsidP="008219E4">
      <w:pPr>
        <w:jc w:val="both"/>
      </w:pPr>
    </w:p>
    <w:p w:rsidR="008219E4" w:rsidRDefault="008219E4" w:rsidP="008219E4">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w:t>
      </w:r>
      <w:r w:rsidR="001512A2">
        <w:t xml:space="preserve">Florida Public Service </w:t>
      </w:r>
      <w:r>
        <w:t xml:space="preserve">Commission </w:t>
      </w:r>
      <w:r w:rsidR="001512A2">
        <w:t xml:space="preserve">(“Commission”) </w:t>
      </w:r>
      <w:r>
        <w:t>rule, or that the substantial interests of the intervenor are subject to determination or will be affected through the proceeding. Intervenors take the case as they find it.</w:t>
      </w:r>
    </w:p>
    <w:p w:rsidR="008219E4" w:rsidRDefault="008219E4" w:rsidP="008219E4">
      <w:pPr>
        <w:ind w:firstLine="720"/>
        <w:jc w:val="both"/>
      </w:pPr>
    </w:p>
    <w:p w:rsidR="007F39D0" w:rsidRDefault="00C20594" w:rsidP="008219E4">
      <w:pPr>
        <w:ind w:firstLine="720"/>
        <w:jc w:val="both"/>
      </w:pPr>
      <w:r>
        <w:t>Circle K, RaceTrac, and Wawa (collectively, “the Fuel R</w:t>
      </w:r>
      <w:r w:rsidR="00BE645A">
        <w:t>etaile</w:t>
      </w:r>
      <w:r>
        <w:t>rs”) argue that they are persons whose substantial interest may be impacted and, therefore, have standing to intervene under</w:t>
      </w:r>
      <w:r w:rsidR="008219E4">
        <w:t xml:space="preserve"> the two-prong standing test set forth in </w:t>
      </w:r>
      <w:r w:rsidR="008219E4" w:rsidRPr="0094762C">
        <w:rPr>
          <w:i/>
        </w:rPr>
        <w:t>Agrico Chemical Company v. Department of Environmental Regulation</w:t>
      </w:r>
      <w:r w:rsidR="00DD02DB">
        <w:rPr>
          <w:i/>
        </w:rPr>
        <w:t>.</w:t>
      </w:r>
      <w:r w:rsidR="00DD02DB">
        <w:rPr>
          <w:rStyle w:val="FootnoteReference"/>
          <w:i/>
        </w:rPr>
        <w:footnoteReference w:id="1"/>
      </w:r>
      <w:r w:rsidR="008219E4">
        <w:t xml:space="preserve"> </w:t>
      </w:r>
      <w:r w:rsidR="00DD02DB">
        <w:t xml:space="preserve">Under </w:t>
      </w:r>
      <w:r w:rsidR="00DD02DB">
        <w:rPr>
          <w:i/>
        </w:rPr>
        <w:t>Agrico</w:t>
      </w:r>
      <w:r w:rsidR="00DD02DB">
        <w:t>, t</w:t>
      </w:r>
      <w:r w:rsidR="008219E4">
        <w:t>he intervenor</w:t>
      </w:r>
      <w:r w:rsidR="007F39D0">
        <w:t>s</w:t>
      </w:r>
      <w:r w:rsidR="008219E4">
        <w:t xml:space="preserve"> must show that (1) </w:t>
      </w:r>
      <w:r w:rsidR="007F39D0">
        <w:t>t</w:t>
      </w:r>
      <w:r w:rsidR="008219E4">
        <w:t>he</w:t>
      </w:r>
      <w:r w:rsidR="007F39D0">
        <w:t>y</w:t>
      </w:r>
      <w:r w:rsidR="008219E4">
        <w:t xml:space="preserve"> will suffer </w:t>
      </w:r>
      <w:r w:rsidR="008219E4">
        <w:lastRenderedPageBreak/>
        <w:t xml:space="preserve">injury in fact that is of sufficient immediacy to entitle </w:t>
      </w:r>
      <w:r w:rsidR="007F39D0">
        <w:t>them</w:t>
      </w:r>
      <w:r w:rsidR="008219E4">
        <w:t xml:space="preserve"> to a Section 120.57, F.S., hearing, and (2) the substantial injury is of a type or nature that the proceeding is designed to protect.</w:t>
      </w:r>
      <w:r w:rsidR="00583E5D">
        <w:t xml:space="preserve"> </w:t>
      </w:r>
      <w:r w:rsidR="00583E5D">
        <w:rPr>
          <w:i/>
        </w:rPr>
        <w:t>Agrico</w:t>
      </w:r>
      <w:r w:rsidR="00583E5D">
        <w:t xml:space="preserve"> at 482.</w:t>
      </w:r>
      <w:r w:rsidR="008219E4">
        <w:t xml:space="preserve">  The first aspect of the test deals with the degree of injury.  The second deals with the nature of the injury.  The "injury in fact" must be both real and immediate and not speculative or conjectural.</w:t>
      </w:r>
      <w:r w:rsidR="00DD02DB">
        <w:rPr>
          <w:rStyle w:val="FootnoteReference"/>
          <w:i/>
        </w:rPr>
        <w:footnoteReference w:id="2"/>
      </w:r>
      <w:r w:rsidR="008219E4">
        <w:t xml:space="preserve">  </w:t>
      </w:r>
    </w:p>
    <w:p w:rsidR="00DD02DB" w:rsidRDefault="00DD02DB" w:rsidP="008219E4">
      <w:pPr>
        <w:ind w:firstLine="720"/>
        <w:jc w:val="both"/>
      </w:pPr>
    </w:p>
    <w:p w:rsidR="00A42237" w:rsidRDefault="00C20594" w:rsidP="00A42237">
      <w:pPr>
        <w:ind w:firstLine="720"/>
        <w:jc w:val="both"/>
      </w:pPr>
      <w:r>
        <w:t>AACE argues that it has standing to represent its members</w:t>
      </w:r>
      <w:r w:rsidR="00A42237">
        <w:t xml:space="preserve"> as an association. </w:t>
      </w:r>
      <w:r>
        <w:t xml:space="preserve"> </w:t>
      </w:r>
      <w:r w:rsidR="00A42237" w:rsidRPr="004F549C">
        <w:t xml:space="preserve">The test for associational standing was established in </w:t>
      </w:r>
      <w:r w:rsidR="00A42237" w:rsidRPr="004F549C">
        <w:rPr>
          <w:i/>
        </w:rPr>
        <w:t>Florida Home Builders Association v. Department of Labor and Employment Security</w:t>
      </w:r>
      <w:r w:rsidR="00A42237" w:rsidRPr="004F549C">
        <w:rPr>
          <w:vertAlign w:val="superscript"/>
        </w:rPr>
        <w:footnoteReference w:id="3"/>
      </w:r>
      <w:r w:rsidR="00A42237" w:rsidRPr="004F549C">
        <w:t xml:space="preserve"> and </w:t>
      </w:r>
      <w:r w:rsidR="00A42237" w:rsidRPr="004F549C">
        <w:rPr>
          <w:i/>
        </w:rPr>
        <w:t>Farmworker Rights Organization, Inc. v. Department of Health and Rehabilitative Services</w:t>
      </w:r>
      <w:r w:rsidR="00A42237" w:rsidRPr="004F549C">
        <w:t>,</w:t>
      </w:r>
      <w:r w:rsidR="00A42237" w:rsidRPr="004F549C">
        <w:rPr>
          <w:vertAlign w:val="superscript"/>
        </w:rPr>
        <w:footnoteReference w:id="4"/>
      </w:r>
      <w:r w:rsidR="00A42237" w:rsidRPr="004F549C">
        <w:t xml:space="preserve"> which is based on the basic standing principles established in </w:t>
      </w:r>
      <w:r w:rsidR="00A42237" w:rsidRPr="004F549C">
        <w:rPr>
          <w:i/>
        </w:rPr>
        <w:t>Agrico</w:t>
      </w:r>
      <w:r w:rsidR="00DD02DB">
        <w:rPr>
          <w:i/>
        </w:rPr>
        <w:t>.</w:t>
      </w:r>
      <w:r w:rsidR="00A42237" w:rsidRPr="004F549C">
        <w:rPr>
          <w:vertAlign w:val="superscript"/>
        </w:rPr>
        <w:footnoteReference w:id="5"/>
      </w:r>
      <w:r w:rsidR="00A42237" w:rsidRPr="004F549C">
        <w:t xml:space="preserve"> Associational standing may be found where: (1) the association demonstrates that a substantial number of an association’s members may be substanti</w:t>
      </w:r>
      <w:r w:rsidR="00A42237">
        <w:t>ally affected by the Commission’</w:t>
      </w:r>
      <w:r w:rsidR="00A42237" w:rsidRPr="004F549C">
        <w:t>s decision in a docket; (2) the subject matter of the proceeding is within the association’s general scope of interest and activity; and (3) the relief requested is of a type appropriate for the association to receive on behalf of its members.</w:t>
      </w:r>
      <w:r w:rsidR="00A42237" w:rsidRPr="004F549C">
        <w:rPr>
          <w:vertAlign w:val="superscript"/>
        </w:rPr>
        <w:footnoteReference w:id="6"/>
      </w:r>
    </w:p>
    <w:p w:rsidR="007F39D0" w:rsidRPr="00583E5D" w:rsidRDefault="007F39D0" w:rsidP="008219E4">
      <w:pPr>
        <w:ind w:firstLine="720"/>
        <w:jc w:val="both"/>
      </w:pPr>
    </w:p>
    <w:p w:rsidR="00583E5D" w:rsidRPr="00583E5D" w:rsidRDefault="00583E5D" w:rsidP="00583E5D">
      <w:pPr>
        <w:jc w:val="both"/>
        <w:rPr>
          <w:u w:val="single"/>
        </w:rPr>
      </w:pPr>
      <w:r w:rsidRPr="00583E5D">
        <w:rPr>
          <w:u w:val="single"/>
        </w:rPr>
        <w:t>Analysis and Ruling</w:t>
      </w:r>
    </w:p>
    <w:p w:rsidR="008219E4" w:rsidRDefault="008219E4" w:rsidP="008219E4">
      <w:pPr>
        <w:ind w:firstLine="720"/>
        <w:jc w:val="both"/>
      </w:pPr>
    </w:p>
    <w:p w:rsidR="00F360BC" w:rsidRDefault="008219E4" w:rsidP="008219E4">
      <w:pPr>
        <w:jc w:val="both"/>
      </w:pPr>
      <w:r w:rsidRPr="00826D5E">
        <w:tab/>
      </w:r>
      <w:r w:rsidR="001512A2">
        <w:t>AACE and t</w:t>
      </w:r>
      <w:r w:rsidR="00F360BC">
        <w:t xml:space="preserve">he Fuel </w:t>
      </w:r>
      <w:r w:rsidR="003A50CB">
        <w:t>R</w:t>
      </w:r>
      <w:r w:rsidR="00F360BC">
        <w:t xml:space="preserve">etailers allege that they are </w:t>
      </w:r>
      <w:r w:rsidR="003A50CB">
        <w:t xml:space="preserve">large </w:t>
      </w:r>
      <w:r w:rsidR="00F360BC">
        <w:t xml:space="preserve">retail customers of the Utility and </w:t>
      </w:r>
      <w:r w:rsidR="003A50CB">
        <w:t>therefore</w:t>
      </w:r>
      <w:r w:rsidR="00F360BC">
        <w:t xml:space="preserve"> their substantial interests as ratepayers will or may be affected by TECO’s request for a rate increase. </w:t>
      </w:r>
      <w:r w:rsidR="003A50CB">
        <w:t>Furthermore, AACE alleges the subject matter of this proceeding is well within its established scope of interest and activity, that AACE routinely appe</w:t>
      </w:r>
      <w:r w:rsidR="001512A2">
        <w:t>a</w:t>
      </w:r>
      <w:r w:rsidR="003A50CB">
        <w:t>rs on behalf of its members’ interest in a variety of regulatory proceedings</w:t>
      </w:r>
      <w:r w:rsidR="00827658">
        <w:t>, and that the relief being requested appears to be of a type appropriate for this association to obtain on behalf of its members</w:t>
      </w:r>
      <w:r w:rsidR="003A50CB">
        <w:t xml:space="preserve">. </w:t>
      </w:r>
      <w:r w:rsidR="00131A5C">
        <w:t>Therefore</w:t>
      </w:r>
      <w:r w:rsidR="00827658">
        <w:t xml:space="preserve">, </w:t>
      </w:r>
      <w:r w:rsidR="00131A5C">
        <w:t xml:space="preserve">AACE meets the requirements for associational standing and the Fuel Retailers meet the requirements for individual standing. Accordingly, </w:t>
      </w:r>
      <w:r w:rsidR="00827658">
        <w:t xml:space="preserve">AACE and </w:t>
      </w:r>
      <w:r w:rsidR="00131A5C">
        <w:t>t</w:t>
      </w:r>
      <w:r w:rsidR="00827658">
        <w:t>he Fuel Retailers</w:t>
      </w:r>
      <w:r w:rsidR="00131A5C">
        <w:t xml:space="preserve"> will be permitted to intervene as parties in this proceeding</w:t>
      </w:r>
      <w:r w:rsidR="00827658">
        <w:t xml:space="preserve">. </w:t>
      </w:r>
      <w:r w:rsidR="00F360BC">
        <w:t xml:space="preserve"> </w:t>
      </w:r>
    </w:p>
    <w:p w:rsidR="00055239" w:rsidRDefault="00055239" w:rsidP="008219E4">
      <w:pPr>
        <w:jc w:val="both"/>
      </w:pPr>
    </w:p>
    <w:p w:rsidR="00055239" w:rsidRDefault="00055239" w:rsidP="00055239">
      <w:pPr>
        <w:autoSpaceDE w:val="0"/>
        <w:autoSpaceDN w:val="0"/>
        <w:adjustRightInd w:val="0"/>
        <w:ind w:firstLine="720"/>
        <w:jc w:val="both"/>
        <w:rPr>
          <w:rFonts w:ascii="TimesNewRomanPSMT" w:hAnsi="TimesNewRomanPSMT" w:cs="TimesNewRomanPSMT"/>
          <w:sz w:val="23"/>
          <w:szCs w:val="23"/>
        </w:rPr>
      </w:pPr>
      <w:r>
        <w:t>The determination in this Order that the Petition shall be granted as to AACE and the Fuel Retailers is based solely upon the status of the individual intervenors and association members as TECO ratepayers. Intervention is not being granted based upon the alleged impacts of EV charger programs or the development of green hydrogen as an alternative fuel on economic interests or business competition. Such claims are beyond the scope of a base rate proceeding.</w:t>
      </w:r>
      <w:r>
        <w:rPr>
          <w:rStyle w:val="FootnoteReference"/>
        </w:rPr>
        <w:footnoteReference w:id="7"/>
      </w:r>
      <w:r>
        <w:t xml:space="preserve"> The impact of EV charger programs and green hydrogen on base rates and TECO </w:t>
      </w:r>
      <w:r>
        <w:lastRenderedPageBreak/>
        <w:t xml:space="preserve">ratepayers may or may not present appropriate issues for consideration in this docket. </w:t>
      </w:r>
      <w:r w:rsidRPr="00963533">
        <w:t>If necessary, this determination will be made by the Prehearing Officer in the Prehearing Order.</w:t>
      </w:r>
    </w:p>
    <w:p w:rsidR="00055239" w:rsidRDefault="00055239" w:rsidP="008219E4">
      <w:pPr>
        <w:jc w:val="both"/>
      </w:pPr>
    </w:p>
    <w:p w:rsidR="008219E4" w:rsidRPr="00826D5E" w:rsidRDefault="008219E4" w:rsidP="00F360BC">
      <w:pPr>
        <w:ind w:firstLine="720"/>
        <w:jc w:val="both"/>
      </w:pPr>
      <w:r>
        <w:t xml:space="preserve">Based on the </w:t>
      </w:r>
      <w:r w:rsidR="00131A5C">
        <w:t>foregoing</w:t>
      </w:r>
      <w:r>
        <w:t>,</w:t>
      </w:r>
      <w:r w:rsidRPr="00826D5E">
        <w:t xml:space="preserve"> it is</w:t>
      </w:r>
    </w:p>
    <w:p w:rsidR="008219E4" w:rsidRPr="00826D5E" w:rsidRDefault="008219E4" w:rsidP="008219E4">
      <w:pPr>
        <w:jc w:val="both"/>
      </w:pPr>
    </w:p>
    <w:p w:rsidR="008219E4" w:rsidRDefault="008219E4" w:rsidP="008219E4">
      <w:pPr>
        <w:ind w:firstLine="720"/>
        <w:jc w:val="both"/>
      </w:pPr>
      <w:r>
        <w:t xml:space="preserve">ORDERED by Commissioner Gary Clark, as Prehearing Officer, that the </w:t>
      </w:r>
      <w:r w:rsidR="00131A5C">
        <w:t xml:space="preserve">Petition </w:t>
      </w:r>
      <w:r>
        <w:t xml:space="preserve">to Intervene filed by </w:t>
      </w:r>
      <w:r w:rsidRPr="00EB5771">
        <w:t xml:space="preserve">the </w:t>
      </w:r>
      <w:r w:rsidRPr="008219E4">
        <w:t>Americans for Afford</w:t>
      </w:r>
      <w:r w:rsidR="00827658">
        <w:t>able Clean Energy, Inc.</w:t>
      </w:r>
      <w:r w:rsidRPr="008219E4">
        <w:t>, Ci</w:t>
      </w:r>
      <w:r>
        <w:t xml:space="preserve">rcle K Stores, Inc., RaceTrac Inc., and Wawa, Inc. is hereby granted as set forth </w:t>
      </w:r>
      <w:r w:rsidR="00827658">
        <w:t>in the</w:t>
      </w:r>
      <w:r>
        <w:t xml:space="preserve"> body of this Order. It is further</w:t>
      </w:r>
    </w:p>
    <w:p w:rsidR="008219E4" w:rsidRDefault="008219E4" w:rsidP="008219E4">
      <w:pPr>
        <w:ind w:firstLine="720"/>
        <w:jc w:val="both"/>
      </w:pPr>
    </w:p>
    <w:p w:rsidR="008219E4" w:rsidRDefault="008219E4" w:rsidP="008219E4">
      <w:pPr>
        <w:ind w:firstLine="720"/>
        <w:jc w:val="both"/>
      </w:pPr>
      <w:r>
        <w:t xml:space="preserve">ORDERED that </w:t>
      </w:r>
      <w:r w:rsidRPr="00EB5771">
        <w:t xml:space="preserve">the </w:t>
      </w:r>
      <w:r w:rsidRPr="008219E4">
        <w:t>Americans for Afford</w:t>
      </w:r>
      <w:r w:rsidR="00827658">
        <w:t>able Clean Energy, Inc.</w:t>
      </w:r>
      <w:r w:rsidRPr="008219E4">
        <w:t>, Ci</w:t>
      </w:r>
      <w:r>
        <w:t>rcle K Stores, Inc., RaceTrac Inc., an</w:t>
      </w:r>
      <w:r w:rsidR="00827658">
        <w:t>d Wawa, Inc. take the case as they</w:t>
      </w:r>
      <w:r>
        <w:t xml:space="preserve"> find it. It is further </w:t>
      </w:r>
    </w:p>
    <w:p w:rsidR="008219E4" w:rsidRDefault="008219E4" w:rsidP="008219E4">
      <w:pPr>
        <w:ind w:firstLine="720"/>
        <w:jc w:val="both"/>
      </w:pPr>
    </w:p>
    <w:p w:rsidR="008219E4" w:rsidRDefault="008219E4" w:rsidP="008219E4">
      <w:pPr>
        <w:ind w:firstLine="720"/>
        <w:jc w:val="both"/>
      </w:pPr>
      <w:r>
        <w:t>ORDERED that all parties to this proceeding shall furnish copies of all testimony, exhibits, pleadings, and other documents which may hereinafter be filed in this proceeding to:</w:t>
      </w:r>
    </w:p>
    <w:p w:rsidR="008219E4" w:rsidRDefault="008219E4" w:rsidP="008219E4">
      <w:pPr>
        <w:ind w:firstLine="720"/>
        <w:jc w:val="both"/>
      </w:pPr>
    </w:p>
    <w:p w:rsidR="008219E4" w:rsidRPr="008219E4" w:rsidRDefault="008219E4" w:rsidP="004732FF">
      <w:pPr>
        <w:ind w:firstLine="720"/>
      </w:pPr>
      <w:r w:rsidRPr="008219E4">
        <w:t xml:space="preserve">Floyd R. Self, B.C.S. </w:t>
      </w:r>
    </w:p>
    <w:p w:rsidR="008219E4" w:rsidRPr="008219E4" w:rsidRDefault="008219E4" w:rsidP="008219E4">
      <w:pPr>
        <w:pStyle w:val="Default"/>
        <w:ind w:firstLine="720"/>
      </w:pPr>
      <w:r w:rsidRPr="008219E4">
        <w:t xml:space="preserve">Ruth Vafek, Esq. </w:t>
      </w:r>
    </w:p>
    <w:p w:rsidR="008219E4" w:rsidRPr="008219E4" w:rsidRDefault="008219E4" w:rsidP="008219E4">
      <w:pPr>
        <w:pStyle w:val="Default"/>
        <w:ind w:firstLine="720"/>
      </w:pPr>
      <w:r w:rsidRPr="008219E4">
        <w:t xml:space="preserve">Berger Singerman, LLP </w:t>
      </w:r>
    </w:p>
    <w:p w:rsidR="008219E4" w:rsidRPr="008219E4" w:rsidRDefault="008219E4" w:rsidP="008219E4">
      <w:pPr>
        <w:pStyle w:val="Default"/>
        <w:ind w:firstLine="720"/>
      </w:pPr>
      <w:r w:rsidRPr="008219E4">
        <w:t xml:space="preserve">313 North Monroe Street, Suite 301 </w:t>
      </w:r>
    </w:p>
    <w:p w:rsidR="008219E4" w:rsidRPr="008219E4" w:rsidRDefault="008219E4" w:rsidP="008219E4">
      <w:pPr>
        <w:pStyle w:val="Default"/>
        <w:ind w:firstLine="720"/>
      </w:pPr>
      <w:r w:rsidRPr="008219E4">
        <w:t xml:space="preserve">Tallahassee, FL 32301 </w:t>
      </w:r>
    </w:p>
    <w:p w:rsidR="008219E4" w:rsidRPr="008219E4" w:rsidRDefault="008219E4" w:rsidP="008219E4">
      <w:pPr>
        <w:pStyle w:val="Default"/>
        <w:ind w:firstLine="720"/>
      </w:pPr>
      <w:r w:rsidRPr="008219E4">
        <w:t xml:space="preserve">Telephone: (850) 521-6727 </w:t>
      </w:r>
    </w:p>
    <w:p w:rsidR="008219E4" w:rsidRPr="008219E4" w:rsidRDefault="008219E4" w:rsidP="008219E4">
      <w:pPr>
        <w:pStyle w:val="Default"/>
        <w:ind w:firstLine="720"/>
      </w:pPr>
      <w:r w:rsidRPr="008219E4">
        <w:t xml:space="preserve">Email: </w:t>
      </w:r>
      <w:hyperlink r:id="rId7" w:history="1">
        <w:r w:rsidRPr="008219E4">
          <w:rPr>
            <w:rStyle w:val="Hyperlink"/>
          </w:rPr>
          <w:t>fself@bergersingerman.com</w:t>
        </w:r>
      </w:hyperlink>
    </w:p>
    <w:p w:rsidR="008219E4" w:rsidRDefault="008219E4" w:rsidP="008219E4">
      <w:pPr>
        <w:pStyle w:val="Default"/>
        <w:ind w:firstLine="720"/>
        <w:rPr>
          <w:rStyle w:val="Hyperlink"/>
        </w:rPr>
      </w:pPr>
      <w:r w:rsidRPr="008219E4">
        <w:t xml:space="preserve">Email: </w:t>
      </w:r>
      <w:hyperlink r:id="rId8" w:history="1">
        <w:r w:rsidRPr="008219E4">
          <w:rPr>
            <w:rStyle w:val="Hyperlink"/>
          </w:rPr>
          <w:t>rvafek@bergersingerman.com</w:t>
        </w:r>
      </w:hyperlink>
    </w:p>
    <w:p w:rsidR="00827658" w:rsidRDefault="00827658" w:rsidP="008219E4">
      <w:pPr>
        <w:pStyle w:val="Default"/>
        <w:ind w:firstLine="720"/>
        <w:rPr>
          <w:rStyle w:val="Hyperlink"/>
        </w:rPr>
      </w:pPr>
    </w:p>
    <w:p w:rsidR="00827658" w:rsidRDefault="00827658" w:rsidP="008219E4">
      <w:pPr>
        <w:pStyle w:val="Default"/>
        <w:ind w:firstLine="720"/>
        <w:rPr>
          <w:rStyle w:val="Hyperlink"/>
        </w:rPr>
      </w:pPr>
    </w:p>
    <w:p w:rsidR="00827658" w:rsidRDefault="00827658" w:rsidP="008219E4">
      <w:pPr>
        <w:pStyle w:val="Default"/>
        <w:ind w:firstLine="720"/>
        <w:rPr>
          <w:rStyle w:val="Hyperlink"/>
        </w:rPr>
      </w:pPr>
    </w:p>
    <w:p w:rsidR="00E4489B" w:rsidRDefault="008219E4" w:rsidP="00827658">
      <w:pPr>
        <w:rPr>
          <w:color w:val="FF0000"/>
        </w:rPr>
      </w:pPr>
      <w:r>
        <w:rPr>
          <w:color w:val="FF0000"/>
        </w:rPr>
        <w:tab/>
      </w:r>
    </w:p>
    <w:p w:rsidR="00E4489B" w:rsidRDefault="00E4489B">
      <w:pPr>
        <w:rPr>
          <w:color w:val="FF0000"/>
        </w:rPr>
      </w:pPr>
      <w:r>
        <w:rPr>
          <w:color w:val="FF0000"/>
        </w:rPr>
        <w:br w:type="page"/>
      </w:r>
    </w:p>
    <w:p w:rsidR="0089669A" w:rsidRDefault="0089669A" w:rsidP="0089669A">
      <w:pPr>
        <w:ind w:firstLine="720"/>
      </w:pPr>
    </w:p>
    <w:p w:rsidR="008219E4" w:rsidRDefault="008219E4" w:rsidP="00737E71">
      <w:pPr>
        <w:ind w:firstLine="720"/>
      </w:pPr>
      <w:r w:rsidRPr="008219E4">
        <w:t xml:space="preserve">By ORDER of Commissioner Gary F. Clark, as Prehearing Officer, this </w:t>
      </w:r>
      <w:bookmarkStart w:id="6" w:name="replaceDate"/>
      <w:bookmarkEnd w:id="6"/>
      <w:r w:rsidR="00737E71">
        <w:rPr>
          <w:u w:val="single"/>
        </w:rPr>
        <w:t>3rd</w:t>
      </w:r>
      <w:r w:rsidR="00737E71">
        <w:t xml:space="preserve"> day of </w:t>
      </w:r>
      <w:r w:rsidR="00737E71">
        <w:rPr>
          <w:u w:val="single"/>
        </w:rPr>
        <w:t>June</w:t>
      </w:r>
      <w:r w:rsidR="00737E71">
        <w:t xml:space="preserve">, </w:t>
      </w:r>
      <w:r w:rsidR="00737E71">
        <w:rPr>
          <w:u w:val="single"/>
        </w:rPr>
        <w:t>2024</w:t>
      </w:r>
      <w:r w:rsidR="00737E71">
        <w:t>.</w:t>
      </w:r>
    </w:p>
    <w:p w:rsidR="00737E71" w:rsidRPr="00737E71" w:rsidRDefault="00737E71" w:rsidP="00737E71">
      <w:pPr>
        <w:ind w:firstLine="720"/>
      </w:pPr>
    </w:p>
    <w:p w:rsidR="008219E4" w:rsidRDefault="008219E4" w:rsidP="008219E4">
      <w:pPr>
        <w:keepNext/>
        <w:keepLines/>
        <w:jc w:val="both"/>
      </w:pPr>
    </w:p>
    <w:p w:rsidR="00B355C6" w:rsidRDefault="00B355C6" w:rsidP="008219E4">
      <w:pPr>
        <w:keepNext/>
        <w:keepLines/>
        <w:jc w:val="both"/>
      </w:pPr>
    </w:p>
    <w:p w:rsidR="00B355C6" w:rsidRDefault="00B355C6" w:rsidP="008219E4">
      <w:pPr>
        <w:keepNext/>
        <w:keepLines/>
        <w:jc w:val="both"/>
      </w:pPr>
    </w:p>
    <w:p w:rsidR="00B355C6" w:rsidRPr="008219E4" w:rsidRDefault="00B355C6" w:rsidP="008219E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219E4" w:rsidRPr="008219E4" w:rsidTr="008219E4">
        <w:tc>
          <w:tcPr>
            <w:tcW w:w="720" w:type="dxa"/>
            <w:shd w:val="clear" w:color="auto" w:fill="auto"/>
          </w:tcPr>
          <w:p w:rsidR="008219E4" w:rsidRPr="008219E4" w:rsidRDefault="008219E4" w:rsidP="008219E4">
            <w:pPr>
              <w:keepNext/>
              <w:keepLines/>
              <w:jc w:val="both"/>
            </w:pPr>
            <w:bookmarkStart w:id="7" w:name="bkmrkSignature" w:colFirst="0" w:colLast="0"/>
          </w:p>
        </w:tc>
        <w:tc>
          <w:tcPr>
            <w:tcW w:w="4320" w:type="dxa"/>
            <w:tcBorders>
              <w:bottom w:val="single" w:sz="4" w:space="0" w:color="auto"/>
            </w:tcBorders>
            <w:shd w:val="clear" w:color="auto" w:fill="auto"/>
          </w:tcPr>
          <w:p w:rsidR="008219E4" w:rsidRPr="008219E4" w:rsidRDefault="00737E71" w:rsidP="008219E4">
            <w:pPr>
              <w:keepNext/>
              <w:keepLines/>
              <w:jc w:val="both"/>
            </w:pPr>
            <w:r>
              <w:t>/s/ Gary F. Clark</w:t>
            </w:r>
            <w:bookmarkStart w:id="8" w:name="_GoBack"/>
            <w:bookmarkEnd w:id="8"/>
          </w:p>
        </w:tc>
      </w:tr>
      <w:bookmarkEnd w:id="7"/>
      <w:tr w:rsidR="008219E4" w:rsidRPr="008219E4" w:rsidTr="008219E4">
        <w:tc>
          <w:tcPr>
            <w:tcW w:w="720" w:type="dxa"/>
            <w:shd w:val="clear" w:color="auto" w:fill="auto"/>
          </w:tcPr>
          <w:p w:rsidR="008219E4" w:rsidRPr="008219E4" w:rsidRDefault="008219E4" w:rsidP="008219E4">
            <w:pPr>
              <w:keepNext/>
              <w:keepLines/>
              <w:jc w:val="both"/>
            </w:pPr>
          </w:p>
        </w:tc>
        <w:tc>
          <w:tcPr>
            <w:tcW w:w="4320" w:type="dxa"/>
            <w:tcBorders>
              <w:top w:val="single" w:sz="4" w:space="0" w:color="auto"/>
            </w:tcBorders>
            <w:shd w:val="clear" w:color="auto" w:fill="auto"/>
          </w:tcPr>
          <w:p w:rsidR="008219E4" w:rsidRPr="008219E4" w:rsidRDefault="008219E4" w:rsidP="008219E4">
            <w:pPr>
              <w:keepNext/>
              <w:keepLines/>
              <w:jc w:val="both"/>
            </w:pPr>
            <w:r w:rsidRPr="008219E4">
              <w:t>GARY F. CLARK</w:t>
            </w:r>
          </w:p>
          <w:p w:rsidR="008219E4" w:rsidRPr="008219E4" w:rsidRDefault="008219E4" w:rsidP="008219E4">
            <w:pPr>
              <w:keepNext/>
              <w:keepLines/>
              <w:jc w:val="both"/>
            </w:pPr>
            <w:r w:rsidRPr="008219E4">
              <w:t>Commissioner and Prehearing Officer</w:t>
            </w:r>
          </w:p>
        </w:tc>
      </w:tr>
    </w:tbl>
    <w:p w:rsidR="008219E4" w:rsidRDefault="008219E4" w:rsidP="008219E4">
      <w:pPr>
        <w:pStyle w:val="OrderSigInfo"/>
        <w:keepNext/>
        <w:keepLines/>
      </w:pPr>
      <w:r>
        <w:t>Florida Public Service Commission</w:t>
      </w:r>
    </w:p>
    <w:p w:rsidR="008219E4" w:rsidRDefault="008219E4" w:rsidP="008219E4">
      <w:pPr>
        <w:pStyle w:val="OrderSigInfo"/>
        <w:keepNext/>
        <w:keepLines/>
      </w:pPr>
      <w:r>
        <w:t>2540 Shumard Oak Boulevard</w:t>
      </w:r>
    </w:p>
    <w:p w:rsidR="008219E4" w:rsidRDefault="008219E4" w:rsidP="008219E4">
      <w:pPr>
        <w:pStyle w:val="OrderSigInfo"/>
        <w:keepNext/>
        <w:keepLines/>
      </w:pPr>
      <w:r>
        <w:t>Tallahassee, Florida 32399</w:t>
      </w:r>
    </w:p>
    <w:p w:rsidR="008219E4" w:rsidRDefault="008219E4" w:rsidP="008219E4">
      <w:pPr>
        <w:pStyle w:val="OrderSigInfo"/>
        <w:keepNext/>
        <w:keepLines/>
      </w:pPr>
      <w:r>
        <w:t>(850) 413</w:t>
      </w:r>
      <w:r>
        <w:noBreakHyphen/>
        <w:t>6770</w:t>
      </w:r>
    </w:p>
    <w:p w:rsidR="008219E4" w:rsidRDefault="008219E4" w:rsidP="008219E4">
      <w:pPr>
        <w:pStyle w:val="OrderSigInfo"/>
        <w:keepNext/>
        <w:keepLines/>
      </w:pPr>
      <w:r>
        <w:t>www.floridapsc.com</w:t>
      </w:r>
    </w:p>
    <w:p w:rsidR="008219E4" w:rsidRDefault="008219E4" w:rsidP="008219E4">
      <w:pPr>
        <w:pStyle w:val="OrderSigInfo"/>
        <w:keepNext/>
        <w:keepLines/>
      </w:pPr>
    </w:p>
    <w:p w:rsidR="008219E4" w:rsidRDefault="008219E4" w:rsidP="008219E4">
      <w:pPr>
        <w:pStyle w:val="OrderSigInfo"/>
        <w:keepNext/>
        <w:keepLines/>
      </w:pPr>
      <w:r>
        <w:t>Copies furnished: A copy of this document is provided to the parties of record at the time of issuance and, if applicable, interested persons.</w:t>
      </w:r>
    </w:p>
    <w:p w:rsidR="008219E4" w:rsidRDefault="008219E4" w:rsidP="008219E4">
      <w:pPr>
        <w:pStyle w:val="OrderBody"/>
        <w:keepNext/>
        <w:keepLines/>
      </w:pPr>
    </w:p>
    <w:p w:rsidR="008219E4" w:rsidRDefault="008219E4" w:rsidP="008219E4">
      <w:pPr>
        <w:keepNext/>
        <w:keepLines/>
        <w:jc w:val="both"/>
        <w:rPr>
          <w:color w:val="FF0000"/>
        </w:rPr>
      </w:pPr>
    </w:p>
    <w:p w:rsidR="008219E4" w:rsidRPr="008219E4" w:rsidRDefault="008219E4" w:rsidP="008219E4">
      <w:pPr>
        <w:jc w:val="both"/>
      </w:pPr>
      <w:r w:rsidRPr="008219E4">
        <w:t>TPS</w:t>
      </w:r>
    </w:p>
    <w:p w:rsidR="008219E4" w:rsidRDefault="008219E4" w:rsidP="008219E4"/>
    <w:p w:rsidR="008219E4" w:rsidRDefault="008219E4" w:rsidP="008219E4"/>
    <w:p w:rsidR="00014DBF" w:rsidRDefault="00014DBF">
      <w:r>
        <w:br w:type="page"/>
      </w:r>
    </w:p>
    <w:p w:rsidR="008219E4" w:rsidRPr="00737E71" w:rsidRDefault="008219E4" w:rsidP="006F3879">
      <w:pPr>
        <w:jc w:val="center"/>
        <w:rPr>
          <w:u w:val="single"/>
        </w:rPr>
      </w:pPr>
      <w:r w:rsidRPr="00737E71">
        <w:rPr>
          <w:u w:val="single"/>
        </w:rPr>
        <w:lastRenderedPageBreak/>
        <w:t>NOTICE OF FURTHER PROCEEDINGS OR JUDICIAL REVIEW</w:t>
      </w:r>
    </w:p>
    <w:p w:rsidR="008219E4" w:rsidRDefault="008219E4" w:rsidP="008219E4">
      <w:pPr>
        <w:pStyle w:val="CenterUnderline"/>
      </w:pPr>
    </w:p>
    <w:p w:rsidR="008219E4" w:rsidRDefault="008219E4" w:rsidP="008219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19E4" w:rsidRDefault="008219E4" w:rsidP="008219E4">
      <w:pPr>
        <w:pStyle w:val="OrderBody"/>
      </w:pPr>
    </w:p>
    <w:p w:rsidR="008219E4" w:rsidRDefault="008219E4" w:rsidP="008219E4">
      <w:pPr>
        <w:pStyle w:val="OrderBody"/>
      </w:pPr>
      <w:r>
        <w:tab/>
        <w:t>Mediation may be available on a case-by-case basis.  If mediation is conducted, it does not affect a substantially interested person's right to a hearing.</w:t>
      </w:r>
    </w:p>
    <w:p w:rsidR="008219E4" w:rsidRDefault="008219E4" w:rsidP="008219E4">
      <w:pPr>
        <w:pStyle w:val="OrderBody"/>
      </w:pPr>
    </w:p>
    <w:p w:rsidR="008219E4" w:rsidRDefault="008219E4" w:rsidP="008219E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9" w:name="OrderText"/>
      <w:bookmarkEnd w:id="9"/>
    </w:p>
    <w:p w:rsidR="005F2751" w:rsidRDefault="005F2751"/>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E4" w:rsidRDefault="008219E4">
      <w:r>
        <w:separator/>
      </w:r>
    </w:p>
  </w:endnote>
  <w:endnote w:type="continuationSeparator" w:id="0">
    <w:p w:rsidR="008219E4" w:rsidRDefault="0082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E4" w:rsidRDefault="008219E4">
      <w:r>
        <w:separator/>
      </w:r>
    </w:p>
  </w:footnote>
  <w:footnote w:type="continuationSeparator" w:id="0">
    <w:p w:rsidR="008219E4" w:rsidRDefault="008219E4">
      <w:r>
        <w:continuationSeparator/>
      </w:r>
    </w:p>
  </w:footnote>
  <w:footnote w:id="1">
    <w:p w:rsidR="00DD02DB" w:rsidRDefault="00DD02DB">
      <w:pPr>
        <w:pStyle w:val="FootnoteText"/>
      </w:pPr>
      <w:r>
        <w:rPr>
          <w:rStyle w:val="FootnoteReference"/>
        </w:rPr>
        <w:footnoteRef/>
      </w:r>
      <w:r>
        <w:t xml:space="preserve"> </w:t>
      </w:r>
      <w:r w:rsidRPr="00986DA3">
        <w:rPr>
          <w:i/>
        </w:rPr>
        <w:t>Agrico Chem. Co. v. Dep’t of Envtl. Regulation</w:t>
      </w:r>
      <w:r w:rsidRPr="008F1743">
        <w:t>, 406 So. 2d 478, 481–82 (Fla. 2d DCA 1981).</w:t>
      </w:r>
    </w:p>
  </w:footnote>
  <w:footnote w:id="2">
    <w:p w:rsidR="00DD02DB" w:rsidRPr="00DD02DB" w:rsidRDefault="00DD02DB" w:rsidP="00DD02DB">
      <w:pPr>
        <w:jc w:val="both"/>
        <w:rPr>
          <w:sz w:val="20"/>
          <w:szCs w:val="20"/>
        </w:rPr>
      </w:pPr>
      <w:r>
        <w:rPr>
          <w:rStyle w:val="FootnoteReference"/>
        </w:rPr>
        <w:footnoteRef/>
      </w:r>
      <w:r>
        <w:t xml:space="preserve"> </w:t>
      </w:r>
      <w:r w:rsidRPr="00DD02DB">
        <w:rPr>
          <w:i/>
          <w:sz w:val="20"/>
          <w:szCs w:val="20"/>
        </w:rPr>
        <w:t>International Jai-Alai Players Assn. v. Florida Pari-Mutuel Commission</w:t>
      </w:r>
      <w:r w:rsidRPr="00DD02DB">
        <w:rPr>
          <w:sz w:val="20"/>
          <w:szCs w:val="20"/>
        </w:rPr>
        <w:t xml:space="preserve">, 561 So. 2d 1224, 1225-26 (Fla. 3d DCA 1990). </w:t>
      </w:r>
      <w:r w:rsidRPr="00DD02DB">
        <w:rPr>
          <w:i/>
          <w:sz w:val="20"/>
          <w:szCs w:val="20"/>
        </w:rPr>
        <w:t>See also Village Park Mobile Home Assn., Inc. v. State Dept. of Business Regulation</w:t>
      </w:r>
      <w:r w:rsidRPr="00DD02DB">
        <w:rPr>
          <w:sz w:val="20"/>
          <w:szCs w:val="20"/>
        </w:rPr>
        <w:t xml:space="preserve">, 506 So. 2d 426, 434 (Fla. 1st DCA 1987), </w:t>
      </w:r>
      <w:r w:rsidRPr="00DD02DB">
        <w:rPr>
          <w:i/>
          <w:sz w:val="20"/>
          <w:szCs w:val="20"/>
        </w:rPr>
        <w:t>rev. den.</w:t>
      </w:r>
      <w:r w:rsidRPr="00DD02DB">
        <w:rPr>
          <w:sz w:val="20"/>
          <w:szCs w:val="20"/>
        </w:rPr>
        <w:t>, 513 So. 2d 1063 (Fla. 1987) (speculation on the possible occurrence of injurious events is too remote).</w:t>
      </w:r>
    </w:p>
  </w:footnote>
  <w:footnote w:id="3">
    <w:p w:rsidR="00A42237" w:rsidRPr="00FC6F0D" w:rsidRDefault="00A42237" w:rsidP="00A42237">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4">
    <w:p w:rsidR="00A42237" w:rsidRDefault="00A42237" w:rsidP="00A42237">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5">
    <w:p w:rsidR="00A42237" w:rsidRDefault="00A42237" w:rsidP="00A42237">
      <w:pPr>
        <w:pStyle w:val="FootnoteText"/>
      </w:pPr>
      <w:r>
        <w:rPr>
          <w:rStyle w:val="FootnoteReference"/>
        </w:rPr>
        <w:footnoteRef/>
      </w:r>
      <w:r>
        <w:t xml:space="preserve"> </w:t>
      </w:r>
      <w:r w:rsidRPr="00986DA3">
        <w:rPr>
          <w:i/>
        </w:rPr>
        <w:t>Agrico</w:t>
      </w:r>
      <w:r w:rsidR="00DD02DB">
        <w:rPr>
          <w:i/>
        </w:rPr>
        <w:t>,</w:t>
      </w:r>
      <w:r w:rsidRPr="00986DA3">
        <w:rPr>
          <w:i/>
        </w:rPr>
        <w:t xml:space="preserve"> </w:t>
      </w:r>
      <w:r w:rsidRPr="008F1743">
        <w:t>406 So. 2d 478, 481–82</w:t>
      </w:r>
      <w:r w:rsidR="00DD02DB">
        <w:t>.</w:t>
      </w:r>
      <w:r>
        <w:t xml:space="preserve"> </w:t>
      </w:r>
    </w:p>
  </w:footnote>
  <w:footnote w:id="6">
    <w:p w:rsidR="00A42237" w:rsidRDefault="00A42237" w:rsidP="00A42237">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 w:id="7">
    <w:p w:rsidR="00055239" w:rsidRPr="00E301E1" w:rsidRDefault="00055239" w:rsidP="00055239">
      <w:pPr>
        <w:autoSpaceDE w:val="0"/>
        <w:autoSpaceDN w:val="0"/>
        <w:adjustRightInd w:val="0"/>
        <w:rPr>
          <w:sz w:val="20"/>
          <w:szCs w:val="20"/>
        </w:rPr>
      </w:pPr>
      <w:r w:rsidRPr="00E301E1">
        <w:rPr>
          <w:rStyle w:val="FootnoteReference"/>
          <w:sz w:val="20"/>
          <w:szCs w:val="20"/>
        </w:rPr>
        <w:footnoteRef/>
      </w:r>
      <w:r w:rsidRPr="00E301E1">
        <w:rPr>
          <w:sz w:val="20"/>
          <w:szCs w:val="20"/>
        </w:rPr>
        <w:t xml:space="preserve"> Order No. PSC-2021-01510PCO-EI, issued April 22, 2021, in Docket No. 20210016-EI, </w:t>
      </w:r>
      <w:r w:rsidRPr="00E301E1">
        <w:rPr>
          <w:i/>
          <w:sz w:val="20"/>
          <w:szCs w:val="20"/>
        </w:rPr>
        <w:t xml:space="preserve">In re: Petition for limited proceeding to approve 2021 settlement agreement, including general based rate increases, by Duke Energy Florida, LLC. </w:t>
      </w:r>
      <w:r w:rsidRPr="00E301E1">
        <w:rPr>
          <w:sz w:val="20"/>
          <w:szCs w:val="20"/>
        </w:rPr>
        <w:t xml:space="preserve">(“broad economic competition-based arguments for standing also do not satisfy the second prong of the </w:t>
      </w:r>
      <w:r w:rsidRPr="00E301E1">
        <w:rPr>
          <w:iCs/>
          <w:sz w:val="20"/>
          <w:szCs w:val="20"/>
          <w:u w:val="single"/>
        </w:rPr>
        <w:t>Agrico</w:t>
      </w:r>
      <w:r w:rsidRPr="00E301E1">
        <w:rPr>
          <w:i/>
          <w:iCs/>
          <w:sz w:val="20"/>
          <w:szCs w:val="20"/>
        </w:rPr>
        <w:t xml:space="preserve"> </w:t>
      </w:r>
      <w:r w:rsidRPr="00E301E1">
        <w:rPr>
          <w:sz w:val="20"/>
          <w:szCs w:val="20"/>
        </w:rPr>
        <w:t xml:space="preserve">test, because the injury </w:t>
      </w:r>
      <w:r>
        <w:rPr>
          <w:sz w:val="20"/>
          <w:szCs w:val="20"/>
        </w:rPr>
        <w:t xml:space="preserve">. . . </w:t>
      </w:r>
      <w:r w:rsidRPr="00E301E1">
        <w:rPr>
          <w:sz w:val="20"/>
          <w:szCs w:val="20"/>
        </w:rPr>
        <w:t xml:space="preserve"> is not of a type or nature that this proceeding is designed to protect”).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2 ">
      <w:r w:rsidR="00737E71">
        <w:t>PSC-2024-0182-PCO-EI</w:t>
      </w:r>
    </w:fldSimple>
  </w:p>
  <w:p w:rsidR="00FA6EFD" w:rsidRDefault="008219E4">
    <w:pPr>
      <w:pStyle w:val="OrderHeader"/>
    </w:pPr>
    <w:bookmarkStart w:id="10" w:name="HeaderDocketNo"/>
    <w:bookmarkEnd w:id="10"/>
    <w:r>
      <w:t>DOCKET NOS. 20240026-EI, 20230139-EI,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70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8219E4"/>
    <w:rsid w:val="000022B8"/>
    <w:rsid w:val="00003883"/>
    <w:rsid w:val="00011251"/>
    <w:rsid w:val="00014DBF"/>
    <w:rsid w:val="00025C2A"/>
    <w:rsid w:val="00025C9D"/>
    <w:rsid w:val="0003433F"/>
    <w:rsid w:val="00035A8C"/>
    <w:rsid w:val="00036BDD"/>
    <w:rsid w:val="00041FFD"/>
    <w:rsid w:val="00042C99"/>
    <w:rsid w:val="00047EE8"/>
    <w:rsid w:val="00053AB9"/>
    <w:rsid w:val="00055239"/>
    <w:rsid w:val="00055D95"/>
    <w:rsid w:val="00056229"/>
    <w:rsid w:val="00057AF1"/>
    <w:rsid w:val="00065FC2"/>
    <w:rsid w:val="00067685"/>
    <w:rsid w:val="00067B07"/>
    <w:rsid w:val="0007161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2D3E"/>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1A5C"/>
    <w:rsid w:val="00134177"/>
    <w:rsid w:val="00136087"/>
    <w:rsid w:val="00142A96"/>
    <w:rsid w:val="001512A2"/>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7015"/>
    <w:rsid w:val="00360F30"/>
    <w:rsid w:val="00361522"/>
    <w:rsid w:val="0037196E"/>
    <w:rsid w:val="003744F5"/>
    <w:rsid w:val="00382C6A"/>
    <w:rsid w:val="003875A9"/>
    <w:rsid w:val="00387BDE"/>
    <w:rsid w:val="00390DD8"/>
    <w:rsid w:val="00394DC6"/>
    <w:rsid w:val="00397C3E"/>
    <w:rsid w:val="003A50CB"/>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0574"/>
    <w:rsid w:val="00411DF2"/>
    <w:rsid w:val="00411E8F"/>
    <w:rsid w:val="004247F5"/>
    <w:rsid w:val="0042527B"/>
    <w:rsid w:val="00427EAC"/>
    <w:rsid w:val="004431B4"/>
    <w:rsid w:val="00445604"/>
    <w:rsid w:val="00451158"/>
    <w:rsid w:val="0045537F"/>
    <w:rsid w:val="00457DC7"/>
    <w:rsid w:val="004640B3"/>
    <w:rsid w:val="00472BCC"/>
    <w:rsid w:val="004732FF"/>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E5D"/>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514"/>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3879"/>
    <w:rsid w:val="00703F2A"/>
    <w:rsid w:val="00704C5D"/>
    <w:rsid w:val="007072BC"/>
    <w:rsid w:val="00715275"/>
    <w:rsid w:val="00721B44"/>
    <w:rsid w:val="007232A2"/>
    <w:rsid w:val="00726366"/>
    <w:rsid w:val="00731AB6"/>
    <w:rsid w:val="00733B6B"/>
    <w:rsid w:val="00737E71"/>
    <w:rsid w:val="00740808"/>
    <w:rsid w:val="00740A1B"/>
    <w:rsid w:val="007467C4"/>
    <w:rsid w:val="007513E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39D0"/>
    <w:rsid w:val="00801DAD"/>
    <w:rsid w:val="00803189"/>
    <w:rsid w:val="00804E7A"/>
    <w:rsid w:val="00805FBB"/>
    <w:rsid w:val="00814292"/>
    <w:rsid w:val="008169A4"/>
    <w:rsid w:val="0082013B"/>
    <w:rsid w:val="008219E4"/>
    <w:rsid w:val="00827658"/>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69A"/>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0A1A"/>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762C"/>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E7608"/>
    <w:rsid w:val="009F6AD2"/>
    <w:rsid w:val="009F7C1B"/>
    <w:rsid w:val="00A00B5B"/>
    <w:rsid w:val="00A00D8D"/>
    <w:rsid w:val="00A01BB6"/>
    <w:rsid w:val="00A108A7"/>
    <w:rsid w:val="00A228DA"/>
    <w:rsid w:val="00A22B28"/>
    <w:rsid w:val="00A3351E"/>
    <w:rsid w:val="00A42237"/>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0D81"/>
    <w:rsid w:val="00B019C1"/>
    <w:rsid w:val="00B02001"/>
    <w:rsid w:val="00B03C50"/>
    <w:rsid w:val="00B0777D"/>
    <w:rsid w:val="00B11576"/>
    <w:rsid w:val="00B1195F"/>
    <w:rsid w:val="00B14D10"/>
    <w:rsid w:val="00B209C7"/>
    <w:rsid w:val="00B355C6"/>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06C0"/>
    <w:rsid w:val="00B86EF0"/>
    <w:rsid w:val="00B96969"/>
    <w:rsid w:val="00B97900"/>
    <w:rsid w:val="00BA1229"/>
    <w:rsid w:val="00BA44A8"/>
    <w:rsid w:val="00BA49C5"/>
    <w:rsid w:val="00BB0182"/>
    <w:rsid w:val="00BB2F4A"/>
    <w:rsid w:val="00BC786E"/>
    <w:rsid w:val="00BD5C92"/>
    <w:rsid w:val="00BE50E6"/>
    <w:rsid w:val="00BE645A"/>
    <w:rsid w:val="00BE7A0C"/>
    <w:rsid w:val="00BF2928"/>
    <w:rsid w:val="00BF5D60"/>
    <w:rsid w:val="00BF6691"/>
    <w:rsid w:val="00C028FC"/>
    <w:rsid w:val="00C037F2"/>
    <w:rsid w:val="00C0386D"/>
    <w:rsid w:val="00C065A1"/>
    <w:rsid w:val="00C10ED5"/>
    <w:rsid w:val="00C12574"/>
    <w:rsid w:val="00C151A6"/>
    <w:rsid w:val="00C20594"/>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4C56"/>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02DB"/>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489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60BC"/>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3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8219E4"/>
    <w:pPr>
      <w:autoSpaceDE w:val="0"/>
      <w:autoSpaceDN w:val="0"/>
      <w:adjustRightInd w:val="0"/>
    </w:pPr>
    <w:rPr>
      <w:color w:val="000000"/>
      <w:sz w:val="24"/>
      <w:szCs w:val="24"/>
    </w:rPr>
  </w:style>
  <w:style w:type="character" w:styleId="Hyperlink">
    <w:name w:val="Hyperlink"/>
    <w:basedOn w:val="DefaultParagraphFont"/>
    <w:unhideWhenUsed/>
    <w:rsid w:val="008219E4"/>
    <w:rPr>
      <w:color w:val="0000FF" w:themeColor="hyperlink"/>
      <w:u w:val="single"/>
    </w:rPr>
  </w:style>
  <w:style w:type="paragraph" w:styleId="BalloonText">
    <w:name w:val="Balloon Text"/>
    <w:basedOn w:val="Normal"/>
    <w:link w:val="BalloonTextChar"/>
    <w:semiHidden/>
    <w:unhideWhenUsed/>
    <w:rsid w:val="00A42237"/>
    <w:rPr>
      <w:rFonts w:ascii="Segoe UI" w:hAnsi="Segoe UI" w:cs="Segoe UI"/>
      <w:sz w:val="18"/>
      <w:szCs w:val="18"/>
    </w:rPr>
  </w:style>
  <w:style w:type="character" w:customStyle="1" w:styleId="BalloonTextChar">
    <w:name w:val="Balloon Text Char"/>
    <w:basedOn w:val="DefaultParagraphFont"/>
    <w:link w:val="BalloonText"/>
    <w:semiHidden/>
    <w:rsid w:val="00A42237"/>
    <w:rPr>
      <w:rFonts w:ascii="Segoe UI" w:hAnsi="Segoe UI" w:cs="Segoe UI"/>
      <w:sz w:val="18"/>
      <w:szCs w:val="18"/>
    </w:rPr>
  </w:style>
  <w:style w:type="character" w:customStyle="1" w:styleId="FootnoteTextChar">
    <w:name w:val="Footnote Text Char"/>
    <w:basedOn w:val="DefaultParagraphFont"/>
    <w:link w:val="FootnoteText"/>
    <w:rsid w:val="00A4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vafek@bergersingerman.com" TargetMode="External"/><Relationship Id="rId3" Type="http://schemas.openxmlformats.org/officeDocument/2006/relationships/settings" Target="settings.xml"/><Relationship Id="rId7" Type="http://schemas.openxmlformats.org/officeDocument/2006/relationships/hyperlink" Target="mailto:fself@bergersingerm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EC53-B3F8-45E1-9FDA-96B320FC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2024-06-03T14:34:00Z</dcterms:created>
  <dcterms:modified xsi:type="dcterms:W3CDTF">2024-06-03T16:26:00Z</dcterms:modified>
</cp:coreProperties>
</file>