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75A52" w:rsidP="00F75A52">
      <w:pPr>
        <w:pStyle w:val="OrderHeading"/>
      </w:pPr>
      <w:r>
        <w:t>BEFORE THE FLORIDA PUBLIC SERVICE COMMISSION</w:t>
      </w:r>
    </w:p>
    <w:p w:rsidR="00F75A52" w:rsidRDefault="00F75A52" w:rsidP="00F75A52">
      <w:pPr>
        <w:pStyle w:val="OrderBody"/>
      </w:pPr>
    </w:p>
    <w:p w:rsidR="00F75A52" w:rsidRDefault="00F75A52" w:rsidP="00F75A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5A52" w:rsidRPr="00C63FCF" w:rsidTr="00C63FCF">
        <w:trPr>
          <w:trHeight w:val="828"/>
        </w:trPr>
        <w:tc>
          <w:tcPr>
            <w:tcW w:w="4788" w:type="dxa"/>
            <w:tcBorders>
              <w:bottom w:val="single" w:sz="8" w:space="0" w:color="auto"/>
              <w:right w:val="double" w:sz="6" w:space="0" w:color="auto"/>
            </w:tcBorders>
            <w:shd w:val="clear" w:color="auto" w:fill="auto"/>
          </w:tcPr>
          <w:p w:rsidR="00F75A52" w:rsidRDefault="00F75A52" w:rsidP="00C63FCF">
            <w:pPr>
              <w:pStyle w:val="OrderBody"/>
              <w:tabs>
                <w:tab w:val="center" w:pos="4320"/>
                <w:tab w:val="right" w:pos="8640"/>
              </w:tabs>
              <w:jc w:val="left"/>
            </w:pPr>
            <w:r>
              <w:t xml:space="preserve">In re: </w:t>
            </w:r>
            <w:bookmarkStart w:id="0" w:name="SSInRe"/>
            <w:bookmarkEnd w:id="0"/>
            <w:r>
              <w:t>Petition for rate increase by Tampa Electric Company.</w:t>
            </w:r>
          </w:p>
          <w:p w:rsidR="00627825" w:rsidRDefault="00627825" w:rsidP="00C63FCF">
            <w:pPr>
              <w:pStyle w:val="OrderBody"/>
              <w:tabs>
                <w:tab w:val="center" w:pos="4320"/>
                <w:tab w:val="right" w:pos="8640"/>
              </w:tabs>
              <w:jc w:val="left"/>
            </w:pPr>
          </w:p>
          <w:p w:rsidR="00627825" w:rsidRDefault="00627825" w:rsidP="00C63FCF">
            <w:pPr>
              <w:pStyle w:val="OrderBody"/>
              <w:tabs>
                <w:tab w:val="center" w:pos="4320"/>
                <w:tab w:val="right" w:pos="8640"/>
              </w:tabs>
              <w:jc w:val="left"/>
            </w:pPr>
            <w:r>
              <w:t>In re: Petition for approval of 2023 depreciation and dismantlement study, by Tampa Electric Company.</w:t>
            </w:r>
          </w:p>
          <w:p w:rsidR="00627825" w:rsidRDefault="00627825" w:rsidP="00C63FCF">
            <w:pPr>
              <w:pStyle w:val="OrderBody"/>
              <w:tabs>
                <w:tab w:val="center" w:pos="4320"/>
                <w:tab w:val="right" w:pos="8640"/>
              </w:tabs>
              <w:jc w:val="left"/>
            </w:pPr>
          </w:p>
          <w:p w:rsidR="00627825" w:rsidRDefault="00627825"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F75A52" w:rsidRDefault="00F75A52" w:rsidP="00F75A52">
            <w:pPr>
              <w:pStyle w:val="OrderBody"/>
            </w:pPr>
            <w:r>
              <w:t xml:space="preserve">DOCKET NO. </w:t>
            </w:r>
            <w:bookmarkStart w:id="1" w:name="SSDocketNo"/>
            <w:bookmarkEnd w:id="1"/>
            <w:r>
              <w:t>20240026-EI</w:t>
            </w:r>
          </w:p>
          <w:p w:rsidR="00627825" w:rsidRDefault="00627825" w:rsidP="00C63FCF">
            <w:pPr>
              <w:pStyle w:val="OrderBody"/>
              <w:tabs>
                <w:tab w:val="center" w:pos="4320"/>
                <w:tab w:val="right" w:pos="8640"/>
              </w:tabs>
              <w:jc w:val="left"/>
            </w:pPr>
          </w:p>
          <w:p w:rsidR="00627825" w:rsidRDefault="00627825" w:rsidP="00C63FCF">
            <w:pPr>
              <w:pStyle w:val="OrderBody"/>
              <w:tabs>
                <w:tab w:val="center" w:pos="4320"/>
                <w:tab w:val="right" w:pos="8640"/>
              </w:tabs>
              <w:jc w:val="left"/>
            </w:pPr>
          </w:p>
          <w:p w:rsidR="00627825" w:rsidRDefault="00627825" w:rsidP="00C63FCF">
            <w:pPr>
              <w:pStyle w:val="OrderBody"/>
              <w:tabs>
                <w:tab w:val="center" w:pos="4320"/>
                <w:tab w:val="right" w:pos="8640"/>
              </w:tabs>
              <w:jc w:val="left"/>
            </w:pPr>
            <w:r>
              <w:t>DOCKET NO. 20230139-EI</w:t>
            </w:r>
          </w:p>
          <w:p w:rsidR="00627825" w:rsidRDefault="00627825" w:rsidP="00C63FCF">
            <w:pPr>
              <w:pStyle w:val="OrderBody"/>
              <w:tabs>
                <w:tab w:val="center" w:pos="4320"/>
                <w:tab w:val="right" w:pos="8640"/>
              </w:tabs>
              <w:jc w:val="left"/>
            </w:pPr>
          </w:p>
          <w:p w:rsidR="00627825" w:rsidRDefault="00627825" w:rsidP="00C63FCF">
            <w:pPr>
              <w:pStyle w:val="OrderBody"/>
              <w:tabs>
                <w:tab w:val="center" w:pos="4320"/>
                <w:tab w:val="right" w:pos="8640"/>
              </w:tabs>
              <w:jc w:val="left"/>
            </w:pPr>
          </w:p>
          <w:p w:rsidR="00627825" w:rsidRDefault="00627825" w:rsidP="00C63FCF">
            <w:pPr>
              <w:pStyle w:val="OrderBody"/>
              <w:tabs>
                <w:tab w:val="center" w:pos="4320"/>
                <w:tab w:val="right" w:pos="8640"/>
              </w:tabs>
              <w:jc w:val="left"/>
            </w:pPr>
          </w:p>
          <w:p w:rsidR="00627825" w:rsidRDefault="00627825" w:rsidP="00C63FCF">
            <w:pPr>
              <w:pStyle w:val="OrderBody"/>
              <w:tabs>
                <w:tab w:val="center" w:pos="4320"/>
                <w:tab w:val="right" w:pos="8640"/>
              </w:tabs>
              <w:jc w:val="left"/>
            </w:pPr>
            <w:r>
              <w:t>DOCKET NO. 20230090-EI</w:t>
            </w:r>
          </w:p>
          <w:p w:rsidR="00627825" w:rsidRDefault="00627825" w:rsidP="00C63FCF">
            <w:pPr>
              <w:pStyle w:val="OrderBody"/>
              <w:tabs>
                <w:tab w:val="center" w:pos="4320"/>
                <w:tab w:val="right" w:pos="8640"/>
              </w:tabs>
              <w:jc w:val="left"/>
            </w:pPr>
          </w:p>
          <w:p w:rsidR="00F75A52" w:rsidRDefault="00F75A52" w:rsidP="00C63FCF">
            <w:pPr>
              <w:pStyle w:val="OrderBody"/>
              <w:tabs>
                <w:tab w:val="center" w:pos="4320"/>
                <w:tab w:val="right" w:pos="8640"/>
              </w:tabs>
              <w:jc w:val="left"/>
            </w:pPr>
            <w:r>
              <w:t xml:space="preserve">ORDER NO. </w:t>
            </w:r>
            <w:bookmarkStart w:id="2" w:name="OrderNo0183"/>
            <w:r w:rsidR="0048317E">
              <w:t>PSC-2024-0183-PCO-EI</w:t>
            </w:r>
            <w:bookmarkEnd w:id="2"/>
          </w:p>
          <w:p w:rsidR="00F75A52" w:rsidRDefault="00F75A52" w:rsidP="00C63FCF">
            <w:pPr>
              <w:pStyle w:val="OrderBody"/>
              <w:tabs>
                <w:tab w:val="center" w:pos="4320"/>
                <w:tab w:val="right" w:pos="8640"/>
              </w:tabs>
              <w:jc w:val="left"/>
            </w:pPr>
            <w:r>
              <w:t xml:space="preserve">ISSUED: </w:t>
            </w:r>
            <w:r w:rsidR="0048317E">
              <w:t>June 4, 2024</w:t>
            </w:r>
          </w:p>
        </w:tc>
      </w:tr>
    </w:tbl>
    <w:p w:rsidR="00F75A52" w:rsidRDefault="00F75A52" w:rsidP="00DC693E">
      <w:pPr>
        <w:jc w:val="both"/>
      </w:pPr>
    </w:p>
    <w:p w:rsidR="00F75A52" w:rsidRDefault="00F75A52" w:rsidP="00DC693E">
      <w:pPr>
        <w:jc w:val="both"/>
      </w:pPr>
    </w:p>
    <w:p w:rsidR="00730F60" w:rsidRDefault="00F75A52" w:rsidP="00F75A52">
      <w:pPr>
        <w:pStyle w:val="CenterUnderline"/>
      </w:pPr>
      <w:bookmarkStart w:id="3" w:name="Commissioners"/>
      <w:bookmarkEnd w:id="3"/>
      <w:r>
        <w:t>ORDER</w:t>
      </w:r>
      <w:bookmarkStart w:id="4" w:name="OrderTitle"/>
      <w:r>
        <w:t xml:space="preserve"> GRANTING </w:t>
      </w:r>
      <w:r w:rsidR="00730F60">
        <w:t>IN PART AND DENYING IN PART</w:t>
      </w:r>
    </w:p>
    <w:p w:rsidR="00CB5276" w:rsidRDefault="0027358D" w:rsidP="00F75A52">
      <w:pPr>
        <w:pStyle w:val="CenterUnderline"/>
      </w:pPr>
      <w:r>
        <w:t>OFFICE OF PUBLIC COUNSEL’S</w:t>
      </w:r>
      <w:r w:rsidR="00F75A52">
        <w:t xml:space="preserve"> </w:t>
      </w:r>
      <w:r w:rsidR="00887C89">
        <w:t xml:space="preserve">EXPEDITED </w:t>
      </w:r>
      <w:r w:rsidR="00F75A52">
        <w:t xml:space="preserve">MOTION TO ENLARGE DISCOVERY </w:t>
      </w:r>
      <w:bookmarkEnd w:id="4"/>
    </w:p>
    <w:p w:rsidR="00F75A52" w:rsidRDefault="00F75A52" w:rsidP="00DC693E">
      <w:pPr>
        <w:pStyle w:val="CenterUnderline"/>
        <w:jc w:val="both"/>
      </w:pPr>
    </w:p>
    <w:p w:rsidR="00F75A52" w:rsidRDefault="00DC693E" w:rsidP="00DC693E">
      <w:pPr>
        <w:pStyle w:val="CenterUnderline"/>
        <w:jc w:val="both"/>
        <w:rPr>
          <w:u w:val="none"/>
        </w:rPr>
      </w:pPr>
      <w:r>
        <w:rPr>
          <w:u w:val="none"/>
        </w:rPr>
        <w:tab/>
      </w:r>
      <w:r w:rsidR="00453128">
        <w:rPr>
          <w:u w:val="none"/>
        </w:rPr>
        <w:t xml:space="preserve">On April 16, 2024, the Florida Public Service Commission (“Commission”) </w:t>
      </w:r>
      <w:r w:rsidR="00686857">
        <w:rPr>
          <w:u w:val="none"/>
        </w:rPr>
        <w:t xml:space="preserve">issued </w:t>
      </w:r>
      <w:r w:rsidR="00E66B92">
        <w:rPr>
          <w:u w:val="none"/>
        </w:rPr>
        <w:t xml:space="preserve">an </w:t>
      </w:r>
      <w:r w:rsidR="00453128">
        <w:rPr>
          <w:u w:val="none"/>
        </w:rPr>
        <w:t>Order Establishing Procedure and Consolidating Dockets</w:t>
      </w:r>
      <w:r w:rsidR="00686857" w:rsidRPr="00AF79CB">
        <w:rPr>
          <w:u w:val="none"/>
        </w:rPr>
        <w:t>,</w:t>
      </w:r>
      <w:r w:rsidR="00686857">
        <w:rPr>
          <w:u w:val="none"/>
        </w:rPr>
        <w:t xml:space="preserve"> </w:t>
      </w:r>
      <w:r w:rsidR="00AF79CB">
        <w:rPr>
          <w:u w:val="none"/>
        </w:rPr>
        <w:t xml:space="preserve">Order No. PSC-2024-0096-PCO-EI, </w:t>
      </w:r>
      <w:r w:rsidR="00686857">
        <w:rPr>
          <w:u w:val="none"/>
        </w:rPr>
        <w:t>which established controlling dates and procedures for Docket No. 20240026-EI.</w:t>
      </w:r>
      <w:r w:rsidR="00E66B92">
        <w:rPr>
          <w:u w:val="none"/>
        </w:rPr>
        <w:t xml:space="preserve"> That </w:t>
      </w:r>
      <w:r w:rsidR="00083F26">
        <w:rPr>
          <w:u w:val="none"/>
        </w:rPr>
        <w:t>O</w:t>
      </w:r>
      <w:r w:rsidR="00E66B92">
        <w:rPr>
          <w:u w:val="none"/>
        </w:rPr>
        <w:t xml:space="preserve">rder provides that the </w:t>
      </w:r>
      <w:r w:rsidR="005C5511">
        <w:rPr>
          <w:u w:val="none"/>
        </w:rPr>
        <w:t xml:space="preserve">total </w:t>
      </w:r>
      <w:r w:rsidR="00E66B92">
        <w:rPr>
          <w:u w:val="none"/>
        </w:rPr>
        <w:t xml:space="preserve">number of interrogatories, including all subparts, </w:t>
      </w:r>
      <w:r w:rsidR="00703EC0">
        <w:rPr>
          <w:u w:val="none"/>
        </w:rPr>
        <w:t xml:space="preserve">issued by any one </w:t>
      </w:r>
      <w:r w:rsidR="005C5511">
        <w:rPr>
          <w:u w:val="none"/>
        </w:rPr>
        <w:t xml:space="preserve">party </w:t>
      </w:r>
      <w:r w:rsidR="00E66B92">
        <w:rPr>
          <w:u w:val="none"/>
        </w:rPr>
        <w:t>shall be limited to 500.</w:t>
      </w:r>
    </w:p>
    <w:p w:rsidR="00686857" w:rsidRDefault="00686857" w:rsidP="00DC693E">
      <w:pPr>
        <w:pStyle w:val="CenterUnderline"/>
        <w:jc w:val="both"/>
        <w:rPr>
          <w:u w:val="none"/>
        </w:rPr>
      </w:pPr>
    </w:p>
    <w:p w:rsidR="00686857" w:rsidRDefault="00686857" w:rsidP="00DC693E">
      <w:pPr>
        <w:pStyle w:val="CenterUnderline"/>
        <w:jc w:val="both"/>
        <w:rPr>
          <w:u w:val="none"/>
        </w:rPr>
      </w:pPr>
      <w:r>
        <w:rPr>
          <w:u w:val="none"/>
        </w:rPr>
        <w:tab/>
      </w:r>
      <w:r w:rsidR="00AE4274">
        <w:rPr>
          <w:u w:val="none"/>
        </w:rPr>
        <w:t>On May 17, 2024, the Office of Public Counsel (“OPC”) filed an Expedited Motion to Enlarge Discovery.</w:t>
      </w:r>
      <w:r w:rsidR="0004260C">
        <w:rPr>
          <w:rStyle w:val="FootnoteReference"/>
          <w:u w:val="none"/>
        </w:rPr>
        <w:footnoteReference w:id="1"/>
      </w:r>
      <w:r w:rsidR="00AE4274">
        <w:rPr>
          <w:u w:val="none"/>
        </w:rPr>
        <w:t xml:space="preserve"> OPC </w:t>
      </w:r>
      <w:r w:rsidR="00FF1D1D">
        <w:rPr>
          <w:u w:val="none"/>
        </w:rPr>
        <w:t>states that it was informed by Tampa Electric Company (“TECO”)</w:t>
      </w:r>
      <w:r w:rsidR="00984049">
        <w:rPr>
          <w:u w:val="none"/>
        </w:rPr>
        <w:t xml:space="preserve"> on May 15, 2024, that OPC had exceeded the 500 interrogatory maximum by approximately 125–150 interrogatories.</w:t>
      </w:r>
      <w:r w:rsidR="00620AE2">
        <w:rPr>
          <w:u w:val="none"/>
        </w:rPr>
        <w:t xml:space="preserve"> OPC contends it </w:t>
      </w:r>
      <w:r w:rsidR="00C25381">
        <w:rPr>
          <w:u w:val="none"/>
        </w:rPr>
        <w:t xml:space="preserve">has </w:t>
      </w:r>
      <w:r w:rsidR="00620AE2">
        <w:rPr>
          <w:u w:val="none"/>
        </w:rPr>
        <w:t>endeavored to be</w:t>
      </w:r>
      <w:r w:rsidR="00C25381">
        <w:rPr>
          <w:u w:val="none"/>
        </w:rPr>
        <w:t xml:space="preserve"> as proactive and efficient as possible in propounding interrogatories </w:t>
      </w:r>
      <w:r w:rsidR="00105747">
        <w:rPr>
          <w:u w:val="none"/>
        </w:rPr>
        <w:t>upon</w:t>
      </w:r>
      <w:r w:rsidR="00C25381">
        <w:rPr>
          <w:u w:val="none"/>
        </w:rPr>
        <w:t xml:space="preserve"> TECO. </w:t>
      </w:r>
      <w:r w:rsidR="000B2DB5">
        <w:rPr>
          <w:u w:val="none"/>
        </w:rPr>
        <w:t>OPC argues that t</w:t>
      </w:r>
      <w:r w:rsidR="008B5375">
        <w:rPr>
          <w:u w:val="none"/>
        </w:rPr>
        <w:t>o adequately re</w:t>
      </w:r>
      <w:r w:rsidR="009B61ED">
        <w:rPr>
          <w:u w:val="none"/>
        </w:rPr>
        <w:t>present the citizens of Florida</w:t>
      </w:r>
      <w:r w:rsidR="008B5375">
        <w:rPr>
          <w:u w:val="none"/>
        </w:rPr>
        <w:t xml:space="preserve"> it vitally needs the information requ</w:t>
      </w:r>
      <w:r w:rsidR="00475F16">
        <w:rPr>
          <w:u w:val="none"/>
        </w:rPr>
        <w:t>ested in pending interrogatory responses</w:t>
      </w:r>
      <w:r w:rsidR="008B5375">
        <w:rPr>
          <w:u w:val="none"/>
        </w:rPr>
        <w:t xml:space="preserve"> as well as the ability </w:t>
      </w:r>
      <w:r w:rsidR="00102883">
        <w:rPr>
          <w:u w:val="none"/>
        </w:rPr>
        <w:t>to</w:t>
      </w:r>
      <w:r w:rsidR="00CE4F3A">
        <w:rPr>
          <w:u w:val="none"/>
        </w:rPr>
        <w:t xml:space="preserve"> send future interrogatories. </w:t>
      </w:r>
      <w:r w:rsidR="00635988">
        <w:rPr>
          <w:u w:val="none"/>
        </w:rPr>
        <w:t xml:space="preserve">OPC alleges </w:t>
      </w:r>
      <w:r w:rsidR="00026EEE">
        <w:rPr>
          <w:u w:val="none"/>
        </w:rPr>
        <w:t xml:space="preserve">that </w:t>
      </w:r>
      <w:r w:rsidR="00635988">
        <w:rPr>
          <w:u w:val="none"/>
        </w:rPr>
        <w:t>its ability to build its case will be harmed if it is not permitted to serve additional interrogatories</w:t>
      </w:r>
      <w:r w:rsidR="00026EEE">
        <w:rPr>
          <w:u w:val="none"/>
        </w:rPr>
        <w:t xml:space="preserve"> in this matter</w:t>
      </w:r>
      <w:r w:rsidR="00635988">
        <w:rPr>
          <w:u w:val="none"/>
        </w:rPr>
        <w:t xml:space="preserve">. </w:t>
      </w:r>
      <w:r w:rsidR="00B153ED">
        <w:rPr>
          <w:u w:val="none"/>
        </w:rPr>
        <w:t xml:space="preserve">OPC therefore </w:t>
      </w:r>
      <w:r w:rsidR="00635988">
        <w:rPr>
          <w:u w:val="none"/>
        </w:rPr>
        <w:t>requests that the interrogatory limit be raised from 500 to 1,000</w:t>
      </w:r>
      <w:r w:rsidR="00E81B61">
        <w:rPr>
          <w:u w:val="none"/>
        </w:rPr>
        <w:t>.</w:t>
      </w:r>
      <w:r w:rsidR="008A005A">
        <w:rPr>
          <w:u w:val="none"/>
        </w:rPr>
        <w:t xml:space="preserve"> OPC represents that it </w:t>
      </w:r>
      <w:r w:rsidR="007C490B">
        <w:rPr>
          <w:u w:val="none"/>
        </w:rPr>
        <w:t xml:space="preserve">conferred </w:t>
      </w:r>
      <w:r w:rsidR="00C85558">
        <w:rPr>
          <w:u w:val="none"/>
        </w:rPr>
        <w:t>with the parties</w:t>
      </w:r>
      <w:r w:rsidR="00526726">
        <w:rPr>
          <w:u w:val="none"/>
        </w:rPr>
        <w:t xml:space="preserve"> and TECO</w:t>
      </w:r>
      <w:r w:rsidR="00C85558">
        <w:rPr>
          <w:u w:val="none"/>
        </w:rPr>
        <w:t xml:space="preserve"> </w:t>
      </w:r>
      <w:r w:rsidR="00CC687C">
        <w:rPr>
          <w:u w:val="none"/>
        </w:rPr>
        <w:t>does</w:t>
      </w:r>
      <w:r w:rsidR="00526726">
        <w:rPr>
          <w:u w:val="none"/>
        </w:rPr>
        <w:t xml:space="preserve"> not object to increasing the interrogatory, including subparts, maximum for OPC to 750–800.</w:t>
      </w:r>
      <w:r w:rsidR="00CC687C">
        <w:rPr>
          <w:rStyle w:val="FootnoteReference"/>
          <w:u w:val="none"/>
        </w:rPr>
        <w:footnoteReference w:id="2"/>
      </w:r>
    </w:p>
    <w:p w:rsidR="001B5EB0" w:rsidRDefault="001B5EB0" w:rsidP="00DC693E">
      <w:pPr>
        <w:pStyle w:val="CenterUnderline"/>
        <w:jc w:val="both"/>
        <w:rPr>
          <w:u w:val="none"/>
        </w:rPr>
      </w:pPr>
    </w:p>
    <w:p w:rsidR="001B5EB0" w:rsidRDefault="001B5EB0" w:rsidP="00DC693E">
      <w:pPr>
        <w:pStyle w:val="CenterUnderline"/>
        <w:jc w:val="both"/>
        <w:rPr>
          <w:u w:val="none"/>
        </w:rPr>
      </w:pPr>
      <w:r>
        <w:rPr>
          <w:u w:val="none"/>
        </w:rPr>
        <w:tab/>
        <w:t xml:space="preserve">On May 21, 2024, </w:t>
      </w:r>
      <w:r w:rsidR="00A726AC">
        <w:rPr>
          <w:u w:val="none"/>
        </w:rPr>
        <w:t xml:space="preserve">TECO timely filed a </w:t>
      </w:r>
      <w:r w:rsidR="00F121F6">
        <w:rPr>
          <w:u w:val="none"/>
        </w:rPr>
        <w:t>r</w:t>
      </w:r>
      <w:r w:rsidR="00A726AC">
        <w:rPr>
          <w:u w:val="none"/>
        </w:rPr>
        <w:t xml:space="preserve">esponse to OPC’s </w:t>
      </w:r>
      <w:r w:rsidR="00F121F6">
        <w:rPr>
          <w:u w:val="none"/>
        </w:rPr>
        <w:t>motion.</w:t>
      </w:r>
      <w:r w:rsidR="00662A2C">
        <w:rPr>
          <w:rStyle w:val="FootnoteReference"/>
          <w:u w:val="none"/>
        </w:rPr>
        <w:footnoteReference w:id="3"/>
      </w:r>
      <w:r w:rsidR="00F121F6">
        <w:rPr>
          <w:u w:val="none"/>
        </w:rPr>
        <w:t xml:space="preserve"> </w:t>
      </w:r>
      <w:r w:rsidR="00306F70">
        <w:rPr>
          <w:u w:val="none"/>
        </w:rPr>
        <w:t>TECO</w:t>
      </w:r>
      <w:r w:rsidR="000C266B">
        <w:rPr>
          <w:u w:val="none"/>
        </w:rPr>
        <w:t xml:space="preserve"> asserts that the basic construct of this case is not new or unique because its 2021 rate case also involved one test year and two subsequent year adjustments. </w:t>
      </w:r>
      <w:r w:rsidR="00306F70">
        <w:rPr>
          <w:u w:val="none"/>
        </w:rPr>
        <w:t xml:space="preserve">TECO </w:t>
      </w:r>
      <w:r w:rsidR="009E037F">
        <w:rPr>
          <w:u w:val="none"/>
        </w:rPr>
        <w:t>notes</w:t>
      </w:r>
      <w:r w:rsidR="00306F70">
        <w:rPr>
          <w:u w:val="none"/>
        </w:rPr>
        <w:t xml:space="preserve"> that the ratepayers </w:t>
      </w:r>
      <w:r w:rsidR="009E037F">
        <w:rPr>
          <w:u w:val="none"/>
        </w:rPr>
        <w:t xml:space="preserve">will </w:t>
      </w:r>
      <w:r w:rsidR="00306F70">
        <w:rPr>
          <w:u w:val="none"/>
        </w:rPr>
        <w:t xml:space="preserve">ultimately </w:t>
      </w:r>
      <w:r w:rsidR="00306F70">
        <w:rPr>
          <w:u w:val="none"/>
        </w:rPr>
        <w:lastRenderedPageBreak/>
        <w:t xml:space="preserve">bear the cost of discovery </w:t>
      </w:r>
      <w:r w:rsidR="009E037F">
        <w:rPr>
          <w:u w:val="none"/>
        </w:rPr>
        <w:t xml:space="preserve">and thus cautions </w:t>
      </w:r>
      <w:r w:rsidR="005616C2">
        <w:rPr>
          <w:u w:val="none"/>
        </w:rPr>
        <w:t>this</w:t>
      </w:r>
      <w:r w:rsidR="009E037F">
        <w:rPr>
          <w:u w:val="none"/>
        </w:rPr>
        <w:t xml:space="preserve"> Commission against </w:t>
      </w:r>
      <w:r w:rsidR="00BD2BE1">
        <w:rPr>
          <w:u w:val="none"/>
        </w:rPr>
        <w:t xml:space="preserve">an overbroad enlargement of discovery. </w:t>
      </w:r>
      <w:r w:rsidR="00C0270D">
        <w:rPr>
          <w:u w:val="none"/>
        </w:rPr>
        <w:t>TECO argues that a maximum of 750–800 interrogatories, including subparts, is sufficient</w:t>
      </w:r>
      <w:r w:rsidR="00DC7071">
        <w:rPr>
          <w:u w:val="none"/>
        </w:rPr>
        <w:t xml:space="preserve"> for OPC</w:t>
      </w:r>
      <w:r w:rsidR="00C0270D">
        <w:rPr>
          <w:u w:val="none"/>
        </w:rPr>
        <w:t>.</w:t>
      </w:r>
    </w:p>
    <w:p w:rsidR="00995F7A" w:rsidRPr="00756088" w:rsidRDefault="00995F7A" w:rsidP="00DC693E">
      <w:pPr>
        <w:pStyle w:val="CenterUnderline"/>
        <w:jc w:val="both"/>
        <w:rPr>
          <w:u w:val="none"/>
        </w:rPr>
      </w:pPr>
    </w:p>
    <w:p w:rsidR="00F75A52" w:rsidRPr="00756088" w:rsidRDefault="00615D55" w:rsidP="00DC693E">
      <w:pPr>
        <w:pStyle w:val="CenterUnderline"/>
        <w:jc w:val="both"/>
        <w:rPr>
          <w:u w:val="none"/>
        </w:rPr>
      </w:pPr>
      <w:r>
        <w:rPr>
          <w:u w:val="none"/>
        </w:rPr>
        <w:tab/>
      </w:r>
      <w:r w:rsidR="007263C3">
        <w:rPr>
          <w:u w:val="none"/>
        </w:rPr>
        <w:t xml:space="preserve">Rule 1.340(a) of the Florida Rules of Civil Procedure limits parties to 30 interrogatories, including subparts, </w:t>
      </w:r>
      <w:r w:rsidR="00FE1EF7">
        <w:rPr>
          <w:u w:val="none"/>
        </w:rPr>
        <w:t xml:space="preserve">except upon motion </w:t>
      </w:r>
      <w:r w:rsidR="00F25F77">
        <w:rPr>
          <w:u w:val="none"/>
        </w:rPr>
        <w:t>for</w:t>
      </w:r>
      <w:r w:rsidR="00FE1EF7">
        <w:rPr>
          <w:u w:val="none"/>
        </w:rPr>
        <w:t xml:space="preserve"> </w:t>
      </w:r>
      <w:r w:rsidR="008A5C80">
        <w:rPr>
          <w:u w:val="none"/>
        </w:rPr>
        <w:t>good cause</w:t>
      </w:r>
      <w:r w:rsidR="00FE1EF7">
        <w:rPr>
          <w:u w:val="none"/>
        </w:rPr>
        <w:t xml:space="preserve"> shown</w:t>
      </w:r>
      <w:r w:rsidR="008A5C80">
        <w:rPr>
          <w:u w:val="none"/>
        </w:rPr>
        <w:t xml:space="preserve">. The Commission permits parties to exceed </w:t>
      </w:r>
      <w:r w:rsidR="00D437CF">
        <w:rPr>
          <w:u w:val="none"/>
        </w:rPr>
        <w:t>that number when the scope of a proceeding is complex</w:t>
      </w:r>
      <w:r w:rsidR="00CF0D91">
        <w:rPr>
          <w:u w:val="none"/>
        </w:rPr>
        <w:t xml:space="preserve"> in nature</w:t>
      </w:r>
      <w:r w:rsidR="00AD1135">
        <w:rPr>
          <w:u w:val="none"/>
        </w:rPr>
        <w:t xml:space="preserve">. </w:t>
      </w:r>
      <w:r w:rsidR="006767F3">
        <w:rPr>
          <w:u w:val="none"/>
        </w:rPr>
        <w:t xml:space="preserve">Matters </w:t>
      </w:r>
      <w:r w:rsidR="000A2E7A">
        <w:rPr>
          <w:u w:val="none"/>
        </w:rPr>
        <w:t xml:space="preserve">related to </w:t>
      </w:r>
      <w:r w:rsidR="006767F3">
        <w:rPr>
          <w:u w:val="none"/>
        </w:rPr>
        <w:t>discovery are addressed on a case-by-case basis</w:t>
      </w:r>
      <w:r w:rsidR="004905C8">
        <w:rPr>
          <w:u w:val="none"/>
        </w:rPr>
        <w:t xml:space="preserve"> in light of the particular circumstances</w:t>
      </w:r>
      <w:r w:rsidR="006767F3">
        <w:rPr>
          <w:u w:val="none"/>
        </w:rPr>
        <w:t>.</w:t>
      </w:r>
      <w:r w:rsidR="00AA53C1">
        <w:rPr>
          <w:rStyle w:val="FootnoteReference"/>
          <w:u w:val="none"/>
        </w:rPr>
        <w:footnoteReference w:id="4"/>
      </w:r>
      <w:r w:rsidR="006767F3">
        <w:rPr>
          <w:u w:val="none"/>
        </w:rPr>
        <w:t xml:space="preserve"> </w:t>
      </w:r>
      <w:r w:rsidR="0001478A">
        <w:rPr>
          <w:u w:val="none"/>
        </w:rPr>
        <w:t xml:space="preserve">Given the volume and complexity of information to be analyzed in </w:t>
      </w:r>
      <w:r w:rsidR="00641A1C">
        <w:rPr>
          <w:u w:val="none"/>
        </w:rPr>
        <w:t xml:space="preserve">this docket, </w:t>
      </w:r>
      <w:r w:rsidR="0049398C">
        <w:rPr>
          <w:u w:val="none"/>
        </w:rPr>
        <w:t xml:space="preserve">an </w:t>
      </w:r>
      <w:r w:rsidR="00641A1C">
        <w:rPr>
          <w:u w:val="none"/>
        </w:rPr>
        <w:t xml:space="preserve">increase </w:t>
      </w:r>
      <w:r w:rsidR="0049398C">
        <w:rPr>
          <w:u w:val="none"/>
        </w:rPr>
        <w:t>to the</w:t>
      </w:r>
      <w:r w:rsidR="003E6EF5">
        <w:rPr>
          <w:u w:val="none"/>
        </w:rPr>
        <w:t xml:space="preserve"> </w:t>
      </w:r>
      <w:r w:rsidR="0049398C">
        <w:rPr>
          <w:u w:val="none"/>
        </w:rPr>
        <w:t>interrogatory maximum appears appropriate. Howev</w:t>
      </w:r>
      <w:r w:rsidR="008F0853">
        <w:rPr>
          <w:u w:val="none"/>
        </w:rPr>
        <w:t xml:space="preserve">er, </w:t>
      </w:r>
      <w:r w:rsidR="006A6D0A">
        <w:rPr>
          <w:u w:val="none"/>
        </w:rPr>
        <w:t xml:space="preserve">OPC has not demonstrated </w:t>
      </w:r>
      <w:r w:rsidR="00CC4250">
        <w:rPr>
          <w:u w:val="none"/>
        </w:rPr>
        <w:t xml:space="preserve">that </w:t>
      </w:r>
      <w:r w:rsidR="008F0853">
        <w:rPr>
          <w:u w:val="none"/>
        </w:rPr>
        <w:t>the facts</w:t>
      </w:r>
      <w:r w:rsidR="009F5B69">
        <w:rPr>
          <w:u w:val="none"/>
        </w:rPr>
        <w:t xml:space="preserve"> here </w:t>
      </w:r>
      <w:r w:rsidR="008F0853">
        <w:rPr>
          <w:u w:val="none"/>
        </w:rPr>
        <w:t xml:space="preserve">warrant </w:t>
      </w:r>
      <w:r w:rsidR="0010548B">
        <w:rPr>
          <w:u w:val="none"/>
        </w:rPr>
        <w:t>the</w:t>
      </w:r>
      <w:r w:rsidR="008F0853">
        <w:rPr>
          <w:u w:val="none"/>
        </w:rPr>
        <w:t xml:space="preserve"> </w:t>
      </w:r>
      <w:r w:rsidR="0010548B">
        <w:rPr>
          <w:u w:val="none"/>
        </w:rPr>
        <w:t>entire additional</w:t>
      </w:r>
      <w:r w:rsidR="008F0853">
        <w:rPr>
          <w:u w:val="none"/>
        </w:rPr>
        <w:t xml:space="preserve"> 500 interrogatories</w:t>
      </w:r>
      <w:r w:rsidR="0010548B">
        <w:rPr>
          <w:u w:val="none"/>
        </w:rPr>
        <w:t xml:space="preserve"> requested</w:t>
      </w:r>
      <w:r w:rsidR="008F0853">
        <w:rPr>
          <w:u w:val="none"/>
        </w:rPr>
        <w:t xml:space="preserve">. </w:t>
      </w:r>
      <w:r w:rsidR="00EF4E17">
        <w:rPr>
          <w:u w:val="none"/>
        </w:rPr>
        <w:t xml:space="preserve">This proceeding involves </w:t>
      </w:r>
      <w:r w:rsidR="008F0853">
        <w:rPr>
          <w:u w:val="none"/>
        </w:rPr>
        <w:t xml:space="preserve">a petition for </w:t>
      </w:r>
      <w:r w:rsidR="00002175">
        <w:rPr>
          <w:u w:val="none"/>
        </w:rPr>
        <w:t xml:space="preserve">permanent base </w:t>
      </w:r>
      <w:r w:rsidR="008F0853">
        <w:rPr>
          <w:u w:val="none"/>
        </w:rPr>
        <w:t xml:space="preserve">rate </w:t>
      </w:r>
      <w:r w:rsidR="00002175">
        <w:rPr>
          <w:u w:val="none"/>
        </w:rPr>
        <w:t>increase</w:t>
      </w:r>
      <w:r w:rsidR="008109C9">
        <w:rPr>
          <w:u w:val="none"/>
        </w:rPr>
        <w:t xml:space="preserve"> </w:t>
      </w:r>
      <w:r w:rsidR="003D3CCE">
        <w:rPr>
          <w:u w:val="none"/>
        </w:rPr>
        <w:t xml:space="preserve">using one test year </w:t>
      </w:r>
      <w:r w:rsidR="00806619" w:rsidRPr="001C50BA">
        <w:rPr>
          <w:u w:val="none"/>
        </w:rPr>
        <w:t xml:space="preserve">and </w:t>
      </w:r>
      <w:r w:rsidR="00F96209" w:rsidRPr="001C50BA">
        <w:rPr>
          <w:u w:val="none"/>
        </w:rPr>
        <w:t xml:space="preserve">a </w:t>
      </w:r>
      <w:r w:rsidR="00806619" w:rsidRPr="001C50BA">
        <w:rPr>
          <w:u w:val="none"/>
        </w:rPr>
        <w:t xml:space="preserve">request for </w:t>
      </w:r>
      <w:r w:rsidR="00002175" w:rsidRPr="001C50BA">
        <w:rPr>
          <w:u w:val="none"/>
        </w:rPr>
        <w:t>two subsequent year adjustments</w:t>
      </w:r>
      <w:r w:rsidR="00B40B9A" w:rsidRPr="001C50BA">
        <w:rPr>
          <w:u w:val="none"/>
        </w:rPr>
        <w:t>.</w:t>
      </w:r>
      <w:r w:rsidR="00B40B9A">
        <w:rPr>
          <w:u w:val="none"/>
        </w:rPr>
        <w:t xml:space="preserve"> </w:t>
      </w:r>
      <w:r w:rsidR="0058231A">
        <w:rPr>
          <w:u w:val="none"/>
        </w:rPr>
        <w:t xml:space="preserve">OPC recognizes that </w:t>
      </w:r>
      <w:r w:rsidR="00A1333B">
        <w:rPr>
          <w:u w:val="none"/>
        </w:rPr>
        <w:t>ratepayers ultimately bear the cost of discovery</w:t>
      </w:r>
      <w:r w:rsidR="00F95BEF">
        <w:rPr>
          <w:u w:val="none"/>
        </w:rPr>
        <w:t xml:space="preserve">. </w:t>
      </w:r>
      <w:r w:rsidR="0058231A">
        <w:rPr>
          <w:u w:val="none"/>
        </w:rPr>
        <w:t xml:space="preserve"> </w:t>
      </w:r>
      <w:r w:rsidR="00E96E87">
        <w:rPr>
          <w:u w:val="none"/>
        </w:rPr>
        <w:t xml:space="preserve">Furthermore, OPC acknowledges </w:t>
      </w:r>
      <w:r w:rsidR="00830744">
        <w:rPr>
          <w:u w:val="none"/>
        </w:rPr>
        <w:t xml:space="preserve">that </w:t>
      </w:r>
      <w:r w:rsidR="00E96E87">
        <w:rPr>
          <w:u w:val="none"/>
        </w:rPr>
        <w:t xml:space="preserve">its current request </w:t>
      </w:r>
      <w:r w:rsidR="00830744">
        <w:rPr>
          <w:u w:val="none"/>
        </w:rPr>
        <w:t xml:space="preserve">for relief </w:t>
      </w:r>
      <w:r w:rsidR="00E96E87">
        <w:rPr>
          <w:u w:val="none"/>
        </w:rPr>
        <w:t>is based in par</w:t>
      </w:r>
      <w:r w:rsidR="00B155E0">
        <w:rPr>
          <w:u w:val="none"/>
        </w:rPr>
        <w:t xml:space="preserve">t on speculation </w:t>
      </w:r>
      <w:r w:rsidR="00B308B4">
        <w:rPr>
          <w:u w:val="none"/>
        </w:rPr>
        <w:t>as</w:t>
      </w:r>
      <w:r w:rsidR="00B155E0">
        <w:rPr>
          <w:u w:val="none"/>
        </w:rPr>
        <w:t xml:space="preserve"> OPC </w:t>
      </w:r>
      <w:r w:rsidR="00830744">
        <w:rPr>
          <w:u w:val="none"/>
        </w:rPr>
        <w:t xml:space="preserve">is </w:t>
      </w:r>
      <w:r w:rsidR="00E96E87">
        <w:rPr>
          <w:u w:val="none"/>
        </w:rPr>
        <w:t xml:space="preserve">unsure how many additional interrogatories </w:t>
      </w:r>
      <w:r w:rsidR="00433357">
        <w:rPr>
          <w:u w:val="none"/>
        </w:rPr>
        <w:t xml:space="preserve">it ultimately </w:t>
      </w:r>
      <w:r w:rsidR="00BA6AA6">
        <w:rPr>
          <w:u w:val="none"/>
        </w:rPr>
        <w:t xml:space="preserve">would </w:t>
      </w:r>
      <w:r w:rsidR="00433357">
        <w:rPr>
          <w:u w:val="none"/>
        </w:rPr>
        <w:t xml:space="preserve">need </w:t>
      </w:r>
      <w:r w:rsidR="00E96E87">
        <w:rPr>
          <w:u w:val="none"/>
        </w:rPr>
        <w:t xml:space="preserve">to be prepared for </w:t>
      </w:r>
      <w:r w:rsidR="00433357">
        <w:rPr>
          <w:u w:val="none"/>
        </w:rPr>
        <w:t xml:space="preserve">final </w:t>
      </w:r>
      <w:r w:rsidR="00E96E87">
        <w:rPr>
          <w:u w:val="none"/>
        </w:rPr>
        <w:t>hearing.</w:t>
      </w:r>
      <w:r w:rsidR="00BA6AA6">
        <w:rPr>
          <w:u w:val="none"/>
        </w:rPr>
        <w:t xml:space="preserve"> </w:t>
      </w:r>
      <w:r w:rsidR="008B5C56">
        <w:rPr>
          <w:u w:val="none"/>
        </w:rPr>
        <w:t>A</w:t>
      </w:r>
      <w:r w:rsidR="00A079F0">
        <w:rPr>
          <w:u w:val="none"/>
        </w:rPr>
        <w:t xml:space="preserve">lthough </w:t>
      </w:r>
      <w:r w:rsidR="007364F1">
        <w:rPr>
          <w:u w:val="none"/>
        </w:rPr>
        <w:t xml:space="preserve">OPC has </w:t>
      </w:r>
      <w:r w:rsidR="00A079F0">
        <w:rPr>
          <w:u w:val="none"/>
        </w:rPr>
        <w:t xml:space="preserve">not met its burden of persuasion for an additional 500 interrogatories, it has </w:t>
      </w:r>
      <w:r w:rsidR="007364F1">
        <w:rPr>
          <w:u w:val="none"/>
        </w:rPr>
        <w:t xml:space="preserve">demonstrated good cause </w:t>
      </w:r>
      <w:r w:rsidR="00B308B4">
        <w:rPr>
          <w:u w:val="none"/>
        </w:rPr>
        <w:t>for some</w:t>
      </w:r>
      <w:r w:rsidR="007364F1">
        <w:rPr>
          <w:u w:val="none"/>
        </w:rPr>
        <w:t xml:space="preserve"> enlargement of discovery </w:t>
      </w:r>
      <w:r w:rsidR="00B308B4">
        <w:rPr>
          <w:u w:val="none"/>
        </w:rPr>
        <w:t>to occur</w:t>
      </w:r>
      <w:r w:rsidR="00A079F0">
        <w:rPr>
          <w:u w:val="none"/>
        </w:rPr>
        <w:t>.</w:t>
      </w:r>
      <w:r w:rsidR="00624E2B">
        <w:rPr>
          <w:u w:val="none"/>
        </w:rPr>
        <w:t xml:space="preserve"> An increase of 250 interrogatories </w:t>
      </w:r>
      <w:r w:rsidR="00F05C07">
        <w:rPr>
          <w:u w:val="none"/>
        </w:rPr>
        <w:t xml:space="preserve">here strikes an appropriate balance between the desire for more information and the cost to ratepayers. </w:t>
      </w:r>
      <w:r w:rsidR="005F631F">
        <w:rPr>
          <w:u w:val="none"/>
        </w:rPr>
        <w:t xml:space="preserve">Therefore, OPC will be permitted to </w:t>
      </w:r>
      <w:r w:rsidR="0002231B">
        <w:rPr>
          <w:u w:val="none"/>
        </w:rPr>
        <w:t>issue 250 additional interrogatories, bringing its interrogatory maximum up to 750.</w:t>
      </w:r>
    </w:p>
    <w:p w:rsidR="00F75A52" w:rsidRPr="00756088" w:rsidRDefault="00F75A52" w:rsidP="008B1739">
      <w:pPr>
        <w:pStyle w:val="CenterUnderline"/>
        <w:jc w:val="both"/>
        <w:rPr>
          <w:u w:val="none"/>
        </w:rPr>
      </w:pPr>
    </w:p>
    <w:p w:rsidR="00F75A52" w:rsidRPr="00817318" w:rsidRDefault="00F75A52" w:rsidP="008B1739">
      <w:pPr>
        <w:pStyle w:val="ListParagraph"/>
        <w:ind w:left="0"/>
        <w:jc w:val="both"/>
        <w:rPr>
          <w:rFonts w:ascii="Times New Roman" w:hAnsi="Times New Roman"/>
          <w:iCs/>
          <w:color w:val="212121"/>
        </w:rPr>
      </w:pPr>
    </w:p>
    <w:p w:rsidR="00F75A52" w:rsidRPr="008B1739" w:rsidRDefault="00F75A52" w:rsidP="008B1739">
      <w:pPr>
        <w:pStyle w:val="ListParagraph"/>
        <w:ind w:left="0"/>
        <w:jc w:val="both"/>
        <w:rPr>
          <w:rFonts w:ascii="Times New Roman" w:hAnsi="Times New Roman"/>
          <w:iCs/>
        </w:rPr>
      </w:pPr>
      <w:r w:rsidRPr="00817318">
        <w:rPr>
          <w:rFonts w:ascii="Times New Roman" w:hAnsi="Times New Roman"/>
          <w:iCs/>
          <w:color w:val="212121"/>
        </w:rPr>
        <w:tab/>
      </w:r>
      <w:r w:rsidR="00713EF7">
        <w:rPr>
          <w:rFonts w:ascii="Times New Roman" w:hAnsi="Times New Roman"/>
          <w:iCs/>
        </w:rPr>
        <w:t>Based on the foregoing</w:t>
      </w:r>
      <w:r w:rsidRPr="008B1739">
        <w:rPr>
          <w:rFonts w:ascii="Times New Roman" w:hAnsi="Times New Roman"/>
          <w:iCs/>
        </w:rPr>
        <w:t>, it is</w:t>
      </w:r>
    </w:p>
    <w:p w:rsidR="00F75A52" w:rsidRPr="008B1739" w:rsidRDefault="00F75A52" w:rsidP="008B1739">
      <w:pPr>
        <w:pStyle w:val="ListParagraph"/>
        <w:ind w:left="0"/>
        <w:jc w:val="both"/>
        <w:rPr>
          <w:rFonts w:ascii="Times New Roman" w:hAnsi="Times New Roman"/>
          <w:iCs/>
        </w:rPr>
      </w:pPr>
    </w:p>
    <w:p w:rsidR="00F75A52" w:rsidRDefault="00F75A52" w:rsidP="008B1739">
      <w:pPr>
        <w:pStyle w:val="ListParagraph"/>
        <w:ind w:left="0"/>
        <w:jc w:val="both"/>
        <w:rPr>
          <w:rFonts w:ascii="Times New Roman" w:hAnsi="Times New Roman"/>
          <w:iCs/>
        </w:rPr>
      </w:pPr>
      <w:r w:rsidRPr="008B1739">
        <w:rPr>
          <w:rFonts w:ascii="Times New Roman" w:hAnsi="Times New Roman"/>
          <w:iCs/>
        </w:rPr>
        <w:tab/>
        <w:t xml:space="preserve">ORDERED by Commissioner Gary F. Clark, as Prehearing Officer, that the </w:t>
      </w:r>
      <w:r w:rsidR="0004793F">
        <w:rPr>
          <w:rFonts w:ascii="Times New Roman" w:hAnsi="Times New Roman"/>
          <w:iCs/>
        </w:rPr>
        <w:t>Office of Public Counsel’s Expedited Motion to Enlarge Discovery is GRANTED IN PART and DENIED IN PART as set forth herein.</w:t>
      </w:r>
      <w:r w:rsidRPr="008B1739">
        <w:rPr>
          <w:rFonts w:ascii="Times New Roman" w:hAnsi="Times New Roman"/>
          <w:iCs/>
        </w:rPr>
        <w:t xml:space="preserve"> </w:t>
      </w:r>
      <w:r w:rsidR="00204FE5">
        <w:rPr>
          <w:rFonts w:ascii="Times New Roman" w:hAnsi="Times New Roman"/>
          <w:iCs/>
        </w:rPr>
        <w:t xml:space="preserve">The </w:t>
      </w:r>
      <w:r w:rsidR="00177F17">
        <w:rPr>
          <w:rFonts w:ascii="Times New Roman" w:hAnsi="Times New Roman"/>
          <w:iCs/>
        </w:rPr>
        <w:t xml:space="preserve">Office of Public Counsel </w:t>
      </w:r>
      <w:r w:rsidR="00582AA7">
        <w:rPr>
          <w:rFonts w:ascii="Times New Roman" w:hAnsi="Times New Roman"/>
          <w:iCs/>
        </w:rPr>
        <w:t xml:space="preserve">shall be limited to 750 interrogatories, including all subparts. </w:t>
      </w:r>
      <w:r w:rsidRPr="008B1739">
        <w:rPr>
          <w:rFonts w:ascii="Times New Roman" w:hAnsi="Times New Roman"/>
          <w:iCs/>
        </w:rPr>
        <w:t>It is further</w:t>
      </w:r>
    </w:p>
    <w:p w:rsidR="00204FE5" w:rsidRDefault="00204FE5" w:rsidP="008B1739">
      <w:pPr>
        <w:pStyle w:val="ListParagraph"/>
        <w:ind w:left="0"/>
        <w:jc w:val="both"/>
        <w:rPr>
          <w:rFonts w:ascii="Times New Roman" w:hAnsi="Times New Roman"/>
          <w:iCs/>
        </w:rPr>
      </w:pPr>
    </w:p>
    <w:p w:rsidR="00204FE5" w:rsidRDefault="00204FE5" w:rsidP="008B1739">
      <w:pPr>
        <w:pStyle w:val="ListParagraph"/>
        <w:ind w:left="0"/>
        <w:jc w:val="both"/>
        <w:rPr>
          <w:rFonts w:ascii="Times New Roman" w:hAnsi="Times New Roman"/>
          <w:iCs/>
        </w:rPr>
      </w:pPr>
      <w:r>
        <w:rPr>
          <w:rFonts w:ascii="Times New Roman" w:hAnsi="Times New Roman"/>
          <w:iCs/>
        </w:rPr>
        <w:tab/>
        <w:t xml:space="preserve">ORDERED </w:t>
      </w:r>
      <w:r w:rsidR="00282C86">
        <w:rPr>
          <w:rFonts w:ascii="Times New Roman" w:hAnsi="Times New Roman"/>
          <w:iCs/>
        </w:rPr>
        <w:t xml:space="preserve">that all aspects of </w:t>
      </w:r>
      <w:r w:rsidR="00AA35E8">
        <w:rPr>
          <w:rFonts w:ascii="Times New Roman" w:hAnsi="Times New Roman"/>
          <w:iCs/>
        </w:rPr>
        <w:t xml:space="preserve">the </w:t>
      </w:r>
      <w:r w:rsidR="00530A1A" w:rsidRPr="00530A1A">
        <w:rPr>
          <w:rFonts w:ascii="Times New Roman" w:hAnsi="Times New Roman"/>
          <w:iCs/>
        </w:rPr>
        <w:t>Order Establishing Procedure and Consolidating Dockets</w:t>
      </w:r>
      <w:r w:rsidR="00AA35E8">
        <w:rPr>
          <w:rFonts w:ascii="Times New Roman" w:hAnsi="Times New Roman"/>
          <w:iCs/>
        </w:rPr>
        <w:t>,</w:t>
      </w:r>
      <w:r w:rsidR="00530A1A" w:rsidRPr="00530A1A">
        <w:rPr>
          <w:rFonts w:ascii="Times New Roman" w:hAnsi="Times New Roman"/>
          <w:iCs/>
        </w:rPr>
        <w:t xml:space="preserve"> </w:t>
      </w:r>
      <w:r w:rsidR="00282C86" w:rsidRPr="00282C86">
        <w:rPr>
          <w:rFonts w:ascii="Times New Roman" w:hAnsi="Times New Roman"/>
          <w:iCs/>
        </w:rPr>
        <w:t>Order No. PSC-2024-0096-PCO-EI</w:t>
      </w:r>
      <w:r w:rsidR="00AA35E8">
        <w:rPr>
          <w:rFonts w:ascii="Times New Roman" w:hAnsi="Times New Roman"/>
          <w:iCs/>
        </w:rPr>
        <w:t>,</w:t>
      </w:r>
      <w:r w:rsidR="00083F26">
        <w:rPr>
          <w:rFonts w:ascii="Times New Roman" w:hAnsi="Times New Roman"/>
          <w:iCs/>
        </w:rPr>
        <w:t xml:space="preserve"> not inconsistent with this Order shall remain in full force and effect.</w:t>
      </w:r>
    </w:p>
    <w:p w:rsidR="00204FE5" w:rsidRPr="008B1739" w:rsidRDefault="00204FE5" w:rsidP="008B1739">
      <w:pPr>
        <w:pStyle w:val="ListParagraph"/>
        <w:ind w:left="0"/>
        <w:jc w:val="both"/>
        <w:rPr>
          <w:rFonts w:ascii="Times New Roman" w:hAnsi="Times New Roman"/>
          <w:iCs/>
        </w:rPr>
      </w:pPr>
    </w:p>
    <w:p w:rsidR="00F75A52" w:rsidRPr="008B1739" w:rsidRDefault="00F75A52" w:rsidP="008B1739">
      <w:pPr>
        <w:pStyle w:val="ListParagraph"/>
        <w:ind w:left="0"/>
        <w:jc w:val="both"/>
        <w:rPr>
          <w:rFonts w:ascii="Times New Roman" w:hAnsi="Times New Roman"/>
          <w:iCs/>
        </w:rPr>
      </w:pPr>
    </w:p>
    <w:p w:rsidR="00F75A52" w:rsidRDefault="00F75A52" w:rsidP="008B1739">
      <w:pPr>
        <w:pStyle w:val="ListParagraph"/>
        <w:keepNext/>
        <w:keepLines/>
        <w:ind w:left="0"/>
        <w:jc w:val="both"/>
        <w:rPr>
          <w:rFonts w:ascii="Times New Roman" w:hAnsi="Times New Roman"/>
          <w:iCs/>
        </w:rPr>
      </w:pPr>
      <w:r w:rsidRPr="008B1739">
        <w:rPr>
          <w:rFonts w:ascii="Times New Roman" w:hAnsi="Times New Roman"/>
          <w:iCs/>
        </w:rPr>
        <w:lastRenderedPageBreak/>
        <w:tab/>
        <w:t xml:space="preserve">By ORDER of Commissioner Gary F. Clark, as Prehearing Officer, this </w:t>
      </w:r>
      <w:bookmarkStart w:id="5" w:name="replaceDate"/>
      <w:bookmarkEnd w:id="5"/>
      <w:r w:rsidR="0048317E">
        <w:rPr>
          <w:rFonts w:ascii="Times New Roman" w:hAnsi="Times New Roman"/>
          <w:iCs/>
          <w:u w:val="single"/>
        </w:rPr>
        <w:t>4th</w:t>
      </w:r>
      <w:r w:rsidR="0048317E">
        <w:rPr>
          <w:rFonts w:ascii="Times New Roman" w:hAnsi="Times New Roman"/>
          <w:iCs/>
        </w:rPr>
        <w:t xml:space="preserve"> day of </w:t>
      </w:r>
      <w:r w:rsidR="0048317E">
        <w:rPr>
          <w:rFonts w:ascii="Times New Roman" w:hAnsi="Times New Roman"/>
          <w:iCs/>
          <w:u w:val="single"/>
        </w:rPr>
        <w:t>June</w:t>
      </w:r>
      <w:r w:rsidR="0048317E">
        <w:rPr>
          <w:rFonts w:ascii="Times New Roman" w:hAnsi="Times New Roman"/>
          <w:iCs/>
        </w:rPr>
        <w:t xml:space="preserve">, </w:t>
      </w:r>
      <w:r w:rsidR="0048317E">
        <w:rPr>
          <w:rFonts w:ascii="Times New Roman" w:hAnsi="Times New Roman"/>
          <w:iCs/>
          <w:u w:val="single"/>
        </w:rPr>
        <w:t>2024</w:t>
      </w:r>
      <w:r w:rsidR="0048317E">
        <w:rPr>
          <w:rFonts w:ascii="Times New Roman" w:hAnsi="Times New Roman"/>
          <w:iCs/>
        </w:rPr>
        <w:t>.</w:t>
      </w:r>
    </w:p>
    <w:p w:rsidR="0048317E" w:rsidRPr="0048317E" w:rsidRDefault="0048317E" w:rsidP="008B1739">
      <w:pPr>
        <w:pStyle w:val="ListParagraph"/>
        <w:keepNext/>
        <w:keepLines/>
        <w:ind w:left="0"/>
        <w:jc w:val="both"/>
        <w:rPr>
          <w:rFonts w:ascii="Times New Roman" w:hAnsi="Times New Roman"/>
          <w:iCs/>
        </w:rPr>
      </w:pPr>
    </w:p>
    <w:p w:rsidR="00F75A52" w:rsidRPr="008B1739" w:rsidRDefault="00F75A52" w:rsidP="008B1739">
      <w:pPr>
        <w:pStyle w:val="ListParagraph"/>
        <w:keepNext/>
        <w:keepLines/>
        <w:ind w:left="0"/>
        <w:jc w:val="both"/>
        <w:rPr>
          <w:rFonts w:ascii="Times New Roman" w:hAnsi="Times New Roman"/>
          <w:iCs/>
        </w:rPr>
      </w:pPr>
    </w:p>
    <w:p w:rsidR="00F75A52" w:rsidRPr="008B1739" w:rsidRDefault="00F75A52" w:rsidP="008B1739">
      <w:pPr>
        <w:pStyle w:val="ListParagraph"/>
        <w:keepNext/>
        <w:keepLines/>
        <w:ind w:left="0"/>
        <w:jc w:val="both"/>
        <w:rPr>
          <w:rFonts w:ascii="Times New Roman" w:hAnsi="Times New Roman"/>
          <w:iCs/>
        </w:rPr>
      </w:pPr>
    </w:p>
    <w:tbl>
      <w:tblPr>
        <w:tblW w:w="4720" w:type="dxa"/>
        <w:tblInd w:w="3800" w:type="dxa"/>
        <w:tblLayout w:type="fixed"/>
        <w:tblLook w:val="0000" w:firstRow="0" w:lastRow="0" w:firstColumn="0" w:lastColumn="0" w:noHBand="0" w:noVBand="0"/>
      </w:tblPr>
      <w:tblGrid>
        <w:gridCol w:w="686"/>
        <w:gridCol w:w="4034"/>
      </w:tblGrid>
      <w:tr w:rsidR="008B1739" w:rsidRPr="008B1739" w:rsidTr="00F75A52">
        <w:tc>
          <w:tcPr>
            <w:tcW w:w="720" w:type="dxa"/>
            <w:shd w:val="clear" w:color="auto" w:fill="auto"/>
          </w:tcPr>
          <w:p w:rsidR="00F75A52" w:rsidRPr="008B1739" w:rsidRDefault="00F75A52" w:rsidP="00F75A52">
            <w:pPr>
              <w:pStyle w:val="ListParagraph"/>
              <w:keepNext/>
              <w:keepLines/>
              <w:ind w:left="0"/>
              <w:jc w:val="both"/>
              <w:rPr>
                <w:rFonts w:ascii="Times New Roman" w:hAnsi="Times New Roman"/>
                <w:iCs/>
              </w:rPr>
            </w:pPr>
            <w:bookmarkStart w:id="6" w:name="bkmrkSignature" w:colFirst="0" w:colLast="0"/>
          </w:p>
        </w:tc>
        <w:tc>
          <w:tcPr>
            <w:tcW w:w="4320" w:type="dxa"/>
            <w:tcBorders>
              <w:bottom w:val="single" w:sz="4" w:space="0" w:color="auto"/>
            </w:tcBorders>
            <w:shd w:val="clear" w:color="auto" w:fill="auto"/>
          </w:tcPr>
          <w:p w:rsidR="00F75A52" w:rsidRPr="008B1739" w:rsidRDefault="0048317E" w:rsidP="00F75A52">
            <w:pPr>
              <w:pStyle w:val="ListParagraph"/>
              <w:keepNext/>
              <w:keepLines/>
              <w:ind w:left="0"/>
              <w:jc w:val="both"/>
              <w:rPr>
                <w:rFonts w:ascii="Times New Roman" w:hAnsi="Times New Roman"/>
                <w:iCs/>
              </w:rPr>
            </w:pPr>
            <w:r>
              <w:rPr>
                <w:rFonts w:ascii="Times New Roman" w:hAnsi="Times New Roman"/>
                <w:iCs/>
              </w:rPr>
              <w:t>/s/ Gary F. Clark</w:t>
            </w:r>
            <w:bookmarkStart w:id="7" w:name="_GoBack"/>
            <w:bookmarkEnd w:id="7"/>
          </w:p>
        </w:tc>
      </w:tr>
      <w:bookmarkEnd w:id="6"/>
      <w:tr w:rsidR="008B1739" w:rsidRPr="008B1739" w:rsidTr="00F75A52">
        <w:tc>
          <w:tcPr>
            <w:tcW w:w="720" w:type="dxa"/>
            <w:shd w:val="clear" w:color="auto" w:fill="auto"/>
          </w:tcPr>
          <w:p w:rsidR="00F75A52" w:rsidRPr="008B1739" w:rsidRDefault="00F75A52" w:rsidP="00F75A52">
            <w:pPr>
              <w:pStyle w:val="ListParagraph"/>
              <w:keepNext/>
              <w:keepLines/>
              <w:ind w:left="0"/>
              <w:jc w:val="both"/>
              <w:rPr>
                <w:rFonts w:ascii="Times New Roman" w:hAnsi="Times New Roman"/>
                <w:iCs/>
              </w:rPr>
            </w:pPr>
          </w:p>
        </w:tc>
        <w:tc>
          <w:tcPr>
            <w:tcW w:w="4320" w:type="dxa"/>
            <w:tcBorders>
              <w:top w:val="single" w:sz="4" w:space="0" w:color="auto"/>
            </w:tcBorders>
            <w:shd w:val="clear" w:color="auto" w:fill="auto"/>
          </w:tcPr>
          <w:p w:rsidR="00F75A52" w:rsidRPr="008B1739" w:rsidRDefault="00F75A52" w:rsidP="00F75A52">
            <w:pPr>
              <w:pStyle w:val="ListParagraph"/>
              <w:keepNext/>
              <w:keepLines/>
              <w:ind w:left="0"/>
              <w:jc w:val="both"/>
              <w:rPr>
                <w:rFonts w:ascii="Times New Roman" w:hAnsi="Times New Roman"/>
                <w:iCs/>
              </w:rPr>
            </w:pPr>
            <w:r w:rsidRPr="008B1739">
              <w:rPr>
                <w:rFonts w:ascii="Times New Roman" w:hAnsi="Times New Roman"/>
                <w:iCs/>
              </w:rPr>
              <w:t>GARY F. CLARK</w:t>
            </w:r>
          </w:p>
          <w:p w:rsidR="00F75A52" w:rsidRPr="008B1739" w:rsidRDefault="00F75A52" w:rsidP="00F75A52">
            <w:pPr>
              <w:pStyle w:val="ListParagraph"/>
              <w:keepNext/>
              <w:keepLines/>
              <w:ind w:left="0"/>
              <w:jc w:val="both"/>
              <w:rPr>
                <w:rFonts w:ascii="Times New Roman" w:hAnsi="Times New Roman"/>
                <w:iCs/>
              </w:rPr>
            </w:pPr>
            <w:r w:rsidRPr="008B1739">
              <w:rPr>
                <w:rFonts w:ascii="Times New Roman" w:hAnsi="Times New Roman"/>
                <w:iCs/>
              </w:rPr>
              <w:t>Commissioner and Prehearing Officer</w:t>
            </w:r>
          </w:p>
        </w:tc>
      </w:tr>
    </w:tbl>
    <w:p w:rsidR="00F75A52" w:rsidRPr="008B1739" w:rsidRDefault="00F75A52" w:rsidP="00F75A52">
      <w:pPr>
        <w:pStyle w:val="OrderSigInfo"/>
        <w:keepNext/>
        <w:keepLines/>
      </w:pPr>
      <w:r w:rsidRPr="008B1739">
        <w:t>Florida Public Service Commission</w:t>
      </w:r>
    </w:p>
    <w:p w:rsidR="00F75A52" w:rsidRPr="008B1739" w:rsidRDefault="00F75A52" w:rsidP="00F75A52">
      <w:pPr>
        <w:pStyle w:val="OrderSigInfo"/>
        <w:keepNext/>
        <w:keepLines/>
      </w:pPr>
      <w:r w:rsidRPr="008B1739">
        <w:t>2540 Shumard Oak Boulevard</w:t>
      </w:r>
    </w:p>
    <w:p w:rsidR="00F75A52" w:rsidRPr="008B1739" w:rsidRDefault="00F75A52" w:rsidP="00F75A52">
      <w:pPr>
        <w:pStyle w:val="OrderSigInfo"/>
        <w:keepNext/>
        <w:keepLines/>
      </w:pPr>
      <w:r w:rsidRPr="008B1739">
        <w:t>Tallahassee, Florida 32399</w:t>
      </w:r>
    </w:p>
    <w:p w:rsidR="00F75A52" w:rsidRPr="008B1739" w:rsidRDefault="00F75A52" w:rsidP="00F75A52">
      <w:pPr>
        <w:pStyle w:val="OrderSigInfo"/>
        <w:keepNext/>
        <w:keepLines/>
      </w:pPr>
      <w:r w:rsidRPr="008B1739">
        <w:t>(850) 413</w:t>
      </w:r>
      <w:r w:rsidRPr="008B1739">
        <w:noBreakHyphen/>
        <w:t>6770</w:t>
      </w:r>
    </w:p>
    <w:p w:rsidR="00F75A52" w:rsidRPr="008B1739" w:rsidRDefault="00F75A52" w:rsidP="00F75A52">
      <w:pPr>
        <w:pStyle w:val="OrderSigInfo"/>
        <w:keepNext/>
        <w:keepLines/>
      </w:pPr>
      <w:r w:rsidRPr="008B1739">
        <w:t>www.floridapsc.com</w:t>
      </w:r>
    </w:p>
    <w:p w:rsidR="00F75A52" w:rsidRPr="008B1739" w:rsidRDefault="00F75A52" w:rsidP="00F75A52">
      <w:pPr>
        <w:pStyle w:val="OrderSigInfo"/>
        <w:keepNext/>
        <w:keepLines/>
      </w:pPr>
    </w:p>
    <w:p w:rsidR="00F75A52" w:rsidRPr="008B1739" w:rsidRDefault="00F75A52" w:rsidP="00F75A52">
      <w:pPr>
        <w:pStyle w:val="OrderSigInfo"/>
        <w:keepNext/>
        <w:keepLines/>
      </w:pPr>
      <w:r w:rsidRPr="008B1739">
        <w:t>Copies furnished: A copy of this document is provided to the parties of record at the time of issuance and, if applicable, interested persons.</w:t>
      </w:r>
    </w:p>
    <w:p w:rsidR="00F75A52" w:rsidRPr="008B1739" w:rsidRDefault="00F75A52" w:rsidP="00F75A52">
      <w:pPr>
        <w:pStyle w:val="OrderBody"/>
        <w:keepNext/>
        <w:keepLines/>
      </w:pPr>
    </w:p>
    <w:p w:rsidR="00F75A52" w:rsidRPr="008B1739" w:rsidRDefault="00F75A52" w:rsidP="00F75A52">
      <w:pPr>
        <w:pStyle w:val="ListParagraph"/>
        <w:keepNext/>
        <w:keepLines/>
        <w:ind w:left="0"/>
        <w:jc w:val="both"/>
        <w:rPr>
          <w:rFonts w:ascii="Times New Roman" w:hAnsi="Times New Roman"/>
          <w:iCs/>
        </w:rPr>
      </w:pPr>
    </w:p>
    <w:p w:rsidR="00F75A52" w:rsidRPr="008B1739" w:rsidRDefault="00F75A52" w:rsidP="00F75A52">
      <w:pPr>
        <w:pStyle w:val="ListParagraph"/>
        <w:keepNext/>
        <w:keepLines/>
        <w:ind w:left="0"/>
        <w:jc w:val="both"/>
        <w:rPr>
          <w:rFonts w:ascii="Times New Roman" w:hAnsi="Times New Roman"/>
          <w:iCs/>
        </w:rPr>
      </w:pPr>
      <w:r w:rsidRPr="008B1739">
        <w:rPr>
          <w:rFonts w:ascii="Times New Roman" w:hAnsi="Times New Roman"/>
          <w:iCs/>
        </w:rPr>
        <w:t>CMM</w:t>
      </w:r>
    </w:p>
    <w:p w:rsidR="00F75A52" w:rsidRDefault="00F75A52"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317E" w:rsidRDefault="0048317E"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481078" w:rsidRDefault="00481078" w:rsidP="00F75A52">
      <w:pPr>
        <w:pStyle w:val="ListParagraph"/>
        <w:ind w:left="0"/>
        <w:jc w:val="both"/>
        <w:rPr>
          <w:rFonts w:ascii="Times New Roman" w:hAnsi="Times New Roman"/>
          <w:iCs/>
        </w:rPr>
      </w:pPr>
    </w:p>
    <w:p w:rsidR="00F75A52" w:rsidRDefault="00F75A52" w:rsidP="00F75A52">
      <w:pPr>
        <w:pStyle w:val="CenterUnderline"/>
      </w:pPr>
      <w:r>
        <w:lastRenderedPageBreak/>
        <w:t>NOTICE OF FURTHER PROCEEDINGS OR JUDICIAL REVIEW</w:t>
      </w:r>
    </w:p>
    <w:p w:rsidR="00F75A52" w:rsidRDefault="00F75A52" w:rsidP="00F75A52">
      <w:pPr>
        <w:pStyle w:val="CenterUnderline"/>
      </w:pPr>
    </w:p>
    <w:p w:rsidR="00F75A52" w:rsidRDefault="00F75A52" w:rsidP="00F75A5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5A52" w:rsidRDefault="00F75A52" w:rsidP="00F75A52">
      <w:pPr>
        <w:pStyle w:val="OrderBody"/>
      </w:pPr>
    </w:p>
    <w:p w:rsidR="00F75A52" w:rsidRDefault="00F75A52" w:rsidP="00F75A52">
      <w:pPr>
        <w:pStyle w:val="OrderBody"/>
      </w:pPr>
      <w:r>
        <w:tab/>
        <w:t>Mediation may be available on a case-by-case basis.  If mediation is conducted, it does not affect a substantially interested person's right to a hearing.</w:t>
      </w:r>
    </w:p>
    <w:p w:rsidR="00F75A52" w:rsidRDefault="00F75A52" w:rsidP="00F75A52">
      <w:pPr>
        <w:pStyle w:val="OrderBody"/>
      </w:pPr>
    </w:p>
    <w:p w:rsidR="00F75A52" w:rsidRDefault="00F75A52" w:rsidP="00F75A52">
      <w:pPr>
        <w:pStyle w:val="OrderBody"/>
      </w:pPr>
      <w:r>
        <w:tab/>
        <w:t>Any party adversely affected by this order, which is preliminary, procedural</w:t>
      </w:r>
      <w:r w:rsidR="00FC3025">
        <w:t>,</w:t>
      </w:r>
      <w:r>
        <w:t xml:space="preserve"> or intermediate in nature, may request: (1) reconsideration within 10 days pursuant to Rule 25-22.0376, Florida Administrative Code; or (2) judicial review by the Florida Supreme Court, in the case of an electric, gas</w:t>
      </w:r>
      <w:r w:rsidR="00FC3025">
        <w:t>,</w:t>
      </w:r>
      <w:r>
        <w:t xml:space="preserve"> or telephone utility. A motion for reconsideration shall be filed with the Office of Commission Clerk, in the form prescribed by Rule 25-22.0376, Florida Administrative Code. Judicial review of a preliminary, procedural</w:t>
      </w:r>
      <w:r w:rsidR="00FC3025">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F75A52" w:rsidRDefault="00F75A52" w:rsidP="00F75A52">
      <w:pPr>
        <w:pStyle w:val="OrderBody"/>
      </w:pPr>
    </w:p>
    <w:p w:rsidR="00F75A52" w:rsidRDefault="00F75A52" w:rsidP="00F75A52">
      <w:pPr>
        <w:pStyle w:val="OrderBody"/>
      </w:pPr>
    </w:p>
    <w:sectPr w:rsidR="00F75A5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52" w:rsidRDefault="00F75A52">
      <w:r>
        <w:separator/>
      </w:r>
    </w:p>
  </w:endnote>
  <w:endnote w:type="continuationSeparator" w:id="0">
    <w:p w:rsidR="00F75A52" w:rsidRDefault="00F7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52" w:rsidRDefault="00F75A52">
      <w:r>
        <w:separator/>
      </w:r>
    </w:p>
  </w:footnote>
  <w:footnote w:type="continuationSeparator" w:id="0">
    <w:p w:rsidR="00F75A52" w:rsidRDefault="00F75A52">
      <w:r>
        <w:continuationSeparator/>
      </w:r>
    </w:p>
  </w:footnote>
  <w:footnote w:id="1">
    <w:p w:rsidR="0004260C" w:rsidRDefault="0004260C">
      <w:pPr>
        <w:pStyle w:val="FootnoteText"/>
      </w:pPr>
      <w:r>
        <w:rPr>
          <w:rStyle w:val="FootnoteReference"/>
        </w:rPr>
        <w:footnoteRef/>
      </w:r>
      <w:r>
        <w:t xml:space="preserve"> </w:t>
      </w:r>
      <w:r w:rsidR="001374F8" w:rsidRPr="004A2953">
        <w:rPr>
          <w:i/>
        </w:rPr>
        <w:t>In re: Petition for rate increase by Tampa Elec. Co.</w:t>
      </w:r>
      <w:r w:rsidR="001374F8">
        <w:t xml:space="preserve">, </w:t>
      </w:r>
      <w:r w:rsidR="004A2953">
        <w:t xml:space="preserve">Docket No. 20240026-EI, Document No. </w:t>
      </w:r>
      <w:r w:rsidR="00C971B1">
        <w:t>03292-2024 (filed May 17, 2024) (“</w:t>
      </w:r>
      <w:r w:rsidR="00C971B1" w:rsidRPr="00C971B1">
        <w:t>Citizens’ Expedited Motion to Enlarge Discovery</w:t>
      </w:r>
      <w:r w:rsidR="00C971B1">
        <w:t>.”).</w:t>
      </w:r>
    </w:p>
  </w:footnote>
  <w:footnote w:id="2">
    <w:p w:rsidR="00CC687C" w:rsidRDefault="00CC687C">
      <w:pPr>
        <w:pStyle w:val="FootnoteText"/>
      </w:pPr>
      <w:r>
        <w:rPr>
          <w:rStyle w:val="FootnoteReference"/>
        </w:rPr>
        <w:footnoteRef/>
      </w:r>
      <w:r>
        <w:t xml:space="preserve"> </w:t>
      </w:r>
      <w:r w:rsidR="00080DB6">
        <w:t xml:space="preserve">OPC represents that Florida Rising, Inc., League of United Latin American Citizens of Florida, and Sierra Club support this motion. OPC states it has not received a position from </w:t>
      </w:r>
      <w:r w:rsidR="0013346D">
        <w:t xml:space="preserve">Florida Industrial Power Users Group, Federal Executive Agencies, or Florida Retail </w:t>
      </w:r>
      <w:r w:rsidR="00A3471B">
        <w:t>F</w:t>
      </w:r>
      <w:r w:rsidR="00BA5970">
        <w:t xml:space="preserve">ederation as of the filing of </w:t>
      </w:r>
      <w:r w:rsidR="00427625">
        <w:t>this</w:t>
      </w:r>
      <w:r w:rsidR="00BA5970">
        <w:t xml:space="preserve"> motion.</w:t>
      </w:r>
    </w:p>
  </w:footnote>
  <w:footnote w:id="3">
    <w:p w:rsidR="00662A2C" w:rsidRDefault="00662A2C">
      <w:pPr>
        <w:pStyle w:val="FootnoteText"/>
      </w:pPr>
      <w:r>
        <w:rPr>
          <w:rStyle w:val="FootnoteReference"/>
        </w:rPr>
        <w:footnoteRef/>
      </w:r>
      <w:r>
        <w:t xml:space="preserve"> </w:t>
      </w:r>
      <w:r w:rsidR="00826DFE" w:rsidRPr="00826DFE">
        <w:rPr>
          <w:i/>
        </w:rPr>
        <w:t>In re: Petition for rate increase by Tampa Elec. Co.</w:t>
      </w:r>
      <w:r w:rsidR="00826DFE" w:rsidRPr="00826DFE">
        <w:t>, Docket No. 20240026-EI, Document No.</w:t>
      </w:r>
      <w:r w:rsidR="00417A7D">
        <w:t xml:space="preserve"> </w:t>
      </w:r>
      <w:r w:rsidR="00A74038">
        <w:t>03406-2024</w:t>
      </w:r>
      <w:r w:rsidR="00417A7D">
        <w:t xml:space="preserve"> (filed May 21, 2024) (“Tampa Electric Company’s Response to Citizens’ Expedited Motion to Enlarge Discovery.”).</w:t>
      </w:r>
    </w:p>
  </w:footnote>
  <w:footnote w:id="4">
    <w:p w:rsidR="00AA53C1" w:rsidRDefault="00AA53C1">
      <w:pPr>
        <w:pStyle w:val="FootnoteText"/>
      </w:pPr>
      <w:r>
        <w:rPr>
          <w:rStyle w:val="FootnoteReference"/>
        </w:rPr>
        <w:footnoteRef/>
      </w:r>
      <w:r>
        <w:t xml:space="preserve"> </w:t>
      </w:r>
      <w:r w:rsidR="00FC1391" w:rsidRPr="00271905">
        <w:rPr>
          <w:i/>
        </w:rPr>
        <w:t>See</w:t>
      </w:r>
      <w:r w:rsidR="00FC1391">
        <w:t xml:space="preserve"> </w:t>
      </w:r>
      <w:r w:rsidR="00D51C3C" w:rsidRPr="00DF5B48">
        <w:rPr>
          <w:i/>
        </w:rPr>
        <w:t>In re: Petition for rate increase by Peoples Gas Sys</w:t>
      </w:r>
      <w:r w:rsidR="008B2A1E">
        <w:rPr>
          <w:i/>
        </w:rPr>
        <w:t>.</w:t>
      </w:r>
      <w:r w:rsidR="00D51C3C" w:rsidRPr="00DF5B48">
        <w:rPr>
          <w:i/>
        </w:rPr>
        <w:t>, Inc.</w:t>
      </w:r>
      <w:r w:rsidR="00F0323F" w:rsidRPr="00DF5B48">
        <w:t>,</w:t>
      </w:r>
      <w:r w:rsidR="00F0323F" w:rsidRPr="00DF5B48">
        <w:rPr>
          <w:i/>
        </w:rPr>
        <w:t xml:space="preserve"> In re: Petition for approval of 2022 depreciation study, by Peoples Gas Sys</w:t>
      </w:r>
      <w:r w:rsidR="00AE2B58">
        <w:rPr>
          <w:i/>
        </w:rPr>
        <w:t>.</w:t>
      </w:r>
      <w:r w:rsidR="00F0323F" w:rsidRPr="00DF5B48">
        <w:rPr>
          <w:i/>
        </w:rPr>
        <w:t>, Inc.</w:t>
      </w:r>
      <w:r w:rsidR="00F0323F" w:rsidRPr="00DF5B48">
        <w:t>,</w:t>
      </w:r>
      <w:r w:rsidR="00F0323F" w:rsidRPr="00DF5B48">
        <w:rPr>
          <w:i/>
        </w:rPr>
        <w:t xml:space="preserve"> In re: Petition for approval of depreciation rate and subaccount for renewable natural gas facilities leased to others, by Peoples Gas Sys</w:t>
      </w:r>
      <w:r w:rsidR="00AE2B58">
        <w:rPr>
          <w:i/>
        </w:rPr>
        <w:t>.</w:t>
      </w:r>
      <w:r w:rsidR="00F0323F" w:rsidRPr="00DF5B48">
        <w:rPr>
          <w:i/>
        </w:rPr>
        <w:t>, Inc.</w:t>
      </w:r>
      <w:r w:rsidR="00F0323F">
        <w:t>, Docket</w:t>
      </w:r>
      <w:r w:rsidR="00156D02">
        <w:t xml:space="preserve"> Nos. 20230023-GU, 20220219-GU, </w:t>
      </w:r>
      <w:r w:rsidR="00F0323F">
        <w:t>20220212-GU, Order No. PSC-2023-</w:t>
      </w:r>
      <w:r w:rsidR="009040EA">
        <w:t>0128</w:t>
      </w:r>
      <w:r w:rsidR="00F0323F">
        <w:t>-</w:t>
      </w:r>
      <w:r w:rsidR="009040EA">
        <w:t>PCO</w:t>
      </w:r>
      <w:r w:rsidR="00F0323F">
        <w:t>-GU (Fla. PSC Dec. 27, 2023) (</w:t>
      </w:r>
      <w:r w:rsidR="00455ADB">
        <w:t>authorizing 400 interrogatories per party</w:t>
      </w:r>
      <w:r w:rsidR="00913D9C">
        <w:t xml:space="preserve"> in docket with one test year</w:t>
      </w:r>
      <w:r w:rsidR="00455ADB">
        <w:t xml:space="preserve">); </w:t>
      </w:r>
      <w:r w:rsidR="00132F29" w:rsidRPr="00AE2B58">
        <w:rPr>
          <w:i/>
        </w:rPr>
        <w:t>In re: Petition for rate increase by Tampa Elec</w:t>
      </w:r>
      <w:r w:rsidR="00AE2B58" w:rsidRPr="00AE2B58">
        <w:rPr>
          <w:i/>
        </w:rPr>
        <w:t>.</w:t>
      </w:r>
      <w:r w:rsidR="00132F29" w:rsidRPr="00AE2B58">
        <w:rPr>
          <w:i/>
        </w:rPr>
        <w:t xml:space="preserve"> C</w:t>
      </w:r>
      <w:r w:rsidR="006B21C5" w:rsidRPr="00AE2B58">
        <w:rPr>
          <w:i/>
        </w:rPr>
        <w:t>o</w:t>
      </w:r>
      <w:r w:rsidR="00AE2B58" w:rsidRPr="00AE2B58">
        <w:rPr>
          <w:i/>
        </w:rPr>
        <w:t>.</w:t>
      </w:r>
      <w:r w:rsidR="006B21C5">
        <w:t xml:space="preserve">, </w:t>
      </w:r>
      <w:r w:rsidR="006B21C5" w:rsidRPr="00AE2B58">
        <w:rPr>
          <w:i/>
        </w:rPr>
        <w:t>In re: Petition for approval of 2020 depreciation and dismantlement study and capital recovery schedules, by Tampa Elec</w:t>
      </w:r>
      <w:r w:rsidR="00AE2B58" w:rsidRPr="00AE2B58">
        <w:rPr>
          <w:i/>
        </w:rPr>
        <w:t>.</w:t>
      </w:r>
      <w:r w:rsidR="006B21C5" w:rsidRPr="00AE2B58">
        <w:rPr>
          <w:i/>
        </w:rPr>
        <w:t xml:space="preserve"> Co</w:t>
      </w:r>
      <w:r w:rsidR="00AE2B58" w:rsidRPr="00AE2B58">
        <w:rPr>
          <w:i/>
        </w:rPr>
        <w:t>.</w:t>
      </w:r>
      <w:r w:rsidR="006B21C5">
        <w:t>, Docket Nos. 20210034-EI</w:t>
      </w:r>
      <w:r w:rsidR="006612F0">
        <w:t xml:space="preserve">, </w:t>
      </w:r>
      <w:r w:rsidR="006B21C5">
        <w:t>20200264-EI, Order No. PSC-2021-0172-PCO-EI (Fla. PSC May 14, 2021) (</w:t>
      </w:r>
      <w:r w:rsidR="004B182A">
        <w:t xml:space="preserve">authorizing 500 interrogatories per party in docket with one test year and </w:t>
      </w:r>
      <w:r w:rsidR="0011091D" w:rsidRPr="001C50BA">
        <w:t>two subsequent year adjustments</w:t>
      </w:r>
      <w:r w:rsidR="0011091D">
        <w:t xml:space="preserve">); </w:t>
      </w:r>
      <w:r w:rsidR="00055FAD" w:rsidRPr="00D131F4">
        <w:rPr>
          <w:i/>
        </w:rPr>
        <w:t>In re: Petition for rate increase by Fla. Power &amp; Light Co.</w:t>
      </w:r>
      <w:r w:rsidR="00055FAD">
        <w:t>, Docket No. 20210015-EI, Order No. PSC-2021-0116-PCO-EI (Fla. PSC Mar. 24, 2021) (authorizing 750 interrogatories per party in docket with two test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3 ">
      <w:r w:rsidR="0048317E">
        <w:t>PSC-2024-0183-PCO-EI</w:t>
      </w:r>
    </w:fldSimple>
  </w:p>
  <w:p w:rsidR="00FA6EFD" w:rsidRDefault="00F75A52">
    <w:pPr>
      <w:pStyle w:val="OrderHeader"/>
    </w:pPr>
    <w:bookmarkStart w:id="8" w:name="HeaderDocketNo"/>
    <w:bookmarkEnd w:id="8"/>
    <w:r>
      <w:t>DOCKET NO</w:t>
    </w:r>
    <w:r w:rsidR="007E46B2">
      <w:t>S</w:t>
    </w:r>
    <w:r>
      <w:t>. 20240026-EI</w:t>
    </w:r>
    <w:r w:rsidR="007E46B2">
      <w:t>,</w:t>
    </w:r>
  </w:p>
  <w:p w:rsidR="007E46B2" w:rsidRDefault="007E46B2">
    <w:pPr>
      <w:pStyle w:val="OrderHeader"/>
    </w:pPr>
    <w:r>
      <w:t>20230139-EI</w:t>
    </w:r>
    <w:r w:rsidR="006606BB">
      <w:t>,</w:t>
    </w:r>
    <w:r>
      <w:t xml:space="preserve"> and 20230090-EI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317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w:docVars>
  <w:rsids>
    <w:rsidRoot w:val="00F75A52"/>
    <w:rsid w:val="00002175"/>
    <w:rsid w:val="000022B8"/>
    <w:rsid w:val="00003883"/>
    <w:rsid w:val="000111FB"/>
    <w:rsid w:val="00011251"/>
    <w:rsid w:val="0001478A"/>
    <w:rsid w:val="0002147B"/>
    <w:rsid w:val="0002231B"/>
    <w:rsid w:val="00025C2A"/>
    <w:rsid w:val="00025C9D"/>
    <w:rsid w:val="00026EEE"/>
    <w:rsid w:val="0003433F"/>
    <w:rsid w:val="00035A8C"/>
    <w:rsid w:val="00036BDD"/>
    <w:rsid w:val="00041FFD"/>
    <w:rsid w:val="0004260C"/>
    <w:rsid w:val="00042C99"/>
    <w:rsid w:val="0004793F"/>
    <w:rsid w:val="00053AB9"/>
    <w:rsid w:val="00055FAD"/>
    <w:rsid w:val="00056229"/>
    <w:rsid w:val="00057AF1"/>
    <w:rsid w:val="00065FC2"/>
    <w:rsid w:val="00067685"/>
    <w:rsid w:val="00067B07"/>
    <w:rsid w:val="00072952"/>
    <w:rsid w:val="00072D16"/>
    <w:rsid w:val="000730D7"/>
    <w:rsid w:val="000742C2"/>
    <w:rsid w:val="00076E6B"/>
    <w:rsid w:val="00080DB6"/>
    <w:rsid w:val="00081AE4"/>
    <w:rsid w:val="0008247D"/>
    <w:rsid w:val="00083F26"/>
    <w:rsid w:val="0008742F"/>
    <w:rsid w:val="00090AFC"/>
    <w:rsid w:val="00096507"/>
    <w:rsid w:val="000A2E7A"/>
    <w:rsid w:val="000A774F"/>
    <w:rsid w:val="000B1603"/>
    <w:rsid w:val="000B2DB5"/>
    <w:rsid w:val="000B71DF"/>
    <w:rsid w:val="000B783E"/>
    <w:rsid w:val="000B7D81"/>
    <w:rsid w:val="000C041B"/>
    <w:rsid w:val="000C1994"/>
    <w:rsid w:val="000C214F"/>
    <w:rsid w:val="000C266B"/>
    <w:rsid w:val="000C5818"/>
    <w:rsid w:val="000C66AD"/>
    <w:rsid w:val="000C6926"/>
    <w:rsid w:val="000D02B8"/>
    <w:rsid w:val="000D06E8"/>
    <w:rsid w:val="000D52C1"/>
    <w:rsid w:val="000D6E65"/>
    <w:rsid w:val="000D78FB"/>
    <w:rsid w:val="000E050C"/>
    <w:rsid w:val="000E0C13"/>
    <w:rsid w:val="000E20F0"/>
    <w:rsid w:val="000E2593"/>
    <w:rsid w:val="000E344D"/>
    <w:rsid w:val="000E3F6D"/>
    <w:rsid w:val="000F11F1"/>
    <w:rsid w:val="000F359F"/>
    <w:rsid w:val="000F3B2C"/>
    <w:rsid w:val="000F3F6C"/>
    <w:rsid w:val="000F43F2"/>
    <w:rsid w:val="000F63EB"/>
    <w:rsid w:val="000F648A"/>
    <w:rsid w:val="000F7BE3"/>
    <w:rsid w:val="00102883"/>
    <w:rsid w:val="00103190"/>
    <w:rsid w:val="00103234"/>
    <w:rsid w:val="00104333"/>
    <w:rsid w:val="001052BA"/>
    <w:rsid w:val="0010548B"/>
    <w:rsid w:val="00105747"/>
    <w:rsid w:val="001107B3"/>
    <w:rsid w:val="0011091D"/>
    <w:rsid w:val="001114B1"/>
    <w:rsid w:val="001139D8"/>
    <w:rsid w:val="001150F3"/>
    <w:rsid w:val="00116AD3"/>
    <w:rsid w:val="00121957"/>
    <w:rsid w:val="0012387E"/>
    <w:rsid w:val="001259EC"/>
    <w:rsid w:val="00126593"/>
    <w:rsid w:val="00132F29"/>
    <w:rsid w:val="0013346D"/>
    <w:rsid w:val="00134177"/>
    <w:rsid w:val="00136087"/>
    <w:rsid w:val="001374F8"/>
    <w:rsid w:val="00142A96"/>
    <w:rsid w:val="001513DE"/>
    <w:rsid w:val="00154A71"/>
    <w:rsid w:val="00156D02"/>
    <w:rsid w:val="001655D4"/>
    <w:rsid w:val="00165803"/>
    <w:rsid w:val="001720E4"/>
    <w:rsid w:val="00177F17"/>
    <w:rsid w:val="00187E32"/>
    <w:rsid w:val="001904C0"/>
    <w:rsid w:val="001918FF"/>
    <w:rsid w:val="00194A97"/>
    <w:rsid w:val="00194E81"/>
    <w:rsid w:val="00196B6D"/>
    <w:rsid w:val="001A15E7"/>
    <w:rsid w:val="001A33C9"/>
    <w:rsid w:val="001A58F3"/>
    <w:rsid w:val="001A7453"/>
    <w:rsid w:val="001B034E"/>
    <w:rsid w:val="001B50BC"/>
    <w:rsid w:val="001B5EB0"/>
    <w:rsid w:val="001C2847"/>
    <w:rsid w:val="001C3BB5"/>
    <w:rsid w:val="001C3F8C"/>
    <w:rsid w:val="001C50BA"/>
    <w:rsid w:val="001C6097"/>
    <w:rsid w:val="001C7126"/>
    <w:rsid w:val="001D0021"/>
    <w:rsid w:val="001D008A"/>
    <w:rsid w:val="001D13AF"/>
    <w:rsid w:val="001E0152"/>
    <w:rsid w:val="001E058A"/>
    <w:rsid w:val="001E0FF5"/>
    <w:rsid w:val="001E60B7"/>
    <w:rsid w:val="001F0095"/>
    <w:rsid w:val="001F07BB"/>
    <w:rsid w:val="001F36B0"/>
    <w:rsid w:val="001F4CA3"/>
    <w:rsid w:val="001F59E0"/>
    <w:rsid w:val="002002ED"/>
    <w:rsid w:val="002044DD"/>
    <w:rsid w:val="00204FE5"/>
    <w:rsid w:val="00212B26"/>
    <w:rsid w:val="002151D5"/>
    <w:rsid w:val="002170E5"/>
    <w:rsid w:val="00220D57"/>
    <w:rsid w:val="00223B99"/>
    <w:rsid w:val="0022721A"/>
    <w:rsid w:val="00227F8E"/>
    <w:rsid w:val="00230BB9"/>
    <w:rsid w:val="002334C0"/>
    <w:rsid w:val="0023580F"/>
    <w:rsid w:val="00241CEF"/>
    <w:rsid w:val="0025124E"/>
    <w:rsid w:val="00252B30"/>
    <w:rsid w:val="00255291"/>
    <w:rsid w:val="002613E4"/>
    <w:rsid w:val="00262C43"/>
    <w:rsid w:val="0026544B"/>
    <w:rsid w:val="00270F89"/>
    <w:rsid w:val="00271905"/>
    <w:rsid w:val="0027358D"/>
    <w:rsid w:val="0027374E"/>
    <w:rsid w:val="00276CDC"/>
    <w:rsid w:val="00277655"/>
    <w:rsid w:val="002824B7"/>
    <w:rsid w:val="00282AC4"/>
    <w:rsid w:val="00282C86"/>
    <w:rsid w:val="002859CF"/>
    <w:rsid w:val="00293DC9"/>
    <w:rsid w:val="00297C37"/>
    <w:rsid w:val="002A11AC"/>
    <w:rsid w:val="002A6F30"/>
    <w:rsid w:val="002A7884"/>
    <w:rsid w:val="002B3111"/>
    <w:rsid w:val="002B43B1"/>
    <w:rsid w:val="002C00A5"/>
    <w:rsid w:val="002C09F5"/>
    <w:rsid w:val="002C118E"/>
    <w:rsid w:val="002C2096"/>
    <w:rsid w:val="002C7908"/>
    <w:rsid w:val="002D391B"/>
    <w:rsid w:val="002D4B1F"/>
    <w:rsid w:val="002D7D15"/>
    <w:rsid w:val="002E1B2E"/>
    <w:rsid w:val="002E27EB"/>
    <w:rsid w:val="002E4EF4"/>
    <w:rsid w:val="002E6313"/>
    <w:rsid w:val="002E78B6"/>
    <w:rsid w:val="002F0F1C"/>
    <w:rsid w:val="002F26FE"/>
    <w:rsid w:val="002F2A9D"/>
    <w:rsid w:val="002F31C2"/>
    <w:rsid w:val="002F7BF6"/>
    <w:rsid w:val="00303FDE"/>
    <w:rsid w:val="0030418C"/>
    <w:rsid w:val="00306F70"/>
    <w:rsid w:val="003138BF"/>
    <w:rsid w:val="00313C5B"/>
    <w:rsid w:val="003140D6"/>
    <w:rsid w:val="003140E8"/>
    <w:rsid w:val="00315B1C"/>
    <w:rsid w:val="003231C7"/>
    <w:rsid w:val="00323839"/>
    <w:rsid w:val="00324866"/>
    <w:rsid w:val="003270C4"/>
    <w:rsid w:val="00331ED0"/>
    <w:rsid w:val="003324AC"/>
    <w:rsid w:val="00332B0A"/>
    <w:rsid w:val="00333A41"/>
    <w:rsid w:val="00341036"/>
    <w:rsid w:val="00345434"/>
    <w:rsid w:val="00350D1A"/>
    <w:rsid w:val="00351C22"/>
    <w:rsid w:val="0035495B"/>
    <w:rsid w:val="00355A93"/>
    <w:rsid w:val="00360F30"/>
    <w:rsid w:val="00361522"/>
    <w:rsid w:val="00367CAF"/>
    <w:rsid w:val="0037115C"/>
    <w:rsid w:val="0037196E"/>
    <w:rsid w:val="003744F5"/>
    <w:rsid w:val="00382C6A"/>
    <w:rsid w:val="00384735"/>
    <w:rsid w:val="003875A9"/>
    <w:rsid w:val="00387BDE"/>
    <w:rsid w:val="00390DD8"/>
    <w:rsid w:val="00394DC6"/>
    <w:rsid w:val="00397C3E"/>
    <w:rsid w:val="003A1C88"/>
    <w:rsid w:val="003A2ED1"/>
    <w:rsid w:val="003B1A09"/>
    <w:rsid w:val="003B5740"/>
    <w:rsid w:val="003B6F02"/>
    <w:rsid w:val="003C0431"/>
    <w:rsid w:val="003C1C7C"/>
    <w:rsid w:val="003C29BB"/>
    <w:rsid w:val="003C2E48"/>
    <w:rsid w:val="003C3B62"/>
    <w:rsid w:val="003C5C0C"/>
    <w:rsid w:val="003D1D5A"/>
    <w:rsid w:val="003D3989"/>
    <w:rsid w:val="003D3CCE"/>
    <w:rsid w:val="003D4AC6"/>
    <w:rsid w:val="003D4CCA"/>
    <w:rsid w:val="003D52A6"/>
    <w:rsid w:val="003D6416"/>
    <w:rsid w:val="003E0137"/>
    <w:rsid w:val="003E1D48"/>
    <w:rsid w:val="003E1DDD"/>
    <w:rsid w:val="003E5608"/>
    <w:rsid w:val="003E6EF5"/>
    <w:rsid w:val="003E711F"/>
    <w:rsid w:val="003F1D2B"/>
    <w:rsid w:val="003F1F59"/>
    <w:rsid w:val="003F49A6"/>
    <w:rsid w:val="003F518F"/>
    <w:rsid w:val="003F6BA7"/>
    <w:rsid w:val="003F7445"/>
    <w:rsid w:val="00404E04"/>
    <w:rsid w:val="00407A0C"/>
    <w:rsid w:val="00411DF2"/>
    <w:rsid w:val="00411E8F"/>
    <w:rsid w:val="00417A25"/>
    <w:rsid w:val="00417A7D"/>
    <w:rsid w:val="00422850"/>
    <w:rsid w:val="004247F5"/>
    <w:rsid w:val="0042527B"/>
    <w:rsid w:val="00425CBE"/>
    <w:rsid w:val="00427625"/>
    <w:rsid w:val="004276E6"/>
    <w:rsid w:val="00427EAC"/>
    <w:rsid w:val="00433357"/>
    <w:rsid w:val="0043775F"/>
    <w:rsid w:val="0044227D"/>
    <w:rsid w:val="004431B4"/>
    <w:rsid w:val="00445604"/>
    <w:rsid w:val="00451158"/>
    <w:rsid w:val="00453128"/>
    <w:rsid w:val="00453ED3"/>
    <w:rsid w:val="0045537F"/>
    <w:rsid w:val="00455ADB"/>
    <w:rsid w:val="00457DC7"/>
    <w:rsid w:val="004640B3"/>
    <w:rsid w:val="00467357"/>
    <w:rsid w:val="00472BCC"/>
    <w:rsid w:val="00475F16"/>
    <w:rsid w:val="00477699"/>
    <w:rsid w:val="004807CC"/>
    <w:rsid w:val="00481078"/>
    <w:rsid w:val="0048317E"/>
    <w:rsid w:val="004905C8"/>
    <w:rsid w:val="0049398C"/>
    <w:rsid w:val="004A25CD"/>
    <w:rsid w:val="004A26CC"/>
    <w:rsid w:val="004A2953"/>
    <w:rsid w:val="004B182A"/>
    <w:rsid w:val="004B2108"/>
    <w:rsid w:val="004B3A2B"/>
    <w:rsid w:val="004B70D3"/>
    <w:rsid w:val="004C312D"/>
    <w:rsid w:val="004C62DF"/>
    <w:rsid w:val="004D1DEC"/>
    <w:rsid w:val="004D2A7E"/>
    <w:rsid w:val="004D2D1B"/>
    <w:rsid w:val="004D5067"/>
    <w:rsid w:val="004D6838"/>
    <w:rsid w:val="004D72BC"/>
    <w:rsid w:val="004E245B"/>
    <w:rsid w:val="004E469D"/>
    <w:rsid w:val="004E7F4F"/>
    <w:rsid w:val="004F013C"/>
    <w:rsid w:val="004F2DDE"/>
    <w:rsid w:val="004F5A55"/>
    <w:rsid w:val="004F6426"/>
    <w:rsid w:val="004F7826"/>
    <w:rsid w:val="0050097F"/>
    <w:rsid w:val="0050697C"/>
    <w:rsid w:val="00507CEC"/>
    <w:rsid w:val="00514B1F"/>
    <w:rsid w:val="00523C5C"/>
    <w:rsid w:val="00524884"/>
    <w:rsid w:val="00525E93"/>
    <w:rsid w:val="0052671D"/>
    <w:rsid w:val="00526726"/>
    <w:rsid w:val="005300C0"/>
    <w:rsid w:val="0053012F"/>
    <w:rsid w:val="00530A1A"/>
    <w:rsid w:val="00531470"/>
    <w:rsid w:val="005318B3"/>
    <w:rsid w:val="00533EF6"/>
    <w:rsid w:val="00540ABE"/>
    <w:rsid w:val="00540E6B"/>
    <w:rsid w:val="0054109E"/>
    <w:rsid w:val="00546D35"/>
    <w:rsid w:val="005546D1"/>
    <w:rsid w:val="0055595D"/>
    <w:rsid w:val="00556A10"/>
    <w:rsid w:val="00557F50"/>
    <w:rsid w:val="005616C2"/>
    <w:rsid w:val="00571D3D"/>
    <w:rsid w:val="0057484E"/>
    <w:rsid w:val="00575B20"/>
    <w:rsid w:val="0058231A"/>
    <w:rsid w:val="0058264B"/>
    <w:rsid w:val="00582AA7"/>
    <w:rsid w:val="00585217"/>
    <w:rsid w:val="00586368"/>
    <w:rsid w:val="005864EE"/>
    <w:rsid w:val="005868AA"/>
    <w:rsid w:val="00590845"/>
    <w:rsid w:val="00592BE4"/>
    <w:rsid w:val="005963C2"/>
    <w:rsid w:val="005A0B8D"/>
    <w:rsid w:val="005A0D69"/>
    <w:rsid w:val="005A31F4"/>
    <w:rsid w:val="005A4A2E"/>
    <w:rsid w:val="005A6F69"/>
    <w:rsid w:val="005A73EA"/>
    <w:rsid w:val="005A7CB8"/>
    <w:rsid w:val="005B45F7"/>
    <w:rsid w:val="005B63EA"/>
    <w:rsid w:val="005C1A88"/>
    <w:rsid w:val="005C5033"/>
    <w:rsid w:val="005C5511"/>
    <w:rsid w:val="005D4E1B"/>
    <w:rsid w:val="005E1468"/>
    <w:rsid w:val="005E751B"/>
    <w:rsid w:val="005F2751"/>
    <w:rsid w:val="005F3354"/>
    <w:rsid w:val="005F478C"/>
    <w:rsid w:val="005F4AD6"/>
    <w:rsid w:val="005F631F"/>
    <w:rsid w:val="0060005E"/>
    <w:rsid w:val="0060095B"/>
    <w:rsid w:val="00601266"/>
    <w:rsid w:val="00610221"/>
    <w:rsid w:val="00610E73"/>
    <w:rsid w:val="00615D55"/>
    <w:rsid w:val="00615F9B"/>
    <w:rsid w:val="00616DF2"/>
    <w:rsid w:val="00620AE2"/>
    <w:rsid w:val="0062385D"/>
    <w:rsid w:val="00624E2B"/>
    <w:rsid w:val="00627825"/>
    <w:rsid w:val="0063168D"/>
    <w:rsid w:val="00631B8D"/>
    <w:rsid w:val="00635988"/>
    <w:rsid w:val="00635C79"/>
    <w:rsid w:val="006361F9"/>
    <w:rsid w:val="00641A1C"/>
    <w:rsid w:val="006423A7"/>
    <w:rsid w:val="006455DF"/>
    <w:rsid w:val="00645AF6"/>
    <w:rsid w:val="00646FD1"/>
    <w:rsid w:val="00647025"/>
    <w:rsid w:val="0064730A"/>
    <w:rsid w:val="006507DA"/>
    <w:rsid w:val="006531A4"/>
    <w:rsid w:val="006606BB"/>
    <w:rsid w:val="00660774"/>
    <w:rsid w:val="006612F0"/>
    <w:rsid w:val="00662A2C"/>
    <w:rsid w:val="0066389A"/>
    <w:rsid w:val="0066495C"/>
    <w:rsid w:val="00665CC7"/>
    <w:rsid w:val="006701E0"/>
    <w:rsid w:val="00672612"/>
    <w:rsid w:val="00674ECC"/>
    <w:rsid w:val="006767F3"/>
    <w:rsid w:val="00677F18"/>
    <w:rsid w:val="00686857"/>
    <w:rsid w:val="00693483"/>
    <w:rsid w:val="006A0BF3"/>
    <w:rsid w:val="006A17BC"/>
    <w:rsid w:val="006A6D0A"/>
    <w:rsid w:val="006B0036"/>
    <w:rsid w:val="006B01C5"/>
    <w:rsid w:val="006B034C"/>
    <w:rsid w:val="006B0DA6"/>
    <w:rsid w:val="006B19C5"/>
    <w:rsid w:val="006B21C5"/>
    <w:rsid w:val="006B3FA9"/>
    <w:rsid w:val="006C0E8B"/>
    <w:rsid w:val="006C547E"/>
    <w:rsid w:val="006D1C00"/>
    <w:rsid w:val="006D2372"/>
    <w:rsid w:val="006D294A"/>
    <w:rsid w:val="006D2B51"/>
    <w:rsid w:val="006D5575"/>
    <w:rsid w:val="006D568F"/>
    <w:rsid w:val="006D7191"/>
    <w:rsid w:val="006D7670"/>
    <w:rsid w:val="006D7BF3"/>
    <w:rsid w:val="006E21C4"/>
    <w:rsid w:val="006E42BE"/>
    <w:rsid w:val="006E5D4D"/>
    <w:rsid w:val="006E6D16"/>
    <w:rsid w:val="006F0C13"/>
    <w:rsid w:val="006F2197"/>
    <w:rsid w:val="00703EC0"/>
    <w:rsid w:val="00703F2A"/>
    <w:rsid w:val="00704C5D"/>
    <w:rsid w:val="007072BC"/>
    <w:rsid w:val="007135B8"/>
    <w:rsid w:val="00713EF7"/>
    <w:rsid w:val="00715275"/>
    <w:rsid w:val="0072122E"/>
    <w:rsid w:val="00721B44"/>
    <w:rsid w:val="007232A2"/>
    <w:rsid w:val="00726366"/>
    <w:rsid w:val="007263C3"/>
    <w:rsid w:val="00730F60"/>
    <w:rsid w:val="00731AB6"/>
    <w:rsid w:val="0073349E"/>
    <w:rsid w:val="00733B6B"/>
    <w:rsid w:val="007364F1"/>
    <w:rsid w:val="00740808"/>
    <w:rsid w:val="00740A1B"/>
    <w:rsid w:val="007467C4"/>
    <w:rsid w:val="00753F18"/>
    <w:rsid w:val="00756088"/>
    <w:rsid w:val="0076170F"/>
    <w:rsid w:val="00764556"/>
    <w:rsid w:val="0076669C"/>
    <w:rsid w:val="00766E46"/>
    <w:rsid w:val="00772CCB"/>
    <w:rsid w:val="00777727"/>
    <w:rsid w:val="0078166A"/>
    <w:rsid w:val="00782B79"/>
    <w:rsid w:val="007833A7"/>
    <w:rsid w:val="00783811"/>
    <w:rsid w:val="007865E9"/>
    <w:rsid w:val="007921F4"/>
    <w:rsid w:val="0079237D"/>
    <w:rsid w:val="00792383"/>
    <w:rsid w:val="00792828"/>
    <w:rsid w:val="00794D5A"/>
    <w:rsid w:val="00794DD9"/>
    <w:rsid w:val="007970A3"/>
    <w:rsid w:val="007A060F"/>
    <w:rsid w:val="007B1C5E"/>
    <w:rsid w:val="007B350E"/>
    <w:rsid w:val="007B4490"/>
    <w:rsid w:val="007C0FBC"/>
    <w:rsid w:val="007C29C9"/>
    <w:rsid w:val="007C35B8"/>
    <w:rsid w:val="007C36E3"/>
    <w:rsid w:val="007C3ABB"/>
    <w:rsid w:val="007C490B"/>
    <w:rsid w:val="007C7134"/>
    <w:rsid w:val="007C7ECF"/>
    <w:rsid w:val="007D3D20"/>
    <w:rsid w:val="007D44F9"/>
    <w:rsid w:val="007D73AB"/>
    <w:rsid w:val="007D742E"/>
    <w:rsid w:val="007E3AFD"/>
    <w:rsid w:val="007E46B2"/>
    <w:rsid w:val="00801DAD"/>
    <w:rsid w:val="00803189"/>
    <w:rsid w:val="00804E7A"/>
    <w:rsid w:val="00805FBB"/>
    <w:rsid w:val="00806619"/>
    <w:rsid w:val="00807FBC"/>
    <w:rsid w:val="008109C9"/>
    <w:rsid w:val="00813FDC"/>
    <w:rsid w:val="00814292"/>
    <w:rsid w:val="008169A4"/>
    <w:rsid w:val="00823A60"/>
    <w:rsid w:val="00826DFE"/>
    <w:rsid w:val="008278FE"/>
    <w:rsid w:val="00830744"/>
    <w:rsid w:val="00832598"/>
    <w:rsid w:val="0083397E"/>
    <w:rsid w:val="0083534B"/>
    <w:rsid w:val="00841A18"/>
    <w:rsid w:val="00841BBF"/>
    <w:rsid w:val="00842035"/>
    <w:rsid w:val="00842602"/>
    <w:rsid w:val="00844611"/>
    <w:rsid w:val="008449F0"/>
    <w:rsid w:val="00846F11"/>
    <w:rsid w:val="00847B45"/>
    <w:rsid w:val="00847F9E"/>
    <w:rsid w:val="008563D7"/>
    <w:rsid w:val="00863A66"/>
    <w:rsid w:val="008703D7"/>
    <w:rsid w:val="00870F99"/>
    <w:rsid w:val="00874429"/>
    <w:rsid w:val="00875D22"/>
    <w:rsid w:val="00882B5F"/>
    <w:rsid w:val="00883D9A"/>
    <w:rsid w:val="00886B09"/>
    <w:rsid w:val="00887C89"/>
    <w:rsid w:val="008919EF"/>
    <w:rsid w:val="00892B20"/>
    <w:rsid w:val="008931BC"/>
    <w:rsid w:val="0089695B"/>
    <w:rsid w:val="00897740"/>
    <w:rsid w:val="008A005A"/>
    <w:rsid w:val="008A12EC"/>
    <w:rsid w:val="008A2536"/>
    <w:rsid w:val="008A5C80"/>
    <w:rsid w:val="008B14BE"/>
    <w:rsid w:val="008B1739"/>
    <w:rsid w:val="008B19A6"/>
    <w:rsid w:val="008B2A1E"/>
    <w:rsid w:val="008B46F4"/>
    <w:rsid w:val="008B4ECD"/>
    <w:rsid w:val="008B4EFB"/>
    <w:rsid w:val="008B5375"/>
    <w:rsid w:val="008B5C56"/>
    <w:rsid w:val="008B7615"/>
    <w:rsid w:val="008C21C8"/>
    <w:rsid w:val="008C52BF"/>
    <w:rsid w:val="008C6375"/>
    <w:rsid w:val="008C6A5B"/>
    <w:rsid w:val="008D1E16"/>
    <w:rsid w:val="008D30E4"/>
    <w:rsid w:val="008D441D"/>
    <w:rsid w:val="008D498D"/>
    <w:rsid w:val="008D6D36"/>
    <w:rsid w:val="008E0693"/>
    <w:rsid w:val="008E1A81"/>
    <w:rsid w:val="008E26A5"/>
    <w:rsid w:val="008E38D6"/>
    <w:rsid w:val="008E42D2"/>
    <w:rsid w:val="008E6328"/>
    <w:rsid w:val="008F0853"/>
    <w:rsid w:val="008F1748"/>
    <w:rsid w:val="008F578F"/>
    <w:rsid w:val="008F5D04"/>
    <w:rsid w:val="008F6B3F"/>
    <w:rsid w:val="0090173A"/>
    <w:rsid w:val="009040EA"/>
    <w:rsid w:val="009040EE"/>
    <w:rsid w:val="009057FD"/>
    <w:rsid w:val="00906E4B"/>
    <w:rsid w:val="00906FBA"/>
    <w:rsid w:val="00913D9C"/>
    <w:rsid w:val="00914845"/>
    <w:rsid w:val="009163E8"/>
    <w:rsid w:val="00917DE6"/>
    <w:rsid w:val="00921BD3"/>
    <w:rsid w:val="009228C7"/>
    <w:rsid w:val="00922A7F"/>
    <w:rsid w:val="00923A5E"/>
    <w:rsid w:val="00924FE7"/>
    <w:rsid w:val="00926E27"/>
    <w:rsid w:val="00931C8C"/>
    <w:rsid w:val="00941D21"/>
    <w:rsid w:val="00943D21"/>
    <w:rsid w:val="00944813"/>
    <w:rsid w:val="0094504B"/>
    <w:rsid w:val="00964040"/>
    <w:rsid w:val="00964A38"/>
    <w:rsid w:val="00966A9D"/>
    <w:rsid w:val="0096742B"/>
    <w:rsid w:val="00967AD0"/>
    <w:rsid w:val="00967C64"/>
    <w:rsid w:val="009718C5"/>
    <w:rsid w:val="00975A21"/>
    <w:rsid w:val="00976AFF"/>
    <w:rsid w:val="00984049"/>
    <w:rsid w:val="00986AED"/>
    <w:rsid w:val="00991292"/>
    <w:rsid w:val="009924CF"/>
    <w:rsid w:val="00994100"/>
    <w:rsid w:val="00995F7A"/>
    <w:rsid w:val="009A04B7"/>
    <w:rsid w:val="009A6B17"/>
    <w:rsid w:val="009B052E"/>
    <w:rsid w:val="009B0E9F"/>
    <w:rsid w:val="009B3C86"/>
    <w:rsid w:val="009B4E00"/>
    <w:rsid w:val="009B61ED"/>
    <w:rsid w:val="009D4C29"/>
    <w:rsid w:val="009E037F"/>
    <w:rsid w:val="009E569D"/>
    <w:rsid w:val="009E58E9"/>
    <w:rsid w:val="009E6803"/>
    <w:rsid w:val="009F5544"/>
    <w:rsid w:val="009F5B69"/>
    <w:rsid w:val="009F6AD2"/>
    <w:rsid w:val="009F7C1B"/>
    <w:rsid w:val="00A00B5B"/>
    <w:rsid w:val="00A00D8D"/>
    <w:rsid w:val="00A01BB6"/>
    <w:rsid w:val="00A0480A"/>
    <w:rsid w:val="00A079F0"/>
    <w:rsid w:val="00A108A7"/>
    <w:rsid w:val="00A1333B"/>
    <w:rsid w:val="00A14C56"/>
    <w:rsid w:val="00A228DA"/>
    <w:rsid w:val="00A22B28"/>
    <w:rsid w:val="00A31EFA"/>
    <w:rsid w:val="00A3351E"/>
    <w:rsid w:val="00A3471B"/>
    <w:rsid w:val="00A4303C"/>
    <w:rsid w:val="00A46CAF"/>
    <w:rsid w:val="00A470FD"/>
    <w:rsid w:val="00A5086C"/>
    <w:rsid w:val="00A50B5E"/>
    <w:rsid w:val="00A60582"/>
    <w:rsid w:val="00A62DAB"/>
    <w:rsid w:val="00A6757A"/>
    <w:rsid w:val="00A726A6"/>
    <w:rsid w:val="00A726AC"/>
    <w:rsid w:val="00A74038"/>
    <w:rsid w:val="00A74842"/>
    <w:rsid w:val="00A8269A"/>
    <w:rsid w:val="00A84AB1"/>
    <w:rsid w:val="00A86A50"/>
    <w:rsid w:val="00A9178A"/>
    <w:rsid w:val="00A9515B"/>
    <w:rsid w:val="00A97535"/>
    <w:rsid w:val="00AA2BAA"/>
    <w:rsid w:val="00AA35E8"/>
    <w:rsid w:val="00AA53C1"/>
    <w:rsid w:val="00AA6516"/>
    <w:rsid w:val="00AA73F1"/>
    <w:rsid w:val="00AB0E1A"/>
    <w:rsid w:val="00AB1A30"/>
    <w:rsid w:val="00AB3C36"/>
    <w:rsid w:val="00AB3D30"/>
    <w:rsid w:val="00AC4B09"/>
    <w:rsid w:val="00AC5A01"/>
    <w:rsid w:val="00AC5E23"/>
    <w:rsid w:val="00AC627F"/>
    <w:rsid w:val="00AC7E3F"/>
    <w:rsid w:val="00AD10EB"/>
    <w:rsid w:val="00AD1135"/>
    <w:rsid w:val="00AD1ED3"/>
    <w:rsid w:val="00AD3717"/>
    <w:rsid w:val="00AD74F4"/>
    <w:rsid w:val="00AE2B58"/>
    <w:rsid w:val="00AE4274"/>
    <w:rsid w:val="00AE5A1F"/>
    <w:rsid w:val="00AF560C"/>
    <w:rsid w:val="00AF79CB"/>
    <w:rsid w:val="00B0037E"/>
    <w:rsid w:val="00B019C1"/>
    <w:rsid w:val="00B02001"/>
    <w:rsid w:val="00B03C50"/>
    <w:rsid w:val="00B0777D"/>
    <w:rsid w:val="00B11576"/>
    <w:rsid w:val="00B1195F"/>
    <w:rsid w:val="00B11B9E"/>
    <w:rsid w:val="00B14D10"/>
    <w:rsid w:val="00B153ED"/>
    <w:rsid w:val="00B155E0"/>
    <w:rsid w:val="00B209C7"/>
    <w:rsid w:val="00B26480"/>
    <w:rsid w:val="00B308B4"/>
    <w:rsid w:val="00B3644F"/>
    <w:rsid w:val="00B4057A"/>
    <w:rsid w:val="00B40894"/>
    <w:rsid w:val="00B40B9A"/>
    <w:rsid w:val="00B41039"/>
    <w:rsid w:val="00B41F37"/>
    <w:rsid w:val="00B42987"/>
    <w:rsid w:val="00B444AE"/>
    <w:rsid w:val="00B44C8D"/>
    <w:rsid w:val="00B45E75"/>
    <w:rsid w:val="00B4623D"/>
    <w:rsid w:val="00B50876"/>
    <w:rsid w:val="00B51074"/>
    <w:rsid w:val="00B54DAA"/>
    <w:rsid w:val="00B552E0"/>
    <w:rsid w:val="00B55AB0"/>
    <w:rsid w:val="00B55EE5"/>
    <w:rsid w:val="00B61D42"/>
    <w:rsid w:val="00B67A43"/>
    <w:rsid w:val="00B71D1F"/>
    <w:rsid w:val="00B71DE0"/>
    <w:rsid w:val="00B72CFF"/>
    <w:rsid w:val="00B73DE6"/>
    <w:rsid w:val="00B75364"/>
    <w:rsid w:val="00B761CD"/>
    <w:rsid w:val="00B76B66"/>
    <w:rsid w:val="00B86EF0"/>
    <w:rsid w:val="00B9596B"/>
    <w:rsid w:val="00B96969"/>
    <w:rsid w:val="00B96B42"/>
    <w:rsid w:val="00B97900"/>
    <w:rsid w:val="00BA1229"/>
    <w:rsid w:val="00BA44A8"/>
    <w:rsid w:val="00BA49C5"/>
    <w:rsid w:val="00BA5970"/>
    <w:rsid w:val="00BA6AA6"/>
    <w:rsid w:val="00BB0182"/>
    <w:rsid w:val="00BB2F4A"/>
    <w:rsid w:val="00BC786E"/>
    <w:rsid w:val="00BD2BE1"/>
    <w:rsid w:val="00BD3AA1"/>
    <w:rsid w:val="00BD5C92"/>
    <w:rsid w:val="00BE50E6"/>
    <w:rsid w:val="00BE7A0C"/>
    <w:rsid w:val="00BF2928"/>
    <w:rsid w:val="00BF5D60"/>
    <w:rsid w:val="00BF6691"/>
    <w:rsid w:val="00C00271"/>
    <w:rsid w:val="00C02373"/>
    <w:rsid w:val="00C0270D"/>
    <w:rsid w:val="00C028FC"/>
    <w:rsid w:val="00C037F2"/>
    <w:rsid w:val="00C0386D"/>
    <w:rsid w:val="00C05087"/>
    <w:rsid w:val="00C065A1"/>
    <w:rsid w:val="00C10ED5"/>
    <w:rsid w:val="00C12574"/>
    <w:rsid w:val="00C151A6"/>
    <w:rsid w:val="00C21C7C"/>
    <w:rsid w:val="00C22CFC"/>
    <w:rsid w:val="00C24098"/>
    <w:rsid w:val="00C25232"/>
    <w:rsid w:val="00C25381"/>
    <w:rsid w:val="00C30A4E"/>
    <w:rsid w:val="00C411F3"/>
    <w:rsid w:val="00C44105"/>
    <w:rsid w:val="00C523EC"/>
    <w:rsid w:val="00C55A33"/>
    <w:rsid w:val="00C64D49"/>
    <w:rsid w:val="00C66692"/>
    <w:rsid w:val="00C673B5"/>
    <w:rsid w:val="00C67818"/>
    <w:rsid w:val="00C7063D"/>
    <w:rsid w:val="00C72339"/>
    <w:rsid w:val="00C73453"/>
    <w:rsid w:val="00C820BC"/>
    <w:rsid w:val="00C830BC"/>
    <w:rsid w:val="00C84BA2"/>
    <w:rsid w:val="00C8524D"/>
    <w:rsid w:val="00C85558"/>
    <w:rsid w:val="00C90904"/>
    <w:rsid w:val="00C91123"/>
    <w:rsid w:val="00C971B1"/>
    <w:rsid w:val="00CA1C1C"/>
    <w:rsid w:val="00CA335D"/>
    <w:rsid w:val="00CA6CC2"/>
    <w:rsid w:val="00CA71FF"/>
    <w:rsid w:val="00CB2393"/>
    <w:rsid w:val="00CB2456"/>
    <w:rsid w:val="00CB5276"/>
    <w:rsid w:val="00CB5BFC"/>
    <w:rsid w:val="00CB68D7"/>
    <w:rsid w:val="00CB785B"/>
    <w:rsid w:val="00CC4250"/>
    <w:rsid w:val="00CC687C"/>
    <w:rsid w:val="00CC7E68"/>
    <w:rsid w:val="00CD2FAF"/>
    <w:rsid w:val="00CD3544"/>
    <w:rsid w:val="00CD3D74"/>
    <w:rsid w:val="00CD7132"/>
    <w:rsid w:val="00CE0E6F"/>
    <w:rsid w:val="00CE3B21"/>
    <w:rsid w:val="00CE4F3A"/>
    <w:rsid w:val="00CE56FC"/>
    <w:rsid w:val="00CE7A4D"/>
    <w:rsid w:val="00CF0D91"/>
    <w:rsid w:val="00CF32D2"/>
    <w:rsid w:val="00CF35A3"/>
    <w:rsid w:val="00CF4CFE"/>
    <w:rsid w:val="00D00E8E"/>
    <w:rsid w:val="00D02E0F"/>
    <w:rsid w:val="00D03EE8"/>
    <w:rsid w:val="00D05E1E"/>
    <w:rsid w:val="00D10250"/>
    <w:rsid w:val="00D131F4"/>
    <w:rsid w:val="00D13535"/>
    <w:rsid w:val="00D13995"/>
    <w:rsid w:val="00D15497"/>
    <w:rsid w:val="00D17B79"/>
    <w:rsid w:val="00D205F5"/>
    <w:rsid w:val="00D2332A"/>
    <w:rsid w:val="00D23FEA"/>
    <w:rsid w:val="00D246EF"/>
    <w:rsid w:val="00D269CA"/>
    <w:rsid w:val="00D30B48"/>
    <w:rsid w:val="00D3168A"/>
    <w:rsid w:val="00D350D1"/>
    <w:rsid w:val="00D437CF"/>
    <w:rsid w:val="00D468AE"/>
    <w:rsid w:val="00D46FAA"/>
    <w:rsid w:val="00D47A40"/>
    <w:rsid w:val="00D51C3C"/>
    <w:rsid w:val="00D51D33"/>
    <w:rsid w:val="00D55886"/>
    <w:rsid w:val="00D57BB2"/>
    <w:rsid w:val="00D57E57"/>
    <w:rsid w:val="00D63D85"/>
    <w:rsid w:val="00D654A9"/>
    <w:rsid w:val="00D67B27"/>
    <w:rsid w:val="00D70059"/>
    <w:rsid w:val="00D70752"/>
    <w:rsid w:val="00D765FF"/>
    <w:rsid w:val="00D80E2D"/>
    <w:rsid w:val="00D81CB6"/>
    <w:rsid w:val="00D84D5E"/>
    <w:rsid w:val="00D8560E"/>
    <w:rsid w:val="00D8758F"/>
    <w:rsid w:val="00D96311"/>
    <w:rsid w:val="00D96CCE"/>
    <w:rsid w:val="00DA0A4B"/>
    <w:rsid w:val="00DA4EDD"/>
    <w:rsid w:val="00DA6B78"/>
    <w:rsid w:val="00DA7818"/>
    <w:rsid w:val="00DB122B"/>
    <w:rsid w:val="00DB7EC5"/>
    <w:rsid w:val="00DC1D94"/>
    <w:rsid w:val="00DC42CF"/>
    <w:rsid w:val="00DC693E"/>
    <w:rsid w:val="00DC7071"/>
    <w:rsid w:val="00DC738A"/>
    <w:rsid w:val="00DD06CF"/>
    <w:rsid w:val="00DD0CE2"/>
    <w:rsid w:val="00DD2D38"/>
    <w:rsid w:val="00DD382A"/>
    <w:rsid w:val="00DD592E"/>
    <w:rsid w:val="00DD7DC3"/>
    <w:rsid w:val="00DE057F"/>
    <w:rsid w:val="00DE2082"/>
    <w:rsid w:val="00DE2289"/>
    <w:rsid w:val="00DE2377"/>
    <w:rsid w:val="00DF02E6"/>
    <w:rsid w:val="00DF09A7"/>
    <w:rsid w:val="00DF2B51"/>
    <w:rsid w:val="00DF5B48"/>
    <w:rsid w:val="00E001D6"/>
    <w:rsid w:val="00E03A76"/>
    <w:rsid w:val="00E04410"/>
    <w:rsid w:val="00E07484"/>
    <w:rsid w:val="00E11351"/>
    <w:rsid w:val="00E16E09"/>
    <w:rsid w:val="00E25592"/>
    <w:rsid w:val="00E33F44"/>
    <w:rsid w:val="00E37D48"/>
    <w:rsid w:val="00E4225C"/>
    <w:rsid w:val="00E44879"/>
    <w:rsid w:val="00E54827"/>
    <w:rsid w:val="00E60A0A"/>
    <w:rsid w:val="00E66B92"/>
    <w:rsid w:val="00E72914"/>
    <w:rsid w:val="00E72A94"/>
    <w:rsid w:val="00E75AE0"/>
    <w:rsid w:val="00E8136C"/>
    <w:rsid w:val="00E81B61"/>
    <w:rsid w:val="00E83C1F"/>
    <w:rsid w:val="00E85684"/>
    <w:rsid w:val="00E8794B"/>
    <w:rsid w:val="00E96E87"/>
    <w:rsid w:val="00E97656"/>
    <w:rsid w:val="00EA004A"/>
    <w:rsid w:val="00EA172C"/>
    <w:rsid w:val="00EA259B"/>
    <w:rsid w:val="00EA35A3"/>
    <w:rsid w:val="00EA3E6A"/>
    <w:rsid w:val="00EA60DF"/>
    <w:rsid w:val="00EB18EF"/>
    <w:rsid w:val="00EB2756"/>
    <w:rsid w:val="00EB588A"/>
    <w:rsid w:val="00EB58F4"/>
    <w:rsid w:val="00EB7951"/>
    <w:rsid w:val="00EC2114"/>
    <w:rsid w:val="00EC6FE0"/>
    <w:rsid w:val="00ED2F33"/>
    <w:rsid w:val="00ED3637"/>
    <w:rsid w:val="00ED6A79"/>
    <w:rsid w:val="00EE17DF"/>
    <w:rsid w:val="00EF1482"/>
    <w:rsid w:val="00EF4621"/>
    <w:rsid w:val="00EF4D52"/>
    <w:rsid w:val="00EF4E17"/>
    <w:rsid w:val="00EF5969"/>
    <w:rsid w:val="00EF6312"/>
    <w:rsid w:val="00F0323F"/>
    <w:rsid w:val="00F038B0"/>
    <w:rsid w:val="00F05C07"/>
    <w:rsid w:val="00F05F34"/>
    <w:rsid w:val="00F06377"/>
    <w:rsid w:val="00F06B3B"/>
    <w:rsid w:val="00F075DE"/>
    <w:rsid w:val="00F121F6"/>
    <w:rsid w:val="00F22B27"/>
    <w:rsid w:val="00F234A7"/>
    <w:rsid w:val="00F25F77"/>
    <w:rsid w:val="00F277B6"/>
    <w:rsid w:val="00F2798E"/>
    <w:rsid w:val="00F27DA5"/>
    <w:rsid w:val="00F33C2D"/>
    <w:rsid w:val="00F37E07"/>
    <w:rsid w:val="00F4182A"/>
    <w:rsid w:val="00F464ED"/>
    <w:rsid w:val="00F52DD6"/>
    <w:rsid w:val="00F54380"/>
    <w:rsid w:val="00F54B47"/>
    <w:rsid w:val="00F55940"/>
    <w:rsid w:val="00F56529"/>
    <w:rsid w:val="00F61247"/>
    <w:rsid w:val="00F61F61"/>
    <w:rsid w:val="00F63191"/>
    <w:rsid w:val="00F6520A"/>
    <w:rsid w:val="00F6702E"/>
    <w:rsid w:val="00F70E84"/>
    <w:rsid w:val="00F71C89"/>
    <w:rsid w:val="00F75A52"/>
    <w:rsid w:val="00F80685"/>
    <w:rsid w:val="00F94968"/>
    <w:rsid w:val="00F95BEF"/>
    <w:rsid w:val="00F96209"/>
    <w:rsid w:val="00F96603"/>
    <w:rsid w:val="00FA092B"/>
    <w:rsid w:val="00FA4F6C"/>
    <w:rsid w:val="00FA6EFD"/>
    <w:rsid w:val="00FB3791"/>
    <w:rsid w:val="00FB6780"/>
    <w:rsid w:val="00FB74EA"/>
    <w:rsid w:val="00FC1391"/>
    <w:rsid w:val="00FC3025"/>
    <w:rsid w:val="00FC4B71"/>
    <w:rsid w:val="00FD0ADB"/>
    <w:rsid w:val="00FD2C9E"/>
    <w:rsid w:val="00FD4786"/>
    <w:rsid w:val="00FD582F"/>
    <w:rsid w:val="00FD616C"/>
    <w:rsid w:val="00FD6870"/>
    <w:rsid w:val="00FE1EF7"/>
    <w:rsid w:val="00FE4EFB"/>
    <w:rsid w:val="00FE53F2"/>
    <w:rsid w:val="00FF0A00"/>
    <w:rsid w:val="00FF1C57"/>
    <w:rsid w:val="00FF1D1D"/>
    <w:rsid w:val="00FF2581"/>
    <w:rsid w:val="00FF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52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75A52"/>
    <w:pPr>
      <w:ind w:left="720"/>
      <w:contextualSpacing/>
    </w:pPr>
    <w:rPr>
      <w:rFonts w:ascii="Calibri" w:eastAsia="Calibri" w:hAnsi="Calibri"/>
    </w:rPr>
  </w:style>
  <w:style w:type="paragraph" w:styleId="BalloonText">
    <w:name w:val="Balloon Text"/>
    <w:basedOn w:val="Normal"/>
    <w:link w:val="BalloonTextChar"/>
    <w:semiHidden/>
    <w:unhideWhenUsed/>
    <w:rsid w:val="001B5EB0"/>
    <w:rPr>
      <w:rFonts w:ascii="Segoe UI" w:hAnsi="Segoe UI" w:cs="Segoe UI"/>
      <w:sz w:val="18"/>
      <w:szCs w:val="18"/>
    </w:rPr>
  </w:style>
  <w:style w:type="character" w:customStyle="1" w:styleId="BalloonTextChar">
    <w:name w:val="Balloon Text Char"/>
    <w:basedOn w:val="DefaultParagraphFont"/>
    <w:link w:val="BalloonText"/>
    <w:semiHidden/>
    <w:rsid w:val="001B5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F9BF-10EB-4157-8631-CF007405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2024-06-03T12:52:00Z</dcterms:created>
  <dcterms:modified xsi:type="dcterms:W3CDTF">2024-06-04T14:53:00Z</dcterms:modified>
</cp:coreProperties>
</file>