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7D079CC2"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5100226C" w14:textId="77777777" w:rsidR="007C0528" w:rsidRDefault="007C0528" w:rsidP="00532DFB">
            <w:pPr>
              <w:pStyle w:val="MastHeadState"/>
            </w:pPr>
            <w:bookmarkStart w:id="0" w:name="_GoBack"/>
            <w:bookmarkEnd w:id="0"/>
            <w:r>
              <w:t>State of Florida</w:t>
            </w:r>
          </w:p>
          <w:p w14:paraId="0D355F08" w14:textId="77777777" w:rsidR="007C0528" w:rsidRDefault="00072CCA">
            <w:pPr>
              <w:jc w:val="center"/>
            </w:pPr>
            <w:r>
              <w:rPr>
                <w:noProof/>
              </w:rPr>
              <w:drawing>
                <wp:inline distT="0" distB="0" distL="0" distR="0" wp14:anchorId="729C3981" wp14:editId="6E570A5D">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538B688F"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63707B3" w14:textId="77777777" w:rsidR="007C0528" w:rsidRDefault="007C0528">
            <w:pPr>
              <w:pStyle w:val="MastHeadPSC"/>
            </w:pPr>
            <w:r>
              <w:t>Public Service Commission</w:t>
            </w:r>
          </w:p>
          <w:p w14:paraId="282F1806" w14:textId="77777777" w:rsidR="007C0528" w:rsidRDefault="007C0528">
            <w:pPr>
              <w:pStyle w:val="MastHeadAddress"/>
            </w:pPr>
            <w:r>
              <w:t>Capital Circle Office Center ● 2540 Shumard Oak Boulevard</w:t>
            </w:r>
            <w:r>
              <w:br/>
              <w:t>Tallahassee, Florida 32399-0850</w:t>
            </w:r>
          </w:p>
          <w:p w14:paraId="31B96849" w14:textId="77777777" w:rsidR="007C0528" w:rsidRDefault="007C0528">
            <w:pPr>
              <w:pStyle w:val="MastHeadMemorandum"/>
            </w:pPr>
            <w:r>
              <w:t>-M-E-M-O-R-A-N-D-U-M-</w:t>
            </w:r>
          </w:p>
          <w:p w14:paraId="30E284A6" w14:textId="77777777" w:rsidR="007C0528" w:rsidRDefault="007C0528">
            <w:pPr>
              <w:pStyle w:val="MemoHeading"/>
            </w:pPr>
          </w:p>
        </w:tc>
      </w:tr>
      <w:tr w:rsidR="007C0528" w14:paraId="0EBC9B07"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2815B11E"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6338A270" w14:textId="77777777" w:rsidR="007C0528" w:rsidRDefault="00DA3287">
            <w:pPr>
              <w:pStyle w:val="MemoHeading"/>
            </w:pPr>
            <w:bookmarkStart w:id="1" w:name="FilingDate"/>
            <w:r>
              <w:t>June 27</w:t>
            </w:r>
            <w:r w:rsidR="00616A3F">
              <w:t>, 2024</w:t>
            </w:r>
            <w:bookmarkEnd w:id="1"/>
          </w:p>
        </w:tc>
      </w:tr>
      <w:tr w:rsidR="007C0528" w14:paraId="16BDA4C4" w14:textId="77777777">
        <w:tc>
          <w:tcPr>
            <w:tcW w:w="1254" w:type="dxa"/>
            <w:tcBorders>
              <w:top w:val="nil"/>
              <w:left w:val="nil"/>
              <w:bottom w:val="nil"/>
              <w:right w:val="nil"/>
            </w:tcBorders>
            <w:shd w:val="clear" w:color="auto" w:fill="auto"/>
            <w:tcMar>
              <w:top w:w="288" w:type="dxa"/>
              <w:bottom w:w="0" w:type="dxa"/>
              <w:right w:w="0" w:type="dxa"/>
            </w:tcMar>
          </w:tcPr>
          <w:p w14:paraId="74940414"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6D6D575E" w14:textId="77777777" w:rsidR="007C0528" w:rsidRDefault="007C0528" w:rsidP="0093658B">
            <w:pPr>
              <w:pStyle w:val="MemoHeading"/>
            </w:pPr>
            <w:r>
              <w:t>Office of Commission Clerk (</w:t>
            </w:r>
            <w:r w:rsidR="004E69B5">
              <w:t>Teitzman</w:t>
            </w:r>
            <w:r>
              <w:t>)</w:t>
            </w:r>
          </w:p>
        </w:tc>
      </w:tr>
      <w:tr w:rsidR="007C0528" w14:paraId="21EB0C49" w14:textId="77777777">
        <w:tc>
          <w:tcPr>
            <w:tcW w:w="1254" w:type="dxa"/>
            <w:tcBorders>
              <w:top w:val="nil"/>
              <w:left w:val="nil"/>
              <w:bottom w:val="nil"/>
              <w:right w:val="nil"/>
            </w:tcBorders>
            <w:shd w:val="clear" w:color="auto" w:fill="auto"/>
            <w:tcMar>
              <w:top w:w="288" w:type="dxa"/>
              <w:right w:w="0" w:type="dxa"/>
            </w:tcMar>
          </w:tcPr>
          <w:p w14:paraId="0466B12C"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72A7A0C6" w14:textId="77777777" w:rsidR="00616A3F" w:rsidRDefault="000D1FF4">
            <w:pPr>
              <w:pStyle w:val="MemoHeading"/>
            </w:pPr>
            <w:bookmarkStart w:id="2" w:name="From"/>
            <w:r>
              <w:t>Division of Economics (</w:t>
            </w:r>
            <w:r w:rsidR="00616A3F">
              <w:t>Barrett)</w:t>
            </w:r>
          </w:p>
          <w:p w14:paraId="23CFCA30" w14:textId="77777777" w:rsidR="00616A3F" w:rsidRDefault="00616A3F">
            <w:pPr>
              <w:pStyle w:val="MemoHeading"/>
            </w:pPr>
            <w:r>
              <w:t>Division of Engineering (Ellis, Thompson)</w:t>
            </w:r>
          </w:p>
          <w:p w14:paraId="758C4975" w14:textId="77777777" w:rsidR="007C0528" w:rsidRDefault="00616A3F">
            <w:pPr>
              <w:pStyle w:val="MemoHeading"/>
            </w:pPr>
            <w:r>
              <w:t>Office of the General Counsel (Imig)</w:t>
            </w:r>
            <w:bookmarkEnd w:id="2"/>
          </w:p>
        </w:tc>
      </w:tr>
      <w:tr w:rsidR="007C0528" w14:paraId="2BFEF449" w14:textId="77777777">
        <w:tc>
          <w:tcPr>
            <w:tcW w:w="1254" w:type="dxa"/>
            <w:tcBorders>
              <w:top w:val="nil"/>
              <w:left w:val="nil"/>
              <w:bottom w:val="nil"/>
              <w:right w:val="nil"/>
            </w:tcBorders>
            <w:shd w:val="clear" w:color="auto" w:fill="auto"/>
            <w:tcMar>
              <w:top w:w="288" w:type="dxa"/>
              <w:right w:w="0" w:type="dxa"/>
            </w:tcMar>
          </w:tcPr>
          <w:p w14:paraId="51430CE2"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14521511" w14:textId="77777777" w:rsidR="007C0528" w:rsidRDefault="00616A3F">
            <w:pPr>
              <w:pStyle w:val="MemoHeadingRe"/>
            </w:pPr>
            <w:bookmarkStart w:id="3" w:name="Re"/>
            <w:r>
              <w:t>Docket No. 20230121-EG – Petition for approval of conservation demonstration and development program, by Associated Gas Distributors of Florida.</w:t>
            </w:r>
            <w:bookmarkEnd w:id="3"/>
          </w:p>
        </w:tc>
      </w:tr>
      <w:tr w:rsidR="007C0528" w14:paraId="2F692C10" w14:textId="77777777">
        <w:tc>
          <w:tcPr>
            <w:tcW w:w="1254" w:type="dxa"/>
            <w:tcBorders>
              <w:top w:val="nil"/>
              <w:left w:val="nil"/>
              <w:bottom w:val="nil"/>
              <w:right w:val="nil"/>
            </w:tcBorders>
            <w:shd w:val="clear" w:color="auto" w:fill="auto"/>
            <w:tcMar>
              <w:top w:w="288" w:type="dxa"/>
              <w:bottom w:w="0" w:type="dxa"/>
              <w:right w:w="0" w:type="dxa"/>
            </w:tcMar>
          </w:tcPr>
          <w:p w14:paraId="6EEE5674"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8779A59" w14:textId="03C7C287" w:rsidR="007C0528" w:rsidRDefault="00DA3287" w:rsidP="00131245">
            <w:pPr>
              <w:pStyle w:val="MemoHeading"/>
            </w:pPr>
            <w:bookmarkStart w:id="4" w:name="AgendaDate"/>
            <w:r>
              <w:t>07/09/</w:t>
            </w:r>
            <w:r w:rsidR="00616A3F">
              <w:t>24</w:t>
            </w:r>
            <w:bookmarkEnd w:id="4"/>
            <w:r w:rsidR="007C0528">
              <w:t xml:space="preserve"> – </w:t>
            </w:r>
            <w:bookmarkStart w:id="5" w:name="PermittedStatus"/>
            <w:r w:rsidR="00616A3F">
              <w:t xml:space="preserve">Regular Agenda – </w:t>
            </w:r>
            <w:r w:rsidR="00131245">
              <w:t>Proposed Agency Action</w:t>
            </w:r>
            <w:bookmarkEnd w:id="5"/>
          </w:p>
        </w:tc>
      </w:tr>
      <w:tr w:rsidR="007C0528" w14:paraId="538AA14C" w14:textId="77777777">
        <w:tc>
          <w:tcPr>
            <w:tcW w:w="3690" w:type="dxa"/>
            <w:gridSpan w:val="3"/>
            <w:tcBorders>
              <w:top w:val="nil"/>
              <w:left w:val="nil"/>
              <w:bottom w:val="nil"/>
              <w:right w:val="nil"/>
            </w:tcBorders>
            <w:shd w:val="clear" w:color="auto" w:fill="auto"/>
            <w:tcMar>
              <w:top w:w="288" w:type="dxa"/>
              <w:bottom w:w="0" w:type="dxa"/>
              <w:right w:w="0" w:type="dxa"/>
            </w:tcMar>
          </w:tcPr>
          <w:p w14:paraId="70CC3295"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64BD76FD" w14:textId="77777777" w:rsidR="007C0528" w:rsidRDefault="00616A3F">
            <w:pPr>
              <w:pStyle w:val="MemoHeading"/>
            </w:pPr>
            <w:bookmarkStart w:id="6" w:name="CommissionersAssigned"/>
            <w:r>
              <w:t>All Commissioners</w:t>
            </w:r>
            <w:bookmarkEnd w:id="6"/>
          </w:p>
        </w:tc>
      </w:tr>
      <w:tr w:rsidR="007C0528" w14:paraId="03B68323" w14:textId="77777777">
        <w:tc>
          <w:tcPr>
            <w:tcW w:w="3690" w:type="dxa"/>
            <w:gridSpan w:val="3"/>
            <w:tcBorders>
              <w:top w:val="nil"/>
              <w:left w:val="nil"/>
              <w:bottom w:val="nil"/>
              <w:right w:val="nil"/>
            </w:tcBorders>
            <w:shd w:val="clear" w:color="auto" w:fill="auto"/>
            <w:tcMar>
              <w:top w:w="288" w:type="dxa"/>
              <w:bottom w:w="0" w:type="dxa"/>
              <w:right w:w="0" w:type="dxa"/>
            </w:tcMar>
          </w:tcPr>
          <w:p w14:paraId="085AD534"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FB1D148" w14:textId="77777777" w:rsidR="007C0528" w:rsidRDefault="00616A3F">
            <w:pPr>
              <w:pStyle w:val="MemoHeading"/>
            </w:pPr>
            <w:bookmarkStart w:id="7" w:name="PrehearingOfficer"/>
            <w:r>
              <w:t>Passidomo</w:t>
            </w:r>
            <w:bookmarkEnd w:id="7"/>
          </w:p>
        </w:tc>
      </w:tr>
      <w:tr w:rsidR="007C0528" w14:paraId="1E0C5312"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BD1903D"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01972252" w14:textId="77777777" w:rsidR="007C0528" w:rsidRDefault="00616A3F">
            <w:pPr>
              <w:pStyle w:val="MemoHeading"/>
            </w:pPr>
            <w:bookmarkStart w:id="9" w:name="CriticalDates"/>
            <w:r>
              <w:t>None</w:t>
            </w:r>
            <w:bookmarkEnd w:id="9"/>
          </w:p>
        </w:tc>
      </w:tr>
      <w:tr w:rsidR="007C0528" w14:paraId="76ABC0C2"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9DBA49E"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5A4726E3" w14:textId="77777777" w:rsidR="007C0528" w:rsidRDefault="00616A3F">
            <w:pPr>
              <w:pStyle w:val="MemoHeading"/>
            </w:pPr>
            <w:bookmarkStart w:id="10" w:name="SpecialInstructions"/>
            <w:r>
              <w:t>None</w:t>
            </w:r>
            <w:bookmarkEnd w:id="10"/>
          </w:p>
        </w:tc>
      </w:tr>
    </w:tbl>
    <w:p w14:paraId="360EBAB4" w14:textId="77777777" w:rsidR="007C0528" w:rsidRDefault="007C0528">
      <w:pPr>
        <w:pStyle w:val="BodyText"/>
      </w:pPr>
    </w:p>
    <w:p w14:paraId="6E1D5857"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76D2F059" w14:textId="77777777" w:rsidR="0068481F" w:rsidRDefault="00616A3F">
      <w:pPr>
        <w:pStyle w:val="BodyText"/>
      </w:pPr>
      <w:r>
        <w:t>The Associated Gas Distributors of Florida (AGDF) is a trade association that represents the five investor-owned natural gas utilities</w:t>
      </w:r>
      <w:r w:rsidR="009F2C0D">
        <w:t xml:space="preserve"> operating in Florida</w:t>
      </w:r>
      <w:r>
        <w:t>: Florida</w:t>
      </w:r>
      <w:r w:rsidR="00DE490D">
        <w:t xml:space="preserve"> City Gas (FCG), Florida</w:t>
      </w:r>
      <w:r>
        <w:t xml:space="preserve"> Public Utilities Company (FPUC), Peoples Gas System (PGS), Sebring Gas System (Sebring), and St. Joe Natural Gas Company (S</w:t>
      </w:r>
      <w:r w:rsidR="00B94570">
        <w:t>JNG</w:t>
      </w:r>
      <w:r>
        <w:t>). These companies are local distribution companies (LDCs) and are all subject to the jurisdiction of the Florida Public Service Commission (Commission).</w:t>
      </w:r>
    </w:p>
    <w:p w14:paraId="0F6DB10E" w14:textId="51B46C58" w:rsidR="00C0417B" w:rsidRPr="00695A45" w:rsidRDefault="00616A3F" w:rsidP="00695A45">
      <w:pPr>
        <w:pStyle w:val="BodyText"/>
        <w:spacing w:after="0"/>
      </w:pPr>
      <w:r>
        <w:t xml:space="preserve">On </w:t>
      </w:r>
      <w:r w:rsidR="00B535E1">
        <w:t>October 16,</w:t>
      </w:r>
      <w:r>
        <w:t xml:space="preserve"> 2023, AGDF filed a petition on behalf of the above-mentioned LDCs</w:t>
      </w:r>
      <w:r w:rsidR="00BC0A5C">
        <w:t xml:space="preserve">, with </w:t>
      </w:r>
      <w:r w:rsidR="007C176C">
        <w:t xml:space="preserve">the </w:t>
      </w:r>
      <w:r w:rsidR="00BC0A5C">
        <w:t>exception of PGS,</w:t>
      </w:r>
      <w:r>
        <w:t xml:space="preserve"> seeking </w:t>
      </w:r>
      <w:r w:rsidR="00794E74">
        <w:t xml:space="preserve">approval </w:t>
      </w:r>
      <w:r w:rsidR="00F55D22">
        <w:t>of</w:t>
      </w:r>
      <w:r w:rsidR="00EA5E3C">
        <w:t xml:space="preserve"> new</w:t>
      </w:r>
      <w:r w:rsidR="00794E74">
        <w:t xml:space="preserve"> </w:t>
      </w:r>
      <w:r>
        <w:t xml:space="preserve">Conservation Demonstration and Development (CDD) program. </w:t>
      </w:r>
      <w:r w:rsidR="00EC7161" w:rsidRPr="00C0417B">
        <w:t>AGDF asserts that the instant petition is similar to</w:t>
      </w:r>
      <w:r w:rsidR="00894C25" w:rsidRPr="00C0417B">
        <w:t xml:space="preserve"> the petition it</w:t>
      </w:r>
      <w:r w:rsidR="00C0417B">
        <w:t xml:space="preserve"> </w:t>
      </w:r>
      <w:r w:rsidR="00325C87">
        <w:t xml:space="preserve">submitted </w:t>
      </w:r>
      <w:r w:rsidR="00C0417B">
        <w:t>in Docket No. 20090122-EG</w:t>
      </w:r>
      <w:r w:rsidR="009F2C0D">
        <w:t>,</w:t>
      </w:r>
      <w:r w:rsidR="00C0417B">
        <w:t xml:space="preserve"> wherein</w:t>
      </w:r>
      <w:r w:rsidR="007C6DD7" w:rsidRPr="00C0417B">
        <w:rPr>
          <w:spacing w:val="-1"/>
        </w:rPr>
        <w:t xml:space="preserve"> the Commission approved </w:t>
      </w:r>
      <w:r w:rsidR="003940B2">
        <w:rPr>
          <w:spacing w:val="-1"/>
        </w:rPr>
        <w:t xml:space="preserve">in Order No. PSC-2010-0113-PAA-EG (2010 AGDF Order), </w:t>
      </w:r>
      <w:r w:rsidR="007C6DD7" w:rsidRPr="00C0417B">
        <w:rPr>
          <w:spacing w:val="-1"/>
        </w:rPr>
        <w:t xml:space="preserve">AGDF's request for approval of </w:t>
      </w:r>
      <w:r w:rsidR="009F2C0D">
        <w:rPr>
          <w:spacing w:val="-1"/>
        </w:rPr>
        <w:t xml:space="preserve">its then-proposed </w:t>
      </w:r>
      <w:r w:rsidR="007C6DD7" w:rsidRPr="00C0417B">
        <w:rPr>
          <w:spacing w:val="-1"/>
        </w:rPr>
        <w:t xml:space="preserve">CDD Program </w:t>
      </w:r>
      <w:r w:rsidR="007C6DD7" w:rsidRPr="00C0417B">
        <w:rPr>
          <w:spacing w:val="-1"/>
        </w:rPr>
        <w:lastRenderedPageBreak/>
        <w:t>on behalf of its member companies.</w:t>
      </w:r>
      <w:r w:rsidR="00C0417B">
        <w:rPr>
          <w:rStyle w:val="FootnoteReference"/>
          <w:spacing w:val="-1"/>
        </w:rPr>
        <w:footnoteReference w:id="1"/>
      </w:r>
      <w:r w:rsidR="00480533">
        <w:rPr>
          <w:spacing w:val="-1"/>
        </w:rPr>
        <w:t xml:space="preserve"> </w:t>
      </w:r>
      <w:r w:rsidR="00036087">
        <w:rPr>
          <w:spacing w:val="-1"/>
        </w:rPr>
        <w:t>AGDF states that i</w:t>
      </w:r>
      <w:r w:rsidR="0064719B">
        <w:rPr>
          <w:spacing w:val="-1"/>
        </w:rPr>
        <w:t>n that proceeding, t</w:t>
      </w:r>
      <w:r w:rsidR="007C6DD7" w:rsidRPr="00C0417B">
        <w:rPr>
          <w:spacing w:val="-1"/>
        </w:rPr>
        <w:t>he Commission determined that the CDD Program met the Commission's historic tests set forth in Order No. 22176 for evaluating such programs.</w:t>
      </w:r>
      <w:r w:rsidR="007C6DD7" w:rsidRPr="007C6DD7">
        <w:rPr>
          <w:rStyle w:val="FootnoteReference"/>
          <w:spacing w:val="-1"/>
        </w:rPr>
        <w:footnoteReference w:id="2"/>
      </w:r>
      <w:r w:rsidR="007C6DD7" w:rsidRPr="00C0417B">
        <w:rPr>
          <w:spacing w:val="-1"/>
        </w:rPr>
        <w:t xml:space="preserve"> In approving the CDD Program, the Commission also accepted the AGDF's proposal</w:t>
      </w:r>
      <w:r w:rsidR="0064719B">
        <w:rPr>
          <w:spacing w:val="-1"/>
        </w:rPr>
        <w:t xml:space="preserve"> for a five (5)-year cap</w:t>
      </w:r>
      <w:r w:rsidR="007C6DD7" w:rsidRPr="00C0417B">
        <w:rPr>
          <w:spacing w:val="-1"/>
        </w:rPr>
        <w:t xml:space="preserve"> on expenditures under the program, as well as individual project caps.</w:t>
      </w:r>
      <w:r w:rsidR="0064719B">
        <w:rPr>
          <w:rStyle w:val="FootnoteReference"/>
          <w:spacing w:val="-1"/>
        </w:rPr>
        <w:footnoteReference w:id="3"/>
      </w:r>
      <w:r w:rsidR="007C6DD7" w:rsidRPr="00C0417B">
        <w:rPr>
          <w:spacing w:val="-1"/>
        </w:rPr>
        <w:t xml:space="preserve"> </w:t>
      </w:r>
    </w:p>
    <w:p w14:paraId="7E2E1729" w14:textId="77777777" w:rsidR="009B50E6" w:rsidRDefault="009B50E6" w:rsidP="009B50E6">
      <w:pPr>
        <w:pStyle w:val="ListParagraph"/>
        <w:jc w:val="both"/>
        <w:rPr>
          <w:rFonts w:ascii="Times New Roman" w:eastAsia="Times New Roman" w:hAnsi="Times New Roman" w:cs="Times New Roman"/>
          <w:spacing w:val="-1"/>
          <w:sz w:val="24"/>
          <w:szCs w:val="24"/>
        </w:rPr>
      </w:pPr>
    </w:p>
    <w:p w14:paraId="493B7F1F" w14:textId="77777777" w:rsidR="009B50E6" w:rsidRPr="009B50E6" w:rsidRDefault="009B50E6" w:rsidP="009B50E6">
      <w:pPr>
        <w:pStyle w:val="ListParagraph"/>
        <w:jc w:val="both"/>
        <w:rPr>
          <w:rFonts w:ascii="Times New Roman" w:hAnsi="Times New Roman" w:cs="Times New Roman"/>
          <w:sz w:val="24"/>
          <w:szCs w:val="24"/>
        </w:rPr>
      </w:pPr>
      <w:r>
        <w:rPr>
          <w:rFonts w:ascii="Times New Roman" w:hAnsi="Times New Roman" w:cs="Times New Roman"/>
          <w:spacing w:val="-1"/>
          <w:sz w:val="24"/>
          <w:szCs w:val="24"/>
        </w:rPr>
        <w:t>AGDF states</w:t>
      </w:r>
      <w:r w:rsidRPr="009B50E6">
        <w:rPr>
          <w:rFonts w:ascii="Times New Roman" w:hAnsi="Times New Roman" w:cs="Times New Roman"/>
          <w:sz w:val="24"/>
          <w:szCs w:val="24"/>
        </w:rPr>
        <w:t xml:space="preserve"> the C</w:t>
      </w:r>
      <w:r>
        <w:rPr>
          <w:rFonts w:ascii="Times New Roman" w:hAnsi="Times New Roman" w:cs="Times New Roman"/>
          <w:sz w:val="24"/>
          <w:szCs w:val="24"/>
        </w:rPr>
        <w:t>ommission has recognized and</w:t>
      </w:r>
      <w:r w:rsidRPr="009B50E6">
        <w:rPr>
          <w:rFonts w:ascii="Times New Roman" w:hAnsi="Times New Roman" w:cs="Times New Roman"/>
          <w:sz w:val="24"/>
          <w:szCs w:val="24"/>
        </w:rPr>
        <w:t xml:space="preserve"> historically supported reasonable research and development activities for electric utilities</w:t>
      </w:r>
      <w:r>
        <w:rPr>
          <w:rFonts w:ascii="Times New Roman" w:hAnsi="Times New Roman" w:cs="Times New Roman"/>
          <w:sz w:val="24"/>
          <w:szCs w:val="24"/>
        </w:rPr>
        <w:t>,</w:t>
      </w:r>
      <w:r w:rsidRPr="009B50E6">
        <w:rPr>
          <w:rFonts w:ascii="Times New Roman" w:hAnsi="Times New Roman" w:cs="Times New Roman"/>
          <w:sz w:val="24"/>
          <w:szCs w:val="24"/>
        </w:rPr>
        <w:t xml:space="preserve"> and has likewise recognized that the provisions of Rule 25-17.001(5)(f), Florida Administrative Code, which encourage the aggressive pursuit of research, development and demonstration projects, should also generally apply to natural gas utilities.</w:t>
      </w:r>
      <w:r w:rsidRPr="009B50E6">
        <w:rPr>
          <w:rStyle w:val="FootnoteReference"/>
          <w:rFonts w:ascii="Times New Roman" w:hAnsi="Times New Roman" w:cs="Times New Roman"/>
          <w:sz w:val="24"/>
          <w:szCs w:val="24"/>
        </w:rPr>
        <w:footnoteReference w:id="4"/>
      </w:r>
      <w:r w:rsidRPr="009B50E6">
        <w:rPr>
          <w:rFonts w:ascii="Times New Roman" w:hAnsi="Times New Roman" w:cs="Times New Roman"/>
          <w:sz w:val="24"/>
          <w:szCs w:val="24"/>
        </w:rPr>
        <w:t xml:space="preserve"> The Commission has also found that coordinated research efforts of the AGDF member LDCs can lead to economic efficiencies.</w:t>
      </w:r>
      <w:r w:rsidRPr="009B50E6">
        <w:rPr>
          <w:rStyle w:val="FootnoteReference"/>
          <w:rFonts w:ascii="Times New Roman" w:hAnsi="Times New Roman" w:cs="Times New Roman"/>
          <w:sz w:val="24"/>
          <w:szCs w:val="24"/>
        </w:rPr>
        <w:footnoteReference w:id="5"/>
      </w:r>
    </w:p>
    <w:p w14:paraId="0A88B297" w14:textId="77777777" w:rsidR="009B50E6" w:rsidRDefault="009B50E6" w:rsidP="00C0417B">
      <w:pPr>
        <w:jc w:val="both"/>
        <w:rPr>
          <w:spacing w:val="-1"/>
        </w:rPr>
      </w:pPr>
    </w:p>
    <w:p w14:paraId="3937F4AB" w14:textId="6B3C3096" w:rsidR="007C6DD7" w:rsidRDefault="004702D2" w:rsidP="00C0417B">
      <w:pPr>
        <w:jc w:val="both"/>
        <w:rPr>
          <w:spacing w:val="-1"/>
        </w:rPr>
      </w:pPr>
      <w:r>
        <w:rPr>
          <w:spacing w:val="-1"/>
        </w:rPr>
        <w:t xml:space="preserve">On October 3, 2014, before the expiration of the 5-year term set forth in the </w:t>
      </w:r>
      <w:r w:rsidR="003940B2">
        <w:rPr>
          <w:spacing w:val="-1"/>
        </w:rPr>
        <w:t xml:space="preserve">2010 </w:t>
      </w:r>
      <w:r>
        <w:rPr>
          <w:spacing w:val="-1"/>
        </w:rPr>
        <w:t>AGDF Order,</w:t>
      </w:r>
      <w:r w:rsidR="007C6DD7" w:rsidRPr="00C0417B">
        <w:rPr>
          <w:spacing w:val="-1"/>
        </w:rPr>
        <w:t xml:space="preserve"> the AGDF sought </w:t>
      </w:r>
      <w:r w:rsidR="00347F40">
        <w:rPr>
          <w:spacing w:val="-1"/>
        </w:rPr>
        <w:t xml:space="preserve">to </w:t>
      </w:r>
      <w:r w:rsidR="007C6DD7" w:rsidRPr="00C0417B">
        <w:rPr>
          <w:spacing w:val="-1"/>
        </w:rPr>
        <w:t xml:space="preserve">extend </w:t>
      </w:r>
      <w:r w:rsidR="00325C87">
        <w:rPr>
          <w:spacing w:val="-1"/>
        </w:rPr>
        <w:t>the term of the program</w:t>
      </w:r>
      <w:r w:rsidR="000F511F">
        <w:rPr>
          <w:spacing w:val="-1"/>
        </w:rPr>
        <w:t xml:space="preserve"> </w:t>
      </w:r>
      <w:r w:rsidR="00347F40">
        <w:rPr>
          <w:spacing w:val="-1"/>
        </w:rPr>
        <w:t>by</w:t>
      </w:r>
      <w:r w:rsidR="007C6DD7" w:rsidRPr="00C0417B">
        <w:rPr>
          <w:spacing w:val="-1"/>
        </w:rPr>
        <w:t xml:space="preserve"> a little more than 2.5 years</w:t>
      </w:r>
      <w:r w:rsidR="00325C87">
        <w:rPr>
          <w:spacing w:val="-1"/>
        </w:rPr>
        <w:t>, with the request of allowing expenditure of the existing balance under the caps</w:t>
      </w:r>
      <w:r w:rsidR="00877C6F">
        <w:rPr>
          <w:spacing w:val="-1"/>
        </w:rPr>
        <w:t>. By Order No. PSC-2015-0095-PAA-EG</w:t>
      </w:r>
      <w:r w:rsidR="00687B49">
        <w:rPr>
          <w:spacing w:val="-1"/>
        </w:rPr>
        <w:t xml:space="preserve"> </w:t>
      </w:r>
      <w:r w:rsidR="003940B2">
        <w:rPr>
          <w:spacing w:val="-1"/>
        </w:rPr>
        <w:t>(</w:t>
      </w:r>
      <w:r w:rsidR="00687B49" w:rsidRPr="00687B49">
        <w:rPr>
          <w:spacing w:val="-1"/>
        </w:rPr>
        <w:t>AGDF Exte</w:t>
      </w:r>
      <w:r w:rsidR="003940B2">
        <w:rPr>
          <w:spacing w:val="-1"/>
        </w:rPr>
        <w:t>nsion Order)</w:t>
      </w:r>
      <w:r w:rsidR="00877C6F">
        <w:rPr>
          <w:spacing w:val="-1"/>
        </w:rPr>
        <w:t xml:space="preserve"> the Commission granted the extension, but impo</w:t>
      </w:r>
      <w:r w:rsidR="00695A45">
        <w:rPr>
          <w:spacing w:val="-1"/>
        </w:rPr>
        <w:t>sed modifications to address</w:t>
      </w:r>
      <w:r w:rsidR="00877C6F">
        <w:rPr>
          <w:spacing w:val="-1"/>
        </w:rPr>
        <w:t xml:space="preserve"> specific concerns</w:t>
      </w:r>
      <w:r w:rsidR="00695A45">
        <w:rPr>
          <w:spacing w:val="-1"/>
        </w:rPr>
        <w:t xml:space="preserve"> raised by staff.</w:t>
      </w:r>
      <w:r w:rsidR="00877C6F">
        <w:rPr>
          <w:spacing w:val="-1"/>
        </w:rPr>
        <w:t xml:space="preserve"> </w:t>
      </w:r>
    </w:p>
    <w:p w14:paraId="32B2053C" w14:textId="77777777" w:rsidR="001554A5" w:rsidRPr="00C0417B" w:rsidRDefault="001554A5" w:rsidP="00C0417B">
      <w:pPr>
        <w:jc w:val="both"/>
        <w:rPr>
          <w:spacing w:val="-1"/>
        </w:rPr>
      </w:pPr>
    </w:p>
    <w:p w14:paraId="727FA2B7" w14:textId="65AD951A" w:rsidR="00E9334A" w:rsidRDefault="00695A45" w:rsidP="00E9334A">
      <w:pPr>
        <w:pStyle w:val="BodyText"/>
        <w:spacing w:after="0"/>
      </w:pPr>
      <w:r>
        <w:t xml:space="preserve">In regards to the instant petition, </w:t>
      </w:r>
      <w:r w:rsidR="00EC2613">
        <w:t>AGDF also supplied additional information in responses to staff data requests on December 15, 2023, February 26, 2024, and April 2, 2024</w:t>
      </w:r>
      <w:r w:rsidR="00EC2613">
        <w:rPr>
          <w:rStyle w:val="FootnoteReference"/>
        </w:rPr>
        <w:footnoteReference w:id="6"/>
      </w:r>
      <w:r w:rsidR="00EC2613">
        <w:t>, respectfully.</w:t>
      </w:r>
      <w:r w:rsidR="007E4E2D">
        <w:t xml:space="preserve"> In addition, AGDF issued a letter to the Commission on April 18, 2024, including certain modifications and clarifications to its proposal and providing additional information pertaining to Energy Conservation Cost Recovery Factor impacts associated with the proposed CDD programs.</w:t>
      </w:r>
      <w:r w:rsidR="00877C6F">
        <w:rPr>
          <w:rStyle w:val="FootnoteReference"/>
        </w:rPr>
        <w:footnoteReference w:id="7"/>
      </w:r>
    </w:p>
    <w:p w14:paraId="2592311B" w14:textId="77777777" w:rsidR="009B50E6" w:rsidRDefault="009B50E6" w:rsidP="00E9334A">
      <w:pPr>
        <w:pStyle w:val="BodyText"/>
        <w:spacing w:after="0"/>
      </w:pPr>
    </w:p>
    <w:p w14:paraId="74729E90" w14:textId="73992D15" w:rsidR="00E438A6" w:rsidRDefault="00E438A6" w:rsidP="00E9334A">
      <w:pPr>
        <w:pStyle w:val="BodyText"/>
        <w:spacing w:after="0"/>
      </w:pPr>
      <w:r>
        <w:t xml:space="preserve">The Commission has jurisdiction over this matter </w:t>
      </w:r>
      <w:r w:rsidR="006D2841">
        <w:t>and is authorized to take action pursuant t</w:t>
      </w:r>
      <w:r w:rsidR="005826B8">
        <w:t xml:space="preserve">o Sections 366.80-366.83, Florida Statutes (collectively, Florida Energy Efficiency and Conservation Act, or </w:t>
      </w:r>
      <w:r w:rsidR="003940B2">
        <w:t>FEECA Statutes</w:t>
      </w:r>
      <w:r w:rsidR="006D2841">
        <w:t>), and also in accordance with Rules 25-17.009 and 17.015, Florida Administrative Code.</w:t>
      </w:r>
    </w:p>
    <w:p w14:paraId="6C39FEA2" w14:textId="77777777" w:rsidR="007C0528" w:rsidRDefault="007C0528" w:rsidP="0068481F"/>
    <w:bookmarkEnd w:id="12"/>
    <w:p w14:paraId="07EA84AA"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4AF03251" w14:textId="77777777" w:rsidR="007C0528" w:rsidRDefault="007C0528">
      <w:pPr>
        <w:pStyle w:val="RecommendationMajorSectionHeading"/>
      </w:pPr>
      <w:bookmarkStart w:id="16" w:name="DiscussionOfIssues"/>
      <w:r>
        <w:lastRenderedPageBreak/>
        <w:t>Discussion of Issues</w:t>
      </w:r>
    </w:p>
    <w:bookmarkEnd w:id="16"/>
    <w:p w14:paraId="7BC72EFB" w14:textId="60221F3E" w:rsidR="000431EE" w:rsidRDefault="000431EE">
      <w:pPr>
        <w:pStyle w:val="IssueHeading"/>
        <w:rPr>
          <w:vanish/>
          <w:specVanish/>
        </w:rPr>
      </w:pPr>
      <w:r w:rsidRPr="004C3641">
        <w:t xml:space="preserve">Issue </w:t>
      </w:r>
      <w:r w:rsidR="006C2F8F">
        <w:fldChar w:fldCharType="begin"/>
      </w:r>
      <w:r w:rsidR="006C2F8F">
        <w:instrText xml:space="preserve"> SEQ Issue \* MERGEFORMAT </w:instrText>
      </w:r>
      <w:r w:rsidR="006C2F8F">
        <w:fldChar w:fldCharType="separate"/>
      </w:r>
      <w:r w:rsidR="00B9241B">
        <w:rPr>
          <w:noProof/>
        </w:rPr>
        <w:t>1</w:t>
      </w:r>
      <w:r w:rsidR="006C2F8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9241B">
        <w:rPr>
          <w:noProof/>
        </w:rPr>
        <w:instrText>1</w:instrText>
      </w:r>
      <w:r>
        <w:fldChar w:fldCharType="end"/>
      </w:r>
      <w:r>
        <w:tab/>
        <w:instrText xml:space="preserve">" \l 1 </w:instrText>
      </w:r>
      <w:r>
        <w:fldChar w:fldCharType="end"/>
      </w:r>
      <w:r>
        <w:t> </w:t>
      </w:r>
    </w:p>
    <w:p w14:paraId="2362400E" w14:textId="714DE348" w:rsidR="000431EE" w:rsidRDefault="000431EE">
      <w:pPr>
        <w:pStyle w:val="BodyText"/>
      </w:pPr>
      <w:r>
        <w:t xml:space="preserve"> Should the Commission approve the </w:t>
      </w:r>
      <w:r w:rsidR="00B94570">
        <w:t xml:space="preserve">AGDF’s </w:t>
      </w:r>
      <w:r>
        <w:t>petition</w:t>
      </w:r>
      <w:r w:rsidR="00B94570">
        <w:t xml:space="preserve">, subject to </w:t>
      </w:r>
      <w:r w:rsidR="00131245">
        <w:t xml:space="preserve">certain </w:t>
      </w:r>
      <w:r w:rsidR="00B94570">
        <w:t xml:space="preserve">modified </w:t>
      </w:r>
      <w:r w:rsidR="006D18E3">
        <w:t>conditions</w:t>
      </w:r>
      <w:r w:rsidR="00B94570">
        <w:t xml:space="preserve">, allowing for </w:t>
      </w:r>
      <w:r w:rsidR="00B66701">
        <w:t>its proposed</w:t>
      </w:r>
      <w:r w:rsidR="00D865DA">
        <w:t xml:space="preserve"> </w:t>
      </w:r>
      <w:r>
        <w:t xml:space="preserve">Conservation Demonstration and Development (CDD) program for the </w:t>
      </w:r>
      <w:r w:rsidR="00404E65">
        <w:t xml:space="preserve">participating </w:t>
      </w:r>
      <w:r w:rsidR="00E23022">
        <w:t>LDCs</w:t>
      </w:r>
      <w:r w:rsidR="003940B2">
        <w:t xml:space="preserve">: </w:t>
      </w:r>
      <w:r w:rsidR="00404E65">
        <w:t>F</w:t>
      </w:r>
      <w:r w:rsidR="004D5F88">
        <w:t>CG, FPUC, Sebring, and S</w:t>
      </w:r>
      <w:r w:rsidR="00B94570">
        <w:t>JNG</w:t>
      </w:r>
      <w:r>
        <w:t>?</w:t>
      </w:r>
    </w:p>
    <w:p w14:paraId="0B403015" w14:textId="77777777" w:rsidR="000431EE" w:rsidRPr="004C3641" w:rsidRDefault="000431EE">
      <w:pPr>
        <w:pStyle w:val="IssueSubsectionHeading"/>
        <w:rPr>
          <w:vanish/>
          <w:specVanish/>
        </w:rPr>
      </w:pPr>
      <w:r w:rsidRPr="004C3641">
        <w:t>Recommendation: </w:t>
      </w:r>
    </w:p>
    <w:p w14:paraId="388144AF" w14:textId="77777777" w:rsidR="005D2649" w:rsidRDefault="00813ED3">
      <w:pPr>
        <w:pStyle w:val="BodyText"/>
      </w:pPr>
      <w:r>
        <w:t> </w:t>
      </w:r>
      <w:r w:rsidR="005D2649">
        <w:t>Yes, staff rec</w:t>
      </w:r>
      <w:r w:rsidR="005D2649" w:rsidRPr="00E14ED5">
        <w:t>o</w:t>
      </w:r>
      <w:r w:rsidR="005D2649">
        <w:t>mmends the Commission approve AGDF’s petition, subject to modified conditions</w:t>
      </w:r>
      <w:r w:rsidR="00047D65">
        <w:t xml:space="preserve"> agreed to by AGDF</w:t>
      </w:r>
      <w:r w:rsidR="005D2649">
        <w:t xml:space="preserve">, allowing for a CDD program for FCG, FPUC, Sebring, and SJNG. Such modified conditions include: </w:t>
      </w:r>
    </w:p>
    <w:p w14:paraId="5234CA1C" w14:textId="77777777" w:rsidR="005D2649" w:rsidRDefault="005D2649">
      <w:pPr>
        <w:pStyle w:val="BodyText"/>
      </w:pPr>
      <w:r>
        <w:t xml:space="preserve">1. The program is limited to five years, and may be extended beyond the initial term, if requested by AGDF at least six months prior to the end of the five-year period; </w:t>
      </w:r>
    </w:p>
    <w:p w14:paraId="4E3A7A86" w14:textId="02923490" w:rsidR="005D2649" w:rsidRDefault="005D2649">
      <w:pPr>
        <w:pStyle w:val="BodyText"/>
      </w:pPr>
      <w:r>
        <w:t xml:space="preserve">2. </w:t>
      </w:r>
      <w:r w:rsidR="00AA40A3">
        <w:t xml:space="preserve">FCG and FPUC </w:t>
      </w:r>
      <w:r>
        <w:t>may participate in as many as three qualified research projects in any calendar year, with expenditures limited to $75,000 per project per year</w:t>
      </w:r>
      <w:r w:rsidR="00AA40A3">
        <w:t xml:space="preserve">; Sebring and SJNG may likewise participate in as many projects limited to </w:t>
      </w:r>
      <w:r>
        <w:t xml:space="preserve">$1,000 per </w:t>
      </w:r>
      <w:r w:rsidR="00131245">
        <w:t>year limit</w:t>
      </w:r>
      <w:r>
        <w:t xml:space="preserve">; </w:t>
      </w:r>
    </w:p>
    <w:p w14:paraId="347B452A" w14:textId="452D6D33" w:rsidR="00BA03F3" w:rsidRDefault="005D2649">
      <w:pPr>
        <w:pStyle w:val="BodyText"/>
      </w:pPr>
      <w:r>
        <w:t>3</w:t>
      </w:r>
      <w:r w:rsidR="005F76A6">
        <w:t>.</w:t>
      </w:r>
      <w:r w:rsidRPr="00FB1AE5">
        <w:t xml:space="preserve"> </w:t>
      </w:r>
      <w:r w:rsidR="00AA40A3">
        <w:t xml:space="preserve">Any single CDD program </w:t>
      </w:r>
      <w:r w:rsidR="00BA03F3">
        <w:t xml:space="preserve">project </w:t>
      </w:r>
      <w:r w:rsidR="00AA40A3">
        <w:t>must</w:t>
      </w:r>
      <w:r w:rsidR="00BA03F3">
        <w:t xml:space="preserve"> meet the following </w:t>
      </w:r>
      <w:r w:rsidR="00AA0F31">
        <w:t>minimum</w:t>
      </w:r>
      <w:r w:rsidR="005826B8">
        <w:t xml:space="preserve"> eligibility requirements</w:t>
      </w:r>
      <w:r w:rsidR="00BA03F3">
        <w:t>:</w:t>
      </w:r>
      <w:r w:rsidR="005826B8">
        <w:t xml:space="preserve"> </w:t>
      </w:r>
      <w:r w:rsidR="00BA03F3">
        <w:t>(</w:t>
      </w:r>
      <w:r w:rsidR="003940B2">
        <w:t>a</w:t>
      </w:r>
      <w:r w:rsidR="00BA03F3">
        <w:t>)</w:t>
      </w:r>
      <w:r w:rsidR="005826B8">
        <w:t xml:space="preserve"> the proposed measure or program must have an affect on rate-paying customers; </w:t>
      </w:r>
      <w:r w:rsidR="00BA03F3">
        <w:t>(</w:t>
      </w:r>
      <w:r w:rsidR="003940B2">
        <w:t>b</w:t>
      </w:r>
      <w:r w:rsidR="00BA03F3">
        <w:t>)</w:t>
      </w:r>
      <w:r w:rsidR="005826B8">
        <w:t xml:space="preserve"> there is a lack of available research or insufficient data on the proposed measure or program being evaluated; and </w:t>
      </w:r>
      <w:r w:rsidR="00BA03F3">
        <w:t>(</w:t>
      </w:r>
      <w:r w:rsidR="003940B2">
        <w:t>c</w:t>
      </w:r>
      <w:r w:rsidR="00BA03F3">
        <w:t>)</w:t>
      </w:r>
      <w:r w:rsidR="005826B8">
        <w:t xml:space="preserve"> there is insufficient Florida-specific data on the proposed program or meas</w:t>
      </w:r>
      <w:r w:rsidR="00BA03F3">
        <w:t>ure.</w:t>
      </w:r>
    </w:p>
    <w:p w14:paraId="781937F8" w14:textId="01C3593D" w:rsidR="00AA40A3" w:rsidRDefault="00AA40A3">
      <w:pPr>
        <w:pStyle w:val="BodyText"/>
      </w:pPr>
      <w:r>
        <w:t xml:space="preserve">In addition, </w:t>
      </w:r>
      <w:r w:rsidR="003940B2">
        <w:t>staff recommends that AGDF comply with the following additional provisions</w:t>
      </w:r>
      <w:r>
        <w:t>:</w:t>
      </w:r>
    </w:p>
    <w:p w14:paraId="7A850B84" w14:textId="32E3C995" w:rsidR="005D2649" w:rsidRDefault="00FE71F5">
      <w:pPr>
        <w:pStyle w:val="BodyText"/>
      </w:pPr>
      <w:r>
        <w:t xml:space="preserve">4. </w:t>
      </w:r>
      <w:r w:rsidR="00BA03F3">
        <w:t>A</w:t>
      </w:r>
      <w:r w:rsidR="005D2649">
        <w:t xml:space="preserve">GDF </w:t>
      </w:r>
      <w:r w:rsidR="00C47E8A">
        <w:t xml:space="preserve">members </w:t>
      </w:r>
      <w:r w:rsidR="00BD0B40">
        <w:t xml:space="preserve">must not undertake commercial/industrial class CDD </w:t>
      </w:r>
      <w:r w:rsidR="005D2649">
        <w:t>research projects</w:t>
      </w:r>
      <w:r w:rsidR="00870F02">
        <w:t>/technologies</w:t>
      </w:r>
      <w:r w:rsidR="00BD0B40">
        <w:t xml:space="preserve"> to the exclusion of residential CDD projects</w:t>
      </w:r>
      <w:r w:rsidR="00870F02">
        <w:t>/technologies during the five year period, and should take actions to strike a reasonable balance between the two types of CDD projects</w:t>
      </w:r>
      <w:r w:rsidR="005D2649">
        <w:t xml:space="preserve">; </w:t>
      </w:r>
    </w:p>
    <w:p w14:paraId="7600871A" w14:textId="51BD0F0B" w:rsidR="00884342" w:rsidRDefault="00047D65">
      <w:pPr>
        <w:pStyle w:val="BodyText"/>
      </w:pPr>
      <w:r>
        <w:t>5</w:t>
      </w:r>
      <w:r w:rsidR="005D2649">
        <w:t xml:space="preserve">. </w:t>
      </w:r>
      <w:r w:rsidR="00C47E8A">
        <w:t xml:space="preserve">Within 6 months following </w:t>
      </w:r>
      <w:r w:rsidR="005D2649">
        <w:t>the conclusion of the 5-year term</w:t>
      </w:r>
      <w:r w:rsidR="00C47E8A">
        <w:t xml:space="preserve"> of the CDD program</w:t>
      </w:r>
      <w:r w:rsidR="005D2649">
        <w:t>, or concurrent with a request for</w:t>
      </w:r>
      <w:r w:rsidR="00C47E8A">
        <w:t xml:space="preserve"> CDD program</w:t>
      </w:r>
      <w:r w:rsidR="005D2649">
        <w:t xml:space="preserve"> extension, AGDF must file a CDD program status report with the Commission, </w:t>
      </w:r>
      <w:r w:rsidR="00342444">
        <w:t>detailing AGDF’s research findings, impacts on cost effectiveness, and how the utilities plan to or have effectively implemented such findings in new and/or existing DSM programs.</w:t>
      </w:r>
      <w:r w:rsidR="00D865DA">
        <w:t xml:space="preserve"> </w:t>
      </w:r>
      <w:r w:rsidR="00E76F19">
        <w:t xml:space="preserve"> </w:t>
      </w:r>
    </w:p>
    <w:p w14:paraId="0D4BDA19" w14:textId="5350E32C" w:rsidR="000431EE" w:rsidRDefault="00047D65">
      <w:pPr>
        <w:pStyle w:val="BodyText"/>
      </w:pPr>
      <w:r>
        <w:t>6</w:t>
      </w:r>
      <w:r w:rsidR="00884342">
        <w:t xml:space="preserve">. </w:t>
      </w:r>
      <w:r w:rsidR="00F56932">
        <w:t>In accordance with Sections 366.81 and 366.82, F.S., t</w:t>
      </w:r>
      <w:r w:rsidR="00884342">
        <w:t xml:space="preserve">he focus of all CDD projects undertaken by member utilities must be </w:t>
      </w:r>
      <w:r w:rsidR="002552A0">
        <w:t xml:space="preserve">increasing </w:t>
      </w:r>
      <w:r w:rsidR="00881B09">
        <w:t xml:space="preserve">energy efficiency and/or </w:t>
      </w:r>
      <w:r w:rsidR="00884342">
        <w:t xml:space="preserve">conservation </w:t>
      </w:r>
      <w:r w:rsidR="002552A0">
        <w:t xml:space="preserve">via advances </w:t>
      </w:r>
      <w:r w:rsidR="00884342">
        <w:t>in technologies and/or their implementation in utility gas distribution systems</w:t>
      </w:r>
      <w:r w:rsidR="00881B09">
        <w:t>,</w:t>
      </w:r>
      <w:r w:rsidR="00F56932">
        <w:t xml:space="preserve"> end</w:t>
      </w:r>
      <w:r w:rsidR="00881B09">
        <w:t>-</w:t>
      </w:r>
      <w:r w:rsidR="00F56932">
        <w:t>use gas equipment</w:t>
      </w:r>
      <w:r w:rsidR="00881B09">
        <w:t>, or demand side renewable energy systems</w:t>
      </w:r>
      <w:r w:rsidR="00884342">
        <w:t>.</w:t>
      </w:r>
      <w:r w:rsidR="00881B09">
        <w:t xml:space="preserve"> </w:t>
      </w:r>
      <w:r w:rsidR="007C3B97">
        <w:t>(</w:t>
      </w:r>
      <w:r w:rsidR="003E19CE">
        <w:t>Barrett)</w:t>
      </w:r>
    </w:p>
    <w:p w14:paraId="31FAA90E" w14:textId="77777777" w:rsidR="000431EE" w:rsidRPr="004C3641" w:rsidRDefault="000431EE">
      <w:pPr>
        <w:pStyle w:val="IssueSubsectionHeading"/>
        <w:rPr>
          <w:vanish/>
          <w:specVanish/>
        </w:rPr>
      </w:pPr>
      <w:r w:rsidRPr="004C3641">
        <w:t>Staff Analysis: </w:t>
      </w:r>
    </w:p>
    <w:p w14:paraId="78344BDC" w14:textId="191F6F49" w:rsidR="000431EE" w:rsidRDefault="000431EE">
      <w:pPr>
        <w:pStyle w:val="BodyText"/>
      </w:pPr>
      <w:r>
        <w:t> </w:t>
      </w:r>
      <w:r w:rsidR="00B66701">
        <w:t xml:space="preserve">In its </w:t>
      </w:r>
      <w:r w:rsidR="004D5F88">
        <w:t xml:space="preserve">instant </w:t>
      </w:r>
      <w:r w:rsidR="003E19CE">
        <w:t>petition</w:t>
      </w:r>
      <w:r w:rsidR="00B66701">
        <w:t xml:space="preserve">, AGDF indicates that </w:t>
      </w:r>
      <w:r w:rsidR="00881B09">
        <w:t xml:space="preserve">its proposed CDD program </w:t>
      </w:r>
      <w:r w:rsidR="00B66701">
        <w:t xml:space="preserve">is similar in many ways to </w:t>
      </w:r>
      <w:r w:rsidR="00FA5172">
        <w:t>the</w:t>
      </w:r>
      <w:r w:rsidR="003E19CE">
        <w:t xml:space="preserve"> CDD program </w:t>
      </w:r>
      <w:r w:rsidR="004D5F88">
        <w:t xml:space="preserve">approved in </w:t>
      </w:r>
      <w:r w:rsidR="008B1CBD">
        <w:t>the 2010 AGDF Order</w:t>
      </w:r>
      <w:r w:rsidR="00FA5172">
        <w:t xml:space="preserve">, which </w:t>
      </w:r>
      <w:r w:rsidR="003E19CE">
        <w:t xml:space="preserve">was originally approved by the Commission for a five-year period </w:t>
      </w:r>
      <w:r w:rsidR="00794E74">
        <w:t>ending</w:t>
      </w:r>
      <w:r w:rsidR="003E19CE">
        <w:t xml:space="preserve"> March 25, 2015. Thereafter</w:t>
      </w:r>
      <w:r w:rsidR="00881B09">
        <w:t>,</w:t>
      </w:r>
      <w:r w:rsidR="003E19CE">
        <w:t xml:space="preserve"> an extension </w:t>
      </w:r>
      <w:r w:rsidR="00881B09">
        <w:t xml:space="preserve">for the CDD program </w:t>
      </w:r>
      <w:r w:rsidR="003E19CE">
        <w:t xml:space="preserve">was approved </w:t>
      </w:r>
      <w:r w:rsidR="00881B09">
        <w:t xml:space="preserve">through </w:t>
      </w:r>
      <w:r w:rsidR="003E19CE">
        <w:t>December 31, 2017.</w:t>
      </w:r>
      <w:r w:rsidR="003E19CE">
        <w:rPr>
          <w:rStyle w:val="FootnoteReference"/>
        </w:rPr>
        <w:footnoteReference w:id="8"/>
      </w:r>
      <w:r w:rsidR="00E92147">
        <w:t xml:space="preserve"> </w:t>
      </w:r>
      <w:r w:rsidR="004D5F88">
        <w:t xml:space="preserve">In the instant and former petitions, </w:t>
      </w:r>
      <w:r w:rsidR="00E92147">
        <w:t>AGDF</w:t>
      </w:r>
      <w:r w:rsidR="004D5F88">
        <w:t xml:space="preserve"> asserts that</w:t>
      </w:r>
      <w:r w:rsidR="00E92147">
        <w:t xml:space="preserve"> the purpose of the CDD program is to support </w:t>
      </w:r>
      <w:r w:rsidR="00E92147">
        <w:lastRenderedPageBreak/>
        <w:t xml:space="preserve">research and development, demonstration, and monitoring projects designed to promote energy efficiency, conservation, and reductions in climate change emissions. </w:t>
      </w:r>
    </w:p>
    <w:p w14:paraId="094F2598" w14:textId="77777777" w:rsidR="00586D9A" w:rsidRPr="00586D9A" w:rsidRDefault="00586D9A" w:rsidP="00586D9A">
      <w:pPr>
        <w:pStyle w:val="BodyText"/>
        <w:spacing w:after="0"/>
        <w:rPr>
          <w:rFonts w:ascii="Arial" w:hAnsi="Arial" w:cs="Arial"/>
          <w:b/>
          <w:spacing w:val="-1"/>
        </w:rPr>
      </w:pPr>
      <w:r w:rsidRPr="00586D9A">
        <w:rPr>
          <w:rFonts w:ascii="Arial" w:hAnsi="Arial" w:cs="Arial"/>
          <w:b/>
          <w:spacing w:val="-1"/>
        </w:rPr>
        <w:t>Summary of Instant Petition</w:t>
      </w:r>
    </w:p>
    <w:p w14:paraId="41AF69AB" w14:textId="77777777" w:rsidR="00CC4851" w:rsidRPr="006630E1" w:rsidRDefault="00586D9A" w:rsidP="00D1629B">
      <w:pPr>
        <w:pStyle w:val="BodyText"/>
        <w:spacing w:after="0"/>
        <w:ind w:right="130"/>
      </w:pPr>
      <w:r>
        <w:t>AGDF claims that w</w:t>
      </w:r>
      <w:r w:rsidR="00CC4851" w:rsidRPr="006630E1">
        <w:t>hile the proposed demonstration development program is intended to identify new gas energy conservation measures, it will also serve a critical role in enhancing and updating</w:t>
      </w:r>
      <w:r w:rsidR="00CC4851" w:rsidRPr="006630E1">
        <w:rPr>
          <w:i/>
          <w:iCs/>
        </w:rPr>
        <w:t xml:space="preserve"> </w:t>
      </w:r>
      <w:r w:rsidR="00CC4851" w:rsidRPr="008B1CBD">
        <w:rPr>
          <w:iCs/>
        </w:rPr>
        <w:t>existing</w:t>
      </w:r>
      <w:r w:rsidR="00CC4851" w:rsidRPr="006630E1">
        <w:t xml:space="preserve"> gas conservation programs. Many of the existing gas conservation programs that are administered by AGDF utilities require updating to reflect various energy and cost assumptions that change over time.  </w:t>
      </w:r>
      <w:r w:rsidR="00B547CD">
        <w:t>AGDF asserts that t</w:t>
      </w:r>
      <w:r w:rsidR="00CC4851" w:rsidRPr="006630E1">
        <w:t>his CDD program would allow funding to complete the analysis required to file updated conservation programs, most notably, the cost-effectiveness data inputs that are required for gas conservation program approval.</w:t>
      </w:r>
      <w:r w:rsidR="00B547CD">
        <w:rPr>
          <w:rStyle w:val="FootnoteReference"/>
        </w:rPr>
        <w:footnoteReference w:id="9"/>
      </w:r>
      <w:r w:rsidR="00CC4851" w:rsidRPr="006630E1">
        <w:t> </w:t>
      </w:r>
    </w:p>
    <w:p w14:paraId="0175A3AF" w14:textId="77777777" w:rsidR="00D1629B" w:rsidRDefault="00D1629B" w:rsidP="00D1629B">
      <w:pPr>
        <w:pStyle w:val="BodyText"/>
        <w:spacing w:after="0"/>
        <w:ind w:right="130"/>
      </w:pPr>
    </w:p>
    <w:p w14:paraId="28455DFE" w14:textId="77777777" w:rsidR="00FE71F5" w:rsidRDefault="00CC4851" w:rsidP="002C29DE">
      <w:pPr>
        <w:pStyle w:val="BodyText"/>
        <w:spacing w:after="0"/>
        <w:ind w:right="130"/>
      </w:pPr>
      <w:r w:rsidRPr="006630E1">
        <w:t>A</w:t>
      </w:r>
      <w:r w:rsidR="006F305B">
        <w:t>GDF asserts that in its new proposed</w:t>
      </w:r>
      <w:r w:rsidRPr="006630E1">
        <w:t xml:space="preserve"> CDD program, the participating members have addressed the </w:t>
      </w:r>
      <w:r w:rsidR="006F305B">
        <w:t xml:space="preserve">potential rate impact </w:t>
      </w:r>
      <w:r w:rsidRPr="006630E1">
        <w:t xml:space="preserve">concerns mentioned in </w:t>
      </w:r>
      <w:r w:rsidR="008B1CBD">
        <w:t>the AGDF Extension Order, and</w:t>
      </w:r>
      <w:r w:rsidRPr="006630E1">
        <w:t xml:space="preserve"> the </w:t>
      </w:r>
      <w:r w:rsidR="006F305B">
        <w:t xml:space="preserve">other concern about </w:t>
      </w:r>
      <w:r w:rsidR="00F3382C">
        <w:t xml:space="preserve">the consistency of </w:t>
      </w:r>
      <w:r w:rsidRPr="006630E1">
        <w:t xml:space="preserve">the proposed research objectives and conservation efforts </w:t>
      </w:r>
      <w:r w:rsidR="00F3382C">
        <w:t xml:space="preserve">with </w:t>
      </w:r>
      <w:r w:rsidRPr="006630E1">
        <w:t>FEECA. A</w:t>
      </w:r>
      <w:r w:rsidR="006F305B">
        <w:t>GDF believes it has done so by developing</w:t>
      </w:r>
      <w:r w:rsidRPr="006630E1">
        <w:t xml:space="preserve"> minimum eligibility requirements </w:t>
      </w:r>
      <w:r w:rsidR="006F305B">
        <w:t xml:space="preserve">for </w:t>
      </w:r>
      <w:r w:rsidR="00D85416">
        <w:t xml:space="preserve">CDD funding. </w:t>
      </w:r>
      <w:r w:rsidR="0039244A">
        <w:t>These requirements include</w:t>
      </w:r>
      <w:r w:rsidR="00D85416">
        <w:t xml:space="preserve">: </w:t>
      </w:r>
    </w:p>
    <w:p w14:paraId="2FB75B87" w14:textId="77777777" w:rsidR="00FE71F5" w:rsidRDefault="00FE71F5" w:rsidP="002C29DE">
      <w:pPr>
        <w:pStyle w:val="BodyText"/>
        <w:spacing w:after="0"/>
        <w:ind w:right="130"/>
      </w:pPr>
    </w:p>
    <w:p w14:paraId="4CA0AFCA" w14:textId="77777777" w:rsidR="00FE71F5" w:rsidRDefault="00BA03F3" w:rsidP="00FE71F5">
      <w:pPr>
        <w:pStyle w:val="BodyText"/>
        <w:spacing w:after="0"/>
        <w:ind w:left="720" w:right="720"/>
      </w:pPr>
      <w:r>
        <w:t>(</w:t>
      </w:r>
      <w:r w:rsidR="0039244A">
        <w:t>1</w:t>
      </w:r>
      <w:r>
        <w:t>)</w:t>
      </w:r>
      <w:r w:rsidR="0039244A">
        <w:t xml:space="preserve"> </w:t>
      </w:r>
      <w:r w:rsidR="00D85416">
        <w:t xml:space="preserve">the proposed measure or program must have an affect on rate-paying customers; </w:t>
      </w:r>
    </w:p>
    <w:p w14:paraId="1BB9286E" w14:textId="77777777" w:rsidR="00FE71F5" w:rsidRDefault="00BA03F3" w:rsidP="00FE71F5">
      <w:pPr>
        <w:pStyle w:val="BodyText"/>
        <w:spacing w:after="0"/>
        <w:ind w:left="720" w:right="720"/>
      </w:pPr>
      <w:r>
        <w:t>(</w:t>
      </w:r>
      <w:r w:rsidR="0039244A">
        <w:t>2</w:t>
      </w:r>
      <w:r>
        <w:t>)</w:t>
      </w:r>
      <w:r w:rsidR="0039244A">
        <w:t xml:space="preserve"> </w:t>
      </w:r>
      <w:r w:rsidR="00D85416">
        <w:t xml:space="preserve">there is a lack of available research or insufficient data on the proposed measure or program being evaluated; </w:t>
      </w:r>
      <w:r w:rsidR="0039244A">
        <w:t xml:space="preserve">and </w:t>
      </w:r>
    </w:p>
    <w:p w14:paraId="19152CE5" w14:textId="046B1960" w:rsidR="00D85416" w:rsidRDefault="00BA03F3" w:rsidP="00FE71F5">
      <w:pPr>
        <w:pStyle w:val="BodyText"/>
        <w:spacing w:after="0"/>
        <w:ind w:left="720" w:right="720"/>
      </w:pPr>
      <w:r>
        <w:t>(</w:t>
      </w:r>
      <w:r w:rsidR="0039244A">
        <w:t>3</w:t>
      </w:r>
      <w:r>
        <w:t>)</w:t>
      </w:r>
      <w:r w:rsidR="00D85416">
        <w:t xml:space="preserve"> </w:t>
      </w:r>
      <w:r w:rsidR="00464178">
        <w:t>there is insufficient Florida-specific data on the proposed program or measure</w:t>
      </w:r>
      <w:r w:rsidR="00CC4851" w:rsidRPr="006630E1">
        <w:t>.</w:t>
      </w:r>
      <w:r w:rsidR="00B547CD">
        <w:rPr>
          <w:rStyle w:val="FootnoteReference"/>
        </w:rPr>
        <w:footnoteReference w:id="10"/>
      </w:r>
      <w:r w:rsidR="00CC4851" w:rsidRPr="006630E1">
        <w:t> </w:t>
      </w:r>
    </w:p>
    <w:p w14:paraId="5C680922" w14:textId="77777777" w:rsidR="00D85416" w:rsidRDefault="00D85416" w:rsidP="002C29DE">
      <w:pPr>
        <w:pStyle w:val="BodyText"/>
        <w:spacing w:after="0"/>
        <w:ind w:right="130"/>
      </w:pPr>
    </w:p>
    <w:p w14:paraId="1E334EAF" w14:textId="6AD289AB" w:rsidR="00464178" w:rsidRDefault="00464178" w:rsidP="002C29DE">
      <w:pPr>
        <w:pStyle w:val="BodyText"/>
        <w:spacing w:after="0"/>
        <w:ind w:right="130"/>
      </w:pPr>
      <w:r w:rsidRPr="00DA1032">
        <w:t>A</w:t>
      </w:r>
      <w:r>
        <w:t>GDF states that a</w:t>
      </w:r>
      <w:r w:rsidRPr="00DA1032">
        <w:t>fter the minimum eligibility requirements have been met</w:t>
      </w:r>
      <w:r>
        <w:t>,</w:t>
      </w:r>
      <w:r w:rsidRPr="00DA1032">
        <w:t xml:space="preserve"> the proposed CDD funding project would then have to</w:t>
      </w:r>
      <w:r w:rsidR="008B1CBD">
        <w:t xml:space="preserve"> comport with one of three CDD c</w:t>
      </w:r>
      <w:r w:rsidRPr="00DA1032">
        <w:t>ategories</w:t>
      </w:r>
      <w:r w:rsidR="00047D65">
        <w:t>.</w:t>
      </w:r>
      <w:r w:rsidR="00047D65">
        <w:rPr>
          <w:rStyle w:val="FootnoteReference"/>
        </w:rPr>
        <w:footnoteReference w:id="11"/>
      </w:r>
      <w:r w:rsidRPr="00DA1032">
        <w:t xml:space="preserve"> </w:t>
      </w:r>
      <w:r>
        <w:t xml:space="preserve">The first category, </w:t>
      </w:r>
      <w:r w:rsidR="008B1CBD">
        <w:rPr>
          <w:bCs/>
        </w:rPr>
        <w:t>e</w:t>
      </w:r>
      <w:r w:rsidRPr="00464178">
        <w:rPr>
          <w:bCs/>
        </w:rPr>
        <w:t>fficiency</w:t>
      </w:r>
      <w:r>
        <w:rPr>
          <w:bCs/>
        </w:rPr>
        <w:t xml:space="preserve">, is proposed to </w:t>
      </w:r>
      <w:r w:rsidRPr="00DA1032">
        <w:t>include</w:t>
      </w:r>
      <w:r>
        <w:t xml:space="preserve"> </w:t>
      </w:r>
      <w:r w:rsidRPr="00DA1032">
        <w:t>research projects that focused on appliance efficiency</w:t>
      </w:r>
      <w:r>
        <w:t>,</w:t>
      </w:r>
      <w:r w:rsidRPr="00DA1032">
        <w:t xml:space="preserve"> and would include demonstration projects that seek to </w:t>
      </w:r>
      <w:r>
        <w:t>quantify</w:t>
      </w:r>
      <w:r w:rsidRPr="00DA1032">
        <w:t xml:space="preserve"> the efficiency and cost effectiveness of emerging gas end-use equipment and technologies when installed in Florida. </w:t>
      </w:r>
      <w:r>
        <w:t xml:space="preserve">The second category, </w:t>
      </w:r>
      <w:r w:rsidR="008B1CBD">
        <w:rPr>
          <w:bCs/>
        </w:rPr>
        <w:t>r</w:t>
      </w:r>
      <w:r w:rsidRPr="00464178">
        <w:rPr>
          <w:bCs/>
        </w:rPr>
        <w:t>esiliency</w:t>
      </w:r>
      <w:r>
        <w:rPr>
          <w:bCs/>
        </w:rPr>
        <w:t>,</w:t>
      </w:r>
      <w:r w:rsidRPr="00DA1032">
        <w:t xml:space="preserve"> would include CDD research projects that </w:t>
      </w:r>
      <w:r>
        <w:t xml:space="preserve">focus </w:t>
      </w:r>
      <w:r w:rsidRPr="00DA1032">
        <w:t xml:space="preserve">on </w:t>
      </w:r>
      <w:r>
        <w:t xml:space="preserve">smaller, on-site, backup </w:t>
      </w:r>
      <w:r w:rsidRPr="00DA1032">
        <w:t>electric generation technologies</w:t>
      </w:r>
      <w:r>
        <w:t xml:space="preserve"> for home and</w:t>
      </w:r>
      <w:r w:rsidR="00C2017C">
        <w:t>/or</w:t>
      </w:r>
      <w:r>
        <w:t xml:space="preserve"> commercial use</w:t>
      </w:r>
      <w:r w:rsidRPr="00DA1032">
        <w:t xml:space="preserve"> that are fueled by gas</w:t>
      </w:r>
      <w:r w:rsidR="00C2017C">
        <w:t xml:space="preserve">, </w:t>
      </w:r>
      <w:r w:rsidRPr="00DA1032">
        <w:t xml:space="preserve">configured </w:t>
      </w:r>
      <w:r w:rsidR="00C2017C">
        <w:t xml:space="preserve">on </w:t>
      </w:r>
      <w:r w:rsidRPr="00DA1032">
        <w:t xml:space="preserve">a standalone </w:t>
      </w:r>
      <w:r w:rsidR="00C2017C">
        <w:t xml:space="preserve">basis, or </w:t>
      </w:r>
      <w:r w:rsidRPr="00DA1032">
        <w:t xml:space="preserve">as a combined heat </w:t>
      </w:r>
      <w:r w:rsidR="00C2017C">
        <w:t xml:space="preserve">and </w:t>
      </w:r>
      <w:r w:rsidRPr="00DA1032">
        <w:t>power configuration</w:t>
      </w:r>
      <w:r w:rsidRPr="0096660F">
        <w:t xml:space="preserve">. </w:t>
      </w:r>
      <w:r w:rsidR="00C2017C">
        <w:t xml:space="preserve">The third and final category, </w:t>
      </w:r>
      <w:r w:rsidR="008B1CBD">
        <w:t>r</w:t>
      </w:r>
      <w:r w:rsidRPr="00464178">
        <w:rPr>
          <w:bCs/>
        </w:rPr>
        <w:t>enewable</w:t>
      </w:r>
      <w:r w:rsidR="00C2017C">
        <w:rPr>
          <w:bCs/>
        </w:rPr>
        <w:t>, is proposed to include</w:t>
      </w:r>
      <w:r w:rsidR="00C2017C">
        <w:t xml:space="preserve"> research efforts that seek to</w:t>
      </w:r>
      <w:r w:rsidRPr="00DA1032">
        <w:t xml:space="preserve"> identify and encourage the proliferation of customer-owned renewable natural gas opportunities among commercial and industrial customers across</w:t>
      </w:r>
      <w:r w:rsidR="00C2017C">
        <w:t xml:space="preserve"> Florida</w:t>
      </w:r>
      <w:r w:rsidRPr="00DA1032">
        <w:t xml:space="preserve">.   </w:t>
      </w:r>
    </w:p>
    <w:p w14:paraId="315E4BF8" w14:textId="77777777" w:rsidR="00464178" w:rsidRDefault="00464178" w:rsidP="002C29DE">
      <w:pPr>
        <w:pStyle w:val="BodyText"/>
        <w:spacing w:after="0"/>
        <w:ind w:right="130"/>
      </w:pPr>
    </w:p>
    <w:p w14:paraId="09952C02" w14:textId="15B6253C" w:rsidR="00A845F6" w:rsidRDefault="000D767E" w:rsidP="00A845F6">
      <w:pPr>
        <w:jc w:val="both"/>
      </w:pPr>
      <w:r>
        <w:t xml:space="preserve">In its petition, </w:t>
      </w:r>
      <w:r w:rsidR="00A845F6">
        <w:t>AGDF asserts that e</w:t>
      </w:r>
      <w:r w:rsidR="008B1CBD">
        <w:t xml:space="preserve">ach participating </w:t>
      </w:r>
      <w:r w:rsidR="00A845F6" w:rsidRPr="006630E1">
        <w:t xml:space="preserve">LDC will report any CDD-related expenses and </w:t>
      </w:r>
      <w:r w:rsidR="00A845F6">
        <w:t xml:space="preserve">information on program </w:t>
      </w:r>
      <w:r w:rsidR="00A845F6" w:rsidRPr="006630E1">
        <w:t xml:space="preserve">participation </w:t>
      </w:r>
      <w:r w:rsidR="00A845F6">
        <w:t>t</w:t>
      </w:r>
      <w:r w:rsidR="00A845F6" w:rsidRPr="006630E1">
        <w:t xml:space="preserve">hrough the company’s annual conservation cost recovery clause expense review. </w:t>
      </w:r>
      <w:r w:rsidR="00A845F6">
        <w:t>AGDF proposed</w:t>
      </w:r>
      <w:r w:rsidR="00A845F6" w:rsidRPr="006630E1">
        <w:t xml:space="preserve"> annual, estimated</w:t>
      </w:r>
      <w:r w:rsidR="00A845F6">
        <w:t xml:space="preserve"> p</w:t>
      </w:r>
      <w:r w:rsidR="00A845F6" w:rsidRPr="006630E1">
        <w:t>rogram expense limits</w:t>
      </w:r>
      <w:r w:rsidR="00A845F6">
        <w:t xml:space="preserve"> </w:t>
      </w:r>
      <w:r w:rsidR="00A845F6" w:rsidRPr="006630E1">
        <w:t>for each LDC, based upon the assumption</w:t>
      </w:r>
      <w:r w:rsidR="00A845F6">
        <w:t xml:space="preserve"> of approval to offer</w:t>
      </w:r>
      <w:r w:rsidR="00A845F6" w:rsidRPr="006630E1">
        <w:t xml:space="preserve"> one (1), two (2), or three (3) CDD </w:t>
      </w:r>
      <w:r w:rsidR="00A845F6" w:rsidRPr="006630E1">
        <w:lastRenderedPageBreak/>
        <w:t xml:space="preserve">projects </w:t>
      </w:r>
      <w:r w:rsidR="00A845F6">
        <w:t>in a calendar</w:t>
      </w:r>
      <w:r w:rsidR="00A845F6" w:rsidRPr="006630E1">
        <w:t xml:space="preserve"> year.</w:t>
      </w:r>
      <w:r w:rsidR="00A845F6">
        <w:rPr>
          <w:rStyle w:val="FootnoteReference"/>
        </w:rPr>
        <w:footnoteReference w:id="12"/>
      </w:r>
      <w:r w:rsidR="00A845F6">
        <w:t xml:space="preserve"> Based on those limits, AGDF also estimated the corresponding cost recovery clause impacts for </w:t>
      </w:r>
      <w:r w:rsidR="0071734B">
        <w:t>r</w:t>
      </w:r>
      <w:r w:rsidR="00A845F6">
        <w:t xml:space="preserve">esidential customers that would result if the spending limits </w:t>
      </w:r>
      <w:r w:rsidR="0071734B">
        <w:t xml:space="preserve">it proposed </w:t>
      </w:r>
      <w:r w:rsidR="00A845F6">
        <w:t>were implemented.</w:t>
      </w:r>
      <w:r w:rsidR="00F72815">
        <w:rPr>
          <w:rStyle w:val="FootnoteReference"/>
        </w:rPr>
        <w:footnoteReference w:id="13"/>
      </w:r>
    </w:p>
    <w:p w14:paraId="3AC60412" w14:textId="77777777" w:rsidR="00A845F6" w:rsidRDefault="00A845F6" w:rsidP="002C29DE">
      <w:pPr>
        <w:pStyle w:val="BodyText"/>
        <w:spacing w:after="0"/>
        <w:ind w:right="130"/>
      </w:pPr>
    </w:p>
    <w:p w14:paraId="5996FAFB" w14:textId="77777777" w:rsidR="00C2017C" w:rsidRDefault="00305833" w:rsidP="002C29DE">
      <w:pPr>
        <w:pStyle w:val="BodyText"/>
        <w:spacing w:after="0"/>
        <w:ind w:right="130"/>
      </w:pPr>
      <w:r>
        <w:t>Per its petition,</w:t>
      </w:r>
      <w:r w:rsidR="00CC4851" w:rsidRPr="006630E1">
        <w:t xml:space="preserve"> </w:t>
      </w:r>
      <w:r w:rsidR="002C29DE">
        <w:t xml:space="preserve">AGDF believes </w:t>
      </w:r>
      <w:r w:rsidR="00CC4851" w:rsidRPr="006630E1">
        <w:t xml:space="preserve">the </w:t>
      </w:r>
      <w:r w:rsidR="002C29DE">
        <w:t>research projects its proposes</w:t>
      </w:r>
      <w:r w:rsidR="00CC4851" w:rsidRPr="006630E1">
        <w:t xml:space="preserve"> will be specifically designed to determine whether the programs and technologies analyzed have the technical potential to </w:t>
      </w:r>
      <w:r w:rsidR="00C2017C">
        <w:t>meet the statutory provision of forth in Section</w:t>
      </w:r>
      <w:r w:rsidR="00C2017C" w:rsidRPr="006630E1">
        <w:t xml:space="preserve"> 366.82(2), F.S</w:t>
      </w:r>
      <w:r w:rsidR="00C2017C">
        <w:t xml:space="preserve">., which is to </w:t>
      </w:r>
      <w:r w:rsidR="00CC4851" w:rsidRPr="006630E1">
        <w:t>“. . . increase the conservation of expensive resources, such as petroleum fuels, to reduce and control the growth rates of electric consumption, to reduce the growth rates of weather-sensitive peak demand, and to encourage development of demand-</w:t>
      </w:r>
      <w:r w:rsidR="00C2017C">
        <w:t>side renewable energy resources.</w:t>
      </w:r>
      <w:r w:rsidR="00CC4851" w:rsidRPr="006630E1">
        <w:t>”</w:t>
      </w:r>
    </w:p>
    <w:p w14:paraId="1027643A" w14:textId="77777777" w:rsidR="00C2017C" w:rsidRDefault="00C2017C" w:rsidP="002C29DE">
      <w:pPr>
        <w:pStyle w:val="BodyText"/>
        <w:spacing w:after="0"/>
        <w:ind w:right="130"/>
      </w:pPr>
    </w:p>
    <w:p w14:paraId="523CADE8" w14:textId="77777777" w:rsidR="00C2017C" w:rsidRPr="00586D9A" w:rsidRDefault="00F20086" w:rsidP="00C2017C">
      <w:pPr>
        <w:pStyle w:val="BodyText"/>
        <w:spacing w:after="0"/>
        <w:rPr>
          <w:rFonts w:ascii="Arial" w:hAnsi="Arial" w:cs="Arial"/>
          <w:b/>
          <w:spacing w:val="-1"/>
        </w:rPr>
      </w:pPr>
      <w:r>
        <w:rPr>
          <w:rFonts w:ascii="Arial" w:hAnsi="Arial" w:cs="Arial"/>
          <w:b/>
          <w:spacing w:val="-1"/>
        </w:rPr>
        <w:t>Comparing Instant and Prior Petitions</w:t>
      </w:r>
    </w:p>
    <w:p w14:paraId="68D8C247" w14:textId="77777777" w:rsidR="007964D9" w:rsidRDefault="00D817D6" w:rsidP="007964D9">
      <w:pPr>
        <w:pStyle w:val="BodyText"/>
        <w:spacing w:after="0"/>
      </w:pPr>
      <w:r>
        <w:t>S</w:t>
      </w:r>
      <w:r w:rsidR="00036087">
        <w:t xml:space="preserve">taff </w:t>
      </w:r>
      <w:r>
        <w:t xml:space="preserve">has identified the following notable differences </w:t>
      </w:r>
      <w:r w:rsidR="00036087">
        <w:t>between AGDF’s 2009 CDD petition (Docket No. 20090122-EG) and th</w:t>
      </w:r>
      <w:r w:rsidR="00EC54FE">
        <w:t>e instant petition</w:t>
      </w:r>
      <w:r w:rsidR="007964D9">
        <w:t>:</w:t>
      </w:r>
    </w:p>
    <w:p w14:paraId="1514609A" w14:textId="77777777" w:rsidR="007964D9" w:rsidRDefault="007964D9" w:rsidP="007964D9">
      <w:pPr>
        <w:pStyle w:val="BodyText"/>
        <w:spacing w:after="0"/>
      </w:pPr>
    </w:p>
    <w:p w14:paraId="7C72B68A" w14:textId="01EA0BF9" w:rsidR="0045010C" w:rsidRDefault="00D817D6" w:rsidP="00FE71F5">
      <w:pPr>
        <w:pStyle w:val="BodyText"/>
        <w:numPr>
          <w:ilvl w:val="0"/>
          <w:numId w:val="14"/>
        </w:numPr>
        <w:spacing w:after="0"/>
        <w:ind w:right="720"/>
      </w:pPr>
      <w:r>
        <w:t xml:space="preserve">In the prior docket, </w:t>
      </w:r>
      <w:r w:rsidR="00036087">
        <w:t xml:space="preserve">AGDF’s </w:t>
      </w:r>
      <w:r w:rsidR="00EC54FE">
        <w:t xml:space="preserve">request was for </w:t>
      </w:r>
      <w:r w:rsidR="0045010C">
        <w:t xml:space="preserve">a </w:t>
      </w:r>
      <w:r w:rsidR="00EC54FE">
        <w:t xml:space="preserve">temporary </w:t>
      </w:r>
      <w:r w:rsidR="0045010C">
        <w:t xml:space="preserve">CDD </w:t>
      </w:r>
      <w:r w:rsidR="00EC54FE">
        <w:t>program</w:t>
      </w:r>
      <w:r>
        <w:t>, and that is what the Commission approved</w:t>
      </w:r>
      <w:r w:rsidR="00EC54FE">
        <w:t xml:space="preserve">. </w:t>
      </w:r>
      <w:r>
        <w:t>T</w:t>
      </w:r>
      <w:r w:rsidR="00EC54FE">
        <w:t xml:space="preserve">he instant petition </w:t>
      </w:r>
      <w:r w:rsidR="00695A45">
        <w:t>sought</w:t>
      </w:r>
      <w:r w:rsidR="00036087">
        <w:t xml:space="preserve"> approval of </w:t>
      </w:r>
      <w:r w:rsidR="0045010C">
        <w:t xml:space="preserve">a </w:t>
      </w:r>
      <w:r w:rsidR="00695A45">
        <w:t>permanent CDD program, but as discussed below, AGDF later agreed to other temporary options.</w:t>
      </w:r>
      <w:r w:rsidR="00036087">
        <w:t xml:space="preserve"> </w:t>
      </w:r>
    </w:p>
    <w:p w14:paraId="57D1CBA9" w14:textId="77777777" w:rsidR="0045010C" w:rsidRDefault="0045010C" w:rsidP="00FE71F5">
      <w:pPr>
        <w:pStyle w:val="BodyText"/>
        <w:numPr>
          <w:ilvl w:val="0"/>
          <w:numId w:val="14"/>
        </w:numPr>
        <w:spacing w:after="0"/>
        <w:ind w:right="720"/>
      </w:pPr>
      <w:r>
        <w:t>I</w:t>
      </w:r>
      <w:r w:rsidR="000D767E">
        <w:t xml:space="preserve">n the former </w:t>
      </w:r>
      <w:r>
        <w:t>docket</w:t>
      </w:r>
      <w:r w:rsidR="000D767E">
        <w:t>, PGS was a full participant, whereas in the instant case, it is not</w:t>
      </w:r>
      <w:r>
        <w:t xml:space="preserve"> a </w:t>
      </w:r>
      <w:r w:rsidR="00047D65">
        <w:t xml:space="preserve">full </w:t>
      </w:r>
      <w:r>
        <w:t>participant</w:t>
      </w:r>
      <w:r w:rsidR="00047D65">
        <w:t>, but may engage jointly on some of AGDF’s CDD projects</w:t>
      </w:r>
      <w:r w:rsidR="000D767E">
        <w:t xml:space="preserve">. </w:t>
      </w:r>
      <w:r>
        <w:t>AGDF explained that the reason PGS is not included in its proposal is that PGS already has an established CDD program approved by the Commission.</w:t>
      </w:r>
      <w:r w:rsidR="008268CD">
        <w:rPr>
          <w:rStyle w:val="FootnoteReference"/>
        </w:rPr>
        <w:footnoteReference w:id="14"/>
      </w:r>
    </w:p>
    <w:p w14:paraId="267EF23B" w14:textId="77777777" w:rsidR="0045010C" w:rsidRDefault="0045010C" w:rsidP="00FE71F5">
      <w:pPr>
        <w:pStyle w:val="BodyText"/>
        <w:numPr>
          <w:ilvl w:val="0"/>
          <w:numId w:val="14"/>
        </w:numPr>
        <w:spacing w:after="0"/>
        <w:ind w:right="720"/>
      </w:pPr>
      <w:r>
        <w:t>I</w:t>
      </w:r>
      <w:r w:rsidR="000D767E">
        <w:t>n the instant petition, AGDF is proposing individual and program total caps based on a maximum of 3 pro</w:t>
      </w:r>
      <w:r>
        <w:t>jects</w:t>
      </w:r>
      <w:r w:rsidR="000D767E">
        <w:t xml:space="preserve"> in any one year, whereas in 2009, </w:t>
      </w:r>
      <w:r>
        <w:t xml:space="preserve">the maximum </w:t>
      </w:r>
      <w:r w:rsidR="000D767E">
        <w:t xml:space="preserve">number </w:t>
      </w:r>
      <w:r>
        <w:t xml:space="preserve">of projects </w:t>
      </w:r>
      <w:r w:rsidR="000D767E">
        <w:t xml:space="preserve">was not specified. </w:t>
      </w:r>
    </w:p>
    <w:p w14:paraId="6F1F811F" w14:textId="443B8E5A" w:rsidR="000D767E" w:rsidRDefault="0045010C" w:rsidP="00FE71F5">
      <w:pPr>
        <w:pStyle w:val="BodyText"/>
        <w:numPr>
          <w:ilvl w:val="0"/>
          <w:numId w:val="14"/>
        </w:numPr>
        <w:spacing w:after="0"/>
        <w:ind w:right="720"/>
      </w:pPr>
      <w:r>
        <w:t>T</w:t>
      </w:r>
      <w:r w:rsidR="000D767E">
        <w:t xml:space="preserve">he instant petition sets forth </w:t>
      </w:r>
      <w:r w:rsidR="000D767E" w:rsidRPr="00DA1032">
        <w:t xml:space="preserve">minimum eligibility requirements </w:t>
      </w:r>
      <w:r w:rsidR="000D767E">
        <w:t>and proposes</w:t>
      </w:r>
      <w:r w:rsidR="00131245">
        <w:t xml:space="preserve"> three CDD c</w:t>
      </w:r>
      <w:r w:rsidR="000D767E" w:rsidRPr="00DA1032">
        <w:t xml:space="preserve">ategories, </w:t>
      </w:r>
      <w:r w:rsidR="000D767E">
        <w:t xml:space="preserve">which are features that were not </w:t>
      </w:r>
      <w:r>
        <w:t>included</w:t>
      </w:r>
      <w:r w:rsidR="000D767E">
        <w:t xml:space="preserve"> in the AGDF’s petition filed in D</w:t>
      </w:r>
      <w:r>
        <w:t>ocket No.</w:t>
      </w:r>
      <w:r w:rsidR="000D767E">
        <w:t xml:space="preserve"> 20090122-EG</w:t>
      </w:r>
      <w:r>
        <w:t>.</w:t>
      </w:r>
    </w:p>
    <w:p w14:paraId="26A96B3D" w14:textId="77777777" w:rsidR="00036087" w:rsidRDefault="00036087" w:rsidP="00CC4851">
      <w:pPr>
        <w:jc w:val="both"/>
      </w:pPr>
    </w:p>
    <w:p w14:paraId="4C83C911" w14:textId="6F33D564" w:rsidR="00B044CC" w:rsidRPr="004C3641" w:rsidRDefault="00B044CC" w:rsidP="00B044CC">
      <w:pPr>
        <w:pStyle w:val="IssueSubsectionHeading"/>
        <w:rPr>
          <w:vanish/>
          <w:specVanish/>
        </w:rPr>
      </w:pPr>
      <w:r w:rsidRPr="003940B2">
        <w:rPr>
          <w:i w:val="0"/>
        </w:rPr>
        <w:t>Analysis</w:t>
      </w:r>
      <w:r w:rsidRPr="004C3641">
        <w:t> </w:t>
      </w:r>
    </w:p>
    <w:p w14:paraId="76C57D12" w14:textId="77777777" w:rsidR="00B044CC" w:rsidRDefault="00B044CC" w:rsidP="00B044CC">
      <w:pPr>
        <w:jc w:val="both"/>
        <w:rPr>
          <w:b/>
        </w:rPr>
      </w:pPr>
    </w:p>
    <w:p w14:paraId="115C0AF6" w14:textId="77777777" w:rsidR="002F2EAF" w:rsidRDefault="00AD33AA" w:rsidP="00CC4851">
      <w:pPr>
        <w:jc w:val="both"/>
      </w:pPr>
      <w:r>
        <w:t>Discussed below are topic areas that concerned staff as it considered AGDF’s petition and data request responses.</w:t>
      </w:r>
    </w:p>
    <w:p w14:paraId="131D36BE" w14:textId="77777777" w:rsidR="00B044CC" w:rsidRPr="00AD33AA" w:rsidRDefault="002F2EAF" w:rsidP="00CC4851">
      <w:pPr>
        <w:jc w:val="both"/>
      </w:pPr>
      <w:r>
        <w:t xml:space="preserve"> </w:t>
      </w:r>
      <w:r w:rsidR="00AD33AA">
        <w:t xml:space="preserve">   </w:t>
      </w:r>
    </w:p>
    <w:p w14:paraId="62C9D36A" w14:textId="36962AC7" w:rsidR="00B044CC" w:rsidRPr="008B1CBD" w:rsidRDefault="002F2EAF" w:rsidP="002F2EAF">
      <w:pPr>
        <w:ind w:firstLine="720"/>
        <w:jc w:val="both"/>
        <w:rPr>
          <w:rFonts w:ascii="Arial" w:hAnsi="Arial" w:cs="Arial"/>
          <w:b/>
          <w:i/>
        </w:rPr>
      </w:pPr>
      <w:r w:rsidRPr="008B1CBD">
        <w:rPr>
          <w:rFonts w:ascii="Arial" w:hAnsi="Arial" w:cs="Arial"/>
          <w:b/>
          <w:i/>
        </w:rPr>
        <w:t xml:space="preserve">Initial Request for </w:t>
      </w:r>
      <w:r w:rsidR="00217C44" w:rsidRPr="008B1CBD">
        <w:rPr>
          <w:rFonts w:ascii="Arial" w:hAnsi="Arial" w:cs="Arial"/>
          <w:b/>
          <w:i/>
        </w:rPr>
        <w:t>Permanent Program</w:t>
      </w:r>
    </w:p>
    <w:p w14:paraId="73C072C7" w14:textId="1339E8A7" w:rsidR="007B6FA4" w:rsidRDefault="002F2EAF" w:rsidP="00CC4851">
      <w:pPr>
        <w:jc w:val="both"/>
      </w:pPr>
      <w:r>
        <w:t>As reference</w:t>
      </w:r>
      <w:r w:rsidR="00D6691B">
        <w:t>d</w:t>
      </w:r>
      <w:r>
        <w:t xml:space="preserve"> above, AGDF initially sought </w:t>
      </w:r>
      <w:r w:rsidR="00047D65">
        <w:t xml:space="preserve">a </w:t>
      </w:r>
      <w:r>
        <w:t xml:space="preserve">permanent CDD program via its petition. Staff’s main concern with this request was that </w:t>
      </w:r>
      <w:r w:rsidR="0087095A">
        <w:t>no other DSM programs have been conferred permanent status and</w:t>
      </w:r>
      <w:r w:rsidR="0004684F">
        <w:t>,</w:t>
      </w:r>
      <w:r w:rsidR="0087095A">
        <w:t xml:space="preserve"> </w:t>
      </w:r>
      <w:r w:rsidR="0004684F">
        <w:t xml:space="preserve">moreover, </w:t>
      </w:r>
      <w:r w:rsidR="0087095A">
        <w:t xml:space="preserve">all </w:t>
      </w:r>
      <w:r w:rsidR="0071734B">
        <w:t xml:space="preserve">FEECA </w:t>
      </w:r>
      <w:r w:rsidR="0087095A">
        <w:t xml:space="preserve">utilities’ goals are subject to review every five years per Rule </w:t>
      </w:r>
      <w:r w:rsidR="0087095A">
        <w:lastRenderedPageBreak/>
        <w:t xml:space="preserve">25-17.0021(1), F.A.C, at which time all programs are </w:t>
      </w:r>
      <w:r w:rsidR="0004684F">
        <w:t xml:space="preserve">simultaneously </w:t>
      </w:r>
      <w:r w:rsidR="0087095A">
        <w:t xml:space="preserve">under review. </w:t>
      </w:r>
      <w:r w:rsidR="00796A71">
        <w:t>In discussions with staff on March 6, 2024, s</w:t>
      </w:r>
      <w:r w:rsidR="0087095A">
        <w:t>taff relayed its concern that a permanent program would not appear to comport with our existing rule</w:t>
      </w:r>
      <w:r w:rsidR="00240312">
        <w:t xml:space="preserve">. Staff also conveyed that, because </w:t>
      </w:r>
      <w:r w:rsidR="0087095A">
        <w:t xml:space="preserve">CDD research programs have not been pursued in any meaningful way </w:t>
      </w:r>
      <w:r w:rsidR="00796A71">
        <w:t>by any Florida gas investor</w:t>
      </w:r>
      <w:r w:rsidR="007964D9">
        <w:t>-</w:t>
      </w:r>
      <w:r w:rsidR="00796A71">
        <w:t xml:space="preserve"> owned utilities </w:t>
      </w:r>
      <w:r w:rsidR="0087095A">
        <w:t xml:space="preserve">since the expiration of the prior </w:t>
      </w:r>
      <w:r w:rsidR="00796A71">
        <w:t xml:space="preserve">CDD </w:t>
      </w:r>
      <w:r w:rsidR="0087095A">
        <w:t>program in 2018</w:t>
      </w:r>
      <w:r w:rsidR="00240312">
        <w:t>, instituting a permanent program at this stage of CDD program development did not seem to be well supported.</w:t>
      </w:r>
      <w:r w:rsidR="00796A71">
        <w:t xml:space="preserve"> </w:t>
      </w:r>
    </w:p>
    <w:p w14:paraId="406B2FF2" w14:textId="77777777" w:rsidR="00FE71F5" w:rsidRDefault="00FE71F5" w:rsidP="007B6FA4">
      <w:pPr>
        <w:jc w:val="both"/>
      </w:pPr>
    </w:p>
    <w:p w14:paraId="5A4B783A" w14:textId="367B3AD5" w:rsidR="007B6FA4" w:rsidRDefault="0087095A" w:rsidP="007B6FA4">
      <w:pPr>
        <w:jc w:val="both"/>
      </w:pPr>
      <w:r>
        <w:t>O</w:t>
      </w:r>
      <w:r w:rsidR="002F2EAF">
        <w:t xml:space="preserve">n April 18, 2024, </w:t>
      </w:r>
      <w:r w:rsidR="00894254">
        <w:t>in response to staff concerns regarding this issue and other matters</w:t>
      </w:r>
      <w:r w:rsidR="00240312">
        <w:t xml:space="preserve">, </w:t>
      </w:r>
      <w:r w:rsidR="002F2EAF">
        <w:t xml:space="preserve">AGDF </w:t>
      </w:r>
      <w:r w:rsidR="00240312">
        <w:t xml:space="preserve">submitted a </w:t>
      </w:r>
      <w:r w:rsidR="002F2EAF">
        <w:t xml:space="preserve">letter </w:t>
      </w:r>
      <w:r w:rsidR="00240312">
        <w:t xml:space="preserve">to staff </w:t>
      </w:r>
      <w:r w:rsidR="00F20BE6">
        <w:t xml:space="preserve">that </w:t>
      </w:r>
      <w:r w:rsidR="00240312">
        <w:t xml:space="preserve">stated that AGDF is </w:t>
      </w:r>
      <w:r w:rsidR="00D6691B">
        <w:t>amenable to a 5-year program limitation, as long as it i</w:t>
      </w:r>
      <w:r w:rsidR="00F20BE6">
        <w:t xml:space="preserve">s not precluded from seeking an </w:t>
      </w:r>
      <w:r w:rsidR="00D6691B">
        <w:t>extension</w:t>
      </w:r>
      <w:r w:rsidR="00E90433">
        <w:t>.</w:t>
      </w:r>
      <w:r w:rsidR="00CD4DE2">
        <w:rPr>
          <w:rStyle w:val="FootnoteReference"/>
        </w:rPr>
        <w:footnoteReference w:id="15"/>
      </w:r>
      <w:r w:rsidR="00E90433">
        <w:t xml:space="preserve"> </w:t>
      </w:r>
      <w:r w:rsidR="00D6691B">
        <w:t xml:space="preserve">Alternatively, </w:t>
      </w:r>
      <w:r w:rsidR="00F20BE6">
        <w:t>the letter sets forth that</w:t>
      </w:r>
      <w:r w:rsidR="00D6691B">
        <w:t xml:space="preserve"> a 5-year reporting requirement may be more administratively efficient, and would provide staff with sufficient information to initiate a docket </w:t>
      </w:r>
      <w:r w:rsidR="00240312">
        <w:t>if needed to address program concerns</w:t>
      </w:r>
      <w:r w:rsidR="00D6691B">
        <w:t xml:space="preserve">. </w:t>
      </w:r>
      <w:r w:rsidR="006F4A7B">
        <w:t xml:space="preserve">Staff agrees with the former approach, wherein </w:t>
      </w:r>
      <w:r w:rsidR="0004684F">
        <w:t xml:space="preserve">the proposed CDD program would have a 5 year program </w:t>
      </w:r>
      <w:r w:rsidR="0039244A">
        <w:t>limitation</w:t>
      </w:r>
      <w:r w:rsidR="0004684F">
        <w:t xml:space="preserve"> and </w:t>
      </w:r>
      <w:r w:rsidR="006F4A7B">
        <w:t xml:space="preserve">AGDF would have the option to seek Commission approval for a program extension. </w:t>
      </w:r>
      <w:r w:rsidR="007B6FA4">
        <w:t xml:space="preserve">Staff believes there is much to be learned about any new CDD program, and that </w:t>
      </w:r>
      <w:r w:rsidR="0004684F">
        <w:t>the</w:t>
      </w:r>
      <w:r w:rsidR="007B6FA4">
        <w:t xml:space="preserve"> better </w:t>
      </w:r>
      <w:r w:rsidR="0004684F">
        <w:t>approach</w:t>
      </w:r>
      <w:r w:rsidR="007B6FA4">
        <w:t xml:space="preserve"> would be to limit the </w:t>
      </w:r>
      <w:r w:rsidR="00240312">
        <w:t xml:space="preserve">CDD </w:t>
      </w:r>
      <w:r w:rsidR="007B6FA4">
        <w:t>program to set time period, with an option to extend the program based upon the level of success achieved</w:t>
      </w:r>
      <w:r w:rsidR="0004684F">
        <w:t xml:space="preserve"> as reported and reviewed</w:t>
      </w:r>
      <w:r w:rsidR="007B6FA4">
        <w:t>.</w:t>
      </w:r>
      <w:r w:rsidR="00FE71F5">
        <w:t xml:space="preserve"> Therefore, staff recommends that the modifications set forth by the April 18, 2024 letter be incorporated into the order approving the program.</w:t>
      </w:r>
    </w:p>
    <w:p w14:paraId="1C503E1C" w14:textId="77777777" w:rsidR="007B6FA4" w:rsidRDefault="007B6FA4" w:rsidP="007B6FA4">
      <w:pPr>
        <w:jc w:val="both"/>
      </w:pPr>
    </w:p>
    <w:p w14:paraId="4D6B875F" w14:textId="77777777" w:rsidR="00054FA9" w:rsidRPr="008B1CBD" w:rsidRDefault="00977E9B" w:rsidP="00054FA9">
      <w:pPr>
        <w:ind w:firstLine="720"/>
        <w:jc w:val="both"/>
        <w:rPr>
          <w:rFonts w:ascii="Arial" w:hAnsi="Arial" w:cs="Arial"/>
          <w:b/>
          <w:i/>
        </w:rPr>
      </w:pPr>
      <w:r w:rsidRPr="008B1CBD">
        <w:rPr>
          <w:rFonts w:ascii="Arial" w:hAnsi="Arial" w:cs="Arial"/>
          <w:b/>
          <w:i/>
        </w:rPr>
        <w:t>Cost C</w:t>
      </w:r>
      <w:r w:rsidR="00026233" w:rsidRPr="008B1CBD">
        <w:rPr>
          <w:rFonts w:ascii="Arial" w:hAnsi="Arial" w:cs="Arial"/>
          <w:b/>
          <w:i/>
        </w:rPr>
        <w:t>aps and Rate Im</w:t>
      </w:r>
      <w:r w:rsidR="00054FA9" w:rsidRPr="008B1CBD">
        <w:rPr>
          <w:rFonts w:ascii="Arial" w:hAnsi="Arial" w:cs="Arial"/>
          <w:b/>
          <w:i/>
        </w:rPr>
        <w:t>pacts</w:t>
      </w:r>
    </w:p>
    <w:p w14:paraId="31352121" w14:textId="5E2D1717" w:rsidR="00F5375B" w:rsidRDefault="00260FDB" w:rsidP="00D531C5">
      <w:pPr>
        <w:jc w:val="both"/>
      </w:pPr>
      <w:r>
        <w:t xml:space="preserve">In its petition, </w:t>
      </w:r>
      <w:r w:rsidR="00977E9B" w:rsidRPr="00492ADF">
        <w:t xml:space="preserve">AGDF </w:t>
      </w:r>
      <w:r w:rsidR="00977E9B">
        <w:t>sought</w:t>
      </w:r>
      <w:r w:rsidR="00977E9B" w:rsidRPr="00492ADF">
        <w:t xml:space="preserve"> approval to allow FPUC and FCG to </w:t>
      </w:r>
      <w:r w:rsidR="00610A8A">
        <w:t xml:space="preserve">each </w:t>
      </w:r>
      <w:r w:rsidR="00977E9B" w:rsidRPr="00492ADF">
        <w:t xml:space="preserve">have an annual spending limit of $75,000 per project, for up to a maximum of three projects, </w:t>
      </w:r>
      <w:r>
        <w:t xml:space="preserve">or </w:t>
      </w:r>
      <w:r w:rsidR="00977E9B" w:rsidRPr="00492ADF">
        <w:t xml:space="preserve">a maximum </w:t>
      </w:r>
      <w:r w:rsidR="00977E9B">
        <w:t xml:space="preserve">annual </w:t>
      </w:r>
      <w:r w:rsidR="00977E9B" w:rsidRPr="00492ADF">
        <w:t>incremental amount of $225,000</w:t>
      </w:r>
      <w:r>
        <w:t xml:space="preserve"> per utility</w:t>
      </w:r>
      <w:r w:rsidR="00977E9B" w:rsidRPr="00492ADF">
        <w:t>. Additionally, the petition propose</w:t>
      </w:r>
      <w:r w:rsidR="00610A8A">
        <w:t>d</w:t>
      </w:r>
      <w:r w:rsidR="00977E9B">
        <w:t xml:space="preserve"> an annual spending limit of $5,000 per project for SJNG, and a</w:t>
      </w:r>
      <w:r>
        <w:t xml:space="preserve">n annual spending </w:t>
      </w:r>
      <w:r w:rsidR="00977E9B">
        <w:t xml:space="preserve">limit of $2,000 per project for </w:t>
      </w:r>
      <w:r w:rsidR="00977E9B" w:rsidRPr="00492ADF">
        <w:t>Sebrin</w:t>
      </w:r>
      <w:r w:rsidR="00977E9B">
        <w:t xml:space="preserve">g. </w:t>
      </w:r>
      <w:r w:rsidR="00610A8A">
        <w:t xml:space="preserve">AGDF </w:t>
      </w:r>
      <w:r w:rsidR="003B668C">
        <w:t xml:space="preserve">presented expected residential </w:t>
      </w:r>
      <w:r>
        <w:t>natural gas cost recovery clause factor (</w:t>
      </w:r>
      <w:r w:rsidR="003B668C">
        <w:t>rate</w:t>
      </w:r>
      <w:r>
        <w:t>)</w:t>
      </w:r>
      <w:r w:rsidR="003B668C">
        <w:t xml:space="preserve"> impacts resulting from these limits which</w:t>
      </w:r>
      <w:r w:rsidR="00610A8A">
        <w:t>,</w:t>
      </w:r>
      <w:r w:rsidR="003B668C">
        <w:t xml:space="preserve"> upon consultation with staff</w:t>
      </w:r>
      <w:r w:rsidR="00610A8A">
        <w:t>,</w:t>
      </w:r>
      <w:r w:rsidR="003B668C">
        <w:t xml:space="preserve"> </w:t>
      </w:r>
      <w:r w:rsidR="007964D9">
        <w:t>AGDF</w:t>
      </w:r>
      <w:r w:rsidR="00610A8A">
        <w:t xml:space="preserve"> agreed </w:t>
      </w:r>
      <w:r w:rsidR="003B668C">
        <w:t xml:space="preserve">resulted in rate impacts that were excessive, especially for Sebring and SJNG.  In </w:t>
      </w:r>
      <w:r w:rsidR="00D531C5">
        <w:t xml:space="preserve">AGDF’s </w:t>
      </w:r>
      <w:r w:rsidR="003B668C">
        <w:t xml:space="preserve">April 18, 2024 response letter to staff, </w:t>
      </w:r>
      <w:r w:rsidR="00D531C5">
        <w:t xml:space="preserve">it </w:t>
      </w:r>
      <w:r w:rsidR="00D817D6">
        <w:t xml:space="preserve">reduced </w:t>
      </w:r>
      <w:r w:rsidR="00D531C5">
        <w:t>its requested annual spending limits for Sebring and SJNG to $1,000 for each utility</w:t>
      </w:r>
      <w:r w:rsidR="007964D9">
        <w:t>, regardless of the number of projects undertaken</w:t>
      </w:r>
      <w:r w:rsidR="00D531C5">
        <w:t>.</w:t>
      </w:r>
      <w:r w:rsidR="003B668C">
        <w:t xml:space="preserve"> </w:t>
      </w:r>
      <w:r w:rsidR="00306EFD">
        <w:t>Table 1-1 below</w:t>
      </w:r>
      <w:r w:rsidR="00F5375B">
        <w:t xml:space="preserve"> refl</w:t>
      </w:r>
      <w:r w:rsidR="00306EFD">
        <w:t>ects</w:t>
      </w:r>
      <w:r w:rsidR="00F5375B">
        <w:t xml:space="preserve"> the most current</w:t>
      </w:r>
      <w:r w:rsidR="00306EFD">
        <w:t xml:space="preserve"> spending limits AGDF </w:t>
      </w:r>
      <w:r w:rsidR="00D531C5">
        <w:t>proposes</w:t>
      </w:r>
      <w:r w:rsidR="00F5375B">
        <w:t>:</w:t>
      </w:r>
    </w:p>
    <w:p w14:paraId="5E44ABC1" w14:textId="77777777" w:rsidR="00CD4DE2" w:rsidRDefault="00CD4DE2" w:rsidP="00D531C5">
      <w:pPr>
        <w:jc w:val="both"/>
      </w:pPr>
    </w:p>
    <w:p w14:paraId="798E41BF" w14:textId="77777777" w:rsidR="00F5375B" w:rsidRPr="00AE0A54" w:rsidRDefault="00306EFD" w:rsidP="00F5375B">
      <w:pPr>
        <w:jc w:val="center"/>
        <w:rPr>
          <w:rFonts w:ascii="Arial" w:hAnsi="Arial" w:cs="Arial"/>
          <w:b/>
        </w:rPr>
      </w:pPr>
      <w:r>
        <w:rPr>
          <w:rFonts w:ascii="Arial" w:hAnsi="Arial" w:cs="Arial"/>
          <w:b/>
        </w:rPr>
        <w:t>Table 1-1</w:t>
      </w:r>
    </w:p>
    <w:p w14:paraId="617D3911" w14:textId="77777777" w:rsidR="00F5375B" w:rsidRPr="00AE0A54" w:rsidRDefault="009034F9" w:rsidP="00F5375B">
      <w:pPr>
        <w:jc w:val="center"/>
        <w:rPr>
          <w:rFonts w:ascii="Arial" w:hAnsi="Arial" w:cs="Arial"/>
          <w:b/>
        </w:rPr>
      </w:pPr>
      <w:r>
        <w:rPr>
          <w:rFonts w:ascii="Arial" w:hAnsi="Arial" w:cs="Arial"/>
          <w:b/>
        </w:rPr>
        <w:t xml:space="preserve">AGDF’s </w:t>
      </w:r>
      <w:r w:rsidR="00F5375B" w:rsidRPr="00AE0A54">
        <w:rPr>
          <w:rFonts w:ascii="Arial" w:hAnsi="Arial" w:cs="Arial"/>
          <w:b/>
        </w:rPr>
        <w:t>Proposed CDD Program Expense Limits</w:t>
      </w:r>
      <w:r w:rsidR="00F5375B">
        <w:rPr>
          <w:rFonts w:ascii="Arial" w:hAnsi="Arial" w:cs="Arial"/>
          <w:b/>
        </w:rPr>
        <w:t xml:space="preserve"> (per year)</w:t>
      </w:r>
    </w:p>
    <w:tbl>
      <w:tblPr>
        <w:tblStyle w:val="TableGrid"/>
        <w:tblW w:w="0" w:type="auto"/>
        <w:tblLook w:val="04A0" w:firstRow="1" w:lastRow="0" w:firstColumn="1" w:lastColumn="0" w:noHBand="0" w:noVBand="1"/>
      </w:tblPr>
      <w:tblGrid>
        <w:gridCol w:w="1368"/>
        <w:gridCol w:w="2430"/>
        <w:gridCol w:w="2700"/>
        <w:gridCol w:w="2852"/>
      </w:tblGrid>
      <w:tr w:rsidR="00F5375B" w:rsidRPr="006630E1" w14:paraId="51A7A832" w14:textId="77777777" w:rsidTr="00271E0F">
        <w:tc>
          <w:tcPr>
            <w:tcW w:w="1368" w:type="dxa"/>
          </w:tcPr>
          <w:p w14:paraId="1C03249C" w14:textId="77777777" w:rsidR="00F5375B" w:rsidRPr="006630E1" w:rsidRDefault="00F5375B" w:rsidP="00271E0F">
            <w:pPr>
              <w:contextualSpacing/>
              <w:jc w:val="center"/>
              <w:rPr>
                <w:b/>
                <w:bCs/>
                <w:color w:val="000000" w:themeColor="text1"/>
              </w:rPr>
            </w:pPr>
            <w:r w:rsidRPr="006630E1">
              <w:rPr>
                <w:b/>
                <w:bCs/>
                <w:color w:val="000000" w:themeColor="text1"/>
              </w:rPr>
              <w:t>LDC</w:t>
            </w:r>
          </w:p>
        </w:tc>
        <w:tc>
          <w:tcPr>
            <w:tcW w:w="2430" w:type="dxa"/>
          </w:tcPr>
          <w:p w14:paraId="3FA02992" w14:textId="77777777" w:rsidR="00F5375B" w:rsidRPr="006630E1" w:rsidRDefault="00F5375B" w:rsidP="00271E0F">
            <w:pPr>
              <w:contextualSpacing/>
              <w:jc w:val="both"/>
              <w:rPr>
                <w:b/>
                <w:bCs/>
                <w:color w:val="000000" w:themeColor="text1"/>
              </w:rPr>
            </w:pPr>
            <w:r w:rsidRPr="006630E1">
              <w:rPr>
                <w:b/>
                <w:bCs/>
                <w:color w:val="000000" w:themeColor="text1"/>
              </w:rPr>
              <w:t xml:space="preserve"> One (1) CDD Project </w:t>
            </w:r>
          </w:p>
        </w:tc>
        <w:tc>
          <w:tcPr>
            <w:tcW w:w="2700" w:type="dxa"/>
          </w:tcPr>
          <w:p w14:paraId="7E67A904" w14:textId="77777777" w:rsidR="00F5375B" w:rsidRPr="006630E1" w:rsidRDefault="00F5375B" w:rsidP="00271E0F">
            <w:pPr>
              <w:contextualSpacing/>
              <w:jc w:val="both"/>
              <w:rPr>
                <w:b/>
                <w:bCs/>
                <w:color w:val="000000" w:themeColor="text1"/>
              </w:rPr>
            </w:pPr>
            <w:r w:rsidRPr="006630E1">
              <w:rPr>
                <w:b/>
                <w:bCs/>
                <w:color w:val="000000" w:themeColor="text1"/>
              </w:rPr>
              <w:t>Two (2) CDD Projects</w:t>
            </w:r>
          </w:p>
        </w:tc>
        <w:tc>
          <w:tcPr>
            <w:tcW w:w="2852" w:type="dxa"/>
          </w:tcPr>
          <w:p w14:paraId="69CBFCA1" w14:textId="77777777" w:rsidR="00F5375B" w:rsidRPr="006630E1" w:rsidRDefault="00F5375B" w:rsidP="00271E0F">
            <w:pPr>
              <w:contextualSpacing/>
              <w:jc w:val="both"/>
              <w:rPr>
                <w:b/>
                <w:bCs/>
                <w:color w:val="000000" w:themeColor="text1"/>
              </w:rPr>
            </w:pPr>
            <w:r w:rsidRPr="006630E1">
              <w:rPr>
                <w:b/>
                <w:bCs/>
                <w:color w:val="000000" w:themeColor="text1"/>
              </w:rPr>
              <w:t>Three (3) CDD Projects</w:t>
            </w:r>
          </w:p>
        </w:tc>
      </w:tr>
      <w:tr w:rsidR="00F5375B" w:rsidRPr="006630E1" w14:paraId="71BF227B" w14:textId="77777777" w:rsidTr="00271E0F">
        <w:tc>
          <w:tcPr>
            <w:tcW w:w="1368" w:type="dxa"/>
          </w:tcPr>
          <w:p w14:paraId="27EC5BBC" w14:textId="77777777" w:rsidR="00F5375B" w:rsidRPr="006630E1" w:rsidRDefault="00F5375B" w:rsidP="00271E0F">
            <w:pPr>
              <w:contextualSpacing/>
              <w:jc w:val="both"/>
              <w:rPr>
                <w:b/>
                <w:bCs/>
                <w:color w:val="000000" w:themeColor="text1"/>
              </w:rPr>
            </w:pPr>
            <w:r>
              <w:rPr>
                <w:b/>
                <w:bCs/>
                <w:color w:val="000000" w:themeColor="text1"/>
              </w:rPr>
              <w:t>FPUC</w:t>
            </w:r>
          </w:p>
        </w:tc>
        <w:tc>
          <w:tcPr>
            <w:tcW w:w="2430" w:type="dxa"/>
          </w:tcPr>
          <w:p w14:paraId="3187FF68" w14:textId="77777777" w:rsidR="00F5375B" w:rsidRPr="006630E1" w:rsidRDefault="00F5375B" w:rsidP="00271E0F">
            <w:pPr>
              <w:contextualSpacing/>
              <w:jc w:val="center"/>
              <w:rPr>
                <w:color w:val="000000" w:themeColor="text1"/>
              </w:rPr>
            </w:pPr>
            <w:r>
              <w:rPr>
                <w:color w:val="000000" w:themeColor="text1"/>
              </w:rPr>
              <w:t>$75,000</w:t>
            </w:r>
          </w:p>
        </w:tc>
        <w:tc>
          <w:tcPr>
            <w:tcW w:w="2700" w:type="dxa"/>
          </w:tcPr>
          <w:p w14:paraId="495E16E4" w14:textId="77777777" w:rsidR="00F5375B" w:rsidRPr="006630E1" w:rsidRDefault="00F5375B" w:rsidP="00271E0F">
            <w:pPr>
              <w:contextualSpacing/>
              <w:jc w:val="center"/>
              <w:rPr>
                <w:color w:val="000000" w:themeColor="text1"/>
              </w:rPr>
            </w:pPr>
            <w:r>
              <w:rPr>
                <w:color w:val="000000" w:themeColor="text1"/>
              </w:rPr>
              <w:t>$150,000</w:t>
            </w:r>
          </w:p>
        </w:tc>
        <w:tc>
          <w:tcPr>
            <w:tcW w:w="2852" w:type="dxa"/>
          </w:tcPr>
          <w:p w14:paraId="39A10810" w14:textId="77777777" w:rsidR="00F5375B" w:rsidRPr="006630E1" w:rsidRDefault="00F5375B" w:rsidP="00271E0F">
            <w:pPr>
              <w:contextualSpacing/>
              <w:jc w:val="center"/>
              <w:rPr>
                <w:color w:val="000000" w:themeColor="text1"/>
              </w:rPr>
            </w:pPr>
            <w:r>
              <w:rPr>
                <w:color w:val="000000" w:themeColor="text1"/>
              </w:rPr>
              <w:t>$225,000</w:t>
            </w:r>
          </w:p>
        </w:tc>
      </w:tr>
      <w:tr w:rsidR="00F5375B" w:rsidRPr="006630E1" w14:paraId="66B09644" w14:textId="77777777" w:rsidTr="00271E0F">
        <w:tc>
          <w:tcPr>
            <w:tcW w:w="1368" w:type="dxa"/>
          </w:tcPr>
          <w:p w14:paraId="4C9AAC43" w14:textId="77777777" w:rsidR="00F5375B" w:rsidRPr="006630E1" w:rsidRDefault="00F5375B" w:rsidP="00271E0F">
            <w:pPr>
              <w:contextualSpacing/>
              <w:jc w:val="both"/>
              <w:rPr>
                <w:b/>
                <w:bCs/>
                <w:color w:val="000000" w:themeColor="text1"/>
              </w:rPr>
            </w:pPr>
            <w:r w:rsidRPr="006630E1">
              <w:rPr>
                <w:b/>
                <w:bCs/>
                <w:color w:val="000000" w:themeColor="text1"/>
              </w:rPr>
              <w:t>FCG</w:t>
            </w:r>
          </w:p>
        </w:tc>
        <w:tc>
          <w:tcPr>
            <w:tcW w:w="2430" w:type="dxa"/>
          </w:tcPr>
          <w:p w14:paraId="64CF6F9D" w14:textId="77777777" w:rsidR="00F5375B" w:rsidRPr="006630E1" w:rsidRDefault="00F5375B" w:rsidP="00271E0F">
            <w:pPr>
              <w:contextualSpacing/>
              <w:jc w:val="center"/>
              <w:rPr>
                <w:color w:val="000000" w:themeColor="text1"/>
              </w:rPr>
            </w:pPr>
            <w:r>
              <w:rPr>
                <w:color w:val="000000" w:themeColor="text1"/>
              </w:rPr>
              <w:t>$75,000</w:t>
            </w:r>
          </w:p>
        </w:tc>
        <w:tc>
          <w:tcPr>
            <w:tcW w:w="2700" w:type="dxa"/>
          </w:tcPr>
          <w:p w14:paraId="04F9BBBF" w14:textId="77777777" w:rsidR="00F5375B" w:rsidRPr="006630E1" w:rsidRDefault="00F5375B" w:rsidP="00271E0F">
            <w:pPr>
              <w:contextualSpacing/>
              <w:jc w:val="center"/>
              <w:rPr>
                <w:color w:val="000000" w:themeColor="text1"/>
              </w:rPr>
            </w:pPr>
            <w:r>
              <w:rPr>
                <w:color w:val="000000" w:themeColor="text1"/>
              </w:rPr>
              <w:t>$150,000</w:t>
            </w:r>
          </w:p>
        </w:tc>
        <w:tc>
          <w:tcPr>
            <w:tcW w:w="2852" w:type="dxa"/>
          </w:tcPr>
          <w:p w14:paraId="7BA43C77" w14:textId="77777777" w:rsidR="00F5375B" w:rsidRPr="006630E1" w:rsidRDefault="00F5375B" w:rsidP="00271E0F">
            <w:pPr>
              <w:contextualSpacing/>
              <w:jc w:val="center"/>
              <w:rPr>
                <w:color w:val="000000" w:themeColor="text1"/>
              </w:rPr>
            </w:pPr>
            <w:r>
              <w:rPr>
                <w:color w:val="000000" w:themeColor="text1"/>
              </w:rPr>
              <w:t>$225,000</w:t>
            </w:r>
          </w:p>
        </w:tc>
      </w:tr>
      <w:tr w:rsidR="0004577F" w:rsidRPr="006630E1" w14:paraId="779DAA71" w14:textId="77777777" w:rsidTr="00271E0F">
        <w:tc>
          <w:tcPr>
            <w:tcW w:w="1368" w:type="dxa"/>
          </w:tcPr>
          <w:p w14:paraId="1F81A46B" w14:textId="77777777" w:rsidR="0004577F" w:rsidRPr="006630E1" w:rsidRDefault="0004577F" w:rsidP="0004577F">
            <w:pPr>
              <w:contextualSpacing/>
              <w:jc w:val="both"/>
              <w:rPr>
                <w:b/>
                <w:bCs/>
                <w:color w:val="000000" w:themeColor="text1"/>
              </w:rPr>
            </w:pPr>
            <w:r w:rsidRPr="006630E1">
              <w:rPr>
                <w:b/>
                <w:bCs/>
                <w:color w:val="000000" w:themeColor="text1"/>
              </w:rPr>
              <w:t>Sebring</w:t>
            </w:r>
          </w:p>
        </w:tc>
        <w:tc>
          <w:tcPr>
            <w:tcW w:w="2430" w:type="dxa"/>
          </w:tcPr>
          <w:p w14:paraId="4B8D5E0F" w14:textId="77777777" w:rsidR="0004577F" w:rsidRPr="006630E1" w:rsidRDefault="0004577F" w:rsidP="0004577F">
            <w:pPr>
              <w:contextualSpacing/>
              <w:jc w:val="center"/>
              <w:rPr>
                <w:color w:val="000000" w:themeColor="text1"/>
              </w:rPr>
            </w:pPr>
            <w:r>
              <w:rPr>
                <w:color w:val="000000" w:themeColor="text1"/>
              </w:rPr>
              <w:t>$1,000</w:t>
            </w:r>
          </w:p>
        </w:tc>
        <w:tc>
          <w:tcPr>
            <w:tcW w:w="2700" w:type="dxa"/>
          </w:tcPr>
          <w:p w14:paraId="095E4057" w14:textId="77777777" w:rsidR="0004577F" w:rsidRPr="006630E1" w:rsidRDefault="0004577F" w:rsidP="0004577F">
            <w:pPr>
              <w:contextualSpacing/>
              <w:jc w:val="center"/>
              <w:rPr>
                <w:color w:val="000000" w:themeColor="text1"/>
              </w:rPr>
            </w:pPr>
            <w:r>
              <w:rPr>
                <w:color w:val="000000" w:themeColor="text1"/>
              </w:rPr>
              <w:t>$1,000</w:t>
            </w:r>
          </w:p>
        </w:tc>
        <w:tc>
          <w:tcPr>
            <w:tcW w:w="2852" w:type="dxa"/>
          </w:tcPr>
          <w:p w14:paraId="7FD709BE" w14:textId="77777777" w:rsidR="0004577F" w:rsidRPr="006630E1" w:rsidRDefault="0004577F" w:rsidP="0004577F">
            <w:pPr>
              <w:contextualSpacing/>
              <w:jc w:val="center"/>
              <w:rPr>
                <w:color w:val="000000" w:themeColor="text1"/>
              </w:rPr>
            </w:pPr>
            <w:r>
              <w:rPr>
                <w:color w:val="000000" w:themeColor="text1"/>
              </w:rPr>
              <w:t>$1,000</w:t>
            </w:r>
          </w:p>
        </w:tc>
      </w:tr>
      <w:tr w:rsidR="00F5375B" w:rsidRPr="006630E1" w14:paraId="46423B03" w14:textId="77777777" w:rsidTr="00271E0F">
        <w:tc>
          <w:tcPr>
            <w:tcW w:w="1368" w:type="dxa"/>
          </w:tcPr>
          <w:p w14:paraId="76A0AAF5" w14:textId="77777777" w:rsidR="00F5375B" w:rsidRPr="006630E1" w:rsidRDefault="0004577F" w:rsidP="00271E0F">
            <w:pPr>
              <w:contextualSpacing/>
              <w:jc w:val="both"/>
              <w:rPr>
                <w:b/>
                <w:bCs/>
                <w:color w:val="000000" w:themeColor="text1"/>
              </w:rPr>
            </w:pPr>
            <w:r>
              <w:rPr>
                <w:b/>
                <w:bCs/>
                <w:color w:val="000000" w:themeColor="text1"/>
              </w:rPr>
              <w:t>SJNG</w:t>
            </w:r>
          </w:p>
        </w:tc>
        <w:tc>
          <w:tcPr>
            <w:tcW w:w="2430" w:type="dxa"/>
          </w:tcPr>
          <w:p w14:paraId="0CCB673A" w14:textId="77777777" w:rsidR="00F5375B" w:rsidRPr="006630E1" w:rsidRDefault="00F5375B" w:rsidP="00271E0F">
            <w:pPr>
              <w:contextualSpacing/>
              <w:jc w:val="center"/>
              <w:rPr>
                <w:color w:val="000000" w:themeColor="text1"/>
              </w:rPr>
            </w:pPr>
            <w:r>
              <w:rPr>
                <w:color w:val="000000" w:themeColor="text1"/>
              </w:rPr>
              <w:t>$1,000</w:t>
            </w:r>
          </w:p>
        </w:tc>
        <w:tc>
          <w:tcPr>
            <w:tcW w:w="2700" w:type="dxa"/>
          </w:tcPr>
          <w:p w14:paraId="7243D709" w14:textId="77777777" w:rsidR="00F5375B" w:rsidRPr="006630E1" w:rsidRDefault="00F5375B" w:rsidP="00271E0F">
            <w:pPr>
              <w:contextualSpacing/>
              <w:jc w:val="center"/>
              <w:rPr>
                <w:color w:val="000000" w:themeColor="text1"/>
              </w:rPr>
            </w:pPr>
            <w:r>
              <w:rPr>
                <w:color w:val="000000" w:themeColor="text1"/>
              </w:rPr>
              <w:t>$1,000</w:t>
            </w:r>
          </w:p>
        </w:tc>
        <w:tc>
          <w:tcPr>
            <w:tcW w:w="2852" w:type="dxa"/>
          </w:tcPr>
          <w:p w14:paraId="2F9D729A" w14:textId="77777777" w:rsidR="00F5375B" w:rsidRPr="006630E1" w:rsidRDefault="00F5375B" w:rsidP="00271E0F">
            <w:pPr>
              <w:contextualSpacing/>
              <w:jc w:val="center"/>
              <w:rPr>
                <w:color w:val="000000" w:themeColor="text1"/>
              </w:rPr>
            </w:pPr>
            <w:r>
              <w:rPr>
                <w:color w:val="000000" w:themeColor="text1"/>
              </w:rPr>
              <w:t>$1,000</w:t>
            </w:r>
          </w:p>
        </w:tc>
      </w:tr>
    </w:tbl>
    <w:p w14:paraId="75DEBD59" w14:textId="77777777" w:rsidR="00AD0289" w:rsidRDefault="00AD0289" w:rsidP="00DB2063">
      <w:pPr>
        <w:jc w:val="both"/>
      </w:pPr>
    </w:p>
    <w:p w14:paraId="7D1308AC" w14:textId="42F3018C" w:rsidR="00DB2063" w:rsidRDefault="00D531C5" w:rsidP="00DB2063">
      <w:pPr>
        <w:jc w:val="both"/>
      </w:pPr>
      <w:r>
        <w:t xml:space="preserve">In addition, AGDF corrected a cost allocation error </w:t>
      </w:r>
      <w:r w:rsidR="002B7DC8">
        <w:t xml:space="preserve">to the residential rate impacts </w:t>
      </w:r>
      <w:r>
        <w:t>appearing in its petition</w:t>
      </w:r>
      <w:r w:rsidR="002B7DC8">
        <w:t>, in which all costs were assigned to the residential class</w:t>
      </w:r>
      <w:r>
        <w:t xml:space="preserve">. </w:t>
      </w:r>
      <w:r w:rsidR="00DB2063">
        <w:t xml:space="preserve">With the </w:t>
      </w:r>
      <w:r w:rsidR="002B7DC8">
        <w:t xml:space="preserve">cost </w:t>
      </w:r>
      <w:r w:rsidR="00DB2063">
        <w:t xml:space="preserve">allocation corrected and </w:t>
      </w:r>
      <w:r w:rsidR="002B7DC8">
        <w:t xml:space="preserve">with an </w:t>
      </w:r>
      <w:r>
        <w:t>annual spending l</w:t>
      </w:r>
      <w:r w:rsidR="00DB2063">
        <w:t xml:space="preserve">imit of $1,000 </w:t>
      </w:r>
      <w:r>
        <w:t>for Sebring and SJNG</w:t>
      </w:r>
      <w:r w:rsidR="00DB2063">
        <w:t>, the proposed incremental rate impact</w:t>
      </w:r>
      <w:r w:rsidR="00281E34">
        <w:t>s</w:t>
      </w:r>
      <w:r w:rsidR="00DB2063">
        <w:t xml:space="preserve"> </w:t>
      </w:r>
      <w:r w:rsidR="00260FDB">
        <w:t xml:space="preserve">have been </w:t>
      </w:r>
      <w:r w:rsidR="00610A8A">
        <w:t xml:space="preserve">substantially </w:t>
      </w:r>
      <w:r w:rsidR="00260FDB">
        <w:t xml:space="preserve">moderated. The percent increase in </w:t>
      </w:r>
      <w:r w:rsidR="00DB2063">
        <w:t>for Sebring</w:t>
      </w:r>
      <w:r w:rsidR="00610A8A">
        <w:t>’s</w:t>
      </w:r>
      <w:r w:rsidR="00260FDB">
        <w:t xml:space="preserve"> residential rate under the new limit would be </w:t>
      </w:r>
      <w:r w:rsidR="00DB2063">
        <w:t xml:space="preserve">about 2.5 percent for </w:t>
      </w:r>
      <w:r w:rsidR="00260FDB">
        <w:t xml:space="preserve">up to </w:t>
      </w:r>
      <w:r w:rsidR="00DB2063">
        <w:t xml:space="preserve">three CDD projects, while the </w:t>
      </w:r>
      <w:r w:rsidR="00260FDB">
        <w:t xml:space="preserve">percent increase </w:t>
      </w:r>
      <w:r w:rsidR="00DB2063">
        <w:t xml:space="preserve">for SJNG </w:t>
      </w:r>
      <w:r w:rsidR="00260FDB">
        <w:t xml:space="preserve">residential rate would be </w:t>
      </w:r>
      <w:r w:rsidR="00DB2063">
        <w:t>under 1 percent</w:t>
      </w:r>
      <w:r w:rsidR="00610A8A">
        <w:t xml:space="preserve"> for up to three projects</w:t>
      </w:r>
      <w:r w:rsidR="00DB2063">
        <w:t xml:space="preserve">. </w:t>
      </w:r>
      <w:r w:rsidR="00610A8A">
        <w:t xml:space="preserve">With these revisions, staff agrees that the new spending limits for each of the member utilities are reasonable. </w:t>
      </w:r>
      <w:r w:rsidR="00A75365">
        <w:t>Table 1-2 below shows the rate impacts with the allocation correctly applied</w:t>
      </w:r>
      <w:r w:rsidR="0004577F">
        <w:t xml:space="preserve"> and with the $1,000 limits in place for Sebring</w:t>
      </w:r>
      <w:r w:rsidR="00260FDB">
        <w:t xml:space="preserve"> and SJNG</w:t>
      </w:r>
      <w:r w:rsidR="00A75365">
        <w:t>:</w:t>
      </w:r>
    </w:p>
    <w:p w14:paraId="5E40ACBD" w14:textId="05237383" w:rsidR="00A75365" w:rsidRDefault="00A75365" w:rsidP="00A75365">
      <w:pPr>
        <w:contextualSpacing/>
        <w:jc w:val="both"/>
      </w:pPr>
    </w:p>
    <w:p w14:paraId="722FAB0B" w14:textId="77777777" w:rsidR="00A75365" w:rsidRPr="00AE0A54" w:rsidRDefault="00A75365" w:rsidP="00A75365">
      <w:pPr>
        <w:jc w:val="center"/>
        <w:rPr>
          <w:rFonts w:ascii="Arial" w:hAnsi="Arial" w:cs="Arial"/>
          <w:b/>
        </w:rPr>
      </w:pPr>
      <w:r>
        <w:rPr>
          <w:rFonts w:ascii="Arial" w:hAnsi="Arial" w:cs="Arial"/>
          <w:b/>
        </w:rPr>
        <w:t>Table 1-2</w:t>
      </w:r>
    </w:p>
    <w:p w14:paraId="29C1C3C7" w14:textId="77777777" w:rsidR="00A75365" w:rsidRPr="00AE0A54" w:rsidRDefault="00940EC7" w:rsidP="00A75365">
      <w:pPr>
        <w:jc w:val="center"/>
        <w:rPr>
          <w:rFonts w:ascii="Arial" w:hAnsi="Arial" w:cs="Arial"/>
          <w:b/>
        </w:rPr>
      </w:pPr>
      <w:r>
        <w:rPr>
          <w:rFonts w:ascii="Arial" w:hAnsi="Arial" w:cs="Arial"/>
          <w:b/>
        </w:rPr>
        <w:t>Updated</w:t>
      </w:r>
      <w:r w:rsidR="00A75365" w:rsidRPr="00AE0A54">
        <w:rPr>
          <w:rFonts w:ascii="Arial" w:hAnsi="Arial" w:cs="Arial"/>
          <w:b/>
        </w:rPr>
        <w:t xml:space="preserve"> Proposed C</w:t>
      </w:r>
      <w:r w:rsidR="00A75365">
        <w:rPr>
          <w:rFonts w:ascii="Arial" w:hAnsi="Arial" w:cs="Arial"/>
          <w:b/>
        </w:rPr>
        <w:t>ost Recovery Impacts for C</w:t>
      </w:r>
      <w:r w:rsidR="00A75365" w:rsidRPr="00AE0A54">
        <w:rPr>
          <w:rFonts w:ascii="Arial" w:hAnsi="Arial" w:cs="Arial"/>
          <w:b/>
        </w:rPr>
        <w:t>DD Program</w:t>
      </w:r>
      <w:r w:rsidR="00A75365">
        <w:rPr>
          <w:rFonts w:ascii="Arial" w:hAnsi="Arial" w:cs="Arial"/>
          <w:b/>
        </w:rPr>
        <w:t>s</w:t>
      </w:r>
    </w:p>
    <w:p w14:paraId="632A7461" w14:textId="03AEF769" w:rsidR="007964D9" w:rsidRDefault="007964D9" w:rsidP="007964D9">
      <w:pPr>
        <w:contextualSpacing/>
        <w:jc w:val="center"/>
        <w:rPr>
          <w:b/>
        </w:rPr>
      </w:pPr>
      <w:r w:rsidRPr="007964D9">
        <w:rPr>
          <w:noProof/>
        </w:rPr>
        <w:drawing>
          <wp:inline distT="0" distB="0" distL="0" distR="0" wp14:anchorId="07723242" wp14:editId="594EC8BE">
            <wp:extent cx="5943600" cy="3247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247117"/>
                    </a:xfrm>
                    <a:prstGeom prst="rect">
                      <a:avLst/>
                    </a:prstGeom>
                    <a:noFill/>
                    <a:ln>
                      <a:noFill/>
                    </a:ln>
                  </pic:spPr>
                </pic:pic>
              </a:graphicData>
            </a:graphic>
          </wp:inline>
        </w:drawing>
      </w:r>
    </w:p>
    <w:p w14:paraId="6030D422" w14:textId="3350C980" w:rsidR="007964D9" w:rsidRPr="007964D9" w:rsidRDefault="007964D9" w:rsidP="00A75365">
      <w:pPr>
        <w:contextualSpacing/>
        <w:jc w:val="both"/>
      </w:pPr>
      <w:r>
        <w:t>All Clause factors shown in Table 1-2 are cents per therm.</w:t>
      </w:r>
    </w:p>
    <w:p w14:paraId="3A3153B2" w14:textId="77777777" w:rsidR="007964D9" w:rsidRDefault="007964D9" w:rsidP="00A75365">
      <w:pPr>
        <w:contextualSpacing/>
        <w:jc w:val="both"/>
        <w:rPr>
          <w:b/>
        </w:rPr>
      </w:pPr>
    </w:p>
    <w:p w14:paraId="3764F9BF" w14:textId="77777777" w:rsidR="00054FA9" w:rsidRPr="008B1CBD" w:rsidRDefault="00054FA9" w:rsidP="00054FA9">
      <w:pPr>
        <w:ind w:firstLine="720"/>
        <w:jc w:val="both"/>
        <w:rPr>
          <w:rFonts w:ascii="Arial" w:hAnsi="Arial" w:cs="Arial"/>
          <w:b/>
          <w:i/>
        </w:rPr>
      </w:pPr>
      <w:r w:rsidRPr="008B1CBD">
        <w:rPr>
          <w:rFonts w:ascii="Arial" w:hAnsi="Arial" w:cs="Arial"/>
          <w:b/>
          <w:i/>
        </w:rPr>
        <w:t>Program Approvals by Category</w:t>
      </w:r>
    </w:p>
    <w:p w14:paraId="08C69DA7" w14:textId="5503AE88" w:rsidR="005D1462" w:rsidRDefault="005D1462" w:rsidP="005D1462">
      <w:pPr>
        <w:jc w:val="both"/>
      </w:pPr>
      <w:r>
        <w:t>AGDF states that its three categories for CDD projects (i.e. efficiency, resiliency, and renewable) showcase the range of potential research projects that could be undertaken. AGDF asserts that the objective for the effi</w:t>
      </w:r>
      <w:r w:rsidRPr="00DA1032">
        <w:t>c</w:t>
      </w:r>
      <w:r>
        <w:t xml:space="preserve">iency category will be for studying technologies that improve the efficiency of appliances and gas end-use equipment. Research for the resiliency category is aimed at increasing a building’s resiliency by studying gas-fired back-up electric generating and/or combined heat-and-power systems and technologies that may be developed for residential or commercial applications. Research under the renewable category seeks to evaluate technologies and opportunities for the cost-effective use of renewable natural gas in place of, or in combination with, traditionally-sources gas in order to achieve greater efficiency and/or to reduce overall methane emissions.   </w:t>
      </w:r>
    </w:p>
    <w:p w14:paraId="4347D38E" w14:textId="77777777" w:rsidR="005D1462" w:rsidRDefault="005D1462" w:rsidP="005D1462">
      <w:pPr>
        <w:jc w:val="both"/>
      </w:pPr>
    </w:p>
    <w:p w14:paraId="469ABA87" w14:textId="20A05E21" w:rsidR="005D1462" w:rsidRDefault="005D1462" w:rsidP="005D1462">
      <w:pPr>
        <w:jc w:val="both"/>
      </w:pPr>
      <w:r>
        <w:t>Despite the framework presented in AGDF’s petition, staff is concerned that no specific project proposal for any category was provided. Via data requests, staff sought detailed and descriptive information on projects to be pursued under these categories, and none were provided.</w:t>
      </w:r>
      <w:r>
        <w:rPr>
          <w:rStyle w:val="FootnoteReference"/>
        </w:rPr>
        <w:footnoteReference w:id="16"/>
      </w:r>
      <w:r>
        <w:t xml:space="preserve"> AGDF stated that it sought program approvals first (before project details were developed or available) because its member companies “require the program account[s] to allocate costs associated with prioritizing CDD projects and soliciting research proposals.”</w:t>
      </w:r>
      <w:r>
        <w:rPr>
          <w:rStyle w:val="FootnoteReference"/>
        </w:rPr>
        <w:footnoteReference w:id="17"/>
      </w:r>
      <w:r>
        <w:t xml:space="preserve"> </w:t>
      </w:r>
    </w:p>
    <w:p w14:paraId="2C75159D" w14:textId="77777777" w:rsidR="005D1462" w:rsidRDefault="005D1462" w:rsidP="005D1462">
      <w:pPr>
        <w:jc w:val="both"/>
      </w:pPr>
    </w:p>
    <w:p w14:paraId="1C268315" w14:textId="055CF268" w:rsidR="00ED2783" w:rsidRDefault="005D1462" w:rsidP="005D1462">
      <w:pPr>
        <w:jc w:val="both"/>
      </w:pPr>
      <w:r>
        <w:t>Also, staff is uncertain whether projects under the resiliency or the renewable categories could rightfully be described as conservation. In the April 18, 2024 letter, AGDF stated that any potential technology or program studied in the resiliency category would be subject to the data inputs outlined in the cost-effectiveness tests of other conservation programs.</w:t>
      </w:r>
      <w:r>
        <w:rPr>
          <w:rStyle w:val="FootnoteReference"/>
        </w:rPr>
        <w:footnoteReference w:id="18"/>
      </w:r>
      <w:r>
        <w:t xml:space="preserve"> Staff has concerns that projects under the resiliency and renewable categories could result in load building without a demonstration that such research is designed to result in conservation. In accordance with Sections 366.81 and 366.82, F.S., staff believes the focus of all CDD projects undertaken by member utilities must be increasing energy efficiency and/or conservation via advances in technologies and/or their implementation in utility gas distribution systems, end-use gas equipment, or demand side renewable energy systems. All proposed projects for any category must comply with the FEECA Statutes as relates to conservation in order to qualify for cost recovery. Staff believes that, if AGDF is uncertain whether a planned CDD project meets the statutory requirements, it should seek affirmation of the acceptability of the project from the Commission before engaging in such a project and seeking related cost recovery.</w:t>
      </w:r>
    </w:p>
    <w:p w14:paraId="0C7F8D55" w14:textId="77777777" w:rsidR="00ED2783" w:rsidRDefault="00ED2783" w:rsidP="00054FA9">
      <w:pPr>
        <w:jc w:val="both"/>
      </w:pPr>
    </w:p>
    <w:p w14:paraId="4C61CBA6" w14:textId="77777777" w:rsidR="00054FA9" w:rsidRPr="008B1CBD" w:rsidRDefault="00054FA9" w:rsidP="00054FA9">
      <w:pPr>
        <w:ind w:firstLine="720"/>
        <w:jc w:val="both"/>
        <w:rPr>
          <w:rFonts w:ascii="Arial" w:hAnsi="Arial" w:cs="Arial"/>
          <w:b/>
          <w:i/>
        </w:rPr>
      </w:pPr>
      <w:r w:rsidRPr="008B1CBD">
        <w:rPr>
          <w:rFonts w:ascii="Arial" w:hAnsi="Arial" w:cs="Arial"/>
          <w:b/>
          <w:i/>
        </w:rPr>
        <w:t>Reporting Requirements</w:t>
      </w:r>
    </w:p>
    <w:p w14:paraId="5ECE7F83" w14:textId="32342F2B" w:rsidR="00054FA9" w:rsidRDefault="002E133D" w:rsidP="00054FA9">
      <w:pPr>
        <w:jc w:val="both"/>
      </w:pPr>
      <w:r>
        <w:t xml:space="preserve">In </w:t>
      </w:r>
      <w:r w:rsidR="00572B84">
        <w:t xml:space="preserve">light of the concerns that staff has regarding the cost and rate impacts and program categories, staff recommends reporting requirements be included in the order approving the program. In </w:t>
      </w:r>
      <w:r>
        <w:t xml:space="preserve">as much as the proposed </w:t>
      </w:r>
      <w:r w:rsidR="00687B49">
        <w:t xml:space="preserve">CDD program </w:t>
      </w:r>
      <w:r>
        <w:t xml:space="preserve">represents a new program </w:t>
      </w:r>
      <w:r w:rsidR="00687B49">
        <w:t>for the</w:t>
      </w:r>
      <w:r>
        <w:t xml:space="preserve"> AGDF member </w:t>
      </w:r>
      <w:r w:rsidR="00687B49">
        <w:t>utilities</w:t>
      </w:r>
      <w:r>
        <w:t xml:space="preserve"> included in the instant petition</w:t>
      </w:r>
      <w:r w:rsidR="00687B49">
        <w:t xml:space="preserve">, staff believes the Commission would benefit from </w:t>
      </w:r>
      <w:r w:rsidR="00846DED">
        <w:t>relevant</w:t>
      </w:r>
      <w:r>
        <w:t xml:space="preserve"> program implementation and results </w:t>
      </w:r>
      <w:r w:rsidR="00687B49">
        <w:t xml:space="preserve">information </w:t>
      </w:r>
      <w:r>
        <w:t xml:space="preserve">from AGDF </w:t>
      </w:r>
      <w:r w:rsidR="00687B49">
        <w:t>provide</w:t>
      </w:r>
      <w:r>
        <w:t>d</w:t>
      </w:r>
      <w:r w:rsidR="00687B49">
        <w:t xml:space="preserve"> subject to a reporting requirement. </w:t>
      </w:r>
      <w:r w:rsidR="000A3F92">
        <w:t xml:space="preserve">As referenced earlier, the </w:t>
      </w:r>
      <w:r w:rsidR="000A3F92" w:rsidRPr="004B7931">
        <w:t>AGDF Extension Order</w:t>
      </w:r>
      <w:r w:rsidR="000A3F92">
        <w:t xml:space="preserve"> included a reporting requirement,</w:t>
      </w:r>
      <w:r w:rsidR="000A3F92">
        <w:rPr>
          <w:rStyle w:val="FootnoteReference"/>
        </w:rPr>
        <w:footnoteReference w:id="19"/>
      </w:r>
      <w:r w:rsidR="000A3F92">
        <w:t xml:space="preserve"> and staff believes a similar provision should be applied to the instant case. </w:t>
      </w:r>
      <w:r w:rsidR="00687B49">
        <w:t xml:space="preserve">Within 6 months following the conclusion of the 5-year term of the CDD program, or concurrent with a request for CDD program extension, staff believes AGDF should be compelled to file a CDD program status report with the Commission, detailing the successes and limitations of each CDD project and the CDD program in general. </w:t>
      </w:r>
      <w:r w:rsidR="00AA40A3">
        <w:t>Staff believes t</w:t>
      </w:r>
      <w:r w:rsidR="00687B49">
        <w:t xml:space="preserve">he </w:t>
      </w:r>
      <w:r w:rsidR="000A3F92">
        <w:t xml:space="preserve">program status </w:t>
      </w:r>
      <w:r w:rsidR="00687B49">
        <w:t xml:space="preserve">report </w:t>
      </w:r>
      <w:r w:rsidR="00AA40A3">
        <w:t>should</w:t>
      </w:r>
      <w:r w:rsidR="00687B49">
        <w:t xml:space="preserve"> clearly delineate what AGDF’s research findings have been, impacts on cost effectiveness, and how the utilities have effectively implemented such findings in new and/or existing DSM programs.</w:t>
      </w:r>
      <w:r w:rsidR="00687B49" w:rsidRPr="00D6176C">
        <w:t xml:space="preserve"> </w:t>
      </w:r>
      <w:r w:rsidR="00054FA9">
        <w:t xml:space="preserve"> </w:t>
      </w:r>
    </w:p>
    <w:p w14:paraId="49C638A9" w14:textId="77777777" w:rsidR="00234598" w:rsidRDefault="00234598" w:rsidP="00234598">
      <w:pPr>
        <w:pStyle w:val="IssueSubsectionHeading"/>
        <w:spacing w:after="0"/>
        <w:rPr>
          <w:i w:val="0"/>
        </w:rPr>
      </w:pPr>
    </w:p>
    <w:p w14:paraId="6E5E24A1" w14:textId="3452063E" w:rsidR="00E14ED5" w:rsidRPr="00E14ED5" w:rsidRDefault="005D2649" w:rsidP="00234598">
      <w:pPr>
        <w:pStyle w:val="IssueSubsectionHeading"/>
        <w:spacing w:after="0"/>
        <w:rPr>
          <w:i w:val="0"/>
          <w:vanish/>
          <w:specVanish/>
        </w:rPr>
      </w:pPr>
      <w:r>
        <w:rPr>
          <w:i w:val="0"/>
        </w:rPr>
        <w:t>Conclusion</w:t>
      </w:r>
      <w:r w:rsidR="00E14ED5" w:rsidRPr="00E14ED5">
        <w:rPr>
          <w:i w:val="0"/>
        </w:rPr>
        <w:t> </w:t>
      </w:r>
    </w:p>
    <w:p w14:paraId="2CB0228F" w14:textId="77777777" w:rsidR="00E14ED5" w:rsidRDefault="00E14ED5" w:rsidP="00E14ED5">
      <w:pPr>
        <w:contextualSpacing/>
        <w:jc w:val="both"/>
        <w:rPr>
          <w:b/>
        </w:rPr>
      </w:pPr>
      <w:r w:rsidRPr="00E14ED5">
        <w:rPr>
          <w:b/>
        </w:rPr>
        <w:t> </w:t>
      </w:r>
    </w:p>
    <w:p w14:paraId="057750A0" w14:textId="5067B819" w:rsidR="00234598" w:rsidRDefault="00E14ED5" w:rsidP="00234598">
      <w:pPr>
        <w:pStyle w:val="BodyText"/>
      </w:pPr>
      <w:r>
        <w:t xml:space="preserve">Staff </w:t>
      </w:r>
      <w:r w:rsidR="00234598">
        <w:t>rec</w:t>
      </w:r>
      <w:r w:rsidR="00234598" w:rsidRPr="00E14ED5">
        <w:t>o</w:t>
      </w:r>
      <w:r w:rsidR="00234598">
        <w:t xml:space="preserve">mmends the Commission approve AGDF’s petition, subject to modified conditions agreed to by AGDF, allowing for a CDD program for FCG, FPUC, Sebring, and SJNG. Such modified conditions include: </w:t>
      </w:r>
    </w:p>
    <w:p w14:paraId="4D5CAE64" w14:textId="77777777" w:rsidR="00234598" w:rsidRDefault="00234598" w:rsidP="00234598">
      <w:pPr>
        <w:pStyle w:val="BodyText"/>
      </w:pPr>
      <w:r>
        <w:t xml:space="preserve">1. The program is limited to five years, and may be extended beyond the initial term, if requested by AGDF at least six months prior to the end of the five-year period; </w:t>
      </w:r>
    </w:p>
    <w:p w14:paraId="779B08DE" w14:textId="77777777" w:rsidR="00234598" w:rsidRDefault="00234598" w:rsidP="00234598">
      <w:pPr>
        <w:pStyle w:val="BodyText"/>
      </w:pPr>
      <w:r>
        <w:t xml:space="preserve">2. FCG and FPUC may participate in as many as three qualified research projects in any calendar year, with expenditures limited to $75,000 per project per year; Sebring and SJNG may likewise participate in as many projects limited to $1,000 per year limit (total, all projects); </w:t>
      </w:r>
    </w:p>
    <w:p w14:paraId="11B024FD" w14:textId="77777777" w:rsidR="00234598" w:rsidRDefault="00234598" w:rsidP="00234598">
      <w:pPr>
        <w:pStyle w:val="BodyText"/>
      </w:pPr>
      <w:r>
        <w:t>3.</w:t>
      </w:r>
      <w:r w:rsidRPr="00FB1AE5">
        <w:t xml:space="preserve"> </w:t>
      </w:r>
      <w:r>
        <w:t>Any single CDD program project must meet the following minimum eligibility requirements: (a) the proposed measure or program must have an affect on rate-paying customers; (b) there is a lack of available research or insufficient data on the proposed measure or program being evaluated; and (c) there is insufficient Florida-specific data on the proposed program or measure.</w:t>
      </w:r>
    </w:p>
    <w:p w14:paraId="2D87A699" w14:textId="77777777" w:rsidR="00234598" w:rsidRDefault="00234598" w:rsidP="00234598">
      <w:pPr>
        <w:pStyle w:val="BodyText"/>
      </w:pPr>
      <w:r>
        <w:t>In addition, staff recommends that AGDF comply with the following additional provisions:</w:t>
      </w:r>
    </w:p>
    <w:p w14:paraId="480F0742" w14:textId="77777777" w:rsidR="00234598" w:rsidRDefault="00234598" w:rsidP="00234598">
      <w:pPr>
        <w:pStyle w:val="BodyText"/>
      </w:pPr>
      <w:r>
        <w:t xml:space="preserve">4. AGDF members must not undertake commercial/industrial class CDD research projects/technologies to the exclusion of residential CDD projects/technologies during the five year period, and should take actions to strike a reasonable balance between the two types of CDD projects; </w:t>
      </w:r>
    </w:p>
    <w:p w14:paraId="03965A5A" w14:textId="77777777" w:rsidR="00234598" w:rsidRDefault="00234598" w:rsidP="00234598">
      <w:pPr>
        <w:pStyle w:val="BodyText"/>
      </w:pPr>
      <w:r>
        <w:t xml:space="preserve">5. Within 6 months following the conclusion of the 5-year term of the CDD program, or concurrent with a request for CDD program extension, AGDF must file a CDD program status report with the Commission, detailing AGDF’s research findings, impacts on cost effectiveness, and how the utilities plan to or have effectively implemented such findings in new and/or existing DSM programs.  </w:t>
      </w:r>
    </w:p>
    <w:p w14:paraId="5856936C" w14:textId="3A14ED56" w:rsidR="00E14ED5" w:rsidRPr="00E14ED5" w:rsidRDefault="00234598" w:rsidP="00234598">
      <w:pPr>
        <w:pStyle w:val="BodyText"/>
      </w:pPr>
      <w:r>
        <w:t>6. In accordance with Sections 366.81 and 366.82, F.S., the focus of all CDD projects undertaken by member utilities must be increasing energy efficiency and/or conservation via advances in technologies and/or their implementation in utility gas distribution systems, end-use gas equipment, or demand side renewable energy systems.</w:t>
      </w:r>
    </w:p>
    <w:p w14:paraId="0C627E2A" w14:textId="73D98DB9" w:rsidR="008C1FB8" w:rsidRDefault="008C1FB8">
      <w:pPr>
        <w:pStyle w:val="IssueHeading"/>
        <w:rPr>
          <w:vanish/>
          <w:specVanish/>
        </w:rPr>
      </w:pPr>
      <w:r w:rsidRPr="004C3641">
        <w:rPr>
          <w:b w:val="0"/>
          <w:i w:val="0"/>
        </w:rPr>
        <w:br w:type="page"/>
      </w:r>
      <w:r w:rsidRPr="004C3641">
        <w:t xml:space="preserve">Issue </w:t>
      </w:r>
      <w:r w:rsidR="006C2F8F">
        <w:fldChar w:fldCharType="begin"/>
      </w:r>
      <w:r w:rsidR="006C2F8F">
        <w:instrText xml:space="preserve"> SEQ Issue \* MERGEFORMAT </w:instrText>
      </w:r>
      <w:r w:rsidR="006C2F8F">
        <w:fldChar w:fldCharType="separate"/>
      </w:r>
      <w:r w:rsidR="00B9241B">
        <w:rPr>
          <w:noProof/>
        </w:rPr>
        <w:t>2</w:t>
      </w:r>
      <w:r w:rsidR="006C2F8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9241B">
        <w:rPr>
          <w:noProof/>
        </w:rPr>
        <w:instrText>2</w:instrText>
      </w:r>
      <w:r>
        <w:fldChar w:fldCharType="end"/>
      </w:r>
      <w:r>
        <w:tab/>
        <w:instrText xml:space="preserve">" \l 1 </w:instrText>
      </w:r>
      <w:r>
        <w:fldChar w:fldCharType="end"/>
      </w:r>
      <w:r>
        <w:t> </w:t>
      </w:r>
    </w:p>
    <w:p w14:paraId="398EC243" w14:textId="77777777" w:rsidR="008C1FB8" w:rsidRDefault="008C1FB8">
      <w:pPr>
        <w:pStyle w:val="BodyText"/>
      </w:pPr>
      <w:r>
        <w:t> Should this docket be closed?</w:t>
      </w:r>
    </w:p>
    <w:p w14:paraId="34BF563D" w14:textId="77777777" w:rsidR="008C1FB8" w:rsidRPr="004C3641" w:rsidRDefault="008C1FB8">
      <w:pPr>
        <w:pStyle w:val="IssueSubsectionHeading"/>
        <w:rPr>
          <w:vanish/>
          <w:specVanish/>
        </w:rPr>
      </w:pPr>
      <w:r w:rsidRPr="004C3641">
        <w:t>Recommendation: </w:t>
      </w:r>
    </w:p>
    <w:p w14:paraId="2B5C2A18" w14:textId="77777777" w:rsidR="008C1FB8" w:rsidRDefault="008C1FB8">
      <w:pPr>
        <w:pStyle w:val="BodyText"/>
      </w:pPr>
      <w:r>
        <w:t> </w:t>
      </w:r>
      <w:r w:rsidR="00793062">
        <w:t>I</w:t>
      </w:r>
      <w:r>
        <w:t>f I</w:t>
      </w:r>
      <w:r w:rsidR="00793062">
        <w:t>ssue 1 is approved, and no protest is filed within 21 days of</w:t>
      </w:r>
      <w:r>
        <w:t xml:space="preserve"> </w:t>
      </w:r>
      <w:r w:rsidR="00793062">
        <w:t xml:space="preserve">the issuance of the </w:t>
      </w:r>
      <w:r w:rsidR="00D75A1E">
        <w:t>o</w:t>
      </w:r>
      <w:r w:rsidR="00793062">
        <w:t xml:space="preserve">rder, a </w:t>
      </w:r>
      <w:r w:rsidR="00D75A1E">
        <w:t>c</w:t>
      </w:r>
      <w:r w:rsidR="00793062">
        <w:t xml:space="preserve">onsummating </w:t>
      </w:r>
      <w:r w:rsidR="00D75A1E">
        <w:t>o</w:t>
      </w:r>
      <w:r w:rsidR="00793062">
        <w:t>rder should be issued and the docket should be closed. (Imig)</w:t>
      </w:r>
    </w:p>
    <w:p w14:paraId="09C79C96" w14:textId="77777777" w:rsidR="008C1FB8" w:rsidRPr="004C3641" w:rsidRDefault="008C1FB8">
      <w:pPr>
        <w:pStyle w:val="IssueSubsectionHeading"/>
        <w:rPr>
          <w:vanish/>
          <w:specVanish/>
        </w:rPr>
      </w:pPr>
      <w:r w:rsidRPr="004C3641">
        <w:t>Staff Analysis: </w:t>
      </w:r>
    </w:p>
    <w:p w14:paraId="49CECD01" w14:textId="77777777" w:rsidR="008C1FB8" w:rsidRDefault="008C1FB8">
      <w:pPr>
        <w:pStyle w:val="BodyText"/>
      </w:pPr>
      <w:r>
        <w:t> </w:t>
      </w:r>
      <w:r w:rsidR="00793062">
        <w:t xml:space="preserve">If Issue 1 is approved, and no protest is filed within 21 days of the issuance of the </w:t>
      </w:r>
      <w:r w:rsidR="00D75A1E">
        <w:t>o</w:t>
      </w:r>
      <w:r w:rsidR="00793062">
        <w:t xml:space="preserve">rder, a </w:t>
      </w:r>
      <w:r w:rsidR="00D75A1E">
        <w:t>c</w:t>
      </w:r>
      <w:r w:rsidR="00793062">
        <w:t xml:space="preserve">onsummating </w:t>
      </w:r>
      <w:r w:rsidR="00D75A1E">
        <w:t>o</w:t>
      </w:r>
      <w:r w:rsidR="00793062">
        <w:t>rder should be issued and the docket should be closed.</w:t>
      </w:r>
    </w:p>
    <w:p w14:paraId="1D9B8724" w14:textId="77777777"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0CA02" w14:textId="77777777" w:rsidR="00167077" w:rsidRDefault="00167077">
      <w:r>
        <w:separator/>
      </w:r>
    </w:p>
  </w:endnote>
  <w:endnote w:type="continuationSeparator" w:id="0">
    <w:p w14:paraId="6BF51A92" w14:textId="77777777" w:rsidR="00167077" w:rsidRDefault="0016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3AF2" w14:textId="74CC4081" w:rsidR="0050115A" w:rsidRDefault="0050115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B7347">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59A4C" w14:textId="77777777" w:rsidR="0050115A" w:rsidRDefault="0050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CA290" w14:textId="77777777" w:rsidR="00167077" w:rsidRDefault="00167077">
      <w:r>
        <w:separator/>
      </w:r>
    </w:p>
  </w:footnote>
  <w:footnote w:type="continuationSeparator" w:id="0">
    <w:p w14:paraId="1B95D5DF" w14:textId="77777777" w:rsidR="00167077" w:rsidRDefault="00167077">
      <w:r>
        <w:continuationSeparator/>
      </w:r>
    </w:p>
  </w:footnote>
  <w:footnote w:id="1">
    <w:p w14:paraId="0714E068" w14:textId="60DD6B41" w:rsidR="0050115A" w:rsidRDefault="0050115A">
      <w:pPr>
        <w:pStyle w:val="FootnoteText"/>
      </w:pPr>
      <w:r>
        <w:rPr>
          <w:rStyle w:val="FootnoteReference"/>
        </w:rPr>
        <w:footnoteRef/>
      </w:r>
      <w:r>
        <w:t xml:space="preserve"> </w:t>
      </w:r>
      <w:r w:rsidRPr="00C0417B">
        <w:rPr>
          <w:spacing w:val="-1"/>
        </w:rPr>
        <w:t xml:space="preserve">Order No. PSC-2010-0113-PAA-EG, issued February 25, </w:t>
      </w:r>
      <w:r>
        <w:rPr>
          <w:spacing w:val="-1"/>
        </w:rPr>
        <w:t>2010, in Docket No. 090122-</w:t>
      </w:r>
      <w:r w:rsidRPr="00C0417B">
        <w:rPr>
          <w:spacing w:val="-1"/>
        </w:rPr>
        <w:t>EG,</w:t>
      </w:r>
      <w:r>
        <w:rPr>
          <w:spacing w:val="-1"/>
        </w:rPr>
        <w:t xml:space="preserve"> </w:t>
      </w:r>
      <w:r w:rsidRPr="00480533">
        <w:rPr>
          <w:i/>
          <w:spacing w:val="-1"/>
        </w:rPr>
        <w:t>In re: Petition</w:t>
      </w:r>
      <w:r>
        <w:rPr>
          <w:i/>
          <w:spacing w:val="-1"/>
        </w:rPr>
        <w:t xml:space="preserve"> for approval of modifications to approved energy conservation programs, by Associated Gas Distrib</w:t>
      </w:r>
      <w:r w:rsidR="003940B2">
        <w:rPr>
          <w:i/>
          <w:spacing w:val="-1"/>
        </w:rPr>
        <w:t>utors of Florida.</w:t>
      </w:r>
    </w:p>
  </w:footnote>
  <w:footnote w:id="2">
    <w:p w14:paraId="46F1BCD0" w14:textId="77777777" w:rsidR="0050115A" w:rsidRPr="00A27BD9" w:rsidRDefault="0050115A" w:rsidP="007C6DD7">
      <w:pPr>
        <w:pStyle w:val="FootnoteText"/>
      </w:pPr>
      <w:r w:rsidRPr="00A27BD9">
        <w:rPr>
          <w:rStyle w:val="FootnoteReference"/>
        </w:rPr>
        <w:footnoteRef/>
      </w:r>
      <w:r w:rsidRPr="00A27BD9">
        <w:t xml:space="preserve"> Order No. 22176, issued November 14, 1989, in Docket No. 890737-PU</w:t>
      </w:r>
      <w:r>
        <w:t xml:space="preserve">, </w:t>
      </w:r>
      <w:r w:rsidRPr="004702D2">
        <w:rPr>
          <w:i/>
        </w:rPr>
        <w:t>In re: Implementation of Section 366.80 -.85, Florida Statutes, Conservation Activities of Electric and Natural Gas Utilities.</w:t>
      </w:r>
    </w:p>
  </w:footnote>
  <w:footnote w:id="3">
    <w:p w14:paraId="42E558E5" w14:textId="77777777" w:rsidR="0050115A" w:rsidRDefault="0050115A">
      <w:pPr>
        <w:pStyle w:val="FootnoteText"/>
      </w:pPr>
      <w:r>
        <w:rPr>
          <w:rStyle w:val="FootnoteReference"/>
        </w:rPr>
        <w:footnoteRef/>
      </w:r>
      <w:r>
        <w:t xml:space="preserve"> The AGDF Order became effective </w:t>
      </w:r>
      <w:r>
        <w:rPr>
          <w:spacing w:val="-1"/>
        </w:rPr>
        <w:t>March 25, 2010</w:t>
      </w:r>
      <w:r w:rsidRPr="0064719B">
        <w:rPr>
          <w:spacing w:val="-1"/>
        </w:rPr>
        <w:t xml:space="preserve">, </w:t>
      </w:r>
      <w:r>
        <w:rPr>
          <w:spacing w:val="-1"/>
        </w:rPr>
        <w:t xml:space="preserve">and the </w:t>
      </w:r>
      <w:r w:rsidRPr="0064719B">
        <w:rPr>
          <w:spacing w:val="-1"/>
        </w:rPr>
        <w:t xml:space="preserve">effective date of </w:t>
      </w:r>
      <w:r>
        <w:rPr>
          <w:spacing w:val="-1"/>
        </w:rPr>
        <w:t xml:space="preserve">for capping </w:t>
      </w:r>
      <w:r w:rsidRPr="0064719B">
        <w:rPr>
          <w:spacing w:val="-1"/>
        </w:rPr>
        <w:t>the CDD Program</w:t>
      </w:r>
      <w:r>
        <w:rPr>
          <w:spacing w:val="-1"/>
        </w:rPr>
        <w:t xml:space="preserve"> was March 25, 2015. </w:t>
      </w:r>
    </w:p>
  </w:footnote>
  <w:footnote w:id="4">
    <w:p w14:paraId="73902128" w14:textId="77777777" w:rsidR="0050115A" w:rsidRPr="00E6253D" w:rsidRDefault="0050115A" w:rsidP="009B50E6">
      <w:pPr>
        <w:pStyle w:val="FootnoteText"/>
      </w:pPr>
      <w:r w:rsidRPr="00E6253D">
        <w:rPr>
          <w:rStyle w:val="FootnoteReference"/>
        </w:rPr>
        <w:footnoteRef/>
      </w:r>
      <w:r w:rsidRPr="00E6253D">
        <w:t xml:space="preserve"> </w:t>
      </w:r>
      <w:r w:rsidRPr="00E6253D">
        <w:rPr>
          <w:i/>
          <w:iCs/>
        </w:rPr>
        <w:t>See</w:t>
      </w:r>
      <w:r w:rsidRPr="00E6253D">
        <w:t>, Order No. PSC-2015-0095-PAA-EG, at page 4, citing Order No. PSC-10-0113-PAA-EG.</w:t>
      </w:r>
    </w:p>
  </w:footnote>
  <w:footnote w:id="5">
    <w:p w14:paraId="7B54DECF" w14:textId="77777777" w:rsidR="0050115A" w:rsidRDefault="0050115A" w:rsidP="009B50E6">
      <w:pPr>
        <w:pStyle w:val="FootnoteText"/>
      </w:pPr>
      <w:r>
        <w:rPr>
          <w:rStyle w:val="FootnoteReference"/>
        </w:rPr>
        <w:footnoteRef/>
      </w:r>
      <w:r>
        <w:t xml:space="preserve"> </w:t>
      </w:r>
      <w:r w:rsidRPr="008D61C1">
        <w:rPr>
          <w:u w:val="single"/>
        </w:rPr>
        <w:t>Id</w:t>
      </w:r>
      <w:r>
        <w:t>.</w:t>
      </w:r>
    </w:p>
  </w:footnote>
  <w:footnote w:id="6">
    <w:p w14:paraId="6A8C8BD8" w14:textId="4D69680C" w:rsidR="0050115A" w:rsidRDefault="0050115A" w:rsidP="00EC2613">
      <w:pPr>
        <w:pStyle w:val="FootnoteText"/>
      </w:pPr>
      <w:r>
        <w:rPr>
          <w:rStyle w:val="FootnoteReference"/>
        </w:rPr>
        <w:footnoteRef/>
      </w:r>
      <w:r>
        <w:t xml:space="preserve"> Document No. 06618-2023, A</w:t>
      </w:r>
      <w:r w:rsidR="008268CD">
        <w:t>GDF</w:t>
      </w:r>
      <w:r>
        <w:t>’s Responses to Staff’s First Data Request, Document No. 00929-2024, A</w:t>
      </w:r>
      <w:r w:rsidR="008268CD">
        <w:t>GDF</w:t>
      </w:r>
      <w:r>
        <w:t xml:space="preserve"> Responses to Staff’s Second Data Request, and Document No. 01530-2024, Associated Gas Distributors of Florida’s Responses to Staff’s Third Data Request.</w:t>
      </w:r>
    </w:p>
  </w:footnote>
  <w:footnote w:id="7">
    <w:p w14:paraId="2CDDD009" w14:textId="4D6D2E02" w:rsidR="0050115A" w:rsidRPr="00877C6F" w:rsidRDefault="0050115A">
      <w:pPr>
        <w:pStyle w:val="FootnoteText"/>
        <w:rPr>
          <w:strike/>
        </w:rPr>
      </w:pPr>
      <w:r>
        <w:rPr>
          <w:rStyle w:val="FootnoteReference"/>
        </w:rPr>
        <w:footnoteRef/>
      </w:r>
      <w:r>
        <w:t xml:space="preserve"> Document No. 02056-2024, A</w:t>
      </w:r>
      <w:r w:rsidR="008268CD">
        <w:t>GDF</w:t>
      </w:r>
      <w:r>
        <w:t>’s letter to William McNulty, Bureau Chief for the Florida Public Service Commission, dated April 18, 2024.</w:t>
      </w:r>
    </w:p>
  </w:footnote>
  <w:footnote w:id="8">
    <w:p w14:paraId="35F44CD2" w14:textId="08C2811D" w:rsidR="0050115A" w:rsidRDefault="0050115A">
      <w:pPr>
        <w:pStyle w:val="FootnoteText"/>
      </w:pPr>
      <w:r>
        <w:rPr>
          <w:rStyle w:val="FootnoteReference"/>
        </w:rPr>
        <w:footnoteRef/>
      </w:r>
      <w:r>
        <w:t xml:space="preserve"> </w:t>
      </w:r>
      <w:r w:rsidR="008B1CBD">
        <w:rPr>
          <w:u w:val="single"/>
        </w:rPr>
        <w:t>Supra</w:t>
      </w:r>
      <w:r w:rsidR="008B1CBD">
        <w:t>, fn 7.</w:t>
      </w:r>
    </w:p>
  </w:footnote>
  <w:footnote w:id="9">
    <w:p w14:paraId="7ACD5EF6" w14:textId="77777777" w:rsidR="0050115A" w:rsidRDefault="0050115A">
      <w:pPr>
        <w:pStyle w:val="FootnoteText"/>
      </w:pPr>
      <w:r>
        <w:rPr>
          <w:rStyle w:val="FootnoteReference"/>
        </w:rPr>
        <w:footnoteRef/>
      </w:r>
      <w:r>
        <w:t xml:space="preserve"> </w:t>
      </w:r>
      <w:r w:rsidRPr="00B547CD">
        <w:rPr>
          <w:i/>
        </w:rPr>
        <w:t>See</w:t>
      </w:r>
      <w:r>
        <w:t xml:space="preserve"> petition at paragraph 15.</w:t>
      </w:r>
    </w:p>
  </w:footnote>
  <w:footnote w:id="10">
    <w:p w14:paraId="0B37B1E1" w14:textId="77777777" w:rsidR="0050115A" w:rsidRDefault="0050115A">
      <w:pPr>
        <w:pStyle w:val="FootnoteText"/>
      </w:pPr>
      <w:r>
        <w:rPr>
          <w:rStyle w:val="FootnoteReference"/>
        </w:rPr>
        <w:footnoteRef/>
      </w:r>
      <w:r>
        <w:t xml:space="preserve"> </w:t>
      </w:r>
      <w:r w:rsidRPr="00B547CD">
        <w:rPr>
          <w:i/>
        </w:rPr>
        <w:t>See</w:t>
      </w:r>
      <w:r>
        <w:t xml:space="preserve"> petition at paragraphs 18-19.</w:t>
      </w:r>
      <w:r w:rsidRPr="00B547CD">
        <w:t xml:space="preserve"> </w:t>
      </w:r>
    </w:p>
  </w:footnote>
  <w:footnote w:id="11">
    <w:p w14:paraId="72AFCA45" w14:textId="506A930C" w:rsidR="00047D65" w:rsidRDefault="00047D65">
      <w:pPr>
        <w:pStyle w:val="FootnoteText"/>
      </w:pPr>
      <w:r>
        <w:rPr>
          <w:rStyle w:val="FootnoteReference"/>
        </w:rPr>
        <w:footnoteRef/>
      </w:r>
      <w:r>
        <w:t xml:space="preserve"> </w:t>
      </w:r>
      <w:r w:rsidR="008B1CBD">
        <w:t>See p</w:t>
      </w:r>
      <w:r>
        <w:t>etition</w:t>
      </w:r>
      <w:r w:rsidR="00AE0D2A">
        <w:t>, Appendix A.</w:t>
      </w:r>
    </w:p>
  </w:footnote>
  <w:footnote w:id="12">
    <w:p w14:paraId="5CEFA87C" w14:textId="77777777" w:rsidR="0050115A" w:rsidRDefault="0050115A" w:rsidP="00A845F6">
      <w:pPr>
        <w:pStyle w:val="FootnoteText"/>
      </w:pPr>
      <w:r>
        <w:rPr>
          <w:rStyle w:val="FootnoteReference"/>
        </w:rPr>
        <w:footnoteRef/>
      </w:r>
      <w:r>
        <w:t xml:space="preserve"> </w:t>
      </w:r>
      <w:r w:rsidRPr="00492ADF">
        <w:t>In its petition AGDF</w:t>
      </w:r>
      <w:r>
        <w:t xml:space="preserve"> sought</w:t>
      </w:r>
      <w:r w:rsidRPr="00492ADF">
        <w:t xml:space="preserve"> approval to allow FPUC and FCG to have an annual spending limit of $75,000 per year, per project, for up to a maximum of three projects, which adds up to a maximum </w:t>
      </w:r>
      <w:r>
        <w:t xml:space="preserve">annual </w:t>
      </w:r>
      <w:r w:rsidRPr="00492ADF">
        <w:t>incremental amount of $225,000. Additionally</w:t>
      </w:r>
      <w:r>
        <w:t>, in its petition</w:t>
      </w:r>
      <w:r w:rsidRPr="00492ADF">
        <w:t>,</w:t>
      </w:r>
      <w:r>
        <w:t xml:space="preserve"> AGDF proposed an annual spending limit of $5,000 per year, per project for SJNG,  and a limit of $2,000 per year, per project for </w:t>
      </w:r>
      <w:r w:rsidRPr="00492ADF">
        <w:t>Sebring</w:t>
      </w:r>
      <w:r>
        <w:t>.</w:t>
      </w:r>
    </w:p>
  </w:footnote>
  <w:footnote w:id="13">
    <w:p w14:paraId="711F7AC8" w14:textId="77777777" w:rsidR="0050115A" w:rsidRDefault="0050115A">
      <w:pPr>
        <w:pStyle w:val="FootnoteText"/>
      </w:pPr>
      <w:r>
        <w:rPr>
          <w:rStyle w:val="FootnoteReference"/>
        </w:rPr>
        <w:footnoteRef/>
      </w:r>
      <w:r>
        <w:t xml:space="preserve"> Since the AGDF’s petition was filed, the spending limits originally proposed have been revised, and those changes resulted in changes to the calculations that estimate the cost recovery clause impacts. In its analysis below, the most current information is presented. </w:t>
      </w:r>
    </w:p>
  </w:footnote>
  <w:footnote w:id="14">
    <w:p w14:paraId="6AF8FE91" w14:textId="77777777" w:rsidR="008268CD" w:rsidRDefault="008268CD">
      <w:pPr>
        <w:pStyle w:val="FootnoteText"/>
      </w:pPr>
      <w:r>
        <w:rPr>
          <w:rStyle w:val="FootnoteReference"/>
        </w:rPr>
        <w:footnoteRef/>
      </w:r>
      <w:r>
        <w:t xml:space="preserve"> Document No. 06618-2023, AGDF’s Response to Staff’s First Data Request, No. 1.B.</w:t>
      </w:r>
    </w:p>
  </w:footnote>
  <w:footnote w:id="15">
    <w:p w14:paraId="6D4AF051" w14:textId="77777777" w:rsidR="0050115A" w:rsidRDefault="0050115A">
      <w:pPr>
        <w:pStyle w:val="FootnoteText"/>
      </w:pPr>
      <w:r>
        <w:rPr>
          <w:rStyle w:val="FootnoteReference"/>
        </w:rPr>
        <w:footnoteRef/>
      </w:r>
      <w:r>
        <w:t xml:space="preserve"> </w:t>
      </w:r>
      <w:r>
        <w:rPr>
          <w:u w:val="single"/>
        </w:rPr>
        <w:t>Supra</w:t>
      </w:r>
      <w:r>
        <w:t>, fn 11.</w:t>
      </w:r>
    </w:p>
  </w:footnote>
  <w:footnote w:id="16">
    <w:p w14:paraId="4F63847F" w14:textId="77777777" w:rsidR="005D1462" w:rsidRDefault="005D1462" w:rsidP="005D1462">
      <w:pPr>
        <w:pStyle w:val="FootnoteText"/>
      </w:pPr>
      <w:r>
        <w:rPr>
          <w:rStyle w:val="FootnoteReference"/>
        </w:rPr>
        <w:footnoteRef/>
      </w:r>
      <w:r>
        <w:t xml:space="preserve"> Document No. 06618-2023, AGDF’s Response to Staff’s First Data Request, No. 4.A.</w:t>
      </w:r>
    </w:p>
  </w:footnote>
  <w:footnote w:id="17">
    <w:p w14:paraId="37DEEC01" w14:textId="77777777" w:rsidR="005D1462" w:rsidRDefault="005D1462" w:rsidP="005D1462">
      <w:pPr>
        <w:pStyle w:val="FootnoteText"/>
      </w:pPr>
      <w:r>
        <w:rPr>
          <w:rStyle w:val="FootnoteReference"/>
        </w:rPr>
        <w:footnoteRef/>
      </w:r>
      <w:r>
        <w:t xml:space="preserve"> Document No. 00929-2024, AGDF’s Responses to Staff’s Second Data Request, No. 4.A.</w:t>
      </w:r>
    </w:p>
  </w:footnote>
  <w:footnote w:id="18">
    <w:p w14:paraId="7E10C378" w14:textId="77777777" w:rsidR="005D1462" w:rsidRDefault="005D1462" w:rsidP="005D1462">
      <w:pPr>
        <w:pStyle w:val="FootnoteText"/>
      </w:pPr>
      <w:r>
        <w:rPr>
          <w:rStyle w:val="FootnoteReference"/>
        </w:rPr>
        <w:footnoteRef/>
      </w:r>
      <w:r>
        <w:t xml:space="preserve"> AGDF stated that programs studied under the “resiliency” category would require all of the data inputs outlined in Part One of the Gas Rate Impact measure (G-RIM) cost-effectiveness test.” </w:t>
      </w:r>
    </w:p>
  </w:footnote>
  <w:footnote w:id="19">
    <w:p w14:paraId="68928B02" w14:textId="77777777" w:rsidR="0050115A" w:rsidRDefault="0050115A" w:rsidP="000A3F92">
      <w:pPr>
        <w:pStyle w:val="FootnoteText"/>
      </w:pPr>
      <w:r>
        <w:rPr>
          <w:rStyle w:val="FootnoteReference"/>
        </w:rPr>
        <w:footnoteRef/>
      </w:r>
      <w:r>
        <w:t xml:space="preserve"> </w:t>
      </w:r>
      <w:r>
        <w:rPr>
          <w:u w:val="single"/>
        </w:rPr>
        <w:t>Supra</w:t>
      </w:r>
      <w:r>
        <w:t>, fn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0107B" w14:textId="77777777" w:rsidR="0050115A" w:rsidRDefault="0050115A"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20230121-EG</w:t>
    </w:r>
    <w:bookmarkEnd w:id="15"/>
  </w:p>
  <w:p w14:paraId="57E51274" w14:textId="430B984D" w:rsidR="0050115A" w:rsidRDefault="0050115A">
    <w:pPr>
      <w:pStyle w:val="Header"/>
    </w:pPr>
    <w:r>
      <w:t xml:space="preserve">Date: </w:t>
    </w:r>
    <w:r w:rsidR="006C2F8F">
      <w:fldChar w:fldCharType="begin"/>
    </w:r>
    <w:r w:rsidR="006C2F8F">
      <w:instrText xml:space="preserve"> REF FilingDate </w:instrText>
    </w:r>
    <w:r w:rsidR="006C2F8F">
      <w:fldChar w:fldCharType="separate"/>
    </w:r>
    <w:r w:rsidR="00B9241B">
      <w:t>June 27, 2024</w:t>
    </w:r>
    <w:r w:rsidR="006C2F8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71935" w14:textId="1C0525FF" w:rsidR="0050115A" w:rsidRDefault="0050115A" w:rsidP="00220732">
    <w:pPr>
      <w:pStyle w:val="Header"/>
      <w:tabs>
        <w:tab w:val="clear" w:pos="4320"/>
        <w:tab w:val="clear" w:pos="8640"/>
        <w:tab w:val="right" w:pos="9360"/>
      </w:tabs>
    </w:pPr>
    <w:r>
      <w:fldChar w:fldCharType="begin"/>
    </w:r>
    <w:r>
      <w:instrText xml:space="preserve"> REF DocketLabel</w:instrText>
    </w:r>
    <w:r>
      <w:fldChar w:fldCharType="separate"/>
    </w:r>
    <w:r w:rsidR="00B9241B">
      <w:t>Docket No.</w:t>
    </w:r>
    <w:r>
      <w:fldChar w:fldCharType="end"/>
    </w:r>
    <w:r>
      <w:t xml:space="preserve"> </w:t>
    </w:r>
    <w:r>
      <w:fldChar w:fldCharType="begin"/>
    </w:r>
    <w:r>
      <w:instrText xml:space="preserve"> REF DocketList</w:instrText>
    </w:r>
    <w:r>
      <w:fldChar w:fldCharType="separate"/>
    </w:r>
    <w:r w:rsidR="00B9241B">
      <w:t>20230121-EG</w:t>
    </w:r>
    <w:r>
      <w:fldChar w:fldCharType="end"/>
    </w:r>
    <w:r>
      <w:tab/>
      <w:t xml:space="preserve">Issue </w:t>
    </w:r>
    <w:r w:rsidR="006C2F8F">
      <w:fldChar w:fldCharType="begin"/>
    </w:r>
    <w:r w:rsidR="006C2F8F">
      <w:instrText xml:space="preserve"> Seq Issue \c \* Arabic </w:instrText>
    </w:r>
    <w:r w:rsidR="006C2F8F">
      <w:fldChar w:fldCharType="separate"/>
    </w:r>
    <w:r w:rsidR="006B7347">
      <w:rPr>
        <w:noProof/>
      </w:rPr>
      <w:t>1</w:t>
    </w:r>
    <w:r w:rsidR="006C2F8F">
      <w:rPr>
        <w:noProof/>
      </w:rPr>
      <w:fldChar w:fldCharType="end"/>
    </w:r>
  </w:p>
  <w:p w14:paraId="432EF12D" w14:textId="373CC99F" w:rsidR="0050115A" w:rsidRDefault="0050115A">
    <w:pPr>
      <w:pStyle w:val="Header"/>
    </w:pPr>
    <w:r>
      <w:t xml:space="preserve">Date: </w:t>
    </w:r>
    <w:r w:rsidR="006C2F8F">
      <w:fldChar w:fldCharType="begin"/>
    </w:r>
    <w:r w:rsidR="006C2F8F">
      <w:instrText xml:space="preserve"> REF FilingDate </w:instrText>
    </w:r>
    <w:r w:rsidR="006C2F8F">
      <w:fldChar w:fldCharType="separate"/>
    </w:r>
    <w:r w:rsidR="00B9241B">
      <w:t>June 27, 2024</w:t>
    </w:r>
    <w:r w:rsidR="006C2F8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286CB" w14:textId="77777777" w:rsidR="0050115A" w:rsidRDefault="00501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87001"/>
    <w:multiLevelType w:val="hybridMultilevel"/>
    <w:tmpl w:val="45E01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82FAF"/>
    <w:multiLevelType w:val="hybridMultilevel"/>
    <w:tmpl w:val="576EB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B6A6D"/>
    <w:multiLevelType w:val="hybridMultilevel"/>
    <w:tmpl w:val="7A8CC98E"/>
    <w:lvl w:ilvl="0" w:tplc="4AC03E78">
      <w:start w:val="1"/>
      <w:numFmt w:val="decimal"/>
      <w:lvlText w:val="%1."/>
      <w:lvlJc w:val="left"/>
      <w:pPr>
        <w:ind w:left="720" w:hanging="360"/>
      </w:pPr>
      <w:rPr>
        <w:rFonts w:hint="default"/>
      </w:rPr>
    </w:lvl>
    <w:lvl w:ilvl="1" w:tplc="F94EE1E6" w:tentative="1">
      <w:start w:val="1"/>
      <w:numFmt w:val="lowerLetter"/>
      <w:lvlText w:val="%2."/>
      <w:lvlJc w:val="left"/>
      <w:pPr>
        <w:ind w:left="1440" w:hanging="360"/>
      </w:pPr>
    </w:lvl>
    <w:lvl w:ilvl="2" w:tplc="CEB8EC2C" w:tentative="1">
      <w:start w:val="1"/>
      <w:numFmt w:val="lowerRoman"/>
      <w:lvlText w:val="%3."/>
      <w:lvlJc w:val="right"/>
      <w:pPr>
        <w:ind w:left="2160" w:hanging="180"/>
      </w:pPr>
    </w:lvl>
    <w:lvl w:ilvl="3" w:tplc="032272F6" w:tentative="1">
      <w:start w:val="1"/>
      <w:numFmt w:val="decimal"/>
      <w:lvlText w:val="%4."/>
      <w:lvlJc w:val="left"/>
      <w:pPr>
        <w:ind w:left="2880" w:hanging="360"/>
      </w:pPr>
    </w:lvl>
    <w:lvl w:ilvl="4" w:tplc="D2D0F450" w:tentative="1">
      <w:start w:val="1"/>
      <w:numFmt w:val="lowerLetter"/>
      <w:lvlText w:val="%5."/>
      <w:lvlJc w:val="left"/>
      <w:pPr>
        <w:ind w:left="3600" w:hanging="360"/>
      </w:pPr>
    </w:lvl>
    <w:lvl w:ilvl="5" w:tplc="40B0EFA0" w:tentative="1">
      <w:start w:val="1"/>
      <w:numFmt w:val="lowerRoman"/>
      <w:lvlText w:val="%6."/>
      <w:lvlJc w:val="right"/>
      <w:pPr>
        <w:ind w:left="4320" w:hanging="180"/>
      </w:pPr>
    </w:lvl>
    <w:lvl w:ilvl="6" w:tplc="649047BA" w:tentative="1">
      <w:start w:val="1"/>
      <w:numFmt w:val="decimal"/>
      <w:lvlText w:val="%7."/>
      <w:lvlJc w:val="left"/>
      <w:pPr>
        <w:ind w:left="5040" w:hanging="360"/>
      </w:pPr>
    </w:lvl>
    <w:lvl w:ilvl="7" w:tplc="2466BB82" w:tentative="1">
      <w:start w:val="1"/>
      <w:numFmt w:val="lowerLetter"/>
      <w:lvlText w:val="%8."/>
      <w:lvlJc w:val="left"/>
      <w:pPr>
        <w:ind w:left="5760" w:hanging="360"/>
      </w:pPr>
    </w:lvl>
    <w:lvl w:ilvl="8" w:tplc="FA982122" w:tentative="1">
      <w:start w:val="1"/>
      <w:numFmt w:val="lowerRoman"/>
      <w:lvlText w:val="%9."/>
      <w:lvlJc w:val="right"/>
      <w:pPr>
        <w:ind w:left="6480" w:hanging="180"/>
      </w:pPr>
    </w:lvl>
  </w:abstractNum>
  <w:abstractNum w:abstractNumId="13" w15:restartNumberingAfterBreak="0">
    <w:nsid w:val="4A4A3406"/>
    <w:multiLevelType w:val="hybridMultilevel"/>
    <w:tmpl w:val="F6D607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16A3F"/>
    <w:rsid w:val="00000E9F"/>
    <w:rsid w:val="000043D5"/>
    <w:rsid w:val="00006170"/>
    <w:rsid w:val="00010E37"/>
    <w:rsid w:val="000172DA"/>
    <w:rsid w:val="00022337"/>
    <w:rsid w:val="00023A0E"/>
    <w:rsid w:val="000247C5"/>
    <w:rsid w:val="00026233"/>
    <w:rsid w:val="000277C2"/>
    <w:rsid w:val="00032D2B"/>
    <w:rsid w:val="00035B48"/>
    <w:rsid w:val="00036087"/>
    <w:rsid w:val="00036CE2"/>
    <w:rsid w:val="0004128A"/>
    <w:rsid w:val="000431EE"/>
    <w:rsid w:val="000437FE"/>
    <w:rsid w:val="0004577F"/>
    <w:rsid w:val="0004684F"/>
    <w:rsid w:val="00047D65"/>
    <w:rsid w:val="000513BE"/>
    <w:rsid w:val="00051573"/>
    <w:rsid w:val="00051582"/>
    <w:rsid w:val="0005451B"/>
    <w:rsid w:val="00054FA9"/>
    <w:rsid w:val="00063F50"/>
    <w:rsid w:val="00065A06"/>
    <w:rsid w:val="000666F3"/>
    <w:rsid w:val="00070DCB"/>
    <w:rsid w:val="00072CCA"/>
    <w:rsid w:val="00073120"/>
    <w:rsid w:val="000764D0"/>
    <w:rsid w:val="000828D3"/>
    <w:rsid w:val="0008455A"/>
    <w:rsid w:val="00090CD3"/>
    <w:rsid w:val="00096F58"/>
    <w:rsid w:val="00097C4E"/>
    <w:rsid w:val="000A2B57"/>
    <w:rsid w:val="000A3F92"/>
    <w:rsid w:val="000A418B"/>
    <w:rsid w:val="000B0ACE"/>
    <w:rsid w:val="000C4431"/>
    <w:rsid w:val="000C6607"/>
    <w:rsid w:val="000D1C06"/>
    <w:rsid w:val="000D1FF4"/>
    <w:rsid w:val="000D3043"/>
    <w:rsid w:val="000D4319"/>
    <w:rsid w:val="000D764A"/>
    <w:rsid w:val="000D767E"/>
    <w:rsid w:val="000E24FA"/>
    <w:rsid w:val="000E338A"/>
    <w:rsid w:val="000E4392"/>
    <w:rsid w:val="000F374A"/>
    <w:rsid w:val="000F4DAF"/>
    <w:rsid w:val="000F511F"/>
    <w:rsid w:val="00105BA1"/>
    <w:rsid w:val="001076AF"/>
    <w:rsid w:val="001109F6"/>
    <w:rsid w:val="00111E09"/>
    <w:rsid w:val="00116C6B"/>
    <w:rsid w:val="00117C8C"/>
    <w:rsid w:val="00120255"/>
    <w:rsid w:val="001239F0"/>
    <w:rsid w:val="001240A7"/>
    <w:rsid w:val="00124C38"/>
    <w:rsid w:val="00124E2E"/>
    <w:rsid w:val="00125ED4"/>
    <w:rsid w:val="001303BF"/>
    <w:rsid w:val="001305E9"/>
    <w:rsid w:val="001307AF"/>
    <w:rsid w:val="00131245"/>
    <w:rsid w:val="0013347E"/>
    <w:rsid w:val="00135687"/>
    <w:rsid w:val="0013626E"/>
    <w:rsid w:val="00136BD1"/>
    <w:rsid w:val="00146B5D"/>
    <w:rsid w:val="00147579"/>
    <w:rsid w:val="00150ECE"/>
    <w:rsid w:val="0015506E"/>
    <w:rsid w:val="001554A5"/>
    <w:rsid w:val="00163031"/>
    <w:rsid w:val="001654C4"/>
    <w:rsid w:val="00167077"/>
    <w:rsid w:val="00167275"/>
    <w:rsid w:val="00171A90"/>
    <w:rsid w:val="00180254"/>
    <w:rsid w:val="00185FA7"/>
    <w:rsid w:val="00191E1F"/>
    <w:rsid w:val="00191EE8"/>
    <w:rsid w:val="00192943"/>
    <w:rsid w:val="00193BAF"/>
    <w:rsid w:val="001945C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02DF"/>
    <w:rsid w:val="00204200"/>
    <w:rsid w:val="002044E6"/>
    <w:rsid w:val="00205C82"/>
    <w:rsid w:val="00205DC2"/>
    <w:rsid w:val="00212B17"/>
    <w:rsid w:val="002163B6"/>
    <w:rsid w:val="00217215"/>
    <w:rsid w:val="00217C44"/>
    <w:rsid w:val="00220732"/>
    <w:rsid w:val="0022121F"/>
    <w:rsid w:val="00221D32"/>
    <w:rsid w:val="00222AC1"/>
    <w:rsid w:val="00225C3F"/>
    <w:rsid w:val="00234598"/>
    <w:rsid w:val="00234602"/>
    <w:rsid w:val="00240312"/>
    <w:rsid w:val="002552A0"/>
    <w:rsid w:val="00260FDB"/>
    <w:rsid w:val="00263D44"/>
    <w:rsid w:val="00264B4F"/>
    <w:rsid w:val="002702AD"/>
    <w:rsid w:val="00271E0F"/>
    <w:rsid w:val="002800DE"/>
    <w:rsid w:val="00280CCF"/>
    <w:rsid w:val="00281E34"/>
    <w:rsid w:val="00281EB4"/>
    <w:rsid w:val="00292D82"/>
    <w:rsid w:val="00293EE7"/>
    <w:rsid w:val="002963CB"/>
    <w:rsid w:val="002A1879"/>
    <w:rsid w:val="002A20D2"/>
    <w:rsid w:val="002B2DAC"/>
    <w:rsid w:val="002B4A01"/>
    <w:rsid w:val="002B5A03"/>
    <w:rsid w:val="002B7DC8"/>
    <w:rsid w:val="002C291B"/>
    <w:rsid w:val="002C29DE"/>
    <w:rsid w:val="002C746A"/>
    <w:rsid w:val="002C7E4E"/>
    <w:rsid w:val="002D226D"/>
    <w:rsid w:val="002D6F30"/>
    <w:rsid w:val="002D74E3"/>
    <w:rsid w:val="002D7D94"/>
    <w:rsid w:val="002E133D"/>
    <w:rsid w:val="002F2EAF"/>
    <w:rsid w:val="002F6030"/>
    <w:rsid w:val="003001AC"/>
    <w:rsid w:val="003037E1"/>
    <w:rsid w:val="00305833"/>
    <w:rsid w:val="00306EFD"/>
    <w:rsid w:val="00307E51"/>
    <w:rsid w:val="003103EC"/>
    <w:rsid w:val="00312132"/>
    <w:rsid w:val="003130BA"/>
    <w:rsid w:val="003144EF"/>
    <w:rsid w:val="0031480E"/>
    <w:rsid w:val="00316877"/>
    <w:rsid w:val="00322F74"/>
    <w:rsid w:val="00323C3D"/>
    <w:rsid w:val="00325C87"/>
    <w:rsid w:val="00325E15"/>
    <w:rsid w:val="00340073"/>
    <w:rsid w:val="003411D8"/>
    <w:rsid w:val="00342444"/>
    <w:rsid w:val="003445B0"/>
    <w:rsid w:val="00347DD7"/>
    <w:rsid w:val="00347F40"/>
    <w:rsid w:val="00353B66"/>
    <w:rsid w:val="00355934"/>
    <w:rsid w:val="00356E0D"/>
    <w:rsid w:val="00357928"/>
    <w:rsid w:val="003632FD"/>
    <w:rsid w:val="00365316"/>
    <w:rsid w:val="00370F78"/>
    <w:rsid w:val="00372805"/>
    <w:rsid w:val="00373180"/>
    <w:rsid w:val="00375AB9"/>
    <w:rsid w:val="0037691E"/>
    <w:rsid w:val="003821A0"/>
    <w:rsid w:val="00383CE8"/>
    <w:rsid w:val="00385B04"/>
    <w:rsid w:val="003864CF"/>
    <w:rsid w:val="0039244A"/>
    <w:rsid w:val="003938FE"/>
    <w:rsid w:val="003940B2"/>
    <w:rsid w:val="003948AE"/>
    <w:rsid w:val="003A08C0"/>
    <w:rsid w:val="003A22A6"/>
    <w:rsid w:val="003A32EB"/>
    <w:rsid w:val="003A5494"/>
    <w:rsid w:val="003B2510"/>
    <w:rsid w:val="003B4355"/>
    <w:rsid w:val="003B668C"/>
    <w:rsid w:val="003C2CC4"/>
    <w:rsid w:val="003C3710"/>
    <w:rsid w:val="003C42A3"/>
    <w:rsid w:val="003C48F7"/>
    <w:rsid w:val="003D2915"/>
    <w:rsid w:val="003D4FF6"/>
    <w:rsid w:val="003E0463"/>
    <w:rsid w:val="003E0EFC"/>
    <w:rsid w:val="003E19CE"/>
    <w:rsid w:val="003E4A2B"/>
    <w:rsid w:val="003E6FE9"/>
    <w:rsid w:val="003E76C2"/>
    <w:rsid w:val="003F1367"/>
    <w:rsid w:val="003F1679"/>
    <w:rsid w:val="003F21EB"/>
    <w:rsid w:val="003F4A35"/>
    <w:rsid w:val="003F5F03"/>
    <w:rsid w:val="003F7FDD"/>
    <w:rsid w:val="0040130E"/>
    <w:rsid w:val="00402101"/>
    <w:rsid w:val="00402481"/>
    <w:rsid w:val="004042B4"/>
    <w:rsid w:val="00404DC2"/>
    <w:rsid w:val="00404E65"/>
    <w:rsid w:val="00410DC4"/>
    <w:rsid w:val="00412321"/>
    <w:rsid w:val="00412DAE"/>
    <w:rsid w:val="0041302D"/>
    <w:rsid w:val="0042316B"/>
    <w:rsid w:val="0042323E"/>
    <w:rsid w:val="004242E6"/>
    <w:rsid w:val="00427B35"/>
    <w:rsid w:val="00431598"/>
    <w:rsid w:val="004319AD"/>
    <w:rsid w:val="00440955"/>
    <w:rsid w:val="004426B8"/>
    <w:rsid w:val="004436D8"/>
    <w:rsid w:val="00444432"/>
    <w:rsid w:val="00447D5C"/>
    <w:rsid w:val="0045010C"/>
    <w:rsid w:val="00450202"/>
    <w:rsid w:val="004502B2"/>
    <w:rsid w:val="00455499"/>
    <w:rsid w:val="00464178"/>
    <w:rsid w:val="004649A7"/>
    <w:rsid w:val="004702D2"/>
    <w:rsid w:val="00471860"/>
    <w:rsid w:val="004754A6"/>
    <w:rsid w:val="00477026"/>
    <w:rsid w:val="00477730"/>
    <w:rsid w:val="00480533"/>
    <w:rsid w:val="004927A3"/>
    <w:rsid w:val="00492ADF"/>
    <w:rsid w:val="004A4954"/>
    <w:rsid w:val="004A744D"/>
    <w:rsid w:val="004B60BD"/>
    <w:rsid w:val="004B7931"/>
    <w:rsid w:val="004C3150"/>
    <w:rsid w:val="004C3641"/>
    <w:rsid w:val="004C3873"/>
    <w:rsid w:val="004C4390"/>
    <w:rsid w:val="004C4AF7"/>
    <w:rsid w:val="004C7501"/>
    <w:rsid w:val="004D020C"/>
    <w:rsid w:val="004D2881"/>
    <w:rsid w:val="004D2D7D"/>
    <w:rsid w:val="004D2F12"/>
    <w:rsid w:val="004D385F"/>
    <w:rsid w:val="004D5813"/>
    <w:rsid w:val="004D5B39"/>
    <w:rsid w:val="004D5D3A"/>
    <w:rsid w:val="004D5F88"/>
    <w:rsid w:val="004D7976"/>
    <w:rsid w:val="004E0CEA"/>
    <w:rsid w:val="004E1DAD"/>
    <w:rsid w:val="004E330D"/>
    <w:rsid w:val="004E4985"/>
    <w:rsid w:val="004E4A78"/>
    <w:rsid w:val="004E5147"/>
    <w:rsid w:val="004E69B5"/>
    <w:rsid w:val="004F35CD"/>
    <w:rsid w:val="004F50D1"/>
    <w:rsid w:val="004F5C43"/>
    <w:rsid w:val="004F6E2D"/>
    <w:rsid w:val="0050115A"/>
    <w:rsid w:val="005022A1"/>
    <w:rsid w:val="00502624"/>
    <w:rsid w:val="005050A2"/>
    <w:rsid w:val="00506030"/>
    <w:rsid w:val="0050652D"/>
    <w:rsid w:val="00506C03"/>
    <w:rsid w:val="00511A11"/>
    <w:rsid w:val="00516496"/>
    <w:rsid w:val="00522E7D"/>
    <w:rsid w:val="00523B11"/>
    <w:rsid w:val="0052455B"/>
    <w:rsid w:val="0052572A"/>
    <w:rsid w:val="00525E78"/>
    <w:rsid w:val="00532DFB"/>
    <w:rsid w:val="0053766C"/>
    <w:rsid w:val="00541D5B"/>
    <w:rsid w:val="00543CB3"/>
    <w:rsid w:val="005442E4"/>
    <w:rsid w:val="00547652"/>
    <w:rsid w:val="0055529B"/>
    <w:rsid w:val="0055681C"/>
    <w:rsid w:val="00560FF0"/>
    <w:rsid w:val="005614BD"/>
    <w:rsid w:val="00564122"/>
    <w:rsid w:val="00565D04"/>
    <w:rsid w:val="0057154F"/>
    <w:rsid w:val="00572B84"/>
    <w:rsid w:val="00580F69"/>
    <w:rsid w:val="00581CA3"/>
    <w:rsid w:val="005826B8"/>
    <w:rsid w:val="00585031"/>
    <w:rsid w:val="00586D9A"/>
    <w:rsid w:val="00586E8B"/>
    <w:rsid w:val="00587090"/>
    <w:rsid w:val="00587A44"/>
    <w:rsid w:val="00597730"/>
    <w:rsid w:val="005977EC"/>
    <w:rsid w:val="00597DE7"/>
    <w:rsid w:val="005A1CD3"/>
    <w:rsid w:val="005A4AA2"/>
    <w:rsid w:val="005B23FB"/>
    <w:rsid w:val="005B34B6"/>
    <w:rsid w:val="005B5B1D"/>
    <w:rsid w:val="005B5DE4"/>
    <w:rsid w:val="005B606A"/>
    <w:rsid w:val="005B6C8F"/>
    <w:rsid w:val="005B6EC3"/>
    <w:rsid w:val="005B7B51"/>
    <w:rsid w:val="005C013F"/>
    <w:rsid w:val="005C17D7"/>
    <w:rsid w:val="005C33CE"/>
    <w:rsid w:val="005C6600"/>
    <w:rsid w:val="005D0F74"/>
    <w:rsid w:val="005D1462"/>
    <w:rsid w:val="005D2649"/>
    <w:rsid w:val="005D2E7D"/>
    <w:rsid w:val="005D4A8F"/>
    <w:rsid w:val="005D561B"/>
    <w:rsid w:val="005D578F"/>
    <w:rsid w:val="005D5ECF"/>
    <w:rsid w:val="005D616E"/>
    <w:rsid w:val="005E47C8"/>
    <w:rsid w:val="005F468D"/>
    <w:rsid w:val="005F69A3"/>
    <w:rsid w:val="005F76A6"/>
    <w:rsid w:val="00604CC7"/>
    <w:rsid w:val="006106E5"/>
    <w:rsid w:val="00610A8A"/>
    <w:rsid w:val="00613441"/>
    <w:rsid w:val="00615423"/>
    <w:rsid w:val="006165B2"/>
    <w:rsid w:val="00616A3F"/>
    <w:rsid w:val="00617276"/>
    <w:rsid w:val="0062527B"/>
    <w:rsid w:val="00625D97"/>
    <w:rsid w:val="00625F1C"/>
    <w:rsid w:val="0062658E"/>
    <w:rsid w:val="006279E1"/>
    <w:rsid w:val="00630CEB"/>
    <w:rsid w:val="00632264"/>
    <w:rsid w:val="006355F2"/>
    <w:rsid w:val="0064672F"/>
    <w:rsid w:val="006470BC"/>
    <w:rsid w:val="0064719B"/>
    <w:rsid w:val="00653253"/>
    <w:rsid w:val="006554D3"/>
    <w:rsid w:val="006603F4"/>
    <w:rsid w:val="00661708"/>
    <w:rsid w:val="00666522"/>
    <w:rsid w:val="00667036"/>
    <w:rsid w:val="006671E2"/>
    <w:rsid w:val="00667B89"/>
    <w:rsid w:val="00671D90"/>
    <w:rsid w:val="00673BDB"/>
    <w:rsid w:val="00674341"/>
    <w:rsid w:val="00676BBD"/>
    <w:rsid w:val="006771B8"/>
    <w:rsid w:val="00682631"/>
    <w:rsid w:val="00683A89"/>
    <w:rsid w:val="006843B6"/>
    <w:rsid w:val="0068481F"/>
    <w:rsid w:val="00687A78"/>
    <w:rsid w:val="00687B49"/>
    <w:rsid w:val="006913F1"/>
    <w:rsid w:val="00693EA1"/>
    <w:rsid w:val="00695A45"/>
    <w:rsid w:val="0069636F"/>
    <w:rsid w:val="00696F5D"/>
    <w:rsid w:val="00697249"/>
    <w:rsid w:val="006A06F3"/>
    <w:rsid w:val="006A1A67"/>
    <w:rsid w:val="006B0175"/>
    <w:rsid w:val="006B09C4"/>
    <w:rsid w:val="006B3947"/>
    <w:rsid w:val="006B4293"/>
    <w:rsid w:val="006B624F"/>
    <w:rsid w:val="006B7347"/>
    <w:rsid w:val="006C0C95"/>
    <w:rsid w:val="006C31E3"/>
    <w:rsid w:val="006D18D3"/>
    <w:rsid w:val="006D18E3"/>
    <w:rsid w:val="006D1EE9"/>
    <w:rsid w:val="006D2841"/>
    <w:rsid w:val="006D3BD1"/>
    <w:rsid w:val="006D76CF"/>
    <w:rsid w:val="006E010E"/>
    <w:rsid w:val="006E08CB"/>
    <w:rsid w:val="006E598D"/>
    <w:rsid w:val="006F305B"/>
    <w:rsid w:val="006F4A7B"/>
    <w:rsid w:val="006F5ED9"/>
    <w:rsid w:val="0070437D"/>
    <w:rsid w:val="00704CF1"/>
    <w:rsid w:val="00705B04"/>
    <w:rsid w:val="00706EEE"/>
    <w:rsid w:val="0071040E"/>
    <w:rsid w:val="0071734B"/>
    <w:rsid w:val="00717EE9"/>
    <w:rsid w:val="00724992"/>
    <w:rsid w:val="00724F64"/>
    <w:rsid w:val="00727F90"/>
    <w:rsid w:val="00734820"/>
    <w:rsid w:val="007349DC"/>
    <w:rsid w:val="0074365E"/>
    <w:rsid w:val="00744B55"/>
    <w:rsid w:val="007515FD"/>
    <w:rsid w:val="00753812"/>
    <w:rsid w:val="00760D80"/>
    <w:rsid w:val="00761CB4"/>
    <w:rsid w:val="00780C09"/>
    <w:rsid w:val="00780DDF"/>
    <w:rsid w:val="007834E9"/>
    <w:rsid w:val="007839FE"/>
    <w:rsid w:val="00787DBC"/>
    <w:rsid w:val="0079019A"/>
    <w:rsid w:val="007906F6"/>
    <w:rsid w:val="00792935"/>
    <w:rsid w:val="00793062"/>
    <w:rsid w:val="00794E74"/>
    <w:rsid w:val="007964D9"/>
    <w:rsid w:val="00796A71"/>
    <w:rsid w:val="007A04A1"/>
    <w:rsid w:val="007A1840"/>
    <w:rsid w:val="007B6FA4"/>
    <w:rsid w:val="007B730C"/>
    <w:rsid w:val="007C0528"/>
    <w:rsid w:val="007C08EA"/>
    <w:rsid w:val="007C176C"/>
    <w:rsid w:val="007C3B97"/>
    <w:rsid w:val="007C3D38"/>
    <w:rsid w:val="007C5265"/>
    <w:rsid w:val="007C6DD7"/>
    <w:rsid w:val="007D0F35"/>
    <w:rsid w:val="007D1783"/>
    <w:rsid w:val="007D4546"/>
    <w:rsid w:val="007D4FEB"/>
    <w:rsid w:val="007D6146"/>
    <w:rsid w:val="007E0CE7"/>
    <w:rsid w:val="007E3145"/>
    <w:rsid w:val="007E4E2D"/>
    <w:rsid w:val="007E61FD"/>
    <w:rsid w:val="007F1193"/>
    <w:rsid w:val="007F417F"/>
    <w:rsid w:val="007F7644"/>
    <w:rsid w:val="008042BD"/>
    <w:rsid w:val="00804E17"/>
    <w:rsid w:val="008050B3"/>
    <w:rsid w:val="00813ED3"/>
    <w:rsid w:val="0081645F"/>
    <w:rsid w:val="00816624"/>
    <w:rsid w:val="0081753F"/>
    <w:rsid w:val="00820092"/>
    <w:rsid w:val="00820134"/>
    <w:rsid w:val="00822427"/>
    <w:rsid w:val="00822562"/>
    <w:rsid w:val="00822EA1"/>
    <w:rsid w:val="00823663"/>
    <w:rsid w:val="00823664"/>
    <w:rsid w:val="008268CD"/>
    <w:rsid w:val="00827897"/>
    <w:rsid w:val="008305B7"/>
    <w:rsid w:val="00832DDC"/>
    <w:rsid w:val="00835298"/>
    <w:rsid w:val="008426B0"/>
    <w:rsid w:val="008431BB"/>
    <w:rsid w:val="00845E34"/>
    <w:rsid w:val="008463FE"/>
    <w:rsid w:val="00846DED"/>
    <w:rsid w:val="00850BAC"/>
    <w:rsid w:val="00854A3E"/>
    <w:rsid w:val="00855D08"/>
    <w:rsid w:val="00856138"/>
    <w:rsid w:val="008618A4"/>
    <w:rsid w:val="0087095A"/>
    <w:rsid w:val="00870F02"/>
    <w:rsid w:val="008731AB"/>
    <w:rsid w:val="00874344"/>
    <w:rsid w:val="00874AB6"/>
    <w:rsid w:val="0087505D"/>
    <w:rsid w:val="00877703"/>
    <w:rsid w:val="00877C6F"/>
    <w:rsid w:val="008801BC"/>
    <w:rsid w:val="00881245"/>
    <w:rsid w:val="0088185E"/>
    <w:rsid w:val="00881B09"/>
    <w:rsid w:val="00882155"/>
    <w:rsid w:val="0088233B"/>
    <w:rsid w:val="00884342"/>
    <w:rsid w:val="0088599E"/>
    <w:rsid w:val="00886C37"/>
    <w:rsid w:val="008915FC"/>
    <w:rsid w:val="00892D99"/>
    <w:rsid w:val="00893315"/>
    <w:rsid w:val="00894254"/>
    <w:rsid w:val="00894C09"/>
    <w:rsid w:val="00894C25"/>
    <w:rsid w:val="008A518D"/>
    <w:rsid w:val="008B1CBD"/>
    <w:rsid w:val="008B54D0"/>
    <w:rsid w:val="008B5C68"/>
    <w:rsid w:val="008B62AE"/>
    <w:rsid w:val="008B77DF"/>
    <w:rsid w:val="008C04B5"/>
    <w:rsid w:val="008C14FA"/>
    <w:rsid w:val="008C1FB8"/>
    <w:rsid w:val="008C7B0B"/>
    <w:rsid w:val="008D4057"/>
    <w:rsid w:val="008E1F19"/>
    <w:rsid w:val="008E603C"/>
    <w:rsid w:val="008F2262"/>
    <w:rsid w:val="008F4D2B"/>
    <w:rsid w:val="008F5B91"/>
    <w:rsid w:val="008F7736"/>
    <w:rsid w:val="0090019E"/>
    <w:rsid w:val="00900435"/>
    <w:rsid w:val="00901086"/>
    <w:rsid w:val="009012AA"/>
    <w:rsid w:val="00901C8A"/>
    <w:rsid w:val="00902F66"/>
    <w:rsid w:val="009034F9"/>
    <w:rsid w:val="00904F3B"/>
    <w:rsid w:val="00905886"/>
    <w:rsid w:val="0090709F"/>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278AD"/>
    <w:rsid w:val="0093658B"/>
    <w:rsid w:val="00936757"/>
    <w:rsid w:val="009379D0"/>
    <w:rsid w:val="00940EC7"/>
    <w:rsid w:val="009429FF"/>
    <w:rsid w:val="00943C22"/>
    <w:rsid w:val="009444D1"/>
    <w:rsid w:val="00945BD6"/>
    <w:rsid w:val="0094603B"/>
    <w:rsid w:val="009479FB"/>
    <w:rsid w:val="00951C45"/>
    <w:rsid w:val="00951DD8"/>
    <w:rsid w:val="009607B9"/>
    <w:rsid w:val="00961C1E"/>
    <w:rsid w:val="00961E59"/>
    <w:rsid w:val="009656F2"/>
    <w:rsid w:val="00966A08"/>
    <w:rsid w:val="009701B7"/>
    <w:rsid w:val="00971207"/>
    <w:rsid w:val="00975CB4"/>
    <w:rsid w:val="00977412"/>
    <w:rsid w:val="00977E9B"/>
    <w:rsid w:val="00981DA6"/>
    <w:rsid w:val="00985A43"/>
    <w:rsid w:val="009863B0"/>
    <w:rsid w:val="00987DE1"/>
    <w:rsid w:val="00990571"/>
    <w:rsid w:val="00991905"/>
    <w:rsid w:val="009926B2"/>
    <w:rsid w:val="0099673A"/>
    <w:rsid w:val="009A223E"/>
    <w:rsid w:val="009A3291"/>
    <w:rsid w:val="009A3330"/>
    <w:rsid w:val="009A548F"/>
    <w:rsid w:val="009A5E92"/>
    <w:rsid w:val="009A7C96"/>
    <w:rsid w:val="009B50E6"/>
    <w:rsid w:val="009B61BF"/>
    <w:rsid w:val="009C3253"/>
    <w:rsid w:val="009C3DB9"/>
    <w:rsid w:val="009C5968"/>
    <w:rsid w:val="009C6202"/>
    <w:rsid w:val="009D0436"/>
    <w:rsid w:val="009D46E5"/>
    <w:rsid w:val="009D568A"/>
    <w:rsid w:val="009D652C"/>
    <w:rsid w:val="009F04EC"/>
    <w:rsid w:val="009F2A7C"/>
    <w:rsid w:val="009F2C0D"/>
    <w:rsid w:val="009F3B36"/>
    <w:rsid w:val="00A019B9"/>
    <w:rsid w:val="00A03157"/>
    <w:rsid w:val="00A07E10"/>
    <w:rsid w:val="00A11756"/>
    <w:rsid w:val="00A119D3"/>
    <w:rsid w:val="00A12497"/>
    <w:rsid w:val="00A12508"/>
    <w:rsid w:val="00A1282B"/>
    <w:rsid w:val="00A13A27"/>
    <w:rsid w:val="00A15B7C"/>
    <w:rsid w:val="00A168A3"/>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0940"/>
    <w:rsid w:val="00A675AC"/>
    <w:rsid w:val="00A7097D"/>
    <w:rsid w:val="00A75365"/>
    <w:rsid w:val="00A7581F"/>
    <w:rsid w:val="00A81274"/>
    <w:rsid w:val="00A845F6"/>
    <w:rsid w:val="00A86ACA"/>
    <w:rsid w:val="00A92439"/>
    <w:rsid w:val="00A92FB1"/>
    <w:rsid w:val="00A95980"/>
    <w:rsid w:val="00A95A0C"/>
    <w:rsid w:val="00A97495"/>
    <w:rsid w:val="00AA0F31"/>
    <w:rsid w:val="00AA2765"/>
    <w:rsid w:val="00AA40A3"/>
    <w:rsid w:val="00AA77B5"/>
    <w:rsid w:val="00AB3621"/>
    <w:rsid w:val="00AB6C5D"/>
    <w:rsid w:val="00AC3401"/>
    <w:rsid w:val="00AC51A7"/>
    <w:rsid w:val="00AC603B"/>
    <w:rsid w:val="00AD0289"/>
    <w:rsid w:val="00AD0E89"/>
    <w:rsid w:val="00AD33AA"/>
    <w:rsid w:val="00AD444B"/>
    <w:rsid w:val="00AD5614"/>
    <w:rsid w:val="00AD6C78"/>
    <w:rsid w:val="00AE03F0"/>
    <w:rsid w:val="00AE0A54"/>
    <w:rsid w:val="00AE0D2A"/>
    <w:rsid w:val="00AE2EAB"/>
    <w:rsid w:val="00AF13D0"/>
    <w:rsid w:val="00AF5E0E"/>
    <w:rsid w:val="00AF5F89"/>
    <w:rsid w:val="00AF6FB4"/>
    <w:rsid w:val="00AF73CB"/>
    <w:rsid w:val="00B002D6"/>
    <w:rsid w:val="00B02EF0"/>
    <w:rsid w:val="00B03379"/>
    <w:rsid w:val="00B03FA5"/>
    <w:rsid w:val="00B04110"/>
    <w:rsid w:val="00B044CC"/>
    <w:rsid w:val="00B05B51"/>
    <w:rsid w:val="00B100F4"/>
    <w:rsid w:val="00B14E5A"/>
    <w:rsid w:val="00B15370"/>
    <w:rsid w:val="00B16DA4"/>
    <w:rsid w:val="00B17BEB"/>
    <w:rsid w:val="00B21A3C"/>
    <w:rsid w:val="00B223C0"/>
    <w:rsid w:val="00B234ED"/>
    <w:rsid w:val="00B249B2"/>
    <w:rsid w:val="00B24D59"/>
    <w:rsid w:val="00B25CA3"/>
    <w:rsid w:val="00B2765A"/>
    <w:rsid w:val="00B3109A"/>
    <w:rsid w:val="00B32D37"/>
    <w:rsid w:val="00B41AA8"/>
    <w:rsid w:val="00B42B45"/>
    <w:rsid w:val="00B516ED"/>
    <w:rsid w:val="00B519FB"/>
    <w:rsid w:val="00B535E1"/>
    <w:rsid w:val="00B547CD"/>
    <w:rsid w:val="00B565DA"/>
    <w:rsid w:val="00B57A6A"/>
    <w:rsid w:val="00B62D0D"/>
    <w:rsid w:val="00B6316D"/>
    <w:rsid w:val="00B66701"/>
    <w:rsid w:val="00B728BF"/>
    <w:rsid w:val="00B760F1"/>
    <w:rsid w:val="00B7669E"/>
    <w:rsid w:val="00B76EBB"/>
    <w:rsid w:val="00B77DA1"/>
    <w:rsid w:val="00B822A0"/>
    <w:rsid w:val="00B82F85"/>
    <w:rsid w:val="00B858AE"/>
    <w:rsid w:val="00B85964"/>
    <w:rsid w:val="00B862EA"/>
    <w:rsid w:val="00B8699B"/>
    <w:rsid w:val="00B9241B"/>
    <w:rsid w:val="00B94570"/>
    <w:rsid w:val="00B96250"/>
    <w:rsid w:val="00BA03F3"/>
    <w:rsid w:val="00BA0D55"/>
    <w:rsid w:val="00BA37B3"/>
    <w:rsid w:val="00BA4CC6"/>
    <w:rsid w:val="00BA7F46"/>
    <w:rsid w:val="00BB0F1D"/>
    <w:rsid w:val="00BB3493"/>
    <w:rsid w:val="00BB6E4C"/>
    <w:rsid w:val="00BB7468"/>
    <w:rsid w:val="00BC0514"/>
    <w:rsid w:val="00BC0A5C"/>
    <w:rsid w:val="00BC188A"/>
    <w:rsid w:val="00BC402E"/>
    <w:rsid w:val="00BC4F6A"/>
    <w:rsid w:val="00BC53AE"/>
    <w:rsid w:val="00BC70C6"/>
    <w:rsid w:val="00BD0B40"/>
    <w:rsid w:val="00BD0F48"/>
    <w:rsid w:val="00BD14E5"/>
    <w:rsid w:val="00BD3A14"/>
    <w:rsid w:val="00BD5127"/>
    <w:rsid w:val="00BE0E50"/>
    <w:rsid w:val="00BE6DDB"/>
    <w:rsid w:val="00BE7D4B"/>
    <w:rsid w:val="00BF03E0"/>
    <w:rsid w:val="00BF5010"/>
    <w:rsid w:val="00C03009"/>
    <w:rsid w:val="00C03D5F"/>
    <w:rsid w:val="00C0417B"/>
    <w:rsid w:val="00C13791"/>
    <w:rsid w:val="00C177BD"/>
    <w:rsid w:val="00C2017C"/>
    <w:rsid w:val="00C210BD"/>
    <w:rsid w:val="00C21A54"/>
    <w:rsid w:val="00C2575A"/>
    <w:rsid w:val="00C31BB3"/>
    <w:rsid w:val="00C33C29"/>
    <w:rsid w:val="00C36977"/>
    <w:rsid w:val="00C42B45"/>
    <w:rsid w:val="00C46628"/>
    <w:rsid w:val="00C467DA"/>
    <w:rsid w:val="00C477D9"/>
    <w:rsid w:val="00C47E8A"/>
    <w:rsid w:val="00C57869"/>
    <w:rsid w:val="00C602D2"/>
    <w:rsid w:val="00C60BA3"/>
    <w:rsid w:val="00C623F7"/>
    <w:rsid w:val="00C62A81"/>
    <w:rsid w:val="00C67CD7"/>
    <w:rsid w:val="00C71E00"/>
    <w:rsid w:val="00C75BC5"/>
    <w:rsid w:val="00C76C2C"/>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C4851"/>
    <w:rsid w:val="00CC5045"/>
    <w:rsid w:val="00CD0655"/>
    <w:rsid w:val="00CD4DE2"/>
    <w:rsid w:val="00CE2BF8"/>
    <w:rsid w:val="00CE484E"/>
    <w:rsid w:val="00CE4D20"/>
    <w:rsid w:val="00CE652A"/>
    <w:rsid w:val="00CE656F"/>
    <w:rsid w:val="00CF0DA8"/>
    <w:rsid w:val="00CF2E25"/>
    <w:rsid w:val="00CF4453"/>
    <w:rsid w:val="00CF5589"/>
    <w:rsid w:val="00CF5D94"/>
    <w:rsid w:val="00CF7E0F"/>
    <w:rsid w:val="00D00893"/>
    <w:rsid w:val="00D034D7"/>
    <w:rsid w:val="00D04A2D"/>
    <w:rsid w:val="00D04BE4"/>
    <w:rsid w:val="00D06FC7"/>
    <w:rsid w:val="00D12565"/>
    <w:rsid w:val="00D140C1"/>
    <w:rsid w:val="00D14127"/>
    <w:rsid w:val="00D1629B"/>
    <w:rsid w:val="00D41035"/>
    <w:rsid w:val="00D479AE"/>
    <w:rsid w:val="00D50FCD"/>
    <w:rsid w:val="00D531C5"/>
    <w:rsid w:val="00D533E3"/>
    <w:rsid w:val="00D60B16"/>
    <w:rsid w:val="00D60F02"/>
    <w:rsid w:val="00D6176C"/>
    <w:rsid w:val="00D6691B"/>
    <w:rsid w:val="00D66E49"/>
    <w:rsid w:val="00D7060F"/>
    <w:rsid w:val="00D70D71"/>
    <w:rsid w:val="00D72F74"/>
    <w:rsid w:val="00D75A1E"/>
    <w:rsid w:val="00D765A0"/>
    <w:rsid w:val="00D81563"/>
    <w:rsid w:val="00D817D6"/>
    <w:rsid w:val="00D837C1"/>
    <w:rsid w:val="00D85416"/>
    <w:rsid w:val="00D85907"/>
    <w:rsid w:val="00D860AC"/>
    <w:rsid w:val="00D865DA"/>
    <w:rsid w:val="00D9073E"/>
    <w:rsid w:val="00D9221D"/>
    <w:rsid w:val="00D9253C"/>
    <w:rsid w:val="00D958DF"/>
    <w:rsid w:val="00D96DA1"/>
    <w:rsid w:val="00DA15FD"/>
    <w:rsid w:val="00DA3287"/>
    <w:rsid w:val="00DA51E7"/>
    <w:rsid w:val="00DB0260"/>
    <w:rsid w:val="00DB1C78"/>
    <w:rsid w:val="00DB2063"/>
    <w:rsid w:val="00DB3AD3"/>
    <w:rsid w:val="00DB6603"/>
    <w:rsid w:val="00DB7D96"/>
    <w:rsid w:val="00DC23FE"/>
    <w:rsid w:val="00DC59E6"/>
    <w:rsid w:val="00DD150B"/>
    <w:rsid w:val="00DD3356"/>
    <w:rsid w:val="00DD5025"/>
    <w:rsid w:val="00DD5464"/>
    <w:rsid w:val="00DD6F85"/>
    <w:rsid w:val="00DE254E"/>
    <w:rsid w:val="00DE32C0"/>
    <w:rsid w:val="00DE490D"/>
    <w:rsid w:val="00DE76A7"/>
    <w:rsid w:val="00DF012D"/>
    <w:rsid w:val="00DF1510"/>
    <w:rsid w:val="00E02F1F"/>
    <w:rsid w:val="00E05454"/>
    <w:rsid w:val="00E0589C"/>
    <w:rsid w:val="00E06484"/>
    <w:rsid w:val="00E06AD9"/>
    <w:rsid w:val="00E06B24"/>
    <w:rsid w:val="00E14ED5"/>
    <w:rsid w:val="00E20A7D"/>
    <w:rsid w:val="00E23022"/>
    <w:rsid w:val="00E23FE4"/>
    <w:rsid w:val="00E275D8"/>
    <w:rsid w:val="00E30F6A"/>
    <w:rsid w:val="00E3117C"/>
    <w:rsid w:val="00E31288"/>
    <w:rsid w:val="00E34307"/>
    <w:rsid w:val="00E34511"/>
    <w:rsid w:val="00E34970"/>
    <w:rsid w:val="00E3635B"/>
    <w:rsid w:val="00E375C3"/>
    <w:rsid w:val="00E375CA"/>
    <w:rsid w:val="00E438A6"/>
    <w:rsid w:val="00E4579F"/>
    <w:rsid w:val="00E5364F"/>
    <w:rsid w:val="00E53CDE"/>
    <w:rsid w:val="00E567E8"/>
    <w:rsid w:val="00E63376"/>
    <w:rsid w:val="00E635F9"/>
    <w:rsid w:val="00E63766"/>
    <w:rsid w:val="00E63B81"/>
    <w:rsid w:val="00E64679"/>
    <w:rsid w:val="00E65EBC"/>
    <w:rsid w:val="00E6602E"/>
    <w:rsid w:val="00E677FE"/>
    <w:rsid w:val="00E73432"/>
    <w:rsid w:val="00E7535C"/>
    <w:rsid w:val="00E75F46"/>
    <w:rsid w:val="00E76F19"/>
    <w:rsid w:val="00E77B0C"/>
    <w:rsid w:val="00E77FB8"/>
    <w:rsid w:val="00E838B0"/>
    <w:rsid w:val="00E86A7C"/>
    <w:rsid w:val="00E878E1"/>
    <w:rsid w:val="00E87F2C"/>
    <w:rsid w:val="00E90433"/>
    <w:rsid w:val="00E92147"/>
    <w:rsid w:val="00E9334A"/>
    <w:rsid w:val="00E95278"/>
    <w:rsid w:val="00E96A42"/>
    <w:rsid w:val="00EA2273"/>
    <w:rsid w:val="00EA5E3C"/>
    <w:rsid w:val="00EA7C3C"/>
    <w:rsid w:val="00EB2DB3"/>
    <w:rsid w:val="00EB3864"/>
    <w:rsid w:val="00EC2613"/>
    <w:rsid w:val="00EC3FBB"/>
    <w:rsid w:val="00EC4C62"/>
    <w:rsid w:val="00EC54FE"/>
    <w:rsid w:val="00EC6B7A"/>
    <w:rsid w:val="00EC7161"/>
    <w:rsid w:val="00ED2783"/>
    <w:rsid w:val="00ED3A87"/>
    <w:rsid w:val="00ED5B67"/>
    <w:rsid w:val="00EE1A5C"/>
    <w:rsid w:val="00EE3209"/>
    <w:rsid w:val="00EE5F5A"/>
    <w:rsid w:val="00EF264C"/>
    <w:rsid w:val="00EF3FEE"/>
    <w:rsid w:val="00EF6B41"/>
    <w:rsid w:val="00F04B59"/>
    <w:rsid w:val="00F07B69"/>
    <w:rsid w:val="00F11741"/>
    <w:rsid w:val="00F117B0"/>
    <w:rsid w:val="00F12B1C"/>
    <w:rsid w:val="00F13CF8"/>
    <w:rsid w:val="00F15855"/>
    <w:rsid w:val="00F20086"/>
    <w:rsid w:val="00F200B2"/>
    <w:rsid w:val="00F20BE6"/>
    <w:rsid w:val="00F227DC"/>
    <w:rsid w:val="00F263B9"/>
    <w:rsid w:val="00F30701"/>
    <w:rsid w:val="00F32978"/>
    <w:rsid w:val="00F3382C"/>
    <w:rsid w:val="00F45CB2"/>
    <w:rsid w:val="00F511F3"/>
    <w:rsid w:val="00F5375B"/>
    <w:rsid w:val="00F544C0"/>
    <w:rsid w:val="00F55332"/>
    <w:rsid w:val="00F55D22"/>
    <w:rsid w:val="00F56932"/>
    <w:rsid w:val="00F6156E"/>
    <w:rsid w:val="00F6504A"/>
    <w:rsid w:val="00F65519"/>
    <w:rsid w:val="00F66D9F"/>
    <w:rsid w:val="00F713C0"/>
    <w:rsid w:val="00F71DC6"/>
    <w:rsid w:val="00F72815"/>
    <w:rsid w:val="00F75DDC"/>
    <w:rsid w:val="00F7792F"/>
    <w:rsid w:val="00F805A9"/>
    <w:rsid w:val="00F842AA"/>
    <w:rsid w:val="00F8476F"/>
    <w:rsid w:val="00F853E1"/>
    <w:rsid w:val="00F85604"/>
    <w:rsid w:val="00F93809"/>
    <w:rsid w:val="00F9398D"/>
    <w:rsid w:val="00F94B7A"/>
    <w:rsid w:val="00FA17AC"/>
    <w:rsid w:val="00FA32DE"/>
    <w:rsid w:val="00FA3382"/>
    <w:rsid w:val="00FA5172"/>
    <w:rsid w:val="00FA59CD"/>
    <w:rsid w:val="00FB0CDC"/>
    <w:rsid w:val="00FB1740"/>
    <w:rsid w:val="00FB1AE5"/>
    <w:rsid w:val="00FB258A"/>
    <w:rsid w:val="00FB4235"/>
    <w:rsid w:val="00FB4443"/>
    <w:rsid w:val="00FC4446"/>
    <w:rsid w:val="00FC5469"/>
    <w:rsid w:val="00FC6D7D"/>
    <w:rsid w:val="00FD16B0"/>
    <w:rsid w:val="00FD4FED"/>
    <w:rsid w:val="00FE00C8"/>
    <w:rsid w:val="00FE0577"/>
    <w:rsid w:val="00FE2372"/>
    <w:rsid w:val="00FE2FF8"/>
    <w:rsid w:val="00FE59EC"/>
    <w:rsid w:val="00FE5B67"/>
    <w:rsid w:val="00FE60D6"/>
    <w:rsid w:val="00FE71F5"/>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794CAE"/>
  <w15:docId w15:val="{6CD786A3-B493-43AA-95EF-717BDF1C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3E19CE"/>
    <w:rPr>
      <w:vertAlign w:val="superscript"/>
    </w:rPr>
  </w:style>
  <w:style w:type="character" w:customStyle="1" w:styleId="FootnoteTextChar">
    <w:name w:val="Footnote Text Char"/>
    <w:basedOn w:val="DefaultParagraphFont"/>
    <w:link w:val="FootnoteText"/>
    <w:uiPriority w:val="99"/>
    <w:rsid w:val="007C6DD7"/>
  </w:style>
  <w:style w:type="paragraph" w:styleId="ListParagraph">
    <w:name w:val="List Paragraph"/>
    <w:basedOn w:val="Normal"/>
    <w:uiPriority w:val="1"/>
    <w:qFormat/>
    <w:rsid w:val="007C6DD7"/>
    <w:pPr>
      <w:widowControl w:val="0"/>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671D90"/>
    <w:rPr>
      <w:sz w:val="16"/>
      <w:szCs w:val="16"/>
    </w:rPr>
  </w:style>
  <w:style w:type="paragraph" w:styleId="Revision">
    <w:name w:val="Revision"/>
    <w:hidden/>
    <w:uiPriority w:val="99"/>
    <w:semiHidden/>
    <w:rsid w:val="002B7DC8"/>
    <w:rPr>
      <w:sz w:val="24"/>
      <w:szCs w:val="24"/>
    </w:rPr>
  </w:style>
  <w:style w:type="character" w:customStyle="1" w:styleId="CommentTextChar">
    <w:name w:val="Comment Text Char"/>
    <w:basedOn w:val="DefaultParagraphFont"/>
    <w:link w:val="CommentText"/>
    <w:semiHidden/>
    <w:rsid w:val="00AE0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A866E-E7B7-4286-B860-6021185C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10</Pages>
  <Words>3332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Bailey Lang</dc:creator>
  <cp:lastModifiedBy>Jackie Colson</cp:lastModifiedBy>
  <cp:revision>2</cp:revision>
  <cp:lastPrinted>2024-06-25T20:27:00Z</cp:lastPrinted>
  <dcterms:created xsi:type="dcterms:W3CDTF">2024-06-27T12:57:00Z</dcterms:created>
  <dcterms:modified xsi:type="dcterms:W3CDTF">2024-06-27T12:57:00Z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20230121-EG</vt:lpwstr>
  </property>
  <property fmtid="{D5CDD505-2E9C-101B-9397-08002B2CF9AE}" pid="3" name="MasterDocument">
    <vt:bool>false</vt:bool>
  </property>
</Properties>
</file>