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C6045" w:rsidP="001C6045">
      <w:pPr>
        <w:pStyle w:val="OrderHeading"/>
      </w:pPr>
      <w:r>
        <w:t>BEFORE THE FLORIDA PUBLIC SERVICE COMMISSION</w:t>
      </w:r>
    </w:p>
    <w:p w:rsidR="001C6045" w:rsidRDefault="001C6045" w:rsidP="001C604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C6045" w:rsidRPr="00C63FCF" w:rsidTr="00C63FCF">
        <w:trPr>
          <w:trHeight w:val="828"/>
        </w:trPr>
        <w:tc>
          <w:tcPr>
            <w:tcW w:w="4788" w:type="dxa"/>
            <w:tcBorders>
              <w:bottom w:val="nil"/>
              <w:right w:val="double" w:sz="6" w:space="0" w:color="auto"/>
            </w:tcBorders>
            <w:shd w:val="clear" w:color="auto" w:fill="auto"/>
          </w:tcPr>
          <w:p w:rsidR="001C6045" w:rsidRDefault="001C6045" w:rsidP="00C63FCF">
            <w:pPr>
              <w:pStyle w:val="OrderBody"/>
              <w:tabs>
                <w:tab w:val="center" w:pos="4320"/>
                <w:tab w:val="right" w:pos="8640"/>
              </w:tabs>
              <w:jc w:val="left"/>
            </w:pPr>
            <w:r>
              <w:t xml:space="preserve">In re: </w:t>
            </w:r>
            <w:bookmarkStart w:id="0" w:name="SMInRe"/>
            <w:bookmarkEnd w:id="0"/>
            <w:r>
              <w:t>Petition for limited proceeding for recovery of incremental storm restoration costs related to Hurricanes Elsa, Eta, Isaias, Ian, Nicole, and Tropical Storm Fred, by Duke Energy Florida, LLC.</w:t>
            </w:r>
          </w:p>
          <w:p w:rsidR="001C6045" w:rsidRDefault="001C604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C6045" w:rsidRDefault="001C6045" w:rsidP="00C63FCF">
            <w:pPr>
              <w:pStyle w:val="OrderBody"/>
              <w:tabs>
                <w:tab w:val="center" w:pos="4320"/>
                <w:tab w:val="right" w:pos="8640"/>
              </w:tabs>
              <w:jc w:val="left"/>
            </w:pPr>
            <w:r>
              <w:t xml:space="preserve">DOCKET NO. </w:t>
            </w:r>
            <w:bookmarkStart w:id="1" w:name="SMDocketNo"/>
            <w:bookmarkEnd w:id="1"/>
            <w:r>
              <w:t>20230020-EI</w:t>
            </w:r>
          </w:p>
        </w:tc>
      </w:tr>
      <w:tr w:rsidR="001C6045" w:rsidRPr="00C63FCF" w:rsidTr="00C63FCF">
        <w:trPr>
          <w:trHeight w:val="828"/>
        </w:trPr>
        <w:tc>
          <w:tcPr>
            <w:tcW w:w="4788" w:type="dxa"/>
            <w:tcBorders>
              <w:top w:val="nil"/>
              <w:bottom w:val="single" w:sz="8" w:space="0" w:color="auto"/>
              <w:right w:val="double" w:sz="6" w:space="0" w:color="auto"/>
            </w:tcBorders>
            <w:shd w:val="clear" w:color="auto" w:fill="auto"/>
          </w:tcPr>
          <w:p w:rsidR="001C6045" w:rsidRDefault="001C6045" w:rsidP="00C63FCF">
            <w:pPr>
              <w:pStyle w:val="OrderBody"/>
              <w:tabs>
                <w:tab w:val="center" w:pos="4320"/>
                <w:tab w:val="right" w:pos="8640"/>
              </w:tabs>
              <w:jc w:val="left"/>
            </w:pPr>
            <w:r>
              <w:t>In re: Petition for limited proceeding for recovery of incremental storm restoration costs related to Hurricane Idalia, by Duke Energy Florida, LLC.</w:t>
            </w:r>
          </w:p>
        </w:tc>
        <w:tc>
          <w:tcPr>
            <w:tcW w:w="4788" w:type="dxa"/>
            <w:tcBorders>
              <w:left w:val="double" w:sz="6" w:space="0" w:color="auto"/>
            </w:tcBorders>
            <w:shd w:val="clear" w:color="auto" w:fill="auto"/>
          </w:tcPr>
          <w:p w:rsidR="001C6045" w:rsidRDefault="001C6045" w:rsidP="001C6045">
            <w:pPr>
              <w:pStyle w:val="OrderBody"/>
            </w:pPr>
            <w:r>
              <w:t xml:space="preserve">DOCKET NO. </w:t>
            </w:r>
            <w:bookmarkStart w:id="2" w:name="SMDocketNo2"/>
            <w:bookmarkEnd w:id="2"/>
            <w:r>
              <w:t>20230116-EI</w:t>
            </w:r>
          </w:p>
          <w:p w:rsidR="001C6045" w:rsidRDefault="001C6045" w:rsidP="00C63FCF">
            <w:pPr>
              <w:pStyle w:val="OrderBody"/>
              <w:tabs>
                <w:tab w:val="center" w:pos="4320"/>
                <w:tab w:val="right" w:pos="8640"/>
              </w:tabs>
              <w:jc w:val="left"/>
            </w:pPr>
            <w:r>
              <w:t xml:space="preserve">ORDER NO. </w:t>
            </w:r>
            <w:bookmarkStart w:id="3" w:name="OrderNo0377"/>
            <w:r w:rsidR="00F0551E">
              <w:t>PSC-2024-0377-FOF-EI</w:t>
            </w:r>
            <w:bookmarkEnd w:id="3"/>
          </w:p>
          <w:p w:rsidR="001C6045" w:rsidRDefault="001C6045" w:rsidP="00C63FCF">
            <w:pPr>
              <w:pStyle w:val="OrderBody"/>
              <w:tabs>
                <w:tab w:val="center" w:pos="4320"/>
                <w:tab w:val="right" w:pos="8640"/>
              </w:tabs>
              <w:jc w:val="left"/>
            </w:pPr>
            <w:r>
              <w:t xml:space="preserve">ISSUED: </w:t>
            </w:r>
            <w:r w:rsidR="00F0551E">
              <w:t>August 27, 2024</w:t>
            </w:r>
          </w:p>
          <w:p w:rsidR="001C6045" w:rsidRDefault="001C6045" w:rsidP="00C63FCF">
            <w:pPr>
              <w:pStyle w:val="OrderBody"/>
              <w:tabs>
                <w:tab w:val="center" w:pos="4320"/>
                <w:tab w:val="right" w:pos="8640"/>
              </w:tabs>
              <w:jc w:val="left"/>
            </w:pPr>
          </w:p>
        </w:tc>
      </w:tr>
    </w:tbl>
    <w:p w:rsidR="001C6045" w:rsidRDefault="001C6045" w:rsidP="001C6045"/>
    <w:p w:rsidR="001C6045" w:rsidRDefault="001C6045" w:rsidP="00B67A43">
      <w:pPr>
        <w:ind w:firstLine="720"/>
        <w:jc w:val="both"/>
      </w:pPr>
      <w:bookmarkStart w:id="4" w:name="Commissioners"/>
      <w:bookmarkEnd w:id="4"/>
      <w:r>
        <w:t>The following Commissioners participated in the disposition of this matter:</w:t>
      </w:r>
    </w:p>
    <w:p w:rsidR="001C6045" w:rsidRDefault="001C6045" w:rsidP="00B67A43"/>
    <w:p w:rsidR="001C6045" w:rsidRDefault="001C6045" w:rsidP="00477699">
      <w:pPr>
        <w:jc w:val="center"/>
      </w:pPr>
      <w:r>
        <w:t>MIKE LA ROSA, Chairman</w:t>
      </w:r>
    </w:p>
    <w:p w:rsidR="001C6045" w:rsidRDefault="001C6045" w:rsidP="00B67A43">
      <w:pPr>
        <w:jc w:val="center"/>
      </w:pPr>
      <w:r>
        <w:t>ART GRAHAM</w:t>
      </w:r>
    </w:p>
    <w:p w:rsidR="001C6045" w:rsidRDefault="001C6045" w:rsidP="00B67A43">
      <w:pPr>
        <w:jc w:val="center"/>
      </w:pPr>
      <w:r>
        <w:t>GARY F. CLARK</w:t>
      </w:r>
    </w:p>
    <w:p w:rsidR="001C6045" w:rsidRDefault="001C6045" w:rsidP="00B67A43">
      <w:pPr>
        <w:jc w:val="center"/>
      </w:pPr>
      <w:r>
        <w:t>ANDREW GILES FAY</w:t>
      </w:r>
    </w:p>
    <w:p w:rsidR="001C6045" w:rsidRPr="005F2751" w:rsidRDefault="001C6045" w:rsidP="00B67A43">
      <w:pPr>
        <w:jc w:val="center"/>
      </w:pPr>
      <w:r w:rsidRPr="005F2751">
        <w:rPr>
          <w:lang w:val="en"/>
        </w:rPr>
        <w:t>GABRIELLA PASSIDOMO</w:t>
      </w:r>
    </w:p>
    <w:p w:rsidR="00CB5276" w:rsidRDefault="00CB5276">
      <w:pPr>
        <w:pStyle w:val="OrderBody"/>
      </w:pPr>
    </w:p>
    <w:p w:rsidR="001C6045" w:rsidRDefault="001C6045" w:rsidP="001C6045">
      <w:pPr>
        <w:pStyle w:val="CenterUnderline"/>
      </w:pPr>
      <w:r>
        <w:t>ORDER</w:t>
      </w:r>
      <w:bookmarkStart w:id="5" w:name="OrderTitle"/>
      <w:r>
        <w:t xml:space="preserve"> GRANTING PETITION</w:t>
      </w:r>
      <w:r w:rsidR="0082153D">
        <w:t>S</w:t>
      </w:r>
      <w:r>
        <w:t xml:space="preserve"> OF DUKE ENERGY FLORIDA, LLC</w:t>
      </w:r>
    </w:p>
    <w:p w:rsidR="001C6045" w:rsidRDefault="001C6045" w:rsidP="001C6045">
      <w:pPr>
        <w:pStyle w:val="CenterUnderline"/>
      </w:pPr>
      <w:r>
        <w:t xml:space="preserve">FOR RECOVERY OF INCREMENTAL STORM RESTORATION COSTS </w:t>
      </w:r>
      <w:bookmarkEnd w:id="5"/>
    </w:p>
    <w:p w:rsidR="00C07CDE" w:rsidRDefault="00C07CDE" w:rsidP="00D451EE">
      <w:pPr>
        <w:pStyle w:val="OrderBody"/>
        <w:jc w:val="center"/>
        <w:rPr>
          <w:u w:val="single"/>
        </w:rPr>
      </w:pPr>
      <w:bookmarkStart w:id="6" w:name="OrderText"/>
      <w:bookmarkEnd w:id="6"/>
    </w:p>
    <w:p w:rsidR="00C07CDE" w:rsidRPr="00C07CDE" w:rsidRDefault="00C07CDE" w:rsidP="00C07CDE">
      <w:pPr>
        <w:pStyle w:val="OrderBody"/>
      </w:pPr>
      <w:r w:rsidRPr="00C07CDE">
        <w:t>APPEARANCES:</w:t>
      </w:r>
    </w:p>
    <w:p w:rsidR="00C07CDE" w:rsidRPr="00C07CDE" w:rsidRDefault="00C07CDE" w:rsidP="00C07CDE">
      <w:pPr>
        <w:pStyle w:val="OrderBody"/>
      </w:pPr>
    </w:p>
    <w:p w:rsidR="00C07CDE" w:rsidRDefault="00C07CDE" w:rsidP="00C07CDE">
      <w:pPr>
        <w:ind w:left="1440"/>
        <w:jc w:val="both"/>
      </w:pPr>
      <w:r>
        <w:t>MATTHEW R. BERNIER</w:t>
      </w:r>
      <w:r w:rsidRPr="00701945">
        <w:t xml:space="preserve">, </w:t>
      </w:r>
      <w:r>
        <w:t xml:space="preserve">STEPHANIE A. CUELLO, </w:t>
      </w:r>
      <w:r w:rsidRPr="00701945">
        <w:t>ESQUIRE</w:t>
      </w:r>
      <w:r>
        <w:t>S</w:t>
      </w:r>
      <w:r w:rsidRPr="00701945">
        <w:t xml:space="preserve">, </w:t>
      </w:r>
      <w:r>
        <w:t>106 East College Avenue, Tallahassee, Florida 32301; and DIANNE M. TRIPLETT, Deputy General Counsel, 299 First Avenue North, St. Petersburg, Florida 33701</w:t>
      </w:r>
    </w:p>
    <w:p w:rsidR="00C07CDE" w:rsidRPr="00701945" w:rsidRDefault="00C07CDE" w:rsidP="00C07CDE">
      <w:pPr>
        <w:ind w:left="720" w:firstLine="720"/>
        <w:jc w:val="both"/>
      </w:pPr>
      <w:r w:rsidRPr="00701945">
        <w:rPr>
          <w:u w:val="single"/>
        </w:rPr>
        <w:t xml:space="preserve">On behalf of </w:t>
      </w:r>
      <w:r>
        <w:rPr>
          <w:u w:val="single"/>
        </w:rPr>
        <w:t>Duke Energy Florida, LLC (DEF)</w:t>
      </w:r>
      <w:r w:rsidRPr="00701945">
        <w:t>.</w:t>
      </w:r>
    </w:p>
    <w:p w:rsidR="00C07CDE" w:rsidRPr="00701945" w:rsidRDefault="00C07CDE" w:rsidP="00C07CDE">
      <w:pPr>
        <w:jc w:val="both"/>
      </w:pPr>
    </w:p>
    <w:p w:rsidR="00C07CDE" w:rsidRPr="002D059E" w:rsidRDefault="00C07CDE" w:rsidP="00C07CDE">
      <w:pPr>
        <w:ind w:left="1440"/>
        <w:jc w:val="both"/>
      </w:pPr>
      <w:r w:rsidRPr="002D059E">
        <w:t>WALT</w:t>
      </w:r>
      <w:r>
        <w:t xml:space="preserve"> TRIERWEILER, Public Counsel, CHARLES REHWINKEL, Deputy Public Counsel, Office of Public Counsel, c/o Florida Legislature, 111 West Madison Street, Room 812, Tallahassee, Florida 32399-1400</w:t>
      </w:r>
    </w:p>
    <w:p w:rsidR="00C07CDE" w:rsidRDefault="00C07CDE" w:rsidP="00C07CDE">
      <w:pPr>
        <w:ind w:left="720" w:firstLine="720"/>
        <w:jc w:val="both"/>
      </w:pPr>
      <w:r w:rsidRPr="00701945">
        <w:rPr>
          <w:u w:val="single"/>
        </w:rPr>
        <w:t xml:space="preserve">On behalf of </w:t>
      </w:r>
      <w:r>
        <w:rPr>
          <w:u w:val="single"/>
        </w:rPr>
        <w:t>Citizens of the State of Florida (OPC)</w:t>
      </w:r>
      <w:r w:rsidRPr="00701945">
        <w:t xml:space="preserve">. </w:t>
      </w:r>
    </w:p>
    <w:p w:rsidR="00C07CDE" w:rsidRDefault="00C07CDE" w:rsidP="00C07CDE">
      <w:pPr>
        <w:ind w:left="720" w:firstLine="720"/>
        <w:jc w:val="both"/>
      </w:pPr>
    </w:p>
    <w:p w:rsidR="00C07CDE" w:rsidRDefault="00C07CDE" w:rsidP="00C07CDE">
      <w:pPr>
        <w:ind w:left="1440"/>
        <w:jc w:val="both"/>
      </w:pPr>
      <w:r>
        <w:t>STEPHANIE U. EATON, ESQUIRE, Spilman Thomas &amp; Battle, PLLC, 110 Oakwood Drive, Suite 500, Winston-Salem, NC 27103 and STEVEN W. LEE,  Spilman Thomas &amp; Battle, PLLC, 110 Bent Creek Boulevard, Suite 101, Mechanicsburg, PA 17050</w:t>
      </w:r>
    </w:p>
    <w:p w:rsidR="00C07CDE" w:rsidRDefault="00C07CDE" w:rsidP="00C07CDE">
      <w:pPr>
        <w:ind w:left="1440"/>
        <w:jc w:val="both"/>
        <w:rPr>
          <w:u w:val="single"/>
        </w:rPr>
      </w:pPr>
      <w:r>
        <w:rPr>
          <w:u w:val="single"/>
        </w:rPr>
        <w:t>On behalf of Walmart, Inc. (Walmart).</w:t>
      </w:r>
    </w:p>
    <w:p w:rsidR="00C07CDE" w:rsidRDefault="00C07CDE" w:rsidP="00C07CDE">
      <w:pPr>
        <w:ind w:left="1440"/>
        <w:jc w:val="both"/>
        <w:rPr>
          <w:u w:val="single"/>
        </w:rPr>
      </w:pPr>
    </w:p>
    <w:p w:rsidR="00C07CDE" w:rsidRDefault="00C07CDE" w:rsidP="00C07CDE">
      <w:pPr>
        <w:ind w:left="1440"/>
        <w:jc w:val="both"/>
      </w:pPr>
      <w:r w:rsidRPr="006D10FB">
        <w:t xml:space="preserve">JAMES W. BREW </w:t>
      </w:r>
      <w:r>
        <w:t>and LAURA WYNN BAKER, ESQUIRES, Stone Mattheis Xenopoulos &amp; Brew, PC, 1025 Thomas Jefferson Street, NW, Suite 800 West, Washington, DC 20007-5201</w:t>
      </w:r>
    </w:p>
    <w:p w:rsidR="00C07CDE" w:rsidRPr="006D10FB" w:rsidRDefault="00C07CDE" w:rsidP="00C07CDE">
      <w:pPr>
        <w:ind w:left="1440"/>
        <w:jc w:val="both"/>
        <w:rPr>
          <w:u w:val="single"/>
        </w:rPr>
      </w:pPr>
      <w:r>
        <w:rPr>
          <w:u w:val="single"/>
        </w:rPr>
        <w:lastRenderedPageBreak/>
        <w:t>On behalf of White Springs Agricultural Chemicals, Inc. d/b/a PCS-Phosphate –White Springs (PCS Phosphate).</w:t>
      </w:r>
    </w:p>
    <w:p w:rsidR="00C07CDE" w:rsidRPr="00701945" w:rsidRDefault="00C07CDE" w:rsidP="00C07CDE">
      <w:pPr>
        <w:jc w:val="both"/>
      </w:pPr>
    </w:p>
    <w:p w:rsidR="00C07CDE" w:rsidRPr="00701945" w:rsidRDefault="00C07CDE" w:rsidP="00C07CDE">
      <w:pPr>
        <w:ind w:left="1440"/>
        <w:jc w:val="both"/>
      </w:pPr>
      <w:r>
        <w:t>SUZANNE BROWNLESS</w:t>
      </w:r>
      <w:r w:rsidRPr="00701945">
        <w:t>, ESQUIRE, Florida Public Service Commission, 2540 Shumard Oak Boulevard, Tallahassee, Florida 32399-0850</w:t>
      </w:r>
    </w:p>
    <w:p w:rsidR="00C07CDE" w:rsidRPr="00701945" w:rsidRDefault="00C07CDE" w:rsidP="00C07CDE">
      <w:pPr>
        <w:ind w:left="720" w:firstLine="720"/>
        <w:jc w:val="both"/>
      </w:pPr>
      <w:r w:rsidRPr="00701945">
        <w:rPr>
          <w:u w:val="single"/>
        </w:rPr>
        <w:t>On behalf of the Florida Public Service Commission</w:t>
      </w:r>
      <w:r>
        <w:rPr>
          <w:u w:val="single"/>
        </w:rPr>
        <w:t xml:space="preserve"> (Staff)</w:t>
      </w:r>
      <w:r w:rsidRPr="00701945">
        <w:t>.</w:t>
      </w:r>
    </w:p>
    <w:p w:rsidR="00C07CDE" w:rsidRPr="00701945" w:rsidRDefault="00C07CDE" w:rsidP="00C07CDE">
      <w:pPr>
        <w:jc w:val="both"/>
      </w:pPr>
    </w:p>
    <w:p w:rsidR="00C07CDE" w:rsidRPr="00701945" w:rsidRDefault="00C07CDE" w:rsidP="00C07CDE">
      <w:pPr>
        <w:ind w:left="1440"/>
        <w:jc w:val="both"/>
      </w:pPr>
      <w:r>
        <w:t>MARY ANNE HELTON, ESQUIRE, Deputy General Counsel,</w:t>
      </w:r>
      <w:r w:rsidRPr="00701945">
        <w:t xml:space="preserve"> Florida Public Service Commission, 2540 Shumard Oak Boulevard, Tallahassee, Florida 32399-0850</w:t>
      </w:r>
    </w:p>
    <w:p w:rsidR="00C07CDE" w:rsidRDefault="00C07CDE" w:rsidP="00C07CDE">
      <w:pPr>
        <w:ind w:left="720" w:firstLine="720"/>
        <w:jc w:val="both"/>
      </w:pPr>
      <w:r>
        <w:rPr>
          <w:u w:val="single"/>
        </w:rPr>
        <w:t>Advisor to the</w:t>
      </w:r>
      <w:r w:rsidRPr="00701945">
        <w:rPr>
          <w:u w:val="single"/>
        </w:rPr>
        <w:t xml:space="preserve"> Florida Public Service Commission</w:t>
      </w:r>
      <w:r w:rsidRPr="00701945">
        <w:t>.</w:t>
      </w:r>
    </w:p>
    <w:p w:rsidR="00C07CDE" w:rsidRPr="00701945" w:rsidRDefault="00C07CDE" w:rsidP="00C07CDE">
      <w:pPr>
        <w:ind w:left="720" w:firstLine="720"/>
        <w:jc w:val="both"/>
      </w:pPr>
    </w:p>
    <w:p w:rsidR="00C07CDE" w:rsidRPr="00D033EB" w:rsidRDefault="00C07CDE" w:rsidP="00C07CDE">
      <w:pPr>
        <w:ind w:left="1440"/>
        <w:jc w:val="both"/>
      </w:pPr>
      <w:r w:rsidRPr="00D033EB">
        <w:t>K</w:t>
      </w:r>
      <w:r>
        <w:t>EITH C. HETRICK</w:t>
      </w:r>
      <w:r w:rsidRPr="00D033EB">
        <w:t>, ESQUIRE, General Counsel, Florida Public Service Commission, 2540 Shumard Oak Boulevard, Tallahassee, Florida 32399-0850</w:t>
      </w:r>
    </w:p>
    <w:p w:rsidR="00C07CDE" w:rsidRPr="00D033EB" w:rsidRDefault="00C07CDE" w:rsidP="00C07CDE">
      <w:pPr>
        <w:ind w:left="720" w:firstLine="720"/>
        <w:jc w:val="both"/>
      </w:pPr>
      <w:r w:rsidRPr="00D033EB">
        <w:rPr>
          <w:u w:val="single"/>
        </w:rPr>
        <w:t>Florida Public Service Commission General Counsel</w:t>
      </w:r>
    </w:p>
    <w:p w:rsidR="00C07CDE" w:rsidRPr="00C07CDE" w:rsidRDefault="00C07CDE" w:rsidP="00C07CDE">
      <w:pPr>
        <w:pStyle w:val="OrderBody"/>
        <w:rPr>
          <w:u w:val="single"/>
        </w:rPr>
      </w:pPr>
    </w:p>
    <w:p w:rsidR="00D451EE" w:rsidRPr="00D451EE" w:rsidRDefault="00C07CDE" w:rsidP="00D451EE">
      <w:pPr>
        <w:pStyle w:val="OrderBody"/>
        <w:jc w:val="center"/>
        <w:rPr>
          <w:u w:val="single"/>
        </w:rPr>
      </w:pPr>
      <w:r>
        <w:rPr>
          <w:u w:val="single"/>
        </w:rPr>
        <w:t>BA</w:t>
      </w:r>
      <w:r w:rsidR="00D451EE" w:rsidRPr="00D451EE">
        <w:rPr>
          <w:u w:val="single"/>
        </w:rPr>
        <w:t>CKGROUND</w:t>
      </w:r>
    </w:p>
    <w:p w:rsidR="00D451EE" w:rsidRDefault="00D451EE" w:rsidP="00D451EE">
      <w:pPr>
        <w:pStyle w:val="OrderBody"/>
        <w:jc w:val="center"/>
      </w:pPr>
    </w:p>
    <w:p w:rsidR="001C6045" w:rsidRDefault="001C6045" w:rsidP="001C6045">
      <w:pPr>
        <w:ind w:firstLine="720"/>
        <w:jc w:val="both"/>
      </w:pPr>
      <w:r>
        <w:t>On January 23,</w:t>
      </w:r>
      <w:r>
        <w:rPr>
          <w:vertAlign w:val="superscript"/>
        </w:rPr>
        <w:t xml:space="preserve"> </w:t>
      </w:r>
      <w:r>
        <w:t>2023, Duke Energy Florida, LLC (DEF or Company) filed a petition for a limited proceeding seeking authority to recover $442.1 million for the incremental storm restoration costs related to Hurricanes Elsa, Eta, Ian, Isaias, and Nicole and Tropical Storm Fred (Storms),</w:t>
      </w:r>
      <w:r w:rsidRPr="00297EAE">
        <w:t xml:space="preserve"> </w:t>
      </w:r>
      <w:r>
        <w:t>as well as replenish its storm reserve.</w:t>
      </w:r>
      <w:r>
        <w:rPr>
          <w:rStyle w:val="FootnoteReference"/>
        </w:rPr>
        <w:footnoteReference w:id="1"/>
      </w:r>
      <w:r>
        <w:t xml:space="preserve">  This amount includes approximately $4.5 million in interest.  DEF filed its petition pursuant to the provisions of the 2021 Settlement Agreement (2021 Settlement) approved by Order No. PSC-2021-0202A-AS-EI.  By Order No. PSC-2023-0111-PCO-EI, issued March 23, 2023, in Docket No. 20230020-EI, </w:t>
      </w:r>
      <w:r w:rsidR="001B2256">
        <w:t xml:space="preserve">we </w:t>
      </w:r>
      <w:r>
        <w:t xml:space="preserve">granted DEF’s request to recover these costs through an interim storm restoration recovery surcharge.  The interim surcharges, made subject to true-up, was made effective with the first billing cycle of April 2023, ending the earlier of full recovery or with the last billing cycle of March 2024, whichever occurs first.  The intervention of the Office of Public Counsel (OPC) was recognized by Order No. PSC-2023-0085-PCO-EI, issued February 15, 2023.  Walmart, Inc. (Walmart) filed a petition to intervene on March 6, 2023, which was granted by Order No. PSC-2023-0377-PCO-EI, issued December 20, 2023.  </w:t>
      </w:r>
      <w:r w:rsidRPr="00AE2686">
        <w:t xml:space="preserve">White Springs Agricultural Chemicals, Inc. d/b/a PCS Phosphate –White Springs (PCS Phosphate) </w:t>
      </w:r>
      <w:r>
        <w:t xml:space="preserve">also </w:t>
      </w:r>
      <w:r w:rsidRPr="00AE2686">
        <w:t>requested permission to intervene in this proceeding</w:t>
      </w:r>
      <w:r>
        <w:t>, which was granted by Order No. PSC-2024-0098-PCO-EI, issued April 17, 2024</w:t>
      </w:r>
      <w:r w:rsidRPr="00AE2686">
        <w:t>.</w:t>
      </w:r>
    </w:p>
    <w:p w:rsidR="001C6045" w:rsidRDefault="001C6045" w:rsidP="001C6045">
      <w:pPr>
        <w:jc w:val="both"/>
      </w:pPr>
    </w:p>
    <w:p w:rsidR="001C6045" w:rsidRDefault="001C6045" w:rsidP="001C6045">
      <w:pPr>
        <w:ind w:firstLine="720"/>
        <w:jc w:val="both"/>
      </w:pPr>
      <w:r>
        <w:t xml:space="preserve">On September 29, 2023, DEF filed its petition for approval of actual costs related to the Storms, in the amount of $431.4 million, an approximate reduction of $10.7 million.  DEF also requested to continue the storm restoration charge through the end of March 2024, as initially approved in Order No. PSC-2023-0111-PCO-EI.  DEF requested that the disposition of any </w:t>
      </w:r>
      <w:r>
        <w:lastRenderedPageBreak/>
        <w:t xml:space="preserve">over- or under- recovery be handled through the capacity cost recovery clause. </w:t>
      </w:r>
      <w:r w:rsidR="000312AD">
        <w:t xml:space="preserve"> </w:t>
      </w:r>
      <w:r>
        <w:t>Docket No. 20230020-EI was set for hearing on May 21-22, 2024.</w:t>
      </w:r>
      <w:r>
        <w:rPr>
          <w:rStyle w:val="FootnoteReference"/>
        </w:rPr>
        <w:footnoteReference w:id="2"/>
      </w:r>
      <w:r>
        <w:t xml:space="preserve"> </w:t>
      </w:r>
    </w:p>
    <w:p w:rsidR="001C6045" w:rsidRDefault="001C6045" w:rsidP="001C6045">
      <w:pPr>
        <w:jc w:val="both"/>
      </w:pPr>
    </w:p>
    <w:p w:rsidR="001C6045" w:rsidRDefault="001C6045" w:rsidP="000312AD">
      <w:pPr>
        <w:ind w:firstLine="720"/>
        <w:jc w:val="both"/>
      </w:pPr>
      <w:r>
        <w:t xml:space="preserve">On October 16, 2023, the Company filed a petition for a limited proceeding in Docket No. 20230116-EI seeking authority to implement an interim storm restoration recovery surcharge to recover approximately $166.1 million in incremental storm restoration costs, replenishment of the storm reserve, and interest related to Hurricane Idalia, to begin with the first billing cycle of January 2024 through December 31, 2024, subject to final true-up. </w:t>
      </w:r>
      <w:r w:rsidR="000312AD">
        <w:t xml:space="preserve"> </w:t>
      </w:r>
      <w:r>
        <w:t xml:space="preserve">The Company requested approval to include and spread the recovery of the remaining interim incremental storm restoration costs for the Storms in the surcharge for Hurricane Idalia, thereby amending the currently-approved surcharge. </w:t>
      </w:r>
      <w:r w:rsidR="000312AD">
        <w:t xml:space="preserve"> </w:t>
      </w:r>
      <w:r w:rsidRPr="00DC47C9">
        <w:t>The $166.1 million includes $73.9 million related to the uncollected restoration costs from the Storms and $91.9 million related to Hurricane Idalia.</w:t>
      </w:r>
      <w:r>
        <w:t xml:space="preserve"> Order No. PSC-2023-0375-PCO-EI, issued December 19, 2023, approved the consolidated storm restoration recovery surcharge subject to final true-up. </w:t>
      </w:r>
    </w:p>
    <w:p w:rsidR="001C6045" w:rsidRDefault="001C6045" w:rsidP="001C6045">
      <w:pPr>
        <w:jc w:val="both"/>
      </w:pPr>
    </w:p>
    <w:p w:rsidR="001C6045" w:rsidRDefault="001C6045" w:rsidP="000312AD">
      <w:pPr>
        <w:ind w:firstLine="720"/>
        <w:jc w:val="both"/>
      </w:pPr>
      <w:r>
        <w:t xml:space="preserve">Docket Nos. 20230020-EI and 20230116-EI were consolidated by Order No. PSC-2024-0151-PHO-EI, issued May 14, 2024, placing the costs for the Storms and for Hurricane Idalia at issue in the final hearing held on May 21-22, 2024. </w:t>
      </w:r>
      <w:r w:rsidR="000312AD">
        <w:t xml:space="preserve"> </w:t>
      </w:r>
      <w:r>
        <w:t xml:space="preserve">At the final hearing, the testimonies of Shelly Ross, William T. Fountain, Carl Vinson, Tomer Kopelovich, Christopher Menendez and Lisa Perry were admitted into the record. </w:t>
      </w:r>
      <w:r w:rsidR="000312AD">
        <w:t xml:space="preserve"> </w:t>
      </w:r>
      <w:r>
        <w:t>Exhibits 1-21 were also admitted into the record.</w:t>
      </w:r>
      <w:r w:rsidR="000312AD">
        <w:t xml:space="preserve">  </w:t>
      </w:r>
    </w:p>
    <w:p w:rsidR="001C6045" w:rsidRDefault="001C6045" w:rsidP="001C6045">
      <w:pPr>
        <w:jc w:val="both"/>
      </w:pPr>
    </w:p>
    <w:p w:rsidR="001C6045" w:rsidRDefault="001C6045" w:rsidP="000312AD">
      <w:pPr>
        <w:ind w:firstLine="720"/>
        <w:jc w:val="both"/>
      </w:pPr>
      <w:r>
        <w:t>All parties have either agreed with, or taken no position, on Issues 1-15 and 18-19 in th</w:t>
      </w:r>
      <w:r w:rsidR="001B2256">
        <w:t>ese</w:t>
      </w:r>
      <w:r>
        <w:t xml:space="preserve"> docket</w:t>
      </w:r>
      <w:r w:rsidR="001B2256">
        <w:t>s</w:t>
      </w:r>
      <w:r>
        <w:t>; those issues deal with the actual dollar amounts for costs recoverable under DEF’s 2017 and 2021 Settlement Agreements.</w:t>
      </w:r>
      <w:r>
        <w:rPr>
          <w:rStyle w:val="FootnoteReference"/>
        </w:rPr>
        <w:footnoteReference w:id="3"/>
      </w:r>
      <w:r>
        <w:t xml:space="preserve"> </w:t>
      </w:r>
      <w:r w:rsidR="000312AD">
        <w:t xml:space="preserve"> </w:t>
      </w:r>
      <w:r w:rsidR="00ED5880">
        <w:t xml:space="preserve">We approved these stipulated issues </w:t>
      </w:r>
      <w:r>
        <w:t>at the May 21 final hearing, resulting in prudent and reasonable retail Total Recoverable Storm Costs of $431,380,637 plus estimated interest</w:t>
      </w:r>
      <w:r w:rsidR="00C07CDE">
        <w:t xml:space="preserve">, attached hereto as </w:t>
      </w:r>
      <w:r w:rsidR="00ED5880">
        <w:t>Attachment A</w:t>
      </w:r>
      <w:r w:rsidR="00C07CDE">
        <w:t xml:space="preserve"> to this order.</w:t>
      </w:r>
      <w:r w:rsidR="00ED5880">
        <w:t xml:space="preserve"> </w:t>
      </w:r>
      <w:r>
        <w:t>The two remaining issues</w:t>
      </w:r>
      <w:r w:rsidR="00ED5880">
        <w:t xml:space="preserve"> which were litigated at the May 21 hearing </w:t>
      </w:r>
      <w:r>
        <w:t>are Issue 16: Should any cost recovery approved in this docket be recovered from demand-metered customers through the demand charge? and Issue 17: If applicable, how should any under-recovery or over-recovery be handled?</w:t>
      </w:r>
      <w:r w:rsidR="00ED5880">
        <w:t xml:space="preserve">  </w:t>
      </w:r>
      <w:r w:rsidR="00D451EE">
        <w:t xml:space="preserve">With regard to these issues, Christopher Menendez and Lisa Perry testified at the final hearing on behalf of DEF and Walmart, respectively.  </w:t>
      </w:r>
      <w:r>
        <w:t xml:space="preserve">Post-hearing briefs addressing these </w:t>
      </w:r>
      <w:r w:rsidR="00D451EE">
        <w:t xml:space="preserve">two </w:t>
      </w:r>
      <w:r>
        <w:t>issues were filed by DEF, PCS Phosphate, and Walmart on June 14, 2024.</w:t>
      </w:r>
    </w:p>
    <w:p w:rsidR="001C6045" w:rsidRDefault="001C6045" w:rsidP="001C6045">
      <w:pPr>
        <w:jc w:val="both"/>
      </w:pPr>
    </w:p>
    <w:p w:rsidR="001C6045" w:rsidRDefault="00ED5880" w:rsidP="00ED5880">
      <w:pPr>
        <w:pStyle w:val="OrderBody"/>
        <w:ind w:firstLine="720"/>
      </w:pPr>
      <w:r>
        <w:t xml:space="preserve">We have </w:t>
      </w:r>
      <w:r w:rsidR="001C6045">
        <w:t>jurisdiction over this matter pursuant to Sections 366.04, 366.05, 366.06, and 366.076, Florida Statutes (F.S.).</w:t>
      </w:r>
    </w:p>
    <w:p w:rsidR="001B2256" w:rsidRDefault="001B2256" w:rsidP="00ED5880">
      <w:pPr>
        <w:pStyle w:val="OrderBody"/>
        <w:ind w:firstLine="720"/>
      </w:pPr>
    </w:p>
    <w:p w:rsidR="001B2256" w:rsidRDefault="001B2256" w:rsidP="00ED5880">
      <w:pPr>
        <w:pStyle w:val="OrderBody"/>
        <w:ind w:firstLine="720"/>
      </w:pPr>
    </w:p>
    <w:p w:rsidR="00824E2C" w:rsidRPr="00824E2C" w:rsidRDefault="00A767D4" w:rsidP="00D451EE">
      <w:pPr>
        <w:pStyle w:val="OrderBody"/>
        <w:ind w:firstLine="720"/>
        <w:jc w:val="center"/>
        <w:rPr>
          <w:u w:val="single"/>
        </w:rPr>
      </w:pPr>
      <w:r>
        <w:rPr>
          <w:u w:val="single"/>
        </w:rPr>
        <w:lastRenderedPageBreak/>
        <w:t>DECISION</w:t>
      </w:r>
    </w:p>
    <w:p w:rsidR="00824E2C" w:rsidRDefault="00824E2C" w:rsidP="00D451EE">
      <w:pPr>
        <w:pStyle w:val="OrderBody"/>
        <w:ind w:firstLine="720"/>
        <w:jc w:val="center"/>
      </w:pPr>
    </w:p>
    <w:p w:rsidR="00031302" w:rsidRDefault="00031302" w:rsidP="00031302">
      <w:pPr>
        <w:rPr>
          <w:u w:val="single"/>
        </w:rPr>
      </w:pPr>
      <w:r>
        <w:tab/>
      </w:r>
      <w:r w:rsidRPr="00031302">
        <w:rPr>
          <w:u w:val="single"/>
        </w:rPr>
        <w:t>Rec</w:t>
      </w:r>
      <w:r>
        <w:rPr>
          <w:u w:val="single"/>
        </w:rPr>
        <w:t xml:space="preserve">overy method for demand-metered customers </w:t>
      </w:r>
    </w:p>
    <w:p w:rsidR="00031302" w:rsidRDefault="00031302" w:rsidP="00031302">
      <w:pPr>
        <w:rPr>
          <w:u w:val="single"/>
        </w:rPr>
      </w:pPr>
    </w:p>
    <w:p w:rsidR="00824E2C" w:rsidRDefault="00824E2C" w:rsidP="00824E2C">
      <w:pPr>
        <w:pStyle w:val="BodyText"/>
        <w:ind w:firstLine="720"/>
        <w:jc w:val="both"/>
      </w:pPr>
      <w:r>
        <w:t>DEF argues that the storm restoration costs should be recovered from all classes of customers via a non-fuel energy charge, i.e., $/kWh basis.  In support of this position, DEF makes four arguments.  First, the collection of the surcharges on an energy basis was approved by two separate orders, Order No. PSC-2023-0111-PCO-EI, issued March 23, 2023, and Order No. PSC-2023-0375-PCO-EI, issued December 19, 2023.  Order No. PSC-2023-0111-PCO-EI approved a storm restoration surcharge recovery tariff for demand customers based on an energy charge.</w:t>
      </w:r>
      <w:r>
        <w:rPr>
          <w:rStyle w:val="FootnoteReference"/>
        </w:rPr>
        <w:footnoteReference w:id="4"/>
      </w:r>
      <w:r>
        <w:t xml:space="preserve">  Order No. PSC-2023-0375-PCO-EI approved a consolidated storm restoration recovery surcharge for all customer classes to be included in the “non-fuel energy charge on customer bills.”</w:t>
      </w:r>
      <w:r>
        <w:rPr>
          <w:rStyle w:val="FootnoteReference"/>
        </w:rPr>
        <w:footnoteReference w:id="5"/>
      </w:r>
      <w:r>
        <w:t xml:space="preserve">  Order No. PSC-2023-0375-PCO-EI further stated that “(t)he proposed interim storm restoration recovery factors shall remain in effect until a final true-up is approved by this Commission.”</w:t>
      </w:r>
      <w:r>
        <w:rPr>
          <w:rStyle w:val="FootnoteReference"/>
        </w:rPr>
        <w:footnoteReference w:id="6"/>
      </w:r>
      <w:r>
        <w:t xml:space="preserve"> </w:t>
      </w:r>
    </w:p>
    <w:p w:rsidR="00824E2C" w:rsidRDefault="00824E2C" w:rsidP="00824E2C">
      <w:pPr>
        <w:pStyle w:val="BodyText"/>
        <w:ind w:firstLine="720"/>
        <w:jc w:val="both"/>
      </w:pPr>
      <w:r>
        <w:t xml:space="preserve">DEF states that Walmart filed its request for intervention on March 6, 2023, but did not appear at the March 7, 2023 Commission Conference to voice its opposition to billing of the first storm restoration surcharge via an energy charge.  And although Walmart did e-mail comments to the parties and Commission staff on March 7th objecting to the energy billing for demand customers, it did not file for reconsideration of Order No. PSC-2023-0111-PCO-EI approving energy billing.  Further, when DEF later petitioned for a consolidation of the first surcharge with a surcharge for Hurricane Idalia storm restoration recovery costs, Walmart did not appear at all at the December 5, 2023 Commission Conference at which the consolidated energy charge was approved and did not file for reconsideration of Order No. PSC-2023-0375-PCO-EI. </w:t>
      </w:r>
    </w:p>
    <w:p w:rsidR="00824E2C" w:rsidRDefault="00824E2C" w:rsidP="00824E2C">
      <w:pPr>
        <w:pStyle w:val="BodyText"/>
        <w:ind w:firstLine="720"/>
        <w:jc w:val="both"/>
      </w:pPr>
      <w:r>
        <w:t xml:space="preserve">Second, DEF argues that if Walmart’s request to stop recovering storm restoration costs through an energy charge for demand side customers is granted, the time needed to develop, test and implement a new charge could not take place before DEF’s October billing cycle at the earliest.  That being the case, the charge would only be in effect for three months of the twenty-one month recovery period.  Changing the billing process this late in the process, DEF witness Menendez testified, would lead to customer confusion and frustration.  </w:t>
      </w:r>
    </w:p>
    <w:p w:rsidR="00824E2C" w:rsidRDefault="00824E2C" w:rsidP="00824E2C">
      <w:pPr>
        <w:pStyle w:val="BodyText"/>
        <w:ind w:firstLine="720"/>
        <w:jc w:val="both"/>
      </w:pPr>
      <w:r>
        <w:t xml:space="preserve">Third, DEF states that changing the method of collection would be the wrong policy.  The types of costs recovered through a storm restoration surcharge are directly related to restoring electric service – energy - to all customers.  Restoration of the electric grid benefits all customers equally regardless of how they are billed.  DEF further argues that Walmart’s attempt to compare storm restoration costs to storm hardening costs is incorrect.  </w:t>
      </w:r>
    </w:p>
    <w:p w:rsidR="00824E2C" w:rsidRDefault="00824E2C" w:rsidP="00824E2C">
      <w:pPr>
        <w:pStyle w:val="BodyText"/>
        <w:ind w:firstLine="720"/>
        <w:jc w:val="both"/>
      </w:pPr>
      <w:r>
        <w:t xml:space="preserve">Fourth, DEF argues that the Commission staff and Walmart have interpreted the term “interim” in the phrase “interim storm restoration recovery charge” incorrectly.  DEF states that Walmart and Commission staff interpret “interim” to mean that the surcharges approved by Order Nos. PSC-2023-0111-PCO-EI and PSC-2023-0375-CFO-EI are not final but are subject to modification. DEF contends that “interim” simply means the limited period between </w:t>
      </w:r>
      <w:r>
        <w:lastRenderedPageBreak/>
        <w:t>implementation of the surcharge and determination of final storm restoration costs and calculation of refund or true-up charges.</w:t>
      </w:r>
    </w:p>
    <w:p w:rsidR="00824E2C" w:rsidRDefault="00824E2C" w:rsidP="00824E2C">
      <w:pPr>
        <w:pStyle w:val="BodyText"/>
        <w:ind w:firstLine="720"/>
        <w:jc w:val="both"/>
      </w:pPr>
      <w:r>
        <w:t xml:space="preserve">Walmart contends that </w:t>
      </w:r>
      <w:r w:rsidR="002E4E4F">
        <w:t xml:space="preserve">we </w:t>
      </w:r>
      <w:r>
        <w:t>should require DEF to recover storm restoration costs on a going forward basis from demand-metered customers through the demand charge and not the energy charge.</w:t>
      </w:r>
      <w:r w:rsidR="002E4E4F">
        <w:t xml:space="preserve">  </w:t>
      </w:r>
      <w:r>
        <w:t>Walmart argues that the recovery of storm restoration costs through an energy charge for demand customers is not cost-based because “it fails to properly reflect the demand-related nature of the underlying costs, thus creating intra-class subsidies within the demand-metered customer classes.”</w:t>
      </w:r>
      <w:r w:rsidR="00646562">
        <w:t xml:space="preserve">  </w:t>
      </w:r>
      <w:r>
        <w:t>Walmart is not requesting recalculation and rebilling of storm restoration costs recovered before the May 21, 2024 final hearing.</w:t>
      </w:r>
      <w:r w:rsidR="00646562">
        <w:t xml:space="preserve">  </w:t>
      </w:r>
      <w:r>
        <w:t>However, Walmart is requesting that the billing be changed from an energy charge ($/kWh) to a demand charge ($/kw) for costs which will be recovered during the rest of 2024.  Further, Walmart is requesting that any over-recovery be refunded to Walmart through an energy charge ($/kWh), the same method by which it was collected, and any under-recovery be collected using a demand charge ($/kW) for demand-metered classes.</w:t>
      </w:r>
      <w:r w:rsidR="00646562">
        <w:t xml:space="preserve">  </w:t>
      </w:r>
    </w:p>
    <w:p w:rsidR="00824E2C" w:rsidRDefault="00824E2C" w:rsidP="00824E2C">
      <w:pPr>
        <w:pStyle w:val="BodyText"/>
        <w:ind w:firstLine="720"/>
        <w:jc w:val="both"/>
      </w:pPr>
      <w:r>
        <w:t>In support of this position, Walmart argues that the transmission and distribution costs associated with storm hardening recovered through the Storm Protection Plan Cost Recovery Clause (SPPCRC) are identical to the transmission and distribution costs, as well as the line clearing and vegetation removal costs, recovered through the storm restoration surcharge at issue here.</w:t>
      </w:r>
      <w:r w:rsidR="002E4E4F">
        <w:t xml:space="preserve"> </w:t>
      </w:r>
      <w:r w:rsidR="00646562">
        <w:t xml:space="preserve"> </w:t>
      </w:r>
      <w:r>
        <w:t xml:space="preserve">For DEF, Florida Power &amp; Light Company (FPL) and Tampa Electric Company (TECO) </w:t>
      </w:r>
      <w:r w:rsidR="002E4E4F">
        <w:t xml:space="preserve">we have </w:t>
      </w:r>
      <w:r>
        <w:t>approved the use of a demand charge to recover identified Storm Protection Plan costs from demand-metered customers.</w:t>
      </w:r>
      <w:r>
        <w:rPr>
          <w:rStyle w:val="FootnoteReference"/>
        </w:rPr>
        <w:footnoteReference w:id="7"/>
      </w:r>
      <w:r>
        <w:t xml:space="preserve">  In order to be consistent, Walmart argues, a demand charge should be used for demand-metered customers here. </w:t>
      </w:r>
    </w:p>
    <w:p w:rsidR="00824E2C" w:rsidRDefault="00824E2C" w:rsidP="00824E2C">
      <w:pPr>
        <w:pStyle w:val="BodyText"/>
        <w:ind w:firstLine="720"/>
        <w:jc w:val="both"/>
      </w:pPr>
      <w:r>
        <w:t xml:space="preserve">Walmart further argues that distribution costs associated with storm restoration are fixed in nature and do not vary with the amount of energy consumed by a particular customer. </w:t>
      </w:r>
      <w:r w:rsidR="002E4E4F">
        <w:t xml:space="preserve"> </w:t>
      </w:r>
      <w:r>
        <w:t>When these costs are recovered through an energy charge, Walmart contends that the result is a misallocation of cost responsibility leading to intra-class subsidies, i.e., higher load factor customers within the same rate class will overpay while lower load factor customers within the same class will underpay.</w:t>
      </w:r>
      <w:r w:rsidR="00646562">
        <w:t xml:space="preserve">  </w:t>
      </w:r>
      <w:r>
        <w:t xml:space="preserve">Walmart states that even accepting the fact that a change to using a demand charge rather than an energy charge would take several months, that is not a reason to abandon the principle that customers should pay the costs associated with providing them service.  </w:t>
      </w:r>
    </w:p>
    <w:p w:rsidR="00824E2C" w:rsidRDefault="00824E2C" w:rsidP="00824E2C">
      <w:pPr>
        <w:pStyle w:val="BodyText"/>
        <w:ind w:firstLine="720"/>
        <w:jc w:val="both"/>
      </w:pPr>
      <w:r w:rsidRPr="006152C6">
        <w:t>For costs collected prior to the May 21, 2024 final hearing and costs to be collected from the May 21, 2024 hearing until the end of the year, PCS Phosphate agrees with DEF’s collection using an energy charge ($/kWh)</w:t>
      </w:r>
      <w:r>
        <w:t xml:space="preserve">. </w:t>
      </w:r>
      <w:r w:rsidR="002E4E4F">
        <w:t xml:space="preserve"> </w:t>
      </w:r>
      <w:r w:rsidRPr="006152C6">
        <w:t>PCS Phosphate gives several reasons for its position.</w:t>
      </w:r>
      <w:r>
        <w:t xml:space="preserve"> </w:t>
      </w:r>
      <w:r w:rsidRPr="006152C6">
        <w:t>First, use of an energy charge for the collection of storm restoration costs has been a long standing practice for DEF, TECO and FPL.</w:t>
      </w:r>
      <w:r w:rsidR="002E4E4F">
        <w:t xml:space="preserve">  </w:t>
      </w:r>
      <w:r w:rsidRPr="006152C6">
        <w:t>Second, Walmart has not provided any analysis or quantification of the intraclass subsidies it alleges exist when an energy charge is used.</w:t>
      </w:r>
      <w:r w:rsidR="002E4E4F">
        <w:t xml:space="preserve">  </w:t>
      </w:r>
      <w:r w:rsidRPr="006152C6">
        <w:t>Third, Walmart did not ask for reconsideration of either order approving the original storm restoration surcharge or the amended storm restoration surcharge.</w:t>
      </w:r>
      <w:r w:rsidR="00646562">
        <w:t xml:space="preserve">  </w:t>
      </w:r>
      <w:r w:rsidRPr="006152C6">
        <w:t xml:space="preserve">That being the case, a request to change the approved </w:t>
      </w:r>
      <w:r w:rsidRPr="006152C6">
        <w:lastRenderedPageBreak/>
        <w:t>surcharge methodology is untimely</w:t>
      </w:r>
      <w:r>
        <w:t>.</w:t>
      </w:r>
      <w:r w:rsidR="00646562">
        <w:t xml:space="preserve"> </w:t>
      </w:r>
      <w:r w:rsidR="002E4E4F">
        <w:t xml:space="preserve"> </w:t>
      </w:r>
      <w:r w:rsidRPr="006152C6">
        <w:t>Fourth, due to the time needed to implement a change in the recovery method for the surcharge, it is unlikely that the change could be made much before the expiration of the interim cost recovery period, i.e., December 31, 2024</w:t>
      </w:r>
      <w:r>
        <w:t>.</w:t>
      </w:r>
      <w:r w:rsidR="002E4E4F">
        <w:t xml:space="preserve">  </w:t>
      </w:r>
      <w:r w:rsidRPr="006152C6">
        <w:t>That being the case, change to a demand charge for demand-metered customers for the remainder of this year is impractical</w:t>
      </w:r>
      <w:r>
        <w:t>.</w:t>
      </w:r>
      <w:r w:rsidR="00646562">
        <w:t xml:space="preserve"> </w:t>
      </w:r>
      <w:r>
        <w:t xml:space="preserve"> </w:t>
      </w:r>
    </w:p>
    <w:p w:rsidR="00824E2C" w:rsidRDefault="00824E2C" w:rsidP="00646562">
      <w:pPr>
        <w:pStyle w:val="BodyText"/>
        <w:ind w:firstLine="720"/>
        <w:jc w:val="both"/>
      </w:pPr>
      <w:r>
        <w:t>The parties in th</w:t>
      </w:r>
      <w:r w:rsidR="002E4E4F">
        <w:t>e</w:t>
      </w:r>
      <w:r>
        <w:t>s</w:t>
      </w:r>
      <w:r w:rsidR="002E4E4F">
        <w:t>e</w:t>
      </w:r>
      <w:r>
        <w:t xml:space="preserve"> docket</w:t>
      </w:r>
      <w:r w:rsidR="002E4E4F">
        <w:t>s</w:t>
      </w:r>
      <w:r>
        <w:t xml:space="preserve"> have agreed to stipulations for Issues 1-15 and 18-19 which we approved </w:t>
      </w:r>
      <w:r w:rsidR="00870337">
        <w:t xml:space="preserve">at the </w:t>
      </w:r>
      <w:r>
        <w:t xml:space="preserve">May 21, 2024 final hearing. </w:t>
      </w:r>
      <w:r w:rsidR="00646562">
        <w:t xml:space="preserve"> </w:t>
      </w:r>
      <w:r>
        <w:t>Th</w:t>
      </w:r>
      <w:r w:rsidR="00870337">
        <w:t>ose</w:t>
      </w:r>
      <w:r>
        <w:t xml:space="preserve"> issues concern the prudent and reasonable costs for the storm restoration cost activities identified in DEF’s 2017 and 2021 Settlement Agreements,</w:t>
      </w:r>
      <w:r>
        <w:rPr>
          <w:rStyle w:val="FootnoteReference"/>
        </w:rPr>
        <w:footnoteReference w:id="8"/>
      </w:r>
      <w:r>
        <w:t xml:space="preserve"> i.e., regular payroll expense, overtime payroll expense, contractor costs, vegetation and line clearing, vehicle and fuel expense, employee expenses, materials and supplies, logistics, and other storm related costs.</w:t>
      </w:r>
      <w:r w:rsidR="004227BE">
        <w:t xml:space="preserve">  </w:t>
      </w:r>
      <w:r>
        <w:t xml:space="preserve">What remains to be decided is how the cost of these storm restoration activities will be recovered from the different classes of customers. </w:t>
      </w:r>
      <w:r w:rsidR="00870337">
        <w:t xml:space="preserve"> </w:t>
      </w:r>
      <w:r>
        <w:t xml:space="preserve">There are three separate types of costs at issue here: costs that have already been recovered as of the May 21, 2024 final hearing; costs that will be recovered between the May 21, 2024 final hearing and December 31 of this year; and costs that will be either the subject of a refund or true-up charge. </w:t>
      </w:r>
      <w:r w:rsidR="00870337">
        <w:t xml:space="preserve">What remains to be decided is </w:t>
      </w:r>
      <w:r>
        <w:t>the appropriate recovery from demand customers for previously recovered storm restoration costs and storm restoration costs to be recovered until the end of 2024. As stated at the final hearing, Walmart is not requesting adjustments to any storm restoration costs that already have been collected but is requesting to collect the remaining storm restoration costs from demand-metered customers through a demand charge.</w:t>
      </w:r>
      <w:r w:rsidR="00870337">
        <w:t xml:space="preserve"> </w:t>
      </w:r>
    </w:p>
    <w:p w:rsidR="00824E2C" w:rsidRDefault="00870337" w:rsidP="00870337">
      <w:pPr>
        <w:pStyle w:val="BodyText"/>
        <w:ind w:firstLine="720"/>
        <w:jc w:val="both"/>
      </w:pPr>
      <w:r>
        <w:t xml:space="preserve">We </w:t>
      </w:r>
      <w:r w:rsidR="00824E2C">
        <w:t xml:space="preserve">agree with Walmart that this issue is properly before </w:t>
      </w:r>
      <w:r w:rsidR="00A767D4">
        <w:t xml:space="preserve">us </w:t>
      </w:r>
      <w:r w:rsidR="00824E2C">
        <w:t>based on the Prehearing Officer’s previous ruling.</w:t>
      </w:r>
      <w:r w:rsidR="00824E2C">
        <w:rPr>
          <w:rStyle w:val="FootnoteReference"/>
        </w:rPr>
        <w:footnoteReference w:id="9"/>
      </w:r>
      <w:r w:rsidR="00824E2C">
        <w:t xml:space="preserve"> </w:t>
      </w:r>
      <w:r w:rsidR="00A767D4">
        <w:t xml:space="preserve"> </w:t>
      </w:r>
      <w:r w:rsidR="00824E2C">
        <w:t xml:space="preserve">Neither DEF nor PCS Phosphate have raised any new issues of fact or law but have simply reiterated the same arguments. </w:t>
      </w:r>
      <w:r w:rsidR="00A767D4">
        <w:t xml:space="preserve"> We also agree </w:t>
      </w:r>
      <w:r w:rsidR="00824E2C">
        <w:t>with Walmart that the fact that a change from an energy to demand charge can’t take place until October of this year should not affect whether the change is made, if warranted. However, Walmart’s arguments to change the recovery method for the previously approved storm recovery surcharges from an energy charge to a demand charge for demand-metered customers for costs to be recovered until the end of the year are not persuasive.</w:t>
      </w:r>
      <w:r w:rsidR="00A767D4">
        <w:t xml:space="preserve">  </w:t>
      </w:r>
      <w:r w:rsidR="00824E2C">
        <w:t>Walmart did not provide any analysis or quantification of the amount of its alleged overpayment due to the use of an energy rather than demand charge.</w:t>
      </w:r>
      <w:r w:rsidR="00A767D4">
        <w:t xml:space="preserve"> </w:t>
      </w:r>
      <w:r w:rsidR="003D7D2D">
        <w:t xml:space="preserve"> </w:t>
      </w:r>
      <w:r w:rsidR="00824E2C">
        <w:t>While witness Perry testified that Walmart is a high load factor customer, Walmart also did not provide any evidence that a shift in demand-related costs from per kW demand to per kWh energy results in a shift in demand cost responsibility from lower load factor to higher load factor customers.</w:t>
      </w:r>
      <w:r w:rsidR="00A767D4">
        <w:t xml:space="preserve">  </w:t>
      </w:r>
      <w:r w:rsidR="00824E2C">
        <w:t xml:space="preserve">Further, </w:t>
      </w:r>
      <w:r w:rsidR="00A767D4">
        <w:t>we agree</w:t>
      </w:r>
      <w:r w:rsidR="00824E2C">
        <w:t xml:space="preserve"> with PCS Phosphate that all customers within a rate class are not similarly affected by any charge, but that </w:t>
      </w:r>
      <w:r w:rsidR="00A767D4">
        <w:t xml:space="preserve">fact alone </w:t>
      </w:r>
      <w:r w:rsidR="00824E2C">
        <w:t>does not necessarily mean that there are unacceptable intra-class subsidies in effect.</w:t>
      </w:r>
    </w:p>
    <w:p w:rsidR="00824E2C" w:rsidRDefault="00824E2C" w:rsidP="00A767D4">
      <w:pPr>
        <w:pStyle w:val="BodyText"/>
        <w:ind w:firstLine="720"/>
        <w:jc w:val="both"/>
      </w:pPr>
      <w:r>
        <w:lastRenderedPageBreak/>
        <w:t xml:space="preserve">Walmart’s argument that storm restoration costs are identical to those recovered through the SPPCRC and should be treated similarly also falls short. </w:t>
      </w:r>
      <w:r w:rsidR="00A767D4">
        <w:t xml:space="preserve"> </w:t>
      </w:r>
      <w:r>
        <w:t>Storm hardening costs are intended to protect and strengthen transmission and distribution infrastructure from extreme weather conditions to reduce restoration costs.</w:t>
      </w:r>
      <w:r w:rsidR="003D7D2D">
        <w:t xml:space="preserve">  </w:t>
      </w:r>
      <w:r>
        <w:t>At issue here are storm restoration costs.</w:t>
      </w:r>
    </w:p>
    <w:p w:rsidR="00824E2C" w:rsidRDefault="00824E2C" w:rsidP="00A767D4">
      <w:pPr>
        <w:pStyle w:val="BodyText"/>
        <w:ind w:firstLine="720"/>
        <w:jc w:val="both"/>
      </w:pPr>
      <w:r>
        <w:t>Costs recovered through the storm recovery cost surcharge for Hurricane Ian are listed on Exhibit 3.</w:t>
      </w:r>
      <w:r w:rsidR="003D7D2D">
        <w:t xml:space="preserve">  </w:t>
      </w:r>
      <w:r>
        <w:t xml:space="preserve">The type of costs shown are payroll, employee expenses, contractor costs, and material and supplies. </w:t>
      </w:r>
      <w:r w:rsidR="00A767D4">
        <w:t xml:space="preserve"> </w:t>
      </w:r>
      <w:r>
        <w:t>Witness Menendez testified that these types of costs are the same for all of the storms at issue here, but vary greatly in amount due to how long the storm remains in the utility’s service area, the size and strength of the storm, the location of the storm, and the type of service territory affected.</w:t>
      </w:r>
      <w:r w:rsidR="00A767D4">
        <w:t xml:space="preserve"> </w:t>
      </w:r>
      <w:r>
        <w:t xml:space="preserve"> </w:t>
      </w:r>
      <w:r w:rsidR="00A767D4">
        <w:t xml:space="preserve">We </w:t>
      </w:r>
      <w:r>
        <w:t>agree with DEF that restoration costs are heavily dependent on the amount of damage</w:t>
      </w:r>
      <w:r w:rsidR="00A767D4">
        <w:t xml:space="preserve"> incurred</w:t>
      </w:r>
      <w:r>
        <w:t>.</w:t>
      </w:r>
      <w:r w:rsidR="003D7D2D">
        <w:t xml:space="preserve">  </w:t>
      </w:r>
      <w:r>
        <w:t>For instance, the total recovery restoration costs for Hurricane Ian are $359,576,056, while for Hurricane Elsa the total recoverable costs are $14,609,576.</w:t>
      </w:r>
    </w:p>
    <w:p w:rsidR="003D7D2D" w:rsidRDefault="00824E2C" w:rsidP="00A767D4">
      <w:pPr>
        <w:pStyle w:val="BodyText"/>
        <w:ind w:firstLine="720"/>
        <w:jc w:val="both"/>
      </w:pPr>
      <w:r>
        <w:t xml:space="preserve">The evidence shows that the storm restoration costs are not fixed and predictable as are the costs considered in the SPPCRC, but are highly variable. </w:t>
      </w:r>
      <w:r w:rsidR="00A767D4">
        <w:t xml:space="preserve"> </w:t>
      </w:r>
      <w:r>
        <w:t xml:space="preserve">Contractor costs represent the time and equipment costs incurred by third party contractors hired for storm restoration activities. </w:t>
      </w:r>
      <w:r w:rsidR="003D7D2D">
        <w:t xml:space="preserve"> </w:t>
      </w:r>
      <w:r>
        <w:t xml:space="preserve">Of the $367,587,217 in requested costs associated with Hurricane Ian, the largest expense, $317,562,371 or 86 percent of the total, is associated with contractor costs that are unique to each tropical storm or hurricane. </w:t>
      </w:r>
    </w:p>
    <w:p w:rsidR="00824E2C" w:rsidRDefault="00824E2C" w:rsidP="00A767D4">
      <w:pPr>
        <w:pStyle w:val="BodyText"/>
        <w:ind w:firstLine="720"/>
        <w:jc w:val="both"/>
      </w:pPr>
      <w:r>
        <w:t>Witness Perry testified that replacing a pole under the storm protection plan is the same asset as replacing a pole after a hurricane and represent fixed costs.</w:t>
      </w:r>
      <w:r w:rsidR="003D7D2D">
        <w:t xml:space="preserve">  </w:t>
      </w:r>
      <w:r>
        <w:t xml:space="preserve">As shown on Exhibit 3, material and supplies included in Hurricane Ian incremental storm restoration costs are $19,036,828 or 5 percent of the total. </w:t>
      </w:r>
      <w:r w:rsidR="00A767D4">
        <w:t xml:space="preserve"> </w:t>
      </w:r>
      <w:r>
        <w:t xml:space="preserve">While poles would be included in materials and supplies they represent a small percentage of the total incremental storm restoration costs. </w:t>
      </w:r>
      <w:r w:rsidR="00A767D4">
        <w:t xml:space="preserve"> </w:t>
      </w:r>
      <w:r>
        <w:t xml:space="preserve">The majority of the expenses requested for Hurricane Ian, and the other storms for which costs are being requested, are associated with the labor needed to restore the energy grid, i.e., employee expenses, which include the cost of lodging and meals ($16,457,252); regular payroll ($4,312,733); labor burdens/incentives ($5,075,949) and overtime payroll ($9,874,448). </w:t>
      </w:r>
    </w:p>
    <w:p w:rsidR="00824E2C" w:rsidRDefault="00A767D4" w:rsidP="00A767D4">
      <w:pPr>
        <w:pStyle w:val="BodyText"/>
        <w:ind w:firstLine="720"/>
        <w:jc w:val="both"/>
      </w:pPr>
      <w:r>
        <w:t>T</w:t>
      </w:r>
      <w:r w:rsidR="00824E2C" w:rsidRPr="006152C6">
        <w:t>he evidence presented shows that the costs recovered through a storm restoration surcharge are highly variable and are largely associated with non-recurring contractor costs and payroll.</w:t>
      </w:r>
      <w:r w:rsidR="00824E2C">
        <w:t xml:space="preserve"> </w:t>
      </w:r>
      <w:r>
        <w:t xml:space="preserve"> </w:t>
      </w:r>
      <w:r w:rsidR="00824E2C" w:rsidRPr="006152C6">
        <w:t xml:space="preserve">That being the case, </w:t>
      </w:r>
      <w:r>
        <w:t xml:space="preserve">we find that </w:t>
      </w:r>
      <w:r w:rsidR="00824E2C" w:rsidRPr="006152C6">
        <w:t>the use of an energy charge is more appropriate than a demand charge for demand-metered customers.</w:t>
      </w:r>
      <w:r w:rsidR="00824E2C">
        <w:t xml:space="preserve"> </w:t>
      </w:r>
      <w:r>
        <w:t xml:space="preserve"> </w:t>
      </w:r>
      <w:r w:rsidR="00824E2C" w:rsidRPr="006152C6">
        <w:t xml:space="preserve">Therefore, </w:t>
      </w:r>
      <w:r>
        <w:t xml:space="preserve">we further find that </w:t>
      </w:r>
      <w:r w:rsidR="00824E2C" w:rsidRPr="006152C6">
        <w:t>no change be made to the collection of DEF’s storm restoration surcharge and that it continue to be collected from demand-metered customers on an energy ($/kWh) basis</w:t>
      </w:r>
      <w:r w:rsidR="00824E2C">
        <w:t>.</w:t>
      </w:r>
    </w:p>
    <w:p w:rsidR="00031302" w:rsidRDefault="00031302" w:rsidP="00A767D4">
      <w:pPr>
        <w:pStyle w:val="BodyText"/>
        <w:ind w:firstLine="720"/>
        <w:jc w:val="both"/>
        <w:rPr>
          <w:u w:val="single"/>
        </w:rPr>
      </w:pPr>
      <w:r>
        <w:rPr>
          <w:u w:val="single"/>
        </w:rPr>
        <w:t>Treatment of under/over-recoveries</w:t>
      </w:r>
    </w:p>
    <w:p w:rsidR="003D7D2D" w:rsidRDefault="00031302" w:rsidP="00031302">
      <w:pPr>
        <w:pStyle w:val="BodyText"/>
        <w:ind w:firstLine="720"/>
        <w:jc w:val="both"/>
      </w:pPr>
      <w:r w:rsidRPr="006152C6">
        <w:t>DEF has proposed to collect or refund any under-</w:t>
      </w:r>
      <w:r>
        <w:t xml:space="preserve"> </w:t>
      </w:r>
      <w:r w:rsidRPr="006152C6">
        <w:t>or over-recovery through the capacity cost recovery clause for two reasons.</w:t>
      </w:r>
      <w:r>
        <w:t xml:space="preserve">  </w:t>
      </w:r>
      <w:r w:rsidRPr="006152C6">
        <w:t>First, that is the way it has been done in the pas</w:t>
      </w:r>
      <w:r>
        <w:t xml:space="preserve">t.  </w:t>
      </w:r>
      <w:r w:rsidRPr="006152C6">
        <w:t>Second, it is administratively the most convenient method to handle the inevitable true-up</w:t>
      </w:r>
      <w:r>
        <w:t>.</w:t>
      </w:r>
      <w:r w:rsidR="004227BE">
        <w:t xml:space="preserve">  </w:t>
      </w:r>
      <w:r w:rsidRPr="006152C6">
        <w:t>Finally, regardless of whether there is an over- or under-recovery, DEF would like to use one type of cost recovery</w:t>
      </w:r>
      <w:r>
        <w:t xml:space="preserve">. </w:t>
      </w:r>
    </w:p>
    <w:p w:rsidR="00031302" w:rsidRDefault="00031302" w:rsidP="00031302">
      <w:pPr>
        <w:pStyle w:val="BodyText"/>
        <w:ind w:firstLine="720"/>
        <w:jc w:val="both"/>
      </w:pPr>
      <w:r w:rsidRPr="006152C6">
        <w:t xml:space="preserve">Walmart is fine </w:t>
      </w:r>
      <w:r w:rsidR="003D7D2D">
        <w:t xml:space="preserve">with </w:t>
      </w:r>
      <w:r w:rsidRPr="006152C6">
        <w:t>using the capacity cost recovery clause to recover any additional costs as it is a demand charge ($/kW).</w:t>
      </w:r>
      <w:r>
        <w:t xml:space="preserve">  </w:t>
      </w:r>
      <w:r w:rsidRPr="006152C6">
        <w:t xml:space="preserve">However, Walmart wants any refund to be given back on </w:t>
      </w:r>
      <w:r w:rsidRPr="006152C6">
        <w:lastRenderedPageBreak/>
        <w:t>the same basis as it was collected, i.e., using an energy charge ($/kW).</w:t>
      </w:r>
      <w:r>
        <w:t xml:space="preserve">  </w:t>
      </w:r>
      <w:r w:rsidRPr="006152C6">
        <w:t>Walmart contends that using the capacity cost recovery clause for refunds will refund it less than it originally paid</w:t>
      </w:r>
      <w:r>
        <w:t>.</w:t>
      </w:r>
    </w:p>
    <w:p w:rsidR="00031302" w:rsidRDefault="00031302" w:rsidP="00031302">
      <w:pPr>
        <w:pStyle w:val="BodyText"/>
        <w:ind w:firstLine="720"/>
        <w:jc w:val="both"/>
      </w:pPr>
      <w:r w:rsidRPr="006152C6">
        <w:t xml:space="preserve">PCS Phosphate argues that over- or under-recoveries should be recovered through additional months of surcharges or a sur-credit if </w:t>
      </w:r>
      <w:r>
        <w:t>one is to be fully consistent.</w:t>
      </w:r>
      <w:r w:rsidR="003D7D2D">
        <w:t xml:space="preserve">  </w:t>
      </w:r>
      <w:r w:rsidRPr="006152C6">
        <w:t>PCS Phosphate also notes that in September 2023 when DEF filed its request to combine Hurricane Idalia storm restoration costs with those of the Storms, DEF had already recovered approximately $10 million more than its total projected storm re</w:t>
      </w:r>
      <w:r>
        <w:t>storation</w:t>
      </w:r>
      <w:r w:rsidRPr="006152C6">
        <w:t xml:space="preserve"> costs.</w:t>
      </w:r>
      <w:r>
        <w:t xml:space="preserve">  </w:t>
      </w:r>
      <w:r w:rsidRPr="006152C6">
        <w:t>That being the case, PCS Phosphate does not anticipate that there will be either a significant over- or under-recovery when the final true-up takes place next year</w:t>
      </w:r>
      <w:r>
        <w:t>.</w:t>
      </w:r>
      <w:r w:rsidR="003D7D2D">
        <w:t xml:space="preserve">  </w:t>
      </w:r>
      <w:r w:rsidRPr="006152C6">
        <w:t xml:space="preserve">PCS Phosphate does not oppose Walmart’s request that any over-recovery be refunded on an energy basis while any under-recovery be collected on </w:t>
      </w:r>
      <w:r>
        <w:t xml:space="preserve">a demand basis.  </w:t>
      </w:r>
      <w:r w:rsidRPr="006152C6">
        <w:t>However, it points out that Walmart has agreed to a stipulation in FPL’s storm restoration docket</w:t>
      </w:r>
      <w:r>
        <w:rPr>
          <w:rStyle w:val="FootnoteReference"/>
        </w:rPr>
        <w:footnoteReference w:id="10"/>
      </w:r>
      <w:r>
        <w:t xml:space="preserve"> </w:t>
      </w:r>
      <w:r w:rsidRPr="006152C6">
        <w:t>that states true-up rates will be recovered “through the non-fuel energy charge on customers’ bills” regardless of whether the true-up results in an excess or shortfal</w:t>
      </w:r>
      <w:r>
        <w:t>l.</w:t>
      </w:r>
      <w:r>
        <w:rPr>
          <w:rStyle w:val="FootnoteReference"/>
        </w:rPr>
        <w:footnoteReference w:id="11"/>
      </w:r>
      <w:r w:rsidR="003D7D2D">
        <w:t xml:space="preserve">  </w:t>
      </w:r>
      <w:r w:rsidRPr="006152C6">
        <w:t>Like DEF, PCS Phosphate prefers that only one type of recovery be used for both under- or over-recoveries</w:t>
      </w:r>
      <w:r>
        <w:t>.</w:t>
      </w:r>
    </w:p>
    <w:p w:rsidR="00031302" w:rsidRPr="00447A59" w:rsidRDefault="00031302" w:rsidP="00031302">
      <w:pPr>
        <w:pStyle w:val="BodyText"/>
        <w:ind w:firstLine="720"/>
        <w:jc w:val="both"/>
      </w:pPr>
      <w:r w:rsidRPr="00447A59">
        <w:t xml:space="preserve">DEF would like to use one type of cost recovery clause to implement the final true-up of storm restoration costs next year whether it results in a refund or the collection of additional funds. </w:t>
      </w:r>
      <w:r>
        <w:t xml:space="preserve"> </w:t>
      </w:r>
      <w:r w:rsidRPr="00447A59">
        <w:t xml:space="preserve">DEF has proposed using the capacity cost recovery charge to implement the storm restoration cost true-up which is a demand charge. </w:t>
      </w:r>
      <w:r>
        <w:t xml:space="preserve"> </w:t>
      </w:r>
      <w:r w:rsidRPr="00447A59">
        <w:t>Walmart argues that a mismatch is created when you collect money on an energy basis, as was done here, but refund any over-collection on a demand basis.</w:t>
      </w:r>
      <w:r>
        <w:t xml:space="preserve">  </w:t>
      </w:r>
      <w:r w:rsidRPr="00447A59">
        <w:t>Walmart is fine collecting any additional funds using the capacity cost recovery charge, since it is a demand charge.</w:t>
      </w:r>
    </w:p>
    <w:p w:rsidR="00031302" w:rsidRPr="00447A59" w:rsidRDefault="00031302" w:rsidP="00020261">
      <w:pPr>
        <w:pStyle w:val="BodyText"/>
        <w:ind w:firstLine="720"/>
        <w:jc w:val="both"/>
      </w:pPr>
      <w:r w:rsidRPr="00447A59">
        <w:t>DEF witness Menendez agrees with Walmart that a mismatch is created when costs are collected on an energy basis and refunded on a demand basis.</w:t>
      </w:r>
      <w:r w:rsidR="003D7D2D">
        <w:t xml:space="preserve">  </w:t>
      </w:r>
      <w:r w:rsidRPr="00447A59">
        <w:t>DEF has the ability to use either its environmental cost recovery (ECRC) or fuel clause, both of which use energy charges, to implement the storm restoration cost true-up.</w:t>
      </w:r>
      <w:r w:rsidR="003D7D2D">
        <w:t xml:space="preserve">  </w:t>
      </w:r>
      <w:r w:rsidRPr="00447A59">
        <w:t>Witness Menendez stated that DEF wasn’t sure whether the ECRC clause could be used for storm cost recovery and comply with the provisions of Section 366.8255, F.S.</w:t>
      </w:r>
      <w:r w:rsidR="00020261">
        <w:t xml:space="preserve"> </w:t>
      </w:r>
    </w:p>
    <w:p w:rsidR="00031302" w:rsidRPr="00447A59" w:rsidRDefault="00020261" w:rsidP="00020261">
      <w:pPr>
        <w:pStyle w:val="BodyText"/>
        <w:ind w:firstLine="720"/>
        <w:jc w:val="both"/>
      </w:pPr>
      <w:r>
        <w:t xml:space="preserve">We agree </w:t>
      </w:r>
      <w:r w:rsidR="00031302" w:rsidRPr="00447A59">
        <w:t>with DEF and Walmart that a mismatch is created when funds are collected using an energy charge but refunded using a demand charge.</w:t>
      </w:r>
      <w:r>
        <w:t xml:space="preserve">  </w:t>
      </w:r>
      <w:r w:rsidR="00031302" w:rsidRPr="00447A59">
        <w:t>Collection from demand customers using an energy charge results in a greater amount of money being collected than if those customers had been billed using a demand charge for the same amount of power.</w:t>
      </w:r>
      <w:r>
        <w:t xml:space="preserve">  </w:t>
      </w:r>
      <w:r w:rsidR="00031302" w:rsidRPr="00447A59">
        <w:t xml:space="preserve">Since Walmart was billed using an energy charge, an energy charge should be used to make any refunds required.  </w:t>
      </w:r>
    </w:p>
    <w:p w:rsidR="00031302" w:rsidRPr="00447A59" w:rsidRDefault="00031302" w:rsidP="00020261">
      <w:pPr>
        <w:pStyle w:val="BodyText"/>
        <w:ind w:firstLine="720"/>
        <w:jc w:val="both"/>
      </w:pPr>
      <w:r w:rsidRPr="00447A59">
        <w:t>The ECRC and fuel clause are both billed using an energy charge.  Section 366.8255, F.S., authorizes the collection of costs for compliance with environmental laws or regulations.  Section 366.8255(d), F.S., defines “environmental compliance costs” recoverable through the ECRC as including the following: inservice capital investments; operation and maintenance expenses; fuel procurement costs; purchased power costs; emission allowance costs; and direct taxes on environmental equipment.</w:t>
      </w:r>
      <w:r w:rsidR="00020261">
        <w:t xml:space="preserve">  </w:t>
      </w:r>
      <w:r w:rsidRPr="00447A59">
        <w:t xml:space="preserve">Storm restoration costs are not costs directly associated with </w:t>
      </w:r>
      <w:r w:rsidRPr="00447A59">
        <w:lastRenderedPageBreak/>
        <w:t>“environmental compliance” although materials and supplies necessary to implement compliance with environmental requirements maybe damaged during a storm and need to be replaced.</w:t>
      </w:r>
    </w:p>
    <w:p w:rsidR="00020261" w:rsidRDefault="00020261" w:rsidP="00020261">
      <w:pPr>
        <w:pStyle w:val="BodyText"/>
        <w:ind w:firstLine="720"/>
        <w:jc w:val="both"/>
      </w:pPr>
      <w:r>
        <w:t xml:space="preserve">We </w:t>
      </w:r>
      <w:r w:rsidR="00031302" w:rsidRPr="00447A59">
        <w:t xml:space="preserve">agree with DEF that only one cost recovery method should be used for both collection and refund of storm restoration costs.  Given the language of Section 366.8255(d), F.S., </w:t>
      </w:r>
      <w:r>
        <w:t xml:space="preserve">we find </w:t>
      </w:r>
      <w:r w:rsidR="00031302" w:rsidRPr="00447A59">
        <w:t xml:space="preserve">that it is more appropriate to use the fuel energy charge rather than the ECRC for both collection and any refund of storm restoration costs.  </w:t>
      </w:r>
    </w:p>
    <w:p w:rsidR="00020261" w:rsidRDefault="00020261" w:rsidP="00020261">
      <w:pPr>
        <w:pStyle w:val="BodyText"/>
        <w:ind w:firstLine="720"/>
        <w:jc w:val="both"/>
      </w:pPr>
      <w:r>
        <w:t>Based on the foregoing, it is</w:t>
      </w:r>
    </w:p>
    <w:p w:rsidR="00020261" w:rsidRDefault="00020261" w:rsidP="00020261">
      <w:pPr>
        <w:pStyle w:val="BodyText"/>
        <w:ind w:firstLine="720"/>
        <w:jc w:val="both"/>
      </w:pPr>
      <w:r>
        <w:t xml:space="preserve">ORDERED by the Florida Public Service Commission that Duke Energy Florida, LLC’s </w:t>
      </w:r>
      <w:r w:rsidR="004C64DC">
        <w:t>petitions for recovery of incremen</w:t>
      </w:r>
      <w:r w:rsidR="0082153D">
        <w:t>t</w:t>
      </w:r>
      <w:r w:rsidR="004C64DC">
        <w:t>al storm restoration costs for Hurricanes Elsa, Eta, Isaias, Ian, Nic</w:t>
      </w:r>
      <w:r w:rsidR="0082153D">
        <w:t>o</w:t>
      </w:r>
      <w:r w:rsidR="004C64DC">
        <w:t>le, Idalia</w:t>
      </w:r>
      <w:r w:rsidR="00637C1B">
        <w:t>,</w:t>
      </w:r>
      <w:r w:rsidR="004C64DC">
        <w:t xml:space="preserve"> </w:t>
      </w:r>
      <w:r w:rsidR="004227BE">
        <w:t xml:space="preserve">and </w:t>
      </w:r>
      <w:r w:rsidR="004C64DC">
        <w:t>Tropical Storm Fred</w:t>
      </w:r>
      <w:r w:rsidR="00637C1B">
        <w:t xml:space="preserve"> </w:t>
      </w:r>
      <w:r w:rsidR="004C64DC">
        <w:t>are hereby granted</w:t>
      </w:r>
      <w:r w:rsidR="00637C1B">
        <w:t xml:space="preserve"> as set forth herein</w:t>
      </w:r>
      <w:r w:rsidR="004C64DC">
        <w:t>.  It is further</w:t>
      </w:r>
    </w:p>
    <w:p w:rsidR="004F6AEE" w:rsidRDefault="004C64DC" w:rsidP="00020261">
      <w:pPr>
        <w:pStyle w:val="BodyText"/>
        <w:ind w:firstLine="720"/>
        <w:jc w:val="both"/>
      </w:pPr>
      <w:r>
        <w:t>ORDERED that prudent and reasonable retail Total Recoverable Storm Costs of $431,380,637 plus estimated interest are hereby approved.  It is further</w:t>
      </w:r>
    </w:p>
    <w:p w:rsidR="00637C1B" w:rsidRDefault="00637C1B" w:rsidP="00020261">
      <w:pPr>
        <w:pStyle w:val="BodyText"/>
        <w:ind w:firstLine="720"/>
        <w:jc w:val="both"/>
      </w:pPr>
      <w:r>
        <w:t xml:space="preserve">ORDERED that the proposed stipulations in Attachment A to this order are approved.  It is further  </w:t>
      </w:r>
    </w:p>
    <w:p w:rsidR="004C64DC" w:rsidRDefault="004C64DC" w:rsidP="00020261">
      <w:pPr>
        <w:pStyle w:val="BodyText"/>
        <w:ind w:firstLine="720"/>
        <w:jc w:val="both"/>
      </w:pPr>
      <w:r>
        <w:t>ORDERED that th</w:t>
      </w:r>
      <w:r w:rsidR="00637C1B">
        <w:t>e</w:t>
      </w:r>
      <w:r>
        <w:t>s</w:t>
      </w:r>
      <w:r w:rsidR="00637C1B">
        <w:t>e</w:t>
      </w:r>
      <w:r>
        <w:t xml:space="preserve"> docket</w:t>
      </w:r>
      <w:r w:rsidR="00637C1B">
        <w:t>s</w:t>
      </w:r>
      <w:r>
        <w:t xml:space="preserve"> shall remain open so that Duke Energy Florida, LLC can file supplemental schedules that compare the final storm recovery amount approved by this Commission to actual revenues from the storm restoration charge and calculate the resulting excess or shortfall for recovery.</w:t>
      </w:r>
    </w:p>
    <w:p w:rsidR="004C64DC" w:rsidRDefault="004C64DC" w:rsidP="004C64DC">
      <w:pPr>
        <w:pStyle w:val="BodyText"/>
        <w:keepNext/>
        <w:keepLines/>
        <w:ind w:firstLine="720"/>
        <w:jc w:val="both"/>
      </w:pPr>
      <w:r>
        <w:t xml:space="preserve">By ORDER of the Florida Public Service Commission this </w:t>
      </w:r>
      <w:bookmarkStart w:id="7" w:name="replaceDate"/>
      <w:bookmarkEnd w:id="7"/>
      <w:r w:rsidR="00F0551E">
        <w:rPr>
          <w:u w:val="single"/>
        </w:rPr>
        <w:t>27th</w:t>
      </w:r>
      <w:r w:rsidR="00F0551E">
        <w:t xml:space="preserve"> day of </w:t>
      </w:r>
      <w:r w:rsidR="00F0551E">
        <w:rPr>
          <w:u w:val="single"/>
        </w:rPr>
        <w:t>August</w:t>
      </w:r>
      <w:r w:rsidR="00F0551E">
        <w:t xml:space="preserve">, </w:t>
      </w:r>
      <w:r w:rsidR="00F0551E">
        <w:rPr>
          <w:u w:val="single"/>
        </w:rPr>
        <w:t>2024</w:t>
      </w:r>
      <w:r w:rsidR="00F0551E">
        <w:t>.</w:t>
      </w:r>
    </w:p>
    <w:p w:rsidR="00F0551E" w:rsidRPr="00F0551E" w:rsidRDefault="00F0551E" w:rsidP="004C64DC">
      <w:pPr>
        <w:pStyle w:val="BodyText"/>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4C64DC" w:rsidTr="004C64DC">
        <w:tc>
          <w:tcPr>
            <w:tcW w:w="720" w:type="dxa"/>
            <w:shd w:val="clear" w:color="auto" w:fill="auto"/>
          </w:tcPr>
          <w:p w:rsidR="004C64DC" w:rsidRDefault="004C64DC" w:rsidP="004C64DC">
            <w:pPr>
              <w:pStyle w:val="BodyText"/>
              <w:keepNext/>
              <w:keepLines/>
              <w:jc w:val="both"/>
            </w:pPr>
            <w:bookmarkStart w:id="8" w:name="bkmrkSignature" w:colFirst="0" w:colLast="0"/>
          </w:p>
        </w:tc>
        <w:tc>
          <w:tcPr>
            <w:tcW w:w="4320" w:type="dxa"/>
            <w:tcBorders>
              <w:bottom w:val="single" w:sz="4" w:space="0" w:color="auto"/>
            </w:tcBorders>
            <w:shd w:val="clear" w:color="auto" w:fill="auto"/>
          </w:tcPr>
          <w:p w:rsidR="004C64DC" w:rsidRDefault="00E4753A" w:rsidP="004C64DC">
            <w:pPr>
              <w:pStyle w:val="BodyText"/>
              <w:keepNext/>
              <w:keepLines/>
              <w:jc w:val="both"/>
            </w:pPr>
            <w:r>
              <w:t>/s/ Adam J. Teitzman</w:t>
            </w:r>
            <w:bookmarkStart w:id="9" w:name="_GoBack"/>
            <w:bookmarkEnd w:id="9"/>
          </w:p>
        </w:tc>
      </w:tr>
      <w:bookmarkEnd w:id="8"/>
      <w:tr w:rsidR="004C64DC" w:rsidTr="004C64DC">
        <w:tc>
          <w:tcPr>
            <w:tcW w:w="720" w:type="dxa"/>
            <w:shd w:val="clear" w:color="auto" w:fill="auto"/>
          </w:tcPr>
          <w:p w:rsidR="004C64DC" w:rsidRDefault="004C64DC" w:rsidP="004C64DC">
            <w:pPr>
              <w:pStyle w:val="BodyText"/>
              <w:keepNext/>
              <w:keepLines/>
              <w:jc w:val="both"/>
            </w:pPr>
          </w:p>
        </w:tc>
        <w:tc>
          <w:tcPr>
            <w:tcW w:w="4320" w:type="dxa"/>
            <w:tcBorders>
              <w:top w:val="single" w:sz="4" w:space="0" w:color="auto"/>
            </w:tcBorders>
            <w:shd w:val="clear" w:color="auto" w:fill="auto"/>
          </w:tcPr>
          <w:p w:rsidR="004C64DC" w:rsidRDefault="004C64DC" w:rsidP="004C64DC">
            <w:pPr>
              <w:pStyle w:val="BodyText"/>
              <w:keepNext/>
              <w:keepLines/>
              <w:jc w:val="both"/>
            </w:pPr>
            <w:r>
              <w:t>ADAM J. TEITZMAN</w:t>
            </w:r>
          </w:p>
          <w:p w:rsidR="004C64DC" w:rsidRDefault="004C64DC" w:rsidP="004C64DC">
            <w:pPr>
              <w:pStyle w:val="BodyText"/>
              <w:keepNext/>
              <w:keepLines/>
              <w:jc w:val="both"/>
            </w:pPr>
            <w:r>
              <w:t>Commission Clerk</w:t>
            </w:r>
          </w:p>
        </w:tc>
      </w:tr>
    </w:tbl>
    <w:p w:rsidR="004C64DC" w:rsidRDefault="004C64DC" w:rsidP="004C64DC">
      <w:pPr>
        <w:pStyle w:val="OrderSigInfo"/>
        <w:keepNext/>
        <w:keepLines/>
      </w:pPr>
      <w:r>
        <w:t>Florida Public Service Commission</w:t>
      </w:r>
    </w:p>
    <w:p w:rsidR="004C64DC" w:rsidRDefault="004C64DC" w:rsidP="004C64DC">
      <w:pPr>
        <w:pStyle w:val="OrderSigInfo"/>
        <w:keepNext/>
        <w:keepLines/>
      </w:pPr>
      <w:r>
        <w:t>2540 Shumard Oak Boulevard</w:t>
      </w:r>
    </w:p>
    <w:p w:rsidR="004C64DC" w:rsidRDefault="004C64DC" w:rsidP="004C64DC">
      <w:pPr>
        <w:pStyle w:val="OrderSigInfo"/>
        <w:keepNext/>
        <w:keepLines/>
      </w:pPr>
      <w:r>
        <w:t>Tallahassee, Florida 32399</w:t>
      </w:r>
    </w:p>
    <w:p w:rsidR="004C64DC" w:rsidRDefault="004C64DC" w:rsidP="004C64DC">
      <w:pPr>
        <w:pStyle w:val="OrderSigInfo"/>
        <w:keepNext/>
        <w:keepLines/>
      </w:pPr>
      <w:r>
        <w:t>(850) 413</w:t>
      </w:r>
      <w:r>
        <w:noBreakHyphen/>
        <w:t>6770</w:t>
      </w:r>
    </w:p>
    <w:p w:rsidR="004C64DC" w:rsidRDefault="004C64DC" w:rsidP="004C64DC">
      <w:pPr>
        <w:pStyle w:val="OrderSigInfo"/>
        <w:keepNext/>
        <w:keepLines/>
      </w:pPr>
      <w:r>
        <w:t>www.floridapsc.com</w:t>
      </w:r>
    </w:p>
    <w:p w:rsidR="004C64DC" w:rsidRDefault="004C64DC" w:rsidP="004C64DC">
      <w:pPr>
        <w:pStyle w:val="OrderSigInfo"/>
        <w:keepNext/>
        <w:keepLines/>
      </w:pPr>
    </w:p>
    <w:p w:rsidR="004C64DC" w:rsidRDefault="004C64DC" w:rsidP="004C64DC">
      <w:pPr>
        <w:pStyle w:val="OrderSigInfo"/>
        <w:keepNext/>
        <w:keepLines/>
      </w:pPr>
      <w:r>
        <w:t>Copies furnished:  A copy of this document is provided to the parties of record at the time of issuance and, if applicable, interested persons.</w:t>
      </w:r>
    </w:p>
    <w:p w:rsidR="004C64DC" w:rsidRDefault="004C64DC" w:rsidP="004C64DC">
      <w:pPr>
        <w:pStyle w:val="OrderBody"/>
        <w:keepNext/>
        <w:keepLines/>
      </w:pPr>
    </w:p>
    <w:p w:rsidR="004C64DC" w:rsidRDefault="004C64DC" w:rsidP="004C64DC">
      <w:pPr>
        <w:pStyle w:val="OrderBody"/>
        <w:keepNext/>
        <w:keepLines/>
      </w:pPr>
      <w:r>
        <w:t>SBr</w:t>
      </w:r>
    </w:p>
    <w:p w:rsidR="004C64DC" w:rsidRDefault="004C64DC" w:rsidP="004C64DC">
      <w:pPr>
        <w:pStyle w:val="OrderBody"/>
        <w:keepNext/>
        <w:keepLines/>
      </w:pPr>
    </w:p>
    <w:p w:rsidR="00637C1B" w:rsidRDefault="00637C1B">
      <w:pPr>
        <w:rPr>
          <w:u w:val="single"/>
        </w:rPr>
      </w:pPr>
      <w:r>
        <w:br w:type="page"/>
      </w:r>
    </w:p>
    <w:p w:rsidR="004C64DC" w:rsidRDefault="004C64DC" w:rsidP="004C64DC">
      <w:pPr>
        <w:pStyle w:val="CenterUnderline"/>
      </w:pPr>
      <w:r>
        <w:lastRenderedPageBreak/>
        <w:t>NOTICE OF FURTHER PROCEEDINGS OR JUDICIAL REVIEW</w:t>
      </w:r>
    </w:p>
    <w:p w:rsidR="004C64DC" w:rsidRDefault="004C64DC" w:rsidP="004C64DC">
      <w:pPr>
        <w:pStyle w:val="CenterUnderline"/>
      </w:pPr>
    </w:p>
    <w:p w:rsidR="004C64DC" w:rsidRDefault="004C64DC" w:rsidP="004C64DC">
      <w:pPr>
        <w:pStyle w:val="OrderBody"/>
      </w:pPr>
    </w:p>
    <w:p w:rsidR="004C64DC" w:rsidRDefault="004C64DC" w:rsidP="004C64D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C64DC" w:rsidRDefault="004C64DC" w:rsidP="004C64DC">
      <w:pPr>
        <w:pStyle w:val="OrderBody"/>
      </w:pPr>
    </w:p>
    <w:p w:rsidR="00047598" w:rsidRDefault="004C64DC" w:rsidP="004C64DC">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47598" w:rsidRDefault="00047598" w:rsidP="004C64DC">
      <w:pPr>
        <w:pStyle w:val="OrderBody"/>
        <w:sectPr w:rsidR="00047598">
          <w:headerReference w:type="default" r:id="rId7"/>
          <w:footerReference w:type="first" r:id="rId8"/>
          <w:pgSz w:w="12240" w:h="15840" w:code="1"/>
          <w:pgMar w:top="1440" w:right="1440" w:bottom="1440" w:left="1440" w:header="720" w:footer="720" w:gutter="0"/>
          <w:cols w:space="720"/>
          <w:titlePg/>
          <w:docGrid w:linePitch="360"/>
        </w:sectPr>
      </w:pPr>
    </w:p>
    <w:p w:rsidR="004C64DC" w:rsidRDefault="004C64DC" w:rsidP="004C64DC">
      <w:pPr>
        <w:pStyle w:val="OrderBody"/>
      </w:pPr>
    </w:p>
    <w:p w:rsidR="00047598" w:rsidRDefault="00047598" w:rsidP="004C0EF6">
      <w:pPr>
        <w:pStyle w:val="OrderHeading"/>
      </w:pPr>
    </w:p>
    <w:p w:rsidR="004C0EF6" w:rsidRDefault="004C0EF6" w:rsidP="004C0EF6">
      <w:pPr>
        <w:pStyle w:val="OrderHeading"/>
      </w:pPr>
      <w:r>
        <w:t>BEFORE THE FLORIDA PUBLIC SERVICE COMMISSION</w:t>
      </w:r>
    </w:p>
    <w:p w:rsidR="004C0EF6" w:rsidRDefault="004C0EF6" w:rsidP="004C0EF6">
      <w:pPr>
        <w:pStyle w:val="OrderBody"/>
      </w:pPr>
    </w:p>
    <w:p w:rsidR="004C0EF6" w:rsidRDefault="004C0EF6" w:rsidP="004C0E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C0EF6" w:rsidRPr="00C63FCF" w:rsidTr="00A04535">
        <w:trPr>
          <w:trHeight w:val="828"/>
        </w:trPr>
        <w:tc>
          <w:tcPr>
            <w:tcW w:w="4788" w:type="dxa"/>
            <w:tcBorders>
              <w:bottom w:val="nil"/>
              <w:right w:val="double" w:sz="6" w:space="0" w:color="auto"/>
            </w:tcBorders>
            <w:shd w:val="clear" w:color="auto" w:fill="auto"/>
          </w:tcPr>
          <w:p w:rsidR="004C0EF6" w:rsidRDefault="004C0EF6" w:rsidP="00A04535">
            <w:pPr>
              <w:pStyle w:val="OrderBody"/>
              <w:tabs>
                <w:tab w:val="center" w:pos="4320"/>
                <w:tab w:val="right" w:pos="8640"/>
              </w:tabs>
              <w:jc w:val="left"/>
            </w:pPr>
            <w:r>
              <w:t>In re: Petition for limited proceeding for recovery of incremental storm restoration costs related to Hurricanes Elsa, Eta, Isaias, Ian, Nicole, and Tropical Storm Fred, by Duke Energy Florida, LLC.</w:t>
            </w:r>
          </w:p>
          <w:p w:rsidR="004C0EF6" w:rsidRDefault="004C0EF6" w:rsidP="00A04535">
            <w:pPr>
              <w:pStyle w:val="OrderBody"/>
              <w:tabs>
                <w:tab w:val="center" w:pos="4320"/>
                <w:tab w:val="right" w:pos="8640"/>
              </w:tabs>
              <w:jc w:val="left"/>
            </w:pPr>
          </w:p>
        </w:tc>
        <w:tc>
          <w:tcPr>
            <w:tcW w:w="4788" w:type="dxa"/>
            <w:tcBorders>
              <w:left w:val="double" w:sz="6" w:space="0" w:color="auto"/>
              <w:bottom w:val="nil"/>
            </w:tcBorders>
            <w:shd w:val="clear" w:color="auto" w:fill="auto"/>
          </w:tcPr>
          <w:p w:rsidR="004C0EF6" w:rsidRDefault="004C0EF6" w:rsidP="00A04535">
            <w:pPr>
              <w:pStyle w:val="OrderBody"/>
              <w:tabs>
                <w:tab w:val="center" w:pos="4320"/>
                <w:tab w:val="right" w:pos="8640"/>
              </w:tabs>
              <w:jc w:val="left"/>
            </w:pPr>
            <w:r>
              <w:t>DOCKET NO. 20230020-EI</w:t>
            </w:r>
          </w:p>
        </w:tc>
      </w:tr>
      <w:tr w:rsidR="004C0EF6" w:rsidRPr="00C63FCF" w:rsidTr="00A04535">
        <w:trPr>
          <w:trHeight w:val="828"/>
        </w:trPr>
        <w:tc>
          <w:tcPr>
            <w:tcW w:w="4788" w:type="dxa"/>
            <w:tcBorders>
              <w:top w:val="nil"/>
              <w:bottom w:val="single" w:sz="8" w:space="0" w:color="auto"/>
              <w:right w:val="double" w:sz="6" w:space="0" w:color="auto"/>
            </w:tcBorders>
            <w:shd w:val="clear" w:color="auto" w:fill="auto"/>
          </w:tcPr>
          <w:p w:rsidR="004C0EF6" w:rsidRDefault="004C0EF6" w:rsidP="00A04535">
            <w:pPr>
              <w:pStyle w:val="OrderBody"/>
              <w:tabs>
                <w:tab w:val="center" w:pos="4320"/>
                <w:tab w:val="right" w:pos="8640"/>
              </w:tabs>
              <w:jc w:val="left"/>
            </w:pPr>
            <w:r>
              <w:t>In re: Petition for limited proceeding for recovery of incremental storm restoration costs related to Hurricane Idalia, by Duke Energy Florida, LLC.</w:t>
            </w:r>
          </w:p>
        </w:tc>
        <w:tc>
          <w:tcPr>
            <w:tcW w:w="4788" w:type="dxa"/>
            <w:tcBorders>
              <w:left w:val="double" w:sz="6" w:space="0" w:color="auto"/>
            </w:tcBorders>
            <w:shd w:val="clear" w:color="auto" w:fill="auto"/>
          </w:tcPr>
          <w:p w:rsidR="004C0EF6" w:rsidRDefault="004C0EF6" w:rsidP="00A04535">
            <w:pPr>
              <w:pStyle w:val="OrderBody"/>
            </w:pPr>
            <w:r>
              <w:t>DOCKET NO. 20230116-EI</w:t>
            </w:r>
          </w:p>
          <w:p w:rsidR="004C0EF6" w:rsidRDefault="004C0EF6" w:rsidP="00A04535">
            <w:pPr>
              <w:pStyle w:val="OrderBody"/>
              <w:tabs>
                <w:tab w:val="center" w:pos="4320"/>
                <w:tab w:val="right" w:pos="8640"/>
              </w:tabs>
              <w:jc w:val="left"/>
            </w:pPr>
            <w:r>
              <w:t xml:space="preserve"> </w:t>
            </w:r>
          </w:p>
          <w:p w:rsidR="004C0EF6" w:rsidRDefault="004C0EF6" w:rsidP="00A04535">
            <w:pPr>
              <w:pStyle w:val="OrderBody"/>
              <w:tabs>
                <w:tab w:val="center" w:pos="4320"/>
                <w:tab w:val="right" w:pos="8640"/>
              </w:tabs>
              <w:jc w:val="left"/>
            </w:pPr>
          </w:p>
        </w:tc>
      </w:tr>
    </w:tbl>
    <w:p w:rsidR="004C0EF6" w:rsidRDefault="004C0EF6" w:rsidP="004C0EF6"/>
    <w:p w:rsidR="004C0EF6" w:rsidRDefault="004C0EF6" w:rsidP="004C0EF6">
      <w:pPr>
        <w:jc w:val="center"/>
        <w:rPr>
          <w:u w:val="single"/>
        </w:rPr>
      </w:pPr>
      <w:r w:rsidRPr="00776F95">
        <w:rPr>
          <w:u w:val="single"/>
        </w:rPr>
        <w:t>PROPOSED STIPULATIONS</w:t>
      </w:r>
    </w:p>
    <w:p w:rsidR="004C0EF6" w:rsidRDefault="004C0EF6" w:rsidP="004C0EF6">
      <w:pPr>
        <w:jc w:val="center"/>
        <w:rPr>
          <w:u w:val="single"/>
        </w:rPr>
      </w:pPr>
    </w:p>
    <w:p w:rsidR="004C0EF6" w:rsidRDefault="004C0EF6" w:rsidP="004C0EF6">
      <w:pPr>
        <w:jc w:val="both"/>
      </w:pPr>
      <w:r>
        <w:tab/>
        <w:t>The following issues are proposed as Type 2</w:t>
      </w:r>
      <w:r>
        <w:rPr>
          <w:rStyle w:val="FootnoteReference"/>
        </w:rPr>
        <w:footnoteReference w:id="12"/>
      </w:r>
      <w:r>
        <w:t xml:space="preserve"> stipulations in this proceeding</w:t>
      </w:r>
      <w:r>
        <w:rPr>
          <w:rStyle w:val="FootnoteReference"/>
        </w:rPr>
        <w:footnoteReference w:id="13"/>
      </w:r>
      <w:r>
        <w:t>:</w:t>
      </w:r>
    </w:p>
    <w:p w:rsidR="004C0EF6" w:rsidRDefault="004C0EF6" w:rsidP="004C0EF6">
      <w:pPr>
        <w:jc w:val="both"/>
      </w:pPr>
    </w:p>
    <w:p w:rsidR="004C0EF6" w:rsidRPr="00701945" w:rsidRDefault="004C0EF6" w:rsidP="004C0EF6">
      <w:pPr>
        <w:ind w:left="1440" w:hanging="1440"/>
        <w:jc w:val="both"/>
      </w:pPr>
      <w:r w:rsidRPr="0025048C">
        <w:rPr>
          <w:b/>
          <w:bCs/>
          <w:u w:val="single"/>
        </w:rPr>
        <w:t>ISSUE 1:</w:t>
      </w:r>
      <w:r>
        <w:rPr>
          <w:b/>
          <w:bCs/>
        </w:rPr>
        <w:tab/>
      </w:r>
      <w:r w:rsidRPr="001F4661">
        <w:rPr>
          <w:b/>
        </w:rPr>
        <w:t>Should the incremental cost and capitalization approach (ICCA) found in Rule 25-6.0143, F.A.C., be used to determine the reasonable and prudent amounts to be included in the restoration costs?</w:t>
      </w:r>
    </w:p>
    <w:p w:rsidR="004C0EF6" w:rsidRPr="00701945" w:rsidRDefault="004C0EF6" w:rsidP="004C0EF6">
      <w:pPr>
        <w:jc w:val="both"/>
      </w:pPr>
    </w:p>
    <w:p w:rsidR="004C0EF6" w:rsidRDefault="004C0EF6" w:rsidP="004C0EF6">
      <w:pPr>
        <w:ind w:left="1440" w:hanging="1440"/>
        <w:jc w:val="both"/>
      </w:pPr>
      <w:r>
        <w:rPr>
          <w:b/>
          <w:bCs/>
        </w:rPr>
        <w:t>Stipulation:</w:t>
      </w:r>
      <w:r>
        <w:rPr>
          <w:b/>
          <w:bCs/>
        </w:rPr>
        <w:tab/>
      </w:r>
      <w:r>
        <w:t xml:space="preserve">The ICCA approach in Rule 25-6.0143, F.A.C. and the terms of the 2019 Irma Settlement Agreement approved by Order No. PSC-2019-0232-AS-EI should be used to determine the reasonable and prudent amounts included in the restoration </w:t>
      </w:r>
      <w:r>
        <w:rPr>
          <w:spacing w:val="-2"/>
        </w:rPr>
        <w:t>costs.</w:t>
      </w:r>
    </w:p>
    <w:p w:rsidR="004C0EF6" w:rsidRDefault="004C0EF6" w:rsidP="004C0EF6">
      <w:pPr>
        <w:jc w:val="both"/>
      </w:pPr>
    </w:p>
    <w:p w:rsidR="004C0EF6" w:rsidRPr="001F4661" w:rsidRDefault="004C0EF6" w:rsidP="004C0EF6">
      <w:pPr>
        <w:ind w:left="1440" w:hanging="1440"/>
        <w:jc w:val="both"/>
        <w:rPr>
          <w:b/>
        </w:rPr>
      </w:pPr>
      <w:r>
        <w:rPr>
          <w:b/>
          <w:u w:val="single"/>
        </w:rPr>
        <w:t>ISSUE 2:</w:t>
      </w:r>
      <w:r w:rsidRPr="0025048C">
        <w:rPr>
          <w:b/>
        </w:rPr>
        <w:tab/>
      </w:r>
      <w:r w:rsidRPr="001F4661">
        <w:rPr>
          <w:b/>
        </w:rPr>
        <w:t>Have the terms of DEF’s 2019 Settlement Agreement, approved by Order No. PSC-2019-0232-AS-EI, issued June 13, 2019, been complied with?  If not, why not?</w:t>
      </w:r>
    </w:p>
    <w:p w:rsidR="004C0EF6" w:rsidRDefault="004C0EF6" w:rsidP="004C0EF6">
      <w:pPr>
        <w:ind w:left="1440" w:hanging="1440"/>
        <w:jc w:val="both"/>
        <w:rPr>
          <w:b/>
          <w:bCs/>
        </w:rPr>
      </w:pPr>
    </w:p>
    <w:p w:rsidR="004C0EF6" w:rsidRPr="00701945" w:rsidRDefault="004C0EF6" w:rsidP="004C0EF6">
      <w:pPr>
        <w:ind w:left="1440" w:hanging="1440"/>
        <w:jc w:val="both"/>
      </w:pPr>
      <w:r>
        <w:rPr>
          <w:b/>
          <w:bCs/>
        </w:rPr>
        <w:t>Stipulation</w:t>
      </w:r>
      <w:r w:rsidRPr="00701945">
        <w:rPr>
          <w:b/>
          <w:bCs/>
        </w:rPr>
        <w:t>:</w:t>
      </w:r>
      <w:r w:rsidRPr="00701945">
        <w:tab/>
      </w:r>
      <w:r>
        <w:t>Yes.</w:t>
      </w:r>
    </w:p>
    <w:p w:rsidR="004C0EF6" w:rsidRDefault="004C0EF6" w:rsidP="004C0EF6">
      <w:pPr>
        <w:jc w:val="both"/>
      </w:pPr>
    </w:p>
    <w:p w:rsidR="004C0EF6" w:rsidRDefault="004C0EF6" w:rsidP="004C0EF6">
      <w:pPr>
        <w:ind w:left="1440" w:hanging="1440"/>
        <w:jc w:val="both"/>
      </w:pPr>
      <w:r>
        <w:rPr>
          <w:b/>
          <w:u w:val="single"/>
        </w:rPr>
        <w:t>ISSUE 3:</w:t>
      </w:r>
      <w:r w:rsidRPr="0025048C">
        <w:rPr>
          <w:b/>
        </w:rPr>
        <w:tab/>
      </w:r>
      <w:r w:rsidRPr="001F4661">
        <w:rPr>
          <w:b/>
        </w:rPr>
        <w:t>What is the reasonable and prudent amount of regular payroll expense to be included in Total Storm Related Restoration Costs?</w:t>
      </w:r>
    </w:p>
    <w:p w:rsidR="004C0EF6" w:rsidRDefault="004C0EF6" w:rsidP="004C0EF6">
      <w:pPr>
        <w:ind w:left="1440" w:hanging="1440"/>
        <w:jc w:val="both"/>
        <w:rPr>
          <w:b/>
          <w:bCs/>
        </w:rPr>
      </w:pPr>
    </w:p>
    <w:p w:rsidR="004C0EF6" w:rsidRDefault="004C0EF6" w:rsidP="004C0EF6">
      <w:pPr>
        <w:ind w:left="1440" w:hanging="1440"/>
        <w:jc w:val="both"/>
        <w:rPr>
          <w:spacing w:val="-2"/>
        </w:rPr>
      </w:pPr>
      <w:r>
        <w:rPr>
          <w:b/>
          <w:bCs/>
        </w:rPr>
        <w:t>Stipulation</w:t>
      </w:r>
      <w:r w:rsidRPr="00701945">
        <w:rPr>
          <w:b/>
          <w:bCs/>
        </w:rPr>
        <w:t>:</w:t>
      </w:r>
      <w:r>
        <w:rPr>
          <w:b/>
          <w:bCs/>
        </w:rPr>
        <w:tab/>
      </w:r>
      <w:r>
        <w:t>Below</w:t>
      </w:r>
      <w:r>
        <w:rPr>
          <w:spacing w:val="-2"/>
        </w:rPr>
        <w:t xml:space="preserve"> </w:t>
      </w:r>
      <w:r>
        <w:t>is</w:t>
      </w:r>
      <w:r>
        <w:rPr>
          <w:spacing w:val="-1"/>
        </w:rPr>
        <w:t xml:space="preserve"> </w:t>
      </w:r>
      <w:r>
        <w:t>the</w:t>
      </w:r>
      <w:r>
        <w:rPr>
          <w:spacing w:val="-2"/>
        </w:rPr>
        <w:t xml:space="preserve"> </w:t>
      </w:r>
      <w:r>
        <w:t>reasonable</w:t>
      </w:r>
      <w:r>
        <w:rPr>
          <w:spacing w:val="-2"/>
        </w:rPr>
        <w:t xml:space="preserve"> </w:t>
      </w:r>
      <w:r>
        <w:t>and</w:t>
      </w:r>
      <w:r>
        <w:rPr>
          <w:spacing w:val="-1"/>
        </w:rPr>
        <w:t xml:space="preserve"> </w:t>
      </w:r>
      <w:r>
        <w:t>prudent</w:t>
      </w:r>
      <w:r>
        <w:rPr>
          <w:spacing w:val="-1"/>
        </w:rPr>
        <w:t xml:space="preserve"> </w:t>
      </w:r>
      <w:r>
        <w:t>regular</w:t>
      </w:r>
      <w:r>
        <w:rPr>
          <w:spacing w:val="-2"/>
        </w:rPr>
        <w:t xml:space="preserve"> </w:t>
      </w:r>
      <w:r>
        <w:t>payroll</w:t>
      </w:r>
      <w:r>
        <w:rPr>
          <w:spacing w:val="-1"/>
        </w:rPr>
        <w:t xml:space="preserve"> </w:t>
      </w:r>
      <w:r>
        <w:t>expense</w:t>
      </w:r>
      <w:r>
        <w:rPr>
          <w:spacing w:val="-2"/>
        </w:rPr>
        <w:t xml:space="preserve"> </w:t>
      </w:r>
      <w:r>
        <w:t xml:space="preserve">for each </w:t>
      </w:r>
      <w:r>
        <w:rPr>
          <w:spacing w:val="-2"/>
        </w:rPr>
        <w:t>storm.</w:t>
      </w:r>
    </w:p>
    <w:p w:rsidR="004C0EF6" w:rsidRDefault="004C0EF6" w:rsidP="004C0EF6">
      <w:pPr>
        <w:ind w:left="1440" w:hanging="1440"/>
        <w:jc w:val="both"/>
      </w:pPr>
    </w:p>
    <w:p w:rsidR="004C0EF6" w:rsidRPr="00F8359A" w:rsidRDefault="004C0EF6" w:rsidP="004C0EF6">
      <w:pPr>
        <w:ind w:left="720" w:firstLine="720"/>
        <w:jc w:val="both"/>
      </w:pPr>
      <w:r w:rsidRPr="00F8359A">
        <w:lastRenderedPageBreak/>
        <w:t>Nicole - $1,370,120</w:t>
      </w:r>
    </w:p>
    <w:p w:rsidR="004C0EF6" w:rsidRPr="00F8359A" w:rsidRDefault="004C0EF6" w:rsidP="004C0EF6">
      <w:pPr>
        <w:ind w:left="720" w:firstLine="720"/>
        <w:jc w:val="both"/>
      </w:pPr>
      <w:r w:rsidRPr="00F8359A">
        <w:t>Ian - $4,674,377</w:t>
      </w:r>
    </w:p>
    <w:p w:rsidR="004C0EF6" w:rsidRPr="00F8359A" w:rsidRDefault="004C0EF6" w:rsidP="004C0EF6">
      <w:pPr>
        <w:ind w:left="720" w:firstLine="720"/>
        <w:jc w:val="both"/>
      </w:pPr>
      <w:r w:rsidRPr="00F8359A">
        <w:t>Fred - $167,704</w:t>
      </w:r>
    </w:p>
    <w:p w:rsidR="004C0EF6" w:rsidRPr="00F8359A" w:rsidRDefault="004C0EF6" w:rsidP="004C0EF6">
      <w:pPr>
        <w:ind w:left="720" w:firstLine="720"/>
        <w:jc w:val="both"/>
      </w:pPr>
      <w:r w:rsidRPr="00F8359A">
        <w:t>Elsa - $492,800</w:t>
      </w:r>
    </w:p>
    <w:p w:rsidR="004C0EF6" w:rsidRPr="00F8359A" w:rsidRDefault="004C0EF6" w:rsidP="004C0EF6">
      <w:pPr>
        <w:ind w:left="720" w:firstLine="720"/>
        <w:jc w:val="both"/>
      </w:pPr>
      <w:r w:rsidRPr="00F8359A">
        <w:t>Isaias - $66,191</w:t>
      </w:r>
    </w:p>
    <w:p w:rsidR="004C0EF6" w:rsidRDefault="004C0EF6" w:rsidP="004C0EF6">
      <w:pPr>
        <w:ind w:left="720" w:firstLine="720"/>
        <w:jc w:val="both"/>
      </w:pPr>
      <w:r w:rsidRPr="00F8359A">
        <w:t>Eta - $347,959</w:t>
      </w:r>
    </w:p>
    <w:p w:rsidR="004C0EF6" w:rsidRPr="00F8359A" w:rsidRDefault="004C0EF6" w:rsidP="004C0EF6">
      <w:pPr>
        <w:ind w:left="720" w:firstLine="720"/>
        <w:jc w:val="both"/>
      </w:pPr>
    </w:p>
    <w:p w:rsidR="004C0EF6" w:rsidRPr="00F8359A" w:rsidRDefault="004C0EF6" w:rsidP="004C0EF6">
      <w:pPr>
        <w:ind w:left="1440"/>
        <w:jc w:val="both"/>
      </w:pPr>
      <w:r w:rsidRPr="00F8359A">
        <w:t>The reasonable and prudent amount of regular payroll expense to be included in Total Storm Related Restoration Costs is $7,119,151.</w:t>
      </w:r>
    </w:p>
    <w:p w:rsidR="004C0EF6" w:rsidRDefault="004C0EF6" w:rsidP="004C0EF6">
      <w:pPr>
        <w:jc w:val="both"/>
      </w:pPr>
    </w:p>
    <w:p w:rsidR="004C0EF6" w:rsidRPr="001F4661" w:rsidRDefault="004C0EF6" w:rsidP="004C0EF6">
      <w:pPr>
        <w:ind w:left="1440" w:hanging="1440"/>
        <w:jc w:val="both"/>
        <w:rPr>
          <w:b/>
        </w:rPr>
      </w:pPr>
      <w:r>
        <w:rPr>
          <w:b/>
          <w:u w:val="single"/>
        </w:rPr>
        <w:t>ISSUE 4:</w:t>
      </w:r>
      <w:r>
        <w:rPr>
          <w:b/>
        </w:rPr>
        <w:tab/>
      </w:r>
      <w:r w:rsidRPr="001F4661">
        <w:rPr>
          <w:b/>
        </w:rPr>
        <w:t>What is the reasonable and prudent amount of overtime payroll expense to be included in Total Storm Related Restoration Costs?</w:t>
      </w:r>
    </w:p>
    <w:p w:rsidR="004C0EF6" w:rsidRPr="001F4661" w:rsidRDefault="004C0EF6" w:rsidP="004C0EF6">
      <w:pPr>
        <w:ind w:left="1440" w:hanging="1440"/>
        <w:jc w:val="both"/>
        <w:rPr>
          <w:b/>
          <w:bCs/>
        </w:rPr>
      </w:pPr>
    </w:p>
    <w:p w:rsidR="004C0EF6" w:rsidRDefault="004C0EF6" w:rsidP="004C0EF6">
      <w:pPr>
        <w:ind w:left="1440" w:hanging="1440"/>
        <w:jc w:val="both"/>
        <w:rPr>
          <w:spacing w:val="-2"/>
        </w:rPr>
      </w:pPr>
      <w:r>
        <w:rPr>
          <w:b/>
          <w:bCs/>
        </w:rPr>
        <w:t>Stipulation</w:t>
      </w:r>
      <w:r w:rsidRPr="00701945">
        <w:rPr>
          <w:b/>
          <w:bCs/>
        </w:rPr>
        <w:t>:</w:t>
      </w:r>
      <w:r>
        <w:rPr>
          <w:b/>
          <w:bCs/>
        </w:rPr>
        <w:tab/>
      </w:r>
      <w:r>
        <w:t>Below</w:t>
      </w:r>
      <w:r>
        <w:rPr>
          <w:spacing w:val="-2"/>
        </w:rPr>
        <w:t xml:space="preserve"> </w:t>
      </w:r>
      <w:r>
        <w:t>is</w:t>
      </w:r>
      <w:r>
        <w:rPr>
          <w:spacing w:val="-1"/>
        </w:rPr>
        <w:t xml:space="preserve"> </w:t>
      </w:r>
      <w:r>
        <w:t>the</w:t>
      </w:r>
      <w:r>
        <w:rPr>
          <w:spacing w:val="-2"/>
        </w:rPr>
        <w:t xml:space="preserve"> </w:t>
      </w:r>
      <w:r>
        <w:t>reasonable</w:t>
      </w:r>
      <w:r>
        <w:rPr>
          <w:spacing w:val="-2"/>
        </w:rPr>
        <w:t xml:space="preserve"> </w:t>
      </w:r>
      <w:r>
        <w:t>and</w:t>
      </w:r>
      <w:r>
        <w:rPr>
          <w:spacing w:val="-1"/>
        </w:rPr>
        <w:t xml:space="preserve"> </w:t>
      </w:r>
      <w:r>
        <w:t>prudent</w:t>
      </w:r>
      <w:r>
        <w:rPr>
          <w:spacing w:val="-1"/>
        </w:rPr>
        <w:t xml:space="preserve"> </w:t>
      </w:r>
      <w:r>
        <w:t>overtime</w:t>
      </w:r>
      <w:r>
        <w:rPr>
          <w:spacing w:val="-3"/>
        </w:rPr>
        <w:t xml:space="preserve"> </w:t>
      </w:r>
      <w:r>
        <w:t>payroll</w:t>
      </w:r>
      <w:r>
        <w:rPr>
          <w:spacing w:val="-1"/>
        </w:rPr>
        <w:t xml:space="preserve"> </w:t>
      </w:r>
      <w:r>
        <w:t>expense</w:t>
      </w:r>
      <w:r>
        <w:rPr>
          <w:spacing w:val="-2"/>
        </w:rPr>
        <w:t xml:space="preserve"> </w:t>
      </w:r>
      <w:r>
        <w:t>for each</w:t>
      </w:r>
      <w:r>
        <w:rPr>
          <w:spacing w:val="-1"/>
        </w:rPr>
        <w:t xml:space="preserve"> </w:t>
      </w:r>
      <w:r>
        <w:rPr>
          <w:spacing w:val="-2"/>
        </w:rPr>
        <w:t>storm.</w:t>
      </w:r>
    </w:p>
    <w:p w:rsidR="004C0EF6" w:rsidRDefault="004C0EF6" w:rsidP="004C0EF6">
      <w:pPr>
        <w:ind w:left="1440" w:hanging="1440"/>
        <w:jc w:val="both"/>
      </w:pPr>
    </w:p>
    <w:p w:rsidR="004C0EF6" w:rsidRPr="0025048C" w:rsidRDefault="004C0EF6" w:rsidP="004C0EF6">
      <w:pPr>
        <w:ind w:left="1440" w:firstLine="720"/>
        <w:jc w:val="both"/>
      </w:pPr>
      <w:r w:rsidRPr="0025048C">
        <w:t>Nicole - $3,377,663</w:t>
      </w:r>
    </w:p>
    <w:p w:rsidR="004C0EF6" w:rsidRPr="0025048C" w:rsidRDefault="004C0EF6" w:rsidP="004C0EF6">
      <w:pPr>
        <w:ind w:left="1440" w:firstLine="720"/>
        <w:jc w:val="both"/>
      </w:pPr>
      <w:r w:rsidRPr="0025048C">
        <w:t>Ian - $9,965,271</w:t>
      </w:r>
    </w:p>
    <w:p w:rsidR="004C0EF6" w:rsidRPr="0025048C" w:rsidRDefault="004C0EF6" w:rsidP="004C0EF6">
      <w:pPr>
        <w:ind w:left="1440" w:firstLine="720"/>
        <w:jc w:val="both"/>
      </w:pPr>
      <w:r w:rsidRPr="0025048C">
        <w:t>Fred - $258,537</w:t>
      </w:r>
    </w:p>
    <w:p w:rsidR="004C0EF6" w:rsidRPr="0025048C" w:rsidRDefault="004C0EF6" w:rsidP="004C0EF6">
      <w:pPr>
        <w:ind w:left="1440" w:firstLine="720"/>
        <w:jc w:val="both"/>
      </w:pPr>
      <w:r w:rsidRPr="0025048C">
        <w:t>Elsa - $807,888</w:t>
      </w:r>
    </w:p>
    <w:p w:rsidR="004C0EF6" w:rsidRPr="0025048C" w:rsidRDefault="004C0EF6" w:rsidP="004C0EF6">
      <w:pPr>
        <w:ind w:left="1440" w:firstLine="720"/>
        <w:jc w:val="both"/>
      </w:pPr>
      <w:r w:rsidRPr="0025048C">
        <w:t>Isaias - $366,526</w:t>
      </w:r>
    </w:p>
    <w:p w:rsidR="004C0EF6" w:rsidRDefault="004C0EF6" w:rsidP="004C0EF6">
      <w:pPr>
        <w:ind w:left="1440" w:firstLine="720"/>
        <w:jc w:val="both"/>
      </w:pPr>
      <w:r w:rsidRPr="0025048C">
        <w:t>Eta - $962,313</w:t>
      </w:r>
    </w:p>
    <w:p w:rsidR="004C0EF6" w:rsidRDefault="004C0EF6" w:rsidP="004C0EF6">
      <w:pPr>
        <w:jc w:val="both"/>
      </w:pPr>
    </w:p>
    <w:p w:rsidR="004C0EF6" w:rsidRPr="0025048C" w:rsidRDefault="004C0EF6" w:rsidP="004C0EF6">
      <w:pPr>
        <w:ind w:left="1440"/>
        <w:jc w:val="both"/>
      </w:pPr>
      <w:r w:rsidRPr="0025048C">
        <w:t>The reasonable and prudent amount of overtime payroll expense to be included in Total Storm Related Restoration Costs is $15,738,198.</w:t>
      </w:r>
    </w:p>
    <w:p w:rsidR="004C0EF6" w:rsidRDefault="004C0EF6" w:rsidP="004C0EF6">
      <w:pPr>
        <w:pStyle w:val="BodyText"/>
      </w:pPr>
    </w:p>
    <w:p w:rsidR="004C0EF6" w:rsidRDefault="004C0EF6" w:rsidP="004C0EF6">
      <w:pPr>
        <w:ind w:left="1440" w:hanging="1440"/>
        <w:jc w:val="both"/>
      </w:pPr>
      <w:r>
        <w:rPr>
          <w:b/>
          <w:u w:val="single"/>
        </w:rPr>
        <w:t>ISSUE 5:</w:t>
      </w:r>
      <w:r>
        <w:rPr>
          <w:b/>
        </w:rPr>
        <w:tab/>
      </w:r>
      <w:r w:rsidRPr="001F4661">
        <w:rPr>
          <w:b/>
        </w:rPr>
        <w:t>What is the reasonable and prudent amount of contractor costs, including vegetation and line clearing, to be included in Total Storm Related Restoration Costs?</w:t>
      </w:r>
    </w:p>
    <w:p w:rsidR="004C0EF6" w:rsidRDefault="004C0EF6" w:rsidP="004C0EF6">
      <w:pPr>
        <w:ind w:left="1440" w:hanging="1440"/>
        <w:jc w:val="both"/>
        <w:rPr>
          <w:b/>
          <w:bCs/>
        </w:rPr>
      </w:pPr>
    </w:p>
    <w:p w:rsidR="004C0EF6" w:rsidRDefault="004C0EF6" w:rsidP="004C0EF6">
      <w:pPr>
        <w:ind w:left="1440" w:hanging="1440"/>
        <w:rPr>
          <w:spacing w:val="-2"/>
        </w:rPr>
      </w:pPr>
      <w:r>
        <w:rPr>
          <w:b/>
          <w:bCs/>
        </w:rPr>
        <w:t>Stipulation</w:t>
      </w:r>
      <w:r w:rsidRPr="00701945">
        <w:rPr>
          <w:b/>
          <w:bCs/>
        </w:rPr>
        <w:t>:</w:t>
      </w:r>
      <w:r>
        <w:rPr>
          <w:b/>
          <w:bCs/>
        </w:rPr>
        <w:tab/>
      </w:r>
      <w:r>
        <w:t>Below</w:t>
      </w:r>
      <w:r>
        <w:rPr>
          <w:spacing w:val="-3"/>
        </w:rPr>
        <w:t xml:space="preserve"> </w:t>
      </w:r>
      <w:r>
        <w:t>are</w:t>
      </w:r>
      <w:r>
        <w:rPr>
          <w:spacing w:val="-2"/>
        </w:rPr>
        <w:t xml:space="preserve"> </w:t>
      </w:r>
      <w:r>
        <w:t>the</w:t>
      </w:r>
      <w:r>
        <w:rPr>
          <w:spacing w:val="-1"/>
        </w:rPr>
        <w:t xml:space="preserve"> </w:t>
      </w:r>
      <w:r>
        <w:t>reasonable and</w:t>
      </w:r>
      <w:r>
        <w:rPr>
          <w:spacing w:val="-1"/>
        </w:rPr>
        <w:t xml:space="preserve"> </w:t>
      </w:r>
      <w:r>
        <w:t>prudent</w:t>
      </w:r>
      <w:r>
        <w:rPr>
          <w:spacing w:val="-2"/>
        </w:rPr>
        <w:t xml:space="preserve"> </w:t>
      </w:r>
      <w:r>
        <w:t>contractor costs</w:t>
      </w:r>
      <w:r>
        <w:rPr>
          <w:spacing w:val="-2"/>
        </w:rPr>
        <w:t xml:space="preserve"> </w:t>
      </w:r>
      <w:r>
        <w:t>for</w:t>
      </w:r>
      <w:r>
        <w:rPr>
          <w:spacing w:val="-2"/>
        </w:rPr>
        <w:t xml:space="preserve"> </w:t>
      </w:r>
      <w:r>
        <w:t>each</w:t>
      </w:r>
      <w:r>
        <w:rPr>
          <w:spacing w:val="-1"/>
        </w:rPr>
        <w:t xml:space="preserve"> </w:t>
      </w:r>
      <w:r>
        <w:rPr>
          <w:spacing w:val="-2"/>
        </w:rPr>
        <w:t>storm.</w:t>
      </w:r>
    </w:p>
    <w:p w:rsidR="004C0EF6" w:rsidRDefault="004C0EF6" w:rsidP="004C0EF6">
      <w:pPr>
        <w:ind w:left="1440" w:hanging="1440"/>
      </w:pPr>
    </w:p>
    <w:p w:rsidR="004C0EF6" w:rsidRPr="00FF2C85" w:rsidRDefault="004C0EF6" w:rsidP="004C0EF6">
      <w:pPr>
        <w:tabs>
          <w:tab w:val="left" w:pos="2839"/>
        </w:tabs>
        <w:ind w:left="2480"/>
      </w:pPr>
      <w:r w:rsidRPr="00FF2C85">
        <w:t>Nicole</w:t>
      </w:r>
      <w:r w:rsidRPr="00FF2C85">
        <w:rPr>
          <w:spacing w:val="-2"/>
        </w:rPr>
        <w:t xml:space="preserve"> </w:t>
      </w:r>
      <w:r w:rsidRPr="00FF2C85">
        <w:t>-</w:t>
      </w:r>
      <w:r w:rsidRPr="00FF2C85">
        <w:rPr>
          <w:spacing w:val="-2"/>
        </w:rPr>
        <w:t xml:space="preserve"> $29,149,136</w:t>
      </w:r>
    </w:p>
    <w:p w:rsidR="004C0EF6" w:rsidRPr="00FF2C85" w:rsidRDefault="004C0EF6" w:rsidP="004C0EF6">
      <w:pPr>
        <w:tabs>
          <w:tab w:val="left" w:pos="2839"/>
        </w:tabs>
        <w:ind w:left="2480"/>
      </w:pPr>
      <w:r w:rsidRPr="00FF2C85">
        <w:t>Ian</w:t>
      </w:r>
      <w:r w:rsidRPr="00FF2C85">
        <w:rPr>
          <w:spacing w:val="-1"/>
        </w:rPr>
        <w:t xml:space="preserve"> </w:t>
      </w:r>
      <w:r w:rsidRPr="00FF2C85">
        <w:t>-</w:t>
      </w:r>
      <w:r w:rsidRPr="00FF2C85">
        <w:rPr>
          <w:spacing w:val="-2"/>
        </w:rPr>
        <w:t xml:space="preserve"> $267,394,755</w:t>
      </w:r>
    </w:p>
    <w:p w:rsidR="004C0EF6" w:rsidRPr="00FF2C85" w:rsidRDefault="004C0EF6" w:rsidP="004C0EF6">
      <w:pPr>
        <w:tabs>
          <w:tab w:val="left" w:pos="2839"/>
        </w:tabs>
        <w:ind w:left="2480"/>
      </w:pPr>
      <w:r w:rsidRPr="00FF2C85">
        <w:t>Fred</w:t>
      </w:r>
      <w:r w:rsidRPr="00FF2C85">
        <w:rPr>
          <w:spacing w:val="-3"/>
        </w:rPr>
        <w:t xml:space="preserve"> </w:t>
      </w:r>
      <w:r w:rsidRPr="00FF2C85">
        <w:t>-</w:t>
      </w:r>
      <w:r w:rsidRPr="00FF2C85">
        <w:rPr>
          <w:spacing w:val="-2"/>
        </w:rPr>
        <w:t xml:space="preserve"> $108,304</w:t>
      </w:r>
    </w:p>
    <w:p w:rsidR="004C0EF6" w:rsidRPr="00FF2C85" w:rsidRDefault="004C0EF6" w:rsidP="004C0EF6">
      <w:pPr>
        <w:tabs>
          <w:tab w:val="left" w:pos="2839"/>
        </w:tabs>
        <w:ind w:left="2480"/>
      </w:pPr>
      <w:r w:rsidRPr="00FF2C85">
        <w:t>Elsa</w:t>
      </w:r>
      <w:r w:rsidRPr="00FF2C85">
        <w:rPr>
          <w:spacing w:val="-2"/>
        </w:rPr>
        <w:t xml:space="preserve"> </w:t>
      </w:r>
      <w:r w:rsidRPr="00FF2C85">
        <w:t>-</w:t>
      </w:r>
      <w:r w:rsidRPr="00FF2C85">
        <w:rPr>
          <w:spacing w:val="-1"/>
        </w:rPr>
        <w:t xml:space="preserve"> </w:t>
      </w:r>
      <w:r w:rsidRPr="00FF2C85">
        <w:rPr>
          <w:spacing w:val="-2"/>
        </w:rPr>
        <w:t>$8,257,533</w:t>
      </w:r>
    </w:p>
    <w:p w:rsidR="004C0EF6" w:rsidRPr="00FF2C85" w:rsidRDefault="004C0EF6" w:rsidP="004C0EF6">
      <w:pPr>
        <w:tabs>
          <w:tab w:val="left" w:pos="2839"/>
        </w:tabs>
        <w:spacing w:before="1"/>
        <w:ind w:left="2480"/>
      </w:pPr>
      <w:r w:rsidRPr="00FF2C85">
        <w:t>Isaias</w:t>
      </w:r>
      <w:r w:rsidRPr="00FF2C85">
        <w:rPr>
          <w:spacing w:val="-3"/>
        </w:rPr>
        <w:t xml:space="preserve"> </w:t>
      </w:r>
      <w:r w:rsidRPr="00FF2C85">
        <w:t>-</w:t>
      </w:r>
      <w:r w:rsidRPr="00FF2C85">
        <w:rPr>
          <w:spacing w:val="-2"/>
        </w:rPr>
        <w:t xml:space="preserve"> $279,861</w:t>
      </w:r>
    </w:p>
    <w:p w:rsidR="004C0EF6" w:rsidRPr="00FF2C85" w:rsidRDefault="004C0EF6" w:rsidP="004C0EF6">
      <w:pPr>
        <w:tabs>
          <w:tab w:val="left" w:pos="2839"/>
        </w:tabs>
        <w:ind w:left="2480"/>
      </w:pPr>
      <w:r w:rsidRPr="00FF2C85">
        <w:t>Eta</w:t>
      </w:r>
      <w:r w:rsidRPr="00FF2C85">
        <w:rPr>
          <w:spacing w:val="-2"/>
        </w:rPr>
        <w:t xml:space="preserve"> </w:t>
      </w:r>
      <w:r w:rsidRPr="00FF2C85">
        <w:t>-</w:t>
      </w:r>
      <w:r w:rsidRPr="00FF2C85">
        <w:rPr>
          <w:spacing w:val="-1"/>
        </w:rPr>
        <w:t xml:space="preserve"> </w:t>
      </w:r>
      <w:r w:rsidRPr="00FF2C85">
        <w:rPr>
          <w:spacing w:val="-2"/>
        </w:rPr>
        <w:t>$13,084,650</w:t>
      </w:r>
    </w:p>
    <w:p w:rsidR="004C0EF6" w:rsidRPr="00FF2C85" w:rsidRDefault="004C0EF6" w:rsidP="004C0EF6">
      <w:pPr>
        <w:tabs>
          <w:tab w:val="left" w:pos="2839"/>
        </w:tabs>
        <w:ind w:left="2480"/>
      </w:pPr>
    </w:p>
    <w:p w:rsidR="004C0EF6" w:rsidRDefault="004C0EF6" w:rsidP="004C0EF6">
      <w:pPr>
        <w:ind w:left="1440"/>
      </w:pPr>
      <w:r>
        <w:t>The reasonable and prudent amount of contractor costs, including vegetation and line</w:t>
      </w:r>
      <w:r>
        <w:rPr>
          <w:spacing w:val="57"/>
          <w:w w:val="150"/>
        </w:rPr>
        <w:t xml:space="preserve"> </w:t>
      </w:r>
      <w:r>
        <w:t>clearing,</w:t>
      </w:r>
      <w:r>
        <w:rPr>
          <w:spacing w:val="60"/>
          <w:w w:val="150"/>
        </w:rPr>
        <w:t xml:space="preserve"> </w:t>
      </w:r>
      <w:r>
        <w:t>to</w:t>
      </w:r>
      <w:r>
        <w:rPr>
          <w:spacing w:val="61"/>
          <w:w w:val="150"/>
        </w:rPr>
        <w:t xml:space="preserve"> </w:t>
      </w:r>
      <w:r>
        <w:t>be</w:t>
      </w:r>
      <w:r>
        <w:rPr>
          <w:spacing w:val="59"/>
          <w:w w:val="150"/>
        </w:rPr>
        <w:t xml:space="preserve"> </w:t>
      </w:r>
      <w:r>
        <w:t>included</w:t>
      </w:r>
      <w:r>
        <w:rPr>
          <w:spacing w:val="61"/>
          <w:w w:val="150"/>
        </w:rPr>
        <w:t xml:space="preserve"> </w:t>
      </w:r>
      <w:r>
        <w:t>in</w:t>
      </w:r>
      <w:r>
        <w:rPr>
          <w:spacing w:val="60"/>
          <w:w w:val="150"/>
        </w:rPr>
        <w:t xml:space="preserve"> </w:t>
      </w:r>
      <w:r>
        <w:t>Total</w:t>
      </w:r>
      <w:r>
        <w:rPr>
          <w:spacing w:val="61"/>
          <w:w w:val="150"/>
        </w:rPr>
        <w:t xml:space="preserve"> </w:t>
      </w:r>
      <w:r>
        <w:t>Storm</w:t>
      </w:r>
      <w:r>
        <w:rPr>
          <w:spacing w:val="60"/>
          <w:w w:val="150"/>
        </w:rPr>
        <w:t xml:space="preserve"> </w:t>
      </w:r>
      <w:r>
        <w:t>Related</w:t>
      </w:r>
      <w:r>
        <w:rPr>
          <w:spacing w:val="61"/>
          <w:w w:val="150"/>
        </w:rPr>
        <w:t xml:space="preserve"> </w:t>
      </w:r>
      <w:r>
        <w:t>Restoration</w:t>
      </w:r>
      <w:r>
        <w:rPr>
          <w:spacing w:val="62"/>
          <w:w w:val="150"/>
        </w:rPr>
        <w:t xml:space="preserve"> </w:t>
      </w:r>
      <w:r>
        <w:t>Costs</w:t>
      </w:r>
      <w:r>
        <w:rPr>
          <w:spacing w:val="61"/>
          <w:w w:val="150"/>
        </w:rPr>
        <w:t xml:space="preserve"> </w:t>
      </w:r>
      <w:r>
        <w:rPr>
          <w:spacing w:val="-5"/>
        </w:rPr>
        <w:t xml:space="preserve">is </w:t>
      </w:r>
      <w:r>
        <w:rPr>
          <w:spacing w:val="-2"/>
        </w:rPr>
        <w:t>$318,274,239.</w:t>
      </w:r>
    </w:p>
    <w:p w:rsidR="004C0EF6" w:rsidRDefault="004C0EF6" w:rsidP="004C0EF6">
      <w:pPr>
        <w:jc w:val="both"/>
      </w:pPr>
    </w:p>
    <w:p w:rsidR="00047598" w:rsidRDefault="004C0EF6" w:rsidP="004C0EF6">
      <w:pPr>
        <w:ind w:left="1440" w:hanging="1440"/>
        <w:jc w:val="both"/>
        <w:rPr>
          <w:b/>
        </w:rPr>
      </w:pPr>
      <w:r w:rsidRPr="00A72BC3">
        <w:rPr>
          <w:b/>
          <w:u w:val="single"/>
        </w:rPr>
        <w:t>ISSUE 6:</w:t>
      </w:r>
      <w:r w:rsidRPr="00A72BC3">
        <w:tab/>
      </w:r>
      <w:r w:rsidRPr="001F4661">
        <w:rPr>
          <w:b/>
        </w:rPr>
        <w:t>What is the reasonable and prudent amount of vehicle and fuel expense to be included in Total Storm Related Restoration Costs?</w:t>
      </w:r>
    </w:p>
    <w:p w:rsidR="00047598" w:rsidRDefault="00047598" w:rsidP="004C0EF6">
      <w:pPr>
        <w:ind w:left="1440" w:hanging="1440"/>
        <w:jc w:val="both"/>
        <w:rPr>
          <w:b/>
        </w:rPr>
        <w:sectPr w:rsidR="00047598">
          <w:headerReference w:type="default" r:id="rId9"/>
          <w:headerReference w:type="first" r:id="rId10"/>
          <w:pgSz w:w="12240" w:h="15840" w:code="1"/>
          <w:pgMar w:top="1440" w:right="1440" w:bottom="1440" w:left="1440" w:header="720" w:footer="720" w:gutter="0"/>
          <w:cols w:space="720"/>
          <w:titlePg/>
          <w:docGrid w:linePitch="360"/>
        </w:sectPr>
      </w:pPr>
    </w:p>
    <w:p w:rsidR="004C0EF6" w:rsidRDefault="004C0EF6" w:rsidP="004C0EF6">
      <w:pPr>
        <w:ind w:left="1440" w:hanging="1440"/>
        <w:jc w:val="both"/>
        <w:rPr>
          <w:b/>
          <w:bCs/>
        </w:rPr>
      </w:pPr>
    </w:p>
    <w:p w:rsidR="004C0EF6" w:rsidRDefault="004C0EF6" w:rsidP="004C0EF6">
      <w:pPr>
        <w:ind w:left="1440" w:hanging="1440"/>
        <w:rPr>
          <w:spacing w:val="-2"/>
        </w:rPr>
      </w:pPr>
      <w:r>
        <w:rPr>
          <w:b/>
          <w:bCs/>
        </w:rPr>
        <w:t>Stipulation</w:t>
      </w:r>
      <w:r w:rsidRPr="00701945">
        <w:rPr>
          <w:b/>
          <w:bCs/>
        </w:rPr>
        <w:t>:</w:t>
      </w:r>
      <w:r>
        <w:rPr>
          <w:b/>
          <w:bCs/>
        </w:rPr>
        <w:tab/>
      </w:r>
      <w:r>
        <w:t>Below</w:t>
      </w:r>
      <w:r>
        <w:rPr>
          <w:spacing w:val="-4"/>
        </w:rPr>
        <w:t xml:space="preserve"> </w:t>
      </w:r>
      <w:r>
        <w:t>is</w:t>
      </w:r>
      <w:r>
        <w:rPr>
          <w:spacing w:val="-1"/>
        </w:rPr>
        <w:t xml:space="preserve"> </w:t>
      </w:r>
      <w:r>
        <w:t>the</w:t>
      </w:r>
      <w:r>
        <w:rPr>
          <w:spacing w:val="-2"/>
        </w:rPr>
        <w:t xml:space="preserve"> </w:t>
      </w:r>
      <w:r>
        <w:t>reasonable</w:t>
      </w:r>
      <w:r>
        <w:rPr>
          <w:spacing w:val="-2"/>
        </w:rPr>
        <w:t xml:space="preserve"> </w:t>
      </w:r>
      <w:r>
        <w:t>and</w:t>
      </w:r>
      <w:r>
        <w:rPr>
          <w:spacing w:val="-1"/>
        </w:rPr>
        <w:t xml:space="preserve"> </w:t>
      </w:r>
      <w:r>
        <w:t>prudent</w:t>
      </w:r>
      <w:r>
        <w:rPr>
          <w:spacing w:val="-1"/>
        </w:rPr>
        <w:t xml:space="preserve"> </w:t>
      </w:r>
      <w:r>
        <w:t>vehicle and</w:t>
      </w:r>
      <w:r>
        <w:rPr>
          <w:spacing w:val="-1"/>
        </w:rPr>
        <w:t xml:space="preserve"> </w:t>
      </w:r>
      <w:r>
        <w:t>fuel</w:t>
      </w:r>
      <w:r>
        <w:rPr>
          <w:spacing w:val="-1"/>
        </w:rPr>
        <w:t xml:space="preserve"> </w:t>
      </w:r>
      <w:r>
        <w:t>expense for</w:t>
      </w:r>
      <w:r>
        <w:rPr>
          <w:spacing w:val="-2"/>
        </w:rPr>
        <w:t xml:space="preserve"> </w:t>
      </w:r>
      <w:r>
        <w:t xml:space="preserve">each </w:t>
      </w:r>
      <w:r>
        <w:rPr>
          <w:spacing w:val="-2"/>
        </w:rPr>
        <w:t>storm.</w:t>
      </w:r>
    </w:p>
    <w:p w:rsidR="004C0EF6" w:rsidRDefault="004C0EF6" w:rsidP="004C0EF6">
      <w:pPr>
        <w:ind w:left="1440" w:hanging="1440"/>
      </w:pPr>
    </w:p>
    <w:p w:rsidR="004C0EF6" w:rsidRPr="00FF2C85" w:rsidRDefault="004C0EF6" w:rsidP="004C0EF6">
      <w:pPr>
        <w:tabs>
          <w:tab w:val="left" w:pos="2839"/>
        </w:tabs>
        <w:ind w:left="2480"/>
      </w:pPr>
      <w:r w:rsidRPr="00FF2C85">
        <w:t>Nicole</w:t>
      </w:r>
      <w:r w:rsidRPr="00FF2C85">
        <w:rPr>
          <w:spacing w:val="-2"/>
        </w:rPr>
        <w:t xml:space="preserve"> </w:t>
      </w:r>
      <w:r w:rsidRPr="00FF2C85">
        <w:t>-</w:t>
      </w:r>
      <w:r w:rsidRPr="00FF2C85">
        <w:rPr>
          <w:spacing w:val="-2"/>
        </w:rPr>
        <w:t xml:space="preserve"> $1,526,358</w:t>
      </w:r>
    </w:p>
    <w:p w:rsidR="004C0EF6" w:rsidRPr="00FF2C85" w:rsidRDefault="004C0EF6" w:rsidP="004C0EF6">
      <w:pPr>
        <w:tabs>
          <w:tab w:val="left" w:pos="2839"/>
        </w:tabs>
        <w:ind w:left="2480"/>
      </w:pPr>
      <w:r w:rsidRPr="00FF2C85">
        <w:t>Ian</w:t>
      </w:r>
      <w:r w:rsidRPr="00FF2C85">
        <w:rPr>
          <w:spacing w:val="-1"/>
        </w:rPr>
        <w:t xml:space="preserve"> </w:t>
      </w:r>
      <w:r w:rsidRPr="00FF2C85">
        <w:t>-</w:t>
      </w:r>
      <w:r w:rsidRPr="00FF2C85">
        <w:rPr>
          <w:spacing w:val="-2"/>
        </w:rPr>
        <w:t xml:space="preserve"> $9,397,616</w:t>
      </w:r>
    </w:p>
    <w:p w:rsidR="004C0EF6" w:rsidRPr="00FF2C85" w:rsidRDefault="004C0EF6" w:rsidP="004C0EF6">
      <w:pPr>
        <w:tabs>
          <w:tab w:val="left" w:pos="2839"/>
        </w:tabs>
        <w:ind w:left="2480"/>
      </w:pPr>
      <w:r w:rsidRPr="00FF2C85">
        <w:t>Fred</w:t>
      </w:r>
      <w:r w:rsidRPr="00FF2C85">
        <w:rPr>
          <w:spacing w:val="-1"/>
        </w:rPr>
        <w:t xml:space="preserve"> </w:t>
      </w:r>
      <w:r w:rsidRPr="00FF2C85">
        <w:t>-</w:t>
      </w:r>
      <w:r w:rsidRPr="00FF2C85">
        <w:rPr>
          <w:spacing w:val="-2"/>
        </w:rPr>
        <w:t xml:space="preserve"> $40,969</w:t>
      </w:r>
    </w:p>
    <w:p w:rsidR="004C0EF6" w:rsidRPr="00FF2C85" w:rsidRDefault="004C0EF6" w:rsidP="004C0EF6">
      <w:pPr>
        <w:tabs>
          <w:tab w:val="left" w:pos="2839"/>
        </w:tabs>
        <w:ind w:left="2480"/>
      </w:pPr>
      <w:r w:rsidRPr="00FF2C85">
        <w:t>Elsa</w:t>
      </w:r>
      <w:r w:rsidRPr="00FF2C85">
        <w:rPr>
          <w:spacing w:val="-4"/>
        </w:rPr>
        <w:t xml:space="preserve"> </w:t>
      </w:r>
      <w:r w:rsidRPr="00FF2C85">
        <w:t>-</w:t>
      </w:r>
      <w:r w:rsidRPr="00FF2C85">
        <w:rPr>
          <w:spacing w:val="-1"/>
        </w:rPr>
        <w:t xml:space="preserve"> </w:t>
      </w:r>
      <w:r w:rsidRPr="00FF2C85">
        <w:rPr>
          <w:spacing w:val="-2"/>
        </w:rPr>
        <w:t>$426,169</w:t>
      </w:r>
    </w:p>
    <w:p w:rsidR="004C0EF6" w:rsidRPr="00FF2C85" w:rsidRDefault="004C0EF6" w:rsidP="004C0EF6">
      <w:pPr>
        <w:tabs>
          <w:tab w:val="left" w:pos="2839"/>
        </w:tabs>
        <w:ind w:left="2480"/>
      </w:pPr>
      <w:r w:rsidRPr="00FF2C85">
        <w:t>Isaias</w:t>
      </w:r>
      <w:r w:rsidRPr="00FF2C85">
        <w:rPr>
          <w:spacing w:val="-3"/>
        </w:rPr>
        <w:t xml:space="preserve"> </w:t>
      </w:r>
      <w:r w:rsidRPr="00FF2C85">
        <w:t>-</w:t>
      </w:r>
      <w:r w:rsidRPr="00FF2C85">
        <w:rPr>
          <w:spacing w:val="-2"/>
        </w:rPr>
        <w:t xml:space="preserve"> $37,817</w:t>
      </w:r>
    </w:p>
    <w:p w:rsidR="004C0EF6" w:rsidRPr="00FF2C85" w:rsidRDefault="004C0EF6" w:rsidP="004C0EF6">
      <w:pPr>
        <w:tabs>
          <w:tab w:val="left" w:pos="2839"/>
        </w:tabs>
        <w:spacing w:before="1"/>
        <w:ind w:left="2480"/>
      </w:pPr>
      <w:r w:rsidRPr="00FF2C85">
        <w:t>Eta</w:t>
      </w:r>
      <w:r w:rsidRPr="00FF2C85">
        <w:rPr>
          <w:spacing w:val="-4"/>
        </w:rPr>
        <w:t xml:space="preserve"> </w:t>
      </w:r>
      <w:r w:rsidRPr="00FF2C85">
        <w:t>-</w:t>
      </w:r>
      <w:r w:rsidRPr="00FF2C85">
        <w:rPr>
          <w:spacing w:val="-1"/>
        </w:rPr>
        <w:t xml:space="preserve"> </w:t>
      </w:r>
      <w:r w:rsidRPr="00FF2C85">
        <w:rPr>
          <w:spacing w:val="-2"/>
        </w:rPr>
        <w:t>$747,426</w:t>
      </w:r>
    </w:p>
    <w:p w:rsidR="004C0EF6" w:rsidRDefault="004C0EF6" w:rsidP="004C0EF6">
      <w:pPr>
        <w:ind w:left="1440" w:hanging="1440"/>
      </w:pPr>
    </w:p>
    <w:p w:rsidR="004C0EF6" w:rsidRPr="00701945" w:rsidRDefault="004C0EF6" w:rsidP="004C0EF6">
      <w:pPr>
        <w:ind w:left="1440"/>
      </w:pPr>
      <w:r>
        <w:t>The reasonable and prudent amount of vehicle and fuel expense to be included in Total Storm Related Restoration Costs is $12,176,355.</w:t>
      </w:r>
    </w:p>
    <w:p w:rsidR="004C0EF6" w:rsidRDefault="004C0EF6" w:rsidP="004C0EF6">
      <w:pPr>
        <w:jc w:val="both"/>
      </w:pPr>
    </w:p>
    <w:p w:rsidR="004C0EF6" w:rsidRPr="00A72BC3" w:rsidRDefault="004C0EF6" w:rsidP="004C0EF6">
      <w:pPr>
        <w:ind w:left="1440" w:hanging="1440"/>
      </w:pPr>
      <w:r w:rsidRPr="00A72BC3">
        <w:rPr>
          <w:b/>
          <w:u w:val="single"/>
        </w:rPr>
        <w:t>ISSUE 7:</w:t>
      </w:r>
      <w:r>
        <w:rPr>
          <w:b/>
        </w:rPr>
        <w:tab/>
      </w:r>
      <w:r w:rsidRPr="001F4661">
        <w:rPr>
          <w:b/>
        </w:rPr>
        <w:t>What is the reasonable and prudent amount of employee expenses to be included in Total Storm Related Restoration Costs?</w:t>
      </w:r>
    </w:p>
    <w:p w:rsidR="004C0EF6" w:rsidRDefault="004C0EF6" w:rsidP="004C0EF6">
      <w:pPr>
        <w:ind w:left="1440" w:hanging="1440"/>
        <w:jc w:val="both"/>
        <w:rPr>
          <w:b/>
          <w:bCs/>
        </w:rPr>
      </w:pPr>
    </w:p>
    <w:p w:rsidR="004C0EF6" w:rsidRDefault="004C0EF6" w:rsidP="004C0EF6">
      <w:pPr>
        <w:ind w:left="1440" w:hanging="1440"/>
      </w:pPr>
      <w:r>
        <w:rPr>
          <w:b/>
          <w:bCs/>
        </w:rPr>
        <w:t>Stipulation</w:t>
      </w:r>
      <w:r w:rsidRPr="00701945">
        <w:rPr>
          <w:b/>
          <w:bCs/>
        </w:rPr>
        <w:t>:</w:t>
      </w:r>
      <w:r w:rsidRPr="00FF2C85">
        <w:t xml:space="preserve"> </w:t>
      </w:r>
      <w:r>
        <w:tab/>
        <w:t>Below</w:t>
      </w:r>
      <w:r>
        <w:rPr>
          <w:spacing w:val="-3"/>
        </w:rPr>
        <w:t xml:space="preserve"> </w:t>
      </w:r>
      <w:r>
        <w:t>are</w:t>
      </w:r>
      <w:r>
        <w:rPr>
          <w:spacing w:val="-2"/>
        </w:rPr>
        <w:t xml:space="preserve"> </w:t>
      </w:r>
      <w:r>
        <w:t>the</w:t>
      </w:r>
      <w:r>
        <w:rPr>
          <w:spacing w:val="-1"/>
        </w:rPr>
        <w:t xml:space="preserve"> </w:t>
      </w:r>
      <w:r>
        <w:t>reasonable and</w:t>
      </w:r>
      <w:r>
        <w:rPr>
          <w:spacing w:val="-1"/>
        </w:rPr>
        <w:t xml:space="preserve"> </w:t>
      </w:r>
      <w:r>
        <w:t>prudent</w:t>
      </w:r>
      <w:r>
        <w:rPr>
          <w:spacing w:val="-2"/>
        </w:rPr>
        <w:t xml:space="preserve"> </w:t>
      </w:r>
      <w:r>
        <w:t>employee</w:t>
      </w:r>
      <w:r>
        <w:rPr>
          <w:spacing w:val="-2"/>
        </w:rPr>
        <w:t xml:space="preserve"> </w:t>
      </w:r>
      <w:r>
        <w:t>expenses</w:t>
      </w:r>
      <w:r>
        <w:rPr>
          <w:spacing w:val="-2"/>
        </w:rPr>
        <w:t xml:space="preserve"> </w:t>
      </w:r>
      <w:r>
        <w:t>for each</w:t>
      </w:r>
      <w:r>
        <w:rPr>
          <w:spacing w:val="-1"/>
        </w:rPr>
        <w:t xml:space="preserve"> </w:t>
      </w:r>
      <w:r>
        <w:rPr>
          <w:spacing w:val="-2"/>
        </w:rPr>
        <w:t>storm.</w:t>
      </w:r>
    </w:p>
    <w:p w:rsidR="004C0EF6" w:rsidRPr="00FF2C85" w:rsidRDefault="004C0EF6" w:rsidP="004C0EF6">
      <w:pPr>
        <w:tabs>
          <w:tab w:val="left" w:pos="2839"/>
        </w:tabs>
        <w:spacing w:before="242"/>
        <w:ind w:left="2480"/>
      </w:pPr>
      <w:r w:rsidRPr="00FF2C85">
        <w:t>Nicole</w:t>
      </w:r>
      <w:r w:rsidRPr="00FF2C85">
        <w:rPr>
          <w:spacing w:val="-2"/>
        </w:rPr>
        <w:t xml:space="preserve"> </w:t>
      </w:r>
      <w:r w:rsidRPr="00FF2C85">
        <w:t>-</w:t>
      </w:r>
      <w:r w:rsidRPr="00FF2C85">
        <w:rPr>
          <w:spacing w:val="-2"/>
        </w:rPr>
        <w:t xml:space="preserve"> $3,453,759</w:t>
      </w:r>
    </w:p>
    <w:p w:rsidR="004C0EF6" w:rsidRPr="00FF2C85" w:rsidRDefault="004C0EF6" w:rsidP="004C0EF6">
      <w:pPr>
        <w:tabs>
          <w:tab w:val="left" w:pos="2839"/>
        </w:tabs>
        <w:spacing w:before="42"/>
        <w:ind w:left="2480"/>
      </w:pPr>
      <w:r w:rsidRPr="00FF2C85">
        <w:t>Ian</w:t>
      </w:r>
      <w:r w:rsidRPr="00FF2C85">
        <w:rPr>
          <w:spacing w:val="-1"/>
        </w:rPr>
        <w:t xml:space="preserve"> </w:t>
      </w:r>
      <w:r w:rsidRPr="00FF2C85">
        <w:t>-</w:t>
      </w:r>
      <w:r w:rsidRPr="00FF2C85">
        <w:rPr>
          <w:spacing w:val="-2"/>
        </w:rPr>
        <w:t xml:space="preserve"> $16,510,677</w:t>
      </w:r>
    </w:p>
    <w:p w:rsidR="004C0EF6" w:rsidRPr="00FF2C85" w:rsidRDefault="004C0EF6" w:rsidP="004C0EF6">
      <w:pPr>
        <w:tabs>
          <w:tab w:val="left" w:pos="2839"/>
        </w:tabs>
        <w:spacing w:before="40"/>
        <w:ind w:left="2480"/>
      </w:pPr>
      <w:r w:rsidRPr="00FF2C85">
        <w:t>Fred</w:t>
      </w:r>
      <w:r w:rsidRPr="00FF2C85">
        <w:rPr>
          <w:spacing w:val="-1"/>
        </w:rPr>
        <w:t xml:space="preserve"> </w:t>
      </w:r>
      <w:r w:rsidRPr="00FF2C85">
        <w:t>-</w:t>
      </w:r>
      <w:r w:rsidRPr="00FF2C85">
        <w:rPr>
          <w:spacing w:val="-2"/>
        </w:rPr>
        <w:t xml:space="preserve"> $24,606</w:t>
      </w:r>
    </w:p>
    <w:p w:rsidR="004C0EF6" w:rsidRDefault="004C0EF6" w:rsidP="004C0EF6">
      <w:pPr>
        <w:tabs>
          <w:tab w:val="left" w:pos="2839"/>
        </w:tabs>
        <w:spacing w:before="42"/>
        <w:ind w:left="2480"/>
        <w:rPr>
          <w:spacing w:val="-2"/>
        </w:rPr>
      </w:pPr>
      <w:r w:rsidRPr="00FF2C85">
        <w:t>Elsa</w:t>
      </w:r>
      <w:r w:rsidRPr="00FF2C85">
        <w:rPr>
          <w:spacing w:val="-4"/>
        </w:rPr>
        <w:t xml:space="preserve"> </w:t>
      </w:r>
      <w:r w:rsidRPr="00FF2C85">
        <w:t>-</w:t>
      </w:r>
      <w:r w:rsidRPr="00FF2C85">
        <w:rPr>
          <w:spacing w:val="-1"/>
        </w:rPr>
        <w:t xml:space="preserve"> </w:t>
      </w:r>
      <w:r w:rsidRPr="00FF2C85">
        <w:rPr>
          <w:spacing w:val="-2"/>
        </w:rPr>
        <w:t>$836,059</w:t>
      </w:r>
    </w:p>
    <w:p w:rsidR="004C0EF6" w:rsidRDefault="004C0EF6" w:rsidP="004C0EF6">
      <w:pPr>
        <w:tabs>
          <w:tab w:val="left" w:pos="2839"/>
        </w:tabs>
        <w:spacing w:before="42"/>
        <w:ind w:left="2480"/>
        <w:rPr>
          <w:spacing w:val="-2"/>
        </w:rPr>
      </w:pPr>
      <w:r>
        <w:rPr>
          <w:spacing w:val="-2"/>
        </w:rPr>
        <w:t>Isaias - $16,232</w:t>
      </w:r>
    </w:p>
    <w:p w:rsidR="004C0EF6" w:rsidRPr="00FF2C85" w:rsidRDefault="004C0EF6" w:rsidP="004C0EF6">
      <w:pPr>
        <w:tabs>
          <w:tab w:val="left" w:pos="2839"/>
        </w:tabs>
        <w:spacing w:before="42"/>
        <w:ind w:left="2480"/>
      </w:pPr>
      <w:r>
        <w:rPr>
          <w:spacing w:val="-2"/>
        </w:rPr>
        <w:t>Eta - $800,782</w:t>
      </w:r>
    </w:p>
    <w:p w:rsidR="004C0EF6" w:rsidRDefault="004C0EF6" w:rsidP="004C0EF6">
      <w:pPr>
        <w:ind w:left="1440"/>
      </w:pPr>
      <w:r>
        <w:t>The reasonable and prudent amount of employee expenses to be included in Total Storm Related Restoration Costs is $21,642,115.</w:t>
      </w:r>
    </w:p>
    <w:p w:rsidR="004C0EF6" w:rsidRDefault="004C0EF6" w:rsidP="004C0EF6">
      <w:pPr>
        <w:jc w:val="both"/>
      </w:pPr>
    </w:p>
    <w:p w:rsidR="004C0EF6" w:rsidRPr="00A72BC3" w:rsidRDefault="004C0EF6" w:rsidP="004C0EF6">
      <w:pPr>
        <w:ind w:left="1440" w:hanging="1440"/>
        <w:jc w:val="both"/>
      </w:pPr>
      <w:r w:rsidRPr="00A72BC3">
        <w:rPr>
          <w:b/>
          <w:u w:val="single"/>
        </w:rPr>
        <w:t>ISSUE 8:</w:t>
      </w:r>
      <w:r w:rsidRPr="00FF2C85">
        <w:rPr>
          <w:b/>
        </w:rPr>
        <w:tab/>
      </w:r>
      <w:r w:rsidRPr="001F4661">
        <w:rPr>
          <w:b/>
        </w:rPr>
        <w:t>What is the reasonable and prudent amount of materials and supplies expense to be included in Total Storm Related Restoration Costs?</w:t>
      </w:r>
    </w:p>
    <w:p w:rsidR="004C0EF6" w:rsidRDefault="004C0EF6" w:rsidP="004C0EF6">
      <w:pPr>
        <w:ind w:left="1440" w:hanging="1440"/>
        <w:rPr>
          <w:spacing w:val="-2"/>
        </w:rPr>
      </w:pPr>
      <w:r>
        <w:rPr>
          <w:b/>
          <w:bCs/>
        </w:rPr>
        <w:t>Stipulation</w:t>
      </w:r>
      <w:r w:rsidRPr="00701945">
        <w:rPr>
          <w:b/>
          <w:bCs/>
        </w:rPr>
        <w:t>:</w:t>
      </w:r>
      <w:r>
        <w:rPr>
          <w:b/>
          <w:bCs/>
        </w:rPr>
        <w:tab/>
      </w:r>
      <w:r>
        <w:t>Below</w:t>
      </w:r>
      <w:r>
        <w:rPr>
          <w:spacing w:val="-12"/>
        </w:rPr>
        <w:t xml:space="preserve"> </w:t>
      </w:r>
      <w:r>
        <w:t>is</w:t>
      </w:r>
      <w:r>
        <w:rPr>
          <w:spacing w:val="-9"/>
        </w:rPr>
        <w:t xml:space="preserve"> </w:t>
      </w:r>
      <w:r>
        <w:t>the</w:t>
      </w:r>
      <w:r>
        <w:rPr>
          <w:spacing w:val="-10"/>
        </w:rPr>
        <w:t xml:space="preserve"> </w:t>
      </w:r>
      <w:r>
        <w:t>reasonable</w:t>
      </w:r>
      <w:r>
        <w:rPr>
          <w:spacing w:val="-11"/>
        </w:rPr>
        <w:t xml:space="preserve"> </w:t>
      </w:r>
      <w:r>
        <w:t>and</w:t>
      </w:r>
      <w:r>
        <w:rPr>
          <w:spacing w:val="-9"/>
        </w:rPr>
        <w:t xml:space="preserve"> </w:t>
      </w:r>
      <w:r>
        <w:t>prudent</w:t>
      </w:r>
      <w:r>
        <w:rPr>
          <w:spacing w:val="-9"/>
        </w:rPr>
        <w:t xml:space="preserve"> </w:t>
      </w:r>
      <w:r>
        <w:t>materials</w:t>
      </w:r>
      <w:r>
        <w:rPr>
          <w:spacing w:val="-9"/>
        </w:rPr>
        <w:t xml:space="preserve"> </w:t>
      </w:r>
      <w:r>
        <w:t>and</w:t>
      </w:r>
      <w:r>
        <w:rPr>
          <w:spacing w:val="-9"/>
        </w:rPr>
        <w:t xml:space="preserve"> </w:t>
      </w:r>
      <w:r>
        <w:t>supplies</w:t>
      </w:r>
      <w:r>
        <w:rPr>
          <w:spacing w:val="-9"/>
        </w:rPr>
        <w:t xml:space="preserve"> </w:t>
      </w:r>
      <w:r>
        <w:t>expense</w:t>
      </w:r>
      <w:r>
        <w:rPr>
          <w:spacing w:val="-10"/>
        </w:rPr>
        <w:t xml:space="preserve"> </w:t>
      </w:r>
      <w:r>
        <w:t>for</w:t>
      </w:r>
      <w:r>
        <w:rPr>
          <w:spacing w:val="-10"/>
        </w:rPr>
        <w:t xml:space="preserve"> </w:t>
      </w:r>
      <w:r>
        <w:t>each</w:t>
      </w:r>
      <w:r>
        <w:rPr>
          <w:spacing w:val="-6"/>
        </w:rPr>
        <w:t xml:space="preserve"> </w:t>
      </w:r>
      <w:r>
        <w:rPr>
          <w:spacing w:val="-2"/>
        </w:rPr>
        <w:t>storm.</w:t>
      </w:r>
    </w:p>
    <w:p w:rsidR="004C0EF6" w:rsidRDefault="004C0EF6" w:rsidP="004C0EF6"/>
    <w:p w:rsidR="004C0EF6" w:rsidRPr="00B75249" w:rsidRDefault="004C0EF6" w:rsidP="004C0EF6">
      <w:pPr>
        <w:tabs>
          <w:tab w:val="left" w:pos="2839"/>
        </w:tabs>
        <w:ind w:left="2480"/>
      </w:pPr>
      <w:r w:rsidRPr="00B75249">
        <w:t>Nicole</w:t>
      </w:r>
      <w:r w:rsidRPr="00B75249">
        <w:rPr>
          <w:spacing w:val="-2"/>
        </w:rPr>
        <w:t xml:space="preserve"> </w:t>
      </w:r>
      <w:r w:rsidRPr="00B75249">
        <w:t>-</w:t>
      </w:r>
      <w:r w:rsidRPr="00B75249">
        <w:rPr>
          <w:spacing w:val="-2"/>
        </w:rPr>
        <w:t xml:space="preserve"> $3,245,543</w:t>
      </w:r>
    </w:p>
    <w:p w:rsidR="004C0EF6" w:rsidRPr="00B75249" w:rsidRDefault="004C0EF6" w:rsidP="004C0EF6">
      <w:pPr>
        <w:tabs>
          <w:tab w:val="left" w:pos="2839"/>
        </w:tabs>
        <w:ind w:left="2480"/>
      </w:pPr>
      <w:r w:rsidRPr="00B75249">
        <w:t>Ian</w:t>
      </w:r>
      <w:r w:rsidRPr="00B75249">
        <w:rPr>
          <w:spacing w:val="-1"/>
        </w:rPr>
        <w:t xml:space="preserve"> </w:t>
      </w:r>
      <w:r w:rsidRPr="00B75249">
        <w:t>-</w:t>
      </w:r>
      <w:r w:rsidRPr="00B75249">
        <w:rPr>
          <w:spacing w:val="-2"/>
        </w:rPr>
        <w:t xml:space="preserve"> $18,603,008</w:t>
      </w:r>
    </w:p>
    <w:p w:rsidR="004C0EF6" w:rsidRPr="00B75249" w:rsidRDefault="004C0EF6" w:rsidP="004C0EF6">
      <w:pPr>
        <w:tabs>
          <w:tab w:val="left" w:pos="2839"/>
        </w:tabs>
        <w:ind w:left="2480"/>
      </w:pPr>
      <w:r w:rsidRPr="00B75249">
        <w:t>Fred</w:t>
      </w:r>
      <w:r w:rsidRPr="00B75249">
        <w:rPr>
          <w:spacing w:val="-1"/>
        </w:rPr>
        <w:t xml:space="preserve"> </w:t>
      </w:r>
      <w:r w:rsidRPr="00B75249">
        <w:t>-</w:t>
      </w:r>
      <w:r w:rsidRPr="00B75249">
        <w:rPr>
          <w:spacing w:val="-2"/>
        </w:rPr>
        <w:t xml:space="preserve"> $34,668</w:t>
      </w:r>
    </w:p>
    <w:p w:rsidR="004C0EF6" w:rsidRPr="00B75249" w:rsidRDefault="004C0EF6" w:rsidP="004C0EF6">
      <w:pPr>
        <w:tabs>
          <w:tab w:val="left" w:pos="2839"/>
        </w:tabs>
        <w:spacing w:before="2"/>
        <w:ind w:left="2480"/>
      </w:pPr>
      <w:r w:rsidRPr="00B75249">
        <w:t>Elsa</w:t>
      </w:r>
      <w:r w:rsidRPr="00B75249">
        <w:rPr>
          <w:spacing w:val="-2"/>
        </w:rPr>
        <w:t xml:space="preserve"> </w:t>
      </w:r>
      <w:r w:rsidRPr="00B75249">
        <w:t>-</w:t>
      </w:r>
      <w:r w:rsidRPr="00B75249">
        <w:rPr>
          <w:spacing w:val="-1"/>
        </w:rPr>
        <w:t xml:space="preserve"> </w:t>
      </w:r>
      <w:r w:rsidRPr="00B75249">
        <w:rPr>
          <w:spacing w:val="-2"/>
        </w:rPr>
        <w:t>$1,002,905</w:t>
      </w:r>
    </w:p>
    <w:p w:rsidR="004C0EF6" w:rsidRPr="00B75249" w:rsidRDefault="004C0EF6" w:rsidP="004C0EF6">
      <w:pPr>
        <w:tabs>
          <w:tab w:val="left" w:pos="2839"/>
        </w:tabs>
        <w:ind w:left="2480"/>
      </w:pPr>
      <w:r w:rsidRPr="00B75249">
        <w:t>Isaias</w:t>
      </w:r>
      <w:r w:rsidRPr="00B75249">
        <w:rPr>
          <w:spacing w:val="-3"/>
        </w:rPr>
        <w:t xml:space="preserve"> </w:t>
      </w:r>
      <w:r w:rsidRPr="00B75249">
        <w:t>-</w:t>
      </w:r>
      <w:r w:rsidRPr="00B75249">
        <w:rPr>
          <w:spacing w:val="-2"/>
        </w:rPr>
        <w:t xml:space="preserve"> $37,432</w:t>
      </w:r>
    </w:p>
    <w:p w:rsidR="004C0EF6" w:rsidRDefault="004C0EF6" w:rsidP="004C0EF6">
      <w:pPr>
        <w:tabs>
          <w:tab w:val="left" w:pos="2839"/>
        </w:tabs>
        <w:ind w:left="2480"/>
        <w:rPr>
          <w:spacing w:val="-2"/>
        </w:rPr>
      </w:pPr>
      <w:r w:rsidRPr="00B75249">
        <w:t>Eta</w:t>
      </w:r>
      <w:r w:rsidRPr="00B75249">
        <w:rPr>
          <w:spacing w:val="-2"/>
        </w:rPr>
        <w:t xml:space="preserve"> </w:t>
      </w:r>
      <w:r w:rsidRPr="00B75249">
        <w:t>-</w:t>
      </w:r>
      <w:r w:rsidRPr="00B75249">
        <w:rPr>
          <w:spacing w:val="-1"/>
        </w:rPr>
        <w:t xml:space="preserve"> </w:t>
      </w:r>
      <w:r w:rsidRPr="00B75249">
        <w:rPr>
          <w:spacing w:val="-2"/>
        </w:rPr>
        <w:t>$1,003,640</w:t>
      </w:r>
    </w:p>
    <w:p w:rsidR="004C0EF6" w:rsidRPr="00B75249" w:rsidRDefault="004C0EF6" w:rsidP="004C0EF6">
      <w:pPr>
        <w:tabs>
          <w:tab w:val="left" w:pos="2839"/>
        </w:tabs>
        <w:ind w:left="2480"/>
      </w:pPr>
    </w:p>
    <w:p w:rsidR="004C0EF6" w:rsidRDefault="004C0EF6" w:rsidP="004C0EF6">
      <w:pPr>
        <w:ind w:left="1440"/>
        <w:jc w:val="both"/>
      </w:pPr>
      <w:r>
        <w:t>The</w:t>
      </w:r>
      <w:r>
        <w:rPr>
          <w:spacing w:val="-5"/>
        </w:rPr>
        <w:t xml:space="preserve"> </w:t>
      </w:r>
      <w:r>
        <w:t>reasonable</w:t>
      </w:r>
      <w:r>
        <w:rPr>
          <w:spacing w:val="-5"/>
        </w:rPr>
        <w:t xml:space="preserve"> </w:t>
      </w:r>
      <w:r>
        <w:t>and</w:t>
      </w:r>
      <w:r>
        <w:rPr>
          <w:spacing w:val="-4"/>
        </w:rPr>
        <w:t xml:space="preserve"> </w:t>
      </w:r>
      <w:r>
        <w:t>prudent</w:t>
      </w:r>
      <w:r>
        <w:rPr>
          <w:spacing w:val="-4"/>
        </w:rPr>
        <w:t xml:space="preserve"> </w:t>
      </w:r>
      <w:r>
        <w:t>amount</w:t>
      </w:r>
      <w:r>
        <w:rPr>
          <w:spacing w:val="-4"/>
        </w:rPr>
        <w:t xml:space="preserve"> </w:t>
      </w:r>
      <w:r>
        <w:t>of</w:t>
      </w:r>
      <w:r>
        <w:rPr>
          <w:spacing w:val="-5"/>
        </w:rPr>
        <w:t xml:space="preserve"> </w:t>
      </w:r>
      <w:r>
        <w:t>materials</w:t>
      </w:r>
      <w:r>
        <w:rPr>
          <w:spacing w:val="-4"/>
        </w:rPr>
        <w:t xml:space="preserve"> </w:t>
      </w:r>
      <w:r>
        <w:t>and</w:t>
      </w:r>
      <w:r>
        <w:rPr>
          <w:spacing w:val="-4"/>
        </w:rPr>
        <w:t xml:space="preserve"> </w:t>
      </w:r>
      <w:r>
        <w:t>supplies</w:t>
      </w:r>
      <w:r>
        <w:rPr>
          <w:spacing w:val="-4"/>
        </w:rPr>
        <w:t xml:space="preserve"> </w:t>
      </w:r>
      <w:r>
        <w:t>expense</w:t>
      </w:r>
      <w:r>
        <w:rPr>
          <w:spacing w:val="-5"/>
        </w:rPr>
        <w:t xml:space="preserve"> </w:t>
      </w:r>
      <w:r>
        <w:t>to</w:t>
      </w:r>
      <w:r>
        <w:rPr>
          <w:spacing w:val="-4"/>
        </w:rPr>
        <w:t xml:space="preserve"> </w:t>
      </w:r>
      <w:r>
        <w:t>be included in Total Storm Related Restoration Costs is $23,927,196.</w:t>
      </w:r>
    </w:p>
    <w:p w:rsidR="004C0EF6" w:rsidRDefault="004C0EF6" w:rsidP="004C0EF6">
      <w:pPr>
        <w:jc w:val="both"/>
      </w:pPr>
    </w:p>
    <w:p w:rsidR="00047598" w:rsidRDefault="004C0EF6" w:rsidP="004C0EF6">
      <w:pPr>
        <w:ind w:left="1440" w:hanging="1440"/>
        <w:jc w:val="both"/>
        <w:rPr>
          <w:b/>
        </w:rPr>
      </w:pPr>
      <w:r w:rsidRPr="00A72BC3">
        <w:rPr>
          <w:b/>
          <w:u w:val="single"/>
        </w:rPr>
        <w:t>ISSUE 9:</w:t>
      </w:r>
      <w:r w:rsidRPr="00A72BC3">
        <w:tab/>
      </w:r>
      <w:r w:rsidRPr="001F4661">
        <w:rPr>
          <w:b/>
        </w:rPr>
        <w:t>What is the reasonable and prudent amount of logistics costs to be included in Total Storm Related Restoration Costs?</w:t>
      </w:r>
    </w:p>
    <w:p w:rsidR="00047598" w:rsidRDefault="00047598" w:rsidP="004C0EF6">
      <w:pPr>
        <w:ind w:left="1440" w:hanging="1440"/>
        <w:jc w:val="both"/>
        <w:rPr>
          <w:b/>
        </w:rPr>
        <w:sectPr w:rsidR="00047598">
          <w:headerReference w:type="first" r:id="rId11"/>
          <w:pgSz w:w="12240" w:h="15840" w:code="1"/>
          <w:pgMar w:top="1440" w:right="1440" w:bottom="1440" w:left="1440" w:header="720" w:footer="720" w:gutter="0"/>
          <w:cols w:space="720"/>
          <w:titlePg/>
          <w:docGrid w:linePitch="360"/>
        </w:sectPr>
      </w:pPr>
    </w:p>
    <w:p w:rsidR="00047598" w:rsidRPr="001F4661" w:rsidRDefault="00047598" w:rsidP="004C0EF6">
      <w:pPr>
        <w:ind w:left="1440" w:hanging="1440"/>
        <w:jc w:val="both"/>
        <w:rPr>
          <w:b/>
          <w:bCs/>
        </w:rPr>
      </w:pPr>
    </w:p>
    <w:p w:rsidR="004C0EF6" w:rsidRDefault="004C0EF6" w:rsidP="004C0EF6">
      <w:pPr>
        <w:ind w:left="1440" w:hanging="1440"/>
      </w:pPr>
      <w:r>
        <w:rPr>
          <w:b/>
          <w:bCs/>
        </w:rPr>
        <w:t>Stipulation</w:t>
      </w:r>
      <w:r w:rsidRPr="00701945">
        <w:rPr>
          <w:b/>
          <w:bCs/>
        </w:rPr>
        <w:t>:</w:t>
      </w:r>
      <w:r>
        <w:rPr>
          <w:b/>
          <w:bCs/>
        </w:rPr>
        <w:tab/>
      </w:r>
      <w:r>
        <w:t>Below</w:t>
      </w:r>
      <w:r>
        <w:rPr>
          <w:spacing w:val="-3"/>
        </w:rPr>
        <w:t xml:space="preserve"> </w:t>
      </w:r>
      <w:r>
        <w:t>are</w:t>
      </w:r>
      <w:r>
        <w:rPr>
          <w:spacing w:val="-2"/>
        </w:rPr>
        <w:t xml:space="preserve"> </w:t>
      </w:r>
      <w:r>
        <w:t>the reasonable and</w:t>
      </w:r>
      <w:r>
        <w:rPr>
          <w:spacing w:val="-2"/>
        </w:rPr>
        <w:t xml:space="preserve"> </w:t>
      </w:r>
      <w:r>
        <w:t>prudent</w:t>
      </w:r>
      <w:r>
        <w:rPr>
          <w:spacing w:val="-1"/>
        </w:rPr>
        <w:t xml:space="preserve"> </w:t>
      </w:r>
      <w:r>
        <w:t>logistics</w:t>
      </w:r>
      <w:r>
        <w:rPr>
          <w:spacing w:val="-1"/>
        </w:rPr>
        <w:t xml:space="preserve"> </w:t>
      </w:r>
      <w:r>
        <w:t>costs</w:t>
      </w:r>
      <w:r>
        <w:rPr>
          <w:spacing w:val="-1"/>
        </w:rPr>
        <w:t xml:space="preserve"> </w:t>
      </w:r>
      <w:r>
        <w:t>for</w:t>
      </w:r>
      <w:r>
        <w:rPr>
          <w:spacing w:val="-2"/>
        </w:rPr>
        <w:t xml:space="preserve"> </w:t>
      </w:r>
      <w:r>
        <w:t>each</w:t>
      </w:r>
      <w:r>
        <w:rPr>
          <w:spacing w:val="-1"/>
        </w:rPr>
        <w:t xml:space="preserve"> </w:t>
      </w:r>
      <w:r>
        <w:rPr>
          <w:spacing w:val="-2"/>
        </w:rPr>
        <w:t>storm</w:t>
      </w:r>
    </w:p>
    <w:p w:rsidR="00047598" w:rsidRDefault="00047598" w:rsidP="004C0EF6">
      <w:pPr>
        <w:ind w:left="1440" w:hanging="1440"/>
      </w:pPr>
    </w:p>
    <w:p w:rsidR="004C0EF6" w:rsidRPr="00B75249" w:rsidRDefault="004C0EF6" w:rsidP="004C0EF6">
      <w:pPr>
        <w:tabs>
          <w:tab w:val="left" w:pos="2839"/>
        </w:tabs>
        <w:ind w:left="2480"/>
      </w:pPr>
      <w:r w:rsidRPr="00B75249">
        <w:t>Nicole</w:t>
      </w:r>
      <w:r w:rsidRPr="00B75249">
        <w:rPr>
          <w:spacing w:val="-2"/>
        </w:rPr>
        <w:t xml:space="preserve"> </w:t>
      </w:r>
      <w:r w:rsidRPr="00B75249">
        <w:t>-</w:t>
      </w:r>
      <w:r w:rsidRPr="00B75249">
        <w:rPr>
          <w:spacing w:val="-2"/>
        </w:rPr>
        <w:t xml:space="preserve"> $4,917,493</w:t>
      </w:r>
    </w:p>
    <w:p w:rsidR="004C0EF6" w:rsidRPr="00B75249" w:rsidRDefault="004C0EF6" w:rsidP="004C0EF6">
      <w:pPr>
        <w:tabs>
          <w:tab w:val="left" w:pos="2839"/>
        </w:tabs>
        <w:ind w:left="2480"/>
      </w:pPr>
      <w:r w:rsidRPr="00B75249">
        <w:t>Ian</w:t>
      </w:r>
      <w:r w:rsidRPr="00B75249">
        <w:rPr>
          <w:spacing w:val="-1"/>
        </w:rPr>
        <w:t xml:space="preserve"> </w:t>
      </w:r>
      <w:r w:rsidRPr="00B75249">
        <w:t>-</w:t>
      </w:r>
      <w:r w:rsidRPr="00B75249">
        <w:rPr>
          <w:spacing w:val="-2"/>
        </w:rPr>
        <w:t xml:space="preserve"> $44,649,681</w:t>
      </w:r>
    </w:p>
    <w:p w:rsidR="004C0EF6" w:rsidRPr="00B75249" w:rsidRDefault="004C0EF6" w:rsidP="004C0EF6">
      <w:pPr>
        <w:tabs>
          <w:tab w:val="left" w:pos="2839"/>
        </w:tabs>
        <w:ind w:left="2480"/>
      </w:pPr>
      <w:r w:rsidRPr="00B75249">
        <w:t>Fred</w:t>
      </w:r>
      <w:r w:rsidRPr="00B75249">
        <w:rPr>
          <w:spacing w:val="-1"/>
        </w:rPr>
        <w:t xml:space="preserve"> </w:t>
      </w:r>
      <w:r w:rsidRPr="00B75249">
        <w:t>-</w:t>
      </w:r>
      <w:r w:rsidRPr="00B75249">
        <w:rPr>
          <w:spacing w:val="-2"/>
        </w:rPr>
        <w:t xml:space="preserve"> $59,127</w:t>
      </w:r>
    </w:p>
    <w:p w:rsidR="004C0EF6" w:rsidRPr="00B75249" w:rsidRDefault="004C0EF6" w:rsidP="004C0EF6">
      <w:pPr>
        <w:tabs>
          <w:tab w:val="left" w:pos="2839"/>
        </w:tabs>
        <w:ind w:left="2480"/>
      </w:pPr>
      <w:r w:rsidRPr="00B75249">
        <w:t>Elsa</w:t>
      </w:r>
      <w:r w:rsidRPr="00B75249">
        <w:rPr>
          <w:spacing w:val="-2"/>
        </w:rPr>
        <w:t xml:space="preserve"> </w:t>
      </w:r>
      <w:r w:rsidRPr="00B75249">
        <w:t>-</w:t>
      </w:r>
      <w:r w:rsidRPr="00B75249">
        <w:rPr>
          <w:spacing w:val="-1"/>
        </w:rPr>
        <w:t xml:space="preserve"> </w:t>
      </w:r>
      <w:r w:rsidRPr="00B75249">
        <w:rPr>
          <w:spacing w:val="-2"/>
        </w:rPr>
        <w:t>$3,403,957</w:t>
      </w:r>
    </w:p>
    <w:p w:rsidR="004C0EF6" w:rsidRPr="00B75249" w:rsidRDefault="004C0EF6" w:rsidP="004C0EF6">
      <w:pPr>
        <w:tabs>
          <w:tab w:val="left" w:pos="2839"/>
        </w:tabs>
        <w:spacing w:before="1"/>
        <w:ind w:left="2480"/>
      </w:pPr>
      <w:r w:rsidRPr="00B75249">
        <w:t>Isaias</w:t>
      </w:r>
      <w:r w:rsidRPr="00B75249">
        <w:rPr>
          <w:spacing w:val="-3"/>
        </w:rPr>
        <w:t xml:space="preserve"> </w:t>
      </w:r>
      <w:r w:rsidRPr="00B75249">
        <w:t>-</w:t>
      </w:r>
      <w:r w:rsidRPr="00B75249">
        <w:rPr>
          <w:spacing w:val="-2"/>
        </w:rPr>
        <w:t xml:space="preserve"> $12,301</w:t>
      </w:r>
    </w:p>
    <w:p w:rsidR="004C0EF6" w:rsidRDefault="004C0EF6" w:rsidP="004C0EF6">
      <w:pPr>
        <w:tabs>
          <w:tab w:val="left" w:pos="2839"/>
        </w:tabs>
        <w:ind w:left="2480"/>
        <w:rPr>
          <w:spacing w:val="-2"/>
        </w:rPr>
      </w:pPr>
      <w:r w:rsidRPr="00B75249">
        <w:t>Eta</w:t>
      </w:r>
      <w:r w:rsidRPr="00B75249">
        <w:rPr>
          <w:spacing w:val="-2"/>
        </w:rPr>
        <w:t xml:space="preserve"> </w:t>
      </w:r>
      <w:r w:rsidRPr="00B75249">
        <w:t>-</w:t>
      </w:r>
      <w:r w:rsidRPr="00B75249">
        <w:rPr>
          <w:spacing w:val="-1"/>
        </w:rPr>
        <w:t xml:space="preserve"> </w:t>
      </w:r>
      <w:r w:rsidRPr="00B75249">
        <w:rPr>
          <w:spacing w:val="-2"/>
        </w:rPr>
        <w:t>$2,768,223</w:t>
      </w:r>
    </w:p>
    <w:p w:rsidR="004C0EF6" w:rsidRPr="00B75249" w:rsidRDefault="004C0EF6" w:rsidP="004C0EF6">
      <w:pPr>
        <w:tabs>
          <w:tab w:val="left" w:pos="2839"/>
        </w:tabs>
        <w:ind w:left="2480"/>
      </w:pPr>
    </w:p>
    <w:p w:rsidR="004C0EF6" w:rsidRDefault="004C0EF6" w:rsidP="004C0EF6">
      <w:pPr>
        <w:ind w:left="1440"/>
      </w:pPr>
      <w:r>
        <w:t>The</w:t>
      </w:r>
      <w:r>
        <w:rPr>
          <w:spacing w:val="-8"/>
        </w:rPr>
        <w:t xml:space="preserve"> </w:t>
      </w:r>
      <w:r>
        <w:t>reasonable</w:t>
      </w:r>
      <w:r>
        <w:rPr>
          <w:spacing w:val="-7"/>
        </w:rPr>
        <w:t xml:space="preserve"> </w:t>
      </w:r>
      <w:r>
        <w:t>and</w:t>
      </w:r>
      <w:r>
        <w:rPr>
          <w:spacing w:val="-8"/>
        </w:rPr>
        <w:t xml:space="preserve"> </w:t>
      </w:r>
      <w:r>
        <w:t>prudent</w:t>
      </w:r>
      <w:r>
        <w:rPr>
          <w:spacing w:val="-8"/>
        </w:rPr>
        <w:t xml:space="preserve"> </w:t>
      </w:r>
      <w:r>
        <w:t>amount</w:t>
      </w:r>
      <w:r>
        <w:rPr>
          <w:spacing w:val="-8"/>
        </w:rPr>
        <w:t xml:space="preserve"> </w:t>
      </w:r>
      <w:r>
        <w:t>of</w:t>
      </w:r>
      <w:r>
        <w:rPr>
          <w:spacing w:val="-8"/>
        </w:rPr>
        <w:t xml:space="preserve"> </w:t>
      </w:r>
      <w:r>
        <w:t>logistics</w:t>
      </w:r>
      <w:r>
        <w:rPr>
          <w:spacing w:val="-8"/>
        </w:rPr>
        <w:t xml:space="preserve"> </w:t>
      </w:r>
      <w:r>
        <w:t>costs</w:t>
      </w:r>
      <w:r>
        <w:rPr>
          <w:spacing w:val="-8"/>
        </w:rPr>
        <w:t xml:space="preserve"> </w:t>
      </w:r>
      <w:r>
        <w:t>to</w:t>
      </w:r>
      <w:r>
        <w:rPr>
          <w:spacing w:val="-8"/>
        </w:rPr>
        <w:t xml:space="preserve"> </w:t>
      </w:r>
      <w:r>
        <w:t>be</w:t>
      </w:r>
      <w:r>
        <w:rPr>
          <w:spacing w:val="-8"/>
        </w:rPr>
        <w:t xml:space="preserve"> </w:t>
      </w:r>
      <w:r>
        <w:t>included</w:t>
      </w:r>
      <w:r>
        <w:rPr>
          <w:spacing w:val="-8"/>
        </w:rPr>
        <w:t xml:space="preserve"> </w:t>
      </w:r>
      <w:r>
        <w:t>in</w:t>
      </w:r>
      <w:r>
        <w:rPr>
          <w:spacing w:val="-8"/>
        </w:rPr>
        <w:t xml:space="preserve"> </w:t>
      </w:r>
      <w:r>
        <w:t>Total</w:t>
      </w:r>
      <w:r>
        <w:rPr>
          <w:spacing w:val="-8"/>
        </w:rPr>
        <w:t xml:space="preserve"> </w:t>
      </w:r>
      <w:r>
        <w:t>Storm Related Restoration Costs is $55,810,782.</w:t>
      </w:r>
    </w:p>
    <w:p w:rsidR="004C0EF6" w:rsidRDefault="004C0EF6" w:rsidP="004C0EF6">
      <w:pPr>
        <w:jc w:val="both"/>
      </w:pPr>
    </w:p>
    <w:p w:rsidR="004C0EF6" w:rsidRPr="001F4661" w:rsidRDefault="004C0EF6" w:rsidP="004C0EF6">
      <w:pPr>
        <w:ind w:left="1440" w:hanging="1440"/>
        <w:rPr>
          <w:b/>
        </w:rPr>
      </w:pPr>
      <w:r w:rsidRPr="00A72BC3">
        <w:rPr>
          <w:b/>
          <w:u w:val="single"/>
        </w:rPr>
        <w:t>ISSUE 10:</w:t>
      </w:r>
      <w:r w:rsidRPr="00A72BC3">
        <w:tab/>
      </w:r>
      <w:r w:rsidRPr="001F4661">
        <w:rPr>
          <w:b/>
        </w:rPr>
        <w:t>What is the reasonable and prudent amount of other costs to be included in Total Storm Related Restoration Costs?</w:t>
      </w:r>
    </w:p>
    <w:p w:rsidR="004C0EF6" w:rsidRDefault="004C0EF6" w:rsidP="004C0EF6">
      <w:pPr>
        <w:ind w:left="1440" w:hanging="1440"/>
        <w:jc w:val="both"/>
        <w:rPr>
          <w:b/>
          <w:bCs/>
        </w:rPr>
      </w:pPr>
    </w:p>
    <w:p w:rsidR="004C0EF6" w:rsidRDefault="004C0EF6" w:rsidP="004C0EF6">
      <w:pPr>
        <w:ind w:left="1440" w:hanging="1440"/>
      </w:pPr>
      <w:r>
        <w:rPr>
          <w:b/>
        </w:rPr>
        <w:t>Stipulation</w:t>
      </w:r>
      <w:r w:rsidRPr="00B75249">
        <w:rPr>
          <w:b/>
        </w:rPr>
        <w:t>:</w:t>
      </w:r>
      <w:r w:rsidRPr="00B75249">
        <w:t xml:space="preserve"> </w:t>
      </w:r>
      <w:r>
        <w:tab/>
        <w:t>Below are the reasonable and prudent other costs for each storm. These amounts include labor burdens/incentives, overhead allocations, external audit, insurance deductible and Irma settlement implementation costs.</w:t>
      </w:r>
    </w:p>
    <w:p w:rsidR="004C0EF6" w:rsidRDefault="004C0EF6" w:rsidP="004C0EF6">
      <w:pPr>
        <w:ind w:left="1440" w:hanging="1440"/>
      </w:pPr>
    </w:p>
    <w:p w:rsidR="004C0EF6" w:rsidRDefault="004C0EF6" w:rsidP="004C0EF6">
      <w:pPr>
        <w:ind w:left="1440" w:hanging="1440"/>
      </w:pPr>
      <w:r>
        <w:rPr>
          <w:b/>
        </w:rPr>
        <w:tab/>
      </w:r>
      <w:r>
        <w:rPr>
          <w:b/>
        </w:rPr>
        <w:tab/>
      </w:r>
      <w:r>
        <w:t>Nicole - $1,470,546</w:t>
      </w:r>
    </w:p>
    <w:p w:rsidR="004C0EF6" w:rsidRDefault="004C0EF6" w:rsidP="004C0EF6">
      <w:pPr>
        <w:ind w:left="1440" w:hanging="1440"/>
      </w:pPr>
      <w:r>
        <w:tab/>
      </w:r>
      <w:r>
        <w:tab/>
        <w:t>Ian - $10,083,533</w:t>
      </w:r>
    </w:p>
    <w:p w:rsidR="004C0EF6" w:rsidRDefault="004C0EF6" w:rsidP="004C0EF6">
      <w:pPr>
        <w:ind w:left="1440" w:hanging="1440"/>
      </w:pPr>
      <w:r>
        <w:tab/>
      </w:r>
      <w:r>
        <w:tab/>
        <w:t>Fred - $192,958</w:t>
      </w:r>
    </w:p>
    <w:p w:rsidR="004C0EF6" w:rsidRDefault="004C0EF6" w:rsidP="004C0EF6">
      <w:pPr>
        <w:ind w:left="1440" w:hanging="1440"/>
      </w:pPr>
      <w:r>
        <w:tab/>
      </w:r>
      <w:r>
        <w:tab/>
        <w:t>Elsa - $914,981</w:t>
      </w:r>
    </w:p>
    <w:p w:rsidR="004C0EF6" w:rsidRDefault="004C0EF6" w:rsidP="004C0EF6">
      <w:pPr>
        <w:ind w:left="1440" w:hanging="1440"/>
      </w:pPr>
      <w:r>
        <w:tab/>
      </w:r>
      <w:r>
        <w:tab/>
        <w:t>Isaias - $225,532</w:t>
      </w:r>
    </w:p>
    <w:p w:rsidR="004C0EF6" w:rsidRPr="00B80356" w:rsidRDefault="004C0EF6" w:rsidP="004C0EF6">
      <w:pPr>
        <w:ind w:left="1440" w:hanging="1440"/>
      </w:pPr>
      <w:r>
        <w:tab/>
      </w:r>
      <w:r>
        <w:tab/>
        <w:t>Eta - $1,357,418</w:t>
      </w:r>
    </w:p>
    <w:p w:rsidR="004C0EF6" w:rsidRDefault="004C0EF6" w:rsidP="004C0EF6">
      <w:pPr>
        <w:jc w:val="both"/>
      </w:pPr>
    </w:p>
    <w:p w:rsidR="004C0EF6" w:rsidRPr="00701945" w:rsidRDefault="004C0EF6" w:rsidP="004C0EF6">
      <w:pPr>
        <w:ind w:left="1440" w:hanging="1440"/>
        <w:jc w:val="both"/>
      </w:pPr>
      <w:r>
        <w:tab/>
        <w:t>The</w:t>
      </w:r>
      <w:r>
        <w:rPr>
          <w:spacing w:val="-8"/>
        </w:rPr>
        <w:t xml:space="preserve"> </w:t>
      </w:r>
      <w:r>
        <w:t>reasonable</w:t>
      </w:r>
      <w:r>
        <w:rPr>
          <w:spacing w:val="-7"/>
        </w:rPr>
        <w:t xml:space="preserve"> </w:t>
      </w:r>
      <w:r>
        <w:t>and</w:t>
      </w:r>
      <w:r>
        <w:rPr>
          <w:spacing w:val="-8"/>
        </w:rPr>
        <w:t xml:space="preserve"> </w:t>
      </w:r>
      <w:r>
        <w:t>prudent</w:t>
      </w:r>
      <w:r>
        <w:rPr>
          <w:spacing w:val="-8"/>
        </w:rPr>
        <w:t xml:space="preserve"> </w:t>
      </w:r>
      <w:r>
        <w:t>amount</w:t>
      </w:r>
      <w:r>
        <w:rPr>
          <w:spacing w:val="-8"/>
        </w:rPr>
        <w:t xml:space="preserve"> </w:t>
      </w:r>
      <w:r>
        <w:t>of</w:t>
      </w:r>
      <w:r>
        <w:rPr>
          <w:spacing w:val="-8"/>
        </w:rPr>
        <w:t xml:space="preserve"> other </w:t>
      </w:r>
      <w:r>
        <w:t>costs</w:t>
      </w:r>
      <w:r>
        <w:rPr>
          <w:spacing w:val="-8"/>
        </w:rPr>
        <w:t xml:space="preserve"> </w:t>
      </w:r>
      <w:r>
        <w:t>to</w:t>
      </w:r>
      <w:r>
        <w:rPr>
          <w:spacing w:val="-8"/>
        </w:rPr>
        <w:t xml:space="preserve"> </w:t>
      </w:r>
      <w:r>
        <w:t>be</w:t>
      </w:r>
      <w:r>
        <w:rPr>
          <w:spacing w:val="-8"/>
        </w:rPr>
        <w:t xml:space="preserve"> </w:t>
      </w:r>
      <w:r>
        <w:t>included</w:t>
      </w:r>
      <w:r>
        <w:rPr>
          <w:spacing w:val="-8"/>
        </w:rPr>
        <w:t xml:space="preserve"> </w:t>
      </w:r>
      <w:r>
        <w:t>in</w:t>
      </w:r>
      <w:r>
        <w:rPr>
          <w:spacing w:val="-8"/>
        </w:rPr>
        <w:t xml:space="preserve"> </w:t>
      </w:r>
      <w:r>
        <w:t>Total</w:t>
      </w:r>
      <w:r>
        <w:rPr>
          <w:spacing w:val="-8"/>
        </w:rPr>
        <w:t xml:space="preserve"> </w:t>
      </w:r>
      <w:r>
        <w:t>Storm Related Restoration Costs is $14,244,968.</w:t>
      </w:r>
    </w:p>
    <w:p w:rsidR="004C0EF6" w:rsidRDefault="004C0EF6" w:rsidP="004C0EF6">
      <w:pPr>
        <w:jc w:val="both"/>
      </w:pPr>
    </w:p>
    <w:p w:rsidR="004C0EF6" w:rsidRPr="00A72BC3" w:rsidRDefault="004C0EF6" w:rsidP="004C0EF6">
      <w:pPr>
        <w:ind w:left="1440" w:hanging="1440"/>
        <w:jc w:val="both"/>
      </w:pPr>
      <w:r w:rsidRPr="00A72BC3">
        <w:rPr>
          <w:b/>
          <w:u w:val="single"/>
        </w:rPr>
        <w:t>ISSUE 11:</w:t>
      </w:r>
      <w:r w:rsidRPr="00B80356">
        <w:rPr>
          <w:b/>
        </w:rPr>
        <w:tab/>
      </w:r>
      <w:r w:rsidRPr="001F4661">
        <w:rPr>
          <w:b/>
        </w:rPr>
        <w:t>What is the reasonable and prudent total amount of costs to be included in Total Storm Related Restoration Costs?</w:t>
      </w:r>
    </w:p>
    <w:p w:rsidR="004C0EF6" w:rsidRDefault="004C0EF6" w:rsidP="004C0EF6">
      <w:pPr>
        <w:ind w:left="1440" w:hanging="1440"/>
        <w:rPr>
          <w:b/>
          <w:bCs/>
        </w:rPr>
      </w:pPr>
    </w:p>
    <w:p w:rsidR="004C0EF6" w:rsidRDefault="004C0EF6" w:rsidP="004C0EF6">
      <w:pPr>
        <w:ind w:left="1440" w:hanging="1440"/>
        <w:jc w:val="both"/>
      </w:pPr>
      <w:r>
        <w:rPr>
          <w:b/>
          <w:bCs/>
        </w:rPr>
        <w:t>Stipulation</w:t>
      </w:r>
      <w:r w:rsidRPr="00701945">
        <w:rPr>
          <w:b/>
          <w:bCs/>
        </w:rPr>
        <w:t>:</w:t>
      </w:r>
      <w:r>
        <w:rPr>
          <w:b/>
          <w:bCs/>
        </w:rPr>
        <w:tab/>
      </w:r>
      <w:r>
        <w:t>Below are the reasonable and prudent Total Storm Related Restoration Costs for each storm.</w:t>
      </w:r>
    </w:p>
    <w:p w:rsidR="004C0EF6" w:rsidRPr="00B80356" w:rsidRDefault="004C0EF6" w:rsidP="004C0EF6">
      <w:pPr>
        <w:tabs>
          <w:tab w:val="left" w:pos="2839"/>
        </w:tabs>
        <w:spacing w:line="294" w:lineRule="exact"/>
        <w:ind w:left="2480"/>
        <w:jc w:val="both"/>
      </w:pPr>
      <w:r w:rsidRPr="00B80356">
        <w:t>Nicole</w:t>
      </w:r>
      <w:r w:rsidRPr="00B80356">
        <w:rPr>
          <w:spacing w:val="-2"/>
        </w:rPr>
        <w:t xml:space="preserve"> </w:t>
      </w:r>
      <w:r w:rsidRPr="00B80356">
        <w:t>-</w:t>
      </w:r>
      <w:r w:rsidRPr="00B80356">
        <w:rPr>
          <w:spacing w:val="-2"/>
        </w:rPr>
        <w:t xml:space="preserve"> $48,510,617</w:t>
      </w:r>
    </w:p>
    <w:p w:rsidR="004C0EF6" w:rsidRPr="00B80356" w:rsidRDefault="004C0EF6" w:rsidP="004C0EF6">
      <w:pPr>
        <w:tabs>
          <w:tab w:val="left" w:pos="2839"/>
        </w:tabs>
        <w:spacing w:before="1"/>
        <w:ind w:left="2480"/>
        <w:jc w:val="both"/>
      </w:pPr>
      <w:r w:rsidRPr="00B80356">
        <w:t>Ian</w:t>
      </w:r>
      <w:r w:rsidRPr="00B80356">
        <w:rPr>
          <w:spacing w:val="-1"/>
        </w:rPr>
        <w:t xml:space="preserve"> </w:t>
      </w:r>
      <w:r w:rsidRPr="00B80356">
        <w:t>-</w:t>
      </w:r>
      <w:r w:rsidRPr="00B80356">
        <w:rPr>
          <w:spacing w:val="-2"/>
        </w:rPr>
        <w:t xml:space="preserve"> $381,278,918</w:t>
      </w:r>
    </w:p>
    <w:p w:rsidR="004C0EF6" w:rsidRPr="00B80356" w:rsidRDefault="004C0EF6" w:rsidP="004C0EF6">
      <w:pPr>
        <w:tabs>
          <w:tab w:val="left" w:pos="2839"/>
        </w:tabs>
        <w:ind w:left="2480"/>
        <w:jc w:val="both"/>
      </w:pPr>
      <w:r w:rsidRPr="00B80356">
        <w:t>Fred</w:t>
      </w:r>
      <w:r w:rsidRPr="00B80356">
        <w:rPr>
          <w:spacing w:val="-3"/>
        </w:rPr>
        <w:t xml:space="preserve"> </w:t>
      </w:r>
      <w:r w:rsidRPr="00B80356">
        <w:t>-</w:t>
      </w:r>
      <w:r w:rsidRPr="00B80356">
        <w:rPr>
          <w:spacing w:val="-2"/>
        </w:rPr>
        <w:t xml:space="preserve"> $886,874</w:t>
      </w:r>
    </w:p>
    <w:p w:rsidR="004C0EF6" w:rsidRPr="00B80356" w:rsidRDefault="004C0EF6" w:rsidP="004C0EF6">
      <w:pPr>
        <w:tabs>
          <w:tab w:val="left" w:pos="2839"/>
        </w:tabs>
        <w:ind w:left="2480"/>
        <w:jc w:val="both"/>
      </w:pPr>
      <w:r w:rsidRPr="00B80356">
        <w:t>Elsa</w:t>
      </w:r>
      <w:r w:rsidRPr="00B80356">
        <w:rPr>
          <w:spacing w:val="-2"/>
        </w:rPr>
        <w:t xml:space="preserve"> </w:t>
      </w:r>
      <w:r w:rsidRPr="00B80356">
        <w:t>-</w:t>
      </w:r>
      <w:r w:rsidRPr="00B80356">
        <w:rPr>
          <w:spacing w:val="-1"/>
        </w:rPr>
        <w:t xml:space="preserve"> </w:t>
      </w:r>
      <w:r w:rsidRPr="00B80356">
        <w:rPr>
          <w:spacing w:val="-2"/>
        </w:rPr>
        <w:t>$16,142,291</w:t>
      </w:r>
    </w:p>
    <w:p w:rsidR="004C0EF6" w:rsidRPr="00B80356" w:rsidRDefault="004C0EF6" w:rsidP="004C0EF6">
      <w:pPr>
        <w:tabs>
          <w:tab w:val="left" w:pos="2839"/>
        </w:tabs>
        <w:ind w:left="2480"/>
        <w:jc w:val="both"/>
      </w:pPr>
      <w:r w:rsidRPr="00B80356">
        <w:t>Isaias</w:t>
      </w:r>
      <w:r w:rsidRPr="00B80356">
        <w:rPr>
          <w:spacing w:val="-3"/>
        </w:rPr>
        <w:t xml:space="preserve"> </w:t>
      </w:r>
      <w:r w:rsidRPr="00B80356">
        <w:t>-</w:t>
      </w:r>
      <w:r w:rsidRPr="00B80356">
        <w:rPr>
          <w:spacing w:val="-2"/>
        </w:rPr>
        <w:t xml:space="preserve"> $1,041,892</w:t>
      </w:r>
    </w:p>
    <w:p w:rsidR="004C0EF6" w:rsidRDefault="004C0EF6" w:rsidP="004C0EF6">
      <w:pPr>
        <w:tabs>
          <w:tab w:val="left" w:pos="2839"/>
        </w:tabs>
        <w:ind w:left="2480"/>
        <w:jc w:val="both"/>
        <w:rPr>
          <w:spacing w:val="-2"/>
        </w:rPr>
      </w:pPr>
      <w:r w:rsidRPr="00B80356">
        <w:t>Eta</w:t>
      </w:r>
      <w:r w:rsidRPr="00B80356">
        <w:rPr>
          <w:spacing w:val="-2"/>
        </w:rPr>
        <w:t xml:space="preserve"> </w:t>
      </w:r>
      <w:r w:rsidRPr="00B80356">
        <w:t>-</w:t>
      </w:r>
      <w:r w:rsidRPr="00B80356">
        <w:rPr>
          <w:spacing w:val="-1"/>
        </w:rPr>
        <w:t xml:space="preserve"> </w:t>
      </w:r>
      <w:r w:rsidRPr="00B80356">
        <w:rPr>
          <w:spacing w:val="-2"/>
        </w:rPr>
        <w:t>$21,072,410</w:t>
      </w:r>
    </w:p>
    <w:p w:rsidR="004C0EF6" w:rsidRPr="00B80356" w:rsidRDefault="004C0EF6" w:rsidP="004C0EF6">
      <w:pPr>
        <w:tabs>
          <w:tab w:val="left" w:pos="2839"/>
        </w:tabs>
        <w:ind w:left="2480"/>
        <w:jc w:val="both"/>
      </w:pPr>
    </w:p>
    <w:p w:rsidR="00047598" w:rsidRDefault="004C0EF6" w:rsidP="004C0EF6">
      <w:pPr>
        <w:ind w:left="1440"/>
        <w:jc w:val="both"/>
      </w:pPr>
      <w:r>
        <w:t>The reasonable and prudent total amount of costs to be included in Total Storm</w:t>
      </w:r>
      <w:r>
        <w:rPr>
          <w:spacing w:val="80"/>
          <w:w w:val="150"/>
        </w:rPr>
        <w:t xml:space="preserve"> </w:t>
      </w:r>
      <w:r>
        <w:t>Related Restoration Costs is $468,933,002.</w:t>
      </w:r>
    </w:p>
    <w:p w:rsidR="00047598" w:rsidRDefault="00047598" w:rsidP="004C0EF6">
      <w:pPr>
        <w:ind w:left="1440"/>
        <w:jc w:val="both"/>
        <w:sectPr w:rsidR="00047598">
          <w:headerReference w:type="first" r:id="rId12"/>
          <w:pgSz w:w="12240" w:h="15840" w:code="1"/>
          <w:pgMar w:top="1440" w:right="1440" w:bottom="1440" w:left="1440" w:header="720" w:footer="720" w:gutter="0"/>
          <w:cols w:space="720"/>
          <w:titlePg/>
          <w:docGrid w:linePitch="360"/>
        </w:sectPr>
      </w:pPr>
    </w:p>
    <w:p w:rsidR="004C0EF6" w:rsidRPr="00701945" w:rsidRDefault="004C0EF6" w:rsidP="004C0EF6">
      <w:pPr>
        <w:jc w:val="both"/>
      </w:pPr>
    </w:p>
    <w:p w:rsidR="004C0EF6" w:rsidRPr="001F4661" w:rsidRDefault="004C0EF6" w:rsidP="004C0EF6">
      <w:pPr>
        <w:ind w:left="1440" w:hanging="1440"/>
        <w:jc w:val="both"/>
        <w:rPr>
          <w:b/>
        </w:rPr>
      </w:pPr>
      <w:r w:rsidRPr="00A72BC3">
        <w:rPr>
          <w:b/>
          <w:u w:val="single"/>
        </w:rPr>
        <w:t>ISSUE 12:</w:t>
      </w:r>
      <w:r w:rsidRPr="00A72BC3">
        <w:tab/>
      </w:r>
      <w:r w:rsidRPr="001F4661">
        <w:rPr>
          <w:b/>
        </w:rPr>
        <w:t>What is the reasonable and prudent amount of storm-related costs that should be capitalized?</w:t>
      </w:r>
    </w:p>
    <w:p w:rsidR="004C0EF6" w:rsidRDefault="004C0EF6" w:rsidP="004C0EF6">
      <w:pPr>
        <w:ind w:left="1440" w:hanging="1440"/>
        <w:jc w:val="both"/>
        <w:rPr>
          <w:b/>
          <w:bCs/>
        </w:rPr>
      </w:pPr>
    </w:p>
    <w:p w:rsidR="004C0EF6" w:rsidRDefault="004C0EF6" w:rsidP="004C0EF6">
      <w:pPr>
        <w:ind w:left="1440" w:hanging="1440"/>
        <w:rPr>
          <w:spacing w:val="-2"/>
        </w:rPr>
      </w:pPr>
      <w:r>
        <w:rPr>
          <w:b/>
          <w:bCs/>
        </w:rPr>
        <w:t>Stipulation</w:t>
      </w:r>
      <w:r w:rsidRPr="00701945">
        <w:rPr>
          <w:b/>
          <w:bCs/>
        </w:rPr>
        <w:t>:</w:t>
      </w:r>
      <w:r>
        <w:rPr>
          <w:b/>
          <w:bCs/>
        </w:rPr>
        <w:tab/>
      </w:r>
      <w:r>
        <w:t>Below</w:t>
      </w:r>
      <w:r>
        <w:rPr>
          <w:spacing w:val="-17"/>
        </w:rPr>
        <w:t xml:space="preserve"> </w:t>
      </w:r>
      <w:r>
        <w:t>are</w:t>
      </w:r>
      <w:r>
        <w:rPr>
          <w:spacing w:val="-15"/>
        </w:rPr>
        <w:t xml:space="preserve"> </w:t>
      </w:r>
      <w:r>
        <w:t>the</w:t>
      </w:r>
      <w:r>
        <w:rPr>
          <w:spacing w:val="-15"/>
        </w:rPr>
        <w:t xml:space="preserve"> </w:t>
      </w:r>
      <w:r>
        <w:t>reasonable</w:t>
      </w:r>
      <w:r>
        <w:rPr>
          <w:spacing w:val="-15"/>
        </w:rPr>
        <w:t xml:space="preserve"> </w:t>
      </w:r>
      <w:r>
        <w:t>and</w:t>
      </w:r>
      <w:r>
        <w:rPr>
          <w:spacing w:val="-13"/>
        </w:rPr>
        <w:t xml:space="preserve"> </w:t>
      </w:r>
      <w:r>
        <w:t>prudent</w:t>
      </w:r>
      <w:r>
        <w:rPr>
          <w:spacing w:val="-14"/>
        </w:rPr>
        <w:t xml:space="preserve"> </w:t>
      </w:r>
      <w:r>
        <w:t>storm-related</w:t>
      </w:r>
      <w:r>
        <w:rPr>
          <w:spacing w:val="-12"/>
        </w:rPr>
        <w:t xml:space="preserve"> </w:t>
      </w:r>
      <w:r>
        <w:t>costs</w:t>
      </w:r>
      <w:r>
        <w:rPr>
          <w:spacing w:val="-14"/>
        </w:rPr>
        <w:t xml:space="preserve"> </w:t>
      </w:r>
      <w:r>
        <w:t>that</w:t>
      </w:r>
      <w:r>
        <w:rPr>
          <w:spacing w:val="-14"/>
        </w:rPr>
        <w:t xml:space="preserve"> </w:t>
      </w:r>
      <w:r>
        <w:t>should</w:t>
      </w:r>
      <w:r>
        <w:rPr>
          <w:spacing w:val="-14"/>
        </w:rPr>
        <w:t xml:space="preserve"> </w:t>
      </w:r>
      <w:r>
        <w:t>be</w:t>
      </w:r>
      <w:r>
        <w:rPr>
          <w:spacing w:val="-14"/>
        </w:rPr>
        <w:t xml:space="preserve"> </w:t>
      </w:r>
      <w:r>
        <w:rPr>
          <w:spacing w:val="-2"/>
        </w:rPr>
        <w:t>capitalized.</w:t>
      </w:r>
    </w:p>
    <w:p w:rsidR="004C0EF6" w:rsidRDefault="004C0EF6" w:rsidP="004C0EF6">
      <w:pPr>
        <w:ind w:left="1440" w:hanging="1440"/>
      </w:pPr>
    </w:p>
    <w:p w:rsidR="004C0EF6" w:rsidRPr="00845BEC" w:rsidRDefault="004C0EF6" w:rsidP="004C0EF6">
      <w:pPr>
        <w:tabs>
          <w:tab w:val="left" w:pos="2839"/>
        </w:tabs>
        <w:ind w:left="2480"/>
      </w:pPr>
      <w:r w:rsidRPr="00845BEC">
        <w:t>Nicole</w:t>
      </w:r>
      <w:r w:rsidRPr="00845BEC">
        <w:rPr>
          <w:spacing w:val="-2"/>
        </w:rPr>
        <w:t xml:space="preserve"> </w:t>
      </w:r>
      <w:r w:rsidRPr="00845BEC">
        <w:t>-</w:t>
      </w:r>
      <w:r w:rsidRPr="00845BEC">
        <w:rPr>
          <w:spacing w:val="-2"/>
        </w:rPr>
        <w:t xml:space="preserve"> $3,992,784</w:t>
      </w:r>
    </w:p>
    <w:p w:rsidR="004C0EF6" w:rsidRPr="00845BEC" w:rsidRDefault="004C0EF6" w:rsidP="004C0EF6">
      <w:pPr>
        <w:tabs>
          <w:tab w:val="left" w:pos="2839"/>
        </w:tabs>
        <w:ind w:left="2480"/>
      </w:pPr>
      <w:r w:rsidRPr="00845BEC">
        <w:t>Ian</w:t>
      </w:r>
      <w:r w:rsidRPr="00845BEC">
        <w:rPr>
          <w:spacing w:val="-1"/>
        </w:rPr>
        <w:t xml:space="preserve"> </w:t>
      </w:r>
      <w:r w:rsidRPr="00845BEC">
        <w:t>-</w:t>
      </w:r>
      <w:r w:rsidRPr="00845BEC">
        <w:rPr>
          <w:spacing w:val="-2"/>
        </w:rPr>
        <w:t xml:space="preserve"> $13,714,654</w:t>
      </w:r>
    </w:p>
    <w:p w:rsidR="004C0EF6" w:rsidRPr="00845BEC" w:rsidRDefault="004C0EF6" w:rsidP="004C0EF6">
      <w:pPr>
        <w:tabs>
          <w:tab w:val="left" w:pos="2839"/>
        </w:tabs>
        <w:spacing w:before="1"/>
        <w:ind w:left="2480"/>
      </w:pPr>
      <w:r w:rsidRPr="00845BEC">
        <w:t>Fred</w:t>
      </w:r>
      <w:r w:rsidRPr="00845BEC">
        <w:rPr>
          <w:spacing w:val="-1"/>
        </w:rPr>
        <w:t xml:space="preserve"> </w:t>
      </w:r>
      <w:r w:rsidRPr="00845BEC">
        <w:t>-</w:t>
      </w:r>
      <w:r w:rsidRPr="00845BEC">
        <w:rPr>
          <w:spacing w:val="-2"/>
        </w:rPr>
        <w:t xml:space="preserve"> $31,017</w:t>
      </w:r>
    </w:p>
    <w:p w:rsidR="004C0EF6" w:rsidRPr="00845BEC" w:rsidRDefault="004C0EF6" w:rsidP="004C0EF6">
      <w:pPr>
        <w:tabs>
          <w:tab w:val="left" w:pos="2839"/>
        </w:tabs>
        <w:ind w:left="2480"/>
      </w:pPr>
      <w:r w:rsidRPr="00845BEC">
        <w:t>Elsa</w:t>
      </w:r>
      <w:r w:rsidRPr="00845BEC">
        <w:rPr>
          <w:spacing w:val="-4"/>
        </w:rPr>
        <w:t xml:space="preserve"> </w:t>
      </w:r>
      <w:r w:rsidRPr="00845BEC">
        <w:t>-</w:t>
      </w:r>
      <w:r w:rsidRPr="00845BEC">
        <w:rPr>
          <w:spacing w:val="-1"/>
        </w:rPr>
        <w:t xml:space="preserve"> </w:t>
      </w:r>
      <w:r w:rsidRPr="00845BEC">
        <w:rPr>
          <w:spacing w:val="-2"/>
        </w:rPr>
        <w:t>$171,265</w:t>
      </w:r>
    </w:p>
    <w:p w:rsidR="004C0EF6" w:rsidRPr="00845BEC" w:rsidRDefault="004C0EF6" w:rsidP="004C0EF6">
      <w:pPr>
        <w:tabs>
          <w:tab w:val="left" w:pos="2839"/>
        </w:tabs>
        <w:ind w:left="2480"/>
      </w:pPr>
      <w:r w:rsidRPr="00845BEC">
        <w:t>Isaias</w:t>
      </w:r>
      <w:r w:rsidRPr="00845BEC">
        <w:rPr>
          <w:spacing w:val="-3"/>
        </w:rPr>
        <w:t xml:space="preserve"> </w:t>
      </w:r>
      <w:r w:rsidRPr="00845BEC">
        <w:t>-</w:t>
      </w:r>
      <w:r w:rsidRPr="00845BEC">
        <w:rPr>
          <w:spacing w:val="-2"/>
        </w:rPr>
        <w:t xml:space="preserve"> </w:t>
      </w:r>
      <w:r w:rsidRPr="00845BEC">
        <w:rPr>
          <w:spacing w:val="-5"/>
        </w:rPr>
        <w:t>$0</w:t>
      </w:r>
    </w:p>
    <w:p w:rsidR="004C0EF6" w:rsidRPr="00845BEC" w:rsidRDefault="004C0EF6" w:rsidP="004C0EF6">
      <w:pPr>
        <w:tabs>
          <w:tab w:val="left" w:pos="2839"/>
        </w:tabs>
        <w:ind w:left="2480"/>
      </w:pPr>
      <w:r w:rsidRPr="00845BEC">
        <w:t>Eta</w:t>
      </w:r>
      <w:r w:rsidRPr="00845BEC">
        <w:rPr>
          <w:spacing w:val="-4"/>
        </w:rPr>
        <w:t xml:space="preserve"> </w:t>
      </w:r>
      <w:r w:rsidRPr="00845BEC">
        <w:t>-</w:t>
      </w:r>
      <w:r w:rsidRPr="00845BEC">
        <w:rPr>
          <w:spacing w:val="-1"/>
        </w:rPr>
        <w:t xml:space="preserve"> </w:t>
      </w:r>
      <w:r w:rsidRPr="00845BEC">
        <w:rPr>
          <w:spacing w:val="-2"/>
        </w:rPr>
        <w:t>$395,117</w:t>
      </w:r>
    </w:p>
    <w:p w:rsidR="004C0EF6" w:rsidRDefault="004C0EF6" w:rsidP="004C0EF6">
      <w:pPr>
        <w:pStyle w:val="BodyText"/>
      </w:pPr>
    </w:p>
    <w:p w:rsidR="004C0EF6" w:rsidRDefault="004C0EF6" w:rsidP="004C0EF6">
      <w:pPr>
        <w:ind w:left="1440"/>
        <w:jc w:val="both"/>
      </w:pPr>
      <w:r>
        <w:t>The</w:t>
      </w:r>
      <w:r>
        <w:rPr>
          <w:spacing w:val="-7"/>
        </w:rPr>
        <w:t xml:space="preserve"> </w:t>
      </w:r>
      <w:r>
        <w:t>reasonable</w:t>
      </w:r>
      <w:r>
        <w:rPr>
          <w:spacing w:val="-7"/>
        </w:rPr>
        <w:t xml:space="preserve"> </w:t>
      </w:r>
      <w:r>
        <w:t>and</w:t>
      </w:r>
      <w:r>
        <w:rPr>
          <w:spacing w:val="-5"/>
        </w:rPr>
        <w:t xml:space="preserve"> </w:t>
      </w:r>
      <w:r>
        <w:t>prudent</w:t>
      </w:r>
      <w:r>
        <w:rPr>
          <w:spacing w:val="-4"/>
        </w:rPr>
        <w:t xml:space="preserve"> </w:t>
      </w:r>
      <w:r>
        <w:t>amount</w:t>
      </w:r>
      <w:r>
        <w:rPr>
          <w:spacing w:val="-4"/>
        </w:rPr>
        <w:t xml:space="preserve"> </w:t>
      </w:r>
      <w:r>
        <w:t>of</w:t>
      </w:r>
      <w:r>
        <w:rPr>
          <w:spacing w:val="-7"/>
        </w:rPr>
        <w:t xml:space="preserve"> </w:t>
      </w:r>
      <w:r>
        <w:t>storm-related</w:t>
      </w:r>
      <w:r>
        <w:rPr>
          <w:spacing w:val="-5"/>
        </w:rPr>
        <w:t xml:space="preserve"> </w:t>
      </w:r>
      <w:r>
        <w:t>costs</w:t>
      </w:r>
      <w:r>
        <w:rPr>
          <w:spacing w:val="-5"/>
        </w:rPr>
        <w:t xml:space="preserve"> </w:t>
      </w:r>
      <w:r>
        <w:t>that</w:t>
      </w:r>
      <w:r>
        <w:rPr>
          <w:spacing w:val="-4"/>
        </w:rPr>
        <w:t xml:space="preserve"> </w:t>
      </w:r>
      <w:r>
        <w:t>should</w:t>
      </w:r>
      <w:r>
        <w:rPr>
          <w:spacing w:val="-5"/>
        </w:rPr>
        <w:t xml:space="preserve"> </w:t>
      </w:r>
      <w:r>
        <w:t>be</w:t>
      </w:r>
      <w:r>
        <w:rPr>
          <w:spacing w:val="-7"/>
        </w:rPr>
        <w:t xml:space="preserve"> </w:t>
      </w:r>
      <w:r>
        <w:t>capitalized is $18,304,837.</w:t>
      </w:r>
    </w:p>
    <w:p w:rsidR="004C0EF6" w:rsidRDefault="004C0EF6" w:rsidP="004C0EF6">
      <w:pPr>
        <w:jc w:val="both"/>
      </w:pPr>
    </w:p>
    <w:p w:rsidR="004C0EF6" w:rsidRDefault="004C0EF6" w:rsidP="004C0EF6">
      <w:pPr>
        <w:ind w:left="1440" w:hanging="1440"/>
        <w:jc w:val="both"/>
      </w:pPr>
      <w:r w:rsidRPr="00F8359A">
        <w:rPr>
          <w:b/>
          <w:u w:val="single"/>
        </w:rPr>
        <w:t>ISSUE 13:</w:t>
      </w:r>
      <w:r w:rsidRPr="00845BEC">
        <w:rPr>
          <w:b/>
        </w:rPr>
        <w:tab/>
      </w:r>
      <w:r w:rsidRPr="001F4661">
        <w:rPr>
          <w:b/>
        </w:rPr>
        <w:t>What is the reasonable and prudent amount of storm-related costs that should be ICCA non-incremental O&amp;M adjustments?</w:t>
      </w:r>
    </w:p>
    <w:p w:rsidR="004C0EF6" w:rsidRPr="00A72BC3" w:rsidRDefault="004C0EF6" w:rsidP="004C0EF6">
      <w:pPr>
        <w:ind w:left="1440" w:hanging="1440"/>
        <w:jc w:val="both"/>
      </w:pPr>
    </w:p>
    <w:p w:rsidR="004C0EF6" w:rsidRDefault="004C0EF6" w:rsidP="004C0EF6">
      <w:pPr>
        <w:ind w:left="1440" w:hanging="1440"/>
        <w:jc w:val="both"/>
      </w:pPr>
      <w:r>
        <w:rPr>
          <w:b/>
          <w:bCs/>
        </w:rPr>
        <w:t>Stipulation</w:t>
      </w:r>
      <w:r w:rsidRPr="00701945">
        <w:rPr>
          <w:b/>
          <w:bCs/>
        </w:rPr>
        <w:t>:</w:t>
      </w:r>
      <w:r>
        <w:rPr>
          <w:b/>
          <w:bCs/>
        </w:rPr>
        <w:tab/>
      </w:r>
      <w:r>
        <w:t>Below</w:t>
      </w:r>
      <w:r>
        <w:rPr>
          <w:spacing w:val="-14"/>
        </w:rPr>
        <w:t xml:space="preserve"> </w:t>
      </w:r>
      <w:r>
        <w:t>are</w:t>
      </w:r>
      <w:r>
        <w:rPr>
          <w:spacing w:val="-14"/>
        </w:rPr>
        <w:t xml:space="preserve"> </w:t>
      </w:r>
      <w:r>
        <w:t>the</w:t>
      </w:r>
      <w:r>
        <w:rPr>
          <w:spacing w:val="-14"/>
        </w:rPr>
        <w:t xml:space="preserve"> </w:t>
      </w:r>
      <w:r>
        <w:t>reasonable</w:t>
      </w:r>
      <w:r>
        <w:rPr>
          <w:spacing w:val="-12"/>
        </w:rPr>
        <w:t xml:space="preserve"> </w:t>
      </w:r>
      <w:r>
        <w:t>and</w:t>
      </w:r>
      <w:r>
        <w:rPr>
          <w:spacing w:val="-13"/>
        </w:rPr>
        <w:t xml:space="preserve"> </w:t>
      </w:r>
      <w:r>
        <w:t>prudent</w:t>
      </w:r>
      <w:r>
        <w:rPr>
          <w:spacing w:val="-13"/>
        </w:rPr>
        <w:t xml:space="preserve"> </w:t>
      </w:r>
      <w:r>
        <w:t>storm-related</w:t>
      </w:r>
      <w:r>
        <w:rPr>
          <w:spacing w:val="-13"/>
        </w:rPr>
        <w:t xml:space="preserve"> </w:t>
      </w:r>
      <w:r>
        <w:t>costs</w:t>
      </w:r>
      <w:r>
        <w:rPr>
          <w:spacing w:val="-13"/>
        </w:rPr>
        <w:t xml:space="preserve"> </w:t>
      </w:r>
      <w:r>
        <w:t>that</w:t>
      </w:r>
      <w:r>
        <w:rPr>
          <w:spacing w:val="-13"/>
        </w:rPr>
        <w:t xml:space="preserve"> </w:t>
      </w:r>
      <w:r>
        <w:t>should</w:t>
      </w:r>
      <w:r>
        <w:rPr>
          <w:spacing w:val="-13"/>
        </w:rPr>
        <w:t xml:space="preserve"> </w:t>
      </w:r>
      <w:r>
        <w:t>be</w:t>
      </w:r>
      <w:r>
        <w:rPr>
          <w:spacing w:val="-14"/>
        </w:rPr>
        <w:t xml:space="preserve"> </w:t>
      </w:r>
      <w:r>
        <w:t>ICCA</w:t>
      </w:r>
      <w:r>
        <w:rPr>
          <w:spacing w:val="-14"/>
        </w:rPr>
        <w:t xml:space="preserve"> </w:t>
      </w:r>
      <w:r>
        <w:t>non- incremental O&amp;M adjustments.</w:t>
      </w:r>
    </w:p>
    <w:p w:rsidR="004C0EF6" w:rsidRDefault="004C0EF6" w:rsidP="004C0EF6">
      <w:pPr>
        <w:ind w:left="1440"/>
        <w:jc w:val="both"/>
      </w:pPr>
    </w:p>
    <w:p w:rsidR="004C0EF6" w:rsidRPr="00701945" w:rsidRDefault="004C0EF6" w:rsidP="004C0EF6">
      <w:pPr>
        <w:ind w:left="1760" w:firstLine="720"/>
        <w:jc w:val="both"/>
      </w:pPr>
      <w:r>
        <w:t>Nicole</w:t>
      </w:r>
      <w:r>
        <w:rPr>
          <w:spacing w:val="-2"/>
        </w:rPr>
        <w:t xml:space="preserve"> </w:t>
      </w:r>
      <w:r>
        <w:t>-</w:t>
      </w:r>
      <w:r>
        <w:rPr>
          <w:spacing w:val="-2"/>
        </w:rPr>
        <w:t xml:space="preserve"> $1,274,876</w:t>
      </w:r>
    </w:p>
    <w:p w:rsidR="004C0EF6" w:rsidRPr="00845BEC" w:rsidRDefault="004C0EF6" w:rsidP="004C0EF6">
      <w:pPr>
        <w:tabs>
          <w:tab w:val="left" w:pos="2839"/>
        </w:tabs>
        <w:spacing w:before="78"/>
        <w:ind w:left="2480"/>
        <w:jc w:val="both"/>
      </w:pPr>
      <w:r w:rsidRPr="00845BEC">
        <w:t>Ian</w:t>
      </w:r>
      <w:r w:rsidRPr="00845BEC">
        <w:rPr>
          <w:spacing w:val="-1"/>
        </w:rPr>
        <w:t xml:space="preserve"> </w:t>
      </w:r>
      <w:r w:rsidRPr="00845BEC">
        <w:t>-</w:t>
      </w:r>
      <w:r w:rsidRPr="00845BEC">
        <w:rPr>
          <w:spacing w:val="-2"/>
        </w:rPr>
        <w:t xml:space="preserve"> $4,096,655</w:t>
      </w:r>
    </w:p>
    <w:p w:rsidR="004C0EF6" w:rsidRPr="00845BEC" w:rsidRDefault="004C0EF6" w:rsidP="004C0EF6">
      <w:pPr>
        <w:tabs>
          <w:tab w:val="left" w:pos="2839"/>
        </w:tabs>
        <w:ind w:left="2480"/>
        <w:jc w:val="both"/>
      </w:pPr>
      <w:r w:rsidRPr="00845BEC">
        <w:t>Fred</w:t>
      </w:r>
      <w:r w:rsidRPr="00845BEC">
        <w:rPr>
          <w:spacing w:val="-3"/>
        </w:rPr>
        <w:t xml:space="preserve"> </w:t>
      </w:r>
      <w:r w:rsidRPr="00845BEC">
        <w:t>-</w:t>
      </w:r>
      <w:r w:rsidRPr="00845BEC">
        <w:rPr>
          <w:spacing w:val="-2"/>
        </w:rPr>
        <w:t xml:space="preserve"> $690,427</w:t>
      </w:r>
    </w:p>
    <w:p w:rsidR="004C0EF6" w:rsidRPr="00845BEC" w:rsidRDefault="004C0EF6" w:rsidP="004C0EF6">
      <w:pPr>
        <w:tabs>
          <w:tab w:val="left" w:pos="2839"/>
        </w:tabs>
        <w:ind w:left="2480"/>
        <w:jc w:val="both"/>
      </w:pPr>
      <w:r w:rsidRPr="00845BEC">
        <w:t>Elsa</w:t>
      </w:r>
      <w:r w:rsidRPr="00845BEC">
        <w:rPr>
          <w:spacing w:val="-4"/>
        </w:rPr>
        <w:t xml:space="preserve"> </w:t>
      </w:r>
      <w:r w:rsidRPr="00845BEC">
        <w:t>-</w:t>
      </w:r>
      <w:r w:rsidRPr="00845BEC">
        <w:rPr>
          <w:spacing w:val="-1"/>
        </w:rPr>
        <w:t xml:space="preserve"> </w:t>
      </w:r>
      <w:r w:rsidRPr="00845BEC">
        <w:rPr>
          <w:spacing w:val="-2"/>
        </w:rPr>
        <w:t>$688,770</w:t>
      </w:r>
    </w:p>
    <w:p w:rsidR="004C0EF6" w:rsidRPr="00845BEC" w:rsidRDefault="004C0EF6" w:rsidP="004C0EF6">
      <w:pPr>
        <w:tabs>
          <w:tab w:val="left" w:pos="2839"/>
        </w:tabs>
        <w:spacing w:before="2"/>
        <w:ind w:left="2480"/>
        <w:jc w:val="both"/>
      </w:pPr>
      <w:r w:rsidRPr="00845BEC">
        <w:t>Isaias</w:t>
      </w:r>
      <w:r w:rsidRPr="00845BEC">
        <w:rPr>
          <w:spacing w:val="-3"/>
        </w:rPr>
        <w:t xml:space="preserve"> </w:t>
      </w:r>
      <w:r w:rsidRPr="00845BEC">
        <w:t>-</w:t>
      </w:r>
      <w:r w:rsidRPr="00845BEC">
        <w:rPr>
          <w:spacing w:val="-2"/>
        </w:rPr>
        <w:t xml:space="preserve"> $760,300</w:t>
      </w:r>
    </w:p>
    <w:p w:rsidR="004C0EF6" w:rsidRDefault="004C0EF6" w:rsidP="004C0EF6">
      <w:pPr>
        <w:tabs>
          <w:tab w:val="left" w:pos="2839"/>
        </w:tabs>
        <w:ind w:left="2480"/>
        <w:jc w:val="both"/>
        <w:rPr>
          <w:spacing w:val="-2"/>
        </w:rPr>
      </w:pPr>
      <w:r w:rsidRPr="00845BEC">
        <w:t>Eta</w:t>
      </w:r>
      <w:r w:rsidRPr="00845BEC">
        <w:rPr>
          <w:spacing w:val="-4"/>
        </w:rPr>
        <w:t xml:space="preserve"> </w:t>
      </w:r>
      <w:r w:rsidRPr="00845BEC">
        <w:t>-</w:t>
      </w:r>
      <w:r w:rsidRPr="00845BEC">
        <w:rPr>
          <w:spacing w:val="-1"/>
        </w:rPr>
        <w:t xml:space="preserve"> </w:t>
      </w:r>
      <w:r w:rsidRPr="00845BEC">
        <w:rPr>
          <w:spacing w:val="-2"/>
        </w:rPr>
        <w:t>$376,694</w:t>
      </w:r>
    </w:p>
    <w:p w:rsidR="004C0EF6" w:rsidRPr="00845BEC" w:rsidRDefault="004C0EF6" w:rsidP="004C0EF6">
      <w:pPr>
        <w:tabs>
          <w:tab w:val="left" w:pos="2839"/>
        </w:tabs>
        <w:ind w:left="2480"/>
        <w:jc w:val="both"/>
      </w:pPr>
    </w:p>
    <w:p w:rsidR="004C0EF6" w:rsidRPr="00701945" w:rsidRDefault="004C0EF6" w:rsidP="004C0EF6">
      <w:pPr>
        <w:ind w:left="1440"/>
        <w:jc w:val="both"/>
      </w:pPr>
      <w:r>
        <w:t>The reasonable and prudent amount of storm-related costs that should be ICCA</w:t>
      </w:r>
      <w:r>
        <w:rPr>
          <w:spacing w:val="80"/>
        </w:rPr>
        <w:t xml:space="preserve"> </w:t>
      </w:r>
      <w:r>
        <w:t>non-incremental O&amp;M adjustments is $7,887,722.</w:t>
      </w:r>
    </w:p>
    <w:p w:rsidR="004C0EF6" w:rsidRDefault="004C0EF6" w:rsidP="004C0EF6">
      <w:pPr>
        <w:ind w:left="1440" w:hanging="1440"/>
        <w:jc w:val="both"/>
        <w:rPr>
          <w:b/>
          <w:bCs/>
        </w:rPr>
      </w:pPr>
    </w:p>
    <w:p w:rsidR="004C0EF6" w:rsidRPr="00A72BC3" w:rsidRDefault="004C0EF6" w:rsidP="004C0EF6">
      <w:pPr>
        <w:ind w:left="1440" w:hanging="1440"/>
        <w:jc w:val="both"/>
      </w:pPr>
      <w:r w:rsidRPr="00F8359A">
        <w:rPr>
          <w:b/>
          <w:u w:val="single"/>
        </w:rPr>
        <w:t>ISSUE 14</w:t>
      </w:r>
      <w:r w:rsidRPr="00A72BC3">
        <w:t>:</w:t>
      </w:r>
      <w:r>
        <w:tab/>
      </w:r>
      <w:r w:rsidRPr="001F4661">
        <w:rPr>
          <w:b/>
        </w:rPr>
        <w:t xml:space="preserve">What is the reasonable and prudent total amount of retail Recoverable Storm Costs?  </w:t>
      </w:r>
    </w:p>
    <w:p w:rsidR="004C0EF6" w:rsidRDefault="004C0EF6" w:rsidP="004C0EF6">
      <w:pPr>
        <w:ind w:left="1440" w:hanging="1440"/>
        <w:jc w:val="both"/>
        <w:rPr>
          <w:b/>
          <w:bCs/>
        </w:rPr>
      </w:pPr>
    </w:p>
    <w:p w:rsidR="004C0EF6" w:rsidRDefault="004C0EF6" w:rsidP="004C0EF6">
      <w:pPr>
        <w:ind w:left="1440" w:hanging="1440"/>
        <w:jc w:val="both"/>
      </w:pPr>
      <w:r>
        <w:rPr>
          <w:b/>
          <w:bCs/>
        </w:rPr>
        <w:t>Stipulation</w:t>
      </w:r>
      <w:r w:rsidRPr="00701945">
        <w:rPr>
          <w:b/>
          <w:bCs/>
        </w:rPr>
        <w:t>:</w:t>
      </w:r>
      <w:r>
        <w:rPr>
          <w:b/>
          <w:bCs/>
        </w:rPr>
        <w:tab/>
      </w:r>
      <w:r>
        <w:t>Below</w:t>
      </w:r>
      <w:r>
        <w:rPr>
          <w:spacing w:val="-10"/>
        </w:rPr>
        <w:t xml:space="preserve"> </w:t>
      </w:r>
      <w:r>
        <w:t>are</w:t>
      </w:r>
      <w:r>
        <w:rPr>
          <w:spacing w:val="-11"/>
        </w:rPr>
        <w:t xml:space="preserve"> </w:t>
      </w:r>
      <w:r>
        <w:t>the</w:t>
      </w:r>
      <w:r>
        <w:rPr>
          <w:spacing w:val="-11"/>
        </w:rPr>
        <w:t xml:space="preserve"> </w:t>
      </w:r>
      <w:r>
        <w:t>reasonable</w:t>
      </w:r>
      <w:r>
        <w:rPr>
          <w:spacing w:val="-8"/>
        </w:rPr>
        <w:t xml:space="preserve"> </w:t>
      </w:r>
      <w:r>
        <w:t>and</w:t>
      </w:r>
      <w:r>
        <w:rPr>
          <w:spacing w:val="-10"/>
        </w:rPr>
        <w:t xml:space="preserve"> </w:t>
      </w:r>
      <w:r>
        <w:t>prudent</w:t>
      </w:r>
      <w:r>
        <w:rPr>
          <w:spacing w:val="-9"/>
        </w:rPr>
        <w:t xml:space="preserve"> </w:t>
      </w:r>
      <w:r>
        <w:t>Recoverable</w:t>
      </w:r>
      <w:r>
        <w:rPr>
          <w:spacing w:val="-8"/>
        </w:rPr>
        <w:t xml:space="preserve"> </w:t>
      </w:r>
      <w:r>
        <w:t>Storm</w:t>
      </w:r>
      <w:r>
        <w:rPr>
          <w:spacing w:val="-9"/>
        </w:rPr>
        <w:t xml:space="preserve"> </w:t>
      </w:r>
      <w:r>
        <w:t>Costs</w:t>
      </w:r>
      <w:r>
        <w:rPr>
          <w:spacing w:val="-12"/>
        </w:rPr>
        <w:t xml:space="preserve"> </w:t>
      </w:r>
      <w:r>
        <w:t>including</w:t>
      </w:r>
      <w:r>
        <w:rPr>
          <w:spacing w:val="-10"/>
        </w:rPr>
        <w:t xml:space="preserve"> </w:t>
      </w:r>
      <w:r>
        <w:t>any</w:t>
      </w:r>
      <w:r>
        <w:rPr>
          <w:spacing w:val="-10"/>
        </w:rPr>
        <w:t xml:space="preserve"> </w:t>
      </w:r>
      <w:r>
        <w:t>true- up to prior storm recovery and estimated interest on the unamortized reserve deficiency balance, subject to true-up as stated in Issue 16.</w:t>
      </w:r>
    </w:p>
    <w:p w:rsidR="004C0EF6" w:rsidRDefault="004C0EF6" w:rsidP="004C0EF6">
      <w:pPr>
        <w:ind w:left="1440" w:hanging="1440"/>
        <w:jc w:val="both"/>
      </w:pPr>
    </w:p>
    <w:p w:rsidR="004C0EF6" w:rsidRPr="00845BEC" w:rsidRDefault="004C0EF6" w:rsidP="004C0EF6">
      <w:pPr>
        <w:tabs>
          <w:tab w:val="left" w:pos="2839"/>
        </w:tabs>
        <w:ind w:left="2480"/>
      </w:pPr>
      <w:r w:rsidRPr="00845BEC">
        <w:t>Nicole</w:t>
      </w:r>
      <w:r w:rsidRPr="00845BEC">
        <w:rPr>
          <w:spacing w:val="-2"/>
        </w:rPr>
        <w:t xml:space="preserve"> </w:t>
      </w:r>
      <w:r w:rsidRPr="00845BEC">
        <w:t>-</w:t>
      </w:r>
      <w:r w:rsidRPr="00845BEC">
        <w:rPr>
          <w:spacing w:val="-2"/>
        </w:rPr>
        <w:t xml:space="preserve"> </w:t>
      </w:r>
      <w:r w:rsidRPr="00845BEC">
        <w:t xml:space="preserve">$42,928,330 </w:t>
      </w:r>
      <w:r w:rsidRPr="00845BEC">
        <w:rPr>
          <w:spacing w:val="-2"/>
        </w:rPr>
        <w:t>retail</w:t>
      </w:r>
    </w:p>
    <w:p w:rsidR="004C0EF6" w:rsidRPr="00845BEC" w:rsidRDefault="004C0EF6" w:rsidP="004C0EF6">
      <w:pPr>
        <w:tabs>
          <w:tab w:val="left" w:pos="2839"/>
        </w:tabs>
        <w:ind w:left="2480"/>
      </w:pPr>
      <w:r w:rsidRPr="00845BEC">
        <w:t>Ian</w:t>
      </w:r>
      <w:r w:rsidRPr="00845BEC">
        <w:rPr>
          <w:spacing w:val="-1"/>
        </w:rPr>
        <w:t xml:space="preserve"> </w:t>
      </w:r>
      <w:r w:rsidRPr="00845BEC">
        <w:t>-</w:t>
      </w:r>
      <w:r w:rsidRPr="00845BEC">
        <w:rPr>
          <w:spacing w:val="-2"/>
        </w:rPr>
        <w:t xml:space="preserve"> </w:t>
      </w:r>
      <w:r w:rsidRPr="00845BEC">
        <w:t xml:space="preserve">$359,576,056 </w:t>
      </w:r>
      <w:r w:rsidRPr="00845BEC">
        <w:rPr>
          <w:spacing w:val="-2"/>
        </w:rPr>
        <w:t>retail</w:t>
      </w:r>
    </w:p>
    <w:p w:rsidR="004C0EF6" w:rsidRPr="00845BEC" w:rsidRDefault="004C0EF6" w:rsidP="004C0EF6">
      <w:pPr>
        <w:tabs>
          <w:tab w:val="left" w:pos="2839"/>
        </w:tabs>
        <w:ind w:left="2480"/>
      </w:pPr>
      <w:r w:rsidRPr="00845BEC">
        <w:t>Fred</w:t>
      </w:r>
      <w:r w:rsidRPr="00845BEC">
        <w:rPr>
          <w:spacing w:val="-2"/>
        </w:rPr>
        <w:t xml:space="preserve"> </w:t>
      </w:r>
      <w:r w:rsidRPr="00845BEC">
        <w:t>-</w:t>
      </w:r>
      <w:r w:rsidRPr="00845BEC">
        <w:rPr>
          <w:spacing w:val="-2"/>
        </w:rPr>
        <w:t xml:space="preserve"> </w:t>
      </w:r>
      <w:r w:rsidRPr="00845BEC">
        <w:t>$155,094</w:t>
      </w:r>
      <w:r w:rsidRPr="00845BEC">
        <w:rPr>
          <w:spacing w:val="-1"/>
        </w:rPr>
        <w:t xml:space="preserve"> </w:t>
      </w:r>
      <w:r w:rsidRPr="00845BEC">
        <w:rPr>
          <w:spacing w:val="-2"/>
        </w:rPr>
        <w:t>retail</w:t>
      </w:r>
    </w:p>
    <w:p w:rsidR="004C0EF6" w:rsidRPr="00845BEC" w:rsidRDefault="004C0EF6" w:rsidP="004C0EF6">
      <w:pPr>
        <w:tabs>
          <w:tab w:val="left" w:pos="2839"/>
        </w:tabs>
        <w:ind w:left="2479"/>
      </w:pPr>
      <w:r w:rsidRPr="00845BEC">
        <w:t>Elsa</w:t>
      </w:r>
      <w:r w:rsidRPr="00845BEC">
        <w:rPr>
          <w:spacing w:val="-2"/>
        </w:rPr>
        <w:t xml:space="preserve"> </w:t>
      </w:r>
      <w:r w:rsidRPr="00845BEC">
        <w:t>-</w:t>
      </w:r>
      <w:r w:rsidRPr="00845BEC">
        <w:rPr>
          <w:spacing w:val="-1"/>
        </w:rPr>
        <w:t xml:space="preserve"> </w:t>
      </w:r>
      <w:r w:rsidRPr="00845BEC">
        <w:t xml:space="preserve">$14,608,576 </w:t>
      </w:r>
      <w:r w:rsidRPr="00845BEC">
        <w:rPr>
          <w:spacing w:val="-2"/>
        </w:rPr>
        <w:t>retail</w:t>
      </w:r>
    </w:p>
    <w:p w:rsidR="004C0EF6" w:rsidRPr="00845BEC" w:rsidRDefault="004C0EF6" w:rsidP="004C0EF6">
      <w:pPr>
        <w:tabs>
          <w:tab w:val="left" w:pos="2839"/>
        </w:tabs>
        <w:ind w:left="2479"/>
      </w:pPr>
      <w:r w:rsidRPr="00845BEC">
        <w:t>Isaias</w:t>
      </w:r>
      <w:r w:rsidRPr="00845BEC">
        <w:rPr>
          <w:spacing w:val="-2"/>
        </w:rPr>
        <w:t xml:space="preserve"> </w:t>
      </w:r>
      <w:r w:rsidRPr="00845BEC">
        <w:t>-</w:t>
      </w:r>
      <w:r w:rsidRPr="00845BEC">
        <w:rPr>
          <w:spacing w:val="-2"/>
        </w:rPr>
        <w:t xml:space="preserve"> </w:t>
      </w:r>
      <w:r w:rsidRPr="00845BEC">
        <w:t>$258,952</w:t>
      </w:r>
      <w:r w:rsidRPr="00845BEC">
        <w:rPr>
          <w:spacing w:val="-1"/>
        </w:rPr>
        <w:t xml:space="preserve"> </w:t>
      </w:r>
      <w:r w:rsidRPr="00845BEC">
        <w:rPr>
          <w:spacing w:val="-2"/>
        </w:rPr>
        <w:t>retail</w:t>
      </w:r>
    </w:p>
    <w:p w:rsidR="004A2009" w:rsidRDefault="004C0EF6" w:rsidP="004C0EF6">
      <w:pPr>
        <w:tabs>
          <w:tab w:val="left" w:pos="2839"/>
        </w:tabs>
        <w:spacing w:before="1"/>
        <w:ind w:left="2479"/>
        <w:rPr>
          <w:spacing w:val="-2"/>
        </w:rPr>
        <w:sectPr w:rsidR="004A2009">
          <w:headerReference w:type="first" r:id="rId13"/>
          <w:pgSz w:w="12240" w:h="15840" w:code="1"/>
          <w:pgMar w:top="1440" w:right="1440" w:bottom="1440" w:left="1440" w:header="720" w:footer="720" w:gutter="0"/>
          <w:cols w:space="720"/>
          <w:titlePg/>
          <w:docGrid w:linePitch="360"/>
        </w:sectPr>
      </w:pPr>
      <w:r w:rsidRPr="00845BEC">
        <w:t>Eta</w:t>
      </w:r>
      <w:r w:rsidRPr="00845BEC">
        <w:rPr>
          <w:spacing w:val="-2"/>
        </w:rPr>
        <w:t xml:space="preserve"> </w:t>
      </w:r>
      <w:r w:rsidRPr="00845BEC">
        <w:t>-</w:t>
      </w:r>
      <w:r w:rsidRPr="00845BEC">
        <w:rPr>
          <w:spacing w:val="-1"/>
        </w:rPr>
        <w:t xml:space="preserve"> </w:t>
      </w:r>
      <w:r w:rsidRPr="00845BEC">
        <w:t xml:space="preserve">$20,160,165 </w:t>
      </w:r>
      <w:r w:rsidRPr="00845BEC">
        <w:rPr>
          <w:spacing w:val="-2"/>
        </w:rPr>
        <w:t>retail</w:t>
      </w:r>
    </w:p>
    <w:p w:rsidR="004C0EF6" w:rsidRPr="00845BEC" w:rsidRDefault="004C0EF6" w:rsidP="004C0EF6">
      <w:pPr>
        <w:tabs>
          <w:tab w:val="left" w:pos="2839"/>
        </w:tabs>
        <w:spacing w:before="1"/>
        <w:ind w:left="2479"/>
      </w:pPr>
    </w:p>
    <w:p w:rsidR="004C0EF6" w:rsidRDefault="004C0EF6" w:rsidP="004C0EF6">
      <w:pPr>
        <w:tabs>
          <w:tab w:val="left" w:pos="2839"/>
        </w:tabs>
        <w:ind w:left="2479"/>
        <w:rPr>
          <w:spacing w:val="-2"/>
        </w:rPr>
      </w:pPr>
      <w:r w:rsidRPr="00845BEC">
        <w:t>Previous</w:t>
      </w:r>
      <w:r w:rsidRPr="00845BEC">
        <w:rPr>
          <w:spacing w:val="-4"/>
        </w:rPr>
        <w:t xml:space="preserve"> </w:t>
      </w:r>
      <w:r w:rsidRPr="00845BEC">
        <w:t>partial</w:t>
      </w:r>
      <w:r w:rsidRPr="00845BEC">
        <w:rPr>
          <w:spacing w:val="-2"/>
        </w:rPr>
        <w:t xml:space="preserve"> </w:t>
      </w:r>
      <w:r w:rsidRPr="00845BEC">
        <w:t>recovery of</w:t>
      </w:r>
      <w:r w:rsidRPr="00845BEC">
        <w:rPr>
          <w:spacing w:val="-2"/>
        </w:rPr>
        <w:t xml:space="preserve"> </w:t>
      </w:r>
      <w:r w:rsidRPr="00845BEC">
        <w:t>Storm</w:t>
      </w:r>
      <w:r w:rsidRPr="00845BEC">
        <w:rPr>
          <w:spacing w:val="-2"/>
        </w:rPr>
        <w:t xml:space="preserve"> </w:t>
      </w:r>
      <w:r w:rsidRPr="00845BEC">
        <w:t>Costs</w:t>
      </w:r>
      <w:r w:rsidRPr="00845BEC">
        <w:rPr>
          <w:spacing w:val="-2"/>
        </w:rPr>
        <w:t xml:space="preserve"> </w:t>
      </w:r>
      <w:r w:rsidRPr="00845BEC">
        <w:t>–</w:t>
      </w:r>
      <w:r w:rsidRPr="00845BEC">
        <w:rPr>
          <w:spacing w:val="-1"/>
        </w:rPr>
        <w:t xml:space="preserve"> </w:t>
      </w:r>
      <w:r w:rsidRPr="00845BEC">
        <w:rPr>
          <w:spacing w:val="-2"/>
        </w:rPr>
        <w:t>($10,976,14</w:t>
      </w:r>
      <w:r>
        <w:rPr>
          <w:spacing w:val="-2"/>
        </w:rPr>
        <w:t>4)</w:t>
      </w:r>
      <w:r>
        <w:rPr>
          <w:rStyle w:val="FootnoteReference"/>
          <w:spacing w:val="-2"/>
        </w:rPr>
        <w:footnoteReference w:id="14"/>
      </w:r>
    </w:p>
    <w:p w:rsidR="004C0EF6" w:rsidRDefault="004C0EF6" w:rsidP="004C0EF6">
      <w:pPr>
        <w:tabs>
          <w:tab w:val="left" w:pos="2839"/>
        </w:tabs>
        <w:ind w:left="2479"/>
        <w:rPr>
          <w:spacing w:val="-2"/>
          <w:vertAlign w:val="superscript"/>
        </w:rPr>
      </w:pPr>
    </w:p>
    <w:p w:rsidR="004C0EF6" w:rsidRPr="00701945" w:rsidRDefault="004C0EF6" w:rsidP="004C0EF6">
      <w:pPr>
        <w:ind w:left="1440"/>
        <w:jc w:val="both"/>
      </w:pPr>
      <w:r>
        <w:t>The prudent and reasonable retail Total Recoverable Storm Costs plus estimated interest of $4,669,608 is $431,380,637.</w:t>
      </w:r>
    </w:p>
    <w:p w:rsidR="004C0EF6" w:rsidRDefault="004C0EF6" w:rsidP="004C0EF6">
      <w:pPr>
        <w:jc w:val="both"/>
      </w:pPr>
    </w:p>
    <w:p w:rsidR="004C0EF6" w:rsidRPr="00A72BC3" w:rsidRDefault="004C0EF6" w:rsidP="004C0EF6">
      <w:pPr>
        <w:ind w:left="1440" w:hanging="1440"/>
        <w:jc w:val="both"/>
      </w:pPr>
      <w:r w:rsidRPr="00F8359A">
        <w:rPr>
          <w:b/>
          <w:u w:val="single"/>
        </w:rPr>
        <w:t>ISSUE 15:</w:t>
      </w:r>
      <w:r>
        <w:rPr>
          <w:b/>
        </w:rPr>
        <w:tab/>
      </w:r>
      <w:r w:rsidRPr="001F4661">
        <w:rPr>
          <w:b/>
        </w:rPr>
        <w:t>What is the appropriate accounting treatment associated with any storm costs found to have been imprudently incurred?</w:t>
      </w:r>
    </w:p>
    <w:p w:rsidR="004C0EF6" w:rsidRDefault="004C0EF6" w:rsidP="004C0EF6">
      <w:pPr>
        <w:ind w:left="1440" w:hanging="1440"/>
        <w:jc w:val="both"/>
        <w:rPr>
          <w:b/>
          <w:bCs/>
        </w:rPr>
      </w:pPr>
    </w:p>
    <w:p w:rsidR="004C0EF6" w:rsidRDefault="004C0EF6" w:rsidP="004C0EF6">
      <w:pPr>
        <w:ind w:left="1440" w:hanging="1440"/>
        <w:jc w:val="both"/>
      </w:pPr>
      <w:r>
        <w:rPr>
          <w:b/>
          <w:bCs/>
        </w:rPr>
        <w:t>Stipulation</w:t>
      </w:r>
      <w:r w:rsidRPr="00701945">
        <w:rPr>
          <w:b/>
          <w:bCs/>
        </w:rPr>
        <w:t>:</w:t>
      </w:r>
      <w:r>
        <w:rPr>
          <w:b/>
          <w:bCs/>
        </w:rPr>
        <w:tab/>
      </w:r>
      <w:r>
        <w:t xml:space="preserve">Imprudently incurred storm costs should not be charged to the storm reserve or recovered through a storm restoration charge on customer bills. No storm restoration costs were imprudently incurred; therefore, no such adjustment is </w:t>
      </w:r>
      <w:r>
        <w:rPr>
          <w:spacing w:val="-2"/>
        </w:rPr>
        <w:t>necessary.</w:t>
      </w:r>
    </w:p>
    <w:p w:rsidR="004C0EF6" w:rsidRPr="00701945" w:rsidRDefault="004C0EF6" w:rsidP="004C0EF6">
      <w:pPr>
        <w:jc w:val="both"/>
      </w:pPr>
    </w:p>
    <w:p w:rsidR="004C0EF6" w:rsidRDefault="004C0EF6" w:rsidP="004C0EF6">
      <w:pPr>
        <w:ind w:left="1440" w:hanging="1440"/>
        <w:jc w:val="both"/>
      </w:pPr>
      <w:r w:rsidRPr="00F8359A">
        <w:rPr>
          <w:b/>
          <w:u w:val="single"/>
        </w:rPr>
        <w:t>ISSUE_</w:t>
      </w:r>
      <w:r>
        <w:rPr>
          <w:b/>
          <w:u w:val="single"/>
        </w:rPr>
        <w:t>18</w:t>
      </w:r>
      <w:r w:rsidRPr="00F8359A">
        <w:rPr>
          <w:b/>
          <w:u w:val="single"/>
        </w:rPr>
        <w:t>:</w:t>
      </w:r>
      <w:r w:rsidRPr="00303A5F">
        <w:rPr>
          <w:b/>
        </w:rPr>
        <w:tab/>
      </w:r>
      <w:r w:rsidRPr="001F4661">
        <w:rPr>
          <w:b/>
        </w:rPr>
        <w:t>What additional storm restoration process improvements, if any, should DEF follow in future storms?</w:t>
      </w:r>
      <w:r>
        <w:rPr>
          <w:rStyle w:val="FootnoteReference"/>
          <w:b/>
        </w:rPr>
        <w:footnoteReference w:id="15"/>
      </w:r>
      <w:r w:rsidRPr="00A72BC3">
        <w:tab/>
      </w:r>
    </w:p>
    <w:p w:rsidR="004C0EF6" w:rsidRPr="00A72BC3" w:rsidRDefault="004C0EF6" w:rsidP="004C0EF6">
      <w:pPr>
        <w:ind w:left="1440" w:hanging="1440"/>
        <w:jc w:val="both"/>
      </w:pPr>
    </w:p>
    <w:p w:rsidR="004C0EF6" w:rsidRDefault="004C0EF6" w:rsidP="004C0EF6">
      <w:pPr>
        <w:ind w:left="1440" w:hanging="1440"/>
        <w:jc w:val="both"/>
      </w:pPr>
      <w:r>
        <w:rPr>
          <w:b/>
        </w:rPr>
        <w:t>Stipulation</w:t>
      </w:r>
      <w:r w:rsidRPr="00303A5F">
        <w:rPr>
          <w:b/>
        </w:rPr>
        <w:t>:</w:t>
      </w:r>
      <w:r>
        <w:rPr>
          <w:b/>
        </w:rPr>
        <w:tab/>
      </w:r>
      <w:r>
        <w:t>DEF</w:t>
      </w:r>
      <w:r>
        <w:rPr>
          <w:spacing w:val="-15"/>
        </w:rPr>
        <w:t xml:space="preserve"> </w:t>
      </w:r>
      <w:r>
        <w:t>has</w:t>
      </w:r>
      <w:r>
        <w:rPr>
          <w:spacing w:val="-15"/>
        </w:rPr>
        <w:t xml:space="preserve"> </w:t>
      </w:r>
      <w:r>
        <w:t>fully</w:t>
      </w:r>
      <w:r>
        <w:rPr>
          <w:spacing w:val="-15"/>
        </w:rPr>
        <w:t xml:space="preserve"> </w:t>
      </w:r>
      <w:r>
        <w:t>implemented</w:t>
      </w:r>
      <w:r>
        <w:rPr>
          <w:spacing w:val="-15"/>
        </w:rPr>
        <w:t xml:space="preserve"> </w:t>
      </w:r>
      <w:r>
        <w:t>the</w:t>
      </w:r>
      <w:r>
        <w:rPr>
          <w:spacing w:val="-15"/>
        </w:rPr>
        <w:t xml:space="preserve"> </w:t>
      </w:r>
      <w:r>
        <w:t>Process</w:t>
      </w:r>
      <w:r>
        <w:rPr>
          <w:spacing w:val="-15"/>
        </w:rPr>
        <w:t xml:space="preserve"> </w:t>
      </w:r>
      <w:r>
        <w:t>Improvements</w:t>
      </w:r>
      <w:r>
        <w:rPr>
          <w:spacing w:val="-15"/>
        </w:rPr>
        <w:t xml:space="preserve"> </w:t>
      </w:r>
      <w:r>
        <w:t>approved</w:t>
      </w:r>
      <w:r>
        <w:rPr>
          <w:spacing w:val="-15"/>
        </w:rPr>
        <w:t xml:space="preserve"> </w:t>
      </w:r>
      <w:r>
        <w:t>in</w:t>
      </w:r>
      <w:r>
        <w:rPr>
          <w:spacing w:val="-15"/>
        </w:rPr>
        <w:t xml:space="preserve"> </w:t>
      </w:r>
      <w:r>
        <w:t>Order</w:t>
      </w:r>
      <w:r>
        <w:rPr>
          <w:spacing w:val="-15"/>
        </w:rPr>
        <w:t xml:space="preserve"> </w:t>
      </w:r>
      <w:r>
        <w:t>No.</w:t>
      </w:r>
      <w:r>
        <w:rPr>
          <w:spacing w:val="-15"/>
        </w:rPr>
        <w:t xml:space="preserve"> </w:t>
      </w:r>
      <w:r>
        <w:t>PSC- 2019-0232-AS-EI. As part of DEF’s process of continuous improvements, to the extent practicable without hindering safe and efficient storm restoration, DEF has agreed to work to implement the additional process refinements included in Attachment A.</w:t>
      </w:r>
    </w:p>
    <w:p w:rsidR="004C0EF6" w:rsidRDefault="004C0EF6" w:rsidP="004C0EF6">
      <w:pPr>
        <w:ind w:left="1440" w:hanging="1440"/>
        <w:jc w:val="both"/>
      </w:pPr>
    </w:p>
    <w:p w:rsidR="004C0EF6" w:rsidRDefault="004C0EF6" w:rsidP="004C0EF6">
      <w:r w:rsidRPr="00F8359A">
        <w:rPr>
          <w:b/>
          <w:u w:val="single"/>
        </w:rPr>
        <w:t>ISSUE 1</w:t>
      </w:r>
      <w:r>
        <w:rPr>
          <w:b/>
          <w:u w:val="single"/>
        </w:rPr>
        <w:t>9</w:t>
      </w:r>
      <w:r w:rsidRPr="00F8359A">
        <w:rPr>
          <w:b/>
          <w:u w:val="single"/>
        </w:rPr>
        <w:t xml:space="preserve">: </w:t>
      </w:r>
      <w:r w:rsidRPr="00A72BC3">
        <w:t xml:space="preserve">     </w:t>
      </w:r>
      <w:r w:rsidRPr="001F4661">
        <w:rPr>
          <w:b/>
        </w:rPr>
        <w:t>Should this docket be closed?</w:t>
      </w:r>
    </w:p>
    <w:p w:rsidR="004C0EF6" w:rsidRDefault="004C0EF6" w:rsidP="004C0EF6">
      <w:pPr>
        <w:ind w:left="1440" w:hanging="1440"/>
        <w:jc w:val="both"/>
        <w:rPr>
          <w:b/>
          <w:bCs/>
        </w:rPr>
      </w:pPr>
    </w:p>
    <w:p w:rsidR="004C0EF6" w:rsidRDefault="004C0EF6" w:rsidP="004C0EF6">
      <w:pPr>
        <w:ind w:left="1440" w:hanging="1440"/>
        <w:jc w:val="both"/>
      </w:pPr>
      <w:r>
        <w:rPr>
          <w:b/>
          <w:bCs/>
        </w:rPr>
        <w:t>Stipulation</w:t>
      </w:r>
      <w:r w:rsidRPr="00701945">
        <w:rPr>
          <w:b/>
          <w:bCs/>
        </w:rPr>
        <w:t>:</w:t>
      </w:r>
      <w:r>
        <w:rPr>
          <w:b/>
          <w:bCs/>
        </w:rPr>
        <w:tab/>
      </w:r>
      <w:r>
        <w:t>No.</w:t>
      </w:r>
      <w:r>
        <w:rPr>
          <w:spacing w:val="-3"/>
        </w:rPr>
        <w:t xml:space="preserve"> </w:t>
      </w:r>
      <w:r>
        <w:t>This</w:t>
      </w:r>
      <w:r>
        <w:rPr>
          <w:spacing w:val="-3"/>
        </w:rPr>
        <w:t xml:space="preserve"> </w:t>
      </w:r>
      <w:r>
        <w:t>docket</w:t>
      </w:r>
      <w:r>
        <w:rPr>
          <w:spacing w:val="-3"/>
        </w:rPr>
        <w:t xml:space="preserve"> </w:t>
      </w:r>
      <w:r>
        <w:t>should</w:t>
      </w:r>
      <w:r>
        <w:rPr>
          <w:spacing w:val="-3"/>
        </w:rPr>
        <w:t xml:space="preserve"> </w:t>
      </w:r>
      <w:r>
        <w:t>remain</w:t>
      </w:r>
      <w:r>
        <w:rPr>
          <w:spacing w:val="-3"/>
        </w:rPr>
        <w:t xml:space="preserve"> </w:t>
      </w:r>
      <w:r>
        <w:t>open</w:t>
      </w:r>
      <w:r>
        <w:rPr>
          <w:spacing w:val="-3"/>
        </w:rPr>
        <w:t xml:space="preserve"> </w:t>
      </w:r>
      <w:r>
        <w:t>so</w:t>
      </w:r>
      <w:r>
        <w:rPr>
          <w:spacing w:val="-3"/>
        </w:rPr>
        <w:t xml:space="preserve"> </w:t>
      </w:r>
      <w:r>
        <w:t>that</w:t>
      </w:r>
      <w:r>
        <w:rPr>
          <w:spacing w:val="-3"/>
        </w:rPr>
        <w:t xml:space="preserve"> </w:t>
      </w:r>
      <w:r>
        <w:t>DEF</w:t>
      </w:r>
      <w:r>
        <w:rPr>
          <w:spacing w:val="-3"/>
        </w:rPr>
        <w:t xml:space="preserve"> </w:t>
      </w:r>
      <w:r>
        <w:t>can</w:t>
      </w:r>
      <w:r>
        <w:rPr>
          <w:spacing w:val="-3"/>
        </w:rPr>
        <w:t xml:space="preserve"> </w:t>
      </w:r>
      <w:r>
        <w:t>file</w:t>
      </w:r>
      <w:r>
        <w:rPr>
          <w:spacing w:val="-4"/>
        </w:rPr>
        <w:t xml:space="preserve"> </w:t>
      </w:r>
      <w:r>
        <w:t>supplemental</w:t>
      </w:r>
      <w:r>
        <w:rPr>
          <w:spacing w:val="-3"/>
        </w:rPr>
        <w:t xml:space="preserve"> </w:t>
      </w:r>
      <w:r>
        <w:t>schedules that compare the final storm recovery amount approved by the Commission to actual revenues from the storm restoration charge and calculate the resulting</w:t>
      </w:r>
      <w:r>
        <w:rPr>
          <w:spacing w:val="-4"/>
        </w:rPr>
        <w:t xml:space="preserve"> </w:t>
      </w:r>
      <w:r>
        <w:t>excess</w:t>
      </w:r>
      <w:r>
        <w:rPr>
          <w:spacing w:val="-4"/>
        </w:rPr>
        <w:t xml:space="preserve"> </w:t>
      </w:r>
      <w:r>
        <w:t>or</w:t>
      </w:r>
      <w:r>
        <w:rPr>
          <w:spacing w:val="-5"/>
        </w:rPr>
        <w:t xml:space="preserve"> </w:t>
      </w:r>
      <w:r>
        <w:t>shortfall</w:t>
      </w:r>
      <w:r>
        <w:rPr>
          <w:spacing w:val="-4"/>
        </w:rPr>
        <w:t xml:space="preserve"> </w:t>
      </w:r>
      <w:r>
        <w:t>for</w:t>
      </w:r>
      <w:r>
        <w:rPr>
          <w:spacing w:val="-5"/>
        </w:rPr>
        <w:t xml:space="preserve"> </w:t>
      </w:r>
      <w:r>
        <w:t>recovery.</w:t>
      </w:r>
    </w:p>
    <w:p w:rsidR="004C0EF6" w:rsidRDefault="004C0EF6" w:rsidP="004C0EF6">
      <w:pPr>
        <w:ind w:left="1440" w:hanging="1440"/>
        <w:jc w:val="both"/>
      </w:pPr>
    </w:p>
    <w:p w:rsidR="004A2009" w:rsidRDefault="004A2009">
      <w:pPr>
        <w:sectPr w:rsidR="004A2009">
          <w:headerReference w:type="first" r:id="rId14"/>
          <w:pgSz w:w="12240" w:h="15840" w:code="1"/>
          <w:pgMar w:top="1440" w:right="1440" w:bottom="1440" w:left="1440" w:header="720" w:footer="720" w:gutter="0"/>
          <w:cols w:space="720"/>
          <w:titlePg/>
          <w:docGrid w:linePitch="360"/>
        </w:sectPr>
      </w:pPr>
    </w:p>
    <w:p w:rsidR="006D2FD4" w:rsidRDefault="006D2FD4"/>
    <w:p w:rsidR="006D2FD4" w:rsidRDefault="006D2FD4" w:rsidP="006D2FD4">
      <w:pPr>
        <w:autoSpaceDE w:val="0"/>
        <w:autoSpaceDN w:val="0"/>
        <w:adjustRightInd w:val="0"/>
        <w:jc w:val="right"/>
        <w:rPr>
          <w:color w:val="4A4A4A"/>
          <w:sz w:val="21"/>
          <w:szCs w:val="21"/>
        </w:rPr>
      </w:pPr>
      <w:r>
        <w:rPr>
          <w:color w:val="3B3B3B"/>
          <w:sz w:val="21"/>
          <w:szCs w:val="21"/>
        </w:rPr>
        <w:t xml:space="preserve">Duke </w:t>
      </w:r>
      <w:r>
        <w:rPr>
          <w:color w:val="4A4A4A"/>
          <w:sz w:val="21"/>
          <w:szCs w:val="21"/>
        </w:rPr>
        <w:t>Energy F</w:t>
      </w:r>
      <w:r>
        <w:rPr>
          <w:color w:val="2B2B2C"/>
          <w:sz w:val="21"/>
          <w:szCs w:val="21"/>
        </w:rPr>
        <w:t>lorida</w:t>
      </w:r>
      <w:r>
        <w:rPr>
          <w:color w:val="4A4A4A"/>
          <w:sz w:val="21"/>
          <w:szCs w:val="21"/>
        </w:rPr>
        <w:t>, LLC</w:t>
      </w:r>
    </w:p>
    <w:p w:rsidR="006D2FD4" w:rsidRDefault="006D2FD4" w:rsidP="006D2FD4">
      <w:pPr>
        <w:autoSpaceDE w:val="0"/>
        <w:autoSpaceDN w:val="0"/>
        <w:adjustRightInd w:val="0"/>
        <w:jc w:val="right"/>
        <w:rPr>
          <w:color w:val="4A4A4A"/>
          <w:sz w:val="21"/>
          <w:szCs w:val="21"/>
        </w:rPr>
      </w:pPr>
      <w:r>
        <w:rPr>
          <w:color w:val="3B3B3B"/>
          <w:sz w:val="21"/>
          <w:szCs w:val="21"/>
        </w:rPr>
        <w:t xml:space="preserve">Docket No. </w:t>
      </w:r>
      <w:r>
        <w:rPr>
          <w:color w:val="4A4A4A"/>
          <w:sz w:val="21"/>
          <w:szCs w:val="21"/>
        </w:rPr>
        <w:t>20230020</w:t>
      </w:r>
      <w:r>
        <w:rPr>
          <w:color w:val="2B2B2C"/>
          <w:sz w:val="21"/>
          <w:szCs w:val="21"/>
        </w:rPr>
        <w:t>-</w:t>
      </w:r>
      <w:r>
        <w:rPr>
          <w:color w:val="4A4A4A"/>
          <w:sz w:val="21"/>
          <w:szCs w:val="21"/>
        </w:rPr>
        <w:t>EI</w:t>
      </w:r>
    </w:p>
    <w:p w:rsidR="006D2FD4" w:rsidRDefault="006D2FD4" w:rsidP="006D2FD4">
      <w:pPr>
        <w:autoSpaceDE w:val="0"/>
        <w:autoSpaceDN w:val="0"/>
        <w:adjustRightInd w:val="0"/>
        <w:jc w:val="right"/>
        <w:rPr>
          <w:color w:val="4A4A4A"/>
          <w:sz w:val="21"/>
          <w:szCs w:val="21"/>
        </w:rPr>
      </w:pPr>
      <w:r>
        <w:rPr>
          <w:color w:val="4A4A4A"/>
          <w:sz w:val="21"/>
          <w:szCs w:val="21"/>
        </w:rPr>
        <w:t>Attachment A</w:t>
      </w:r>
    </w:p>
    <w:p w:rsidR="00694F49" w:rsidRDefault="00694F49" w:rsidP="006D2FD4">
      <w:pPr>
        <w:autoSpaceDE w:val="0"/>
        <w:autoSpaceDN w:val="0"/>
        <w:adjustRightInd w:val="0"/>
        <w:jc w:val="center"/>
        <w:rPr>
          <w:b/>
          <w:bCs/>
          <w:color w:val="2B2B2C"/>
          <w:sz w:val="22"/>
          <w:szCs w:val="22"/>
        </w:rPr>
      </w:pPr>
    </w:p>
    <w:p w:rsidR="006D2FD4" w:rsidRDefault="006D2FD4" w:rsidP="006D2FD4">
      <w:pPr>
        <w:autoSpaceDE w:val="0"/>
        <w:autoSpaceDN w:val="0"/>
        <w:adjustRightInd w:val="0"/>
        <w:jc w:val="center"/>
        <w:rPr>
          <w:b/>
          <w:bCs/>
          <w:color w:val="3B3B3B"/>
          <w:sz w:val="22"/>
          <w:szCs w:val="22"/>
        </w:rPr>
      </w:pPr>
      <w:r>
        <w:rPr>
          <w:b/>
          <w:bCs/>
          <w:color w:val="2B2B2C"/>
          <w:sz w:val="22"/>
          <w:szCs w:val="22"/>
        </w:rPr>
        <w:t xml:space="preserve">Duke </w:t>
      </w:r>
      <w:r>
        <w:rPr>
          <w:b/>
          <w:bCs/>
          <w:color w:val="3B3B3B"/>
          <w:sz w:val="22"/>
          <w:szCs w:val="22"/>
        </w:rPr>
        <w:t xml:space="preserve">Energy </w:t>
      </w:r>
      <w:r>
        <w:rPr>
          <w:b/>
          <w:bCs/>
          <w:color w:val="2B2B2C"/>
          <w:sz w:val="22"/>
          <w:szCs w:val="22"/>
        </w:rPr>
        <w:t>F</w:t>
      </w:r>
      <w:r>
        <w:rPr>
          <w:b/>
          <w:bCs/>
          <w:color w:val="131313"/>
          <w:sz w:val="22"/>
          <w:szCs w:val="22"/>
        </w:rPr>
        <w:t>l</w:t>
      </w:r>
      <w:r>
        <w:rPr>
          <w:b/>
          <w:bCs/>
          <w:color w:val="2B2B2C"/>
          <w:sz w:val="22"/>
          <w:szCs w:val="22"/>
        </w:rPr>
        <w:t>or</w:t>
      </w:r>
      <w:r>
        <w:rPr>
          <w:b/>
          <w:bCs/>
          <w:color w:val="131313"/>
          <w:sz w:val="22"/>
          <w:szCs w:val="22"/>
        </w:rPr>
        <w:t>i</w:t>
      </w:r>
      <w:r>
        <w:rPr>
          <w:b/>
          <w:bCs/>
          <w:color w:val="2B2B2C"/>
          <w:sz w:val="22"/>
          <w:szCs w:val="22"/>
        </w:rPr>
        <w:t xml:space="preserve">da's Prehearing </w:t>
      </w:r>
      <w:r>
        <w:rPr>
          <w:b/>
          <w:bCs/>
          <w:color w:val="3B3B3B"/>
          <w:sz w:val="22"/>
          <w:szCs w:val="22"/>
        </w:rPr>
        <w:t>Statement</w:t>
      </w:r>
    </w:p>
    <w:p w:rsidR="006D2FD4" w:rsidRDefault="006D2FD4" w:rsidP="006D2FD4">
      <w:pPr>
        <w:autoSpaceDE w:val="0"/>
        <w:autoSpaceDN w:val="0"/>
        <w:adjustRightInd w:val="0"/>
        <w:jc w:val="center"/>
        <w:rPr>
          <w:b/>
          <w:bCs/>
          <w:color w:val="2B2B2C"/>
          <w:sz w:val="22"/>
          <w:szCs w:val="22"/>
        </w:rPr>
      </w:pPr>
      <w:r>
        <w:rPr>
          <w:b/>
          <w:bCs/>
          <w:color w:val="3B3B3B"/>
          <w:sz w:val="22"/>
          <w:szCs w:val="22"/>
        </w:rPr>
        <w:t xml:space="preserve">Ongoing, Continuous Storm Restoration Process </w:t>
      </w:r>
      <w:r>
        <w:rPr>
          <w:b/>
          <w:bCs/>
          <w:color w:val="2B2B2C"/>
          <w:sz w:val="22"/>
          <w:szCs w:val="22"/>
        </w:rPr>
        <w:t>Improveme</w:t>
      </w:r>
      <w:r>
        <w:rPr>
          <w:b/>
          <w:bCs/>
          <w:color w:val="131313"/>
          <w:sz w:val="22"/>
          <w:szCs w:val="22"/>
        </w:rPr>
        <w:t>n</w:t>
      </w:r>
      <w:r>
        <w:rPr>
          <w:b/>
          <w:bCs/>
          <w:color w:val="2B2B2C"/>
          <w:sz w:val="22"/>
          <w:szCs w:val="22"/>
        </w:rPr>
        <w:t>ts</w:t>
      </w:r>
    </w:p>
    <w:p w:rsidR="006D2FD4" w:rsidRDefault="006D2FD4" w:rsidP="006D2FD4">
      <w:pPr>
        <w:autoSpaceDE w:val="0"/>
        <w:autoSpaceDN w:val="0"/>
        <w:adjustRightInd w:val="0"/>
        <w:jc w:val="center"/>
        <w:rPr>
          <w:b/>
          <w:bCs/>
          <w:color w:val="2B2B2C"/>
          <w:sz w:val="22"/>
          <w:szCs w:val="22"/>
        </w:rPr>
      </w:pPr>
    </w:p>
    <w:p w:rsidR="006D2FD4" w:rsidRDefault="006D2FD4" w:rsidP="006D2FD4">
      <w:pPr>
        <w:autoSpaceDE w:val="0"/>
        <w:autoSpaceDN w:val="0"/>
        <w:adjustRightInd w:val="0"/>
        <w:jc w:val="both"/>
        <w:rPr>
          <w:bCs/>
          <w:color w:val="2B2B2C"/>
          <w:sz w:val="22"/>
          <w:szCs w:val="22"/>
        </w:rPr>
      </w:pPr>
      <w:r>
        <w:rPr>
          <w:bCs/>
          <w:color w:val="2B2B2C"/>
          <w:sz w:val="22"/>
          <w:szCs w:val="22"/>
        </w:rPr>
        <w:tab/>
        <w:t>Duke Energy Florida (“DEF” or the “company”) 2019 Storm Cost Settlement Agreement includes several “Future Process Improvements”</w:t>
      </w:r>
      <w:r w:rsidR="008A5656">
        <w:rPr>
          <w:bCs/>
          <w:color w:val="2B2B2C"/>
          <w:sz w:val="22"/>
          <w:szCs w:val="22"/>
        </w:rPr>
        <w:t xml:space="preserve"> </w:t>
      </w:r>
      <w:r>
        <w:rPr>
          <w:bCs/>
          <w:color w:val="2B2B2C"/>
          <w:sz w:val="22"/>
          <w:szCs w:val="22"/>
        </w:rPr>
        <w:t xml:space="preserve">covering a broad range of storm cost recovery issues, including: (1) contracting and vendor engagement; (2) travel and work policies; (3) cost documentation; (4) auditing and regulatory recovery processes; and (5) a methodology for determining incremental costs.  </w:t>
      </w:r>
      <w:r>
        <w:rPr>
          <w:bCs/>
          <w:i/>
          <w:color w:val="2B2B2C"/>
          <w:sz w:val="22"/>
          <w:szCs w:val="22"/>
        </w:rPr>
        <w:t xml:space="preserve">See </w:t>
      </w:r>
      <w:r>
        <w:rPr>
          <w:bCs/>
          <w:color w:val="2B2B2C"/>
          <w:sz w:val="22"/>
          <w:szCs w:val="22"/>
        </w:rPr>
        <w:t>Order No</w:t>
      </w:r>
      <w:r w:rsidR="008A5656">
        <w:rPr>
          <w:bCs/>
          <w:color w:val="2B2B2C"/>
          <w:sz w:val="22"/>
          <w:szCs w:val="22"/>
        </w:rPr>
        <w:t>.</w:t>
      </w:r>
      <w:r>
        <w:rPr>
          <w:bCs/>
          <w:color w:val="2B2B2C"/>
          <w:sz w:val="22"/>
          <w:szCs w:val="22"/>
        </w:rPr>
        <w:t xml:space="preserve"> PSC-2019-0232-AS-EI, issued June 13, 2019, in Docket No. 20170172-EI.</w:t>
      </w:r>
    </w:p>
    <w:p w:rsidR="006D2FD4" w:rsidRDefault="006D2FD4" w:rsidP="006D2FD4">
      <w:pPr>
        <w:autoSpaceDE w:val="0"/>
        <w:autoSpaceDN w:val="0"/>
        <w:adjustRightInd w:val="0"/>
        <w:jc w:val="both"/>
        <w:rPr>
          <w:bCs/>
          <w:color w:val="2B2B2C"/>
          <w:sz w:val="22"/>
          <w:szCs w:val="22"/>
        </w:rPr>
      </w:pPr>
    </w:p>
    <w:p w:rsidR="006D2FD4" w:rsidRDefault="006D2FD4" w:rsidP="006D2FD4">
      <w:pPr>
        <w:autoSpaceDE w:val="0"/>
        <w:autoSpaceDN w:val="0"/>
        <w:adjustRightInd w:val="0"/>
        <w:jc w:val="both"/>
        <w:rPr>
          <w:bCs/>
          <w:color w:val="2B2B2C"/>
          <w:sz w:val="22"/>
          <w:szCs w:val="22"/>
        </w:rPr>
      </w:pPr>
      <w:r>
        <w:rPr>
          <w:bCs/>
          <w:color w:val="2B2B2C"/>
          <w:sz w:val="22"/>
          <w:szCs w:val="22"/>
        </w:rPr>
        <w:tab/>
        <w:t>Since that time, DEF has continued to document lessons learned from storm restoration efforts and has as a part of the ongoing, continuous improvement process implemented several additional process improvements.</w:t>
      </w:r>
    </w:p>
    <w:p w:rsidR="006D2FD4" w:rsidRDefault="006D2FD4" w:rsidP="006D2FD4">
      <w:pPr>
        <w:autoSpaceDE w:val="0"/>
        <w:autoSpaceDN w:val="0"/>
        <w:adjustRightInd w:val="0"/>
        <w:jc w:val="both"/>
        <w:rPr>
          <w:bCs/>
          <w:color w:val="2B2B2C"/>
          <w:sz w:val="22"/>
          <w:szCs w:val="22"/>
        </w:rPr>
      </w:pPr>
    </w:p>
    <w:p w:rsidR="00441FAF" w:rsidRDefault="006D2FD4" w:rsidP="006D2FD4">
      <w:pPr>
        <w:autoSpaceDE w:val="0"/>
        <w:autoSpaceDN w:val="0"/>
        <w:adjustRightInd w:val="0"/>
        <w:jc w:val="both"/>
        <w:rPr>
          <w:bCs/>
          <w:color w:val="2B2B2C"/>
          <w:sz w:val="22"/>
          <w:szCs w:val="22"/>
        </w:rPr>
      </w:pPr>
      <w:r>
        <w:rPr>
          <w:bCs/>
          <w:color w:val="2B2B2C"/>
          <w:sz w:val="22"/>
          <w:szCs w:val="22"/>
        </w:rPr>
        <w:tab/>
      </w:r>
      <w:r w:rsidR="00441FAF">
        <w:rPr>
          <w:bCs/>
          <w:color w:val="2B2B2C"/>
          <w:sz w:val="22"/>
          <w:szCs w:val="22"/>
        </w:rPr>
        <w:t>DEF commits that it will continue to apply the 2019 storm process improvements, as well as the additional new process improvements listed below, whenever such implementation does not interfere with safe, timely, and pr</w:t>
      </w:r>
      <w:r w:rsidR="008A5656">
        <w:rPr>
          <w:bCs/>
          <w:color w:val="2B2B2C"/>
          <w:sz w:val="22"/>
          <w:szCs w:val="22"/>
        </w:rPr>
        <w:t>udent</w:t>
      </w:r>
      <w:r w:rsidR="00441FAF">
        <w:rPr>
          <w:bCs/>
          <w:color w:val="2B2B2C"/>
          <w:sz w:val="22"/>
          <w:szCs w:val="22"/>
        </w:rPr>
        <w:t xml:space="preserve"> restoration of service following a storm, and that they will remain in effect until modified by an order of the Florida Public Service Commission.  The company will meet with OPC to discuss the company’s storm restoration processes in the first quarter of 2025 and every two years thereafter.</w:t>
      </w:r>
    </w:p>
    <w:p w:rsidR="00441FAF" w:rsidRDefault="00441FAF" w:rsidP="006D2FD4">
      <w:pPr>
        <w:autoSpaceDE w:val="0"/>
        <w:autoSpaceDN w:val="0"/>
        <w:adjustRightInd w:val="0"/>
        <w:jc w:val="both"/>
        <w:rPr>
          <w:bCs/>
          <w:color w:val="2B2B2C"/>
          <w:sz w:val="22"/>
          <w:szCs w:val="22"/>
        </w:rPr>
      </w:pPr>
    </w:p>
    <w:p w:rsidR="00441FAF" w:rsidRDefault="00441FAF" w:rsidP="006D2FD4">
      <w:pPr>
        <w:autoSpaceDE w:val="0"/>
        <w:autoSpaceDN w:val="0"/>
        <w:adjustRightInd w:val="0"/>
        <w:jc w:val="both"/>
        <w:rPr>
          <w:bCs/>
          <w:color w:val="2B2B2C"/>
          <w:sz w:val="22"/>
          <w:szCs w:val="22"/>
        </w:rPr>
      </w:pPr>
      <w:r>
        <w:rPr>
          <w:bCs/>
          <w:color w:val="2B2B2C"/>
          <w:sz w:val="22"/>
          <w:szCs w:val="22"/>
        </w:rPr>
        <w:tab/>
        <w:t>In addition to these process improvements that are already in place, DEF has also identified other additional, ongoing improvements tha</w:t>
      </w:r>
      <w:r w:rsidR="008A5656">
        <w:rPr>
          <w:bCs/>
          <w:color w:val="2B2B2C"/>
          <w:sz w:val="22"/>
          <w:szCs w:val="22"/>
        </w:rPr>
        <w:t>t</w:t>
      </w:r>
      <w:r>
        <w:rPr>
          <w:bCs/>
          <w:color w:val="2B2B2C"/>
          <w:sz w:val="22"/>
          <w:szCs w:val="22"/>
        </w:rPr>
        <w:t xml:space="preserve"> the company commits to work toward implementing in future storms, when practical to do so:</w:t>
      </w:r>
    </w:p>
    <w:p w:rsidR="00211D46" w:rsidRDefault="00211D46" w:rsidP="006D2FD4">
      <w:pPr>
        <w:autoSpaceDE w:val="0"/>
        <w:autoSpaceDN w:val="0"/>
        <w:adjustRightInd w:val="0"/>
        <w:jc w:val="both"/>
        <w:rPr>
          <w:bCs/>
          <w:color w:val="2B2B2C"/>
          <w:sz w:val="22"/>
          <w:szCs w:val="22"/>
        </w:rPr>
      </w:pPr>
    </w:p>
    <w:p w:rsidR="00211D46" w:rsidRDefault="00441FAF" w:rsidP="00211D46">
      <w:pPr>
        <w:ind w:left="1440" w:hanging="720"/>
        <w:jc w:val="both"/>
        <w:rPr>
          <w:sz w:val="22"/>
          <w:szCs w:val="22"/>
        </w:rPr>
      </w:pPr>
      <w:r>
        <w:rPr>
          <w:sz w:val="22"/>
          <w:szCs w:val="22"/>
        </w:rPr>
        <w:t>1.</w:t>
      </w:r>
      <w:r w:rsidR="00211D46">
        <w:rPr>
          <w:sz w:val="22"/>
          <w:szCs w:val="22"/>
        </w:rPr>
        <w:tab/>
      </w:r>
      <w:r w:rsidRPr="00441FAF">
        <w:rPr>
          <w:sz w:val="22"/>
          <w:szCs w:val="22"/>
        </w:rPr>
        <w:t xml:space="preserve">DEF has adopted digital platforms to assist with: 1) crew rostering and tracking during </w:t>
      </w:r>
      <w:r w:rsidR="00211D46">
        <w:rPr>
          <w:sz w:val="22"/>
          <w:szCs w:val="22"/>
        </w:rPr>
        <w:t xml:space="preserve">  m</w:t>
      </w:r>
      <w:r w:rsidRPr="00441FAF">
        <w:rPr>
          <w:sz w:val="22"/>
          <w:szCs w:val="22"/>
        </w:rPr>
        <w:t>obilization and on-boarding; and 2) time sheet review and approval, tracking expenses, and documenting exceptions</w:t>
      </w:r>
      <w:r w:rsidR="00211D46">
        <w:rPr>
          <w:sz w:val="22"/>
          <w:szCs w:val="22"/>
        </w:rPr>
        <w:t xml:space="preserve"> from the 2019 process improvements, respectively.  DEF will continue monitoring alternative platforms available in the market, as well as internally developed solutions, to streamline or improve this process, including, but not limited to, potentially combining the two applications.</w:t>
      </w:r>
    </w:p>
    <w:p w:rsidR="00211D46" w:rsidRDefault="00211D46" w:rsidP="00211D46">
      <w:pPr>
        <w:ind w:left="1440" w:hanging="720"/>
        <w:jc w:val="both"/>
        <w:rPr>
          <w:sz w:val="22"/>
          <w:szCs w:val="22"/>
        </w:rPr>
      </w:pPr>
      <w:r>
        <w:rPr>
          <w:sz w:val="22"/>
          <w:szCs w:val="22"/>
        </w:rPr>
        <w:t>2.</w:t>
      </w:r>
      <w:r>
        <w:rPr>
          <w:sz w:val="22"/>
          <w:szCs w:val="22"/>
        </w:rPr>
        <w:tab/>
        <w:t>DEF will also continue evaluating the functionality and utility of adding lodging management functions to the suite of services offered by the existing digital platforms or as part of any potential transition to alternative platform(s).</w:t>
      </w:r>
    </w:p>
    <w:p w:rsidR="00211D46" w:rsidRDefault="00211D46" w:rsidP="00211D46">
      <w:pPr>
        <w:ind w:left="1440" w:hanging="720"/>
        <w:jc w:val="both"/>
        <w:rPr>
          <w:sz w:val="22"/>
          <w:szCs w:val="22"/>
        </w:rPr>
      </w:pPr>
      <w:r>
        <w:rPr>
          <w:sz w:val="22"/>
          <w:szCs w:val="22"/>
        </w:rPr>
        <w:t>3.</w:t>
      </w:r>
      <w:r>
        <w:rPr>
          <w:sz w:val="22"/>
          <w:szCs w:val="22"/>
        </w:rPr>
        <w:tab/>
        <w:t>DEF has instituted a form process for documenting all exceptions to the 2019 Storm Process Improvements in real time, or as close thereto as practical without impeding restoration efforts.</w:t>
      </w:r>
    </w:p>
    <w:p w:rsidR="00211D46" w:rsidRDefault="00211D46" w:rsidP="00211D46">
      <w:pPr>
        <w:ind w:left="1440" w:hanging="720"/>
        <w:jc w:val="both"/>
        <w:rPr>
          <w:sz w:val="22"/>
          <w:szCs w:val="22"/>
        </w:rPr>
      </w:pPr>
      <w:r>
        <w:rPr>
          <w:sz w:val="22"/>
          <w:szCs w:val="22"/>
        </w:rPr>
        <w:t>4.</w:t>
      </w:r>
      <w:r>
        <w:rPr>
          <w:sz w:val="22"/>
          <w:szCs w:val="22"/>
        </w:rPr>
        <w:tab/>
        <w:t>DEF will continue to work with vendor partners to identify, address, and mitigate performance issues, including any issues complying with the process improvements adopted in 2019 or herein.</w:t>
      </w:r>
    </w:p>
    <w:p w:rsidR="004A2009" w:rsidRDefault="004A2009">
      <w:pPr>
        <w:rPr>
          <w:sz w:val="22"/>
          <w:szCs w:val="22"/>
        </w:rPr>
        <w:sectPr w:rsidR="004A2009">
          <w:headerReference w:type="first" r:id="rId15"/>
          <w:pgSz w:w="12240" w:h="15840" w:code="1"/>
          <w:pgMar w:top="1440" w:right="1440" w:bottom="1440" w:left="1440" w:header="720" w:footer="720" w:gutter="0"/>
          <w:cols w:space="720"/>
          <w:titlePg/>
          <w:docGrid w:linePitch="360"/>
        </w:sectPr>
      </w:pPr>
    </w:p>
    <w:p w:rsidR="00694F49" w:rsidRDefault="00694F49">
      <w:pPr>
        <w:rPr>
          <w:sz w:val="22"/>
          <w:szCs w:val="22"/>
        </w:rPr>
      </w:pPr>
    </w:p>
    <w:p w:rsidR="00211D46" w:rsidRDefault="00694F49" w:rsidP="00211D46">
      <w:pPr>
        <w:ind w:left="1440" w:hanging="720"/>
        <w:jc w:val="both"/>
        <w:rPr>
          <w:sz w:val="22"/>
          <w:szCs w:val="22"/>
        </w:rPr>
      </w:pPr>
      <w:r>
        <w:rPr>
          <w:sz w:val="22"/>
          <w:szCs w:val="22"/>
        </w:rPr>
        <w:t>5.</w:t>
      </w:r>
      <w:r>
        <w:rPr>
          <w:sz w:val="22"/>
          <w:szCs w:val="22"/>
        </w:rPr>
        <w:tab/>
      </w:r>
      <w:r>
        <w:rPr>
          <w:b/>
          <w:sz w:val="22"/>
          <w:szCs w:val="22"/>
        </w:rPr>
        <w:t xml:space="preserve">Standardized Rate Schedules.  </w:t>
      </w:r>
      <w:r>
        <w:rPr>
          <w:sz w:val="22"/>
          <w:szCs w:val="22"/>
        </w:rPr>
        <w:t xml:space="preserve">To the extent possible given existing contracts and willingness of contractual partners, recognizing that resource </w:t>
      </w:r>
      <w:r w:rsidR="00637C1B">
        <w:rPr>
          <w:sz w:val="22"/>
          <w:szCs w:val="22"/>
        </w:rPr>
        <w:t>acquisition</w:t>
      </w:r>
      <w:r>
        <w:rPr>
          <w:sz w:val="22"/>
          <w:szCs w:val="22"/>
        </w:rPr>
        <w:t xml:space="preserve"> is of paramount importance, DEF will continue working to implement a </w:t>
      </w:r>
      <w:r w:rsidR="00637C1B">
        <w:rPr>
          <w:sz w:val="22"/>
          <w:szCs w:val="22"/>
        </w:rPr>
        <w:t>standardized</w:t>
      </w:r>
      <w:r>
        <w:rPr>
          <w:sz w:val="22"/>
          <w:szCs w:val="22"/>
        </w:rPr>
        <w:t xml:space="preserve"> rate </w:t>
      </w:r>
      <w:r w:rsidR="00637C1B">
        <w:rPr>
          <w:sz w:val="22"/>
          <w:szCs w:val="22"/>
        </w:rPr>
        <w:t>schedule</w:t>
      </w:r>
      <w:r>
        <w:rPr>
          <w:sz w:val="22"/>
          <w:szCs w:val="22"/>
        </w:rPr>
        <w:t xml:space="preserve"> for contracts with line restoration crews.  The company also commits to continue to negotiate for and implement standardized rate schedules for contracts with vegetation management crews in future storms, where possible.  In addition to current contractual provisions intended to manage mobilization time and expense, DEF will focus increased emphasis on standardized terms for all vendors with the goal of minimizing the usage of “sit down” meals, especially for large traveling convoys.</w:t>
      </w:r>
    </w:p>
    <w:p w:rsidR="00694F49" w:rsidRPr="00694F49" w:rsidRDefault="00694F49" w:rsidP="00211D46">
      <w:pPr>
        <w:ind w:left="1440" w:hanging="720"/>
        <w:jc w:val="both"/>
        <w:rPr>
          <w:sz w:val="22"/>
          <w:szCs w:val="22"/>
        </w:rPr>
      </w:pPr>
      <w:r>
        <w:rPr>
          <w:b/>
          <w:sz w:val="22"/>
          <w:szCs w:val="22"/>
        </w:rPr>
        <w:t>5.</w:t>
      </w:r>
      <w:r>
        <w:rPr>
          <w:b/>
          <w:sz w:val="22"/>
          <w:szCs w:val="22"/>
        </w:rPr>
        <w:tab/>
        <w:t xml:space="preserve">Logistics Support.  </w:t>
      </w:r>
      <w:r>
        <w:rPr>
          <w:sz w:val="22"/>
          <w:szCs w:val="22"/>
        </w:rPr>
        <w:t>DEF commits to continuing to enhance its process of logistical support for large vendor crews in the form of providing accessible staging and lodgin</w:t>
      </w:r>
      <w:r w:rsidR="008A5656">
        <w:rPr>
          <w:sz w:val="22"/>
          <w:szCs w:val="22"/>
        </w:rPr>
        <w:t>g</w:t>
      </w:r>
      <w:r>
        <w:rPr>
          <w:sz w:val="22"/>
          <w:szCs w:val="22"/>
        </w:rPr>
        <w:t xml:space="preserve"> loc</w:t>
      </w:r>
      <w:r w:rsidR="008A5656">
        <w:rPr>
          <w:sz w:val="22"/>
          <w:szCs w:val="22"/>
        </w:rPr>
        <w:t xml:space="preserve">ations as well as continuity in </w:t>
      </w:r>
      <w:r w:rsidR="00637C1B">
        <w:rPr>
          <w:sz w:val="22"/>
          <w:szCs w:val="22"/>
        </w:rPr>
        <w:t>liaison</w:t>
      </w:r>
      <w:r w:rsidR="008A5656">
        <w:rPr>
          <w:sz w:val="22"/>
          <w:szCs w:val="22"/>
        </w:rPr>
        <w:t xml:space="preserve"> support between the crews and DEF.</w:t>
      </w:r>
    </w:p>
    <w:p w:rsidR="00211D46" w:rsidRDefault="00211D46" w:rsidP="00211D46">
      <w:pPr>
        <w:ind w:left="1440" w:hanging="720"/>
        <w:jc w:val="both"/>
        <w:rPr>
          <w:sz w:val="22"/>
          <w:szCs w:val="22"/>
        </w:rPr>
      </w:pPr>
    </w:p>
    <w:p w:rsidR="00211D46" w:rsidRDefault="00211D46" w:rsidP="00211D46">
      <w:pPr>
        <w:ind w:left="1440" w:hanging="720"/>
        <w:jc w:val="both"/>
        <w:rPr>
          <w:sz w:val="22"/>
          <w:szCs w:val="22"/>
        </w:rPr>
      </w:pPr>
    </w:p>
    <w:p w:rsidR="006D2FD4" w:rsidRPr="00441FAF" w:rsidRDefault="00694F49" w:rsidP="00694F49">
      <w:pPr>
        <w:ind w:left="1440" w:hanging="720"/>
        <w:jc w:val="both"/>
        <w:rPr>
          <w:sz w:val="22"/>
          <w:szCs w:val="22"/>
        </w:rPr>
      </w:pPr>
      <w:r>
        <w:rPr>
          <w:sz w:val="22"/>
          <w:szCs w:val="22"/>
        </w:rPr>
        <w:tab/>
      </w:r>
      <w:r w:rsidR="00441FAF" w:rsidRPr="00441FAF">
        <w:rPr>
          <w:sz w:val="22"/>
          <w:szCs w:val="22"/>
        </w:rPr>
        <w:t xml:space="preserve"> </w:t>
      </w:r>
    </w:p>
    <w:sectPr w:rsidR="006D2FD4" w:rsidRPr="00441FAF">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045" w:rsidRDefault="001C6045">
      <w:r>
        <w:separator/>
      </w:r>
    </w:p>
  </w:endnote>
  <w:endnote w:type="continuationSeparator" w:id="0">
    <w:p w:rsidR="001C6045" w:rsidRDefault="001C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045" w:rsidRDefault="001C6045">
      <w:r>
        <w:separator/>
      </w:r>
    </w:p>
  </w:footnote>
  <w:footnote w:type="continuationSeparator" w:id="0">
    <w:p w:rsidR="001C6045" w:rsidRDefault="001C6045">
      <w:r>
        <w:continuationSeparator/>
      </w:r>
    </w:p>
  </w:footnote>
  <w:footnote w:id="1">
    <w:p w:rsidR="001C6045" w:rsidRPr="00B94F72" w:rsidRDefault="001C6045" w:rsidP="001C6045">
      <w:pPr>
        <w:pStyle w:val="FootnoteText"/>
        <w:rPr>
          <w:i/>
        </w:rPr>
      </w:pPr>
      <w:r>
        <w:rPr>
          <w:rStyle w:val="FootnoteReference"/>
        </w:rPr>
        <w:footnoteRef/>
      </w:r>
      <w:r>
        <w:t xml:space="preserve"> Docket No. 20230020-EI, </w:t>
      </w:r>
      <w:r>
        <w:rPr>
          <w:i/>
        </w:rPr>
        <w:t>In re: Petition for limited proceeding for recovery of incremental storm restoration costs related to Hurricanes Elsa, Eta, Isaias, Ian, Nicole, and Tropical Storm Fred, by Duke Energy Florida, LLC.</w:t>
      </w:r>
    </w:p>
  </w:footnote>
  <w:footnote w:id="2">
    <w:p w:rsidR="001C6045" w:rsidRPr="00CE0CFB" w:rsidRDefault="001C6045" w:rsidP="001C6045">
      <w:pPr>
        <w:pStyle w:val="FootnoteText"/>
        <w:rPr>
          <w:i/>
        </w:rPr>
      </w:pPr>
      <w:r>
        <w:rPr>
          <w:rStyle w:val="FootnoteReference"/>
        </w:rPr>
        <w:footnoteRef/>
      </w:r>
      <w:r>
        <w:t xml:space="preserve"> Order No. PSC-2023-0333-PCO-EI, issued November 2, 2023, in Docket No. 20230020-EI, </w:t>
      </w:r>
      <w:r>
        <w:rPr>
          <w:i/>
        </w:rPr>
        <w:t>In re: Petition for limited proceeding for recovery of incremental storm restoration costs related to Hurricanes Elsa, Eta, Isaias, Ian, Nicole, and Tropical Storm Fred, by Duke Energy Florida, LLC.</w:t>
      </w:r>
    </w:p>
  </w:footnote>
  <w:footnote w:id="3">
    <w:p w:rsidR="001C6045" w:rsidRPr="001A4401" w:rsidRDefault="001C6045" w:rsidP="001C6045">
      <w:pPr>
        <w:pStyle w:val="FootnoteText"/>
      </w:pPr>
      <w:r>
        <w:rPr>
          <w:rStyle w:val="FootnoteReference"/>
        </w:rPr>
        <w:footnoteRef/>
      </w:r>
      <w:r>
        <w:t xml:space="preserve"> Order No. PSC-2017-0451-AS-EI, issued November 20, 2017, in Docket No. 20170183-EI, </w:t>
      </w:r>
      <w:r>
        <w:rPr>
          <w:i/>
        </w:rPr>
        <w:t xml:space="preserve">In re: Application for limited proceeding to approve 2017 second revised and restated settlement agreement, including certain rate adjustments, by Duke Energy Florida, LLC; </w:t>
      </w:r>
      <w:r w:rsidRPr="001A4401">
        <w:t>Order No. PSC-2021-0202A, issued June 28, 2021, in Docket No. 20210016-EI,</w:t>
      </w:r>
      <w:r>
        <w:rPr>
          <w:i/>
        </w:rPr>
        <w:t xml:space="preserve"> In re: Petition for limited proceeding to approve 2021 settlement agreement, by Duke Energy Florida, LLC. </w:t>
      </w:r>
    </w:p>
  </w:footnote>
  <w:footnote w:id="4">
    <w:p w:rsidR="00824E2C" w:rsidRDefault="00824E2C" w:rsidP="00824E2C">
      <w:pPr>
        <w:pStyle w:val="FootnoteText"/>
      </w:pPr>
      <w:r>
        <w:rPr>
          <w:rStyle w:val="FootnoteReference"/>
        </w:rPr>
        <w:footnoteRef/>
      </w:r>
      <w:r>
        <w:t xml:space="preserve"> </w:t>
      </w:r>
      <w:r w:rsidRPr="00E66A94">
        <w:t>Order No. PSC-2023-0111</w:t>
      </w:r>
      <w:r>
        <w:t>-PCO-EI</w:t>
      </w:r>
      <w:r w:rsidRPr="00E66A94">
        <w:t xml:space="preserve"> at 6-7</w:t>
      </w:r>
      <w:r>
        <w:t>.</w:t>
      </w:r>
    </w:p>
  </w:footnote>
  <w:footnote w:id="5">
    <w:p w:rsidR="00824E2C" w:rsidRDefault="00824E2C" w:rsidP="00824E2C">
      <w:pPr>
        <w:pStyle w:val="FootnoteText"/>
      </w:pPr>
      <w:r>
        <w:rPr>
          <w:rStyle w:val="FootnoteReference"/>
        </w:rPr>
        <w:footnoteRef/>
      </w:r>
      <w:r>
        <w:t xml:space="preserve"> </w:t>
      </w:r>
      <w:r w:rsidRPr="00E66A94">
        <w:t>Order No. PSC-</w:t>
      </w:r>
      <w:r>
        <w:t>2023-</w:t>
      </w:r>
      <w:r w:rsidRPr="00E66A94">
        <w:t>0375</w:t>
      </w:r>
      <w:r>
        <w:t>-PCO-EI</w:t>
      </w:r>
      <w:r w:rsidRPr="00E66A94">
        <w:t xml:space="preserve"> at 4</w:t>
      </w:r>
      <w:r>
        <w:t>.</w:t>
      </w:r>
    </w:p>
  </w:footnote>
  <w:footnote w:id="6">
    <w:p w:rsidR="00824E2C" w:rsidRDefault="00824E2C" w:rsidP="00824E2C">
      <w:pPr>
        <w:pStyle w:val="FootnoteText"/>
      </w:pPr>
      <w:r>
        <w:rPr>
          <w:rStyle w:val="FootnoteReference"/>
        </w:rPr>
        <w:footnoteRef/>
      </w:r>
      <w:r>
        <w:t xml:space="preserve"> </w:t>
      </w:r>
      <w:r w:rsidRPr="00E66A94">
        <w:t>Ord</w:t>
      </w:r>
      <w:r>
        <w:t>er No. PSC-2023-0375-PCO-EI at 3.</w:t>
      </w:r>
    </w:p>
  </w:footnote>
  <w:footnote w:id="7">
    <w:p w:rsidR="00824E2C" w:rsidRDefault="00824E2C" w:rsidP="00824E2C">
      <w:pPr>
        <w:pStyle w:val="FootnoteText"/>
      </w:pPr>
      <w:r>
        <w:rPr>
          <w:rStyle w:val="FootnoteReference"/>
        </w:rPr>
        <w:footnoteRef/>
      </w:r>
      <w:r>
        <w:t xml:space="preserve"> </w:t>
      </w:r>
      <w:r w:rsidRPr="00E66A94">
        <w:t xml:space="preserve">Order No. PSC-2021-0202A-AS-EI, issued June 28, 2021, in Docket No. 20210016-EI, </w:t>
      </w:r>
      <w:r w:rsidRPr="00E66A94">
        <w:rPr>
          <w:i/>
        </w:rPr>
        <w:t>In re: Petition for limited proceeding to approve 2021 settlement agreement, including general base rate increases, by Duke Energy Florida, LLC</w:t>
      </w:r>
      <w:r w:rsidRPr="00E66A94">
        <w:t>; Order No. PSC-2022-0418-FOF-EI, issued December 12, 2022, in Docket No. 20220010-EI,</w:t>
      </w:r>
      <w:r w:rsidRPr="00E66A94">
        <w:rPr>
          <w:i/>
        </w:rPr>
        <w:t xml:space="preserve"> In re: Storm Protection Plan Cost Recovery Clause</w:t>
      </w:r>
      <w:r>
        <w:t>.</w:t>
      </w:r>
    </w:p>
  </w:footnote>
  <w:footnote w:id="8">
    <w:p w:rsidR="00824E2C" w:rsidRDefault="00824E2C" w:rsidP="00824E2C">
      <w:pPr>
        <w:pStyle w:val="FootnoteText"/>
      </w:pPr>
      <w:r>
        <w:rPr>
          <w:rStyle w:val="FootnoteReference"/>
        </w:rPr>
        <w:footnoteRef/>
      </w:r>
      <w:r>
        <w:t xml:space="preserve"> </w:t>
      </w:r>
      <w:r w:rsidRPr="00E66A94">
        <w:t xml:space="preserve">Order No. PSC-2017-0451-AS-EU, issued November 20, 2017, in Docket No. 20170183-EI, </w:t>
      </w:r>
      <w:r w:rsidRPr="001C48EE">
        <w:rPr>
          <w:i/>
        </w:rPr>
        <w:t>In re: Application for limited proceeding to approve 2017 second revised and restated settlement agreement, including certain rate adjustments, by Duke Energy Florida, LLC</w:t>
      </w:r>
      <w:r w:rsidRPr="00E66A94">
        <w:t xml:space="preserve">; Order No. PSC-2021-0202A-AS-EI, issued June 28, 2021, in Docket No. 20210016-EI, </w:t>
      </w:r>
      <w:r w:rsidRPr="001C48EE">
        <w:rPr>
          <w:i/>
        </w:rPr>
        <w:t>In re: Petition for limited proceeding to approve 2021 settlement agreement, by Duke Energy Florida, LLC.</w:t>
      </w:r>
    </w:p>
  </w:footnote>
  <w:footnote w:id="9">
    <w:p w:rsidR="00824E2C" w:rsidRPr="00F72D7D" w:rsidRDefault="00824E2C" w:rsidP="00824E2C">
      <w:pPr>
        <w:pStyle w:val="FootnoteText"/>
      </w:pPr>
      <w:r>
        <w:rPr>
          <w:rStyle w:val="FootnoteReference"/>
        </w:rPr>
        <w:footnoteRef/>
      </w:r>
      <w:r>
        <w:t xml:space="preserve"> </w:t>
      </w:r>
      <w:r w:rsidRPr="001C48EE">
        <w:t xml:space="preserve">Order No. PSC-2024-0151-PHO-EI, issued May 14, 2024, in Docket No. 20230020-EI, </w:t>
      </w:r>
      <w:r w:rsidRPr="001C48EE">
        <w:rPr>
          <w:i/>
        </w:rPr>
        <w:t>In re: Petition for limited proceeding for recovery of incremental storm restoration costs related to Hurricane Idalia, by Duke Energy Florida, LLC.</w:t>
      </w:r>
      <w:r>
        <w:rPr>
          <w:i/>
        </w:rPr>
        <w:t xml:space="preserve">, </w:t>
      </w:r>
      <w:r>
        <w:t>p. 18 (In allowing Walmart’s proposed Issue 16 to be included in this proceeding, the Prehearing Officer stated that “</w:t>
      </w:r>
      <w:r w:rsidRPr="00F72D7D">
        <w:t>This is the point of entry for parties to raise all issues dealing with the replacement storm costs collected through the surcharge.</w:t>
      </w:r>
      <w:r>
        <w:t>”)</w:t>
      </w:r>
      <w:r>
        <w:rPr>
          <w:i/>
        </w:rPr>
        <w:t xml:space="preserve"> </w:t>
      </w:r>
    </w:p>
  </w:footnote>
  <w:footnote w:id="10">
    <w:p w:rsidR="00031302" w:rsidRPr="00447A59" w:rsidRDefault="00031302" w:rsidP="00031302">
      <w:pPr>
        <w:pStyle w:val="FootnoteText"/>
        <w:rPr>
          <w:i/>
        </w:rPr>
      </w:pPr>
      <w:r>
        <w:rPr>
          <w:rStyle w:val="FootnoteReference"/>
        </w:rPr>
        <w:footnoteRef/>
      </w:r>
      <w:r>
        <w:t xml:space="preserve"> </w:t>
      </w:r>
      <w:r>
        <w:rPr>
          <w:i/>
        </w:rPr>
        <w:t xml:space="preserve">See </w:t>
      </w:r>
      <w:r>
        <w:t xml:space="preserve">Docket No. 20230017-EI, </w:t>
      </w:r>
      <w:r w:rsidRPr="00447A59">
        <w:rPr>
          <w:i/>
        </w:rPr>
        <w:t>In re: Petition for limited proceeding for recovery of incremental storm restoration costs related to Hurricanes Ian and Nicole, by Florida Power &amp; Light Company.</w:t>
      </w:r>
    </w:p>
  </w:footnote>
  <w:footnote w:id="11">
    <w:p w:rsidR="00031302" w:rsidRDefault="00031302" w:rsidP="00031302">
      <w:pPr>
        <w:pStyle w:val="FootnoteText"/>
      </w:pPr>
      <w:r>
        <w:rPr>
          <w:rStyle w:val="FootnoteReference"/>
        </w:rPr>
        <w:footnoteRef/>
      </w:r>
      <w:r>
        <w:t xml:space="preserve"> </w:t>
      </w:r>
      <w:r w:rsidRPr="001C48EE">
        <w:t xml:space="preserve">Docket No. 20230017-EI, </w:t>
      </w:r>
      <w:r w:rsidRPr="001C48EE">
        <w:rPr>
          <w:i/>
        </w:rPr>
        <w:t>In re: Petition for limited proceeding for recovery of incremental storm restoration costs related to Hurricane Ian and Nicole, by Florida Power &amp; Light Company</w:t>
      </w:r>
      <w:r>
        <w:t>.</w:t>
      </w:r>
    </w:p>
  </w:footnote>
  <w:footnote w:id="12">
    <w:p w:rsidR="004C0EF6" w:rsidRDefault="004C0EF6" w:rsidP="004C0EF6">
      <w:pPr>
        <w:pStyle w:val="FootnoteText"/>
      </w:pPr>
      <w:r>
        <w:rPr>
          <w:rStyle w:val="FootnoteReference"/>
        </w:rPr>
        <w:footnoteRef/>
      </w:r>
      <w:r>
        <w:t xml:space="preserve"> A Type 2 stipulation occurs on an issue when the utility and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 </w:t>
      </w:r>
    </w:p>
    <w:p w:rsidR="004C0EF6" w:rsidRDefault="004C0EF6" w:rsidP="004C0EF6">
      <w:pPr>
        <w:pStyle w:val="FootnoteText"/>
      </w:pPr>
    </w:p>
  </w:footnote>
  <w:footnote w:id="13">
    <w:p w:rsidR="004C0EF6" w:rsidRDefault="004C0EF6" w:rsidP="004C0EF6">
      <w:pPr>
        <w:pStyle w:val="FootnoteText"/>
      </w:pPr>
      <w:r>
        <w:rPr>
          <w:rStyle w:val="FootnoteReference"/>
        </w:rPr>
        <w:footnoteRef/>
      </w:r>
      <w:r>
        <w:t xml:space="preserve"> OPC has stated that it would agree to a Type 1 stipulation for these issues.  However, due to the fact that Walmart has taken “No Position” on these issues, a Type 2 stipulation is required. </w:t>
      </w:r>
    </w:p>
  </w:footnote>
  <w:footnote w:id="14">
    <w:p w:rsidR="004C0EF6" w:rsidRPr="00CB63FE" w:rsidRDefault="004C0EF6" w:rsidP="004C0EF6">
      <w:pPr>
        <w:pStyle w:val="FootnoteText"/>
      </w:pPr>
      <w:r>
        <w:rPr>
          <w:rStyle w:val="FootnoteReference"/>
        </w:rPr>
        <w:footnoteRef/>
      </w:r>
      <w:r>
        <w:t xml:space="preserve"> </w:t>
      </w:r>
      <w:r>
        <w:rPr>
          <w:i/>
        </w:rPr>
        <w:t xml:space="preserve">See: </w:t>
      </w:r>
      <w:r>
        <w:t>Order Nos. PSC-2021-027-PCO-EI (Hurricanes Eta and Isaias surcharge) and PSC-2021-0425-FOF-EI (Rate Mitigation Plan, temporarily ceasing recovery for Eta and Isaias costs).</w:t>
      </w:r>
    </w:p>
  </w:footnote>
  <w:footnote w:id="15">
    <w:p w:rsidR="004C0EF6" w:rsidRDefault="004C0EF6" w:rsidP="004C0EF6">
      <w:pPr>
        <w:pStyle w:val="FootnoteText"/>
      </w:pPr>
      <w:r>
        <w:rPr>
          <w:rStyle w:val="FootnoteReference"/>
        </w:rPr>
        <w:footnoteRef/>
      </w:r>
      <w:r>
        <w:t xml:space="preserve"> Formerly OPC Issue 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7 ">
      <w:r w:rsidR="00232730">
        <w:t>PSC-2024-0377-FOF-EI</w:t>
      </w:r>
    </w:fldSimple>
  </w:p>
  <w:p w:rsidR="00FA6EFD" w:rsidRDefault="001C6045">
    <w:pPr>
      <w:pStyle w:val="OrderHeader"/>
    </w:pPr>
    <w:bookmarkStart w:id="10" w:name="HeaderDocketNo"/>
    <w:bookmarkEnd w:id="10"/>
    <w:r>
      <w:t>DOCKET NOS. 20230020-EI, 20230116-EI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32730">
      <w:rPr>
        <w:rStyle w:val="PageNumber"/>
        <w:noProof/>
      </w:rPr>
      <w:t>10</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598" w:rsidRDefault="00F0551E">
    <w:pPr>
      <w:pStyle w:val="OrderHeader"/>
    </w:pPr>
    <w:r>
      <w:t>ORDER NO. PSC-2024-0377-FOF-EI</w:t>
    </w:r>
    <w:r w:rsidR="00047598">
      <w:tab/>
    </w:r>
    <w:r w:rsidR="00047598">
      <w:tab/>
      <w:t>ATTACHMENT A</w:t>
    </w:r>
  </w:p>
  <w:p w:rsidR="00047598" w:rsidRDefault="00047598">
    <w:pPr>
      <w:pStyle w:val="OrderHeader"/>
    </w:pPr>
    <w:r>
      <w:t>DOCKET NOS. 20230020-EI, 20230116-EI</w:t>
    </w:r>
    <w:r>
      <w:tab/>
    </w:r>
    <w:r>
      <w:tab/>
      <w:t>Page 2 of 8</w:t>
    </w:r>
  </w:p>
  <w:p w:rsidR="00047598" w:rsidRDefault="0004759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32730">
      <w:rPr>
        <w:rStyle w:val="PageNumber"/>
        <w:noProof/>
      </w:rPr>
      <w:t>12</w:t>
    </w:r>
    <w:r>
      <w:rPr>
        <w:rStyle w:val="PageNumber"/>
      </w:rPr>
      <w:fldChar w:fldCharType="end"/>
    </w:r>
  </w:p>
  <w:p w:rsidR="00047598" w:rsidRDefault="00047598">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598" w:rsidRDefault="00047598" w:rsidP="00047598">
    <w:pPr>
      <w:pStyle w:val="OrderHeader"/>
    </w:pPr>
    <w:r>
      <w:t xml:space="preserve">ORDER NO. </w:t>
    </w:r>
    <w:r w:rsidR="00F0551E">
      <w:fldChar w:fldCharType="begin"/>
    </w:r>
    <w:r w:rsidR="00F0551E">
      <w:instrText xml:space="preserve"> REF OrderNo0377 </w:instrText>
    </w:r>
    <w:r w:rsidR="00F0551E">
      <w:fldChar w:fldCharType="separate"/>
    </w:r>
    <w:r w:rsidR="00232730">
      <w:t>PSC-2024-0377-FOF-EI</w:t>
    </w:r>
    <w:r w:rsidR="00F0551E">
      <w:fldChar w:fldCharType="end"/>
    </w:r>
    <w:r>
      <w:tab/>
    </w:r>
    <w:r>
      <w:tab/>
      <w:t>ATTACHMENT A</w:t>
    </w:r>
  </w:p>
  <w:p w:rsidR="00047598" w:rsidRDefault="00047598" w:rsidP="00047598">
    <w:pPr>
      <w:pStyle w:val="OrderHeader"/>
    </w:pPr>
    <w:r>
      <w:t>DOCKET NOS. 20230020-EI, 20230116-EI</w:t>
    </w:r>
    <w:r>
      <w:tab/>
    </w:r>
    <w:r>
      <w:tab/>
      <w:t>Page 1 of 8</w:t>
    </w:r>
  </w:p>
  <w:p w:rsidR="00047598" w:rsidRDefault="00047598" w:rsidP="00047598">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232730">
      <w:rPr>
        <w:rStyle w:val="PageNumber"/>
        <w:noProof/>
      </w:rPr>
      <w:t>11</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598" w:rsidRDefault="00047598" w:rsidP="00047598">
    <w:pPr>
      <w:pStyle w:val="OrderHeader"/>
    </w:pPr>
    <w:r>
      <w:t xml:space="preserve">ORDER NO. </w:t>
    </w:r>
    <w:r w:rsidR="00F0551E">
      <w:fldChar w:fldCharType="begin"/>
    </w:r>
    <w:r w:rsidR="00F0551E">
      <w:instrText xml:space="preserve"> REF OrderNo0377 </w:instrText>
    </w:r>
    <w:r w:rsidR="00F0551E">
      <w:fldChar w:fldCharType="separate"/>
    </w:r>
    <w:r w:rsidR="00232730">
      <w:t>PSC-2024-0377-FOF-EI</w:t>
    </w:r>
    <w:r w:rsidR="00F0551E">
      <w:fldChar w:fldCharType="end"/>
    </w:r>
    <w:r>
      <w:tab/>
    </w:r>
    <w:r>
      <w:tab/>
      <w:t>ATTACHMENT A</w:t>
    </w:r>
  </w:p>
  <w:p w:rsidR="00047598" w:rsidRDefault="00047598" w:rsidP="00047598">
    <w:pPr>
      <w:pStyle w:val="OrderHeader"/>
    </w:pPr>
    <w:r>
      <w:t>DOCKET NOS. 20230020-EI, 20230116-EI</w:t>
    </w:r>
    <w:r>
      <w:tab/>
    </w:r>
    <w:r>
      <w:tab/>
      <w:t>Page 3 of 8</w:t>
    </w:r>
  </w:p>
  <w:p w:rsidR="00047598" w:rsidRDefault="00047598" w:rsidP="00047598">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232730">
      <w:rPr>
        <w:rStyle w:val="PageNumber"/>
        <w:noProof/>
      </w:rPr>
      <w:t>13</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598" w:rsidRDefault="00047598" w:rsidP="00047598">
    <w:pPr>
      <w:pStyle w:val="OrderHeader"/>
    </w:pPr>
    <w:r>
      <w:t xml:space="preserve">ORDER NO. </w:t>
    </w:r>
    <w:r w:rsidR="00F0551E">
      <w:fldChar w:fldCharType="begin"/>
    </w:r>
    <w:r w:rsidR="00F0551E">
      <w:instrText xml:space="preserve"> REF OrderNo0377 </w:instrText>
    </w:r>
    <w:r w:rsidR="00F0551E">
      <w:fldChar w:fldCharType="separate"/>
    </w:r>
    <w:r w:rsidR="00232730">
      <w:t>PSC-2024-0377-FOF-EI</w:t>
    </w:r>
    <w:r w:rsidR="00F0551E">
      <w:fldChar w:fldCharType="end"/>
    </w:r>
    <w:r>
      <w:tab/>
    </w:r>
    <w:r>
      <w:tab/>
      <w:t>ATTACHMENT A</w:t>
    </w:r>
  </w:p>
  <w:p w:rsidR="00047598" w:rsidRDefault="00047598" w:rsidP="00047598">
    <w:pPr>
      <w:pStyle w:val="OrderHeader"/>
    </w:pPr>
    <w:r>
      <w:t>DOCKET NOS. 20230020-EI, 20230116-EI</w:t>
    </w:r>
    <w:r>
      <w:tab/>
    </w:r>
    <w:r>
      <w:tab/>
      <w:t>Page 4 of 8</w:t>
    </w:r>
  </w:p>
  <w:p w:rsidR="00047598" w:rsidRDefault="00047598" w:rsidP="00047598">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232730">
      <w:rPr>
        <w:rStyle w:val="PageNumber"/>
        <w:noProof/>
      </w:rPr>
      <w:t>14</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598" w:rsidRDefault="00047598" w:rsidP="00047598">
    <w:pPr>
      <w:pStyle w:val="OrderHeader"/>
    </w:pPr>
    <w:r>
      <w:t xml:space="preserve">ORDER NO. </w:t>
    </w:r>
    <w:r w:rsidR="00F0551E">
      <w:fldChar w:fldCharType="begin"/>
    </w:r>
    <w:r w:rsidR="00F0551E">
      <w:instrText xml:space="preserve"> REF OrderNo0377 </w:instrText>
    </w:r>
    <w:r w:rsidR="00F0551E">
      <w:fldChar w:fldCharType="separate"/>
    </w:r>
    <w:r w:rsidR="00232730">
      <w:t>PSC-2024-0377-FOF-EI</w:t>
    </w:r>
    <w:r w:rsidR="00F0551E">
      <w:fldChar w:fldCharType="end"/>
    </w:r>
    <w:r>
      <w:tab/>
    </w:r>
    <w:r>
      <w:tab/>
      <w:t>ATTACHMENT A</w:t>
    </w:r>
  </w:p>
  <w:p w:rsidR="00047598" w:rsidRDefault="00047598" w:rsidP="00047598">
    <w:pPr>
      <w:pStyle w:val="OrderHeader"/>
    </w:pPr>
    <w:r>
      <w:t>DOCKET NOS. 20230020-EI, 20230116-EI</w:t>
    </w:r>
    <w:r>
      <w:tab/>
    </w:r>
    <w:r>
      <w:tab/>
      <w:t>Page 5 of 8</w:t>
    </w:r>
  </w:p>
  <w:p w:rsidR="00047598" w:rsidRDefault="00047598" w:rsidP="00047598">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232730">
      <w:rPr>
        <w:rStyle w:val="PageNumber"/>
        <w:noProof/>
      </w:rPr>
      <w:t>15</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9" w:rsidRDefault="004A2009" w:rsidP="00047598">
    <w:pPr>
      <w:pStyle w:val="OrderHeader"/>
    </w:pPr>
    <w:r>
      <w:t xml:space="preserve">ORDER NO. </w:t>
    </w:r>
    <w:r w:rsidR="00F0551E">
      <w:fldChar w:fldCharType="begin"/>
    </w:r>
    <w:r w:rsidR="00F0551E">
      <w:instrText xml:space="preserve"> REF OrderNo0377 </w:instrText>
    </w:r>
    <w:r w:rsidR="00F0551E">
      <w:fldChar w:fldCharType="separate"/>
    </w:r>
    <w:r w:rsidR="00232730">
      <w:t>PSC-2024-0377-FOF-EI</w:t>
    </w:r>
    <w:r w:rsidR="00F0551E">
      <w:fldChar w:fldCharType="end"/>
    </w:r>
    <w:r>
      <w:tab/>
    </w:r>
    <w:r>
      <w:tab/>
      <w:t>ATTACHMENT A</w:t>
    </w:r>
  </w:p>
  <w:p w:rsidR="004A2009" w:rsidRDefault="004A2009" w:rsidP="00047598">
    <w:pPr>
      <w:pStyle w:val="OrderHeader"/>
    </w:pPr>
    <w:r>
      <w:t>DOCKET NOS. 20230020-EI, 20230116-EI</w:t>
    </w:r>
    <w:r>
      <w:tab/>
    </w:r>
    <w:r>
      <w:tab/>
      <w:t>Page 6 of 8</w:t>
    </w:r>
  </w:p>
  <w:p w:rsidR="004A2009" w:rsidRDefault="004A2009" w:rsidP="00047598">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232730">
      <w:rPr>
        <w:rStyle w:val="PageNumber"/>
        <w:noProof/>
      </w:rPr>
      <w:t>16</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9" w:rsidRDefault="004A2009" w:rsidP="00047598">
    <w:pPr>
      <w:pStyle w:val="OrderHeader"/>
    </w:pPr>
    <w:r>
      <w:t xml:space="preserve">ORDER NO. </w:t>
    </w:r>
    <w:r w:rsidR="00F0551E">
      <w:fldChar w:fldCharType="begin"/>
    </w:r>
    <w:r w:rsidR="00F0551E">
      <w:instrText xml:space="preserve"> REF OrderNo0377 </w:instrText>
    </w:r>
    <w:r w:rsidR="00F0551E">
      <w:fldChar w:fldCharType="separate"/>
    </w:r>
    <w:r w:rsidR="00232730">
      <w:t>PSC-2024-0377-FOF-EI</w:t>
    </w:r>
    <w:r w:rsidR="00F0551E">
      <w:fldChar w:fldCharType="end"/>
    </w:r>
    <w:r>
      <w:tab/>
    </w:r>
    <w:r>
      <w:tab/>
      <w:t>ATTACHMENT A</w:t>
    </w:r>
  </w:p>
  <w:p w:rsidR="004A2009" w:rsidRDefault="004A2009" w:rsidP="00047598">
    <w:pPr>
      <w:pStyle w:val="OrderHeader"/>
    </w:pPr>
    <w:r>
      <w:t>DOCKET NOS. 20230020-EI, 20230116-EI</w:t>
    </w:r>
    <w:r>
      <w:tab/>
    </w:r>
    <w:r>
      <w:tab/>
      <w:t>Page 7 of 8</w:t>
    </w:r>
  </w:p>
  <w:p w:rsidR="004A2009" w:rsidRDefault="004A2009" w:rsidP="00047598">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232730">
      <w:rPr>
        <w:rStyle w:val="PageNumber"/>
        <w:noProof/>
      </w:rPr>
      <w:t>17</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9" w:rsidRDefault="004A2009" w:rsidP="00047598">
    <w:pPr>
      <w:pStyle w:val="OrderHeader"/>
    </w:pPr>
    <w:r>
      <w:t xml:space="preserve">ORDER NO. </w:t>
    </w:r>
    <w:r w:rsidR="00F0551E">
      <w:fldChar w:fldCharType="begin"/>
    </w:r>
    <w:r w:rsidR="00F0551E">
      <w:instrText xml:space="preserve"> REF OrderNo0377 </w:instrText>
    </w:r>
    <w:r w:rsidR="00F0551E">
      <w:fldChar w:fldCharType="separate"/>
    </w:r>
    <w:r w:rsidR="00232730">
      <w:t>PSC-2024-0377-FOF-EI</w:t>
    </w:r>
    <w:r w:rsidR="00F0551E">
      <w:fldChar w:fldCharType="end"/>
    </w:r>
    <w:r>
      <w:tab/>
    </w:r>
    <w:r>
      <w:tab/>
      <w:t>ATTACHMENT A</w:t>
    </w:r>
  </w:p>
  <w:p w:rsidR="004A2009" w:rsidRDefault="004A2009" w:rsidP="00047598">
    <w:pPr>
      <w:pStyle w:val="OrderHeader"/>
    </w:pPr>
    <w:r>
      <w:t>DOCKET NOS. 20230020-EI, 20230116-EI</w:t>
    </w:r>
    <w:r>
      <w:tab/>
    </w:r>
    <w:r>
      <w:tab/>
      <w:t>Page 8 of 8</w:t>
    </w:r>
  </w:p>
  <w:p w:rsidR="004A2009" w:rsidRDefault="004A2009" w:rsidP="00047598">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232730">
      <w:rPr>
        <w:rStyle w:val="PageNumber"/>
        <w:noProof/>
      </w:rPr>
      <w:t>18</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0-EI, 20230116-EI"/>
  </w:docVars>
  <w:rsids>
    <w:rsidRoot w:val="001C6045"/>
    <w:rsid w:val="000022B8"/>
    <w:rsid w:val="00003883"/>
    <w:rsid w:val="00011251"/>
    <w:rsid w:val="00020261"/>
    <w:rsid w:val="00025C2A"/>
    <w:rsid w:val="00025C9D"/>
    <w:rsid w:val="000312AD"/>
    <w:rsid w:val="00031302"/>
    <w:rsid w:val="0003433F"/>
    <w:rsid w:val="00035A8C"/>
    <w:rsid w:val="00036BDD"/>
    <w:rsid w:val="00041FFD"/>
    <w:rsid w:val="00042C99"/>
    <w:rsid w:val="00047598"/>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587D"/>
    <w:rsid w:val="00187E32"/>
    <w:rsid w:val="001918FF"/>
    <w:rsid w:val="00194A97"/>
    <w:rsid w:val="00194E81"/>
    <w:rsid w:val="001A15E7"/>
    <w:rsid w:val="001A33C9"/>
    <w:rsid w:val="001A58F3"/>
    <w:rsid w:val="001B034E"/>
    <w:rsid w:val="001B2256"/>
    <w:rsid w:val="001C2847"/>
    <w:rsid w:val="001C3BB5"/>
    <w:rsid w:val="001C3F8C"/>
    <w:rsid w:val="001C6045"/>
    <w:rsid w:val="001C6097"/>
    <w:rsid w:val="001C7126"/>
    <w:rsid w:val="001D008A"/>
    <w:rsid w:val="001E0152"/>
    <w:rsid w:val="001E0FF5"/>
    <w:rsid w:val="001F0095"/>
    <w:rsid w:val="001F36B0"/>
    <w:rsid w:val="001F4CA3"/>
    <w:rsid w:val="001F59E0"/>
    <w:rsid w:val="002002ED"/>
    <w:rsid w:val="002044DD"/>
    <w:rsid w:val="00211D46"/>
    <w:rsid w:val="002170E5"/>
    <w:rsid w:val="00220D57"/>
    <w:rsid w:val="00223B99"/>
    <w:rsid w:val="0022721A"/>
    <w:rsid w:val="00230BB9"/>
    <w:rsid w:val="00232730"/>
    <w:rsid w:val="00241CEF"/>
    <w:rsid w:val="00245F1A"/>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4F"/>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D7D2D"/>
    <w:rsid w:val="003E1D48"/>
    <w:rsid w:val="003E711F"/>
    <w:rsid w:val="003F1D2B"/>
    <w:rsid w:val="003F49A6"/>
    <w:rsid w:val="003F518F"/>
    <w:rsid w:val="003F6BA7"/>
    <w:rsid w:val="003F7445"/>
    <w:rsid w:val="00411DF2"/>
    <w:rsid w:val="00411E8F"/>
    <w:rsid w:val="004227BE"/>
    <w:rsid w:val="004247F5"/>
    <w:rsid w:val="0042527B"/>
    <w:rsid w:val="00427EAC"/>
    <w:rsid w:val="00441FAF"/>
    <w:rsid w:val="004431B4"/>
    <w:rsid w:val="00445604"/>
    <w:rsid w:val="00451158"/>
    <w:rsid w:val="0045537F"/>
    <w:rsid w:val="00457DC7"/>
    <w:rsid w:val="004640B3"/>
    <w:rsid w:val="00472BCC"/>
    <w:rsid w:val="004736DB"/>
    <w:rsid w:val="00477699"/>
    <w:rsid w:val="004A2009"/>
    <w:rsid w:val="004A25CD"/>
    <w:rsid w:val="004A26CC"/>
    <w:rsid w:val="004B2108"/>
    <w:rsid w:val="004B3A2B"/>
    <w:rsid w:val="004B70D3"/>
    <w:rsid w:val="004C0EF6"/>
    <w:rsid w:val="004C312D"/>
    <w:rsid w:val="004C64DC"/>
    <w:rsid w:val="004D2D1B"/>
    <w:rsid w:val="004D5067"/>
    <w:rsid w:val="004D6838"/>
    <w:rsid w:val="004D72BC"/>
    <w:rsid w:val="004E469D"/>
    <w:rsid w:val="004E7F4F"/>
    <w:rsid w:val="004F2DDE"/>
    <w:rsid w:val="004F5A55"/>
    <w:rsid w:val="004F6426"/>
    <w:rsid w:val="004F6AEE"/>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37C1B"/>
    <w:rsid w:val="006423A7"/>
    <w:rsid w:val="006455DF"/>
    <w:rsid w:val="00645AF6"/>
    <w:rsid w:val="00646562"/>
    <w:rsid w:val="00647025"/>
    <w:rsid w:val="0064730A"/>
    <w:rsid w:val="006507DA"/>
    <w:rsid w:val="006531A4"/>
    <w:rsid w:val="00660774"/>
    <w:rsid w:val="0066389A"/>
    <w:rsid w:val="0066495C"/>
    <w:rsid w:val="00665CC7"/>
    <w:rsid w:val="00672612"/>
    <w:rsid w:val="00674ECC"/>
    <w:rsid w:val="00677F18"/>
    <w:rsid w:val="00693483"/>
    <w:rsid w:val="00694F49"/>
    <w:rsid w:val="006A0BF3"/>
    <w:rsid w:val="006B0036"/>
    <w:rsid w:val="006B0DA6"/>
    <w:rsid w:val="006B3FA9"/>
    <w:rsid w:val="006C547E"/>
    <w:rsid w:val="006D2B51"/>
    <w:rsid w:val="006D2FD4"/>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153D"/>
    <w:rsid w:val="00824E2C"/>
    <w:rsid w:val="008278FE"/>
    <w:rsid w:val="00832598"/>
    <w:rsid w:val="0083397E"/>
    <w:rsid w:val="0083534B"/>
    <w:rsid w:val="00842035"/>
    <w:rsid w:val="00842602"/>
    <w:rsid w:val="008449F0"/>
    <w:rsid w:val="00846F11"/>
    <w:rsid w:val="00847B45"/>
    <w:rsid w:val="00863A66"/>
    <w:rsid w:val="00870337"/>
    <w:rsid w:val="008703D7"/>
    <w:rsid w:val="00874429"/>
    <w:rsid w:val="00875D22"/>
    <w:rsid w:val="00883D9A"/>
    <w:rsid w:val="008919EF"/>
    <w:rsid w:val="00892B20"/>
    <w:rsid w:val="008931BC"/>
    <w:rsid w:val="0089695B"/>
    <w:rsid w:val="00897740"/>
    <w:rsid w:val="008A12EC"/>
    <w:rsid w:val="008A5656"/>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52288"/>
    <w:rsid w:val="00A62DAB"/>
    <w:rsid w:val="00A6757A"/>
    <w:rsid w:val="00A726A6"/>
    <w:rsid w:val="00A74842"/>
    <w:rsid w:val="00A767D4"/>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07CDE"/>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51EE"/>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4753A"/>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5880"/>
    <w:rsid w:val="00ED6A79"/>
    <w:rsid w:val="00EE17DF"/>
    <w:rsid w:val="00EF1482"/>
    <w:rsid w:val="00EF4621"/>
    <w:rsid w:val="00EF4D52"/>
    <w:rsid w:val="00EF6312"/>
    <w:rsid w:val="00F038B0"/>
    <w:rsid w:val="00F0551E"/>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D4FC9"/>
  <w15:docId w15:val="{D2A1AF4F-8441-4EC2-B445-EAA07527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1C6045"/>
  </w:style>
  <w:style w:type="paragraph" w:customStyle="1" w:styleId="First-LevelSubheading">
    <w:name w:val="First-Level Subheading"/>
    <w:basedOn w:val="Normal"/>
    <w:next w:val="BodyText"/>
    <w:qFormat/>
    <w:rsid w:val="00D451EE"/>
    <w:pPr>
      <w:jc w:val="both"/>
      <w:outlineLvl w:val="2"/>
    </w:pPr>
    <w:rPr>
      <w:rFonts w:ascii="Arial" w:hAnsi="Arial" w:cs="Arial"/>
      <w:b/>
      <w:bCs/>
      <w:iCs/>
      <w:szCs w:val="28"/>
    </w:rPr>
  </w:style>
  <w:style w:type="paragraph" w:customStyle="1" w:styleId="RecommendationMajorSectionHeading">
    <w:name w:val="Recommendation Major Section Heading"/>
    <w:basedOn w:val="Heading1"/>
    <w:next w:val="BodyText"/>
    <w:rsid w:val="00D451EE"/>
    <w:pPr>
      <w:jc w:val="center"/>
    </w:pPr>
    <w:rPr>
      <w:rFonts w:ascii="Arial" w:hAnsi="Arial"/>
      <w:b/>
    </w:rPr>
  </w:style>
  <w:style w:type="paragraph" w:styleId="BalloonText">
    <w:name w:val="Balloon Text"/>
    <w:basedOn w:val="Normal"/>
    <w:link w:val="BalloonTextChar"/>
    <w:semiHidden/>
    <w:unhideWhenUsed/>
    <w:rsid w:val="004F6AEE"/>
    <w:rPr>
      <w:rFonts w:ascii="Segoe UI" w:hAnsi="Segoe UI" w:cs="Segoe UI"/>
      <w:sz w:val="18"/>
      <w:szCs w:val="18"/>
    </w:rPr>
  </w:style>
  <w:style w:type="character" w:customStyle="1" w:styleId="BalloonTextChar">
    <w:name w:val="Balloon Text Char"/>
    <w:basedOn w:val="DefaultParagraphFont"/>
    <w:link w:val="BalloonText"/>
    <w:semiHidden/>
    <w:rsid w:val="004F6A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FCF7C-3CE5-4F62-8EF1-986BFD684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43</TotalTime>
  <Pages>18</Pages>
  <Words>5815</Words>
  <Characters>33148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Brownless</dc:creator>
  <cp:lastModifiedBy>Charlie Smith</cp:lastModifiedBy>
  <cp:revision>3</cp:revision>
  <cp:lastPrinted>2024-08-27T17:18:00Z</cp:lastPrinted>
  <dcterms:created xsi:type="dcterms:W3CDTF">2024-08-27T16:12:00Z</dcterms:created>
  <dcterms:modified xsi:type="dcterms:W3CDTF">2024-08-27T17:20:00Z</dcterms:modified>
</cp:coreProperties>
</file>