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CE4EFF" w:rsidP="00CE4EFF">
      <w:pPr>
        <w:pStyle w:val="OrderHeading"/>
      </w:pPr>
      <w:r>
        <w:t>BEFORE THE FLORIDA PUBLIC SERVICE COMMISSION</w:t>
      </w:r>
    </w:p>
    <w:p w:rsidR="00CE4EFF" w:rsidRDefault="00CE4EFF" w:rsidP="00CE4EFF">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CE4EFF" w:rsidRPr="00C63FCF" w:rsidTr="00C63FCF">
        <w:trPr>
          <w:trHeight w:val="828"/>
        </w:trPr>
        <w:tc>
          <w:tcPr>
            <w:tcW w:w="4788" w:type="dxa"/>
            <w:tcBorders>
              <w:bottom w:val="single" w:sz="8" w:space="0" w:color="auto"/>
              <w:right w:val="double" w:sz="6" w:space="0" w:color="auto"/>
            </w:tcBorders>
            <w:shd w:val="clear" w:color="auto" w:fill="auto"/>
          </w:tcPr>
          <w:p w:rsidR="00CE4EFF" w:rsidRDefault="00CE4EFF" w:rsidP="00C63FCF">
            <w:pPr>
              <w:pStyle w:val="OrderBody"/>
              <w:tabs>
                <w:tab w:val="center" w:pos="4320"/>
                <w:tab w:val="right" w:pos="8640"/>
              </w:tabs>
              <w:jc w:val="left"/>
            </w:pPr>
            <w:r>
              <w:t xml:space="preserve">In re: </w:t>
            </w:r>
            <w:bookmarkStart w:id="0" w:name="SSInRe"/>
            <w:bookmarkEnd w:id="0"/>
            <w:r>
              <w:t>Petition for rate increase by Florida Public Utilities Company.</w:t>
            </w:r>
          </w:p>
        </w:tc>
        <w:tc>
          <w:tcPr>
            <w:tcW w:w="4788" w:type="dxa"/>
            <w:tcBorders>
              <w:left w:val="double" w:sz="6" w:space="0" w:color="auto"/>
            </w:tcBorders>
            <w:shd w:val="clear" w:color="auto" w:fill="auto"/>
          </w:tcPr>
          <w:p w:rsidR="00CE4EFF" w:rsidRDefault="00CE4EFF" w:rsidP="00CE4EFF">
            <w:pPr>
              <w:pStyle w:val="OrderBody"/>
            </w:pPr>
            <w:r>
              <w:t xml:space="preserve">DOCKET NO. </w:t>
            </w:r>
            <w:bookmarkStart w:id="1" w:name="SSDocketNo"/>
            <w:bookmarkEnd w:id="1"/>
            <w:r>
              <w:t>20240099-EI</w:t>
            </w:r>
          </w:p>
          <w:p w:rsidR="00CE4EFF" w:rsidRDefault="00CE4EFF" w:rsidP="00C63FCF">
            <w:pPr>
              <w:pStyle w:val="OrderBody"/>
              <w:tabs>
                <w:tab w:val="center" w:pos="4320"/>
                <w:tab w:val="right" w:pos="8640"/>
              </w:tabs>
              <w:jc w:val="left"/>
            </w:pPr>
            <w:r>
              <w:t xml:space="preserve">ORDER NO. </w:t>
            </w:r>
            <w:bookmarkStart w:id="2" w:name="OrderNo0441"/>
            <w:r w:rsidR="009C74BC">
              <w:t>PSC-2024-0441-PCO-EI</w:t>
            </w:r>
            <w:bookmarkEnd w:id="2"/>
          </w:p>
          <w:p w:rsidR="00CE4EFF" w:rsidRDefault="00CE4EFF" w:rsidP="00C63FCF">
            <w:pPr>
              <w:pStyle w:val="OrderBody"/>
              <w:tabs>
                <w:tab w:val="center" w:pos="4320"/>
                <w:tab w:val="right" w:pos="8640"/>
              </w:tabs>
              <w:jc w:val="left"/>
            </w:pPr>
            <w:r>
              <w:t xml:space="preserve">ISSUED: </w:t>
            </w:r>
            <w:r w:rsidR="009C74BC">
              <w:t>October 14, 2024</w:t>
            </w:r>
          </w:p>
        </w:tc>
      </w:tr>
    </w:tbl>
    <w:p w:rsidR="00CE4EFF" w:rsidRDefault="00CE4EFF" w:rsidP="00CE4EFF"/>
    <w:p w:rsidR="00CE4EFF" w:rsidRDefault="00CE4EFF" w:rsidP="00B67A43">
      <w:pPr>
        <w:ind w:firstLine="720"/>
        <w:jc w:val="both"/>
      </w:pPr>
      <w:bookmarkStart w:id="3" w:name="Commissioners"/>
      <w:bookmarkEnd w:id="3"/>
      <w:r>
        <w:t>The following Commissioners participated in the disposition of this matter:</w:t>
      </w:r>
    </w:p>
    <w:p w:rsidR="00CE4EFF" w:rsidRDefault="00CE4EFF" w:rsidP="00B67A43"/>
    <w:p w:rsidR="00CE4EFF" w:rsidRDefault="00CE4EFF" w:rsidP="00477699">
      <w:pPr>
        <w:jc w:val="center"/>
      </w:pPr>
      <w:r>
        <w:t>MIKE LA ROSA, Chairman</w:t>
      </w:r>
    </w:p>
    <w:p w:rsidR="00CE4EFF" w:rsidRDefault="00CE4EFF" w:rsidP="00B67A43">
      <w:pPr>
        <w:jc w:val="center"/>
      </w:pPr>
      <w:r>
        <w:t>GARY F. CLARK</w:t>
      </w:r>
    </w:p>
    <w:p w:rsidR="00CE4EFF" w:rsidRDefault="00CE4EFF" w:rsidP="00B67A43">
      <w:pPr>
        <w:jc w:val="center"/>
      </w:pPr>
      <w:r>
        <w:t>ANDREW GILES FAY</w:t>
      </w:r>
    </w:p>
    <w:p w:rsidR="00CE4EFF" w:rsidRPr="005F2751" w:rsidRDefault="00CE4EFF" w:rsidP="00B67A43">
      <w:pPr>
        <w:jc w:val="center"/>
      </w:pPr>
      <w:r w:rsidRPr="005F2751">
        <w:rPr>
          <w:lang w:val="en"/>
        </w:rPr>
        <w:t>GABRIELLA PASSIDOMO</w:t>
      </w:r>
    </w:p>
    <w:p w:rsidR="00CB5276" w:rsidRDefault="00CB5276">
      <w:pPr>
        <w:pStyle w:val="OrderBody"/>
      </w:pPr>
    </w:p>
    <w:p w:rsidR="00CE4EFF" w:rsidRDefault="00CE4EFF" w:rsidP="00CE4EFF">
      <w:pPr>
        <w:pStyle w:val="CenterUnderline"/>
      </w:pPr>
      <w:r>
        <w:t>ORDER</w:t>
      </w:r>
      <w:bookmarkStart w:id="4" w:name="OrderTitle"/>
      <w:r>
        <w:t xml:space="preserve"> </w:t>
      </w:r>
      <w:r w:rsidR="004312E7">
        <w:t xml:space="preserve">SUSPENDING FINAL RATES AND </w:t>
      </w:r>
      <w:r w:rsidR="00E7762E">
        <w:t>APPROVING INTERIM RATES</w:t>
      </w:r>
      <w:r>
        <w:t xml:space="preserve"> </w:t>
      </w:r>
      <w:bookmarkEnd w:id="4"/>
    </w:p>
    <w:p w:rsidR="007534C4" w:rsidRDefault="007534C4" w:rsidP="00CE4EFF">
      <w:pPr>
        <w:pStyle w:val="OrderBody"/>
      </w:pPr>
    </w:p>
    <w:p w:rsidR="00CE4EFF" w:rsidRDefault="00CE4EFF" w:rsidP="00CE4EFF">
      <w:pPr>
        <w:pStyle w:val="OrderBody"/>
      </w:pPr>
      <w:r>
        <w:t>BY THE COMMISSION:</w:t>
      </w:r>
    </w:p>
    <w:p w:rsidR="00CB5276" w:rsidRDefault="00C374B3" w:rsidP="00C374B3">
      <w:pPr>
        <w:pStyle w:val="OrderBody"/>
        <w:jc w:val="center"/>
        <w:rPr>
          <w:u w:val="single"/>
        </w:rPr>
      </w:pPr>
      <w:bookmarkStart w:id="5" w:name="OrderText"/>
      <w:bookmarkEnd w:id="5"/>
      <w:r>
        <w:rPr>
          <w:u w:val="single"/>
        </w:rPr>
        <w:t>BACKGROUND</w:t>
      </w:r>
    </w:p>
    <w:p w:rsidR="00C374B3" w:rsidRDefault="00C374B3" w:rsidP="00C374B3">
      <w:pPr>
        <w:pStyle w:val="OrderBody"/>
        <w:jc w:val="center"/>
        <w:rPr>
          <w:u w:val="single"/>
        </w:rPr>
      </w:pPr>
    </w:p>
    <w:p w:rsidR="007534C4" w:rsidRDefault="007534C4" w:rsidP="00E75911">
      <w:pPr>
        <w:pStyle w:val="BodyText"/>
        <w:ind w:firstLine="720"/>
        <w:jc w:val="both"/>
      </w:pPr>
      <w:r>
        <w:t xml:space="preserve">Florida Public Utilities Company (FPUC or Company) filed a test year notification letter with the Commission on June 18, 2024, in which the Company indicated its intent to seek a permanent increase in its rates and charges based on a test year ending December 31, 2025, and a request for an interim rate increase.   On August 22, 2024, FPUC filed its petition for an increase in base rates, as well as minimum filing requirements schedules (MFRs) and the direct testimony of 10 witnesses.  The Company is engaged in business as a public utility providing electric service as defined in Section 366.02, Florida Statutes (F.S.), and is subject to our jurisdiction.    FPUC serves approximately 18,100 retail customers in Calhoun, Liberty, and Jackson counties in the Company’s Northwest Division and approximately 15,000 retail customers in Nassau County in its Northeast Division. </w:t>
      </w:r>
    </w:p>
    <w:p w:rsidR="007534C4" w:rsidRDefault="007534C4" w:rsidP="007534C4">
      <w:pPr>
        <w:pStyle w:val="BodyText"/>
        <w:ind w:firstLine="720"/>
        <w:jc w:val="both"/>
      </w:pPr>
      <w:r>
        <w:t>FPUC has requested an increase in base rates to generate an additional $1</w:t>
      </w:r>
      <w:r>
        <w:rPr>
          <w:color w:val="474747"/>
        </w:rPr>
        <w:t>2,593,</w:t>
      </w:r>
      <w:r>
        <w:rPr>
          <w:color w:val="282828"/>
        </w:rPr>
        <w:t>4</w:t>
      </w:r>
      <w:r>
        <w:rPr>
          <w:color w:val="474747"/>
        </w:rPr>
        <w:t>50</w:t>
      </w:r>
      <w:r>
        <w:t xml:space="preserve"> in annual revenues.  The requested increase, according to FPUC, will provide the Company with an opportunity to earn a rate of return of 6.89 percent on </w:t>
      </w:r>
      <w:r w:rsidR="002744BD">
        <w:t xml:space="preserve">its </w:t>
      </w:r>
      <w:r>
        <w:t xml:space="preserve">plant and property used to serve its customers and a return on equity </w:t>
      </w:r>
      <w:r w:rsidR="002744BD">
        <w:t xml:space="preserve">(ROE) </w:t>
      </w:r>
      <w:r>
        <w:t>of 11.30 percent.  The Company based its request on a 13-month average rate base of $150,053,096 for the projected test year ending December 2025.</w:t>
      </w:r>
    </w:p>
    <w:p w:rsidR="007534C4" w:rsidRDefault="007534C4" w:rsidP="007534C4">
      <w:pPr>
        <w:pStyle w:val="BodyText"/>
        <w:ind w:firstLine="720"/>
        <w:jc w:val="both"/>
      </w:pPr>
      <w:r>
        <w:t xml:space="preserve">FPUC stated in its petition that the requested test year period ending December 31, 2025, is the most relevant period upon which the Company’s operations should be analyzed for purposes of establishing rates for the period in which the new rates will be in effect. The Company further stated that this period will be indicative of its actual revenues, expenses, and investment during the first 12 months that the new rates will be in effect.  </w:t>
      </w:r>
      <w:r w:rsidR="006F36F3">
        <w:t xml:space="preserve">We </w:t>
      </w:r>
      <w:r>
        <w:t>last granted FPUC an approximately $3.75 million rate increase by Order No. PSC-14-0517-S-EI.</w:t>
      </w:r>
      <w:r>
        <w:rPr>
          <w:rStyle w:val="FootnoteReference"/>
        </w:rPr>
        <w:footnoteReference w:id="1"/>
      </w:r>
      <w:r>
        <w:t xml:space="preserve">    </w:t>
      </w:r>
    </w:p>
    <w:p w:rsidR="007534C4" w:rsidRDefault="007534C4" w:rsidP="007534C4">
      <w:pPr>
        <w:pStyle w:val="BodyText"/>
        <w:ind w:firstLine="720"/>
        <w:jc w:val="both"/>
      </w:pPr>
      <w:r>
        <w:t xml:space="preserve">In its petition, FPUC also requested an interim rate increase in its base rates and charges to generate </w:t>
      </w:r>
      <w:r>
        <w:rPr>
          <w:color w:val="3C3C3C"/>
          <w:sz w:val="25"/>
          <w:szCs w:val="25"/>
        </w:rPr>
        <w:t>$1,8</w:t>
      </w:r>
      <w:r>
        <w:rPr>
          <w:color w:val="141414"/>
          <w:sz w:val="25"/>
          <w:szCs w:val="25"/>
        </w:rPr>
        <w:t>1</w:t>
      </w:r>
      <w:r>
        <w:rPr>
          <w:color w:val="3C3C3C"/>
          <w:sz w:val="25"/>
          <w:szCs w:val="25"/>
        </w:rPr>
        <w:t>2,869</w:t>
      </w:r>
      <w:r>
        <w:t xml:space="preserve"> in additional gross revenues until the permanent rates become effective.  The Company has based its interim request on a historical test year ended December 31, 2023.  </w:t>
      </w:r>
      <w:r>
        <w:lastRenderedPageBreak/>
        <w:t xml:space="preserve">In its petition, FPUC stated that it will hold any revenues collected, subject to refund, with interest at a rate determined pursuant to Rule 25-6.0435(3), Florida Administrative Code (F.A.C.) and that it be allowed to collect the interim increase subject to a corporate undertaking.  </w:t>
      </w:r>
    </w:p>
    <w:p w:rsidR="007534C4" w:rsidRDefault="007534C4" w:rsidP="007534C4">
      <w:pPr>
        <w:pStyle w:val="BodyText"/>
        <w:ind w:firstLine="720"/>
        <w:jc w:val="both"/>
      </w:pPr>
      <w:r>
        <w:t>On September 4, 2024, the Office of Public Counsel (OPC) filed its notice of intervention in this docket and the Order acknowledging the intervention was issued on September 5, 2024.</w:t>
      </w:r>
      <w:r>
        <w:rPr>
          <w:rStyle w:val="FootnoteReference"/>
        </w:rPr>
        <w:footnoteReference w:id="2"/>
      </w:r>
      <w:r>
        <w:t xml:space="preserve"> On September 4, 2024, FPUC filed revisions to MFR Schedules B-2 and G-3 to correct a reference to the prior rate case order. No numeric values were changed. </w:t>
      </w:r>
    </w:p>
    <w:p w:rsidR="007534C4" w:rsidRDefault="007534C4" w:rsidP="007534C4">
      <w:pPr>
        <w:pStyle w:val="BodyText"/>
        <w:ind w:firstLine="720"/>
        <w:jc w:val="both"/>
      </w:pPr>
      <w:r>
        <w:t>This order addresses FPUC’s interim rate increase request and the suspension of the requested permanent rate increase.  We have jurisdiction over this request for a rate increase and interim rate increase under Sections 366.06 and 366.071, F.S.</w:t>
      </w:r>
    </w:p>
    <w:p w:rsidR="007534C4" w:rsidRDefault="007534C4" w:rsidP="007534C4">
      <w:pPr>
        <w:pStyle w:val="OrderBody"/>
        <w:jc w:val="center"/>
        <w:rPr>
          <w:u w:val="single"/>
        </w:rPr>
      </w:pPr>
      <w:r>
        <w:rPr>
          <w:u w:val="single"/>
        </w:rPr>
        <w:t>DECISION</w:t>
      </w:r>
    </w:p>
    <w:p w:rsidR="00E75911" w:rsidRPr="006F36F3" w:rsidRDefault="006F36F3" w:rsidP="006F36F3">
      <w:pPr>
        <w:pStyle w:val="BodyText"/>
        <w:ind w:firstLine="360"/>
        <w:jc w:val="both"/>
      </w:pPr>
      <w:r>
        <w:t>I.</w:t>
      </w:r>
      <w:r>
        <w:tab/>
      </w:r>
      <w:r w:rsidR="00E75911" w:rsidRPr="006F36F3">
        <w:rPr>
          <w:u w:val="single"/>
        </w:rPr>
        <w:t xml:space="preserve">Suspension of </w:t>
      </w:r>
      <w:r w:rsidR="002744BD" w:rsidRPr="006F36F3">
        <w:rPr>
          <w:u w:val="single"/>
        </w:rPr>
        <w:t>P</w:t>
      </w:r>
      <w:r w:rsidR="00E75911" w:rsidRPr="006F36F3">
        <w:rPr>
          <w:u w:val="single"/>
        </w:rPr>
        <w:t xml:space="preserve">ermanent </w:t>
      </w:r>
      <w:r w:rsidR="002744BD" w:rsidRPr="006F36F3">
        <w:rPr>
          <w:u w:val="single"/>
        </w:rPr>
        <w:t>R</w:t>
      </w:r>
      <w:r w:rsidR="00E75911" w:rsidRPr="006F36F3">
        <w:rPr>
          <w:u w:val="single"/>
        </w:rPr>
        <w:t>ates</w:t>
      </w:r>
    </w:p>
    <w:p w:rsidR="001D7DB0" w:rsidRDefault="00E75911" w:rsidP="00F07E77">
      <w:pPr>
        <w:pStyle w:val="BodyText"/>
        <w:ind w:firstLine="720"/>
        <w:jc w:val="both"/>
      </w:pPr>
      <w:r w:rsidRPr="00F07E77">
        <w:t xml:space="preserve"> </w:t>
      </w:r>
      <w:r>
        <w:t xml:space="preserve">We find that </w:t>
      </w:r>
      <w:r w:rsidR="007534C4">
        <w:t xml:space="preserve">the requested permanent increase in rates and charges </w:t>
      </w:r>
      <w:r>
        <w:t>requested by FPUC sh</w:t>
      </w:r>
      <w:r w:rsidR="00445DEA">
        <w:t>all</w:t>
      </w:r>
      <w:r>
        <w:t xml:space="preserve"> </w:t>
      </w:r>
      <w:r w:rsidR="007534C4">
        <w:t xml:space="preserve">be suspended </w:t>
      </w:r>
      <w:r>
        <w:t xml:space="preserve">in order </w:t>
      </w:r>
      <w:r w:rsidR="007534C4">
        <w:t xml:space="preserve">to allow </w:t>
      </w:r>
      <w:r>
        <w:t xml:space="preserve">our </w:t>
      </w:r>
      <w:r w:rsidR="007534C4">
        <w:t xml:space="preserve">staff time to </w:t>
      </w:r>
      <w:r w:rsidR="001D7DB0">
        <w:t xml:space="preserve">appropriately </w:t>
      </w:r>
      <w:r w:rsidR="007534C4">
        <w:t xml:space="preserve">analyze the case. </w:t>
      </w:r>
      <w:r>
        <w:t xml:space="preserve"> S</w:t>
      </w:r>
      <w:r w:rsidR="007534C4">
        <w:t>taff issued its first data request to FPUC on September 12, 2024</w:t>
      </w:r>
      <w:r>
        <w:t xml:space="preserve">, </w:t>
      </w:r>
      <w:r w:rsidR="002744BD">
        <w:t xml:space="preserve">and FPUC provided its responses on </w:t>
      </w:r>
      <w:r w:rsidR="007534C4">
        <w:t xml:space="preserve">September 26, 2024. </w:t>
      </w:r>
      <w:r>
        <w:t xml:space="preserve"> </w:t>
      </w:r>
      <w:r w:rsidR="00F07E77">
        <w:t>Our s</w:t>
      </w:r>
      <w:r w:rsidR="007534C4">
        <w:t xml:space="preserve">taff will be issuing additional data requests to the Company during the review process. </w:t>
      </w:r>
      <w:r>
        <w:t xml:space="preserve"> </w:t>
      </w:r>
      <w:r w:rsidR="007534C4">
        <w:t xml:space="preserve">On August 27, 2024, the Company was advised that the Commission will conduct an audit </w:t>
      </w:r>
      <w:r>
        <w:t xml:space="preserve">with </w:t>
      </w:r>
      <w:r w:rsidR="007534C4">
        <w:t xml:space="preserve">the formal review report expected to be issued on November 13, 2024. </w:t>
      </w:r>
      <w:r>
        <w:t xml:space="preserve"> </w:t>
      </w:r>
      <w:r w:rsidR="001D7DB0">
        <w:t>S</w:t>
      </w:r>
      <w:r w:rsidR="007534C4">
        <w:t xml:space="preserve">taff </w:t>
      </w:r>
      <w:r w:rsidR="002744BD">
        <w:t>reviewed FPUC’s Minimum Filing Requirements</w:t>
      </w:r>
      <w:r w:rsidR="001D7DB0">
        <w:t xml:space="preserve"> and on </w:t>
      </w:r>
      <w:r w:rsidR="007534C4">
        <w:t>September 20, 2024</w:t>
      </w:r>
      <w:r w:rsidR="001D7DB0">
        <w:t xml:space="preserve"> found them to be in compliance with Rule 25-6.043, F.A.C</w:t>
      </w:r>
      <w:r w:rsidR="007534C4">
        <w:t>.</w:t>
      </w:r>
    </w:p>
    <w:p w:rsidR="007534C4" w:rsidRPr="00F07E77" w:rsidRDefault="007534C4" w:rsidP="00F07E77">
      <w:pPr>
        <w:pStyle w:val="BodyText"/>
        <w:ind w:firstLine="720"/>
        <w:jc w:val="both"/>
        <w:rPr>
          <w:u w:val="single"/>
        </w:rPr>
      </w:pPr>
      <w:r>
        <w:t xml:space="preserve">In light of the ongoing activities in this rate case and pursuant to Section 366.06(3), F.S., </w:t>
      </w:r>
      <w:r w:rsidR="00E75911">
        <w:t xml:space="preserve">we </w:t>
      </w:r>
      <w:r>
        <w:t xml:space="preserve">may withhold consent to the operation of all or any portion of a new rate schedule, delivering to the utility requesting such a change a reason or written statement of good cause for doing so within 60 days. </w:t>
      </w:r>
      <w:r w:rsidR="00E75911">
        <w:t xml:space="preserve"> We find that t</w:t>
      </w:r>
      <w:r>
        <w:t>he reasons stated above are good cause</w:t>
      </w:r>
      <w:r w:rsidR="00F07E77">
        <w:t>,</w:t>
      </w:r>
      <w:r>
        <w:t xml:space="preserve"> consistent with the requirements of Section 366.06(3), F.S.</w:t>
      </w:r>
      <w:r w:rsidR="00E75911">
        <w:t>, to suspend FPUC</w:t>
      </w:r>
      <w:r w:rsidR="00E75911" w:rsidRPr="00F07E77">
        <w:t>’s request for permanent rate incre</w:t>
      </w:r>
      <w:r w:rsidR="00484289">
        <w:t>a</w:t>
      </w:r>
      <w:r w:rsidR="00E75911" w:rsidRPr="00F07E77">
        <w:t>se.</w:t>
      </w:r>
    </w:p>
    <w:p w:rsidR="006F36F3" w:rsidRPr="006F36F3" w:rsidRDefault="006F36F3" w:rsidP="006F36F3">
      <w:pPr>
        <w:pStyle w:val="BodyText"/>
        <w:ind w:firstLine="360"/>
        <w:jc w:val="both"/>
      </w:pPr>
      <w:r>
        <w:t>II.</w:t>
      </w:r>
      <w:r>
        <w:tab/>
      </w:r>
      <w:r w:rsidRPr="006F36F3">
        <w:t>Granting Interim Rates</w:t>
      </w:r>
    </w:p>
    <w:p w:rsidR="005F2751" w:rsidRDefault="00F07E77" w:rsidP="00F07E77">
      <w:pPr>
        <w:pStyle w:val="BodyText"/>
        <w:ind w:firstLine="720"/>
        <w:jc w:val="both"/>
        <w:rPr>
          <w:u w:val="single"/>
        </w:rPr>
      </w:pPr>
      <w:r w:rsidRPr="006F36F3">
        <w:t>I</w:t>
      </w:r>
      <w:r>
        <w:rPr>
          <w:u w:val="single"/>
        </w:rPr>
        <w:t xml:space="preserve">nterim </w:t>
      </w:r>
      <w:r w:rsidR="001D7DB0">
        <w:rPr>
          <w:u w:val="single"/>
        </w:rPr>
        <w:t>R</w:t>
      </w:r>
      <w:r>
        <w:rPr>
          <w:u w:val="single"/>
        </w:rPr>
        <w:t>ate</w:t>
      </w:r>
      <w:r w:rsidR="008C6503">
        <w:rPr>
          <w:u w:val="single"/>
        </w:rPr>
        <w:t xml:space="preserve"> </w:t>
      </w:r>
      <w:r w:rsidR="001D7DB0">
        <w:rPr>
          <w:u w:val="single"/>
        </w:rPr>
        <w:t>B</w:t>
      </w:r>
      <w:r w:rsidR="008C6503">
        <w:rPr>
          <w:u w:val="single"/>
        </w:rPr>
        <w:t>ase</w:t>
      </w:r>
    </w:p>
    <w:p w:rsidR="008C6503" w:rsidRDefault="00F07E77" w:rsidP="00E63D7E">
      <w:pPr>
        <w:pStyle w:val="BodyText"/>
        <w:ind w:firstLine="720"/>
        <w:jc w:val="both"/>
      </w:pPr>
      <w:r>
        <w:t>In its filing, the Company proposed an interim 13-month average rate base of $116,666,956 for the period ended December 31, 2023.  Pursuant to Section 366.071(5)(a), F.S., the Company is permitted to elect either an average or year-end rate base to calculate its interim revenue request. We have reviewed the rate base adjustments made in the current interim filing for consistency with the rulings made in the Company’s last rate case order.</w:t>
      </w:r>
      <w:r>
        <w:rPr>
          <w:rStyle w:val="FootnoteReference"/>
        </w:rPr>
        <w:footnoteReference w:id="3"/>
      </w:r>
      <w:r>
        <w:t xml:space="preserve">  Based on our preliminary review, FPUC has made the applicable and appropriate adjustments consistent with the previous rate case.  Therefore, we find that $116,666,956 is the appropriate amount of rate base for the 2023 interim historical test year ended December 31, 2023. The associated calcula</w:t>
      </w:r>
      <w:r w:rsidRPr="00E63D7E">
        <w:t>tions are shown on Attachment A</w:t>
      </w:r>
      <w:r w:rsidR="006F36F3">
        <w:t xml:space="preserve"> attached hereto</w:t>
      </w:r>
      <w:r w:rsidRPr="00E63D7E">
        <w:t>.</w:t>
      </w:r>
    </w:p>
    <w:p w:rsidR="008C6503" w:rsidRDefault="008C6503">
      <w:r>
        <w:br w:type="page"/>
      </w:r>
    </w:p>
    <w:p w:rsidR="008C6503" w:rsidRPr="008C6503" w:rsidRDefault="008C6503" w:rsidP="00E63D7E">
      <w:pPr>
        <w:pStyle w:val="BodyText"/>
        <w:ind w:firstLine="720"/>
        <w:jc w:val="both"/>
        <w:rPr>
          <w:u w:val="single"/>
        </w:rPr>
      </w:pPr>
      <w:r w:rsidRPr="008C6503">
        <w:rPr>
          <w:u w:val="single"/>
        </w:rPr>
        <w:lastRenderedPageBreak/>
        <w:t xml:space="preserve">Interim </w:t>
      </w:r>
      <w:r w:rsidR="001D7DB0">
        <w:rPr>
          <w:u w:val="single"/>
        </w:rPr>
        <w:t>Return on Equity and Overall Rate of Return</w:t>
      </w:r>
    </w:p>
    <w:p w:rsidR="00E63D7E" w:rsidRDefault="00E63D7E" w:rsidP="00E63D7E">
      <w:pPr>
        <w:pStyle w:val="BodyText"/>
        <w:ind w:firstLine="720"/>
        <w:jc w:val="both"/>
      </w:pPr>
      <w:r w:rsidRPr="00E63D7E">
        <w:t>Pursuant</w:t>
      </w:r>
      <w:r>
        <w:t xml:space="preserve"> to Section 366.07(2)(a), F.S., the </w:t>
      </w:r>
      <w:r w:rsidR="001D7DB0">
        <w:t xml:space="preserve">appropriate </w:t>
      </w:r>
      <w:r>
        <w:t>ROE for purposes of determining an interim rate increase is the minimum of the Company’s currently authorized ROE range.  FPUC’s authorized ROE and range is 10.25 percent plus or minus 100 basis points.  We set the return and range by Order No. PSC-14-0517-S-EI.</w:t>
      </w:r>
      <w:r>
        <w:rPr>
          <w:rStyle w:val="FootnoteReference"/>
        </w:rPr>
        <w:footnoteReference w:id="4"/>
      </w:r>
      <w:r>
        <w:t xml:space="preserve">  For its interim request, the Company appropriately used an ROE of 9.25 percent.</w:t>
      </w:r>
    </w:p>
    <w:p w:rsidR="00E63D7E" w:rsidRDefault="00E63D7E" w:rsidP="00E63D7E">
      <w:pPr>
        <w:pStyle w:val="BodyText"/>
        <w:ind w:firstLine="720"/>
        <w:jc w:val="both"/>
      </w:pPr>
      <w:r>
        <w:t>We find that the capital structure of FPUC for the historical 13-month average test year sh</w:t>
      </w:r>
      <w:r w:rsidR="006F36F3">
        <w:t>all</w:t>
      </w:r>
      <w:r>
        <w:t xml:space="preserve"> reflect an ROE of 9.25 percent, resulting in an overall cost of capital of 4.95 percent. Attachment B</w:t>
      </w:r>
      <w:r w:rsidR="006F36F3">
        <w:t>, attached hereto,</w:t>
      </w:r>
      <w:r>
        <w:t xml:space="preserve"> details the calculations of the overall cost of capital.</w:t>
      </w:r>
    </w:p>
    <w:p w:rsidR="008C6503" w:rsidRPr="008C6503" w:rsidRDefault="008C6503" w:rsidP="00E63D7E">
      <w:pPr>
        <w:pStyle w:val="BodyText"/>
        <w:ind w:firstLine="720"/>
        <w:jc w:val="both"/>
        <w:rPr>
          <w:u w:val="single"/>
        </w:rPr>
      </w:pPr>
      <w:r>
        <w:rPr>
          <w:u w:val="single"/>
        </w:rPr>
        <w:t xml:space="preserve">Interim </w:t>
      </w:r>
      <w:r w:rsidR="001D7DB0">
        <w:rPr>
          <w:u w:val="single"/>
        </w:rPr>
        <w:t>N</w:t>
      </w:r>
      <w:r>
        <w:rPr>
          <w:u w:val="single"/>
        </w:rPr>
        <w:t xml:space="preserve">et </w:t>
      </w:r>
      <w:r w:rsidR="001D7DB0">
        <w:rPr>
          <w:u w:val="single"/>
        </w:rPr>
        <w:t>O</w:t>
      </w:r>
      <w:r>
        <w:rPr>
          <w:u w:val="single"/>
        </w:rPr>
        <w:t xml:space="preserve">perating </w:t>
      </w:r>
      <w:r w:rsidR="001D7DB0">
        <w:rPr>
          <w:u w:val="single"/>
        </w:rPr>
        <w:t>I</w:t>
      </w:r>
      <w:r>
        <w:rPr>
          <w:u w:val="single"/>
        </w:rPr>
        <w:t>ncome</w:t>
      </w:r>
    </w:p>
    <w:p w:rsidR="00E63D7E" w:rsidRDefault="00E63D7E" w:rsidP="00E63D7E">
      <w:pPr>
        <w:pStyle w:val="BodyText"/>
        <w:ind w:firstLine="720"/>
        <w:jc w:val="both"/>
      </w:pPr>
      <w:r>
        <w:t xml:space="preserve">The proposed interim test year net operating income (NOI) for FPUC of $4,429,839 is the 12-month amount for the historical test year ended December 31, 2023.  We have </w:t>
      </w:r>
      <w:r w:rsidRPr="005462B4">
        <w:t xml:space="preserve">reviewed the </w:t>
      </w:r>
      <w:r>
        <w:t>NOI</w:t>
      </w:r>
      <w:r w:rsidRPr="005462B4">
        <w:t xml:space="preserve"> adjustments made in the current interim filing for consistency with the </w:t>
      </w:r>
      <w:r>
        <w:t>rulings</w:t>
      </w:r>
      <w:r w:rsidRPr="005462B4">
        <w:t xml:space="preserve"> made in the </w:t>
      </w:r>
      <w:r>
        <w:t>Company</w:t>
      </w:r>
      <w:r w:rsidRPr="005462B4">
        <w:t>’s last rate case</w:t>
      </w:r>
      <w:r>
        <w:t>.</w:t>
      </w:r>
      <w:r>
        <w:rPr>
          <w:rStyle w:val="FootnoteReference"/>
        </w:rPr>
        <w:footnoteReference w:id="5"/>
      </w:r>
      <w:r w:rsidRPr="005462B4">
        <w:t xml:space="preserve"> </w:t>
      </w:r>
      <w:r>
        <w:t xml:space="preserve"> </w:t>
      </w:r>
      <w:r w:rsidRPr="005462B4">
        <w:t xml:space="preserve">Based on </w:t>
      </w:r>
      <w:r>
        <w:t xml:space="preserve">our </w:t>
      </w:r>
      <w:r w:rsidRPr="005462B4">
        <w:t>prel</w:t>
      </w:r>
      <w:r>
        <w:t>iminary review, we find that FPUC made</w:t>
      </w:r>
      <w:r w:rsidRPr="005462B4">
        <w:t xml:space="preserve"> the applicable and appropriate adjustments consiste</w:t>
      </w:r>
      <w:r>
        <w:t>nt with the previous rate case.</w:t>
      </w:r>
      <w:r w:rsidRPr="005462B4">
        <w:t xml:space="preserve"> The </w:t>
      </w:r>
      <w:r>
        <w:t xml:space="preserve">associated </w:t>
      </w:r>
      <w:r w:rsidRPr="005462B4">
        <w:t>calculation is shown on Attachment A.</w:t>
      </w:r>
    </w:p>
    <w:p w:rsidR="00C21821" w:rsidRPr="00C21821" w:rsidRDefault="00C21821" w:rsidP="00FF0273">
      <w:pPr>
        <w:pStyle w:val="BodyText"/>
        <w:ind w:firstLine="720"/>
        <w:jc w:val="both"/>
        <w:rPr>
          <w:u w:val="single"/>
        </w:rPr>
      </w:pPr>
      <w:r>
        <w:rPr>
          <w:u w:val="single"/>
        </w:rPr>
        <w:t>Interim Net Operating I</w:t>
      </w:r>
      <w:r w:rsidR="00484289">
        <w:rPr>
          <w:u w:val="single"/>
        </w:rPr>
        <w:t>n</w:t>
      </w:r>
      <w:r>
        <w:rPr>
          <w:u w:val="single"/>
        </w:rPr>
        <w:t xml:space="preserve">come (NOI) </w:t>
      </w:r>
      <w:r w:rsidR="001D7DB0">
        <w:rPr>
          <w:u w:val="single"/>
        </w:rPr>
        <w:t>M</w:t>
      </w:r>
      <w:r>
        <w:rPr>
          <w:u w:val="single"/>
        </w:rPr>
        <w:t>ultiplier</w:t>
      </w:r>
    </w:p>
    <w:p w:rsidR="00FF0273" w:rsidRDefault="00E63D7E" w:rsidP="00FF0273">
      <w:pPr>
        <w:pStyle w:val="BodyText"/>
        <w:ind w:firstLine="720"/>
        <w:jc w:val="both"/>
      </w:pPr>
      <w:r w:rsidRPr="00B411FC">
        <w:t xml:space="preserve">On MFR Schedule G-18, the Company calculated a </w:t>
      </w:r>
      <w:r>
        <w:t>NOI multiplier of 1.3477.</w:t>
      </w:r>
      <w:r w:rsidRPr="00B411FC">
        <w:t xml:space="preserve"> </w:t>
      </w:r>
      <w:r>
        <w:t xml:space="preserve"> This multiplier is based on a revenue expansion factor of 74.2015 percent, formulated </w:t>
      </w:r>
      <w:r w:rsidRPr="00B411FC">
        <w:t xml:space="preserve">using a </w:t>
      </w:r>
      <w:r>
        <w:t>21 percent Federal Income T</w:t>
      </w:r>
      <w:r w:rsidRPr="00B411FC">
        <w:t>ax rate</w:t>
      </w:r>
      <w:r>
        <w:t>,</w:t>
      </w:r>
      <w:r w:rsidRPr="00B411FC">
        <w:t xml:space="preserve"> a 5.5</w:t>
      </w:r>
      <w:r>
        <w:t>0 percent state income tax rate, a 0.5227</w:t>
      </w:r>
      <w:r w:rsidRPr="00B411FC">
        <w:t xml:space="preserve"> percent </w:t>
      </w:r>
      <w:r>
        <w:t>bad debt rate,</w:t>
      </w:r>
      <w:r w:rsidRPr="00B411FC">
        <w:t xml:space="preserve"> and a </w:t>
      </w:r>
      <w:r>
        <w:t xml:space="preserve">0.0848 percent factor for regulatory assessment fees.  However, the Company’s proposed interim bad debt rate includes projected data.  The proposed interim bad debt rate reflects the average of the 2023 historical test year, the 2024 prior year, and the 2025 projected test year. Only historical data should be considered for determining an interim bad debt rate. Thus, we have re-calculated an interim bad debt rate based on a three-year historical average of calendar years 2021, 2022, and 2023.  This resulted in an average bad debt rate of </w:t>
      </w:r>
      <w:r w:rsidRPr="001B097F">
        <w:t>0.6628</w:t>
      </w:r>
      <w:r>
        <w:t xml:space="preserve"> percent.  </w:t>
      </w:r>
      <w:r w:rsidRPr="001B097F">
        <w:t xml:space="preserve">Therefore, </w:t>
      </w:r>
      <w:r>
        <w:t>we find t</w:t>
      </w:r>
      <w:r w:rsidRPr="001B097F">
        <w:t xml:space="preserve">hat </w:t>
      </w:r>
      <w:r>
        <w:t>1.3496</w:t>
      </w:r>
      <w:r w:rsidRPr="001B097F">
        <w:t xml:space="preserve"> i</w:t>
      </w:r>
      <w:r w:rsidRPr="00B411FC">
        <w:t xml:space="preserve">s the appropriate </w:t>
      </w:r>
      <w:r>
        <w:t>NOI multiplier.</w:t>
      </w:r>
      <w:r w:rsidRPr="00B411FC">
        <w:t xml:space="preserve"> </w:t>
      </w:r>
      <w:r>
        <w:t xml:space="preserve"> </w:t>
      </w:r>
      <w:r w:rsidRPr="00B411FC">
        <w:t xml:space="preserve">The </w:t>
      </w:r>
      <w:r>
        <w:t xml:space="preserve">NOI multiplier </w:t>
      </w:r>
      <w:r w:rsidRPr="00B411FC">
        <w:t>calculation</w:t>
      </w:r>
      <w:r>
        <w:t xml:space="preserve"> is</w:t>
      </w:r>
      <w:r w:rsidRPr="00B411FC">
        <w:t xml:space="preserve"> shown</w:t>
      </w:r>
      <w:r>
        <w:t xml:space="preserve"> in Table 1.</w:t>
      </w:r>
    </w:p>
    <w:p w:rsidR="00445DEA" w:rsidRDefault="00445DEA">
      <w:r>
        <w:br w:type="page"/>
      </w:r>
    </w:p>
    <w:p w:rsidR="00E63D7E" w:rsidRPr="00FF0273" w:rsidRDefault="00E63D7E" w:rsidP="00FF0273">
      <w:pPr>
        <w:jc w:val="center"/>
      </w:pPr>
      <w:r w:rsidRPr="00FF0273">
        <w:lastRenderedPageBreak/>
        <w:t>Table 1</w:t>
      </w:r>
    </w:p>
    <w:p w:rsidR="00E63D7E" w:rsidRPr="00FF0273" w:rsidRDefault="00E63D7E" w:rsidP="00E63D7E">
      <w:pPr>
        <w:keepNext/>
        <w:jc w:val="center"/>
      </w:pPr>
      <w:r w:rsidRPr="00FF0273">
        <w:t>Interim NOI Multiplier</w:t>
      </w:r>
    </w:p>
    <w:tbl>
      <w:tblPr>
        <w:tblStyle w:val="TableGrid1"/>
        <w:tblW w:w="0" w:type="auto"/>
        <w:tblInd w:w="2178" w:type="dxa"/>
        <w:tblLook w:val="04A0" w:firstRow="1" w:lastRow="0" w:firstColumn="1" w:lastColumn="0" w:noHBand="0" w:noVBand="1"/>
      </w:tblPr>
      <w:tblGrid>
        <w:gridCol w:w="3600"/>
        <w:gridCol w:w="1440"/>
      </w:tblGrid>
      <w:tr w:rsidR="00E63D7E" w:rsidRPr="006F3D07" w:rsidTr="00E13D6C">
        <w:tc>
          <w:tcPr>
            <w:tcW w:w="3600" w:type="dxa"/>
            <w:tcBorders>
              <w:top w:val="single" w:sz="4" w:space="0" w:color="auto"/>
              <w:left w:val="single" w:sz="4" w:space="0" w:color="auto"/>
              <w:bottom w:val="single" w:sz="4" w:space="0" w:color="auto"/>
              <w:right w:val="single" w:sz="4" w:space="0" w:color="auto"/>
            </w:tcBorders>
            <w:hideMark/>
          </w:tcPr>
          <w:p w:rsidR="00E63D7E" w:rsidRPr="006F3D07" w:rsidRDefault="00E63D7E" w:rsidP="00E13D6C">
            <w:pPr>
              <w:jc w:val="center"/>
              <w:rPr>
                <w:b/>
                <w:u w:val="single"/>
              </w:rPr>
            </w:pPr>
            <w:r w:rsidRPr="006F3D07">
              <w:rPr>
                <w:b/>
                <w:u w:val="single"/>
              </w:rPr>
              <w:t>Description</w:t>
            </w:r>
          </w:p>
        </w:tc>
        <w:tc>
          <w:tcPr>
            <w:tcW w:w="1440" w:type="dxa"/>
            <w:tcBorders>
              <w:top w:val="single" w:sz="4" w:space="0" w:color="auto"/>
              <w:left w:val="single" w:sz="4" w:space="0" w:color="auto"/>
              <w:bottom w:val="single" w:sz="4" w:space="0" w:color="auto"/>
              <w:right w:val="single" w:sz="4" w:space="0" w:color="auto"/>
            </w:tcBorders>
          </w:tcPr>
          <w:p w:rsidR="00E63D7E" w:rsidRPr="006F3D07" w:rsidRDefault="00E63D7E" w:rsidP="00E13D6C"/>
        </w:tc>
      </w:tr>
      <w:tr w:rsidR="00E63D7E" w:rsidRPr="006F3D07" w:rsidTr="00E13D6C">
        <w:tc>
          <w:tcPr>
            <w:tcW w:w="3600" w:type="dxa"/>
            <w:tcBorders>
              <w:top w:val="single" w:sz="4" w:space="0" w:color="auto"/>
              <w:left w:val="single" w:sz="4" w:space="0" w:color="auto"/>
              <w:bottom w:val="nil"/>
              <w:right w:val="single" w:sz="4" w:space="0" w:color="auto"/>
            </w:tcBorders>
            <w:hideMark/>
          </w:tcPr>
          <w:p w:rsidR="00E63D7E" w:rsidRPr="006F3D07" w:rsidRDefault="00E63D7E" w:rsidP="00E13D6C">
            <w:r w:rsidRPr="006F3D07">
              <w:t>Revenue Requirement</w:t>
            </w:r>
          </w:p>
        </w:tc>
        <w:tc>
          <w:tcPr>
            <w:tcW w:w="1440" w:type="dxa"/>
            <w:tcBorders>
              <w:top w:val="single" w:sz="4" w:space="0" w:color="auto"/>
              <w:left w:val="single" w:sz="4" w:space="0" w:color="auto"/>
              <w:bottom w:val="nil"/>
              <w:right w:val="single" w:sz="4" w:space="0" w:color="auto"/>
            </w:tcBorders>
            <w:hideMark/>
          </w:tcPr>
          <w:p w:rsidR="00E63D7E" w:rsidRPr="006F3D07" w:rsidRDefault="00E63D7E" w:rsidP="00E13D6C">
            <w:pPr>
              <w:jc w:val="right"/>
            </w:pPr>
            <w:r w:rsidRPr="006F3D07">
              <w:t>100.000%</w:t>
            </w:r>
          </w:p>
        </w:tc>
      </w:tr>
      <w:tr w:rsidR="00E63D7E" w:rsidRPr="006F3D07" w:rsidTr="00E13D6C">
        <w:tc>
          <w:tcPr>
            <w:tcW w:w="3600" w:type="dxa"/>
            <w:tcBorders>
              <w:top w:val="nil"/>
              <w:left w:val="single" w:sz="4" w:space="0" w:color="auto"/>
              <w:bottom w:val="nil"/>
              <w:right w:val="single" w:sz="4" w:space="0" w:color="auto"/>
            </w:tcBorders>
            <w:hideMark/>
          </w:tcPr>
          <w:p w:rsidR="00E63D7E" w:rsidRPr="006F3D07" w:rsidRDefault="00E63D7E" w:rsidP="00E13D6C">
            <w:r>
              <w:t xml:space="preserve">Less </w:t>
            </w:r>
            <w:r w:rsidRPr="006F3D07">
              <w:t>Regulatory Assessment Fee</w:t>
            </w:r>
          </w:p>
        </w:tc>
        <w:tc>
          <w:tcPr>
            <w:tcW w:w="1440" w:type="dxa"/>
            <w:tcBorders>
              <w:top w:val="nil"/>
              <w:left w:val="single" w:sz="4" w:space="0" w:color="auto"/>
              <w:bottom w:val="nil"/>
              <w:right w:val="single" w:sz="4" w:space="0" w:color="auto"/>
            </w:tcBorders>
            <w:hideMark/>
          </w:tcPr>
          <w:p w:rsidR="00E63D7E" w:rsidRPr="006F3D07" w:rsidRDefault="00E63D7E" w:rsidP="00E13D6C">
            <w:pPr>
              <w:jc w:val="right"/>
            </w:pPr>
            <w:r>
              <w:t>0.0848</w:t>
            </w:r>
            <w:r w:rsidRPr="006F3D07">
              <w:t>%</w:t>
            </w:r>
          </w:p>
        </w:tc>
      </w:tr>
      <w:tr w:rsidR="00E63D7E" w:rsidRPr="006F3D07" w:rsidTr="00E13D6C">
        <w:tc>
          <w:tcPr>
            <w:tcW w:w="3600" w:type="dxa"/>
            <w:tcBorders>
              <w:top w:val="nil"/>
              <w:left w:val="single" w:sz="4" w:space="0" w:color="auto"/>
              <w:bottom w:val="nil"/>
              <w:right w:val="single" w:sz="4" w:space="0" w:color="auto"/>
            </w:tcBorders>
            <w:hideMark/>
          </w:tcPr>
          <w:p w:rsidR="00E63D7E" w:rsidRPr="006F3D07" w:rsidRDefault="00E63D7E" w:rsidP="006F36F3">
            <w:r>
              <w:t xml:space="preserve">Less </w:t>
            </w:r>
            <w:r w:rsidR="006F36F3">
              <w:t xml:space="preserve">Comm. </w:t>
            </w:r>
            <w:r>
              <w:t xml:space="preserve">Calc. </w:t>
            </w:r>
            <w:r w:rsidRPr="006F3D07">
              <w:t>Bad Debt Rate</w:t>
            </w:r>
          </w:p>
        </w:tc>
        <w:tc>
          <w:tcPr>
            <w:tcW w:w="1440" w:type="dxa"/>
            <w:tcBorders>
              <w:top w:val="nil"/>
              <w:left w:val="single" w:sz="4" w:space="0" w:color="auto"/>
              <w:bottom w:val="nil"/>
              <w:right w:val="single" w:sz="4" w:space="0" w:color="auto"/>
            </w:tcBorders>
            <w:hideMark/>
          </w:tcPr>
          <w:p w:rsidR="00E63D7E" w:rsidRPr="006F3D07" w:rsidRDefault="00E63D7E" w:rsidP="00E13D6C">
            <w:pPr>
              <w:jc w:val="right"/>
              <w:rPr>
                <w:u w:val="single"/>
              </w:rPr>
            </w:pPr>
            <w:r w:rsidRPr="006F3D07">
              <w:rPr>
                <w:u w:val="single"/>
              </w:rPr>
              <w:t>0.</w:t>
            </w:r>
            <w:r>
              <w:rPr>
                <w:u w:val="single"/>
              </w:rPr>
              <w:t>6628</w:t>
            </w:r>
            <w:r w:rsidRPr="006F3D07">
              <w:rPr>
                <w:u w:val="single"/>
              </w:rPr>
              <w:t>%</w:t>
            </w:r>
          </w:p>
        </w:tc>
      </w:tr>
      <w:tr w:rsidR="00E63D7E" w:rsidRPr="006F3D07" w:rsidTr="00E13D6C">
        <w:tc>
          <w:tcPr>
            <w:tcW w:w="3600" w:type="dxa"/>
            <w:tcBorders>
              <w:top w:val="nil"/>
              <w:left w:val="single" w:sz="4" w:space="0" w:color="auto"/>
              <w:bottom w:val="nil"/>
              <w:right w:val="single" w:sz="4" w:space="0" w:color="auto"/>
            </w:tcBorders>
            <w:hideMark/>
          </w:tcPr>
          <w:p w:rsidR="00E63D7E" w:rsidRPr="006F3D07" w:rsidRDefault="00E63D7E" w:rsidP="00E13D6C">
            <w:r w:rsidRPr="006F3D07">
              <w:t>Net Before Income Tax</w:t>
            </w:r>
            <w:r>
              <w:t>es</w:t>
            </w:r>
          </w:p>
        </w:tc>
        <w:tc>
          <w:tcPr>
            <w:tcW w:w="1440" w:type="dxa"/>
            <w:tcBorders>
              <w:top w:val="nil"/>
              <w:left w:val="single" w:sz="4" w:space="0" w:color="auto"/>
              <w:bottom w:val="nil"/>
              <w:right w:val="single" w:sz="4" w:space="0" w:color="auto"/>
            </w:tcBorders>
            <w:hideMark/>
          </w:tcPr>
          <w:p w:rsidR="00E63D7E" w:rsidRPr="006F3D07" w:rsidRDefault="00E63D7E" w:rsidP="00E13D6C">
            <w:pPr>
              <w:jc w:val="right"/>
            </w:pPr>
            <w:r>
              <w:t>99.252</w:t>
            </w:r>
            <w:r w:rsidRPr="006F3D07">
              <w:t>%</w:t>
            </w:r>
          </w:p>
        </w:tc>
      </w:tr>
      <w:tr w:rsidR="00E63D7E" w:rsidRPr="006F3D07" w:rsidTr="00E13D6C">
        <w:tc>
          <w:tcPr>
            <w:tcW w:w="3600" w:type="dxa"/>
            <w:tcBorders>
              <w:top w:val="nil"/>
              <w:left w:val="single" w:sz="4" w:space="0" w:color="auto"/>
              <w:bottom w:val="nil"/>
              <w:right w:val="single" w:sz="4" w:space="0" w:color="auto"/>
            </w:tcBorders>
            <w:hideMark/>
          </w:tcPr>
          <w:p w:rsidR="00E63D7E" w:rsidRPr="006F3D07" w:rsidRDefault="00E63D7E" w:rsidP="00E13D6C">
            <w:r>
              <w:t xml:space="preserve">Less </w:t>
            </w:r>
            <w:r w:rsidRPr="006F3D07">
              <w:t>State Income Tax @ 5.5%</w:t>
            </w:r>
          </w:p>
        </w:tc>
        <w:tc>
          <w:tcPr>
            <w:tcW w:w="1440" w:type="dxa"/>
            <w:tcBorders>
              <w:top w:val="nil"/>
              <w:left w:val="single" w:sz="4" w:space="0" w:color="auto"/>
              <w:bottom w:val="nil"/>
              <w:right w:val="single" w:sz="4" w:space="0" w:color="auto"/>
            </w:tcBorders>
            <w:hideMark/>
          </w:tcPr>
          <w:p w:rsidR="00E63D7E" w:rsidRPr="006F3D07" w:rsidRDefault="00E63D7E" w:rsidP="00E13D6C">
            <w:pPr>
              <w:jc w:val="right"/>
            </w:pPr>
            <w:r>
              <w:t>5.459</w:t>
            </w:r>
            <w:r w:rsidRPr="006F3D07">
              <w:t>%</w:t>
            </w:r>
          </w:p>
        </w:tc>
      </w:tr>
      <w:tr w:rsidR="00E63D7E" w:rsidRPr="006F3D07" w:rsidTr="00E13D6C">
        <w:tc>
          <w:tcPr>
            <w:tcW w:w="3600" w:type="dxa"/>
            <w:tcBorders>
              <w:top w:val="nil"/>
              <w:left w:val="single" w:sz="4" w:space="0" w:color="auto"/>
              <w:bottom w:val="nil"/>
              <w:right w:val="single" w:sz="4" w:space="0" w:color="auto"/>
            </w:tcBorders>
          </w:tcPr>
          <w:p w:rsidR="00E63D7E" w:rsidRDefault="00E63D7E" w:rsidP="00E13D6C">
            <w:r w:rsidRPr="006F3D07">
              <w:t xml:space="preserve">Net Before </w:t>
            </w:r>
            <w:r>
              <w:t xml:space="preserve">Federal </w:t>
            </w:r>
            <w:r w:rsidRPr="006F3D07">
              <w:t>Income Tax</w:t>
            </w:r>
          </w:p>
        </w:tc>
        <w:tc>
          <w:tcPr>
            <w:tcW w:w="1440" w:type="dxa"/>
            <w:tcBorders>
              <w:top w:val="nil"/>
              <w:left w:val="single" w:sz="4" w:space="0" w:color="auto"/>
              <w:bottom w:val="nil"/>
              <w:right w:val="single" w:sz="4" w:space="0" w:color="auto"/>
            </w:tcBorders>
          </w:tcPr>
          <w:p w:rsidR="00E63D7E" w:rsidRDefault="00E63D7E" w:rsidP="00E13D6C">
            <w:pPr>
              <w:jc w:val="right"/>
            </w:pPr>
            <w:r>
              <w:t>93.79</w:t>
            </w:r>
            <w:r w:rsidRPr="00BD4915">
              <w:t>4%</w:t>
            </w:r>
          </w:p>
        </w:tc>
      </w:tr>
      <w:tr w:rsidR="00E63D7E" w:rsidRPr="006F3D07" w:rsidTr="00E13D6C">
        <w:tc>
          <w:tcPr>
            <w:tcW w:w="3600" w:type="dxa"/>
            <w:tcBorders>
              <w:top w:val="nil"/>
              <w:left w:val="single" w:sz="4" w:space="0" w:color="auto"/>
              <w:bottom w:val="nil"/>
              <w:right w:val="single" w:sz="4" w:space="0" w:color="auto"/>
            </w:tcBorders>
            <w:hideMark/>
          </w:tcPr>
          <w:p w:rsidR="00E63D7E" w:rsidRPr="006F3D07" w:rsidRDefault="00E63D7E" w:rsidP="00E13D6C">
            <w:r>
              <w:t xml:space="preserve">Less </w:t>
            </w:r>
            <w:r w:rsidRPr="006F3D07">
              <w:t>Federal Income Tax @ 21%</w:t>
            </w:r>
          </w:p>
        </w:tc>
        <w:tc>
          <w:tcPr>
            <w:tcW w:w="1440" w:type="dxa"/>
            <w:tcBorders>
              <w:top w:val="nil"/>
              <w:left w:val="single" w:sz="4" w:space="0" w:color="auto"/>
              <w:bottom w:val="nil"/>
              <w:right w:val="single" w:sz="4" w:space="0" w:color="auto"/>
            </w:tcBorders>
            <w:hideMark/>
          </w:tcPr>
          <w:p w:rsidR="00E63D7E" w:rsidRPr="006F3D07" w:rsidRDefault="00E63D7E" w:rsidP="00E13D6C">
            <w:pPr>
              <w:jc w:val="right"/>
              <w:rPr>
                <w:u w:val="single"/>
              </w:rPr>
            </w:pPr>
            <w:r>
              <w:rPr>
                <w:u w:val="single"/>
              </w:rPr>
              <w:t>19.697</w:t>
            </w:r>
            <w:r w:rsidRPr="006F3D07">
              <w:rPr>
                <w:u w:val="single"/>
              </w:rPr>
              <w:t>%</w:t>
            </w:r>
          </w:p>
        </w:tc>
      </w:tr>
      <w:tr w:rsidR="00E63D7E" w:rsidRPr="006F3D07" w:rsidTr="00E13D6C">
        <w:tc>
          <w:tcPr>
            <w:tcW w:w="3600" w:type="dxa"/>
            <w:tcBorders>
              <w:top w:val="nil"/>
              <w:left w:val="single" w:sz="4" w:space="0" w:color="auto"/>
              <w:bottom w:val="nil"/>
              <w:right w:val="single" w:sz="4" w:space="0" w:color="auto"/>
            </w:tcBorders>
            <w:hideMark/>
          </w:tcPr>
          <w:p w:rsidR="00E63D7E" w:rsidRPr="006F3D07" w:rsidRDefault="00E63D7E" w:rsidP="00E13D6C">
            <w:r w:rsidRPr="006F3D07">
              <w:t>Revenue Expansion Factor</w:t>
            </w:r>
          </w:p>
        </w:tc>
        <w:tc>
          <w:tcPr>
            <w:tcW w:w="1440" w:type="dxa"/>
            <w:tcBorders>
              <w:top w:val="nil"/>
              <w:left w:val="single" w:sz="4" w:space="0" w:color="auto"/>
              <w:bottom w:val="nil"/>
              <w:right w:val="single" w:sz="4" w:space="0" w:color="auto"/>
            </w:tcBorders>
            <w:hideMark/>
          </w:tcPr>
          <w:p w:rsidR="00E63D7E" w:rsidRPr="006F3D07" w:rsidRDefault="00E63D7E" w:rsidP="00E13D6C">
            <w:pPr>
              <w:jc w:val="right"/>
              <w:rPr>
                <w:u w:val="thick"/>
              </w:rPr>
            </w:pPr>
            <w:r>
              <w:rPr>
                <w:u w:val="thick"/>
              </w:rPr>
              <w:t>74.097</w:t>
            </w:r>
            <w:r w:rsidRPr="006F3D07">
              <w:rPr>
                <w:u w:val="thick"/>
              </w:rPr>
              <w:t>%</w:t>
            </w:r>
          </w:p>
        </w:tc>
      </w:tr>
      <w:tr w:rsidR="00E63D7E" w:rsidRPr="006F3D07" w:rsidTr="00E13D6C">
        <w:tc>
          <w:tcPr>
            <w:tcW w:w="3600" w:type="dxa"/>
            <w:tcBorders>
              <w:top w:val="nil"/>
              <w:left w:val="single" w:sz="4" w:space="0" w:color="auto"/>
              <w:bottom w:val="single" w:sz="4" w:space="0" w:color="auto"/>
              <w:right w:val="single" w:sz="4" w:space="0" w:color="auto"/>
            </w:tcBorders>
            <w:hideMark/>
          </w:tcPr>
          <w:p w:rsidR="00E63D7E" w:rsidRPr="006F3D07" w:rsidRDefault="00E63D7E" w:rsidP="00E13D6C">
            <w:r>
              <w:t>NOI Multiplier (100/</w:t>
            </w:r>
            <w:r w:rsidRPr="00CF4D60">
              <w:t>74.</w:t>
            </w:r>
            <w:r>
              <w:t>097</w:t>
            </w:r>
            <w:r w:rsidRPr="006F3D07">
              <w:t>)</w:t>
            </w:r>
          </w:p>
        </w:tc>
        <w:tc>
          <w:tcPr>
            <w:tcW w:w="1440" w:type="dxa"/>
            <w:tcBorders>
              <w:top w:val="nil"/>
              <w:left w:val="single" w:sz="4" w:space="0" w:color="auto"/>
              <w:bottom w:val="single" w:sz="4" w:space="0" w:color="auto"/>
              <w:right w:val="single" w:sz="4" w:space="0" w:color="auto"/>
            </w:tcBorders>
            <w:hideMark/>
          </w:tcPr>
          <w:p w:rsidR="00E63D7E" w:rsidRPr="006F3D07" w:rsidRDefault="00E63D7E" w:rsidP="00E13D6C">
            <w:pPr>
              <w:jc w:val="right"/>
              <w:rPr>
                <w:u w:val="thick"/>
              </w:rPr>
            </w:pPr>
            <w:r>
              <w:rPr>
                <w:u w:val="thick"/>
              </w:rPr>
              <w:t>1.3496</w:t>
            </w:r>
          </w:p>
        </w:tc>
      </w:tr>
    </w:tbl>
    <w:p w:rsidR="00E63D7E" w:rsidRDefault="00E63D7E" w:rsidP="00E63D7E">
      <w:pPr>
        <w:pStyle w:val="BodyText"/>
      </w:pPr>
    </w:p>
    <w:p w:rsidR="00C21821" w:rsidRPr="00C21821" w:rsidRDefault="00C21821" w:rsidP="00E63D7E">
      <w:pPr>
        <w:pStyle w:val="BodyText"/>
        <w:rPr>
          <w:u w:val="single"/>
        </w:rPr>
      </w:pPr>
      <w:r>
        <w:tab/>
      </w:r>
      <w:r>
        <w:rPr>
          <w:u w:val="single"/>
        </w:rPr>
        <w:t xml:space="preserve">Interim </w:t>
      </w:r>
      <w:r w:rsidR="001D7DB0">
        <w:rPr>
          <w:u w:val="single"/>
        </w:rPr>
        <w:t>Revenue Increase Request</w:t>
      </w:r>
    </w:p>
    <w:p w:rsidR="00E63D7E" w:rsidRDefault="00E63D7E" w:rsidP="00FF0273">
      <w:pPr>
        <w:pStyle w:val="BodyText"/>
        <w:ind w:firstLine="720"/>
        <w:jc w:val="both"/>
      </w:pPr>
      <w:r>
        <w:t xml:space="preserve">FPUC requested interim rate relief in the amount of $1,812,869. </w:t>
      </w:r>
      <w:r w:rsidR="00FF0273">
        <w:t xml:space="preserve"> </w:t>
      </w:r>
      <w:r>
        <w:t xml:space="preserve">As discussed </w:t>
      </w:r>
      <w:r w:rsidR="00FF0273">
        <w:t>above</w:t>
      </w:r>
      <w:r>
        <w:t xml:space="preserve">, </w:t>
      </w:r>
      <w:r w:rsidR="00FF0273">
        <w:t>we have approved an</w:t>
      </w:r>
      <w:r>
        <w:t xml:space="preserve"> adjustment to the NOI multiplier.</w:t>
      </w:r>
      <w:r w:rsidR="00FF0273">
        <w:t xml:space="preserve">  </w:t>
      </w:r>
      <w:r>
        <w:t xml:space="preserve">The application of the revised NOI multiplier results in a new interim revenue increase of $1,815,448, for a difference of $2,579. However, </w:t>
      </w:r>
      <w:r w:rsidR="00FF0273">
        <w:t xml:space="preserve">we find it appropriate to </w:t>
      </w:r>
      <w:r>
        <w:t>limit</w:t>
      </w:r>
      <w:r w:rsidR="00FF0273">
        <w:t xml:space="preserve"> the increase</w:t>
      </w:r>
      <w:r>
        <w:t xml:space="preserve"> to only the Company’s requested interim amount of $1,812,869. </w:t>
      </w:r>
    </w:p>
    <w:p w:rsidR="00E63D7E" w:rsidRDefault="00FF0273" w:rsidP="00FF0273">
      <w:pPr>
        <w:pStyle w:val="BodyText"/>
        <w:ind w:firstLine="720"/>
        <w:jc w:val="both"/>
      </w:pPr>
      <w:r>
        <w:t>T</w:t>
      </w:r>
      <w:r w:rsidR="00E63D7E">
        <w:t>he Company’s requested revenue increase w</w:t>
      </w:r>
      <w:r>
        <w:t>ill</w:t>
      </w:r>
      <w:r w:rsidR="00E63D7E">
        <w:t xml:space="preserve"> allow FPUC an opportunity to earn an overall rate of return of 4.95 percent. </w:t>
      </w:r>
      <w:r>
        <w:t xml:space="preserve"> </w:t>
      </w:r>
      <w:r w:rsidR="00E63D7E">
        <w:t>The overall rate of return of 4.95 percent is calculated using a return on equity of 9.25 percent which is the bottom of FPUC’s currently authorized range.</w:t>
      </w:r>
      <w:r w:rsidR="00E63D7E">
        <w:rPr>
          <w:rStyle w:val="FootnoteReference"/>
        </w:rPr>
        <w:footnoteReference w:id="6"/>
      </w:r>
    </w:p>
    <w:p w:rsidR="001D7DB0" w:rsidRDefault="00E63D7E" w:rsidP="001D7DB0">
      <w:pPr>
        <w:pStyle w:val="BodyText"/>
        <w:ind w:firstLine="720"/>
        <w:jc w:val="both"/>
      </w:pPr>
      <w:r>
        <w:t xml:space="preserve">After a determination on the permanent rate increase has been made, the interim revenue will be reviewed to determine if any portion should be refunded to customers. The calculation of the interim revenue increase is shown in Table </w:t>
      </w:r>
      <w:r w:rsidR="001D7DB0">
        <w:t>2</w:t>
      </w:r>
      <w:r w:rsidR="00FF0273">
        <w:t>.</w:t>
      </w:r>
    </w:p>
    <w:p w:rsidR="001D7DB0" w:rsidRDefault="00E63D7E" w:rsidP="00A018F2">
      <w:pPr>
        <w:pStyle w:val="BodyText"/>
        <w:spacing w:after="0"/>
        <w:jc w:val="center"/>
      </w:pPr>
      <w:r w:rsidRPr="00FF0273">
        <w:t xml:space="preserve">Table </w:t>
      </w:r>
      <w:r w:rsidR="001D7DB0">
        <w:t>2</w:t>
      </w:r>
    </w:p>
    <w:p w:rsidR="00E63D7E" w:rsidRPr="00FF0273" w:rsidRDefault="00E63D7E" w:rsidP="00A018F2">
      <w:pPr>
        <w:pStyle w:val="BodyText"/>
        <w:spacing w:after="0"/>
        <w:jc w:val="center"/>
        <w:rPr>
          <w:b/>
        </w:rPr>
      </w:pPr>
      <w:r w:rsidRPr="00FF0273">
        <w:t>Interim Revenue Increase</w:t>
      </w:r>
    </w:p>
    <w:tbl>
      <w:tblPr>
        <w:tblStyle w:val="TableGrid"/>
        <w:tblW w:w="0" w:type="auto"/>
        <w:tblInd w:w="1638" w:type="dxa"/>
        <w:tblLook w:val="04A0" w:firstRow="1" w:lastRow="0" w:firstColumn="1" w:lastColumn="0" w:noHBand="0" w:noVBand="1"/>
      </w:tblPr>
      <w:tblGrid>
        <w:gridCol w:w="4950"/>
        <w:gridCol w:w="1710"/>
      </w:tblGrid>
      <w:tr w:rsidR="00E63D7E" w:rsidTr="00E13D6C">
        <w:tc>
          <w:tcPr>
            <w:tcW w:w="4950" w:type="dxa"/>
            <w:tcBorders>
              <w:top w:val="single" w:sz="4" w:space="0" w:color="auto"/>
              <w:left w:val="single" w:sz="4" w:space="0" w:color="auto"/>
              <w:bottom w:val="single" w:sz="4" w:space="0" w:color="auto"/>
              <w:right w:val="single" w:sz="4" w:space="0" w:color="auto"/>
            </w:tcBorders>
            <w:hideMark/>
          </w:tcPr>
          <w:p w:rsidR="00E63D7E" w:rsidRDefault="00E63D7E" w:rsidP="00FF0273">
            <w:pPr>
              <w:jc w:val="both"/>
              <w:rPr>
                <w:b/>
                <w:u w:val="single"/>
              </w:rPr>
            </w:pPr>
            <w:r>
              <w:rPr>
                <w:b/>
                <w:u w:val="single"/>
              </w:rPr>
              <w:t>Description</w:t>
            </w:r>
          </w:p>
        </w:tc>
        <w:tc>
          <w:tcPr>
            <w:tcW w:w="1710" w:type="dxa"/>
            <w:tcBorders>
              <w:top w:val="single" w:sz="4" w:space="0" w:color="auto"/>
              <w:left w:val="single" w:sz="4" w:space="0" w:color="auto"/>
              <w:bottom w:val="single" w:sz="4" w:space="0" w:color="auto"/>
              <w:right w:val="single" w:sz="4" w:space="0" w:color="auto"/>
            </w:tcBorders>
          </w:tcPr>
          <w:p w:rsidR="00E63D7E" w:rsidRDefault="00E63D7E" w:rsidP="00FF0273">
            <w:pPr>
              <w:jc w:val="both"/>
            </w:pPr>
          </w:p>
        </w:tc>
      </w:tr>
      <w:tr w:rsidR="00E63D7E" w:rsidTr="00E13D6C">
        <w:tc>
          <w:tcPr>
            <w:tcW w:w="4950" w:type="dxa"/>
            <w:tcBorders>
              <w:top w:val="single" w:sz="4" w:space="0" w:color="auto"/>
              <w:left w:val="single" w:sz="4" w:space="0" w:color="auto"/>
              <w:bottom w:val="nil"/>
              <w:right w:val="single" w:sz="4" w:space="0" w:color="auto"/>
            </w:tcBorders>
            <w:hideMark/>
          </w:tcPr>
          <w:p w:rsidR="00E63D7E" w:rsidRDefault="00E63D7E" w:rsidP="00FF0273">
            <w:pPr>
              <w:jc w:val="both"/>
            </w:pPr>
            <w:r>
              <w:t>Jurisdictional Adjusted Rate Base</w:t>
            </w:r>
          </w:p>
        </w:tc>
        <w:tc>
          <w:tcPr>
            <w:tcW w:w="1710" w:type="dxa"/>
            <w:tcBorders>
              <w:top w:val="single" w:sz="4" w:space="0" w:color="auto"/>
              <w:left w:val="single" w:sz="4" w:space="0" w:color="auto"/>
              <w:bottom w:val="nil"/>
              <w:right w:val="single" w:sz="4" w:space="0" w:color="auto"/>
            </w:tcBorders>
            <w:hideMark/>
          </w:tcPr>
          <w:p w:rsidR="00E63D7E" w:rsidRDefault="00E63D7E" w:rsidP="00FF0273">
            <w:pPr>
              <w:jc w:val="both"/>
            </w:pPr>
            <w:r>
              <w:t>$116,666,956</w:t>
            </w:r>
          </w:p>
        </w:tc>
      </w:tr>
      <w:tr w:rsidR="00E63D7E" w:rsidTr="00E13D6C">
        <w:tc>
          <w:tcPr>
            <w:tcW w:w="4950" w:type="dxa"/>
            <w:tcBorders>
              <w:top w:val="nil"/>
              <w:left w:val="single" w:sz="4" w:space="0" w:color="auto"/>
              <w:bottom w:val="nil"/>
              <w:right w:val="single" w:sz="4" w:space="0" w:color="auto"/>
            </w:tcBorders>
            <w:hideMark/>
          </w:tcPr>
          <w:p w:rsidR="00E63D7E" w:rsidRDefault="00E63D7E" w:rsidP="00FF0273">
            <w:pPr>
              <w:jc w:val="both"/>
            </w:pPr>
            <w:r>
              <w:t>Overall Rate of Return</w:t>
            </w:r>
          </w:p>
        </w:tc>
        <w:tc>
          <w:tcPr>
            <w:tcW w:w="1710" w:type="dxa"/>
            <w:tcBorders>
              <w:top w:val="nil"/>
              <w:left w:val="single" w:sz="4" w:space="0" w:color="auto"/>
              <w:bottom w:val="nil"/>
              <w:right w:val="single" w:sz="4" w:space="0" w:color="auto"/>
            </w:tcBorders>
            <w:hideMark/>
          </w:tcPr>
          <w:p w:rsidR="00E63D7E" w:rsidRDefault="00E63D7E" w:rsidP="00FF0273">
            <w:pPr>
              <w:jc w:val="both"/>
              <w:rPr>
                <w:u w:val="single"/>
              </w:rPr>
            </w:pPr>
            <w:r>
              <w:rPr>
                <w:u w:val="single"/>
              </w:rPr>
              <w:t>4.95%</w:t>
            </w:r>
          </w:p>
        </w:tc>
      </w:tr>
      <w:tr w:rsidR="00E63D7E" w:rsidTr="00E13D6C">
        <w:tc>
          <w:tcPr>
            <w:tcW w:w="4950" w:type="dxa"/>
            <w:tcBorders>
              <w:top w:val="nil"/>
              <w:left w:val="single" w:sz="4" w:space="0" w:color="auto"/>
              <w:bottom w:val="nil"/>
              <w:right w:val="single" w:sz="4" w:space="0" w:color="auto"/>
            </w:tcBorders>
            <w:hideMark/>
          </w:tcPr>
          <w:p w:rsidR="00E63D7E" w:rsidRDefault="00E63D7E" w:rsidP="00FF0273">
            <w:pPr>
              <w:jc w:val="both"/>
            </w:pPr>
            <w:r>
              <w:t>Jurisdictional Net Operating Income Requested</w:t>
            </w:r>
          </w:p>
        </w:tc>
        <w:tc>
          <w:tcPr>
            <w:tcW w:w="1710" w:type="dxa"/>
            <w:tcBorders>
              <w:top w:val="nil"/>
              <w:left w:val="single" w:sz="4" w:space="0" w:color="auto"/>
              <w:bottom w:val="nil"/>
              <w:right w:val="single" w:sz="4" w:space="0" w:color="auto"/>
            </w:tcBorders>
            <w:hideMark/>
          </w:tcPr>
          <w:p w:rsidR="00E63D7E" w:rsidRDefault="00E63D7E" w:rsidP="00FF0273">
            <w:pPr>
              <w:jc w:val="both"/>
            </w:pPr>
            <w:r>
              <w:t>$5,775,014</w:t>
            </w:r>
          </w:p>
        </w:tc>
      </w:tr>
      <w:tr w:rsidR="00E63D7E" w:rsidTr="00E13D6C">
        <w:tc>
          <w:tcPr>
            <w:tcW w:w="4950" w:type="dxa"/>
            <w:tcBorders>
              <w:top w:val="nil"/>
              <w:left w:val="single" w:sz="4" w:space="0" w:color="auto"/>
              <w:bottom w:val="nil"/>
              <w:right w:val="single" w:sz="4" w:space="0" w:color="auto"/>
            </w:tcBorders>
            <w:hideMark/>
          </w:tcPr>
          <w:p w:rsidR="00E63D7E" w:rsidRDefault="00E63D7E" w:rsidP="00FF0273">
            <w:pPr>
              <w:jc w:val="both"/>
            </w:pPr>
            <w:r>
              <w:t>Jurisdictional Adjusted Net Operating Income</w:t>
            </w:r>
          </w:p>
        </w:tc>
        <w:tc>
          <w:tcPr>
            <w:tcW w:w="1710" w:type="dxa"/>
            <w:tcBorders>
              <w:top w:val="nil"/>
              <w:left w:val="single" w:sz="4" w:space="0" w:color="auto"/>
              <w:bottom w:val="nil"/>
              <w:right w:val="single" w:sz="4" w:space="0" w:color="auto"/>
            </w:tcBorders>
            <w:hideMark/>
          </w:tcPr>
          <w:p w:rsidR="00E63D7E" w:rsidRPr="00CD2F0F" w:rsidRDefault="00E63D7E" w:rsidP="00FF0273">
            <w:pPr>
              <w:jc w:val="both"/>
              <w:rPr>
                <w:u w:val="single"/>
              </w:rPr>
            </w:pPr>
            <w:r w:rsidRPr="00CD2F0F">
              <w:rPr>
                <w:u w:val="single"/>
              </w:rPr>
              <w:t>$4,429,839</w:t>
            </w:r>
          </w:p>
        </w:tc>
      </w:tr>
      <w:tr w:rsidR="00E63D7E" w:rsidTr="00E13D6C">
        <w:tc>
          <w:tcPr>
            <w:tcW w:w="4950" w:type="dxa"/>
            <w:tcBorders>
              <w:top w:val="nil"/>
              <w:left w:val="single" w:sz="4" w:space="0" w:color="auto"/>
              <w:bottom w:val="nil"/>
              <w:right w:val="single" w:sz="4" w:space="0" w:color="auto"/>
            </w:tcBorders>
            <w:hideMark/>
          </w:tcPr>
          <w:p w:rsidR="00E63D7E" w:rsidRDefault="00E63D7E" w:rsidP="00FF0273">
            <w:pPr>
              <w:jc w:val="both"/>
            </w:pPr>
            <w:r>
              <w:t>Revenue Deficiency</w:t>
            </w:r>
          </w:p>
        </w:tc>
        <w:tc>
          <w:tcPr>
            <w:tcW w:w="1710" w:type="dxa"/>
            <w:tcBorders>
              <w:top w:val="nil"/>
              <w:left w:val="single" w:sz="4" w:space="0" w:color="auto"/>
              <w:bottom w:val="nil"/>
              <w:right w:val="single" w:sz="4" w:space="0" w:color="auto"/>
            </w:tcBorders>
            <w:hideMark/>
          </w:tcPr>
          <w:p w:rsidR="00E63D7E" w:rsidRDefault="00E63D7E" w:rsidP="00FF0273">
            <w:pPr>
              <w:jc w:val="both"/>
            </w:pPr>
            <w:r>
              <w:t>$1,345,175</w:t>
            </w:r>
          </w:p>
        </w:tc>
      </w:tr>
      <w:tr w:rsidR="00E63D7E" w:rsidTr="00E13D6C">
        <w:tc>
          <w:tcPr>
            <w:tcW w:w="4950" w:type="dxa"/>
            <w:tcBorders>
              <w:top w:val="nil"/>
              <w:left w:val="single" w:sz="4" w:space="0" w:color="auto"/>
              <w:bottom w:val="nil"/>
              <w:right w:val="single" w:sz="4" w:space="0" w:color="auto"/>
            </w:tcBorders>
            <w:hideMark/>
          </w:tcPr>
          <w:p w:rsidR="00E63D7E" w:rsidRDefault="00E63D7E" w:rsidP="00FF0273">
            <w:pPr>
              <w:jc w:val="both"/>
            </w:pPr>
            <w:r>
              <w:t>As-Filed Net Operating Income Multiplier</w:t>
            </w:r>
          </w:p>
        </w:tc>
        <w:tc>
          <w:tcPr>
            <w:tcW w:w="1710" w:type="dxa"/>
            <w:tcBorders>
              <w:top w:val="nil"/>
              <w:left w:val="single" w:sz="4" w:space="0" w:color="auto"/>
              <w:bottom w:val="nil"/>
              <w:right w:val="single" w:sz="4" w:space="0" w:color="auto"/>
            </w:tcBorders>
            <w:hideMark/>
          </w:tcPr>
          <w:p w:rsidR="00E63D7E" w:rsidRDefault="00E63D7E" w:rsidP="00FF0273">
            <w:pPr>
              <w:jc w:val="both"/>
              <w:rPr>
                <w:u w:val="single"/>
              </w:rPr>
            </w:pPr>
            <w:r>
              <w:rPr>
                <w:u w:val="single"/>
              </w:rPr>
              <w:t>1.3477</w:t>
            </w:r>
          </w:p>
        </w:tc>
      </w:tr>
      <w:tr w:rsidR="00E63D7E" w:rsidTr="00E13D6C">
        <w:tc>
          <w:tcPr>
            <w:tcW w:w="4950" w:type="dxa"/>
            <w:tcBorders>
              <w:top w:val="nil"/>
              <w:left w:val="single" w:sz="4" w:space="0" w:color="auto"/>
              <w:bottom w:val="nil"/>
              <w:right w:val="single" w:sz="4" w:space="0" w:color="auto"/>
            </w:tcBorders>
            <w:hideMark/>
          </w:tcPr>
          <w:p w:rsidR="00E63D7E" w:rsidRDefault="00E63D7E" w:rsidP="00FF0273">
            <w:pPr>
              <w:jc w:val="both"/>
            </w:pPr>
            <w:r>
              <w:t>Interim Revenue Increase</w:t>
            </w:r>
          </w:p>
        </w:tc>
        <w:tc>
          <w:tcPr>
            <w:tcW w:w="1710" w:type="dxa"/>
            <w:tcBorders>
              <w:top w:val="nil"/>
              <w:left w:val="single" w:sz="4" w:space="0" w:color="auto"/>
              <w:bottom w:val="nil"/>
              <w:right w:val="single" w:sz="4" w:space="0" w:color="auto"/>
            </w:tcBorders>
            <w:hideMark/>
          </w:tcPr>
          <w:p w:rsidR="00E63D7E" w:rsidRPr="002362BD" w:rsidRDefault="00E63D7E" w:rsidP="00FF0273">
            <w:pPr>
              <w:jc w:val="both"/>
              <w:rPr>
                <w:u w:val="single"/>
              </w:rPr>
            </w:pPr>
            <w:r w:rsidRPr="002362BD">
              <w:rPr>
                <w:u w:val="single"/>
              </w:rPr>
              <w:t>$1,812,869</w:t>
            </w:r>
          </w:p>
        </w:tc>
      </w:tr>
      <w:tr w:rsidR="00E63D7E" w:rsidTr="00E13D6C">
        <w:tc>
          <w:tcPr>
            <w:tcW w:w="4950" w:type="dxa"/>
            <w:tcBorders>
              <w:top w:val="nil"/>
              <w:left w:val="single" w:sz="4" w:space="0" w:color="auto"/>
              <w:bottom w:val="nil"/>
              <w:right w:val="single" w:sz="4" w:space="0" w:color="auto"/>
            </w:tcBorders>
            <w:hideMark/>
          </w:tcPr>
          <w:p w:rsidR="00E63D7E" w:rsidRDefault="00E63D7E" w:rsidP="00FF0273">
            <w:pPr>
              <w:jc w:val="both"/>
            </w:pPr>
            <w:r>
              <w:t>Base Rate Revenues</w:t>
            </w:r>
          </w:p>
        </w:tc>
        <w:tc>
          <w:tcPr>
            <w:tcW w:w="1710" w:type="dxa"/>
            <w:tcBorders>
              <w:top w:val="nil"/>
              <w:left w:val="single" w:sz="4" w:space="0" w:color="auto"/>
              <w:bottom w:val="nil"/>
              <w:right w:val="single" w:sz="4" w:space="0" w:color="auto"/>
            </w:tcBorders>
            <w:hideMark/>
          </w:tcPr>
          <w:p w:rsidR="00E63D7E" w:rsidRPr="00BB4633" w:rsidRDefault="00E63D7E" w:rsidP="00FF0273">
            <w:pPr>
              <w:jc w:val="both"/>
              <w:rPr>
                <w:u w:val="single"/>
              </w:rPr>
            </w:pPr>
            <w:r w:rsidRPr="00BB4633">
              <w:rPr>
                <w:u w:val="single"/>
              </w:rPr>
              <w:t>$24,525,209</w:t>
            </w:r>
          </w:p>
        </w:tc>
      </w:tr>
      <w:tr w:rsidR="00E63D7E" w:rsidTr="00E13D6C">
        <w:tc>
          <w:tcPr>
            <w:tcW w:w="4950" w:type="dxa"/>
            <w:tcBorders>
              <w:top w:val="nil"/>
              <w:left w:val="single" w:sz="4" w:space="0" w:color="auto"/>
              <w:bottom w:val="single" w:sz="4" w:space="0" w:color="auto"/>
              <w:right w:val="single" w:sz="4" w:space="0" w:color="auto"/>
            </w:tcBorders>
            <w:hideMark/>
          </w:tcPr>
          <w:p w:rsidR="00E63D7E" w:rsidRDefault="006F36F3" w:rsidP="00FF0273">
            <w:pPr>
              <w:jc w:val="both"/>
            </w:pPr>
            <w:r>
              <w:t xml:space="preserve">Approved </w:t>
            </w:r>
            <w:r w:rsidR="00E63D7E">
              <w:t>Percentage Increase</w:t>
            </w:r>
          </w:p>
        </w:tc>
        <w:tc>
          <w:tcPr>
            <w:tcW w:w="1710" w:type="dxa"/>
            <w:tcBorders>
              <w:top w:val="nil"/>
              <w:left w:val="single" w:sz="4" w:space="0" w:color="auto"/>
              <w:bottom w:val="single" w:sz="4" w:space="0" w:color="auto"/>
              <w:right w:val="single" w:sz="4" w:space="0" w:color="auto"/>
            </w:tcBorders>
            <w:hideMark/>
          </w:tcPr>
          <w:p w:rsidR="00E63D7E" w:rsidRDefault="00E63D7E" w:rsidP="00FF0273">
            <w:pPr>
              <w:jc w:val="both"/>
            </w:pPr>
            <w:r>
              <w:t>7.39%</w:t>
            </w:r>
          </w:p>
        </w:tc>
      </w:tr>
    </w:tbl>
    <w:p w:rsidR="00FF0273" w:rsidRDefault="00FF0273" w:rsidP="00FF0273">
      <w:pPr>
        <w:pStyle w:val="BodyText"/>
        <w:ind w:left="2160" w:firstLine="720"/>
        <w:jc w:val="both"/>
      </w:pPr>
    </w:p>
    <w:p w:rsidR="00445DEA" w:rsidRDefault="00445DEA">
      <w:pPr>
        <w:rPr>
          <w:u w:val="single"/>
        </w:rPr>
      </w:pPr>
      <w:r>
        <w:rPr>
          <w:u w:val="single"/>
        </w:rPr>
        <w:br w:type="page"/>
      </w:r>
    </w:p>
    <w:p w:rsidR="00C21821" w:rsidRPr="00C21821" w:rsidRDefault="00C21821" w:rsidP="00FF0273">
      <w:pPr>
        <w:pStyle w:val="BodyText"/>
        <w:ind w:firstLine="720"/>
        <w:jc w:val="both"/>
        <w:rPr>
          <w:u w:val="single"/>
        </w:rPr>
      </w:pPr>
      <w:r>
        <w:rPr>
          <w:u w:val="single"/>
        </w:rPr>
        <w:lastRenderedPageBreak/>
        <w:t xml:space="preserve">Interim </w:t>
      </w:r>
      <w:r w:rsidR="00A018F2">
        <w:rPr>
          <w:u w:val="single"/>
        </w:rPr>
        <w:t>R</w:t>
      </w:r>
      <w:r>
        <w:rPr>
          <w:u w:val="single"/>
        </w:rPr>
        <w:t xml:space="preserve">ates and </w:t>
      </w:r>
      <w:r w:rsidR="00A018F2">
        <w:rPr>
          <w:u w:val="single"/>
        </w:rPr>
        <w:t>A</w:t>
      </w:r>
      <w:r>
        <w:rPr>
          <w:u w:val="single"/>
        </w:rPr>
        <w:t xml:space="preserve">ssociated </w:t>
      </w:r>
      <w:r w:rsidR="00A018F2">
        <w:rPr>
          <w:u w:val="single"/>
        </w:rPr>
        <w:t>T</w:t>
      </w:r>
      <w:r>
        <w:rPr>
          <w:u w:val="single"/>
        </w:rPr>
        <w:t>ariffs</w:t>
      </w:r>
    </w:p>
    <w:p w:rsidR="00FF0273" w:rsidRDefault="00FF0273" w:rsidP="00FF0273">
      <w:pPr>
        <w:pStyle w:val="BodyText"/>
        <w:ind w:firstLine="720"/>
        <w:jc w:val="both"/>
      </w:pPr>
      <w:r>
        <w:t>The appropriate interim revenue increase is $1,812,869.  The interim rates shall be  effective for all meter readings occurring on or after 30 days from the date of our vote.  MFR Schedule G-20 demonstrates that the proposed interim revenue increase was applied uniformly to all existing rate classes, as required by Rule 25-6.0435, F.A.C. Attachment C</w:t>
      </w:r>
      <w:r w:rsidR="005C2460">
        <w:t xml:space="preserve">, attached hereto, </w:t>
      </w:r>
      <w:r>
        <w:t xml:space="preserve"> contains the proposed interim tariff sheet Nos. 40, 43, 45, 47, 50, 52, 56, 57, and 61.  Pursuant to Rule 25-22.0406(8), F.A.C., the Company shall provide notice to customers of the revised rates.  The notice must be approved in advance by our staff and provided to the customers with the first bill containing the new rates. </w:t>
      </w:r>
    </w:p>
    <w:p w:rsidR="00E63D7E" w:rsidRDefault="00FF0273" w:rsidP="00FF0273">
      <w:pPr>
        <w:pStyle w:val="BodyText"/>
        <w:ind w:firstLine="720"/>
        <w:jc w:val="both"/>
        <w:rPr>
          <w:u w:val="single"/>
        </w:rPr>
      </w:pPr>
      <w:r w:rsidRPr="00FF0273">
        <w:rPr>
          <w:u w:val="single"/>
        </w:rPr>
        <w:t>Security Guarantee</w:t>
      </w:r>
      <w:r w:rsidR="00C21821">
        <w:rPr>
          <w:u w:val="single"/>
        </w:rPr>
        <w:t xml:space="preserve"> </w:t>
      </w:r>
      <w:r w:rsidR="00A018F2">
        <w:rPr>
          <w:u w:val="single"/>
        </w:rPr>
        <w:t>S</w:t>
      </w:r>
      <w:r w:rsidR="00C21821">
        <w:rPr>
          <w:u w:val="single"/>
        </w:rPr>
        <w:t xml:space="preserve">ubject to </w:t>
      </w:r>
      <w:r w:rsidR="00A018F2">
        <w:rPr>
          <w:u w:val="single"/>
        </w:rPr>
        <w:t>R</w:t>
      </w:r>
      <w:r w:rsidR="00C21821">
        <w:rPr>
          <w:u w:val="single"/>
        </w:rPr>
        <w:t>efund</w:t>
      </w:r>
    </w:p>
    <w:p w:rsidR="00A018F2" w:rsidRDefault="002F16D5" w:rsidP="002F16D5">
      <w:pPr>
        <w:pStyle w:val="BodyText"/>
        <w:ind w:firstLine="720"/>
        <w:jc w:val="both"/>
      </w:pPr>
      <w:r>
        <w:t xml:space="preserve">All funds collected subject to refund shall be secured by a corporate undertaking.  The criteria for a corporate undertaking include sufficient liquidity, ownership equity, profitability, and interest coverage to guarantee any potential refund. FPUC requested an interim revenue increase of $1,812,869.  Based on an estimated eight-month collection period of interim rates,   the estimated amount of revenues that would be collected is estimated to be $1,208,579.  </w:t>
      </w:r>
      <w:r w:rsidRPr="009A2DBE">
        <w:t xml:space="preserve">Pursuant to Rule 25-6.0435, </w:t>
      </w:r>
      <w:r>
        <w:t>F.A.C.</w:t>
      </w:r>
      <w:r w:rsidRPr="009A2DBE">
        <w:t xml:space="preserve">, Interim Rate Relief, interim rate relief collected is subject to refund pending final order in the permanent rate relief request. </w:t>
      </w:r>
      <w:r>
        <w:t xml:space="preserve"> </w:t>
      </w:r>
      <w:r w:rsidRPr="009A2DBE">
        <w:t>Such increase shall be subject to a corporate undertaking or under bond as authorized by th</w:t>
      </w:r>
      <w:r>
        <w:t>is</w:t>
      </w:r>
      <w:r w:rsidRPr="009A2DBE">
        <w:t xml:space="preserve"> Commission and any refund shall be made with an interest factor determined by using the 30-day commercial paper rate.</w:t>
      </w:r>
      <w:r w:rsidR="00A018F2">
        <w:t xml:space="preserve"> </w:t>
      </w:r>
    </w:p>
    <w:p w:rsidR="002F16D5" w:rsidRDefault="002F16D5" w:rsidP="002F16D5">
      <w:pPr>
        <w:pStyle w:val="BodyText"/>
        <w:ind w:firstLine="720"/>
        <w:jc w:val="both"/>
      </w:pPr>
      <w:r>
        <w:t>The interest on the estimated</w:t>
      </w:r>
      <w:r w:rsidRPr="009A2DBE">
        <w:t xml:space="preserve"> amoun</w:t>
      </w:r>
      <w:r>
        <w:t>t that will be collected is estimated to be $21,580.  The estimated</w:t>
      </w:r>
      <w:r w:rsidRPr="009A2DBE">
        <w:t xml:space="preserve"> amount that sh</w:t>
      </w:r>
      <w:r>
        <w:t>all</w:t>
      </w:r>
      <w:r w:rsidRPr="009A2DBE">
        <w:t xml:space="preserve"> be protected and guaranteed is</w:t>
      </w:r>
      <w:r>
        <w:t xml:space="preserve"> $1,230,159.</w:t>
      </w:r>
      <w:r w:rsidR="00A018F2">
        <w:t xml:space="preserve">  </w:t>
      </w:r>
      <w:r>
        <w:t>FPUC’s three most recent annual reports filed with this Commission (2023, 2022, and 2021) have been reviewed to determine if the Company can support a corporate undertaking to guarantee the funds collected during the interim collection period.  FPUC’s financial information demonstrates that the Company has acceptable levels of liquidity, ownership equity, and interest coverage to support a potential refund of $1,230,159.</w:t>
      </w:r>
    </w:p>
    <w:p w:rsidR="002F16D5" w:rsidRDefault="002F16D5" w:rsidP="002F16D5">
      <w:pPr>
        <w:pStyle w:val="BodyText"/>
        <w:ind w:firstLine="720"/>
        <w:jc w:val="both"/>
      </w:pPr>
      <w:r>
        <w:t>For these reasons, we find that FPUC has adequate resources to support a corporate undertaking in the amount of $1,230,159 and that this amount is acceptable.  This brief financial analysis is only appropriate for deciding if the Company can support a corporate undertaking in the amount requested and should not be considered a finding regarding our position on other issues in this proceeding.</w:t>
      </w:r>
    </w:p>
    <w:p w:rsidR="002F16D5" w:rsidRDefault="002F16D5" w:rsidP="002F16D5">
      <w:pPr>
        <w:pStyle w:val="BodyText"/>
        <w:ind w:firstLine="720"/>
        <w:jc w:val="both"/>
      </w:pPr>
      <w:r>
        <w:t>Based on the foregoing, it is</w:t>
      </w:r>
    </w:p>
    <w:p w:rsidR="00B45F9D" w:rsidRDefault="00B45F9D" w:rsidP="002F16D5">
      <w:pPr>
        <w:pStyle w:val="BodyText"/>
        <w:ind w:firstLine="720"/>
        <w:jc w:val="both"/>
      </w:pPr>
      <w:r>
        <w:t xml:space="preserve">ORDERED by the Florida Public Service Commission that </w:t>
      </w:r>
      <w:r w:rsidR="00C21821">
        <w:t xml:space="preserve">Florida Public Utilities Company’s requested permanent rate </w:t>
      </w:r>
      <w:r w:rsidR="00484289">
        <w:t>increase</w:t>
      </w:r>
      <w:r w:rsidR="00C21821">
        <w:t xml:space="preserve"> is suspended pending further review.  It is further</w:t>
      </w:r>
    </w:p>
    <w:p w:rsidR="00512F78" w:rsidRDefault="00C21821" w:rsidP="002F16D5">
      <w:pPr>
        <w:pStyle w:val="BodyText"/>
        <w:ind w:firstLine="720"/>
        <w:jc w:val="both"/>
      </w:pPr>
      <w:r>
        <w:t xml:space="preserve">ORDERED </w:t>
      </w:r>
      <w:r w:rsidR="00512F78">
        <w:t>that the appropriate interim rate base for the Florida Public Utilities Company is $116,666,956 for the interim historical test year ended December 31, 2023.  It is further</w:t>
      </w:r>
    </w:p>
    <w:p w:rsidR="00512F78" w:rsidRDefault="00512F78" w:rsidP="002F16D5">
      <w:pPr>
        <w:pStyle w:val="BodyText"/>
        <w:ind w:firstLine="720"/>
        <w:jc w:val="both"/>
      </w:pPr>
      <w:r>
        <w:t>ORDERED that the appropriate return on equity for the Florida Public Utilities Company is 9.25 percent and overall rate of return is 4.95 percent for purposes of determining interim rates.  It is further</w:t>
      </w:r>
    </w:p>
    <w:p w:rsidR="00512F78" w:rsidRDefault="00512F78" w:rsidP="002F16D5">
      <w:pPr>
        <w:pStyle w:val="BodyText"/>
        <w:ind w:firstLine="720"/>
        <w:jc w:val="both"/>
      </w:pPr>
      <w:r>
        <w:lastRenderedPageBreak/>
        <w:t>ORDERED that for the interim test year ended December 31, 2023, the net operating income for the Florida Public Utilities Company is $4,429,839.  It is further</w:t>
      </w:r>
    </w:p>
    <w:p w:rsidR="00926093" w:rsidRDefault="00512F78" w:rsidP="002F16D5">
      <w:pPr>
        <w:pStyle w:val="BodyText"/>
        <w:ind w:firstLine="720"/>
        <w:jc w:val="both"/>
      </w:pPr>
      <w:r>
        <w:t>ORDERED that the appropriate interim net operating income multiplier is 1.3496.</w:t>
      </w:r>
      <w:r w:rsidR="00926093">
        <w:t xml:space="preserve">  It is further</w:t>
      </w:r>
    </w:p>
    <w:p w:rsidR="00926093" w:rsidRDefault="00926093" w:rsidP="002F16D5">
      <w:pPr>
        <w:pStyle w:val="BodyText"/>
        <w:ind w:firstLine="720"/>
        <w:jc w:val="both"/>
      </w:pPr>
      <w:r>
        <w:t>ORDERED that the appropriate interim revenue increase for the Florida Public Utilities Company is $1,812,869.  It is further</w:t>
      </w:r>
    </w:p>
    <w:p w:rsidR="00926093" w:rsidRDefault="00926093" w:rsidP="002F16D5">
      <w:pPr>
        <w:pStyle w:val="BodyText"/>
        <w:ind w:firstLine="720"/>
        <w:jc w:val="both"/>
      </w:pPr>
      <w:r>
        <w:t>ORDERED that the proposed interim rates and associated tariffs shown on Attachment C are hereby approved.  The interim rates shall be effective for all meter reading occurring on or after 30 days from the date of our vote.  In addition, pursuant to Rule 25-22.0406(8), F.A.C., the Company shall provide notice to customers of the revised rates.  The notice must be approved in advance by our staff and provided to customers with the first bill containing the new rates.  It is further</w:t>
      </w:r>
    </w:p>
    <w:p w:rsidR="00C21821" w:rsidRDefault="00926093" w:rsidP="002F16D5">
      <w:pPr>
        <w:pStyle w:val="BodyText"/>
        <w:ind w:firstLine="720"/>
        <w:jc w:val="both"/>
      </w:pPr>
      <w:r>
        <w:t>ORDERED that the Florida Public Utilities Company shall furnish a corporate undertaking subject to refund in the amount of $1,230,159.  It is further</w:t>
      </w:r>
    </w:p>
    <w:p w:rsidR="00926093" w:rsidRDefault="00926093" w:rsidP="002F16D5">
      <w:pPr>
        <w:pStyle w:val="BodyText"/>
        <w:ind w:firstLine="720"/>
        <w:jc w:val="both"/>
      </w:pPr>
      <w:r>
        <w:t xml:space="preserve">ORDERED that this docket shall remain open pending our final resolution of the  Florida Public Utilities Company’s rate increase request. </w:t>
      </w:r>
    </w:p>
    <w:p w:rsidR="002F16D5" w:rsidRDefault="002F16D5" w:rsidP="002F16D5">
      <w:pPr>
        <w:keepNext/>
        <w:keepLines/>
        <w:jc w:val="both"/>
      </w:pPr>
      <w:r>
        <w:tab/>
        <w:t xml:space="preserve">By ORDER of the Florida Public Service Commission this </w:t>
      </w:r>
      <w:bookmarkStart w:id="6" w:name="replaceDate"/>
      <w:bookmarkEnd w:id="6"/>
      <w:r w:rsidR="009C74BC">
        <w:rPr>
          <w:u w:val="single"/>
        </w:rPr>
        <w:t>14th</w:t>
      </w:r>
      <w:r w:rsidR="009C74BC">
        <w:t xml:space="preserve"> day of </w:t>
      </w:r>
      <w:r w:rsidR="009C74BC">
        <w:rPr>
          <w:u w:val="single"/>
        </w:rPr>
        <w:t>October</w:t>
      </w:r>
      <w:r w:rsidR="009C74BC">
        <w:t xml:space="preserve">, </w:t>
      </w:r>
      <w:r w:rsidR="009C74BC">
        <w:rPr>
          <w:u w:val="single"/>
        </w:rPr>
        <w:t>2024</w:t>
      </w:r>
      <w:r w:rsidR="009C74BC">
        <w:t>.</w:t>
      </w:r>
    </w:p>
    <w:p w:rsidR="009C74BC" w:rsidRPr="009C74BC" w:rsidRDefault="009C74BC" w:rsidP="002F16D5">
      <w:pPr>
        <w:keepNext/>
        <w:keepLines/>
        <w:jc w:val="both"/>
      </w:pPr>
    </w:p>
    <w:p w:rsidR="002F16D5" w:rsidRDefault="002F16D5" w:rsidP="002F16D5">
      <w:pPr>
        <w:keepNext/>
        <w:keepLines/>
        <w:jc w:val="both"/>
      </w:pPr>
    </w:p>
    <w:p w:rsidR="002F16D5" w:rsidRDefault="002F16D5" w:rsidP="002F16D5">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2F16D5" w:rsidTr="002F16D5">
        <w:tc>
          <w:tcPr>
            <w:tcW w:w="720" w:type="dxa"/>
            <w:shd w:val="clear" w:color="auto" w:fill="auto"/>
          </w:tcPr>
          <w:p w:rsidR="002F16D5" w:rsidRDefault="002F16D5" w:rsidP="002F16D5">
            <w:pPr>
              <w:keepNext/>
              <w:keepLines/>
              <w:jc w:val="both"/>
            </w:pPr>
            <w:bookmarkStart w:id="7" w:name="bkmrkSignature" w:colFirst="0" w:colLast="0"/>
          </w:p>
        </w:tc>
        <w:tc>
          <w:tcPr>
            <w:tcW w:w="4320" w:type="dxa"/>
            <w:tcBorders>
              <w:bottom w:val="single" w:sz="4" w:space="0" w:color="auto"/>
            </w:tcBorders>
            <w:shd w:val="clear" w:color="auto" w:fill="auto"/>
          </w:tcPr>
          <w:p w:rsidR="002F16D5" w:rsidRDefault="002F16D5" w:rsidP="002F16D5">
            <w:pPr>
              <w:keepNext/>
              <w:keepLines/>
              <w:jc w:val="both"/>
            </w:pPr>
          </w:p>
        </w:tc>
      </w:tr>
      <w:bookmarkEnd w:id="7"/>
      <w:tr w:rsidR="002F16D5" w:rsidTr="002F16D5">
        <w:tc>
          <w:tcPr>
            <w:tcW w:w="720" w:type="dxa"/>
            <w:shd w:val="clear" w:color="auto" w:fill="auto"/>
          </w:tcPr>
          <w:p w:rsidR="002F16D5" w:rsidRDefault="002F16D5" w:rsidP="002F16D5">
            <w:pPr>
              <w:keepNext/>
              <w:keepLines/>
              <w:jc w:val="both"/>
            </w:pPr>
          </w:p>
        </w:tc>
        <w:tc>
          <w:tcPr>
            <w:tcW w:w="4320" w:type="dxa"/>
            <w:tcBorders>
              <w:top w:val="single" w:sz="4" w:space="0" w:color="auto"/>
            </w:tcBorders>
            <w:shd w:val="clear" w:color="auto" w:fill="auto"/>
          </w:tcPr>
          <w:p w:rsidR="002F16D5" w:rsidRDefault="002F16D5" w:rsidP="002F16D5">
            <w:pPr>
              <w:keepNext/>
              <w:keepLines/>
              <w:jc w:val="both"/>
            </w:pPr>
            <w:r>
              <w:t>ADAM J. TEITZMAN</w:t>
            </w:r>
          </w:p>
          <w:p w:rsidR="002F16D5" w:rsidRDefault="002F16D5" w:rsidP="002F16D5">
            <w:pPr>
              <w:keepNext/>
              <w:keepLines/>
              <w:jc w:val="both"/>
            </w:pPr>
            <w:r>
              <w:t>Commission Clerk</w:t>
            </w:r>
          </w:p>
        </w:tc>
      </w:tr>
    </w:tbl>
    <w:p w:rsidR="002F16D5" w:rsidRDefault="002F16D5" w:rsidP="002F16D5">
      <w:pPr>
        <w:pStyle w:val="OrderSigInfo"/>
        <w:keepNext/>
        <w:keepLines/>
      </w:pPr>
      <w:r>
        <w:t>Florida Public Service Commission</w:t>
      </w:r>
    </w:p>
    <w:p w:rsidR="002F16D5" w:rsidRDefault="002F16D5" w:rsidP="002F16D5">
      <w:pPr>
        <w:pStyle w:val="OrderSigInfo"/>
        <w:keepNext/>
        <w:keepLines/>
      </w:pPr>
      <w:r>
        <w:t>2540 Shumard Oak Boulevard</w:t>
      </w:r>
    </w:p>
    <w:p w:rsidR="002F16D5" w:rsidRDefault="002F16D5" w:rsidP="002F16D5">
      <w:pPr>
        <w:pStyle w:val="OrderSigInfo"/>
        <w:keepNext/>
        <w:keepLines/>
      </w:pPr>
      <w:r>
        <w:t>Tallahassee, Florida 32399</w:t>
      </w:r>
    </w:p>
    <w:p w:rsidR="002F16D5" w:rsidRDefault="002F16D5" w:rsidP="002F16D5">
      <w:pPr>
        <w:pStyle w:val="OrderSigInfo"/>
        <w:keepNext/>
        <w:keepLines/>
      </w:pPr>
      <w:r>
        <w:t>(850) 413</w:t>
      </w:r>
      <w:r>
        <w:noBreakHyphen/>
        <w:t>6770</w:t>
      </w:r>
    </w:p>
    <w:p w:rsidR="002F16D5" w:rsidRDefault="002F16D5" w:rsidP="002F16D5">
      <w:pPr>
        <w:pStyle w:val="OrderSigInfo"/>
        <w:keepNext/>
        <w:keepLines/>
      </w:pPr>
      <w:r>
        <w:t>www.floridapsc.com</w:t>
      </w:r>
    </w:p>
    <w:p w:rsidR="002F16D5" w:rsidRDefault="002F16D5" w:rsidP="002F16D5">
      <w:pPr>
        <w:pStyle w:val="OrderSigInfo"/>
        <w:keepNext/>
        <w:keepLines/>
      </w:pPr>
    </w:p>
    <w:p w:rsidR="002F16D5" w:rsidRDefault="002F16D5" w:rsidP="002F16D5">
      <w:pPr>
        <w:pStyle w:val="OrderSigInfo"/>
        <w:keepNext/>
        <w:keepLines/>
      </w:pPr>
      <w:r>
        <w:t>Copies furnished:  A copy of this document is provided to the parties of record at the time of issuance and, if applicable, interested persons.</w:t>
      </w:r>
    </w:p>
    <w:p w:rsidR="00F07E77" w:rsidRDefault="00B45F9D" w:rsidP="002F16D5">
      <w:pPr>
        <w:jc w:val="both"/>
      </w:pPr>
      <w:r>
        <w:t>SBr</w:t>
      </w:r>
    </w:p>
    <w:p w:rsidR="00B45F9D" w:rsidRDefault="00B45F9D" w:rsidP="002F16D5">
      <w:pPr>
        <w:jc w:val="both"/>
      </w:pPr>
    </w:p>
    <w:p w:rsidR="009C74BC" w:rsidRDefault="009C74BC" w:rsidP="002F16D5">
      <w:pPr>
        <w:jc w:val="both"/>
      </w:pPr>
    </w:p>
    <w:p w:rsidR="009C74BC" w:rsidRDefault="009C74BC" w:rsidP="002F16D5">
      <w:pPr>
        <w:jc w:val="both"/>
      </w:pPr>
    </w:p>
    <w:p w:rsidR="009C74BC" w:rsidRDefault="009C74BC" w:rsidP="002F16D5">
      <w:pPr>
        <w:jc w:val="both"/>
      </w:pPr>
    </w:p>
    <w:p w:rsidR="009C74BC" w:rsidRDefault="009C74BC" w:rsidP="002F16D5">
      <w:pPr>
        <w:jc w:val="both"/>
      </w:pPr>
    </w:p>
    <w:p w:rsidR="009C74BC" w:rsidRDefault="009C74BC" w:rsidP="002F16D5">
      <w:pPr>
        <w:jc w:val="both"/>
      </w:pPr>
    </w:p>
    <w:p w:rsidR="009C74BC" w:rsidRDefault="009C74BC" w:rsidP="002F16D5">
      <w:pPr>
        <w:jc w:val="both"/>
      </w:pPr>
    </w:p>
    <w:p w:rsidR="009C74BC" w:rsidRDefault="009C74BC" w:rsidP="002F16D5">
      <w:pPr>
        <w:jc w:val="both"/>
      </w:pPr>
    </w:p>
    <w:p w:rsidR="009C74BC" w:rsidRDefault="009C74BC" w:rsidP="002F16D5">
      <w:pPr>
        <w:jc w:val="both"/>
      </w:pPr>
    </w:p>
    <w:p w:rsidR="00B45F9D" w:rsidRDefault="00B45F9D" w:rsidP="00B45F9D">
      <w:pPr>
        <w:pStyle w:val="CenterUnderline"/>
      </w:pPr>
      <w:r>
        <w:t>NOTICE OF FURTHER PROCEEDINGS OR JUDICIAL REVIEW</w:t>
      </w:r>
    </w:p>
    <w:p w:rsidR="00B45F9D" w:rsidRDefault="00B45F9D" w:rsidP="00B45F9D">
      <w:pPr>
        <w:pStyle w:val="CenterUnderline"/>
      </w:pPr>
    </w:p>
    <w:p w:rsidR="00B45F9D" w:rsidRDefault="00B45F9D" w:rsidP="00B45F9D">
      <w:pPr>
        <w:pStyle w:val="OrderBody"/>
      </w:pPr>
      <w:r>
        <w:tab/>
        <w:t xml:space="preserve">The Florida Public Service Commission is required by Section 120.569(1), Florida Statutes, to notify parties of any administrative hearing or judicial review of Commission orders that is available under Sections 120.57 or 120.68, Florida Statutes, as well as the procedures and </w:t>
      </w:r>
      <w:r>
        <w:lastRenderedPageBreak/>
        <w:t>time limits that apply.  This notice should not be construed to mean all requests for an administrative hearing or judicial review will be granted or result in the relief sought.</w:t>
      </w:r>
    </w:p>
    <w:p w:rsidR="00B45F9D" w:rsidRDefault="00B45F9D" w:rsidP="00B45F9D">
      <w:pPr>
        <w:pStyle w:val="OrderBody"/>
      </w:pPr>
    </w:p>
    <w:p w:rsidR="00B45F9D" w:rsidRDefault="00B45F9D" w:rsidP="00B45F9D">
      <w:pPr>
        <w:pStyle w:val="OrderBody"/>
      </w:pPr>
      <w:r>
        <w:tab/>
        <w:t>Mediation may be available on a case-by-case basis.  If mediation is conducted, it does not affect a substantially interested person's right to a hearing.</w:t>
      </w:r>
    </w:p>
    <w:p w:rsidR="00B45F9D" w:rsidRDefault="00B45F9D" w:rsidP="00B45F9D">
      <w:pPr>
        <w:pStyle w:val="OrderBody"/>
      </w:pPr>
    </w:p>
    <w:p w:rsidR="00B45F9D" w:rsidRDefault="00B45F9D" w:rsidP="00B45F9D">
      <w:pPr>
        <w:pStyle w:val="OrderBody"/>
      </w:pPr>
      <w:r>
        <w:tab/>
        <w:t xml:space="preserve">Any party adversely affected by </w:t>
      </w:r>
      <w:r w:rsidR="005C2460">
        <w:t xml:space="preserve">the portion of </w:t>
      </w:r>
      <w:r>
        <w:t>this order</w:t>
      </w:r>
      <w:r w:rsidR="005C2460">
        <w:t xml:space="preserve"> suspending the utility’s requested final rates</w:t>
      </w:r>
      <w:r>
        <w:t>,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B45F9D" w:rsidRDefault="00B45F9D" w:rsidP="00B45F9D">
      <w:pPr>
        <w:pStyle w:val="OrderBody"/>
      </w:pPr>
    </w:p>
    <w:p w:rsidR="005C2460" w:rsidRDefault="005C2460" w:rsidP="00B45F9D">
      <w:pPr>
        <w:pStyle w:val="OrderBody"/>
      </w:pPr>
      <w:r>
        <w:tab/>
        <w:t xml:space="preserve">Any party adversely affected by the portion of this order granting interim rates, which is non-final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Citizens of the State of Florida v. Mayo, 316 So.2d 262 (Fla. 1975), states that an order on interim rates </w:t>
      </w:r>
      <w:r w:rsidR="00440A7E">
        <w:t>is not final or reviewable until a final order is issued.  Such review may be requested from the appropriate court, as described above, pursuant to Rule 9.100, Florida Rules of Appellate Procedure.</w:t>
      </w:r>
      <w:r>
        <w:t xml:space="preserve">   </w:t>
      </w:r>
    </w:p>
    <w:p w:rsidR="00A346B4" w:rsidRDefault="00A346B4" w:rsidP="00B45F9D">
      <w:pPr>
        <w:pStyle w:val="OrderBody"/>
        <w:sectPr w:rsidR="00A346B4" w:rsidSect="00FB77C0">
          <w:headerReference w:type="even" r:id="rId7"/>
          <w:headerReference w:type="default" r:id="rId8"/>
          <w:footerReference w:type="even" r:id="rId9"/>
          <w:footerReference w:type="default" r:id="rId10"/>
          <w:headerReference w:type="first" r:id="rId11"/>
          <w:footerReference w:type="first" r:id="rId12"/>
          <w:pgSz w:w="12240" w:h="15840" w:code="1"/>
          <w:pgMar w:top="1584" w:right="1440" w:bottom="1440" w:left="1440" w:header="720" w:footer="720" w:gutter="0"/>
          <w:cols w:space="720"/>
          <w:formProt w:val="0"/>
          <w:titlePg/>
          <w:docGrid w:linePitch="360"/>
        </w:sectPr>
      </w:pPr>
    </w:p>
    <w:p w:rsidR="00FB77C0" w:rsidRDefault="00FB77C0" w:rsidP="00FB77C0">
      <w:pPr>
        <w:pStyle w:val="BodyText"/>
        <w:spacing w:after="0"/>
        <w:jc w:val="center"/>
        <w:rPr>
          <w:rFonts w:ascii="Arial" w:hAnsi="Arial" w:cs="Arial"/>
          <w:b/>
        </w:rPr>
      </w:pPr>
      <w:r>
        <w:rPr>
          <w:rFonts w:ascii="Arial" w:hAnsi="Arial" w:cs="Arial"/>
          <w:b/>
        </w:rPr>
        <w:lastRenderedPageBreak/>
        <w:t>FLORIDA PUBLIC UTILITIES COMPANY</w:t>
      </w:r>
    </w:p>
    <w:p w:rsidR="00FB77C0" w:rsidRDefault="00FB77C0" w:rsidP="00FB77C0">
      <w:pPr>
        <w:pStyle w:val="BodyText"/>
        <w:spacing w:after="0"/>
        <w:jc w:val="center"/>
        <w:rPr>
          <w:rFonts w:ascii="Arial" w:hAnsi="Arial" w:cs="Arial"/>
          <w:b/>
        </w:rPr>
      </w:pPr>
      <w:r>
        <w:rPr>
          <w:rFonts w:ascii="Arial" w:hAnsi="Arial" w:cs="Arial"/>
          <w:b/>
        </w:rPr>
        <w:t>Docket No. 20240099-EI</w:t>
      </w:r>
    </w:p>
    <w:p w:rsidR="00FB77C0" w:rsidRDefault="00FB77C0" w:rsidP="00FB77C0">
      <w:pPr>
        <w:pStyle w:val="BodyText"/>
        <w:spacing w:after="0"/>
        <w:jc w:val="center"/>
        <w:rPr>
          <w:rFonts w:ascii="Arial" w:hAnsi="Arial" w:cs="Arial"/>
          <w:b/>
        </w:rPr>
      </w:pPr>
      <w:r>
        <w:rPr>
          <w:rFonts w:ascii="Arial" w:hAnsi="Arial" w:cs="Arial"/>
          <w:b/>
        </w:rPr>
        <w:t>Interim Historical Test Year</w:t>
      </w:r>
    </w:p>
    <w:p w:rsidR="00FB77C0" w:rsidRDefault="00FB77C0" w:rsidP="00FB77C0">
      <w:pPr>
        <w:pStyle w:val="BodyText"/>
        <w:spacing w:after="0"/>
        <w:jc w:val="center"/>
        <w:rPr>
          <w:rFonts w:ascii="Arial" w:hAnsi="Arial" w:cs="Arial"/>
          <w:b/>
        </w:rPr>
      </w:pPr>
      <w:r>
        <w:rPr>
          <w:rFonts w:ascii="Arial" w:hAnsi="Arial" w:cs="Arial"/>
          <w:b/>
        </w:rPr>
        <w:t>December 31, 2023</w:t>
      </w:r>
    </w:p>
    <w:p w:rsidR="00FB77C0" w:rsidRDefault="00FB77C0" w:rsidP="00FB77C0">
      <w:pPr>
        <w:pStyle w:val="BodyText"/>
        <w:jc w:val="center"/>
        <w:rPr>
          <w:rFonts w:ascii="Arial" w:hAnsi="Arial" w:cs="Arial"/>
          <w:b/>
        </w:rPr>
      </w:pPr>
    </w:p>
    <w:tbl>
      <w:tblPr>
        <w:tblW w:w="9009" w:type="dxa"/>
        <w:jc w:val="center"/>
        <w:tblLook w:val="04A0" w:firstRow="1" w:lastRow="0" w:firstColumn="1" w:lastColumn="0" w:noHBand="0" w:noVBand="1"/>
      </w:tblPr>
      <w:tblGrid>
        <w:gridCol w:w="266"/>
        <w:gridCol w:w="3204"/>
        <w:gridCol w:w="2070"/>
        <w:gridCol w:w="1440"/>
        <w:gridCol w:w="1729"/>
        <w:gridCol w:w="300"/>
      </w:tblGrid>
      <w:tr w:rsidR="00FB77C0" w:rsidTr="00E13D6C">
        <w:trPr>
          <w:trHeight w:val="300"/>
          <w:jc w:val="center"/>
        </w:trPr>
        <w:tc>
          <w:tcPr>
            <w:tcW w:w="266" w:type="dxa"/>
            <w:tcBorders>
              <w:top w:val="single" w:sz="4" w:space="0" w:color="auto"/>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tcBorders>
              <w:top w:val="single" w:sz="4" w:space="0" w:color="auto"/>
              <w:left w:val="nil"/>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2070" w:type="dxa"/>
            <w:tcBorders>
              <w:top w:val="single" w:sz="4" w:space="0" w:color="auto"/>
              <w:left w:val="nil"/>
              <w:bottom w:val="nil"/>
              <w:right w:val="nil"/>
            </w:tcBorders>
            <w:noWrap/>
            <w:vAlign w:val="bottom"/>
            <w:hideMark/>
          </w:tcPr>
          <w:p w:rsidR="00FB77C0" w:rsidRDefault="00FB77C0" w:rsidP="00E13D6C">
            <w:pPr>
              <w:jc w:val="center"/>
              <w:rPr>
                <w:b/>
                <w:color w:val="000000"/>
                <w:sz w:val="22"/>
                <w:szCs w:val="22"/>
              </w:rPr>
            </w:pPr>
            <w:r>
              <w:rPr>
                <w:b/>
                <w:color w:val="000000"/>
                <w:sz w:val="22"/>
                <w:szCs w:val="22"/>
              </w:rPr>
              <w:t>Historical Test</w:t>
            </w:r>
          </w:p>
        </w:tc>
        <w:tc>
          <w:tcPr>
            <w:tcW w:w="1440" w:type="dxa"/>
            <w:tcBorders>
              <w:top w:val="single" w:sz="4" w:space="0" w:color="auto"/>
              <w:left w:val="nil"/>
              <w:bottom w:val="nil"/>
              <w:right w:val="nil"/>
            </w:tcBorders>
            <w:noWrap/>
            <w:vAlign w:val="bottom"/>
            <w:hideMark/>
          </w:tcPr>
          <w:p w:rsidR="00FB77C0" w:rsidRPr="00187003" w:rsidRDefault="00445DEA" w:rsidP="00E13D6C">
            <w:pPr>
              <w:jc w:val="center"/>
              <w:rPr>
                <w:b/>
                <w:color w:val="000000"/>
                <w:sz w:val="22"/>
                <w:szCs w:val="22"/>
              </w:rPr>
            </w:pPr>
            <w:r>
              <w:rPr>
                <w:b/>
                <w:color w:val="000000"/>
                <w:sz w:val="22"/>
                <w:szCs w:val="22"/>
              </w:rPr>
              <w:t>Comm</w:t>
            </w:r>
          </w:p>
        </w:tc>
        <w:tc>
          <w:tcPr>
            <w:tcW w:w="1729" w:type="dxa"/>
            <w:tcBorders>
              <w:top w:val="single" w:sz="4" w:space="0" w:color="auto"/>
              <w:left w:val="nil"/>
              <w:bottom w:val="nil"/>
              <w:right w:val="nil"/>
            </w:tcBorders>
            <w:noWrap/>
            <w:vAlign w:val="bottom"/>
            <w:hideMark/>
          </w:tcPr>
          <w:p w:rsidR="00FB77C0" w:rsidRDefault="00FB77C0" w:rsidP="00E13D6C">
            <w:pPr>
              <w:jc w:val="center"/>
              <w:rPr>
                <w:b/>
                <w:color w:val="000000"/>
                <w:sz w:val="22"/>
                <w:szCs w:val="22"/>
              </w:rPr>
            </w:pPr>
            <w:r>
              <w:rPr>
                <w:b/>
                <w:color w:val="000000"/>
                <w:sz w:val="22"/>
                <w:szCs w:val="22"/>
              </w:rPr>
              <w:t>Adjusted Historical Test</w:t>
            </w:r>
          </w:p>
        </w:tc>
        <w:tc>
          <w:tcPr>
            <w:tcW w:w="300" w:type="dxa"/>
            <w:tcBorders>
              <w:top w:val="single" w:sz="4" w:space="0" w:color="auto"/>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val="300"/>
          <w:jc w:val="center"/>
        </w:trPr>
        <w:tc>
          <w:tcPr>
            <w:tcW w:w="266" w:type="dxa"/>
            <w:tcBorders>
              <w:top w:val="nil"/>
              <w:left w:val="single" w:sz="4" w:space="0" w:color="auto"/>
              <w:bottom w:val="single" w:sz="4" w:space="0" w:color="auto"/>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tcBorders>
              <w:top w:val="nil"/>
              <w:left w:val="nil"/>
              <w:bottom w:val="single" w:sz="4" w:space="0" w:color="auto"/>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2070" w:type="dxa"/>
            <w:tcBorders>
              <w:top w:val="nil"/>
              <w:left w:val="nil"/>
              <w:bottom w:val="single" w:sz="4" w:space="0" w:color="auto"/>
              <w:right w:val="nil"/>
            </w:tcBorders>
            <w:noWrap/>
            <w:vAlign w:val="bottom"/>
            <w:hideMark/>
          </w:tcPr>
          <w:p w:rsidR="00FB77C0" w:rsidRDefault="00FB77C0" w:rsidP="00E13D6C">
            <w:pPr>
              <w:jc w:val="center"/>
              <w:rPr>
                <w:b/>
                <w:color w:val="000000"/>
                <w:sz w:val="22"/>
                <w:szCs w:val="22"/>
              </w:rPr>
            </w:pPr>
            <w:r>
              <w:rPr>
                <w:b/>
                <w:color w:val="000000"/>
                <w:sz w:val="22"/>
                <w:szCs w:val="22"/>
              </w:rPr>
              <w:t>Year Per Company</w:t>
            </w:r>
          </w:p>
        </w:tc>
        <w:tc>
          <w:tcPr>
            <w:tcW w:w="1440" w:type="dxa"/>
            <w:tcBorders>
              <w:top w:val="nil"/>
              <w:left w:val="nil"/>
              <w:bottom w:val="single" w:sz="4" w:space="0" w:color="auto"/>
              <w:right w:val="nil"/>
            </w:tcBorders>
            <w:noWrap/>
            <w:vAlign w:val="bottom"/>
            <w:hideMark/>
          </w:tcPr>
          <w:p w:rsidR="00FB77C0" w:rsidRDefault="00FB77C0" w:rsidP="00E13D6C">
            <w:pPr>
              <w:jc w:val="center"/>
              <w:rPr>
                <w:b/>
                <w:color w:val="000000"/>
                <w:sz w:val="22"/>
                <w:szCs w:val="22"/>
              </w:rPr>
            </w:pPr>
            <w:r>
              <w:rPr>
                <w:b/>
                <w:color w:val="000000"/>
                <w:sz w:val="22"/>
                <w:szCs w:val="22"/>
              </w:rPr>
              <w:t>Adjustments</w:t>
            </w:r>
          </w:p>
        </w:tc>
        <w:tc>
          <w:tcPr>
            <w:tcW w:w="1729" w:type="dxa"/>
            <w:tcBorders>
              <w:top w:val="nil"/>
              <w:left w:val="nil"/>
              <w:bottom w:val="single" w:sz="4" w:space="0" w:color="auto"/>
              <w:right w:val="nil"/>
            </w:tcBorders>
            <w:noWrap/>
            <w:vAlign w:val="bottom"/>
            <w:hideMark/>
          </w:tcPr>
          <w:p w:rsidR="00FB77C0" w:rsidRDefault="009E203D" w:rsidP="009E203D">
            <w:pPr>
              <w:ind w:right="-138"/>
              <w:jc w:val="center"/>
              <w:rPr>
                <w:b/>
                <w:color w:val="000000"/>
                <w:sz w:val="22"/>
                <w:szCs w:val="22"/>
              </w:rPr>
            </w:pPr>
            <w:r>
              <w:rPr>
                <w:b/>
                <w:color w:val="000000"/>
                <w:sz w:val="22"/>
                <w:szCs w:val="22"/>
              </w:rPr>
              <w:t>Year Per Comm</w:t>
            </w:r>
          </w:p>
        </w:tc>
        <w:tc>
          <w:tcPr>
            <w:tcW w:w="300" w:type="dxa"/>
            <w:tcBorders>
              <w:top w:val="nil"/>
              <w:left w:val="nil"/>
              <w:bottom w:val="single" w:sz="4" w:space="0" w:color="auto"/>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val="300"/>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u w:val="single"/>
              </w:rPr>
            </w:pPr>
            <w:r>
              <w:rPr>
                <w:color w:val="000000"/>
                <w:sz w:val="22"/>
                <w:szCs w:val="22"/>
                <w:u w:val="single"/>
              </w:rPr>
              <w:t>Rate Base</w:t>
            </w:r>
          </w:p>
        </w:tc>
        <w:tc>
          <w:tcPr>
            <w:tcW w:w="2070" w:type="dxa"/>
            <w:noWrap/>
            <w:vAlign w:val="bottom"/>
            <w:hideMark/>
          </w:tcPr>
          <w:p w:rsidR="00FB77C0" w:rsidRDefault="00FB77C0" w:rsidP="00E13D6C">
            <w:pPr>
              <w:rPr>
                <w:color w:val="000000"/>
                <w:sz w:val="22"/>
                <w:szCs w:val="22"/>
              </w:rPr>
            </w:pPr>
            <w:r>
              <w:rPr>
                <w:color w:val="000000"/>
                <w:sz w:val="22"/>
                <w:szCs w:val="22"/>
              </w:rPr>
              <w:t> </w:t>
            </w:r>
          </w:p>
        </w:tc>
        <w:tc>
          <w:tcPr>
            <w:tcW w:w="1440" w:type="dxa"/>
            <w:noWrap/>
            <w:vAlign w:val="bottom"/>
            <w:hideMark/>
          </w:tcPr>
          <w:p w:rsidR="00FB77C0" w:rsidRDefault="00FB77C0" w:rsidP="00E13D6C">
            <w:pPr>
              <w:rPr>
                <w:color w:val="000000"/>
                <w:sz w:val="22"/>
                <w:szCs w:val="22"/>
              </w:rPr>
            </w:pPr>
            <w:r>
              <w:rPr>
                <w:color w:val="000000"/>
                <w:sz w:val="22"/>
                <w:szCs w:val="22"/>
              </w:rPr>
              <w:t> </w:t>
            </w:r>
          </w:p>
        </w:tc>
        <w:tc>
          <w:tcPr>
            <w:tcW w:w="1729" w:type="dxa"/>
            <w:noWrap/>
            <w:vAlign w:val="bottom"/>
            <w:hideMark/>
          </w:tcPr>
          <w:p w:rsidR="00FB77C0" w:rsidRDefault="00FB77C0" w:rsidP="00E13D6C">
            <w:pPr>
              <w:rPr>
                <w:color w:val="000000"/>
                <w:sz w:val="22"/>
                <w:szCs w:val="22"/>
              </w:rPr>
            </w:pPr>
            <w:r>
              <w:rPr>
                <w:color w:val="000000"/>
                <w:sz w:val="22"/>
                <w:szCs w:val="22"/>
              </w:rPr>
              <w:t>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tcPr>
          <w:p w:rsidR="00FB77C0" w:rsidRDefault="00FB77C0" w:rsidP="00E13D6C">
            <w:pPr>
              <w:rPr>
                <w:rFonts w:ascii="Calibri" w:hAnsi="Calibri"/>
                <w:color w:val="000000"/>
                <w:sz w:val="22"/>
                <w:szCs w:val="22"/>
              </w:rPr>
            </w:pPr>
          </w:p>
        </w:tc>
        <w:tc>
          <w:tcPr>
            <w:tcW w:w="3204" w:type="dxa"/>
            <w:noWrap/>
            <w:vAlign w:val="bottom"/>
            <w:hideMark/>
          </w:tcPr>
          <w:p w:rsidR="00FB77C0" w:rsidRDefault="00FB77C0" w:rsidP="00E13D6C">
            <w:pPr>
              <w:rPr>
                <w:color w:val="000000"/>
                <w:sz w:val="22"/>
                <w:szCs w:val="22"/>
              </w:rPr>
            </w:pPr>
            <w:r>
              <w:rPr>
                <w:color w:val="000000"/>
                <w:sz w:val="22"/>
                <w:szCs w:val="22"/>
              </w:rPr>
              <w:t>Plant in Service</w:t>
            </w:r>
          </w:p>
        </w:tc>
        <w:tc>
          <w:tcPr>
            <w:tcW w:w="2070" w:type="dxa"/>
            <w:noWrap/>
            <w:vAlign w:val="bottom"/>
            <w:hideMark/>
          </w:tcPr>
          <w:p w:rsidR="00FB77C0" w:rsidRDefault="00FB77C0" w:rsidP="00E13D6C">
            <w:pPr>
              <w:jc w:val="right"/>
              <w:rPr>
                <w:color w:val="000000"/>
                <w:sz w:val="22"/>
                <w:szCs w:val="22"/>
              </w:rPr>
            </w:pPr>
            <w:r>
              <w:rPr>
                <w:color w:val="000000"/>
                <w:sz w:val="22"/>
                <w:szCs w:val="22"/>
              </w:rPr>
              <w:t xml:space="preserve">$171,501,015 </w:t>
            </w:r>
          </w:p>
        </w:tc>
        <w:tc>
          <w:tcPr>
            <w:tcW w:w="1440" w:type="dxa"/>
            <w:noWrap/>
            <w:vAlign w:val="bottom"/>
            <w:hideMark/>
          </w:tcPr>
          <w:p w:rsidR="00FB77C0" w:rsidRDefault="00FB77C0" w:rsidP="00E13D6C">
            <w:pPr>
              <w:jc w:val="right"/>
              <w:rPr>
                <w:color w:val="000000"/>
                <w:sz w:val="22"/>
                <w:szCs w:val="22"/>
              </w:rPr>
            </w:pPr>
            <w:r>
              <w:rPr>
                <w:color w:val="000000"/>
                <w:sz w:val="22"/>
                <w:szCs w:val="22"/>
              </w:rPr>
              <w:t>-</w:t>
            </w:r>
          </w:p>
        </w:tc>
        <w:tc>
          <w:tcPr>
            <w:tcW w:w="1729" w:type="dxa"/>
            <w:noWrap/>
            <w:vAlign w:val="bottom"/>
            <w:hideMark/>
          </w:tcPr>
          <w:p w:rsidR="00FB77C0" w:rsidRDefault="00FB77C0" w:rsidP="00E13D6C">
            <w:pPr>
              <w:jc w:val="right"/>
              <w:rPr>
                <w:color w:val="000000"/>
                <w:sz w:val="22"/>
                <w:szCs w:val="22"/>
              </w:rPr>
            </w:pPr>
            <w:r>
              <w:rPr>
                <w:color w:val="000000"/>
                <w:sz w:val="22"/>
                <w:szCs w:val="22"/>
              </w:rPr>
              <w:t xml:space="preserve">$171,501,015 </w:t>
            </w:r>
          </w:p>
        </w:tc>
        <w:tc>
          <w:tcPr>
            <w:tcW w:w="300" w:type="dxa"/>
            <w:tcBorders>
              <w:top w:val="nil"/>
              <w:left w:val="nil"/>
              <w:bottom w:val="nil"/>
              <w:right w:val="single" w:sz="4" w:space="0" w:color="auto"/>
            </w:tcBorders>
            <w:noWrap/>
            <w:vAlign w:val="bottom"/>
          </w:tcPr>
          <w:p w:rsidR="00FB77C0" w:rsidRDefault="00FB77C0" w:rsidP="00E13D6C">
            <w:pPr>
              <w:rPr>
                <w:rFonts w:ascii="Calibri" w:hAnsi="Calibri"/>
                <w:color w:val="000000"/>
                <w:sz w:val="22"/>
                <w:szCs w:val="22"/>
              </w:rPr>
            </w:pP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Accumulated Depreciation</w:t>
            </w:r>
          </w:p>
        </w:tc>
        <w:tc>
          <w:tcPr>
            <w:tcW w:w="207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(78,861,742)</w:t>
            </w:r>
          </w:p>
        </w:tc>
        <w:tc>
          <w:tcPr>
            <w:tcW w:w="144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                     --   </w:t>
            </w:r>
          </w:p>
        </w:tc>
        <w:tc>
          <w:tcPr>
            <w:tcW w:w="1729"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(78,861,742)</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Net Plant in Service</w:t>
            </w:r>
          </w:p>
        </w:tc>
        <w:tc>
          <w:tcPr>
            <w:tcW w:w="2070" w:type="dxa"/>
            <w:noWrap/>
            <w:vAlign w:val="bottom"/>
            <w:hideMark/>
          </w:tcPr>
          <w:p w:rsidR="00FB77C0" w:rsidRDefault="00FB77C0" w:rsidP="00E13D6C">
            <w:pPr>
              <w:jc w:val="right"/>
              <w:rPr>
                <w:color w:val="000000"/>
                <w:sz w:val="22"/>
                <w:szCs w:val="22"/>
              </w:rPr>
            </w:pPr>
            <w:r>
              <w:rPr>
                <w:color w:val="000000"/>
                <w:sz w:val="22"/>
                <w:szCs w:val="22"/>
              </w:rPr>
              <w:t xml:space="preserve">$92,639,273 </w:t>
            </w:r>
          </w:p>
        </w:tc>
        <w:tc>
          <w:tcPr>
            <w:tcW w:w="1440" w:type="dxa"/>
            <w:noWrap/>
            <w:vAlign w:val="bottom"/>
            <w:hideMark/>
          </w:tcPr>
          <w:p w:rsidR="00FB77C0" w:rsidRDefault="00FB77C0" w:rsidP="00E13D6C">
            <w:pPr>
              <w:jc w:val="right"/>
              <w:rPr>
                <w:color w:val="000000"/>
                <w:sz w:val="22"/>
                <w:szCs w:val="22"/>
              </w:rPr>
            </w:pPr>
            <w:r>
              <w:rPr>
                <w:color w:val="000000"/>
                <w:sz w:val="22"/>
                <w:szCs w:val="22"/>
              </w:rPr>
              <w:t xml:space="preserve">-                      --   </w:t>
            </w:r>
          </w:p>
        </w:tc>
        <w:tc>
          <w:tcPr>
            <w:tcW w:w="1729" w:type="dxa"/>
            <w:noWrap/>
            <w:vAlign w:val="bottom"/>
            <w:hideMark/>
          </w:tcPr>
          <w:p w:rsidR="00FB77C0" w:rsidRDefault="00FB77C0" w:rsidP="00E13D6C">
            <w:pPr>
              <w:jc w:val="right"/>
              <w:rPr>
                <w:color w:val="000000"/>
                <w:sz w:val="22"/>
                <w:szCs w:val="22"/>
              </w:rPr>
            </w:pPr>
            <w:r>
              <w:rPr>
                <w:color w:val="000000"/>
                <w:sz w:val="22"/>
                <w:szCs w:val="22"/>
              </w:rPr>
              <w:t xml:space="preserve">$92,639,273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Construction Work In Progress</w:t>
            </w:r>
          </w:p>
        </w:tc>
        <w:tc>
          <w:tcPr>
            <w:tcW w:w="207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4,190,317 </w:t>
            </w:r>
          </w:p>
        </w:tc>
        <w:tc>
          <w:tcPr>
            <w:tcW w:w="144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                      --   </w:t>
            </w:r>
          </w:p>
        </w:tc>
        <w:tc>
          <w:tcPr>
            <w:tcW w:w="1729"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4,190,317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Net Utility Plant</w:t>
            </w:r>
          </w:p>
        </w:tc>
        <w:tc>
          <w:tcPr>
            <w:tcW w:w="2070" w:type="dxa"/>
            <w:noWrap/>
            <w:vAlign w:val="bottom"/>
            <w:hideMark/>
          </w:tcPr>
          <w:p w:rsidR="00FB77C0" w:rsidRDefault="00FB77C0" w:rsidP="00E13D6C">
            <w:pPr>
              <w:jc w:val="right"/>
              <w:rPr>
                <w:color w:val="000000"/>
                <w:sz w:val="22"/>
                <w:szCs w:val="22"/>
              </w:rPr>
            </w:pPr>
            <w:r>
              <w:rPr>
                <w:color w:val="000000"/>
                <w:sz w:val="22"/>
                <w:szCs w:val="22"/>
              </w:rPr>
              <w:t xml:space="preserve">$96,829,590 </w:t>
            </w:r>
          </w:p>
        </w:tc>
        <w:tc>
          <w:tcPr>
            <w:tcW w:w="1440" w:type="dxa"/>
            <w:noWrap/>
            <w:vAlign w:val="bottom"/>
            <w:hideMark/>
          </w:tcPr>
          <w:p w:rsidR="00FB77C0" w:rsidRDefault="00FB77C0" w:rsidP="00E13D6C">
            <w:pPr>
              <w:jc w:val="right"/>
              <w:rPr>
                <w:color w:val="000000"/>
                <w:sz w:val="22"/>
                <w:szCs w:val="22"/>
              </w:rPr>
            </w:pPr>
            <w:r>
              <w:rPr>
                <w:color w:val="000000"/>
                <w:sz w:val="22"/>
                <w:szCs w:val="22"/>
              </w:rPr>
              <w:t xml:space="preserve">-                      --   </w:t>
            </w:r>
          </w:p>
        </w:tc>
        <w:tc>
          <w:tcPr>
            <w:tcW w:w="1729" w:type="dxa"/>
            <w:noWrap/>
            <w:vAlign w:val="bottom"/>
            <w:hideMark/>
          </w:tcPr>
          <w:p w:rsidR="00FB77C0" w:rsidRDefault="00FB77C0" w:rsidP="00E13D6C">
            <w:pPr>
              <w:jc w:val="right"/>
              <w:rPr>
                <w:color w:val="000000"/>
                <w:sz w:val="22"/>
                <w:szCs w:val="22"/>
              </w:rPr>
            </w:pPr>
            <w:r>
              <w:rPr>
                <w:color w:val="000000"/>
                <w:sz w:val="22"/>
                <w:szCs w:val="22"/>
              </w:rPr>
              <w:t xml:space="preserve">$96,829,590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Working Capital Allowance</w:t>
            </w:r>
          </w:p>
        </w:tc>
        <w:tc>
          <w:tcPr>
            <w:tcW w:w="2070" w:type="dxa"/>
            <w:tcBorders>
              <w:top w:val="nil"/>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19,837,366 </w:t>
            </w:r>
          </w:p>
        </w:tc>
        <w:tc>
          <w:tcPr>
            <w:tcW w:w="1440" w:type="dxa"/>
            <w:tcBorders>
              <w:top w:val="nil"/>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                      -   </w:t>
            </w:r>
          </w:p>
        </w:tc>
        <w:tc>
          <w:tcPr>
            <w:tcW w:w="1729" w:type="dxa"/>
            <w:tcBorders>
              <w:top w:val="nil"/>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19,837,366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17"/>
          <w:jc w:val="center"/>
        </w:trPr>
        <w:tc>
          <w:tcPr>
            <w:tcW w:w="266" w:type="dxa"/>
            <w:tcBorders>
              <w:top w:val="nil"/>
              <w:left w:val="single" w:sz="4" w:space="0" w:color="auto"/>
              <w:bottom w:val="nil"/>
              <w:right w:val="nil"/>
            </w:tcBorders>
            <w:noWrap/>
            <w:vAlign w:val="bottom"/>
          </w:tcPr>
          <w:p w:rsidR="00FB77C0" w:rsidRDefault="00FB77C0" w:rsidP="00E13D6C">
            <w:pPr>
              <w:rPr>
                <w:rFonts w:ascii="Calibri" w:hAnsi="Calibri"/>
                <w:color w:val="000000"/>
                <w:sz w:val="22"/>
                <w:szCs w:val="22"/>
              </w:rPr>
            </w:pPr>
          </w:p>
        </w:tc>
        <w:tc>
          <w:tcPr>
            <w:tcW w:w="3204" w:type="dxa"/>
            <w:noWrap/>
            <w:vAlign w:val="bottom"/>
            <w:hideMark/>
          </w:tcPr>
          <w:p w:rsidR="00FB77C0" w:rsidRDefault="00FB77C0" w:rsidP="00E13D6C">
            <w:pPr>
              <w:rPr>
                <w:color w:val="000000"/>
                <w:sz w:val="22"/>
                <w:szCs w:val="22"/>
              </w:rPr>
            </w:pPr>
            <w:r>
              <w:rPr>
                <w:color w:val="000000"/>
                <w:sz w:val="22"/>
                <w:szCs w:val="22"/>
              </w:rPr>
              <w:t>Total Rate Base</w:t>
            </w:r>
          </w:p>
        </w:tc>
        <w:tc>
          <w:tcPr>
            <w:tcW w:w="2070" w:type="dxa"/>
            <w:tcBorders>
              <w:top w:val="single" w:sz="8" w:space="0" w:color="auto"/>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$116,666,956</w:t>
            </w:r>
          </w:p>
        </w:tc>
        <w:tc>
          <w:tcPr>
            <w:tcW w:w="1440" w:type="dxa"/>
            <w:tcBorders>
              <w:top w:val="single" w:sz="8" w:space="0" w:color="auto"/>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w:t>
            </w:r>
          </w:p>
        </w:tc>
        <w:tc>
          <w:tcPr>
            <w:tcW w:w="1729" w:type="dxa"/>
            <w:tcBorders>
              <w:top w:val="single" w:sz="8" w:space="0" w:color="auto"/>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$116,666,956</w:t>
            </w:r>
          </w:p>
        </w:tc>
        <w:tc>
          <w:tcPr>
            <w:tcW w:w="300" w:type="dxa"/>
            <w:tcBorders>
              <w:top w:val="nil"/>
              <w:left w:val="nil"/>
              <w:bottom w:val="nil"/>
              <w:right w:val="single" w:sz="4" w:space="0" w:color="auto"/>
            </w:tcBorders>
            <w:noWrap/>
            <w:vAlign w:val="bottom"/>
          </w:tcPr>
          <w:p w:rsidR="00FB77C0" w:rsidRDefault="00FB77C0" w:rsidP="00E13D6C">
            <w:pPr>
              <w:rPr>
                <w:rFonts w:ascii="Calibri" w:hAnsi="Calibri"/>
                <w:color w:val="000000"/>
                <w:sz w:val="22"/>
                <w:szCs w:val="22"/>
              </w:rPr>
            </w:pPr>
          </w:p>
        </w:tc>
      </w:tr>
      <w:tr w:rsidR="00FB77C0" w:rsidTr="00E13D6C">
        <w:trPr>
          <w:trHeight w:hRule="exact" w:val="317"/>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rFonts w:ascii="Calibri" w:hAnsi="Calibri"/>
                <w:color w:val="000000"/>
                <w:sz w:val="22"/>
                <w:szCs w:val="22"/>
              </w:rPr>
            </w:pPr>
          </w:p>
        </w:tc>
        <w:tc>
          <w:tcPr>
            <w:tcW w:w="2070" w:type="dxa"/>
            <w:tcBorders>
              <w:top w:val="single" w:sz="8" w:space="0" w:color="auto"/>
              <w:left w:val="nil"/>
              <w:bottom w:val="nil"/>
              <w:right w:val="nil"/>
            </w:tcBorders>
            <w:noWrap/>
            <w:vAlign w:val="bottom"/>
            <w:hideMark/>
          </w:tcPr>
          <w:p w:rsidR="00FB77C0" w:rsidRDefault="00FB77C0" w:rsidP="00E13D6C">
            <w:pPr>
              <w:rPr>
                <w:sz w:val="20"/>
                <w:szCs w:val="20"/>
              </w:rPr>
            </w:pPr>
          </w:p>
        </w:tc>
        <w:tc>
          <w:tcPr>
            <w:tcW w:w="1440" w:type="dxa"/>
            <w:tcBorders>
              <w:top w:val="single" w:sz="8" w:space="0" w:color="auto"/>
              <w:left w:val="nil"/>
              <w:bottom w:val="nil"/>
              <w:right w:val="nil"/>
            </w:tcBorders>
            <w:noWrap/>
            <w:vAlign w:val="bottom"/>
            <w:hideMark/>
          </w:tcPr>
          <w:p w:rsidR="00FB77C0" w:rsidRDefault="00FB77C0" w:rsidP="00E13D6C">
            <w:pPr>
              <w:rPr>
                <w:sz w:val="20"/>
                <w:szCs w:val="20"/>
              </w:rPr>
            </w:pPr>
          </w:p>
        </w:tc>
        <w:tc>
          <w:tcPr>
            <w:tcW w:w="1729" w:type="dxa"/>
            <w:tcBorders>
              <w:top w:val="single" w:sz="8" w:space="0" w:color="auto"/>
              <w:left w:val="nil"/>
              <w:bottom w:val="nil"/>
              <w:right w:val="nil"/>
            </w:tcBorders>
            <w:noWrap/>
            <w:vAlign w:val="bottom"/>
            <w:hideMark/>
          </w:tcPr>
          <w:p w:rsidR="00FB77C0" w:rsidRDefault="00FB77C0" w:rsidP="00E13D6C">
            <w:pPr>
              <w:rPr>
                <w:sz w:val="20"/>
                <w:szCs w:val="20"/>
              </w:rPr>
            </w:pP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rFonts w:ascii="Calibri" w:hAnsi="Calibri"/>
                <w:color w:val="000000"/>
                <w:sz w:val="22"/>
                <w:szCs w:val="22"/>
              </w:rPr>
            </w:pPr>
          </w:p>
        </w:tc>
        <w:tc>
          <w:tcPr>
            <w:tcW w:w="2070" w:type="dxa"/>
            <w:noWrap/>
            <w:vAlign w:val="bottom"/>
          </w:tcPr>
          <w:p w:rsidR="00FB77C0" w:rsidRDefault="00FB77C0" w:rsidP="00E13D6C">
            <w:pPr>
              <w:jc w:val="center"/>
              <w:rPr>
                <w:color w:val="000000"/>
                <w:sz w:val="22"/>
                <w:szCs w:val="22"/>
              </w:rPr>
            </w:pPr>
          </w:p>
        </w:tc>
        <w:tc>
          <w:tcPr>
            <w:tcW w:w="1440" w:type="dxa"/>
            <w:noWrap/>
            <w:vAlign w:val="bottom"/>
          </w:tcPr>
          <w:p w:rsidR="00FB77C0" w:rsidRDefault="00FB77C0" w:rsidP="00E13D6C">
            <w:pPr>
              <w:jc w:val="center"/>
              <w:rPr>
                <w:color w:val="000000"/>
                <w:sz w:val="22"/>
                <w:szCs w:val="22"/>
              </w:rPr>
            </w:pPr>
          </w:p>
        </w:tc>
        <w:tc>
          <w:tcPr>
            <w:tcW w:w="1729" w:type="dxa"/>
            <w:noWrap/>
            <w:vAlign w:val="bottom"/>
          </w:tcPr>
          <w:p w:rsidR="00FB77C0" w:rsidRDefault="00FB77C0" w:rsidP="00E13D6C">
            <w:pPr>
              <w:jc w:val="center"/>
              <w:rPr>
                <w:color w:val="000000"/>
                <w:sz w:val="22"/>
                <w:szCs w:val="22"/>
              </w:rPr>
            </w:pP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u w:val="single"/>
              </w:rPr>
            </w:pPr>
            <w:r>
              <w:rPr>
                <w:color w:val="000000"/>
                <w:sz w:val="22"/>
                <w:szCs w:val="22"/>
                <w:u w:val="single"/>
              </w:rPr>
              <w:t>Income Statement</w:t>
            </w:r>
          </w:p>
        </w:tc>
        <w:tc>
          <w:tcPr>
            <w:tcW w:w="2070" w:type="dxa"/>
            <w:noWrap/>
            <w:vAlign w:val="bottom"/>
          </w:tcPr>
          <w:p w:rsidR="00FB77C0" w:rsidRDefault="00FB77C0" w:rsidP="00E13D6C">
            <w:pPr>
              <w:jc w:val="center"/>
              <w:rPr>
                <w:color w:val="000000"/>
                <w:sz w:val="22"/>
                <w:szCs w:val="22"/>
              </w:rPr>
            </w:pPr>
          </w:p>
        </w:tc>
        <w:tc>
          <w:tcPr>
            <w:tcW w:w="1440" w:type="dxa"/>
            <w:noWrap/>
            <w:vAlign w:val="bottom"/>
          </w:tcPr>
          <w:p w:rsidR="00FB77C0" w:rsidRDefault="00FB77C0" w:rsidP="00E13D6C">
            <w:pPr>
              <w:jc w:val="center"/>
              <w:rPr>
                <w:color w:val="000000"/>
                <w:sz w:val="22"/>
                <w:szCs w:val="22"/>
              </w:rPr>
            </w:pPr>
          </w:p>
        </w:tc>
        <w:tc>
          <w:tcPr>
            <w:tcW w:w="1729" w:type="dxa"/>
            <w:noWrap/>
            <w:vAlign w:val="bottom"/>
          </w:tcPr>
          <w:p w:rsidR="00FB77C0" w:rsidRDefault="00FB77C0" w:rsidP="00E13D6C">
            <w:pPr>
              <w:jc w:val="center"/>
              <w:rPr>
                <w:color w:val="000000"/>
                <w:sz w:val="22"/>
                <w:szCs w:val="22"/>
              </w:rPr>
            </w:pP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Total Operating Revenues</w:t>
            </w:r>
          </w:p>
        </w:tc>
        <w:tc>
          <w:tcPr>
            <w:tcW w:w="207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$26,190,489 </w:t>
            </w:r>
          </w:p>
        </w:tc>
        <w:tc>
          <w:tcPr>
            <w:tcW w:w="144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1729"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$26,190,489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tcPr>
          <w:p w:rsidR="00FB77C0" w:rsidRDefault="00FB77C0" w:rsidP="00E13D6C">
            <w:pPr>
              <w:rPr>
                <w:rFonts w:ascii="Calibri" w:hAnsi="Calibri"/>
                <w:color w:val="000000"/>
                <w:sz w:val="22"/>
                <w:szCs w:val="22"/>
              </w:rPr>
            </w:pPr>
          </w:p>
        </w:tc>
        <w:tc>
          <w:tcPr>
            <w:tcW w:w="3204" w:type="dxa"/>
            <w:noWrap/>
            <w:vAlign w:val="bottom"/>
            <w:hideMark/>
          </w:tcPr>
          <w:p w:rsidR="00FB77C0" w:rsidRDefault="00FB77C0" w:rsidP="00E13D6C">
            <w:pPr>
              <w:rPr>
                <w:color w:val="000000"/>
                <w:sz w:val="22"/>
                <w:szCs w:val="22"/>
              </w:rPr>
            </w:pPr>
            <w:r>
              <w:rPr>
                <w:color w:val="000000"/>
                <w:sz w:val="22"/>
                <w:szCs w:val="22"/>
              </w:rPr>
              <w:t>Operating Expenses:</w:t>
            </w:r>
          </w:p>
        </w:tc>
        <w:tc>
          <w:tcPr>
            <w:tcW w:w="2070" w:type="dxa"/>
            <w:noWrap/>
            <w:vAlign w:val="bottom"/>
          </w:tcPr>
          <w:p w:rsidR="00FB77C0" w:rsidRDefault="00FB77C0" w:rsidP="00E13D6C">
            <w:pPr>
              <w:jc w:val="right"/>
              <w:rPr>
                <w:color w:val="000000"/>
                <w:sz w:val="22"/>
                <w:szCs w:val="22"/>
              </w:rPr>
            </w:pPr>
          </w:p>
        </w:tc>
        <w:tc>
          <w:tcPr>
            <w:tcW w:w="1440" w:type="dxa"/>
            <w:noWrap/>
            <w:vAlign w:val="bottom"/>
          </w:tcPr>
          <w:p w:rsidR="00FB77C0" w:rsidRDefault="00FB77C0" w:rsidP="00E13D6C">
            <w:pPr>
              <w:jc w:val="right"/>
              <w:rPr>
                <w:color w:val="000000"/>
                <w:sz w:val="22"/>
                <w:szCs w:val="22"/>
              </w:rPr>
            </w:pPr>
          </w:p>
        </w:tc>
        <w:tc>
          <w:tcPr>
            <w:tcW w:w="1729" w:type="dxa"/>
            <w:noWrap/>
            <w:vAlign w:val="bottom"/>
          </w:tcPr>
          <w:p w:rsidR="00FB77C0" w:rsidRDefault="00FB77C0" w:rsidP="00E13D6C">
            <w:pPr>
              <w:jc w:val="right"/>
              <w:rPr>
                <w:color w:val="000000"/>
                <w:sz w:val="22"/>
                <w:szCs w:val="22"/>
              </w:rPr>
            </w:pPr>
          </w:p>
        </w:tc>
        <w:tc>
          <w:tcPr>
            <w:tcW w:w="300" w:type="dxa"/>
            <w:tcBorders>
              <w:top w:val="nil"/>
              <w:left w:val="nil"/>
              <w:bottom w:val="nil"/>
              <w:right w:val="single" w:sz="4" w:space="0" w:color="auto"/>
            </w:tcBorders>
            <w:noWrap/>
            <w:vAlign w:val="bottom"/>
          </w:tcPr>
          <w:p w:rsidR="00FB77C0" w:rsidRDefault="00FB77C0" w:rsidP="00E13D6C">
            <w:pPr>
              <w:rPr>
                <w:rFonts w:ascii="Calibri" w:hAnsi="Calibri"/>
                <w:color w:val="000000"/>
                <w:sz w:val="22"/>
                <w:szCs w:val="22"/>
              </w:rPr>
            </w:pP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Operation &amp; Maintenance – Fuel</w:t>
            </w:r>
          </w:p>
        </w:tc>
        <w:tc>
          <w:tcPr>
            <w:tcW w:w="2070" w:type="dxa"/>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1440" w:type="dxa"/>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1729" w:type="dxa"/>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tcPr>
          <w:p w:rsidR="00FB77C0" w:rsidRDefault="00FB77C0" w:rsidP="00E13D6C">
            <w:pPr>
              <w:rPr>
                <w:rFonts w:ascii="Calibri" w:hAnsi="Calibri"/>
                <w:color w:val="000000"/>
                <w:sz w:val="22"/>
                <w:szCs w:val="22"/>
              </w:rPr>
            </w:pPr>
          </w:p>
        </w:tc>
        <w:tc>
          <w:tcPr>
            <w:tcW w:w="3204" w:type="dxa"/>
            <w:noWrap/>
            <w:vAlign w:val="bottom"/>
          </w:tcPr>
          <w:p w:rsidR="00FB77C0" w:rsidRDefault="00FB77C0" w:rsidP="00E13D6C">
            <w:pPr>
              <w:rPr>
                <w:color w:val="000000"/>
                <w:sz w:val="22"/>
                <w:szCs w:val="22"/>
              </w:rPr>
            </w:pPr>
            <w:r>
              <w:rPr>
                <w:color w:val="000000"/>
                <w:sz w:val="22"/>
                <w:szCs w:val="22"/>
              </w:rPr>
              <w:t>Operation &amp; Maintenance - Other</w:t>
            </w:r>
          </w:p>
        </w:tc>
        <w:tc>
          <w:tcPr>
            <w:tcW w:w="2070" w:type="dxa"/>
            <w:noWrap/>
            <w:vAlign w:val="bottom"/>
          </w:tcPr>
          <w:p w:rsidR="00FB77C0" w:rsidRDefault="00FB77C0" w:rsidP="00E13D6C">
            <w:pPr>
              <w:jc w:val="right"/>
              <w:rPr>
                <w:color w:val="000000"/>
                <w:sz w:val="22"/>
                <w:szCs w:val="22"/>
              </w:rPr>
            </w:pPr>
            <w:r>
              <w:rPr>
                <w:color w:val="000000"/>
                <w:sz w:val="22"/>
                <w:szCs w:val="22"/>
              </w:rPr>
              <w:t>13,822,103</w:t>
            </w:r>
          </w:p>
        </w:tc>
        <w:tc>
          <w:tcPr>
            <w:tcW w:w="1440" w:type="dxa"/>
            <w:noWrap/>
            <w:vAlign w:val="bottom"/>
          </w:tcPr>
          <w:p w:rsidR="00FB77C0" w:rsidRDefault="00FB77C0" w:rsidP="00E13D6C">
            <w:pPr>
              <w:jc w:val="right"/>
              <w:rPr>
                <w:color w:val="000000"/>
                <w:sz w:val="22"/>
                <w:szCs w:val="22"/>
              </w:rPr>
            </w:pPr>
          </w:p>
        </w:tc>
        <w:tc>
          <w:tcPr>
            <w:tcW w:w="1729" w:type="dxa"/>
            <w:noWrap/>
            <w:vAlign w:val="bottom"/>
          </w:tcPr>
          <w:p w:rsidR="00FB77C0" w:rsidRDefault="00FB77C0" w:rsidP="00E13D6C">
            <w:pPr>
              <w:jc w:val="right"/>
              <w:rPr>
                <w:color w:val="000000"/>
                <w:sz w:val="22"/>
                <w:szCs w:val="22"/>
              </w:rPr>
            </w:pPr>
            <w:r>
              <w:rPr>
                <w:color w:val="000000"/>
                <w:sz w:val="22"/>
                <w:szCs w:val="22"/>
              </w:rPr>
              <w:t>13,822,103</w:t>
            </w:r>
          </w:p>
        </w:tc>
        <w:tc>
          <w:tcPr>
            <w:tcW w:w="300" w:type="dxa"/>
            <w:tcBorders>
              <w:top w:val="nil"/>
              <w:left w:val="nil"/>
              <w:bottom w:val="nil"/>
              <w:right w:val="single" w:sz="4" w:space="0" w:color="auto"/>
            </w:tcBorders>
            <w:noWrap/>
            <w:vAlign w:val="bottom"/>
          </w:tcPr>
          <w:p w:rsidR="00FB77C0" w:rsidRDefault="00FB77C0" w:rsidP="00E13D6C">
            <w:pPr>
              <w:rPr>
                <w:rFonts w:ascii="Calibri" w:hAnsi="Calibri"/>
                <w:color w:val="000000"/>
                <w:sz w:val="22"/>
                <w:szCs w:val="22"/>
              </w:rPr>
            </w:pP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Depreciation &amp; Amortization</w:t>
            </w:r>
          </w:p>
        </w:tc>
        <w:tc>
          <w:tcPr>
            <w:tcW w:w="2070" w:type="dxa"/>
            <w:noWrap/>
            <w:vAlign w:val="bottom"/>
            <w:hideMark/>
          </w:tcPr>
          <w:p w:rsidR="00FB77C0" w:rsidRDefault="00FB77C0" w:rsidP="00E13D6C">
            <w:pPr>
              <w:jc w:val="right"/>
              <w:rPr>
                <w:color w:val="000000"/>
                <w:sz w:val="22"/>
                <w:szCs w:val="22"/>
              </w:rPr>
            </w:pPr>
            <w:r>
              <w:rPr>
                <w:color w:val="000000"/>
                <w:sz w:val="22"/>
                <w:szCs w:val="22"/>
              </w:rPr>
              <w:t xml:space="preserve">5,304,884 </w:t>
            </w:r>
          </w:p>
        </w:tc>
        <w:tc>
          <w:tcPr>
            <w:tcW w:w="1440" w:type="dxa"/>
            <w:noWrap/>
            <w:vAlign w:val="bottom"/>
            <w:hideMark/>
          </w:tcPr>
          <w:p w:rsidR="00FB77C0" w:rsidRDefault="00FB77C0" w:rsidP="00E13D6C">
            <w:pPr>
              <w:jc w:val="right"/>
              <w:rPr>
                <w:color w:val="000000"/>
                <w:sz w:val="22"/>
                <w:szCs w:val="22"/>
              </w:rPr>
            </w:pPr>
            <w:r>
              <w:rPr>
                <w:color w:val="000000"/>
                <w:sz w:val="22"/>
                <w:szCs w:val="22"/>
              </w:rPr>
              <w:t>-</w:t>
            </w:r>
          </w:p>
        </w:tc>
        <w:tc>
          <w:tcPr>
            <w:tcW w:w="1729" w:type="dxa"/>
            <w:noWrap/>
            <w:vAlign w:val="bottom"/>
            <w:hideMark/>
          </w:tcPr>
          <w:p w:rsidR="00FB77C0" w:rsidRDefault="00FB77C0" w:rsidP="00E13D6C">
            <w:pPr>
              <w:jc w:val="right"/>
              <w:rPr>
                <w:color w:val="000000"/>
                <w:sz w:val="22"/>
                <w:szCs w:val="22"/>
              </w:rPr>
            </w:pPr>
            <w:r>
              <w:rPr>
                <w:color w:val="000000"/>
                <w:sz w:val="22"/>
                <w:szCs w:val="22"/>
              </w:rPr>
              <w:t xml:space="preserve">5,304,884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Taxes Other Than Income</w:t>
            </w:r>
          </w:p>
        </w:tc>
        <w:tc>
          <w:tcPr>
            <w:tcW w:w="2070" w:type="dxa"/>
            <w:noWrap/>
            <w:vAlign w:val="bottom"/>
            <w:hideMark/>
          </w:tcPr>
          <w:p w:rsidR="00FB77C0" w:rsidRDefault="00FB77C0" w:rsidP="00E13D6C">
            <w:pPr>
              <w:jc w:val="right"/>
              <w:rPr>
                <w:color w:val="000000"/>
                <w:sz w:val="22"/>
                <w:szCs w:val="22"/>
              </w:rPr>
            </w:pPr>
            <w:r>
              <w:rPr>
                <w:color w:val="000000"/>
                <w:sz w:val="22"/>
                <w:szCs w:val="22"/>
              </w:rPr>
              <w:t xml:space="preserve">1,705,369 </w:t>
            </w:r>
          </w:p>
        </w:tc>
        <w:tc>
          <w:tcPr>
            <w:tcW w:w="1440" w:type="dxa"/>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1729" w:type="dxa"/>
            <w:noWrap/>
            <w:vAlign w:val="bottom"/>
            <w:hideMark/>
          </w:tcPr>
          <w:p w:rsidR="00FB77C0" w:rsidRDefault="00FB77C0" w:rsidP="00E13D6C">
            <w:pPr>
              <w:jc w:val="right"/>
              <w:rPr>
                <w:color w:val="000000"/>
                <w:sz w:val="22"/>
                <w:szCs w:val="22"/>
              </w:rPr>
            </w:pPr>
            <w:r>
              <w:rPr>
                <w:color w:val="000000"/>
                <w:sz w:val="22"/>
                <w:szCs w:val="22"/>
              </w:rPr>
              <w:t xml:space="preserve">1,705,369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 xml:space="preserve">Income Taxes </w:t>
            </w:r>
          </w:p>
        </w:tc>
        <w:tc>
          <w:tcPr>
            <w:tcW w:w="2070" w:type="dxa"/>
            <w:noWrap/>
            <w:vAlign w:val="bottom"/>
            <w:hideMark/>
          </w:tcPr>
          <w:p w:rsidR="00FB77C0" w:rsidRDefault="00FB77C0" w:rsidP="00E13D6C">
            <w:pPr>
              <w:jc w:val="right"/>
              <w:rPr>
                <w:color w:val="000000"/>
                <w:sz w:val="22"/>
                <w:szCs w:val="22"/>
              </w:rPr>
            </w:pPr>
            <w:r>
              <w:rPr>
                <w:color w:val="000000"/>
                <w:sz w:val="22"/>
                <w:szCs w:val="22"/>
              </w:rPr>
              <w:t>5,868,734</w:t>
            </w:r>
          </w:p>
        </w:tc>
        <w:tc>
          <w:tcPr>
            <w:tcW w:w="1440" w:type="dxa"/>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1729" w:type="dxa"/>
            <w:noWrap/>
            <w:vAlign w:val="bottom"/>
            <w:hideMark/>
          </w:tcPr>
          <w:p w:rsidR="00FB77C0" w:rsidRDefault="00FB77C0" w:rsidP="00E13D6C">
            <w:pPr>
              <w:jc w:val="right"/>
              <w:rPr>
                <w:color w:val="000000"/>
                <w:sz w:val="22"/>
                <w:szCs w:val="22"/>
              </w:rPr>
            </w:pPr>
            <w:r>
              <w:rPr>
                <w:color w:val="000000"/>
                <w:sz w:val="22"/>
                <w:szCs w:val="22"/>
              </w:rPr>
              <w:t xml:space="preserve">5,868,734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02"/>
          <w:jc w:val="center"/>
        </w:trPr>
        <w:tc>
          <w:tcPr>
            <w:tcW w:w="266" w:type="dxa"/>
            <w:tcBorders>
              <w:top w:val="nil"/>
              <w:left w:val="single" w:sz="4" w:space="0" w:color="auto"/>
              <w:bottom w:val="nil"/>
              <w:right w:val="nil"/>
            </w:tcBorders>
            <w:noWrap/>
            <w:vAlign w:val="bottom"/>
          </w:tcPr>
          <w:p w:rsidR="00FB77C0" w:rsidRDefault="00FB77C0" w:rsidP="00E13D6C">
            <w:pPr>
              <w:rPr>
                <w:rFonts w:ascii="Calibri" w:hAnsi="Calibri"/>
                <w:color w:val="000000"/>
                <w:sz w:val="22"/>
                <w:szCs w:val="22"/>
              </w:rPr>
            </w:pPr>
          </w:p>
        </w:tc>
        <w:tc>
          <w:tcPr>
            <w:tcW w:w="3204" w:type="dxa"/>
            <w:noWrap/>
            <w:vAlign w:val="bottom"/>
          </w:tcPr>
          <w:p w:rsidR="00FB77C0" w:rsidRDefault="00FB77C0" w:rsidP="00E13D6C">
            <w:pPr>
              <w:rPr>
                <w:color w:val="000000"/>
                <w:sz w:val="22"/>
                <w:szCs w:val="22"/>
              </w:rPr>
            </w:pPr>
            <w:r>
              <w:rPr>
                <w:color w:val="000000"/>
                <w:sz w:val="22"/>
                <w:szCs w:val="22"/>
              </w:rPr>
              <w:t>Deferred Income Taxes - Net</w:t>
            </w:r>
          </w:p>
        </w:tc>
        <w:tc>
          <w:tcPr>
            <w:tcW w:w="2070" w:type="dxa"/>
            <w:noWrap/>
            <w:vAlign w:val="bottom"/>
          </w:tcPr>
          <w:p w:rsidR="00FB77C0" w:rsidRDefault="00FB77C0" w:rsidP="00E13D6C">
            <w:pPr>
              <w:jc w:val="right"/>
              <w:rPr>
                <w:color w:val="000000"/>
                <w:sz w:val="22"/>
                <w:szCs w:val="22"/>
              </w:rPr>
            </w:pPr>
            <w:r>
              <w:rPr>
                <w:color w:val="000000"/>
                <w:sz w:val="22"/>
                <w:szCs w:val="22"/>
              </w:rPr>
              <w:t>(4,940,440)</w:t>
            </w:r>
          </w:p>
        </w:tc>
        <w:tc>
          <w:tcPr>
            <w:tcW w:w="1440" w:type="dxa"/>
            <w:noWrap/>
            <w:vAlign w:val="bottom"/>
          </w:tcPr>
          <w:p w:rsidR="00FB77C0" w:rsidRDefault="00FB77C0" w:rsidP="00E13D6C">
            <w:pPr>
              <w:jc w:val="right"/>
              <w:rPr>
                <w:color w:val="000000"/>
                <w:sz w:val="22"/>
                <w:szCs w:val="22"/>
              </w:rPr>
            </w:pPr>
            <w:r>
              <w:rPr>
                <w:color w:val="000000"/>
                <w:sz w:val="22"/>
                <w:szCs w:val="22"/>
              </w:rPr>
              <w:t>-</w:t>
            </w:r>
          </w:p>
        </w:tc>
        <w:tc>
          <w:tcPr>
            <w:tcW w:w="1729" w:type="dxa"/>
            <w:noWrap/>
            <w:vAlign w:val="bottom"/>
          </w:tcPr>
          <w:p w:rsidR="00FB77C0" w:rsidRDefault="00FB77C0" w:rsidP="00E13D6C">
            <w:pPr>
              <w:jc w:val="right"/>
              <w:rPr>
                <w:color w:val="000000"/>
                <w:sz w:val="22"/>
                <w:szCs w:val="22"/>
              </w:rPr>
            </w:pPr>
            <w:r>
              <w:rPr>
                <w:color w:val="000000"/>
                <w:sz w:val="22"/>
                <w:szCs w:val="22"/>
              </w:rPr>
              <w:t>(4,940,440)</w:t>
            </w:r>
          </w:p>
        </w:tc>
        <w:tc>
          <w:tcPr>
            <w:tcW w:w="300" w:type="dxa"/>
            <w:tcBorders>
              <w:top w:val="nil"/>
              <w:left w:val="nil"/>
              <w:bottom w:val="nil"/>
              <w:right w:val="single" w:sz="4" w:space="0" w:color="auto"/>
            </w:tcBorders>
            <w:noWrap/>
            <w:vAlign w:val="bottom"/>
          </w:tcPr>
          <w:p w:rsidR="00FB77C0" w:rsidRDefault="00FB77C0" w:rsidP="00E13D6C">
            <w:pPr>
              <w:rPr>
                <w:rFonts w:ascii="Calibri" w:hAnsi="Calibri"/>
                <w:color w:val="000000"/>
                <w:sz w:val="22"/>
                <w:szCs w:val="22"/>
              </w:rPr>
            </w:pPr>
          </w:p>
        </w:tc>
      </w:tr>
      <w:tr w:rsidR="00FB77C0" w:rsidTr="00E13D6C">
        <w:trPr>
          <w:trHeight w:hRule="exact" w:val="302"/>
          <w:jc w:val="center"/>
        </w:trPr>
        <w:tc>
          <w:tcPr>
            <w:tcW w:w="266" w:type="dxa"/>
            <w:tcBorders>
              <w:top w:val="nil"/>
              <w:left w:val="single" w:sz="4" w:space="0" w:color="auto"/>
              <w:bottom w:val="nil"/>
              <w:right w:val="nil"/>
            </w:tcBorders>
            <w:noWrap/>
            <w:vAlign w:val="bottom"/>
          </w:tcPr>
          <w:p w:rsidR="00FB77C0" w:rsidRDefault="00FB77C0" w:rsidP="00E13D6C">
            <w:pPr>
              <w:rPr>
                <w:rFonts w:ascii="Calibri" w:hAnsi="Calibri"/>
                <w:color w:val="000000"/>
                <w:sz w:val="22"/>
                <w:szCs w:val="22"/>
              </w:rPr>
            </w:pPr>
          </w:p>
        </w:tc>
        <w:tc>
          <w:tcPr>
            <w:tcW w:w="3204" w:type="dxa"/>
            <w:noWrap/>
            <w:vAlign w:val="bottom"/>
          </w:tcPr>
          <w:p w:rsidR="00FB77C0" w:rsidRDefault="00FB77C0" w:rsidP="00E13D6C">
            <w:pPr>
              <w:rPr>
                <w:color w:val="000000"/>
                <w:sz w:val="22"/>
                <w:szCs w:val="22"/>
              </w:rPr>
            </w:pPr>
            <w:r>
              <w:rPr>
                <w:color w:val="000000"/>
                <w:sz w:val="22"/>
                <w:szCs w:val="22"/>
              </w:rPr>
              <w:t>(Gain)/Loss on Disposition</w:t>
            </w:r>
          </w:p>
        </w:tc>
        <w:tc>
          <w:tcPr>
            <w:tcW w:w="2070" w:type="dxa"/>
            <w:noWrap/>
            <w:vAlign w:val="bottom"/>
          </w:tcPr>
          <w:p w:rsidR="00FB77C0" w:rsidRDefault="00FB77C0" w:rsidP="00E13D6C">
            <w:pPr>
              <w:jc w:val="right"/>
              <w:rPr>
                <w:color w:val="000000"/>
                <w:sz w:val="22"/>
                <w:szCs w:val="22"/>
              </w:rPr>
            </w:pPr>
            <w:r>
              <w:rPr>
                <w:color w:val="000000"/>
                <w:sz w:val="22"/>
                <w:szCs w:val="22"/>
              </w:rPr>
              <w:t>-</w:t>
            </w:r>
          </w:p>
        </w:tc>
        <w:tc>
          <w:tcPr>
            <w:tcW w:w="1440" w:type="dxa"/>
            <w:noWrap/>
            <w:vAlign w:val="bottom"/>
          </w:tcPr>
          <w:p w:rsidR="00FB77C0" w:rsidRDefault="00FB77C0" w:rsidP="00E13D6C">
            <w:pPr>
              <w:jc w:val="right"/>
              <w:rPr>
                <w:color w:val="000000"/>
                <w:sz w:val="22"/>
                <w:szCs w:val="22"/>
              </w:rPr>
            </w:pPr>
            <w:r>
              <w:rPr>
                <w:color w:val="000000"/>
                <w:sz w:val="22"/>
                <w:szCs w:val="22"/>
              </w:rPr>
              <w:t>-</w:t>
            </w:r>
          </w:p>
        </w:tc>
        <w:tc>
          <w:tcPr>
            <w:tcW w:w="1729" w:type="dxa"/>
            <w:noWrap/>
            <w:vAlign w:val="bottom"/>
          </w:tcPr>
          <w:p w:rsidR="00FB77C0" w:rsidRDefault="00FB77C0" w:rsidP="00E13D6C">
            <w:pPr>
              <w:jc w:val="right"/>
              <w:rPr>
                <w:color w:val="000000"/>
                <w:sz w:val="22"/>
                <w:szCs w:val="22"/>
              </w:rPr>
            </w:pPr>
            <w:r>
              <w:rPr>
                <w:color w:val="000000"/>
                <w:sz w:val="22"/>
                <w:szCs w:val="22"/>
              </w:rPr>
              <w:t>-</w:t>
            </w:r>
          </w:p>
        </w:tc>
        <w:tc>
          <w:tcPr>
            <w:tcW w:w="300" w:type="dxa"/>
            <w:tcBorders>
              <w:top w:val="nil"/>
              <w:left w:val="nil"/>
              <w:bottom w:val="nil"/>
              <w:right w:val="single" w:sz="4" w:space="0" w:color="auto"/>
            </w:tcBorders>
            <w:noWrap/>
            <w:vAlign w:val="bottom"/>
          </w:tcPr>
          <w:p w:rsidR="00FB77C0" w:rsidRDefault="00FB77C0" w:rsidP="00E13D6C">
            <w:pPr>
              <w:rPr>
                <w:rFonts w:ascii="Calibri" w:hAnsi="Calibri"/>
                <w:color w:val="000000"/>
                <w:sz w:val="22"/>
                <w:szCs w:val="22"/>
              </w:rPr>
            </w:pPr>
          </w:p>
        </w:tc>
      </w:tr>
      <w:tr w:rsidR="00FB77C0" w:rsidTr="00E13D6C">
        <w:trPr>
          <w:trHeight w:hRule="exact" w:val="317"/>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Total Operating Expenses</w:t>
            </w:r>
          </w:p>
        </w:tc>
        <w:tc>
          <w:tcPr>
            <w:tcW w:w="207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$21,760,649 </w:t>
            </w:r>
          </w:p>
        </w:tc>
        <w:tc>
          <w:tcPr>
            <w:tcW w:w="1440"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1729" w:type="dxa"/>
            <w:tcBorders>
              <w:top w:val="nil"/>
              <w:left w:val="nil"/>
              <w:bottom w:val="single" w:sz="4"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$21,760,649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17"/>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Net Operating Income</w:t>
            </w:r>
          </w:p>
        </w:tc>
        <w:tc>
          <w:tcPr>
            <w:tcW w:w="2070" w:type="dxa"/>
            <w:tcBorders>
              <w:top w:val="nil"/>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$4,429,839 </w:t>
            </w:r>
          </w:p>
        </w:tc>
        <w:tc>
          <w:tcPr>
            <w:tcW w:w="1440" w:type="dxa"/>
            <w:tcBorders>
              <w:top w:val="nil"/>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 </w:t>
            </w:r>
          </w:p>
        </w:tc>
        <w:tc>
          <w:tcPr>
            <w:tcW w:w="1729" w:type="dxa"/>
            <w:tcBorders>
              <w:top w:val="nil"/>
              <w:left w:val="nil"/>
              <w:bottom w:val="single" w:sz="8" w:space="0" w:color="auto"/>
              <w:right w:val="nil"/>
            </w:tcBorders>
            <w:noWrap/>
            <w:vAlign w:val="bottom"/>
            <w:hideMark/>
          </w:tcPr>
          <w:p w:rsidR="00FB77C0" w:rsidRDefault="00FB77C0" w:rsidP="00E13D6C">
            <w:pPr>
              <w:jc w:val="right"/>
              <w:rPr>
                <w:color w:val="000000"/>
                <w:sz w:val="22"/>
                <w:szCs w:val="22"/>
              </w:rPr>
            </w:pPr>
            <w:r>
              <w:rPr>
                <w:color w:val="000000"/>
                <w:sz w:val="22"/>
                <w:szCs w:val="22"/>
              </w:rPr>
              <w:t xml:space="preserve">$4,429,839 </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17"/>
          <w:jc w:val="center"/>
        </w:trPr>
        <w:tc>
          <w:tcPr>
            <w:tcW w:w="266" w:type="dxa"/>
            <w:tcBorders>
              <w:top w:val="nil"/>
              <w:left w:val="single" w:sz="4" w:space="0" w:color="auto"/>
              <w:bottom w:val="nil"/>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noWrap/>
            <w:vAlign w:val="bottom"/>
            <w:hideMark/>
          </w:tcPr>
          <w:p w:rsidR="00FB77C0" w:rsidRDefault="00FB77C0" w:rsidP="00E13D6C">
            <w:pPr>
              <w:rPr>
                <w:color w:val="000000"/>
                <w:sz w:val="22"/>
                <w:szCs w:val="22"/>
              </w:rPr>
            </w:pPr>
            <w:r>
              <w:rPr>
                <w:color w:val="000000"/>
                <w:sz w:val="22"/>
                <w:szCs w:val="22"/>
              </w:rPr>
              <w:t>Overall Rate of Return</w:t>
            </w:r>
          </w:p>
        </w:tc>
        <w:tc>
          <w:tcPr>
            <w:tcW w:w="2070" w:type="dxa"/>
            <w:tcBorders>
              <w:top w:val="nil"/>
              <w:left w:val="nil"/>
              <w:bottom w:val="double" w:sz="6" w:space="0" w:color="auto"/>
              <w:right w:val="nil"/>
            </w:tcBorders>
            <w:noWrap/>
            <w:vAlign w:val="bottom"/>
            <w:hideMark/>
          </w:tcPr>
          <w:p w:rsidR="00FB77C0" w:rsidRDefault="00FB77C0" w:rsidP="00E13D6C">
            <w:pPr>
              <w:jc w:val="right"/>
              <w:rPr>
                <w:color w:val="000000"/>
                <w:sz w:val="22"/>
                <w:szCs w:val="22"/>
              </w:rPr>
            </w:pPr>
            <w:r>
              <w:rPr>
                <w:color w:val="000000"/>
                <w:sz w:val="22"/>
                <w:szCs w:val="22"/>
              </w:rPr>
              <w:t>3.80%</w:t>
            </w:r>
          </w:p>
        </w:tc>
        <w:tc>
          <w:tcPr>
            <w:tcW w:w="1440" w:type="dxa"/>
            <w:noWrap/>
            <w:vAlign w:val="bottom"/>
            <w:hideMark/>
          </w:tcPr>
          <w:p w:rsidR="00FB77C0" w:rsidRDefault="00FB77C0" w:rsidP="00E13D6C">
            <w:pPr>
              <w:rPr>
                <w:color w:val="000000"/>
                <w:sz w:val="22"/>
                <w:szCs w:val="22"/>
              </w:rPr>
            </w:pPr>
          </w:p>
        </w:tc>
        <w:tc>
          <w:tcPr>
            <w:tcW w:w="1729" w:type="dxa"/>
            <w:tcBorders>
              <w:top w:val="nil"/>
              <w:left w:val="nil"/>
              <w:bottom w:val="double" w:sz="6" w:space="0" w:color="auto"/>
              <w:right w:val="nil"/>
            </w:tcBorders>
            <w:noWrap/>
            <w:vAlign w:val="bottom"/>
            <w:hideMark/>
          </w:tcPr>
          <w:p w:rsidR="00FB77C0" w:rsidRDefault="00FB77C0" w:rsidP="00E13D6C">
            <w:pPr>
              <w:jc w:val="right"/>
              <w:rPr>
                <w:color w:val="000000"/>
                <w:sz w:val="22"/>
                <w:szCs w:val="22"/>
              </w:rPr>
            </w:pPr>
            <w:r>
              <w:rPr>
                <w:color w:val="000000"/>
                <w:sz w:val="22"/>
                <w:szCs w:val="22"/>
              </w:rPr>
              <w:t>3.80%</w:t>
            </w:r>
          </w:p>
        </w:tc>
        <w:tc>
          <w:tcPr>
            <w:tcW w:w="300" w:type="dxa"/>
            <w:tcBorders>
              <w:top w:val="nil"/>
              <w:left w:val="nil"/>
              <w:bottom w:val="nil"/>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r w:rsidR="00FB77C0" w:rsidTr="00E13D6C">
        <w:trPr>
          <w:trHeight w:hRule="exact" w:val="317"/>
          <w:jc w:val="center"/>
        </w:trPr>
        <w:tc>
          <w:tcPr>
            <w:tcW w:w="266" w:type="dxa"/>
            <w:tcBorders>
              <w:top w:val="nil"/>
              <w:left w:val="single" w:sz="4" w:space="0" w:color="auto"/>
              <w:bottom w:val="single" w:sz="4" w:space="0" w:color="auto"/>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204" w:type="dxa"/>
            <w:tcBorders>
              <w:top w:val="nil"/>
              <w:left w:val="nil"/>
              <w:bottom w:val="single" w:sz="4" w:space="0" w:color="auto"/>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2070" w:type="dxa"/>
            <w:tcBorders>
              <w:top w:val="nil"/>
              <w:left w:val="nil"/>
              <w:bottom w:val="single" w:sz="4" w:space="0" w:color="auto"/>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1440" w:type="dxa"/>
            <w:tcBorders>
              <w:top w:val="nil"/>
              <w:left w:val="nil"/>
              <w:bottom w:val="single" w:sz="4" w:space="0" w:color="auto"/>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1729" w:type="dxa"/>
            <w:tcBorders>
              <w:top w:val="nil"/>
              <w:left w:val="nil"/>
              <w:bottom w:val="single" w:sz="4" w:space="0" w:color="auto"/>
              <w:right w:val="nil"/>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00" w:type="dxa"/>
            <w:tcBorders>
              <w:top w:val="nil"/>
              <w:left w:val="nil"/>
              <w:bottom w:val="single" w:sz="4" w:space="0" w:color="auto"/>
              <w:right w:val="single" w:sz="4" w:space="0" w:color="auto"/>
            </w:tcBorders>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r>
    </w:tbl>
    <w:p w:rsidR="00926093" w:rsidRDefault="00926093"/>
    <w:p w:rsidR="00FB77C0" w:rsidRDefault="00FB77C0"/>
    <w:p w:rsidR="00A346B4" w:rsidRDefault="00A346B4">
      <w:pPr>
        <w:sectPr w:rsidR="00A346B4" w:rsidSect="00FB77C0">
          <w:headerReference w:type="first" r:id="rId13"/>
          <w:pgSz w:w="12240" w:h="15840" w:code="1"/>
          <w:pgMar w:top="1584" w:right="1440" w:bottom="1440" w:left="1440" w:header="720" w:footer="720" w:gutter="0"/>
          <w:cols w:space="720"/>
          <w:formProt w:val="0"/>
          <w:titlePg/>
          <w:docGrid w:linePitch="360"/>
        </w:sectPr>
      </w:pPr>
    </w:p>
    <w:p w:rsidR="00FB77C0" w:rsidRDefault="00FB77C0"/>
    <w:p w:rsidR="00FB77C0" w:rsidRDefault="00FB77C0" w:rsidP="00FB77C0">
      <w:pPr>
        <w:pStyle w:val="BodyText"/>
        <w:spacing w:after="0"/>
        <w:jc w:val="center"/>
        <w:rPr>
          <w:rFonts w:ascii="Arial" w:hAnsi="Arial" w:cs="Arial"/>
          <w:b/>
        </w:rPr>
      </w:pPr>
      <w:r>
        <w:tab/>
      </w:r>
      <w:r>
        <w:rPr>
          <w:rFonts w:ascii="Arial" w:hAnsi="Arial" w:cs="Arial"/>
          <w:b/>
        </w:rPr>
        <w:t>FLORIDA PUBLIC UTILITIES COMPANY</w:t>
      </w:r>
    </w:p>
    <w:p w:rsidR="00FB77C0" w:rsidRDefault="00FB77C0" w:rsidP="00FB77C0">
      <w:pPr>
        <w:pStyle w:val="BodyText"/>
        <w:spacing w:after="0"/>
        <w:jc w:val="center"/>
        <w:rPr>
          <w:rFonts w:ascii="Arial" w:hAnsi="Arial" w:cs="Arial"/>
          <w:b/>
        </w:rPr>
      </w:pPr>
      <w:r>
        <w:rPr>
          <w:rFonts w:ascii="Arial" w:hAnsi="Arial" w:cs="Arial"/>
          <w:b/>
        </w:rPr>
        <w:t>Docket No. 20240099-EI</w:t>
      </w:r>
    </w:p>
    <w:p w:rsidR="00FB77C0" w:rsidRDefault="00FB77C0" w:rsidP="00FB77C0">
      <w:pPr>
        <w:pStyle w:val="BodyText"/>
        <w:spacing w:after="0"/>
        <w:jc w:val="center"/>
        <w:rPr>
          <w:rFonts w:ascii="Arial" w:hAnsi="Arial" w:cs="Arial"/>
          <w:b/>
        </w:rPr>
      </w:pPr>
      <w:r>
        <w:rPr>
          <w:rFonts w:ascii="Arial" w:hAnsi="Arial" w:cs="Arial"/>
          <w:b/>
        </w:rPr>
        <w:t>Interim Historical Test Year</w:t>
      </w:r>
    </w:p>
    <w:p w:rsidR="00FB77C0" w:rsidRDefault="00FB77C0" w:rsidP="00FB77C0">
      <w:pPr>
        <w:pStyle w:val="BodyText"/>
        <w:spacing w:after="0"/>
        <w:jc w:val="center"/>
        <w:rPr>
          <w:rFonts w:ascii="Arial" w:hAnsi="Arial" w:cs="Arial"/>
          <w:b/>
        </w:rPr>
      </w:pPr>
      <w:r>
        <w:rPr>
          <w:rFonts w:ascii="Arial" w:hAnsi="Arial" w:cs="Arial"/>
          <w:b/>
        </w:rPr>
        <w:t>December 31, 2023</w:t>
      </w:r>
    </w:p>
    <w:p w:rsidR="00FB77C0" w:rsidRDefault="00FB77C0" w:rsidP="00FB77C0">
      <w:pPr>
        <w:pStyle w:val="BodyText"/>
        <w:jc w:val="center"/>
        <w:rPr>
          <w:rFonts w:ascii="Arial" w:hAnsi="Arial" w:cs="Arial"/>
          <w:b/>
        </w:rPr>
      </w:pPr>
    </w:p>
    <w:tbl>
      <w:tblPr>
        <w:tblW w:w="10161" w:type="dxa"/>
        <w:jc w:val="center"/>
        <w:tblCellMar>
          <w:left w:w="0" w:type="dxa"/>
          <w:right w:w="0" w:type="dxa"/>
        </w:tblCellMar>
        <w:tblLook w:val="04A0" w:firstRow="1" w:lastRow="0" w:firstColumn="1" w:lastColumn="0" w:noHBand="0" w:noVBand="1"/>
      </w:tblPr>
      <w:tblGrid>
        <w:gridCol w:w="368"/>
        <w:gridCol w:w="3163"/>
        <w:gridCol w:w="2263"/>
        <w:gridCol w:w="1204"/>
        <w:gridCol w:w="1145"/>
        <w:gridCol w:w="2114"/>
      </w:tblGrid>
      <w:tr w:rsidR="00FB77C0" w:rsidRPr="000D241F" w:rsidTr="00E13D6C">
        <w:trPr>
          <w:trHeight w:val="300"/>
          <w:jc w:val="center"/>
        </w:trPr>
        <w:tc>
          <w:tcPr>
            <w:tcW w:w="352" w:type="dxa"/>
            <w:tcBorders>
              <w:top w:val="single" w:sz="4" w:space="0" w:color="auto"/>
              <w:left w:val="single" w:sz="4" w:space="0" w:color="auto"/>
              <w:bottom w:val="nil"/>
              <w:right w:val="nil"/>
            </w:tcBorders>
            <w:shd w:val="clear" w:color="auto" w:fill="auto"/>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147" w:type="dxa"/>
            <w:tcBorders>
              <w:top w:val="single" w:sz="4" w:space="0" w:color="auto"/>
              <w:left w:val="nil"/>
              <w:bottom w:val="nil"/>
              <w:right w:val="nil"/>
            </w:tcBorders>
            <w:shd w:val="clear" w:color="auto" w:fill="auto"/>
            <w:noWrap/>
            <w:vAlign w:val="bottom"/>
            <w:hideMark/>
          </w:tcPr>
          <w:p w:rsidR="00FB77C0" w:rsidRPr="000D241F" w:rsidRDefault="00FB77C0" w:rsidP="00E13D6C">
            <w:pPr>
              <w:jc w:val="center"/>
              <w:rPr>
                <w:b/>
                <w:color w:val="000000"/>
                <w:sz w:val="22"/>
                <w:szCs w:val="22"/>
              </w:rPr>
            </w:pPr>
          </w:p>
        </w:tc>
        <w:tc>
          <w:tcPr>
            <w:tcW w:w="2247" w:type="dxa"/>
            <w:tcBorders>
              <w:top w:val="single" w:sz="4" w:space="0" w:color="auto"/>
              <w:left w:val="nil"/>
              <w:bottom w:val="nil"/>
              <w:right w:val="nil"/>
            </w:tcBorders>
            <w:shd w:val="clear" w:color="auto" w:fill="auto"/>
            <w:noWrap/>
            <w:vAlign w:val="bottom"/>
            <w:hideMark/>
          </w:tcPr>
          <w:p w:rsidR="00FB77C0" w:rsidRPr="000D241F" w:rsidRDefault="00FB77C0" w:rsidP="00E13D6C">
            <w:pPr>
              <w:jc w:val="center"/>
              <w:rPr>
                <w:b/>
                <w:color w:val="000000"/>
                <w:sz w:val="22"/>
                <w:szCs w:val="22"/>
              </w:rPr>
            </w:pPr>
            <w:r w:rsidRPr="000D241F">
              <w:rPr>
                <w:b/>
                <w:color w:val="000000"/>
                <w:sz w:val="22"/>
                <w:szCs w:val="22"/>
              </w:rPr>
              <w:t>Jurisdictional</w:t>
            </w:r>
          </w:p>
        </w:tc>
        <w:tc>
          <w:tcPr>
            <w:tcW w:w="1188" w:type="dxa"/>
            <w:tcBorders>
              <w:top w:val="single" w:sz="4" w:space="0" w:color="auto"/>
              <w:left w:val="nil"/>
              <w:bottom w:val="nil"/>
              <w:right w:val="nil"/>
            </w:tcBorders>
            <w:shd w:val="clear" w:color="auto" w:fill="auto"/>
            <w:noWrap/>
            <w:vAlign w:val="bottom"/>
            <w:hideMark/>
          </w:tcPr>
          <w:p w:rsidR="00FB77C0" w:rsidRPr="000D241F" w:rsidRDefault="00FB77C0" w:rsidP="00E13D6C">
            <w:pPr>
              <w:jc w:val="center"/>
              <w:rPr>
                <w:b/>
                <w:color w:val="000000"/>
                <w:sz w:val="22"/>
                <w:szCs w:val="22"/>
              </w:rPr>
            </w:pPr>
          </w:p>
        </w:tc>
        <w:tc>
          <w:tcPr>
            <w:tcW w:w="1129" w:type="dxa"/>
            <w:tcBorders>
              <w:top w:val="single" w:sz="4" w:space="0" w:color="auto"/>
              <w:left w:val="nil"/>
              <w:bottom w:val="nil"/>
              <w:right w:val="nil"/>
            </w:tcBorders>
            <w:shd w:val="clear" w:color="auto" w:fill="auto"/>
            <w:noWrap/>
            <w:vAlign w:val="bottom"/>
            <w:hideMark/>
          </w:tcPr>
          <w:p w:rsidR="00FB77C0" w:rsidRPr="000D241F" w:rsidRDefault="00FB77C0" w:rsidP="00E13D6C">
            <w:pPr>
              <w:jc w:val="center"/>
              <w:rPr>
                <w:b/>
                <w:color w:val="000000"/>
                <w:sz w:val="22"/>
                <w:szCs w:val="22"/>
              </w:rPr>
            </w:pPr>
          </w:p>
        </w:tc>
        <w:tc>
          <w:tcPr>
            <w:tcW w:w="2098" w:type="dxa"/>
            <w:tcBorders>
              <w:top w:val="single" w:sz="4" w:space="0" w:color="auto"/>
              <w:left w:val="nil"/>
              <w:bottom w:val="nil"/>
              <w:right w:val="single" w:sz="4" w:space="0" w:color="auto"/>
            </w:tcBorders>
            <w:shd w:val="clear" w:color="auto" w:fill="auto"/>
            <w:noWrap/>
            <w:vAlign w:val="bottom"/>
            <w:hideMark/>
          </w:tcPr>
          <w:p w:rsidR="00FB77C0" w:rsidRPr="000D241F" w:rsidRDefault="00FB77C0" w:rsidP="00E13D6C">
            <w:pPr>
              <w:jc w:val="center"/>
              <w:rPr>
                <w:b/>
                <w:color w:val="000000"/>
                <w:sz w:val="22"/>
                <w:szCs w:val="22"/>
              </w:rPr>
            </w:pPr>
          </w:p>
        </w:tc>
      </w:tr>
      <w:tr w:rsidR="00FB77C0" w:rsidRPr="000D241F" w:rsidTr="00E13D6C">
        <w:trPr>
          <w:trHeight w:val="300"/>
          <w:jc w:val="center"/>
        </w:trPr>
        <w:tc>
          <w:tcPr>
            <w:tcW w:w="352" w:type="dxa"/>
            <w:tcBorders>
              <w:top w:val="nil"/>
              <w:left w:val="single" w:sz="4" w:space="0" w:color="auto"/>
              <w:right w:val="nil"/>
            </w:tcBorders>
            <w:shd w:val="clear" w:color="auto" w:fill="auto"/>
            <w:noWrap/>
            <w:vAlign w:val="bottom"/>
          </w:tcPr>
          <w:p w:rsidR="00FB77C0" w:rsidRDefault="00FB77C0" w:rsidP="00E13D6C">
            <w:pPr>
              <w:rPr>
                <w:rFonts w:ascii="Calibri" w:hAnsi="Calibri"/>
                <w:color w:val="000000"/>
                <w:sz w:val="22"/>
                <w:szCs w:val="22"/>
              </w:rPr>
            </w:pPr>
          </w:p>
        </w:tc>
        <w:tc>
          <w:tcPr>
            <w:tcW w:w="3147" w:type="dxa"/>
            <w:tcBorders>
              <w:top w:val="nil"/>
              <w:left w:val="nil"/>
              <w:right w:val="nil"/>
            </w:tcBorders>
            <w:shd w:val="clear" w:color="auto" w:fill="auto"/>
            <w:noWrap/>
            <w:vAlign w:val="bottom"/>
          </w:tcPr>
          <w:p w:rsidR="00FB77C0" w:rsidRPr="000D241F" w:rsidRDefault="00FB77C0" w:rsidP="00E13D6C">
            <w:pPr>
              <w:jc w:val="center"/>
              <w:rPr>
                <w:b/>
                <w:color w:val="000000"/>
                <w:sz w:val="22"/>
                <w:szCs w:val="22"/>
              </w:rPr>
            </w:pPr>
          </w:p>
        </w:tc>
        <w:tc>
          <w:tcPr>
            <w:tcW w:w="2247" w:type="dxa"/>
            <w:tcBorders>
              <w:top w:val="nil"/>
              <w:left w:val="nil"/>
              <w:right w:val="nil"/>
            </w:tcBorders>
            <w:shd w:val="clear" w:color="auto" w:fill="auto"/>
            <w:noWrap/>
            <w:vAlign w:val="bottom"/>
          </w:tcPr>
          <w:p w:rsidR="00FB77C0" w:rsidRDefault="00FB77C0" w:rsidP="00E13D6C">
            <w:pPr>
              <w:jc w:val="center"/>
              <w:rPr>
                <w:b/>
                <w:color w:val="000000"/>
                <w:sz w:val="22"/>
                <w:szCs w:val="22"/>
              </w:rPr>
            </w:pPr>
            <w:r>
              <w:rPr>
                <w:b/>
                <w:color w:val="000000"/>
                <w:sz w:val="22"/>
                <w:szCs w:val="22"/>
              </w:rPr>
              <w:t>Capital</w:t>
            </w:r>
          </w:p>
        </w:tc>
        <w:tc>
          <w:tcPr>
            <w:tcW w:w="1188" w:type="dxa"/>
            <w:tcBorders>
              <w:top w:val="nil"/>
              <w:left w:val="nil"/>
              <w:right w:val="nil"/>
            </w:tcBorders>
            <w:shd w:val="clear" w:color="auto" w:fill="auto"/>
            <w:noWrap/>
            <w:vAlign w:val="bottom"/>
          </w:tcPr>
          <w:p w:rsidR="00FB77C0" w:rsidRDefault="00FB77C0" w:rsidP="00E13D6C">
            <w:pPr>
              <w:jc w:val="center"/>
              <w:rPr>
                <w:b/>
                <w:color w:val="000000"/>
                <w:sz w:val="22"/>
                <w:szCs w:val="22"/>
              </w:rPr>
            </w:pPr>
          </w:p>
        </w:tc>
        <w:tc>
          <w:tcPr>
            <w:tcW w:w="1129" w:type="dxa"/>
            <w:tcBorders>
              <w:top w:val="nil"/>
              <w:left w:val="nil"/>
              <w:right w:val="nil"/>
            </w:tcBorders>
            <w:shd w:val="clear" w:color="auto" w:fill="auto"/>
            <w:noWrap/>
            <w:vAlign w:val="bottom"/>
          </w:tcPr>
          <w:p w:rsidR="00FB77C0" w:rsidRDefault="00FB77C0" w:rsidP="00E13D6C">
            <w:pPr>
              <w:jc w:val="center"/>
              <w:rPr>
                <w:b/>
                <w:color w:val="000000"/>
                <w:sz w:val="22"/>
                <w:szCs w:val="22"/>
              </w:rPr>
            </w:pPr>
          </w:p>
        </w:tc>
        <w:tc>
          <w:tcPr>
            <w:tcW w:w="2098" w:type="dxa"/>
            <w:tcBorders>
              <w:top w:val="nil"/>
              <w:left w:val="nil"/>
              <w:right w:val="single" w:sz="4" w:space="0" w:color="auto"/>
            </w:tcBorders>
            <w:shd w:val="clear" w:color="auto" w:fill="auto"/>
            <w:noWrap/>
            <w:vAlign w:val="bottom"/>
          </w:tcPr>
          <w:p w:rsidR="00FB77C0" w:rsidRPr="000D241F" w:rsidRDefault="00FB77C0" w:rsidP="00E13D6C">
            <w:pPr>
              <w:jc w:val="center"/>
              <w:rPr>
                <w:b/>
                <w:color w:val="000000"/>
                <w:sz w:val="22"/>
                <w:szCs w:val="22"/>
              </w:rPr>
            </w:pPr>
            <w:r>
              <w:rPr>
                <w:b/>
                <w:color w:val="000000"/>
                <w:sz w:val="22"/>
                <w:szCs w:val="22"/>
              </w:rPr>
              <w:t>Weighted</w:t>
            </w:r>
          </w:p>
        </w:tc>
      </w:tr>
      <w:tr w:rsidR="00FB77C0" w:rsidRPr="000D241F" w:rsidTr="00E13D6C">
        <w:trPr>
          <w:trHeight w:val="300"/>
          <w:jc w:val="center"/>
        </w:trPr>
        <w:tc>
          <w:tcPr>
            <w:tcW w:w="352" w:type="dxa"/>
            <w:tcBorders>
              <w:left w:val="single" w:sz="4" w:space="0" w:color="auto"/>
              <w:bottom w:val="single" w:sz="4" w:space="0" w:color="auto"/>
              <w:right w:val="nil"/>
            </w:tcBorders>
            <w:shd w:val="clear" w:color="auto" w:fill="auto"/>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147" w:type="dxa"/>
            <w:tcBorders>
              <w:left w:val="nil"/>
              <w:bottom w:val="single" w:sz="4" w:space="0" w:color="auto"/>
              <w:right w:val="nil"/>
            </w:tcBorders>
            <w:shd w:val="clear" w:color="auto" w:fill="auto"/>
            <w:noWrap/>
            <w:vAlign w:val="bottom"/>
            <w:hideMark/>
          </w:tcPr>
          <w:p w:rsidR="00FB77C0" w:rsidRPr="000D241F" w:rsidRDefault="00FB77C0" w:rsidP="00E13D6C">
            <w:pPr>
              <w:jc w:val="center"/>
              <w:rPr>
                <w:b/>
                <w:color w:val="000000"/>
                <w:sz w:val="22"/>
                <w:szCs w:val="22"/>
              </w:rPr>
            </w:pPr>
            <w:r w:rsidRPr="000D241F">
              <w:rPr>
                <w:b/>
                <w:color w:val="000000"/>
                <w:sz w:val="22"/>
                <w:szCs w:val="22"/>
              </w:rPr>
              <w:t>Capital Component</w:t>
            </w:r>
          </w:p>
        </w:tc>
        <w:tc>
          <w:tcPr>
            <w:tcW w:w="2247" w:type="dxa"/>
            <w:tcBorders>
              <w:left w:val="nil"/>
              <w:bottom w:val="single" w:sz="4" w:space="0" w:color="auto"/>
              <w:right w:val="nil"/>
            </w:tcBorders>
            <w:shd w:val="clear" w:color="auto" w:fill="auto"/>
            <w:noWrap/>
            <w:vAlign w:val="bottom"/>
            <w:hideMark/>
          </w:tcPr>
          <w:p w:rsidR="00FB77C0" w:rsidRPr="000D241F" w:rsidRDefault="00FB77C0" w:rsidP="00E13D6C">
            <w:pPr>
              <w:jc w:val="center"/>
              <w:rPr>
                <w:b/>
                <w:color w:val="000000"/>
                <w:sz w:val="22"/>
                <w:szCs w:val="22"/>
              </w:rPr>
            </w:pPr>
            <w:r w:rsidRPr="000D241F">
              <w:rPr>
                <w:b/>
                <w:color w:val="000000"/>
                <w:sz w:val="22"/>
                <w:szCs w:val="22"/>
              </w:rPr>
              <w:t>Structure</w:t>
            </w:r>
          </w:p>
        </w:tc>
        <w:tc>
          <w:tcPr>
            <w:tcW w:w="1188" w:type="dxa"/>
            <w:tcBorders>
              <w:left w:val="nil"/>
              <w:bottom w:val="single" w:sz="4" w:space="0" w:color="auto"/>
              <w:right w:val="nil"/>
            </w:tcBorders>
            <w:shd w:val="clear" w:color="auto" w:fill="auto"/>
            <w:noWrap/>
            <w:vAlign w:val="bottom"/>
            <w:hideMark/>
          </w:tcPr>
          <w:p w:rsidR="00FB77C0" w:rsidRPr="000D241F" w:rsidRDefault="00FB77C0" w:rsidP="00E13D6C">
            <w:pPr>
              <w:jc w:val="center"/>
              <w:rPr>
                <w:b/>
                <w:color w:val="000000"/>
                <w:sz w:val="22"/>
                <w:szCs w:val="22"/>
              </w:rPr>
            </w:pPr>
            <w:r>
              <w:rPr>
                <w:b/>
                <w:color w:val="000000"/>
                <w:sz w:val="22"/>
                <w:szCs w:val="22"/>
              </w:rPr>
              <w:t xml:space="preserve">      </w:t>
            </w:r>
            <w:r w:rsidRPr="000D241F">
              <w:rPr>
                <w:b/>
                <w:color w:val="000000"/>
                <w:sz w:val="22"/>
                <w:szCs w:val="22"/>
              </w:rPr>
              <w:t>Ratio</w:t>
            </w:r>
          </w:p>
        </w:tc>
        <w:tc>
          <w:tcPr>
            <w:tcW w:w="1129" w:type="dxa"/>
            <w:tcBorders>
              <w:left w:val="nil"/>
              <w:bottom w:val="single" w:sz="4" w:space="0" w:color="auto"/>
              <w:right w:val="nil"/>
            </w:tcBorders>
            <w:shd w:val="clear" w:color="auto" w:fill="auto"/>
            <w:noWrap/>
            <w:vAlign w:val="bottom"/>
            <w:hideMark/>
          </w:tcPr>
          <w:p w:rsidR="00FB77C0" w:rsidRPr="000D241F" w:rsidRDefault="00FB77C0" w:rsidP="00E13D6C">
            <w:pPr>
              <w:jc w:val="center"/>
              <w:rPr>
                <w:b/>
                <w:color w:val="000000"/>
                <w:sz w:val="22"/>
                <w:szCs w:val="22"/>
              </w:rPr>
            </w:pPr>
            <w:r>
              <w:rPr>
                <w:b/>
                <w:color w:val="000000"/>
                <w:sz w:val="22"/>
                <w:szCs w:val="22"/>
              </w:rPr>
              <w:t xml:space="preserve">       </w:t>
            </w:r>
            <w:r w:rsidRPr="000D241F">
              <w:rPr>
                <w:b/>
                <w:color w:val="000000"/>
                <w:sz w:val="22"/>
                <w:szCs w:val="22"/>
              </w:rPr>
              <w:t>Rate</w:t>
            </w:r>
          </w:p>
        </w:tc>
        <w:tc>
          <w:tcPr>
            <w:tcW w:w="2098" w:type="dxa"/>
            <w:tcBorders>
              <w:left w:val="nil"/>
              <w:bottom w:val="single" w:sz="4" w:space="0" w:color="auto"/>
              <w:right w:val="single" w:sz="4" w:space="0" w:color="auto"/>
            </w:tcBorders>
            <w:shd w:val="clear" w:color="auto" w:fill="auto"/>
            <w:noWrap/>
            <w:vAlign w:val="bottom"/>
            <w:hideMark/>
          </w:tcPr>
          <w:p w:rsidR="00FB77C0" w:rsidRPr="000D241F" w:rsidRDefault="00FB77C0" w:rsidP="00E13D6C">
            <w:pPr>
              <w:jc w:val="center"/>
              <w:rPr>
                <w:b/>
                <w:color w:val="000000"/>
                <w:sz w:val="22"/>
                <w:szCs w:val="22"/>
              </w:rPr>
            </w:pPr>
            <w:r w:rsidRPr="000D241F">
              <w:rPr>
                <w:b/>
                <w:color w:val="000000"/>
                <w:sz w:val="22"/>
                <w:szCs w:val="22"/>
              </w:rPr>
              <w:t>Cost Rate</w:t>
            </w:r>
          </w:p>
        </w:tc>
      </w:tr>
      <w:tr w:rsidR="00FB77C0" w:rsidRPr="000D241F" w:rsidTr="00E13D6C">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FB77C0" w:rsidRPr="000D241F" w:rsidRDefault="00FB77C0" w:rsidP="00E13D6C">
            <w:pPr>
              <w:rPr>
                <w:color w:val="000000"/>
                <w:sz w:val="22"/>
                <w:szCs w:val="22"/>
              </w:rPr>
            </w:pPr>
            <w:r>
              <w:rPr>
                <w:color w:val="000000"/>
                <w:sz w:val="22"/>
                <w:szCs w:val="22"/>
              </w:rPr>
              <w:t>Long-</w:t>
            </w:r>
            <w:r w:rsidRPr="000D241F">
              <w:rPr>
                <w:color w:val="000000"/>
                <w:sz w:val="22"/>
                <w:szCs w:val="22"/>
              </w:rPr>
              <w:t>Term Debt</w:t>
            </w:r>
          </w:p>
        </w:tc>
        <w:tc>
          <w:tcPr>
            <w:tcW w:w="2247" w:type="dxa"/>
            <w:tcBorders>
              <w:top w:val="nil"/>
              <w:left w:val="nil"/>
              <w:bottom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$34,811,456</w:t>
            </w:r>
          </w:p>
        </w:tc>
        <w:tc>
          <w:tcPr>
            <w:tcW w:w="1188" w:type="dxa"/>
            <w:tcBorders>
              <w:top w:val="nil"/>
              <w:left w:val="nil"/>
              <w:bottom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0.2984</w:t>
            </w:r>
          </w:p>
        </w:tc>
        <w:tc>
          <w:tcPr>
            <w:tcW w:w="1129" w:type="dxa"/>
            <w:tcBorders>
              <w:top w:val="nil"/>
              <w:left w:val="nil"/>
              <w:bottom w:val="nil"/>
              <w:right w:val="nil"/>
            </w:tcBorders>
            <w:shd w:val="clear" w:color="auto" w:fill="auto"/>
            <w:noWrap/>
            <w:vAlign w:val="bottom"/>
          </w:tcPr>
          <w:p w:rsidR="00FB77C0" w:rsidRPr="000D241F" w:rsidRDefault="00FB77C0" w:rsidP="00E13D6C">
            <w:pPr>
              <w:jc w:val="right"/>
              <w:rPr>
                <w:color w:val="000000"/>
                <w:sz w:val="22"/>
                <w:szCs w:val="22"/>
              </w:rPr>
            </w:pPr>
            <w:r>
              <w:rPr>
                <w:color w:val="000000"/>
                <w:sz w:val="22"/>
                <w:szCs w:val="22"/>
              </w:rPr>
              <w:t>3.64%</w:t>
            </w:r>
          </w:p>
        </w:tc>
        <w:tc>
          <w:tcPr>
            <w:tcW w:w="2098" w:type="dxa"/>
            <w:tcBorders>
              <w:top w:val="nil"/>
              <w:left w:val="nil"/>
              <w:bottom w:val="nil"/>
              <w:right w:val="single" w:sz="4" w:space="0" w:color="auto"/>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1.09%</w:t>
            </w:r>
          </w:p>
        </w:tc>
      </w:tr>
      <w:tr w:rsidR="00FB77C0" w:rsidRPr="000D241F" w:rsidTr="00E13D6C">
        <w:trPr>
          <w:trHeight w:hRule="exact" w:val="302"/>
          <w:jc w:val="center"/>
        </w:trPr>
        <w:tc>
          <w:tcPr>
            <w:tcW w:w="352" w:type="dxa"/>
            <w:tcBorders>
              <w:top w:val="nil"/>
              <w:left w:val="single" w:sz="4" w:space="0" w:color="auto"/>
              <w:bottom w:val="nil"/>
              <w:right w:val="nil"/>
            </w:tcBorders>
            <w:shd w:val="clear" w:color="auto" w:fill="auto"/>
            <w:noWrap/>
            <w:vAlign w:val="bottom"/>
          </w:tcPr>
          <w:p w:rsidR="00FB77C0" w:rsidRDefault="00FB77C0" w:rsidP="00E13D6C">
            <w:pPr>
              <w:rPr>
                <w:rFonts w:ascii="Calibri" w:hAnsi="Calibri"/>
                <w:color w:val="000000"/>
                <w:sz w:val="22"/>
                <w:szCs w:val="22"/>
              </w:rPr>
            </w:pPr>
          </w:p>
        </w:tc>
        <w:tc>
          <w:tcPr>
            <w:tcW w:w="3147" w:type="dxa"/>
            <w:tcBorders>
              <w:top w:val="nil"/>
              <w:left w:val="nil"/>
              <w:bottom w:val="nil"/>
              <w:right w:val="nil"/>
            </w:tcBorders>
            <w:shd w:val="clear" w:color="auto" w:fill="auto"/>
            <w:noWrap/>
            <w:vAlign w:val="bottom"/>
          </w:tcPr>
          <w:p w:rsidR="00FB77C0" w:rsidRDefault="00FB77C0" w:rsidP="00E13D6C">
            <w:pPr>
              <w:rPr>
                <w:color w:val="000000"/>
                <w:sz w:val="22"/>
                <w:szCs w:val="22"/>
              </w:rPr>
            </w:pPr>
            <w:r>
              <w:rPr>
                <w:color w:val="000000"/>
                <w:sz w:val="22"/>
                <w:szCs w:val="22"/>
              </w:rPr>
              <w:t>Short-Term Debt</w:t>
            </w:r>
          </w:p>
        </w:tc>
        <w:tc>
          <w:tcPr>
            <w:tcW w:w="2247" w:type="dxa"/>
            <w:tcBorders>
              <w:top w:val="nil"/>
              <w:left w:val="nil"/>
              <w:bottom w:val="nil"/>
              <w:right w:val="nil"/>
            </w:tcBorders>
            <w:shd w:val="clear" w:color="auto" w:fill="auto"/>
            <w:noWrap/>
            <w:vAlign w:val="bottom"/>
          </w:tcPr>
          <w:p w:rsidR="00FB77C0" w:rsidRDefault="00FB77C0" w:rsidP="00E13D6C">
            <w:pPr>
              <w:jc w:val="right"/>
              <w:rPr>
                <w:color w:val="000000"/>
                <w:sz w:val="22"/>
                <w:szCs w:val="22"/>
              </w:rPr>
            </w:pPr>
            <w:r>
              <w:rPr>
                <w:color w:val="000000"/>
                <w:sz w:val="22"/>
                <w:szCs w:val="22"/>
              </w:rPr>
              <w:t>$6,376,054</w:t>
            </w:r>
          </w:p>
        </w:tc>
        <w:tc>
          <w:tcPr>
            <w:tcW w:w="1188" w:type="dxa"/>
            <w:tcBorders>
              <w:top w:val="nil"/>
              <w:left w:val="nil"/>
              <w:bottom w:val="nil"/>
              <w:right w:val="nil"/>
            </w:tcBorders>
            <w:shd w:val="clear" w:color="auto" w:fill="auto"/>
            <w:noWrap/>
            <w:vAlign w:val="bottom"/>
          </w:tcPr>
          <w:p w:rsidR="00FB77C0" w:rsidRPr="000D241F" w:rsidRDefault="00FB77C0" w:rsidP="00E13D6C">
            <w:pPr>
              <w:jc w:val="right"/>
              <w:rPr>
                <w:color w:val="000000"/>
                <w:sz w:val="22"/>
                <w:szCs w:val="22"/>
              </w:rPr>
            </w:pPr>
            <w:r>
              <w:rPr>
                <w:color w:val="000000"/>
                <w:sz w:val="22"/>
                <w:szCs w:val="22"/>
              </w:rPr>
              <w:t>0.0547</w:t>
            </w:r>
          </w:p>
        </w:tc>
        <w:tc>
          <w:tcPr>
            <w:tcW w:w="1129" w:type="dxa"/>
            <w:tcBorders>
              <w:top w:val="nil"/>
              <w:left w:val="nil"/>
              <w:bottom w:val="nil"/>
              <w:right w:val="nil"/>
            </w:tcBorders>
            <w:shd w:val="clear" w:color="auto" w:fill="auto"/>
            <w:noWrap/>
            <w:vAlign w:val="bottom"/>
          </w:tcPr>
          <w:p w:rsidR="00FB77C0" w:rsidRDefault="00FB77C0" w:rsidP="00E13D6C">
            <w:pPr>
              <w:jc w:val="right"/>
              <w:rPr>
                <w:color w:val="000000"/>
                <w:sz w:val="22"/>
                <w:szCs w:val="22"/>
              </w:rPr>
            </w:pPr>
            <w:r>
              <w:rPr>
                <w:color w:val="000000"/>
                <w:sz w:val="22"/>
                <w:szCs w:val="22"/>
              </w:rPr>
              <w:t>5.35%</w:t>
            </w:r>
          </w:p>
        </w:tc>
        <w:tc>
          <w:tcPr>
            <w:tcW w:w="2098" w:type="dxa"/>
            <w:tcBorders>
              <w:top w:val="nil"/>
              <w:left w:val="nil"/>
              <w:bottom w:val="nil"/>
              <w:right w:val="single" w:sz="4" w:space="0" w:color="auto"/>
            </w:tcBorders>
            <w:shd w:val="clear" w:color="auto" w:fill="auto"/>
            <w:noWrap/>
            <w:vAlign w:val="bottom"/>
          </w:tcPr>
          <w:p w:rsidR="00FB77C0" w:rsidRPr="000D241F" w:rsidRDefault="00FB77C0" w:rsidP="00E13D6C">
            <w:pPr>
              <w:jc w:val="right"/>
              <w:rPr>
                <w:color w:val="000000"/>
                <w:sz w:val="22"/>
                <w:szCs w:val="22"/>
              </w:rPr>
            </w:pPr>
            <w:r>
              <w:rPr>
                <w:color w:val="000000"/>
                <w:sz w:val="22"/>
                <w:szCs w:val="22"/>
              </w:rPr>
              <w:t>0.29%</w:t>
            </w:r>
          </w:p>
        </w:tc>
      </w:tr>
      <w:tr w:rsidR="00FB77C0" w:rsidRPr="000D241F" w:rsidTr="00E13D6C">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FB77C0" w:rsidRPr="000D241F" w:rsidRDefault="00FB77C0" w:rsidP="00E13D6C">
            <w:pPr>
              <w:rPr>
                <w:color w:val="000000"/>
                <w:sz w:val="22"/>
                <w:szCs w:val="22"/>
              </w:rPr>
            </w:pPr>
            <w:r w:rsidRPr="000D241F">
              <w:rPr>
                <w:color w:val="000000"/>
                <w:sz w:val="22"/>
                <w:szCs w:val="22"/>
              </w:rPr>
              <w:t>Customer Deposits</w:t>
            </w:r>
          </w:p>
        </w:tc>
        <w:tc>
          <w:tcPr>
            <w:tcW w:w="2247" w:type="dxa"/>
            <w:tcBorders>
              <w:top w:val="nil"/>
              <w:left w:val="nil"/>
              <w:bottom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 xml:space="preserve">$3,930,084 </w:t>
            </w:r>
            <w:r w:rsidRPr="000D241F">
              <w:rPr>
                <w:color w:val="000000"/>
                <w:sz w:val="22"/>
                <w:szCs w:val="22"/>
              </w:rPr>
              <w:t xml:space="preserve"> </w:t>
            </w:r>
          </w:p>
        </w:tc>
        <w:tc>
          <w:tcPr>
            <w:tcW w:w="1188" w:type="dxa"/>
            <w:tcBorders>
              <w:top w:val="nil"/>
              <w:left w:val="nil"/>
              <w:bottom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0.0337</w:t>
            </w:r>
          </w:p>
        </w:tc>
        <w:tc>
          <w:tcPr>
            <w:tcW w:w="1129" w:type="dxa"/>
            <w:tcBorders>
              <w:top w:val="nil"/>
              <w:left w:val="nil"/>
              <w:bottom w:val="nil"/>
              <w:right w:val="nil"/>
            </w:tcBorders>
            <w:shd w:val="clear" w:color="auto" w:fill="auto"/>
            <w:noWrap/>
            <w:vAlign w:val="bottom"/>
          </w:tcPr>
          <w:p w:rsidR="00FB77C0" w:rsidRPr="000D241F" w:rsidRDefault="00FB77C0" w:rsidP="00E13D6C">
            <w:pPr>
              <w:jc w:val="right"/>
              <w:rPr>
                <w:color w:val="000000"/>
                <w:sz w:val="22"/>
                <w:szCs w:val="22"/>
              </w:rPr>
            </w:pPr>
            <w:r>
              <w:rPr>
                <w:color w:val="000000"/>
                <w:sz w:val="22"/>
                <w:szCs w:val="22"/>
              </w:rPr>
              <w:t>2.22%</w:t>
            </w:r>
          </w:p>
        </w:tc>
        <w:tc>
          <w:tcPr>
            <w:tcW w:w="2098" w:type="dxa"/>
            <w:tcBorders>
              <w:top w:val="nil"/>
              <w:left w:val="nil"/>
              <w:bottom w:val="nil"/>
              <w:right w:val="single" w:sz="4" w:space="0" w:color="auto"/>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0.07%</w:t>
            </w:r>
          </w:p>
        </w:tc>
      </w:tr>
      <w:tr w:rsidR="00FB77C0" w:rsidRPr="000D241F" w:rsidTr="00E13D6C">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FB77C0" w:rsidRPr="000D241F" w:rsidRDefault="00FB77C0" w:rsidP="00E13D6C">
            <w:pPr>
              <w:rPr>
                <w:color w:val="000000"/>
                <w:sz w:val="22"/>
                <w:szCs w:val="22"/>
              </w:rPr>
            </w:pPr>
            <w:r w:rsidRPr="000D241F">
              <w:rPr>
                <w:color w:val="000000"/>
                <w:sz w:val="22"/>
                <w:szCs w:val="22"/>
              </w:rPr>
              <w:t>Common Equity</w:t>
            </w:r>
          </w:p>
        </w:tc>
        <w:tc>
          <w:tcPr>
            <w:tcW w:w="2247" w:type="dxa"/>
            <w:tcBorders>
              <w:top w:val="nil"/>
              <w:left w:val="nil"/>
              <w:bottom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$44,148,564</w:t>
            </w:r>
            <w:r w:rsidRPr="000D241F">
              <w:rPr>
                <w:color w:val="000000"/>
                <w:sz w:val="22"/>
                <w:szCs w:val="22"/>
              </w:rPr>
              <w:t xml:space="preserve"> </w:t>
            </w:r>
          </w:p>
        </w:tc>
        <w:tc>
          <w:tcPr>
            <w:tcW w:w="1188" w:type="dxa"/>
            <w:tcBorders>
              <w:top w:val="nil"/>
              <w:left w:val="nil"/>
              <w:bottom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0.3784</w:t>
            </w:r>
          </w:p>
        </w:tc>
        <w:tc>
          <w:tcPr>
            <w:tcW w:w="1129" w:type="dxa"/>
            <w:tcBorders>
              <w:top w:val="nil"/>
              <w:left w:val="nil"/>
              <w:bottom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9.25%</w:t>
            </w:r>
          </w:p>
        </w:tc>
        <w:tc>
          <w:tcPr>
            <w:tcW w:w="2098" w:type="dxa"/>
            <w:tcBorders>
              <w:top w:val="nil"/>
              <w:left w:val="nil"/>
              <w:bottom w:val="nil"/>
              <w:right w:val="single" w:sz="4" w:space="0" w:color="auto"/>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3.50%</w:t>
            </w:r>
          </w:p>
        </w:tc>
      </w:tr>
      <w:tr w:rsidR="00FB77C0" w:rsidRPr="000D241F" w:rsidTr="00E13D6C">
        <w:trPr>
          <w:trHeight w:hRule="exact" w:val="302"/>
          <w:jc w:val="center"/>
        </w:trPr>
        <w:tc>
          <w:tcPr>
            <w:tcW w:w="352" w:type="dxa"/>
            <w:tcBorders>
              <w:top w:val="nil"/>
              <w:left w:val="single" w:sz="4" w:space="0" w:color="auto"/>
              <w:bottom w:val="nil"/>
              <w:right w:val="nil"/>
            </w:tcBorders>
            <w:shd w:val="clear" w:color="auto" w:fill="auto"/>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FB77C0" w:rsidRPr="000D241F" w:rsidRDefault="00FB77C0" w:rsidP="00E13D6C">
            <w:pPr>
              <w:rPr>
                <w:color w:val="000000"/>
                <w:sz w:val="22"/>
                <w:szCs w:val="22"/>
              </w:rPr>
            </w:pPr>
            <w:r w:rsidRPr="000D241F">
              <w:rPr>
                <w:color w:val="000000"/>
                <w:sz w:val="22"/>
                <w:szCs w:val="22"/>
              </w:rPr>
              <w:t>Deferred Income Taxes</w:t>
            </w:r>
          </w:p>
        </w:tc>
        <w:tc>
          <w:tcPr>
            <w:tcW w:w="2247" w:type="dxa"/>
            <w:tcBorders>
              <w:top w:val="nil"/>
              <w:left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$22,517,273</w:t>
            </w:r>
            <w:r w:rsidRPr="000D241F">
              <w:rPr>
                <w:color w:val="000000"/>
                <w:sz w:val="22"/>
                <w:szCs w:val="22"/>
              </w:rPr>
              <w:t xml:space="preserve"> </w:t>
            </w:r>
          </w:p>
        </w:tc>
        <w:tc>
          <w:tcPr>
            <w:tcW w:w="1188" w:type="dxa"/>
            <w:tcBorders>
              <w:top w:val="nil"/>
              <w:left w:val="nil"/>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0.1930</w:t>
            </w:r>
          </w:p>
        </w:tc>
        <w:tc>
          <w:tcPr>
            <w:tcW w:w="1129" w:type="dxa"/>
            <w:tcBorders>
              <w:top w:val="nil"/>
              <w:left w:val="nil"/>
              <w:right w:val="nil"/>
            </w:tcBorders>
            <w:shd w:val="clear" w:color="auto" w:fill="auto"/>
            <w:noWrap/>
            <w:vAlign w:val="bottom"/>
            <w:hideMark/>
          </w:tcPr>
          <w:p w:rsidR="00FB77C0" w:rsidRPr="000D241F" w:rsidRDefault="00FB77C0" w:rsidP="00E13D6C">
            <w:pPr>
              <w:jc w:val="right"/>
              <w:rPr>
                <w:color w:val="000000"/>
                <w:sz w:val="22"/>
                <w:szCs w:val="22"/>
              </w:rPr>
            </w:pPr>
            <w:r w:rsidRPr="000D241F">
              <w:rPr>
                <w:color w:val="000000"/>
                <w:sz w:val="22"/>
                <w:szCs w:val="22"/>
              </w:rPr>
              <w:t>0.00%</w:t>
            </w:r>
          </w:p>
        </w:tc>
        <w:tc>
          <w:tcPr>
            <w:tcW w:w="2098" w:type="dxa"/>
            <w:tcBorders>
              <w:top w:val="nil"/>
              <w:left w:val="nil"/>
              <w:right w:val="single" w:sz="4" w:space="0" w:color="auto"/>
            </w:tcBorders>
            <w:shd w:val="clear" w:color="auto" w:fill="auto"/>
            <w:noWrap/>
            <w:vAlign w:val="bottom"/>
            <w:hideMark/>
          </w:tcPr>
          <w:p w:rsidR="00FB77C0" w:rsidRPr="000D241F" w:rsidRDefault="00FB77C0" w:rsidP="00E13D6C">
            <w:pPr>
              <w:jc w:val="right"/>
              <w:rPr>
                <w:color w:val="000000"/>
                <w:sz w:val="22"/>
                <w:szCs w:val="22"/>
              </w:rPr>
            </w:pPr>
            <w:r w:rsidRPr="000D241F">
              <w:rPr>
                <w:color w:val="000000"/>
                <w:sz w:val="22"/>
                <w:szCs w:val="22"/>
              </w:rPr>
              <w:t>0.00%</w:t>
            </w:r>
          </w:p>
        </w:tc>
      </w:tr>
      <w:tr w:rsidR="00FB77C0" w:rsidRPr="000D241F" w:rsidTr="00E13D6C">
        <w:trPr>
          <w:trHeight w:hRule="exact" w:val="302"/>
          <w:jc w:val="center"/>
        </w:trPr>
        <w:tc>
          <w:tcPr>
            <w:tcW w:w="352" w:type="dxa"/>
            <w:tcBorders>
              <w:top w:val="nil"/>
              <w:left w:val="single" w:sz="4" w:space="0" w:color="auto"/>
              <w:bottom w:val="nil"/>
              <w:right w:val="nil"/>
            </w:tcBorders>
            <w:shd w:val="clear" w:color="auto" w:fill="auto"/>
            <w:noWrap/>
            <w:vAlign w:val="bottom"/>
          </w:tcPr>
          <w:p w:rsidR="00FB77C0" w:rsidRDefault="00FB77C0" w:rsidP="00E13D6C">
            <w:pPr>
              <w:rPr>
                <w:rFonts w:ascii="Calibri" w:hAnsi="Calibri"/>
                <w:color w:val="000000"/>
                <w:sz w:val="22"/>
                <w:szCs w:val="22"/>
              </w:rPr>
            </w:pPr>
          </w:p>
        </w:tc>
        <w:tc>
          <w:tcPr>
            <w:tcW w:w="3147" w:type="dxa"/>
            <w:tcBorders>
              <w:top w:val="nil"/>
              <w:left w:val="nil"/>
              <w:bottom w:val="nil"/>
              <w:right w:val="nil"/>
            </w:tcBorders>
            <w:shd w:val="clear" w:color="auto" w:fill="auto"/>
            <w:noWrap/>
            <w:vAlign w:val="bottom"/>
          </w:tcPr>
          <w:p w:rsidR="00FB77C0" w:rsidRPr="000D241F" w:rsidRDefault="00FB77C0" w:rsidP="00E13D6C">
            <w:pPr>
              <w:rPr>
                <w:color w:val="000000"/>
                <w:sz w:val="22"/>
                <w:szCs w:val="22"/>
              </w:rPr>
            </w:pPr>
            <w:r>
              <w:rPr>
                <w:color w:val="000000"/>
                <w:sz w:val="22"/>
                <w:szCs w:val="22"/>
              </w:rPr>
              <w:t>Regulatory Tax Liability</w:t>
            </w:r>
          </w:p>
        </w:tc>
        <w:tc>
          <w:tcPr>
            <w:tcW w:w="2247" w:type="dxa"/>
            <w:tcBorders>
              <w:top w:val="nil"/>
              <w:left w:val="nil"/>
              <w:right w:val="nil"/>
            </w:tcBorders>
            <w:shd w:val="clear" w:color="auto" w:fill="auto"/>
            <w:noWrap/>
            <w:vAlign w:val="bottom"/>
          </w:tcPr>
          <w:p w:rsidR="00FB77C0" w:rsidRDefault="00FB77C0" w:rsidP="00E13D6C">
            <w:pPr>
              <w:jc w:val="right"/>
              <w:rPr>
                <w:color w:val="000000"/>
                <w:sz w:val="22"/>
                <w:szCs w:val="22"/>
              </w:rPr>
            </w:pPr>
            <w:r>
              <w:rPr>
                <w:color w:val="000000"/>
                <w:sz w:val="22"/>
                <w:szCs w:val="22"/>
              </w:rPr>
              <w:t>$4,883,526</w:t>
            </w:r>
          </w:p>
        </w:tc>
        <w:tc>
          <w:tcPr>
            <w:tcW w:w="1188" w:type="dxa"/>
            <w:tcBorders>
              <w:top w:val="nil"/>
              <w:left w:val="nil"/>
              <w:right w:val="nil"/>
            </w:tcBorders>
            <w:shd w:val="clear" w:color="auto" w:fill="auto"/>
            <w:noWrap/>
            <w:vAlign w:val="bottom"/>
          </w:tcPr>
          <w:p w:rsidR="00FB77C0" w:rsidRDefault="00FB77C0" w:rsidP="00E13D6C">
            <w:pPr>
              <w:jc w:val="right"/>
              <w:rPr>
                <w:color w:val="000000"/>
                <w:sz w:val="22"/>
                <w:szCs w:val="22"/>
              </w:rPr>
            </w:pPr>
            <w:r>
              <w:rPr>
                <w:color w:val="000000"/>
                <w:sz w:val="22"/>
                <w:szCs w:val="22"/>
              </w:rPr>
              <w:t>0.0419</w:t>
            </w:r>
          </w:p>
        </w:tc>
        <w:tc>
          <w:tcPr>
            <w:tcW w:w="1129" w:type="dxa"/>
            <w:tcBorders>
              <w:top w:val="nil"/>
              <w:left w:val="nil"/>
              <w:right w:val="nil"/>
            </w:tcBorders>
            <w:shd w:val="clear" w:color="auto" w:fill="auto"/>
            <w:noWrap/>
            <w:vAlign w:val="bottom"/>
          </w:tcPr>
          <w:p w:rsidR="00FB77C0" w:rsidRPr="000D241F" w:rsidRDefault="00FB77C0" w:rsidP="00E13D6C">
            <w:pPr>
              <w:jc w:val="right"/>
              <w:rPr>
                <w:color w:val="000000"/>
                <w:sz w:val="22"/>
                <w:szCs w:val="22"/>
              </w:rPr>
            </w:pPr>
            <w:r>
              <w:rPr>
                <w:color w:val="000000"/>
                <w:sz w:val="22"/>
                <w:szCs w:val="22"/>
              </w:rPr>
              <w:t>0.00%</w:t>
            </w:r>
          </w:p>
        </w:tc>
        <w:tc>
          <w:tcPr>
            <w:tcW w:w="2098" w:type="dxa"/>
            <w:tcBorders>
              <w:top w:val="nil"/>
              <w:left w:val="nil"/>
              <w:right w:val="single" w:sz="4" w:space="0" w:color="auto"/>
            </w:tcBorders>
            <w:shd w:val="clear" w:color="auto" w:fill="auto"/>
            <w:noWrap/>
            <w:vAlign w:val="bottom"/>
          </w:tcPr>
          <w:p w:rsidR="00FB77C0" w:rsidRPr="000D241F" w:rsidRDefault="00FB77C0" w:rsidP="00E13D6C">
            <w:pPr>
              <w:jc w:val="right"/>
              <w:rPr>
                <w:color w:val="000000"/>
                <w:sz w:val="22"/>
                <w:szCs w:val="22"/>
              </w:rPr>
            </w:pPr>
            <w:r>
              <w:rPr>
                <w:color w:val="000000"/>
                <w:sz w:val="22"/>
                <w:szCs w:val="22"/>
              </w:rPr>
              <w:t>0.00%</w:t>
            </w:r>
          </w:p>
        </w:tc>
      </w:tr>
      <w:tr w:rsidR="00FB77C0" w:rsidRPr="000D241F" w:rsidTr="00E13D6C">
        <w:trPr>
          <w:trHeight w:hRule="exact" w:val="317"/>
          <w:jc w:val="center"/>
        </w:trPr>
        <w:tc>
          <w:tcPr>
            <w:tcW w:w="352" w:type="dxa"/>
            <w:tcBorders>
              <w:top w:val="nil"/>
              <w:left w:val="single" w:sz="4" w:space="0" w:color="auto"/>
              <w:bottom w:val="nil"/>
              <w:right w:val="nil"/>
            </w:tcBorders>
            <w:shd w:val="clear" w:color="auto" w:fill="auto"/>
            <w:noWrap/>
            <w:vAlign w:val="bottom"/>
            <w:hideMark/>
          </w:tcPr>
          <w:p w:rsidR="00FB77C0" w:rsidRDefault="00FB77C0" w:rsidP="00E13D6C">
            <w:pPr>
              <w:rPr>
                <w:rFonts w:ascii="Calibri" w:hAnsi="Calibri"/>
                <w:color w:val="000000"/>
                <w:sz w:val="22"/>
                <w:szCs w:val="22"/>
              </w:rPr>
            </w:pPr>
            <w:r>
              <w:rPr>
                <w:rFonts w:ascii="Calibri" w:hAnsi="Calibri"/>
                <w:color w:val="000000"/>
                <w:sz w:val="22"/>
                <w:szCs w:val="22"/>
              </w:rPr>
              <w:t> </w:t>
            </w:r>
          </w:p>
        </w:tc>
        <w:tc>
          <w:tcPr>
            <w:tcW w:w="3147" w:type="dxa"/>
            <w:tcBorders>
              <w:top w:val="nil"/>
              <w:left w:val="nil"/>
              <w:bottom w:val="nil"/>
              <w:right w:val="nil"/>
            </w:tcBorders>
            <w:shd w:val="clear" w:color="auto" w:fill="auto"/>
            <w:noWrap/>
            <w:vAlign w:val="bottom"/>
            <w:hideMark/>
          </w:tcPr>
          <w:p w:rsidR="00FB77C0" w:rsidRPr="000D241F" w:rsidRDefault="00FB77C0" w:rsidP="00E13D6C">
            <w:pPr>
              <w:rPr>
                <w:color w:val="000000"/>
                <w:sz w:val="22"/>
                <w:szCs w:val="22"/>
              </w:rPr>
            </w:pPr>
            <w:r w:rsidRPr="000D241F">
              <w:rPr>
                <w:color w:val="000000"/>
                <w:sz w:val="22"/>
                <w:szCs w:val="22"/>
              </w:rPr>
              <w:t>Total</w:t>
            </w:r>
          </w:p>
        </w:tc>
        <w:tc>
          <w:tcPr>
            <w:tcW w:w="2247" w:type="dxa"/>
            <w:tcBorders>
              <w:top w:val="single" w:sz="4" w:space="0" w:color="auto"/>
              <w:left w:val="nil"/>
              <w:bottom w:val="double" w:sz="6" w:space="0" w:color="auto"/>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 xml:space="preserve">   $116,666,956</w:t>
            </w:r>
          </w:p>
        </w:tc>
        <w:tc>
          <w:tcPr>
            <w:tcW w:w="1188" w:type="dxa"/>
            <w:tcBorders>
              <w:top w:val="single" w:sz="4" w:space="0" w:color="auto"/>
              <w:left w:val="nil"/>
              <w:bottom w:val="double" w:sz="6" w:space="0" w:color="auto"/>
              <w:right w:val="nil"/>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1.0000</w:t>
            </w:r>
          </w:p>
        </w:tc>
        <w:tc>
          <w:tcPr>
            <w:tcW w:w="1129" w:type="dxa"/>
            <w:tcBorders>
              <w:top w:val="single" w:sz="4" w:space="0" w:color="auto"/>
              <w:left w:val="nil"/>
              <w:bottom w:val="nil"/>
              <w:right w:val="nil"/>
            </w:tcBorders>
            <w:shd w:val="clear" w:color="auto" w:fill="auto"/>
            <w:noWrap/>
            <w:vAlign w:val="bottom"/>
          </w:tcPr>
          <w:p w:rsidR="00FB77C0" w:rsidRPr="000D241F" w:rsidRDefault="00FB77C0" w:rsidP="00E13D6C">
            <w:pPr>
              <w:jc w:val="right"/>
              <w:rPr>
                <w:color w:val="000000"/>
                <w:sz w:val="22"/>
                <w:szCs w:val="22"/>
              </w:rPr>
            </w:pPr>
          </w:p>
        </w:tc>
        <w:tc>
          <w:tcPr>
            <w:tcW w:w="2098" w:type="dxa"/>
            <w:tcBorders>
              <w:top w:val="single" w:sz="4" w:space="0" w:color="auto"/>
              <w:left w:val="nil"/>
              <w:bottom w:val="double" w:sz="6" w:space="0" w:color="auto"/>
              <w:right w:val="single" w:sz="4" w:space="0" w:color="auto"/>
            </w:tcBorders>
            <w:shd w:val="clear" w:color="auto" w:fill="auto"/>
            <w:noWrap/>
            <w:vAlign w:val="bottom"/>
            <w:hideMark/>
          </w:tcPr>
          <w:p w:rsidR="00FB77C0" w:rsidRPr="000D241F" w:rsidRDefault="00FB77C0" w:rsidP="00E13D6C">
            <w:pPr>
              <w:jc w:val="right"/>
              <w:rPr>
                <w:color w:val="000000"/>
                <w:sz w:val="22"/>
                <w:szCs w:val="22"/>
              </w:rPr>
            </w:pPr>
            <w:r>
              <w:rPr>
                <w:color w:val="000000"/>
                <w:sz w:val="22"/>
                <w:szCs w:val="22"/>
              </w:rPr>
              <w:t>4.95</w:t>
            </w:r>
            <w:r w:rsidRPr="000D241F">
              <w:rPr>
                <w:color w:val="000000"/>
                <w:sz w:val="22"/>
                <w:szCs w:val="22"/>
              </w:rPr>
              <w:t>%</w:t>
            </w:r>
          </w:p>
        </w:tc>
      </w:tr>
    </w:tbl>
    <w:p w:rsidR="00FB77C0" w:rsidRDefault="00FB77C0"/>
    <w:p w:rsidR="00A346B4" w:rsidRDefault="00A346B4">
      <w:pPr>
        <w:sectPr w:rsidR="00A346B4" w:rsidSect="00FB77C0">
          <w:headerReference w:type="first" r:id="rId14"/>
          <w:pgSz w:w="12240" w:h="15840" w:code="1"/>
          <w:pgMar w:top="1584" w:right="1440" w:bottom="1440" w:left="1440" w:header="720" w:footer="720" w:gutter="0"/>
          <w:cols w:space="720"/>
          <w:formProt w:val="0"/>
          <w:titlePg/>
          <w:docGrid w:linePitch="360"/>
        </w:sectPr>
      </w:pPr>
    </w:p>
    <w:p w:rsidR="00FB77C0" w:rsidRDefault="00FB77C0"/>
    <w:p w:rsidR="00A346B4" w:rsidRDefault="00FB77C0">
      <w:pPr>
        <w:sectPr w:rsidR="00A346B4" w:rsidSect="00FB77C0">
          <w:headerReference w:type="first" r:id="rId15"/>
          <w:pgSz w:w="12240" w:h="15840" w:code="1"/>
          <w:pgMar w:top="1584" w:right="1440" w:bottom="1440" w:left="1440" w:header="720" w:footer="720" w:gutter="0"/>
          <w:cols w:space="720"/>
          <w:formProt w:val="0"/>
          <w:titlePg/>
          <w:docGrid w:linePitch="360"/>
        </w:sectPr>
      </w:pPr>
      <w:r>
        <w:rPr>
          <w:noProof/>
        </w:rPr>
        <w:drawing>
          <wp:inline distT="0" distB="0" distL="0" distR="0" wp14:anchorId="449F18A1" wp14:editId="2680B148">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im Tariff Pages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7C0" w:rsidRDefault="00A346B4">
      <w:r>
        <w:rPr>
          <w:noProof/>
        </w:rPr>
        <w:lastRenderedPageBreak/>
        <w:drawing>
          <wp:inline distT="0" distB="0" distL="0" distR="0" wp14:anchorId="09A4D671" wp14:editId="13C3549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m Tariff Pages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A346B4" w:rsidRDefault="00A346B4"/>
    <w:p w:rsidR="00A346B4" w:rsidRDefault="00A346B4"/>
    <w:p w:rsidR="00A346B4" w:rsidRDefault="00FB77C0">
      <w:pPr>
        <w:sectPr w:rsidR="00A346B4" w:rsidSect="00FB77C0">
          <w:headerReference w:type="default" r:id="rId18"/>
          <w:headerReference w:type="first" r:id="rId19"/>
          <w:pgSz w:w="12240" w:h="15840" w:code="1"/>
          <w:pgMar w:top="1584" w:right="1440" w:bottom="1440" w:left="1440" w:header="720" w:footer="720" w:gutter="0"/>
          <w:cols w:space="720"/>
          <w:formProt w:val="0"/>
          <w:titlePg/>
          <w:docGrid w:linePitch="360"/>
        </w:sectPr>
      </w:pPr>
      <w:r>
        <w:rPr>
          <w:noProof/>
        </w:rPr>
        <w:drawing>
          <wp:inline distT="0" distB="0" distL="0" distR="0" wp14:anchorId="5A52E2F6" wp14:editId="38D9E46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im Tariff Page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7C0" w:rsidRDefault="00FB77C0"/>
    <w:p w:rsidR="005A244A" w:rsidRDefault="00FB77C0">
      <w:pPr>
        <w:sectPr w:rsidR="005A244A" w:rsidSect="00FB77C0">
          <w:headerReference w:type="first" r:id="rId21"/>
          <w:pgSz w:w="12240" w:h="15840" w:code="1"/>
          <w:pgMar w:top="1584" w:right="1440" w:bottom="1440" w:left="1440" w:header="720" w:footer="720" w:gutter="0"/>
          <w:cols w:space="720"/>
          <w:formProt w:val="0"/>
          <w:titlePg/>
          <w:docGrid w:linePitch="360"/>
        </w:sectPr>
      </w:pPr>
      <w:r>
        <w:rPr>
          <w:noProof/>
        </w:rPr>
        <w:drawing>
          <wp:inline distT="0" distB="0" distL="0" distR="0" wp14:anchorId="7BB97741" wp14:editId="1520E33D">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im Tariff Page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7C0" w:rsidRDefault="00FB77C0"/>
    <w:p w:rsidR="005A244A" w:rsidRDefault="00FB77C0">
      <w:pPr>
        <w:sectPr w:rsidR="005A244A" w:rsidSect="00FB77C0">
          <w:headerReference w:type="first" r:id="rId23"/>
          <w:pgSz w:w="12240" w:h="15840" w:code="1"/>
          <w:pgMar w:top="1584" w:right="1440" w:bottom="1440" w:left="1440" w:header="720" w:footer="720" w:gutter="0"/>
          <w:cols w:space="720"/>
          <w:formProt w:val="0"/>
          <w:titlePg/>
          <w:docGrid w:linePitch="360"/>
        </w:sectPr>
      </w:pPr>
      <w:r>
        <w:rPr>
          <w:noProof/>
        </w:rPr>
        <w:drawing>
          <wp:inline distT="0" distB="0" distL="0" distR="0" wp14:anchorId="2AD4B87E" wp14:editId="3DB68F0B">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m Tariff Pages_Page_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7C0" w:rsidRDefault="00FB77C0"/>
    <w:p w:rsidR="005A244A" w:rsidRDefault="00FB77C0">
      <w:pPr>
        <w:sectPr w:rsidR="005A244A" w:rsidSect="00FB77C0">
          <w:headerReference w:type="first" r:id="rId25"/>
          <w:pgSz w:w="12240" w:h="15840" w:code="1"/>
          <w:pgMar w:top="1584" w:right="1440" w:bottom="1440" w:left="1440" w:header="720" w:footer="720" w:gutter="0"/>
          <w:cols w:space="720"/>
          <w:formProt w:val="0"/>
          <w:titlePg/>
          <w:docGrid w:linePitch="360"/>
        </w:sectPr>
      </w:pPr>
      <w:r>
        <w:rPr>
          <w:noProof/>
        </w:rPr>
        <w:drawing>
          <wp:inline distT="0" distB="0" distL="0" distR="0" wp14:anchorId="0DA7C2A0" wp14:editId="77E21E3B">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terim Tariff Pages_Page_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7C0" w:rsidRDefault="00FB77C0"/>
    <w:p w:rsidR="005A244A" w:rsidRDefault="00FB77C0">
      <w:pPr>
        <w:sectPr w:rsidR="005A244A" w:rsidSect="00FB77C0">
          <w:headerReference w:type="first" r:id="rId27"/>
          <w:pgSz w:w="12240" w:h="15840" w:code="1"/>
          <w:pgMar w:top="1584" w:right="1440" w:bottom="1440" w:left="1440" w:header="720" w:footer="720" w:gutter="0"/>
          <w:cols w:space="720"/>
          <w:formProt w:val="0"/>
          <w:titlePg/>
          <w:docGrid w:linePitch="360"/>
        </w:sectPr>
      </w:pPr>
      <w:r>
        <w:rPr>
          <w:noProof/>
        </w:rPr>
        <w:drawing>
          <wp:inline distT="0" distB="0" distL="0" distR="0" wp14:anchorId="0735C4C0" wp14:editId="34C9AB0E">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im Tariff Pages_Page_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7C0" w:rsidRDefault="00FB77C0"/>
    <w:p w:rsidR="005A244A" w:rsidRDefault="00FB77C0">
      <w:pPr>
        <w:sectPr w:rsidR="005A244A" w:rsidSect="00FB77C0">
          <w:headerReference w:type="first" r:id="rId29"/>
          <w:pgSz w:w="12240" w:h="15840" w:code="1"/>
          <w:pgMar w:top="1584" w:right="1440" w:bottom="1440" w:left="1440" w:header="720" w:footer="720" w:gutter="0"/>
          <w:cols w:space="720"/>
          <w:formProt w:val="0"/>
          <w:titlePg/>
          <w:docGrid w:linePitch="360"/>
        </w:sectPr>
      </w:pPr>
      <w:r>
        <w:rPr>
          <w:noProof/>
        </w:rPr>
        <w:drawing>
          <wp:inline distT="0" distB="0" distL="0" distR="0" wp14:anchorId="23143FAE" wp14:editId="5ADBC675">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im Tariff Pages_Page_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FB77C0" w:rsidRDefault="00FB77C0"/>
    <w:p w:rsidR="00FB77C0" w:rsidRDefault="00FB77C0">
      <w:r>
        <w:rPr>
          <w:noProof/>
        </w:rPr>
        <w:drawing>
          <wp:inline distT="0" distB="0" distL="0" distR="0" wp14:anchorId="6D0CF0E9" wp14:editId="248306D8">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im Tariff Pages_Page_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FB77C0" w:rsidSect="00FB77C0">
      <w:headerReference w:type="first" r:id="rId32"/>
      <w:pgSz w:w="12240" w:h="15840" w:code="1"/>
      <w:pgMar w:top="1584"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EFF" w:rsidRDefault="00CE4EFF">
      <w:r>
        <w:separator/>
      </w:r>
    </w:p>
  </w:endnote>
  <w:endnote w:type="continuationSeparator" w:id="0">
    <w:p w:rsidR="00CE4EFF" w:rsidRDefault="00CE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4BC" w:rsidRDefault="009C7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4BC" w:rsidRDefault="009C74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EFF" w:rsidRDefault="00CE4EFF">
      <w:r>
        <w:separator/>
      </w:r>
    </w:p>
  </w:footnote>
  <w:footnote w:type="continuationSeparator" w:id="0">
    <w:p w:rsidR="00CE4EFF" w:rsidRDefault="00CE4EFF">
      <w:r>
        <w:continuationSeparator/>
      </w:r>
    </w:p>
  </w:footnote>
  <w:footnote w:id="1">
    <w:p w:rsidR="007534C4" w:rsidRDefault="007534C4" w:rsidP="007534C4">
      <w:pPr>
        <w:pStyle w:val="FootnoteText"/>
      </w:pPr>
      <w:r>
        <w:rPr>
          <w:rStyle w:val="FootnoteReference"/>
        </w:rPr>
        <w:footnoteRef/>
      </w:r>
      <w:r>
        <w:t xml:space="preserve"> Order No. PSC-</w:t>
      </w:r>
      <w:r w:rsidR="00A018F2">
        <w:t>20</w:t>
      </w:r>
      <w:r>
        <w:t xml:space="preserve">14-0517-S-EI, issued September 29, 2014, in Docket No. 20140025-EI, </w:t>
      </w:r>
      <w:r w:rsidRPr="00CD3777">
        <w:rPr>
          <w:i/>
        </w:rPr>
        <w:t>In re: Application for rate increase by Florida Public Utilities Company</w:t>
      </w:r>
      <w:r>
        <w:t>.</w:t>
      </w:r>
    </w:p>
  </w:footnote>
  <w:footnote w:id="2">
    <w:p w:rsidR="007534C4" w:rsidRPr="0019460B" w:rsidRDefault="007534C4" w:rsidP="007534C4">
      <w:pPr>
        <w:autoSpaceDE w:val="0"/>
        <w:autoSpaceDN w:val="0"/>
        <w:adjustRightInd w:val="0"/>
        <w:jc w:val="both"/>
        <w:rPr>
          <w:sz w:val="20"/>
          <w:szCs w:val="20"/>
        </w:rPr>
      </w:pPr>
      <w:r>
        <w:rPr>
          <w:rStyle w:val="FootnoteReference"/>
        </w:rPr>
        <w:footnoteRef/>
      </w:r>
      <w:r>
        <w:t xml:space="preserve"> </w:t>
      </w:r>
      <w:r w:rsidRPr="00CD3777">
        <w:rPr>
          <w:sz w:val="20"/>
          <w:szCs w:val="20"/>
        </w:rPr>
        <w:t xml:space="preserve">Order No. PSC-2024-0408-PCO-EI, issued September 5, 2024, in Docket No. </w:t>
      </w:r>
      <w:r w:rsidRPr="0019460B">
        <w:rPr>
          <w:sz w:val="20"/>
          <w:szCs w:val="20"/>
        </w:rPr>
        <w:t xml:space="preserve">20240099-EI, </w:t>
      </w:r>
      <w:r w:rsidRPr="0019460B">
        <w:rPr>
          <w:i/>
          <w:sz w:val="20"/>
          <w:szCs w:val="20"/>
        </w:rPr>
        <w:t>In re: Petition for rate increase by Florida Public Utilities Company</w:t>
      </w:r>
      <w:r w:rsidRPr="0019460B">
        <w:rPr>
          <w:sz w:val="20"/>
          <w:szCs w:val="20"/>
        </w:rPr>
        <w:t>.</w:t>
      </w:r>
    </w:p>
  </w:footnote>
  <w:footnote w:id="3">
    <w:p w:rsidR="00F07E77" w:rsidRDefault="00F07E77" w:rsidP="00F07E77">
      <w:pPr>
        <w:pStyle w:val="FootnoteText"/>
      </w:pPr>
      <w:r>
        <w:rPr>
          <w:rStyle w:val="FootnoteReference"/>
        </w:rPr>
        <w:footnoteRef/>
      </w:r>
      <w:r>
        <w:t xml:space="preserve"> Order No. PSC-</w:t>
      </w:r>
      <w:r w:rsidR="00A018F2">
        <w:t>20</w:t>
      </w:r>
      <w:r>
        <w:t xml:space="preserve">14-0517-S-EI, issued September 29, 2014, in Docket No. 140025-EI, </w:t>
      </w:r>
      <w:r>
        <w:rPr>
          <w:i/>
        </w:rPr>
        <w:t>In re: Application for rate increase by Florida Public Utilities Company.</w:t>
      </w:r>
    </w:p>
  </w:footnote>
  <w:footnote w:id="4">
    <w:p w:rsidR="00E63D7E" w:rsidRPr="00A63EBA" w:rsidRDefault="00E63D7E" w:rsidP="00E63D7E">
      <w:pPr>
        <w:pStyle w:val="FootnoteText"/>
        <w:rPr>
          <w:i/>
          <w:u w:val="single"/>
        </w:rPr>
      </w:pPr>
      <w:r>
        <w:rPr>
          <w:rStyle w:val="FootnoteReference"/>
        </w:rPr>
        <w:footnoteRef/>
      </w:r>
      <w:r>
        <w:t xml:space="preserve"> </w:t>
      </w:r>
      <w:r w:rsidRPr="005E454C">
        <w:rPr>
          <w:i/>
        </w:rPr>
        <w:t xml:space="preserve">Id </w:t>
      </w:r>
      <w:r>
        <w:t>at Page 2</w:t>
      </w:r>
      <w:r w:rsidRPr="00C27C1F">
        <w:rPr>
          <w:i/>
        </w:rPr>
        <w:t>.</w:t>
      </w:r>
    </w:p>
  </w:footnote>
  <w:footnote w:id="5">
    <w:p w:rsidR="00E63D7E" w:rsidRDefault="00E63D7E" w:rsidP="00E63D7E">
      <w:pPr>
        <w:pStyle w:val="FootnoteText"/>
      </w:pPr>
      <w:r>
        <w:rPr>
          <w:rStyle w:val="FootnoteReference"/>
        </w:rPr>
        <w:footnoteRef/>
      </w:r>
      <w:r>
        <w:t xml:space="preserve"> </w:t>
      </w:r>
      <w:r w:rsidRPr="00C27C1F">
        <w:t>Order No. PSC-</w:t>
      </w:r>
      <w:r w:rsidR="001D7DB0">
        <w:t>20</w:t>
      </w:r>
      <w:r w:rsidRPr="00C27C1F">
        <w:t xml:space="preserve">14-0517-S-EI, issued September 29, 2014, in Docket No. 140025-EI, </w:t>
      </w:r>
      <w:r w:rsidRPr="00C27C1F">
        <w:rPr>
          <w:i/>
        </w:rPr>
        <w:t>In re: Application for rate increase by Florida Public Utilities Company.</w:t>
      </w:r>
    </w:p>
  </w:footnote>
  <w:footnote w:id="6">
    <w:p w:rsidR="00E63D7E" w:rsidRDefault="00E63D7E" w:rsidP="00E63D7E">
      <w:pPr>
        <w:pStyle w:val="FootnoteText"/>
      </w:pPr>
      <w:r>
        <w:rPr>
          <w:rStyle w:val="FootnoteReference"/>
        </w:rPr>
        <w:footnoteRef/>
      </w:r>
      <w:r>
        <w:t xml:space="preserve"> </w:t>
      </w:r>
      <w:r w:rsidRPr="005E454C">
        <w:rPr>
          <w:i/>
        </w:rPr>
        <w:t xml:space="preserve">Id </w:t>
      </w:r>
      <w:r>
        <w:t>at Page 2</w:t>
      </w:r>
      <w:r w:rsidRPr="00C27C1F">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4BC" w:rsidRDefault="009C74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4A" w:rsidRDefault="005A244A"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C</w:t>
    </w:r>
  </w:p>
  <w:p w:rsidR="005A244A" w:rsidRDefault="005A244A" w:rsidP="00A346B4">
    <w:pPr>
      <w:pStyle w:val="OrderHeader"/>
    </w:pPr>
    <w:r>
      <w:t>DOCKET NO. 20240099-EI</w:t>
    </w:r>
    <w:r>
      <w:tab/>
    </w:r>
    <w:r>
      <w:tab/>
      <w:t>Page 5 of 9</w:t>
    </w:r>
  </w:p>
  <w:p w:rsidR="005A244A" w:rsidRDefault="005A244A"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14</w:t>
    </w:r>
    <w:r>
      <w:rPr>
        <w:rStyle w:val="PageNumber"/>
      </w:rPr>
      <w:fldChar w:fldCharType="end"/>
    </w:r>
  </w:p>
  <w:p w:rsidR="005A244A" w:rsidRDefault="005A24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4A" w:rsidRDefault="005A244A"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C</w:t>
    </w:r>
  </w:p>
  <w:p w:rsidR="005A244A" w:rsidRDefault="005A244A" w:rsidP="00A346B4">
    <w:pPr>
      <w:pStyle w:val="OrderHeader"/>
    </w:pPr>
    <w:r>
      <w:t>DOCKET NO. 20240099-EI</w:t>
    </w:r>
    <w:r>
      <w:tab/>
    </w:r>
    <w:r>
      <w:tab/>
      <w:t>Page 6 of 9</w:t>
    </w:r>
  </w:p>
  <w:p w:rsidR="005A244A" w:rsidRDefault="005A244A"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15</w:t>
    </w:r>
    <w:r>
      <w:rPr>
        <w:rStyle w:val="PageNumber"/>
      </w:rPr>
      <w:fldChar w:fldCharType="end"/>
    </w:r>
  </w:p>
  <w:p w:rsidR="005A244A" w:rsidRDefault="005A24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4A" w:rsidRDefault="005A244A"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C</w:t>
    </w:r>
  </w:p>
  <w:p w:rsidR="005A244A" w:rsidRDefault="005A244A" w:rsidP="00A346B4">
    <w:pPr>
      <w:pStyle w:val="OrderHeader"/>
    </w:pPr>
    <w:r>
      <w:t>DOCKET NO. 20240099-EI</w:t>
    </w:r>
    <w:r>
      <w:tab/>
    </w:r>
    <w:r>
      <w:tab/>
      <w:t>Page 7 of 9</w:t>
    </w:r>
  </w:p>
  <w:p w:rsidR="005A244A" w:rsidRDefault="005A244A"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16</w:t>
    </w:r>
    <w:r>
      <w:rPr>
        <w:rStyle w:val="PageNumber"/>
      </w:rPr>
      <w:fldChar w:fldCharType="end"/>
    </w:r>
  </w:p>
  <w:p w:rsidR="005A244A" w:rsidRDefault="005A24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4A" w:rsidRDefault="005A244A"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C</w:t>
    </w:r>
  </w:p>
  <w:p w:rsidR="005A244A" w:rsidRDefault="005A244A" w:rsidP="00A346B4">
    <w:pPr>
      <w:pStyle w:val="OrderHeader"/>
    </w:pPr>
    <w:r>
      <w:t>DOCKET NO. 20240099-EI</w:t>
    </w:r>
    <w:r>
      <w:tab/>
    </w:r>
    <w:r>
      <w:tab/>
      <w:t>Page 8 of 9</w:t>
    </w:r>
  </w:p>
  <w:p w:rsidR="005A244A" w:rsidRDefault="005A244A"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17</w:t>
    </w:r>
    <w:r>
      <w:rPr>
        <w:rStyle w:val="PageNumber"/>
      </w:rPr>
      <w:fldChar w:fldCharType="end"/>
    </w:r>
  </w:p>
  <w:p w:rsidR="005A244A" w:rsidRDefault="005A244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44A" w:rsidRDefault="005A244A"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bookmarkStart w:id="9" w:name="_GoBack"/>
    <w:bookmarkEnd w:id="9"/>
    <w:r>
      <w:tab/>
    </w:r>
    <w:r>
      <w:tab/>
      <w:t>ATTACHMENT C</w:t>
    </w:r>
  </w:p>
  <w:p w:rsidR="005A244A" w:rsidRDefault="005A244A" w:rsidP="00A346B4">
    <w:pPr>
      <w:pStyle w:val="OrderHeader"/>
    </w:pPr>
    <w:r>
      <w:t>DOCKET NO. 20240099-EI</w:t>
    </w:r>
    <w:r>
      <w:tab/>
    </w:r>
    <w:r>
      <w:tab/>
      <w:t>Page 9 of 9</w:t>
    </w:r>
  </w:p>
  <w:p w:rsidR="005A244A" w:rsidRDefault="005A244A"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18</w:t>
    </w:r>
    <w:r>
      <w:rPr>
        <w:rStyle w:val="PageNumber"/>
      </w:rPr>
      <w:fldChar w:fldCharType="end"/>
    </w:r>
  </w:p>
  <w:p w:rsidR="005A244A" w:rsidRDefault="005A24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9C74BC">
    <w:pPr>
      <w:pStyle w:val="OrderHeader"/>
    </w:pPr>
    <w:r>
      <w:t xml:space="preserve">ORDER NO. </w:t>
    </w:r>
    <w:fldSimple w:instr=" REF OrderNo0441 ">
      <w:r>
        <w:t>PSC-2024-0441-PCO-EI</w:t>
      </w:r>
    </w:fldSimple>
  </w:p>
  <w:p w:rsidR="00FA6EFD" w:rsidRDefault="00CE4EFF">
    <w:pPr>
      <w:pStyle w:val="OrderHeader"/>
    </w:pPr>
    <w:bookmarkStart w:id="8" w:name="HeaderDocketNo"/>
    <w:bookmarkEnd w:id="8"/>
    <w:r>
      <w:t>DOCKET NO. 20240099-EI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7</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4BC" w:rsidRDefault="009C74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6B4" w:rsidRDefault="00A346B4" w:rsidP="009C74BC">
    <w:pPr>
      <w:pStyle w:val="OrderHeader"/>
      <w:tabs>
        <w:tab w:val="left" w:pos="1586"/>
      </w:tabs>
    </w:pPr>
    <w:r>
      <w:t>O</w:t>
    </w:r>
    <w:r w:rsidR="009C74BC">
      <w:t xml:space="preserve">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rsidR="009C74BC">
      <w:tab/>
    </w:r>
    <w:r>
      <w:tab/>
      <w:t>ATTACHMENT A</w:t>
    </w:r>
  </w:p>
  <w:p w:rsidR="00A346B4" w:rsidRDefault="00A346B4" w:rsidP="00A346B4">
    <w:pPr>
      <w:pStyle w:val="OrderHeader"/>
    </w:pPr>
    <w:r>
      <w:t>DOCKET NO. 20240099-EI</w:t>
    </w:r>
  </w:p>
  <w:p w:rsidR="00A346B4" w:rsidRDefault="00A346B4"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8</w:t>
    </w:r>
    <w:r>
      <w:rPr>
        <w:rStyle w:val="PageNumber"/>
      </w:rPr>
      <w:fldChar w:fldCharType="end"/>
    </w:r>
  </w:p>
  <w:p w:rsidR="00A346B4" w:rsidRDefault="00A346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6B4" w:rsidRDefault="00A346B4"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B</w:t>
    </w:r>
  </w:p>
  <w:p w:rsidR="00A346B4" w:rsidRDefault="00A346B4" w:rsidP="00A346B4">
    <w:pPr>
      <w:pStyle w:val="OrderHeader"/>
    </w:pPr>
    <w:r>
      <w:t>DOCKET NO. 20240099-EI</w:t>
    </w:r>
  </w:p>
  <w:p w:rsidR="00A346B4" w:rsidRDefault="00A346B4"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9</w:t>
    </w:r>
    <w:r>
      <w:rPr>
        <w:rStyle w:val="PageNumber"/>
      </w:rPr>
      <w:fldChar w:fldCharType="end"/>
    </w:r>
  </w:p>
  <w:p w:rsidR="00A346B4" w:rsidRDefault="00A346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6B4" w:rsidRDefault="00A346B4"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C</w:t>
    </w:r>
  </w:p>
  <w:p w:rsidR="00A346B4" w:rsidRDefault="00A346B4" w:rsidP="00A346B4">
    <w:pPr>
      <w:pStyle w:val="OrderHeader"/>
    </w:pPr>
    <w:r>
      <w:t>DOCKET NO. 20240099-EI</w:t>
    </w:r>
    <w:r>
      <w:tab/>
    </w:r>
    <w:r>
      <w:tab/>
      <w:t>Page 1 of 9</w:t>
    </w:r>
  </w:p>
  <w:p w:rsidR="00A346B4" w:rsidRDefault="00A346B4"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10</w:t>
    </w:r>
    <w:r>
      <w:rPr>
        <w:rStyle w:val="PageNumber"/>
      </w:rPr>
      <w:fldChar w:fldCharType="end"/>
    </w:r>
  </w:p>
  <w:p w:rsidR="00A346B4" w:rsidRDefault="00A346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6B4" w:rsidRDefault="009C74BC">
    <w:pPr>
      <w:pStyle w:val="OrderHeader"/>
    </w:pPr>
    <w:r>
      <w:t>ORDER NO. PSC-2024-0441-PCO-EI</w:t>
    </w:r>
    <w:r w:rsidR="00A346B4">
      <w:tab/>
    </w:r>
    <w:r w:rsidR="00A346B4">
      <w:tab/>
      <w:t>ATTACHMENT C</w:t>
    </w:r>
  </w:p>
  <w:p w:rsidR="00A346B4" w:rsidRDefault="00A346B4">
    <w:pPr>
      <w:pStyle w:val="OrderHeader"/>
    </w:pPr>
    <w:r>
      <w:t>DOCKET NO. 20240099-EI</w:t>
    </w:r>
    <w:r>
      <w:tab/>
    </w:r>
    <w:r>
      <w:tab/>
      <w:t>Page 3 of 9</w:t>
    </w:r>
  </w:p>
  <w:p w:rsidR="00A346B4" w:rsidRDefault="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12</w:t>
    </w:r>
    <w:r>
      <w:rPr>
        <w:rStyle w:val="PageNumber"/>
      </w:rPr>
      <w:fldChar w:fldCharType="end"/>
    </w:r>
  </w:p>
  <w:p w:rsidR="00A346B4" w:rsidRDefault="00A346B4">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6B4" w:rsidRDefault="00A346B4"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C</w:t>
    </w:r>
  </w:p>
  <w:p w:rsidR="00A346B4" w:rsidRDefault="00A346B4" w:rsidP="00A346B4">
    <w:pPr>
      <w:pStyle w:val="OrderHeader"/>
    </w:pPr>
    <w:r>
      <w:t>DOCKET NO. 20240099-EI</w:t>
    </w:r>
    <w:r>
      <w:tab/>
    </w:r>
    <w:r>
      <w:tab/>
      <w:t>Page 2 of 9</w:t>
    </w:r>
  </w:p>
  <w:p w:rsidR="00A346B4" w:rsidRDefault="00A346B4"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11</w:t>
    </w:r>
    <w:r>
      <w:rPr>
        <w:rStyle w:val="PageNumber"/>
      </w:rPr>
      <w:fldChar w:fldCharType="end"/>
    </w:r>
  </w:p>
  <w:p w:rsidR="00A346B4" w:rsidRDefault="00A346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46B4" w:rsidRDefault="00A346B4" w:rsidP="00A346B4">
    <w:pPr>
      <w:pStyle w:val="OrderHeader"/>
    </w:pPr>
    <w:r>
      <w:t xml:space="preserve">ORDER NO. </w:t>
    </w:r>
    <w:r w:rsidR="009C74BC">
      <w:fldChar w:fldCharType="begin"/>
    </w:r>
    <w:r w:rsidR="009C74BC">
      <w:instrText xml:space="preserve"> REF OrderNo0441 </w:instrText>
    </w:r>
    <w:r w:rsidR="009C74BC">
      <w:fldChar w:fldCharType="separate"/>
    </w:r>
    <w:r w:rsidR="009C74BC">
      <w:t>PSC-2024-0441-PCO-EI</w:t>
    </w:r>
    <w:r w:rsidR="009C74BC">
      <w:fldChar w:fldCharType="end"/>
    </w:r>
    <w:r>
      <w:tab/>
    </w:r>
    <w:r>
      <w:tab/>
      <w:t>ATTACHMENT C</w:t>
    </w:r>
  </w:p>
  <w:p w:rsidR="00A346B4" w:rsidRDefault="00A346B4" w:rsidP="00A346B4">
    <w:pPr>
      <w:pStyle w:val="OrderHeader"/>
    </w:pPr>
    <w:r>
      <w:t>DOCKET NO. 20240099-EI</w:t>
    </w:r>
    <w:r>
      <w:tab/>
    </w:r>
    <w:r>
      <w:tab/>
    </w:r>
    <w:r w:rsidR="005A244A">
      <w:t>Page 4</w:t>
    </w:r>
    <w:r>
      <w:t xml:space="preserve"> of 9</w:t>
    </w:r>
  </w:p>
  <w:p w:rsidR="00A346B4" w:rsidRDefault="00A346B4" w:rsidP="00A346B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C74BC">
      <w:rPr>
        <w:rStyle w:val="PageNumber"/>
        <w:noProof/>
      </w:rPr>
      <w:t>13</w:t>
    </w:r>
    <w:r>
      <w:rPr>
        <w:rStyle w:val="PageNumber"/>
      </w:rPr>
      <w:fldChar w:fldCharType="end"/>
    </w:r>
  </w:p>
  <w:p w:rsidR="00A346B4" w:rsidRDefault="00A346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99-EI"/>
  </w:docVars>
  <w:rsids>
    <w:rsidRoot w:val="00CE4EFF"/>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2E78"/>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D7DB0"/>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44BD"/>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16D5"/>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52E"/>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312E7"/>
    <w:rsid w:val="00440A7E"/>
    <w:rsid w:val="004431B4"/>
    <w:rsid w:val="00445604"/>
    <w:rsid w:val="00445DEA"/>
    <w:rsid w:val="00451158"/>
    <w:rsid w:val="0045537F"/>
    <w:rsid w:val="00457DC7"/>
    <w:rsid w:val="004640B3"/>
    <w:rsid w:val="00472BCC"/>
    <w:rsid w:val="00477699"/>
    <w:rsid w:val="0048428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4F7C0F"/>
    <w:rsid w:val="0050097F"/>
    <w:rsid w:val="00512F78"/>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244A"/>
    <w:rsid w:val="005A31F4"/>
    <w:rsid w:val="005A73EA"/>
    <w:rsid w:val="005B45F7"/>
    <w:rsid w:val="005B63EA"/>
    <w:rsid w:val="005C1A88"/>
    <w:rsid w:val="005C2460"/>
    <w:rsid w:val="005C5033"/>
    <w:rsid w:val="005D4E1B"/>
    <w:rsid w:val="005E751B"/>
    <w:rsid w:val="005F2751"/>
    <w:rsid w:val="005F3354"/>
    <w:rsid w:val="005F4AD6"/>
    <w:rsid w:val="0060005E"/>
    <w:rsid w:val="0060095B"/>
    <w:rsid w:val="00601266"/>
    <w:rsid w:val="00610221"/>
    <w:rsid w:val="00610E73"/>
    <w:rsid w:val="00615F9B"/>
    <w:rsid w:val="00616DF2"/>
    <w:rsid w:val="00621C38"/>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6F36F3"/>
    <w:rsid w:val="00703F2A"/>
    <w:rsid w:val="00704C5D"/>
    <w:rsid w:val="007072BC"/>
    <w:rsid w:val="00715275"/>
    <w:rsid w:val="00721B44"/>
    <w:rsid w:val="007232A2"/>
    <w:rsid w:val="00726366"/>
    <w:rsid w:val="00731AB6"/>
    <w:rsid w:val="00733B6B"/>
    <w:rsid w:val="00740808"/>
    <w:rsid w:val="00740A1B"/>
    <w:rsid w:val="007467C4"/>
    <w:rsid w:val="007534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503"/>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093"/>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4E00"/>
    <w:rsid w:val="009C74BC"/>
    <w:rsid w:val="009D4C29"/>
    <w:rsid w:val="009E203D"/>
    <w:rsid w:val="009E58E9"/>
    <w:rsid w:val="009E6803"/>
    <w:rsid w:val="009F6AD2"/>
    <w:rsid w:val="009F7C1B"/>
    <w:rsid w:val="00A00B5B"/>
    <w:rsid w:val="00A00D8D"/>
    <w:rsid w:val="00A018F2"/>
    <w:rsid w:val="00A01BB6"/>
    <w:rsid w:val="00A108A7"/>
    <w:rsid w:val="00A228DA"/>
    <w:rsid w:val="00A22B28"/>
    <w:rsid w:val="00A3351E"/>
    <w:rsid w:val="00A346B4"/>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45F9D"/>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1821"/>
    <w:rsid w:val="00C24098"/>
    <w:rsid w:val="00C30A4E"/>
    <w:rsid w:val="00C374B3"/>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4EFF"/>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63D7E"/>
    <w:rsid w:val="00E72914"/>
    <w:rsid w:val="00E75911"/>
    <w:rsid w:val="00E75AE0"/>
    <w:rsid w:val="00E7762E"/>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07E77"/>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86509"/>
    <w:rsid w:val="00F94968"/>
    <w:rsid w:val="00FA092B"/>
    <w:rsid w:val="00FA4F6C"/>
    <w:rsid w:val="00FA6EFD"/>
    <w:rsid w:val="00FB3791"/>
    <w:rsid w:val="00FB6780"/>
    <w:rsid w:val="00FB74EA"/>
    <w:rsid w:val="00FB77C0"/>
    <w:rsid w:val="00FD0ADB"/>
    <w:rsid w:val="00FD2C9E"/>
    <w:rsid w:val="00FD4786"/>
    <w:rsid w:val="00FD616C"/>
    <w:rsid w:val="00FE53F2"/>
    <w:rsid w:val="00FF0273"/>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4F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7534C4"/>
  </w:style>
  <w:style w:type="table" w:customStyle="1" w:styleId="TableGrid1">
    <w:name w:val="Table Grid1"/>
    <w:basedOn w:val="TableNormal"/>
    <w:next w:val="TableGrid"/>
    <w:rsid w:val="00E63D7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
    <w:name w:val="Table Number"/>
    <w:basedOn w:val="BodyText"/>
    <w:next w:val="BodyText"/>
    <w:qFormat/>
    <w:rsid w:val="00E63D7E"/>
    <w:pPr>
      <w:spacing w:before="480" w:after="0"/>
      <w:jc w:val="center"/>
    </w:pPr>
    <w:rPr>
      <w:rFonts w:ascii="Arial" w:hAnsi="Arial"/>
      <w:b/>
    </w:rPr>
  </w:style>
  <w:style w:type="paragraph" w:customStyle="1" w:styleId="TableTitle">
    <w:name w:val="Table Title"/>
    <w:basedOn w:val="BodyText"/>
    <w:next w:val="BodyText"/>
    <w:qFormat/>
    <w:rsid w:val="00E63D7E"/>
    <w:pPr>
      <w:spacing w:after="0"/>
      <w:jc w:val="center"/>
    </w:pPr>
    <w:rPr>
      <w:rFonts w:ascii="Arial" w:hAnsi="Arial"/>
      <w:b/>
    </w:rPr>
  </w:style>
  <w:style w:type="paragraph" w:styleId="BalloonText">
    <w:name w:val="Balloon Text"/>
    <w:basedOn w:val="Normal"/>
    <w:link w:val="BalloonTextChar"/>
    <w:semiHidden/>
    <w:unhideWhenUsed/>
    <w:rsid w:val="00E7762E"/>
    <w:rPr>
      <w:rFonts w:ascii="Segoe UI" w:hAnsi="Segoe UI" w:cs="Segoe UI"/>
      <w:sz w:val="18"/>
      <w:szCs w:val="18"/>
    </w:rPr>
  </w:style>
  <w:style w:type="character" w:customStyle="1" w:styleId="BalloonTextChar">
    <w:name w:val="Balloon Text Char"/>
    <w:basedOn w:val="DefaultParagraphFont"/>
    <w:link w:val="BalloonText"/>
    <w:semiHidden/>
    <w:rsid w:val="00E776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g"/><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3.jp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jpg"/><Relationship Id="rId32"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image" Target="media/image7.jpg"/><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g"/><Relationship Id="rId27" Type="http://schemas.openxmlformats.org/officeDocument/2006/relationships/header" Target="header12.xml"/><Relationship Id="rId30"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45F97-44AD-4DB0-8C77-50E0407B8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18</Pages>
  <Words>2793</Words>
  <Characters>15922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2024-10-14T16:06:00Z</dcterms:created>
  <dcterms:modified xsi:type="dcterms:W3CDTF">2024-10-14T16:22:00Z</dcterms:modified>
</cp:coreProperties>
</file>