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4D7F72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D6A96FA" w14:textId="77777777" w:rsidR="007C0528" w:rsidRDefault="007C0528" w:rsidP="00532DFB">
            <w:pPr>
              <w:pStyle w:val="MastHeadState"/>
            </w:pPr>
            <w:bookmarkStart w:id="0" w:name="_GoBack"/>
            <w:bookmarkEnd w:id="0"/>
            <w:r>
              <w:t>State of Florida</w:t>
            </w:r>
          </w:p>
          <w:p w14:paraId="1D2EBBEE" w14:textId="77777777" w:rsidR="007C0528" w:rsidRDefault="00072CCA">
            <w:pPr>
              <w:jc w:val="center"/>
            </w:pPr>
            <w:r>
              <w:rPr>
                <w:noProof/>
              </w:rPr>
              <w:drawing>
                <wp:inline distT="0" distB="0" distL="0" distR="0" wp14:anchorId="092CC42A" wp14:editId="156E27A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4EC5B6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A7B2BE7" w14:textId="77777777" w:rsidR="007C0528" w:rsidRDefault="007C0528">
            <w:pPr>
              <w:pStyle w:val="MastHeadPSC"/>
            </w:pPr>
            <w:r>
              <w:t>Public Service Commission</w:t>
            </w:r>
          </w:p>
          <w:p w14:paraId="024FFA37" w14:textId="77777777" w:rsidR="007C0528" w:rsidRDefault="007C0528">
            <w:pPr>
              <w:pStyle w:val="MastHeadAddress"/>
            </w:pPr>
            <w:r>
              <w:t>Capital Circle Office Center ● 2540 Shumard Oak Boulevard</w:t>
            </w:r>
            <w:r>
              <w:br/>
              <w:t>Tallahassee, Florida 32399-0850</w:t>
            </w:r>
          </w:p>
          <w:p w14:paraId="513EB36C" w14:textId="77777777" w:rsidR="007C0528" w:rsidRDefault="007C0528">
            <w:pPr>
              <w:pStyle w:val="MastHeadMemorandum"/>
            </w:pPr>
            <w:r>
              <w:t>-M-E-M-O-R-A-N-D-U-M-</w:t>
            </w:r>
          </w:p>
          <w:p w14:paraId="6D760CDA" w14:textId="77777777" w:rsidR="007C0528" w:rsidRDefault="007C0528">
            <w:pPr>
              <w:pStyle w:val="MemoHeading"/>
            </w:pPr>
          </w:p>
        </w:tc>
      </w:tr>
      <w:tr w:rsidR="007C0528" w14:paraId="061BE86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C30E1F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A58A76E" w14:textId="77777777" w:rsidR="007C0528" w:rsidRDefault="00E87183">
            <w:pPr>
              <w:pStyle w:val="MemoHeading"/>
            </w:pPr>
            <w:bookmarkStart w:id="1" w:name="FilingDate"/>
            <w:r>
              <w:t>December 20, 2024</w:t>
            </w:r>
            <w:bookmarkEnd w:id="1"/>
          </w:p>
        </w:tc>
      </w:tr>
      <w:tr w:rsidR="007C0528" w14:paraId="67224593" w14:textId="77777777">
        <w:tc>
          <w:tcPr>
            <w:tcW w:w="1254" w:type="dxa"/>
            <w:tcBorders>
              <w:top w:val="nil"/>
              <w:left w:val="nil"/>
              <w:bottom w:val="nil"/>
              <w:right w:val="nil"/>
            </w:tcBorders>
            <w:shd w:val="clear" w:color="auto" w:fill="auto"/>
            <w:tcMar>
              <w:top w:w="288" w:type="dxa"/>
              <w:bottom w:w="0" w:type="dxa"/>
              <w:right w:w="0" w:type="dxa"/>
            </w:tcMar>
          </w:tcPr>
          <w:p w14:paraId="77AE744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AB0AE79" w14:textId="77777777" w:rsidR="007C0528" w:rsidRDefault="007C0528" w:rsidP="0093658B">
            <w:pPr>
              <w:pStyle w:val="MemoHeading"/>
            </w:pPr>
            <w:r>
              <w:t>Office of Commission Clerk (</w:t>
            </w:r>
            <w:r w:rsidR="004E69B5">
              <w:t>Teitzman</w:t>
            </w:r>
            <w:r>
              <w:t>)</w:t>
            </w:r>
          </w:p>
        </w:tc>
      </w:tr>
      <w:tr w:rsidR="007C0528" w14:paraId="2DF273DD" w14:textId="77777777">
        <w:tc>
          <w:tcPr>
            <w:tcW w:w="1254" w:type="dxa"/>
            <w:tcBorders>
              <w:top w:val="nil"/>
              <w:left w:val="nil"/>
              <w:bottom w:val="nil"/>
              <w:right w:val="nil"/>
            </w:tcBorders>
            <w:shd w:val="clear" w:color="auto" w:fill="auto"/>
            <w:tcMar>
              <w:top w:w="288" w:type="dxa"/>
              <w:right w:w="0" w:type="dxa"/>
            </w:tcMar>
          </w:tcPr>
          <w:p w14:paraId="28D40EB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A45550D" w14:textId="77777777" w:rsidR="00E87183" w:rsidRDefault="00E87183">
            <w:pPr>
              <w:pStyle w:val="MemoHeading"/>
            </w:pPr>
            <w:bookmarkStart w:id="2" w:name="From"/>
            <w:r>
              <w:t>Office of Industry Development and Market Analysis (Mallow, Day, Deas, Fogleman)</w:t>
            </w:r>
          </w:p>
          <w:p w14:paraId="00DCB402" w14:textId="77777777" w:rsidR="007C0528" w:rsidRDefault="00E87183">
            <w:pPr>
              <w:pStyle w:val="MemoHeading"/>
            </w:pPr>
            <w:r>
              <w:t>Office of the General Counsel (Farooqi, Imig)</w:t>
            </w:r>
            <w:bookmarkEnd w:id="2"/>
          </w:p>
        </w:tc>
      </w:tr>
      <w:tr w:rsidR="007C0528" w14:paraId="5414871B" w14:textId="77777777">
        <w:tc>
          <w:tcPr>
            <w:tcW w:w="1254" w:type="dxa"/>
            <w:tcBorders>
              <w:top w:val="nil"/>
              <w:left w:val="nil"/>
              <w:bottom w:val="nil"/>
              <w:right w:val="nil"/>
            </w:tcBorders>
            <w:shd w:val="clear" w:color="auto" w:fill="auto"/>
            <w:tcMar>
              <w:top w:w="288" w:type="dxa"/>
              <w:right w:w="0" w:type="dxa"/>
            </w:tcMar>
          </w:tcPr>
          <w:p w14:paraId="4953B589"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B681C5B" w14:textId="77777777" w:rsidR="007C0528" w:rsidRDefault="00E87183">
            <w:pPr>
              <w:pStyle w:val="MemoHeadingRe"/>
            </w:pPr>
            <w:bookmarkStart w:id="3" w:name="Re"/>
            <w:r>
              <w:t>Docket No. 20240088-TP – Petition for designation as an eligible telecommunications carrier in the State of Florida, by Prepaid Wireless Group, LLC.</w:t>
            </w:r>
            <w:bookmarkEnd w:id="3"/>
          </w:p>
        </w:tc>
      </w:tr>
      <w:tr w:rsidR="007C0528" w14:paraId="4CA8ECA5" w14:textId="77777777">
        <w:tc>
          <w:tcPr>
            <w:tcW w:w="1254" w:type="dxa"/>
            <w:tcBorders>
              <w:top w:val="nil"/>
              <w:left w:val="nil"/>
              <w:bottom w:val="nil"/>
              <w:right w:val="nil"/>
            </w:tcBorders>
            <w:shd w:val="clear" w:color="auto" w:fill="auto"/>
            <w:tcMar>
              <w:top w:w="288" w:type="dxa"/>
              <w:bottom w:w="0" w:type="dxa"/>
              <w:right w:w="0" w:type="dxa"/>
            </w:tcMar>
          </w:tcPr>
          <w:p w14:paraId="328FEB8E"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64C6AC5" w14:textId="77777777" w:rsidR="007C0528" w:rsidRDefault="00E87183">
            <w:pPr>
              <w:pStyle w:val="MemoHeading"/>
            </w:pPr>
            <w:bookmarkStart w:id="4" w:name="AgendaDate"/>
            <w:r>
              <w:t>01/07/25</w:t>
            </w:r>
            <w:bookmarkEnd w:id="4"/>
            <w:r w:rsidR="007C0528">
              <w:t xml:space="preserve"> – </w:t>
            </w:r>
            <w:bookmarkStart w:id="5" w:name="PermittedStatus"/>
            <w:r>
              <w:t>Regular Agenda – Proposed Agency Action – Interested Persons May Participate</w:t>
            </w:r>
            <w:bookmarkEnd w:id="5"/>
          </w:p>
        </w:tc>
      </w:tr>
      <w:tr w:rsidR="007C0528" w14:paraId="5D01E10B" w14:textId="77777777">
        <w:tc>
          <w:tcPr>
            <w:tcW w:w="3690" w:type="dxa"/>
            <w:gridSpan w:val="3"/>
            <w:tcBorders>
              <w:top w:val="nil"/>
              <w:left w:val="nil"/>
              <w:bottom w:val="nil"/>
              <w:right w:val="nil"/>
            </w:tcBorders>
            <w:shd w:val="clear" w:color="auto" w:fill="auto"/>
            <w:tcMar>
              <w:top w:w="288" w:type="dxa"/>
              <w:bottom w:w="0" w:type="dxa"/>
              <w:right w:w="0" w:type="dxa"/>
            </w:tcMar>
          </w:tcPr>
          <w:p w14:paraId="078B510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6B15B22" w14:textId="77777777" w:rsidR="007C0528" w:rsidRDefault="00E87183">
            <w:pPr>
              <w:pStyle w:val="MemoHeading"/>
            </w:pPr>
            <w:bookmarkStart w:id="6" w:name="CommissionersAssigned"/>
            <w:r>
              <w:t>All Commissioners</w:t>
            </w:r>
            <w:bookmarkEnd w:id="6"/>
          </w:p>
        </w:tc>
      </w:tr>
      <w:tr w:rsidR="007C0528" w14:paraId="78A62291" w14:textId="77777777">
        <w:tc>
          <w:tcPr>
            <w:tcW w:w="3690" w:type="dxa"/>
            <w:gridSpan w:val="3"/>
            <w:tcBorders>
              <w:top w:val="nil"/>
              <w:left w:val="nil"/>
              <w:bottom w:val="nil"/>
              <w:right w:val="nil"/>
            </w:tcBorders>
            <w:shd w:val="clear" w:color="auto" w:fill="auto"/>
            <w:tcMar>
              <w:top w:w="288" w:type="dxa"/>
              <w:bottom w:w="0" w:type="dxa"/>
              <w:right w:w="0" w:type="dxa"/>
            </w:tcMar>
          </w:tcPr>
          <w:p w14:paraId="2C235DF4"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3D83640" w14:textId="77777777" w:rsidR="007C0528" w:rsidRDefault="00E87183">
            <w:pPr>
              <w:pStyle w:val="MemoHeading"/>
            </w:pPr>
            <w:bookmarkStart w:id="7" w:name="PrehearingOfficer"/>
            <w:r>
              <w:t>Graham</w:t>
            </w:r>
            <w:bookmarkEnd w:id="7"/>
          </w:p>
        </w:tc>
      </w:tr>
      <w:tr w:rsidR="007C0528" w14:paraId="4AB1B38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889156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E06ECA7" w14:textId="77777777" w:rsidR="007C0528" w:rsidRDefault="00E87183">
            <w:pPr>
              <w:pStyle w:val="MemoHeading"/>
            </w:pPr>
            <w:bookmarkStart w:id="9" w:name="CriticalDates"/>
            <w:r>
              <w:t>None</w:t>
            </w:r>
            <w:bookmarkEnd w:id="9"/>
          </w:p>
        </w:tc>
      </w:tr>
      <w:tr w:rsidR="007C0528" w14:paraId="1995086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E40713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9436561" w14:textId="77777777" w:rsidR="007C0528" w:rsidRDefault="00E87183">
            <w:pPr>
              <w:pStyle w:val="MemoHeading"/>
            </w:pPr>
            <w:bookmarkStart w:id="10" w:name="SpecialInstructions"/>
            <w:r>
              <w:t>None</w:t>
            </w:r>
            <w:bookmarkEnd w:id="10"/>
          </w:p>
        </w:tc>
      </w:tr>
    </w:tbl>
    <w:p w14:paraId="056FA91E" w14:textId="77777777" w:rsidR="007C0528" w:rsidRDefault="007C0528">
      <w:pPr>
        <w:pStyle w:val="BodyText"/>
      </w:pPr>
    </w:p>
    <w:p w14:paraId="27B78DA3"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7C1605C" w14:textId="23F05B20" w:rsidR="00196F01" w:rsidRDefault="00196F01" w:rsidP="00196F01">
      <w:pPr>
        <w:pStyle w:val="BodyText"/>
      </w:pPr>
      <w:r>
        <w:t xml:space="preserve">On May 16, 2024, Prepaid Wireless Group, LLC (PWG or Company) filed a petition with the Florida Public Service Commission (FPSC or Commission) seeking designation as an eligible telecommunications carrier (ETC) for the sole purpose to provide Lifeline service to qualifying consumers throughout Florida. PWG is a provider of commercial mobile radio service (CMRS), and asserts it is providing prepaid wireless telecommunications services to consumers using its own facilities, as well as resale agreements with T-Mobile. As a CMRS provider, PWG is </w:t>
      </w:r>
      <w:r>
        <w:lastRenderedPageBreak/>
        <w:t>regulated as a common carrier pursuant to 47 U.S.C.</w:t>
      </w:r>
      <w:r w:rsidR="002B571E">
        <w:t xml:space="preserve"> §</w:t>
      </w:r>
      <w:r>
        <w:t xml:space="preserve"> 153(11).</w:t>
      </w:r>
      <w:r>
        <w:rPr>
          <w:rStyle w:val="FootnoteReference"/>
        </w:rPr>
        <w:footnoteReference w:id="1"/>
      </w:r>
      <w:r>
        <w:t xml:space="preserve"> PWG is a Limited Liability Company that was organized in the State of Maryland on June 29, 2012.</w:t>
      </w:r>
    </w:p>
    <w:p w14:paraId="609A8176" w14:textId="5CD7C49A" w:rsidR="00196F01" w:rsidRDefault="00196F01" w:rsidP="00196F01">
      <w:pPr>
        <w:autoSpaceDE w:val="0"/>
        <w:autoSpaceDN w:val="0"/>
        <w:adjustRightInd w:val="0"/>
        <w:jc w:val="both"/>
        <w:rPr>
          <w:rFonts w:ascii="TimesNewRomanPSMT" w:hAnsi="TimesNewRomanPSMT" w:cs="TimesNewRomanPSMT"/>
        </w:rPr>
      </w:pPr>
      <w:r>
        <w:t xml:space="preserve">PWG asserts </w:t>
      </w:r>
      <w:r>
        <w:rPr>
          <w:rFonts w:ascii="TimesNewRomanPSMT" w:hAnsi="TimesNewRomanPSMT" w:cs="TimesNewRomanPSMT"/>
        </w:rPr>
        <w:t>it meets all applicable federal requirement for designation as a Lifeline</w:t>
      </w:r>
      <w:r w:rsidR="00F63E4E">
        <w:rPr>
          <w:rFonts w:ascii="TimesNewRomanPSMT" w:hAnsi="TimesNewRomanPSMT" w:cs="TimesNewRomanPSMT"/>
        </w:rPr>
        <w:t>-</w:t>
      </w:r>
      <w:r>
        <w:rPr>
          <w:rFonts w:ascii="TimesNewRomanPSMT" w:hAnsi="TimesNewRomanPSMT" w:cs="TimesNewRomanPSMT"/>
        </w:rPr>
        <w:t>only ETC in Florida pursuant to 47 U.S.C. § 214(e) and 47 C.F.R. § 54.201. PWG acknowledges and asserts that, if approved, it will comply with Sections 364.10 and 364.105, Florida Statutes (F.S.)</w:t>
      </w:r>
      <w:r w:rsidR="002B571E">
        <w:rPr>
          <w:rFonts w:ascii="TimesNewRomanPSMT" w:hAnsi="TimesNewRomanPSMT" w:cs="TimesNewRomanPSMT"/>
        </w:rPr>
        <w:t>,</w:t>
      </w:r>
      <w:r>
        <w:rPr>
          <w:rFonts w:ascii="TimesNewRomanPSMT" w:hAnsi="TimesNewRomanPSMT" w:cs="TimesNewRomanPSMT"/>
        </w:rPr>
        <w:t xml:space="preserve"> and Rule 25-4.0665, Florida Administrative Code (F.A.C.), which govern Lifeline service and provide for a transitional discount for customers who no longer qualify for Lifeline.</w:t>
      </w:r>
    </w:p>
    <w:p w14:paraId="2265761E" w14:textId="77777777" w:rsidR="00196F01" w:rsidRDefault="00196F01" w:rsidP="00196F01">
      <w:pPr>
        <w:autoSpaceDE w:val="0"/>
        <w:autoSpaceDN w:val="0"/>
        <w:adjustRightInd w:val="0"/>
      </w:pPr>
      <w:r>
        <w:rPr>
          <w:rFonts w:ascii="TimesNewRomanPSMT" w:hAnsi="TimesNewRomanPSMT" w:cs="TimesNewRomanPSMT"/>
        </w:rPr>
        <w:t xml:space="preserve"> </w:t>
      </w:r>
    </w:p>
    <w:p w14:paraId="2971261B" w14:textId="2F7F50D9" w:rsidR="00196F01" w:rsidRDefault="00196F01" w:rsidP="0026085F">
      <w:pPr>
        <w:jc w:val="both"/>
      </w:pPr>
      <w:r>
        <w:t xml:space="preserve">Section 214(e)(2) of the Telecommunications Act of 1996 (the Act) provides state public utility commissions with “primary responsibility” for the designation of ETCs. In addition, </w:t>
      </w:r>
      <w:r w:rsidR="002B571E">
        <w:t>S</w:t>
      </w:r>
      <w:r>
        <w:t>ection 364.10(3)</w:t>
      </w:r>
      <w:r w:rsidR="00F63E4E">
        <w:t>,</w:t>
      </w:r>
      <w:r>
        <w:t xml:space="preserve"> F.S.</w:t>
      </w:r>
      <w:r w:rsidR="00F63E4E">
        <w:t>,</w:t>
      </w:r>
      <w:r>
        <w:t xml:space="preserve"> specifically grant</w:t>
      </w:r>
      <w:r w:rsidR="002608AB">
        <w:t>s</w:t>
      </w:r>
      <w:r>
        <w:t xml:space="preserve"> the Commission jurisdiction to </w:t>
      </w:r>
      <w:r w:rsidR="002608AB">
        <w:t xml:space="preserve">designate </w:t>
      </w:r>
      <w:r>
        <w:t xml:space="preserve">wireless ETC petitions for Lifeline purposes only. </w:t>
      </w:r>
    </w:p>
    <w:p w14:paraId="74CF9F0A" w14:textId="77777777" w:rsidR="0068481F" w:rsidRDefault="0068481F">
      <w:pPr>
        <w:pStyle w:val="BodyText"/>
      </w:pPr>
    </w:p>
    <w:p w14:paraId="5C153C8A" w14:textId="77777777" w:rsidR="007C0528" w:rsidRDefault="007C0528" w:rsidP="0068481F"/>
    <w:bookmarkEnd w:id="12"/>
    <w:p w14:paraId="35C0685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17025F4" w14:textId="77777777" w:rsidR="007C0528" w:rsidRDefault="007C0528">
      <w:pPr>
        <w:pStyle w:val="RecommendationMajorSectionHeading"/>
      </w:pPr>
      <w:bookmarkStart w:id="16" w:name="DiscussionOfIssues"/>
      <w:r>
        <w:lastRenderedPageBreak/>
        <w:t>Discussion of Issues</w:t>
      </w:r>
    </w:p>
    <w:bookmarkEnd w:id="16"/>
    <w:p w14:paraId="366CD2A4" w14:textId="2468F335" w:rsidR="00641BE0" w:rsidRDefault="00641BE0">
      <w:pPr>
        <w:pStyle w:val="IssueHeading"/>
        <w:rPr>
          <w:vanish/>
          <w:specVanish/>
        </w:rPr>
      </w:pPr>
      <w:r w:rsidRPr="004C3641">
        <w:t xml:space="preserve">Issue </w:t>
      </w:r>
      <w:fldSimple w:instr=" SEQ Issue \* MERGEFORMAT ">
        <w:r w:rsidR="0002283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22833">
        <w:rPr>
          <w:noProof/>
        </w:rPr>
        <w:instrText>1</w:instrText>
      </w:r>
      <w:r>
        <w:fldChar w:fldCharType="end"/>
      </w:r>
      <w:r>
        <w:tab/>
        <w:instrText xml:space="preserve">" \l 1 </w:instrText>
      </w:r>
      <w:r>
        <w:fldChar w:fldCharType="end"/>
      </w:r>
      <w:r>
        <w:t> </w:t>
      </w:r>
    </w:p>
    <w:p w14:paraId="07D99E9F" w14:textId="77777777" w:rsidR="00641BE0" w:rsidRDefault="00641BE0">
      <w:pPr>
        <w:pStyle w:val="BodyText"/>
      </w:pPr>
      <w:r>
        <w:t> Should PWG be granted an ETC designation to provide Lifeline service throughout the State of Florida?</w:t>
      </w:r>
    </w:p>
    <w:p w14:paraId="42A6E05A" w14:textId="77777777" w:rsidR="00641BE0" w:rsidRPr="004C3641" w:rsidRDefault="00641BE0">
      <w:pPr>
        <w:pStyle w:val="IssueSubsectionHeading"/>
        <w:rPr>
          <w:vanish/>
          <w:specVanish/>
        </w:rPr>
      </w:pPr>
      <w:r w:rsidRPr="004C3641">
        <w:t>Recommendation: </w:t>
      </w:r>
    </w:p>
    <w:p w14:paraId="16F9A514" w14:textId="77777777" w:rsidR="00641BE0" w:rsidRDefault="00641BE0">
      <w:pPr>
        <w:pStyle w:val="BodyText"/>
      </w:pPr>
      <w:r>
        <w:t> </w:t>
      </w:r>
      <w:r w:rsidR="001E60E6">
        <w:t>No. PWG should not be granted an ETC designation to provide Lifeline service throughout the State of Florida. (Mallow, Day, Deas, Fogleman)</w:t>
      </w:r>
      <w:r>
        <w:t xml:space="preserve"> </w:t>
      </w:r>
    </w:p>
    <w:p w14:paraId="023EB594" w14:textId="77777777" w:rsidR="00641BE0" w:rsidRPr="004C3641" w:rsidRDefault="00641BE0">
      <w:pPr>
        <w:pStyle w:val="IssueSubsectionHeading"/>
        <w:rPr>
          <w:vanish/>
          <w:specVanish/>
        </w:rPr>
      </w:pPr>
      <w:r w:rsidRPr="004C3641">
        <w:t>Staff Analysis: </w:t>
      </w:r>
    </w:p>
    <w:p w14:paraId="3AC8A2EB" w14:textId="77777777" w:rsidR="00FA0CA1" w:rsidRDefault="00641BE0" w:rsidP="00FA0CA1">
      <w:pPr>
        <w:pStyle w:val="IssueSubsectionHeading"/>
        <w:rPr>
          <w:vanish/>
          <w:specVanish/>
        </w:rPr>
      </w:pPr>
      <w:r>
        <w:t> </w:t>
      </w:r>
      <w:r w:rsidR="00FA0CA1">
        <w:t> </w:t>
      </w:r>
    </w:p>
    <w:p w14:paraId="3E1ED509" w14:textId="192B3283" w:rsidR="00FA0CA1" w:rsidRDefault="00FA0CA1" w:rsidP="00FA0CA1">
      <w:pPr>
        <w:pStyle w:val="BodyText"/>
      </w:pPr>
      <w:r>
        <w:t>ETC designation is necessary for telecommunications companies to participate in the federal Lifeline program.</w:t>
      </w:r>
      <w:r>
        <w:rPr>
          <w:rStyle w:val="FootnoteReference"/>
        </w:rPr>
        <w:footnoteReference w:id="2"/>
      </w:r>
      <w:r>
        <w:t xml:space="preserve"> Section 364.10, F.S., allows the Commission to approve wireless Lifeline ETC petitions by requesting carriers. Specifically, Section 364.10(1)(a) and (3)(a)</w:t>
      </w:r>
      <w:r w:rsidR="002B571E">
        <w:t>,</w:t>
      </w:r>
      <w:r>
        <w:t xml:space="preserve"> F.S., provide that the Commission has the authority to designate a commercial mobile radio service provider as an ETC for the limited purpose of providing Lifeline service. To obtain ETC designation to provide Lifeline services, federal rules require that carriers:</w:t>
      </w:r>
    </w:p>
    <w:p w14:paraId="3FDF8593" w14:textId="77777777" w:rsidR="00FA0CA1" w:rsidRDefault="00FA0CA1" w:rsidP="00FA0CA1">
      <w:pPr>
        <w:pStyle w:val="BodyText"/>
        <w:numPr>
          <w:ilvl w:val="0"/>
          <w:numId w:val="11"/>
        </w:numPr>
        <w:ind w:right="720"/>
      </w:pPr>
      <w:r>
        <w:t>Be a common carrier;</w:t>
      </w:r>
    </w:p>
    <w:p w14:paraId="7D1420EE" w14:textId="77777777" w:rsidR="00FA0CA1" w:rsidRDefault="00FA0CA1" w:rsidP="00FA0CA1">
      <w:pPr>
        <w:pStyle w:val="BodyText"/>
        <w:numPr>
          <w:ilvl w:val="0"/>
          <w:numId w:val="11"/>
        </w:numPr>
        <w:ind w:right="720"/>
      </w:pPr>
      <w:r>
        <w:t>Offer the services that are supported by the federal universal support mechanisms either using its own facilities or a combination of its own facilities and resale of another carrier’s services;</w:t>
      </w:r>
    </w:p>
    <w:p w14:paraId="08404413" w14:textId="77777777" w:rsidR="00FA0CA1" w:rsidRDefault="00FA0CA1" w:rsidP="00FA0CA1">
      <w:pPr>
        <w:pStyle w:val="BodyText"/>
        <w:numPr>
          <w:ilvl w:val="0"/>
          <w:numId w:val="11"/>
        </w:numPr>
        <w:ind w:right="720"/>
      </w:pPr>
      <w:r>
        <w:t>Advertise the availability of its Lifeline service through a media of general distribution;</w:t>
      </w:r>
    </w:p>
    <w:p w14:paraId="248038E3" w14:textId="77777777" w:rsidR="00FA0CA1" w:rsidRDefault="00FA0CA1" w:rsidP="00FA0CA1">
      <w:pPr>
        <w:pStyle w:val="BodyText"/>
        <w:numPr>
          <w:ilvl w:val="0"/>
          <w:numId w:val="11"/>
        </w:numPr>
        <w:ind w:right="720"/>
      </w:pPr>
      <w:r>
        <w:t>Provide voice grade access to the public switch network or its functional equivalent;</w:t>
      </w:r>
    </w:p>
    <w:p w14:paraId="661327D7" w14:textId="77777777" w:rsidR="00FA0CA1" w:rsidRDefault="00FA0CA1" w:rsidP="00FA0CA1">
      <w:pPr>
        <w:pStyle w:val="BodyText"/>
        <w:numPr>
          <w:ilvl w:val="0"/>
          <w:numId w:val="11"/>
        </w:numPr>
        <w:ind w:right="720"/>
      </w:pPr>
      <w:r>
        <w:t xml:space="preserve">Offer minutes of use for local service at no additional charge to end users; </w:t>
      </w:r>
    </w:p>
    <w:p w14:paraId="07EC58F9" w14:textId="77777777" w:rsidR="00FA0CA1" w:rsidRDefault="00FA0CA1" w:rsidP="00FA0CA1">
      <w:pPr>
        <w:pStyle w:val="BodyText"/>
        <w:numPr>
          <w:ilvl w:val="0"/>
          <w:numId w:val="11"/>
        </w:numPr>
        <w:ind w:right="720"/>
      </w:pPr>
      <w:r>
        <w:t xml:space="preserve">Provide access to the emergency services available by local government or other public safety organizations; </w:t>
      </w:r>
    </w:p>
    <w:p w14:paraId="111DF139" w14:textId="77777777" w:rsidR="00FA0CA1" w:rsidRDefault="00FA0CA1" w:rsidP="00FA0CA1">
      <w:pPr>
        <w:pStyle w:val="BodyText"/>
        <w:numPr>
          <w:ilvl w:val="0"/>
          <w:numId w:val="11"/>
        </w:numPr>
        <w:ind w:right="720"/>
      </w:pPr>
      <w:r>
        <w:t>Provide Broadband Internet Access Service;</w:t>
      </w:r>
      <w:r>
        <w:rPr>
          <w:rStyle w:val="FootnoteReference"/>
        </w:rPr>
        <w:footnoteReference w:id="3"/>
      </w:r>
      <w:r>
        <w:t xml:space="preserve"> </w:t>
      </w:r>
    </w:p>
    <w:p w14:paraId="44BBC3FD" w14:textId="5CE36C20" w:rsidR="00FA0CA1" w:rsidRDefault="00FA0CA1" w:rsidP="00FA0CA1">
      <w:pPr>
        <w:pStyle w:val="BodyText"/>
        <w:numPr>
          <w:ilvl w:val="0"/>
          <w:numId w:val="11"/>
        </w:numPr>
        <w:ind w:right="720"/>
      </w:pPr>
      <w:r>
        <w:t>Demonstrate financial and technical capability to provide Lifeline service; and</w:t>
      </w:r>
    </w:p>
    <w:p w14:paraId="725AA829" w14:textId="77777777" w:rsidR="00FA0CA1" w:rsidRDefault="00FA0CA1" w:rsidP="00FA0CA1">
      <w:pPr>
        <w:pStyle w:val="BodyText"/>
        <w:numPr>
          <w:ilvl w:val="0"/>
          <w:numId w:val="11"/>
        </w:numPr>
        <w:ind w:right="720"/>
      </w:pPr>
      <w:r>
        <w:t>Not charge Lifeline customers a monthly number-portability charge.</w:t>
      </w:r>
    </w:p>
    <w:p w14:paraId="1AF21246" w14:textId="77777777" w:rsidR="00FA0CA1" w:rsidRDefault="00FA0CA1" w:rsidP="00FA0CA1">
      <w:pPr>
        <w:jc w:val="both"/>
      </w:pPr>
      <w:r>
        <w:t xml:space="preserve">In addition, Florida law requires ETCs to: </w:t>
      </w:r>
    </w:p>
    <w:p w14:paraId="53B3D820" w14:textId="77777777" w:rsidR="00FA0CA1" w:rsidRDefault="00FA0CA1" w:rsidP="00FA0CA1">
      <w:pPr>
        <w:jc w:val="both"/>
      </w:pPr>
    </w:p>
    <w:p w14:paraId="35773584" w14:textId="77777777" w:rsidR="00FA0CA1" w:rsidRDefault="00FA0CA1" w:rsidP="00FA0CA1">
      <w:pPr>
        <w:pStyle w:val="BodyText"/>
        <w:numPr>
          <w:ilvl w:val="0"/>
          <w:numId w:val="12"/>
        </w:numPr>
      </w:pPr>
      <w:r>
        <w:t>Offer a discounted transitional basic telecommunications service; and</w:t>
      </w:r>
    </w:p>
    <w:p w14:paraId="394CE664" w14:textId="77777777" w:rsidR="00FA0CA1" w:rsidRDefault="00FA0CA1" w:rsidP="00FA0CA1">
      <w:pPr>
        <w:pStyle w:val="BodyText"/>
        <w:numPr>
          <w:ilvl w:val="0"/>
          <w:numId w:val="12"/>
        </w:numPr>
      </w:pPr>
      <w:r>
        <w:t>Participate in the Lifeline Promotion Process.</w:t>
      </w:r>
    </w:p>
    <w:p w14:paraId="704B5802" w14:textId="77777777" w:rsidR="00FA0CA1" w:rsidRDefault="00FA0CA1" w:rsidP="00FA0CA1">
      <w:pPr>
        <w:pStyle w:val="BodyText"/>
        <w:rPr>
          <w:b/>
        </w:rPr>
      </w:pPr>
      <w:r>
        <w:rPr>
          <w:b/>
        </w:rPr>
        <w:lastRenderedPageBreak/>
        <w:t>Facilities Requirement</w:t>
      </w:r>
    </w:p>
    <w:p w14:paraId="157C4B4D" w14:textId="55089AC6" w:rsidR="00FA0CA1" w:rsidRDefault="00A92D72" w:rsidP="00FA0CA1">
      <w:pPr>
        <w:autoSpaceDE w:val="0"/>
        <w:autoSpaceDN w:val="0"/>
        <w:adjustRightInd w:val="0"/>
        <w:jc w:val="both"/>
      </w:pPr>
      <w:r>
        <w:t>To qualify as an ETC, f</w:t>
      </w:r>
      <w:r w:rsidR="00FA0CA1">
        <w:t xml:space="preserve">ederal rules specify that </w:t>
      </w:r>
      <w:r>
        <w:t xml:space="preserve">a telecommunications carrier </w:t>
      </w:r>
      <w:r w:rsidR="00FA0CA1">
        <w:t xml:space="preserve">must offer the services that are supported by the federal universal support mechanism either using its own facilities or a combination of its own </w:t>
      </w:r>
      <w:r w:rsidR="002B571E">
        <w:t xml:space="preserve">facilities </w:t>
      </w:r>
      <w:r w:rsidR="00FA0CA1">
        <w:t>and resale of another carrier’s services.</w:t>
      </w:r>
      <w:r w:rsidR="00FA0CA1">
        <w:rPr>
          <w:rStyle w:val="FootnoteReference"/>
        </w:rPr>
        <w:footnoteReference w:id="4"/>
      </w:r>
      <w:r w:rsidR="00FA0CA1">
        <w:t xml:space="preserve"> Carriers may seek forbearance of the facilities requirements from the FCC.</w:t>
      </w:r>
      <w:r w:rsidR="004D61AA">
        <w:rPr>
          <w:rStyle w:val="FootnoteReference"/>
          <w:rFonts w:ascii="TimesNewRomanPSMT" w:hAnsi="TimesNewRomanPSMT" w:cs="TimesNewRomanPSMT"/>
        </w:rPr>
        <w:footnoteReference w:id="5"/>
      </w:r>
    </w:p>
    <w:p w14:paraId="5C618523" w14:textId="77777777" w:rsidR="00FA0CA1" w:rsidRDefault="00FA0CA1" w:rsidP="00FA0CA1">
      <w:pPr>
        <w:autoSpaceDE w:val="0"/>
        <w:autoSpaceDN w:val="0"/>
        <w:adjustRightInd w:val="0"/>
        <w:jc w:val="both"/>
      </w:pPr>
    </w:p>
    <w:p w14:paraId="42ABD95E" w14:textId="290FFF10" w:rsidR="00FA0CA1" w:rsidRDefault="002608AB">
      <w:pPr>
        <w:autoSpaceDE w:val="0"/>
        <w:autoSpaceDN w:val="0"/>
        <w:adjustRightInd w:val="0"/>
        <w:jc w:val="both"/>
        <w:rPr>
          <w:rFonts w:ascii="TimesNewRomanPSMT" w:hAnsi="TimesNewRomanPSMT" w:cs="TimesNewRomanPSMT"/>
        </w:rPr>
      </w:pPr>
      <w:r>
        <w:t xml:space="preserve">In its petition, </w:t>
      </w:r>
      <w:r w:rsidR="00FA0CA1">
        <w:t>PWG assert</w:t>
      </w:r>
      <w:r>
        <w:t>s</w:t>
      </w:r>
      <w:r w:rsidR="00FA0CA1">
        <w:t xml:space="preserve"> it plans to offer all of the supported services enumerated under Section 254(c) of the Act through its own facilities as well as</w:t>
      </w:r>
      <w:r w:rsidR="00A92D72">
        <w:t xml:space="preserve"> through its</w:t>
      </w:r>
      <w:r w:rsidR="00FA0CA1">
        <w:t xml:space="preserve"> wireless resale agreement with T-Mobile. Staff sought verification regarding how PWG complies with the facilities requirement</w:t>
      </w:r>
      <w:r w:rsidR="0025334D">
        <w:t>.</w:t>
      </w:r>
      <w:r w:rsidR="00FA0CA1">
        <w:t xml:space="preserve"> PWG</w:t>
      </w:r>
      <w:r w:rsidR="0025334D">
        <w:t>’s</w:t>
      </w:r>
      <w:r w:rsidR="00FA0CA1">
        <w:t xml:space="preserve"> </w:t>
      </w:r>
      <w:r w:rsidR="0025334D">
        <w:t xml:space="preserve">petition included </w:t>
      </w:r>
      <w:r w:rsidR="00FA0CA1">
        <w:t xml:space="preserve">confidential documentation </w:t>
      </w:r>
      <w:r w:rsidR="0025334D">
        <w:t xml:space="preserve">regarding its facilities </w:t>
      </w:r>
      <w:r w:rsidR="000817AD">
        <w:t xml:space="preserve">that </w:t>
      </w:r>
      <w:r w:rsidR="00FA0CA1">
        <w:t xml:space="preserve">was vague and did not clearly demonstrate compliance with </w:t>
      </w:r>
      <w:r w:rsidR="0025334D">
        <w:t>federal rules</w:t>
      </w:r>
      <w:r w:rsidR="00FA0CA1">
        <w:t>.</w:t>
      </w:r>
      <w:r>
        <w:t xml:space="preserve"> </w:t>
      </w:r>
      <w:r w:rsidR="0025334D">
        <w:t>S</w:t>
      </w:r>
      <w:r>
        <w:t xml:space="preserve">taff attempted to obtain </w:t>
      </w:r>
      <w:r w:rsidR="0025334D">
        <w:t xml:space="preserve">additional </w:t>
      </w:r>
      <w:r>
        <w:t xml:space="preserve">information necessary to support the facilities </w:t>
      </w:r>
      <w:r w:rsidR="00261B79">
        <w:t>requirements</w:t>
      </w:r>
      <w:r>
        <w:t xml:space="preserve">, </w:t>
      </w:r>
      <w:r w:rsidR="0025334D">
        <w:t xml:space="preserve">however </w:t>
      </w:r>
      <w:r>
        <w:rPr>
          <w:rFonts w:ascii="TimesNewRomanPSMT" w:hAnsi="TimesNewRomanPSMT" w:cs="TimesNewRomanPSMT"/>
        </w:rPr>
        <w:t>staff’s</w:t>
      </w:r>
      <w:r w:rsidR="00FA0CA1">
        <w:rPr>
          <w:rFonts w:ascii="TimesNewRomanPSMT" w:hAnsi="TimesNewRomanPSMT" w:cs="TimesNewRomanPSMT"/>
        </w:rPr>
        <w:t xml:space="preserve"> </w:t>
      </w:r>
      <w:r>
        <w:rPr>
          <w:rFonts w:ascii="TimesNewRomanPSMT" w:hAnsi="TimesNewRomanPSMT" w:cs="TimesNewRomanPSMT"/>
        </w:rPr>
        <w:t xml:space="preserve">numerous </w:t>
      </w:r>
      <w:r w:rsidR="00FA0CA1">
        <w:rPr>
          <w:rFonts w:ascii="TimesNewRomanPSMT" w:hAnsi="TimesNewRomanPSMT" w:cs="TimesNewRomanPSMT"/>
        </w:rPr>
        <w:t>data request</w:t>
      </w:r>
      <w:r>
        <w:rPr>
          <w:rFonts w:ascii="TimesNewRomanPSMT" w:hAnsi="TimesNewRomanPSMT" w:cs="TimesNewRomanPSMT"/>
        </w:rPr>
        <w:t>s</w:t>
      </w:r>
      <w:r w:rsidR="00FA0CA1">
        <w:rPr>
          <w:rFonts w:ascii="TimesNewRomanPSMT" w:hAnsi="TimesNewRomanPSMT" w:cs="TimesNewRomanPSMT"/>
        </w:rPr>
        <w:t xml:space="preserve"> remain unanswered</w:t>
      </w:r>
      <w:r>
        <w:rPr>
          <w:rFonts w:ascii="TimesNewRomanPSMT" w:hAnsi="TimesNewRomanPSMT" w:cs="TimesNewRomanPSMT"/>
        </w:rPr>
        <w:t xml:space="preserve"> by the </w:t>
      </w:r>
      <w:r w:rsidR="006C797D">
        <w:rPr>
          <w:rFonts w:ascii="TimesNewRomanPSMT" w:hAnsi="TimesNewRomanPSMT" w:cs="TimesNewRomanPSMT"/>
        </w:rPr>
        <w:t>C</w:t>
      </w:r>
      <w:r>
        <w:rPr>
          <w:rFonts w:ascii="TimesNewRomanPSMT" w:hAnsi="TimesNewRomanPSMT" w:cs="TimesNewRomanPSMT"/>
        </w:rPr>
        <w:t>ompany</w:t>
      </w:r>
      <w:r w:rsidR="00FA0CA1">
        <w:rPr>
          <w:rFonts w:ascii="TimesNewRomanPSMT" w:hAnsi="TimesNewRomanPSMT" w:cs="TimesNewRomanPSMT"/>
        </w:rPr>
        <w:t>. A timeline of staff’s efforts to obtain the necessary information is outlined below:</w:t>
      </w:r>
    </w:p>
    <w:p w14:paraId="55BEC463" w14:textId="77777777" w:rsidR="00FA0CA1" w:rsidRDefault="00FA0CA1" w:rsidP="00FA0CA1">
      <w:pPr>
        <w:autoSpaceDE w:val="0"/>
        <w:autoSpaceDN w:val="0"/>
        <w:adjustRightInd w:val="0"/>
        <w:jc w:val="both"/>
        <w:rPr>
          <w:rFonts w:ascii="TimesNewRomanPSMT" w:hAnsi="TimesNewRomanPSMT" w:cs="TimesNewRomanPSMT"/>
        </w:rPr>
      </w:pPr>
    </w:p>
    <w:p w14:paraId="1280F09F" w14:textId="77777777"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June 3, 2024:</w:t>
      </w:r>
      <w:r>
        <w:rPr>
          <w:rFonts w:ascii="TimesNewRomanPSMT" w:hAnsi="TimesNewRomanPSMT" w:cs="TimesNewRomanPSMT"/>
        </w:rPr>
        <w:t xml:space="preserve"> </w:t>
      </w:r>
      <w:r>
        <w:rPr>
          <w:rFonts w:ascii="TimesNewRomanPSMT" w:hAnsi="TimesNewRomanPSMT" w:cs="TimesNewRomanPSMT"/>
        </w:rPr>
        <w:tab/>
        <w:t>An email was sent to PWG’s attorney, requesting additional information about Florida facilities and/or an FCC compliance plan, number-portability charges and other state ETC designations.</w:t>
      </w:r>
    </w:p>
    <w:p w14:paraId="779BB164" w14:textId="77777777" w:rsidR="00FA0CA1" w:rsidRDefault="00FA0CA1" w:rsidP="00FA0CA1">
      <w:pPr>
        <w:autoSpaceDE w:val="0"/>
        <w:autoSpaceDN w:val="0"/>
        <w:adjustRightInd w:val="0"/>
        <w:ind w:left="2880" w:hanging="2160"/>
        <w:jc w:val="both"/>
        <w:rPr>
          <w:rFonts w:ascii="TimesNewRomanPSMT" w:hAnsi="TimesNewRomanPSMT" w:cs="TimesNewRomanPSMT"/>
        </w:rPr>
      </w:pPr>
    </w:p>
    <w:p w14:paraId="2AF13AEC" w14:textId="77777777"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June 10, 2024:</w:t>
      </w:r>
      <w:r>
        <w:rPr>
          <w:rFonts w:ascii="TimesNewRomanPSMT" w:hAnsi="TimesNewRomanPSMT" w:cs="TimesNewRomanPSMT"/>
        </w:rPr>
        <w:t xml:space="preserve"> </w:t>
      </w:r>
      <w:r>
        <w:rPr>
          <w:rFonts w:ascii="TimesNewRomanPSMT" w:hAnsi="TimesNewRomanPSMT" w:cs="TimesNewRomanPSMT"/>
        </w:rPr>
        <w:tab/>
        <w:t>The June 3</w:t>
      </w:r>
      <w:r>
        <w:rPr>
          <w:rFonts w:ascii="TimesNewRomanPSMT" w:hAnsi="TimesNewRomanPSMT" w:cs="TimesNewRomanPSMT"/>
          <w:vertAlign w:val="superscript"/>
        </w:rPr>
        <w:t>rd</w:t>
      </w:r>
      <w:r>
        <w:rPr>
          <w:rFonts w:ascii="TimesNewRomanPSMT" w:hAnsi="TimesNewRomanPSMT" w:cs="TimesNewRomanPSMT"/>
        </w:rPr>
        <w:t xml:space="preserve"> email was resent to PWG reiterating the request for the same information.</w:t>
      </w:r>
    </w:p>
    <w:p w14:paraId="036E314D" w14:textId="77777777" w:rsidR="00FA0CA1" w:rsidRDefault="00FA0CA1" w:rsidP="00FA0CA1">
      <w:pPr>
        <w:autoSpaceDE w:val="0"/>
        <w:autoSpaceDN w:val="0"/>
        <w:adjustRightInd w:val="0"/>
        <w:ind w:left="2880" w:hanging="2160"/>
        <w:jc w:val="both"/>
        <w:rPr>
          <w:rFonts w:ascii="TimesNewRomanPSMT" w:hAnsi="TimesNewRomanPSMT" w:cs="TimesNewRomanPSMT"/>
        </w:rPr>
      </w:pPr>
    </w:p>
    <w:p w14:paraId="356607FA" w14:textId="68A1ED82"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June 13, 2024:</w:t>
      </w:r>
      <w:r>
        <w:rPr>
          <w:rFonts w:ascii="TimesNewRomanPSMT" w:hAnsi="TimesNewRomanPSMT" w:cs="TimesNewRomanPSMT"/>
        </w:rPr>
        <w:t xml:space="preserve"> </w:t>
      </w:r>
      <w:r>
        <w:rPr>
          <w:rFonts w:ascii="TimesNewRomanPSMT" w:hAnsi="TimesNewRomanPSMT" w:cs="TimesNewRomanPSMT"/>
        </w:rPr>
        <w:tab/>
        <w:t xml:space="preserve">Staff received an email from PWG’s CEO, requesting an in person meeting to discuss the facilities. However, number portability and other state ETC designations </w:t>
      </w:r>
      <w:r w:rsidR="002B571E">
        <w:rPr>
          <w:rFonts w:ascii="TimesNewRomanPSMT" w:hAnsi="TimesNewRomanPSMT" w:cs="TimesNewRomanPSMT"/>
        </w:rPr>
        <w:t>were</w:t>
      </w:r>
      <w:r>
        <w:rPr>
          <w:rFonts w:ascii="TimesNewRomanPSMT" w:hAnsi="TimesNewRomanPSMT" w:cs="TimesNewRomanPSMT"/>
        </w:rPr>
        <w:t xml:space="preserve"> not addressed</w:t>
      </w:r>
      <w:r w:rsidR="00461C1E">
        <w:rPr>
          <w:rFonts w:ascii="TimesNewRomanPSMT" w:hAnsi="TimesNewRomanPSMT" w:cs="TimesNewRomanPSMT"/>
        </w:rPr>
        <w:t xml:space="preserve"> in the email</w:t>
      </w:r>
      <w:r>
        <w:rPr>
          <w:rFonts w:ascii="TimesNewRomanPSMT" w:hAnsi="TimesNewRomanPSMT" w:cs="TimesNewRomanPSMT"/>
        </w:rPr>
        <w:t>. Staff responded to the meeting request and posted additional questions regarding the CEO’s association with Global Connections ETC designation. No response regarding Global Connections was received.</w:t>
      </w:r>
    </w:p>
    <w:p w14:paraId="264CD3B8" w14:textId="77777777" w:rsidR="00FA0CA1" w:rsidRDefault="00FA0CA1" w:rsidP="00FA0CA1">
      <w:pPr>
        <w:autoSpaceDE w:val="0"/>
        <w:autoSpaceDN w:val="0"/>
        <w:adjustRightInd w:val="0"/>
        <w:ind w:left="2880" w:hanging="2160"/>
        <w:jc w:val="both"/>
        <w:rPr>
          <w:rFonts w:ascii="TimesNewRomanPSMT" w:hAnsi="TimesNewRomanPSMT" w:cs="TimesNewRomanPSMT"/>
        </w:rPr>
      </w:pPr>
    </w:p>
    <w:p w14:paraId="6C6301C6" w14:textId="1D380662"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July 23, 2024:</w:t>
      </w:r>
      <w:r>
        <w:rPr>
          <w:rFonts w:ascii="TimesNewRomanPSMT" w:hAnsi="TimesNewRomanPSMT" w:cs="TimesNewRomanPSMT"/>
        </w:rPr>
        <w:t xml:space="preserve"> </w:t>
      </w:r>
      <w:r>
        <w:rPr>
          <w:rFonts w:ascii="TimesNewRomanPSMT" w:hAnsi="TimesNewRomanPSMT" w:cs="TimesNewRomanPSMT"/>
        </w:rPr>
        <w:tab/>
        <w:t xml:space="preserve">A Zoom meeting was held </w:t>
      </w:r>
      <w:r w:rsidR="00461C1E">
        <w:rPr>
          <w:rFonts w:ascii="TimesNewRomanPSMT" w:hAnsi="TimesNewRomanPSMT" w:cs="TimesNewRomanPSMT"/>
        </w:rPr>
        <w:t xml:space="preserve">between </w:t>
      </w:r>
      <w:r>
        <w:rPr>
          <w:rFonts w:ascii="TimesNewRomanPSMT" w:hAnsi="TimesNewRomanPSMT" w:cs="TimesNewRomanPSMT"/>
        </w:rPr>
        <w:t>staff</w:t>
      </w:r>
      <w:r w:rsidR="00461C1E">
        <w:rPr>
          <w:rFonts w:ascii="TimesNewRomanPSMT" w:hAnsi="TimesNewRomanPSMT" w:cs="TimesNewRomanPSMT"/>
        </w:rPr>
        <w:t xml:space="preserve"> and </w:t>
      </w:r>
      <w:r>
        <w:rPr>
          <w:rFonts w:ascii="TimesNewRomanPSMT" w:hAnsi="TimesNewRomanPSMT" w:cs="TimesNewRomanPSMT"/>
        </w:rPr>
        <w:t xml:space="preserve">PWG’s </w:t>
      </w:r>
      <w:r w:rsidR="00D37AF1">
        <w:rPr>
          <w:rFonts w:ascii="TimesNewRomanPSMT" w:hAnsi="TimesNewRomanPSMT" w:cs="TimesNewRomanPSMT"/>
        </w:rPr>
        <w:t xml:space="preserve">CEO, </w:t>
      </w:r>
      <w:r>
        <w:rPr>
          <w:rFonts w:ascii="TimesNewRomanPSMT" w:hAnsi="TimesNewRomanPSMT" w:cs="TimesNewRomanPSMT"/>
        </w:rPr>
        <w:t>attorney, and technical team</w:t>
      </w:r>
      <w:r w:rsidR="00D37AF1">
        <w:rPr>
          <w:rFonts w:ascii="TimesNewRomanPSMT" w:hAnsi="TimesNewRomanPSMT" w:cs="TimesNewRomanPSMT"/>
        </w:rPr>
        <w:t xml:space="preserve"> member</w:t>
      </w:r>
      <w:r>
        <w:rPr>
          <w:rFonts w:ascii="TimesNewRomanPSMT" w:hAnsi="TimesNewRomanPSMT" w:cs="TimesNewRomanPSMT"/>
        </w:rPr>
        <w:t xml:space="preserve"> to discuss the facilities in Florida. PWG assured staff that documentation regarding its facilities would be provided.</w:t>
      </w:r>
    </w:p>
    <w:p w14:paraId="2D47F128" w14:textId="77777777" w:rsidR="00FA0CA1" w:rsidRDefault="00FA0CA1" w:rsidP="00FA0CA1">
      <w:pPr>
        <w:autoSpaceDE w:val="0"/>
        <w:autoSpaceDN w:val="0"/>
        <w:adjustRightInd w:val="0"/>
        <w:ind w:left="2880" w:hanging="2160"/>
        <w:jc w:val="both"/>
        <w:rPr>
          <w:rFonts w:ascii="TimesNewRomanPSMT" w:hAnsi="TimesNewRomanPSMT" w:cs="TimesNewRomanPSMT"/>
        </w:rPr>
      </w:pPr>
    </w:p>
    <w:p w14:paraId="3BFB587C" w14:textId="77777777"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August 15, 2024:</w:t>
      </w:r>
      <w:r>
        <w:rPr>
          <w:rFonts w:ascii="TimesNewRomanPSMT" w:hAnsi="TimesNewRomanPSMT" w:cs="TimesNewRomanPSMT"/>
        </w:rPr>
        <w:t xml:space="preserve"> </w:t>
      </w:r>
      <w:r>
        <w:rPr>
          <w:rFonts w:ascii="TimesNewRomanPSMT" w:hAnsi="TimesNewRomanPSMT" w:cs="TimesNewRomanPSMT"/>
        </w:rPr>
        <w:tab/>
        <w:t>An email was sent to PWG’s attorney to follow up on the documentation discussed in the July 23</w:t>
      </w:r>
      <w:r>
        <w:rPr>
          <w:rFonts w:ascii="TimesNewRomanPSMT" w:hAnsi="TimesNewRomanPSMT" w:cs="TimesNewRomanPSMT"/>
          <w:vertAlign w:val="superscript"/>
        </w:rPr>
        <w:t>rd</w:t>
      </w:r>
      <w:r>
        <w:rPr>
          <w:rFonts w:ascii="TimesNewRomanPSMT" w:hAnsi="TimesNewRomanPSMT" w:cs="TimesNewRomanPSMT"/>
        </w:rPr>
        <w:t xml:space="preserve"> meeting. The attorney </w:t>
      </w:r>
      <w:r>
        <w:rPr>
          <w:rFonts w:ascii="TimesNewRomanPSMT" w:hAnsi="TimesNewRomanPSMT" w:cs="TimesNewRomanPSMT"/>
        </w:rPr>
        <w:lastRenderedPageBreak/>
        <w:t>requested that the docket be moved to the October agenda to allow more time to prepare the required documentation.</w:t>
      </w:r>
    </w:p>
    <w:p w14:paraId="347E556E" w14:textId="77777777" w:rsidR="00FA0CA1" w:rsidRDefault="00FA0CA1" w:rsidP="00FA0CA1">
      <w:pPr>
        <w:autoSpaceDE w:val="0"/>
        <w:autoSpaceDN w:val="0"/>
        <w:adjustRightInd w:val="0"/>
        <w:ind w:left="2880" w:hanging="2160"/>
        <w:jc w:val="both"/>
        <w:rPr>
          <w:rFonts w:ascii="TimesNewRomanPSMT" w:hAnsi="TimesNewRomanPSMT" w:cs="TimesNewRomanPSMT"/>
        </w:rPr>
      </w:pPr>
    </w:p>
    <w:p w14:paraId="6DA02244" w14:textId="77777777" w:rsidR="00FA0CA1" w:rsidRDefault="00FA0CA1" w:rsidP="00F00110">
      <w:pPr>
        <w:autoSpaceDE w:val="0"/>
        <w:autoSpaceDN w:val="0"/>
        <w:adjustRightInd w:val="0"/>
        <w:ind w:left="2880" w:hanging="2520"/>
        <w:jc w:val="both"/>
        <w:rPr>
          <w:rFonts w:ascii="TimesNewRomanPSMT" w:hAnsi="TimesNewRomanPSMT" w:cs="TimesNewRomanPSMT"/>
        </w:rPr>
      </w:pPr>
      <w:r>
        <w:rPr>
          <w:rFonts w:ascii="TimesNewRomanPSMT" w:hAnsi="TimesNewRomanPSMT" w:cs="TimesNewRomanPSMT"/>
          <w:u w:val="single"/>
        </w:rPr>
        <w:t>August 19, 2024:</w:t>
      </w:r>
      <w:r>
        <w:rPr>
          <w:rFonts w:ascii="TimesNewRomanPSMT" w:hAnsi="TimesNewRomanPSMT" w:cs="TimesNewRomanPSMT"/>
        </w:rPr>
        <w:t xml:space="preserve"> </w:t>
      </w:r>
      <w:r>
        <w:rPr>
          <w:rFonts w:ascii="TimesNewRomanPSMT" w:hAnsi="TimesNewRomanPSMT" w:cs="TimesNewRomanPSMT"/>
        </w:rPr>
        <w:tab/>
        <w:t xml:space="preserve">An email was sent to PWG’s attorney requesting the facilities documentation by mid-September. </w:t>
      </w:r>
    </w:p>
    <w:p w14:paraId="334F8B95" w14:textId="77777777" w:rsidR="00FA0CA1" w:rsidRDefault="00FA0CA1" w:rsidP="00FA0CA1">
      <w:pPr>
        <w:autoSpaceDE w:val="0"/>
        <w:autoSpaceDN w:val="0"/>
        <w:adjustRightInd w:val="0"/>
        <w:ind w:left="2880" w:hanging="2160"/>
        <w:jc w:val="both"/>
      </w:pPr>
    </w:p>
    <w:p w14:paraId="0DAA96CB" w14:textId="77777777" w:rsidR="00FA0CA1" w:rsidRDefault="00FA0CA1" w:rsidP="00F00110">
      <w:pPr>
        <w:autoSpaceDE w:val="0"/>
        <w:autoSpaceDN w:val="0"/>
        <w:adjustRightInd w:val="0"/>
        <w:ind w:left="2880" w:hanging="2520"/>
        <w:jc w:val="both"/>
      </w:pPr>
      <w:r>
        <w:rPr>
          <w:u w:val="single"/>
        </w:rPr>
        <w:t>September 5, 2024:</w:t>
      </w:r>
      <w:r>
        <w:t xml:space="preserve"> </w:t>
      </w:r>
      <w:r>
        <w:tab/>
        <w:t>An email was sent to PWG’s attorney and CEO requesting facilities documentation.</w:t>
      </w:r>
    </w:p>
    <w:p w14:paraId="64679E0B" w14:textId="77777777" w:rsidR="00FA0CA1" w:rsidRDefault="00FA0CA1" w:rsidP="00FA0CA1">
      <w:pPr>
        <w:autoSpaceDE w:val="0"/>
        <w:autoSpaceDN w:val="0"/>
        <w:adjustRightInd w:val="0"/>
        <w:ind w:left="2880" w:hanging="2160"/>
        <w:jc w:val="both"/>
      </w:pPr>
    </w:p>
    <w:p w14:paraId="762703F4" w14:textId="2C631D11" w:rsidR="00FA0CA1" w:rsidRDefault="00FA0CA1" w:rsidP="00F00110">
      <w:pPr>
        <w:autoSpaceDE w:val="0"/>
        <w:autoSpaceDN w:val="0"/>
        <w:adjustRightInd w:val="0"/>
        <w:ind w:left="2880" w:hanging="2520"/>
        <w:jc w:val="both"/>
      </w:pPr>
      <w:r>
        <w:rPr>
          <w:u w:val="single"/>
        </w:rPr>
        <w:t>September 9, 2024</w:t>
      </w:r>
      <w:r>
        <w:t xml:space="preserve">: </w:t>
      </w:r>
      <w:r>
        <w:tab/>
        <w:t>The September 5</w:t>
      </w:r>
      <w:r>
        <w:rPr>
          <w:vertAlign w:val="superscript"/>
        </w:rPr>
        <w:t>th</w:t>
      </w:r>
      <w:r>
        <w:t xml:space="preserve"> email was re</w:t>
      </w:r>
      <w:r w:rsidR="00D37AF1">
        <w:t>-</w:t>
      </w:r>
      <w:r>
        <w:t>sent. In response, PWG requested another meeting.</w:t>
      </w:r>
    </w:p>
    <w:p w14:paraId="51CFA06D" w14:textId="77777777" w:rsidR="00FA0CA1" w:rsidRDefault="00FA0CA1" w:rsidP="00FA0CA1">
      <w:pPr>
        <w:autoSpaceDE w:val="0"/>
        <w:autoSpaceDN w:val="0"/>
        <w:adjustRightInd w:val="0"/>
        <w:ind w:left="2880" w:hanging="2160"/>
        <w:jc w:val="both"/>
      </w:pPr>
    </w:p>
    <w:p w14:paraId="254A47F2" w14:textId="7C6800E0" w:rsidR="00FA0CA1" w:rsidRDefault="00FA0CA1" w:rsidP="00F00110">
      <w:pPr>
        <w:autoSpaceDE w:val="0"/>
        <w:autoSpaceDN w:val="0"/>
        <w:adjustRightInd w:val="0"/>
        <w:ind w:left="2880" w:hanging="2520"/>
        <w:jc w:val="both"/>
        <w:rPr>
          <w:rFonts w:ascii="TimesNewRomanPSMT" w:hAnsi="TimesNewRomanPSMT" w:cs="TimesNewRomanPSMT"/>
        </w:rPr>
      </w:pPr>
      <w:r>
        <w:rPr>
          <w:u w:val="single"/>
        </w:rPr>
        <w:t>September 16, 2024:</w:t>
      </w:r>
      <w:r w:rsidR="00F00110">
        <w:tab/>
      </w:r>
      <w:r>
        <w:rPr>
          <w:rFonts w:ascii="TimesNewRomanPSMT" w:hAnsi="TimesNewRomanPSMT" w:cs="TimesNewRomanPSMT"/>
        </w:rPr>
        <w:t>A</w:t>
      </w:r>
      <w:r w:rsidR="00461C1E">
        <w:rPr>
          <w:rFonts w:ascii="TimesNewRomanPSMT" w:hAnsi="TimesNewRomanPSMT" w:cs="TimesNewRomanPSMT"/>
        </w:rPr>
        <w:t>nother</w:t>
      </w:r>
      <w:r>
        <w:rPr>
          <w:rFonts w:ascii="TimesNewRomanPSMT" w:hAnsi="TimesNewRomanPSMT" w:cs="TimesNewRomanPSMT"/>
        </w:rPr>
        <w:t xml:space="preserve"> Zoom meeting was held </w:t>
      </w:r>
      <w:r w:rsidR="00461C1E">
        <w:rPr>
          <w:rFonts w:ascii="TimesNewRomanPSMT" w:hAnsi="TimesNewRomanPSMT" w:cs="TimesNewRomanPSMT"/>
        </w:rPr>
        <w:t xml:space="preserve">between </w:t>
      </w:r>
      <w:r>
        <w:rPr>
          <w:rFonts w:ascii="TimesNewRomanPSMT" w:hAnsi="TimesNewRomanPSMT" w:cs="TimesNewRomanPSMT"/>
        </w:rPr>
        <w:t xml:space="preserve">staff and PWG representatives. During the meeting PWG indicated </w:t>
      </w:r>
      <w:r w:rsidR="00461C1E">
        <w:rPr>
          <w:rFonts w:ascii="TimesNewRomanPSMT" w:hAnsi="TimesNewRomanPSMT" w:cs="TimesNewRomanPSMT"/>
        </w:rPr>
        <w:t xml:space="preserve">it was </w:t>
      </w:r>
      <w:r>
        <w:rPr>
          <w:rFonts w:ascii="TimesNewRomanPSMT" w:hAnsi="TimesNewRomanPSMT" w:cs="TimesNewRomanPSMT"/>
        </w:rPr>
        <w:t>waiting on signed agreements that would satisfy the facilities requirement and assured staff that documentation would be submitted soon.</w:t>
      </w:r>
    </w:p>
    <w:p w14:paraId="2DB6DA4B" w14:textId="77777777" w:rsidR="00FA0CA1" w:rsidRDefault="00FA0CA1" w:rsidP="00FA0CA1">
      <w:pPr>
        <w:autoSpaceDE w:val="0"/>
        <w:autoSpaceDN w:val="0"/>
        <w:adjustRightInd w:val="0"/>
        <w:jc w:val="both"/>
        <w:rPr>
          <w:rFonts w:ascii="TimesNewRomanPSMT" w:hAnsi="TimesNewRomanPSMT" w:cs="TimesNewRomanPSMT"/>
        </w:rPr>
      </w:pPr>
    </w:p>
    <w:p w14:paraId="5AE13EBE" w14:textId="68C11880" w:rsidR="00FA0CA1" w:rsidRDefault="00FA0CA1" w:rsidP="00FA0CA1">
      <w:pPr>
        <w:autoSpaceDE w:val="0"/>
        <w:autoSpaceDN w:val="0"/>
        <w:adjustRightInd w:val="0"/>
        <w:jc w:val="both"/>
        <w:rPr>
          <w:rFonts w:ascii="TimesNewRomanPSMT" w:hAnsi="TimesNewRomanPSMT" w:cs="TimesNewRomanPSMT"/>
        </w:rPr>
      </w:pPr>
      <w:r>
        <w:rPr>
          <w:rFonts w:ascii="TimesNewRomanPSMT" w:hAnsi="TimesNewRomanPSMT" w:cs="TimesNewRomanPSMT"/>
        </w:rPr>
        <w:t>Despite seven months of repeated email request</w:t>
      </w:r>
      <w:r w:rsidR="002608AB">
        <w:rPr>
          <w:rFonts w:ascii="TimesNewRomanPSMT" w:hAnsi="TimesNewRomanPSMT" w:cs="TimesNewRomanPSMT"/>
        </w:rPr>
        <w:t>s</w:t>
      </w:r>
      <w:r>
        <w:rPr>
          <w:rFonts w:ascii="TimesNewRomanPSMT" w:hAnsi="TimesNewRomanPSMT" w:cs="TimesNewRomanPSMT"/>
        </w:rPr>
        <w:t xml:space="preserve"> and two meetings</w:t>
      </w:r>
      <w:r w:rsidR="002608AB">
        <w:rPr>
          <w:rFonts w:ascii="TimesNewRomanPSMT" w:hAnsi="TimesNewRomanPSMT" w:cs="TimesNewRomanPSMT"/>
        </w:rPr>
        <w:t xml:space="preserve"> with the </w:t>
      </w:r>
      <w:r w:rsidR="006C797D">
        <w:rPr>
          <w:rFonts w:ascii="TimesNewRomanPSMT" w:hAnsi="TimesNewRomanPSMT" w:cs="TimesNewRomanPSMT"/>
        </w:rPr>
        <w:t>C</w:t>
      </w:r>
      <w:r w:rsidR="002608AB">
        <w:rPr>
          <w:rFonts w:ascii="TimesNewRomanPSMT" w:hAnsi="TimesNewRomanPSMT" w:cs="TimesNewRomanPSMT"/>
        </w:rPr>
        <w:t xml:space="preserve">ompany </w:t>
      </w:r>
      <w:r w:rsidR="00261B79">
        <w:rPr>
          <w:rFonts w:ascii="TimesNewRomanPSMT" w:hAnsi="TimesNewRomanPSMT" w:cs="TimesNewRomanPSMT"/>
        </w:rPr>
        <w:t>representatives</w:t>
      </w:r>
      <w:r>
        <w:rPr>
          <w:rFonts w:ascii="TimesNewRomanPSMT" w:hAnsi="TimesNewRomanPSMT" w:cs="TimesNewRomanPSMT"/>
        </w:rPr>
        <w:t xml:space="preserve">, PWG </w:t>
      </w:r>
      <w:r w:rsidR="002608AB">
        <w:rPr>
          <w:rFonts w:ascii="TimesNewRomanPSMT" w:hAnsi="TimesNewRomanPSMT" w:cs="TimesNewRomanPSMT"/>
        </w:rPr>
        <w:t xml:space="preserve">failed to </w:t>
      </w:r>
      <w:r>
        <w:rPr>
          <w:rFonts w:ascii="TimesNewRomanPSMT" w:hAnsi="TimesNewRomanPSMT" w:cs="TimesNewRomanPSMT"/>
        </w:rPr>
        <w:t>submit the requested documentation regarding its Florida facilities. Additionally, responses to other data requests</w:t>
      </w:r>
      <w:r w:rsidR="002608AB">
        <w:rPr>
          <w:rFonts w:ascii="TimesNewRomanPSMT" w:hAnsi="TimesNewRomanPSMT" w:cs="TimesNewRomanPSMT"/>
        </w:rPr>
        <w:t xml:space="preserve"> about </w:t>
      </w:r>
      <w:r w:rsidR="006C797D">
        <w:rPr>
          <w:rFonts w:ascii="TimesNewRomanPSMT" w:hAnsi="TimesNewRomanPSMT" w:cs="TimesNewRomanPSMT"/>
        </w:rPr>
        <w:t xml:space="preserve">its </w:t>
      </w:r>
      <w:r w:rsidR="00E0650D">
        <w:rPr>
          <w:rFonts w:ascii="TimesNewRomanPSMT" w:hAnsi="TimesNewRomanPSMT" w:cs="TimesNewRomanPSMT"/>
        </w:rPr>
        <w:t xml:space="preserve">number portability and ETC designations in other states </w:t>
      </w:r>
      <w:r>
        <w:rPr>
          <w:rFonts w:ascii="TimesNewRomanPSMT" w:hAnsi="TimesNewRomanPSMT" w:cs="TimesNewRomanPSMT"/>
        </w:rPr>
        <w:t>remain outstanding.</w:t>
      </w:r>
    </w:p>
    <w:p w14:paraId="0E30F484" w14:textId="77777777" w:rsidR="00FA0CA1" w:rsidRDefault="00FA0CA1" w:rsidP="00FA0CA1">
      <w:pPr>
        <w:autoSpaceDE w:val="0"/>
        <w:autoSpaceDN w:val="0"/>
        <w:adjustRightInd w:val="0"/>
        <w:jc w:val="both"/>
        <w:rPr>
          <w:rFonts w:ascii="TimesNewRomanPSMT" w:hAnsi="TimesNewRomanPSMT" w:cs="TimesNewRomanPSMT"/>
        </w:rPr>
      </w:pPr>
    </w:p>
    <w:p w14:paraId="77BA40DC" w14:textId="0D4FB63D" w:rsidR="004D7022" w:rsidRDefault="000817AD" w:rsidP="00FA0CA1">
      <w:pPr>
        <w:jc w:val="both"/>
        <w:rPr>
          <w:b/>
        </w:rPr>
      </w:pPr>
      <w:r w:rsidRPr="00E619C0">
        <w:t>What constitutes</w:t>
      </w:r>
      <w:r w:rsidR="002E09E6" w:rsidRPr="00E619C0">
        <w:t xml:space="preserve"> “facilities”</w:t>
      </w:r>
      <w:r w:rsidRPr="00E619C0">
        <w:t xml:space="preserve"> </w:t>
      </w:r>
      <w:r w:rsidR="002E09E6" w:rsidRPr="00E619C0">
        <w:t>for the FCC</w:t>
      </w:r>
      <w:r w:rsidRPr="00E619C0">
        <w:t xml:space="preserve"> is </w:t>
      </w:r>
      <w:r w:rsidR="00F470C6" w:rsidRPr="00E619C0">
        <w:t>broadly</w:t>
      </w:r>
      <w:r w:rsidR="00455470" w:rsidRPr="00E619C0">
        <w:t xml:space="preserve"> </w:t>
      </w:r>
      <w:r w:rsidRPr="00E619C0">
        <w:t>defined in the federal regulations.</w:t>
      </w:r>
      <w:r w:rsidR="00E041DF" w:rsidRPr="00E619C0">
        <w:rPr>
          <w:rStyle w:val="FootnoteReference"/>
        </w:rPr>
        <w:footnoteReference w:id="6"/>
      </w:r>
      <w:r w:rsidR="00C518FC" w:rsidRPr="00E619C0">
        <w:t xml:space="preserve"> For a wireless service provider, facilities include</w:t>
      </w:r>
      <w:r w:rsidR="00AF6D71">
        <w:t>s</w:t>
      </w:r>
      <w:r w:rsidR="00C518FC" w:rsidRPr="00E619C0">
        <w:t xml:space="preserve"> antenna, cell-site, tower, trunking, mobile switching, and interconnection facilities used by the company to serve its customers.</w:t>
      </w:r>
      <w:r w:rsidR="00C518FC" w:rsidRPr="00E619C0">
        <w:rPr>
          <w:rStyle w:val="FootnoteReference"/>
        </w:rPr>
        <w:footnoteReference w:id="7"/>
      </w:r>
      <w:r w:rsidR="00E041DF" w:rsidRPr="00E619C0">
        <w:t xml:space="preserve"> </w:t>
      </w:r>
      <w:r w:rsidR="00FA0CA1" w:rsidRPr="00E619C0">
        <w:t>PWG</w:t>
      </w:r>
      <w:r w:rsidR="00E041DF" w:rsidRPr="00E619C0">
        <w:t xml:space="preserve"> did not provide any </w:t>
      </w:r>
      <w:r w:rsidR="00E041DF" w:rsidRPr="00CF2670">
        <w:t>documentation</w:t>
      </w:r>
      <w:r w:rsidR="00E041DF" w:rsidRPr="00E619C0">
        <w:t xml:space="preserve"> </w:t>
      </w:r>
      <w:r w:rsidR="00F470C6" w:rsidRPr="00E619C0">
        <w:t xml:space="preserve">supporting </w:t>
      </w:r>
      <w:r w:rsidR="00E041DF" w:rsidRPr="00E619C0">
        <w:t>that it ha</w:t>
      </w:r>
      <w:r w:rsidR="002E09E6" w:rsidRPr="00E619C0">
        <w:t>s</w:t>
      </w:r>
      <w:r w:rsidR="00F470C6" w:rsidRPr="00E619C0">
        <w:t xml:space="preserve"> such</w:t>
      </w:r>
      <w:r w:rsidR="00E041DF" w:rsidRPr="00E619C0">
        <w:t xml:space="preserve"> equipment in Florida. </w:t>
      </w:r>
      <w:r w:rsidR="002E09E6" w:rsidRPr="00E619C0">
        <w:t>What PWG filed was simply a description of its facilities that was vague and uninformative</w:t>
      </w:r>
      <w:r w:rsidR="00F470C6" w:rsidRPr="00E619C0">
        <w:t>. It</w:t>
      </w:r>
      <w:r w:rsidR="002E09E6" w:rsidRPr="00E619C0">
        <w:t xml:space="preserve"> only refer</w:t>
      </w:r>
      <w:r w:rsidR="00B93D29" w:rsidRPr="00E619C0">
        <w:t>r</w:t>
      </w:r>
      <w:r w:rsidR="002E09E6" w:rsidRPr="00E619C0">
        <w:t>ed</w:t>
      </w:r>
      <w:r w:rsidR="00B93D29" w:rsidRPr="00E619C0">
        <w:t xml:space="preserve"> </w:t>
      </w:r>
      <w:r w:rsidR="002E09E6" w:rsidRPr="00E619C0">
        <w:t>to its proprietary network, without identifying qualifying facilities or network elements it owns.</w:t>
      </w:r>
      <w:r w:rsidR="00B93D29" w:rsidRPr="00E619C0">
        <w:t xml:space="preserve"> </w:t>
      </w:r>
      <w:r w:rsidR="00E041DF" w:rsidRPr="00E619C0">
        <w:t>As such, PW</w:t>
      </w:r>
      <w:r w:rsidR="00087BB5">
        <w:t>G</w:t>
      </w:r>
      <w:r w:rsidR="00FA0CA1" w:rsidRPr="00E619C0">
        <w:t xml:space="preserve"> has not provided sufficient evidence that it provides services using its own facilities. </w:t>
      </w:r>
    </w:p>
    <w:p w14:paraId="56BEFEAE" w14:textId="77777777" w:rsidR="002C29B1" w:rsidRDefault="002C29B1" w:rsidP="00FA0CA1">
      <w:pPr>
        <w:pStyle w:val="BodyText"/>
        <w:rPr>
          <w:b/>
        </w:rPr>
      </w:pPr>
    </w:p>
    <w:p w14:paraId="556988A4" w14:textId="1A91643B" w:rsidR="00FA0CA1" w:rsidRDefault="00FA0CA1" w:rsidP="00FA0CA1">
      <w:pPr>
        <w:pStyle w:val="BodyText"/>
        <w:rPr>
          <w:b/>
        </w:rPr>
      </w:pPr>
      <w:r>
        <w:rPr>
          <w:b/>
        </w:rPr>
        <w:t>Conclusion</w:t>
      </w:r>
    </w:p>
    <w:p w14:paraId="4CABE108" w14:textId="550BE7A7" w:rsidR="00FA0CA1" w:rsidRDefault="00FA0CA1" w:rsidP="00FA0CA1">
      <w:pPr>
        <w:jc w:val="both"/>
      </w:pPr>
      <w:r>
        <w:t xml:space="preserve">After reviewing PWG’s petition for ETC designation in Florida, staff </w:t>
      </w:r>
      <w:r w:rsidR="002608AB">
        <w:t xml:space="preserve">recommends </w:t>
      </w:r>
      <w:r>
        <w:t>that PWG</w:t>
      </w:r>
      <w:r w:rsidR="002608AB">
        <w:t xml:space="preserve"> has not produced evidence to show</w:t>
      </w:r>
      <w:r>
        <w:t xml:space="preserve"> complian</w:t>
      </w:r>
      <w:r w:rsidR="002608AB">
        <w:t xml:space="preserve">ce </w:t>
      </w:r>
      <w:r>
        <w:t xml:space="preserve">with the FCC requirements </w:t>
      </w:r>
      <w:r w:rsidR="00D37AF1">
        <w:t xml:space="preserve">of </w:t>
      </w:r>
      <w:r>
        <w:t xml:space="preserve">47 U.S.C </w:t>
      </w:r>
      <w:r>
        <w:rPr>
          <w:rFonts w:ascii="TimesNewRomanPSMT" w:hAnsi="TimesNewRomanPSMT" w:cs="TimesNewRomanPSMT"/>
        </w:rPr>
        <w:t>§ 214(e) and 47 C.F.R. § 54.201</w:t>
      </w:r>
      <w:r w:rsidR="00152330">
        <w:rPr>
          <w:rFonts w:ascii="TimesNewRomanPSMT" w:hAnsi="TimesNewRomanPSMT" w:cs="TimesNewRomanPSMT"/>
        </w:rPr>
        <w:t xml:space="preserve">, and more </w:t>
      </w:r>
      <w:r w:rsidR="00261B79">
        <w:rPr>
          <w:rFonts w:ascii="TimesNewRomanPSMT" w:hAnsi="TimesNewRomanPSMT" w:cs="TimesNewRomanPSMT"/>
        </w:rPr>
        <w:t>specifically</w:t>
      </w:r>
      <w:r w:rsidR="00152330">
        <w:rPr>
          <w:rFonts w:ascii="TimesNewRomanPSMT" w:hAnsi="TimesNewRomanPSMT" w:cs="TimesNewRomanPSMT"/>
        </w:rPr>
        <w:t>, the facilities-based requirements</w:t>
      </w:r>
      <w:r>
        <w:t xml:space="preserve">. Despite multiple requests and meetings, the company has </w:t>
      </w:r>
      <w:r w:rsidR="00D37AF1">
        <w:t xml:space="preserve">persistently </w:t>
      </w:r>
      <w:r>
        <w:t xml:space="preserve">failed to provide the necessary documentation regarding its Florida facilities. Therefore, staff recommends that </w:t>
      </w:r>
      <w:r w:rsidR="005943AB">
        <w:t>PWG</w:t>
      </w:r>
      <w:r w:rsidR="005A1F7D">
        <w:t>’s</w:t>
      </w:r>
      <w:r w:rsidR="005943AB">
        <w:t xml:space="preserve"> </w:t>
      </w:r>
      <w:r w:rsidR="005A1F7D">
        <w:t>petition for ETC designation be denied.</w:t>
      </w:r>
    </w:p>
    <w:p w14:paraId="78E4C77F" w14:textId="77777777" w:rsidR="00641BE0" w:rsidRDefault="00641BE0">
      <w:pPr>
        <w:pStyle w:val="BodyText"/>
      </w:pPr>
    </w:p>
    <w:p w14:paraId="7BC639EF" w14:textId="7DB25003" w:rsidR="00641BE0" w:rsidRDefault="00641BE0">
      <w:pPr>
        <w:pStyle w:val="IssueHeading"/>
        <w:rPr>
          <w:vanish/>
          <w:specVanish/>
        </w:rPr>
      </w:pPr>
      <w:r w:rsidRPr="004C3641">
        <w:rPr>
          <w:b w:val="0"/>
          <w:i w:val="0"/>
        </w:rPr>
        <w:br w:type="page"/>
      </w:r>
      <w:r w:rsidRPr="004C3641">
        <w:lastRenderedPageBreak/>
        <w:t xml:space="preserve">Issue </w:t>
      </w:r>
      <w:fldSimple w:instr=" SEQ Issue \* MERGEFORMAT ">
        <w:r w:rsidR="0002283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22833">
        <w:rPr>
          <w:noProof/>
        </w:rPr>
        <w:instrText>2</w:instrText>
      </w:r>
      <w:r>
        <w:fldChar w:fldCharType="end"/>
      </w:r>
      <w:r>
        <w:tab/>
        <w:instrText xml:space="preserve">" \l 1 </w:instrText>
      </w:r>
      <w:r>
        <w:fldChar w:fldCharType="end"/>
      </w:r>
      <w:r>
        <w:t> </w:t>
      </w:r>
    </w:p>
    <w:p w14:paraId="7EA98E1E" w14:textId="77777777" w:rsidR="00641BE0" w:rsidRDefault="00641BE0">
      <w:pPr>
        <w:pStyle w:val="BodyText"/>
      </w:pPr>
      <w:r>
        <w:t> Should this docket be closed?</w:t>
      </w:r>
    </w:p>
    <w:p w14:paraId="49BDFE53" w14:textId="77777777" w:rsidR="00641BE0" w:rsidRPr="004C3641" w:rsidRDefault="00641BE0">
      <w:pPr>
        <w:pStyle w:val="IssueSubsectionHeading"/>
        <w:rPr>
          <w:vanish/>
          <w:specVanish/>
        </w:rPr>
      </w:pPr>
      <w:r w:rsidRPr="004C3641">
        <w:t>Recommendation: </w:t>
      </w:r>
    </w:p>
    <w:p w14:paraId="18D27F83" w14:textId="77777777" w:rsidR="008C7536" w:rsidRDefault="00641BE0" w:rsidP="008C7536">
      <w:pPr>
        <w:pStyle w:val="IssueSubsectionHeading"/>
        <w:rPr>
          <w:vanish/>
          <w:specVanish/>
        </w:rPr>
      </w:pPr>
      <w:r>
        <w:t> </w:t>
      </w:r>
      <w:r w:rsidR="008C7536">
        <w:t> </w:t>
      </w:r>
    </w:p>
    <w:p w14:paraId="5E727165" w14:textId="77777777" w:rsidR="00641BE0" w:rsidRDefault="008C7536" w:rsidP="008C7536">
      <w:pPr>
        <w:pStyle w:val="BodyText"/>
      </w:pPr>
      <w:r>
        <w:t>Yes. If no person whose substantial interests are affected by the proposed agency action files a protest within 21 days of the issuance of the Proposed Agency Action Order, this docket should be closed upon the issuance of a consummating order. (Farooqi, Imig)</w:t>
      </w:r>
      <w:r w:rsidR="00641BE0">
        <w:t xml:space="preserve"> </w:t>
      </w:r>
    </w:p>
    <w:p w14:paraId="6775215B" w14:textId="77777777" w:rsidR="00641BE0" w:rsidRPr="004C3641" w:rsidRDefault="00641BE0">
      <w:pPr>
        <w:pStyle w:val="IssueSubsectionHeading"/>
        <w:rPr>
          <w:vanish/>
          <w:specVanish/>
        </w:rPr>
      </w:pPr>
      <w:r w:rsidRPr="004C3641">
        <w:t>Staff Analysis: </w:t>
      </w:r>
    </w:p>
    <w:p w14:paraId="138D8EF5" w14:textId="77777777" w:rsidR="00DE3B56" w:rsidRDefault="00641BE0" w:rsidP="00DE3B56">
      <w:pPr>
        <w:pStyle w:val="IssueSubsectionHeading"/>
        <w:rPr>
          <w:vanish/>
          <w:specVanish/>
        </w:rPr>
      </w:pPr>
      <w:r>
        <w:t> </w:t>
      </w:r>
      <w:r w:rsidR="00DE3B56">
        <w:t> </w:t>
      </w:r>
    </w:p>
    <w:p w14:paraId="38B1F9E3" w14:textId="77777777" w:rsidR="00DE3B56" w:rsidRDefault="00DE3B56" w:rsidP="00DE3B56">
      <w:pPr>
        <w:pStyle w:val="BodyText"/>
      </w:pPr>
      <w:r>
        <w:t>At the conclusion of the protest period, if no protest is filed, this docket should be closed upon the issuance of a consummating order.</w:t>
      </w:r>
    </w:p>
    <w:p w14:paraId="1ECC4BBD" w14:textId="77777777" w:rsidR="00641BE0" w:rsidRDefault="00641BE0">
      <w:pPr>
        <w:pStyle w:val="BodyText"/>
      </w:pPr>
    </w:p>
    <w:p w14:paraId="1E825612"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19B2" w14:textId="77777777" w:rsidR="00834A55" w:rsidRDefault="00834A55">
      <w:r>
        <w:separator/>
      </w:r>
    </w:p>
  </w:endnote>
  <w:endnote w:type="continuationSeparator" w:id="0">
    <w:p w14:paraId="6A84BF0C" w14:textId="77777777" w:rsidR="00834A55" w:rsidRDefault="0083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784A" w14:textId="68BA14C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22833">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C0EF"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B74E" w14:textId="77777777" w:rsidR="00834A55" w:rsidRDefault="00834A55">
      <w:r>
        <w:separator/>
      </w:r>
    </w:p>
  </w:footnote>
  <w:footnote w:type="continuationSeparator" w:id="0">
    <w:p w14:paraId="3EB46C97" w14:textId="77777777" w:rsidR="00834A55" w:rsidRDefault="00834A55">
      <w:r>
        <w:continuationSeparator/>
      </w:r>
    </w:p>
  </w:footnote>
  <w:footnote w:id="1">
    <w:p w14:paraId="579D67C6" w14:textId="77777777" w:rsidR="00196F01" w:rsidRDefault="00196F01" w:rsidP="00196F01">
      <w:pPr>
        <w:autoSpaceDE w:val="0"/>
        <w:autoSpaceDN w:val="0"/>
        <w:adjustRightInd w:val="0"/>
        <w:jc w:val="both"/>
      </w:pPr>
      <w:r>
        <w:rPr>
          <w:rStyle w:val="FootnoteReference"/>
          <w:sz w:val="20"/>
          <w:szCs w:val="20"/>
        </w:rPr>
        <w:footnoteRef/>
      </w:r>
      <w:r>
        <w:rPr>
          <w:sz w:val="20"/>
          <w:szCs w:val="20"/>
        </w:rPr>
        <w:t xml:space="preserve"> 47 U.S.C. § 153(11) (defining a common carrier as “any person engaged as a common carrier for hire, in interstate or foreign communications by wire or radio . . . .”); 47 U.S.C. § 332(c)(1)(A) (treating commercial mobile service providers as common carriers).</w:t>
      </w:r>
    </w:p>
  </w:footnote>
  <w:footnote w:id="2">
    <w:p w14:paraId="4CA30A8B" w14:textId="77777777" w:rsidR="00FA0CA1" w:rsidRDefault="00FA0CA1" w:rsidP="00FA0CA1">
      <w:pPr>
        <w:pStyle w:val="FootnoteText"/>
      </w:pPr>
      <w:r>
        <w:rPr>
          <w:rStyle w:val="FootnoteReference"/>
        </w:rPr>
        <w:footnoteRef/>
      </w:r>
      <w:r>
        <w:t xml:space="preserve"> </w:t>
      </w:r>
      <w:r>
        <w:rPr>
          <w:rFonts w:ascii="TimesNewRomanPSMT" w:hAnsi="TimesNewRomanPSMT" w:cs="TimesNewRomanPSMT"/>
        </w:rPr>
        <w:t>47 U.S.C. § 254(e)</w:t>
      </w:r>
    </w:p>
  </w:footnote>
  <w:footnote w:id="3">
    <w:p w14:paraId="25D85AC1" w14:textId="77777777" w:rsidR="00FA0CA1" w:rsidRDefault="00FA0CA1" w:rsidP="00FA0CA1">
      <w:pPr>
        <w:autoSpaceDE w:val="0"/>
        <w:autoSpaceDN w:val="0"/>
        <w:adjustRightInd w:val="0"/>
        <w:jc w:val="both"/>
        <w:rPr>
          <w:sz w:val="20"/>
          <w:szCs w:val="20"/>
        </w:rPr>
      </w:pPr>
      <w:r>
        <w:rPr>
          <w:rStyle w:val="FootnoteReference"/>
        </w:rPr>
        <w:footnoteRef/>
      </w:r>
      <w:r>
        <w:t xml:space="preserve"> </w:t>
      </w:r>
      <w:r>
        <w:rPr>
          <w:rFonts w:ascii="TimesNewRomanPSMT" w:hAnsi="TimesNewRomanPSMT" w:cs="TimesNewRomanPSMT"/>
          <w:sz w:val="20"/>
          <w:szCs w:val="20"/>
        </w:rPr>
        <w:t>Broadband Internet Access Service (BIAS) is defined as a mass-market retail service that provides the capability to transmit and receive data, but excluding dial-up service.</w:t>
      </w:r>
    </w:p>
  </w:footnote>
  <w:footnote w:id="4">
    <w:p w14:paraId="781E52EF" w14:textId="77777777" w:rsidR="00FA0CA1" w:rsidRDefault="00FA0CA1" w:rsidP="00FA0CA1">
      <w:pPr>
        <w:pStyle w:val="FootnoteText"/>
      </w:pPr>
      <w:r>
        <w:rPr>
          <w:rStyle w:val="FootnoteReference"/>
        </w:rPr>
        <w:footnoteRef/>
      </w:r>
      <w:r>
        <w:t xml:space="preserve"> 47 C.F.R. § 54.201(d)(1)</w:t>
      </w:r>
    </w:p>
  </w:footnote>
  <w:footnote w:id="5">
    <w:p w14:paraId="060807DB" w14:textId="4C6DA127" w:rsidR="004D61AA" w:rsidRDefault="004D61AA" w:rsidP="004D61AA">
      <w:pPr>
        <w:pStyle w:val="FootnoteText"/>
      </w:pPr>
      <w:r>
        <w:rPr>
          <w:rStyle w:val="FootnoteReference"/>
        </w:rPr>
        <w:footnoteRef/>
      </w:r>
      <w:r>
        <w:t xml:space="preserve"> </w:t>
      </w:r>
      <w:r w:rsidR="00223DD6">
        <w:t xml:space="preserve">FCC, Report and Order and Further Notice of Proposed Rulemaking, WC Docket No. 11-42, FCC 12-11, released on February 6, 2011, ¶ 368. </w:t>
      </w:r>
      <w:r w:rsidRPr="00202169">
        <w:t>Forbearance means to refrain from the enforcement of a rule. As it is applied to here, the FCC allow</w:t>
      </w:r>
      <w:r w:rsidR="00AE1BD7">
        <w:t>s</w:t>
      </w:r>
      <w:r w:rsidRPr="00202169">
        <w:t xml:space="preserve"> </w:t>
      </w:r>
      <w:r w:rsidR="00AE1BD7">
        <w:t xml:space="preserve">carriers </w:t>
      </w:r>
      <w:r w:rsidRPr="00202169">
        <w:t xml:space="preserve">to participate in the federal Lifeline program even </w:t>
      </w:r>
      <w:r w:rsidR="00AE1BD7">
        <w:t>if it</w:t>
      </w:r>
      <w:r w:rsidRPr="00202169">
        <w:t xml:space="preserve"> does not have its own facilities or a combination of its own facilities with another carrier facilities.</w:t>
      </w:r>
      <w:r>
        <w:t xml:space="preserve"> Only the FCC can grant a “forbearance” from the facilities requirement. In this case, the company did not produce evidence that it had received a forbearance from the facilities requirement by the FCC.</w:t>
      </w:r>
    </w:p>
  </w:footnote>
  <w:footnote w:id="6">
    <w:p w14:paraId="5EC69B14" w14:textId="78C62153" w:rsidR="00E041DF" w:rsidRDefault="00E041DF">
      <w:pPr>
        <w:pStyle w:val="FootnoteText"/>
      </w:pPr>
      <w:r>
        <w:rPr>
          <w:rStyle w:val="FootnoteReference"/>
        </w:rPr>
        <w:footnoteRef/>
      </w:r>
      <w:r>
        <w:t xml:space="preserve"> </w:t>
      </w:r>
      <w:r w:rsidR="00BC4D6F" w:rsidRPr="009F0B6A">
        <w:t>47</w:t>
      </w:r>
      <w:r w:rsidR="00BC4D6F">
        <w:t xml:space="preserve"> </w:t>
      </w:r>
      <w:r w:rsidR="00BC4D6F" w:rsidRPr="009F0B6A">
        <w:t>CFR § 54.201</w:t>
      </w:r>
      <w:r w:rsidR="00BC4D6F">
        <w:t>(e) and (f)</w:t>
      </w:r>
      <w:r w:rsidR="00455470">
        <w:t xml:space="preserve"> defines</w:t>
      </w:r>
      <w:r w:rsidR="00BC4D6F">
        <w:t xml:space="preserve"> </w:t>
      </w:r>
      <w:r>
        <w:t>“facilities</w:t>
      </w:r>
      <w:r w:rsidR="00D5522F">
        <w:t>,</w:t>
      </w:r>
      <w:r>
        <w:t>”</w:t>
      </w:r>
      <w:r w:rsidR="00D5522F" w:rsidRPr="00D5522F">
        <w:t xml:space="preserve"> </w:t>
      </w:r>
      <w:r w:rsidR="00D5522F">
        <w:t xml:space="preserve">as any physical components of the telecommunications network that are used in the transmission or routing of the services that are designated for </w:t>
      </w:r>
      <w:r w:rsidR="009F0B6A">
        <w:t xml:space="preserve">universal service </w:t>
      </w:r>
      <w:r w:rsidR="00D5522F">
        <w:t xml:space="preserve">support. A carrier’s “own facilities,” is further defined as </w:t>
      </w:r>
      <w:r w:rsidR="009F0B6A" w:rsidRPr="009F0B6A">
        <w:t>includes, but is not limited to, facilities obtained as unbundled network elements, provided that such facilities meet the definition of the term “facilities</w:t>
      </w:r>
      <w:r w:rsidR="009F0B6A">
        <w:t>.</w:t>
      </w:r>
      <w:r w:rsidR="009F0B6A" w:rsidRPr="009F0B6A">
        <w:t>”</w:t>
      </w:r>
    </w:p>
  </w:footnote>
  <w:footnote w:id="7">
    <w:p w14:paraId="36F75BF4" w14:textId="41611581" w:rsidR="00C518FC" w:rsidRDefault="00C518FC">
      <w:pPr>
        <w:pStyle w:val="FootnoteText"/>
      </w:pPr>
      <w:r>
        <w:rPr>
          <w:rStyle w:val="FootnoteReference"/>
        </w:rPr>
        <w:footnoteRef/>
      </w:r>
      <w:r>
        <w:t xml:space="preserve"> FCC, </w:t>
      </w:r>
      <w:r w:rsidRPr="00C518FC">
        <w:t>DA 04-3351</w:t>
      </w:r>
      <w:r>
        <w:t xml:space="preserve">, </w:t>
      </w:r>
      <w:r w:rsidR="00D5522F">
        <w:t>r</w:t>
      </w:r>
      <w:r w:rsidR="00D5522F" w:rsidRPr="00D5522F">
        <w:t>eleased</w:t>
      </w:r>
      <w:r w:rsidR="00BC4D6F">
        <w:t xml:space="preserve"> </w:t>
      </w:r>
      <w:r w:rsidR="00D5522F" w:rsidRPr="00D5522F">
        <w:t>October 22, 2004</w:t>
      </w:r>
      <w:r w:rsidR="00BC4D6F">
        <w:t>, ¶ 14</w:t>
      </w:r>
      <w:r w:rsidR="00D5522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E159" w14:textId="77777777" w:rsidR="00BC402E" w:rsidRDefault="00E8718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20240088-TP</w:t>
    </w:r>
    <w:bookmarkEnd w:id="15"/>
  </w:p>
  <w:p w14:paraId="5B64E7C6" w14:textId="1071ECB2" w:rsidR="00BC402E" w:rsidRDefault="00BC402E">
    <w:pPr>
      <w:pStyle w:val="Header"/>
    </w:pPr>
    <w:r>
      <w:t xml:space="preserve">Date: </w:t>
    </w:r>
    <w:fldSimple w:instr=" REF FilingDate ">
      <w:r w:rsidR="00022833">
        <w:t>December 20,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110D" w14:textId="22D432BE"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22833">
      <w:t>Docket No.</w:t>
    </w:r>
    <w:r>
      <w:fldChar w:fldCharType="end"/>
    </w:r>
    <w:r>
      <w:t xml:space="preserve"> </w:t>
    </w:r>
    <w:r>
      <w:fldChar w:fldCharType="begin"/>
    </w:r>
    <w:r>
      <w:instrText xml:space="preserve"> REF DocketList</w:instrText>
    </w:r>
    <w:r>
      <w:fldChar w:fldCharType="separate"/>
    </w:r>
    <w:r w:rsidR="00022833">
      <w:t>20240088-TP</w:t>
    </w:r>
    <w:r>
      <w:fldChar w:fldCharType="end"/>
    </w:r>
    <w:r>
      <w:tab/>
      <w:t xml:space="preserve">Issue </w:t>
    </w:r>
    <w:r w:rsidR="00104754">
      <w:fldChar w:fldCharType="begin"/>
    </w:r>
    <w:r w:rsidR="00104754">
      <w:instrText xml:space="preserve"> Seq Issue \c \* Arabic </w:instrText>
    </w:r>
    <w:r w:rsidR="00104754">
      <w:fldChar w:fldCharType="separate"/>
    </w:r>
    <w:r w:rsidR="00022833">
      <w:rPr>
        <w:noProof/>
      </w:rPr>
      <w:t>2</w:t>
    </w:r>
    <w:r w:rsidR="00104754">
      <w:rPr>
        <w:noProof/>
      </w:rPr>
      <w:fldChar w:fldCharType="end"/>
    </w:r>
  </w:p>
  <w:p w14:paraId="1B1D057A" w14:textId="1F6634BC" w:rsidR="00BC402E" w:rsidRDefault="00BC402E">
    <w:pPr>
      <w:pStyle w:val="Header"/>
    </w:pPr>
    <w:r>
      <w:t xml:space="preserve">Date: </w:t>
    </w:r>
    <w:fldSimple w:instr=" REF FilingDate ">
      <w:r w:rsidR="00022833">
        <w:t>December 20,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938E"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746B53"/>
    <w:multiLevelType w:val="hybridMultilevel"/>
    <w:tmpl w:val="ABA0A1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2910E9"/>
    <w:multiLevelType w:val="hybridMultilevel"/>
    <w:tmpl w:val="F25402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87183"/>
    <w:rsid w:val="000043D5"/>
    <w:rsid w:val="00006170"/>
    <w:rsid w:val="00010E37"/>
    <w:rsid w:val="000172DA"/>
    <w:rsid w:val="00022337"/>
    <w:rsid w:val="00022833"/>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17AD"/>
    <w:rsid w:val="000828D3"/>
    <w:rsid w:val="00087BB5"/>
    <w:rsid w:val="000929FC"/>
    <w:rsid w:val="000971A7"/>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3AB1"/>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2330"/>
    <w:rsid w:val="0015506E"/>
    <w:rsid w:val="00163031"/>
    <w:rsid w:val="001654C4"/>
    <w:rsid w:val="00171A90"/>
    <w:rsid w:val="00180254"/>
    <w:rsid w:val="00191E1F"/>
    <w:rsid w:val="00191EE8"/>
    <w:rsid w:val="00192943"/>
    <w:rsid w:val="00193BAF"/>
    <w:rsid w:val="00194791"/>
    <w:rsid w:val="00196F0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60E6"/>
    <w:rsid w:val="001E7FF4"/>
    <w:rsid w:val="001F2245"/>
    <w:rsid w:val="001F2C63"/>
    <w:rsid w:val="001F48C7"/>
    <w:rsid w:val="001F6DA1"/>
    <w:rsid w:val="00200178"/>
    <w:rsid w:val="00202169"/>
    <w:rsid w:val="00204200"/>
    <w:rsid w:val="002044E6"/>
    <w:rsid w:val="00205C82"/>
    <w:rsid w:val="00205DC2"/>
    <w:rsid w:val="00212B17"/>
    <w:rsid w:val="002163B6"/>
    <w:rsid w:val="00217215"/>
    <w:rsid w:val="00220732"/>
    <w:rsid w:val="0022121F"/>
    <w:rsid w:val="00221D32"/>
    <w:rsid w:val="00222AC1"/>
    <w:rsid w:val="00223DD6"/>
    <w:rsid w:val="00225C3F"/>
    <w:rsid w:val="00253232"/>
    <w:rsid w:val="0025334D"/>
    <w:rsid w:val="0026085F"/>
    <w:rsid w:val="002608AB"/>
    <w:rsid w:val="00261B79"/>
    <w:rsid w:val="00263D44"/>
    <w:rsid w:val="002702AD"/>
    <w:rsid w:val="00281EB4"/>
    <w:rsid w:val="002844C0"/>
    <w:rsid w:val="00292D82"/>
    <w:rsid w:val="00293EE7"/>
    <w:rsid w:val="002963CB"/>
    <w:rsid w:val="002B2DAC"/>
    <w:rsid w:val="002B4A01"/>
    <w:rsid w:val="002B571E"/>
    <w:rsid w:val="002C291B"/>
    <w:rsid w:val="002C29B1"/>
    <w:rsid w:val="002C746A"/>
    <w:rsid w:val="002C7E4E"/>
    <w:rsid w:val="002D226D"/>
    <w:rsid w:val="002D74E3"/>
    <w:rsid w:val="002E09E6"/>
    <w:rsid w:val="002F6030"/>
    <w:rsid w:val="003001AC"/>
    <w:rsid w:val="003037E1"/>
    <w:rsid w:val="00307E51"/>
    <w:rsid w:val="003103EC"/>
    <w:rsid w:val="00312132"/>
    <w:rsid w:val="003130BA"/>
    <w:rsid w:val="003144EF"/>
    <w:rsid w:val="0031480E"/>
    <w:rsid w:val="00316877"/>
    <w:rsid w:val="00322F74"/>
    <w:rsid w:val="003231E2"/>
    <w:rsid w:val="00325E15"/>
    <w:rsid w:val="00335019"/>
    <w:rsid w:val="00340073"/>
    <w:rsid w:val="003411D8"/>
    <w:rsid w:val="003445B0"/>
    <w:rsid w:val="0034582B"/>
    <w:rsid w:val="00347BEB"/>
    <w:rsid w:val="00353B66"/>
    <w:rsid w:val="00355934"/>
    <w:rsid w:val="00357928"/>
    <w:rsid w:val="003632FD"/>
    <w:rsid w:val="00363A1D"/>
    <w:rsid w:val="00370F78"/>
    <w:rsid w:val="00372805"/>
    <w:rsid w:val="00373180"/>
    <w:rsid w:val="00375AB9"/>
    <w:rsid w:val="0037691E"/>
    <w:rsid w:val="003821A0"/>
    <w:rsid w:val="00385B04"/>
    <w:rsid w:val="003864CF"/>
    <w:rsid w:val="003948AE"/>
    <w:rsid w:val="003A08C0"/>
    <w:rsid w:val="003A22A6"/>
    <w:rsid w:val="003A32EB"/>
    <w:rsid w:val="003A5494"/>
    <w:rsid w:val="003B16D4"/>
    <w:rsid w:val="003B2510"/>
    <w:rsid w:val="003B4355"/>
    <w:rsid w:val="003C2CC4"/>
    <w:rsid w:val="003C3710"/>
    <w:rsid w:val="003C42A3"/>
    <w:rsid w:val="003C48F7"/>
    <w:rsid w:val="003D066B"/>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4ED8"/>
    <w:rsid w:val="00447D5C"/>
    <w:rsid w:val="00450202"/>
    <w:rsid w:val="004502B2"/>
    <w:rsid w:val="00455470"/>
    <w:rsid w:val="00455499"/>
    <w:rsid w:val="00461C1E"/>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61AA"/>
    <w:rsid w:val="004D7022"/>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1042"/>
    <w:rsid w:val="00532DFB"/>
    <w:rsid w:val="00543CB3"/>
    <w:rsid w:val="005442E4"/>
    <w:rsid w:val="00547652"/>
    <w:rsid w:val="0055529B"/>
    <w:rsid w:val="00560FF0"/>
    <w:rsid w:val="005614BD"/>
    <w:rsid w:val="0057154F"/>
    <w:rsid w:val="00580F69"/>
    <w:rsid w:val="00581CA3"/>
    <w:rsid w:val="0058217E"/>
    <w:rsid w:val="00585031"/>
    <w:rsid w:val="00586E8B"/>
    <w:rsid w:val="00587090"/>
    <w:rsid w:val="00587A44"/>
    <w:rsid w:val="005943AB"/>
    <w:rsid w:val="00597730"/>
    <w:rsid w:val="005977EC"/>
    <w:rsid w:val="00597DE7"/>
    <w:rsid w:val="005A1CD3"/>
    <w:rsid w:val="005A1F7D"/>
    <w:rsid w:val="005A2A04"/>
    <w:rsid w:val="005A4AA2"/>
    <w:rsid w:val="005B34B6"/>
    <w:rsid w:val="005B606A"/>
    <w:rsid w:val="005B6C8F"/>
    <w:rsid w:val="005B6EC3"/>
    <w:rsid w:val="005C17D7"/>
    <w:rsid w:val="005C32AC"/>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4C6D"/>
    <w:rsid w:val="0062527B"/>
    <w:rsid w:val="00625D97"/>
    <w:rsid w:val="00625F1C"/>
    <w:rsid w:val="0062658E"/>
    <w:rsid w:val="006279E1"/>
    <w:rsid w:val="00630CEB"/>
    <w:rsid w:val="00632264"/>
    <w:rsid w:val="006355F2"/>
    <w:rsid w:val="00641BE0"/>
    <w:rsid w:val="006470BC"/>
    <w:rsid w:val="00653E65"/>
    <w:rsid w:val="006554D3"/>
    <w:rsid w:val="006603F4"/>
    <w:rsid w:val="00660E62"/>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797D"/>
    <w:rsid w:val="006D18D3"/>
    <w:rsid w:val="006D1EE9"/>
    <w:rsid w:val="006D3BD1"/>
    <w:rsid w:val="006E010E"/>
    <w:rsid w:val="006E08CB"/>
    <w:rsid w:val="006E598D"/>
    <w:rsid w:val="007032B8"/>
    <w:rsid w:val="0070437D"/>
    <w:rsid w:val="00704CF1"/>
    <w:rsid w:val="00705B04"/>
    <w:rsid w:val="0071040E"/>
    <w:rsid w:val="00717EE9"/>
    <w:rsid w:val="007230BE"/>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34A55"/>
    <w:rsid w:val="008426B0"/>
    <w:rsid w:val="008431BB"/>
    <w:rsid w:val="00845E34"/>
    <w:rsid w:val="00850BAC"/>
    <w:rsid w:val="00854A3E"/>
    <w:rsid w:val="00855AAB"/>
    <w:rsid w:val="00855D08"/>
    <w:rsid w:val="008618A4"/>
    <w:rsid w:val="00867FF3"/>
    <w:rsid w:val="008709CF"/>
    <w:rsid w:val="008731AB"/>
    <w:rsid w:val="00874344"/>
    <w:rsid w:val="0087505D"/>
    <w:rsid w:val="00877703"/>
    <w:rsid w:val="00882155"/>
    <w:rsid w:val="0088233B"/>
    <w:rsid w:val="0088599E"/>
    <w:rsid w:val="00886C37"/>
    <w:rsid w:val="008915FC"/>
    <w:rsid w:val="00892D99"/>
    <w:rsid w:val="00893315"/>
    <w:rsid w:val="00894C09"/>
    <w:rsid w:val="008B2C4A"/>
    <w:rsid w:val="008B5C68"/>
    <w:rsid w:val="008B62AE"/>
    <w:rsid w:val="008C04B5"/>
    <w:rsid w:val="008C14FA"/>
    <w:rsid w:val="008C7536"/>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0B6A"/>
    <w:rsid w:val="009F2A7C"/>
    <w:rsid w:val="009F3B36"/>
    <w:rsid w:val="00A019B9"/>
    <w:rsid w:val="00A03157"/>
    <w:rsid w:val="00A11756"/>
    <w:rsid w:val="00A12497"/>
    <w:rsid w:val="00A12508"/>
    <w:rsid w:val="00A1282B"/>
    <w:rsid w:val="00A13A27"/>
    <w:rsid w:val="00A1528D"/>
    <w:rsid w:val="00A15B7C"/>
    <w:rsid w:val="00A175B6"/>
    <w:rsid w:val="00A21835"/>
    <w:rsid w:val="00A2374B"/>
    <w:rsid w:val="00A23AAB"/>
    <w:rsid w:val="00A25CE7"/>
    <w:rsid w:val="00A27D6E"/>
    <w:rsid w:val="00A328EC"/>
    <w:rsid w:val="00A33A51"/>
    <w:rsid w:val="00A41CA6"/>
    <w:rsid w:val="00A431ED"/>
    <w:rsid w:val="00A47927"/>
    <w:rsid w:val="00A47FFC"/>
    <w:rsid w:val="00A5442F"/>
    <w:rsid w:val="00A5460D"/>
    <w:rsid w:val="00A54FF9"/>
    <w:rsid w:val="00A56765"/>
    <w:rsid w:val="00A675AC"/>
    <w:rsid w:val="00A7097D"/>
    <w:rsid w:val="00A7581F"/>
    <w:rsid w:val="00A81274"/>
    <w:rsid w:val="00A86ACA"/>
    <w:rsid w:val="00A92439"/>
    <w:rsid w:val="00A92D72"/>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1BD7"/>
    <w:rsid w:val="00AE2EAB"/>
    <w:rsid w:val="00AF13D0"/>
    <w:rsid w:val="00AF5E0E"/>
    <w:rsid w:val="00AF5F89"/>
    <w:rsid w:val="00AF6D71"/>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3D29"/>
    <w:rsid w:val="00B96250"/>
    <w:rsid w:val="00BA0D55"/>
    <w:rsid w:val="00BA37B3"/>
    <w:rsid w:val="00BA4CC6"/>
    <w:rsid w:val="00BA7F46"/>
    <w:rsid w:val="00BB0F1D"/>
    <w:rsid w:val="00BB3493"/>
    <w:rsid w:val="00BB6E4C"/>
    <w:rsid w:val="00BB7468"/>
    <w:rsid w:val="00BC0514"/>
    <w:rsid w:val="00BC188A"/>
    <w:rsid w:val="00BC402E"/>
    <w:rsid w:val="00BC4D6F"/>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18FC"/>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7305"/>
    <w:rsid w:val="00CB1777"/>
    <w:rsid w:val="00CB33E9"/>
    <w:rsid w:val="00CC10A9"/>
    <w:rsid w:val="00CD0655"/>
    <w:rsid w:val="00CE2BF8"/>
    <w:rsid w:val="00CE484E"/>
    <w:rsid w:val="00CE4D20"/>
    <w:rsid w:val="00CE656F"/>
    <w:rsid w:val="00CF0DA8"/>
    <w:rsid w:val="00CF2670"/>
    <w:rsid w:val="00CF2E25"/>
    <w:rsid w:val="00CF4453"/>
    <w:rsid w:val="00CF5589"/>
    <w:rsid w:val="00CF5D94"/>
    <w:rsid w:val="00CF7E0F"/>
    <w:rsid w:val="00D00893"/>
    <w:rsid w:val="00D034D7"/>
    <w:rsid w:val="00D04BE4"/>
    <w:rsid w:val="00D06FC7"/>
    <w:rsid w:val="00D12565"/>
    <w:rsid w:val="00D140C1"/>
    <w:rsid w:val="00D14127"/>
    <w:rsid w:val="00D37AF1"/>
    <w:rsid w:val="00D479AE"/>
    <w:rsid w:val="00D50FCD"/>
    <w:rsid w:val="00D533E3"/>
    <w:rsid w:val="00D53834"/>
    <w:rsid w:val="00D5522F"/>
    <w:rsid w:val="00D60B16"/>
    <w:rsid w:val="00D60F02"/>
    <w:rsid w:val="00D66E49"/>
    <w:rsid w:val="00D70D71"/>
    <w:rsid w:val="00D72F74"/>
    <w:rsid w:val="00D774F3"/>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3B56"/>
    <w:rsid w:val="00DE76A7"/>
    <w:rsid w:val="00DF1510"/>
    <w:rsid w:val="00E02F1F"/>
    <w:rsid w:val="00E041DF"/>
    <w:rsid w:val="00E05454"/>
    <w:rsid w:val="00E06484"/>
    <w:rsid w:val="00E0650D"/>
    <w:rsid w:val="00E06B24"/>
    <w:rsid w:val="00E20A7D"/>
    <w:rsid w:val="00E23FE4"/>
    <w:rsid w:val="00E275D8"/>
    <w:rsid w:val="00E30F6A"/>
    <w:rsid w:val="00E3117C"/>
    <w:rsid w:val="00E31288"/>
    <w:rsid w:val="00E34307"/>
    <w:rsid w:val="00E34511"/>
    <w:rsid w:val="00E3635B"/>
    <w:rsid w:val="00E375C3"/>
    <w:rsid w:val="00E375CA"/>
    <w:rsid w:val="00E474AC"/>
    <w:rsid w:val="00E5112A"/>
    <w:rsid w:val="00E5364F"/>
    <w:rsid w:val="00E53CDE"/>
    <w:rsid w:val="00E567E8"/>
    <w:rsid w:val="00E619C0"/>
    <w:rsid w:val="00E63766"/>
    <w:rsid w:val="00E64679"/>
    <w:rsid w:val="00E65EBC"/>
    <w:rsid w:val="00E6602E"/>
    <w:rsid w:val="00E677FE"/>
    <w:rsid w:val="00E73432"/>
    <w:rsid w:val="00E77B0C"/>
    <w:rsid w:val="00E77FB8"/>
    <w:rsid w:val="00E836CD"/>
    <w:rsid w:val="00E838B0"/>
    <w:rsid w:val="00E86A7C"/>
    <w:rsid w:val="00E87183"/>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0110"/>
    <w:rsid w:val="00F04B59"/>
    <w:rsid w:val="00F078B6"/>
    <w:rsid w:val="00F07B69"/>
    <w:rsid w:val="00F11741"/>
    <w:rsid w:val="00F117B0"/>
    <w:rsid w:val="00F12B1C"/>
    <w:rsid w:val="00F13CF8"/>
    <w:rsid w:val="00F15855"/>
    <w:rsid w:val="00F200B2"/>
    <w:rsid w:val="00F227DC"/>
    <w:rsid w:val="00F263B9"/>
    <w:rsid w:val="00F30701"/>
    <w:rsid w:val="00F32978"/>
    <w:rsid w:val="00F45CB2"/>
    <w:rsid w:val="00F470C6"/>
    <w:rsid w:val="00F511F3"/>
    <w:rsid w:val="00F544C0"/>
    <w:rsid w:val="00F55332"/>
    <w:rsid w:val="00F6156E"/>
    <w:rsid w:val="00F63E4E"/>
    <w:rsid w:val="00F6504A"/>
    <w:rsid w:val="00F65519"/>
    <w:rsid w:val="00F66D9F"/>
    <w:rsid w:val="00F713C0"/>
    <w:rsid w:val="00F75DDC"/>
    <w:rsid w:val="00F7792F"/>
    <w:rsid w:val="00F842AA"/>
    <w:rsid w:val="00F8476F"/>
    <w:rsid w:val="00F853E1"/>
    <w:rsid w:val="00F85604"/>
    <w:rsid w:val="00F874C3"/>
    <w:rsid w:val="00F93809"/>
    <w:rsid w:val="00F94B7A"/>
    <w:rsid w:val="00FA0CA1"/>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556F32"/>
  <w15:docId w15:val="{3B44B064-D8DC-4DA0-9D0D-043B7967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96F01"/>
    <w:rPr>
      <w:vertAlign w:val="superscript"/>
    </w:rPr>
  </w:style>
  <w:style w:type="character" w:customStyle="1" w:styleId="FootnoteTextChar">
    <w:name w:val="Footnote Text Char"/>
    <w:basedOn w:val="DefaultParagraphFont"/>
    <w:link w:val="FootnoteText"/>
    <w:rsid w:val="00FA0CA1"/>
  </w:style>
  <w:style w:type="paragraph" w:styleId="ListParagraph">
    <w:name w:val="List Paragraph"/>
    <w:basedOn w:val="Normal"/>
    <w:uiPriority w:val="34"/>
    <w:qFormat/>
    <w:rsid w:val="00FA0CA1"/>
    <w:pPr>
      <w:ind w:left="720"/>
      <w:contextualSpacing/>
    </w:pPr>
  </w:style>
  <w:style w:type="character" w:styleId="CommentReference">
    <w:name w:val="annotation reference"/>
    <w:basedOn w:val="DefaultParagraphFont"/>
    <w:semiHidden/>
    <w:unhideWhenUsed/>
    <w:rsid w:val="00E474AC"/>
    <w:rPr>
      <w:sz w:val="16"/>
      <w:szCs w:val="16"/>
    </w:rPr>
  </w:style>
  <w:style w:type="paragraph" w:styleId="Revision">
    <w:name w:val="Revision"/>
    <w:hidden/>
    <w:uiPriority w:val="99"/>
    <w:semiHidden/>
    <w:rsid w:val="00E474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2630">
      <w:bodyDiv w:val="1"/>
      <w:marLeft w:val="0"/>
      <w:marRight w:val="0"/>
      <w:marTop w:val="0"/>
      <w:marBottom w:val="0"/>
      <w:divBdr>
        <w:top w:val="none" w:sz="0" w:space="0" w:color="auto"/>
        <w:left w:val="none" w:sz="0" w:space="0" w:color="auto"/>
        <w:bottom w:val="none" w:sz="0" w:space="0" w:color="auto"/>
        <w:right w:val="none" w:sz="0" w:space="0" w:color="auto"/>
      </w:divBdr>
    </w:div>
    <w:div w:id="247344891">
      <w:bodyDiv w:val="1"/>
      <w:marLeft w:val="0"/>
      <w:marRight w:val="0"/>
      <w:marTop w:val="0"/>
      <w:marBottom w:val="0"/>
      <w:divBdr>
        <w:top w:val="none" w:sz="0" w:space="0" w:color="auto"/>
        <w:left w:val="none" w:sz="0" w:space="0" w:color="auto"/>
        <w:bottom w:val="none" w:sz="0" w:space="0" w:color="auto"/>
        <w:right w:val="none" w:sz="0" w:space="0" w:color="auto"/>
      </w:divBdr>
    </w:div>
    <w:div w:id="343941830">
      <w:bodyDiv w:val="1"/>
      <w:marLeft w:val="0"/>
      <w:marRight w:val="0"/>
      <w:marTop w:val="0"/>
      <w:marBottom w:val="0"/>
      <w:divBdr>
        <w:top w:val="none" w:sz="0" w:space="0" w:color="auto"/>
        <w:left w:val="none" w:sz="0" w:space="0" w:color="auto"/>
        <w:bottom w:val="none" w:sz="0" w:space="0" w:color="auto"/>
        <w:right w:val="none" w:sz="0" w:space="0" w:color="auto"/>
      </w:divBdr>
    </w:div>
    <w:div w:id="4033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5212-EF70-4ECB-99A9-78285B0E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1297</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Penny Mallow</dc:creator>
  <cp:lastModifiedBy>Debra Betton</cp:lastModifiedBy>
  <cp:revision>2</cp:revision>
  <cp:lastPrinted>2024-12-20T15:19:00Z</cp:lastPrinted>
  <dcterms:created xsi:type="dcterms:W3CDTF">2024-12-20T15:24:00Z</dcterms:created>
  <dcterms:modified xsi:type="dcterms:W3CDTF">2024-12-20T15:24:00Z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20240088-TP</vt:lpwstr>
  </property>
  <property fmtid="{D5CDD505-2E9C-101B-9397-08002B2CF9AE}" pid="3" name="MasterDocument">
    <vt:bool>false</vt:bool>
  </property>
</Properties>
</file>