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Pr="00826645" w:rsidRDefault="00683473" w:rsidP="00683473">
      <w:pPr>
        <w:pStyle w:val="OrderHeading"/>
      </w:pPr>
      <w:r w:rsidRPr="00826645">
        <w:t>BEFORE THE FLORIDA PUBLIC SERVICE COMMISSION</w:t>
      </w:r>
    </w:p>
    <w:p w:rsidR="00683473" w:rsidRPr="00826645" w:rsidRDefault="00683473" w:rsidP="00683473">
      <w:pPr>
        <w:pStyle w:val="OrderBody"/>
      </w:pPr>
    </w:p>
    <w:p w:rsidR="00683473" w:rsidRPr="00826645" w:rsidRDefault="00683473" w:rsidP="0068347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83473" w:rsidRPr="00826645" w:rsidTr="004D4632">
        <w:trPr>
          <w:trHeight w:val="828"/>
        </w:trPr>
        <w:tc>
          <w:tcPr>
            <w:tcW w:w="4788" w:type="dxa"/>
            <w:tcBorders>
              <w:bottom w:val="single" w:sz="8" w:space="0" w:color="auto"/>
              <w:right w:val="double" w:sz="6" w:space="0" w:color="auto"/>
            </w:tcBorders>
            <w:shd w:val="clear" w:color="auto" w:fill="auto"/>
          </w:tcPr>
          <w:p w:rsidR="00683473" w:rsidRPr="00826645" w:rsidRDefault="00683473" w:rsidP="004D4632">
            <w:pPr>
              <w:pStyle w:val="OrderBody"/>
              <w:tabs>
                <w:tab w:val="center" w:pos="4320"/>
                <w:tab w:val="right" w:pos="8640"/>
              </w:tabs>
              <w:jc w:val="left"/>
            </w:pPr>
            <w:r w:rsidRPr="00826645">
              <w:t xml:space="preserve">In re: </w:t>
            </w:r>
            <w:bookmarkStart w:id="0" w:name="SSInRe"/>
            <w:bookmarkEnd w:id="0"/>
            <w:r w:rsidRPr="00826645">
              <w:t>Application for certificate to provide water service in St. Johns County, by Riverdale Utility Holding, Inc.</w:t>
            </w:r>
          </w:p>
        </w:tc>
        <w:tc>
          <w:tcPr>
            <w:tcW w:w="4788" w:type="dxa"/>
            <w:tcBorders>
              <w:left w:val="double" w:sz="6" w:space="0" w:color="auto"/>
            </w:tcBorders>
            <w:shd w:val="clear" w:color="auto" w:fill="auto"/>
          </w:tcPr>
          <w:p w:rsidR="00683473" w:rsidRPr="00826645" w:rsidRDefault="00683473" w:rsidP="00683473">
            <w:pPr>
              <w:pStyle w:val="OrderBody"/>
            </w:pPr>
            <w:r w:rsidRPr="00826645">
              <w:t xml:space="preserve">DOCKET NO. </w:t>
            </w:r>
            <w:bookmarkStart w:id="1" w:name="SSDocketNo"/>
            <w:bookmarkEnd w:id="1"/>
            <w:r w:rsidRPr="00826645">
              <w:t>20240011-WU</w:t>
            </w:r>
          </w:p>
          <w:p w:rsidR="00683473" w:rsidRPr="00826645" w:rsidRDefault="00683473" w:rsidP="004D4632">
            <w:pPr>
              <w:pStyle w:val="OrderBody"/>
              <w:tabs>
                <w:tab w:val="center" w:pos="4320"/>
                <w:tab w:val="right" w:pos="8640"/>
              </w:tabs>
              <w:jc w:val="left"/>
            </w:pPr>
            <w:r w:rsidRPr="00826645">
              <w:t xml:space="preserve">ORDER NO. </w:t>
            </w:r>
            <w:bookmarkStart w:id="2" w:name="OrderNo0092"/>
            <w:r w:rsidR="00F3750F">
              <w:t>PSC-2025-0092-PAA-WU</w:t>
            </w:r>
            <w:bookmarkEnd w:id="2"/>
          </w:p>
          <w:p w:rsidR="00683473" w:rsidRPr="00826645" w:rsidRDefault="00683473" w:rsidP="004D4632">
            <w:pPr>
              <w:pStyle w:val="OrderBody"/>
              <w:tabs>
                <w:tab w:val="center" w:pos="4320"/>
                <w:tab w:val="right" w:pos="8640"/>
              </w:tabs>
              <w:jc w:val="left"/>
            </w:pPr>
            <w:r w:rsidRPr="00826645">
              <w:t xml:space="preserve">ISSUED: </w:t>
            </w:r>
            <w:r w:rsidR="00F3750F">
              <w:t>March 24, 2025</w:t>
            </w:r>
          </w:p>
        </w:tc>
      </w:tr>
    </w:tbl>
    <w:p w:rsidR="00683473" w:rsidRPr="00826645" w:rsidRDefault="00683473" w:rsidP="00683473"/>
    <w:p w:rsidR="00683473" w:rsidRPr="00826645" w:rsidRDefault="00683473" w:rsidP="00683473"/>
    <w:p w:rsidR="00683473" w:rsidRPr="00826645" w:rsidRDefault="00683473" w:rsidP="00B67A43">
      <w:pPr>
        <w:ind w:firstLine="720"/>
        <w:jc w:val="both"/>
      </w:pPr>
      <w:bookmarkStart w:id="3" w:name="Commissioners"/>
      <w:bookmarkEnd w:id="3"/>
      <w:r w:rsidRPr="00826645">
        <w:t>The following Commissioners participated in the disposition of this matter:</w:t>
      </w:r>
    </w:p>
    <w:p w:rsidR="00683473" w:rsidRPr="00826645" w:rsidRDefault="00683473" w:rsidP="00B67A43"/>
    <w:p w:rsidR="00683473" w:rsidRPr="00826645" w:rsidRDefault="00683473" w:rsidP="00477699">
      <w:pPr>
        <w:jc w:val="center"/>
      </w:pPr>
      <w:r w:rsidRPr="00826645">
        <w:t>MIKE LA ROSA, Chairman</w:t>
      </w:r>
    </w:p>
    <w:p w:rsidR="00683473" w:rsidRPr="00826645" w:rsidRDefault="00683473" w:rsidP="00B67A43">
      <w:pPr>
        <w:jc w:val="center"/>
      </w:pPr>
      <w:r w:rsidRPr="00826645">
        <w:t>ART GRAHAM</w:t>
      </w:r>
    </w:p>
    <w:p w:rsidR="00683473" w:rsidRPr="00826645" w:rsidRDefault="00683473" w:rsidP="00B67A43">
      <w:pPr>
        <w:jc w:val="center"/>
      </w:pPr>
      <w:r w:rsidRPr="00826645">
        <w:t>GARY F. CLARK</w:t>
      </w:r>
    </w:p>
    <w:p w:rsidR="00683473" w:rsidRPr="00826645" w:rsidRDefault="00683473" w:rsidP="00B67A43">
      <w:pPr>
        <w:jc w:val="center"/>
      </w:pPr>
      <w:r w:rsidRPr="00826645">
        <w:t>ANDREW GILES FAY</w:t>
      </w:r>
    </w:p>
    <w:p w:rsidR="00683473" w:rsidRPr="00826645" w:rsidRDefault="00683473" w:rsidP="00B67A43">
      <w:pPr>
        <w:jc w:val="center"/>
      </w:pPr>
      <w:r w:rsidRPr="00826645">
        <w:rPr>
          <w:lang w:val="en"/>
        </w:rPr>
        <w:t>GABRIELLA PASSIDOMO SMITH</w:t>
      </w:r>
    </w:p>
    <w:p w:rsidR="00683473" w:rsidRPr="00826645" w:rsidRDefault="00683473" w:rsidP="00B67A43"/>
    <w:p w:rsidR="00683473" w:rsidRPr="00826645" w:rsidRDefault="00683473" w:rsidP="00683473">
      <w:pPr>
        <w:pStyle w:val="OrderBody"/>
      </w:pPr>
    </w:p>
    <w:bookmarkStart w:id="4" w:name="OrderText"/>
    <w:bookmarkStart w:id="5" w:name="OrderTitle"/>
    <w:bookmarkEnd w:id="4"/>
    <w:p w:rsidR="001D2806" w:rsidRPr="00826645" w:rsidRDefault="001D2806" w:rsidP="001D2806">
      <w:pPr>
        <w:pStyle w:val="OrderBody"/>
        <w:jc w:val="center"/>
        <w:rPr>
          <w:u w:val="single"/>
        </w:rPr>
      </w:pPr>
      <w:r w:rsidRPr="00826645">
        <w:rPr>
          <w:lang w:val="en-CA"/>
        </w:rPr>
        <w:fldChar w:fldCharType="begin"/>
      </w:r>
      <w:r w:rsidRPr="00826645">
        <w:rPr>
          <w:lang w:val="en-CA"/>
        </w:rPr>
        <w:instrText xml:space="preserve"> SEQ CHAPTER \h \r 1</w:instrText>
      </w:r>
      <w:r w:rsidRPr="00826645">
        <w:fldChar w:fldCharType="end"/>
      </w:r>
      <w:r w:rsidRPr="00826645">
        <w:rPr>
          <w:u w:val="single"/>
        </w:rPr>
        <w:t>NOTICE OF PROPOSED AGENCY ACTION</w:t>
      </w:r>
    </w:p>
    <w:p w:rsidR="00D37B3A" w:rsidRDefault="001D2806" w:rsidP="00C46513">
      <w:pPr>
        <w:pStyle w:val="OrderBody"/>
        <w:jc w:val="center"/>
        <w:rPr>
          <w:u w:val="single"/>
        </w:rPr>
      </w:pPr>
      <w:r w:rsidRPr="00826645">
        <w:rPr>
          <w:u w:val="single"/>
        </w:rPr>
        <w:t>ORDER ESTABLISHING INITIAL RATES AND CHARGES</w:t>
      </w:r>
    </w:p>
    <w:p w:rsidR="001D2806" w:rsidRPr="00826645" w:rsidRDefault="001D2806" w:rsidP="00C46513">
      <w:pPr>
        <w:pStyle w:val="OrderBody"/>
        <w:jc w:val="center"/>
        <w:rPr>
          <w:u w:val="single"/>
        </w:rPr>
      </w:pPr>
      <w:r w:rsidRPr="00826645">
        <w:rPr>
          <w:u w:val="single"/>
        </w:rPr>
        <w:t>AND</w:t>
      </w:r>
    </w:p>
    <w:p w:rsidR="001D2806" w:rsidRPr="00826645" w:rsidRDefault="001D2806" w:rsidP="001D2806">
      <w:pPr>
        <w:pStyle w:val="OrderBody"/>
        <w:jc w:val="center"/>
        <w:rPr>
          <w:u w:val="single"/>
        </w:rPr>
      </w:pPr>
      <w:r w:rsidRPr="00826645">
        <w:rPr>
          <w:u w:val="single"/>
        </w:rPr>
        <w:t>FINAL ORDER GRANTING ORIGINAL CERTIFICATE NO. 686-W FOR</w:t>
      </w:r>
    </w:p>
    <w:p w:rsidR="001D2806" w:rsidRPr="00826645" w:rsidRDefault="001D2806" w:rsidP="001D2806">
      <w:pPr>
        <w:pStyle w:val="OrderBody"/>
        <w:jc w:val="center"/>
        <w:rPr>
          <w:u w:val="single"/>
        </w:rPr>
      </w:pPr>
      <w:r w:rsidRPr="00826645">
        <w:rPr>
          <w:u w:val="single"/>
        </w:rPr>
        <w:t>RIVERDALE UTILITY HOLDING, INC.</w:t>
      </w:r>
    </w:p>
    <w:bookmarkEnd w:id="5"/>
    <w:p w:rsidR="00683473" w:rsidRPr="00826645" w:rsidRDefault="00683473">
      <w:pPr>
        <w:pStyle w:val="OrderBody"/>
      </w:pPr>
    </w:p>
    <w:p w:rsidR="00683473" w:rsidRPr="00826645" w:rsidRDefault="00683473">
      <w:pPr>
        <w:pStyle w:val="OrderBody"/>
      </w:pPr>
      <w:r w:rsidRPr="00826645">
        <w:t>BY THE COMMISSION:</w:t>
      </w:r>
    </w:p>
    <w:p w:rsidR="00683473" w:rsidRPr="00826645" w:rsidRDefault="00683473">
      <w:pPr>
        <w:pStyle w:val="OrderBody"/>
      </w:pPr>
    </w:p>
    <w:p w:rsidR="00683473" w:rsidRPr="00826645" w:rsidRDefault="00683473">
      <w:pPr>
        <w:pStyle w:val="OrderBody"/>
      </w:pPr>
      <w:r w:rsidRPr="00826645">
        <w:tab/>
        <w:t>NOTICE is hereby given by the Florida Public Service Commission that the action discussed herein</w:t>
      </w:r>
      <w:r w:rsidR="006A364C" w:rsidRPr="00826645">
        <w:t>, except for the granting of original certificates,</w:t>
      </w:r>
      <w:r w:rsidRPr="00826645">
        <w:t xml:space="preserve"> is preliminary in nature and will become final unless a person whose interests are substantially affected files a petition for a formal proceeding, pursuant to Rule 25-22.029, Florida Administrative Code (F.A.C.).</w:t>
      </w:r>
    </w:p>
    <w:p w:rsidR="00683473" w:rsidRPr="00826645" w:rsidRDefault="00683473">
      <w:pPr>
        <w:pStyle w:val="OrderBody"/>
      </w:pPr>
    </w:p>
    <w:p w:rsidR="00F44D2B" w:rsidRPr="00826645" w:rsidRDefault="00F44D2B" w:rsidP="00F44D2B">
      <w:pPr>
        <w:keepNext/>
        <w:spacing w:after="240"/>
        <w:jc w:val="center"/>
        <w:outlineLvl w:val="0"/>
        <w:rPr>
          <w:bCs/>
          <w:kern w:val="32"/>
          <w:szCs w:val="32"/>
          <w:u w:val="single"/>
        </w:rPr>
      </w:pPr>
      <w:r w:rsidRPr="00826645">
        <w:rPr>
          <w:bCs/>
          <w:kern w:val="32"/>
          <w:szCs w:val="32"/>
          <w:u w:val="single"/>
        </w:rPr>
        <w:t>Background</w:t>
      </w:r>
    </w:p>
    <w:p w:rsidR="00F44D2B" w:rsidRPr="00826645" w:rsidRDefault="00AD7832" w:rsidP="00F44D2B">
      <w:pPr>
        <w:autoSpaceDE w:val="0"/>
        <w:autoSpaceDN w:val="0"/>
        <w:adjustRightInd w:val="0"/>
        <w:jc w:val="both"/>
      </w:pPr>
      <w:r w:rsidRPr="00826645">
        <w:tab/>
      </w:r>
      <w:r w:rsidR="00F44D2B" w:rsidRPr="00826645">
        <w:t>On January 3, 2024, Riverdale Utility Holding, Inc. (Riverdale or Utility) filed its application for an original water certificate in St. Johns County. The area is in the St. Johns River Water Management District (SJRWMD) and is in a water resource caution area. The Utility anticipates providing service to approximately 298 water customers. Wastewater service will be provided by individual septic systems.</w:t>
      </w:r>
    </w:p>
    <w:p w:rsidR="00F44D2B" w:rsidRPr="00826645" w:rsidRDefault="00F44D2B" w:rsidP="00F44D2B">
      <w:pPr>
        <w:autoSpaceDE w:val="0"/>
        <w:autoSpaceDN w:val="0"/>
        <w:adjustRightInd w:val="0"/>
        <w:jc w:val="both"/>
      </w:pPr>
    </w:p>
    <w:p w:rsidR="00F44D2B" w:rsidRPr="00826645" w:rsidRDefault="00AD7832" w:rsidP="00F44D2B">
      <w:pPr>
        <w:autoSpaceDE w:val="0"/>
        <w:autoSpaceDN w:val="0"/>
        <w:adjustRightInd w:val="0"/>
        <w:jc w:val="both"/>
      </w:pPr>
      <w:r w:rsidRPr="00826645">
        <w:tab/>
      </w:r>
      <w:r w:rsidR="00F44D2B" w:rsidRPr="00826645">
        <w:t xml:space="preserve">The Utility’s initial application was found to be deficient. The Utility corrected the deficiencies on May 22, 2024, making this the official filing date of the completed application. Pursuant to Section 367.031, Florida Statutes (F.S.), </w:t>
      </w:r>
      <w:r w:rsidR="001D2806" w:rsidRPr="00826645">
        <w:t>we</w:t>
      </w:r>
      <w:r w:rsidR="00F44D2B" w:rsidRPr="00826645">
        <w:t xml:space="preserve"> shall grant or deny an application for a certificate of authorization within 90 days of the official filing date of the completed application. On June 14, 2024, St. Johns County (County) timely filed an objection to the Utility’s application and requested the matter be set for hearing. By Order No. PSC-2024-0439-PCO-WU, issued October 8, 2024, this matter was set for hearing with a hearing date of April 28-30, 2025. On November 25, 2024, the County withdrew its objection, and the hearing was canceled. With the resumption of the informal proceeding, the statutory deadline for this docket was January 31, </w:t>
      </w:r>
      <w:r w:rsidR="00F44D2B" w:rsidRPr="00826645">
        <w:lastRenderedPageBreak/>
        <w:t>2025. However, on December 2, 2024, the Utility waived the statutory deadline to February 4, 2025, and on January 2, 2025, the Utility waived the statutory deadline to March 4, 2025.</w:t>
      </w:r>
    </w:p>
    <w:p w:rsidR="00F44D2B" w:rsidRPr="00826645" w:rsidRDefault="00F44D2B" w:rsidP="00F44D2B">
      <w:pPr>
        <w:autoSpaceDE w:val="0"/>
        <w:autoSpaceDN w:val="0"/>
        <w:adjustRightInd w:val="0"/>
        <w:jc w:val="both"/>
        <w:rPr>
          <w:sz w:val="23"/>
          <w:szCs w:val="23"/>
        </w:rPr>
      </w:pPr>
    </w:p>
    <w:p w:rsidR="00F44D2B" w:rsidRPr="00826645" w:rsidRDefault="00AD7832" w:rsidP="00F44D2B">
      <w:pPr>
        <w:autoSpaceDE w:val="0"/>
        <w:autoSpaceDN w:val="0"/>
        <w:adjustRightInd w:val="0"/>
        <w:jc w:val="both"/>
      </w:pPr>
      <w:r w:rsidRPr="00826645">
        <w:tab/>
      </w:r>
      <w:r w:rsidR="00F44D2B" w:rsidRPr="00826645">
        <w:t>The territory proposed to be served by Riverdale is owned or controlled by a related party which intends to develop the property. The Utility’s service area will consist of single family homes. The water treatment plant and the associated distribution system will be designed to supply the maximum daily demand and the peak hour demand. The plant will consist of 3 wells which will provide 0.09 million gallons per day of potable water. The water treatment will consist of pre-filtration followed by reverse osmosis for brackish water, de-gasification, pH adjustment, and disinfection. Reverse osmosis concentrate disposal will be by spray irrigation.</w:t>
      </w:r>
    </w:p>
    <w:p w:rsidR="00F44D2B" w:rsidRPr="00826645" w:rsidRDefault="00F44D2B" w:rsidP="00F44D2B">
      <w:pPr>
        <w:autoSpaceDE w:val="0"/>
        <w:autoSpaceDN w:val="0"/>
        <w:adjustRightInd w:val="0"/>
        <w:jc w:val="both"/>
      </w:pPr>
    </w:p>
    <w:p w:rsidR="00683473" w:rsidRPr="00826645" w:rsidRDefault="00AD7832" w:rsidP="00F44D2B">
      <w:pPr>
        <w:pStyle w:val="OrderBody"/>
      </w:pPr>
      <w:r w:rsidRPr="00826645">
        <w:tab/>
      </w:r>
      <w:r w:rsidR="00F44D2B" w:rsidRPr="00826645">
        <w:t xml:space="preserve">This </w:t>
      </w:r>
      <w:r w:rsidR="001D2806" w:rsidRPr="00826645">
        <w:t>order</w:t>
      </w:r>
      <w:r w:rsidR="00F44D2B" w:rsidRPr="00826645">
        <w:t xml:space="preserve"> addresses whether an original certificate should be granted and the appropriate initial rates and charges. </w:t>
      </w:r>
      <w:r w:rsidR="001D2806" w:rsidRPr="00826645">
        <w:t>We have</w:t>
      </w:r>
      <w:r w:rsidR="00F44D2B" w:rsidRPr="00826645">
        <w:t xml:space="preserve"> jurisdiction pursuant to Sections 367.031, 367.045, and 367.081, F.S.</w:t>
      </w:r>
    </w:p>
    <w:p w:rsidR="00F44D2B" w:rsidRPr="00826645" w:rsidRDefault="00F44D2B" w:rsidP="00F44D2B">
      <w:pPr>
        <w:pStyle w:val="OrderBody"/>
      </w:pPr>
    </w:p>
    <w:p w:rsidR="00DB4605" w:rsidRPr="00826645" w:rsidRDefault="00DB4605" w:rsidP="00DB4605">
      <w:pPr>
        <w:keepNext/>
        <w:spacing w:after="240"/>
        <w:jc w:val="center"/>
        <w:outlineLvl w:val="0"/>
        <w:rPr>
          <w:b/>
          <w:bCs/>
          <w:kern w:val="32"/>
          <w:u w:val="single"/>
        </w:rPr>
      </w:pPr>
      <w:r w:rsidRPr="00826645">
        <w:rPr>
          <w:b/>
          <w:bCs/>
          <w:kern w:val="32"/>
          <w:u w:val="single"/>
        </w:rPr>
        <w:t>Decision</w:t>
      </w:r>
    </w:p>
    <w:p w:rsidR="00DB4605" w:rsidRPr="00826645" w:rsidRDefault="00DB4605" w:rsidP="00DB4605">
      <w:pPr>
        <w:pStyle w:val="ListParagraph"/>
        <w:numPr>
          <w:ilvl w:val="0"/>
          <w:numId w:val="1"/>
        </w:numPr>
        <w:spacing w:after="240"/>
        <w:jc w:val="both"/>
        <w:rPr>
          <w:b/>
          <w:u w:val="single"/>
        </w:rPr>
      </w:pPr>
      <w:r w:rsidRPr="00826645">
        <w:rPr>
          <w:b/>
          <w:u w:val="single"/>
        </w:rPr>
        <w:t>Riverdale Utility Holding, Inc.’s Application for a Water Certificate</w:t>
      </w:r>
    </w:p>
    <w:p w:rsidR="00F44D2B" w:rsidRPr="00826645" w:rsidRDefault="00F44D2B" w:rsidP="00DB4605">
      <w:pPr>
        <w:spacing w:after="240"/>
        <w:ind w:firstLine="720"/>
        <w:jc w:val="both"/>
        <w:outlineLvl w:val="1"/>
      </w:pPr>
      <w:r w:rsidRPr="00826645">
        <w:t xml:space="preserve">Riverdale filed an application for an original water certificate to provide service in St. Johns County on January 3, 2024. The application is in compliance with the governing Statute, Section 367.045, F.S., and other pertinent </w:t>
      </w:r>
      <w:r w:rsidR="00832B80">
        <w:t>s</w:t>
      </w:r>
      <w:r w:rsidRPr="00826645">
        <w:t xml:space="preserve">tatutes and administrative </w:t>
      </w:r>
      <w:r w:rsidR="00832B80">
        <w:t>r</w:t>
      </w:r>
      <w:r w:rsidRPr="00826645">
        <w:t>ules concerning an application for original certificates.</w:t>
      </w:r>
    </w:p>
    <w:p w:rsidR="00F44D2B" w:rsidRPr="00826645" w:rsidRDefault="00F44D2B" w:rsidP="00F44D2B">
      <w:pPr>
        <w:jc w:val="both"/>
        <w:rPr>
          <w:b/>
        </w:rPr>
      </w:pPr>
      <w:r w:rsidRPr="00826645">
        <w:rPr>
          <w:b/>
        </w:rPr>
        <w:t>Notice</w:t>
      </w:r>
    </w:p>
    <w:p w:rsidR="00F44D2B" w:rsidRPr="00826645" w:rsidRDefault="00AD7832" w:rsidP="00F44D2B">
      <w:pPr>
        <w:jc w:val="both"/>
        <w:rPr>
          <w:color w:val="000000" w:themeColor="text1"/>
        </w:rPr>
      </w:pPr>
      <w:r w:rsidRPr="00826645">
        <w:rPr>
          <w:color w:val="000000" w:themeColor="text1"/>
        </w:rPr>
        <w:tab/>
      </w:r>
      <w:r w:rsidR="00F44D2B" w:rsidRPr="00826645">
        <w:rPr>
          <w:color w:val="000000" w:themeColor="text1"/>
        </w:rPr>
        <w:t xml:space="preserve">The application contains proof of compliance with the noticing provisions set forth in Rule 25-30.030, </w:t>
      </w:r>
      <w:r w:rsidR="00DB4605" w:rsidRPr="00826645">
        <w:rPr>
          <w:color w:val="000000" w:themeColor="text1"/>
        </w:rPr>
        <w:t>F.A.C</w:t>
      </w:r>
      <w:r w:rsidR="00F44D2B" w:rsidRPr="00826645">
        <w:rPr>
          <w:color w:val="000000" w:themeColor="text1"/>
        </w:rPr>
        <w:t xml:space="preserve">. The notice of application for an initial certificate of authorization for a water certificate was mailed to the entities required and customers and landowners in the proposed service territory on May 11, 2024, and was published in a newspaper of general circulation in the area on May 15, 2024. On June, 14, 2024, St. Johns County filed an objection to Riverdale’s application for an original water certificate and requested the matter be set for hearing. In addition, six residents in the proposed service territory filed timely objections to the notice of application. </w:t>
      </w:r>
      <w:r w:rsidR="00DB4605" w:rsidRPr="00826645">
        <w:rPr>
          <w:color w:val="000000" w:themeColor="text1"/>
        </w:rPr>
        <w:t>Our</w:t>
      </w:r>
      <w:r w:rsidR="00F44D2B" w:rsidRPr="00826645">
        <w:rPr>
          <w:color w:val="000000" w:themeColor="text1"/>
        </w:rPr>
        <w:t xml:space="preserve"> staff mailed letters to each of these residents, five on June 12, 2024, and one on June 19, 2024, asking whether they wished to request a hearing and requesting a response by July 12, 2024. None of the residents responded to</w:t>
      </w:r>
      <w:r w:rsidR="00DB4605" w:rsidRPr="00826645">
        <w:rPr>
          <w:color w:val="000000" w:themeColor="text1"/>
        </w:rPr>
        <w:t xml:space="preserve"> our</w:t>
      </w:r>
      <w:r w:rsidR="00F44D2B" w:rsidRPr="00826645">
        <w:rPr>
          <w:color w:val="000000" w:themeColor="text1"/>
        </w:rPr>
        <w:t xml:space="preserve"> staff’s letter to request a hearing. Pursuant to the County’s objection and request for a hearing, the matter was set for a hearing to be held on April 28-30, 2025. On November 25, 2024, the County withdrew its objection and the hearing was canceled. Subsequent to the County’s withdrawal of its objection, </w:t>
      </w:r>
      <w:r w:rsidR="00DB4605" w:rsidRPr="00826645">
        <w:rPr>
          <w:color w:val="000000" w:themeColor="text1"/>
        </w:rPr>
        <w:t>we</w:t>
      </w:r>
      <w:r w:rsidR="00F44D2B" w:rsidRPr="00826645">
        <w:rPr>
          <w:color w:val="000000" w:themeColor="text1"/>
        </w:rPr>
        <w:t xml:space="preserve"> received 16 additional letters from residents opposing Riverdale’s application for a certificate, however, these objections were filed outside the 30-day window prescribed by Rule 25-30.030(4)(h), F.A.C.</w:t>
      </w:r>
    </w:p>
    <w:p w:rsidR="00DB4605" w:rsidRPr="00826645" w:rsidRDefault="00DB4605">
      <w:pPr>
        <w:rPr>
          <w:b/>
        </w:rPr>
      </w:pPr>
    </w:p>
    <w:p w:rsidR="00F44D2B" w:rsidRPr="00826645" w:rsidRDefault="00F44D2B" w:rsidP="00F44D2B">
      <w:pPr>
        <w:jc w:val="both"/>
        <w:rPr>
          <w:b/>
        </w:rPr>
      </w:pPr>
      <w:r w:rsidRPr="00826645">
        <w:rPr>
          <w:b/>
        </w:rPr>
        <w:t>Land Ownership and Service Territory</w:t>
      </w:r>
    </w:p>
    <w:p w:rsidR="00F44D2B" w:rsidRPr="00826645" w:rsidRDefault="00AD7832" w:rsidP="00F44D2B">
      <w:pPr>
        <w:jc w:val="both"/>
      </w:pPr>
      <w:r w:rsidRPr="00826645">
        <w:tab/>
      </w:r>
      <w:r w:rsidR="00F44D2B" w:rsidRPr="00826645">
        <w:t xml:space="preserve">Riverdale submitted an executed quitclaim deed in the name of the Utility, and stated it will file a recorded copy of the deed within the time prescribed in the </w:t>
      </w:r>
      <w:r w:rsidR="00B874D9" w:rsidRPr="00826645">
        <w:t>order granting the certificate</w:t>
      </w:r>
      <w:r w:rsidR="00F44D2B" w:rsidRPr="00826645">
        <w:t xml:space="preserve">, as required by Rule 25-30.033(m), F.A.C. </w:t>
      </w:r>
      <w:r w:rsidR="00DB4605" w:rsidRPr="00826645">
        <w:t>The</w:t>
      </w:r>
      <w:r w:rsidR="00F44D2B" w:rsidRPr="00826645">
        <w:t xml:space="preserve"> Utility </w:t>
      </w:r>
      <w:r w:rsidR="00DB4605" w:rsidRPr="00826645">
        <w:t>is</w:t>
      </w:r>
      <w:r w:rsidR="00F44D2B" w:rsidRPr="00826645">
        <w:t xml:space="preserve"> required to file a recorded </w:t>
      </w:r>
      <w:r w:rsidR="00F44D2B" w:rsidRPr="00826645">
        <w:lastRenderedPageBreak/>
        <w:t xml:space="preserve">copy of the deed within 60 days of the issuance of the subsequent order granting the certificate. Adequate service territory and system maps and a territory description have been provided as prescribed by Rule 25-30.033(1)(j), F.A.C. A description of the territory requested by the applicant is appended to this </w:t>
      </w:r>
      <w:r w:rsidR="007A20A6">
        <w:t>order</w:t>
      </w:r>
      <w:r w:rsidR="00F44D2B" w:rsidRPr="00826645">
        <w:t xml:space="preserve"> as Attachment A.</w:t>
      </w:r>
    </w:p>
    <w:p w:rsidR="00F44D2B" w:rsidRPr="00826645" w:rsidRDefault="00F44D2B" w:rsidP="00F44D2B">
      <w:pPr>
        <w:jc w:val="both"/>
      </w:pPr>
    </w:p>
    <w:p w:rsidR="00F44D2B" w:rsidRPr="00826645" w:rsidRDefault="00F44D2B" w:rsidP="00F44D2B">
      <w:pPr>
        <w:jc w:val="both"/>
        <w:outlineLvl w:val="2"/>
        <w:rPr>
          <w:b/>
          <w:bCs/>
          <w:iCs/>
        </w:rPr>
      </w:pPr>
      <w:r w:rsidRPr="00826645">
        <w:rPr>
          <w:b/>
          <w:bCs/>
          <w:iCs/>
        </w:rPr>
        <w:t>Financial and Technical Ability</w:t>
      </w:r>
    </w:p>
    <w:p w:rsidR="00F44D2B" w:rsidRPr="00826645" w:rsidRDefault="00AD7832" w:rsidP="00F44D2B">
      <w:pPr>
        <w:spacing w:after="240"/>
        <w:jc w:val="both"/>
      </w:pPr>
      <w:r w:rsidRPr="00826645">
        <w:tab/>
      </w:r>
      <w:r w:rsidR="00F44D2B" w:rsidRPr="00826645">
        <w:t xml:space="preserve">Rule 25-30.033(1)(h), F.A.C., requires a statement showing the financial ability of the applicant to provide service, a detailed financial statement, and a list of all entities upon which the applicant is relying to provide funding. Regarding financial ability, Riverdale provided detailed financial statements for two related entities, Riverdale Heritage Land Inc. and Semanik Investment Corporation. Additionally, the Utility stated that these entities along with John Semanik, the owner of Riverdale, will provide land, cash, and financing guarantees necessary to construct and operate the Utility. </w:t>
      </w:r>
      <w:r w:rsidR="00DB4605" w:rsidRPr="00826645">
        <w:t>We have</w:t>
      </w:r>
      <w:r w:rsidR="00F44D2B" w:rsidRPr="00826645">
        <w:t xml:space="preserve"> traditionally allowed reliance on a parent company's financial ability.</w:t>
      </w:r>
      <w:r w:rsidR="00F44D2B" w:rsidRPr="00826645">
        <w:rPr>
          <w:vertAlign w:val="superscript"/>
        </w:rPr>
        <w:footnoteReference w:id="1"/>
      </w:r>
      <w:r w:rsidR="00F44D2B" w:rsidRPr="00826645">
        <w:t xml:space="preserve"> </w:t>
      </w:r>
      <w:r w:rsidR="00DB4605" w:rsidRPr="00826645">
        <w:t>Our reasoning relies on</w:t>
      </w:r>
      <w:r w:rsidR="00F44D2B" w:rsidRPr="00826645">
        <w:t xml:space="preserve"> the logical vested interest of a parent company in the financial stability of its related parties. </w:t>
      </w:r>
      <w:r w:rsidR="00DB4605" w:rsidRPr="00826645">
        <w:t>We have</w:t>
      </w:r>
      <w:r w:rsidR="00F44D2B" w:rsidRPr="00826645">
        <w:t xml:space="preserve"> reviewed the related party’s f</w:t>
      </w:r>
      <w:r w:rsidR="00DB4605" w:rsidRPr="00826645">
        <w:t>inancial statements and believe</w:t>
      </w:r>
      <w:r w:rsidR="00F44D2B" w:rsidRPr="00826645">
        <w:t xml:space="preserve"> the Utility has shown adequate and stabl</w:t>
      </w:r>
      <w:r w:rsidR="00DB4605" w:rsidRPr="00826645">
        <w:t>e funding reserves. Therefore, we find</w:t>
      </w:r>
      <w:r w:rsidR="00F44D2B" w:rsidRPr="00826645">
        <w:t xml:space="preserve"> that Riverdale has demonstrated that it will have access to adequate financial resources to operate the Utility.</w:t>
      </w:r>
    </w:p>
    <w:p w:rsidR="00F44D2B" w:rsidRPr="00826645" w:rsidRDefault="00AD7832" w:rsidP="00F44D2B">
      <w:pPr>
        <w:jc w:val="both"/>
      </w:pPr>
      <w:r w:rsidRPr="00826645">
        <w:tab/>
      </w:r>
      <w:r w:rsidR="00F44D2B" w:rsidRPr="00826645">
        <w:t xml:space="preserve">Regarding technical ability, Riverdale stated in its application that it has no prior experience operating a water system, but that it plans to contract with a licensed, experienced plant operations company for operation and maintenance. The Utility provided a list of three companies that are under consideration for the plant operation and maintenance. </w:t>
      </w:r>
    </w:p>
    <w:p w:rsidR="00F44D2B" w:rsidRPr="00826645" w:rsidRDefault="00F44D2B" w:rsidP="00F44D2B">
      <w:pPr>
        <w:jc w:val="both"/>
      </w:pPr>
    </w:p>
    <w:p w:rsidR="00F44D2B" w:rsidRPr="00826645" w:rsidRDefault="00417124" w:rsidP="00F44D2B">
      <w:pPr>
        <w:jc w:val="both"/>
      </w:pPr>
      <w:r w:rsidRPr="00826645">
        <w:tab/>
      </w:r>
      <w:r w:rsidR="00F44D2B" w:rsidRPr="00826645">
        <w:t>Based on the above, Riverdale has demonstrated the technical and financial ability to provide service to the proposed service territory.</w:t>
      </w:r>
    </w:p>
    <w:p w:rsidR="00F44D2B" w:rsidRPr="00826645" w:rsidRDefault="00F44D2B" w:rsidP="00F44D2B">
      <w:pPr>
        <w:jc w:val="both"/>
      </w:pPr>
    </w:p>
    <w:p w:rsidR="00F44D2B" w:rsidRPr="00826645" w:rsidRDefault="00F44D2B" w:rsidP="00F44D2B">
      <w:pPr>
        <w:jc w:val="both"/>
        <w:rPr>
          <w:b/>
        </w:rPr>
      </w:pPr>
      <w:r w:rsidRPr="00826645">
        <w:rPr>
          <w:b/>
        </w:rPr>
        <w:t>Conclusion</w:t>
      </w:r>
    </w:p>
    <w:p w:rsidR="00F44D2B" w:rsidRDefault="00DB4605" w:rsidP="00E47D36">
      <w:pPr>
        <w:pStyle w:val="OrderBody"/>
        <w:ind w:firstLine="720"/>
      </w:pPr>
      <w:r w:rsidRPr="00826645">
        <w:t>Based on the foregoing, we</w:t>
      </w:r>
      <w:r w:rsidR="00F44D2B" w:rsidRPr="00826645">
        <w:t xml:space="preserve"> grant Riverdale Certificate No. 686-W to serve the territory described in Attachment A, effective the date of </w:t>
      </w:r>
      <w:r w:rsidRPr="00826645">
        <w:t>our</w:t>
      </w:r>
      <w:r w:rsidR="00F44D2B" w:rsidRPr="00826645">
        <w:t xml:space="preserve"> vote. The resultant order </w:t>
      </w:r>
      <w:r w:rsidRPr="00826645">
        <w:t>shall</w:t>
      </w:r>
      <w:r w:rsidR="00F44D2B" w:rsidRPr="00826645">
        <w:t xml:space="preserve"> serve as Riverdale’s water certificate and it </w:t>
      </w:r>
      <w:r w:rsidR="00E47D36" w:rsidRPr="00826645">
        <w:t xml:space="preserve">shall </w:t>
      </w:r>
      <w:r w:rsidR="00F44D2B" w:rsidRPr="00826645">
        <w:t xml:space="preserve">be retained by the Utility. Further, the Utility </w:t>
      </w:r>
      <w:r w:rsidR="00E47D36" w:rsidRPr="00826645">
        <w:t xml:space="preserve">shall </w:t>
      </w:r>
      <w:r w:rsidR="00F44D2B" w:rsidRPr="00826645">
        <w:t>file a copy of its recorded Deed in the docket file within 60 days of the issuance of the subsequent order granting the certificate.</w:t>
      </w:r>
    </w:p>
    <w:p w:rsidR="00832B80" w:rsidRDefault="00832B80" w:rsidP="00E47D36">
      <w:pPr>
        <w:pStyle w:val="OrderBody"/>
        <w:ind w:firstLine="720"/>
      </w:pPr>
    </w:p>
    <w:p w:rsidR="00832B80" w:rsidRDefault="00832B80" w:rsidP="00E47D36">
      <w:pPr>
        <w:pStyle w:val="OrderBody"/>
        <w:ind w:firstLine="720"/>
      </w:pPr>
    </w:p>
    <w:p w:rsidR="00832B80" w:rsidRDefault="00832B80" w:rsidP="00E47D36">
      <w:pPr>
        <w:pStyle w:val="OrderBody"/>
        <w:ind w:firstLine="720"/>
      </w:pPr>
    </w:p>
    <w:p w:rsidR="00832B80" w:rsidRPr="00826645" w:rsidRDefault="00832B80" w:rsidP="00E47D36">
      <w:pPr>
        <w:pStyle w:val="OrderBody"/>
        <w:ind w:firstLine="720"/>
      </w:pPr>
    </w:p>
    <w:p w:rsidR="00F44D2B" w:rsidRPr="00826645" w:rsidRDefault="00731747" w:rsidP="00F44D2B">
      <w:pPr>
        <w:pStyle w:val="ListParagraph"/>
        <w:numPr>
          <w:ilvl w:val="0"/>
          <w:numId w:val="1"/>
        </w:numPr>
        <w:spacing w:after="240"/>
        <w:jc w:val="both"/>
        <w:rPr>
          <w:b/>
          <w:u w:val="single"/>
        </w:rPr>
      </w:pPr>
      <w:r w:rsidRPr="00826645">
        <w:rPr>
          <w:b/>
          <w:u w:val="single"/>
        </w:rPr>
        <w:lastRenderedPageBreak/>
        <w:t>Water Rates and Return On Investment For Riverdale</w:t>
      </w:r>
    </w:p>
    <w:p w:rsidR="00F44D2B" w:rsidRPr="00826645" w:rsidRDefault="00F44D2B" w:rsidP="00F44D2B">
      <w:pPr>
        <w:jc w:val="both"/>
        <w:outlineLvl w:val="2"/>
        <w:rPr>
          <w:b/>
          <w:bCs/>
          <w:iCs/>
        </w:rPr>
      </w:pPr>
      <w:r w:rsidRPr="00826645">
        <w:rPr>
          <w:b/>
          <w:bCs/>
          <w:iCs/>
        </w:rPr>
        <w:t>Projected Rate Base</w:t>
      </w:r>
    </w:p>
    <w:p w:rsidR="00F44D2B" w:rsidRPr="00826645" w:rsidRDefault="00AD7832" w:rsidP="00F44D2B">
      <w:pPr>
        <w:spacing w:after="240"/>
        <w:jc w:val="both"/>
      </w:pPr>
      <w:r w:rsidRPr="00826645">
        <w:tab/>
      </w:r>
      <w:r w:rsidR="00F44D2B" w:rsidRPr="00826645">
        <w:t xml:space="preserve">Consistent with </w:t>
      </w:r>
      <w:r w:rsidR="00731747" w:rsidRPr="00826645">
        <w:t>our</w:t>
      </w:r>
      <w:r w:rsidR="00F44D2B" w:rsidRPr="00826645">
        <w:t xml:space="preserve"> practice in applications for original certificates, rate base is identified only as a tool to aid in setting initial rates and is not intended to formally establish rate base. Based on Riverdale’s growth projections, the Utility anticipates operating at 80 percent of its design capacity in 2035. The Utility’s proposed rate base calculations, as well as </w:t>
      </w:r>
      <w:r w:rsidR="00731747" w:rsidRPr="00826645">
        <w:t>our</w:t>
      </w:r>
      <w:r w:rsidR="00F44D2B" w:rsidRPr="00826645">
        <w:t xml:space="preserve"> adjustments, are described below.</w:t>
      </w:r>
    </w:p>
    <w:p w:rsidR="00F44D2B" w:rsidRPr="00826645" w:rsidRDefault="00AD7832" w:rsidP="00F44D2B">
      <w:pPr>
        <w:spacing w:after="240"/>
        <w:jc w:val="both"/>
      </w:pPr>
      <w:r w:rsidRPr="00826645">
        <w:tab/>
      </w:r>
      <w:r w:rsidR="00F44D2B" w:rsidRPr="00826645">
        <w:t xml:space="preserve">Riverdale proposed utility plant in service balance (UPIS) of $5,105,734. </w:t>
      </w:r>
      <w:r w:rsidR="00731747" w:rsidRPr="00826645">
        <w:t>We do</w:t>
      </w:r>
      <w:r w:rsidR="00F44D2B" w:rsidRPr="00826645">
        <w:t xml:space="preserve"> not have any adjustments to the Utility’s proposed balance. As such, </w:t>
      </w:r>
      <w:r w:rsidR="00731747" w:rsidRPr="00826645">
        <w:t>we find</w:t>
      </w:r>
      <w:r w:rsidR="00F44D2B" w:rsidRPr="00826645">
        <w:t xml:space="preserve"> a UPIS balance of $5,105,734</w:t>
      </w:r>
      <w:r w:rsidR="00731747" w:rsidRPr="00826645">
        <w:t xml:space="preserve"> is appropriate</w:t>
      </w:r>
      <w:r w:rsidR="00F44D2B" w:rsidRPr="00826645">
        <w:t>.</w:t>
      </w:r>
    </w:p>
    <w:p w:rsidR="00F44D2B" w:rsidRPr="00826645" w:rsidRDefault="00AD7832" w:rsidP="00F44D2B">
      <w:pPr>
        <w:spacing w:after="240"/>
        <w:jc w:val="both"/>
      </w:pPr>
      <w:r w:rsidRPr="00826645">
        <w:tab/>
      </w:r>
      <w:r w:rsidR="00F44D2B" w:rsidRPr="00826645">
        <w:t xml:space="preserve">The Utility proposed a land and land rights balance of $1,040,000. </w:t>
      </w:r>
      <w:r w:rsidR="00731747" w:rsidRPr="00826645">
        <w:t>We have</w:t>
      </w:r>
      <w:r w:rsidR="00F44D2B" w:rsidRPr="00826645">
        <w:t xml:space="preserve"> no adjustments to the Utility’s proposed balance. As such, </w:t>
      </w:r>
      <w:r w:rsidR="00731747" w:rsidRPr="00826645">
        <w:t>we find</w:t>
      </w:r>
      <w:r w:rsidR="00F44D2B" w:rsidRPr="00826645">
        <w:t xml:space="preserve"> a land and land rights balance of $1,040,000</w:t>
      </w:r>
      <w:r w:rsidR="00731747" w:rsidRPr="00826645">
        <w:t xml:space="preserve"> is appropriate</w:t>
      </w:r>
      <w:r w:rsidR="00F44D2B" w:rsidRPr="00826645">
        <w:t>.</w:t>
      </w:r>
    </w:p>
    <w:p w:rsidR="00F44D2B" w:rsidRPr="00826645" w:rsidRDefault="00AD7832" w:rsidP="00F44D2B">
      <w:pPr>
        <w:spacing w:after="240"/>
        <w:jc w:val="both"/>
      </w:pPr>
      <w:r w:rsidRPr="00826645">
        <w:tab/>
      </w:r>
      <w:r w:rsidR="00F44D2B" w:rsidRPr="00826645">
        <w:t xml:space="preserve">Riverdale proposed an accumulated depreciation balance of $1,647,151. Based on the plant balance, </w:t>
      </w:r>
      <w:r w:rsidR="00731747" w:rsidRPr="00826645">
        <w:t>we</w:t>
      </w:r>
      <w:r w:rsidR="00F44D2B" w:rsidRPr="00826645">
        <w:t xml:space="preserve"> recalculated accumulated depreciation using the depreciation rates established by Rule 25-30.140, F.A.C. As a result, accumulated depreciation </w:t>
      </w:r>
      <w:r w:rsidR="00731747" w:rsidRPr="00826645">
        <w:t>shall</w:t>
      </w:r>
      <w:r w:rsidR="00F44D2B" w:rsidRPr="00826645">
        <w:t xml:space="preserve"> be decreased by $262,032. As such, </w:t>
      </w:r>
      <w:r w:rsidR="00731747" w:rsidRPr="00826645">
        <w:t>we find</w:t>
      </w:r>
      <w:r w:rsidR="00F44D2B" w:rsidRPr="00826645">
        <w:t xml:space="preserve"> an accumulated depreciation balance of $1,385,119</w:t>
      </w:r>
      <w:r w:rsidR="00731747" w:rsidRPr="00826645">
        <w:t xml:space="preserve"> is appropriate</w:t>
      </w:r>
      <w:r w:rsidR="00F44D2B" w:rsidRPr="00826645">
        <w:t>.</w:t>
      </w:r>
    </w:p>
    <w:p w:rsidR="00F44D2B" w:rsidRPr="00826645" w:rsidRDefault="00AD7832" w:rsidP="00F44D2B">
      <w:pPr>
        <w:spacing w:after="240"/>
        <w:jc w:val="both"/>
      </w:pPr>
      <w:r w:rsidRPr="00826645">
        <w:tab/>
      </w:r>
      <w:r w:rsidR="00F44D2B" w:rsidRPr="00826645">
        <w:t xml:space="preserve">In its filing, the Utility proposed a contributions in aid of construction (CIAC) balance of $3,331,287. Based on </w:t>
      </w:r>
      <w:r w:rsidR="00731747" w:rsidRPr="00826645">
        <w:t>our</w:t>
      </w:r>
      <w:r w:rsidR="00F44D2B" w:rsidRPr="00826645">
        <w:t xml:space="preserve"> </w:t>
      </w:r>
      <w:r w:rsidR="00731747" w:rsidRPr="00826645">
        <w:t>revised</w:t>
      </w:r>
      <w:r w:rsidR="00F44D2B" w:rsidRPr="00826645">
        <w:t xml:space="preserve"> connection fees, the CIAC balance </w:t>
      </w:r>
      <w:r w:rsidR="00731747" w:rsidRPr="00826645">
        <w:t>shall</w:t>
      </w:r>
      <w:r w:rsidR="00F44D2B" w:rsidRPr="00826645">
        <w:t xml:space="preserve"> be decreased by $397,062. As such, </w:t>
      </w:r>
      <w:r w:rsidR="00731747" w:rsidRPr="00826645">
        <w:t>we find</w:t>
      </w:r>
      <w:r w:rsidR="00F44D2B" w:rsidRPr="00826645">
        <w:t xml:space="preserve"> a CIAC balance of $2,934,225</w:t>
      </w:r>
      <w:r w:rsidR="00731747" w:rsidRPr="00826645">
        <w:t xml:space="preserve"> is appropriate</w:t>
      </w:r>
      <w:r w:rsidR="00F44D2B" w:rsidRPr="00826645">
        <w:t>.</w:t>
      </w:r>
    </w:p>
    <w:p w:rsidR="00F44D2B" w:rsidRPr="00826645" w:rsidRDefault="00AD7832" w:rsidP="00F44D2B">
      <w:pPr>
        <w:spacing w:after="240"/>
        <w:jc w:val="both"/>
      </w:pPr>
      <w:r w:rsidRPr="00826645">
        <w:tab/>
      </w:r>
      <w:r w:rsidR="00F44D2B" w:rsidRPr="00826645">
        <w:t xml:space="preserve">Riverdale proposed an accumulated amortization of CIAC balance of $919,344. </w:t>
      </w:r>
      <w:r w:rsidR="00731747" w:rsidRPr="00826645">
        <w:t xml:space="preserve">We </w:t>
      </w:r>
      <w:r w:rsidR="00F44D2B" w:rsidRPr="00826645">
        <w:t>recalculated accumulated amortization of CIAC using the correct accounts and deprecation rates. As a result,</w:t>
      </w:r>
      <w:r w:rsidR="00731747" w:rsidRPr="00826645">
        <w:t xml:space="preserve"> we find</w:t>
      </w:r>
      <w:r w:rsidR="00F44D2B" w:rsidRPr="00826645">
        <w:t xml:space="preserve"> that accumulated amortization of CIAC </w:t>
      </w:r>
      <w:r w:rsidR="00731747" w:rsidRPr="00826645">
        <w:t xml:space="preserve">shall </w:t>
      </w:r>
      <w:r w:rsidR="00F44D2B" w:rsidRPr="00826645">
        <w:t>be d</w:t>
      </w:r>
      <w:r w:rsidR="00731747" w:rsidRPr="00826645">
        <w:t>ecreased by $473,757. As such, we find</w:t>
      </w:r>
      <w:r w:rsidR="00F44D2B" w:rsidRPr="00826645">
        <w:t xml:space="preserve"> an accumulated amortization of CIAC balance of $445,587</w:t>
      </w:r>
      <w:r w:rsidR="00731747" w:rsidRPr="00826645">
        <w:t xml:space="preserve"> is appropriate</w:t>
      </w:r>
      <w:r w:rsidR="00F44D2B" w:rsidRPr="00826645">
        <w:t>.</w:t>
      </w:r>
    </w:p>
    <w:p w:rsidR="00F44D2B" w:rsidRPr="00826645" w:rsidRDefault="00AD7832" w:rsidP="00F44D2B">
      <w:pPr>
        <w:spacing w:after="240"/>
        <w:jc w:val="both"/>
      </w:pPr>
      <w:r w:rsidRPr="00826645">
        <w:tab/>
      </w:r>
      <w:r w:rsidR="00F44D2B" w:rsidRPr="00826645">
        <w:t xml:space="preserve">The Utility proposed a working capital allowance of $22,813 based on one-eighth of the estimated operation and maintenance (O&amp;M) expenses of the system. </w:t>
      </w:r>
      <w:r w:rsidR="002348E4" w:rsidRPr="00826645">
        <w:t xml:space="preserve">We </w:t>
      </w:r>
      <w:r w:rsidR="001F3892" w:rsidRPr="00826645">
        <w:t>have previously</w:t>
      </w:r>
      <w:r w:rsidR="00F44D2B" w:rsidRPr="00826645">
        <w:t xml:space="preserve"> allowed this methodology in original certificate cases as the O&amp;M expenses are estimated.</w:t>
      </w:r>
      <w:r w:rsidR="00F44D2B" w:rsidRPr="00826645">
        <w:rPr>
          <w:vertAlign w:val="superscript"/>
        </w:rPr>
        <w:footnoteReference w:id="2"/>
      </w:r>
      <w:r w:rsidR="00F44D2B" w:rsidRPr="00826645">
        <w:t xml:space="preserve"> </w:t>
      </w:r>
      <w:r w:rsidR="002348E4" w:rsidRPr="00826645">
        <w:t xml:space="preserve">Based on our </w:t>
      </w:r>
      <w:r w:rsidR="00F44D2B" w:rsidRPr="00826645">
        <w:t xml:space="preserve">adjustment to O&amp;M expense discussed </w:t>
      </w:r>
      <w:r w:rsidR="002348E4" w:rsidRPr="00826645">
        <w:t>later in this order</w:t>
      </w:r>
      <w:r w:rsidR="00F44D2B" w:rsidRPr="00826645">
        <w:t>, working capital</w:t>
      </w:r>
      <w:r w:rsidR="002348E4" w:rsidRPr="00826645">
        <w:t xml:space="preserve"> shall</w:t>
      </w:r>
      <w:r w:rsidR="00F44D2B" w:rsidRPr="00826645">
        <w:t xml:space="preserve"> be redu</w:t>
      </w:r>
      <w:r w:rsidR="002348E4" w:rsidRPr="00826645">
        <w:t>ced by $263. As a result, we find that</w:t>
      </w:r>
      <w:r w:rsidR="00F44D2B" w:rsidRPr="00826645">
        <w:t xml:space="preserve"> a working capital allowance of $22,550</w:t>
      </w:r>
      <w:r w:rsidR="002348E4" w:rsidRPr="00826645">
        <w:t xml:space="preserve"> is appropriate</w:t>
      </w:r>
      <w:r w:rsidR="00F44D2B" w:rsidRPr="00826645">
        <w:t>.</w:t>
      </w:r>
    </w:p>
    <w:p w:rsidR="00F44D2B" w:rsidRPr="00826645" w:rsidRDefault="00AD7832" w:rsidP="00F44D2B">
      <w:pPr>
        <w:spacing w:after="240"/>
        <w:jc w:val="both"/>
      </w:pPr>
      <w:r w:rsidRPr="00826645">
        <w:tab/>
      </w:r>
      <w:r w:rsidR="00F44D2B" w:rsidRPr="00826645">
        <w:t xml:space="preserve">In total, the Utility proposed a rate base of $2,109,453. Based on the adjustments discussed </w:t>
      </w:r>
      <w:r w:rsidR="001F3892" w:rsidRPr="00826645">
        <w:t>herein</w:t>
      </w:r>
      <w:r w:rsidR="00F44D2B" w:rsidRPr="00826645">
        <w:t>, the rate base</w:t>
      </w:r>
      <w:r w:rsidR="001F3892" w:rsidRPr="00826645">
        <w:t xml:space="preserve"> shall</w:t>
      </w:r>
      <w:r w:rsidR="00F44D2B" w:rsidRPr="00826645">
        <w:t xml:space="preserve"> be increased by $185,074. As such,</w:t>
      </w:r>
      <w:r w:rsidR="001F3892" w:rsidRPr="00826645">
        <w:t xml:space="preserve"> we find</w:t>
      </w:r>
      <w:r w:rsidR="00F44D2B" w:rsidRPr="00826645">
        <w:t xml:space="preserve"> an adjusted rate base of $2,294,527</w:t>
      </w:r>
      <w:r w:rsidR="001F3892" w:rsidRPr="00826645">
        <w:t xml:space="preserve"> is appropriate</w:t>
      </w:r>
      <w:r w:rsidR="00F44D2B" w:rsidRPr="00826645">
        <w:t>. Rate base calculations are shown on Schedule No. 1-A</w:t>
      </w:r>
      <w:r w:rsidR="0065736F">
        <w:t>, attached herein</w:t>
      </w:r>
      <w:r w:rsidR="00F44D2B" w:rsidRPr="00826645">
        <w:t xml:space="preserve">. </w:t>
      </w:r>
      <w:r w:rsidR="001F3892" w:rsidRPr="00826645">
        <w:t>Our</w:t>
      </w:r>
      <w:r w:rsidR="00F44D2B" w:rsidRPr="00826645">
        <w:t xml:space="preserve"> adjustments are shown on Schedule No. 1-B</w:t>
      </w:r>
      <w:r w:rsidR="0065736F">
        <w:t>, attached herein</w:t>
      </w:r>
      <w:r w:rsidR="00F44D2B" w:rsidRPr="00826645">
        <w:t>.</w:t>
      </w:r>
    </w:p>
    <w:p w:rsidR="00D74EF9" w:rsidRDefault="00D74EF9" w:rsidP="00F44D2B">
      <w:pPr>
        <w:jc w:val="both"/>
        <w:outlineLvl w:val="2"/>
        <w:rPr>
          <w:b/>
          <w:bCs/>
          <w:iCs/>
        </w:rPr>
      </w:pPr>
    </w:p>
    <w:p w:rsidR="00F44D2B" w:rsidRPr="00826645" w:rsidRDefault="00F44D2B" w:rsidP="00F44D2B">
      <w:pPr>
        <w:jc w:val="both"/>
        <w:outlineLvl w:val="2"/>
        <w:rPr>
          <w:b/>
          <w:bCs/>
          <w:iCs/>
        </w:rPr>
      </w:pPr>
      <w:r w:rsidRPr="00826645">
        <w:rPr>
          <w:b/>
          <w:bCs/>
          <w:iCs/>
        </w:rPr>
        <w:lastRenderedPageBreak/>
        <w:t>Cost of Capital</w:t>
      </w:r>
    </w:p>
    <w:p w:rsidR="00F44D2B" w:rsidRPr="00826645" w:rsidRDefault="00AD7832" w:rsidP="00F44D2B">
      <w:pPr>
        <w:spacing w:after="240"/>
        <w:jc w:val="both"/>
      </w:pPr>
      <w:r w:rsidRPr="00826645">
        <w:tab/>
      </w:r>
      <w:r w:rsidR="00F44D2B" w:rsidRPr="00826645">
        <w:t>Riverdale proposed an ROE of 9.83 percent, based on the leverage formula in effect at the time of filing.</w:t>
      </w:r>
      <w:r w:rsidR="00F44D2B" w:rsidRPr="00826645">
        <w:rPr>
          <w:vertAlign w:val="superscript"/>
        </w:rPr>
        <w:footnoteReference w:id="3"/>
      </w:r>
      <w:r w:rsidR="00F44D2B" w:rsidRPr="00826645">
        <w:t xml:space="preserve"> However, it has been </w:t>
      </w:r>
      <w:r w:rsidR="001F3892" w:rsidRPr="00826645">
        <w:t>our</w:t>
      </w:r>
      <w:r w:rsidR="00F44D2B" w:rsidRPr="00826645">
        <w:t xml:space="preserve"> practice to use the leverage formula currently in effect to determine a Utility’s ROE.</w:t>
      </w:r>
      <w:r w:rsidR="00F44D2B" w:rsidRPr="00826645">
        <w:rPr>
          <w:vertAlign w:val="superscript"/>
        </w:rPr>
        <w:footnoteReference w:id="4"/>
      </w:r>
      <w:r w:rsidR="00F44D2B" w:rsidRPr="00826645">
        <w:t xml:space="preserve"> As such, the Utility’s ROE </w:t>
      </w:r>
      <w:r w:rsidR="001F3892" w:rsidRPr="00826645">
        <w:t xml:space="preserve">shall </w:t>
      </w:r>
      <w:r w:rsidR="00F44D2B" w:rsidRPr="00826645">
        <w:t>be based on the current leverage formula in effect.</w:t>
      </w:r>
      <w:r w:rsidR="00F44D2B" w:rsidRPr="00826645">
        <w:rPr>
          <w:vertAlign w:val="superscript"/>
        </w:rPr>
        <w:footnoteReference w:id="5"/>
      </w:r>
      <w:r w:rsidR="00F44D2B" w:rsidRPr="00826645">
        <w:t xml:space="preserve"> Using the current leverage formula, an ROE of 10.23 percent</w:t>
      </w:r>
      <w:r w:rsidR="001F3892" w:rsidRPr="00826645">
        <w:t xml:space="preserve"> is appropriate</w:t>
      </w:r>
      <w:r w:rsidR="00F44D2B" w:rsidRPr="00826645">
        <w:t xml:space="preserve">, with a range of plus or minus 100 basis points, as shown on Schedule No. 2. As such, </w:t>
      </w:r>
      <w:r w:rsidR="001F3892" w:rsidRPr="00826645">
        <w:t xml:space="preserve">we find that </w:t>
      </w:r>
      <w:r w:rsidR="00F44D2B" w:rsidRPr="00826645">
        <w:t>an ROE of 10.23 percent and an overall cost of capital of 8.64 percent</w:t>
      </w:r>
      <w:r w:rsidR="001F3892" w:rsidRPr="00826645">
        <w:t xml:space="preserve"> is appropriate</w:t>
      </w:r>
      <w:r w:rsidR="00F44D2B" w:rsidRPr="00826645">
        <w:t>.</w:t>
      </w:r>
    </w:p>
    <w:p w:rsidR="00F44D2B" w:rsidRPr="00826645" w:rsidRDefault="00F44D2B" w:rsidP="00F44D2B">
      <w:pPr>
        <w:jc w:val="both"/>
        <w:outlineLvl w:val="2"/>
        <w:rPr>
          <w:b/>
          <w:bCs/>
          <w:iCs/>
        </w:rPr>
      </w:pPr>
      <w:r w:rsidRPr="00826645">
        <w:rPr>
          <w:b/>
          <w:bCs/>
          <w:iCs/>
        </w:rPr>
        <w:t>Net Operating Income</w:t>
      </w:r>
    </w:p>
    <w:p w:rsidR="00F44D2B" w:rsidRPr="00826645" w:rsidRDefault="00AD7832" w:rsidP="00F44D2B">
      <w:pPr>
        <w:spacing w:after="240"/>
        <w:jc w:val="both"/>
      </w:pPr>
      <w:r w:rsidRPr="00826645">
        <w:tab/>
      </w:r>
      <w:r w:rsidR="00F44D2B" w:rsidRPr="00826645">
        <w:t xml:space="preserve">The Utility projected net operating income (NOI) of $178,038. Based on </w:t>
      </w:r>
      <w:r w:rsidR="001F3892" w:rsidRPr="00826645">
        <w:t>our</w:t>
      </w:r>
      <w:r w:rsidR="00F44D2B" w:rsidRPr="00826645">
        <w:t xml:space="preserve"> adjustments, </w:t>
      </w:r>
      <w:r w:rsidR="001F3892" w:rsidRPr="00826645">
        <w:t>we</w:t>
      </w:r>
      <w:r w:rsidR="00F44D2B" w:rsidRPr="00826645">
        <w:t xml:space="preserve"> calculated an NOI of $198,170. The calculated NOI is shown in Schedule No. 3-A</w:t>
      </w:r>
      <w:r w:rsidR="0065736F">
        <w:t>, attached herein</w:t>
      </w:r>
      <w:r w:rsidR="00F44D2B" w:rsidRPr="00826645">
        <w:t>.</w:t>
      </w:r>
    </w:p>
    <w:p w:rsidR="00F44D2B" w:rsidRPr="00826645" w:rsidRDefault="00F44D2B" w:rsidP="00F44D2B">
      <w:pPr>
        <w:jc w:val="both"/>
        <w:outlineLvl w:val="2"/>
        <w:rPr>
          <w:b/>
          <w:bCs/>
          <w:iCs/>
        </w:rPr>
      </w:pPr>
      <w:r w:rsidRPr="00826645">
        <w:rPr>
          <w:b/>
          <w:bCs/>
          <w:iCs/>
        </w:rPr>
        <w:t>O&amp;M Expenses</w:t>
      </w:r>
    </w:p>
    <w:p w:rsidR="00F44D2B" w:rsidRPr="00826645" w:rsidRDefault="00AD7832" w:rsidP="00F44D2B">
      <w:pPr>
        <w:spacing w:after="240"/>
        <w:jc w:val="both"/>
      </w:pPr>
      <w:r w:rsidRPr="00826645">
        <w:tab/>
      </w:r>
      <w:r w:rsidR="00F44D2B" w:rsidRPr="00826645">
        <w:t xml:space="preserve">Riverdale proposed total O&amp;M expenses of $182,503. In its original filing, the Utility proposed salary and wages expenses of $104,443. Upon examination of the salary and wages expense, </w:t>
      </w:r>
      <w:r w:rsidR="001F3892" w:rsidRPr="00826645">
        <w:t>we were</w:t>
      </w:r>
      <w:r w:rsidR="00F44D2B" w:rsidRPr="00826645">
        <w:t xml:space="preserve"> unclear if it was intended to cover multiple positions, including a licensed operator, a mechanic, and an administrative position, and if the positions were to be in-house employees or contracted services. In response to </w:t>
      </w:r>
      <w:r w:rsidR="001F3892" w:rsidRPr="00826645">
        <w:t>our</w:t>
      </w:r>
      <w:r w:rsidR="00F44D2B" w:rsidRPr="00826645">
        <w:t xml:space="preserve"> request for clarification, the Utility stated this expense was intended to cover a single third party contractor with a current-day salary of $78,000 with an estimated inflation factor applied to represent the anticipated cost of $102,343 in 2035.</w:t>
      </w:r>
      <w:r w:rsidR="00F44D2B" w:rsidRPr="00826645">
        <w:rPr>
          <w:vertAlign w:val="superscript"/>
        </w:rPr>
        <w:footnoteReference w:id="6"/>
      </w:r>
      <w:r w:rsidR="00F44D2B" w:rsidRPr="00826645">
        <w:t xml:space="preserve"> </w:t>
      </w:r>
      <w:r w:rsidR="001F3892" w:rsidRPr="00826645">
        <w:t>We</w:t>
      </w:r>
      <w:r w:rsidR="00F44D2B" w:rsidRPr="00826645">
        <w:t xml:space="preserve"> compared the salary to similar positions within the 2023 American Water Works Association compensation survey for small water and wastewater utilities and believes the salary falls within a comparable range for a single position with the listed responsibilities. As such, </w:t>
      </w:r>
      <w:r w:rsidR="001F3892" w:rsidRPr="00826645">
        <w:t>we find</w:t>
      </w:r>
      <w:r w:rsidR="00F44D2B" w:rsidRPr="00826645">
        <w:t xml:space="preserve"> that salaries and wages expense</w:t>
      </w:r>
      <w:r w:rsidR="001F3892" w:rsidRPr="00826645">
        <w:t xml:space="preserve"> shall</w:t>
      </w:r>
      <w:r w:rsidR="00F44D2B" w:rsidRPr="00826645">
        <w:t xml:space="preserve"> be reduced by $2,100 to $102,343 and reclassified as contractual services. Based on these adjustments, </w:t>
      </w:r>
      <w:r w:rsidR="001F3892" w:rsidRPr="00826645">
        <w:t>we find</w:t>
      </w:r>
      <w:r w:rsidR="00F44D2B" w:rsidRPr="00826645">
        <w:t xml:space="preserve"> total O&amp;M expenses of $180,403</w:t>
      </w:r>
      <w:r w:rsidR="001F3892" w:rsidRPr="00826645">
        <w:t xml:space="preserve"> are appropriate</w:t>
      </w:r>
      <w:r w:rsidR="00F44D2B" w:rsidRPr="00826645">
        <w:t>.</w:t>
      </w:r>
    </w:p>
    <w:p w:rsidR="00F44D2B" w:rsidRPr="00826645" w:rsidRDefault="00F44D2B" w:rsidP="00F44D2B">
      <w:pPr>
        <w:jc w:val="both"/>
        <w:outlineLvl w:val="2"/>
        <w:rPr>
          <w:b/>
          <w:bCs/>
          <w:iCs/>
        </w:rPr>
      </w:pPr>
      <w:r w:rsidRPr="00826645">
        <w:rPr>
          <w:b/>
          <w:bCs/>
          <w:iCs/>
        </w:rPr>
        <w:t>Net Depreciation Expense</w:t>
      </w:r>
    </w:p>
    <w:p w:rsidR="00F44D2B" w:rsidRPr="00826645" w:rsidRDefault="00AD7832" w:rsidP="00F44D2B">
      <w:pPr>
        <w:spacing w:after="240"/>
        <w:jc w:val="both"/>
      </w:pPr>
      <w:r w:rsidRPr="00826645">
        <w:tab/>
      </w:r>
      <w:r w:rsidR="00F44D2B" w:rsidRPr="00826645">
        <w:t xml:space="preserve">The Utility reflected depreciation expense, net of CIAC amortization, of negative $8,061. Based on </w:t>
      </w:r>
      <w:r w:rsidR="001F3892" w:rsidRPr="00826645">
        <w:t>our</w:t>
      </w:r>
      <w:r w:rsidR="00F44D2B" w:rsidRPr="00826645">
        <w:t xml:space="preserve"> adjustments to rate base and recalculation of depreciation expense and CIAC amortization using the correct accounts and deprecation rates, a corresponding adjustment </w:t>
      </w:r>
      <w:r w:rsidR="001F3892" w:rsidRPr="00826645">
        <w:t>shall</w:t>
      </w:r>
      <w:r w:rsidR="00F44D2B" w:rsidRPr="00826645">
        <w:t xml:space="preserve"> </w:t>
      </w:r>
      <w:r w:rsidR="00F44D2B" w:rsidRPr="00826645">
        <w:lastRenderedPageBreak/>
        <w:t xml:space="preserve">be made to increase net depreciation expense by $54,922. As such, </w:t>
      </w:r>
      <w:r w:rsidR="001F3892" w:rsidRPr="00826645">
        <w:t>we find that</w:t>
      </w:r>
      <w:r w:rsidR="00F44D2B" w:rsidRPr="00826645">
        <w:t xml:space="preserve"> a net depreciation expense of $46,861</w:t>
      </w:r>
      <w:r w:rsidR="001F3892" w:rsidRPr="00826645">
        <w:t xml:space="preserve"> is appropriate</w:t>
      </w:r>
      <w:r w:rsidR="00F44D2B" w:rsidRPr="00826645">
        <w:t>.</w:t>
      </w:r>
    </w:p>
    <w:p w:rsidR="00F44D2B" w:rsidRPr="00826645" w:rsidRDefault="00F44D2B" w:rsidP="00F44D2B">
      <w:pPr>
        <w:jc w:val="both"/>
        <w:outlineLvl w:val="2"/>
        <w:rPr>
          <w:b/>
          <w:bCs/>
          <w:iCs/>
        </w:rPr>
      </w:pPr>
      <w:r w:rsidRPr="00826645">
        <w:rPr>
          <w:b/>
          <w:bCs/>
          <w:iCs/>
        </w:rPr>
        <w:t>Amortization Expense</w:t>
      </w:r>
    </w:p>
    <w:p w:rsidR="00F44D2B" w:rsidRPr="00826645" w:rsidRDefault="00AD7832" w:rsidP="00F44D2B">
      <w:pPr>
        <w:spacing w:after="240"/>
        <w:jc w:val="both"/>
      </w:pPr>
      <w:r w:rsidRPr="00826645">
        <w:tab/>
      </w:r>
      <w:r w:rsidR="00F44D2B" w:rsidRPr="00826645">
        <w:t xml:space="preserve">Riverdale reflected an amortization expense balance of $494 to reflect amortization of organization costs. </w:t>
      </w:r>
      <w:r w:rsidR="001F3892" w:rsidRPr="00826645">
        <w:t>We do</w:t>
      </w:r>
      <w:r w:rsidR="00F44D2B" w:rsidRPr="00826645">
        <w:t xml:space="preserve"> not have any adjustment to the Utility’s proposed balance. As such, </w:t>
      </w:r>
      <w:r w:rsidR="001F3892" w:rsidRPr="00826645">
        <w:t xml:space="preserve">we find that </w:t>
      </w:r>
      <w:r w:rsidR="00F44D2B" w:rsidRPr="00826645">
        <w:t>an amortization expense of $494</w:t>
      </w:r>
      <w:r w:rsidR="001F3892" w:rsidRPr="00826645">
        <w:t xml:space="preserve"> is appropriate</w:t>
      </w:r>
      <w:r w:rsidR="00F44D2B" w:rsidRPr="00826645">
        <w:t>.</w:t>
      </w:r>
    </w:p>
    <w:p w:rsidR="00F44D2B" w:rsidRPr="00826645" w:rsidRDefault="00F44D2B" w:rsidP="00F44D2B">
      <w:pPr>
        <w:jc w:val="both"/>
        <w:outlineLvl w:val="2"/>
        <w:rPr>
          <w:b/>
          <w:bCs/>
          <w:iCs/>
        </w:rPr>
      </w:pPr>
      <w:r w:rsidRPr="00826645">
        <w:rPr>
          <w:b/>
          <w:bCs/>
          <w:iCs/>
        </w:rPr>
        <w:t>Taxes Other than Income</w:t>
      </w:r>
    </w:p>
    <w:p w:rsidR="00F44D2B" w:rsidRPr="00826645" w:rsidRDefault="00AD7832" w:rsidP="00F44D2B">
      <w:pPr>
        <w:spacing w:after="240"/>
        <w:jc w:val="both"/>
      </w:pPr>
      <w:r w:rsidRPr="00826645">
        <w:tab/>
      </w:r>
      <w:r w:rsidR="00F44D2B" w:rsidRPr="00826645">
        <w:t xml:space="preserve">In its filing, the Utility included taxes other than income (TOTI) expense of $39,806. </w:t>
      </w:r>
      <w:r w:rsidR="001F3892" w:rsidRPr="00826645">
        <w:t xml:space="preserve">We </w:t>
      </w:r>
      <w:r w:rsidR="00F44D2B" w:rsidRPr="00826645">
        <w:t>recalculated the property tax expense based on UPIS and accumulated depreciation balances and decrease</w:t>
      </w:r>
      <w:r w:rsidR="001F3892" w:rsidRPr="00826645">
        <w:t>d</w:t>
      </w:r>
      <w:r w:rsidR="00F44D2B" w:rsidRPr="00826645">
        <w:t xml:space="preserve"> TOTI by $353. Additionally, regulatory assessment fees </w:t>
      </w:r>
      <w:r w:rsidR="00885782" w:rsidRPr="00826645">
        <w:t>shall be increased by</w:t>
      </w:r>
      <w:r w:rsidR="00F44D2B" w:rsidRPr="00826645">
        <w:t xml:space="preserve"> $3,421 </w:t>
      </w:r>
      <w:r w:rsidR="00885782" w:rsidRPr="00826645">
        <w:t xml:space="preserve">to </w:t>
      </w:r>
      <w:r w:rsidR="00F44D2B" w:rsidRPr="00826645">
        <w:t xml:space="preserve">recognize the appropriate revenue requirement, as discussed </w:t>
      </w:r>
      <w:r w:rsidR="00885782" w:rsidRPr="00826645">
        <w:t>herein</w:t>
      </w:r>
      <w:r w:rsidR="00F44D2B" w:rsidRPr="00826645">
        <w:t xml:space="preserve">. As such, total TOTI expenses </w:t>
      </w:r>
      <w:r w:rsidR="00885782" w:rsidRPr="00826645">
        <w:t>shall be</w:t>
      </w:r>
      <w:r w:rsidR="00F44D2B" w:rsidRPr="00826645">
        <w:t xml:space="preserve"> $42,874. </w:t>
      </w:r>
    </w:p>
    <w:p w:rsidR="00F44D2B" w:rsidRPr="00826645" w:rsidRDefault="00F44D2B" w:rsidP="00F44D2B">
      <w:pPr>
        <w:jc w:val="both"/>
        <w:outlineLvl w:val="2"/>
        <w:rPr>
          <w:b/>
          <w:bCs/>
          <w:iCs/>
        </w:rPr>
      </w:pPr>
      <w:r w:rsidRPr="00826645">
        <w:rPr>
          <w:b/>
          <w:bCs/>
          <w:iCs/>
        </w:rPr>
        <w:t>Revenue Requirement</w:t>
      </w:r>
    </w:p>
    <w:p w:rsidR="00F44D2B" w:rsidRPr="00826645" w:rsidRDefault="00AD7832" w:rsidP="00F44D2B">
      <w:pPr>
        <w:jc w:val="both"/>
      </w:pPr>
      <w:r w:rsidRPr="00826645">
        <w:tab/>
      </w:r>
      <w:r w:rsidR="00F44D2B" w:rsidRPr="00826645">
        <w:t xml:space="preserve">The Utility’s projected revenues include O&amp;M expenses, net depreciation expenses, taxes other than income, as well as a return on investment. As a Sub Chapter S Corporation, Riverdale has no income tax expense. The Utility proposed a revenue requirement of $392,780. </w:t>
      </w:r>
      <w:r w:rsidR="00885782" w:rsidRPr="00826645">
        <w:t>A</w:t>
      </w:r>
      <w:r w:rsidR="00F44D2B" w:rsidRPr="00826645">
        <w:t xml:space="preserve">n adjusted revenue requirement of $468,802 </w:t>
      </w:r>
      <w:r w:rsidR="00885782" w:rsidRPr="00826645">
        <w:t xml:space="preserve">shall </w:t>
      </w:r>
      <w:r w:rsidR="00F44D2B" w:rsidRPr="00826645">
        <w:t xml:space="preserve">be used to set initial rates for service. The calculation of Riverdale’s projected revenue requirement is shown on Schedule No. 3-A. </w:t>
      </w:r>
      <w:r w:rsidR="00885782" w:rsidRPr="00826645">
        <w:t>Our</w:t>
      </w:r>
      <w:r w:rsidR="00F44D2B" w:rsidRPr="00826645">
        <w:t xml:space="preserve"> adjustments are shown on Schedule No. 3-B</w:t>
      </w:r>
      <w:r w:rsidR="0065736F">
        <w:t>, attached herein</w:t>
      </w:r>
      <w:r w:rsidR="00F44D2B" w:rsidRPr="00826645">
        <w:t>.</w:t>
      </w:r>
    </w:p>
    <w:p w:rsidR="00F44D2B" w:rsidRPr="00826645" w:rsidRDefault="00F44D2B" w:rsidP="00F44D2B">
      <w:pPr>
        <w:jc w:val="both"/>
      </w:pPr>
    </w:p>
    <w:p w:rsidR="00F44D2B" w:rsidRPr="00826645" w:rsidRDefault="00F44D2B" w:rsidP="00F44D2B">
      <w:pPr>
        <w:jc w:val="both"/>
        <w:rPr>
          <w:b/>
        </w:rPr>
      </w:pPr>
      <w:r w:rsidRPr="00826645">
        <w:rPr>
          <w:b/>
        </w:rPr>
        <w:t>Rates and Rate Structure</w:t>
      </w:r>
    </w:p>
    <w:p w:rsidR="00F44D2B" w:rsidRPr="00826645" w:rsidRDefault="00AD7832" w:rsidP="00F44D2B">
      <w:pPr>
        <w:jc w:val="both"/>
      </w:pPr>
      <w:r w:rsidRPr="00826645">
        <w:tab/>
      </w:r>
      <w:r w:rsidR="00F44D2B" w:rsidRPr="00826645">
        <w:t>Riverdale’s proposed rates are in accordance with Rule 25-30.033(2), F.A.C., which requires that a base facility charge (BFC) and usage rate structure, as defined in Rule 25-30.437(6), F.A.C., be utilized for metered service. The Utility’s proposed rates were designed to generate the Utility’s requested revenue requirements of $392,780 for its water system.</w:t>
      </w:r>
    </w:p>
    <w:p w:rsidR="00F44D2B" w:rsidRPr="00826645" w:rsidRDefault="00F44D2B" w:rsidP="00F44D2B">
      <w:pPr>
        <w:jc w:val="both"/>
      </w:pPr>
    </w:p>
    <w:p w:rsidR="00F44D2B" w:rsidRPr="00826645" w:rsidRDefault="00AD7832" w:rsidP="00F44D2B">
      <w:pPr>
        <w:jc w:val="both"/>
      </w:pPr>
      <w:r w:rsidRPr="00826645">
        <w:tab/>
      </w:r>
      <w:r w:rsidR="00885782" w:rsidRPr="00826645">
        <w:t>The water</w:t>
      </w:r>
      <w:r w:rsidR="00F44D2B" w:rsidRPr="00826645">
        <w:t xml:space="preserve"> rates on Schedule No. 4-A</w:t>
      </w:r>
      <w:r w:rsidR="0065736F">
        <w:t>, attached herein,</w:t>
      </w:r>
      <w:r w:rsidR="00F44D2B" w:rsidRPr="00826645">
        <w:t xml:space="preserve"> reflect</w:t>
      </w:r>
      <w:r w:rsidR="00885782" w:rsidRPr="00826645">
        <w:t xml:space="preserve"> our approved</w:t>
      </w:r>
      <w:r w:rsidR="00F44D2B" w:rsidRPr="00826645">
        <w:t xml:space="preserve"> revenue requirement of $468,802 for the water system less projected miscellaneous revenues of $1,059. The Utility projects an average residential consumption of approximately 7,603 gallons per month. The Utility proposed a residential rate structure consisting of a BFC and two-tier inclining blocks with rate blocks of 1) 0-7,000 gallons and 2) all usage in excess of 7,000 gallons per month. The Utility’s proposed rate structure for the general service water customers consists of a BFC and uniform gallonage charge rate structure. The Utility proposed water rates to recover 40 percent of the water revenues through the BFC. </w:t>
      </w:r>
      <w:r w:rsidR="00B77060" w:rsidRPr="00826645">
        <w:t>We find that</w:t>
      </w:r>
      <w:r w:rsidR="00F44D2B" w:rsidRPr="00826645">
        <w:t xml:space="preserve"> the Utility’s proposed water rate structure is rea</w:t>
      </w:r>
      <w:r w:rsidR="00B77060" w:rsidRPr="00826645">
        <w:t>sonable and consistent with our</w:t>
      </w:r>
      <w:r w:rsidR="00F44D2B" w:rsidRPr="00826645">
        <w:t xml:space="preserve"> methodology in determining water rate structures. </w:t>
      </w:r>
    </w:p>
    <w:p w:rsidR="00F44D2B" w:rsidRPr="00826645" w:rsidRDefault="00F44D2B" w:rsidP="00F44D2B">
      <w:pPr>
        <w:jc w:val="both"/>
      </w:pPr>
    </w:p>
    <w:p w:rsidR="00B77060" w:rsidRPr="00826645" w:rsidRDefault="00AD7832" w:rsidP="00B77060">
      <w:pPr>
        <w:spacing w:after="240"/>
        <w:jc w:val="both"/>
      </w:pPr>
      <w:r w:rsidRPr="00826645">
        <w:tab/>
      </w:r>
      <w:r w:rsidR="00F44D2B" w:rsidRPr="00826645">
        <w:t xml:space="preserve">Based on the above, </w:t>
      </w:r>
      <w:r w:rsidR="00B77060" w:rsidRPr="00826645">
        <w:t>we find that the</w:t>
      </w:r>
      <w:r w:rsidR="00F44D2B" w:rsidRPr="00826645">
        <w:t xml:space="preserve"> water rates, shown on Schedule No. 4</w:t>
      </w:r>
      <w:r w:rsidR="0065736F">
        <w:t>, attached herein,</w:t>
      </w:r>
      <w:r w:rsidR="00F44D2B" w:rsidRPr="00826645">
        <w:t xml:space="preserve"> are reasonable and </w:t>
      </w:r>
      <w:r w:rsidR="00B77060" w:rsidRPr="00826645">
        <w:t>shall</w:t>
      </w:r>
      <w:r w:rsidR="00F44D2B" w:rsidRPr="00826645">
        <w:t xml:space="preserve"> be approved. The approved rates </w:t>
      </w:r>
      <w:r w:rsidR="00B77060" w:rsidRPr="00826645">
        <w:t>shall</w:t>
      </w:r>
      <w:r w:rsidR="00F44D2B" w:rsidRPr="00826645">
        <w:t xml:space="preserve"> be effective for services rendered as of the stamped approval date on the tariff sheets pursuant to Rule 25-30.475, F.A.C. The Utility </w:t>
      </w:r>
      <w:r w:rsidR="00B77060" w:rsidRPr="00826645">
        <w:t>shall</w:t>
      </w:r>
      <w:r w:rsidR="00F44D2B" w:rsidRPr="00826645">
        <w:t xml:space="preserve"> be required to charge the approved rates until a</w:t>
      </w:r>
      <w:r w:rsidR="00B77060" w:rsidRPr="00826645">
        <w:t xml:space="preserve">uthorized to change them by us </w:t>
      </w:r>
      <w:r w:rsidR="00F44D2B" w:rsidRPr="00826645">
        <w:t>in a subsequent proceeding.</w:t>
      </w:r>
      <w:r w:rsidR="00B77060" w:rsidRPr="00826645">
        <w:t xml:space="preserve"> </w:t>
      </w:r>
      <w:r w:rsidR="00B77060" w:rsidRPr="00826645">
        <w:rPr>
          <w:rFonts w:ascii="TimesNewRomanPSMT" w:hAnsi="TimesNewRomanPSMT" w:cs="TimesNewRomanPSMT"/>
        </w:rPr>
        <w:t xml:space="preserve">The overall cost of capital shall be set at 8.64 percent. A return on </w:t>
      </w:r>
      <w:r w:rsidR="00B77060" w:rsidRPr="00826645">
        <w:rPr>
          <w:rFonts w:ascii="TimesNewRomanPSMT" w:hAnsi="TimesNewRomanPSMT" w:cs="TimesNewRomanPSMT"/>
        </w:rPr>
        <w:lastRenderedPageBreak/>
        <w:t>equity (ROE) of 10.23 percent with a range of plus or minus 100 basis points is also hereby approved.</w:t>
      </w:r>
    </w:p>
    <w:p w:rsidR="00F44D2B" w:rsidRPr="00826645" w:rsidRDefault="00B77060" w:rsidP="00B77060">
      <w:pPr>
        <w:pStyle w:val="ListParagraph"/>
        <w:numPr>
          <w:ilvl w:val="0"/>
          <w:numId w:val="3"/>
        </w:numPr>
        <w:spacing w:after="240"/>
        <w:jc w:val="both"/>
        <w:rPr>
          <w:b/>
          <w:u w:val="single"/>
        </w:rPr>
      </w:pPr>
      <w:r w:rsidRPr="00826645">
        <w:rPr>
          <w:b/>
          <w:i/>
        </w:rPr>
        <w:t xml:space="preserve"> </w:t>
      </w:r>
      <w:r w:rsidR="00F44D2B" w:rsidRPr="00826645">
        <w:rPr>
          <w:b/>
          <w:u w:val="single"/>
        </w:rPr>
        <w:t xml:space="preserve">Riverdale Utility Holding, Inc.’s </w:t>
      </w:r>
      <w:r w:rsidR="00D74EF9">
        <w:rPr>
          <w:b/>
          <w:u w:val="single"/>
        </w:rPr>
        <w:t>R</w:t>
      </w:r>
      <w:r w:rsidR="00F44D2B" w:rsidRPr="00826645">
        <w:rPr>
          <w:b/>
          <w:u w:val="single"/>
        </w:rPr>
        <w:t>equ</w:t>
      </w:r>
      <w:r w:rsidRPr="00826645">
        <w:rPr>
          <w:b/>
          <w:u w:val="single"/>
        </w:rPr>
        <w:t xml:space="preserve">ested </w:t>
      </w:r>
      <w:r w:rsidR="00D74EF9">
        <w:rPr>
          <w:b/>
          <w:u w:val="single"/>
        </w:rPr>
        <w:t>I</w:t>
      </w:r>
      <w:r w:rsidRPr="00826645">
        <w:rPr>
          <w:b/>
          <w:u w:val="single"/>
        </w:rPr>
        <w:t xml:space="preserve">nitial </w:t>
      </w:r>
      <w:r w:rsidR="00D74EF9">
        <w:rPr>
          <w:b/>
          <w:u w:val="single"/>
        </w:rPr>
        <w:t>C</w:t>
      </w:r>
      <w:r w:rsidRPr="00826645">
        <w:rPr>
          <w:b/>
          <w:u w:val="single"/>
        </w:rPr>
        <w:t xml:space="preserve">ustomer </w:t>
      </w:r>
      <w:r w:rsidR="00D74EF9">
        <w:rPr>
          <w:b/>
          <w:u w:val="single"/>
        </w:rPr>
        <w:t>D</w:t>
      </w:r>
      <w:r w:rsidRPr="00826645">
        <w:rPr>
          <w:b/>
          <w:u w:val="single"/>
        </w:rPr>
        <w:t>eposits</w:t>
      </w:r>
    </w:p>
    <w:p w:rsidR="00F44D2B" w:rsidRPr="00826645" w:rsidRDefault="00F44D2B" w:rsidP="00B77060">
      <w:pPr>
        <w:spacing w:after="240"/>
        <w:ind w:firstLine="720"/>
        <w:jc w:val="both"/>
        <w:outlineLvl w:val="1"/>
      </w:pPr>
      <w:r w:rsidRPr="00826645">
        <w:t>Rule 25-30.311, F.A.C., contains criteria for collecting, administering, and refunding customer deposits. Rule 25-30.311(1), F.A.C., requires that each company’s tariff shall contain its specific criteria for determining the amount of initial deposits. The Utility requested initial customer deposits of $350 for water service for the residential 5/8” x 3/4” meter size and two times the average estimated monthly bill for all others. Customer deposits are designed to minimize the exposure of bad debt expense for the Utility and, ultimately, the general body of rate payers. In addition, collection of customer deposits is consistent with one of the fundamental principles of rate making which ensures that the cost of providing service is recovered from the cost causer.</w:t>
      </w:r>
    </w:p>
    <w:p w:rsidR="00F44D2B" w:rsidRPr="00826645" w:rsidRDefault="00AD7832" w:rsidP="00AD7832">
      <w:pPr>
        <w:spacing w:after="240"/>
        <w:jc w:val="both"/>
        <w:outlineLvl w:val="1"/>
      </w:pPr>
      <w:r w:rsidRPr="00826645">
        <w:tab/>
      </w:r>
      <w:r w:rsidR="00F44D2B" w:rsidRPr="00826645">
        <w:t xml:space="preserve">Rule 25-30.311(7), F.A.C., authorizes utilities to collect new or additional deposits from existing customers not to exceed an amount equal to the average actual charge for water and/or wastewater service for two billing periods for the 12-month period immediately prior to the date of notice. The two billing periods reflect the lag time between the customer’s usage and the Utility’s collection of the revenues associated with that usage. </w:t>
      </w:r>
      <w:r w:rsidR="00B77060" w:rsidRPr="00826645">
        <w:t>Our</w:t>
      </w:r>
      <w:r w:rsidR="00F44D2B" w:rsidRPr="00826645">
        <w:t xml:space="preserve"> practice has been to set initial customer deposits equal to two months bills based on the average consumption for a 12-month period for each class of customers. Based on the billing determinants and average residential bill provided in the application, </w:t>
      </w:r>
      <w:r w:rsidR="00B77060" w:rsidRPr="00826645">
        <w:t>we</w:t>
      </w:r>
      <w:r w:rsidR="00F44D2B" w:rsidRPr="00826645">
        <w:t xml:space="preserve"> determined that the anticipated average residential usage will be approximately 7,603 gallons per month for both water and wastewater. Consequently, the average residential monthly bill will be approximately $161.67 for water service, based on </w:t>
      </w:r>
      <w:r w:rsidR="00B77060" w:rsidRPr="00826645">
        <w:t>approved</w:t>
      </w:r>
      <w:r w:rsidR="00F44D2B" w:rsidRPr="00826645">
        <w:t xml:space="preserve"> rates. </w:t>
      </w:r>
    </w:p>
    <w:p w:rsidR="00B77060" w:rsidRPr="00826645" w:rsidRDefault="00AD7832" w:rsidP="00F44D2B">
      <w:pPr>
        <w:pStyle w:val="OrderBody"/>
      </w:pPr>
      <w:r w:rsidRPr="00826645">
        <w:tab/>
      </w:r>
      <w:r w:rsidR="00F44D2B" w:rsidRPr="00826645">
        <w:t>Based on the above,</w:t>
      </w:r>
      <w:r w:rsidR="00F44D2B" w:rsidRPr="00826645">
        <w:rPr>
          <w:rFonts w:asciiTheme="minorHAnsi" w:hAnsiTheme="minorHAnsi"/>
          <w:sz w:val="22"/>
        </w:rPr>
        <w:t xml:space="preserve"> t</w:t>
      </w:r>
      <w:r w:rsidR="00F44D2B" w:rsidRPr="00826645">
        <w:t xml:space="preserve">he appropriate initial customer deposits are $324 for water service for the residential 5/8″ x 3/4″ meter size. The initial customer deposit for all other residential meter sizes and all general service meter sizes </w:t>
      </w:r>
      <w:r w:rsidR="0086411E" w:rsidRPr="00826645">
        <w:t>shall</w:t>
      </w:r>
      <w:r w:rsidR="00F44D2B" w:rsidRPr="00826645">
        <w:t xml:space="preserve"> be two times the average estimated bill. The approved initial customer deposits </w:t>
      </w:r>
      <w:r w:rsidR="0086411E" w:rsidRPr="00826645">
        <w:t>shall</w:t>
      </w:r>
      <w:r w:rsidR="00F44D2B" w:rsidRPr="00826645">
        <w:t xml:space="preserve"> be effective for service rendered on or after the stamped approval date on the tariff pursuant to Rule 25-30.475, F.A.C. The Utility </w:t>
      </w:r>
      <w:r w:rsidR="00B77060" w:rsidRPr="00826645">
        <w:t>shall</w:t>
      </w:r>
      <w:r w:rsidR="00F44D2B" w:rsidRPr="00826645">
        <w:t xml:space="preserve"> be required to collect the approved deposits until authorized to change them by </w:t>
      </w:r>
      <w:r w:rsidR="00B77060" w:rsidRPr="00826645">
        <w:t>us</w:t>
      </w:r>
      <w:r w:rsidR="00F44D2B" w:rsidRPr="00826645">
        <w:t xml:space="preserve"> in a subsequent proceeding.</w:t>
      </w:r>
    </w:p>
    <w:p w:rsidR="00F44D2B" w:rsidRPr="00826645" w:rsidRDefault="00F44D2B" w:rsidP="00F44D2B">
      <w:pPr>
        <w:pStyle w:val="OrderBody"/>
        <w:rPr>
          <w:b/>
          <w:u w:val="single"/>
        </w:rPr>
      </w:pPr>
    </w:p>
    <w:p w:rsidR="00F44D2B" w:rsidRPr="00826645" w:rsidRDefault="00B77060" w:rsidP="00B77060">
      <w:pPr>
        <w:pStyle w:val="ListParagraph"/>
        <w:numPr>
          <w:ilvl w:val="0"/>
          <w:numId w:val="3"/>
        </w:numPr>
        <w:spacing w:after="240"/>
        <w:jc w:val="both"/>
        <w:rPr>
          <w:b/>
          <w:u w:val="single"/>
        </w:rPr>
      </w:pPr>
      <w:r w:rsidRPr="00826645">
        <w:rPr>
          <w:b/>
          <w:u w:val="single"/>
        </w:rPr>
        <w:t>Service Availability Charges for Riverdale Utility Holding, Inc.</w:t>
      </w:r>
    </w:p>
    <w:p w:rsidR="00F44D2B" w:rsidRPr="00826645" w:rsidRDefault="00F44D2B" w:rsidP="00B77060">
      <w:pPr>
        <w:spacing w:after="240"/>
        <w:ind w:firstLine="720"/>
        <w:jc w:val="both"/>
        <w:outlineLvl w:val="1"/>
        <w:rPr>
          <w:bCs/>
          <w:iCs/>
          <w:szCs w:val="28"/>
        </w:rPr>
      </w:pPr>
      <w:r w:rsidRPr="00826645">
        <w:t>Riverdale</w:t>
      </w:r>
      <w:r w:rsidRPr="00826645">
        <w:rPr>
          <w:bCs/>
          <w:iCs/>
          <w:szCs w:val="28"/>
        </w:rPr>
        <w:t xml:space="preserve"> requested a meter installation charge of $250 for 5/8” x 3/4” meters and actual cost for all other meter sizes, service installation charges of $500 for single service and $1,000 for double service, a plant capacity charge of $10,118 per ERC, and a main extension charge of $2,091 per ERC for its water system. The Utility’s proposed ERC is 250 gpd. The Utility asserts that the requested charges are in compliance with Rule 25-30.580, F.A.C., in that at design capacity the CIAC will not be in excess of 75 percent, and will not be less than the percentage of facilities and plant represented by the distribution and collection systems.</w:t>
      </w:r>
    </w:p>
    <w:p w:rsidR="00F44D2B" w:rsidRPr="00826645" w:rsidRDefault="00AD7832" w:rsidP="00F44D2B">
      <w:pPr>
        <w:spacing w:after="240"/>
        <w:jc w:val="both"/>
        <w:outlineLvl w:val="1"/>
        <w:rPr>
          <w:bCs/>
          <w:iCs/>
          <w:szCs w:val="28"/>
        </w:rPr>
      </w:pPr>
      <w:r w:rsidRPr="00826645">
        <w:rPr>
          <w:bCs/>
          <w:iCs/>
          <w:szCs w:val="28"/>
        </w:rPr>
        <w:tab/>
      </w:r>
      <w:r w:rsidR="00F44D2B" w:rsidRPr="00826645">
        <w:rPr>
          <w:bCs/>
          <w:iCs/>
          <w:szCs w:val="28"/>
        </w:rPr>
        <w:t xml:space="preserve">Rule 25-30.580(1)(a), F.A.C., provides that the maximum amount of CIAC, net of amortization, should not exceed 75 percent of the total original cost, net of accumulated </w:t>
      </w:r>
      <w:r w:rsidR="00F44D2B" w:rsidRPr="00826645">
        <w:rPr>
          <w:bCs/>
          <w:iCs/>
          <w:szCs w:val="28"/>
        </w:rPr>
        <w:lastRenderedPageBreak/>
        <w:t xml:space="preserve">depreciation, of the Utility's facilities and plant when the facilities and plant are at their design capacity. The maximum guideline is designed to ensure that the Utility retains an investment in the system. Rule 25-30.580(1)(b), F.A.C., provides that the minimum amount of CIAC should not be less than the percentage of such facilities and plant that is represented by the distribution and collection systems. </w:t>
      </w:r>
    </w:p>
    <w:p w:rsidR="00F44D2B" w:rsidRPr="00826645" w:rsidRDefault="00F44D2B" w:rsidP="00F44D2B">
      <w:pPr>
        <w:jc w:val="both"/>
        <w:outlineLvl w:val="1"/>
        <w:rPr>
          <w:b/>
        </w:rPr>
      </w:pPr>
      <w:r w:rsidRPr="00826645">
        <w:rPr>
          <w:b/>
        </w:rPr>
        <w:t>Meter Installation Charges</w:t>
      </w:r>
    </w:p>
    <w:p w:rsidR="00F44D2B" w:rsidRPr="00826645" w:rsidRDefault="00AD7832" w:rsidP="00F44D2B">
      <w:pPr>
        <w:spacing w:after="240"/>
        <w:jc w:val="both"/>
        <w:outlineLvl w:val="1"/>
      </w:pPr>
      <w:r w:rsidRPr="00826645">
        <w:tab/>
      </w:r>
      <w:r w:rsidR="00F44D2B" w:rsidRPr="00826645">
        <w:t>Riverdale requested approval of a meter installation charge</w:t>
      </w:r>
      <w:r w:rsidR="00F44D2B" w:rsidRPr="00826645">
        <w:rPr>
          <w:bCs/>
          <w:iCs/>
          <w:szCs w:val="28"/>
        </w:rPr>
        <w:t xml:space="preserve"> of $250 for the</w:t>
      </w:r>
      <w:r w:rsidR="00F44D2B" w:rsidRPr="00826645">
        <w:t xml:space="preserve"> 5/8” x 3/4” meter. All other meter sizes will be installed at the Utility’s actual cost. The Utility’s proposed meter installation charge of $250 is based on the estimated cost to install water meters. </w:t>
      </w:r>
      <w:r w:rsidR="002F6293" w:rsidRPr="00826645">
        <w:t>We find</w:t>
      </w:r>
      <w:r w:rsidR="00F44D2B" w:rsidRPr="00826645">
        <w:t xml:space="preserve"> that the meter installation charges are reasonable and </w:t>
      </w:r>
      <w:r w:rsidR="002F6293" w:rsidRPr="00826645">
        <w:t>shall</w:t>
      </w:r>
      <w:r w:rsidR="00F44D2B" w:rsidRPr="00826645">
        <w:t xml:space="preserve"> be approved.  </w:t>
      </w:r>
    </w:p>
    <w:p w:rsidR="00F44D2B" w:rsidRPr="00826645" w:rsidRDefault="00F44D2B" w:rsidP="00F44D2B">
      <w:pPr>
        <w:jc w:val="both"/>
        <w:outlineLvl w:val="1"/>
      </w:pPr>
      <w:r w:rsidRPr="00826645">
        <w:rPr>
          <w:b/>
        </w:rPr>
        <w:t>Service Installation Charges</w:t>
      </w:r>
    </w:p>
    <w:p w:rsidR="00F44D2B" w:rsidRPr="00826645" w:rsidRDefault="00AD7832" w:rsidP="00F44D2B">
      <w:pPr>
        <w:spacing w:after="240"/>
        <w:jc w:val="both"/>
        <w:outlineLvl w:val="1"/>
        <w:rPr>
          <w:bCs/>
          <w:iCs/>
          <w:szCs w:val="28"/>
        </w:rPr>
      </w:pPr>
      <w:r w:rsidRPr="00826645">
        <w:tab/>
      </w:r>
      <w:r w:rsidR="00F44D2B" w:rsidRPr="00826645">
        <w:t>Riverdale requested service installation charges of $500 for a single service and $1,000 for a double service. The service installation charge covers the cost of connecting a property’s water meter to the water main, which includes installing pipes and valves. In response to</w:t>
      </w:r>
      <w:r w:rsidR="002F6293" w:rsidRPr="00826645">
        <w:t xml:space="preserve"> our</w:t>
      </w:r>
      <w:r w:rsidR="00F44D2B" w:rsidRPr="00826645">
        <w:t xml:space="preserve"> staff’s second data request, Riverdale submitted documentation indicating the cost of service installation for the single service of $500 and double service of $1,000. The single service is for connecting one water line and double service is connecting two water lines. </w:t>
      </w:r>
      <w:r w:rsidR="002F6293" w:rsidRPr="00826645">
        <w:t>We find</w:t>
      </w:r>
      <w:r w:rsidR="00F44D2B" w:rsidRPr="00826645">
        <w:t xml:space="preserve"> that the service installation charges are reasonable and </w:t>
      </w:r>
      <w:r w:rsidR="002F6293" w:rsidRPr="00826645">
        <w:t>shall</w:t>
      </w:r>
      <w:r w:rsidR="00F44D2B" w:rsidRPr="00826645">
        <w:t xml:space="preserve"> be approved.</w:t>
      </w:r>
    </w:p>
    <w:p w:rsidR="00F44D2B" w:rsidRPr="00826645" w:rsidRDefault="00F44D2B" w:rsidP="00F44D2B">
      <w:pPr>
        <w:jc w:val="both"/>
        <w:outlineLvl w:val="1"/>
        <w:rPr>
          <w:b/>
        </w:rPr>
      </w:pPr>
      <w:r w:rsidRPr="00826645">
        <w:rPr>
          <w:b/>
        </w:rPr>
        <w:t>Main Extension Charges</w:t>
      </w:r>
    </w:p>
    <w:p w:rsidR="00F44D2B" w:rsidRPr="00826645" w:rsidRDefault="00AD7832" w:rsidP="00F44D2B">
      <w:pPr>
        <w:jc w:val="both"/>
        <w:outlineLvl w:val="1"/>
      </w:pPr>
      <w:r w:rsidRPr="00826645">
        <w:tab/>
      </w:r>
      <w:r w:rsidR="00F44D2B" w:rsidRPr="00826645">
        <w:t xml:space="preserve">The main extension charge is designed to allow customers to pay their pro rata share of the cost of the water distribution, which is installed by the Utility. Typically, </w:t>
      </w:r>
      <w:r w:rsidR="00FB2881">
        <w:t>we</w:t>
      </w:r>
      <w:r w:rsidR="00F44D2B" w:rsidRPr="00826645">
        <w:t xml:space="preserve"> approve main extension charges for water based on the average cost of the distribution system and the anticipated capacity in ERCs. In developing its main extension charge, Riverdale did not use the average cost of the distribution system to determine the appropriate charge, resulting in an incorrect charge of $2,091. The average cost of the distribution system per ERC is $5,399 ($1,608,962/298 ERCs). Therefore, </w:t>
      </w:r>
      <w:r w:rsidR="007A20A6">
        <w:t>we find that</w:t>
      </w:r>
      <w:r w:rsidR="00F44D2B" w:rsidRPr="00826645">
        <w:t xml:space="preserve"> the appropriate main extension charge is $5,399 and </w:t>
      </w:r>
      <w:r w:rsidR="007A20A6">
        <w:t>shall</w:t>
      </w:r>
      <w:r w:rsidR="00F44D2B" w:rsidRPr="00826645">
        <w:t xml:space="preserve"> be approved.</w:t>
      </w:r>
    </w:p>
    <w:p w:rsidR="00F44D2B" w:rsidRPr="00826645" w:rsidRDefault="00F44D2B" w:rsidP="00F44D2B">
      <w:pPr>
        <w:jc w:val="both"/>
        <w:outlineLvl w:val="1"/>
      </w:pPr>
    </w:p>
    <w:p w:rsidR="00F44D2B" w:rsidRPr="00826645" w:rsidRDefault="00F44D2B" w:rsidP="00F44D2B">
      <w:pPr>
        <w:jc w:val="both"/>
        <w:outlineLvl w:val="1"/>
        <w:rPr>
          <w:b/>
        </w:rPr>
      </w:pPr>
      <w:r w:rsidRPr="00826645">
        <w:rPr>
          <w:b/>
        </w:rPr>
        <w:t>Plant Capacity Charges</w:t>
      </w:r>
    </w:p>
    <w:p w:rsidR="00F44D2B" w:rsidRPr="00826645" w:rsidRDefault="00AD7832" w:rsidP="00F44D2B">
      <w:pPr>
        <w:spacing w:after="240"/>
        <w:jc w:val="both"/>
        <w:outlineLvl w:val="1"/>
        <w:rPr>
          <w:bCs/>
          <w:iCs/>
          <w:szCs w:val="28"/>
        </w:rPr>
      </w:pPr>
      <w:r w:rsidRPr="00826645">
        <w:tab/>
      </w:r>
      <w:r w:rsidR="00F44D2B" w:rsidRPr="00826645">
        <w:t>A plant capacity charge allows the Utility to recover each customer’s pro rata share of the cost of treatment facilities and stay within the guidelines prescribed in Rule 25-30.580, F.A.C., which provides minimum and maximum guidelines for designing service availability charges. The Utility proposed plant capacity charges of $10,118, resulted in contribution levels of 75 percent, which is the maximum guideline provided in the rule mentioned above.</w:t>
      </w:r>
      <w:r w:rsidR="00F44D2B" w:rsidRPr="00826645">
        <w:rPr>
          <w:bCs/>
          <w:iCs/>
          <w:szCs w:val="28"/>
        </w:rPr>
        <w:t xml:space="preserve"> However, the Utility’s calculations contained errors, resulting in an incorrect charge of $10,118.</w:t>
      </w:r>
    </w:p>
    <w:p w:rsidR="00F44D2B" w:rsidRPr="00826645" w:rsidRDefault="00AD7832" w:rsidP="00F44D2B">
      <w:pPr>
        <w:jc w:val="both"/>
        <w:outlineLvl w:val="1"/>
      </w:pPr>
      <w:r w:rsidRPr="00826645">
        <w:rPr>
          <w:bCs/>
          <w:iCs/>
          <w:szCs w:val="28"/>
        </w:rPr>
        <w:tab/>
      </w:r>
      <w:r w:rsidR="00F44D2B" w:rsidRPr="00826645">
        <w:rPr>
          <w:bCs/>
          <w:iCs/>
          <w:szCs w:val="28"/>
        </w:rPr>
        <w:t xml:space="preserve">Based on </w:t>
      </w:r>
      <w:r w:rsidR="002F6293" w:rsidRPr="00826645">
        <w:rPr>
          <w:bCs/>
          <w:iCs/>
          <w:szCs w:val="28"/>
        </w:rPr>
        <w:t xml:space="preserve">our approved </w:t>
      </w:r>
      <w:r w:rsidR="00F44D2B" w:rsidRPr="00826645">
        <w:rPr>
          <w:bCs/>
          <w:iCs/>
          <w:szCs w:val="28"/>
        </w:rPr>
        <w:t>Utility plant in service</w:t>
      </w:r>
      <w:r w:rsidR="002F6293" w:rsidRPr="00826645">
        <w:rPr>
          <w:bCs/>
          <w:iCs/>
          <w:szCs w:val="28"/>
        </w:rPr>
        <w:t xml:space="preserve"> calculations</w:t>
      </w:r>
      <w:r w:rsidR="00F44D2B" w:rsidRPr="00826645">
        <w:rPr>
          <w:bCs/>
          <w:iCs/>
          <w:szCs w:val="28"/>
        </w:rPr>
        <w:t xml:space="preserve">, a plant capacity charge of $5,675 per ERC </w:t>
      </w:r>
      <w:r w:rsidR="002F6293" w:rsidRPr="00826645">
        <w:rPr>
          <w:bCs/>
          <w:iCs/>
          <w:szCs w:val="28"/>
        </w:rPr>
        <w:t>shall</w:t>
      </w:r>
      <w:r w:rsidR="00F44D2B" w:rsidRPr="00826645">
        <w:rPr>
          <w:bCs/>
          <w:iCs/>
          <w:szCs w:val="28"/>
        </w:rPr>
        <w:t xml:space="preserve"> be approved. </w:t>
      </w:r>
      <w:r w:rsidR="002F6293" w:rsidRPr="00826645">
        <w:t xml:space="preserve">The approved </w:t>
      </w:r>
      <w:r w:rsidR="00F44D2B" w:rsidRPr="00826645">
        <w:t xml:space="preserve">plant capacity charges result in a contribution level of 75 percent, which is equivalent to the contribution levels proposed by the Utility. </w:t>
      </w:r>
      <w:r w:rsidR="002F6293" w:rsidRPr="00826645">
        <w:t xml:space="preserve">The approved </w:t>
      </w:r>
      <w:r w:rsidR="00F44D2B" w:rsidRPr="00826645">
        <w:t>charges will allow Riverdale to maintain an appropriate level of in</w:t>
      </w:r>
      <w:r w:rsidR="002F6293" w:rsidRPr="00826645">
        <w:t xml:space="preserve">vestment in its system. Table </w:t>
      </w:r>
      <w:r w:rsidR="00F44D2B" w:rsidRPr="00826645">
        <w:t xml:space="preserve">1 displays the Utility’s proposed and </w:t>
      </w:r>
      <w:r w:rsidR="002F6293" w:rsidRPr="00826645">
        <w:t xml:space="preserve">the approved </w:t>
      </w:r>
      <w:r w:rsidR="00F44D2B" w:rsidRPr="00826645">
        <w:t>service availability charges for its water system.</w:t>
      </w:r>
    </w:p>
    <w:p w:rsidR="00AD7832" w:rsidRPr="00826645" w:rsidRDefault="00AD7832" w:rsidP="00F44D2B">
      <w:pPr>
        <w:jc w:val="both"/>
        <w:outlineLvl w:val="1"/>
      </w:pPr>
    </w:p>
    <w:p w:rsidR="00F44D2B" w:rsidRPr="00826645" w:rsidRDefault="002F6293" w:rsidP="00AD7832">
      <w:pPr>
        <w:keepNext/>
        <w:jc w:val="center"/>
        <w:rPr>
          <w:b/>
        </w:rPr>
      </w:pPr>
      <w:r w:rsidRPr="00826645">
        <w:rPr>
          <w:b/>
        </w:rPr>
        <w:lastRenderedPageBreak/>
        <w:t xml:space="preserve">Table </w:t>
      </w:r>
      <w:r w:rsidR="00F44D2B" w:rsidRPr="00826645">
        <w:rPr>
          <w:b/>
        </w:rPr>
        <w:t>1</w:t>
      </w:r>
    </w:p>
    <w:p w:rsidR="00F44D2B" w:rsidRPr="00826645" w:rsidRDefault="00F44D2B" w:rsidP="00F44D2B">
      <w:pPr>
        <w:keepNext/>
        <w:jc w:val="center"/>
        <w:rPr>
          <w:b/>
        </w:rPr>
      </w:pPr>
      <w:r w:rsidRPr="00826645">
        <w:rPr>
          <w:b/>
        </w:rPr>
        <w:t>Service Availability Charges</w:t>
      </w:r>
    </w:p>
    <w:tbl>
      <w:tblPr>
        <w:tblStyle w:val="TableGrid16"/>
        <w:tblW w:w="0" w:type="auto"/>
        <w:jc w:val="center"/>
        <w:tblLook w:val="04A0" w:firstRow="1" w:lastRow="0" w:firstColumn="1" w:lastColumn="0" w:noHBand="0" w:noVBand="1"/>
      </w:tblPr>
      <w:tblGrid>
        <w:gridCol w:w="4961"/>
        <w:gridCol w:w="2133"/>
        <w:gridCol w:w="2130"/>
        <w:gridCol w:w="10"/>
      </w:tblGrid>
      <w:tr w:rsidR="00F44D2B" w:rsidRPr="00826645" w:rsidTr="004D4632">
        <w:trPr>
          <w:gridAfter w:val="1"/>
          <w:wAfter w:w="10" w:type="dxa"/>
          <w:trHeight w:val="354"/>
          <w:jc w:val="center"/>
        </w:trPr>
        <w:tc>
          <w:tcPr>
            <w:tcW w:w="4961" w:type="dxa"/>
          </w:tcPr>
          <w:p w:rsidR="00F44D2B" w:rsidRPr="00826645" w:rsidRDefault="00F44D2B" w:rsidP="00F44D2B"/>
        </w:tc>
        <w:tc>
          <w:tcPr>
            <w:tcW w:w="2133" w:type="dxa"/>
            <w:vAlign w:val="bottom"/>
          </w:tcPr>
          <w:p w:rsidR="00F44D2B" w:rsidRPr="00826645" w:rsidRDefault="00F44D2B" w:rsidP="00F44D2B">
            <w:pPr>
              <w:jc w:val="center"/>
            </w:pPr>
            <w:r w:rsidRPr="00826645">
              <w:t>Utility Proposed</w:t>
            </w:r>
          </w:p>
        </w:tc>
        <w:tc>
          <w:tcPr>
            <w:tcW w:w="2130" w:type="dxa"/>
            <w:vAlign w:val="bottom"/>
          </w:tcPr>
          <w:p w:rsidR="00F44D2B" w:rsidRPr="00826645" w:rsidRDefault="00122F8B" w:rsidP="00F44D2B">
            <w:pPr>
              <w:jc w:val="center"/>
            </w:pPr>
            <w:r>
              <w:t xml:space="preserve">Comm. </w:t>
            </w:r>
            <w:r w:rsidR="002F6293" w:rsidRPr="00826645">
              <w:t>Approved</w:t>
            </w:r>
          </w:p>
        </w:tc>
      </w:tr>
      <w:tr w:rsidR="00F44D2B" w:rsidRPr="00826645" w:rsidTr="004D4632">
        <w:trPr>
          <w:trHeight w:val="354"/>
          <w:jc w:val="center"/>
        </w:trPr>
        <w:tc>
          <w:tcPr>
            <w:tcW w:w="4961" w:type="dxa"/>
          </w:tcPr>
          <w:p w:rsidR="00F44D2B" w:rsidRPr="00826645" w:rsidRDefault="00F44D2B" w:rsidP="00F44D2B">
            <w:r w:rsidRPr="00826645">
              <w:t>Charge</w:t>
            </w:r>
          </w:p>
        </w:tc>
        <w:tc>
          <w:tcPr>
            <w:tcW w:w="2133" w:type="dxa"/>
          </w:tcPr>
          <w:p w:rsidR="00F44D2B" w:rsidRPr="00826645" w:rsidRDefault="00F44D2B" w:rsidP="00F44D2B">
            <w:pPr>
              <w:jc w:val="right"/>
            </w:pPr>
            <w:r w:rsidRPr="00826645">
              <w:t>Water</w:t>
            </w:r>
          </w:p>
        </w:tc>
        <w:tc>
          <w:tcPr>
            <w:tcW w:w="2140" w:type="dxa"/>
            <w:gridSpan w:val="2"/>
          </w:tcPr>
          <w:p w:rsidR="00F44D2B" w:rsidRPr="00826645" w:rsidRDefault="00F44D2B" w:rsidP="00F44D2B">
            <w:pPr>
              <w:jc w:val="right"/>
            </w:pPr>
            <w:r w:rsidRPr="00826645">
              <w:t>Water</w:t>
            </w:r>
          </w:p>
        </w:tc>
      </w:tr>
      <w:tr w:rsidR="00F44D2B" w:rsidRPr="00826645" w:rsidTr="004D4632">
        <w:trPr>
          <w:trHeight w:val="354"/>
          <w:jc w:val="center"/>
        </w:trPr>
        <w:tc>
          <w:tcPr>
            <w:tcW w:w="4961" w:type="dxa"/>
          </w:tcPr>
          <w:p w:rsidR="00F44D2B" w:rsidRPr="00826645" w:rsidRDefault="00F44D2B" w:rsidP="00F44D2B">
            <w:r w:rsidRPr="00826645">
              <w:t>Meter Installation Charge</w:t>
            </w:r>
          </w:p>
        </w:tc>
        <w:tc>
          <w:tcPr>
            <w:tcW w:w="2133" w:type="dxa"/>
            <w:vAlign w:val="bottom"/>
          </w:tcPr>
          <w:p w:rsidR="00F44D2B" w:rsidRPr="00826645" w:rsidRDefault="00F44D2B" w:rsidP="00F44D2B">
            <w:pPr>
              <w:jc w:val="right"/>
            </w:pPr>
            <w:r w:rsidRPr="00826645">
              <w:t>$250</w:t>
            </w:r>
          </w:p>
        </w:tc>
        <w:tc>
          <w:tcPr>
            <w:tcW w:w="2140" w:type="dxa"/>
            <w:gridSpan w:val="2"/>
            <w:vAlign w:val="bottom"/>
          </w:tcPr>
          <w:p w:rsidR="00F44D2B" w:rsidRPr="00826645" w:rsidRDefault="00F44D2B" w:rsidP="00F44D2B">
            <w:pPr>
              <w:jc w:val="right"/>
            </w:pPr>
            <w:r w:rsidRPr="00826645">
              <w:t>$250</w:t>
            </w:r>
          </w:p>
        </w:tc>
      </w:tr>
      <w:tr w:rsidR="00F44D2B" w:rsidRPr="00826645" w:rsidTr="004D4632">
        <w:trPr>
          <w:trHeight w:val="354"/>
          <w:jc w:val="center"/>
        </w:trPr>
        <w:tc>
          <w:tcPr>
            <w:tcW w:w="4961" w:type="dxa"/>
          </w:tcPr>
          <w:p w:rsidR="00F44D2B" w:rsidRPr="00826645" w:rsidRDefault="00F44D2B" w:rsidP="00F44D2B">
            <w:r w:rsidRPr="00826645">
              <w:t>Service Installation Charge (Single Service)</w:t>
            </w:r>
          </w:p>
        </w:tc>
        <w:tc>
          <w:tcPr>
            <w:tcW w:w="2133" w:type="dxa"/>
            <w:vAlign w:val="bottom"/>
          </w:tcPr>
          <w:p w:rsidR="00F44D2B" w:rsidRPr="00826645" w:rsidRDefault="00F44D2B" w:rsidP="00F44D2B">
            <w:pPr>
              <w:jc w:val="right"/>
            </w:pPr>
            <w:r w:rsidRPr="00826645">
              <w:t>$500</w:t>
            </w:r>
          </w:p>
        </w:tc>
        <w:tc>
          <w:tcPr>
            <w:tcW w:w="2140" w:type="dxa"/>
            <w:gridSpan w:val="2"/>
            <w:vAlign w:val="bottom"/>
          </w:tcPr>
          <w:p w:rsidR="00F44D2B" w:rsidRPr="00826645" w:rsidRDefault="00F44D2B" w:rsidP="00F44D2B">
            <w:pPr>
              <w:jc w:val="right"/>
            </w:pPr>
            <w:r w:rsidRPr="00826645">
              <w:t>$500</w:t>
            </w:r>
          </w:p>
        </w:tc>
      </w:tr>
      <w:tr w:rsidR="00F44D2B" w:rsidRPr="00826645" w:rsidTr="004D4632">
        <w:trPr>
          <w:trHeight w:val="354"/>
          <w:jc w:val="center"/>
        </w:trPr>
        <w:tc>
          <w:tcPr>
            <w:tcW w:w="4961" w:type="dxa"/>
          </w:tcPr>
          <w:p w:rsidR="00F44D2B" w:rsidRPr="00826645" w:rsidRDefault="00F44D2B" w:rsidP="00F44D2B">
            <w:r w:rsidRPr="00826645">
              <w:t>Service Installation Charge (Double Service)</w:t>
            </w:r>
          </w:p>
        </w:tc>
        <w:tc>
          <w:tcPr>
            <w:tcW w:w="2133" w:type="dxa"/>
            <w:vAlign w:val="bottom"/>
          </w:tcPr>
          <w:p w:rsidR="00F44D2B" w:rsidRPr="00826645" w:rsidRDefault="00F44D2B" w:rsidP="00F44D2B">
            <w:pPr>
              <w:jc w:val="right"/>
            </w:pPr>
            <w:r w:rsidRPr="00826645">
              <w:t>$1,000</w:t>
            </w:r>
          </w:p>
        </w:tc>
        <w:tc>
          <w:tcPr>
            <w:tcW w:w="2140" w:type="dxa"/>
            <w:gridSpan w:val="2"/>
            <w:vAlign w:val="bottom"/>
          </w:tcPr>
          <w:p w:rsidR="00F44D2B" w:rsidRPr="00826645" w:rsidRDefault="00F44D2B" w:rsidP="00F44D2B">
            <w:pPr>
              <w:jc w:val="right"/>
            </w:pPr>
            <w:r w:rsidRPr="00826645">
              <w:t>$1,000</w:t>
            </w:r>
          </w:p>
        </w:tc>
      </w:tr>
      <w:tr w:rsidR="00F44D2B" w:rsidRPr="00826645" w:rsidTr="004D4632">
        <w:trPr>
          <w:trHeight w:val="354"/>
          <w:jc w:val="center"/>
        </w:trPr>
        <w:tc>
          <w:tcPr>
            <w:tcW w:w="4961" w:type="dxa"/>
          </w:tcPr>
          <w:p w:rsidR="00F44D2B" w:rsidRPr="00826645" w:rsidRDefault="00F44D2B" w:rsidP="00F44D2B">
            <w:r w:rsidRPr="00826645">
              <w:t>Main Extension Charge</w:t>
            </w:r>
          </w:p>
          <w:p w:rsidR="00F44D2B" w:rsidRPr="00826645" w:rsidRDefault="00F44D2B" w:rsidP="00F44D2B">
            <w:r w:rsidRPr="00826645">
              <w:t>ERC =250 gpd</w:t>
            </w:r>
          </w:p>
        </w:tc>
        <w:tc>
          <w:tcPr>
            <w:tcW w:w="2133" w:type="dxa"/>
            <w:vAlign w:val="bottom"/>
          </w:tcPr>
          <w:p w:rsidR="00F44D2B" w:rsidRPr="00826645" w:rsidRDefault="00F44D2B" w:rsidP="00F44D2B">
            <w:pPr>
              <w:jc w:val="right"/>
            </w:pPr>
            <w:r w:rsidRPr="00826645">
              <w:t>$2,091</w:t>
            </w:r>
          </w:p>
        </w:tc>
        <w:tc>
          <w:tcPr>
            <w:tcW w:w="2140" w:type="dxa"/>
            <w:gridSpan w:val="2"/>
            <w:vAlign w:val="bottom"/>
          </w:tcPr>
          <w:p w:rsidR="00F44D2B" w:rsidRPr="00826645" w:rsidRDefault="00F44D2B" w:rsidP="00F44D2B">
            <w:pPr>
              <w:jc w:val="right"/>
            </w:pPr>
            <w:r w:rsidRPr="00826645">
              <w:t>$5,399</w:t>
            </w:r>
          </w:p>
        </w:tc>
      </w:tr>
      <w:tr w:rsidR="00F44D2B" w:rsidRPr="00826645" w:rsidTr="004D4632">
        <w:trPr>
          <w:trHeight w:val="354"/>
          <w:jc w:val="center"/>
        </w:trPr>
        <w:tc>
          <w:tcPr>
            <w:tcW w:w="4961" w:type="dxa"/>
          </w:tcPr>
          <w:p w:rsidR="00F44D2B" w:rsidRPr="00826645" w:rsidRDefault="00F44D2B" w:rsidP="00F44D2B">
            <w:r w:rsidRPr="00826645">
              <w:t xml:space="preserve">Plant Capacity Charge </w:t>
            </w:r>
          </w:p>
          <w:p w:rsidR="00F44D2B" w:rsidRPr="00826645" w:rsidRDefault="00F44D2B" w:rsidP="00F44D2B">
            <w:r w:rsidRPr="00826645">
              <w:t>ERC = 250 gpd</w:t>
            </w:r>
          </w:p>
        </w:tc>
        <w:tc>
          <w:tcPr>
            <w:tcW w:w="2133" w:type="dxa"/>
            <w:vAlign w:val="bottom"/>
          </w:tcPr>
          <w:p w:rsidR="00F44D2B" w:rsidRPr="00826645" w:rsidRDefault="00F44D2B" w:rsidP="00F44D2B">
            <w:pPr>
              <w:jc w:val="right"/>
            </w:pPr>
            <w:r w:rsidRPr="00826645">
              <w:t>$10,118</w:t>
            </w:r>
          </w:p>
        </w:tc>
        <w:tc>
          <w:tcPr>
            <w:tcW w:w="2140" w:type="dxa"/>
            <w:gridSpan w:val="2"/>
            <w:vAlign w:val="bottom"/>
          </w:tcPr>
          <w:p w:rsidR="00F44D2B" w:rsidRPr="00826645" w:rsidRDefault="00F44D2B" w:rsidP="00F44D2B">
            <w:pPr>
              <w:jc w:val="right"/>
            </w:pPr>
            <w:r w:rsidRPr="00826645">
              <w:t>$5,675</w:t>
            </w:r>
          </w:p>
        </w:tc>
      </w:tr>
    </w:tbl>
    <w:p w:rsidR="00815520" w:rsidRPr="00826645" w:rsidRDefault="00815520" w:rsidP="00815520">
      <w:pPr>
        <w:tabs>
          <w:tab w:val="left" w:pos="-90"/>
        </w:tabs>
        <w:jc w:val="both"/>
      </w:pPr>
    </w:p>
    <w:p w:rsidR="00B77060" w:rsidRPr="00826645" w:rsidRDefault="004D4632" w:rsidP="00F44D2B">
      <w:pPr>
        <w:pStyle w:val="OrderBody"/>
      </w:pPr>
      <w:r w:rsidRPr="00826645">
        <w:tab/>
      </w:r>
      <w:r w:rsidR="00F44D2B" w:rsidRPr="00826645">
        <w:t xml:space="preserve">Based on the above, the appropriate </w:t>
      </w:r>
      <w:r w:rsidR="00F44D2B" w:rsidRPr="00826645">
        <w:rPr>
          <w:bCs/>
          <w:iCs/>
          <w:szCs w:val="28"/>
        </w:rPr>
        <w:t xml:space="preserve">service availability charges </w:t>
      </w:r>
      <w:r w:rsidR="002F6293" w:rsidRPr="00826645">
        <w:rPr>
          <w:bCs/>
          <w:iCs/>
          <w:szCs w:val="28"/>
        </w:rPr>
        <w:t xml:space="preserve">are shown on Table </w:t>
      </w:r>
      <w:r w:rsidR="00F44D2B" w:rsidRPr="00826645">
        <w:rPr>
          <w:bCs/>
          <w:iCs/>
          <w:szCs w:val="28"/>
        </w:rPr>
        <w:t xml:space="preserve">1 and </w:t>
      </w:r>
      <w:r w:rsidR="002F6293" w:rsidRPr="00826645">
        <w:rPr>
          <w:bCs/>
          <w:iCs/>
          <w:szCs w:val="28"/>
        </w:rPr>
        <w:t>shall</w:t>
      </w:r>
      <w:r w:rsidR="00F44D2B" w:rsidRPr="00826645">
        <w:rPr>
          <w:bCs/>
          <w:iCs/>
          <w:szCs w:val="28"/>
        </w:rPr>
        <w:t xml:space="preserve"> be approved.</w:t>
      </w:r>
      <w:r w:rsidR="00F44D2B" w:rsidRPr="00826645">
        <w:t xml:space="preserve"> </w:t>
      </w:r>
      <w:r w:rsidR="00F44D2B" w:rsidRPr="00826645">
        <w:rPr>
          <w:bCs/>
          <w:iCs/>
          <w:szCs w:val="28"/>
        </w:rPr>
        <w:t xml:space="preserve">The main extension and plant capacity charges </w:t>
      </w:r>
      <w:r w:rsidR="002F6293" w:rsidRPr="00826645">
        <w:rPr>
          <w:bCs/>
          <w:iCs/>
          <w:szCs w:val="28"/>
        </w:rPr>
        <w:t>shall</w:t>
      </w:r>
      <w:r w:rsidR="00F44D2B" w:rsidRPr="00826645">
        <w:rPr>
          <w:bCs/>
          <w:iCs/>
          <w:szCs w:val="28"/>
        </w:rPr>
        <w:t xml:space="preserve"> be based on an estimated 250 gpd of water demand.</w:t>
      </w:r>
      <w:r w:rsidR="00F44D2B" w:rsidRPr="00826645">
        <w:rPr>
          <w:rFonts w:ascii="Arial" w:hAnsi="Arial" w:cs="Arial"/>
          <w:b/>
          <w:bCs/>
          <w:i/>
          <w:iCs/>
          <w:szCs w:val="28"/>
        </w:rPr>
        <w:t> </w:t>
      </w:r>
      <w:r w:rsidR="00F44D2B" w:rsidRPr="00826645">
        <w:t xml:space="preserve">The approved charges </w:t>
      </w:r>
      <w:r w:rsidR="002F6293" w:rsidRPr="00826645">
        <w:t>shall</w:t>
      </w:r>
      <w:r w:rsidR="00F44D2B" w:rsidRPr="00826645">
        <w:t xml:space="preserve"> be effective for services rendered or connections made on or after the stamped approval date on the tariff pursuant to Rule 25-30.475, F.A.C. The Utility </w:t>
      </w:r>
      <w:r w:rsidR="002F6293" w:rsidRPr="00826645">
        <w:t>shall</w:t>
      </w:r>
      <w:r w:rsidR="00F44D2B" w:rsidRPr="00826645">
        <w:t xml:space="preserve"> be required to charge the approved charges until a</w:t>
      </w:r>
      <w:r w:rsidR="002F6293" w:rsidRPr="00826645">
        <w:t xml:space="preserve">uthorized to change them by us </w:t>
      </w:r>
      <w:r w:rsidR="00F44D2B" w:rsidRPr="00826645">
        <w:t>in a subsequent proceeding.</w:t>
      </w:r>
    </w:p>
    <w:p w:rsidR="00F44D2B" w:rsidRPr="00826645" w:rsidRDefault="00F44D2B" w:rsidP="00F44D2B">
      <w:pPr>
        <w:pStyle w:val="OrderBody"/>
      </w:pPr>
    </w:p>
    <w:p w:rsidR="002F6293" w:rsidRPr="00826645" w:rsidRDefault="002F6293" w:rsidP="002F6293">
      <w:pPr>
        <w:pStyle w:val="ListParagraph"/>
        <w:numPr>
          <w:ilvl w:val="0"/>
          <w:numId w:val="3"/>
        </w:numPr>
        <w:spacing w:after="240"/>
        <w:jc w:val="both"/>
        <w:rPr>
          <w:b/>
          <w:u w:val="single"/>
        </w:rPr>
      </w:pPr>
      <w:r w:rsidRPr="00826645">
        <w:rPr>
          <w:b/>
          <w:u w:val="single"/>
        </w:rPr>
        <w:t xml:space="preserve">Temporary Meter Deposit for </w:t>
      </w:r>
      <w:r w:rsidR="00F44D2B" w:rsidRPr="00826645">
        <w:rPr>
          <w:b/>
          <w:u w:val="single"/>
        </w:rPr>
        <w:t>Riverdale Utility Holding</w:t>
      </w:r>
      <w:r w:rsidRPr="00826645">
        <w:rPr>
          <w:b/>
          <w:u w:val="single"/>
        </w:rPr>
        <w:t xml:space="preserve">, </w:t>
      </w:r>
      <w:r w:rsidR="00F44D2B" w:rsidRPr="00826645">
        <w:rPr>
          <w:b/>
          <w:u w:val="single"/>
        </w:rPr>
        <w:t>Inc</w:t>
      </w:r>
      <w:r w:rsidRPr="00826645">
        <w:rPr>
          <w:b/>
          <w:u w:val="single"/>
        </w:rPr>
        <w:t>.</w:t>
      </w:r>
    </w:p>
    <w:p w:rsidR="00F44D2B" w:rsidRPr="00826645" w:rsidRDefault="00F44D2B" w:rsidP="002F6293">
      <w:pPr>
        <w:ind w:firstLine="720"/>
        <w:jc w:val="both"/>
        <w:rPr>
          <w:bCs/>
          <w:iCs/>
          <w:szCs w:val="28"/>
        </w:rPr>
      </w:pPr>
      <w:r w:rsidRPr="00826645">
        <w:t>Riverdale</w:t>
      </w:r>
      <w:r w:rsidRPr="00826645">
        <w:rPr>
          <w:bCs/>
          <w:iCs/>
          <w:szCs w:val="28"/>
        </w:rPr>
        <w:t xml:space="preserve"> requested a temporary meter deposit for general service customers consistent with Rules 25-30.315 and 25-30.345, F.A.C., which allows the Utility to charge an applicant a reasonable charge to defray the costs of installing and removing facilities and materials for temporary service. This deposit would be collected from commercial entities requesting a temporary meter for construction activities. Once temporary meter service is terminated, </w:t>
      </w:r>
      <w:r w:rsidRPr="00826645">
        <w:t xml:space="preserve">Riverdale </w:t>
      </w:r>
      <w:r w:rsidRPr="00826645">
        <w:rPr>
          <w:bCs/>
          <w:iCs/>
          <w:szCs w:val="28"/>
        </w:rPr>
        <w:t xml:space="preserve">will credit the customer with the reasonable salvage value of the service facilities and materials consistent with Rules 25-30.315 and 25-30.345, F.A.C. </w:t>
      </w:r>
    </w:p>
    <w:p w:rsidR="00F44D2B" w:rsidRPr="00826645" w:rsidRDefault="00F44D2B" w:rsidP="00F44D2B">
      <w:pPr>
        <w:jc w:val="both"/>
        <w:rPr>
          <w:bCs/>
          <w:iCs/>
          <w:szCs w:val="28"/>
        </w:rPr>
      </w:pPr>
    </w:p>
    <w:p w:rsidR="002F6293" w:rsidRPr="00826645" w:rsidRDefault="004D4632" w:rsidP="00F44D2B">
      <w:pPr>
        <w:pStyle w:val="OrderBody"/>
      </w:pPr>
      <w:r w:rsidRPr="00826645">
        <w:rPr>
          <w:bCs/>
          <w:iCs/>
          <w:szCs w:val="28"/>
        </w:rPr>
        <w:tab/>
      </w:r>
      <w:r w:rsidR="00F44D2B" w:rsidRPr="00826645">
        <w:rPr>
          <w:bCs/>
          <w:iCs/>
          <w:szCs w:val="28"/>
        </w:rPr>
        <w:t xml:space="preserve">Based on the above, the Utility’s requested temporary meter deposit for general service customers at actual cost pursuant to Rules 25-30.315 and 25-30.345, F.A.C., is reasonable and </w:t>
      </w:r>
      <w:r w:rsidR="002F6293" w:rsidRPr="00826645">
        <w:rPr>
          <w:bCs/>
          <w:iCs/>
          <w:szCs w:val="28"/>
        </w:rPr>
        <w:t>shall</w:t>
      </w:r>
      <w:r w:rsidR="00F44D2B" w:rsidRPr="00826645">
        <w:rPr>
          <w:bCs/>
          <w:iCs/>
          <w:szCs w:val="28"/>
        </w:rPr>
        <w:t xml:space="preserve"> be approved. The approved deposit </w:t>
      </w:r>
      <w:r w:rsidR="002F6293" w:rsidRPr="00826645">
        <w:rPr>
          <w:bCs/>
          <w:iCs/>
          <w:szCs w:val="28"/>
        </w:rPr>
        <w:t xml:space="preserve">shall </w:t>
      </w:r>
      <w:r w:rsidR="00F44D2B" w:rsidRPr="00826645">
        <w:rPr>
          <w:bCs/>
          <w:iCs/>
          <w:szCs w:val="28"/>
        </w:rPr>
        <w:t>be effective for service rendered on or after the stamped approval date on the tariff pursuant to Rule 25-30.475, F.A.C. Riverdale</w:t>
      </w:r>
      <w:r w:rsidR="00F44D2B" w:rsidRPr="00826645">
        <w:t xml:space="preserve"> </w:t>
      </w:r>
      <w:r w:rsidR="002F6293" w:rsidRPr="00826645">
        <w:rPr>
          <w:bCs/>
          <w:iCs/>
          <w:szCs w:val="28"/>
        </w:rPr>
        <w:t xml:space="preserve">shall </w:t>
      </w:r>
      <w:r w:rsidR="00F44D2B" w:rsidRPr="00826645">
        <w:t xml:space="preserve">be required to collect the approved deposit, which covers the anticipated costs of installing and removing facilities and materials for temporary service, until authorized to change it by </w:t>
      </w:r>
      <w:r w:rsidR="002F6293" w:rsidRPr="00826645">
        <w:t xml:space="preserve">us </w:t>
      </w:r>
      <w:r w:rsidR="00F44D2B" w:rsidRPr="00826645">
        <w:t>in a subsequent proceeding.</w:t>
      </w:r>
    </w:p>
    <w:p w:rsidR="00F44D2B" w:rsidRPr="00826645" w:rsidRDefault="00F44D2B" w:rsidP="00F44D2B">
      <w:pPr>
        <w:pStyle w:val="OrderBody"/>
      </w:pPr>
    </w:p>
    <w:p w:rsidR="003D14F6" w:rsidRPr="00826645" w:rsidRDefault="00F44D2B" w:rsidP="003D14F6">
      <w:pPr>
        <w:pStyle w:val="ListParagraph"/>
        <w:numPr>
          <w:ilvl w:val="0"/>
          <w:numId w:val="3"/>
        </w:numPr>
        <w:spacing w:after="240"/>
        <w:jc w:val="both"/>
        <w:rPr>
          <w:b/>
          <w:u w:val="single"/>
        </w:rPr>
      </w:pPr>
      <w:r w:rsidRPr="00826645">
        <w:rPr>
          <w:b/>
          <w:u w:val="single"/>
        </w:rPr>
        <w:t>Riverdale Utility Holding</w:t>
      </w:r>
      <w:r w:rsidR="003D14F6" w:rsidRPr="00826645">
        <w:rPr>
          <w:b/>
          <w:u w:val="single"/>
        </w:rPr>
        <w:t xml:space="preserve">, </w:t>
      </w:r>
      <w:r w:rsidRPr="00826645">
        <w:rPr>
          <w:b/>
          <w:u w:val="single"/>
        </w:rPr>
        <w:t>Inc</w:t>
      </w:r>
      <w:r w:rsidR="003D14F6" w:rsidRPr="00826645">
        <w:rPr>
          <w:b/>
          <w:u w:val="single"/>
        </w:rPr>
        <w:t>.’s Meter Tampering Charge</w:t>
      </w:r>
    </w:p>
    <w:p w:rsidR="00F44D2B" w:rsidRPr="00826645" w:rsidRDefault="00F44D2B" w:rsidP="003D14F6">
      <w:pPr>
        <w:ind w:firstLine="720"/>
        <w:jc w:val="both"/>
        <w:rPr>
          <w:bCs/>
          <w:iCs/>
          <w:szCs w:val="28"/>
        </w:rPr>
      </w:pPr>
      <w:r w:rsidRPr="00826645">
        <w:t xml:space="preserve">In its application, the Utility requested a meter tampering charge of actual cost. </w:t>
      </w:r>
      <w:r w:rsidRPr="00826645">
        <w:rPr>
          <w:bCs/>
          <w:iCs/>
          <w:szCs w:val="28"/>
        </w:rPr>
        <w:t xml:space="preserve">Rule 25-30.320(2)(i), F.A.C., provides that a customer’s service may be discontinued without notice in the event of tampering with the meter or other facilities furnished or owned by the Utility. In addition, Rule 25-30.320(2)(j), F.A.C., provides that a customer’s service may be discontinued in the event of an unauthorized or fraudulent use of service. The rule allows </w:t>
      </w:r>
      <w:r w:rsidRPr="00826645">
        <w:t>Riverdale</w:t>
      </w:r>
      <w:r w:rsidRPr="00826645">
        <w:rPr>
          <w:bCs/>
          <w:iCs/>
          <w:szCs w:val="28"/>
        </w:rPr>
        <w:t xml:space="preserve"> to require </w:t>
      </w:r>
      <w:r w:rsidRPr="00826645">
        <w:rPr>
          <w:bCs/>
          <w:iCs/>
          <w:szCs w:val="28"/>
        </w:rPr>
        <w:lastRenderedPageBreak/>
        <w:t xml:space="preserve">the customer to reimburse the Utility for all changes in piping or equipment necessary to eliminate the illegal use and to pay an amount reasonably estimated as the deficiency in revenue resulting from the customer’s fraudulent use before restoring service. </w:t>
      </w:r>
      <w:r w:rsidRPr="00826645">
        <w:t>If meter tampering is revealed, Rule 25-30.320, F.A.C. allows the Utility to assess actual cost of any damages incurred.</w:t>
      </w:r>
    </w:p>
    <w:p w:rsidR="00F44D2B" w:rsidRPr="00826645" w:rsidRDefault="00F44D2B" w:rsidP="00F44D2B">
      <w:pPr>
        <w:jc w:val="both"/>
        <w:rPr>
          <w:sz w:val="22"/>
        </w:rPr>
      </w:pPr>
    </w:p>
    <w:p w:rsidR="00F44D2B" w:rsidRPr="00826645" w:rsidRDefault="004D4632" w:rsidP="00F44D2B">
      <w:pPr>
        <w:pStyle w:val="OrderBody"/>
      </w:pPr>
      <w:r w:rsidRPr="00826645">
        <w:tab/>
      </w:r>
      <w:r w:rsidR="00F44D2B" w:rsidRPr="00826645">
        <w:t xml:space="preserve">Based on the above, the Utility’s request for a meter tampering charge at actual cost </w:t>
      </w:r>
      <w:r w:rsidR="003D14F6" w:rsidRPr="00826645">
        <w:t>shall</w:t>
      </w:r>
      <w:r w:rsidR="00F44D2B" w:rsidRPr="00826645">
        <w:t xml:space="preserve"> be approved</w:t>
      </w:r>
      <w:r w:rsidR="003D14F6" w:rsidRPr="00826645">
        <w:t>.</w:t>
      </w:r>
      <w:r w:rsidR="00F44D2B" w:rsidRPr="00826645">
        <w:t xml:space="preserve"> The approved charge </w:t>
      </w:r>
      <w:r w:rsidR="003D14F6" w:rsidRPr="00826645">
        <w:t>shall</w:t>
      </w:r>
      <w:r w:rsidR="00F44D2B" w:rsidRPr="00826645">
        <w:t xml:space="preserve"> be effective for service rendered or connections made on or after the stamped approval date on the tariff pursuant to Rule 25-30.475, F.A.C. The Utility </w:t>
      </w:r>
      <w:r w:rsidR="003D14F6" w:rsidRPr="00826645">
        <w:t>shall</w:t>
      </w:r>
      <w:r w:rsidR="00F44D2B" w:rsidRPr="00826645">
        <w:t xml:space="preserve"> be required to charge its approved charge until authorized to change them by </w:t>
      </w:r>
      <w:r w:rsidR="003D14F6" w:rsidRPr="00826645">
        <w:t>us</w:t>
      </w:r>
      <w:r w:rsidR="00F44D2B" w:rsidRPr="00826645">
        <w:t xml:space="preserve"> in a subsequent proceeding.</w:t>
      </w:r>
    </w:p>
    <w:p w:rsidR="00F44D2B" w:rsidRPr="00826645" w:rsidRDefault="00F44D2B" w:rsidP="00F44D2B">
      <w:pPr>
        <w:pStyle w:val="OrderBody"/>
      </w:pPr>
    </w:p>
    <w:p w:rsidR="003D14F6" w:rsidRPr="00826645" w:rsidRDefault="003D14F6" w:rsidP="003D14F6">
      <w:pPr>
        <w:pStyle w:val="ListParagraph"/>
        <w:numPr>
          <w:ilvl w:val="0"/>
          <w:numId w:val="3"/>
        </w:numPr>
        <w:spacing w:after="240"/>
        <w:jc w:val="both"/>
        <w:rPr>
          <w:b/>
          <w:u w:val="single"/>
        </w:rPr>
      </w:pPr>
      <w:r w:rsidRPr="00826645">
        <w:rPr>
          <w:b/>
          <w:u w:val="single"/>
        </w:rPr>
        <w:t xml:space="preserve">Miscellaneous Service Charges </w:t>
      </w:r>
    </w:p>
    <w:p w:rsidR="00F44D2B" w:rsidRPr="00826645" w:rsidRDefault="00F44D2B" w:rsidP="003D14F6">
      <w:pPr>
        <w:spacing w:after="240"/>
        <w:ind w:firstLine="720"/>
        <w:jc w:val="both"/>
      </w:pPr>
      <w:r w:rsidRPr="00826645">
        <w:t>Sec</w:t>
      </w:r>
      <w:r w:rsidR="003D14F6" w:rsidRPr="00826645">
        <w:t>tion 367.091, F.S., authorizes us</w:t>
      </w:r>
      <w:r w:rsidRPr="00826645">
        <w:t xml:space="preserve"> to establish miscellaneous service charges. Riverdale’s request was accompanied by its reason for requesting the charges as well as the cost justification required by Section 367.091(6), F.S. The purpose of these charges is to place the burden for requesting or causing these services on the cost causer rather than the general body of ratepayers. On January 25, 2024, Riverdale clarified that its request for an original certificate was only for water.  Therefore, the request for all wastewater charges </w:t>
      </w:r>
      <w:r w:rsidR="003D14F6" w:rsidRPr="00826645">
        <w:t>shall</w:t>
      </w:r>
      <w:r w:rsidRPr="00826645">
        <w:t xml:space="preserve"> be removed and are not add</w:t>
      </w:r>
      <w:r w:rsidR="007A20A6">
        <w:t>ressed in this order</w:t>
      </w:r>
      <w:r w:rsidRPr="00826645">
        <w:t>. The Utility’s requested miscellaneous service charges for wa</w:t>
      </w:r>
      <w:r w:rsidR="003D14F6" w:rsidRPr="00826645">
        <w:t>ter are shown below in Table 2</w:t>
      </w:r>
      <w:r w:rsidRPr="00826645">
        <w:t>.</w:t>
      </w:r>
    </w:p>
    <w:p w:rsidR="00F44D2B" w:rsidRPr="00826645" w:rsidRDefault="003D14F6" w:rsidP="004D4632">
      <w:pPr>
        <w:keepNext/>
        <w:jc w:val="center"/>
        <w:rPr>
          <w:b/>
        </w:rPr>
      </w:pPr>
      <w:r w:rsidRPr="00826645">
        <w:rPr>
          <w:b/>
        </w:rPr>
        <w:t>Table 2</w:t>
      </w:r>
    </w:p>
    <w:p w:rsidR="00F44D2B" w:rsidRPr="00826645" w:rsidRDefault="00F44D2B" w:rsidP="00F44D2B">
      <w:pPr>
        <w:jc w:val="center"/>
      </w:pPr>
      <w:r w:rsidRPr="00826645">
        <w:rPr>
          <w:b/>
        </w:rPr>
        <w:t>Utility’s Requested Miscellaneous Service Charges</w:t>
      </w:r>
    </w:p>
    <w:tbl>
      <w:tblPr>
        <w:tblStyle w:val="TableGrid12"/>
        <w:tblW w:w="0" w:type="auto"/>
        <w:jc w:val="center"/>
        <w:tblLook w:val="04A0" w:firstRow="1" w:lastRow="0" w:firstColumn="1" w:lastColumn="0" w:noHBand="0" w:noVBand="1"/>
      </w:tblPr>
      <w:tblGrid>
        <w:gridCol w:w="7165"/>
        <w:gridCol w:w="2125"/>
      </w:tblGrid>
      <w:tr w:rsidR="00F44D2B" w:rsidRPr="00826645" w:rsidTr="004D4632">
        <w:trPr>
          <w:trHeight w:val="274"/>
          <w:jc w:val="center"/>
        </w:trPr>
        <w:tc>
          <w:tcPr>
            <w:tcW w:w="7165" w:type="dxa"/>
          </w:tcPr>
          <w:p w:rsidR="00F44D2B" w:rsidRPr="00826645" w:rsidRDefault="00F44D2B" w:rsidP="00F44D2B">
            <w:pPr>
              <w:rPr>
                <w:rFonts w:ascii="Times New Roman" w:hAnsi="Times New Roman" w:cs="Times New Roman"/>
              </w:rPr>
            </w:pPr>
          </w:p>
        </w:tc>
        <w:tc>
          <w:tcPr>
            <w:tcW w:w="2125" w:type="dxa"/>
          </w:tcPr>
          <w:p w:rsidR="00F44D2B" w:rsidRPr="00826645" w:rsidRDefault="00F44D2B" w:rsidP="00F44D2B">
            <w:pPr>
              <w:jc w:val="center"/>
              <w:rPr>
                <w:rFonts w:ascii="Times New Roman" w:hAnsi="Times New Roman" w:cs="Times New Roman"/>
                <w:u w:val="single"/>
              </w:rPr>
            </w:pPr>
            <w:r w:rsidRPr="00826645">
              <w:rPr>
                <w:rFonts w:ascii="Times New Roman" w:hAnsi="Times New Roman" w:cs="Times New Roman"/>
                <w:u w:val="single"/>
              </w:rPr>
              <w:t>Business Hours</w:t>
            </w:r>
          </w:p>
        </w:tc>
      </w:tr>
      <w:tr w:rsidR="00F44D2B" w:rsidRPr="00826645" w:rsidTr="004D4632">
        <w:trPr>
          <w:trHeight w:val="274"/>
          <w:jc w:val="center"/>
        </w:trPr>
        <w:tc>
          <w:tcPr>
            <w:tcW w:w="7165" w:type="dxa"/>
          </w:tcPr>
          <w:p w:rsidR="00F44D2B" w:rsidRPr="00826645" w:rsidRDefault="00F44D2B" w:rsidP="00F44D2B">
            <w:pPr>
              <w:rPr>
                <w:rFonts w:ascii="Times New Roman" w:hAnsi="Times New Roman" w:cs="Times New Roman"/>
              </w:rPr>
            </w:pPr>
            <w:r w:rsidRPr="00826645">
              <w:rPr>
                <w:rFonts w:ascii="Times New Roman" w:hAnsi="Times New Roman" w:cs="Times New Roman"/>
              </w:rPr>
              <w:t>Initial Connection</w:t>
            </w:r>
          </w:p>
        </w:tc>
        <w:tc>
          <w:tcPr>
            <w:tcW w:w="2125" w:type="dxa"/>
          </w:tcPr>
          <w:p w:rsidR="00F44D2B" w:rsidRPr="00826645" w:rsidRDefault="00F44D2B" w:rsidP="00F44D2B">
            <w:pPr>
              <w:jc w:val="center"/>
              <w:rPr>
                <w:rFonts w:ascii="Times New Roman" w:hAnsi="Times New Roman" w:cs="Times New Roman"/>
                <w:u w:val="single"/>
              </w:rPr>
            </w:pPr>
            <w:r w:rsidRPr="00826645">
              <w:rPr>
                <w:rFonts w:ascii="Times New Roman" w:hAnsi="Times New Roman" w:cs="Times New Roman"/>
              </w:rPr>
              <w:t>$46.05</w:t>
            </w:r>
          </w:p>
        </w:tc>
      </w:tr>
      <w:tr w:rsidR="00F44D2B" w:rsidRPr="00826645" w:rsidTr="004D4632">
        <w:trPr>
          <w:trHeight w:val="274"/>
          <w:jc w:val="center"/>
        </w:trPr>
        <w:tc>
          <w:tcPr>
            <w:tcW w:w="7165" w:type="dxa"/>
          </w:tcPr>
          <w:p w:rsidR="00F44D2B" w:rsidRPr="00826645" w:rsidRDefault="00F44D2B" w:rsidP="00F44D2B">
            <w:pPr>
              <w:rPr>
                <w:rFonts w:ascii="Times New Roman" w:hAnsi="Times New Roman" w:cs="Times New Roman"/>
              </w:rPr>
            </w:pPr>
            <w:r w:rsidRPr="00826645">
              <w:rPr>
                <w:rFonts w:ascii="Times New Roman" w:hAnsi="Times New Roman" w:cs="Times New Roman"/>
              </w:rPr>
              <w:t xml:space="preserve">Normal Reconnection </w:t>
            </w:r>
          </w:p>
        </w:tc>
        <w:tc>
          <w:tcPr>
            <w:tcW w:w="2125" w:type="dxa"/>
          </w:tcPr>
          <w:p w:rsidR="00F44D2B" w:rsidRPr="00826645" w:rsidRDefault="00F44D2B" w:rsidP="00F44D2B">
            <w:pPr>
              <w:jc w:val="center"/>
              <w:rPr>
                <w:rFonts w:ascii="Times New Roman" w:hAnsi="Times New Roman" w:cs="Times New Roman"/>
              </w:rPr>
            </w:pPr>
            <w:r w:rsidRPr="00826645">
              <w:rPr>
                <w:rFonts w:ascii="Times New Roman" w:hAnsi="Times New Roman" w:cs="Times New Roman"/>
              </w:rPr>
              <w:t>$46.05</w:t>
            </w:r>
          </w:p>
        </w:tc>
      </w:tr>
      <w:tr w:rsidR="00F44D2B" w:rsidRPr="00826645" w:rsidTr="004D4632">
        <w:trPr>
          <w:trHeight w:val="274"/>
          <w:jc w:val="center"/>
        </w:trPr>
        <w:tc>
          <w:tcPr>
            <w:tcW w:w="7165" w:type="dxa"/>
          </w:tcPr>
          <w:p w:rsidR="00F44D2B" w:rsidRPr="00826645" w:rsidRDefault="00F44D2B" w:rsidP="00F44D2B">
            <w:pPr>
              <w:rPr>
                <w:rFonts w:ascii="Times New Roman" w:hAnsi="Times New Roman" w:cs="Times New Roman"/>
              </w:rPr>
            </w:pPr>
            <w:r w:rsidRPr="00826645">
              <w:rPr>
                <w:rFonts w:ascii="Times New Roman" w:hAnsi="Times New Roman" w:cs="Times New Roman"/>
              </w:rPr>
              <w:t>Premise Visit Charge</w:t>
            </w:r>
          </w:p>
        </w:tc>
        <w:tc>
          <w:tcPr>
            <w:tcW w:w="2125" w:type="dxa"/>
          </w:tcPr>
          <w:p w:rsidR="00F44D2B" w:rsidRPr="00826645" w:rsidRDefault="00F44D2B" w:rsidP="00F44D2B">
            <w:pPr>
              <w:jc w:val="center"/>
              <w:rPr>
                <w:rFonts w:ascii="Times New Roman" w:hAnsi="Times New Roman" w:cs="Times New Roman"/>
              </w:rPr>
            </w:pPr>
            <w:r w:rsidRPr="00826645">
              <w:rPr>
                <w:rFonts w:ascii="Times New Roman" w:hAnsi="Times New Roman" w:cs="Times New Roman"/>
              </w:rPr>
              <w:t>$46.05</w:t>
            </w:r>
          </w:p>
        </w:tc>
      </w:tr>
      <w:tr w:rsidR="00F44D2B" w:rsidRPr="00826645" w:rsidTr="004D4632">
        <w:trPr>
          <w:trHeight w:val="274"/>
          <w:jc w:val="center"/>
        </w:trPr>
        <w:tc>
          <w:tcPr>
            <w:tcW w:w="7165" w:type="dxa"/>
          </w:tcPr>
          <w:p w:rsidR="00F44D2B" w:rsidRPr="00826645" w:rsidRDefault="00F44D2B" w:rsidP="00F44D2B">
            <w:pPr>
              <w:rPr>
                <w:rFonts w:ascii="Times New Roman" w:hAnsi="Times New Roman" w:cs="Times New Roman"/>
              </w:rPr>
            </w:pPr>
            <w:r w:rsidRPr="00826645">
              <w:rPr>
                <w:rFonts w:ascii="Times New Roman" w:hAnsi="Times New Roman" w:cs="Times New Roman"/>
              </w:rPr>
              <w:t>Violation Reconnection Charge</w:t>
            </w:r>
          </w:p>
        </w:tc>
        <w:tc>
          <w:tcPr>
            <w:tcW w:w="2125" w:type="dxa"/>
          </w:tcPr>
          <w:p w:rsidR="00F44D2B" w:rsidRPr="00826645" w:rsidRDefault="00F44D2B" w:rsidP="00F44D2B">
            <w:pPr>
              <w:jc w:val="center"/>
              <w:rPr>
                <w:rFonts w:ascii="Times New Roman" w:hAnsi="Times New Roman" w:cs="Times New Roman"/>
              </w:rPr>
            </w:pPr>
            <w:r w:rsidRPr="00826645">
              <w:rPr>
                <w:rFonts w:ascii="Times New Roman" w:hAnsi="Times New Roman" w:cs="Times New Roman"/>
              </w:rPr>
              <w:t>Actual Cost</w:t>
            </w:r>
          </w:p>
        </w:tc>
      </w:tr>
      <w:tr w:rsidR="00F44D2B" w:rsidRPr="00826645" w:rsidTr="004D4632">
        <w:trPr>
          <w:trHeight w:val="274"/>
          <w:jc w:val="center"/>
        </w:trPr>
        <w:tc>
          <w:tcPr>
            <w:tcW w:w="7165" w:type="dxa"/>
          </w:tcPr>
          <w:p w:rsidR="00F44D2B" w:rsidRPr="00826645" w:rsidRDefault="00F44D2B" w:rsidP="00F44D2B">
            <w:pPr>
              <w:rPr>
                <w:rFonts w:ascii="Times New Roman" w:hAnsi="Times New Roman" w:cs="Times New Roman"/>
              </w:rPr>
            </w:pPr>
            <w:r w:rsidRPr="00826645">
              <w:rPr>
                <w:rFonts w:ascii="Times New Roman" w:hAnsi="Times New Roman" w:cs="Times New Roman"/>
              </w:rPr>
              <w:t>Water Meter Testing Fee</w:t>
            </w:r>
          </w:p>
        </w:tc>
        <w:tc>
          <w:tcPr>
            <w:tcW w:w="2125" w:type="dxa"/>
          </w:tcPr>
          <w:p w:rsidR="00F44D2B" w:rsidRPr="00826645" w:rsidRDefault="00F44D2B" w:rsidP="00F44D2B">
            <w:pPr>
              <w:jc w:val="center"/>
              <w:rPr>
                <w:rFonts w:ascii="Times New Roman" w:hAnsi="Times New Roman" w:cs="Times New Roman"/>
              </w:rPr>
            </w:pPr>
            <w:r w:rsidRPr="00826645">
              <w:rPr>
                <w:rFonts w:ascii="Times New Roman" w:hAnsi="Times New Roman" w:cs="Times New Roman"/>
              </w:rPr>
              <w:t>$63.51</w:t>
            </w:r>
          </w:p>
        </w:tc>
      </w:tr>
      <w:tr w:rsidR="00F44D2B" w:rsidRPr="00826645" w:rsidTr="004D4632">
        <w:trPr>
          <w:trHeight w:val="289"/>
          <w:jc w:val="center"/>
        </w:trPr>
        <w:tc>
          <w:tcPr>
            <w:tcW w:w="7165" w:type="dxa"/>
          </w:tcPr>
          <w:p w:rsidR="00F44D2B" w:rsidRPr="00826645" w:rsidRDefault="00F44D2B" w:rsidP="00F44D2B">
            <w:pPr>
              <w:rPr>
                <w:rFonts w:ascii="Times New Roman" w:hAnsi="Times New Roman" w:cs="Times New Roman"/>
              </w:rPr>
            </w:pPr>
            <w:r w:rsidRPr="00826645">
              <w:rPr>
                <w:rFonts w:ascii="Times New Roman" w:hAnsi="Times New Roman" w:cs="Times New Roman"/>
              </w:rPr>
              <w:t>Late Payment Charge</w:t>
            </w:r>
          </w:p>
        </w:tc>
        <w:tc>
          <w:tcPr>
            <w:tcW w:w="2125" w:type="dxa"/>
          </w:tcPr>
          <w:p w:rsidR="00F44D2B" w:rsidRPr="00826645" w:rsidRDefault="00F44D2B" w:rsidP="00F44D2B">
            <w:pPr>
              <w:jc w:val="center"/>
              <w:rPr>
                <w:rFonts w:ascii="Times New Roman" w:hAnsi="Times New Roman" w:cs="Times New Roman"/>
              </w:rPr>
            </w:pPr>
            <w:r w:rsidRPr="00826645">
              <w:rPr>
                <w:rFonts w:ascii="Times New Roman" w:hAnsi="Times New Roman" w:cs="Times New Roman"/>
              </w:rPr>
              <w:t>$5.00</w:t>
            </w:r>
          </w:p>
        </w:tc>
      </w:tr>
    </w:tbl>
    <w:p w:rsidR="00F44D2B" w:rsidRPr="00826645" w:rsidRDefault="00F44D2B" w:rsidP="005776C9">
      <w:pPr>
        <w:jc w:val="both"/>
      </w:pPr>
    </w:p>
    <w:p w:rsidR="00F44D2B" w:rsidRPr="00826645" w:rsidRDefault="00F44D2B" w:rsidP="00F44D2B">
      <w:pPr>
        <w:jc w:val="both"/>
        <w:rPr>
          <w:b/>
        </w:rPr>
      </w:pPr>
      <w:r w:rsidRPr="00826645">
        <w:rPr>
          <w:b/>
        </w:rPr>
        <w:t>Premise Visit and Violation Reconnection Charges</w:t>
      </w:r>
    </w:p>
    <w:p w:rsidR="00F44D2B" w:rsidRPr="00826645" w:rsidRDefault="005F1A75" w:rsidP="00F44D2B">
      <w:pPr>
        <w:jc w:val="both"/>
      </w:pPr>
      <w:r w:rsidRPr="00826645">
        <w:tab/>
      </w:r>
      <w:r w:rsidR="00F44D2B" w:rsidRPr="00826645">
        <w:t xml:space="preserve">The Utility requested initial connection, normal reconnection, and premise visit charges of $46.05 during normal business hours. Additionally, Riverdale requested that its violation reconnection charge for its wastewater system be actual cost pursuant to Rule 25-30.460(1)(c), F.A.C. The Utility’s request for initial connection and normal reconnection charges do not conform to </w:t>
      </w:r>
      <w:r w:rsidR="003D14F6" w:rsidRPr="00826645">
        <w:t>our</w:t>
      </w:r>
      <w:r w:rsidR="00F44D2B" w:rsidRPr="00826645">
        <w:t xml:space="preserve"> rules. Rule 25-30.460, F.A.C., was amended to remove initial connection and normal reconnection charges.</w:t>
      </w:r>
      <w:r w:rsidR="00F44D2B" w:rsidRPr="00826645">
        <w:rPr>
          <w:vertAlign w:val="superscript"/>
        </w:rPr>
        <w:footnoteReference w:id="7"/>
      </w:r>
      <w:r w:rsidR="00F44D2B" w:rsidRPr="00826645">
        <w:t xml:space="preserve"> The definitions for initial connection charges and normal reconnection charges were subsumed in the definition of the premise visit charge. Therefore, the Utility’s proposed initial connection and normal reconnection charges are obsolete. The Utility’s </w:t>
      </w:r>
      <w:r w:rsidR="00F44D2B" w:rsidRPr="00826645">
        <w:lastRenderedPageBreak/>
        <w:t>request for premise visit charge of $4</w:t>
      </w:r>
      <w:r w:rsidR="003D14F6" w:rsidRPr="00826645">
        <w:t>6.05 is shown below on Table 2</w:t>
      </w:r>
      <w:r w:rsidR="00F44D2B" w:rsidRPr="00826645">
        <w:t xml:space="preserve">. </w:t>
      </w:r>
      <w:r w:rsidR="003D14F6" w:rsidRPr="00826645">
        <w:t>We find that</w:t>
      </w:r>
      <w:r w:rsidR="00F44D2B" w:rsidRPr="00826645">
        <w:t xml:space="preserve"> the premise visit charge of $46.05 is reasonable and </w:t>
      </w:r>
      <w:r w:rsidR="003D14F6" w:rsidRPr="00826645">
        <w:t>shall</w:t>
      </w:r>
      <w:r w:rsidR="00F44D2B" w:rsidRPr="00826645">
        <w:t xml:space="preserve"> be approved pursuant to Rule 25-30.460, F.A.C.</w:t>
      </w:r>
    </w:p>
    <w:p w:rsidR="00F44D2B" w:rsidRPr="00826645" w:rsidRDefault="00F44D2B" w:rsidP="00F44D2B">
      <w:pPr>
        <w:jc w:val="both"/>
      </w:pPr>
    </w:p>
    <w:p w:rsidR="00F44D2B" w:rsidRPr="00826645" w:rsidRDefault="005F1A75" w:rsidP="00F44D2B">
      <w:pPr>
        <w:spacing w:after="240"/>
        <w:jc w:val="both"/>
      </w:pPr>
      <w:r w:rsidRPr="00826645">
        <w:tab/>
      </w:r>
      <w:r w:rsidR="00F44D2B" w:rsidRPr="00826645">
        <w:t xml:space="preserve">The Utility proposed separate charges for the violation reconnection charge at actual cost. However, pursuant to </w:t>
      </w:r>
      <w:r w:rsidR="003D14F6" w:rsidRPr="00826645">
        <w:t>our</w:t>
      </w:r>
      <w:r w:rsidR="00F44D2B" w:rsidRPr="00826645">
        <w:t xml:space="preserve"> rule, a Utility may only charge water customers at actual cost for reconnection. In addition, </w:t>
      </w:r>
      <w:r w:rsidR="003D14F6" w:rsidRPr="00826645">
        <w:t>we consider</w:t>
      </w:r>
      <w:r w:rsidR="00F44D2B" w:rsidRPr="00826645">
        <w:t xml:space="preserve"> the violation reconnection charge to be a disconnection and reconnection subsumed as one charge. Therefore, the Utility’s violation reconnection charge sh</w:t>
      </w:r>
      <w:r w:rsidR="00122F8B">
        <w:t>all</w:t>
      </w:r>
      <w:r w:rsidR="00F44D2B" w:rsidRPr="00826645">
        <w:t xml:space="preserve"> represent two premise visit charge</w:t>
      </w:r>
      <w:r w:rsidR="007B35FB">
        <w:t>s</w:t>
      </w:r>
      <w:r w:rsidR="00F44D2B" w:rsidRPr="00826645">
        <w:t>, which is $92.10 ($46.05 x 2) for business hours.</w:t>
      </w:r>
    </w:p>
    <w:p w:rsidR="00F44D2B" w:rsidRPr="00826645" w:rsidRDefault="005F1A75" w:rsidP="00F44D2B">
      <w:pPr>
        <w:spacing w:after="240"/>
        <w:jc w:val="both"/>
      </w:pPr>
      <w:r w:rsidRPr="00826645">
        <w:tab/>
      </w:r>
      <w:r w:rsidR="00F44D2B" w:rsidRPr="00826645">
        <w:t xml:space="preserve">The Utility requested a water meter re-read charge of $63.51. </w:t>
      </w:r>
      <w:r w:rsidR="007A20A6">
        <w:t>Our staff</w:t>
      </w:r>
      <w:r w:rsidR="00F44D2B" w:rsidRPr="00826645">
        <w:t xml:space="preserve"> contacted the Utility for clarification of its requested charge. The Utility requested that the meter re-read charge be a premise visit charge. If a customer is not satisfied with the original meter read, a second meter read should be covered as a premise visit charge under Rule 25-30.466, F.A.C. </w:t>
      </w:r>
      <w:r w:rsidR="007A20A6">
        <w:t>We find</w:t>
      </w:r>
      <w:r w:rsidR="00F44D2B" w:rsidRPr="00826645">
        <w:t xml:space="preserve"> that the premise visit charge is appropriate for conducting meter re-reads. </w:t>
      </w:r>
    </w:p>
    <w:p w:rsidR="00F44D2B" w:rsidRPr="00826645" w:rsidRDefault="00F44D2B" w:rsidP="00F44D2B">
      <w:pPr>
        <w:jc w:val="both"/>
        <w:rPr>
          <w:b/>
        </w:rPr>
      </w:pPr>
      <w:r w:rsidRPr="00826645">
        <w:rPr>
          <w:b/>
        </w:rPr>
        <w:t>Late Payment Charge</w:t>
      </w:r>
    </w:p>
    <w:p w:rsidR="00F44D2B" w:rsidRPr="00826645" w:rsidRDefault="005F1A75" w:rsidP="00F44D2B">
      <w:pPr>
        <w:jc w:val="both"/>
      </w:pPr>
      <w:r w:rsidRPr="00826645">
        <w:tab/>
      </w:r>
      <w:r w:rsidR="00F44D2B" w:rsidRPr="00826645">
        <w:t xml:space="preserve">The Utility requested to implement a late payment charge of $5. The purpose of this charge is not only to provide an incentive for customers to make timely payment, thereby reducing the number of delinquent accounts, but also to place the cost burden of processing such delinquencies solely upon those who are the cost causers. Riverdale is requesting to recover administrative and supply cost for processing late payment notices. </w:t>
      </w:r>
      <w:r w:rsidR="003D14F6" w:rsidRPr="00826645">
        <w:t>We find that</w:t>
      </w:r>
      <w:r w:rsidR="00F44D2B" w:rsidRPr="00826645">
        <w:t xml:space="preserve"> the requested late payment charge is reasonable and </w:t>
      </w:r>
      <w:r w:rsidR="003D14F6" w:rsidRPr="00826645">
        <w:t>shall</w:t>
      </w:r>
      <w:r w:rsidR="00F44D2B" w:rsidRPr="00826645">
        <w:t xml:space="preserve"> be approved.</w:t>
      </w:r>
    </w:p>
    <w:p w:rsidR="00F44D2B" w:rsidRPr="00826645" w:rsidRDefault="00F44D2B" w:rsidP="00F44D2B">
      <w:pPr>
        <w:jc w:val="both"/>
      </w:pPr>
    </w:p>
    <w:p w:rsidR="00F44D2B" w:rsidRPr="00826645" w:rsidRDefault="005F1A75" w:rsidP="005F1A75">
      <w:pPr>
        <w:jc w:val="both"/>
      </w:pPr>
      <w:r w:rsidRPr="00826645">
        <w:tab/>
      </w:r>
      <w:r w:rsidR="003D14F6" w:rsidRPr="00826645">
        <w:t>The approved</w:t>
      </w:r>
      <w:r w:rsidR="00F44D2B" w:rsidRPr="00826645">
        <w:t xml:space="preserve"> miscellaneous service char</w:t>
      </w:r>
      <w:r w:rsidR="003D14F6" w:rsidRPr="00826645">
        <w:t>ges are shown below on Table 3</w:t>
      </w:r>
      <w:r w:rsidR="00F44D2B" w:rsidRPr="00826645">
        <w:t>.</w:t>
      </w:r>
    </w:p>
    <w:p w:rsidR="00F44D2B" w:rsidRPr="00826645" w:rsidRDefault="00F44D2B" w:rsidP="005F1A75">
      <w:pPr>
        <w:jc w:val="both"/>
      </w:pPr>
    </w:p>
    <w:p w:rsidR="00F44D2B" w:rsidRPr="00826645" w:rsidRDefault="003D14F6" w:rsidP="00F44D2B">
      <w:pPr>
        <w:keepNext/>
        <w:jc w:val="center"/>
        <w:rPr>
          <w:b/>
        </w:rPr>
      </w:pPr>
      <w:r w:rsidRPr="00826645">
        <w:rPr>
          <w:b/>
        </w:rPr>
        <w:t>Table 3</w:t>
      </w:r>
    </w:p>
    <w:p w:rsidR="00F44D2B" w:rsidRPr="00826645" w:rsidRDefault="00F44D2B" w:rsidP="00F44D2B">
      <w:pPr>
        <w:jc w:val="center"/>
        <w:rPr>
          <w:b/>
          <w:bCs/>
          <w:u w:val="single"/>
        </w:rPr>
      </w:pPr>
      <w:r w:rsidRPr="00826645">
        <w:rPr>
          <w:b/>
        </w:rPr>
        <w:t>Miscellaneous Service Charges</w:t>
      </w:r>
    </w:p>
    <w:tbl>
      <w:tblPr>
        <w:tblStyle w:val="TableGrid12"/>
        <w:tblW w:w="0" w:type="auto"/>
        <w:jc w:val="center"/>
        <w:tblLook w:val="04A0" w:firstRow="1" w:lastRow="0" w:firstColumn="1" w:lastColumn="0" w:noHBand="0" w:noVBand="1"/>
      </w:tblPr>
      <w:tblGrid>
        <w:gridCol w:w="7165"/>
        <w:gridCol w:w="2125"/>
      </w:tblGrid>
      <w:tr w:rsidR="00F44D2B" w:rsidRPr="00826645" w:rsidTr="004D4632">
        <w:trPr>
          <w:trHeight w:val="274"/>
          <w:jc w:val="center"/>
        </w:trPr>
        <w:tc>
          <w:tcPr>
            <w:tcW w:w="7165" w:type="dxa"/>
          </w:tcPr>
          <w:p w:rsidR="00F44D2B" w:rsidRPr="00826645" w:rsidRDefault="00F44D2B" w:rsidP="00F44D2B">
            <w:pPr>
              <w:rPr>
                <w:rFonts w:ascii="Times New Roman" w:hAnsi="Times New Roman" w:cs="Times New Roman"/>
              </w:rPr>
            </w:pPr>
          </w:p>
        </w:tc>
        <w:tc>
          <w:tcPr>
            <w:tcW w:w="2125" w:type="dxa"/>
          </w:tcPr>
          <w:p w:rsidR="00F44D2B" w:rsidRPr="00826645" w:rsidRDefault="00F44D2B" w:rsidP="00F44D2B">
            <w:pPr>
              <w:jc w:val="center"/>
              <w:rPr>
                <w:rFonts w:ascii="Times New Roman" w:hAnsi="Times New Roman" w:cs="Times New Roman"/>
                <w:u w:val="single"/>
              </w:rPr>
            </w:pPr>
            <w:r w:rsidRPr="00826645">
              <w:rPr>
                <w:rFonts w:ascii="Times New Roman" w:hAnsi="Times New Roman" w:cs="Times New Roman"/>
                <w:u w:val="single"/>
              </w:rPr>
              <w:t>Business Hours</w:t>
            </w:r>
          </w:p>
        </w:tc>
      </w:tr>
      <w:tr w:rsidR="00F44D2B" w:rsidRPr="00826645" w:rsidTr="004D4632">
        <w:trPr>
          <w:trHeight w:val="274"/>
          <w:jc w:val="center"/>
        </w:trPr>
        <w:tc>
          <w:tcPr>
            <w:tcW w:w="7165" w:type="dxa"/>
          </w:tcPr>
          <w:p w:rsidR="00F44D2B" w:rsidRPr="00826645" w:rsidRDefault="00F44D2B" w:rsidP="00F44D2B">
            <w:pPr>
              <w:rPr>
                <w:rFonts w:ascii="Times New Roman" w:hAnsi="Times New Roman" w:cs="Times New Roman"/>
              </w:rPr>
            </w:pPr>
            <w:r w:rsidRPr="00826645">
              <w:rPr>
                <w:rFonts w:ascii="Times New Roman" w:hAnsi="Times New Roman" w:cs="Times New Roman"/>
              </w:rPr>
              <w:t>Premise Visit Charge</w:t>
            </w:r>
          </w:p>
        </w:tc>
        <w:tc>
          <w:tcPr>
            <w:tcW w:w="2125" w:type="dxa"/>
          </w:tcPr>
          <w:p w:rsidR="00F44D2B" w:rsidRPr="00826645" w:rsidRDefault="00F44D2B" w:rsidP="00F44D2B">
            <w:pPr>
              <w:jc w:val="center"/>
              <w:rPr>
                <w:rFonts w:ascii="Times New Roman" w:hAnsi="Times New Roman" w:cs="Times New Roman"/>
              </w:rPr>
            </w:pPr>
            <w:r w:rsidRPr="00826645">
              <w:rPr>
                <w:rFonts w:ascii="Times New Roman" w:hAnsi="Times New Roman" w:cs="Times New Roman"/>
              </w:rPr>
              <w:t>$46.05</w:t>
            </w:r>
          </w:p>
        </w:tc>
      </w:tr>
      <w:tr w:rsidR="00F44D2B" w:rsidRPr="00826645" w:rsidTr="004D4632">
        <w:trPr>
          <w:trHeight w:val="274"/>
          <w:jc w:val="center"/>
        </w:trPr>
        <w:tc>
          <w:tcPr>
            <w:tcW w:w="7165" w:type="dxa"/>
          </w:tcPr>
          <w:p w:rsidR="00F44D2B" w:rsidRPr="00826645" w:rsidRDefault="00F44D2B" w:rsidP="00F44D2B">
            <w:pPr>
              <w:rPr>
                <w:rFonts w:ascii="Times New Roman" w:hAnsi="Times New Roman" w:cs="Times New Roman"/>
              </w:rPr>
            </w:pPr>
            <w:r w:rsidRPr="00826645">
              <w:rPr>
                <w:rFonts w:ascii="Times New Roman" w:hAnsi="Times New Roman" w:cs="Times New Roman"/>
              </w:rPr>
              <w:t>Violation Reconnection Charge</w:t>
            </w:r>
          </w:p>
        </w:tc>
        <w:tc>
          <w:tcPr>
            <w:tcW w:w="2125" w:type="dxa"/>
          </w:tcPr>
          <w:p w:rsidR="00F44D2B" w:rsidRPr="00826645" w:rsidRDefault="00F44D2B" w:rsidP="00F44D2B">
            <w:pPr>
              <w:jc w:val="center"/>
              <w:rPr>
                <w:rFonts w:ascii="Times New Roman" w:hAnsi="Times New Roman" w:cs="Times New Roman"/>
              </w:rPr>
            </w:pPr>
            <w:r w:rsidRPr="00826645">
              <w:rPr>
                <w:rFonts w:ascii="Times New Roman" w:hAnsi="Times New Roman" w:cs="Times New Roman"/>
              </w:rPr>
              <w:t>$92.10</w:t>
            </w:r>
          </w:p>
        </w:tc>
      </w:tr>
      <w:tr w:rsidR="00F44D2B" w:rsidRPr="00826645" w:rsidTr="004D4632">
        <w:trPr>
          <w:trHeight w:val="274"/>
          <w:jc w:val="center"/>
        </w:trPr>
        <w:tc>
          <w:tcPr>
            <w:tcW w:w="7165" w:type="dxa"/>
          </w:tcPr>
          <w:p w:rsidR="00F44D2B" w:rsidRPr="00826645" w:rsidRDefault="00F44D2B" w:rsidP="00F44D2B">
            <w:pPr>
              <w:rPr>
                <w:rFonts w:ascii="Times New Roman" w:hAnsi="Times New Roman" w:cs="Times New Roman"/>
              </w:rPr>
            </w:pPr>
            <w:r w:rsidRPr="00826645">
              <w:rPr>
                <w:rFonts w:ascii="Times New Roman" w:hAnsi="Times New Roman" w:cs="Times New Roman"/>
              </w:rPr>
              <w:t>Damaging/Tampering/Altering Meter or Utility System</w:t>
            </w:r>
          </w:p>
        </w:tc>
        <w:tc>
          <w:tcPr>
            <w:tcW w:w="2125" w:type="dxa"/>
          </w:tcPr>
          <w:p w:rsidR="00F44D2B" w:rsidRPr="00826645" w:rsidRDefault="00F44D2B" w:rsidP="00F44D2B">
            <w:pPr>
              <w:jc w:val="center"/>
              <w:rPr>
                <w:rFonts w:ascii="Times New Roman" w:hAnsi="Times New Roman" w:cs="Times New Roman"/>
              </w:rPr>
            </w:pPr>
            <w:r w:rsidRPr="00826645">
              <w:rPr>
                <w:rFonts w:ascii="Times New Roman" w:hAnsi="Times New Roman" w:cs="Times New Roman"/>
              </w:rPr>
              <w:t>Actual Cost</w:t>
            </w:r>
          </w:p>
        </w:tc>
      </w:tr>
      <w:tr w:rsidR="00F44D2B" w:rsidRPr="00826645" w:rsidTr="004D4632">
        <w:trPr>
          <w:trHeight w:val="289"/>
          <w:jc w:val="center"/>
        </w:trPr>
        <w:tc>
          <w:tcPr>
            <w:tcW w:w="7165" w:type="dxa"/>
          </w:tcPr>
          <w:p w:rsidR="00F44D2B" w:rsidRPr="00826645" w:rsidRDefault="00F44D2B" w:rsidP="00F44D2B">
            <w:pPr>
              <w:rPr>
                <w:rFonts w:ascii="Times New Roman" w:hAnsi="Times New Roman" w:cs="Times New Roman"/>
              </w:rPr>
            </w:pPr>
            <w:r w:rsidRPr="00826645">
              <w:rPr>
                <w:rFonts w:ascii="Times New Roman" w:hAnsi="Times New Roman" w:cs="Times New Roman"/>
              </w:rPr>
              <w:t>Late Payment Charge</w:t>
            </w:r>
          </w:p>
        </w:tc>
        <w:tc>
          <w:tcPr>
            <w:tcW w:w="2125" w:type="dxa"/>
          </w:tcPr>
          <w:p w:rsidR="00F44D2B" w:rsidRPr="00826645" w:rsidRDefault="00F44D2B" w:rsidP="00F44D2B">
            <w:pPr>
              <w:jc w:val="center"/>
              <w:rPr>
                <w:rFonts w:ascii="Times New Roman" w:hAnsi="Times New Roman" w:cs="Times New Roman"/>
              </w:rPr>
            </w:pPr>
            <w:r w:rsidRPr="00826645">
              <w:rPr>
                <w:rFonts w:ascii="Times New Roman" w:hAnsi="Times New Roman" w:cs="Times New Roman"/>
              </w:rPr>
              <w:t>$5.00</w:t>
            </w:r>
          </w:p>
        </w:tc>
      </w:tr>
    </w:tbl>
    <w:p w:rsidR="00F44D2B" w:rsidRPr="00826645" w:rsidRDefault="00F44D2B" w:rsidP="00F44D2B">
      <w:pPr>
        <w:jc w:val="both"/>
      </w:pPr>
    </w:p>
    <w:p w:rsidR="00F44D2B" w:rsidRPr="00826645" w:rsidRDefault="000A3459" w:rsidP="00F44D2B">
      <w:pPr>
        <w:pStyle w:val="OrderBody"/>
      </w:pPr>
      <w:r w:rsidRPr="00826645">
        <w:tab/>
      </w:r>
      <w:r w:rsidR="00F44D2B" w:rsidRPr="00826645">
        <w:t xml:space="preserve">Based on the above, the appropriate miscellaneous service charges are shown on Table </w:t>
      </w:r>
      <w:r w:rsidR="003D14F6" w:rsidRPr="00826645">
        <w:t>3</w:t>
      </w:r>
      <w:r w:rsidR="00F44D2B" w:rsidRPr="00826645">
        <w:t xml:space="preserve"> and </w:t>
      </w:r>
      <w:r w:rsidR="003D14F6" w:rsidRPr="00826645">
        <w:t>shall</w:t>
      </w:r>
      <w:r w:rsidR="00F44D2B" w:rsidRPr="00826645">
        <w:t xml:space="preserve"> be approved. The Utility </w:t>
      </w:r>
      <w:r w:rsidR="003D14F6" w:rsidRPr="00826645">
        <w:t xml:space="preserve">shall </w:t>
      </w:r>
      <w:r w:rsidR="00F44D2B" w:rsidRPr="00826645">
        <w:t xml:space="preserve">file revised tariff sheets and a proposed customer notice to reflect the approved charges. The approved charges </w:t>
      </w:r>
      <w:r w:rsidR="003D14F6" w:rsidRPr="00826645">
        <w:t xml:space="preserve">shall </w:t>
      </w:r>
      <w:r w:rsidR="00F44D2B" w:rsidRPr="00826645">
        <w:t xml:space="preserve">be effective for service rendered on or after the stamped approval date on the tariff sheets pursuant to Rule 25-30.475(1), F.A.C. Riverdale </w:t>
      </w:r>
      <w:r w:rsidR="003D14F6" w:rsidRPr="00826645">
        <w:t xml:space="preserve">shall </w:t>
      </w:r>
      <w:r w:rsidR="00F44D2B" w:rsidRPr="00826645">
        <w:t xml:space="preserve">be required to charge the approved miscellaneous service charges until authorized to change them by </w:t>
      </w:r>
      <w:r w:rsidR="003D14F6" w:rsidRPr="00826645">
        <w:t>us</w:t>
      </w:r>
      <w:r w:rsidR="00F44D2B" w:rsidRPr="00826645">
        <w:t xml:space="preserve"> in a subsequent proceeding.</w:t>
      </w:r>
      <w:r w:rsidR="003D14F6" w:rsidRPr="00826645">
        <w:t xml:space="preserve"> </w:t>
      </w:r>
    </w:p>
    <w:p w:rsidR="00873817" w:rsidRPr="00826645" w:rsidRDefault="00873817" w:rsidP="00F44D2B">
      <w:pPr>
        <w:pStyle w:val="OrderBody"/>
      </w:pPr>
    </w:p>
    <w:p w:rsidR="00873817" w:rsidRPr="00826645" w:rsidRDefault="00F44D2B" w:rsidP="00F44D2B">
      <w:pPr>
        <w:pStyle w:val="OrderBody"/>
      </w:pPr>
      <w:r w:rsidRPr="00826645">
        <w:tab/>
      </w:r>
    </w:p>
    <w:p w:rsidR="00873817" w:rsidRPr="00826645" w:rsidRDefault="00873817">
      <w:r w:rsidRPr="00826645">
        <w:br w:type="page"/>
      </w:r>
    </w:p>
    <w:p w:rsidR="00F44D2B" w:rsidRPr="00826645" w:rsidRDefault="00F44D2B" w:rsidP="00F44D2B">
      <w:pPr>
        <w:pStyle w:val="OrderBody"/>
      </w:pPr>
      <w:r w:rsidRPr="00826645">
        <w:lastRenderedPageBreak/>
        <w:t>Based on the foregoing, it is</w:t>
      </w:r>
    </w:p>
    <w:p w:rsidR="00F44D2B" w:rsidRPr="00826645" w:rsidRDefault="00F44D2B" w:rsidP="00F44D2B">
      <w:pPr>
        <w:pStyle w:val="OrderBody"/>
      </w:pPr>
    </w:p>
    <w:p w:rsidR="0086411E" w:rsidRPr="00826645" w:rsidRDefault="00F44D2B" w:rsidP="0086411E">
      <w:pPr>
        <w:pStyle w:val="OrderBody"/>
        <w:ind w:firstLine="720"/>
      </w:pPr>
      <w:r w:rsidRPr="00826645">
        <w:t>ORDERED by the Florida Public Service Commission that</w:t>
      </w:r>
      <w:r w:rsidR="0086411E" w:rsidRPr="00826645">
        <w:t xml:space="preserve"> Riverdale Utility Holding, Inc.’s is hereby granted Certificate No. 686-W to serve the territory described in Attachment A, which is appended to this order, effective the date of our vote. This Order shall serve as Riverdale’s water certificate and it shall be retained by Riverdale. Further, Riverdale shall file a copy of its recorded Deed in the docket file within 60 days of the issuance of the subsequent order granting the certificate. It is further</w:t>
      </w:r>
    </w:p>
    <w:p w:rsidR="0086411E" w:rsidRPr="00826645" w:rsidRDefault="0086411E" w:rsidP="0086411E">
      <w:pPr>
        <w:pStyle w:val="OrderBody"/>
        <w:ind w:firstLine="720"/>
      </w:pPr>
    </w:p>
    <w:p w:rsidR="0086411E" w:rsidRPr="00826645" w:rsidRDefault="0086411E" w:rsidP="0086411E">
      <w:pPr>
        <w:spacing w:after="240"/>
        <w:ind w:firstLine="720"/>
        <w:jc w:val="both"/>
        <w:rPr>
          <w:rFonts w:ascii="TimesNewRomanPSMT" w:hAnsi="TimesNewRomanPSMT" w:cs="TimesNewRomanPSMT"/>
        </w:rPr>
      </w:pPr>
      <w:r w:rsidRPr="00826645">
        <w:t>ORDERED that the water rates, shown on Schedule No. 4</w:t>
      </w:r>
      <w:r w:rsidR="007B35FB">
        <w:t>,</w:t>
      </w:r>
      <w:r w:rsidRPr="00826645">
        <w:t xml:space="preserve"> are reasonable and are hereby approved. The approved rates shall be effective for services rendered as of the stamped approval date on the tariff sheets pursuant to Rule 25-30.475, F.A.C. The Utility shall be required to charge the approved rates until authorized to change them by us in a subsequent proceeding. </w:t>
      </w:r>
      <w:r w:rsidRPr="00826645">
        <w:rPr>
          <w:rFonts w:ascii="TimesNewRomanPSMT" w:hAnsi="TimesNewRomanPSMT" w:cs="TimesNewRomanPSMT"/>
        </w:rPr>
        <w:t>The overall cost of capital shall be set at 8.64 percent. A return on equity (ROE) of 10.23 percent with a range of plus or minus 100 basis points is also hereby approved. It is further</w:t>
      </w:r>
    </w:p>
    <w:p w:rsidR="0086411E" w:rsidRPr="00826645" w:rsidRDefault="0086411E" w:rsidP="0086411E">
      <w:pPr>
        <w:pStyle w:val="OrderBody"/>
        <w:ind w:firstLine="720"/>
      </w:pPr>
      <w:r w:rsidRPr="00826645">
        <w:rPr>
          <w:rFonts w:ascii="TimesNewRomanPSMT" w:hAnsi="TimesNewRomanPSMT" w:cs="TimesNewRomanPSMT"/>
        </w:rPr>
        <w:t xml:space="preserve">ORDERED that </w:t>
      </w:r>
      <w:r w:rsidRPr="00826645">
        <w:rPr>
          <w:rFonts w:asciiTheme="minorHAnsi" w:hAnsiTheme="minorHAnsi"/>
          <w:sz w:val="22"/>
        </w:rPr>
        <w:t>t</w:t>
      </w:r>
      <w:r w:rsidRPr="00826645">
        <w:t>he appropriate initial customer deposits are $324 for water service for the residential 5/8″ x 3/4″ meter size. The initial customer deposit for all other residential meter sizes and all general service meter sizes shall be two times the average estimated bill. The approved initial customer deposits shall be effective for service rendered on or after the stamped approval date on the tariff pursuant to Rule 25-30.475, F.A.C. The Utility shall be required to collect the approved deposits until authorized to change them by us in a subsequent proceeding. It is further</w:t>
      </w:r>
    </w:p>
    <w:p w:rsidR="0086411E" w:rsidRPr="00826645" w:rsidRDefault="0086411E" w:rsidP="0086411E">
      <w:pPr>
        <w:pStyle w:val="OrderBody"/>
        <w:ind w:firstLine="720"/>
      </w:pPr>
    </w:p>
    <w:p w:rsidR="00D069A3" w:rsidRPr="00826645" w:rsidRDefault="0086411E" w:rsidP="00D069A3">
      <w:pPr>
        <w:ind w:firstLine="720"/>
        <w:jc w:val="both"/>
        <w:outlineLvl w:val="1"/>
      </w:pPr>
      <w:r w:rsidRPr="00826645">
        <w:t xml:space="preserve">ORDERED </w:t>
      </w:r>
      <w:r w:rsidR="00D069A3" w:rsidRPr="00826645">
        <w:t xml:space="preserve">that </w:t>
      </w:r>
      <w:r w:rsidR="00D069A3" w:rsidRPr="00826645">
        <w:rPr>
          <w:bCs/>
          <w:iCs/>
          <w:szCs w:val="28"/>
        </w:rPr>
        <w:t xml:space="preserve">a plant capacity charge of $5,675 per ERC shall be approved. </w:t>
      </w:r>
      <w:r w:rsidR="00D069A3" w:rsidRPr="00826645">
        <w:t>The approved plant capacity charges result in a contribution level of 75 percent, which is equivalent to the contribution levels proposed by the Utility. The approved charges will allow Riverdale to maintain an appropriate level of investment in its system. Table 1, set forth in this Order, displays the Utility’s proposed and the approved service availability charges for its water system.</w:t>
      </w:r>
      <w:r w:rsidR="005C6846" w:rsidRPr="00826645">
        <w:t xml:space="preserve"> It is further</w:t>
      </w:r>
    </w:p>
    <w:p w:rsidR="005C6846" w:rsidRPr="00826645" w:rsidRDefault="005C6846" w:rsidP="00D069A3">
      <w:pPr>
        <w:ind w:firstLine="720"/>
        <w:jc w:val="both"/>
        <w:outlineLvl w:val="1"/>
      </w:pPr>
    </w:p>
    <w:p w:rsidR="005C6846" w:rsidRPr="00826645" w:rsidRDefault="005C6846" w:rsidP="00D069A3">
      <w:pPr>
        <w:ind w:firstLine="720"/>
        <w:jc w:val="both"/>
        <w:outlineLvl w:val="1"/>
      </w:pPr>
      <w:r w:rsidRPr="00826645">
        <w:t xml:space="preserve">ORDERED that </w:t>
      </w:r>
      <w:r w:rsidRPr="00826645">
        <w:rPr>
          <w:bCs/>
          <w:iCs/>
          <w:szCs w:val="28"/>
        </w:rPr>
        <w:t>the Utility’s requested temporary meter deposit for general service customers at actual cost pursuant to Rules 25-30.315 and 25-30.345, F.A.C., is reasonable and shall be approved. The approved deposit shall be effective for service rendered on or after the stamped approval date on the tariff pursuant to Rule 25-30.475, F.A.C. Riverdale</w:t>
      </w:r>
      <w:r w:rsidRPr="00826645">
        <w:t xml:space="preserve"> </w:t>
      </w:r>
      <w:r w:rsidRPr="00826645">
        <w:rPr>
          <w:bCs/>
          <w:iCs/>
          <w:szCs w:val="28"/>
        </w:rPr>
        <w:t xml:space="preserve">shall </w:t>
      </w:r>
      <w:r w:rsidRPr="00826645">
        <w:t>be required to collect the approved deposit, which covers the anticipated costs of installing and removing facilities and materials for temporary service, until authorized to change it by us in a subsequent proceeding.</w:t>
      </w:r>
      <w:r w:rsidR="00742131" w:rsidRPr="00826645">
        <w:t xml:space="preserve"> It is further</w:t>
      </w:r>
    </w:p>
    <w:p w:rsidR="00742131" w:rsidRPr="00826645" w:rsidRDefault="00742131" w:rsidP="00D069A3">
      <w:pPr>
        <w:ind w:firstLine="720"/>
        <w:jc w:val="both"/>
        <w:outlineLvl w:val="1"/>
      </w:pPr>
    </w:p>
    <w:p w:rsidR="00742131" w:rsidRPr="00826645" w:rsidRDefault="00742131" w:rsidP="00742131">
      <w:pPr>
        <w:pStyle w:val="OrderBody"/>
        <w:ind w:firstLine="720"/>
      </w:pPr>
      <w:r w:rsidRPr="00826645">
        <w:t xml:space="preserve">ORDERED that the Utility’s request for a meter tampering charge at actual cost shall be approved. The approved charge shall be effective for service rendered or connections made on or after the stamped approval date on the tariff pursuant to Rule 25-30.475, F.A.C. The Utility shall be required to charge its approved charge until authorized to change them by us in a subsequent proceeding. It is further </w:t>
      </w:r>
    </w:p>
    <w:p w:rsidR="00742131" w:rsidRPr="00826645" w:rsidRDefault="00742131" w:rsidP="00742131">
      <w:pPr>
        <w:pStyle w:val="OrderBody"/>
        <w:ind w:firstLine="720"/>
      </w:pPr>
    </w:p>
    <w:p w:rsidR="00742131" w:rsidRPr="00826645" w:rsidRDefault="00742131" w:rsidP="00742131">
      <w:pPr>
        <w:pStyle w:val="OrderBody"/>
        <w:ind w:firstLine="720"/>
      </w:pPr>
      <w:r w:rsidRPr="00826645">
        <w:lastRenderedPageBreak/>
        <w:t xml:space="preserve">ORDERED that the appropriate miscellaneous service charges shown on Table 3, as set forth in this Order, shall be approved. The Utility shall file revised tariff sheets and a proposed customer notice to reflect the approved charges. The approved charges shall be effective for service rendered on or after the stamped approval date on the tariff sheets pursuant to Rule 25-30.475(1), F.A.C. Riverdale shall be required to charge the approved miscellaneous service charges until authorized to change them by us in a subsequent proceeding. </w:t>
      </w:r>
      <w:r w:rsidR="00B45834" w:rsidRPr="00826645">
        <w:t>It is further</w:t>
      </w:r>
    </w:p>
    <w:p w:rsidR="00B45834" w:rsidRPr="00826645" w:rsidRDefault="00B45834" w:rsidP="00742131">
      <w:pPr>
        <w:pStyle w:val="OrderBody"/>
        <w:ind w:firstLine="720"/>
      </w:pPr>
    </w:p>
    <w:p w:rsidR="00263E21" w:rsidRDefault="00263E21" w:rsidP="00C041C9">
      <w:pPr>
        <w:pStyle w:val="OrderBody"/>
        <w:ind w:firstLine="720"/>
      </w:pPr>
      <w:r w:rsidRPr="00D216D5">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w:t>
      </w:r>
      <w:r>
        <w:t xml:space="preserve"> Proceedings” attached hereto. </w:t>
      </w:r>
      <w:r w:rsidRPr="00D216D5">
        <w:t>It is further</w:t>
      </w:r>
    </w:p>
    <w:p w:rsidR="00AB3897" w:rsidRDefault="00AB3897" w:rsidP="00742131">
      <w:pPr>
        <w:pStyle w:val="OrderBody"/>
        <w:ind w:firstLine="720"/>
      </w:pPr>
    </w:p>
    <w:p w:rsidR="00B45834" w:rsidRPr="00826645" w:rsidRDefault="00B45834" w:rsidP="00742131">
      <w:pPr>
        <w:pStyle w:val="OrderBody"/>
        <w:ind w:firstLine="720"/>
      </w:pPr>
      <w:r w:rsidRPr="00826645">
        <w:t xml:space="preserve">ORDERED that if no protest to the proposed agency action is filed by a substantially affected person within 21 days of the date of the issuance of the Order, a Consummating Order should be issued and the docket should be closed administratively upon </w:t>
      </w:r>
      <w:r w:rsidR="00F664F3" w:rsidRPr="00826645">
        <w:t>our</w:t>
      </w:r>
      <w:r w:rsidRPr="00826645">
        <w:t xml:space="preserve"> staff’s verification that the revised tariff sheets have been filed, the utility has verified in writing that it has adjusted its books in accordance with the </w:t>
      </w:r>
      <w:r w:rsidR="00F664F3" w:rsidRPr="00826645">
        <w:t>our</w:t>
      </w:r>
      <w:r w:rsidRPr="00826645">
        <w:t xml:space="preserve"> decision, and that the utility has submitted the executed and recorded warr</w:t>
      </w:r>
      <w:r w:rsidR="00F664F3" w:rsidRPr="00826645">
        <w:t xml:space="preserve">anty deed within 60 days of this </w:t>
      </w:r>
      <w:r w:rsidRPr="00826645">
        <w:t>Order.</w:t>
      </w:r>
    </w:p>
    <w:p w:rsidR="00F44D2B" w:rsidRPr="00826645" w:rsidRDefault="00F44D2B" w:rsidP="00F44D2B">
      <w:pPr>
        <w:pStyle w:val="OrderBody"/>
      </w:pPr>
    </w:p>
    <w:p w:rsidR="00F44D2B" w:rsidRDefault="00F44D2B" w:rsidP="00F44D2B">
      <w:pPr>
        <w:pStyle w:val="OrderBody"/>
        <w:keepNext/>
        <w:keepLines/>
      </w:pPr>
      <w:r w:rsidRPr="00826645">
        <w:tab/>
        <w:t xml:space="preserve">By ORDER of the Florida Public Service Commission this </w:t>
      </w:r>
      <w:bookmarkStart w:id="6" w:name="replaceDate"/>
      <w:bookmarkEnd w:id="6"/>
      <w:r w:rsidR="00F3750F">
        <w:rPr>
          <w:u w:val="single"/>
        </w:rPr>
        <w:t>24th</w:t>
      </w:r>
      <w:r w:rsidR="00F3750F">
        <w:t xml:space="preserve"> day of </w:t>
      </w:r>
      <w:r w:rsidR="00F3750F">
        <w:rPr>
          <w:u w:val="single"/>
        </w:rPr>
        <w:t>March</w:t>
      </w:r>
      <w:r w:rsidR="00F3750F">
        <w:t xml:space="preserve">, </w:t>
      </w:r>
      <w:r w:rsidR="00F3750F">
        <w:rPr>
          <w:u w:val="single"/>
        </w:rPr>
        <w:t>2025</w:t>
      </w:r>
      <w:r w:rsidR="00F3750F">
        <w:t>.</w:t>
      </w:r>
    </w:p>
    <w:p w:rsidR="00F3750F" w:rsidRPr="00F3750F" w:rsidRDefault="00F3750F" w:rsidP="00F44D2B">
      <w:pPr>
        <w:pStyle w:val="OrderBody"/>
        <w:keepNext/>
        <w:keepLines/>
      </w:pPr>
    </w:p>
    <w:p w:rsidR="00F44D2B" w:rsidRPr="00826645" w:rsidRDefault="00F44D2B" w:rsidP="00F44D2B">
      <w:pPr>
        <w:pStyle w:val="OrderBody"/>
        <w:keepNext/>
        <w:keepLines/>
      </w:pPr>
    </w:p>
    <w:p w:rsidR="00F44D2B" w:rsidRPr="00826645" w:rsidRDefault="00F44D2B" w:rsidP="00F44D2B">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F44D2B" w:rsidRPr="00826645" w:rsidTr="00F44D2B">
        <w:tc>
          <w:tcPr>
            <w:tcW w:w="720" w:type="dxa"/>
            <w:shd w:val="clear" w:color="auto" w:fill="auto"/>
          </w:tcPr>
          <w:p w:rsidR="00F44D2B" w:rsidRPr="00826645" w:rsidRDefault="00F44D2B" w:rsidP="00F44D2B">
            <w:pPr>
              <w:pStyle w:val="OrderBody"/>
              <w:keepNext/>
              <w:keepLines/>
            </w:pPr>
            <w:bookmarkStart w:id="7" w:name="bkmrkSignature" w:colFirst="0" w:colLast="0"/>
          </w:p>
        </w:tc>
        <w:tc>
          <w:tcPr>
            <w:tcW w:w="4320" w:type="dxa"/>
            <w:tcBorders>
              <w:bottom w:val="single" w:sz="4" w:space="0" w:color="auto"/>
            </w:tcBorders>
            <w:shd w:val="clear" w:color="auto" w:fill="auto"/>
          </w:tcPr>
          <w:p w:rsidR="00F44D2B" w:rsidRPr="00826645" w:rsidRDefault="00EC262F" w:rsidP="00F44D2B">
            <w:pPr>
              <w:pStyle w:val="OrderBody"/>
              <w:keepNext/>
              <w:keepLines/>
            </w:pPr>
            <w:r>
              <w:t>/s/ Adam J. Teitzman</w:t>
            </w:r>
            <w:bookmarkStart w:id="8" w:name="_GoBack"/>
            <w:bookmarkEnd w:id="8"/>
          </w:p>
        </w:tc>
      </w:tr>
      <w:bookmarkEnd w:id="7"/>
      <w:tr w:rsidR="00F44D2B" w:rsidRPr="00826645" w:rsidTr="00F44D2B">
        <w:tc>
          <w:tcPr>
            <w:tcW w:w="720" w:type="dxa"/>
            <w:shd w:val="clear" w:color="auto" w:fill="auto"/>
          </w:tcPr>
          <w:p w:rsidR="00F44D2B" w:rsidRPr="00826645" w:rsidRDefault="00F44D2B" w:rsidP="00F44D2B">
            <w:pPr>
              <w:pStyle w:val="OrderBody"/>
              <w:keepNext/>
              <w:keepLines/>
            </w:pPr>
          </w:p>
        </w:tc>
        <w:tc>
          <w:tcPr>
            <w:tcW w:w="4320" w:type="dxa"/>
            <w:tcBorders>
              <w:top w:val="single" w:sz="4" w:space="0" w:color="auto"/>
            </w:tcBorders>
            <w:shd w:val="clear" w:color="auto" w:fill="auto"/>
          </w:tcPr>
          <w:p w:rsidR="00F44D2B" w:rsidRPr="00826645" w:rsidRDefault="00F44D2B" w:rsidP="00F44D2B">
            <w:pPr>
              <w:pStyle w:val="OrderBody"/>
              <w:keepNext/>
              <w:keepLines/>
            </w:pPr>
            <w:r w:rsidRPr="00826645">
              <w:t>ADAM J. TEITZMAN</w:t>
            </w:r>
          </w:p>
          <w:p w:rsidR="00F44D2B" w:rsidRPr="00826645" w:rsidRDefault="00F44D2B" w:rsidP="00F44D2B">
            <w:pPr>
              <w:pStyle w:val="OrderBody"/>
              <w:keepNext/>
              <w:keepLines/>
            </w:pPr>
            <w:r w:rsidRPr="00826645">
              <w:t>Commission Clerk</w:t>
            </w:r>
          </w:p>
        </w:tc>
      </w:tr>
    </w:tbl>
    <w:p w:rsidR="00F44D2B" w:rsidRPr="00826645" w:rsidRDefault="00F44D2B" w:rsidP="00F44D2B">
      <w:pPr>
        <w:pStyle w:val="OrderSigInfo"/>
        <w:keepNext/>
        <w:keepLines/>
      </w:pPr>
      <w:r w:rsidRPr="00826645">
        <w:t>Florida Public Service Commission</w:t>
      </w:r>
    </w:p>
    <w:p w:rsidR="00F44D2B" w:rsidRPr="00826645" w:rsidRDefault="00F44D2B" w:rsidP="00F44D2B">
      <w:pPr>
        <w:pStyle w:val="OrderSigInfo"/>
        <w:keepNext/>
        <w:keepLines/>
      </w:pPr>
      <w:r w:rsidRPr="00826645">
        <w:t>2540 Shumard Oak Boulevard</w:t>
      </w:r>
    </w:p>
    <w:p w:rsidR="00F44D2B" w:rsidRPr="00826645" w:rsidRDefault="00F44D2B" w:rsidP="00F44D2B">
      <w:pPr>
        <w:pStyle w:val="OrderSigInfo"/>
        <w:keepNext/>
        <w:keepLines/>
      </w:pPr>
      <w:r w:rsidRPr="00826645">
        <w:t>Tallahassee, Florida 32399</w:t>
      </w:r>
    </w:p>
    <w:p w:rsidR="00F44D2B" w:rsidRPr="00826645" w:rsidRDefault="00F44D2B" w:rsidP="00F44D2B">
      <w:pPr>
        <w:pStyle w:val="OrderSigInfo"/>
        <w:keepNext/>
        <w:keepLines/>
      </w:pPr>
      <w:r w:rsidRPr="00826645">
        <w:t>(850) 413</w:t>
      </w:r>
      <w:r w:rsidRPr="00826645">
        <w:noBreakHyphen/>
        <w:t>6770</w:t>
      </w:r>
    </w:p>
    <w:p w:rsidR="00F44D2B" w:rsidRPr="00826645" w:rsidRDefault="00F44D2B" w:rsidP="00F44D2B">
      <w:pPr>
        <w:pStyle w:val="OrderSigInfo"/>
        <w:keepNext/>
        <w:keepLines/>
      </w:pPr>
      <w:r w:rsidRPr="00826645">
        <w:t>www.floridapsc.com</w:t>
      </w:r>
    </w:p>
    <w:p w:rsidR="00F44D2B" w:rsidRPr="00826645" w:rsidRDefault="00F44D2B" w:rsidP="00F44D2B">
      <w:pPr>
        <w:pStyle w:val="OrderSigInfo"/>
        <w:keepNext/>
        <w:keepLines/>
      </w:pPr>
    </w:p>
    <w:p w:rsidR="00F44D2B" w:rsidRPr="00826645" w:rsidRDefault="00F44D2B" w:rsidP="00F44D2B">
      <w:pPr>
        <w:pStyle w:val="OrderSigInfo"/>
        <w:keepNext/>
        <w:keepLines/>
      </w:pPr>
      <w:r w:rsidRPr="00826645">
        <w:t>Copies furnished:  A copy of this document is provided to the parties of record at the time of issuance and, if applicable, interested persons.</w:t>
      </w:r>
    </w:p>
    <w:p w:rsidR="00F44D2B" w:rsidRPr="00826645" w:rsidRDefault="00F44D2B" w:rsidP="00F44D2B">
      <w:pPr>
        <w:pStyle w:val="OrderBody"/>
        <w:keepNext/>
        <w:keepLines/>
      </w:pPr>
    </w:p>
    <w:p w:rsidR="00F44D2B" w:rsidRPr="00826645" w:rsidRDefault="00F44D2B" w:rsidP="00F44D2B">
      <w:pPr>
        <w:pStyle w:val="OrderBody"/>
        <w:keepNext/>
        <w:keepLines/>
      </w:pPr>
    </w:p>
    <w:p w:rsidR="00F44D2B" w:rsidRPr="00826645" w:rsidRDefault="00F44D2B" w:rsidP="00F44D2B">
      <w:pPr>
        <w:pStyle w:val="OrderBody"/>
        <w:keepNext/>
        <w:keepLines/>
      </w:pPr>
      <w:r w:rsidRPr="00826645">
        <w:t>RPS</w:t>
      </w:r>
    </w:p>
    <w:p w:rsidR="00F44D2B" w:rsidRPr="00826645" w:rsidRDefault="00F44D2B" w:rsidP="00F44D2B">
      <w:pPr>
        <w:pStyle w:val="OrderBody"/>
      </w:pPr>
    </w:p>
    <w:p w:rsidR="00F44D2B" w:rsidRPr="00826645" w:rsidRDefault="00F44D2B" w:rsidP="00F44D2B">
      <w:pPr>
        <w:pStyle w:val="OrderBody"/>
      </w:pPr>
    </w:p>
    <w:p w:rsidR="00826645" w:rsidRDefault="00826645">
      <w:pPr>
        <w:rPr>
          <w:u w:val="single"/>
        </w:rPr>
      </w:pPr>
      <w:r>
        <w:br w:type="page"/>
      </w:r>
    </w:p>
    <w:p w:rsidR="00F44D2B" w:rsidRPr="00826645" w:rsidRDefault="00F44D2B" w:rsidP="00F44D2B">
      <w:pPr>
        <w:pStyle w:val="CenterUnderline"/>
      </w:pPr>
      <w:r w:rsidRPr="00826645">
        <w:lastRenderedPageBreak/>
        <w:t>NOTICE OF FURTHER PROCEEDINGS OR JUDICIAL REVIEW</w:t>
      </w:r>
    </w:p>
    <w:p w:rsidR="00F44D2B" w:rsidRPr="00826645" w:rsidRDefault="00F44D2B" w:rsidP="00F44D2B">
      <w:pPr>
        <w:pStyle w:val="CenterUnderline"/>
      </w:pPr>
    </w:p>
    <w:p w:rsidR="00C041C9" w:rsidRDefault="00F44D2B" w:rsidP="00C041C9">
      <w:pPr>
        <w:pStyle w:val="OrderBody"/>
      </w:pPr>
      <w:r w:rsidRPr="00826645">
        <w:tab/>
      </w:r>
      <w:r w:rsidR="00C041C9">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041C9" w:rsidRDefault="00C041C9" w:rsidP="00C041C9">
      <w:pPr>
        <w:pStyle w:val="OrderBody"/>
      </w:pPr>
    </w:p>
    <w:p w:rsidR="00C041C9" w:rsidRDefault="00C041C9" w:rsidP="00C041C9">
      <w:pPr>
        <w:pStyle w:val="OrderBody"/>
      </w:pPr>
      <w:r>
        <w:tab/>
        <w:t xml:space="preserve">As identified in the body of this order, our action determining net book value, declining to make an acquisition adjustment, and revising miscellaneous service charges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F3750F">
        <w:rPr>
          <w:u w:val="single"/>
        </w:rPr>
        <w:t>April 14, 2025</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C041C9" w:rsidRDefault="00C041C9" w:rsidP="00C041C9">
      <w:pPr>
        <w:pStyle w:val="OrderBody"/>
      </w:pPr>
    </w:p>
    <w:p w:rsidR="00C041C9" w:rsidRDefault="00C041C9" w:rsidP="00C041C9">
      <w:pPr>
        <w:pStyle w:val="OrderBody"/>
      </w:pPr>
      <w:r>
        <w:tab/>
        <w:t>Any objection or protest filed in this docket before the issuance date of this order is considered abandoned unless it satisfies the foregoing conditions and is renewed within the specified protest period.</w:t>
      </w:r>
    </w:p>
    <w:p w:rsidR="00C041C9" w:rsidRDefault="00C041C9" w:rsidP="00C041C9">
      <w:pPr>
        <w:pStyle w:val="OrderBody"/>
      </w:pPr>
    </w:p>
    <w:p w:rsidR="00C041C9" w:rsidRDefault="00C041C9" w:rsidP="00C041C9">
      <w:pPr>
        <w:pStyle w:val="OrderBody"/>
      </w:pPr>
      <w:r>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44D2B" w:rsidRPr="00826645" w:rsidRDefault="00F44D2B" w:rsidP="00C041C9">
      <w:pPr>
        <w:pStyle w:val="OrderBody"/>
      </w:pPr>
    </w:p>
    <w:p w:rsidR="00F44D2B" w:rsidRPr="00826645" w:rsidRDefault="00F44D2B" w:rsidP="00F44D2B">
      <w:pPr>
        <w:pStyle w:val="OrderBody"/>
      </w:pPr>
    </w:p>
    <w:p w:rsidR="004A43FF" w:rsidRPr="00826645" w:rsidRDefault="004A43FF" w:rsidP="00F44D2B">
      <w:pPr>
        <w:pStyle w:val="OrderBody"/>
        <w:sectPr w:rsidR="004A43FF" w:rsidRPr="00826645">
          <w:headerReference w:type="default" r:id="rId7"/>
          <w:footerReference w:type="first" r:id="rId8"/>
          <w:pgSz w:w="12240" w:h="15840" w:code="1"/>
          <w:pgMar w:top="1440" w:right="1440" w:bottom="1440" w:left="1440" w:header="720" w:footer="720" w:gutter="0"/>
          <w:cols w:space="720"/>
          <w:titlePg/>
          <w:docGrid w:linePitch="360"/>
        </w:sectPr>
      </w:pPr>
    </w:p>
    <w:p w:rsidR="004F544E" w:rsidRPr="00826645" w:rsidRDefault="004F544E" w:rsidP="004F544E">
      <w:pPr>
        <w:spacing w:after="240"/>
        <w:jc w:val="both"/>
      </w:pPr>
    </w:p>
    <w:p w:rsidR="004F544E" w:rsidRPr="00826645" w:rsidRDefault="004F544E" w:rsidP="004F544E">
      <w:pPr>
        <w:jc w:val="center"/>
        <w:rPr>
          <w:rFonts w:eastAsia="Calibri"/>
          <w:b/>
          <w:sz w:val="28"/>
          <w:szCs w:val="28"/>
        </w:rPr>
      </w:pPr>
      <w:r w:rsidRPr="00826645">
        <w:rPr>
          <w:rFonts w:eastAsia="Calibri"/>
          <w:b/>
          <w:sz w:val="28"/>
          <w:szCs w:val="28"/>
        </w:rPr>
        <w:t>Riverdale Utility Holding, Inc.</w:t>
      </w:r>
    </w:p>
    <w:p w:rsidR="004F544E" w:rsidRPr="00826645" w:rsidRDefault="004F544E" w:rsidP="004F544E">
      <w:pPr>
        <w:jc w:val="center"/>
        <w:rPr>
          <w:rFonts w:eastAsia="Calibri"/>
          <w:b/>
          <w:sz w:val="28"/>
          <w:szCs w:val="28"/>
        </w:rPr>
      </w:pPr>
      <w:r w:rsidRPr="00826645">
        <w:rPr>
          <w:rFonts w:eastAsia="Calibri"/>
          <w:b/>
          <w:sz w:val="28"/>
          <w:szCs w:val="28"/>
        </w:rPr>
        <w:t>Water Service Area</w:t>
      </w:r>
    </w:p>
    <w:p w:rsidR="004F544E" w:rsidRPr="00826645" w:rsidRDefault="004F544E" w:rsidP="004F544E">
      <w:pPr>
        <w:jc w:val="center"/>
        <w:rPr>
          <w:rFonts w:eastAsia="Calibri"/>
          <w:sz w:val="28"/>
          <w:szCs w:val="28"/>
        </w:rPr>
      </w:pPr>
    </w:p>
    <w:p w:rsidR="004F544E" w:rsidRPr="00826645" w:rsidRDefault="004F544E" w:rsidP="004F544E">
      <w:pPr>
        <w:rPr>
          <w:rFonts w:eastAsia="Calibri"/>
          <w:sz w:val="22"/>
          <w:szCs w:val="22"/>
        </w:rPr>
      </w:pPr>
    </w:p>
    <w:p w:rsidR="00F44D2B" w:rsidRPr="00826645" w:rsidRDefault="004F544E" w:rsidP="004F544E">
      <w:pPr>
        <w:pStyle w:val="OrderBody"/>
      </w:pPr>
      <w:r w:rsidRPr="00826645">
        <w:t>Point of commencement shall be the Northeast corner of Township 8S, Range 27E, Section 38. Point of beginning is located 2,640 feet due South and 5,280 feet due West of the point of commencement. From the point of beginning go due South 1,320 feet then due West 990 feet. From this point go due South 1,320 feet then due West to the St. Johns River. From this point travel south along the river edge to Atlantic Road then go East on Atlantic Road to a point 2,640 feet west of the intersection of Atlantic Road and Orange Avenue. From this point go due North 2,640 feet to Woodward Road. Then go due East on Woodward Road 1,320 feet. From this point, turn due North and go 1,320 feet to Madison Road. Then turn and go due West 330 feet. From this point turn due North and go 1,320 feet to Jefferson Road. At Jefferson Road turn and go due West 990 feet to the Point of Beginning.</w:t>
      </w:r>
    </w:p>
    <w:p w:rsidR="004F544E" w:rsidRPr="00826645" w:rsidRDefault="004F544E" w:rsidP="004F544E">
      <w:pPr>
        <w:pStyle w:val="OrderBody"/>
      </w:pPr>
    </w:p>
    <w:p w:rsidR="004F544E" w:rsidRPr="00826645" w:rsidRDefault="004F544E" w:rsidP="004F544E">
      <w:pPr>
        <w:pStyle w:val="OrderBody"/>
        <w:sectPr w:rsidR="004F544E" w:rsidRPr="00826645">
          <w:headerReference w:type="first" r:id="rId9"/>
          <w:pgSz w:w="12240" w:h="15840" w:code="1"/>
          <w:pgMar w:top="1440" w:right="1440" w:bottom="1440" w:left="1440" w:header="720" w:footer="720" w:gutter="0"/>
          <w:cols w:space="720"/>
          <w:titlePg/>
          <w:docGrid w:linePitch="360"/>
        </w:sectPr>
      </w:pPr>
    </w:p>
    <w:p w:rsidR="004F544E" w:rsidRPr="00826645" w:rsidRDefault="004F544E" w:rsidP="004F544E">
      <w:pPr>
        <w:spacing w:after="240"/>
        <w:jc w:val="center"/>
        <w:rPr>
          <w:b/>
        </w:rPr>
      </w:pPr>
    </w:p>
    <w:p w:rsidR="004F544E" w:rsidRPr="00826645" w:rsidRDefault="004F544E" w:rsidP="004F544E">
      <w:pPr>
        <w:spacing w:after="240"/>
        <w:jc w:val="center"/>
        <w:rPr>
          <w:b/>
        </w:rPr>
      </w:pPr>
      <w:r w:rsidRPr="00826645">
        <w:rPr>
          <w:b/>
        </w:rPr>
        <w:t>FLORIDA PUBLIC SERVICE COMMISSION</w:t>
      </w:r>
    </w:p>
    <w:p w:rsidR="004F544E" w:rsidRPr="00826645" w:rsidRDefault="004F544E" w:rsidP="004F544E">
      <w:pPr>
        <w:spacing w:before="240"/>
        <w:jc w:val="center"/>
        <w:rPr>
          <w:b/>
        </w:rPr>
      </w:pPr>
      <w:r w:rsidRPr="00826645">
        <w:rPr>
          <w:b/>
        </w:rPr>
        <w:t>Authorizes</w:t>
      </w:r>
    </w:p>
    <w:p w:rsidR="004F544E" w:rsidRPr="00826645" w:rsidRDefault="004F544E" w:rsidP="004F544E">
      <w:pPr>
        <w:jc w:val="center"/>
        <w:rPr>
          <w:rFonts w:eastAsia="Calibri"/>
          <w:b/>
          <w:sz w:val="28"/>
          <w:szCs w:val="28"/>
        </w:rPr>
      </w:pPr>
      <w:r w:rsidRPr="00826645">
        <w:rPr>
          <w:rFonts w:eastAsia="Calibri"/>
          <w:b/>
          <w:sz w:val="28"/>
          <w:szCs w:val="28"/>
        </w:rPr>
        <w:t>Riverdale Utility Holding, Inc.</w:t>
      </w:r>
    </w:p>
    <w:p w:rsidR="004F544E" w:rsidRPr="00826645" w:rsidRDefault="004F544E" w:rsidP="004F544E">
      <w:pPr>
        <w:jc w:val="center"/>
        <w:rPr>
          <w:b/>
        </w:rPr>
      </w:pPr>
      <w:r w:rsidRPr="00826645">
        <w:rPr>
          <w:b/>
        </w:rPr>
        <w:t>Pursuant to</w:t>
      </w:r>
    </w:p>
    <w:p w:rsidR="004F544E" w:rsidRPr="00826645" w:rsidRDefault="004F544E" w:rsidP="004F544E">
      <w:pPr>
        <w:spacing w:after="240"/>
        <w:jc w:val="center"/>
        <w:rPr>
          <w:b/>
        </w:rPr>
      </w:pPr>
      <w:r w:rsidRPr="00826645">
        <w:rPr>
          <w:b/>
        </w:rPr>
        <w:t>Certificate Number 686-W</w:t>
      </w:r>
    </w:p>
    <w:p w:rsidR="004F544E" w:rsidRPr="00826645" w:rsidRDefault="004F544E" w:rsidP="004F544E">
      <w:pPr>
        <w:spacing w:before="240" w:after="240"/>
        <w:jc w:val="both"/>
      </w:pPr>
      <w:r w:rsidRPr="00826645">
        <w:t xml:space="preserve">To provide water service in </w:t>
      </w:r>
      <w:r w:rsidRPr="00826645">
        <w:rPr>
          <w:u w:val="single"/>
        </w:rPr>
        <w:t>St. Johns County</w:t>
      </w:r>
      <w:r w:rsidRPr="00826645">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rsidR="004F544E" w:rsidRPr="00826645" w:rsidRDefault="004F544E" w:rsidP="004F544E">
      <w:pPr>
        <w:spacing w:before="240" w:after="240"/>
        <w:jc w:val="both"/>
      </w:pPr>
      <w:r w:rsidRPr="00826645">
        <w:rPr>
          <w:u w:val="single"/>
        </w:rPr>
        <w:t>Order Number</w:t>
      </w:r>
      <w:r w:rsidRPr="00826645">
        <w:tab/>
      </w:r>
      <w:r w:rsidRPr="00826645">
        <w:tab/>
      </w:r>
      <w:r w:rsidRPr="00826645">
        <w:tab/>
      </w:r>
      <w:r w:rsidRPr="00826645">
        <w:rPr>
          <w:u w:val="single"/>
        </w:rPr>
        <w:t>Date Issued</w:t>
      </w:r>
      <w:r w:rsidRPr="00826645">
        <w:tab/>
      </w:r>
      <w:r w:rsidRPr="00826645">
        <w:tab/>
      </w:r>
      <w:r w:rsidRPr="00826645">
        <w:rPr>
          <w:u w:val="single"/>
        </w:rPr>
        <w:t>Docket Number</w:t>
      </w:r>
      <w:r w:rsidRPr="00826645">
        <w:tab/>
      </w:r>
      <w:r w:rsidRPr="00826645">
        <w:rPr>
          <w:u w:val="single"/>
        </w:rPr>
        <w:t>Filing Type</w:t>
      </w:r>
    </w:p>
    <w:p w:rsidR="004F544E" w:rsidRPr="00826645" w:rsidRDefault="00C04170" w:rsidP="004F544E">
      <w:pPr>
        <w:spacing w:before="240"/>
        <w:jc w:val="both"/>
      </w:pPr>
      <w:r>
        <w:t>PSC-2025-0092-PAA-WU</w:t>
      </w:r>
      <w:r w:rsidR="004F544E" w:rsidRPr="00826645">
        <w:tab/>
      </w:r>
      <w:r>
        <w:t>March 24, 2025</w:t>
      </w:r>
      <w:r w:rsidR="004F544E" w:rsidRPr="00826645">
        <w:tab/>
        <w:t>20240011-WU</w:t>
      </w:r>
      <w:r w:rsidR="004F544E" w:rsidRPr="00826645">
        <w:tab/>
      </w:r>
      <w:r w:rsidR="004F544E" w:rsidRPr="00826645">
        <w:tab/>
        <w:t>Original Certificate</w:t>
      </w:r>
    </w:p>
    <w:p w:rsidR="004F544E" w:rsidRPr="00826645" w:rsidRDefault="004F544E" w:rsidP="004F544E">
      <w:pPr>
        <w:spacing w:before="240"/>
        <w:jc w:val="both"/>
      </w:pPr>
    </w:p>
    <w:p w:rsidR="004F544E" w:rsidRPr="00826645" w:rsidRDefault="004F544E" w:rsidP="004F544E">
      <w:pPr>
        <w:pStyle w:val="OrderBody"/>
        <w:rPr>
          <w:b/>
        </w:rPr>
      </w:pPr>
    </w:p>
    <w:p w:rsidR="004F544E" w:rsidRPr="00826645" w:rsidRDefault="004F544E" w:rsidP="004F544E">
      <w:pPr>
        <w:pStyle w:val="OrderBody"/>
        <w:sectPr w:rsidR="004F544E" w:rsidRPr="00826645">
          <w:headerReference w:type="first" r:id="rId10"/>
          <w:pgSz w:w="12240" w:h="15840" w:code="1"/>
          <w:pgMar w:top="1440" w:right="1440" w:bottom="1440" w:left="1440" w:header="720" w:footer="720" w:gutter="0"/>
          <w:cols w:space="720"/>
          <w:titlePg/>
          <w:docGrid w:linePitch="360"/>
        </w:sectPr>
      </w:pPr>
    </w:p>
    <w:p w:rsidR="0010219D" w:rsidRPr="00826645" w:rsidRDefault="0010219D" w:rsidP="0010219D">
      <w:pPr>
        <w:spacing w:after="240"/>
        <w:jc w:val="both"/>
      </w:pPr>
    </w:p>
    <w:tbl>
      <w:tblPr>
        <w:tblW w:w="8844" w:type="dxa"/>
        <w:jc w:val="center"/>
        <w:tblLook w:val="04A0" w:firstRow="1" w:lastRow="0" w:firstColumn="1" w:lastColumn="0" w:noHBand="0" w:noVBand="1"/>
      </w:tblPr>
      <w:tblGrid>
        <w:gridCol w:w="326"/>
        <w:gridCol w:w="3754"/>
        <w:gridCol w:w="1596"/>
        <w:gridCol w:w="1442"/>
        <w:gridCol w:w="1726"/>
      </w:tblGrid>
      <w:tr w:rsidR="0010219D" w:rsidRPr="00826645" w:rsidTr="004D4632">
        <w:trPr>
          <w:trHeight w:val="300"/>
          <w:jc w:val="center"/>
        </w:trPr>
        <w:tc>
          <w:tcPr>
            <w:tcW w:w="4080" w:type="dxa"/>
            <w:gridSpan w:val="2"/>
            <w:tcBorders>
              <w:top w:val="single" w:sz="4" w:space="0" w:color="auto"/>
              <w:left w:val="single" w:sz="4" w:space="0" w:color="auto"/>
              <w:bottom w:val="nil"/>
              <w:right w:val="nil"/>
            </w:tcBorders>
            <w:shd w:val="clear" w:color="000000" w:fill="FFFFFF"/>
            <w:noWrap/>
            <w:vAlign w:val="bottom"/>
            <w:hideMark/>
          </w:tcPr>
          <w:p w:rsidR="0010219D" w:rsidRPr="00826645" w:rsidRDefault="0010219D" w:rsidP="0010219D">
            <w:pPr>
              <w:rPr>
                <w:rFonts w:ascii="Arial" w:hAnsi="Arial" w:cs="Arial"/>
                <w:b/>
                <w:bCs/>
              </w:rPr>
            </w:pPr>
            <w:r w:rsidRPr="00826645">
              <w:rPr>
                <w:rFonts w:ascii="Arial" w:hAnsi="Arial" w:cs="Arial"/>
                <w:b/>
                <w:bCs/>
              </w:rPr>
              <w:t>Riverdale Utility Holding, Inc.</w:t>
            </w:r>
          </w:p>
        </w:tc>
        <w:tc>
          <w:tcPr>
            <w:tcW w:w="1596" w:type="dxa"/>
            <w:tcBorders>
              <w:top w:val="single" w:sz="4" w:space="0" w:color="auto"/>
              <w:left w:val="nil"/>
              <w:bottom w:val="nil"/>
              <w:right w:val="nil"/>
            </w:tcBorders>
            <w:shd w:val="clear" w:color="000000" w:fill="FFFFFF"/>
            <w:noWrap/>
            <w:vAlign w:val="bottom"/>
            <w:hideMark/>
          </w:tcPr>
          <w:p w:rsidR="0010219D" w:rsidRPr="00826645" w:rsidRDefault="0010219D" w:rsidP="0010219D">
            <w:pPr>
              <w:rPr>
                <w:rFonts w:ascii="Arial" w:hAnsi="Arial" w:cs="Arial"/>
                <w:b/>
                <w:bCs/>
                <w:color w:val="000000"/>
              </w:rPr>
            </w:pPr>
            <w:r w:rsidRPr="00826645">
              <w:rPr>
                <w:rFonts w:ascii="Arial" w:hAnsi="Arial" w:cs="Arial"/>
                <w:b/>
                <w:bCs/>
                <w:color w:val="000000"/>
              </w:rPr>
              <w:t> </w:t>
            </w:r>
          </w:p>
        </w:tc>
        <w:tc>
          <w:tcPr>
            <w:tcW w:w="3168" w:type="dxa"/>
            <w:gridSpan w:val="2"/>
            <w:tcBorders>
              <w:top w:val="single" w:sz="4" w:space="0" w:color="auto"/>
              <w:left w:val="nil"/>
              <w:bottom w:val="nil"/>
              <w:right w:val="single" w:sz="4" w:space="0" w:color="000000"/>
            </w:tcBorders>
            <w:shd w:val="clear" w:color="000000" w:fill="FFFFFF"/>
            <w:noWrap/>
            <w:vAlign w:val="bottom"/>
            <w:hideMark/>
          </w:tcPr>
          <w:p w:rsidR="0010219D" w:rsidRPr="00826645" w:rsidRDefault="0010219D" w:rsidP="0010219D">
            <w:pPr>
              <w:jc w:val="right"/>
              <w:rPr>
                <w:rFonts w:ascii="Arial" w:hAnsi="Arial" w:cs="Arial"/>
                <w:b/>
                <w:bCs/>
              </w:rPr>
            </w:pPr>
            <w:r w:rsidRPr="00826645">
              <w:rPr>
                <w:rFonts w:ascii="Arial" w:hAnsi="Arial" w:cs="Arial"/>
                <w:b/>
                <w:bCs/>
              </w:rPr>
              <w:t>Schedule No. 1-A</w:t>
            </w:r>
          </w:p>
        </w:tc>
      </w:tr>
      <w:tr w:rsidR="0010219D" w:rsidRPr="00826645" w:rsidTr="004D4632">
        <w:trPr>
          <w:trHeight w:val="300"/>
          <w:jc w:val="center"/>
        </w:trPr>
        <w:tc>
          <w:tcPr>
            <w:tcW w:w="4080" w:type="dxa"/>
            <w:gridSpan w:val="2"/>
            <w:tcBorders>
              <w:top w:val="nil"/>
              <w:left w:val="single" w:sz="4" w:space="0" w:color="auto"/>
              <w:bottom w:val="nil"/>
              <w:right w:val="nil"/>
            </w:tcBorders>
            <w:shd w:val="clear" w:color="000000" w:fill="FFFFFF"/>
            <w:noWrap/>
            <w:vAlign w:val="bottom"/>
            <w:hideMark/>
          </w:tcPr>
          <w:p w:rsidR="0010219D" w:rsidRPr="00826645" w:rsidRDefault="0010219D" w:rsidP="0010219D">
            <w:pPr>
              <w:rPr>
                <w:rFonts w:ascii="Arial" w:hAnsi="Arial" w:cs="Arial"/>
                <w:b/>
                <w:bCs/>
              </w:rPr>
            </w:pPr>
            <w:r w:rsidRPr="00826645">
              <w:rPr>
                <w:rFonts w:ascii="Arial" w:hAnsi="Arial" w:cs="Arial"/>
                <w:b/>
                <w:bCs/>
              </w:rPr>
              <w:t>Schedule of Water Rate Base</w:t>
            </w:r>
          </w:p>
        </w:tc>
        <w:tc>
          <w:tcPr>
            <w:tcW w:w="1596" w:type="dxa"/>
            <w:tcBorders>
              <w:top w:val="nil"/>
              <w:left w:val="nil"/>
              <w:bottom w:val="nil"/>
              <w:right w:val="nil"/>
            </w:tcBorders>
            <w:shd w:val="clear" w:color="000000" w:fill="FFFFFF"/>
            <w:noWrap/>
            <w:vAlign w:val="bottom"/>
            <w:hideMark/>
          </w:tcPr>
          <w:p w:rsidR="0010219D" w:rsidRPr="00826645" w:rsidRDefault="0010219D" w:rsidP="0010219D">
            <w:pPr>
              <w:rPr>
                <w:rFonts w:ascii="Arial" w:hAnsi="Arial" w:cs="Arial"/>
                <w:b/>
                <w:bCs/>
                <w:color w:val="000000"/>
              </w:rPr>
            </w:pPr>
            <w:r w:rsidRPr="00826645">
              <w:rPr>
                <w:rFonts w:ascii="Arial" w:hAnsi="Arial" w:cs="Arial"/>
                <w:b/>
                <w:bCs/>
                <w:color w:val="000000"/>
              </w:rPr>
              <w:t> </w:t>
            </w:r>
          </w:p>
        </w:tc>
        <w:tc>
          <w:tcPr>
            <w:tcW w:w="3168" w:type="dxa"/>
            <w:gridSpan w:val="2"/>
            <w:tcBorders>
              <w:top w:val="nil"/>
              <w:left w:val="nil"/>
              <w:bottom w:val="nil"/>
              <w:right w:val="single" w:sz="4" w:space="0" w:color="000000"/>
            </w:tcBorders>
            <w:shd w:val="clear" w:color="000000" w:fill="FFFFFF"/>
            <w:noWrap/>
            <w:vAlign w:val="bottom"/>
            <w:hideMark/>
          </w:tcPr>
          <w:p w:rsidR="0010219D" w:rsidRPr="00826645" w:rsidRDefault="0010219D" w:rsidP="0010219D">
            <w:pPr>
              <w:jc w:val="right"/>
              <w:rPr>
                <w:rFonts w:ascii="Arial" w:hAnsi="Arial" w:cs="Arial"/>
                <w:b/>
                <w:bCs/>
              </w:rPr>
            </w:pPr>
            <w:r w:rsidRPr="00826645">
              <w:rPr>
                <w:rFonts w:ascii="Arial" w:hAnsi="Arial" w:cs="Arial"/>
                <w:b/>
                <w:bCs/>
              </w:rPr>
              <w:t>20240011-WU</w:t>
            </w:r>
          </w:p>
        </w:tc>
      </w:tr>
      <w:tr w:rsidR="0010219D" w:rsidRPr="00826645" w:rsidTr="004D4632">
        <w:trPr>
          <w:trHeight w:val="300"/>
          <w:jc w:val="center"/>
        </w:trPr>
        <w:tc>
          <w:tcPr>
            <w:tcW w:w="4080" w:type="dxa"/>
            <w:gridSpan w:val="2"/>
            <w:tcBorders>
              <w:top w:val="nil"/>
              <w:left w:val="single" w:sz="4" w:space="0" w:color="auto"/>
              <w:bottom w:val="single" w:sz="4" w:space="0" w:color="auto"/>
              <w:right w:val="nil"/>
            </w:tcBorders>
            <w:shd w:val="clear" w:color="000000" w:fill="FFFFFF"/>
            <w:noWrap/>
            <w:vAlign w:val="bottom"/>
            <w:hideMark/>
          </w:tcPr>
          <w:p w:rsidR="0010219D" w:rsidRPr="00826645" w:rsidRDefault="0010219D" w:rsidP="0010219D">
            <w:pPr>
              <w:rPr>
                <w:rFonts w:ascii="Arial" w:hAnsi="Arial" w:cs="Arial"/>
                <w:b/>
                <w:bCs/>
              </w:rPr>
            </w:pPr>
            <w:r w:rsidRPr="00826645">
              <w:rPr>
                <w:rFonts w:ascii="Arial" w:hAnsi="Arial" w:cs="Arial"/>
                <w:b/>
                <w:bCs/>
              </w:rPr>
              <w:t>80% Design Capacity</w:t>
            </w:r>
          </w:p>
        </w:tc>
        <w:tc>
          <w:tcPr>
            <w:tcW w:w="1596" w:type="dxa"/>
            <w:tcBorders>
              <w:top w:val="nil"/>
              <w:left w:val="nil"/>
              <w:bottom w:val="nil"/>
              <w:right w:val="nil"/>
            </w:tcBorders>
            <w:shd w:val="clear" w:color="000000" w:fill="FFFFFF"/>
            <w:noWrap/>
            <w:vAlign w:val="bottom"/>
            <w:hideMark/>
          </w:tcPr>
          <w:p w:rsidR="0010219D" w:rsidRPr="00826645" w:rsidRDefault="0010219D" w:rsidP="0010219D">
            <w:pPr>
              <w:rPr>
                <w:rFonts w:ascii="Arial" w:hAnsi="Arial" w:cs="Arial"/>
                <w:b/>
                <w:bCs/>
                <w:color w:val="000000"/>
              </w:rPr>
            </w:pPr>
            <w:r w:rsidRPr="00826645">
              <w:rPr>
                <w:rFonts w:ascii="Arial" w:hAnsi="Arial" w:cs="Arial"/>
                <w:b/>
                <w:bCs/>
                <w:color w:val="000000"/>
              </w:rPr>
              <w:t> </w:t>
            </w:r>
          </w:p>
        </w:tc>
        <w:tc>
          <w:tcPr>
            <w:tcW w:w="1442" w:type="dxa"/>
            <w:tcBorders>
              <w:top w:val="nil"/>
              <w:left w:val="nil"/>
              <w:bottom w:val="nil"/>
              <w:right w:val="nil"/>
            </w:tcBorders>
            <w:shd w:val="clear" w:color="000000" w:fill="FFFFFF"/>
            <w:noWrap/>
            <w:vAlign w:val="bottom"/>
            <w:hideMark/>
          </w:tcPr>
          <w:p w:rsidR="0010219D" w:rsidRPr="00826645" w:rsidRDefault="0010219D" w:rsidP="0010219D">
            <w:pPr>
              <w:rPr>
                <w:rFonts w:ascii="Arial" w:hAnsi="Arial" w:cs="Arial"/>
                <w:b/>
                <w:bCs/>
                <w:color w:val="000000"/>
              </w:rPr>
            </w:pPr>
            <w:r w:rsidRPr="00826645">
              <w:rPr>
                <w:rFonts w:ascii="Arial" w:hAnsi="Arial" w:cs="Arial"/>
                <w:b/>
                <w:bCs/>
                <w:color w:val="000000"/>
              </w:rPr>
              <w:t> </w:t>
            </w:r>
          </w:p>
        </w:tc>
        <w:tc>
          <w:tcPr>
            <w:tcW w:w="1726" w:type="dxa"/>
            <w:tcBorders>
              <w:top w:val="nil"/>
              <w:left w:val="nil"/>
              <w:bottom w:val="nil"/>
              <w:right w:val="single" w:sz="4" w:space="0" w:color="auto"/>
            </w:tcBorders>
            <w:shd w:val="clear" w:color="000000" w:fill="FFFFFF"/>
            <w:noWrap/>
            <w:vAlign w:val="bottom"/>
            <w:hideMark/>
          </w:tcPr>
          <w:p w:rsidR="0010219D" w:rsidRPr="00826645" w:rsidRDefault="0010219D" w:rsidP="0010219D">
            <w:pPr>
              <w:rPr>
                <w:rFonts w:ascii="Arial" w:hAnsi="Arial" w:cs="Arial"/>
                <w:b/>
                <w:bCs/>
              </w:rPr>
            </w:pPr>
            <w:r w:rsidRPr="00826645">
              <w:rPr>
                <w:rFonts w:ascii="Arial" w:hAnsi="Arial" w:cs="Arial"/>
                <w:b/>
                <w:bCs/>
              </w:rPr>
              <w:t> </w:t>
            </w:r>
          </w:p>
        </w:tc>
      </w:tr>
      <w:tr w:rsidR="0010219D" w:rsidRPr="00826645" w:rsidTr="004D4632">
        <w:trPr>
          <w:trHeight w:val="300"/>
          <w:jc w:val="center"/>
        </w:trPr>
        <w:tc>
          <w:tcPr>
            <w:tcW w:w="326" w:type="dxa"/>
            <w:tcBorders>
              <w:top w:val="nil"/>
              <w:left w:val="single" w:sz="4" w:space="0" w:color="auto"/>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3754" w:type="dxa"/>
            <w:vMerge w:val="restart"/>
            <w:tcBorders>
              <w:top w:val="nil"/>
              <w:left w:val="nil"/>
              <w:bottom w:val="single" w:sz="4" w:space="0" w:color="000000"/>
              <w:right w:val="nil"/>
            </w:tcBorders>
            <w:shd w:val="clear" w:color="000000" w:fill="FFFFFF"/>
            <w:noWrap/>
            <w:vAlign w:val="center"/>
            <w:hideMark/>
          </w:tcPr>
          <w:p w:rsidR="0010219D" w:rsidRPr="00826645" w:rsidRDefault="0010219D" w:rsidP="0010219D">
            <w:pPr>
              <w:jc w:val="center"/>
              <w:rPr>
                <w:b/>
                <w:bCs/>
                <w:sz w:val="22"/>
                <w:szCs w:val="22"/>
              </w:rPr>
            </w:pPr>
            <w:r w:rsidRPr="00826645">
              <w:rPr>
                <w:b/>
                <w:bCs/>
                <w:sz w:val="22"/>
                <w:szCs w:val="22"/>
              </w:rPr>
              <w:t>Description</w:t>
            </w:r>
          </w:p>
        </w:tc>
        <w:tc>
          <w:tcPr>
            <w:tcW w:w="1596" w:type="dxa"/>
            <w:tcBorders>
              <w:top w:val="single" w:sz="4" w:space="0" w:color="auto"/>
              <w:left w:val="nil"/>
              <w:bottom w:val="nil"/>
              <w:right w:val="nil"/>
            </w:tcBorders>
            <w:shd w:val="clear" w:color="000000" w:fill="FFFFFF"/>
            <w:noWrap/>
            <w:vAlign w:val="bottom"/>
            <w:hideMark/>
          </w:tcPr>
          <w:p w:rsidR="0010219D" w:rsidRPr="00826645" w:rsidRDefault="0010219D" w:rsidP="0010219D">
            <w:pPr>
              <w:jc w:val="center"/>
              <w:rPr>
                <w:b/>
                <w:bCs/>
                <w:sz w:val="22"/>
                <w:szCs w:val="22"/>
              </w:rPr>
            </w:pPr>
            <w:r w:rsidRPr="00826645">
              <w:rPr>
                <w:b/>
                <w:bCs/>
                <w:sz w:val="22"/>
                <w:szCs w:val="22"/>
              </w:rPr>
              <w:t>Test Year</w:t>
            </w:r>
          </w:p>
        </w:tc>
        <w:tc>
          <w:tcPr>
            <w:tcW w:w="1442" w:type="dxa"/>
            <w:tcBorders>
              <w:top w:val="single" w:sz="4" w:space="0" w:color="auto"/>
              <w:left w:val="nil"/>
              <w:bottom w:val="nil"/>
              <w:right w:val="nil"/>
            </w:tcBorders>
            <w:shd w:val="clear" w:color="000000" w:fill="FFFFFF"/>
            <w:noWrap/>
            <w:vAlign w:val="bottom"/>
            <w:hideMark/>
          </w:tcPr>
          <w:p w:rsidR="0010219D" w:rsidRPr="00826645" w:rsidRDefault="007A20A6" w:rsidP="0010219D">
            <w:pPr>
              <w:jc w:val="center"/>
              <w:rPr>
                <w:b/>
                <w:bCs/>
                <w:sz w:val="22"/>
                <w:szCs w:val="22"/>
              </w:rPr>
            </w:pPr>
            <w:r>
              <w:rPr>
                <w:b/>
                <w:bCs/>
                <w:sz w:val="22"/>
                <w:szCs w:val="22"/>
              </w:rPr>
              <w:t>Commission</w:t>
            </w:r>
          </w:p>
        </w:tc>
        <w:tc>
          <w:tcPr>
            <w:tcW w:w="1726" w:type="dxa"/>
            <w:tcBorders>
              <w:top w:val="single" w:sz="4" w:space="0" w:color="auto"/>
              <w:left w:val="nil"/>
              <w:bottom w:val="nil"/>
              <w:right w:val="single" w:sz="4" w:space="0" w:color="auto"/>
            </w:tcBorders>
            <w:shd w:val="clear" w:color="000000" w:fill="FFFFFF"/>
            <w:noWrap/>
            <w:vAlign w:val="bottom"/>
            <w:hideMark/>
          </w:tcPr>
          <w:p w:rsidR="0010219D" w:rsidRPr="00826645" w:rsidRDefault="00826645" w:rsidP="0010219D">
            <w:pPr>
              <w:jc w:val="center"/>
              <w:rPr>
                <w:b/>
                <w:bCs/>
                <w:sz w:val="22"/>
                <w:szCs w:val="22"/>
              </w:rPr>
            </w:pPr>
            <w:r>
              <w:rPr>
                <w:b/>
                <w:bCs/>
                <w:sz w:val="22"/>
                <w:szCs w:val="22"/>
              </w:rPr>
              <w:t>Commission</w:t>
            </w:r>
          </w:p>
        </w:tc>
      </w:tr>
      <w:tr w:rsidR="0010219D" w:rsidRPr="00826645" w:rsidTr="004D4632">
        <w:trPr>
          <w:trHeight w:val="300"/>
          <w:jc w:val="center"/>
        </w:trPr>
        <w:tc>
          <w:tcPr>
            <w:tcW w:w="326" w:type="dxa"/>
            <w:tcBorders>
              <w:top w:val="nil"/>
              <w:left w:val="single" w:sz="4" w:space="0" w:color="auto"/>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3754" w:type="dxa"/>
            <w:vMerge/>
            <w:tcBorders>
              <w:top w:val="nil"/>
              <w:left w:val="nil"/>
              <w:bottom w:val="single" w:sz="4" w:space="0" w:color="000000"/>
              <w:right w:val="nil"/>
            </w:tcBorders>
            <w:vAlign w:val="center"/>
            <w:hideMark/>
          </w:tcPr>
          <w:p w:rsidR="0010219D" w:rsidRPr="00826645" w:rsidRDefault="0010219D" w:rsidP="0010219D">
            <w:pPr>
              <w:rPr>
                <w:b/>
                <w:bCs/>
                <w:sz w:val="22"/>
                <w:szCs w:val="22"/>
              </w:rPr>
            </w:pPr>
          </w:p>
        </w:tc>
        <w:tc>
          <w:tcPr>
            <w:tcW w:w="1596" w:type="dxa"/>
            <w:tcBorders>
              <w:top w:val="nil"/>
              <w:left w:val="nil"/>
              <w:bottom w:val="nil"/>
              <w:right w:val="nil"/>
            </w:tcBorders>
            <w:shd w:val="clear" w:color="000000" w:fill="FFFFFF"/>
            <w:noWrap/>
            <w:vAlign w:val="bottom"/>
            <w:hideMark/>
          </w:tcPr>
          <w:p w:rsidR="0010219D" w:rsidRPr="00826645" w:rsidRDefault="0010219D" w:rsidP="0010219D">
            <w:pPr>
              <w:jc w:val="center"/>
              <w:rPr>
                <w:b/>
                <w:bCs/>
                <w:sz w:val="22"/>
                <w:szCs w:val="22"/>
              </w:rPr>
            </w:pPr>
            <w:r w:rsidRPr="00826645">
              <w:rPr>
                <w:b/>
                <w:bCs/>
                <w:sz w:val="22"/>
                <w:szCs w:val="22"/>
              </w:rPr>
              <w:t>Per</w:t>
            </w:r>
          </w:p>
        </w:tc>
        <w:tc>
          <w:tcPr>
            <w:tcW w:w="1442" w:type="dxa"/>
            <w:tcBorders>
              <w:top w:val="nil"/>
              <w:left w:val="nil"/>
              <w:bottom w:val="nil"/>
              <w:right w:val="nil"/>
            </w:tcBorders>
            <w:shd w:val="clear" w:color="000000" w:fill="FFFFFF"/>
            <w:noWrap/>
            <w:vAlign w:val="bottom"/>
            <w:hideMark/>
          </w:tcPr>
          <w:p w:rsidR="0010219D" w:rsidRPr="00826645" w:rsidRDefault="0010219D" w:rsidP="0010219D">
            <w:pPr>
              <w:jc w:val="center"/>
              <w:rPr>
                <w:b/>
                <w:bCs/>
                <w:sz w:val="22"/>
                <w:szCs w:val="22"/>
              </w:rPr>
            </w:pPr>
            <w:r w:rsidRPr="00826645">
              <w:rPr>
                <w:b/>
                <w:bCs/>
                <w:sz w:val="22"/>
                <w:szCs w:val="22"/>
              </w:rPr>
              <w:t>Adjust-</w:t>
            </w:r>
          </w:p>
        </w:tc>
        <w:tc>
          <w:tcPr>
            <w:tcW w:w="1726" w:type="dxa"/>
            <w:tcBorders>
              <w:top w:val="nil"/>
              <w:left w:val="nil"/>
              <w:bottom w:val="nil"/>
              <w:right w:val="single" w:sz="4" w:space="0" w:color="auto"/>
            </w:tcBorders>
            <w:shd w:val="clear" w:color="000000" w:fill="FFFFFF"/>
            <w:noWrap/>
            <w:vAlign w:val="bottom"/>
            <w:hideMark/>
          </w:tcPr>
          <w:p w:rsidR="0010219D" w:rsidRPr="00826645" w:rsidRDefault="00826645" w:rsidP="0010219D">
            <w:pPr>
              <w:jc w:val="center"/>
              <w:rPr>
                <w:b/>
                <w:bCs/>
                <w:sz w:val="22"/>
                <w:szCs w:val="22"/>
              </w:rPr>
            </w:pPr>
            <w:r>
              <w:rPr>
                <w:b/>
                <w:bCs/>
                <w:sz w:val="22"/>
                <w:szCs w:val="22"/>
              </w:rPr>
              <w:t>Approved</w:t>
            </w:r>
          </w:p>
        </w:tc>
      </w:tr>
      <w:tr w:rsidR="0010219D" w:rsidRPr="00826645" w:rsidTr="004D4632">
        <w:trPr>
          <w:trHeight w:val="300"/>
          <w:jc w:val="center"/>
        </w:trPr>
        <w:tc>
          <w:tcPr>
            <w:tcW w:w="326" w:type="dxa"/>
            <w:tcBorders>
              <w:top w:val="nil"/>
              <w:left w:val="single" w:sz="4" w:space="0" w:color="auto"/>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3754" w:type="dxa"/>
            <w:vMerge/>
            <w:tcBorders>
              <w:top w:val="nil"/>
              <w:left w:val="nil"/>
              <w:bottom w:val="single" w:sz="4" w:space="0" w:color="000000"/>
              <w:right w:val="nil"/>
            </w:tcBorders>
            <w:vAlign w:val="center"/>
            <w:hideMark/>
          </w:tcPr>
          <w:p w:rsidR="0010219D" w:rsidRPr="00826645" w:rsidRDefault="0010219D" w:rsidP="0010219D">
            <w:pPr>
              <w:rPr>
                <w:b/>
                <w:bCs/>
                <w:sz w:val="22"/>
                <w:szCs w:val="22"/>
              </w:rPr>
            </w:pPr>
          </w:p>
        </w:tc>
        <w:tc>
          <w:tcPr>
            <w:tcW w:w="1596" w:type="dxa"/>
            <w:tcBorders>
              <w:top w:val="nil"/>
              <w:left w:val="nil"/>
              <w:bottom w:val="nil"/>
              <w:right w:val="nil"/>
            </w:tcBorders>
            <w:shd w:val="clear" w:color="000000" w:fill="FFFFFF"/>
            <w:noWrap/>
            <w:vAlign w:val="bottom"/>
            <w:hideMark/>
          </w:tcPr>
          <w:p w:rsidR="0010219D" w:rsidRPr="00826645" w:rsidRDefault="0010219D" w:rsidP="0010219D">
            <w:pPr>
              <w:jc w:val="center"/>
              <w:rPr>
                <w:b/>
                <w:bCs/>
                <w:sz w:val="22"/>
                <w:szCs w:val="22"/>
              </w:rPr>
            </w:pPr>
            <w:r w:rsidRPr="00826645">
              <w:rPr>
                <w:b/>
                <w:bCs/>
                <w:sz w:val="22"/>
                <w:szCs w:val="22"/>
              </w:rPr>
              <w:t>Utility</w:t>
            </w:r>
          </w:p>
        </w:tc>
        <w:tc>
          <w:tcPr>
            <w:tcW w:w="1442" w:type="dxa"/>
            <w:tcBorders>
              <w:top w:val="nil"/>
              <w:left w:val="nil"/>
              <w:bottom w:val="nil"/>
              <w:right w:val="nil"/>
            </w:tcBorders>
            <w:shd w:val="clear" w:color="000000" w:fill="FFFFFF"/>
            <w:noWrap/>
            <w:vAlign w:val="bottom"/>
            <w:hideMark/>
          </w:tcPr>
          <w:p w:rsidR="0010219D" w:rsidRPr="00826645" w:rsidRDefault="0010219D" w:rsidP="0010219D">
            <w:pPr>
              <w:jc w:val="center"/>
              <w:rPr>
                <w:b/>
                <w:bCs/>
                <w:sz w:val="22"/>
                <w:szCs w:val="22"/>
              </w:rPr>
            </w:pPr>
            <w:r w:rsidRPr="00826645">
              <w:rPr>
                <w:b/>
                <w:bCs/>
                <w:sz w:val="22"/>
                <w:szCs w:val="22"/>
              </w:rPr>
              <w:t>ments</w:t>
            </w:r>
          </w:p>
        </w:tc>
        <w:tc>
          <w:tcPr>
            <w:tcW w:w="1726" w:type="dxa"/>
            <w:tcBorders>
              <w:top w:val="nil"/>
              <w:left w:val="nil"/>
              <w:bottom w:val="nil"/>
              <w:right w:val="single" w:sz="4" w:space="0" w:color="auto"/>
            </w:tcBorders>
            <w:shd w:val="clear" w:color="000000" w:fill="FFFFFF"/>
            <w:noWrap/>
            <w:vAlign w:val="bottom"/>
            <w:hideMark/>
          </w:tcPr>
          <w:p w:rsidR="0010219D" w:rsidRPr="00826645" w:rsidRDefault="0010219D" w:rsidP="0010219D">
            <w:pPr>
              <w:jc w:val="center"/>
              <w:rPr>
                <w:b/>
                <w:bCs/>
                <w:sz w:val="22"/>
                <w:szCs w:val="22"/>
              </w:rPr>
            </w:pPr>
            <w:r w:rsidRPr="00826645">
              <w:rPr>
                <w:b/>
                <w:bCs/>
                <w:sz w:val="22"/>
                <w:szCs w:val="22"/>
              </w:rPr>
              <w:t>Test Year</w:t>
            </w:r>
          </w:p>
        </w:tc>
      </w:tr>
      <w:tr w:rsidR="0010219D" w:rsidRPr="00826645" w:rsidTr="004D4632">
        <w:trPr>
          <w:trHeight w:val="300"/>
          <w:jc w:val="center"/>
        </w:trPr>
        <w:tc>
          <w:tcPr>
            <w:tcW w:w="326" w:type="dxa"/>
            <w:tcBorders>
              <w:top w:val="single" w:sz="4" w:space="0" w:color="000000"/>
              <w:left w:val="single" w:sz="4" w:space="0" w:color="auto"/>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3754"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596" w:type="dxa"/>
            <w:tcBorders>
              <w:top w:val="single" w:sz="4" w:space="0" w:color="000000"/>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442" w:type="dxa"/>
            <w:tcBorders>
              <w:top w:val="single" w:sz="4" w:space="0" w:color="000000"/>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726" w:type="dxa"/>
            <w:tcBorders>
              <w:top w:val="single" w:sz="4" w:space="0" w:color="000000"/>
              <w:left w:val="nil"/>
              <w:bottom w:val="nil"/>
              <w:right w:val="single" w:sz="4" w:space="0" w:color="auto"/>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r>
      <w:tr w:rsidR="0010219D" w:rsidRPr="00826645" w:rsidTr="004D4632">
        <w:trPr>
          <w:trHeight w:val="300"/>
          <w:jc w:val="center"/>
        </w:trPr>
        <w:tc>
          <w:tcPr>
            <w:tcW w:w="326" w:type="dxa"/>
            <w:tcBorders>
              <w:top w:val="nil"/>
              <w:left w:val="single" w:sz="4" w:space="0" w:color="auto"/>
              <w:bottom w:val="nil"/>
              <w:right w:val="nil"/>
            </w:tcBorders>
            <w:shd w:val="clear" w:color="000000" w:fill="FFFFFF"/>
            <w:noWrap/>
            <w:vAlign w:val="bottom"/>
            <w:hideMark/>
          </w:tcPr>
          <w:p w:rsidR="0010219D" w:rsidRPr="00826645" w:rsidRDefault="0010219D" w:rsidP="0010219D">
            <w:pPr>
              <w:jc w:val="center"/>
              <w:rPr>
                <w:sz w:val="22"/>
                <w:szCs w:val="22"/>
              </w:rPr>
            </w:pPr>
            <w:r w:rsidRPr="00826645">
              <w:rPr>
                <w:sz w:val="22"/>
                <w:szCs w:val="22"/>
              </w:rPr>
              <w:t>1</w:t>
            </w:r>
          </w:p>
        </w:tc>
        <w:tc>
          <w:tcPr>
            <w:tcW w:w="3754"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Plant in Service</w:t>
            </w:r>
          </w:p>
        </w:tc>
        <w:tc>
          <w:tcPr>
            <w:tcW w:w="1596"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 xml:space="preserve">$5,105,734 </w:t>
            </w:r>
          </w:p>
        </w:tc>
        <w:tc>
          <w:tcPr>
            <w:tcW w:w="1442"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 xml:space="preserve">$0 </w:t>
            </w:r>
          </w:p>
        </w:tc>
        <w:tc>
          <w:tcPr>
            <w:tcW w:w="1726" w:type="dxa"/>
            <w:tcBorders>
              <w:top w:val="nil"/>
              <w:left w:val="nil"/>
              <w:bottom w:val="nil"/>
              <w:right w:val="single" w:sz="4" w:space="0" w:color="auto"/>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 xml:space="preserve">$5,105,734 </w:t>
            </w:r>
          </w:p>
        </w:tc>
      </w:tr>
      <w:tr w:rsidR="0010219D" w:rsidRPr="00826645" w:rsidTr="004D4632">
        <w:trPr>
          <w:trHeight w:val="300"/>
          <w:jc w:val="center"/>
        </w:trPr>
        <w:tc>
          <w:tcPr>
            <w:tcW w:w="326" w:type="dxa"/>
            <w:tcBorders>
              <w:top w:val="nil"/>
              <w:left w:val="single" w:sz="4" w:space="0" w:color="auto"/>
              <w:bottom w:val="nil"/>
              <w:right w:val="nil"/>
            </w:tcBorders>
            <w:shd w:val="clear" w:color="000000" w:fill="FFFFFF"/>
            <w:noWrap/>
            <w:vAlign w:val="bottom"/>
            <w:hideMark/>
          </w:tcPr>
          <w:p w:rsidR="0010219D" w:rsidRPr="00826645" w:rsidRDefault="0010219D" w:rsidP="0010219D">
            <w:pPr>
              <w:jc w:val="center"/>
              <w:rPr>
                <w:sz w:val="22"/>
                <w:szCs w:val="22"/>
              </w:rPr>
            </w:pPr>
            <w:r w:rsidRPr="00826645">
              <w:rPr>
                <w:sz w:val="22"/>
                <w:szCs w:val="22"/>
              </w:rPr>
              <w:t> </w:t>
            </w:r>
          </w:p>
        </w:tc>
        <w:tc>
          <w:tcPr>
            <w:tcW w:w="3754" w:type="dxa"/>
            <w:tcBorders>
              <w:top w:val="nil"/>
              <w:left w:val="nil"/>
              <w:bottom w:val="nil"/>
              <w:right w:val="nil"/>
            </w:tcBorders>
            <w:shd w:val="clear" w:color="000000" w:fill="FFFFFF"/>
            <w:noWrap/>
            <w:vAlign w:val="bottom"/>
            <w:hideMark/>
          </w:tcPr>
          <w:p w:rsidR="0010219D" w:rsidRPr="00826645" w:rsidRDefault="0010219D" w:rsidP="0010219D">
            <w:pPr>
              <w:rPr>
                <w:color w:val="000000"/>
                <w:sz w:val="22"/>
                <w:szCs w:val="22"/>
              </w:rPr>
            </w:pPr>
            <w:r w:rsidRPr="00826645">
              <w:rPr>
                <w:color w:val="000000"/>
                <w:sz w:val="22"/>
                <w:szCs w:val="22"/>
              </w:rPr>
              <w:t> </w:t>
            </w:r>
          </w:p>
        </w:tc>
        <w:tc>
          <w:tcPr>
            <w:tcW w:w="1596"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442"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726" w:type="dxa"/>
            <w:tcBorders>
              <w:top w:val="nil"/>
              <w:left w:val="nil"/>
              <w:bottom w:val="nil"/>
              <w:right w:val="single" w:sz="4" w:space="0" w:color="auto"/>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r>
      <w:tr w:rsidR="0010219D" w:rsidRPr="00826645" w:rsidTr="004D4632">
        <w:trPr>
          <w:trHeight w:val="300"/>
          <w:jc w:val="center"/>
        </w:trPr>
        <w:tc>
          <w:tcPr>
            <w:tcW w:w="326" w:type="dxa"/>
            <w:tcBorders>
              <w:top w:val="nil"/>
              <w:left w:val="single" w:sz="4" w:space="0" w:color="auto"/>
              <w:bottom w:val="nil"/>
              <w:right w:val="nil"/>
            </w:tcBorders>
            <w:shd w:val="clear" w:color="000000" w:fill="FFFFFF"/>
            <w:noWrap/>
            <w:vAlign w:val="bottom"/>
            <w:hideMark/>
          </w:tcPr>
          <w:p w:rsidR="0010219D" w:rsidRPr="00826645" w:rsidRDefault="0010219D" w:rsidP="0010219D">
            <w:pPr>
              <w:jc w:val="center"/>
              <w:rPr>
                <w:sz w:val="22"/>
                <w:szCs w:val="22"/>
              </w:rPr>
            </w:pPr>
            <w:r w:rsidRPr="00826645">
              <w:rPr>
                <w:sz w:val="22"/>
                <w:szCs w:val="22"/>
              </w:rPr>
              <w:t>2</w:t>
            </w:r>
          </w:p>
        </w:tc>
        <w:tc>
          <w:tcPr>
            <w:tcW w:w="3754"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Land and Land Rights</w:t>
            </w:r>
          </w:p>
        </w:tc>
        <w:tc>
          <w:tcPr>
            <w:tcW w:w="1596"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 xml:space="preserve">1,040,000 </w:t>
            </w:r>
          </w:p>
        </w:tc>
        <w:tc>
          <w:tcPr>
            <w:tcW w:w="1442"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 xml:space="preserve">0 </w:t>
            </w:r>
          </w:p>
        </w:tc>
        <w:tc>
          <w:tcPr>
            <w:tcW w:w="1726" w:type="dxa"/>
            <w:tcBorders>
              <w:top w:val="nil"/>
              <w:left w:val="nil"/>
              <w:bottom w:val="nil"/>
              <w:right w:val="single" w:sz="4" w:space="0" w:color="auto"/>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 xml:space="preserve">1,040,000 </w:t>
            </w:r>
          </w:p>
        </w:tc>
      </w:tr>
      <w:tr w:rsidR="0010219D" w:rsidRPr="00826645" w:rsidTr="004D4632">
        <w:trPr>
          <w:trHeight w:val="300"/>
          <w:jc w:val="center"/>
        </w:trPr>
        <w:tc>
          <w:tcPr>
            <w:tcW w:w="326" w:type="dxa"/>
            <w:tcBorders>
              <w:top w:val="nil"/>
              <w:left w:val="single" w:sz="4" w:space="0" w:color="auto"/>
              <w:bottom w:val="nil"/>
              <w:right w:val="nil"/>
            </w:tcBorders>
            <w:shd w:val="clear" w:color="000000" w:fill="FFFFFF"/>
            <w:noWrap/>
            <w:vAlign w:val="bottom"/>
            <w:hideMark/>
          </w:tcPr>
          <w:p w:rsidR="0010219D" w:rsidRPr="00826645" w:rsidRDefault="0010219D" w:rsidP="0010219D">
            <w:pPr>
              <w:jc w:val="center"/>
              <w:rPr>
                <w:sz w:val="22"/>
                <w:szCs w:val="22"/>
              </w:rPr>
            </w:pPr>
            <w:r w:rsidRPr="00826645">
              <w:rPr>
                <w:sz w:val="22"/>
                <w:szCs w:val="22"/>
              </w:rPr>
              <w:t> </w:t>
            </w:r>
          </w:p>
        </w:tc>
        <w:tc>
          <w:tcPr>
            <w:tcW w:w="3754" w:type="dxa"/>
            <w:tcBorders>
              <w:top w:val="nil"/>
              <w:left w:val="nil"/>
              <w:bottom w:val="nil"/>
              <w:right w:val="nil"/>
            </w:tcBorders>
            <w:shd w:val="clear" w:color="000000" w:fill="FFFFFF"/>
            <w:noWrap/>
            <w:vAlign w:val="bottom"/>
            <w:hideMark/>
          </w:tcPr>
          <w:p w:rsidR="0010219D" w:rsidRPr="00826645" w:rsidRDefault="0010219D" w:rsidP="0010219D">
            <w:pPr>
              <w:rPr>
                <w:color w:val="000000"/>
                <w:sz w:val="22"/>
                <w:szCs w:val="22"/>
              </w:rPr>
            </w:pPr>
            <w:r w:rsidRPr="00826645">
              <w:rPr>
                <w:color w:val="000000"/>
                <w:sz w:val="22"/>
                <w:szCs w:val="22"/>
              </w:rPr>
              <w:t> </w:t>
            </w:r>
          </w:p>
        </w:tc>
        <w:tc>
          <w:tcPr>
            <w:tcW w:w="1596"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442"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726" w:type="dxa"/>
            <w:tcBorders>
              <w:top w:val="nil"/>
              <w:left w:val="nil"/>
              <w:bottom w:val="nil"/>
              <w:right w:val="single" w:sz="4" w:space="0" w:color="auto"/>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r>
      <w:tr w:rsidR="0010219D" w:rsidRPr="00826645" w:rsidTr="004D4632">
        <w:trPr>
          <w:trHeight w:val="300"/>
          <w:jc w:val="center"/>
        </w:trPr>
        <w:tc>
          <w:tcPr>
            <w:tcW w:w="326" w:type="dxa"/>
            <w:tcBorders>
              <w:top w:val="nil"/>
              <w:left w:val="single" w:sz="4" w:space="0" w:color="auto"/>
              <w:bottom w:val="nil"/>
              <w:right w:val="nil"/>
            </w:tcBorders>
            <w:shd w:val="clear" w:color="000000" w:fill="FFFFFF"/>
            <w:noWrap/>
            <w:vAlign w:val="bottom"/>
            <w:hideMark/>
          </w:tcPr>
          <w:p w:rsidR="0010219D" w:rsidRPr="00826645" w:rsidRDefault="0010219D" w:rsidP="0010219D">
            <w:pPr>
              <w:jc w:val="center"/>
              <w:rPr>
                <w:sz w:val="22"/>
                <w:szCs w:val="22"/>
              </w:rPr>
            </w:pPr>
            <w:r w:rsidRPr="00826645">
              <w:rPr>
                <w:sz w:val="22"/>
                <w:szCs w:val="22"/>
              </w:rPr>
              <w:t>3</w:t>
            </w:r>
          </w:p>
        </w:tc>
        <w:tc>
          <w:tcPr>
            <w:tcW w:w="3754"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Accumulated Depreciation</w:t>
            </w:r>
          </w:p>
        </w:tc>
        <w:tc>
          <w:tcPr>
            <w:tcW w:w="1596"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(1,647,151)</w:t>
            </w:r>
          </w:p>
        </w:tc>
        <w:tc>
          <w:tcPr>
            <w:tcW w:w="1442"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 xml:space="preserve">262,032 </w:t>
            </w:r>
          </w:p>
        </w:tc>
        <w:tc>
          <w:tcPr>
            <w:tcW w:w="1726" w:type="dxa"/>
            <w:tcBorders>
              <w:top w:val="nil"/>
              <w:left w:val="nil"/>
              <w:bottom w:val="nil"/>
              <w:right w:val="single" w:sz="4" w:space="0" w:color="auto"/>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(1,385,119)</w:t>
            </w:r>
          </w:p>
        </w:tc>
      </w:tr>
      <w:tr w:rsidR="0010219D" w:rsidRPr="00826645" w:rsidTr="004D4632">
        <w:trPr>
          <w:trHeight w:val="300"/>
          <w:jc w:val="center"/>
        </w:trPr>
        <w:tc>
          <w:tcPr>
            <w:tcW w:w="326" w:type="dxa"/>
            <w:tcBorders>
              <w:top w:val="nil"/>
              <w:left w:val="single" w:sz="4" w:space="0" w:color="auto"/>
              <w:bottom w:val="nil"/>
              <w:right w:val="nil"/>
            </w:tcBorders>
            <w:shd w:val="clear" w:color="000000" w:fill="FFFFFF"/>
            <w:noWrap/>
            <w:vAlign w:val="bottom"/>
            <w:hideMark/>
          </w:tcPr>
          <w:p w:rsidR="0010219D" w:rsidRPr="00826645" w:rsidRDefault="0010219D" w:rsidP="0010219D">
            <w:pPr>
              <w:jc w:val="center"/>
              <w:rPr>
                <w:sz w:val="22"/>
                <w:szCs w:val="22"/>
              </w:rPr>
            </w:pPr>
            <w:r w:rsidRPr="00826645">
              <w:rPr>
                <w:sz w:val="22"/>
                <w:szCs w:val="22"/>
              </w:rPr>
              <w:t> </w:t>
            </w:r>
          </w:p>
        </w:tc>
        <w:tc>
          <w:tcPr>
            <w:tcW w:w="3754" w:type="dxa"/>
            <w:tcBorders>
              <w:top w:val="nil"/>
              <w:left w:val="nil"/>
              <w:bottom w:val="nil"/>
              <w:right w:val="nil"/>
            </w:tcBorders>
            <w:shd w:val="clear" w:color="000000" w:fill="FFFFFF"/>
            <w:noWrap/>
            <w:vAlign w:val="bottom"/>
            <w:hideMark/>
          </w:tcPr>
          <w:p w:rsidR="0010219D" w:rsidRPr="00826645" w:rsidRDefault="0010219D" w:rsidP="0010219D">
            <w:pPr>
              <w:rPr>
                <w:color w:val="000000"/>
                <w:sz w:val="22"/>
                <w:szCs w:val="22"/>
              </w:rPr>
            </w:pPr>
            <w:r w:rsidRPr="00826645">
              <w:rPr>
                <w:color w:val="000000"/>
                <w:sz w:val="22"/>
                <w:szCs w:val="22"/>
              </w:rPr>
              <w:t> </w:t>
            </w:r>
          </w:p>
        </w:tc>
        <w:tc>
          <w:tcPr>
            <w:tcW w:w="1596"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442"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726" w:type="dxa"/>
            <w:tcBorders>
              <w:top w:val="nil"/>
              <w:left w:val="nil"/>
              <w:bottom w:val="nil"/>
              <w:right w:val="single" w:sz="4" w:space="0" w:color="auto"/>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r>
      <w:tr w:rsidR="0010219D" w:rsidRPr="00826645" w:rsidTr="004D4632">
        <w:trPr>
          <w:trHeight w:val="300"/>
          <w:jc w:val="center"/>
        </w:trPr>
        <w:tc>
          <w:tcPr>
            <w:tcW w:w="326" w:type="dxa"/>
            <w:tcBorders>
              <w:top w:val="nil"/>
              <w:left w:val="single" w:sz="4" w:space="0" w:color="auto"/>
              <w:bottom w:val="nil"/>
              <w:right w:val="nil"/>
            </w:tcBorders>
            <w:shd w:val="clear" w:color="000000" w:fill="FFFFFF"/>
            <w:noWrap/>
            <w:vAlign w:val="bottom"/>
            <w:hideMark/>
          </w:tcPr>
          <w:p w:rsidR="0010219D" w:rsidRPr="00826645" w:rsidRDefault="0010219D" w:rsidP="0010219D">
            <w:pPr>
              <w:jc w:val="center"/>
              <w:rPr>
                <w:sz w:val="22"/>
                <w:szCs w:val="22"/>
              </w:rPr>
            </w:pPr>
            <w:r w:rsidRPr="00826645">
              <w:rPr>
                <w:sz w:val="22"/>
                <w:szCs w:val="22"/>
              </w:rPr>
              <w:t>4</w:t>
            </w:r>
          </w:p>
        </w:tc>
        <w:tc>
          <w:tcPr>
            <w:tcW w:w="3754"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CIAC</w:t>
            </w:r>
          </w:p>
        </w:tc>
        <w:tc>
          <w:tcPr>
            <w:tcW w:w="1596"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(3,331,287)</w:t>
            </w:r>
          </w:p>
        </w:tc>
        <w:tc>
          <w:tcPr>
            <w:tcW w:w="1442"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 xml:space="preserve">397,062 </w:t>
            </w:r>
          </w:p>
        </w:tc>
        <w:tc>
          <w:tcPr>
            <w:tcW w:w="1726" w:type="dxa"/>
            <w:tcBorders>
              <w:top w:val="nil"/>
              <w:left w:val="nil"/>
              <w:bottom w:val="nil"/>
              <w:right w:val="single" w:sz="4" w:space="0" w:color="auto"/>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(2,934,225)</w:t>
            </w:r>
          </w:p>
        </w:tc>
      </w:tr>
      <w:tr w:rsidR="0010219D" w:rsidRPr="00826645" w:rsidTr="004D4632">
        <w:trPr>
          <w:trHeight w:val="300"/>
          <w:jc w:val="center"/>
        </w:trPr>
        <w:tc>
          <w:tcPr>
            <w:tcW w:w="326" w:type="dxa"/>
            <w:tcBorders>
              <w:top w:val="nil"/>
              <w:left w:val="single" w:sz="4" w:space="0" w:color="auto"/>
              <w:bottom w:val="nil"/>
              <w:right w:val="nil"/>
            </w:tcBorders>
            <w:shd w:val="clear" w:color="000000" w:fill="FFFFFF"/>
            <w:noWrap/>
            <w:vAlign w:val="bottom"/>
            <w:hideMark/>
          </w:tcPr>
          <w:p w:rsidR="0010219D" w:rsidRPr="00826645" w:rsidRDefault="0010219D" w:rsidP="0010219D">
            <w:pPr>
              <w:jc w:val="center"/>
              <w:rPr>
                <w:sz w:val="22"/>
                <w:szCs w:val="22"/>
              </w:rPr>
            </w:pPr>
            <w:r w:rsidRPr="00826645">
              <w:rPr>
                <w:sz w:val="22"/>
                <w:szCs w:val="22"/>
              </w:rPr>
              <w:t> </w:t>
            </w:r>
          </w:p>
        </w:tc>
        <w:tc>
          <w:tcPr>
            <w:tcW w:w="3754" w:type="dxa"/>
            <w:tcBorders>
              <w:top w:val="nil"/>
              <w:left w:val="nil"/>
              <w:bottom w:val="nil"/>
              <w:right w:val="nil"/>
            </w:tcBorders>
            <w:shd w:val="clear" w:color="000000" w:fill="FFFFFF"/>
            <w:noWrap/>
            <w:vAlign w:val="bottom"/>
            <w:hideMark/>
          </w:tcPr>
          <w:p w:rsidR="0010219D" w:rsidRPr="00826645" w:rsidRDefault="0010219D" w:rsidP="0010219D">
            <w:pPr>
              <w:rPr>
                <w:color w:val="000000"/>
                <w:sz w:val="22"/>
                <w:szCs w:val="22"/>
              </w:rPr>
            </w:pPr>
            <w:r w:rsidRPr="00826645">
              <w:rPr>
                <w:color w:val="000000"/>
                <w:sz w:val="22"/>
                <w:szCs w:val="22"/>
              </w:rPr>
              <w:t> </w:t>
            </w:r>
          </w:p>
        </w:tc>
        <w:tc>
          <w:tcPr>
            <w:tcW w:w="1596"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442"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726" w:type="dxa"/>
            <w:tcBorders>
              <w:top w:val="nil"/>
              <w:left w:val="nil"/>
              <w:bottom w:val="nil"/>
              <w:right w:val="single" w:sz="4" w:space="0" w:color="auto"/>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r>
      <w:tr w:rsidR="0010219D" w:rsidRPr="00826645" w:rsidTr="004D4632">
        <w:trPr>
          <w:trHeight w:val="300"/>
          <w:jc w:val="center"/>
        </w:trPr>
        <w:tc>
          <w:tcPr>
            <w:tcW w:w="326" w:type="dxa"/>
            <w:tcBorders>
              <w:top w:val="nil"/>
              <w:left w:val="single" w:sz="4" w:space="0" w:color="auto"/>
              <w:bottom w:val="nil"/>
              <w:right w:val="nil"/>
            </w:tcBorders>
            <w:shd w:val="clear" w:color="000000" w:fill="FFFFFF"/>
            <w:noWrap/>
            <w:vAlign w:val="bottom"/>
            <w:hideMark/>
          </w:tcPr>
          <w:p w:rsidR="0010219D" w:rsidRPr="00826645" w:rsidRDefault="0010219D" w:rsidP="0010219D">
            <w:pPr>
              <w:jc w:val="center"/>
              <w:rPr>
                <w:sz w:val="22"/>
                <w:szCs w:val="22"/>
              </w:rPr>
            </w:pPr>
            <w:r w:rsidRPr="00826645">
              <w:rPr>
                <w:sz w:val="22"/>
                <w:szCs w:val="22"/>
              </w:rPr>
              <w:t>5</w:t>
            </w:r>
          </w:p>
        </w:tc>
        <w:tc>
          <w:tcPr>
            <w:tcW w:w="3754"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Amortization of CIAC</w:t>
            </w:r>
          </w:p>
        </w:tc>
        <w:tc>
          <w:tcPr>
            <w:tcW w:w="1596"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 xml:space="preserve">919,344 </w:t>
            </w:r>
          </w:p>
        </w:tc>
        <w:tc>
          <w:tcPr>
            <w:tcW w:w="1442"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(473,757)</w:t>
            </w:r>
          </w:p>
        </w:tc>
        <w:tc>
          <w:tcPr>
            <w:tcW w:w="1726" w:type="dxa"/>
            <w:tcBorders>
              <w:top w:val="nil"/>
              <w:left w:val="nil"/>
              <w:bottom w:val="nil"/>
              <w:right w:val="single" w:sz="4" w:space="0" w:color="auto"/>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 xml:space="preserve">445,587 </w:t>
            </w:r>
          </w:p>
        </w:tc>
      </w:tr>
      <w:tr w:rsidR="0010219D" w:rsidRPr="00826645" w:rsidTr="004D4632">
        <w:trPr>
          <w:trHeight w:val="300"/>
          <w:jc w:val="center"/>
        </w:trPr>
        <w:tc>
          <w:tcPr>
            <w:tcW w:w="326" w:type="dxa"/>
            <w:tcBorders>
              <w:top w:val="nil"/>
              <w:left w:val="single" w:sz="4" w:space="0" w:color="auto"/>
              <w:bottom w:val="nil"/>
              <w:right w:val="nil"/>
            </w:tcBorders>
            <w:shd w:val="clear" w:color="000000" w:fill="FFFFFF"/>
            <w:noWrap/>
            <w:vAlign w:val="bottom"/>
            <w:hideMark/>
          </w:tcPr>
          <w:p w:rsidR="0010219D" w:rsidRPr="00826645" w:rsidRDefault="0010219D" w:rsidP="0010219D">
            <w:pPr>
              <w:jc w:val="center"/>
              <w:rPr>
                <w:sz w:val="22"/>
                <w:szCs w:val="22"/>
              </w:rPr>
            </w:pPr>
            <w:r w:rsidRPr="00826645">
              <w:rPr>
                <w:sz w:val="22"/>
                <w:szCs w:val="22"/>
              </w:rPr>
              <w:t> </w:t>
            </w:r>
          </w:p>
        </w:tc>
        <w:tc>
          <w:tcPr>
            <w:tcW w:w="3754" w:type="dxa"/>
            <w:tcBorders>
              <w:top w:val="nil"/>
              <w:left w:val="nil"/>
              <w:bottom w:val="nil"/>
              <w:right w:val="nil"/>
            </w:tcBorders>
            <w:shd w:val="clear" w:color="000000" w:fill="FFFFFF"/>
            <w:noWrap/>
            <w:vAlign w:val="bottom"/>
            <w:hideMark/>
          </w:tcPr>
          <w:p w:rsidR="0010219D" w:rsidRPr="00826645" w:rsidRDefault="0010219D" w:rsidP="0010219D">
            <w:pPr>
              <w:rPr>
                <w:color w:val="000000"/>
                <w:sz w:val="22"/>
                <w:szCs w:val="22"/>
              </w:rPr>
            </w:pPr>
            <w:r w:rsidRPr="00826645">
              <w:rPr>
                <w:color w:val="000000"/>
                <w:sz w:val="22"/>
                <w:szCs w:val="22"/>
              </w:rPr>
              <w:t> </w:t>
            </w:r>
          </w:p>
        </w:tc>
        <w:tc>
          <w:tcPr>
            <w:tcW w:w="1596"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442"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726" w:type="dxa"/>
            <w:tcBorders>
              <w:top w:val="nil"/>
              <w:left w:val="nil"/>
              <w:bottom w:val="nil"/>
              <w:right w:val="single" w:sz="4" w:space="0" w:color="auto"/>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r>
      <w:tr w:rsidR="0010219D" w:rsidRPr="00826645" w:rsidTr="004D4632">
        <w:trPr>
          <w:trHeight w:val="300"/>
          <w:jc w:val="center"/>
        </w:trPr>
        <w:tc>
          <w:tcPr>
            <w:tcW w:w="326" w:type="dxa"/>
            <w:tcBorders>
              <w:top w:val="nil"/>
              <w:left w:val="single" w:sz="4" w:space="0" w:color="auto"/>
              <w:bottom w:val="nil"/>
              <w:right w:val="nil"/>
            </w:tcBorders>
            <w:shd w:val="clear" w:color="000000" w:fill="FFFFFF"/>
            <w:noWrap/>
            <w:vAlign w:val="bottom"/>
            <w:hideMark/>
          </w:tcPr>
          <w:p w:rsidR="0010219D" w:rsidRPr="00826645" w:rsidRDefault="0010219D" w:rsidP="0010219D">
            <w:pPr>
              <w:jc w:val="center"/>
              <w:rPr>
                <w:sz w:val="22"/>
                <w:szCs w:val="22"/>
              </w:rPr>
            </w:pPr>
            <w:r w:rsidRPr="00826645">
              <w:rPr>
                <w:sz w:val="22"/>
                <w:szCs w:val="22"/>
              </w:rPr>
              <w:t>6</w:t>
            </w:r>
          </w:p>
        </w:tc>
        <w:tc>
          <w:tcPr>
            <w:tcW w:w="3754"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Working Capital Allowance</w:t>
            </w:r>
          </w:p>
        </w:tc>
        <w:tc>
          <w:tcPr>
            <w:tcW w:w="1596"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u w:val="single"/>
              </w:rPr>
            </w:pPr>
            <w:r w:rsidRPr="00826645">
              <w:rPr>
                <w:sz w:val="22"/>
                <w:szCs w:val="22"/>
                <w:u w:val="single"/>
              </w:rPr>
              <w:t xml:space="preserve">22,813 </w:t>
            </w:r>
          </w:p>
        </w:tc>
        <w:tc>
          <w:tcPr>
            <w:tcW w:w="1442"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u w:val="single"/>
              </w:rPr>
            </w:pPr>
            <w:r w:rsidRPr="00826645">
              <w:rPr>
                <w:sz w:val="22"/>
                <w:szCs w:val="22"/>
                <w:u w:val="single"/>
              </w:rPr>
              <w:t>(263)</w:t>
            </w:r>
          </w:p>
        </w:tc>
        <w:tc>
          <w:tcPr>
            <w:tcW w:w="1726" w:type="dxa"/>
            <w:tcBorders>
              <w:top w:val="nil"/>
              <w:left w:val="nil"/>
              <w:bottom w:val="nil"/>
              <w:right w:val="single" w:sz="4" w:space="0" w:color="auto"/>
            </w:tcBorders>
            <w:shd w:val="clear" w:color="000000" w:fill="FFFFFF"/>
            <w:noWrap/>
            <w:vAlign w:val="bottom"/>
            <w:hideMark/>
          </w:tcPr>
          <w:p w:rsidR="0010219D" w:rsidRPr="00826645" w:rsidRDefault="0010219D" w:rsidP="0010219D">
            <w:pPr>
              <w:jc w:val="right"/>
              <w:rPr>
                <w:sz w:val="22"/>
                <w:szCs w:val="22"/>
                <w:u w:val="single"/>
              </w:rPr>
            </w:pPr>
            <w:r w:rsidRPr="00826645">
              <w:rPr>
                <w:sz w:val="22"/>
                <w:szCs w:val="22"/>
                <w:u w:val="single"/>
              </w:rPr>
              <w:t xml:space="preserve">22,550 </w:t>
            </w:r>
          </w:p>
        </w:tc>
      </w:tr>
      <w:tr w:rsidR="0010219D" w:rsidRPr="00826645" w:rsidTr="004D4632">
        <w:trPr>
          <w:trHeight w:val="300"/>
          <w:jc w:val="center"/>
        </w:trPr>
        <w:tc>
          <w:tcPr>
            <w:tcW w:w="326" w:type="dxa"/>
            <w:tcBorders>
              <w:top w:val="nil"/>
              <w:left w:val="single" w:sz="4" w:space="0" w:color="auto"/>
              <w:bottom w:val="nil"/>
              <w:right w:val="nil"/>
            </w:tcBorders>
            <w:shd w:val="clear" w:color="000000" w:fill="FFFFFF"/>
            <w:noWrap/>
            <w:vAlign w:val="bottom"/>
            <w:hideMark/>
          </w:tcPr>
          <w:p w:rsidR="0010219D" w:rsidRPr="00826645" w:rsidRDefault="0010219D" w:rsidP="0010219D">
            <w:pPr>
              <w:jc w:val="center"/>
              <w:rPr>
                <w:sz w:val="22"/>
                <w:szCs w:val="22"/>
              </w:rPr>
            </w:pPr>
            <w:r w:rsidRPr="00826645">
              <w:rPr>
                <w:sz w:val="22"/>
                <w:szCs w:val="22"/>
              </w:rPr>
              <w:t> </w:t>
            </w:r>
          </w:p>
        </w:tc>
        <w:tc>
          <w:tcPr>
            <w:tcW w:w="3754" w:type="dxa"/>
            <w:tcBorders>
              <w:top w:val="nil"/>
              <w:left w:val="nil"/>
              <w:bottom w:val="nil"/>
              <w:right w:val="nil"/>
            </w:tcBorders>
            <w:shd w:val="clear" w:color="000000" w:fill="FFFFFF"/>
            <w:noWrap/>
            <w:vAlign w:val="bottom"/>
            <w:hideMark/>
          </w:tcPr>
          <w:p w:rsidR="0010219D" w:rsidRPr="00826645" w:rsidRDefault="0010219D" w:rsidP="0010219D">
            <w:pPr>
              <w:rPr>
                <w:color w:val="000000"/>
                <w:sz w:val="22"/>
                <w:szCs w:val="22"/>
              </w:rPr>
            </w:pPr>
            <w:r w:rsidRPr="00826645">
              <w:rPr>
                <w:color w:val="000000"/>
                <w:sz w:val="22"/>
                <w:szCs w:val="22"/>
              </w:rPr>
              <w:t> </w:t>
            </w:r>
          </w:p>
        </w:tc>
        <w:tc>
          <w:tcPr>
            <w:tcW w:w="1596" w:type="dxa"/>
            <w:tcBorders>
              <w:top w:val="nil"/>
              <w:left w:val="nil"/>
              <w:bottom w:val="nil"/>
              <w:right w:val="nil"/>
            </w:tcBorders>
            <w:shd w:val="clear" w:color="000000" w:fill="FFFFFF"/>
            <w:noWrap/>
            <w:vAlign w:val="bottom"/>
            <w:hideMark/>
          </w:tcPr>
          <w:p w:rsidR="0010219D" w:rsidRPr="00826645" w:rsidRDefault="0010219D" w:rsidP="0010219D">
            <w:pPr>
              <w:rPr>
                <w:color w:val="000000"/>
                <w:sz w:val="22"/>
                <w:szCs w:val="22"/>
              </w:rPr>
            </w:pPr>
            <w:r w:rsidRPr="00826645">
              <w:rPr>
                <w:color w:val="000000"/>
                <w:sz w:val="22"/>
                <w:szCs w:val="22"/>
              </w:rPr>
              <w:t> </w:t>
            </w:r>
          </w:p>
        </w:tc>
        <w:tc>
          <w:tcPr>
            <w:tcW w:w="1442" w:type="dxa"/>
            <w:tcBorders>
              <w:top w:val="nil"/>
              <w:left w:val="nil"/>
              <w:bottom w:val="nil"/>
              <w:right w:val="nil"/>
            </w:tcBorders>
            <w:shd w:val="clear" w:color="000000" w:fill="FFFFFF"/>
            <w:noWrap/>
            <w:vAlign w:val="bottom"/>
            <w:hideMark/>
          </w:tcPr>
          <w:p w:rsidR="0010219D" w:rsidRPr="00826645" w:rsidRDefault="0010219D" w:rsidP="0010219D">
            <w:pPr>
              <w:rPr>
                <w:color w:val="000000"/>
                <w:sz w:val="22"/>
                <w:szCs w:val="22"/>
              </w:rPr>
            </w:pPr>
            <w:r w:rsidRPr="00826645">
              <w:rPr>
                <w:color w:val="000000"/>
                <w:sz w:val="22"/>
                <w:szCs w:val="22"/>
              </w:rPr>
              <w:t> </w:t>
            </w:r>
          </w:p>
        </w:tc>
        <w:tc>
          <w:tcPr>
            <w:tcW w:w="1726" w:type="dxa"/>
            <w:tcBorders>
              <w:top w:val="nil"/>
              <w:left w:val="nil"/>
              <w:bottom w:val="nil"/>
              <w:right w:val="single" w:sz="4" w:space="0" w:color="auto"/>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r>
      <w:tr w:rsidR="0010219D" w:rsidRPr="00826645" w:rsidTr="004D4632">
        <w:trPr>
          <w:trHeight w:val="300"/>
          <w:jc w:val="center"/>
        </w:trPr>
        <w:tc>
          <w:tcPr>
            <w:tcW w:w="326" w:type="dxa"/>
            <w:tcBorders>
              <w:top w:val="nil"/>
              <w:left w:val="single" w:sz="4" w:space="0" w:color="auto"/>
              <w:bottom w:val="nil"/>
              <w:right w:val="nil"/>
            </w:tcBorders>
            <w:shd w:val="clear" w:color="000000" w:fill="FFFFFF"/>
            <w:noWrap/>
            <w:vAlign w:val="bottom"/>
            <w:hideMark/>
          </w:tcPr>
          <w:p w:rsidR="0010219D" w:rsidRPr="00826645" w:rsidRDefault="0010219D" w:rsidP="0010219D">
            <w:pPr>
              <w:jc w:val="center"/>
              <w:rPr>
                <w:sz w:val="22"/>
                <w:szCs w:val="22"/>
              </w:rPr>
            </w:pPr>
            <w:r w:rsidRPr="00826645">
              <w:rPr>
                <w:sz w:val="22"/>
                <w:szCs w:val="22"/>
              </w:rPr>
              <w:t>7</w:t>
            </w:r>
          </w:p>
        </w:tc>
        <w:tc>
          <w:tcPr>
            <w:tcW w:w="3754" w:type="dxa"/>
            <w:tcBorders>
              <w:top w:val="nil"/>
              <w:left w:val="nil"/>
              <w:bottom w:val="nil"/>
              <w:right w:val="nil"/>
            </w:tcBorders>
            <w:shd w:val="clear" w:color="000000" w:fill="FFFFFF"/>
            <w:noWrap/>
            <w:vAlign w:val="bottom"/>
            <w:hideMark/>
          </w:tcPr>
          <w:p w:rsidR="0010219D" w:rsidRPr="00826645" w:rsidRDefault="0010219D" w:rsidP="0010219D">
            <w:pPr>
              <w:rPr>
                <w:b/>
                <w:bCs/>
                <w:sz w:val="22"/>
                <w:szCs w:val="22"/>
              </w:rPr>
            </w:pPr>
            <w:r w:rsidRPr="00826645">
              <w:rPr>
                <w:b/>
                <w:bCs/>
                <w:sz w:val="22"/>
                <w:szCs w:val="22"/>
              </w:rPr>
              <w:t>Rate Base</w:t>
            </w:r>
          </w:p>
        </w:tc>
        <w:tc>
          <w:tcPr>
            <w:tcW w:w="1596"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u w:val="double"/>
              </w:rPr>
            </w:pPr>
            <w:r w:rsidRPr="00826645">
              <w:rPr>
                <w:sz w:val="22"/>
                <w:szCs w:val="22"/>
                <w:u w:val="double"/>
              </w:rPr>
              <w:t xml:space="preserve">$2,109,453 </w:t>
            </w:r>
          </w:p>
        </w:tc>
        <w:tc>
          <w:tcPr>
            <w:tcW w:w="1442"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u w:val="double"/>
              </w:rPr>
            </w:pPr>
            <w:r w:rsidRPr="00826645">
              <w:rPr>
                <w:sz w:val="22"/>
                <w:szCs w:val="22"/>
                <w:u w:val="double"/>
              </w:rPr>
              <w:t xml:space="preserve">$185,074 </w:t>
            </w:r>
          </w:p>
        </w:tc>
        <w:tc>
          <w:tcPr>
            <w:tcW w:w="1726" w:type="dxa"/>
            <w:tcBorders>
              <w:top w:val="nil"/>
              <w:left w:val="nil"/>
              <w:bottom w:val="nil"/>
              <w:right w:val="single" w:sz="4" w:space="0" w:color="auto"/>
            </w:tcBorders>
            <w:shd w:val="clear" w:color="000000" w:fill="FFFFFF"/>
            <w:noWrap/>
            <w:vAlign w:val="bottom"/>
            <w:hideMark/>
          </w:tcPr>
          <w:p w:rsidR="0010219D" w:rsidRPr="00826645" w:rsidRDefault="0010219D" w:rsidP="0010219D">
            <w:pPr>
              <w:jc w:val="right"/>
              <w:rPr>
                <w:sz w:val="22"/>
                <w:szCs w:val="22"/>
                <w:u w:val="double"/>
              </w:rPr>
            </w:pPr>
            <w:r w:rsidRPr="00826645">
              <w:rPr>
                <w:sz w:val="22"/>
                <w:szCs w:val="22"/>
                <w:u w:val="double"/>
              </w:rPr>
              <w:t xml:space="preserve">$2,294,527 </w:t>
            </w:r>
          </w:p>
        </w:tc>
      </w:tr>
      <w:tr w:rsidR="0010219D" w:rsidRPr="00826645" w:rsidTr="004D4632">
        <w:trPr>
          <w:trHeight w:val="300"/>
          <w:jc w:val="center"/>
        </w:trPr>
        <w:tc>
          <w:tcPr>
            <w:tcW w:w="326" w:type="dxa"/>
            <w:tcBorders>
              <w:top w:val="nil"/>
              <w:left w:val="single" w:sz="4" w:space="0" w:color="auto"/>
              <w:bottom w:val="single" w:sz="4" w:space="0" w:color="auto"/>
              <w:right w:val="nil"/>
            </w:tcBorders>
            <w:shd w:val="clear" w:color="000000" w:fill="FFFFFF"/>
            <w:noWrap/>
            <w:vAlign w:val="bottom"/>
            <w:hideMark/>
          </w:tcPr>
          <w:p w:rsidR="0010219D" w:rsidRPr="00826645" w:rsidRDefault="0010219D" w:rsidP="0010219D">
            <w:pPr>
              <w:rPr>
                <w:rFonts w:ascii="Arial" w:hAnsi="Arial" w:cs="Arial"/>
                <w:sz w:val="20"/>
                <w:szCs w:val="20"/>
                <w:u w:val="single"/>
              </w:rPr>
            </w:pPr>
            <w:r w:rsidRPr="00826645">
              <w:rPr>
                <w:rFonts w:ascii="Arial" w:hAnsi="Arial" w:cs="Arial"/>
                <w:sz w:val="20"/>
                <w:szCs w:val="20"/>
                <w:u w:val="single"/>
              </w:rPr>
              <w:t> </w:t>
            </w:r>
          </w:p>
        </w:tc>
        <w:tc>
          <w:tcPr>
            <w:tcW w:w="3754" w:type="dxa"/>
            <w:tcBorders>
              <w:top w:val="nil"/>
              <w:left w:val="nil"/>
              <w:bottom w:val="single" w:sz="4" w:space="0" w:color="auto"/>
              <w:right w:val="nil"/>
            </w:tcBorders>
            <w:shd w:val="clear" w:color="000000" w:fill="FFFFFF"/>
            <w:noWrap/>
            <w:vAlign w:val="bottom"/>
            <w:hideMark/>
          </w:tcPr>
          <w:p w:rsidR="0010219D" w:rsidRPr="00826645" w:rsidRDefault="0010219D" w:rsidP="0010219D">
            <w:pPr>
              <w:rPr>
                <w:rFonts w:ascii="Arial" w:hAnsi="Arial" w:cs="Arial"/>
                <w:sz w:val="20"/>
                <w:szCs w:val="20"/>
                <w:u w:val="single"/>
              </w:rPr>
            </w:pPr>
            <w:r w:rsidRPr="00826645">
              <w:rPr>
                <w:rFonts w:ascii="Arial" w:hAnsi="Arial" w:cs="Arial"/>
                <w:sz w:val="20"/>
                <w:szCs w:val="20"/>
                <w:u w:val="single"/>
              </w:rPr>
              <w:t> </w:t>
            </w:r>
          </w:p>
        </w:tc>
        <w:tc>
          <w:tcPr>
            <w:tcW w:w="1596" w:type="dxa"/>
            <w:tcBorders>
              <w:top w:val="nil"/>
              <w:left w:val="nil"/>
              <w:bottom w:val="single" w:sz="4" w:space="0" w:color="auto"/>
              <w:right w:val="nil"/>
            </w:tcBorders>
            <w:shd w:val="clear" w:color="000000" w:fill="FFFFFF"/>
            <w:noWrap/>
            <w:vAlign w:val="bottom"/>
            <w:hideMark/>
          </w:tcPr>
          <w:p w:rsidR="0010219D" w:rsidRPr="00826645" w:rsidRDefault="0010219D" w:rsidP="0010219D">
            <w:pPr>
              <w:rPr>
                <w:rFonts w:ascii="Arial" w:hAnsi="Arial" w:cs="Arial"/>
                <w:sz w:val="20"/>
                <w:szCs w:val="20"/>
                <w:u w:val="single"/>
              </w:rPr>
            </w:pPr>
            <w:r w:rsidRPr="00826645">
              <w:rPr>
                <w:rFonts w:ascii="Arial" w:hAnsi="Arial" w:cs="Arial"/>
                <w:sz w:val="20"/>
                <w:szCs w:val="20"/>
                <w:u w:val="single"/>
              </w:rPr>
              <w:t> </w:t>
            </w:r>
          </w:p>
        </w:tc>
        <w:tc>
          <w:tcPr>
            <w:tcW w:w="1442" w:type="dxa"/>
            <w:tcBorders>
              <w:top w:val="nil"/>
              <w:left w:val="nil"/>
              <w:bottom w:val="single" w:sz="4" w:space="0" w:color="auto"/>
              <w:right w:val="nil"/>
            </w:tcBorders>
            <w:shd w:val="clear" w:color="000000" w:fill="FFFFFF"/>
            <w:noWrap/>
            <w:vAlign w:val="bottom"/>
            <w:hideMark/>
          </w:tcPr>
          <w:p w:rsidR="0010219D" w:rsidRPr="00826645" w:rsidRDefault="0010219D" w:rsidP="0010219D">
            <w:pPr>
              <w:rPr>
                <w:rFonts w:ascii="Arial" w:hAnsi="Arial" w:cs="Arial"/>
                <w:sz w:val="20"/>
                <w:szCs w:val="20"/>
                <w:u w:val="single"/>
              </w:rPr>
            </w:pPr>
            <w:r w:rsidRPr="00826645">
              <w:rPr>
                <w:rFonts w:ascii="Arial" w:hAnsi="Arial" w:cs="Arial"/>
                <w:sz w:val="20"/>
                <w:szCs w:val="20"/>
                <w:u w:val="single"/>
              </w:rPr>
              <w:t> </w:t>
            </w:r>
          </w:p>
        </w:tc>
        <w:tc>
          <w:tcPr>
            <w:tcW w:w="1726" w:type="dxa"/>
            <w:tcBorders>
              <w:top w:val="nil"/>
              <w:left w:val="nil"/>
              <w:bottom w:val="single" w:sz="4" w:space="0" w:color="auto"/>
              <w:right w:val="single" w:sz="4" w:space="0" w:color="auto"/>
            </w:tcBorders>
            <w:shd w:val="clear" w:color="000000" w:fill="FFFFFF"/>
            <w:noWrap/>
            <w:vAlign w:val="bottom"/>
            <w:hideMark/>
          </w:tcPr>
          <w:p w:rsidR="0010219D" w:rsidRPr="00826645" w:rsidRDefault="0010219D" w:rsidP="0010219D">
            <w:pPr>
              <w:rPr>
                <w:rFonts w:ascii="Arial" w:hAnsi="Arial" w:cs="Arial"/>
                <w:sz w:val="20"/>
                <w:szCs w:val="20"/>
                <w:u w:val="single"/>
              </w:rPr>
            </w:pPr>
            <w:r w:rsidRPr="00826645">
              <w:rPr>
                <w:rFonts w:ascii="Arial" w:hAnsi="Arial" w:cs="Arial"/>
                <w:sz w:val="20"/>
                <w:szCs w:val="20"/>
                <w:u w:val="single"/>
              </w:rPr>
              <w:t> </w:t>
            </w:r>
          </w:p>
        </w:tc>
      </w:tr>
    </w:tbl>
    <w:p w:rsidR="004F544E" w:rsidRPr="00826645" w:rsidRDefault="004F544E" w:rsidP="004F544E">
      <w:pPr>
        <w:pStyle w:val="OrderBody"/>
      </w:pPr>
    </w:p>
    <w:p w:rsidR="0010219D" w:rsidRPr="00826645" w:rsidRDefault="0010219D" w:rsidP="004F544E">
      <w:pPr>
        <w:pStyle w:val="OrderBody"/>
        <w:sectPr w:rsidR="0010219D" w:rsidRPr="00826645">
          <w:headerReference w:type="first" r:id="rId11"/>
          <w:pgSz w:w="12240" w:h="15840" w:code="1"/>
          <w:pgMar w:top="1440" w:right="1440" w:bottom="1440" w:left="1440" w:header="720" w:footer="720" w:gutter="0"/>
          <w:cols w:space="720"/>
          <w:titlePg/>
          <w:docGrid w:linePitch="360"/>
        </w:sectPr>
      </w:pPr>
    </w:p>
    <w:p w:rsidR="0010219D" w:rsidRPr="00826645" w:rsidRDefault="0010219D" w:rsidP="0010219D">
      <w:pPr>
        <w:spacing w:after="240"/>
        <w:jc w:val="both"/>
      </w:pPr>
    </w:p>
    <w:tbl>
      <w:tblPr>
        <w:tblW w:w="8638" w:type="dxa"/>
        <w:jc w:val="center"/>
        <w:tblLook w:val="04A0" w:firstRow="1" w:lastRow="0" w:firstColumn="1" w:lastColumn="0" w:noHBand="0" w:noVBand="1"/>
      </w:tblPr>
      <w:tblGrid>
        <w:gridCol w:w="272"/>
        <w:gridCol w:w="6074"/>
        <w:gridCol w:w="21"/>
        <w:gridCol w:w="1965"/>
        <w:gridCol w:w="21"/>
        <w:gridCol w:w="285"/>
      </w:tblGrid>
      <w:tr w:rsidR="0010219D" w:rsidRPr="00826645" w:rsidTr="004D4632">
        <w:trPr>
          <w:trHeight w:val="300"/>
          <w:jc w:val="center"/>
        </w:trPr>
        <w:tc>
          <w:tcPr>
            <w:tcW w:w="6346" w:type="dxa"/>
            <w:gridSpan w:val="2"/>
            <w:tcBorders>
              <w:top w:val="single" w:sz="4" w:space="0" w:color="auto"/>
              <w:left w:val="single" w:sz="4" w:space="0" w:color="auto"/>
              <w:bottom w:val="nil"/>
              <w:right w:val="nil"/>
            </w:tcBorders>
            <w:shd w:val="clear" w:color="000000" w:fill="FFFFFF"/>
            <w:noWrap/>
            <w:vAlign w:val="bottom"/>
            <w:hideMark/>
          </w:tcPr>
          <w:p w:rsidR="0010219D" w:rsidRPr="00826645" w:rsidRDefault="0010219D" w:rsidP="0010219D">
            <w:pPr>
              <w:rPr>
                <w:rFonts w:ascii="Arial" w:hAnsi="Arial" w:cs="Arial"/>
                <w:b/>
                <w:bCs/>
              </w:rPr>
            </w:pPr>
            <w:bookmarkStart w:id="10" w:name="RANGE!B5:E25"/>
            <w:r w:rsidRPr="00826645">
              <w:rPr>
                <w:rFonts w:ascii="Arial" w:hAnsi="Arial" w:cs="Arial"/>
                <w:b/>
                <w:bCs/>
              </w:rPr>
              <w:t>Riverdale</w:t>
            </w:r>
            <w:bookmarkEnd w:id="10"/>
            <w:r w:rsidRPr="00826645">
              <w:rPr>
                <w:rFonts w:ascii="Arial" w:hAnsi="Arial" w:cs="Arial"/>
                <w:b/>
                <w:bCs/>
              </w:rPr>
              <w:t xml:space="preserve"> Utility Holding, Inc.</w:t>
            </w:r>
          </w:p>
        </w:tc>
        <w:tc>
          <w:tcPr>
            <w:tcW w:w="2292" w:type="dxa"/>
            <w:gridSpan w:val="4"/>
            <w:tcBorders>
              <w:top w:val="single" w:sz="4" w:space="0" w:color="auto"/>
              <w:left w:val="nil"/>
              <w:bottom w:val="nil"/>
              <w:right w:val="single" w:sz="4" w:space="0" w:color="auto"/>
            </w:tcBorders>
            <w:shd w:val="clear" w:color="000000" w:fill="FFFFFF"/>
            <w:noWrap/>
            <w:vAlign w:val="bottom"/>
            <w:hideMark/>
          </w:tcPr>
          <w:p w:rsidR="0010219D" w:rsidRPr="00826645" w:rsidRDefault="0010219D" w:rsidP="0010219D">
            <w:pPr>
              <w:jc w:val="right"/>
              <w:rPr>
                <w:rFonts w:ascii="Arial" w:hAnsi="Arial" w:cs="Arial"/>
                <w:b/>
                <w:bCs/>
              </w:rPr>
            </w:pPr>
            <w:r w:rsidRPr="00826645">
              <w:rPr>
                <w:rFonts w:ascii="Arial" w:hAnsi="Arial" w:cs="Arial"/>
                <w:b/>
                <w:bCs/>
              </w:rPr>
              <w:t>Schedule No. 1-B</w:t>
            </w:r>
          </w:p>
        </w:tc>
      </w:tr>
      <w:tr w:rsidR="0010219D" w:rsidRPr="00826645" w:rsidTr="004D4632">
        <w:trPr>
          <w:trHeight w:val="300"/>
          <w:jc w:val="center"/>
        </w:trPr>
        <w:tc>
          <w:tcPr>
            <w:tcW w:w="6346" w:type="dxa"/>
            <w:gridSpan w:val="2"/>
            <w:tcBorders>
              <w:top w:val="nil"/>
              <w:left w:val="single" w:sz="4" w:space="0" w:color="auto"/>
              <w:bottom w:val="nil"/>
              <w:right w:val="nil"/>
            </w:tcBorders>
            <w:shd w:val="clear" w:color="000000" w:fill="FFFFFF"/>
            <w:noWrap/>
            <w:vAlign w:val="bottom"/>
            <w:hideMark/>
          </w:tcPr>
          <w:p w:rsidR="0010219D" w:rsidRPr="00826645" w:rsidRDefault="0010219D" w:rsidP="0010219D">
            <w:pPr>
              <w:rPr>
                <w:rFonts w:ascii="Arial" w:hAnsi="Arial" w:cs="Arial"/>
                <w:b/>
                <w:bCs/>
              </w:rPr>
            </w:pPr>
            <w:r w:rsidRPr="00826645">
              <w:rPr>
                <w:rFonts w:ascii="Arial" w:hAnsi="Arial" w:cs="Arial"/>
                <w:b/>
                <w:bCs/>
              </w:rPr>
              <w:t>Adjustments to Rate Base</w:t>
            </w:r>
          </w:p>
        </w:tc>
        <w:tc>
          <w:tcPr>
            <w:tcW w:w="2292" w:type="dxa"/>
            <w:gridSpan w:val="4"/>
            <w:tcBorders>
              <w:top w:val="nil"/>
              <w:left w:val="nil"/>
              <w:bottom w:val="nil"/>
              <w:right w:val="single" w:sz="4" w:space="0" w:color="auto"/>
            </w:tcBorders>
            <w:shd w:val="clear" w:color="000000" w:fill="FFFFFF"/>
            <w:noWrap/>
            <w:vAlign w:val="bottom"/>
            <w:hideMark/>
          </w:tcPr>
          <w:p w:rsidR="0010219D" w:rsidRPr="00826645" w:rsidRDefault="0010219D" w:rsidP="0010219D">
            <w:pPr>
              <w:jc w:val="right"/>
              <w:rPr>
                <w:rFonts w:ascii="Arial" w:hAnsi="Arial" w:cs="Arial"/>
                <w:b/>
                <w:bCs/>
              </w:rPr>
            </w:pPr>
            <w:r w:rsidRPr="00826645">
              <w:rPr>
                <w:rFonts w:ascii="Arial" w:hAnsi="Arial" w:cs="Arial"/>
                <w:b/>
                <w:bCs/>
              </w:rPr>
              <w:t>20240011-WU</w:t>
            </w:r>
          </w:p>
        </w:tc>
      </w:tr>
      <w:tr w:rsidR="0010219D" w:rsidRPr="00826645" w:rsidTr="004D4632">
        <w:trPr>
          <w:trHeight w:val="300"/>
          <w:jc w:val="center"/>
        </w:trPr>
        <w:tc>
          <w:tcPr>
            <w:tcW w:w="6346" w:type="dxa"/>
            <w:gridSpan w:val="2"/>
            <w:tcBorders>
              <w:top w:val="nil"/>
              <w:left w:val="single" w:sz="4" w:space="0" w:color="auto"/>
              <w:bottom w:val="single" w:sz="4" w:space="0" w:color="auto"/>
              <w:right w:val="nil"/>
            </w:tcBorders>
            <w:shd w:val="clear" w:color="000000" w:fill="FFFFFF"/>
            <w:noWrap/>
            <w:vAlign w:val="bottom"/>
            <w:hideMark/>
          </w:tcPr>
          <w:p w:rsidR="0010219D" w:rsidRPr="00826645" w:rsidRDefault="0010219D" w:rsidP="0010219D">
            <w:pPr>
              <w:rPr>
                <w:rFonts w:ascii="Arial" w:hAnsi="Arial" w:cs="Arial"/>
                <w:b/>
                <w:bCs/>
              </w:rPr>
            </w:pPr>
            <w:r w:rsidRPr="00826645">
              <w:rPr>
                <w:rFonts w:ascii="Arial" w:hAnsi="Arial" w:cs="Arial"/>
                <w:b/>
                <w:bCs/>
              </w:rPr>
              <w:t>80% Design Capacity</w:t>
            </w:r>
          </w:p>
        </w:tc>
        <w:tc>
          <w:tcPr>
            <w:tcW w:w="1986" w:type="dxa"/>
            <w:gridSpan w:val="2"/>
            <w:tcBorders>
              <w:top w:val="nil"/>
              <w:left w:val="nil"/>
              <w:bottom w:val="nil"/>
              <w:right w:val="nil"/>
            </w:tcBorders>
            <w:shd w:val="clear" w:color="000000" w:fill="FFFFFF"/>
            <w:noWrap/>
            <w:vAlign w:val="bottom"/>
            <w:hideMark/>
          </w:tcPr>
          <w:p w:rsidR="0010219D" w:rsidRPr="00826645" w:rsidRDefault="0010219D" w:rsidP="0010219D">
            <w:pPr>
              <w:jc w:val="right"/>
              <w:rPr>
                <w:rFonts w:ascii="Arial" w:hAnsi="Arial" w:cs="Arial"/>
                <w:b/>
                <w:bCs/>
              </w:rPr>
            </w:pPr>
            <w:r w:rsidRPr="00826645">
              <w:rPr>
                <w:rFonts w:ascii="Arial" w:hAnsi="Arial" w:cs="Arial"/>
                <w:b/>
                <w:bCs/>
              </w:rPr>
              <w:t> </w:t>
            </w:r>
          </w:p>
        </w:tc>
        <w:tc>
          <w:tcPr>
            <w:tcW w:w="306" w:type="dxa"/>
            <w:gridSpan w:val="2"/>
            <w:tcBorders>
              <w:top w:val="nil"/>
              <w:left w:val="nil"/>
              <w:bottom w:val="nil"/>
              <w:right w:val="single" w:sz="4" w:space="0" w:color="auto"/>
            </w:tcBorders>
            <w:shd w:val="clear" w:color="000000" w:fill="FFFFFF"/>
            <w:noWrap/>
            <w:vAlign w:val="bottom"/>
            <w:hideMark/>
          </w:tcPr>
          <w:p w:rsidR="0010219D" w:rsidRPr="00826645" w:rsidRDefault="0010219D" w:rsidP="0010219D">
            <w:pPr>
              <w:rPr>
                <w:rFonts w:ascii="Arial" w:hAnsi="Arial" w:cs="Arial"/>
              </w:rPr>
            </w:pPr>
            <w:r w:rsidRPr="00826645">
              <w:rPr>
                <w:rFonts w:ascii="Arial" w:hAnsi="Arial" w:cs="Arial"/>
              </w:rPr>
              <w:t> </w:t>
            </w:r>
          </w:p>
        </w:tc>
      </w:tr>
      <w:tr w:rsidR="0010219D" w:rsidRPr="00826645" w:rsidTr="004D4632">
        <w:trPr>
          <w:trHeight w:val="300"/>
          <w:jc w:val="center"/>
        </w:trPr>
        <w:tc>
          <w:tcPr>
            <w:tcW w:w="272" w:type="dxa"/>
            <w:tcBorders>
              <w:top w:val="nil"/>
              <w:left w:val="single" w:sz="4" w:space="0" w:color="auto"/>
              <w:bottom w:val="nil"/>
              <w:right w:val="nil"/>
            </w:tcBorders>
            <w:shd w:val="clear" w:color="000000" w:fill="FFFFFF"/>
            <w:noWrap/>
            <w:vAlign w:val="bottom"/>
            <w:hideMark/>
          </w:tcPr>
          <w:p w:rsidR="0010219D" w:rsidRPr="00826645" w:rsidRDefault="0010219D" w:rsidP="0010219D">
            <w:pPr>
              <w:rPr>
                <w:rFonts w:ascii="Arial" w:hAnsi="Arial" w:cs="Arial"/>
                <w:sz w:val="20"/>
                <w:szCs w:val="20"/>
              </w:rPr>
            </w:pPr>
            <w:r w:rsidRPr="00826645">
              <w:rPr>
                <w:rFonts w:ascii="Arial" w:hAnsi="Arial" w:cs="Arial"/>
                <w:sz w:val="20"/>
                <w:szCs w:val="20"/>
              </w:rPr>
              <w:t> </w:t>
            </w:r>
          </w:p>
        </w:tc>
        <w:tc>
          <w:tcPr>
            <w:tcW w:w="6095" w:type="dxa"/>
            <w:gridSpan w:val="2"/>
            <w:tcBorders>
              <w:top w:val="nil"/>
              <w:left w:val="nil"/>
              <w:bottom w:val="nil"/>
              <w:right w:val="nil"/>
            </w:tcBorders>
            <w:shd w:val="clear" w:color="000000" w:fill="FFFFFF"/>
            <w:noWrap/>
            <w:vAlign w:val="bottom"/>
            <w:hideMark/>
          </w:tcPr>
          <w:p w:rsidR="0010219D" w:rsidRPr="00826645" w:rsidRDefault="0010219D" w:rsidP="0010219D">
            <w:pPr>
              <w:rPr>
                <w:rFonts w:ascii="Arial" w:hAnsi="Arial" w:cs="Arial"/>
                <w:sz w:val="20"/>
                <w:szCs w:val="20"/>
              </w:rPr>
            </w:pPr>
            <w:r w:rsidRPr="00826645">
              <w:rPr>
                <w:rFonts w:ascii="Arial" w:hAnsi="Arial" w:cs="Arial"/>
                <w:sz w:val="20"/>
                <w:szCs w:val="20"/>
              </w:rPr>
              <w:t> </w:t>
            </w:r>
          </w:p>
        </w:tc>
        <w:tc>
          <w:tcPr>
            <w:tcW w:w="1986" w:type="dxa"/>
            <w:gridSpan w:val="2"/>
            <w:tcBorders>
              <w:top w:val="single" w:sz="4" w:space="0" w:color="000000"/>
              <w:left w:val="nil"/>
              <w:bottom w:val="nil"/>
              <w:right w:val="nil"/>
            </w:tcBorders>
            <w:shd w:val="clear" w:color="000000" w:fill="FFFFFF"/>
            <w:noWrap/>
            <w:vAlign w:val="center"/>
            <w:hideMark/>
          </w:tcPr>
          <w:p w:rsidR="0010219D" w:rsidRPr="00826645" w:rsidRDefault="0010219D" w:rsidP="0010219D">
            <w:pPr>
              <w:jc w:val="center"/>
              <w:rPr>
                <w:rFonts w:ascii="Arial" w:hAnsi="Arial" w:cs="Arial"/>
                <w:sz w:val="20"/>
                <w:szCs w:val="20"/>
              </w:rPr>
            </w:pPr>
            <w:r w:rsidRPr="00826645">
              <w:rPr>
                <w:rFonts w:ascii="Arial" w:hAnsi="Arial" w:cs="Arial"/>
                <w:sz w:val="20"/>
                <w:szCs w:val="20"/>
              </w:rPr>
              <w:t> </w:t>
            </w:r>
          </w:p>
        </w:tc>
        <w:tc>
          <w:tcPr>
            <w:tcW w:w="285" w:type="dxa"/>
            <w:tcBorders>
              <w:top w:val="single" w:sz="4" w:space="0" w:color="000000"/>
              <w:left w:val="nil"/>
              <w:bottom w:val="nil"/>
              <w:right w:val="single" w:sz="4" w:space="0" w:color="auto"/>
            </w:tcBorders>
            <w:shd w:val="clear" w:color="000000" w:fill="FFFFFF"/>
            <w:noWrap/>
            <w:vAlign w:val="bottom"/>
            <w:hideMark/>
          </w:tcPr>
          <w:p w:rsidR="0010219D" w:rsidRPr="00826645" w:rsidRDefault="0010219D" w:rsidP="0010219D">
            <w:pPr>
              <w:rPr>
                <w:rFonts w:ascii="Arial" w:hAnsi="Arial" w:cs="Arial"/>
                <w:sz w:val="20"/>
                <w:szCs w:val="20"/>
              </w:rPr>
            </w:pPr>
            <w:r w:rsidRPr="00826645">
              <w:rPr>
                <w:rFonts w:ascii="Arial" w:hAnsi="Arial" w:cs="Arial"/>
                <w:sz w:val="20"/>
                <w:szCs w:val="20"/>
              </w:rPr>
              <w:t> </w:t>
            </w:r>
          </w:p>
        </w:tc>
      </w:tr>
      <w:tr w:rsidR="0010219D" w:rsidRPr="00826645" w:rsidTr="004D4632">
        <w:trPr>
          <w:trHeight w:val="300"/>
          <w:jc w:val="center"/>
        </w:trPr>
        <w:tc>
          <w:tcPr>
            <w:tcW w:w="272" w:type="dxa"/>
            <w:tcBorders>
              <w:top w:val="nil"/>
              <w:left w:val="single" w:sz="4" w:space="0" w:color="auto"/>
              <w:bottom w:val="nil"/>
              <w:right w:val="nil"/>
            </w:tcBorders>
            <w:shd w:val="clear" w:color="000000" w:fill="FFFFFF"/>
            <w:noWrap/>
            <w:vAlign w:val="bottom"/>
            <w:hideMark/>
          </w:tcPr>
          <w:p w:rsidR="0010219D" w:rsidRPr="00826645" w:rsidRDefault="0010219D" w:rsidP="0010219D">
            <w:pPr>
              <w:rPr>
                <w:rFonts w:ascii="Arial" w:hAnsi="Arial" w:cs="Arial"/>
                <w:sz w:val="20"/>
                <w:szCs w:val="20"/>
              </w:rPr>
            </w:pPr>
            <w:r w:rsidRPr="00826645">
              <w:rPr>
                <w:rFonts w:ascii="Arial" w:hAnsi="Arial" w:cs="Arial"/>
                <w:sz w:val="20"/>
                <w:szCs w:val="20"/>
              </w:rPr>
              <w:t> </w:t>
            </w:r>
          </w:p>
        </w:tc>
        <w:tc>
          <w:tcPr>
            <w:tcW w:w="6095" w:type="dxa"/>
            <w:gridSpan w:val="2"/>
            <w:tcBorders>
              <w:top w:val="nil"/>
              <w:left w:val="nil"/>
              <w:bottom w:val="nil"/>
              <w:right w:val="nil"/>
            </w:tcBorders>
            <w:shd w:val="clear" w:color="000000" w:fill="FFFFFF"/>
            <w:noWrap/>
            <w:vAlign w:val="bottom"/>
            <w:hideMark/>
          </w:tcPr>
          <w:p w:rsidR="0010219D" w:rsidRPr="00826645" w:rsidRDefault="0010219D" w:rsidP="0010219D">
            <w:pPr>
              <w:rPr>
                <w:b/>
                <w:bCs/>
                <w:sz w:val="22"/>
                <w:szCs w:val="22"/>
              </w:rPr>
            </w:pPr>
            <w:r w:rsidRPr="00826645">
              <w:rPr>
                <w:b/>
                <w:bCs/>
                <w:sz w:val="22"/>
                <w:szCs w:val="22"/>
              </w:rPr>
              <w:t>Explanation</w:t>
            </w:r>
          </w:p>
        </w:tc>
        <w:tc>
          <w:tcPr>
            <w:tcW w:w="1986" w:type="dxa"/>
            <w:gridSpan w:val="2"/>
            <w:tcBorders>
              <w:top w:val="nil"/>
              <w:left w:val="nil"/>
              <w:bottom w:val="nil"/>
              <w:right w:val="nil"/>
            </w:tcBorders>
            <w:shd w:val="clear" w:color="000000" w:fill="FFFFFF"/>
            <w:noWrap/>
            <w:vAlign w:val="center"/>
            <w:hideMark/>
          </w:tcPr>
          <w:p w:rsidR="0010219D" w:rsidRPr="00826645" w:rsidRDefault="0010219D" w:rsidP="0010219D">
            <w:pPr>
              <w:jc w:val="right"/>
              <w:rPr>
                <w:b/>
                <w:bCs/>
                <w:sz w:val="22"/>
                <w:szCs w:val="22"/>
              </w:rPr>
            </w:pPr>
            <w:r w:rsidRPr="00826645">
              <w:rPr>
                <w:b/>
                <w:bCs/>
                <w:sz w:val="22"/>
                <w:szCs w:val="22"/>
              </w:rPr>
              <w:t>Water</w:t>
            </w:r>
          </w:p>
        </w:tc>
        <w:tc>
          <w:tcPr>
            <w:tcW w:w="285" w:type="dxa"/>
            <w:tcBorders>
              <w:top w:val="nil"/>
              <w:left w:val="nil"/>
              <w:bottom w:val="nil"/>
              <w:right w:val="single" w:sz="4" w:space="0" w:color="auto"/>
            </w:tcBorders>
            <w:shd w:val="clear" w:color="000000" w:fill="FFFFFF"/>
            <w:noWrap/>
            <w:vAlign w:val="bottom"/>
            <w:hideMark/>
          </w:tcPr>
          <w:p w:rsidR="0010219D" w:rsidRPr="00826645" w:rsidRDefault="0010219D" w:rsidP="0010219D">
            <w:pPr>
              <w:jc w:val="center"/>
              <w:rPr>
                <w:rFonts w:ascii="Arial" w:hAnsi="Arial" w:cs="Arial"/>
                <w:sz w:val="20"/>
                <w:szCs w:val="20"/>
              </w:rPr>
            </w:pPr>
            <w:r w:rsidRPr="00826645">
              <w:rPr>
                <w:rFonts w:ascii="Arial" w:hAnsi="Arial" w:cs="Arial"/>
                <w:sz w:val="20"/>
                <w:szCs w:val="20"/>
              </w:rPr>
              <w:t> </w:t>
            </w:r>
          </w:p>
        </w:tc>
      </w:tr>
      <w:tr w:rsidR="0010219D" w:rsidRPr="00826645" w:rsidTr="004D4632">
        <w:trPr>
          <w:trHeight w:val="300"/>
          <w:jc w:val="center"/>
        </w:trPr>
        <w:tc>
          <w:tcPr>
            <w:tcW w:w="272" w:type="dxa"/>
            <w:tcBorders>
              <w:top w:val="nil"/>
              <w:left w:val="single" w:sz="4" w:space="0" w:color="auto"/>
              <w:bottom w:val="nil"/>
              <w:right w:val="nil"/>
            </w:tcBorders>
            <w:shd w:val="clear" w:color="000000" w:fill="FFFFFF"/>
            <w:noWrap/>
            <w:vAlign w:val="bottom"/>
            <w:hideMark/>
          </w:tcPr>
          <w:p w:rsidR="0010219D" w:rsidRPr="00826645" w:rsidRDefault="0010219D" w:rsidP="0010219D">
            <w:pPr>
              <w:rPr>
                <w:rFonts w:ascii="Arial" w:hAnsi="Arial" w:cs="Arial"/>
                <w:sz w:val="20"/>
                <w:szCs w:val="20"/>
              </w:rPr>
            </w:pPr>
            <w:r w:rsidRPr="00826645">
              <w:rPr>
                <w:rFonts w:ascii="Arial" w:hAnsi="Arial" w:cs="Arial"/>
                <w:sz w:val="20"/>
                <w:szCs w:val="20"/>
              </w:rPr>
              <w:t> </w:t>
            </w:r>
          </w:p>
        </w:tc>
        <w:tc>
          <w:tcPr>
            <w:tcW w:w="6095" w:type="dxa"/>
            <w:gridSpan w:val="2"/>
            <w:tcBorders>
              <w:top w:val="nil"/>
              <w:left w:val="nil"/>
              <w:bottom w:val="nil"/>
              <w:right w:val="nil"/>
            </w:tcBorders>
            <w:shd w:val="clear" w:color="000000" w:fill="FFFFFF"/>
            <w:noWrap/>
            <w:vAlign w:val="bottom"/>
            <w:hideMark/>
          </w:tcPr>
          <w:p w:rsidR="0010219D" w:rsidRPr="00826645" w:rsidRDefault="0010219D" w:rsidP="0010219D">
            <w:pPr>
              <w:rPr>
                <w:rFonts w:ascii="Arial" w:hAnsi="Arial" w:cs="Arial"/>
                <w:sz w:val="20"/>
                <w:szCs w:val="20"/>
              </w:rPr>
            </w:pPr>
            <w:r w:rsidRPr="00826645">
              <w:rPr>
                <w:rFonts w:ascii="Arial" w:hAnsi="Arial" w:cs="Arial"/>
                <w:sz w:val="20"/>
                <w:szCs w:val="20"/>
              </w:rPr>
              <w:t> </w:t>
            </w:r>
          </w:p>
        </w:tc>
        <w:tc>
          <w:tcPr>
            <w:tcW w:w="1986" w:type="dxa"/>
            <w:gridSpan w:val="2"/>
            <w:tcBorders>
              <w:top w:val="nil"/>
              <w:left w:val="nil"/>
              <w:bottom w:val="nil"/>
              <w:right w:val="nil"/>
            </w:tcBorders>
            <w:shd w:val="clear" w:color="000000" w:fill="FFFFFF"/>
            <w:noWrap/>
            <w:vAlign w:val="center"/>
            <w:hideMark/>
          </w:tcPr>
          <w:p w:rsidR="0010219D" w:rsidRPr="00826645" w:rsidRDefault="0010219D" w:rsidP="0010219D">
            <w:pPr>
              <w:jc w:val="center"/>
              <w:rPr>
                <w:rFonts w:ascii="Arial" w:hAnsi="Arial" w:cs="Arial"/>
                <w:sz w:val="20"/>
                <w:szCs w:val="20"/>
              </w:rPr>
            </w:pPr>
            <w:r w:rsidRPr="00826645">
              <w:rPr>
                <w:rFonts w:ascii="Arial" w:hAnsi="Arial" w:cs="Arial"/>
                <w:sz w:val="20"/>
                <w:szCs w:val="20"/>
              </w:rPr>
              <w:t> </w:t>
            </w:r>
          </w:p>
        </w:tc>
        <w:tc>
          <w:tcPr>
            <w:tcW w:w="285" w:type="dxa"/>
            <w:tcBorders>
              <w:top w:val="nil"/>
              <w:left w:val="nil"/>
              <w:bottom w:val="nil"/>
              <w:right w:val="single" w:sz="4" w:space="0" w:color="auto"/>
            </w:tcBorders>
            <w:shd w:val="clear" w:color="000000" w:fill="FFFFFF"/>
            <w:noWrap/>
            <w:vAlign w:val="bottom"/>
            <w:hideMark/>
          </w:tcPr>
          <w:p w:rsidR="0010219D" w:rsidRPr="00826645" w:rsidRDefault="0010219D" w:rsidP="0010219D">
            <w:pPr>
              <w:rPr>
                <w:rFonts w:ascii="Arial" w:hAnsi="Arial" w:cs="Arial"/>
                <w:sz w:val="20"/>
                <w:szCs w:val="20"/>
              </w:rPr>
            </w:pPr>
            <w:r w:rsidRPr="00826645">
              <w:rPr>
                <w:rFonts w:ascii="Arial" w:hAnsi="Arial" w:cs="Arial"/>
                <w:sz w:val="20"/>
                <w:szCs w:val="20"/>
              </w:rPr>
              <w:t> </w:t>
            </w:r>
          </w:p>
        </w:tc>
      </w:tr>
      <w:tr w:rsidR="0010219D" w:rsidRPr="00826645" w:rsidTr="004D4632">
        <w:trPr>
          <w:trHeight w:val="300"/>
          <w:jc w:val="center"/>
        </w:trPr>
        <w:tc>
          <w:tcPr>
            <w:tcW w:w="272" w:type="dxa"/>
            <w:tcBorders>
              <w:top w:val="single" w:sz="4" w:space="0" w:color="000000"/>
              <w:left w:val="single" w:sz="4" w:space="0" w:color="auto"/>
              <w:bottom w:val="nil"/>
              <w:right w:val="nil"/>
            </w:tcBorders>
            <w:shd w:val="clear" w:color="000000" w:fill="FFFFFF"/>
            <w:noWrap/>
            <w:vAlign w:val="bottom"/>
            <w:hideMark/>
          </w:tcPr>
          <w:p w:rsidR="0010219D" w:rsidRPr="00826645" w:rsidRDefault="0010219D" w:rsidP="0010219D">
            <w:pPr>
              <w:jc w:val="center"/>
              <w:rPr>
                <w:sz w:val="22"/>
                <w:szCs w:val="22"/>
              </w:rPr>
            </w:pPr>
            <w:r w:rsidRPr="00826645">
              <w:rPr>
                <w:sz w:val="22"/>
                <w:szCs w:val="22"/>
              </w:rPr>
              <w:t> </w:t>
            </w:r>
          </w:p>
        </w:tc>
        <w:tc>
          <w:tcPr>
            <w:tcW w:w="6095" w:type="dxa"/>
            <w:gridSpan w:val="2"/>
            <w:tcBorders>
              <w:top w:val="single" w:sz="4" w:space="0" w:color="000000"/>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986" w:type="dxa"/>
            <w:gridSpan w:val="2"/>
            <w:tcBorders>
              <w:top w:val="single" w:sz="4" w:space="0" w:color="000000"/>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285" w:type="dxa"/>
            <w:tcBorders>
              <w:top w:val="single" w:sz="4" w:space="0" w:color="000000"/>
              <w:left w:val="nil"/>
              <w:bottom w:val="nil"/>
              <w:right w:val="single" w:sz="4" w:space="0" w:color="auto"/>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r>
      <w:tr w:rsidR="0010219D" w:rsidRPr="00826645" w:rsidTr="004D4632">
        <w:trPr>
          <w:trHeight w:val="300"/>
          <w:jc w:val="center"/>
        </w:trPr>
        <w:tc>
          <w:tcPr>
            <w:tcW w:w="272" w:type="dxa"/>
            <w:tcBorders>
              <w:top w:val="nil"/>
              <w:left w:val="single" w:sz="4" w:space="0" w:color="auto"/>
              <w:bottom w:val="nil"/>
              <w:right w:val="nil"/>
            </w:tcBorders>
            <w:shd w:val="clear" w:color="000000" w:fill="FFFFFF"/>
            <w:noWrap/>
            <w:vAlign w:val="bottom"/>
            <w:hideMark/>
          </w:tcPr>
          <w:p w:rsidR="0010219D" w:rsidRPr="00826645" w:rsidRDefault="0010219D" w:rsidP="0010219D">
            <w:pPr>
              <w:jc w:val="center"/>
              <w:rPr>
                <w:sz w:val="22"/>
                <w:szCs w:val="22"/>
              </w:rPr>
            </w:pPr>
            <w:r w:rsidRPr="00826645">
              <w:rPr>
                <w:sz w:val="22"/>
                <w:szCs w:val="22"/>
              </w:rPr>
              <w:t> </w:t>
            </w:r>
          </w:p>
        </w:tc>
        <w:tc>
          <w:tcPr>
            <w:tcW w:w="6095" w:type="dxa"/>
            <w:gridSpan w:val="2"/>
            <w:tcBorders>
              <w:top w:val="nil"/>
              <w:left w:val="nil"/>
              <w:bottom w:val="nil"/>
              <w:right w:val="nil"/>
            </w:tcBorders>
            <w:shd w:val="clear" w:color="000000" w:fill="FFFFFF"/>
            <w:noWrap/>
            <w:vAlign w:val="bottom"/>
            <w:hideMark/>
          </w:tcPr>
          <w:p w:rsidR="0010219D" w:rsidRPr="00826645" w:rsidRDefault="0010219D" w:rsidP="0010219D">
            <w:pPr>
              <w:rPr>
                <w:b/>
                <w:bCs/>
                <w:sz w:val="22"/>
                <w:szCs w:val="22"/>
              </w:rPr>
            </w:pPr>
            <w:r w:rsidRPr="00826645">
              <w:rPr>
                <w:b/>
                <w:bCs/>
                <w:sz w:val="22"/>
                <w:szCs w:val="22"/>
              </w:rPr>
              <w:t>Accumulated Depreciation</w:t>
            </w:r>
          </w:p>
        </w:tc>
        <w:tc>
          <w:tcPr>
            <w:tcW w:w="1986" w:type="dxa"/>
            <w:gridSpan w:val="2"/>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285" w:type="dxa"/>
            <w:tcBorders>
              <w:top w:val="nil"/>
              <w:left w:val="nil"/>
              <w:bottom w:val="nil"/>
              <w:right w:val="single" w:sz="4" w:space="0" w:color="auto"/>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r>
      <w:tr w:rsidR="0010219D" w:rsidRPr="00826645" w:rsidTr="004D4632">
        <w:trPr>
          <w:trHeight w:val="300"/>
          <w:jc w:val="center"/>
        </w:trPr>
        <w:tc>
          <w:tcPr>
            <w:tcW w:w="272" w:type="dxa"/>
            <w:tcBorders>
              <w:top w:val="nil"/>
              <w:left w:val="single" w:sz="4" w:space="0" w:color="auto"/>
              <w:bottom w:val="nil"/>
              <w:right w:val="nil"/>
            </w:tcBorders>
            <w:shd w:val="clear" w:color="000000" w:fill="FFFFFF"/>
            <w:noWrap/>
            <w:vAlign w:val="bottom"/>
            <w:hideMark/>
          </w:tcPr>
          <w:p w:rsidR="0010219D" w:rsidRPr="00826645" w:rsidRDefault="0010219D" w:rsidP="0010219D">
            <w:pPr>
              <w:jc w:val="center"/>
              <w:rPr>
                <w:sz w:val="22"/>
                <w:szCs w:val="22"/>
              </w:rPr>
            </w:pPr>
            <w:r w:rsidRPr="00826645">
              <w:rPr>
                <w:sz w:val="22"/>
                <w:szCs w:val="22"/>
              </w:rPr>
              <w:t> </w:t>
            </w:r>
          </w:p>
        </w:tc>
        <w:tc>
          <w:tcPr>
            <w:tcW w:w="6095" w:type="dxa"/>
            <w:gridSpan w:val="2"/>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To reflect appropriate level of accumulated depreciation.</w:t>
            </w:r>
          </w:p>
        </w:tc>
        <w:tc>
          <w:tcPr>
            <w:tcW w:w="1986" w:type="dxa"/>
            <w:gridSpan w:val="2"/>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u w:val="double"/>
              </w:rPr>
            </w:pPr>
            <w:r w:rsidRPr="00826645">
              <w:rPr>
                <w:sz w:val="22"/>
                <w:szCs w:val="22"/>
                <w:u w:val="double"/>
              </w:rPr>
              <w:t xml:space="preserve">$262,032 </w:t>
            </w:r>
          </w:p>
        </w:tc>
        <w:tc>
          <w:tcPr>
            <w:tcW w:w="285" w:type="dxa"/>
            <w:tcBorders>
              <w:top w:val="nil"/>
              <w:left w:val="nil"/>
              <w:bottom w:val="nil"/>
              <w:right w:val="single" w:sz="4" w:space="0" w:color="auto"/>
            </w:tcBorders>
            <w:shd w:val="clear" w:color="000000" w:fill="FFFFFF"/>
            <w:noWrap/>
            <w:vAlign w:val="bottom"/>
            <w:hideMark/>
          </w:tcPr>
          <w:p w:rsidR="0010219D" w:rsidRPr="00826645" w:rsidRDefault="0010219D" w:rsidP="0010219D">
            <w:pPr>
              <w:rPr>
                <w:sz w:val="22"/>
                <w:szCs w:val="22"/>
                <w:u w:val="double"/>
              </w:rPr>
            </w:pPr>
            <w:r w:rsidRPr="00826645">
              <w:rPr>
                <w:sz w:val="22"/>
                <w:szCs w:val="22"/>
                <w:u w:val="double"/>
              </w:rPr>
              <w:t> </w:t>
            </w:r>
          </w:p>
        </w:tc>
      </w:tr>
      <w:tr w:rsidR="0010219D" w:rsidRPr="00826645" w:rsidTr="004D4632">
        <w:trPr>
          <w:trHeight w:val="300"/>
          <w:jc w:val="center"/>
        </w:trPr>
        <w:tc>
          <w:tcPr>
            <w:tcW w:w="272" w:type="dxa"/>
            <w:tcBorders>
              <w:top w:val="nil"/>
              <w:left w:val="single" w:sz="4" w:space="0" w:color="auto"/>
              <w:bottom w:val="nil"/>
              <w:right w:val="nil"/>
            </w:tcBorders>
            <w:shd w:val="clear" w:color="000000" w:fill="FFFFFF"/>
            <w:noWrap/>
            <w:vAlign w:val="bottom"/>
            <w:hideMark/>
          </w:tcPr>
          <w:p w:rsidR="0010219D" w:rsidRPr="00826645" w:rsidRDefault="0010219D" w:rsidP="0010219D">
            <w:pPr>
              <w:jc w:val="center"/>
              <w:rPr>
                <w:sz w:val="22"/>
                <w:szCs w:val="22"/>
              </w:rPr>
            </w:pPr>
            <w:r w:rsidRPr="00826645">
              <w:rPr>
                <w:sz w:val="22"/>
                <w:szCs w:val="22"/>
              </w:rPr>
              <w:t> </w:t>
            </w:r>
          </w:p>
        </w:tc>
        <w:tc>
          <w:tcPr>
            <w:tcW w:w="6095" w:type="dxa"/>
            <w:gridSpan w:val="2"/>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986" w:type="dxa"/>
            <w:gridSpan w:val="2"/>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285" w:type="dxa"/>
            <w:tcBorders>
              <w:top w:val="nil"/>
              <w:left w:val="nil"/>
              <w:bottom w:val="nil"/>
              <w:right w:val="single" w:sz="4" w:space="0" w:color="auto"/>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r>
      <w:tr w:rsidR="0010219D" w:rsidRPr="00826645" w:rsidTr="004D4632">
        <w:trPr>
          <w:trHeight w:val="300"/>
          <w:jc w:val="center"/>
        </w:trPr>
        <w:tc>
          <w:tcPr>
            <w:tcW w:w="272" w:type="dxa"/>
            <w:tcBorders>
              <w:top w:val="nil"/>
              <w:left w:val="single" w:sz="4" w:space="0" w:color="auto"/>
              <w:bottom w:val="nil"/>
              <w:right w:val="nil"/>
            </w:tcBorders>
            <w:shd w:val="clear" w:color="000000" w:fill="FFFFFF"/>
            <w:noWrap/>
            <w:vAlign w:val="bottom"/>
            <w:hideMark/>
          </w:tcPr>
          <w:p w:rsidR="0010219D" w:rsidRPr="00826645" w:rsidRDefault="0010219D" w:rsidP="0010219D">
            <w:pPr>
              <w:jc w:val="center"/>
              <w:rPr>
                <w:sz w:val="22"/>
                <w:szCs w:val="22"/>
              </w:rPr>
            </w:pPr>
            <w:r w:rsidRPr="00826645">
              <w:rPr>
                <w:sz w:val="22"/>
                <w:szCs w:val="22"/>
              </w:rPr>
              <w:t> </w:t>
            </w:r>
          </w:p>
        </w:tc>
        <w:tc>
          <w:tcPr>
            <w:tcW w:w="6095" w:type="dxa"/>
            <w:gridSpan w:val="2"/>
            <w:tcBorders>
              <w:top w:val="nil"/>
              <w:left w:val="nil"/>
              <w:bottom w:val="nil"/>
              <w:right w:val="nil"/>
            </w:tcBorders>
            <w:shd w:val="clear" w:color="000000" w:fill="FFFFFF"/>
            <w:noWrap/>
            <w:vAlign w:val="bottom"/>
            <w:hideMark/>
          </w:tcPr>
          <w:p w:rsidR="0010219D" w:rsidRPr="00826645" w:rsidRDefault="0010219D" w:rsidP="0010219D">
            <w:pPr>
              <w:rPr>
                <w:b/>
                <w:bCs/>
                <w:sz w:val="22"/>
                <w:szCs w:val="22"/>
              </w:rPr>
            </w:pPr>
            <w:r w:rsidRPr="00826645">
              <w:rPr>
                <w:b/>
                <w:bCs/>
                <w:sz w:val="22"/>
                <w:szCs w:val="22"/>
              </w:rPr>
              <w:t>CIAC</w:t>
            </w:r>
          </w:p>
        </w:tc>
        <w:tc>
          <w:tcPr>
            <w:tcW w:w="1986" w:type="dxa"/>
            <w:gridSpan w:val="2"/>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285" w:type="dxa"/>
            <w:tcBorders>
              <w:top w:val="nil"/>
              <w:left w:val="nil"/>
              <w:bottom w:val="nil"/>
              <w:right w:val="single" w:sz="4" w:space="0" w:color="auto"/>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r>
      <w:tr w:rsidR="0010219D" w:rsidRPr="00826645" w:rsidTr="004D4632">
        <w:trPr>
          <w:trHeight w:val="300"/>
          <w:jc w:val="center"/>
        </w:trPr>
        <w:tc>
          <w:tcPr>
            <w:tcW w:w="272" w:type="dxa"/>
            <w:tcBorders>
              <w:top w:val="nil"/>
              <w:left w:val="single" w:sz="4" w:space="0" w:color="auto"/>
              <w:bottom w:val="nil"/>
              <w:right w:val="nil"/>
            </w:tcBorders>
            <w:shd w:val="clear" w:color="000000" w:fill="FFFFFF"/>
            <w:noWrap/>
            <w:vAlign w:val="bottom"/>
            <w:hideMark/>
          </w:tcPr>
          <w:p w:rsidR="0010219D" w:rsidRPr="00826645" w:rsidRDefault="0010219D" w:rsidP="0010219D">
            <w:pPr>
              <w:jc w:val="center"/>
              <w:rPr>
                <w:sz w:val="22"/>
                <w:szCs w:val="22"/>
              </w:rPr>
            </w:pPr>
            <w:r w:rsidRPr="00826645">
              <w:rPr>
                <w:sz w:val="22"/>
                <w:szCs w:val="22"/>
              </w:rPr>
              <w:t> </w:t>
            </w:r>
          </w:p>
        </w:tc>
        <w:tc>
          <w:tcPr>
            <w:tcW w:w="6095" w:type="dxa"/>
            <w:gridSpan w:val="2"/>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To reflect appropriate level of CIAC.</w:t>
            </w:r>
          </w:p>
        </w:tc>
        <w:tc>
          <w:tcPr>
            <w:tcW w:w="1986" w:type="dxa"/>
            <w:gridSpan w:val="2"/>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u w:val="double"/>
              </w:rPr>
            </w:pPr>
            <w:r w:rsidRPr="00826645">
              <w:rPr>
                <w:sz w:val="22"/>
                <w:szCs w:val="22"/>
                <w:u w:val="double"/>
              </w:rPr>
              <w:t>($397,062)</w:t>
            </w:r>
          </w:p>
        </w:tc>
        <w:tc>
          <w:tcPr>
            <w:tcW w:w="285" w:type="dxa"/>
            <w:tcBorders>
              <w:top w:val="nil"/>
              <w:left w:val="nil"/>
              <w:bottom w:val="nil"/>
              <w:right w:val="single" w:sz="4" w:space="0" w:color="auto"/>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r>
      <w:tr w:rsidR="0010219D" w:rsidRPr="00826645" w:rsidTr="004D4632">
        <w:trPr>
          <w:trHeight w:val="300"/>
          <w:jc w:val="center"/>
        </w:trPr>
        <w:tc>
          <w:tcPr>
            <w:tcW w:w="272" w:type="dxa"/>
            <w:tcBorders>
              <w:top w:val="nil"/>
              <w:left w:val="single" w:sz="4" w:space="0" w:color="auto"/>
              <w:bottom w:val="nil"/>
              <w:right w:val="nil"/>
            </w:tcBorders>
            <w:shd w:val="clear" w:color="000000" w:fill="FFFFFF"/>
            <w:noWrap/>
            <w:vAlign w:val="bottom"/>
            <w:hideMark/>
          </w:tcPr>
          <w:p w:rsidR="0010219D" w:rsidRPr="00826645" w:rsidRDefault="0010219D" w:rsidP="0010219D">
            <w:pPr>
              <w:jc w:val="center"/>
              <w:rPr>
                <w:sz w:val="22"/>
                <w:szCs w:val="22"/>
              </w:rPr>
            </w:pPr>
            <w:r w:rsidRPr="00826645">
              <w:rPr>
                <w:sz w:val="22"/>
                <w:szCs w:val="22"/>
              </w:rPr>
              <w:t> </w:t>
            </w:r>
          </w:p>
        </w:tc>
        <w:tc>
          <w:tcPr>
            <w:tcW w:w="6095" w:type="dxa"/>
            <w:gridSpan w:val="2"/>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986" w:type="dxa"/>
            <w:gridSpan w:val="2"/>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285" w:type="dxa"/>
            <w:tcBorders>
              <w:top w:val="nil"/>
              <w:left w:val="nil"/>
              <w:bottom w:val="nil"/>
              <w:right w:val="single" w:sz="4" w:space="0" w:color="auto"/>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r>
      <w:tr w:rsidR="0010219D" w:rsidRPr="00826645" w:rsidTr="004D4632">
        <w:trPr>
          <w:trHeight w:val="300"/>
          <w:jc w:val="center"/>
        </w:trPr>
        <w:tc>
          <w:tcPr>
            <w:tcW w:w="272" w:type="dxa"/>
            <w:tcBorders>
              <w:top w:val="nil"/>
              <w:left w:val="single" w:sz="4" w:space="0" w:color="auto"/>
              <w:bottom w:val="nil"/>
              <w:right w:val="nil"/>
            </w:tcBorders>
            <w:shd w:val="clear" w:color="000000" w:fill="FFFFFF"/>
            <w:noWrap/>
            <w:vAlign w:val="bottom"/>
            <w:hideMark/>
          </w:tcPr>
          <w:p w:rsidR="0010219D" w:rsidRPr="00826645" w:rsidRDefault="0010219D" w:rsidP="0010219D">
            <w:pPr>
              <w:jc w:val="center"/>
              <w:rPr>
                <w:sz w:val="22"/>
                <w:szCs w:val="22"/>
              </w:rPr>
            </w:pPr>
            <w:r w:rsidRPr="00826645">
              <w:rPr>
                <w:sz w:val="22"/>
                <w:szCs w:val="22"/>
              </w:rPr>
              <w:t> </w:t>
            </w:r>
          </w:p>
        </w:tc>
        <w:tc>
          <w:tcPr>
            <w:tcW w:w="6095" w:type="dxa"/>
            <w:gridSpan w:val="2"/>
            <w:tcBorders>
              <w:top w:val="nil"/>
              <w:left w:val="nil"/>
              <w:bottom w:val="nil"/>
              <w:right w:val="nil"/>
            </w:tcBorders>
            <w:shd w:val="clear" w:color="000000" w:fill="FFFFFF"/>
            <w:noWrap/>
            <w:vAlign w:val="bottom"/>
            <w:hideMark/>
          </w:tcPr>
          <w:p w:rsidR="0010219D" w:rsidRPr="00826645" w:rsidRDefault="0010219D" w:rsidP="0010219D">
            <w:pPr>
              <w:rPr>
                <w:b/>
                <w:bCs/>
                <w:sz w:val="22"/>
                <w:szCs w:val="22"/>
              </w:rPr>
            </w:pPr>
            <w:r w:rsidRPr="00826645">
              <w:rPr>
                <w:b/>
                <w:bCs/>
                <w:sz w:val="22"/>
                <w:szCs w:val="22"/>
              </w:rPr>
              <w:t>Accumulated Amortization of CIAC</w:t>
            </w:r>
          </w:p>
        </w:tc>
        <w:tc>
          <w:tcPr>
            <w:tcW w:w="1986" w:type="dxa"/>
            <w:gridSpan w:val="2"/>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285" w:type="dxa"/>
            <w:tcBorders>
              <w:top w:val="nil"/>
              <w:left w:val="nil"/>
              <w:bottom w:val="nil"/>
              <w:right w:val="single" w:sz="4" w:space="0" w:color="auto"/>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r>
      <w:tr w:rsidR="0010219D" w:rsidRPr="00826645" w:rsidTr="004D4632">
        <w:trPr>
          <w:trHeight w:val="300"/>
          <w:jc w:val="center"/>
        </w:trPr>
        <w:tc>
          <w:tcPr>
            <w:tcW w:w="272" w:type="dxa"/>
            <w:tcBorders>
              <w:top w:val="nil"/>
              <w:left w:val="single" w:sz="4" w:space="0" w:color="auto"/>
              <w:bottom w:val="nil"/>
              <w:right w:val="nil"/>
            </w:tcBorders>
            <w:shd w:val="clear" w:color="000000" w:fill="FFFFFF"/>
            <w:noWrap/>
            <w:vAlign w:val="bottom"/>
            <w:hideMark/>
          </w:tcPr>
          <w:p w:rsidR="0010219D" w:rsidRPr="00826645" w:rsidRDefault="0010219D" w:rsidP="0010219D">
            <w:pPr>
              <w:jc w:val="center"/>
              <w:rPr>
                <w:sz w:val="22"/>
                <w:szCs w:val="22"/>
              </w:rPr>
            </w:pPr>
            <w:r w:rsidRPr="00826645">
              <w:rPr>
                <w:sz w:val="22"/>
                <w:szCs w:val="22"/>
              </w:rPr>
              <w:t> </w:t>
            </w:r>
          </w:p>
        </w:tc>
        <w:tc>
          <w:tcPr>
            <w:tcW w:w="6095" w:type="dxa"/>
            <w:gridSpan w:val="2"/>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To reflect appropriate level of accumulated amortization of CIAC.</w:t>
            </w:r>
          </w:p>
        </w:tc>
        <w:tc>
          <w:tcPr>
            <w:tcW w:w="1986" w:type="dxa"/>
            <w:gridSpan w:val="2"/>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u w:val="double"/>
              </w:rPr>
            </w:pPr>
            <w:r w:rsidRPr="00826645">
              <w:rPr>
                <w:sz w:val="22"/>
                <w:szCs w:val="22"/>
                <w:u w:val="double"/>
              </w:rPr>
              <w:t>($473,757)</w:t>
            </w:r>
          </w:p>
        </w:tc>
        <w:tc>
          <w:tcPr>
            <w:tcW w:w="285" w:type="dxa"/>
            <w:tcBorders>
              <w:top w:val="nil"/>
              <w:left w:val="nil"/>
              <w:bottom w:val="nil"/>
              <w:right w:val="single" w:sz="4" w:space="0" w:color="auto"/>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r>
      <w:tr w:rsidR="0010219D" w:rsidRPr="00826645" w:rsidTr="004D4632">
        <w:trPr>
          <w:trHeight w:val="300"/>
          <w:jc w:val="center"/>
        </w:trPr>
        <w:tc>
          <w:tcPr>
            <w:tcW w:w="272" w:type="dxa"/>
            <w:tcBorders>
              <w:top w:val="nil"/>
              <w:left w:val="single" w:sz="4" w:space="0" w:color="auto"/>
              <w:bottom w:val="nil"/>
              <w:right w:val="nil"/>
            </w:tcBorders>
            <w:shd w:val="clear" w:color="000000" w:fill="FFFFFF"/>
            <w:noWrap/>
            <w:vAlign w:val="bottom"/>
          </w:tcPr>
          <w:p w:rsidR="0010219D" w:rsidRPr="00826645" w:rsidRDefault="0010219D" w:rsidP="0010219D">
            <w:pPr>
              <w:jc w:val="center"/>
              <w:rPr>
                <w:sz w:val="22"/>
                <w:szCs w:val="22"/>
              </w:rPr>
            </w:pPr>
          </w:p>
        </w:tc>
        <w:tc>
          <w:tcPr>
            <w:tcW w:w="6095" w:type="dxa"/>
            <w:gridSpan w:val="2"/>
            <w:tcBorders>
              <w:top w:val="nil"/>
              <w:left w:val="nil"/>
              <w:bottom w:val="nil"/>
              <w:right w:val="nil"/>
            </w:tcBorders>
            <w:shd w:val="clear" w:color="000000" w:fill="FFFFFF"/>
            <w:noWrap/>
            <w:vAlign w:val="bottom"/>
          </w:tcPr>
          <w:p w:rsidR="0010219D" w:rsidRPr="00826645" w:rsidRDefault="0010219D" w:rsidP="0010219D">
            <w:pPr>
              <w:rPr>
                <w:sz w:val="22"/>
                <w:szCs w:val="22"/>
              </w:rPr>
            </w:pPr>
          </w:p>
        </w:tc>
        <w:tc>
          <w:tcPr>
            <w:tcW w:w="1986" w:type="dxa"/>
            <w:gridSpan w:val="2"/>
            <w:tcBorders>
              <w:top w:val="nil"/>
              <w:left w:val="nil"/>
              <w:bottom w:val="nil"/>
              <w:right w:val="nil"/>
            </w:tcBorders>
            <w:shd w:val="clear" w:color="000000" w:fill="FFFFFF"/>
            <w:noWrap/>
            <w:vAlign w:val="bottom"/>
          </w:tcPr>
          <w:p w:rsidR="0010219D" w:rsidRPr="00826645" w:rsidRDefault="0010219D" w:rsidP="0010219D">
            <w:pPr>
              <w:jc w:val="right"/>
              <w:rPr>
                <w:sz w:val="22"/>
                <w:szCs w:val="22"/>
                <w:u w:val="double"/>
              </w:rPr>
            </w:pPr>
          </w:p>
        </w:tc>
        <w:tc>
          <w:tcPr>
            <w:tcW w:w="285" w:type="dxa"/>
            <w:tcBorders>
              <w:top w:val="nil"/>
              <w:left w:val="nil"/>
              <w:bottom w:val="nil"/>
              <w:right w:val="single" w:sz="4" w:space="0" w:color="auto"/>
            </w:tcBorders>
            <w:shd w:val="clear" w:color="000000" w:fill="FFFFFF"/>
            <w:noWrap/>
            <w:vAlign w:val="bottom"/>
          </w:tcPr>
          <w:p w:rsidR="0010219D" w:rsidRPr="00826645" w:rsidRDefault="0010219D" w:rsidP="0010219D">
            <w:pPr>
              <w:rPr>
                <w:sz w:val="22"/>
                <w:szCs w:val="22"/>
              </w:rPr>
            </w:pPr>
          </w:p>
        </w:tc>
      </w:tr>
      <w:tr w:rsidR="0010219D" w:rsidRPr="00826645" w:rsidTr="004D4632">
        <w:trPr>
          <w:trHeight w:val="300"/>
          <w:jc w:val="center"/>
        </w:trPr>
        <w:tc>
          <w:tcPr>
            <w:tcW w:w="272" w:type="dxa"/>
            <w:tcBorders>
              <w:top w:val="nil"/>
              <w:left w:val="single" w:sz="4" w:space="0" w:color="auto"/>
              <w:bottom w:val="nil"/>
              <w:right w:val="nil"/>
            </w:tcBorders>
            <w:shd w:val="clear" w:color="000000" w:fill="FFFFFF"/>
            <w:noWrap/>
            <w:vAlign w:val="bottom"/>
          </w:tcPr>
          <w:p w:rsidR="0010219D" w:rsidRPr="00826645" w:rsidRDefault="0010219D" w:rsidP="0010219D">
            <w:pPr>
              <w:jc w:val="center"/>
              <w:rPr>
                <w:sz w:val="22"/>
                <w:szCs w:val="22"/>
              </w:rPr>
            </w:pPr>
          </w:p>
        </w:tc>
        <w:tc>
          <w:tcPr>
            <w:tcW w:w="6095" w:type="dxa"/>
            <w:gridSpan w:val="2"/>
            <w:tcBorders>
              <w:top w:val="nil"/>
              <w:left w:val="nil"/>
              <w:bottom w:val="nil"/>
              <w:right w:val="nil"/>
            </w:tcBorders>
            <w:shd w:val="clear" w:color="000000" w:fill="FFFFFF"/>
            <w:noWrap/>
            <w:vAlign w:val="bottom"/>
          </w:tcPr>
          <w:p w:rsidR="0010219D" w:rsidRPr="00826645" w:rsidRDefault="0010219D" w:rsidP="0010219D">
            <w:pPr>
              <w:rPr>
                <w:sz w:val="22"/>
                <w:szCs w:val="22"/>
              </w:rPr>
            </w:pPr>
            <w:r w:rsidRPr="00826645">
              <w:rPr>
                <w:b/>
                <w:bCs/>
                <w:sz w:val="22"/>
                <w:szCs w:val="22"/>
              </w:rPr>
              <w:t>Working Capital</w:t>
            </w:r>
          </w:p>
        </w:tc>
        <w:tc>
          <w:tcPr>
            <w:tcW w:w="1986" w:type="dxa"/>
            <w:gridSpan w:val="2"/>
            <w:tcBorders>
              <w:top w:val="nil"/>
              <w:left w:val="nil"/>
              <w:bottom w:val="nil"/>
              <w:right w:val="nil"/>
            </w:tcBorders>
            <w:shd w:val="clear" w:color="000000" w:fill="FFFFFF"/>
            <w:noWrap/>
            <w:vAlign w:val="bottom"/>
          </w:tcPr>
          <w:p w:rsidR="0010219D" w:rsidRPr="00826645" w:rsidRDefault="0010219D" w:rsidP="0010219D">
            <w:pPr>
              <w:jc w:val="right"/>
              <w:rPr>
                <w:sz w:val="22"/>
                <w:szCs w:val="22"/>
                <w:u w:val="double"/>
              </w:rPr>
            </w:pPr>
          </w:p>
        </w:tc>
        <w:tc>
          <w:tcPr>
            <w:tcW w:w="285" w:type="dxa"/>
            <w:tcBorders>
              <w:top w:val="nil"/>
              <w:left w:val="nil"/>
              <w:bottom w:val="nil"/>
              <w:right w:val="single" w:sz="4" w:space="0" w:color="auto"/>
            </w:tcBorders>
            <w:shd w:val="clear" w:color="000000" w:fill="FFFFFF"/>
            <w:noWrap/>
            <w:vAlign w:val="bottom"/>
          </w:tcPr>
          <w:p w:rsidR="0010219D" w:rsidRPr="00826645" w:rsidRDefault="0010219D" w:rsidP="0010219D">
            <w:pPr>
              <w:rPr>
                <w:sz w:val="22"/>
                <w:szCs w:val="22"/>
              </w:rPr>
            </w:pPr>
          </w:p>
        </w:tc>
      </w:tr>
      <w:tr w:rsidR="0010219D" w:rsidRPr="00826645" w:rsidTr="004D4632">
        <w:trPr>
          <w:trHeight w:val="300"/>
          <w:jc w:val="center"/>
        </w:trPr>
        <w:tc>
          <w:tcPr>
            <w:tcW w:w="272" w:type="dxa"/>
            <w:tcBorders>
              <w:top w:val="nil"/>
              <w:left w:val="single" w:sz="4" w:space="0" w:color="auto"/>
              <w:bottom w:val="nil"/>
              <w:right w:val="nil"/>
            </w:tcBorders>
            <w:shd w:val="clear" w:color="000000" w:fill="FFFFFF"/>
            <w:noWrap/>
            <w:vAlign w:val="bottom"/>
          </w:tcPr>
          <w:p w:rsidR="0010219D" w:rsidRPr="00826645" w:rsidRDefault="0010219D" w:rsidP="0010219D">
            <w:pPr>
              <w:jc w:val="center"/>
              <w:rPr>
                <w:sz w:val="22"/>
                <w:szCs w:val="22"/>
              </w:rPr>
            </w:pPr>
          </w:p>
        </w:tc>
        <w:tc>
          <w:tcPr>
            <w:tcW w:w="6095" w:type="dxa"/>
            <w:gridSpan w:val="2"/>
            <w:tcBorders>
              <w:top w:val="nil"/>
              <w:left w:val="nil"/>
              <w:bottom w:val="nil"/>
              <w:right w:val="nil"/>
            </w:tcBorders>
            <w:shd w:val="clear" w:color="000000" w:fill="FFFFFF"/>
            <w:noWrap/>
            <w:vAlign w:val="bottom"/>
          </w:tcPr>
          <w:p w:rsidR="0010219D" w:rsidRPr="00826645" w:rsidRDefault="0010219D" w:rsidP="0010219D">
            <w:pPr>
              <w:rPr>
                <w:sz w:val="22"/>
                <w:szCs w:val="22"/>
              </w:rPr>
            </w:pPr>
            <w:r w:rsidRPr="00826645">
              <w:rPr>
                <w:sz w:val="22"/>
                <w:szCs w:val="22"/>
              </w:rPr>
              <w:t>To reflect appropriate level of working capital.</w:t>
            </w:r>
          </w:p>
        </w:tc>
        <w:tc>
          <w:tcPr>
            <w:tcW w:w="1986" w:type="dxa"/>
            <w:gridSpan w:val="2"/>
            <w:tcBorders>
              <w:top w:val="nil"/>
              <w:left w:val="nil"/>
              <w:bottom w:val="nil"/>
              <w:right w:val="nil"/>
            </w:tcBorders>
            <w:shd w:val="clear" w:color="000000" w:fill="FFFFFF"/>
            <w:noWrap/>
            <w:vAlign w:val="bottom"/>
          </w:tcPr>
          <w:p w:rsidR="0010219D" w:rsidRPr="00826645" w:rsidRDefault="0010219D" w:rsidP="0010219D">
            <w:pPr>
              <w:jc w:val="right"/>
              <w:rPr>
                <w:sz w:val="22"/>
                <w:szCs w:val="22"/>
                <w:u w:val="double"/>
              </w:rPr>
            </w:pPr>
            <w:r w:rsidRPr="00826645">
              <w:rPr>
                <w:sz w:val="22"/>
                <w:szCs w:val="22"/>
                <w:u w:val="double"/>
              </w:rPr>
              <w:t>($263)</w:t>
            </w:r>
          </w:p>
        </w:tc>
        <w:tc>
          <w:tcPr>
            <w:tcW w:w="285" w:type="dxa"/>
            <w:tcBorders>
              <w:top w:val="nil"/>
              <w:left w:val="nil"/>
              <w:bottom w:val="nil"/>
              <w:right w:val="single" w:sz="4" w:space="0" w:color="auto"/>
            </w:tcBorders>
            <w:shd w:val="clear" w:color="000000" w:fill="FFFFFF"/>
            <w:noWrap/>
            <w:vAlign w:val="bottom"/>
          </w:tcPr>
          <w:p w:rsidR="0010219D" w:rsidRPr="00826645" w:rsidRDefault="0010219D" w:rsidP="0010219D">
            <w:pPr>
              <w:rPr>
                <w:sz w:val="22"/>
                <w:szCs w:val="22"/>
              </w:rPr>
            </w:pPr>
          </w:p>
        </w:tc>
      </w:tr>
      <w:tr w:rsidR="0010219D" w:rsidRPr="00826645" w:rsidTr="004D4632">
        <w:trPr>
          <w:trHeight w:val="300"/>
          <w:jc w:val="center"/>
        </w:trPr>
        <w:tc>
          <w:tcPr>
            <w:tcW w:w="272" w:type="dxa"/>
            <w:tcBorders>
              <w:top w:val="nil"/>
              <w:left w:val="single" w:sz="4" w:space="0" w:color="auto"/>
              <w:bottom w:val="single" w:sz="4" w:space="0" w:color="auto"/>
              <w:right w:val="nil"/>
            </w:tcBorders>
            <w:shd w:val="clear" w:color="000000" w:fill="FFFFFF"/>
            <w:noWrap/>
            <w:vAlign w:val="bottom"/>
            <w:hideMark/>
          </w:tcPr>
          <w:p w:rsidR="0010219D" w:rsidRPr="00826645" w:rsidRDefault="0010219D" w:rsidP="0010219D">
            <w:pPr>
              <w:jc w:val="center"/>
              <w:rPr>
                <w:sz w:val="22"/>
                <w:szCs w:val="22"/>
              </w:rPr>
            </w:pPr>
            <w:r w:rsidRPr="00826645">
              <w:rPr>
                <w:sz w:val="22"/>
                <w:szCs w:val="22"/>
              </w:rPr>
              <w:t> </w:t>
            </w:r>
          </w:p>
        </w:tc>
        <w:tc>
          <w:tcPr>
            <w:tcW w:w="6095" w:type="dxa"/>
            <w:gridSpan w:val="2"/>
            <w:tcBorders>
              <w:top w:val="nil"/>
              <w:left w:val="nil"/>
              <w:bottom w:val="single" w:sz="4" w:space="0" w:color="auto"/>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986" w:type="dxa"/>
            <w:gridSpan w:val="2"/>
            <w:tcBorders>
              <w:top w:val="nil"/>
              <w:left w:val="nil"/>
              <w:bottom w:val="single" w:sz="4" w:space="0" w:color="auto"/>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285" w:type="dxa"/>
            <w:tcBorders>
              <w:top w:val="nil"/>
              <w:left w:val="nil"/>
              <w:bottom w:val="single" w:sz="4" w:space="0" w:color="auto"/>
              <w:right w:val="single" w:sz="4" w:space="0" w:color="auto"/>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r>
    </w:tbl>
    <w:p w:rsidR="0010219D" w:rsidRPr="00826645" w:rsidRDefault="0010219D" w:rsidP="004F544E">
      <w:pPr>
        <w:pStyle w:val="OrderBody"/>
      </w:pPr>
    </w:p>
    <w:p w:rsidR="0010219D" w:rsidRPr="00826645" w:rsidRDefault="0010219D" w:rsidP="004F544E">
      <w:pPr>
        <w:pStyle w:val="OrderBody"/>
        <w:sectPr w:rsidR="0010219D" w:rsidRPr="00826645">
          <w:headerReference w:type="first" r:id="rId12"/>
          <w:pgSz w:w="12240" w:h="15840" w:code="1"/>
          <w:pgMar w:top="1440" w:right="1440" w:bottom="1440" w:left="1440" w:header="720" w:footer="720" w:gutter="0"/>
          <w:cols w:space="720"/>
          <w:titlePg/>
          <w:docGrid w:linePitch="360"/>
        </w:sectPr>
      </w:pPr>
    </w:p>
    <w:p w:rsidR="0010219D" w:rsidRPr="00826645" w:rsidRDefault="0010219D" w:rsidP="0010219D">
      <w:pPr>
        <w:spacing w:after="240"/>
        <w:jc w:val="both"/>
      </w:pPr>
    </w:p>
    <w:tbl>
      <w:tblPr>
        <w:tblW w:w="14124" w:type="dxa"/>
        <w:jc w:val="center"/>
        <w:tblLook w:val="04A0" w:firstRow="1" w:lastRow="0" w:firstColumn="1" w:lastColumn="0" w:noHBand="0" w:noVBand="1"/>
      </w:tblPr>
      <w:tblGrid>
        <w:gridCol w:w="436"/>
        <w:gridCol w:w="2443"/>
        <w:gridCol w:w="1296"/>
        <w:gridCol w:w="1136"/>
        <w:gridCol w:w="1524"/>
        <w:gridCol w:w="1530"/>
        <w:gridCol w:w="1846"/>
        <w:gridCol w:w="1260"/>
        <w:gridCol w:w="1260"/>
        <w:gridCol w:w="1121"/>
        <w:gridCol w:w="272"/>
      </w:tblGrid>
      <w:tr w:rsidR="0010219D" w:rsidRPr="00826645" w:rsidTr="004D4632">
        <w:trPr>
          <w:trHeight w:val="300"/>
          <w:jc w:val="center"/>
        </w:trPr>
        <w:tc>
          <w:tcPr>
            <w:tcW w:w="4175" w:type="dxa"/>
            <w:gridSpan w:val="3"/>
            <w:tcBorders>
              <w:top w:val="single" w:sz="4" w:space="0" w:color="auto"/>
              <w:left w:val="single" w:sz="4" w:space="0" w:color="auto"/>
              <w:bottom w:val="nil"/>
              <w:right w:val="nil"/>
            </w:tcBorders>
            <w:shd w:val="clear" w:color="000000" w:fill="FFFFFF"/>
            <w:noWrap/>
            <w:vAlign w:val="bottom"/>
            <w:hideMark/>
          </w:tcPr>
          <w:p w:rsidR="0010219D" w:rsidRPr="00826645" w:rsidRDefault="0010219D" w:rsidP="0010219D">
            <w:pPr>
              <w:rPr>
                <w:rFonts w:ascii="Arial" w:hAnsi="Arial" w:cs="Arial"/>
                <w:b/>
                <w:bCs/>
              </w:rPr>
            </w:pPr>
            <w:bookmarkStart w:id="11" w:name="RANGE!A4:J34"/>
            <w:r w:rsidRPr="00826645">
              <w:rPr>
                <w:rFonts w:ascii="Arial" w:hAnsi="Arial" w:cs="Arial"/>
                <w:b/>
                <w:bCs/>
              </w:rPr>
              <w:t>Riverdale</w:t>
            </w:r>
            <w:bookmarkEnd w:id="11"/>
            <w:r w:rsidRPr="00826645">
              <w:rPr>
                <w:rFonts w:ascii="Arial" w:hAnsi="Arial" w:cs="Arial"/>
                <w:b/>
                <w:bCs/>
              </w:rPr>
              <w:t xml:space="preserve"> Utility Holding, Inc. </w:t>
            </w:r>
          </w:p>
        </w:tc>
        <w:tc>
          <w:tcPr>
            <w:tcW w:w="1136" w:type="dxa"/>
            <w:tcBorders>
              <w:top w:val="single" w:sz="4" w:space="0" w:color="auto"/>
              <w:left w:val="nil"/>
              <w:bottom w:val="nil"/>
              <w:right w:val="nil"/>
            </w:tcBorders>
            <w:shd w:val="clear" w:color="000000" w:fill="FFFFFF"/>
            <w:noWrap/>
            <w:vAlign w:val="bottom"/>
            <w:hideMark/>
          </w:tcPr>
          <w:p w:rsidR="0010219D" w:rsidRPr="00826645" w:rsidRDefault="0010219D" w:rsidP="0010219D">
            <w:pPr>
              <w:rPr>
                <w:rFonts w:ascii="Arial" w:hAnsi="Arial" w:cs="Arial"/>
                <w:b/>
                <w:bCs/>
              </w:rPr>
            </w:pPr>
            <w:r w:rsidRPr="00826645">
              <w:rPr>
                <w:rFonts w:ascii="Arial" w:hAnsi="Arial" w:cs="Arial"/>
                <w:b/>
                <w:bCs/>
              </w:rPr>
              <w:t> </w:t>
            </w:r>
          </w:p>
        </w:tc>
        <w:tc>
          <w:tcPr>
            <w:tcW w:w="1524" w:type="dxa"/>
            <w:tcBorders>
              <w:top w:val="single" w:sz="4" w:space="0" w:color="auto"/>
              <w:left w:val="nil"/>
              <w:bottom w:val="nil"/>
              <w:right w:val="nil"/>
            </w:tcBorders>
            <w:shd w:val="clear" w:color="000000" w:fill="FFFFFF"/>
            <w:noWrap/>
            <w:vAlign w:val="bottom"/>
            <w:hideMark/>
          </w:tcPr>
          <w:p w:rsidR="0010219D" w:rsidRPr="00826645" w:rsidRDefault="0010219D" w:rsidP="0010219D">
            <w:pPr>
              <w:rPr>
                <w:rFonts w:ascii="Arial" w:hAnsi="Arial" w:cs="Arial"/>
                <w:b/>
                <w:bCs/>
              </w:rPr>
            </w:pPr>
            <w:r w:rsidRPr="00826645">
              <w:rPr>
                <w:rFonts w:ascii="Arial" w:hAnsi="Arial" w:cs="Arial"/>
                <w:b/>
                <w:bCs/>
              </w:rPr>
              <w:t> </w:t>
            </w:r>
          </w:p>
        </w:tc>
        <w:tc>
          <w:tcPr>
            <w:tcW w:w="1530" w:type="dxa"/>
            <w:tcBorders>
              <w:top w:val="single" w:sz="4" w:space="0" w:color="auto"/>
              <w:left w:val="nil"/>
              <w:bottom w:val="nil"/>
              <w:right w:val="nil"/>
            </w:tcBorders>
            <w:shd w:val="clear" w:color="000000" w:fill="FFFFFF"/>
            <w:noWrap/>
            <w:vAlign w:val="bottom"/>
            <w:hideMark/>
          </w:tcPr>
          <w:p w:rsidR="0010219D" w:rsidRPr="00826645" w:rsidRDefault="0010219D" w:rsidP="0010219D">
            <w:pPr>
              <w:rPr>
                <w:rFonts w:ascii="Arial" w:hAnsi="Arial" w:cs="Arial"/>
                <w:b/>
                <w:bCs/>
              </w:rPr>
            </w:pPr>
            <w:r w:rsidRPr="00826645">
              <w:rPr>
                <w:rFonts w:ascii="Arial" w:hAnsi="Arial" w:cs="Arial"/>
                <w:b/>
                <w:bCs/>
              </w:rPr>
              <w:t> </w:t>
            </w:r>
          </w:p>
        </w:tc>
        <w:tc>
          <w:tcPr>
            <w:tcW w:w="1846" w:type="dxa"/>
            <w:tcBorders>
              <w:top w:val="single" w:sz="4" w:space="0" w:color="auto"/>
              <w:left w:val="nil"/>
              <w:bottom w:val="nil"/>
              <w:right w:val="nil"/>
            </w:tcBorders>
            <w:shd w:val="clear" w:color="000000" w:fill="FFFFFF"/>
            <w:noWrap/>
            <w:vAlign w:val="bottom"/>
            <w:hideMark/>
          </w:tcPr>
          <w:p w:rsidR="0010219D" w:rsidRPr="00826645" w:rsidRDefault="0010219D" w:rsidP="0010219D">
            <w:pPr>
              <w:rPr>
                <w:rFonts w:ascii="Arial" w:hAnsi="Arial" w:cs="Arial"/>
                <w:b/>
                <w:bCs/>
              </w:rPr>
            </w:pPr>
            <w:r w:rsidRPr="00826645">
              <w:rPr>
                <w:rFonts w:ascii="Arial" w:hAnsi="Arial" w:cs="Arial"/>
                <w:b/>
                <w:bCs/>
              </w:rPr>
              <w:t> </w:t>
            </w:r>
          </w:p>
        </w:tc>
        <w:tc>
          <w:tcPr>
            <w:tcW w:w="3913" w:type="dxa"/>
            <w:gridSpan w:val="4"/>
            <w:tcBorders>
              <w:top w:val="single" w:sz="4" w:space="0" w:color="auto"/>
              <w:left w:val="nil"/>
              <w:bottom w:val="nil"/>
              <w:right w:val="single" w:sz="4" w:space="0" w:color="000000"/>
            </w:tcBorders>
            <w:shd w:val="clear" w:color="000000" w:fill="FFFFFF"/>
            <w:noWrap/>
            <w:vAlign w:val="bottom"/>
            <w:hideMark/>
          </w:tcPr>
          <w:p w:rsidR="0010219D" w:rsidRPr="00826645" w:rsidRDefault="0010219D" w:rsidP="0010219D">
            <w:pPr>
              <w:jc w:val="right"/>
              <w:rPr>
                <w:rFonts w:ascii="Arial" w:hAnsi="Arial" w:cs="Arial"/>
                <w:b/>
                <w:bCs/>
              </w:rPr>
            </w:pPr>
            <w:r w:rsidRPr="00826645">
              <w:rPr>
                <w:rFonts w:ascii="Arial" w:hAnsi="Arial" w:cs="Arial"/>
                <w:b/>
                <w:bCs/>
              </w:rPr>
              <w:t>Schedule No. 2</w:t>
            </w:r>
          </w:p>
        </w:tc>
      </w:tr>
      <w:tr w:rsidR="0010219D" w:rsidRPr="00826645" w:rsidTr="004D4632">
        <w:trPr>
          <w:trHeight w:val="300"/>
          <w:jc w:val="center"/>
        </w:trPr>
        <w:tc>
          <w:tcPr>
            <w:tcW w:w="5311" w:type="dxa"/>
            <w:gridSpan w:val="4"/>
            <w:tcBorders>
              <w:top w:val="nil"/>
              <w:left w:val="single" w:sz="4" w:space="0" w:color="auto"/>
              <w:bottom w:val="nil"/>
              <w:right w:val="nil"/>
            </w:tcBorders>
            <w:shd w:val="clear" w:color="000000" w:fill="FFFFFF"/>
            <w:noWrap/>
            <w:vAlign w:val="bottom"/>
            <w:hideMark/>
          </w:tcPr>
          <w:p w:rsidR="0010219D" w:rsidRPr="00826645" w:rsidRDefault="0010219D" w:rsidP="0010219D">
            <w:pPr>
              <w:rPr>
                <w:rFonts w:ascii="Arial" w:hAnsi="Arial" w:cs="Arial"/>
                <w:b/>
                <w:bCs/>
              </w:rPr>
            </w:pPr>
            <w:r w:rsidRPr="00826645">
              <w:rPr>
                <w:rFonts w:ascii="Arial" w:hAnsi="Arial" w:cs="Arial"/>
                <w:b/>
                <w:bCs/>
              </w:rPr>
              <w:t>Capital Structure-13-Month Average</w:t>
            </w:r>
          </w:p>
        </w:tc>
        <w:tc>
          <w:tcPr>
            <w:tcW w:w="1524" w:type="dxa"/>
            <w:tcBorders>
              <w:top w:val="nil"/>
              <w:left w:val="nil"/>
              <w:bottom w:val="nil"/>
              <w:right w:val="nil"/>
            </w:tcBorders>
            <w:shd w:val="clear" w:color="000000" w:fill="FFFFFF"/>
            <w:noWrap/>
            <w:vAlign w:val="bottom"/>
            <w:hideMark/>
          </w:tcPr>
          <w:p w:rsidR="0010219D" w:rsidRPr="00826645" w:rsidRDefault="0010219D" w:rsidP="0010219D">
            <w:pPr>
              <w:rPr>
                <w:rFonts w:ascii="Arial" w:hAnsi="Arial" w:cs="Arial"/>
                <w:b/>
                <w:bCs/>
              </w:rPr>
            </w:pPr>
            <w:r w:rsidRPr="00826645">
              <w:rPr>
                <w:rFonts w:ascii="Arial" w:hAnsi="Arial" w:cs="Arial"/>
                <w:b/>
                <w:bCs/>
              </w:rPr>
              <w:t> </w:t>
            </w:r>
          </w:p>
        </w:tc>
        <w:tc>
          <w:tcPr>
            <w:tcW w:w="1530" w:type="dxa"/>
            <w:tcBorders>
              <w:top w:val="nil"/>
              <w:left w:val="nil"/>
              <w:bottom w:val="nil"/>
              <w:right w:val="nil"/>
            </w:tcBorders>
            <w:shd w:val="clear" w:color="000000" w:fill="FFFFFF"/>
            <w:noWrap/>
            <w:vAlign w:val="bottom"/>
            <w:hideMark/>
          </w:tcPr>
          <w:p w:rsidR="0010219D" w:rsidRPr="00826645" w:rsidRDefault="0010219D" w:rsidP="0010219D">
            <w:pPr>
              <w:rPr>
                <w:rFonts w:ascii="Arial" w:hAnsi="Arial" w:cs="Arial"/>
                <w:b/>
                <w:bCs/>
              </w:rPr>
            </w:pPr>
            <w:r w:rsidRPr="00826645">
              <w:rPr>
                <w:rFonts w:ascii="Arial" w:hAnsi="Arial" w:cs="Arial"/>
                <w:b/>
                <w:bCs/>
              </w:rPr>
              <w:t> </w:t>
            </w:r>
          </w:p>
        </w:tc>
        <w:tc>
          <w:tcPr>
            <w:tcW w:w="1846" w:type="dxa"/>
            <w:tcBorders>
              <w:top w:val="nil"/>
              <w:left w:val="nil"/>
              <w:bottom w:val="nil"/>
              <w:right w:val="nil"/>
            </w:tcBorders>
            <w:shd w:val="clear" w:color="000000" w:fill="FFFFFF"/>
            <w:noWrap/>
            <w:vAlign w:val="bottom"/>
            <w:hideMark/>
          </w:tcPr>
          <w:p w:rsidR="0010219D" w:rsidRPr="00826645" w:rsidRDefault="0010219D" w:rsidP="0010219D">
            <w:pPr>
              <w:rPr>
                <w:rFonts w:ascii="Arial" w:hAnsi="Arial" w:cs="Arial"/>
                <w:b/>
                <w:bCs/>
              </w:rPr>
            </w:pPr>
            <w:r w:rsidRPr="00826645">
              <w:rPr>
                <w:rFonts w:ascii="Arial" w:hAnsi="Arial" w:cs="Arial"/>
                <w:b/>
                <w:bCs/>
              </w:rPr>
              <w:t> </w:t>
            </w:r>
          </w:p>
        </w:tc>
        <w:tc>
          <w:tcPr>
            <w:tcW w:w="3913" w:type="dxa"/>
            <w:gridSpan w:val="4"/>
            <w:tcBorders>
              <w:top w:val="nil"/>
              <w:left w:val="nil"/>
              <w:bottom w:val="nil"/>
              <w:right w:val="single" w:sz="4" w:space="0" w:color="000000"/>
            </w:tcBorders>
            <w:shd w:val="clear" w:color="000000" w:fill="FFFFFF"/>
            <w:noWrap/>
            <w:vAlign w:val="bottom"/>
            <w:hideMark/>
          </w:tcPr>
          <w:p w:rsidR="0010219D" w:rsidRPr="00826645" w:rsidRDefault="0010219D" w:rsidP="0010219D">
            <w:pPr>
              <w:jc w:val="right"/>
              <w:rPr>
                <w:rFonts w:ascii="Arial" w:hAnsi="Arial" w:cs="Arial"/>
                <w:b/>
                <w:bCs/>
              </w:rPr>
            </w:pPr>
            <w:r w:rsidRPr="00826645">
              <w:rPr>
                <w:rFonts w:ascii="Arial" w:hAnsi="Arial" w:cs="Arial"/>
                <w:b/>
                <w:bCs/>
              </w:rPr>
              <w:t>20240011-WU</w:t>
            </w:r>
          </w:p>
        </w:tc>
      </w:tr>
      <w:tr w:rsidR="0010219D" w:rsidRPr="00826645" w:rsidTr="004D4632">
        <w:trPr>
          <w:trHeight w:val="300"/>
          <w:jc w:val="center"/>
        </w:trPr>
        <w:tc>
          <w:tcPr>
            <w:tcW w:w="2879" w:type="dxa"/>
            <w:gridSpan w:val="2"/>
            <w:tcBorders>
              <w:top w:val="nil"/>
              <w:left w:val="single" w:sz="4" w:space="0" w:color="auto"/>
              <w:bottom w:val="single" w:sz="4" w:space="0" w:color="auto"/>
              <w:right w:val="nil"/>
            </w:tcBorders>
            <w:shd w:val="clear" w:color="000000" w:fill="FFFFFF"/>
            <w:noWrap/>
            <w:vAlign w:val="bottom"/>
            <w:hideMark/>
          </w:tcPr>
          <w:p w:rsidR="0010219D" w:rsidRPr="00826645" w:rsidRDefault="0010219D" w:rsidP="0010219D">
            <w:pPr>
              <w:rPr>
                <w:rFonts w:ascii="Arial" w:hAnsi="Arial" w:cs="Arial"/>
                <w:b/>
                <w:bCs/>
              </w:rPr>
            </w:pPr>
            <w:r w:rsidRPr="00826645">
              <w:rPr>
                <w:rFonts w:ascii="Arial" w:hAnsi="Arial" w:cs="Arial"/>
                <w:b/>
                <w:bCs/>
              </w:rPr>
              <w:t>80% Design Capacity</w:t>
            </w:r>
          </w:p>
        </w:tc>
        <w:tc>
          <w:tcPr>
            <w:tcW w:w="1296" w:type="dxa"/>
            <w:tcBorders>
              <w:top w:val="nil"/>
              <w:left w:val="nil"/>
              <w:bottom w:val="nil"/>
              <w:right w:val="nil"/>
            </w:tcBorders>
            <w:shd w:val="clear" w:color="000000" w:fill="FFFFFF"/>
            <w:noWrap/>
            <w:vAlign w:val="bottom"/>
            <w:hideMark/>
          </w:tcPr>
          <w:p w:rsidR="0010219D" w:rsidRPr="00826645" w:rsidRDefault="0010219D" w:rsidP="0010219D">
            <w:pPr>
              <w:rPr>
                <w:rFonts w:ascii="Arial" w:hAnsi="Arial" w:cs="Arial"/>
                <w:b/>
                <w:bCs/>
              </w:rPr>
            </w:pPr>
            <w:r w:rsidRPr="00826645">
              <w:rPr>
                <w:rFonts w:ascii="Arial" w:hAnsi="Arial" w:cs="Arial"/>
                <w:b/>
                <w:bCs/>
              </w:rPr>
              <w:t> </w:t>
            </w:r>
          </w:p>
        </w:tc>
        <w:tc>
          <w:tcPr>
            <w:tcW w:w="1136" w:type="dxa"/>
            <w:tcBorders>
              <w:top w:val="nil"/>
              <w:left w:val="nil"/>
              <w:bottom w:val="nil"/>
              <w:right w:val="nil"/>
            </w:tcBorders>
            <w:shd w:val="clear" w:color="000000" w:fill="FFFFFF"/>
            <w:noWrap/>
            <w:vAlign w:val="bottom"/>
            <w:hideMark/>
          </w:tcPr>
          <w:p w:rsidR="0010219D" w:rsidRPr="00826645" w:rsidRDefault="0010219D" w:rsidP="0010219D">
            <w:pPr>
              <w:rPr>
                <w:rFonts w:ascii="Arial" w:hAnsi="Arial" w:cs="Arial"/>
                <w:b/>
                <w:bCs/>
              </w:rPr>
            </w:pPr>
            <w:r w:rsidRPr="00826645">
              <w:rPr>
                <w:rFonts w:ascii="Arial" w:hAnsi="Arial" w:cs="Arial"/>
                <w:b/>
                <w:bCs/>
              </w:rPr>
              <w:t> </w:t>
            </w:r>
          </w:p>
        </w:tc>
        <w:tc>
          <w:tcPr>
            <w:tcW w:w="1524" w:type="dxa"/>
            <w:tcBorders>
              <w:top w:val="nil"/>
              <w:left w:val="nil"/>
              <w:bottom w:val="nil"/>
              <w:right w:val="nil"/>
            </w:tcBorders>
            <w:shd w:val="clear" w:color="000000" w:fill="FFFFFF"/>
            <w:noWrap/>
            <w:vAlign w:val="bottom"/>
            <w:hideMark/>
          </w:tcPr>
          <w:p w:rsidR="0010219D" w:rsidRPr="00826645" w:rsidRDefault="0010219D" w:rsidP="0010219D">
            <w:pPr>
              <w:rPr>
                <w:rFonts w:ascii="Arial" w:hAnsi="Arial" w:cs="Arial"/>
                <w:b/>
                <w:bCs/>
              </w:rPr>
            </w:pPr>
            <w:r w:rsidRPr="00826645">
              <w:rPr>
                <w:rFonts w:ascii="Arial" w:hAnsi="Arial" w:cs="Arial"/>
                <w:b/>
                <w:bCs/>
              </w:rPr>
              <w:t> </w:t>
            </w:r>
          </w:p>
        </w:tc>
        <w:tc>
          <w:tcPr>
            <w:tcW w:w="1530" w:type="dxa"/>
            <w:tcBorders>
              <w:top w:val="nil"/>
              <w:left w:val="nil"/>
              <w:bottom w:val="nil"/>
              <w:right w:val="nil"/>
            </w:tcBorders>
            <w:shd w:val="clear" w:color="000000" w:fill="FFFFFF"/>
            <w:noWrap/>
            <w:vAlign w:val="bottom"/>
            <w:hideMark/>
          </w:tcPr>
          <w:p w:rsidR="0010219D" w:rsidRPr="00826645" w:rsidRDefault="0010219D" w:rsidP="0010219D">
            <w:pPr>
              <w:rPr>
                <w:rFonts w:ascii="Arial" w:hAnsi="Arial" w:cs="Arial"/>
                <w:b/>
                <w:bCs/>
              </w:rPr>
            </w:pPr>
            <w:r w:rsidRPr="00826645">
              <w:rPr>
                <w:rFonts w:ascii="Arial" w:hAnsi="Arial" w:cs="Arial"/>
                <w:b/>
                <w:bCs/>
              </w:rPr>
              <w:t> </w:t>
            </w:r>
          </w:p>
        </w:tc>
        <w:tc>
          <w:tcPr>
            <w:tcW w:w="1846" w:type="dxa"/>
            <w:tcBorders>
              <w:top w:val="nil"/>
              <w:left w:val="nil"/>
              <w:bottom w:val="nil"/>
              <w:right w:val="nil"/>
            </w:tcBorders>
            <w:shd w:val="clear" w:color="000000" w:fill="FFFFFF"/>
            <w:noWrap/>
            <w:vAlign w:val="bottom"/>
            <w:hideMark/>
          </w:tcPr>
          <w:p w:rsidR="0010219D" w:rsidRPr="00826645" w:rsidRDefault="0010219D" w:rsidP="0010219D">
            <w:pPr>
              <w:rPr>
                <w:rFonts w:ascii="Arial" w:hAnsi="Arial" w:cs="Arial"/>
                <w:b/>
                <w:bCs/>
              </w:rPr>
            </w:pPr>
            <w:r w:rsidRPr="00826645">
              <w:rPr>
                <w:rFonts w:ascii="Arial" w:hAnsi="Arial" w:cs="Arial"/>
                <w:b/>
                <w:bCs/>
              </w:rPr>
              <w:t> </w:t>
            </w:r>
          </w:p>
        </w:tc>
        <w:tc>
          <w:tcPr>
            <w:tcW w:w="1260" w:type="dxa"/>
            <w:tcBorders>
              <w:top w:val="nil"/>
              <w:left w:val="nil"/>
              <w:bottom w:val="nil"/>
              <w:right w:val="nil"/>
            </w:tcBorders>
            <w:shd w:val="clear" w:color="000000" w:fill="FFFFFF"/>
            <w:noWrap/>
            <w:vAlign w:val="bottom"/>
            <w:hideMark/>
          </w:tcPr>
          <w:p w:rsidR="0010219D" w:rsidRPr="00826645" w:rsidRDefault="0010219D" w:rsidP="0010219D">
            <w:pPr>
              <w:rPr>
                <w:rFonts w:ascii="Arial" w:hAnsi="Arial" w:cs="Arial"/>
                <w:b/>
                <w:bCs/>
              </w:rPr>
            </w:pPr>
            <w:r w:rsidRPr="00826645">
              <w:rPr>
                <w:rFonts w:ascii="Arial" w:hAnsi="Arial" w:cs="Arial"/>
                <w:b/>
                <w:bCs/>
              </w:rPr>
              <w:t> </w:t>
            </w:r>
          </w:p>
        </w:tc>
        <w:tc>
          <w:tcPr>
            <w:tcW w:w="1260" w:type="dxa"/>
            <w:tcBorders>
              <w:top w:val="nil"/>
              <w:left w:val="nil"/>
              <w:bottom w:val="nil"/>
              <w:right w:val="nil"/>
            </w:tcBorders>
            <w:shd w:val="clear" w:color="000000" w:fill="FFFFFF"/>
            <w:noWrap/>
            <w:vAlign w:val="bottom"/>
            <w:hideMark/>
          </w:tcPr>
          <w:p w:rsidR="0010219D" w:rsidRPr="00826645" w:rsidRDefault="0010219D" w:rsidP="0010219D">
            <w:pPr>
              <w:rPr>
                <w:rFonts w:ascii="Arial" w:hAnsi="Arial" w:cs="Arial"/>
                <w:b/>
                <w:bCs/>
              </w:rPr>
            </w:pPr>
            <w:r w:rsidRPr="00826645">
              <w:rPr>
                <w:rFonts w:ascii="Arial" w:hAnsi="Arial" w:cs="Arial"/>
                <w:b/>
                <w:bCs/>
              </w:rPr>
              <w:t> </w:t>
            </w:r>
          </w:p>
        </w:tc>
        <w:tc>
          <w:tcPr>
            <w:tcW w:w="1121" w:type="dxa"/>
            <w:tcBorders>
              <w:top w:val="nil"/>
              <w:left w:val="nil"/>
              <w:bottom w:val="nil"/>
              <w:right w:val="nil"/>
            </w:tcBorders>
            <w:shd w:val="clear" w:color="000000" w:fill="FFFFFF"/>
            <w:noWrap/>
            <w:vAlign w:val="bottom"/>
            <w:hideMark/>
          </w:tcPr>
          <w:p w:rsidR="0010219D" w:rsidRPr="00826645" w:rsidRDefault="0010219D" w:rsidP="0010219D">
            <w:pPr>
              <w:rPr>
                <w:rFonts w:ascii="Arial" w:hAnsi="Arial" w:cs="Arial"/>
              </w:rPr>
            </w:pPr>
            <w:r w:rsidRPr="00826645">
              <w:rPr>
                <w:rFonts w:ascii="Arial" w:hAnsi="Arial" w:cs="Arial"/>
              </w:rPr>
              <w:t> </w:t>
            </w:r>
          </w:p>
        </w:tc>
        <w:tc>
          <w:tcPr>
            <w:tcW w:w="272" w:type="dxa"/>
            <w:tcBorders>
              <w:top w:val="nil"/>
              <w:left w:val="nil"/>
              <w:bottom w:val="nil"/>
              <w:right w:val="single" w:sz="4" w:space="0" w:color="auto"/>
            </w:tcBorders>
            <w:shd w:val="clear" w:color="000000" w:fill="FFFFFF"/>
            <w:noWrap/>
            <w:vAlign w:val="bottom"/>
            <w:hideMark/>
          </w:tcPr>
          <w:p w:rsidR="0010219D" w:rsidRPr="00826645" w:rsidRDefault="0010219D" w:rsidP="0010219D">
            <w:pPr>
              <w:rPr>
                <w:rFonts w:ascii="Arial" w:hAnsi="Arial" w:cs="Arial"/>
                <w:sz w:val="20"/>
                <w:szCs w:val="20"/>
              </w:rPr>
            </w:pPr>
            <w:r w:rsidRPr="00826645">
              <w:rPr>
                <w:rFonts w:ascii="Arial" w:hAnsi="Arial" w:cs="Arial"/>
                <w:sz w:val="20"/>
                <w:szCs w:val="20"/>
              </w:rPr>
              <w:t> </w:t>
            </w:r>
          </w:p>
        </w:tc>
      </w:tr>
      <w:tr w:rsidR="0010219D" w:rsidRPr="00826645" w:rsidTr="004D4632">
        <w:trPr>
          <w:trHeight w:val="300"/>
          <w:jc w:val="center"/>
        </w:trPr>
        <w:tc>
          <w:tcPr>
            <w:tcW w:w="436" w:type="dxa"/>
            <w:tcBorders>
              <w:top w:val="nil"/>
              <w:left w:val="single" w:sz="4" w:space="0" w:color="auto"/>
              <w:bottom w:val="nil"/>
              <w:right w:val="nil"/>
            </w:tcBorders>
            <w:shd w:val="clear" w:color="000000" w:fill="FFFFFF"/>
            <w:noWrap/>
            <w:vAlign w:val="center"/>
            <w:hideMark/>
          </w:tcPr>
          <w:p w:rsidR="0010219D" w:rsidRPr="00826645" w:rsidRDefault="0010219D" w:rsidP="0010219D">
            <w:pPr>
              <w:rPr>
                <w:b/>
                <w:bCs/>
                <w:sz w:val="22"/>
                <w:szCs w:val="22"/>
              </w:rPr>
            </w:pPr>
            <w:r w:rsidRPr="00826645">
              <w:rPr>
                <w:b/>
                <w:bCs/>
                <w:sz w:val="22"/>
                <w:szCs w:val="22"/>
              </w:rPr>
              <w:t> </w:t>
            </w:r>
          </w:p>
        </w:tc>
        <w:tc>
          <w:tcPr>
            <w:tcW w:w="2443" w:type="dxa"/>
            <w:vMerge w:val="restart"/>
            <w:tcBorders>
              <w:top w:val="nil"/>
              <w:left w:val="nil"/>
              <w:bottom w:val="single" w:sz="4" w:space="0" w:color="000000"/>
              <w:right w:val="nil"/>
            </w:tcBorders>
            <w:shd w:val="clear" w:color="000000" w:fill="FFFFFF"/>
            <w:noWrap/>
            <w:vAlign w:val="center"/>
            <w:hideMark/>
          </w:tcPr>
          <w:p w:rsidR="0010219D" w:rsidRPr="00826645" w:rsidRDefault="0010219D" w:rsidP="0010219D">
            <w:pPr>
              <w:jc w:val="center"/>
              <w:rPr>
                <w:b/>
                <w:bCs/>
                <w:sz w:val="22"/>
                <w:szCs w:val="22"/>
              </w:rPr>
            </w:pPr>
            <w:r w:rsidRPr="00826645">
              <w:rPr>
                <w:b/>
                <w:bCs/>
                <w:sz w:val="22"/>
                <w:szCs w:val="22"/>
              </w:rPr>
              <w:t>Description</w:t>
            </w:r>
          </w:p>
        </w:tc>
        <w:tc>
          <w:tcPr>
            <w:tcW w:w="1296" w:type="dxa"/>
            <w:vMerge w:val="restart"/>
            <w:tcBorders>
              <w:top w:val="single" w:sz="4" w:space="0" w:color="auto"/>
              <w:left w:val="nil"/>
              <w:bottom w:val="single" w:sz="4" w:space="0" w:color="000000"/>
              <w:right w:val="nil"/>
            </w:tcBorders>
            <w:shd w:val="clear" w:color="000000" w:fill="FFFFFF"/>
            <w:vAlign w:val="center"/>
            <w:hideMark/>
          </w:tcPr>
          <w:p w:rsidR="0010219D" w:rsidRPr="00826645" w:rsidRDefault="0010219D" w:rsidP="0010219D">
            <w:pPr>
              <w:jc w:val="center"/>
              <w:rPr>
                <w:b/>
                <w:bCs/>
                <w:sz w:val="22"/>
                <w:szCs w:val="22"/>
              </w:rPr>
            </w:pPr>
            <w:r w:rsidRPr="00826645">
              <w:rPr>
                <w:b/>
                <w:bCs/>
                <w:sz w:val="22"/>
                <w:szCs w:val="22"/>
              </w:rPr>
              <w:t>Total           Capital</w:t>
            </w:r>
          </w:p>
        </w:tc>
        <w:tc>
          <w:tcPr>
            <w:tcW w:w="1136" w:type="dxa"/>
            <w:tcBorders>
              <w:top w:val="single" w:sz="4" w:space="0" w:color="auto"/>
              <w:left w:val="nil"/>
              <w:bottom w:val="nil"/>
              <w:right w:val="nil"/>
            </w:tcBorders>
            <w:shd w:val="clear" w:color="000000" w:fill="FFFFFF"/>
            <w:noWrap/>
            <w:vAlign w:val="center"/>
            <w:hideMark/>
          </w:tcPr>
          <w:p w:rsidR="0010219D" w:rsidRPr="00826645" w:rsidRDefault="0010219D" w:rsidP="0010219D">
            <w:pPr>
              <w:jc w:val="center"/>
              <w:rPr>
                <w:b/>
                <w:bCs/>
                <w:sz w:val="22"/>
                <w:szCs w:val="22"/>
              </w:rPr>
            </w:pPr>
            <w:r w:rsidRPr="00826645">
              <w:rPr>
                <w:b/>
                <w:bCs/>
                <w:sz w:val="22"/>
                <w:szCs w:val="22"/>
              </w:rPr>
              <w:t>Specific</w:t>
            </w:r>
          </w:p>
        </w:tc>
        <w:tc>
          <w:tcPr>
            <w:tcW w:w="1524" w:type="dxa"/>
            <w:tcBorders>
              <w:top w:val="single" w:sz="4" w:space="0" w:color="auto"/>
              <w:left w:val="nil"/>
              <w:bottom w:val="nil"/>
              <w:right w:val="nil"/>
            </w:tcBorders>
            <w:shd w:val="clear" w:color="000000" w:fill="FFFFFF"/>
            <w:noWrap/>
            <w:vAlign w:val="center"/>
            <w:hideMark/>
          </w:tcPr>
          <w:p w:rsidR="0010219D" w:rsidRPr="00826645" w:rsidRDefault="0010219D" w:rsidP="0010219D">
            <w:pPr>
              <w:jc w:val="center"/>
              <w:rPr>
                <w:b/>
                <w:bCs/>
                <w:sz w:val="22"/>
                <w:szCs w:val="22"/>
              </w:rPr>
            </w:pPr>
            <w:r w:rsidRPr="00826645">
              <w:rPr>
                <w:b/>
                <w:bCs/>
                <w:sz w:val="22"/>
                <w:szCs w:val="22"/>
              </w:rPr>
              <w:t>Subtotal</w:t>
            </w:r>
          </w:p>
        </w:tc>
        <w:tc>
          <w:tcPr>
            <w:tcW w:w="1530" w:type="dxa"/>
            <w:tcBorders>
              <w:top w:val="single" w:sz="4" w:space="0" w:color="auto"/>
              <w:left w:val="nil"/>
              <w:bottom w:val="nil"/>
              <w:right w:val="nil"/>
            </w:tcBorders>
            <w:shd w:val="clear" w:color="000000" w:fill="FFFFFF"/>
            <w:noWrap/>
            <w:vAlign w:val="center"/>
            <w:hideMark/>
          </w:tcPr>
          <w:p w:rsidR="0010219D" w:rsidRPr="00826645" w:rsidRDefault="0010219D" w:rsidP="0010219D">
            <w:pPr>
              <w:jc w:val="center"/>
              <w:rPr>
                <w:b/>
                <w:bCs/>
                <w:sz w:val="22"/>
                <w:szCs w:val="22"/>
              </w:rPr>
            </w:pPr>
            <w:r w:rsidRPr="00826645">
              <w:rPr>
                <w:b/>
                <w:bCs/>
                <w:sz w:val="22"/>
                <w:szCs w:val="22"/>
              </w:rPr>
              <w:t>Pro rata</w:t>
            </w:r>
          </w:p>
        </w:tc>
        <w:tc>
          <w:tcPr>
            <w:tcW w:w="1846" w:type="dxa"/>
            <w:tcBorders>
              <w:top w:val="single" w:sz="4" w:space="0" w:color="auto"/>
              <w:left w:val="nil"/>
              <w:bottom w:val="nil"/>
              <w:right w:val="nil"/>
            </w:tcBorders>
            <w:shd w:val="clear" w:color="000000" w:fill="FFFFFF"/>
            <w:noWrap/>
            <w:vAlign w:val="center"/>
            <w:hideMark/>
          </w:tcPr>
          <w:p w:rsidR="0010219D" w:rsidRPr="00826645" w:rsidRDefault="0010219D" w:rsidP="0010219D">
            <w:pPr>
              <w:jc w:val="center"/>
              <w:rPr>
                <w:b/>
                <w:bCs/>
                <w:sz w:val="22"/>
                <w:szCs w:val="22"/>
              </w:rPr>
            </w:pPr>
            <w:r w:rsidRPr="00826645">
              <w:rPr>
                <w:b/>
                <w:bCs/>
                <w:sz w:val="22"/>
                <w:szCs w:val="22"/>
              </w:rPr>
              <w:t>Capital</w:t>
            </w:r>
          </w:p>
        </w:tc>
        <w:tc>
          <w:tcPr>
            <w:tcW w:w="1260" w:type="dxa"/>
            <w:vMerge w:val="restart"/>
            <w:tcBorders>
              <w:top w:val="single" w:sz="4" w:space="0" w:color="auto"/>
              <w:left w:val="nil"/>
              <w:bottom w:val="single" w:sz="4" w:space="0" w:color="000000"/>
              <w:right w:val="nil"/>
            </w:tcBorders>
            <w:shd w:val="clear" w:color="000000" w:fill="FFFFFF"/>
            <w:noWrap/>
            <w:vAlign w:val="center"/>
            <w:hideMark/>
          </w:tcPr>
          <w:p w:rsidR="0010219D" w:rsidRPr="00826645" w:rsidRDefault="0010219D" w:rsidP="0010219D">
            <w:pPr>
              <w:jc w:val="center"/>
              <w:rPr>
                <w:b/>
                <w:bCs/>
                <w:sz w:val="22"/>
                <w:szCs w:val="22"/>
              </w:rPr>
            </w:pPr>
            <w:r w:rsidRPr="00826645">
              <w:rPr>
                <w:b/>
                <w:bCs/>
                <w:sz w:val="22"/>
                <w:szCs w:val="22"/>
              </w:rPr>
              <w:t>Ratio</w:t>
            </w:r>
          </w:p>
        </w:tc>
        <w:tc>
          <w:tcPr>
            <w:tcW w:w="1260" w:type="dxa"/>
            <w:vMerge w:val="restart"/>
            <w:tcBorders>
              <w:top w:val="single" w:sz="4" w:space="0" w:color="auto"/>
              <w:left w:val="nil"/>
              <w:bottom w:val="single" w:sz="4" w:space="0" w:color="000000"/>
              <w:right w:val="nil"/>
            </w:tcBorders>
            <w:shd w:val="clear" w:color="000000" w:fill="FFFFFF"/>
            <w:vAlign w:val="center"/>
            <w:hideMark/>
          </w:tcPr>
          <w:p w:rsidR="0010219D" w:rsidRPr="00826645" w:rsidRDefault="0010219D" w:rsidP="0010219D">
            <w:pPr>
              <w:jc w:val="center"/>
              <w:rPr>
                <w:b/>
                <w:bCs/>
                <w:sz w:val="22"/>
                <w:szCs w:val="22"/>
              </w:rPr>
            </w:pPr>
            <w:r w:rsidRPr="00826645">
              <w:rPr>
                <w:b/>
                <w:bCs/>
                <w:sz w:val="22"/>
                <w:szCs w:val="22"/>
              </w:rPr>
              <w:t>Cost Rate</w:t>
            </w:r>
          </w:p>
        </w:tc>
        <w:tc>
          <w:tcPr>
            <w:tcW w:w="1121" w:type="dxa"/>
            <w:vMerge w:val="restart"/>
            <w:tcBorders>
              <w:top w:val="single" w:sz="4" w:space="0" w:color="auto"/>
              <w:left w:val="nil"/>
              <w:bottom w:val="single" w:sz="4" w:space="0" w:color="000000"/>
              <w:right w:val="nil"/>
            </w:tcBorders>
            <w:shd w:val="clear" w:color="000000" w:fill="FFFFFF"/>
            <w:vAlign w:val="center"/>
            <w:hideMark/>
          </w:tcPr>
          <w:p w:rsidR="0010219D" w:rsidRPr="00826645" w:rsidRDefault="0010219D" w:rsidP="0010219D">
            <w:pPr>
              <w:jc w:val="center"/>
              <w:rPr>
                <w:b/>
                <w:bCs/>
                <w:sz w:val="22"/>
                <w:szCs w:val="22"/>
              </w:rPr>
            </w:pPr>
            <w:r w:rsidRPr="00826645">
              <w:rPr>
                <w:b/>
                <w:bCs/>
                <w:sz w:val="22"/>
                <w:szCs w:val="22"/>
              </w:rPr>
              <w:t>Weighted Cost</w:t>
            </w:r>
          </w:p>
        </w:tc>
        <w:tc>
          <w:tcPr>
            <w:tcW w:w="272" w:type="dxa"/>
            <w:tcBorders>
              <w:top w:val="single" w:sz="4" w:space="0" w:color="auto"/>
              <w:left w:val="nil"/>
              <w:bottom w:val="nil"/>
              <w:right w:val="single" w:sz="4" w:space="0" w:color="auto"/>
            </w:tcBorders>
            <w:shd w:val="clear" w:color="000000" w:fill="FFFFFF"/>
            <w:noWrap/>
            <w:vAlign w:val="center"/>
            <w:hideMark/>
          </w:tcPr>
          <w:p w:rsidR="0010219D" w:rsidRPr="00826645" w:rsidRDefault="0010219D" w:rsidP="0010219D">
            <w:pPr>
              <w:rPr>
                <w:b/>
                <w:bCs/>
                <w:sz w:val="22"/>
                <w:szCs w:val="22"/>
              </w:rPr>
            </w:pPr>
            <w:r w:rsidRPr="00826645">
              <w:rPr>
                <w:b/>
                <w:bCs/>
                <w:sz w:val="22"/>
                <w:szCs w:val="22"/>
              </w:rPr>
              <w:t> </w:t>
            </w:r>
          </w:p>
        </w:tc>
      </w:tr>
      <w:tr w:rsidR="0010219D" w:rsidRPr="00826645" w:rsidTr="004D4632">
        <w:trPr>
          <w:trHeight w:val="300"/>
          <w:jc w:val="center"/>
        </w:trPr>
        <w:tc>
          <w:tcPr>
            <w:tcW w:w="436" w:type="dxa"/>
            <w:tcBorders>
              <w:top w:val="nil"/>
              <w:left w:val="single" w:sz="4" w:space="0" w:color="auto"/>
              <w:bottom w:val="nil"/>
              <w:right w:val="nil"/>
            </w:tcBorders>
            <w:shd w:val="clear" w:color="000000" w:fill="FFFFFF"/>
            <w:noWrap/>
            <w:vAlign w:val="center"/>
            <w:hideMark/>
          </w:tcPr>
          <w:p w:rsidR="0010219D" w:rsidRPr="00826645" w:rsidRDefault="0010219D" w:rsidP="0010219D">
            <w:pPr>
              <w:rPr>
                <w:b/>
                <w:bCs/>
                <w:sz w:val="22"/>
                <w:szCs w:val="22"/>
              </w:rPr>
            </w:pPr>
            <w:r w:rsidRPr="00826645">
              <w:rPr>
                <w:b/>
                <w:bCs/>
                <w:sz w:val="22"/>
                <w:szCs w:val="22"/>
              </w:rPr>
              <w:t> </w:t>
            </w:r>
          </w:p>
        </w:tc>
        <w:tc>
          <w:tcPr>
            <w:tcW w:w="2443" w:type="dxa"/>
            <w:vMerge/>
            <w:tcBorders>
              <w:top w:val="nil"/>
              <w:left w:val="nil"/>
              <w:bottom w:val="single" w:sz="4" w:space="0" w:color="000000"/>
              <w:right w:val="nil"/>
            </w:tcBorders>
            <w:vAlign w:val="center"/>
            <w:hideMark/>
          </w:tcPr>
          <w:p w:rsidR="0010219D" w:rsidRPr="00826645" w:rsidRDefault="0010219D" w:rsidP="0010219D">
            <w:pPr>
              <w:rPr>
                <w:b/>
                <w:bCs/>
                <w:sz w:val="22"/>
                <w:szCs w:val="22"/>
              </w:rPr>
            </w:pPr>
          </w:p>
        </w:tc>
        <w:tc>
          <w:tcPr>
            <w:tcW w:w="1296" w:type="dxa"/>
            <w:vMerge/>
            <w:tcBorders>
              <w:top w:val="single" w:sz="4" w:space="0" w:color="auto"/>
              <w:left w:val="nil"/>
              <w:bottom w:val="single" w:sz="4" w:space="0" w:color="000000"/>
              <w:right w:val="nil"/>
            </w:tcBorders>
            <w:vAlign w:val="center"/>
            <w:hideMark/>
          </w:tcPr>
          <w:p w:rsidR="0010219D" w:rsidRPr="00826645" w:rsidRDefault="0010219D" w:rsidP="0010219D">
            <w:pPr>
              <w:rPr>
                <w:b/>
                <w:bCs/>
                <w:sz w:val="22"/>
                <w:szCs w:val="22"/>
              </w:rPr>
            </w:pPr>
          </w:p>
        </w:tc>
        <w:tc>
          <w:tcPr>
            <w:tcW w:w="1136" w:type="dxa"/>
            <w:tcBorders>
              <w:top w:val="nil"/>
              <w:left w:val="nil"/>
              <w:bottom w:val="nil"/>
              <w:right w:val="nil"/>
            </w:tcBorders>
            <w:shd w:val="clear" w:color="000000" w:fill="FFFFFF"/>
            <w:noWrap/>
            <w:vAlign w:val="center"/>
            <w:hideMark/>
          </w:tcPr>
          <w:p w:rsidR="0010219D" w:rsidRPr="00826645" w:rsidRDefault="0010219D" w:rsidP="0010219D">
            <w:pPr>
              <w:jc w:val="center"/>
              <w:rPr>
                <w:b/>
                <w:bCs/>
                <w:sz w:val="22"/>
                <w:szCs w:val="22"/>
              </w:rPr>
            </w:pPr>
            <w:r w:rsidRPr="00826645">
              <w:rPr>
                <w:b/>
                <w:bCs/>
                <w:sz w:val="22"/>
                <w:szCs w:val="22"/>
              </w:rPr>
              <w:t>Adjust-</w:t>
            </w:r>
          </w:p>
        </w:tc>
        <w:tc>
          <w:tcPr>
            <w:tcW w:w="1524" w:type="dxa"/>
            <w:tcBorders>
              <w:top w:val="nil"/>
              <w:left w:val="nil"/>
              <w:bottom w:val="nil"/>
              <w:right w:val="nil"/>
            </w:tcBorders>
            <w:shd w:val="clear" w:color="000000" w:fill="FFFFFF"/>
            <w:noWrap/>
            <w:vAlign w:val="center"/>
            <w:hideMark/>
          </w:tcPr>
          <w:p w:rsidR="0010219D" w:rsidRPr="00826645" w:rsidRDefault="0010219D" w:rsidP="0010219D">
            <w:pPr>
              <w:jc w:val="center"/>
              <w:rPr>
                <w:b/>
                <w:bCs/>
                <w:sz w:val="22"/>
                <w:szCs w:val="22"/>
              </w:rPr>
            </w:pPr>
            <w:r w:rsidRPr="00826645">
              <w:rPr>
                <w:b/>
                <w:bCs/>
                <w:sz w:val="22"/>
                <w:szCs w:val="22"/>
              </w:rPr>
              <w:t>Adjusted</w:t>
            </w:r>
          </w:p>
        </w:tc>
        <w:tc>
          <w:tcPr>
            <w:tcW w:w="1530" w:type="dxa"/>
            <w:tcBorders>
              <w:top w:val="nil"/>
              <w:left w:val="nil"/>
              <w:bottom w:val="nil"/>
              <w:right w:val="nil"/>
            </w:tcBorders>
            <w:shd w:val="clear" w:color="000000" w:fill="FFFFFF"/>
            <w:noWrap/>
            <w:vAlign w:val="center"/>
            <w:hideMark/>
          </w:tcPr>
          <w:p w:rsidR="0010219D" w:rsidRPr="00826645" w:rsidRDefault="0010219D" w:rsidP="0010219D">
            <w:pPr>
              <w:jc w:val="center"/>
              <w:rPr>
                <w:b/>
                <w:bCs/>
                <w:sz w:val="22"/>
                <w:szCs w:val="22"/>
              </w:rPr>
            </w:pPr>
            <w:r w:rsidRPr="00826645">
              <w:rPr>
                <w:b/>
                <w:bCs/>
                <w:sz w:val="22"/>
                <w:szCs w:val="22"/>
              </w:rPr>
              <w:t>Adjust-</w:t>
            </w:r>
          </w:p>
        </w:tc>
        <w:tc>
          <w:tcPr>
            <w:tcW w:w="1846" w:type="dxa"/>
            <w:tcBorders>
              <w:top w:val="nil"/>
              <w:left w:val="nil"/>
              <w:bottom w:val="nil"/>
              <w:right w:val="nil"/>
            </w:tcBorders>
            <w:shd w:val="clear" w:color="000000" w:fill="FFFFFF"/>
            <w:noWrap/>
            <w:vAlign w:val="center"/>
            <w:hideMark/>
          </w:tcPr>
          <w:p w:rsidR="0010219D" w:rsidRPr="00826645" w:rsidRDefault="0010219D" w:rsidP="0010219D">
            <w:pPr>
              <w:jc w:val="center"/>
              <w:rPr>
                <w:b/>
                <w:bCs/>
                <w:sz w:val="22"/>
                <w:szCs w:val="22"/>
              </w:rPr>
            </w:pPr>
            <w:r w:rsidRPr="00826645">
              <w:rPr>
                <w:b/>
                <w:bCs/>
                <w:sz w:val="22"/>
                <w:szCs w:val="22"/>
              </w:rPr>
              <w:t>Reconciled</w:t>
            </w:r>
          </w:p>
        </w:tc>
        <w:tc>
          <w:tcPr>
            <w:tcW w:w="1260" w:type="dxa"/>
            <w:vMerge/>
            <w:tcBorders>
              <w:top w:val="single" w:sz="4" w:space="0" w:color="auto"/>
              <w:left w:val="nil"/>
              <w:bottom w:val="single" w:sz="4" w:space="0" w:color="000000"/>
              <w:right w:val="nil"/>
            </w:tcBorders>
            <w:vAlign w:val="center"/>
            <w:hideMark/>
          </w:tcPr>
          <w:p w:rsidR="0010219D" w:rsidRPr="00826645" w:rsidRDefault="0010219D" w:rsidP="0010219D">
            <w:pPr>
              <w:rPr>
                <w:b/>
                <w:bCs/>
                <w:sz w:val="22"/>
                <w:szCs w:val="22"/>
              </w:rPr>
            </w:pPr>
          </w:p>
        </w:tc>
        <w:tc>
          <w:tcPr>
            <w:tcW w:w="1260" w:type="dxa"/>
            <w:vMerge/>
            <w:tcBorders>
              <w:top w:val="single" w:sz="4" w:space="0" w:color="auto"/>
              <w:left w:val="nil"/>
              <w:bottom w:val="single" w:sz="4" w:space="0" w:color="000000"/>
              <w:right w:val="nil"/>
            </w:tcBorders>
            <w:vAlign w:val="center"/>
            <w:hideMark/>
          </w:tcPr>
          <w:p w:rsidR="0010219D" w:rsidRPr="00826645" w:rsidRDefault="0010219D" w:rsidP="0010219D">
            <w:pPr>
              <w:rPr>
                <w:b/>
                <w:bCs/>
                <w:sz w:val="22"/>
                <w:szCs w:val="22"/>
              </w:rPr>
            </w:pPr>
          </w:p>
        </w:tc>
        <w:tc>
          <w:tcPr>
            <w:tcW w:w="1121" w:type="dxa"/>
            <w:vMerge/>
            <w:tcBorders>
              <w:top w:val="single" w:sz="4" w:space="0" w:color="auto"/>
              <w:left w:val="nil"/>
              <w:bottom w:val="single" w:sz="4" w:space="0" w:color="000000"/>
              <w:right w:val="nil"/>
            </w:tcBorders>
            <w:vAlign w:val="center"/>
            <w:hideMark/>
          </w:tcPr>
          <w:p w:rsidR="0010219D" w:rsidRPr="00826645" w:rsidRDefault="0010219D" w:rsidP="0010219D">
            <w:pPr>
              <w:rPr>
                <w:b/>
                <w:bCs/>
                <w:sz w:val="22"/>
                <w:szCs w:val="22"/>
              </w:rPr>
            </w:pPr>
          </w:p>
        </w:tc>
        <w:tc>
          <w:tcPr>
            <w:tcW w:w="272" w:type="dxa"/>
            <w:tcBorders>
              <w:top w:val="nil"/>
              <w:left w:val="nil"/>
              <w:bottom w:val="nil"/>
              <w:right w:val="single" w:sz="4" w:space="0" w:color="auto"/>
            </w:tcBorders>
            <w:shd w:val="clear" w:color="000000" w:fill="FFFFFF"/>
            <w:noWrap/>
            <w:vAlign w:val="center"/>
            <w:hideMark/>
          </w:tcPr>
          <w:p w:rsidR="0010219D" w:rsidRPr="00826645" w:rsidRDefault="0010219D" w:rsidP="0010219D">
            <w:pPr>
              <w:rPr>
                <w:b/>
                <w:bCs/>
                <w:sz w:val="22"/>
                <w:szCs w:val="22"/>
              </w:rPr>
            </w:pPr>
            <w:r w:rsidRPr="00826645">
              <w:rPr>
                <w:b/>
                <w:bCs/>
                <w:sz w:val="22"/>
                <w:szCs w:val="22"/>
              </w:rPr>
              <w:t> </w:t>
            </w:r>
          </w:p>
        </w:tc>
      </w:tr>
      <w:tr w:rsidR="0010219D" w:rsidRPr="00826645" w:rsidTr="004D4632">
        <w:trPr>
          <w:trHeight w:val="300"/>
          <w:jc w:val="center"/>
        </w:trPr>
        <w:tc>
          <w:tcPr>
            <w:tcW w:w="436" w:type="dxa"/>
            <w:tcBorders>
              <w:top w:val="nil"/>
              <w:left w:val="single" w:sz="4" w:space="0" w:color="auto"/>
              <w:bottom w:val="single" w:sz="4" w:space="0" w:color="auto"/>
              <w:right w:val="nil"/>
            </w:tcBorders>
            <w:shd w:val="clear" w:color="000000" w:fill="FFFFFF"/>
            <w:noWrap/>
            <w:vAlign w:val="center"/>
            <w:hideMark/>
          </w:tcPr>
          <w:p w:rsidR="0010219D" w:rsidRPr="00826645" w:rsidRDefault="0010219D" w:rsidP="0010219D">
            <w:pPr>
              <w:rPr>
                <w:b/>
                <w:bCs/>
                <w:sz w:val="22"/>
                <w:szCs w:val="22"/>
              </w:rPr>
            </w:pPr>
            <w:r w:rsidRPr="00826645">
              <w:rPr>
                <w:b/>
                <w:bCs/>
                <w:sz w:val="22"/>
                <w:szCs w:val="22"/>
              </w:rPr>
              <w:t> </w:t>
            </w:r>
          </w:p>
        </w:tc>
        <w:tc>
          <w:tcPr>
            <w:tcW w:w="2443" w:type="dxa"/>
            <w:vMerge/>
            <w:tcBorders>
              <w:top w:val="nil"/>
              <w:left w:val="nil"/>
              <w:bottom w:val="single" w:sz="4" w:space="0" w:color="000000"/>
              <w:right w:val="nil"/>
            </w:tcBorders>
            <w:vAlign w:val="center"/>
            <w:hideMark/>
          </w:tcPr>
          <w:p w:rsidR="0010219D" w:rsidRPr="00826645" w:rsidRDefault="0010219D" w:rsidP="0010219D">
            <w:pPr>
              <w:rPr>
                <w:b/>
                <w:bCs/>
                <w:sz w:val="22"/>
                <w:szCs w:val="22"/>
              </w:rPr>
            </w:pPr>
          </w:p>
        </w:tc>
        <w:tc>
          <w:tcPr>
            <w:tcW w:w="1296" w:type="dxa"/>
            <w:vMerge/>
            <w:tcBorders>
              <w:top w:val="single" w:sz="4" w:space="0" w:color="auto"/>
              <w:left w:val="nil"/>
              <w:bottom w:val="single" w:sz="4" w:space="0" w:color="000000"/>
              <w:right w:val="nil"/>
            </w:tcBorders>
            <w:vAlign w:val="center"/>
            <w:hideMark/>
          </w:tcPr>
          <w:p w:rsidR="0010219D" w:rsidRPr="00826645" w:rsidRDefault="0010219D" w:rsidP="0010219D">
            <w:pPr>
              <w:rPr>
                <w:b/>
                <w:bCs/>
                <w:sz w:val="22"/>
                <w:szCs w:val="22"/>
              </w:rPr>
            </w:pPr>
          </w:p>
        </w:tc>
        <w:tc>
          <w:tcPr>
            <w:tcW w:w="1136" w:type="dxa"/>
            <w:tcBorders>
              <w:top w:val="nil"/>
              <w:left w:val="nil"/>
              <w:bottom w:val="single" w:sz="4" w:space="0" w:color="auto"/>
              <w:right w:val="nil"/>
            </w:tcBorders>
            <w:shd w:val="clear" w:color="000000" w:fill="FFFFFF"/>
            <w:noWrap/>
            <w:vAlign w:val="center"/>
            <w:hideMark/>
          </w:tcPr>
          <w:p w:rsidR="0010219D" w:rsidRPr="00826645" w:rsidRDefault="007B35FB" w:rsidP="0010219D">
            <w:pPr>
              <w:jc w:val="center"/>
              <w:rPr>
                <w:b/>
                <w:bCs/>
                <w:sz w:val="22"/>
                <w:szCs w:val="22"/>
              </w:rPr>
            </w:pPr>
            <w:r>
              <w:rPr>
                <w:b/>
                <w:bCs/>
                <w:sz w:val="22"/>
                <w:szCs w:val="22"/>
              </w:rPr>
              <w:t>m</w:t>
            </w:r>
            <w:r w:rsidRPr="00826645">
              <w:rPr>
                <w:b/>
                <w:bCs/>
                <w:sz w:val="22"/>
                <w:szCs w:val="22"/>
              </w:rPr>
              <w:t>ents</w:t>
            </w:r>
          </w:p>
        </w:tc>
        <w:tc>
          <w:tcPr>
            <w:tcW w:w="1524" w:type="dxa"/>
            <w:tcBorders>
              <w:top w:val="nil"/>
              <w:left w:val="nil"/>
              <w:bottom w:val="single" w:sz="4" w:space="0" w:color="auto"/>
              <w:right w:val="nil"/>
            </w:tcBorders>
            <w:shd w:val="clear" w:color="000000" w:fill="FFFFFF"/>
            <w:noWrap/>
            <w:vAlign w:val="center"/>
            <w:hideMark/>
          </w:tcPr>
          <w:p w:rsidR="0010219D" w:rsidRPr="00826645" w:rsidRDefault="0010219D" w:rsidP="0010219D">
            <w:pPr>
              <w:jc w:val="center"/>
              <w:rPr>
                <w:b/>
                <w:bCs/>
                <w:sz w:val="22"/>
                <w:szCs w:val="22"/>
              </w:rPr>
            </w:pPr>
            <w:r w:rsidRPr="00826645">
              <w:rPr>
                <w:b/>
                <w:bCs/>
                <w:sz w:val="22"/>
                <w:szCs w:val="22"/>
              </w:rPr>
              <w:t>Capital</w:t>
            </w:r>
          </w:p>
        </w:tc>
        <w:tc>
          <w:tcPr>
            <w:tcW w:w="1530" w:type="dxa"/>
            <w:tcBorders>
              <w:top w:val="nil"/>
              <w:left w:val="nil"/>
              <w:bottom w:val="single" w:sz="4" w:space="0" w:color="auto"/>
              <w:right w:val="nil"/>
            </w:tcBorders>
            <w:shd w:val="clear" w:color="000000" w:fill="FFFFFF"/>
            <w:noWrap/>
            <w:vAlign w:val="center"/>
            <w:hideMark/>
          </w:tcPr>
          <w:p w:rsidR="0010219D" w:rsidRPr="00826645" w:rsidRDefault="0010219D" w:rsidP="0010219D">
            <w:pPr>
              <w:jc w:val="center"/>
              <w:rPr>
                <w:b/>
                <w:bCs/>
                <w:sz w:val="22"/>
                <w:szCs w:val="22"/>
              </w:rPr>
            </w:pPr>
            <w:r w:rsidRPr="00826645">
              <w:rPr>
                <w:b/>
                <w:bCs/>
                <w:sz w:val="22"/>
                <w:szCs w:val="22"/>
              </w:rPr>
              <w:t>ments</w:t>
            </w:r>
          </w:p>
        </w:tc>
        <w:tc>
          <w:tcPr>
            <w:tcW w:w="1846" w:type="dxa"/>
            <w:tcBorders>
              <w:top w:val="nil"/>
              <w:left w:val="nil"/>
              <w:bottom w:val="single" w:sz="4" w:space="0" w:color="auto"/>
              <w:right w:val="nil"/>
            </w:tcBorders>
            <w:shd w:val="clear" w:color="000000" w:fill="FFFFFF"/>
            <w:noWrap/>
            <w:vAlign w:val="center"/>
            <w:hideMark/>
          </w:tcPr>
          <w:p w:rsidR="0010219D" w:rsidRPr="00826645" w:rsidRDefault="0010219D" w:rsidP="0010219D">
            <w:pPr>
              <w:jc w:val="center"/>
              <w:rPr>
                <w:b/>
                <w:bCs/>
                <w:sz w:val="22"/>
                <w:szCs w:val="22"/>
              </w:rPr>
            </w:pPr>
            <w:r w:rsidRPr="00826645">
              <w:rPr>
                <w:b/>
                <w:bCs/>
                <w:sz w:val="22"/>
                <w:szCs w:val="22"/>
              </w:rPr>
              <w:t>to Rate Base</w:t>
            </w:r>
          </w:p>
        </w:tc>
        <w:tc>
          <w:tcPr>
            <w:tcW w:w="1260" w:type="dxa"/>
            <w:vMerge/>
            <w:tcBorders>
              <w:top w:val="single" w:sz="4" w:space="0" w:color="auto"/>
              <w:left w:val="nil"/>
              <w:bottom w:val="single" w:sz="4" w:space="0" w:color="000000"/>
              <w:right w:val="nil"/>
            </w:tcBorders>
            <w:vAlign w:val="center"/>
            <w:hideMark/>
          </w:tcPr>
          <w:p w:rsidR="0010219D" w:rsidRPr="00826645" w:rsidRDefault="0010219D" w:rsidP="0010219D">
            <w:pPr>
              <w:rPr>
                <w:b/>
                <w:bCs/>
                <w:sz w:val="22"/>
                <w:szCs w:val="22"/>
              </w:rPr>
            </w:pPr>
          </w:p>
        </w:tc>
        <w:tc>
          <w:tcPr>
            <w:tcW w:w="1260" w:type="dxa"/>
            <w:vMerge/>
            <w:tcBorders>
              <w:top w:val="single" w:sz="4" w:space="0" w:color="auto"/>
              <w:left w:val="nil"/>
              <w:bottom w:val="single" w:sz="4" w:space="0" w:color="000000"/>
              <w:right w:val="nil"/>
            </w:tcBorders>
            <w:vAlign w:val="center"/>
            <w:hideMark/>
          </w:tcPr>
          <w:p w:rsidR="0010219D" w:rsidRPr="00826645" w:rsidRDefault="0010219D" w:rsidP="0010219D">
            <w:pPr>
              <w:rPr>
                <w:b/>
                <w:bCs/>
                <w:sz w:val="22"/>
                <w:szCs w:val="22"/>
              </w:rPr>
            </w:pPr>
          </w:p>
        </w:tc>
        <w:tc>
          <w:tcPr>
            <w:tcW w:w="1121" w:type="dxa"/>
            <w:vMerge/>
            <w:tcBorders>
              <w:top w:val="single" w:sz="4" w:space="0" w:color="auto"/>
              <w:left w:val="nil"/>
              <w:bottom w:val="single" w:sz="4" w:space="0" w:color="000000"/>
              <w:right w:val="nil"/>
            </w:tcBorders>
            <w:vAlign w:val="center"/>
            <w:hideMark/>
          </w:tcPr>
          <w:p w:rsidR="0010219D" w:rsidRPr="00826645" w:rsidRDefault="0010219D" w:rsidP="0010219D">
            <w:pPr>
              <w:rPr>
                <w:b/>
                <w:bCs/>
                <w:sz w:val="22"/>
                <w:szCs w:val="22"/>
              </w:rPr>
            </w:pPr>
          </w:p>
        </w:tc>
        <w:tc>
          <w:tcPr>
            <w:tcW w:w="272" w:type="dxa"/>
            <w:tcBorders>
              <w:top w:val="nil"/>
              <w:left w:val="nil"/>
              <w:bottom w:val="single" w:sz="4" w:space="0" w:color="auto"/>
              <w:right w:val="single" w:sz="4" w:space="0" w:color="auto"/>
            </w:tcBorders>
            <w:shd w:val="clear" w:color="000000" w:fill="FFFFFF"/>
            <w:noWrap/>
            <w:vAlign w:val="center"/>
            <w:hideMark/>
          </w:tcPr>
          <w:p w:rsidR="0010219D" w:rsidRPr="00826645" w:rsidRDefault="0010219D" w:rsidP="0010219D">
            <w:pPr>
              <w:jc w:val="center"/>
              <w:rPr>
                <w:b/>
                <w:bCs/>
                <w:sz w:val="22"/>
                <w:szCs w:val="22"/>
              </w:rPr>
            </w:pPr>
            <w:r w:rsidRPr="00826645">
              <w:rPr>
                <w:b/>
                <w:bCs/>
                <w:sz w:val="22"/>
                <w:szCs w:val="22"/>
              </w:rPr>
              <w:t> </w:t>
            </w:r>
          </w:p>
        </w:tc>
      </w:tr>
      <w:tr w:rsidR="0010219D" w:rsidRPr="00826645" w:rsidTr="004D4632">
        <w:trPr>
          <w:trHeight w:val="300"/>
          <w:jc w:val="center"/>
        </w:trPr>
        <w:tc>
          <w:tcPr>
            <w:tcW w:w="436" w:type="dxa"/>
            <w:tcBorders>
              <w:top w:val="nil"/>
              <w:left w:val="single" w:sz="4" w:space="0" w:color="auto"/>
              <w:bottom w:val="nil"/>
              <w:right w:val="nil"/>
            </w:tcBorders>
            <w:shd w:val="clear" w:color="000000" w:fill="FFFFFF"/>
            <w:noWrap/>
            <w:vAlign w:val="center"/>
            <w:hideMark/>
          </w:tcPr>
          <w:p w:rsidR="0010219D" w:rsidRPr="00826645" w:rsidRDefault="0010219D" w:rsidP="0010219D">
            <w:pPr>
              <w:rPr>
                <w:b/>
                <w:bCs/>
                <w:sz w:val="22"/>
                <w:szCs w:val="22"/>
              </w:rPr>
            </w:pPr>
            <w:r w:rsidRPr="00826645">
              <w:rPr>
                <w:b/>
                <w:bCs/>
                <w:sz w:val="22"/>
                <w:szCs w:val="22"/>
              </w:rPr>
              <w:t> </w:t>
            </w:r>
          </w:p>
        </w:tc>
        <w:tc>
          <w:tcPr>
            <w:tcW w:w="2443" w:type="dxa"/>
            <w:tcBorders>
              <w:top w:val="nil"/>
              <w:left w:val="nil"/>
              <w:bottom w:val="nil"/>
              <w:right w:val="nil"/>
            </w:tcBorders>
            <w:shd w:val="clear" w:color="000000" w:fill="FFFFFF"/>
            <w:noWrap/>
            <w:vAlign w:val="center"/>
            <w:hideMark/>
          </w:tcPr>
          <w:p w:rsidR="0010219D" w:rsidRPr="00826645" w:rsidRDefault="0010219D" w:rsidP="0010219D">
            <w:pPr>
              <w:rPr>
                <w:rFonts w:ascii="Arial" w:hAnsi="Arial" w:cs="Arial"/>
              </w:rPr>
            </w:pPr>
            <w:r w:rsidRPr="00826645">
              <w:rPr>
                <w:rFonts w:ascii="Arial" w:hAnsi="Arial" w:cs="Arial"/>
              </w:rPr>
              <w:t> </w:t>
            </w:r>
          </w:p>
        </w:tc>
        <w:tc>
          <w:tcPr>
            <w:tcW w:w="1296" w:type="dxa"/>
            <w:tcBorders>
              <w:top w:val="nil"/>
              <w:left w:val="nil"/>
              <w:bottom w:val="nil"/>
              <w:right w:val="nil"/>
            </w:tcBorders>
            <w:shd w:val="clear" w:color="000000" w:fill="FFFFFF"/>
            <w:vAlign w:val="center"/>
            <w:hideMark/>
          </w:tcPr>
          <w:p w:rsidR="0010219D" w:rsidRPr="00826645" w:rsidRDefault="0010219D" w:rsidP="0010219D">
            <w:pPr>
              <w:rPr>
                <w:rFonts w:ascii="Arial" w:hAnsi="Arial" w:cs="Arial"/>
              </w:rPr>
            </w:pPr>
            <w:r w:rsidRPr="00826645">
              <w:rPr>
                <w:rFonts w:ascii="Arial" w:hAnsi="Arial" w:cs="Arial"/>
              </w:rPr>
              <w:t> </w:t>
            </w:r>
          </w:p>
        </w:tc>
        <w:tc>
          <w:tcPr>
            <w:tcW w:w="1136" w:type="dxa"/>
            <w:tcBorders>
              <w:top w:val="nil"/>
              <w:left w:val="nil"/>
              <w:bottom w:val="nil"/>
              <w:right w:val="nil"/>
            </w:tcBorders>
            <w:shd w:val="clear" w:color="000000" w:fill="FFFFFF"/>
            <w:noWrap/>
            <w:vAlign w:val="center"/>
            <w:hideMark/>
          </w:tcPr>
          <w:p w:rsidR="0010219D" w:rsidRPr="00826645" w:rsidRDefault="0010219D" w:rsidP="0010219D">
            <w:pPr>
              <w:jc w:val="center"/>
              <w:rPr>
                <w:b/>
                <w:bCs/>
                <w:sz w:val="22"/>
                <w:szCs w:val="22"/>
              </w:rPr>
            </w:pPr>
            <w:r w:rsidRPr="00826645">
              <w:rPr>
                <w:b/>
                <w:bCs/>
                <w:sz w:val="22"/>
                <w:szCs w:val="22"/>
              </w:rPr>
              <w:t> </w:t>
            </w:r>
          </w:p>
        </w:tc>
        <w:tc>
          <w:tcPr>
            <w:tcW w:w="1524" w:type="dxa"/>
            <w:tcBorders>
              <w:top w:val="nil"/>
              <w:left w:val="nil"/>
              <w:bottom w:val="nil"/>
              <w:right w:val="nil"/>
            </w:tcBorders>
            <w:shd w:val="clear" w:color="000000" w:fill="FFFFFF"/>
            <w:noWrap/>
            <w:vAlign w:val="center"/>
            <w:hideMark/>
          </w:tcPr>
          <w:p w:rsidR="0010219D" w:rsidRPr="00826645" w:rsidRDefault="0010219D" w:rsidP="0010219D">
            <w:pPr>
              <w:jc w:val="center"/>
              <w:rPr>
                <w:b/>
                <w:bCs/>
                <w:sz w:val="22"/>
                <w:szCs w:val="22"/>
              </w:rPr>
            </w:pPr>
            <w:r w:rsidRPr="00826645">
              <w:rPr>
                <w:b/>
                <w:bCs/>
                <w:sz w:val="22"/>
                <w:szCs w:val="22"/>
              </w:rPr>
              <w:t> </w:t>
            </w:r>
          </w:p>
        </w:tc>
        <w:tc>
          <w:tcPr>
            <w:tcW w:w="1530" w:type="dxa"/>
            <w:tcBorders>
              <w:top w:val="nil"/>
              <w:left w:val="nil"/>
              <w:bottom w:val="nil"/>
              <w:right w:val="nil"/>
            </w:tcBorders>
            <w:shd w:val="clear" w:color="000000" w:fill="FFFFFF"/>
            <w:noWrap/>
            <w:vAlign w:val="center"/>
            <w:hideMark/>
          </w:tcPr>
          <w:p w:rsidR="0010219D" w:rsidRPr="00826645" w:rsidRDefault="0010219D" w:rsidP="0010219D">
            <w:pPr>
              <w:jc w:val="center"/>
              <w:rPr>
                <w:b/>
                <w:bCs/>
                <w:sz w:val="22"/>
                <w:szCs w:val="22"/>
              </w:rPr>
            </w:pPr>
            <w:r w:rsidRPr="00826645">
              <w:rPr>
                <w:b/>
                <w:bCs/>
                <w:sz w:val="22"/>
                <w:szCs w:val="22"/>
              </w:rPr>
              <w:t> </w:t>
            </w:r>
          </w:p>
        </w:tc>
        <w:tc>
          <w:tcPr>
            <w:tcW w:w="1846" w:type="dxa"/>
            <w:tcBorders>
              <w:top w:val="nil"/>
              <w:left w:val="nil"/>
              <w:bottom w:val="nil"/>
              <w:right w:val="nil"/>
            </w:tcBorders>
            <w:shd w:val="clear" w:color="000000" w:fill="FFFFFF"/>
            <w:noWrap/>
            <w:vAlign w:val="center"/>
            <w:hideMark/>
          </w:tcPr>
          <w:p w:rsidR="0010219D" w:rsidRPr="00826645" w:rsidRDefault="0010219D" w:rsidP="0010219D">
            <w:pPr>
              <w:jc w:val="center"/>
              <w:rPr>
                <w:b/>
                <w:bCs/>
                <w:sz w:val="22"/>
                <w:szCs w:val="22"/>
              </w:rPr>
            </w:pPr>
            <w:r w:rsidRPr="00826645">
              <w:rPr>
                <w:b/>
                <w:bCs/>
                <w:sz w:val="22"/>
                <w:szCs w:val="22"/>
              </w:rPr>
              <w:t> </w:t>
            </w:r>
          </w:p>
        </w:tc>
        <w:tc>
          <w:tcPr>
            <w:tcW w:w="1260" w:type="dxa"/>
            <w:tcBorders>
              <w:top w:val="nil"/>
              <w:left w:val="nil"/>
              <w:bottom w:val="nil"/>
              <w:right w:val="nil"/>
            </w:tcBorders>
            <w:shd w:val="clear" w:color="000000" w:fill="FFFFFF"/>
            <w:noWrap/>
            <w:vAlign w:val="center"/>
            <w:hideMark/>
          </w:tcPr>
          <w:p w:rsidR="0010219D" w:rsidRPr="00826645" w:rsidRDefault="0010219D" w:rsidP="0010219D">
            <w:pPr>
              <w:rPr>
                <w:rFonts w:ascii="Arial" w:hAnsi="Arial" w:cs="Arial"/>
              </w:rPr>
            </w:pPr>
            <w:r w:rsidRPr="00826645">
              <w:rPr>
                <w:rFonts w:ascii="Arial" w:hAnsi="Arial" w:cs="Arial"/>
              </w:rPr>
              <w:t> </w:t>
            </w:r>
          </w:p>
        </w:tc>
        <w:tc>
          <w:tcPr>
            <w:tcW w:w="1260" w:type="dxa"/>
            <w:tcBorders>
              <w:top w:val="nil"/>
              <w:left w:val="nil"/>
              <w:bottom w:val="nil"/>
              <w:right w:val="nil"/>
            </w:tcBorders>
            <w:shd w:val="clear" w:color="000000" w:fill="FFFFFF"/>
            <w:vAlign w:val="center"/>
            <w:hideMark/>
          </w:tcPr>
          <w:p w:rsidR="0010219D" w:rsidRPr="00826645" w:rsidRDefault="0010219D" w:rsidP="0010219D">
            <w:pPr>
              <w:rPr>
                <w:rFonts w:ascii="Arial" w:hAnsi="Arial" w:cs="Arial"/>
              </w:rPr>
            </w:pPr>
            <w:r w:rsidRPr="00826645">
              <w:rPr>
                <w:rFonts w:ascii="Arial" w:hAnsi="Arial" w:cs="Arial"/>
              </w:rPr>
              <w:t> </w:t>
            </w:r>
          </w:p>
        </w:tc>
        <w:tc>
          <w:tcPr>
            <w:tcW w:w="1121" w:type="dxa"/>
            <w:tcBorders>
              <w:top w:val="nil"/>
              <w:left w:val="nil"/>
              <w:bottom w:val="nil"/>
              <w:right w:val="nil"/>
            </w:tcBorders>
            <w:shd w:val="clear" w:color="000000" w:fill="FFFFFF"/>
            <w:vAlign w:val="center"/>
            <w:hideMark/>
          </w:tcPr>
          <w:p w:rsidR="0010219D" w:rsidRPr="00826645" w:rsidRDefault="0010219D" w:rsidP="0010219D">
            <w:pPr>
              <w:rPr>
                <w:rFonts w:ascii="Arial" w:hAnsi="Arial" w:cs="Arial"/>
              </w:rPr>
            </w:pPr>
            <w:r w:rsidRPr="00826645">
              <w:rPr>
                <w:rFonts w:ascii="Arial" w:hAnsi="Arial" w:cs="Arial"/>
              </w:rPr>
              <w:t> </w:t>
            </w:r>
          </w:p>
        </w:tc>
        <w:tc>
          <w:tcPr>
            <w:tcW w:w="272" w:type="dxa"/>
            <w:tcBorders>
              <w:top w:val="nil"/>
              <w:left w:val="nil"/>
              <w:bottom w:val="nil"/>
              <w:right w:val="single" w:sz="4" w:space="0" w:color="auto"/>
            </w:tcBorders>
            <w:shd w:val="clear" w:color="000000" w:fill="FFFFFF"/>
            <w:noWrap/>
            <w:vAlign w:val="center"/>
            <w:hideMark/>
          </w:tcPr>
          <w:p w:rsidR="0010219D" w:rsidRPr="00826645" w:rsidRDefault="0010219D" w:rsidP="0010219D">
            <w:pPr>
              <w:jc w:val="center"/>
              <w:rPr>
                <w:b/>
                <w:bCs/>
                <w:sz w:val="22"/>
                <w:szCs w:val="22"/>
              </w:rPr>
            </w:pPr>
            <w:r w:rsidRPr="00826645">
              <w:rPr>
                <w:b/>
                <w:bCs/>
                <w:sz w:val="22"/>
                <w:szCs w:val="22"/>
              </w:rPr>
              <w:t> </w:t>
            </w:r>
          </w:p>
        </w:tc>
      </w:tr>
      <w:tr w:rsidR="0010219D" w:rsidRPr="00826645" w:rsidTr="004D4632">
        <w:trPr>
          <w:trHeight w:val="300"/>
          <w:jc w:val="center"/>
        </w:trPr>
        <w:tc>
          <w:tcPr>
            <w:tcW w:w="436" w:type="dxa"/>
            <w:tcBorders>
              <w:top w:val="nil"/>
              <w:left w:val="single" w:sz="4" w:space="0" w:color="auto"/>
              <w:bottom w:val="nil"/>
              <w:right w:val="nil"/>
            </w:tcBorders>
            <w:shd w:val="clear" w:color="000000" w:fill="FFFFFF"/>
            <w:noWrap/>
            <w:vAlign w:val="bottom"/>
            <w:hideMark/>
          </w:tcPr>
          <w:p w:rsidR="0010219D" w:rsidRPr="00826645" w:rsidRDefault="0010219D" w:rsidP="0010219D">
            <w:pPr>
              <w:jc w:val="center"/>
              <w:rPr>
                <w:sz w:val="22"/>
                <w:szCs w:val="22"/>
              </w:rPr>
            </w:pPr>
            <w:r w:rsidRPr="00826645">
              <w:rPr>
                <w:sz w:val="22"/>
                <w:szCs w:val="22"/>
              </w:rPr>
              <w:t>1</w:t>
            </w:r>
          </w:p>
        </w:tc>
        <w:tc>
          <w:tcPr>
            <w:tcW w:w="2443"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Long-term Debt</w:t>
            </w:r>
          </w:p>
        </w:tc>
        <w:tc>
          <w:tcPr>
            <w:tcW w:w="1296"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 xml:space="preserve">$1,000,000 </w:t>
            </w:r>
          </w:p>
        </w:tc>
        <w:tc>
          <w:tcPr>
            <w:tcW w:w="1136"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 xml:space="preserve">$0 </w:t>
            </w:r>
          </w:p>
        </w:tc>
        <w:tc>
          <w:tcPr>
            <w:tcW w:w="1524"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 xml:space="preserve">$1,000,000 </w:t>
            </w:r>
          </w:p>
        </w:tc>
        <w:tc>
          <w:tcPr>
            <w:tcW w:w="1530"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 xml:space="preserve">$87,735 </w:t>
            </w:r>
          </w:p>
        </w:tc>
        <w:tc>
          <w:tcPr>
            <w:tcW w:w="1846"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 xml:space="preserve">$1,087,735 </w:t>
            </w:r>
          </w:p>
        </w:tc>
        <w:tc>
          <w:tcPr>
            <w:tcW w:w="1260"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47.41%</w:t>
            </w:r>
          </w:p>
        </w:tc>
        <w:tc>
          <w:tcPr>
            <w:tcW w:w="1260"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7.00%</w:t>
            </w:r>
          </w:p>
        </w:tc>
        <w:tc>
          <w:tcPr>
            <w:tcW w:w="1121"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3.32%</w:t>
            </w:r>
          </w:p>
        </w:tc>
        <w:tc>
          <w:tcPr>
            <w:tcW w:w="272" w:type="dxa"/>
            <w:tcBorders>
              <w:top w:val="nil"/>
              <w:left w:val="nil"/>
              <w:bottom w:val="nil"/>
              <w:right w:val="single" w:sz="4" w:space="0" w:color="auto"/>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r>
      <w:tr w:rsidR="0010219D" w:rsidRPr="00826645" w:rsidTr="004D4632">
        <w:trPr>
          <w:trHeight w:val="300"/>
          <w:jc w:val="center"/>
        </w:trPr>
        <w:tc>
          <w:tcPr>
            <w:tcW w:w="436" w:type="dxa"/>
            <w:tcBorders>
              <w:top w:val="nil"/>
              <w:left w:val="single" w:sz="4" w:space="0" w:color="auto"/>
              <w:bottom w:val="nil"/>
              <w:right w:val="nil"/>
            </w:tcBorders>
            <w:shd w:val="clear" w:color="000000" w:fill="FFFFFF"/>
            <w:noWrap/>
            <w:vAlign w:val="bottom"/>
            <w:hideMark/>
          </w:tcPr>
          <w:p w:rsidR="0010219D" w:rsidRPr="00826645" w:rsidRDefault="0010219D" w:rsidP="0010219D">
            <w:pPr>
              <w:jc w:val="center"/>
              <w:rPr>
                <w:sz w:val="22"/>
                <w:szCs w:val="22"/>
              </w:rPr>
            </w:pPr>
            <w:r w:rsidRPr="00826645">
              <w:rPr>
                <w:sz w:val="22"/>
                <w:szCs w:val="22"/>
              </w:rPr>
              <w:t>2</w:t>
            </w:r>
          </w:p>
        </w:tc>
        <w:tc>
          <w:tcPr>
            <w:tcW w:w="2443"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Short-term Debt</w:t>
            </w:r>
          </w:p>
        </w:tc>
        <w:tc>
          <w:tcPr>
            <w:tcW w:w="1296"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 xml:space="preserve">0 </w:t>
            </w:r>
          </w:p>
        </w:tc>
        <w:tc>
          <w:tcPr>
            <w:tcW w:w="1136"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 xml:space="preserve">0 </w:t>
            </w:r>
          </w:p>
        </w:tc>
        <w:tc>
          <w:tcPr>
            <w:tcW w:w="1524"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 xml:space="preserve">0 </w:t>
            </w:r>
          </w:p>
        </w:tc>
        <w:tc>
          <w:tcPr>
            <w:tcW w:w="1530"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 xml:space="preserve">0 </w:t>
            </w:r>
          </w:p>
        </w:tc>
        <w:tc>
          <w:tcPr>
            <w:tcW w:w="1846"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 xml:space="preserve">0 </w:t>
            </w:r>
          </w:p>
        </w:tc>
        <w:tc>
          <w:tcPr>
            <w:tcW w:w="1260"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0.00%</w:t>
            </w:r>
          </w:p>
        </w:tc>
        <w:tc>
          <w:tcPr>
            <w:tcW w:w="1260"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0.00%</w:t>
            </w:r>
          </w:p>
        </w:tc>
        <w:tc>
          <w:tcPr>
            <w:tcW w:w="1121"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0.00%</w:t>
            </w:r>
          </w:p>
        </w:tc>
        <w:tc>
          <w:tcPr>
            <w:tcW w:w="272" w:type="dxa"/>
            <w:tcBorders>
              <w:top w:val="nil"/>
              <w:left w:val="nil"/>
              <w:bottom w:val="nil"/>
              <w:right w:val="single" w:sz="4" w:space="0" w:color="auto"/>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r>
      <w:tr w:rsidR="0010219D" w:rsidRPr="00826645" w:rsidTr="004D4632">
        <w:trPr>
          <w:trHeight w:val="300"/>
          <w:jc w:val="center"/>
        </w:trPr>
        <w:tc>
          <w:tcPr>
            <w:tcW w:w="436" w:type="dxa"/>
            <w:tcBorders>
              <w:top w:val="nil"/>
              <w:left w:val="single" w:sz="4" w:space="0" w:color="auto"/>
              <w:bottom w:val="nil"/>
              <w:right w:val="nil"/>
            </w:tcBorders>
            <w:shd w:val="clear" w:color="000000" w:fill="FFFFFF"/>
            <w:noWrap/>
            <w:vAlign w:val="bottom"/>
            <w:hideMark/>
          </w:tcPr>
          <w:p w:rsidR="0010219D" w:rsidRPr="00826645" w:rsidRDefault="0010219D" w:rsidP="0010219D">
            <w:pPr>
              <w:jc w:val="center"/>
              <w:rPr>
                <w:sz w:val="22"/>
                <w:szCs w:val="22"/>
              </w:rPr>
            </w:pPr>
            <w:r w:rsidRPr="00826645">
              <w:rPr>
                <w:sz w:val="22"/>
                <w:szCs w:val="22"/>
              </w:rPr>
              <w:t>3</w:t>
            </w:r>
          </w:p>
        </w:tc>
        <w:tc>
          <w:tcPr>
            <w:tcW w:w="2443"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Preferred Stock</w:t>
            </w:r>
          </w:p>
        </w:tc>
        <w:tc>
          <w:tcPr>
            <w:tcW w:w="1296"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 xml:space="preserve">0 </w:t>
            </w:r>
          </w:p>
        </w:tc>
        <w:tc>
          <w:tcPr>
            <w:tcW w:w="1136"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 xml:space="preserve">0 </w:t>
            </w:r>
          </w:p>
        </w:tc>
        <w:tc>
          <w:tcPr>
            <w:tcW w:w="1524"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 xml:space="preserve">0 </w:t>
            </w:r>
          </w:p>
        </w:tc>
        <w:tc>
          <w:tcPr>
            <w:tcW w:w="1530"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 xml:space="preserve">0 </w:t>
            </w:r>
          </w:p>
        </w:tc>
        <w:tc>
          <w:tcPr>
            <w:tcW w:w="1846"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 xml:space="preserve">0 </w:t>
            </w:r>
          </w:p>
        </w:tc>
        <w:tc>
          <w:tcPr>
            <w:tcW w:w="1260"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0.00%</w:t>
            </w:r>
          </w:p>
        </w:tc>
        <w:tc>
          <w:tcPr>
            <w:tcW w:w="1260"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0.00%</w:t>
            </w:r>
          </w:p>
        </w:tc>
        <w:tc>
          <w:tcPr>
            <w:tcW w:w="1121"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0.00%</w:t>
            </w:r>
          </w:p>
        </w:tc>
        <w:tc>
          <w:tcPr>
            <w:tcW w:w="272" w:type="dxa"/>
            <w:tcBorders>
              <w:top w:val="nil"/>
              <w:left w:val="nil"/>
              <w:bottom w:val="nil"/>
              <w:right w:val="single" w:sz="4" w:space="0" w:color="auto"/>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r>
      <w:tr w:rsidR="0010219D" w:rsidRPr="00826645" w:rsidTr="004D4632">
        <w:trPr>
          <w:trHeight w:val="300"/>
          <w:jc w:val="center"/>
        </w:trPr>
        <w:tc>
          <w:tcPr>
            <w:tcW w:w="436" w:type="dxa"/>
            <w:tcBorders>
              <w:top w:val="nil"/>
              <w:left w:val="single" w:sz="4" w:space="0" w:color="auto"/>
              <w:bottom w:val="nil"/>
              <w:right w:val="nil"/>
            </w:tcBorders>
            <w:shd w:val="clear" w:color="000000" w:fill="FFFFFF"/>
            <w:noWrap/>
            <w:vAlign w:val="bottom"/>
            <w:hideMark/>
          </w:tcPr>
          <w:p w:rsidR="0010219D" w:rsidRPr="00826645" w:rsidRDefault="0010219D" w:rsidP="0010219D">
            <w:pPr>
              <w:jc w:val="center"/>
              <w:rPr>
                <w:sz w:val="22"/>
                <w:szCs w:val="22"/>
              </w:rPr>
            </w:pPr>
            <w:r w:rsidRPr="00826645">
              <w:rPr>
                <w:sz w:val="22"/>
                <w:szCs w:val="22"/>
              </w:rPr>
              <w:t>4</w:t>
            </w:r>
          </w:p>
        </w:tc>
        <w:tc>
          <w:tcPr>
            <w:tcW w:w="2443"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Common Equity</w:t>
            </w:r>
          </w:p>
        </w:tc>
        <w:tc>
          <w:tcPr>
            <w:tcW w:w="1296"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 xml:space="preserve">1,093,354 </w:t>
            </w:r>
          </w:p>
        </w:tc>
        <w:tc>
          <w:tcPr>
            <w:tcW w:w="1136"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 xml:space="preserve">0 </w:t>
            </w:r>
          </w:p>
        </w:tc>
        <w:tc>
          <w:tcPr>
            <w:tcW w:w="1524"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 xml:space="preserve">1,093,354 </w:t>
            </w:r>
          </w:p>
        </w:tc>
        <w:tc>
          <w:tcPr>
            <w:tcW w:w="1530"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 xml:space="preserve">95,926 </w:t>
            </w:r>
          </w:p>
        </w:tc>
        <w:tc>
          <w:tcPr>
            <w:tcW w:w="1846"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 xml:space="preserve">1,189,280 </w:t>
            </w:r>
          </w:p>
        </w:tc>
        <w:tc>
          <w:tcPr>
            <w:tcW w:w="1260"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51.83%</w:t>
            </w:r>
          </w:p>
        </w:tc>
        <w:tc>
          <w:tcPr>
            <w:tcW w:w="1260"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10.23%</w:t>
            </w:r>
          </w:p>
        </w:tc>
        <w:tc>
          <w:tcPr>
            <w:tcW w:w="1121"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5.30%</w:t>
            </w:r>
          </w:p>
        </w:tc>
        <w:tc>
          <w:tcPr>
            <w:tcW w:w="272" w:type="dxa"/>
            <w:tcBorders>
              <w:top w:val="nil"/>
              <w:left w:val="nil"/>
              <w:bottom w:val="nil"/>
              <w:right w:val="single" w:sz="4" w:space="0" w:color="auto"/>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r>
      <w:tr w:rsidR="0010219D" w:rsidRPr="00826645" w:rsidTr="004D4632">
        <w:trPr>
          <w:trHeight w:val="300"/>
          <w:jc w:val="center"/>
        </w:trPr>
        <w:tc>
          <w:tcPr>
            <w:tcW w:w="436" w:type="dxa"/>
            <w:tcBorders>
              <w:top w:val="nil"/>
              <w:left w:val="single" w:sz="4" w:space="0" w:color="auto"/>
              <w:bottom w:val="nil"/>
              <w:right w:val="nil"/>
            </w:tcBorders>
            <w:shd w:val="clear" w:color="000000" w:fill="FFFFFF"/>
            <w:noWrap/>
            <w:vAlign w:val="bottom"/>
            <w:hideMark/>
          </w:tcPr>
          <w:p w:rsidR="0010219D" w:rsidRPr="00826645" w:rsidRDefault="0010219D" w:rsidP="0010219D">
            <w:pPr>
              <w:jc w:val="center"/>
              <w:rPr>
                <w:sz w:val="22"/>
                <w:szCs w:val="22"/>
              </w:rPr>
            </w:pPr>
            <w:r w:rsidRPr="00826645">
              <w:rPr>
                <w:sz w:val="22"/>
                <w:szCs w:val="22"/>
              </w:rPr>
              <w:t>5</w:t>
            </w:r>
          </w:p>
        </w:tc>
        <w:tc>
          <w:tcPr>
            <w:tcW w:w="2443"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Customer Deposits</w:t>
            </w:r>
          </w:p>
        </w:tc>
        <w:tc>
          <w:tcPr>
            <w:tcW w:w="1296"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 xml:space="preserve">16,100 </w:t>
            </w:r>
          </w:p>
        </w:tc>
        <w:tc>
          <w:tcPr>
            <w:tcW w:w="1136"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 xml:space="preserve">0 </w:t>
            </w:r>
          </w:p>
        </w:tc>
        <w:tc>
          <w:tcPr>
            <w:tcW w:w="1524"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 xml:space="preserve">16,100 </w:t>
            </w:r>
          </w:p>
        </w:tc>
        <w:tc>
          <w:tcPr>
            <w:tcW w:w="1530"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 xml:space="preserve">1,413 </w:t>
            </w:r>
          </w:p>
        </w:tc>
        <w:tc>
          <w:tcPr>
            <w:tcW w:w="1846"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 xml:space="preserve">17,513 </w:t>
            </w:r>
          </w:p>
        </w:tc>
        <w:tc>
          <w:tcPr>
            <w:tcW w:w="1260"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0.76%</w:t>
            </w:r>
          </w:p>
        </w:tc>
        <w:tc>
          <w:tcPr>
            <w:tcW w:w="1260"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2.00%</w:t>
            </w:r>
          </w:p>
        </w:tc>
        <w:tc>
          <w:tcPr>
            <w:tcW w:w="1121"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0.02%</w:t>
            </w:r>
          </w:p>
        </w:tc>
        <w:tc>
          <w:tcPr>
            <w:tcW w:w="272" w:type="dxa"/>
            <w:tcBorders>
              <w:top w:val="nil"/>
              <w:left w:val="nil"/>
              <w:bottom w:val="nil"/>
              <w:right w:val="single" w:sz="4" w:space="0" w:color="auto"/>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r>
      <w:tr w:rsidR="0010219D" w:rsidRPr="00826645" w:rsidTr="004D4632">
        <w:trPr>
          <w:trHeight w:val="300"/>
          <w:jc w:val="center"/>
        </w:trPr>
        <w:tc>
          <w:tcPr>
            <w:tcW w:w="436" w:type="dxa"/>
            <w:tcBorders>
              <w:top w:val="nil"/>
              <w:left w:val="single" w:sz="4" w:space="0" w:color="auto"/>
              <w:bottom w:val="nil"/>
              <w:right w:val="nil"/>
            </w:tcBorders>
            <w:shd w:val="clear" w:color="000000" w:fill="FFFFFF"/>
            <w:noWrap/>
            <w:vAlign w:val="bottom"/>
            <w:hideMark/>
          </w:tcPr>
          <w:p w:rsidR="0010219D" w:rsidRPr="00826645" w:rsidRDefault="0010219D" w:rsidP="0010219D">
            <w:pPr>
              <w:jc w:val="center"/>
              <w:rPr>
                <w:sz w:val="22"/>
                <w:szCs w:val="22"/>
              </w:rPr>
            </w:pPr>
            <w:r w:rsidRPr="00826645">
              <w:rPr>
                <w:sz w:val="22"/>
                <w:szCs w:val="22"/>
              </w:rPr>
              <w:t>6</w:t>
            </w:r>
          </w:p>
        </w:tc>
        <w:tc>
          <w:tcPr>
            <w:tcW w:w="2443"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Tax Credits-Zero Cost</w:t>
            </w:r>
          </w:p>
        </w:tc>
        <w:tc>
          <w:tcPr>
            <w:tcW w:w="1296"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 xml:space="preserve">0 </w:t>
            </w:r>
          </w:p>
        </w:tc>
        <w:tc>
          <w:tcPr>
            <w:tcW w:w="1136"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 xml:space="preserve">0 </w:t>
            </w:r>
          </w:p>
        </w:tc>
        <w:tc>
          <w:tcPr>
            <w:tcW w:w="1524"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 xml:space="preserve">0 </w:t>
            </w:r>
          </w:p>
        </w:tc>
        <w:tc>
          <w:tcPr>
            <w:tcW w:w="1530"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 xml:space="preserve">0 </w:t>
            </w:r>
          </w:p>
        </w:tc>
        <w:tc>
          <w:tcPr>
            <w:tcW w:w="1846"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 xml:space="preserve">0 </w:t>
            </w:r>
          </w:p>
        </w:tc>
        <w:tc>
          <w:tcPr>
            <w:tcW w:w="1260"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0.00%</w:t>
            </w:r>
          </w:p>
        </w:tc>
        <w:tc>
          <w:tcPr>
            <w:tcW w:w="1260"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0.00%</w:t>
            </w:r>
          </w:p>
        </w:tc>
        <w:tc>
          <w:tcPr>
            <w:tcW w:w="1121"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0.00%</w:t>
            </w:r>
          </w:p>
        </w:tc>
        <w:tc>
          <w:tcPr>
            <w:tcW w:w="272" w:type="dxa"/>
            <w:tcBorders>
              <w:top w:val="nil"/>
              <w:left w:val="nil"/>
              <w:bottom w:val="nil"/>
              <w:right w:val="single" w:sz="4" w:space="0" w:color="auto"/>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r>
      <w:tr w:rsidR="0010219D" w:rsidRPr="00826645" w:rsidTr="004D4632">
        <w:trPr>
          <w:trHeight w:val="300"/>
          <w:jc w:val="center"/>
        </w:trPr>
        <w:tc>
          <w:tcPr>
            <w:tcW w:w="436" w:type="dxa"/>
            <w:tcBorders>
              <w:top w:val="nil"/>
              <w:left w:val="single" w:sz="4" w:space="0" w:color="auto"/>
              <w:bottom w:val="nil"/>
              <w:right w:val="nil"/>
            </w:tcBorders>
            <w:shd w:val="clear" w:color="000000" w:fill="FFFFFF"/>
            <w:noWrap/>
            <w:vAlign w:val="bottom"/>
            <w:hideMark/>
          </w:tcPr>
          <w:p w:rsidR="0010219D" w:rsidRPr="00826645" w:rsidRDefault="0010219D" w:rsidP="0010219D">
            <w:pPr>
              <w:jc w:val="center"/>
              <w:rPr>
                <w:sz w:val="22"/>
                <w:szCs w:val="22"/>
              </w:rPr>
            </w:pPr>
            <w:r w:rsidRPr="00826645">
              <w:rPr>
                <w:sz w:val="22"/>
                <w:szCs w:val="22"/>
              </w:rPr>
              <w:t>7</w:t>
            </w:r>
          </w:p>
        </w:tc>
        <w:tc>
          <w:tcPr>
            <w:tcW w:w="2443"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Deferred Income Taxes</w:t>
            </w:r>
          </w:p>
        </w:tc>
        <w:tc>
          <w:tcPr>
            <w:tcW w:w="1296"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u w:val="single"/>
              </w:rPr>
            </w:pPr>
            <w:r w:rsidRPr="00826645">
              <w:rPr>
                <w:sz w:val="22"/>
                <w:szCs w:val="22"/>
                <w:u w:val="single"/>
              </w:rPr>
              <w:t xml:space="preserve">0 </w:t>
            </w:r>
          </w:p>
        </w:tc>
        <w:tc>
          <w:tcPr>
            <w:tcW w:w="1136"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u w:val="single"/>
              </w:rPr>
            </w:pPr>
            <w:r w:rsidRPr="00826645">
              <w:rPr>
                <w:sz w:val="22"/>
                <w:szCs w:val="22"/>
                <w:u w:val="single"/>
              </w:rPr>
              <w:t xml:space="preserve">0 </w:t>
            </w:r>
          </w:p>
        </w:tc>
        <w:tc>
          <w:tcPr>
            <w:tcW w:w="1524"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u w:val="single"/>
              </w:rPr>
            </w:pPr>
            <w:r w:rsidRPr="00826645">
              <w:rPr>
                <w:sz w:val="22"/>
                <w:szCs w:val="22"/>
                <w:u w:val="single"/>
              </w:rPr>
              <w:t xml:space="preserve">0 </w:t>
            </w:r>
          </w:p>
        </w:tc>
        <w:tc>
          <w:tcPr>
            <w:tcW w:w="1530"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u w:val="single"/>
              </w:rPr>
            </w:pPr>
            <w:r w:rsidRPr="00826645">
              <w:rPr>
                <w:sz w:val="22"/>
                <w:szCs w:val="22"/>
                <w:u w:val="single"/>
              </w:rPr>
              <w:t xml:space="preserve">0 </w:t>
            </w:r>
          </w:p>
        </w:tc>
        <w:tc>
          <w:tcPr>
            <w:tcW w:w="1846"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u w:val="single"/>
              </w:rPr>
            </w:pPr>
            <w:r w:rsidRPr="00826645">
              <w:rPr>
                <w:sz w:val="22"/>
                <w:szCs w:val="22"/>
                <w:u w:val="single"/>
              </w:rPr>
              <w:t xml:space="preserve">0 </w:t>
            </w:r>
          </w:p>
        </w:tc>
        <w:tc>
          <w:tcPr>
            <w:tcW w:w="1260"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u w:val="single"/>
              </w:rPr>
            </w:pPr>
            <w:r w:rsidRPr="00826645">
              <w:rPr>
                <w:sz w:val="22"/>
                <w:szCs w:val="22"/>
                <w:u w:val="single"/>
              </w:rPr>
              <w:t>0.00%</w:t>
            </w:r>
          </w:p>
        </w:tc>
        <w:tc>
          <w:tcPr>
            <w:tcW w:w="1260"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0.00%</w:t>
            </w:r>
          </w:p>
        </w:tc>
        <w:tc>
          <w:tcPr>
            <w:tcW w:w="1121"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u w:val="single"/>
              </w:rPr>
            </w:pPr>
            <w:r w:rsidRPr="00826645">
              <w:rPr>
                <w:sz w:val="22"/>
                <w:szCs w:val="22"/>
                <w:u w:val="single"/>
              </w:rPr>
              <w:t>0.00%</w:t>
            </w:r>
          </w:p>
        </w:tc>
        <w:tc>
          <w:tcPr>
            <w:tcW w:w="272" w:type="dxa"/>
            <w:tcBorders>
              <w:top w:val="nil"/>
              <w:left w:val="nil"/>
              <w:bottom w:val="nil"/>
              <w:right w:val="single" w:sz="4" w:space="0" w:color="auto"/>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r>
      <w:tr w:rsidR="0010219D" w:rsidRPr="00826645" w:rsidTr="004D4632">
        <w:trPr>
          <w:trHeight w:val="300"/>
          <w:jc w:val="center"/>
        </w:trPr>
        <w:tc>
          <w:tcPr>
            <w:tcW w:w="436" w:type="dxa"/>
            <w:tcBorders>
              <w:top w:val="nil"/>
              <w:left w:val="single" w:sz="4" w:space="0" w:color="auto"/>
              <w:bottom w:val="nil"/>
              <w:right w:val="nil"/>
            </w:tcBorders>
            <w:shd w:val="clear" w:color="000000" w:fill="FFFFFF"/>
            <w:noWrap/>
            <w:vAlign w:val="bottom"/>
            <w:hideMark/>
          </w:tcPr>
          <w:p w:rsidR="0010219D" w:rsidRPr="00826645" w:rsidRDefault="0010219D" w:rsidP="0010219D">
            <w:pPr>
              <w:jc w:val="center"/>
              <w:rPr>
                <w:sz w:val="22"/>
                <w:szCs w:val="22"/>
              </w:rPr>
            </w:pPr>
            <w:r w:rsidRPr="00826645">
              <w:rPr>
                <w:sz w:val="22"/>
                <w:szCs w:val="22"/>
              </w:rPr>
              <w:t>8</w:t>
            </w:r>
          </w:p>
        </w:tc>
        <w:tc>
          <w:tcPr>
            <w:tcW w:w="2443" w:type="dxa"/>
            <w:tcBorders>
              <w:top w:val="nil"/>
              <w:left w:val="nil"/>
              <w:bottom w:val="nil"/>
              <w:right w:val="nil"/>
            </w:tcBorders>
            <w:shd w:val="clear" w:color="000000" w:fill="FFFFFF"/>
            <w:noWrap/>
            <w:vAlign w:val="bottom"/>
            <w:hideMark/>
          </w:tcPr>
          <w:p w:rsidR="0010219D" w:rsidRPr="00826645" w:rsidRDefault="0010219D" w:rsidP="0010219D">
            <w:pPr>
              <w:rPr>
                <w:b/>
                <w:bCs/>
                <w:sz w:val="22"/>
                <w:szCs w:val="22"/>
              </w:rPr>
            </w:pPr>
            <w:r w:rsidRPr="00826645">
              <w:rPr>
                <w:b/>
                <w:bCs/>
                <w:sz w:val="22"/>
                <w:szCs w:val="22"/>
              </w:rPr>
              <w:t>Total Capital</w:t>
            </w:r>
          </w:p>
        </w:tc>
        <w:tc>
          <w:tcPr>
            <w:tcW w:w="1296"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u w:val="double"/>
              </w:rPr>
            </w:pPr>
            <w:r w:rsidRPr="00826645">
              <w:rPr>
                <w:sz w:val="22"/>
                <w:szCs w:val="22"/>
                <w:u w:val="double"/>
              </w:rPr>
              <w:t xml:space="preserve">$2,109,454 </w:t>
            </w:r>
          </w:p>
        </w:tc>
        <w:tc>
          <w:tcPr>
            <w:tcW w:w="1136"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u w:val="double"/>
              </w:rPr>
            </w:pPr>
            <w:r w:rsidRPr="00826645">
              <w:rPr>
                <w:sz w:val="22"/>
                <w:szCs w:val="22"/>
                <w:u w:val="double"/>
              </w:rPr>
              <w:t xml:space="preserve">$0 </w:t>
            </w:r>
          </w:p>
        </w:tc>
        <w:tc>
          <w:tcPr>
            <w:tcW w:w="1524"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u w:val="double"/>
              </w:rPr>
            </w:pPr>
            <w:r w:rsidRPr="00826645">
              <w:rPr>
                <w:sz w:val="22"/>
                <w:szCs w:val="22"/>
                <w:u w:val="double"/>
              </w:rPr>
              <w:t xml:space="preserve">$2,109,454 </w:t>
            </w:r>
          </w:p>
        </w:tc>
        <w:tc>
          <w:tcPr>
            <w:tcW w:w="1530"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u w:val="double"/>
              </w:rPr>
            </w:pPr>
            <w:r w:rsidRPr="00826645">
              <w:rPr>
                <w:sz w:val="22"/>
                <w:szCs w:val="22"/>
                <w:u w:val="double"/>
              </w:rPr>
              <w:t xml:space="preserve">$185,073 </w:t>
            </w:r>
          </w:p>
        </w:tc>
        <w:tc>
          <w:tcPr>
            <w:tcW w:w="1846"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u w:val="double"/>
              </w:rPr>
            </w:pPr>
            <w:r w:rsidRPr="00826645">
              <w:rPr>
                <w:sz w:val="22"/>
                <w:szCs w:val="22"/>
                <w:u w:val="double"/>
              </w:rPr>
              <w:t xml:space="preserve">$2,294,527 </w:t>
            </w:r>
          </w:p>
        </w:tc>
        <w:tc>
          <w:tcPr>
            <w:tcW w:w="1260"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u w:val="double"/>
              </w:rPr>
            </w:pPr>
            <w:r w:rsidRPr="00826645">
              <w:rPr>
                <w:sz w:val="22"/>
                <w:szCs w:val="22"/>
                <w:u w:val="double"/>
              </w:rPr>
              <w:t>100.00%</w:t>
            </w:r>
          </w:p>
        </w:tc>
        <w:tc>
          <w:tcPr>
            <w:tcW w:w="1260"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u w:val="double"/>
              </w:rPr>
            </w:pPr>
            <w:r w:rsidRPr="00826645">
              <w:rPr>
                <w:sz w:val="22"/>
                <w:szCs w:val="22"/>
                <w:u w:val="single"/>
              </w:rPr>
              <w:t> </w:t>
            </w:r>
          </w:p>
        </w:tc>
        <w:tc>
          <w:tcPr>
            <w:tcW w:w="1121"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u w:val="double"/>
              </w:rPr>
            </w:pPr>
            <w:r w:rsidRPr="00826645">
              <w:rPr>
                <w:sz w:val="22"/>
                <w:szCs w:val="22"/>
                <w:u w:val="double"/>
              </w:rPr>
              <w:t>8.64%</w:t>
            </w:r>
          </w:p>
        </w:tc>
        <w:tc>
          <w:tcPr>
            <w:tcW w:w="272" w:type="dxa"/>
            <w:tcBorders>
              <w:top w:val="nil"/>
              <w:left w:val="nil"/>
              <w:bottom w:val="nil"/>
              <w:right w:val="single" w:sz="4" w:space="0" w:color="auto"/>
            </w:tcBorders>
            <w:shd w:val="clear" w:color="000000" w:fill="FFFFFF"/>
            <w:noWrap/>
            <w:vAlign w:val="bottom"/>
            <w:hideMark/>
          </w:tcPr>
          <w:p w:rsidR="0010219D" w:rsidRPr="00826645" w:rsidRDefault="0010219D" w:rsidP="0010219D">
            <w:pPr>
              <w:rPr>
                <w:sz w:val="22"/>
                <w:szCs w:val="22"/>
                <w:u w:val="double"/>
              </w:rPr>
            </w:pPr>
            <w:r w:rsidRPr="00826645">
              <w:rPr>
                <w:sz w:val="22"/>
                <w:szCs w:val="22"/>
                <w:u w:val="single"/>
              </w:rPr>
              <w:t> </w:t>
            </w:r>
          </w:p>
        </w:tc>
      </w:tr>
      <w:tr w:rsidR="0010219D" w:rsidRPr="00826645" w:rsidTr="004D4632">
        <w:trPr>
          <w:trHeight w:val="300"/>
          <w:jc w:val="center"/>
        </w:trPr>
        <w:tc>
          <w:tcPr>
            <w:tcW w:w="436" w:type="dxa"/>
            <w:tcBorders>
              <w:top w:val="nil"/>
              <w:left w:val="single" w:sz="4" w:space="0" w:color="auto"/>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2443" w:type="dxa"/>
            <w:tcBorders>
              <w:top w:val="nil"/>
              <w:left w:val="nil"/>
              <w:bottom w:val="nil"/>
              <w:right w:val="nil"/>
            </w:tcBorders>
            <w:shd w:val="clear" w:color="000000" w:fill="FFFFFF"/>
            <w:noWrap/>
            <w:vAlign w:val="bottom"/>
            <w:hideMark/>
          </w:tcPr>
          <w:p w:rsidR="0010219D" w:rsidRPr="00826645" w:rsidRDefault="0010219D" w:rsidP="0010219D">
            <w:pPr>
              <w:rPr>
                <w:color w:val="000000"/>
                <w:sz w:val="22"/>
                <w:szCs w:val="22"/>
              </w:rPr>
            </w:pPr>
            <w:r w:rsidRPr="00826645">
              <w:rPr>
                <w:color w:val="000000"/>
                <w:sz w:val="22"/>
                <w:szCs w:val="22"/>
              </w:rPr>
              <w:t> </w:t>
            </w:r>
          </w:p>
        </w:tc>
        <w:tc>
          <w:tcPr>
            <w:tcW w:w="1296" w:type="dxa"/>
            <w:tcBorders>
              <w:top w:val="nil"/>
              <w:left w:val="nil"/>
              <w:bottom w:val="nil"/>
              <w:right w:val="nil"/>
            </w:tcBorders>
            <w:shd w:val="clear" w:color="000000" w:fill="FFFFFF"/>
            <w:noWrap/>
            <w:vAlign w:val="bottom"/>
            <w:hideMark/>
          </w:tcPr>
          <w:p w:rsidR="0010219D" w:rsidRPr="00826645" w:rsidRDefault="0010219D" w:rsidP="0010219D">
            <w:pPr>
              <w:rPr>
                <w:color w:val="000000"/>
                <w:sz w:val="22"/>
                <w:szCs w:val="22"/>
              </w:rPr>
            </w:pPr>
            <w:r w:rsidRPr="00826645">
              <w:rPr>
                <w:color w:val="000000"/>
                <w:sz w:val="22"/>
                <w:szCs w:val="22"/>
              </w:rPr>
              <w:t> </w:t>
            </w:r>
          </w:p>
        </w:tc>
        <w:tc>
          <w:tcPr>
            <w:tcW w:w="1136" w:type="dxa"/>
            <w:tcBorders>
              <w:top w:val="nil"/>
              <w:left w:val="nil"/>
              <w:bottom w:val="nil"/>
              <w:right w:val="nil"/>
            </w:tcBorders>
            <w:shd w:val="clear" w:color="000000" w:fill="FFFFFF"/>
            <w:noWrap/>
            <w:vAlign w:val="bottom"/>
            <w:hideMark/>
          </w:tcPr>
          <w:p w:rsidR="0010219D" w:rsidRPr="00826645" w:rsidRDefault="0010219D" w:rsidP="0010219D">
            <w:pPr>
              <w:rPr>
                <w:color w:val="000000"/>
                <w:sz w:val="22"/>
                <w:szCs w:val="22"/>
              </w:rPr>
            </w:pPr>
            <w:r w:rsidRPr="00826645">
              <w:rPr>
                <w:color w:val="000000"/>
                <w:sz w:val="22"/>
                <w:szCs w:val="22"/>
              </w:rPr>
              <w:t> </w:t>
            </w:r>
          </w:p>
        </w:tc>
        <w:tc>
          <w:tcPr>
            <w:tcW w:w="1524" w:type="dxa"/>
            <w:tcBorders>
              <w:top w:val="nil"/>
              <w:left w:val="nil"/>
              <w:bottom w:val="nil"/>
              <w:right w:val="nil"/>
            </w:tcBorders>
            <w:shd w:val="clear" w:color="000000" w:fill="FFFFFF"/>
            <w:noWrap/>
            <w:vAlign w:val="bottom"/>
            <w:hideMark/>
          </w:tcPr>
          <w:p w:rsidR="0010219D" w:rsidRPr="00826645" w:rsidRDefault="0010219D" w:rsidP="0010219D">
            <w:pPr>
              <w:rPr>
                <w:color w:val="000000"/>
                <w:sz w:val="22"/>
                <w:szCs w:val="22"/>
              </w:rPr>
            </w:pPr>
            <w:r w:rsidRPr="00826645">
              <w:rPr>
                <w:color w:val="000000"/>
                <w:sz w:val="22"/>
                <w:szCs w:val="22"/>
              </w:rPr>
              <w:t> </w:t>
            </w:r>
          </w:p>
        </w:tc>
        <w:tc>
          <w:tcPr>
            <w:tcW w:w="1530" w:type="dxa"/>
            <w:tcBorders>
              <w:top w:val="nil"/>
              <w:left w:val="nil"/>
              <w:bottom w:val="nil"/>
              <w:right w:val="nil"/>
            </w:tcBorders>
            <w:shd w:val="clear" w:color="000000" w:fill="FFFFFF"/>
            <w:noWrap/>
            <w:vAlign w:val="bottom"/>
            <w:hideMark/>
          </w:tcPr>
          <w:p w:rsidR="0010219D" w:rsidRPr="00826645" w:rsidRDefault="0010219D" w:rsidP="0010219D">
            <w:pPr>
              <w:rPr>
                <w:color w:val="000000"/>
                <w:sz w:val="22"/>
                <w:szCs w:val="22"/>
              </w:rPr>
            </w:pPr>
            <w:r w:rsidRPr="00826645">
              <w:rPr>
                <w:color w:val="000000"/>
                <w:sz w:val="22"/>
                <w:szCs w:val="22"/>
              </w:rPr>
              <w:t> </w:t>
            </w:r>
          </w:p>
        </w:tc>
        <w:tc>
          <w:tcPr>
            <w:tcW w:w="1846" w:type="dxa"/>
            <w:tcBorders>
              <w:top w:val="nil"/>
              <w:left w:val="nil"/>
              <w:bottom w:val="nil"/>
              <w:right w:val="nil"/>
            </w:tcBorders>
            <w:shd w:val="clear" w:color="000000" w:fill="FFFFFF"/>
            <w:noWrap/>
            <w:vAlign w:val="bottom"/>
            <w:hideMark/>
          </w:tcPr>
          <w:p w:rsidR="0010219D" w:rsidRPr="00826645" w:rsidRDefault="0010219D" w:rsidP="0010219D">
            <w:pPr>
              <w:rPr>
                <w:color w:val="000000"/>
                <w:sz w:val="22"/>
                <w:szCs w:val="22"/>
              </w:rPr>
            </w:pPr>
            <w:r w:rsidRPr="00826645">
              <w:rPr>
                <w:color w:val="000000"/>
                <w:sz w:val="22"/>
                <w:szCs w:val="22"/>
              </w:rPr>
              <w:t> </w:t>
            </w:r>
          </w:p>
        </w:tc>
        <w:tc>
          <w:tcPr>
            <w:tcW w:w="1260" w:type="dxa"/>
            <w:tcBorders>
              <w:top w:val="nil"/>
              <w:left w:val="nil"/>
              <w:bottom w:val="nil"/>
              <w:right w:val="nil"/>
            </w:tcBorders>
            <w:shd w:val="clear" w:color="000000" w:fill="FFFFFF"/>
            <w:noWrap/>
            <w:vAlign w:val="bottom"/>
            <w:hideMark/>
          </w:tcPr>
          <w:p w:rsidR="0010219D" w:rsidRPr="00826645" w:rsidRDefault="0010219D" w:rsidP="0010219D">
            <w:pPr>
              <w:rPr>
                <w:color w:val="000000"/>
                <w:sz w:val="22"/>
                <w:szCs w:val="22"/>
              </w:rPr>
            </w:pPr>
            <w:r w:rsidRPr="00826645">
              <w:rPr>
                <w:color w:val="000000"/>
                <w:sz w:val="22"/>
                <w:szCs w:val="22"/>
              </w:rPr>
              <w:t> </w:t>
            </w:r>
          </w:p>
        </w:tc>
        <w:tc>
          <w:tcPr>
            <w:tcW w:w="1260" w:type="dxa"/>
            <w:tcBorders>
              <w:top w:val="nil"/>
              <w:left w:val="nil"/>
              <w:bottom w:val="nil"/>
              <w:right w:val="nil"/>
            </w:tcBorders>
            <w:shd w:val="clear" w:color="000000" w:fill="FFFFFF"/>
            <w:noWrap/>
            <w:vAlign w:val="bottom"/>
            <w:hideMark/>
          </w:tcPr>
          <w:p w:rsidR="0010219D" w:rsidRPr="00826645" w:rsidRDefault="0010219D" w:rsidP="0010219D">
            <w:pPr>
              <w:rPr>
                <w:color w:val="000000"/>
                <w:sz w:val="22"/>
                <w:szCs w:val="22"/>
              </w:rPr>
            </w:pPr>
            <w:r w:rsidRPr="00826645">
              <w:rPr>
                <w:color w:val="000000"/>
                <w:sz w:val="22"/>
                <w:szCs w:val="22"/>
              </w:rPr>
              <w:t> </w:t>
            </w:r>
          </w:p>
        </w:tc>
        <w:tc>
          <w:tcPr>
            <w:tcW w:w="1121"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r>
      <w:tr w:rsidR="0010219D" w:rsidRPr="00826645" w:rsidTr="004D4632">
        <w:trPr>
          <w:trHeight w:val="300"/>
          <w:jc w:val="center"/>
        </w:trPr>
        <w:tc>
          <w:tcPr>
            <w:tcW w:w="436" w:type="dxa"/>
            <w:tcBorders>
              <w:top w:val="nil"/>
              <w:left w:val="single" w:sz="4" w:space="0" w:color="auto"/>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2443" w:type="dxa"/>
            <w:tcBorders>
              <w:top w:val="nil"/>
              <w:left w:val="nil"/>
              <w:bottom w:val="nil"/>
              <w:right w:val="nil"/>
            </w:tcBorders>
            <w:shd w:val="clear" w:color="000000" w:fill="FFFFFF"/>
            <w:noWrap/>
            <w:vAlign w:val="bottom"/>
            <w:hideMark/>
          </w:tcPr>
          <w:p w:rsidR="0010219D" w:rsidRPr="00826645" w:rsidRDefault="0010219D" w:rsidP="0010219D">
            <w:pPr>
              <w:rPr>
                <w:color w:val="000000"/>
                <w:sz w:val="22"/>
                <w:szCs w:val="22"/>
              </w:rPr>
            </w:pPr>
            <w:r w:rsidRPr="00826645">
              <w:rPr>
                <w:color w:val="000000"/>
                <w:sz w:val="22"/>
                <w:szCs w:val="22"/>
              </w:rPr>
              <w:t> </w:t>
            </w:r>
          </w:p>
        </w:tc>
        <w:tc>
          <w:tcPr>
            <w:tcW w:w="1296" w:type="dxa"/>
            <w:tcBorders>
              <w:top w:val="nil"/>
              <w:left w:val="nil"/>
              <w:bottom w:val="nil"/>
              <w:right w:val="nil"/>
            </w:tcBorders>
            <w:shd w:val="clear" w:color="000000" w:fill="FFFFFF"/>
            <w:noWrap/>
            <w:vAlign w:val="bottom"/>
            <w:hideMark/>
          </w:tcPr>
          <w:p w:rsidR="0010219D" w:rsidRPr="00826645" w:rsidRDefault="0010219D" w:rsidP="0010219D">
            <w:pPr>
              <w:rPr>
                <w:color w:val="000000"/>
                <w:sz w:val="22"/>
                <w:szCs w:val="22"/>
              </w:rPr>
            </w:pPr>
            <w:r w:rsidRPr="00826645">
              <w:rPr>
                <w:color w:val="000000"/>
                <w:sz w:val="22"/>
                <w:szCs w:val="22"/>
              </w:rPr>
              <w:t> </w:t>
            </w:r>
          </w:p>
        </w:tc>
        <w:tc>
          <w:tcPr>
            <w:tcW w:w="1136" w:type="dxa"/>
            <w:tcBorders>
              <w:top w:val="nil"/>
              <w:left w:val="nil"/>
              <w:bottom w:val="nil"/>
              <w:right w:val="nil"/>
            </w:tcBorders>
            <w:shd w:val="clear" w:color="000000" w:fill="FFFFFF"/>
            <w:noWrap/>
            <w:vAlign w:val="bottom"/>
            <w:hideMark/>
          </w:tcPr>
          <w:p w:rsidR="0010219D" w:rsidRPr="00826645" w:rsidRDefault="0010219D" w:rsidP="0010219D">
            <w:pPr>
              <w:rPr>
                <w:color w:val="000000"/>
                <w:sz w:val="22"/>
                <w:szCs w:val="22"/>
              </w:rPr>
            </w:pPr>
            <w:r w:rsidRPr="00826645">
              <w:rPr>
                <w:color w:val="000000"/>
                <w:sz w:val="22"/>
                <w:szCs w:val="22"/>
              </w:rPr>
              <w:t> </w:t>
            </w:r>
          </w:p>
        </w:tc>
        <w:tc>
          <w:tcPr>
            <w:tcW w:w="1524" w:type="dxa"/>
            <w:tcBorders>
              <w:top w:val="nil"/>
              <w:left w:val="nil"/>
              <w:bottom w:val="nil"/>
              <w:right w:val="nil"/>
            </w:tcBorders>
            <w:shd w:val="clear" w:color="000000" w:fill="FFFFFF"/>
            <w:noWrap/>
            <w:vAlign w:val="bottom"/>
            <w:hideMark/>
          </w:tcPr>
          <w:p w:rsidR="0010219D" w:rsidRPr="00826645" w:rsidRDefault="0010219D" w:rsidP="0010219D">
            <w:pPr>
              <w:rPr>
                <w:color w:val="000000"/>
                <w:sz w:val="22"/>
                <w:szCs w:val="22"/>
              </w:rPr>
            </w:pPr>
            <w:r w:rsidRPr="00826645">
              <w:rPr>
                <w:color w:val="000000"/>
                <w:sz w:val="22"/>
                <w:szCs w:val="22"/>
              </w:rPr>
              <w:t> </w:t>
            </w:r>
          </w:p>
        </w:tc>
        <w:tc>
          <w:tcPr>
            <w:tcW w:w="1530" w:type="dxa"/>
            <w:tcBorders>
              <w:top w:val="nil"/>
              <w:left w:val="nil"/>
              <w:bottom w:val="nil"/>
              <w:right w:val="nil"/>
            </w:tcBorders>
            <w:shd w:val="clear" w:color="000000" w:fill="FFFFFF"/>
            <w:noWrap/>
            <w:vAlign w:val="bottom"/>
            <w:hideMark/>
          </w:tcPr>
          <w:p w:rsidR="0010219D" w:rsidRPr="00826645" w:rsidRDefault="0010219D" w:rsidP="0010219D">
            <w:pPr>
              <w:rPr>
                <w:b/>
                <w:bCs/>
                <w:sz w:val="22"/>
                <w:szCs w:val="22"/>
              </w:rPr>
            </w:pPr>
            <w:r w:rsidRPr="00826645">
              <w:rPr>
                <w:b/>
                <w:bCs/>
                <w:sz w:val="22"/>
                <w:szCs w:val="22"/>
              </w:rPr>
              <w:t> </w:t>
            </w:r>
          </w:p>
        </w:tc>
        <w:tc>
          <w:tcPr>
            <w:tcW w:w="1846" w:type="dxa"/>
            <w:tcBorders>
              <w:top w:val="nil"/>
              <w:left w:val="nil"/>
              <w:bottom w:val="nil"/>
              <w:right w:val="nil"/>
            </w:tcBorders>
            <w:shd w:val="clear" w:color="000000" w:fill="FFFFFF"/>
            <w:noWrap/>
            <w:vAlign w:val="bottom"/>
            <w:hideMark/>
          </w:tcPr>
          <w:p w:rsidR="0010219D" w:rsidRPr="00826645" w:rsidRDefault="0010219D" w:rsidP="0010219D">
            <w:pPr>
              <w:rPr>
                <w:b/>
                <w:bCs/>
                <w:sz w:val="22"/>
                <w:szCs w:val="22"/>
              </w:rPr>
            </w:pPr>
            <w:r w:rsidRPr="00826645">
              <w:rPr>
                <w:b/>
                <w:bCs/>
                <w:sz w:val="22"/>
                <w:szCs w:val="22"/>
              </w:rPr>
              <w:t> </w:t>
            </w:r>
          </w:p>
        </w:tc>
        <w:tc>
          <w:tcPr>
            <w:tcW w:w="1260" w:type="dxa"/>
            <w:tcBorders>
              <w:top w:val="nil"/>
              <w:left w:val="nil"/>
              <w:bottom w:val="nil"/>
              <w:right w:val="nil"/>
            </w:tcBorders>
            <w:shd w:val="clear" w:color="000000" w:fill="FFFFFF"/>
            <w:noWrap/>
            <w:vAlign w:val="bottom"/>
            <w:hideMark/>
          </w:tcPr>
          <w:p w:rsidR="0010219D" w:rsidRPr="00826645" w:rsidRDefault="0010219D" w:rsidP="0010219D">
            <w:pPr>
              <w:jc w:val="right"/>
              <w:rPr>
                <w:b/>
                <w:bCs/>
                <w:sz w:val="22"/>
                <w:szCs w:val="22"/>
                <w:u w:val="single"/>
              </w:rPr>
            </w:pPr>
            <w:r w:rsidRPr="00826645">
              <w:rPr>
                <w:b/>
                <w:bCs/>
                <w:sz w:val="22"/>
                <w:szCs w:val="22"/>
                <w:u w:val="single"/>
              </w:rPr>
              <w:t>LOW</w:t>
            </w:r>
          </w:p>
        </w:tc>
        <w:tc>
          <w:tcPr>
            <w:tcW w:w="1260" w:type="dxa"/>
            <w:tcBorders>
              <w:top w:val="nil"/>
              <w:left w:val="nil"/>
              <w:bottom w:val="nil"/>
              <w:right w:val="nil"/>
            </w:tcBorders>
            <w:shd w:val="clear" w:color="000000" w:fill="FFFFFF"/>
            <w:noWrap/>
            <w:vAlign w:val="bottom"/>
            <w:hideMark/>
          </w:tcPr>
          <w:p w:rsidR="0010219D" w:rsidRPr="00826645" w:rsidRDefault="0010219D" w:rsidP="0010219D">
            <w:pPr>
              <w:jc w:val="right"/>
              <w:rPr>
                <w:b/>
                <w:bCs/>
                <w:sz w:val="22"/>
                <w:szCs w:val="22"/>
                <w:u w:val="single"/>
              </w:rPr>
            </w:pPr>
            <w:r w:rsidRPr="00826645">
              <w:rPr>
                <w:b/>
                <w:bCs/>
                <w:sz w:val="22"/>
                <w:szCs w:val="22"/>
                <w:u w:val="single"/>
              </w:rPr>
              <w:t>HIGH</w:t>
            </w:r>
          </w:p>
        </w:tc>
        <w:tc>
          <w:tcPr>
            <w:tcW w:w="1121"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r>
      <w:tr w:rsidR="0010219D" w:rsidRPr="00826645" w:rsidTr="004D4632">
        <w:trPr>
          <w:trHeight w:val="300"/>
          <w:jc w:val="center"/>
        </w:trPr>
        <w:tc>
          <w:tcPr>
            <w:tcW w:w="436" w:type="dxa"/>
            <w:tcBorders>
              <w:top w:val="nil"/>
              <w:left w:val="single" w:sz="4" w:space="0" w:color="auto"/>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9775" w:type="dxa"/>
            <w:gridSpan w:val="6"/>
            <w:tcBorders>
              <w:top w:val="nil"/>
              <w:left w:val="nil"/>
              <w:bottom w:val="nil"/>
              <w:right w:val="nil"/>
            </w:tcBorders>
            <w:shd w:val="clear" w:color="000000" w:fill="FFFFFF"/>
            <w:noWrap/>
            <w:vAlign w:val="bottom"/>
            <w:hideMark/>
          </w:tcPr>
          <w:p w:rsidR="0010219D" w:rsidRPr="00826645" w:rsidRDefault="0010219D" w:rsidP="0010219D">
            <w:pPr>
              <w:jc w:val="right"/>
              <w:rPr>
                <w:color w:val="000000"/>
                <w:sz w:val="22"/>
                <w:szCs w:val="22"/>
              </w:rPr>
            </w:pPr>
            <w:r w:rsidRPr="00826645">
              <w:rPr>
                <w:sz w:val="22"/>
                <w:szCs w:val="22"/>
              </w:rPr>
              <w:t>RETURN ON EQUITY</w:t>
            </w:r>
            <w:r w:rsidRPr="00826645">
              <w:rPr>
                <w:color w:val="000000"/>
                <w:sz w:val="22"/>
                <w:szCs w:val="22"/>
              </w:rPr>
              <w:t> </w:t>
            </w:r>
          </w:p>
        </w:tc>
        <w:tc>
          <w:tcPr>
            <w:tcW w:w="1260"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u w:val="double"/>
              </w:rPr>
            </w:pPr>
            <w:r w:rsidRPr="00826645">
              <w:rPr>
                <w:sz w:val="22"/>
                <w:szCs w:val="22"/>
                <w:u w:val="double"/>
              </w:rPr>
              <w:t>9.23%</w:t>
            </w:r>
          </w:p>
        </w:tc>
        <w:tc>
          <w:tcPr>
            <w:tcW w:w="1260"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u w:val="double"/>
              </w:rPr>
            </w:pPr>
            <w:r w:rsidRPr="00826645">
              <w:rPr>
                <w:sz w:val="22"/>
                <w:szCs w:val="22"/>
                <w:u w:val="double"/>
              </w:rPr>
              <w:t>11.23%</w:t>
            </w:r>
          </w:p>
        </w:tc>
        <w:tc>
          <w:tcPr>
            <w:tcW w:w="1121"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r>
      <w:tr w:rsidR="0010219D" w:rsidRPr="00826645" w:rsidTr="004D4632">
        <w:trPr>
          <w:trHeight w:val="300"/>
          <w:jc w:val="center"/>
        </w:trPr>
        <w:tc>
          <w:tcPr>
            <w:tcW w:w="436" w:type="dxa"/>
            <w:tcBorders>
              <w:top w:val="nil"/>
              <w:left w:val="single" w:sz="4" w:space="0" w:color="auto"/>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9775" w:type="dxa"/>
            <w:gridSpan w:val="6"/>
            <w:tcBorders>
              <w:top w:val="nil"/>
              <w:left w:val="nil"/>
              <w:bottom w:val="nil"/>
              <w:right w:val="nil"/>
            </w:tcBorders>
            <w:shd w:val="clear" w:color="000000" w:fill="FFFFFF"/>
            <w:noWrap/>
            <w:vAlign w:val="bottom"/>
            <w:hideMark/>
          </w:tcPr>
          <w:p w:rsidR="0010219D" w:rsidRPr="00826645" w:rsidRDefault="0010219D" w:rsidP="0010219D">
            <w:pPr>
              <w:jc w:val="right"/>
              <w:rPr>
                <w:color w:val="000000"/>
                <w:sz w:val="22"/>
                <w:szCs w:val="22"/>
              </w:rPr>
            </w:pPr>
            <w:r w:rsidRPr="00826645">
              <w:rPr>
                <w:sz w:val="22"/>
                <w:szCs w:val="22"/>
              </w:rPr>
              <w:t>OVERALL RATE OF RETURN</w:t>
            </w:r>
            <w:r w:rsidRPr="00826645">
              <w:rPr>
                <w:color w:val="000000"/>
                <w:sz w:val="22"/>
                <w:szCs w:val="22"/>
              </w:rPr>
              <w:t> </w:t>
            </w:r>
          </w:p>
        </w:tc>
        <w:tc>
          <w:tcPr>
            <w:tcW w:w="1260"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u w:val="double"/>
              </w:rPr>
            </w:pPr>
            <w:r w:rsidRPr="00826645">
              <w:rPr>
                <w:sz w:val="22"/>
                <w:szCs w:val="22"/>
                <w:u w:val="double"/>
              </w:rPr>
              <w:t>8.12%</w:t>
            </w:r>
          </w:p>
        </w:tc>
        <w:tc>
          <w:tcPr>
            <w:tcW w:w="1260"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u w:val="double"/>
              </w:rPr>
            </w:pPr>
            <w:r w:rsidRPr="00826645">
              <w:rPr>
                <w:sz w:val="22"/>
                <w:szCs w:val="22"/>
                <w:u w:val="double"/>
              </w:rPr>
              <w:t>9.15%</w:t>
            </w:r>
          </w:p>
        </w:tc>
        <w:tc>
          <w:tcPr>
            <w:tcW w:w="1121"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r>
      <w:tr w:rsidR="0010219D" w:rsidRPr="00826645" w:rsidTr="004D4632">
        <w:trPr>
          <w:trHeight w:val="300"/>
          <w:jc w:val="center"/>
        </w:trPr>
        <w:tc>
          <w:tcPr>
            <w:tcW w:w="436" w:type="dxa"/>
            <w:tcBorders>
              <w:top w:val="nil"/>
              <w:left w:val="single" w:sz="4" w:space="0" w:color="auto"/>
              <w:bottom w:val="single" w:sz="4" w:space="0" w:color="auto"/>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2443" w:type="dxa"/>
            <w:tcBorders>
              <w:top w:val="nil"/>
              <w:left w:val="nil"/>
              <w:bottom w:val="single" w:sz="4" w:space="0" w:color="auto"/>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296" w:type="dxa"/>
            <w:tcBorders>
              <w:top w:val="nil"/>
              <w:left w:val="nil"/>
              <w:bottom w:val="single" w:sz="4" w:space="0" w:color="auto"/>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136" w:type="dxa"/>
            <w:tcBorders>
              <w:top w:val="nil"/>
              <w:left w:val="nil"/>
              <w:bottom w:val="single" w:sz="4" w:space="0" w:color="auto"/>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524" w:type="dxa"/>
            <w:tcBorders>
              <w:top w:val="nil"/>
              <w:left w:val="nil"/>
              <w:bottom w:val="single" w:sz="4" w:space="0" w:color="auto"/>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530" w:type="dxa"/>
            <w:tcBorders>
              <w:top w:val="nil"/>
              <w:left w:val="nil"/>
              <w:bottom w:val="single" w:sz="4" w:space="0" w:color="auto"/>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846" w:type="dxa"/>
            <w:tcBorders>
              <w:top w:val="nil"/>
              <w:left w:val="nil"/>
              <w:bottom w:val="single" w:sz="4" w:space="0" w:color="auto"/>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260" w:type="dxa"/>
            <w:tcBorders>
              <w:top w:val="nil"/>
              <w:left w:val="nil"/>
              <w:bottom w:val="single" w:sz="4" w:space="0" w:color="auto"/>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260" w:type="dxa"/>
            <w:tcBorders>
              <w:top w:val="nil"/>
              <w:left w:val="nil"/>
              <w:bottom w:val="single" w:sz="4" w:space="0" w:color="auto"/>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121" w:type="dxa"/>
            <w:tcBorders>
              <w:top w:val="nil"/>
              <w:left w:val="nil"/>
              <w:bottom w:val="single" w:sz="4" w:space="0" w:color="auto"/>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272" w:type="dxa"/>
            <w:tcBorders>
              <w:top w:val="nil"/>
              <w:left w:val="nil"/>
              <w:bottom w:val="single" w:sz="4" w:space="0" w:color="auto"/>
              <w:right w:val="single" w:sz="4" w:space="0" w:color="auto"/>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r>
    </w:tbl>
    <w:p w:rsidR="0010219D" w:rsidRPr="00826645" w:rsidRDefault="0010219D" w:rsidP="004F544E">
      <w:pPr>
        <w:pStyle w:val="OrderBody"/>
      </w:pPr>
    </w:p>
    <w:p w:rsidR="0010219D" w:rsidRPr="00826645" w:rsidRDefault="0010219D" w:rsidP="004F544E">
      <w:pPr>
        <w:pStyle w:val="OrderBody"/>
        <w:sectPr w:rsidR="0010219D" w:rsidRPr="00826645" w:rsidSect="0010219D">
          <w:headerReference w:type="first" r:id="rId13"/>
          <w:pgSz w:w="15840" w:h="12240" w:orient="landscape" w:code="1"/>
          <w:pgMar w:top="1440" w:right="1440" w:bottom="1440" w:left="1440" w:header="720" w:footer="720" w:gutter="0"/>
          <w:cols w:space="720"/>
          <w:titlePg/>
          <w:docGrid w:linePitch="360"/>
        </w:sectPr>
      </w:pPr>
    </w:p>
    <w:p w:rsidR="0010219D" w:rsidRPr="00826645" w:rsidRDefault="0010219D" w:rsidP="0010219D">
      <w:pPr>
        <w:spacing w:after="240"/>
        <w:jc w:val="both"/>
      </w:pPr>
    </w:p>
    <w:tbl>
      <w:tblPr>
        <w:tblW w:w="10775" w:type="dxa"/>
        <w:jc w:val="center"/>
        <w:tblLook w:val="04A0" w:firstRow="1" w:lastRow="0" w:firstColumn="1" w:lastColumn="0" w:noHBand="0" w:noVBand="1"/>
      </w:tblPr>
      <w:tblGrid>
        <w:gridCol w:w="471"/>
        <w:gridCol w:w="2841"/>
        <w:gridCol w:w="1206"/>
        <w:gridCol w:w="1476"/>
        <w:gridCol w:w="1476"/>
        <w:gridCol w:w="1518"/>
        <w:gridCol w:w="1511"/>
        <w:gridCol w:w="276"/>
      </w:tblGrid>
      <w:tr w:rsidR="0010219D" w:rsidRPr="00826645" w:rsidTr="004D4632">
        <w:trPr>
          <w:trHeight w:val="300"/>
          <w:jc w:val="center"/>
        </w:trPr>
        <w:tc>
          <w:tcPr>
            <w:tcW w:w="4518" w:type="dxa"/>
            <w:gridSpan w:val="3"/>
            <w:tcBorders>
              <w:top w:val="single" w:sz="4" w:space="0" w:color="auto"/>
              <w:left w:val="single" w:sz="4" w:space="0" w:color="auto"/>
              <w:bottom w:val="nil"/>
              <w:right w:val="nil"/>
            </w:tcBorders>
            <w:shd w:val="clear" w:color="000000" w:fill="FFFFFF"/>
            <w:noWrap/>
            <w:vAlign w:val="bottom"/>
            <w:hideMark/>
          </w:tcPr>
          <w:p w:rsidR="0010219D" w:rsidRPr="00826645" w:rsidRDefault="0010219D" w:rsidP="0010219D">
            <w:pPr>
              <w:rPr>
                <w:rFonts w:ascii="Arial" w:hAnsi="Arial" w:cs="Arial"/>
                <w:b/>
                <w:bCs/>
              </w:rPr>
            </w:pPr>
            <w:bookmarkStart w:id="12" w:name="RANGE!A5:I32"/>
            <w:r w:rsidRPr="00826645">
              <w:rPr>
                <w:rFonts w:ascii="Arial" w:hAnsi="Arial" w:cs="Arial"/>
                <w:b/>
                <w:bCs/>
              </w:rPr>
              <w:t>Riverdale</w:t>
            </w:r>
            <w:bookmarkEnd w:id="12"/>
            <w:r w:rsidRPr="00826645">
              <w:rPr>
                <w:rFonts w:ascii="Arial" w:hAnsi="Arial" w:cs="Arial"/>
                <w:b/>
                <w:bCs/>
              </w:rPr>
              <w:t xml:space="preserve"> Utility Holding, Inc.</w:t>
            </w:r>
          </w:p>
        </w:tc>
        <w:tc>
          <w:tcPr>
            <w:tcW w:w="1476" w:type="dxa"/>
            <w:tcBorders>
              <w:top w:val="single" w:sz="4" w:space="0" w:color="auto"/>
              <w:left w:val="nil"/>
              <w:bottom w:val="nil"/>
              <w:right w:val="nil"/>
            </w:tcBorders>
            <w:shd w:val="clear" w:color="000000" w:fill="FFFFFF"/>
            <w:noWrap/>
            <w:vAlign w:val="bottom"/>
            <w:hideMark/>
          </w:tcPr>
          <w:p w:rsidR="0010219D" w:rsidRPr="00826645" w:rsidRDefault="0010219D" w:rsidP="0010219D">
            <w:pPr>
              <w:rPr>
                <w:rFonts w:ascii="SWISS" w:hAnsi="SWISS" w:cs="Arial"/>
                <w:b/>
                <w:bCs/>
              </w:rPr>
            </w:pPr>
            <w:r w:rsidRPr="00826645">
              <w:rPr>
                <w:rFonts w:ascii="SWISS" w:hAnsi="SWISS" w:cs="Arial"/>
                <w:b/>
                <w:bCs/>
              </w:rPr>
              <w:t> </w:t>
            </w:r>
          </w:p>
        </w:tc>
        <w:tc>
          <w:tcPr>
            <w:tcW w:w="1476" w:type="dxa"/>
            <w:tcBorders>
              <w:top w:val="single" w:sz="4" w:space="0" w:color="auto"/>
              <w:left w:val="nil"/>
              <w:bottom w:val="nil"/>
              <w:right w:val="nil"/>
            </w:tcBorders>
            <w:shd w:val="clear" w:color="000000" w:fill="FFFFFF"/>
            <w:noWrap/>
            <w:vAlign w:val="bottom"/>
            <w:hideMark/>
          </w:tcPr>
          <w:p w:rsidR="0010219D" w:rsidRPr="00826645" w:rsidRDefault="0010219D" w:rsidP="0010219D">
            <w:pPr>
              <w:rPr>
                <w:rFonts w:ascii="SWISS" w:hAnsi="SWISS" w:cs="Arial"/>
                <w:b/>
                <w:bCs/>
              </w:rPr>
            </w:pPr>
            <w:r w:rsidRPr="00826645">
              <w:rPr>
                <w:rFonts w:ascii="SWISS" w:hAnsi="SWISS" w:cs="Arial"/>
                <w:b/>
                <w:bCs/>
              </w:rPr>
              <w:t> </w:t>
            </w:r>
          </w:p>
        </w:tc>
        <w:tc>
          <w:tcPr>
            <w:tcW w:w="3305" w:type="dxa"/>
            <w:gridSpan w:val="3"/>
            <w:tcBorders>
              <w:top w:val="single" w:sz="4" w:space="0" w:color="auto"/>
              <w:left w:val="nil"/>
              <w:bottom w:val="nil"/>
              <w:right w:val="single" w:sz="4" w:space="0" w:color="000000"/>
            </w:tcBorders>
            <w:shd w:val="clear" w:color="000000" w:fill="FFFFFF"/>
            <w:noWrap/>
            <w:vAlign w:val="bottom"/>
            <w:hideMark/>
          </w:tcPr>
          <w:p w:rsidR="0010219D" w:rsidRPr="00826645" w:rsidRDefault="0010219D" w:rsidP="0010219D">
            <w:pPr>
              <w:jc w:val="right"/>
              <w:rPr>
                <w:rFonts w:ascii="Arial" w:hAnsi="Arial" w:cs="Arial"/>
                <w:b/>
                <w:bCs/>
              </w:rPr>
            </w:pPr>
            <w:r w:rsidRPr="00826645">
              <w:rPr>
                <w:rFonts w:ascii="Arial" w:hAnsi="Arial" w:cs="Arial"/>
                <w:b/>
                <w:bCs/>
              </w:rPr>
              <w:t>Schedule No. 3-A</w:t>
            </w:r>
          </w:p>
        </w:tc>
      </w:tr>
      <w:tr w:rsidR="0010219D" w:rsidRPr="00826645" w:rsidTr="004D4632">
        <w:trPr>
          <w:trHeight w:val="300"/>
          <w:jc w:val="center"/>
        </w:trPr>
        <w:tc>
          <w:tcPr>
            <w:tcW w:w="4518" w:type="dxa"/>
            <w:gridSpan w:val="3"/>
            <w:tcBorders>
              <w:top w:val="nil"/>
              <w:left w:val="single" w:sz="4" w:space="0" w:color="auto"/>
              <w:bottom w:val="nil"/>
              <w:right w:val="nil"/>
            </w:tcBorders>
            <w:shd w:val="clear" w:color="000000" w:fill="FFFFFF"/>
            <w:noWrap/>
            <w:vAlign w:val="bottom"/>
            <w:hideMark/>
          </w:tcPr>
          <w:p w:rsidR="0010219D" w:rsidRPr="00826645" w:rsidRDefault="0010219D" w:rsidP="0010219D">
            <w:pPr>
              <w:rPr>
                <w:rFonts w:ascii="Arial" w:hAnsi="Arial" w:cs="Arial"/>
                <w:b/>
                <w:bCs/>
              </w:rPr>
            </w:pPr>
            <w:r w:rsidRPr="00826645">
              <w:rPr>
                <w:rFonts w:ascii="Arial" w:hAnsi="Arial" w:cs="Arial"/>
                <w:b/>
                <w:bCs/>
              </w:rPr>
              <w:t>Statement of Water Operations</w:t>
            </w:r>
          </w:p>
        </w:tc>
        <w:tc>
          <w:tcPr>
            <w:tcW w:w="1476" w:type="dxa"/>
            <w:tcBorders>
              <w:top w:val="nil"/>
              <w:left w:val="nil"/>
              <w:bottom w:val="nil"/>
              <w:right w:val="nil"/>
            </w:tcBorders>
            <w:shd w:val="clear" w:color="000000" w:fill="FFFFFF"/>
            <w:noWrap/>
            <w:vAlign w:val="bottom"/>
            <w:hideMark/>
          </w:tcPr>
          <w:p w:rsidR="0010219D" w:rsidRPr="00826645" w:rsidRDefault="0010219D" w:rsidP="0010219D">
            <w:pPr>
              <w:rPr>
                <w:rFonts w:ascii="SWISS" w:hAnsi="SWISS" w:cs="Arial"/>
                <w:b/>
                <w:bCs/>
              </w:rPr>
            </w:pPr>
            <w:r w:rsidRPr="00826645">
              <w:rPr>
                <w:rFonts w:ascii="SWISS" w:hAnsi="SWISS" w:cs="Arial"/>
                <w:b/>
                <w:bCs/>
              </w:rPr>
              <w:t> </w:t>
            </w:r>
          </w:p>
        </w:tc>
        <w:tc>
          <w:tcPr>
            <w:tcW w:w="1476" w:type="dxa"/>
            <w:tcBorders>
              <w:top w:val="nil"/>
              <w:left w:val="nil"/>
              <w:bottom w:val="nil"/>
              <w:right w:val="nil"/>
            </w:tcBorders>
            <w:shd w:val="clear" w:color="000000" w:fill="FFFFFF"/>
            <w:noWrap/>
            <w:vAlign w:val="bottom"/>
            <w:hideMark/>
          </w:tcPr>
          <w:p w:rsidR="0010219D" w:rsidRPr="00826645" w:rsidRDefault="0010219D" w:rsidP="0010219D">
            <w:pPr>
              <w:rPr>
                <w:rFonts w:ascii="SWISS" w:hAnsi="SWISS" w:cs="Arial"/>
                <w:b/>
                <w:bCs/>
              </w:rPr>
            </w:pPr>
            <w:r w:rsidRPr="00826645">
              <w:rPr>
                <w:rFonts w:ascii="SWISS" w:hAnsi="SWISS" w:cs="Arial"/>
                <w:b/>
                <w:bCs/>
              </w:rPr>
              <w:t> </w:t>
            </w:r>
          </w:p>
        </w:tc>
        <w:tc>
          <w:tcPr>
            <w:tcW w:w="3305" w:type="dxa"/>
            <w:gridSpan w:val="3"/>
            <w:tcBorders>
              <w:top w:val="nil"/>
              <w:left w:val="nil"/>
              <w:bottom w:val="nil"/>
              <w:right w:val="single" w:sz="4" w:space="0" w:color="000000"/>
            </w:tcBorders>
            <w:shd w:val="clear" w:color="000000" w:fill="FFFFFF"/>
            <w:noWrap/>
            <w:vAlign w:val="bottom"/>
            <w:hideMark/>
          </w:tcPr>
          <w:p w:rsidR="0010219D" w:rsidRPr="00826645" w:rsidRDefault="0010219D" w:rsidP="0010219D">
            <w:pPr>
              <w:jc w:val="right"/>
              <w:rPr>
                <w:rFonts w:ascii="Arial" w:hAnsi="Arial" w:cs="Arial"/>
                <w:b/>
                <w:bCs/>
              </w:rPr>
            </w:pPr>
            <w:r w:rsidRPr="00826645">
              <w:rPr>
                <w:rFonts w:ascii="Arial" w:hAnsi="Arial" w:cs="Arial"/>
                <w:b/>
                <w:bCs/>
              </w:rPr>
              <w:t>20240011-WU</w:t>
            </w:r>
          </w:p>
        </w:tc>
      </w:tr>
      <w:tr w:rsidR="0010219D" w:rsidRPr="00826645" w:rsidTr="004D4632">
        <w:trPr>
          <w:trHeight w:val="300"/>
          <w:jc w:val="center"/>
        </w:trPr>
        <w:tc>
          <w:tcPr>
            <w:tcW w:w="3312" w:type="dxa"/>
            <w:gridSpan w:val="2"/>
            <w:tcBorders>
              <w:top w:val="nil"/>
              <w:left w:val="single" w:sz="4" w:space="0" w:color="auto"/>
              <w:bottom w:val="single" w:sz="4" w:space="0" w:color="auto"/>
              <w:right w:val="nil"/>
            </w:tcBorders>
            <w:shd w:val="clear" w:color="auto" w:fill="auto"/>
            <w:noWrap/>
            <w:vAlign w:val="bottom"/>
            <w:hideMark/>
          </w:tcPr>
          <w:p w:rsidR="0010219D" w:rsidRPr="00826645" w:rsidRDefault="0010219D" w:rsidP="0010219D">
            <w:pPr>
              <w:rPr>
                <w:rFonts w:ascii="Arial" w:hAnsi="Arial" w:cs="Arial"/>
                <w:b/>
                <w:bCs/>
              </w:rPr>
            </w:pPr>
            <w:r w:rsidRPr="00826645">
              <w:rPr>
                <w:rFonts w:ascii="Arial" w:hAnsi="Arial" w:cs="Arial"/>
                <w:b/>
                <w:bCs/>
              </w:rPr>
              <w:t>80% of Design Capacity</w:t>
            </w:r>
          </w:p>
        </w:tc>
        <w:tc>
          <w:tcPr>
            <w:tcW w:w="1206" w:type="dxa"/>
            <w:tcBorders>
              <w:top w:val="nil"/>
              <w:left w:val="nil"/>
              <w:bottom w:val="single" w:sz="4" w:space="0" w:color="auto"/>
              <w:right w:val="nil"/>
            </w:tcBorders>
            <w:shd w:val="clear" w:color="000000" w:fill="FFFFFF"/>
            <w:noWrap/>
            <w:vAlign w:val="bottom"/>
            <w:hideMark/>
          </w:tcPr>
          <w:p w:rsidR="0010219D" w:rsidRPr="00826645" w:rsidRDefault="0010219D" w:rsidP="0010219D">
            <w:pPr>
              <w:rPr>
                <w:rFonts w:ascii="SWISS" w:hAnsi="SWISS" w:cs="Arial"/>
                <w:b/>
                <w:bCs/>
              </w:rPr>
            </w:pPr>
            <w:r w:rsidRPr="00826645">
              <w:rPr>
                <w:rFonts w:ascii="SWISS" w:hAnsi="SWISS" w:cs="Arial"/>
                <w:b/>
                <w:bCs/>
              </w:rPr>
              <w:t> </w:t>
            </w:r>
          </w:p>
        </w:tc>
        <w:tc>
          <w:tcPr>
            <w:tcW w:w="1476" w:type="dxa"/>
            <w:tcBorders>
              <w:top w:val="nil"/>
              <w:left w:val="nil"/>
              <w:bottom w:val="single" w:sz="4" w:space="0" w:color="auto"/>
              <w:right w:val="nil"/>
            </w:tcBorders>
            <w:shd w:val="clear" w:color="000000" w:fill="FFFFFF"/>
            <w:noWrap/>
            <w:vAlign w:val="bottom"/>
            <w:hideMark/>
          </w:tcPr>
          <w:p w:rsidR="0010219D" w:rsidRPr="00826645" w:rsidRDefault="0010219D" w:rsidP="0010219D">
            <w:pPr>
              <w:rPr>
                <w:rFonts w:ascii="SWISS" w:hAnsi="SWISS" w:cs="Arial"/>
                <w:b/>
                <w:bCs/>
              </w:rPr>
            </w:pPr>
            <w:r w:rsidRPr="00826645">
              <w:rPr>
                <w:rFonts w:ascii="SWISS" w:hAnsi="SWISS" w:cs="Arial"/>
                <w:b/>
                <w:bCs/>
              </w:rPr>
              <w:t> </w:t>
            </w:r>
          </w:p>
        </w:tc>
        <w:tc>
          <w:tcPr>
            <w:tcW w:w="1476" w:type="dxa"/>
            <w:tcBorders>
              <w:top w:val="nil"/>
              <w:left w:val="nil"/>
              <w:bottom w:val="single" w:sz="4" w:space="0" w:color="auto"/>
              <w:right w:val="nil"/>
            </w:tcBorders>
            <w:shd w:val="clear" w:color="000000" w:fill="FFFFFF"/>
            <w:noWrap/>
            <w:vAlign w:val="bottom"/>
            <w:hideMark/>
          </w:tcPr>
          <w:p w:rsidR="0010219D" w:rsidRPr="00826645" w:rsidRDefault="0010219D" w:rsidP="0010219D">
            <w:pPr>
              <w:rPr>
                <w:rFonts w:ascii="SWISS" w:hAnsi="SWISS" w:cs="Arial"/>
                <w:b/>
                <w:bCs/>
              </w:rPr>
            </w:pPr>
            <w:r w:rsidRPr="00826645">
              <w:rPr>
                <w:rFonts w:ascii="SWISS" w:hAnsi="SWISS" w:cs="Arial"/>
                <w:b/>
                <w:bCs/>
              </w:rPr>
              <w:t> </w:t>
            </w:r>
          </w:p>
        </w:tc>
        <w:tc>
          <w:tcPr>
            <w:tcW w:w="1518" w:type="dxa"/>
            <w:tcBorders>
              <w:top w:val="nil"/>
              <w:left w:val="nil"/>
              <w:bottom w:val="single" w:sz="4" w:space="0" w:color="auto"/>
              <w:right w:val="nil"/>
            </w:tcBorders>
            <w:shd w:val="clear" w:color="000000" w:fill="FFFFFF"/>
            <w:noWrap/>
            <w:vAlign w:val="bottom"/>
            <w:hideMark/>
          </w:tcPr>
          <w:p w:rsidR="0010219D" w:rsidRPr="00826645" w:rsidRDefault="0010219D" w:rsidP="0010219D">
            <w:pPr>
              <w:rPr>
                <w:rFonts w:ascii="SWISS" w:hAnsi="SWISS" w:cs="Arial"/>
                <w:b/>
                <w:bCs/>
              </w:rPr>
            </w:pPr>
            <w:r w:rsidRPr="00826645">
              <w:rPr>
                <w:rFonts w:ascii="SWISS" w:hAnsi="SWISS" w:cs="Arial"/>
                <w:b/>
                <w:bCs/>
              </w:rPr>
              <w:t> </w:t>
            </w:r>
          </w:p>
        </w:tc>
        <w:tc>
          <w:tcPr>
            <w:tcW w:w="1511" w:type="dxa"/>
            <w:tcBorders>
              <w:top w:val="nil"/>
              <w:left w:val="nil"/>
              <w:bottom w:val="single" w:sz="4" w:space="0" w:color="auto"/>
              <w:right w:val="nil"/>
            </w:tcBorders>
            <w:shd w:val="clear" w:color="000000" w:fill="FFFFFF"/>
            <w:noWrap/>
            <w:vAlign w:val="bottom"/>
            <w:hideMark/>
          </w:tcPr>
          <w:p w:rsidR="0010219D" w:rsidRPr="00826645" w:rsidRDefault="0010219D" w:rsidP="0010219D">
            <w:pPr>
              <w:rPr>
                <w:rFonts w:ascii="SWISS" w:hAnsi="SWISS" w:cs="Arial"/>
                <w:b/>
                <w:bCs/>
              </w:rPr>
            </w:pPr>
            <w:r w:rsidRPr="00826645">
              <w:rPr>
                <w:rFonts w:ascii="SWISS" w:hAnsi="SWISS" w:cs="Arial"/>
                <w:b/>
                <w:bCs/>
              </w:rPr>
              <w:t> </w:t>
            </w:r>
          </w:p>
        </w:tc>
        <w:tc>
          <w:tcPr>
            <w:tcW w:w="276" w:type="dxa"/>
            <w:tcBorders>
              <w:top w:val="nil"/>
              <w:left w:val="nil"/>
              <w:bottom w:val="single" w:sz="4" w:space="0" w:color="auto"/>
              <w:right w:val="single" w:sz="4" w:space="0" w:color="auto"/>
            </w:tcBorders>
            <w:shd w:val="clear" w:color="000000" w:fill="FFFFFF"/>
            <w:noWrap/>
            <w:vAlign w:val="bottom"/>
            <w:hideMark/>
          </w:tcPr>
          <w:p w:rsidR="0010219D" w:rsidRPr="00826645" w:rsidRDefault="0010219D" w:rsidP="0010219D">
            <w:pPr>
              <w:rPr>
                <w:rFonts w:ascii="SWISS" w:hAnsi="SWISS" w:cs="Arial"/>
                <w:b/>
                <w:bCs/>
              </w:rPr>
            </w:pPr>
            <w:r w:rsidRPr="00826645">
              <w:rPr>
                <w:rFonts w:ascii="SWISS" w:hAnsi="SWISS" w:cs="Arial"/>
                <w:b/>
                <w:bCs/>
              </w:rPr>
              <w:t> </w:t>
            </w:r>
          </w:p>
        </w:tc>
      </w:tr>
      <w:tr w:rsidR="0010219D" w:rsidRPr="00826645" w:rsidTr="004D4632">
        <w:trPr>
          <w:trHeight w:val="300"/>
          <w:jc w:val="center"/>
        </w:trPr>
        <w:tc>
          <w:tcPr>
            <w:tcW w:w="471" w:type="dxa"/>
            <w:tcBorders>
              <w:top w:val="nil"/>
              <w:left w:val="single" w:sz="4" w:space="0" w:color="auto"/>
              <w:bottom w:val="nil"/>
              <w:right w:val="nil"/>
            </w:tcBorders>
            <w:shd w:val="clear" w:color="auto" w:fill="auto"/>
            <w:noWrap/>
            <w:vAlign w:val="bottom"/>
            <w:hideMark/>
          </w:tcPr>
          <w:p w:rsidR="0010219D" w:rsidRPr="00826645" w:rsidRDefault="0010219D" w:rsidP="0010219D">
            <w:pPr>
              <w:rPr>
                <w:b/>
                <w:bCs/>
                <w:sz w:val="22"/>
                <w:szCs w:val="22"/>
              </w:rPr>
            </w:pPr>
            <w:r w:rsidRPr="00826645">
              <w:rPr>
                <w:b/>
                <w:bCs/>
                <w:sz w:val="22"/>
                <w:szCs w:val="22"/>
              </w:rPr>
              <w:t> </w:t>
            </w:r>
          </w:p>
        </w:tc>
        <w:tc>
          <w:tcPr>
            <w:tcW w:w="2841" w:type="dxa"/>
            <w:vMerge w:val="restart"/>
            <w:tcBorders>
              <w:top w:val="nil"/>
              <w:left w:val="nil"/>
              <w:bottom w:val="nil"/>
              <w:right w:val="nil"/>
            </w:tcBorders>
            <w:shd w:val="clear" w:color="auto" w:fill="auto"/>
            <w:vAlign w:val="center"/>
            <w:hideMark/>
          </w:tcPr>
          <w:p w:rsidR="0010219D" w:rsidRPr="00826645" w:rsidRDefault="0010219D" w:rsidP="0010219D">
            <w:pPr>
              <w:jc w:val="center"/>
              <w:rPr>
                <w:b/>
                <w:bCs/>
                <w:sz w:val="22"/>
                <w:szCs w:val="22"/>
              </w:rPr>
            </w:pPr>
            <w:r w:rsidRPr="00826645">
              <w:rPr>
                <w:b/>
                <w:bCs/>
                <w:sz w:val="22"/>
                <w:szCs w:val="22"/>
              </w:rPr>
              <w:t>Description</w:t>
            </w:r>
          </w:p>
        </w:tc>
        <w:tc>
          <w:tcPr>
            <w:tcW w:w="1206" w:type="dxa"/>
            <w:vMerge w:val="restart"/>
            <w:tcBorders>
              <w:top w:val="nil"/>
              <w:left w:val="nil"/>
              <w:bottom w:val="nil"/>
              <w:right w:val="nil"/>
            </w:tcBorders>
            <w:shd w:val="clear" w:color="auto" w:fill="auto"/>
            <w:vAlign w:val="center"/>
            <w:hideMark/>
          </w:tcPr>
          <w:p w:rsidR="0010219D" w:rsidRPr="00826645" w:rsidRDefault="0010219D" w:rsidP="0010219D">
            <w:pPr>
              <w:jc w:val="center"/>
              <w:rPr>
                <w:b/>
                <w:bCs/>
                <w:sz w:val="22"/>
                <w:szCs w:val="22"/>
              </w:rPr>
            </w:pPr>
            <w:r w:rsidRPr="00826645">
              <w:rPr>
                <w:b/>
                <w:bCs/>
                <w:sz w:val="22"/>
                <w:szCs w:val="22"/>
              </w:rPr>
              <w:t>Proposed            Per             Utility</w:t>
            </w:r>
          </w:p>
        </w:tc>
        <w:tc>
          <w:tcPr>
            <w:tcW w:w="1476" w:type="dxa"/>
            <w:vMerge w:val="restart"/>
            <w:tcBorders>
              <w:top w:val="nil"/>
              <w:left w:val="nil"/>
              <w:bottom w:val="nil"/>
              <w:right w:val="nil"/>
            </w:tcBorders>
            <w:shd w:val="clear" w:color="auto" w:fill="auto"/>
            <w:vAlign w:val="center"/>
            <w:hideMark/>
          </w:tcPr>
          <w:p w:rsidR="0010219D" w:rsidRPr="00826645" w:rsidRDefault="00826645" w:rsidP="0010219D">
            <w:pPr>
              <w:jc w:val="center"/>
              <w:rPr>
                <w:b/>
                <w:bCs/>
                <w:sz w:val="22"/>
                <w:szCs w:val="22"/>
              </w:rPr>
            </w:pPr>
            <w:r>
              <w:rPr>
                <w:b/>
                <w:bCs/>
                <w:sz w:val="22"/>
                <w:szCs w:val="22"/>
              </w:rPr>
              <w:t>Commission</w:t>
            </w:r>
            <w:r w:rsidR="0010219D" w:rsidRPr="00826645">
              <w:rPr>
                <w:b/>
                <w:bCs/>
                <w:sz w:val="22"/>
                <w:szCs w:val="22"/>
              </w:rPr>
              <w:t xml:space="preserve">      Adjust-  ments</w:t>
            </w:r>
          </w:p>
        </w:tc>
        <w:tc>
          <w:tcPr>
            <w:tcW w:w="1476" w:type="dxa"/>
            <w:vMerge w:val="restart"/>
            <w:tcBorders>
              <w:top w:val="nil"/>
              <w:left w:val="nil"/>
              <w:bottom w:val="nil"/>
              <w:right w:val="nil"/>
            </w:tcBorders>
            <w:shd w:val="clear" w:color="auto" w:fill="auto"/>
            <w:vAlign w:val="center"/>
            <w:hideMark/>
          </w:tcPr>
          <w:p w:rsidR="0010219D" w:rsidRDefault="00826645" w:rsidP="00826645">
            <w:pPr>
              <w:jc w:val="center"/>
              <w:rPr>
                <w:b/>
                <w:bCs/>
                <w:sz w:val="22"/>
                <w:szCs w:val="22"/>
              </w:rPr>
            </w:pPr>
            <w:r>
              <w:rPr>
                <w:b/>
                <w:bCs/>
                <w:sz w:val="22"/>
                <w:szCs w:val="22"/>
              </w:rPr>
              <w:t>Commission</w:t>
            </w:r>
          </w:p>
          <w:p w:rsidR="00826645" w:rsidRPr="00826645" w:rsidRDefault="00826645" w:rsidP="00826645">
            <w:pPr>
              <w:jc w:val="center"/>
              <w:rPr>
                <w:b/>
                <w:bCs/>
                <w:sz w:val="22"/>
                <w:szCs w:val="22"/>
              </w:rPr>
            </w:pPr>
            <w:r>
              <w:rPr>
                <w:b/>
                <w:bCs/>
                <w:sz w:val="22"/>
                <w:szCs w:val="22"/>
              </w:rPr>
              <w:t>Approved</w:t>
            </w:r>
          </w:p>
        </w:tc>
        <w:tc>
          <w:tcPr>
            <w:tcW w:w="1518" w:type="dxa"/>
            <w:vMerge w:val="restart"/>
            <w:tcBorders>
              <w:top w:val="nil"/>
              <w:left w:val="nil"/>
              <w:bottom w:val="nil"/>
              <w:right w:val="nil"/>
            </w:tcBorders>
            <w:shd w:val="clear" w:color="auto" w:fill="auto"/>
            <w:vAlign w:val="center"/>
            <w:hideMark/>
          </w:tcPr>
          <w:p w:rsidR="0010219D" w:rsidRPr="00826645" w:rsidRDefault="0010219D" w:rsidP="0010219D">
            <w:pPr>
              <w:jc w:val="center"/>
              <w:rPr>
                <w:b/>
                <w:bCs/>
                <w:sz w:val="22"/>
                <w:szCs w:val="22"/>
              </w:rPr>
            </w:pPr>
            <w:r w:rsidRPr="00826645">
              <w:rPr>
                <w:b/>
                <w:bCs/>
                <w:sz w:val="22"/>
                <w:szCs w:val="22"/>
              </w:rPr>
              <w:t>Revenue Increase</w:t>
            </w:r>
          </w:p>
        </w:tc>
        <w:tc>
          <w:tcPr>
            <w:tcW w:w="1511" w:type="dxa"/>
            <w:vMerge w:val="restart"/>
            <w:tcBorders>
              <w:top w:val="nil"/>
              <w:left w:val="nil"/>
              <w:bottom w:val="nil"/>
              <w:right w:val="nil"/>
            </w:tcBorders>
            <w:shd w:val="clear" w:color="auto" w:fill="auto"/>
            <w:vAlign w:val="center"/>
            <w:hideMark/>
          </w:tcPr>
          <w:p w:rsidR="0010219D" w:rsidRPr="00826645" w:rsidRDefault="0010219D" w:rsidP="0010219D">
            <w:pPr>
              <w:jc w:val="center"/>
              <w:rPr>
                <w:b/>
                <w:bCs/>
                <w:sz w:val="22"/>
                <w:szCs w:val="22"/>
              </w:rPr>
            </w:pPr>
            <w:r w:rsidRPr="00826645">
              <w:rPr>
                <w:b/>
                <w:bCs/>
                <w:sz w:val="22"/>
                <w:szCs w:val="22"/>
              </w:rPr>
              <w:t>Revenue Requirement</w:t>
            </w:r>
          </w:p>
        </w:tc>
        <w:tc>
          <w:tcPr>
            <w:tcW w:w="276" w:type="dxa"/>
            <w:tcBorders>
              <w:top w:val="nil"/>
              <w:left w:val="nil"/>
              <w:bottom w:val="nil"/>
              <w:right w:val="single" w:sz="4" w:space="0" w:color="auto"/>
            </w:tcBorders>
            <w:shd w:val="clear" w:color="auto" w:fill="auto"/>
            <w:noWrap/>
            <w:vAlign w:val="bottom"/>
            <w:hideMark/>
          </w:tcPr>
          <w:p w:rsidR="0010219D" w:rsidRPr="00826645" w:rsidRDefault="0010219D" w:rsidP="0010219D">
            <w:pPr>
              <w:rPr>
                <w:b/>
                <w:bCs/>
                <w:sz w:val="22"/>
                <w:szCs w:val="22"/>
              </w:rPr>
            </w:pPr>
            <w:r w:rsidRPr="00826645">
              <w:rPr>
                <w:b/>
                <w:bCs/>
                <w:sz w:val="22"/>
                <w:szCs w:val="22"/>
              </w:rPr>
              <w:t> </w:t>
            </w:r>
          </w:p>
        </w:tc>
      </w:tr>
      <w:tr w:rsidR="0010219D" w:rsidRPr="00826645" w:rsidTr="004D4632">
        <w:trPr>
          <w:trHeight w:val="300"/>
          <w:jc w:val="center"/>
        </w:trPr>
        <w:tc>
          <w:tcPr>
            <w:tcW w:w="471" w:type="dxa"/>
            <w:tcBorders>
              <w:top w:val="nil"/>
              <w:left w:val="single" w:sz="4" w:space="0" w:color="auto"/>
              <w:bottom w:val="nil"/>
              <w:right w:val="nil"/>
            </w:tcBorders>
            <w:shd w:val="clear" w:color="auto" w:fill="auto"/>
            <w:noWrap/>
            <w:vAlign w:val="bottom"/>
            <w:hideMark/>
          </w:tcPr>
          <w:p w:rsidR="0010219D" w:rsidRPr="00826645" w:rsidRDefault="0010219D" w:rsidP="0010219D">
            <w:pPr>
              <w:rPr>
                <w:b/>
                <w:bCs/>
                <w:sz w:val="22"/>
                <w:szCs w:val="22"/>
              </w:rPr>
            </w:pPr>
            <w:r w:rsidRPr="00826645">
              <w:rPr>
                <w:b/>
                <w:bCs/>
                <w:sz w:val="22"/>
                <w:szCs w:val="22"/>
              </w:rPr>
              <w:t> </w:t>
            </w:r>
          </w:p>
        </w:tc>
        <w:tc>
          <w:tcPr>
            <w:tcW w:w="2841" w:type="dxa"/>
            <w:vMerge/>
            <w:tcBorders>
              <w:top w:val="nil"/>
              <w:left w:val="nil"/>
              <w:bottom w:val="nil"/>
              <w:right w:val="nil"/>
            </w:tcBorders>
            <w:vAlign w:val="center"/>
            <w:hideMark/>
          </w:tcPr>
          <w:p w:rsidR="0010219D" w:rsidRPr="00826645" w:rsidRDefault="0010219D" w:rsidP="0010219D">
            <w:pPr>
              <w:rPr>
                <w:b/>
                <w:bCs/>
                <w:sz w:val="22"/>
                <w:szCs w:val="22"/>
              </w:rPr>
            </w:pPr>
          </w:p>
        </w:tc>
        <w:tc>
          <w:tcPr>
            <w:tcW w:w="1206" w:type="dxa"/>
            <w:vMerge/>
            <w:tcBorders>
              <w:top w:val="nil"/>
              <w:left w:val="nil"/>
              <w:bottom w:val="nil"/>
              <w:right w:val="nil"/>
            </w:tcBorders>
            <w:vAlign w:val="center"/>
            <w:hideMark/>
          </w:tcPr>
          <w:p w:rsidR="0010219D" w:rsidRPr="00826645" w:rsidRDefault="0010219D" w:rsidP="0010219D">
            <w:pPr>
              <w:rPr>
                <w:b/>
                <w:bCs/>
                <w:sz w:val="22"/>
                <w:szCs w:val="22"/>
              </w:rPr>
            </w:pPr>
          </w:p>
        </w:tc>
        <w:tc>
          <w:tcPr>
            <w:tcW w:w="1476" w:type="dxa"/>
            <w:vMerge/>
            <w:tcBorders>
              <w:top w:val="nil"/>
              <w:left w:val="nil"/>
              <w:bottom w:val="nil"/>
              <w:right w:val="nil"/>
            </w:tcBorders>
            <w:vAlign w:val="center"/>
            <w:hideMark/>
          </w:tcPr>
          <w:p w:rsidR="0010219D" w:rsidRPr="00826645" w:rsidRDefault="0010219D" w:rsidP="0010219D">
            <w:pPr>
              <w:rPr>
                <w:b/>
                <w:bCs/>
                <w:sz w:val="22"/>
                <w:szCs w:val="22"/>
              </w:rPr>
            </w:pPr>
          </w:p>
        </w:tc>
        <w:tc>
          <w:tcPr>
            <w:tcW w:w="1476" w:type="dxa"/>
            <w:vMerge/>
            <w:tcBorders>
              <w:top w:val="nil"/>
              <w:left w:val="nil"/>
              <w:bottom w:val="nil"/>
              <w:right w:val="nil"/>
            </w:tcBorders>
            <w:vAlign w:val="center"/>
            <w:hideMark/>
          </w:tcPr>
          <w:p w:rsidR="0010219D" w:rsidRPr="00826645" w:rsidRDefault="0010219D" w:rsidP="0010219D">
            <w:pPr>
              <w:rPr>
                <w:b/>
                <w:bCs/>
                <w:sz w:val="22"/>
                <w:szCs w:val="22"/>
              </w:rPr>
            </w:pPr>
          </w:p>
        </w:tc>
        <w:tc>
          <w:tcPr>
            <w:tcW w:w="1518" w:type="dxa"/>
            <w:vMerge/>
            <w:tcBorders>
              <w:top w:val="nil"/>
              <w:left w:val="nil"/>
              <w:bottom w:val="nil"/>
              <w:right w:val="nil"/>
            </w:tcBorders>
            <w:vAlign w:val="center"/>
            <w:hideMark/>
          </w:tcPr>
          <w:p w:rsidR="0010219D" w:rsidRPr="00826645" w:rsidRDefault="0010219D" w:rsidP="0010219D">
            <w:pPr>
              <w:rPr>
                <w:b/>
                <w:bCs/>
                <w:sz w:val="22"/>
                <w:szCs w:val="22"/>
              </w:rPr>
            </w:pPr>
          </w:p>
        </w:tc>
        <w:tc>
          <w:tcPr>
            <w:tcW w:w="1511" w:type="dxa"/>
            <w:vMerge/>
            <w:tcBorders>
              <w:top w:val="nil"/>
              <w:left w:val="nil"/>
              <w:bottom w:val="nil"/>
              <w:right w:val="nil"/>
            </w:tcBorders>
            <w:vAlign w:val="center"/>
            <w:hideMark/>
          </w:tcPr>
          <w:p w:rsidR="0010219D" w:rsidRPr="00826645" w:rsidRDefault="0010219D" w:rsidP="0010219D">
            <w:pPr>
              <w:rPr>
                <w:b/>
                <w:bCs/>
                <w:sz w:val="22"/>
                <w:szCs w:val="22"/>
              </w:rPr>
            </w:pPr>
          </w:p>
        </w:tc>
        <w:tc>
          <w:tcPr>
            <w:tcW w:w="276" w:type="dxa"/>
            <w:tcBorders>
              <w:top w:val="nil"/>
              <w:left w:val="nil"/>
              <w:bottom w:val="nil"/>
              <w:right w:val="single" w:sz="4" w:space="0" w:color="auto"/>
            </w:tcBorders>
            <w:shd w:val="clear" w:color="auto" w:fill="auto"/>
            <w:noWrap/>
            <w:vAlign w:val="bottom"/>
            <w:hideMark/>
          </w:tcPr>
          <w:p w:rsidR="0010219D" w:rsidRPr="00826645" w:rsidRDefault="0010219D" w:rsidP="0010219D">
            <w:pPr>
              <w:jc w:val="center"/>
              <w:rPr>
                <w:b/>
                <w:bCs/>
                <w:sz w:val="22"/>
                <w:szCs w:val="22"/>
              </w:rPr>
            </w:pPr>
            <w:r w:rsidRPr="00826645">
              <w:rPr>
                <w:b/>
                <w:bCs/>
                <w:sz w:val="22"/>
                <w:szCs w:val="22"/>
              </w:rPr>
              <w:t> </w:t>
            </w:r>
          </w:p>
        </w:tc>
      </w:tr>
      <w:tr w:rsidR="0010219D" w:rsidRPr="00826645" w:rsidTr="004D4632">
        <w:trPr>
          <w:trHeight w:val="300"/>
          <w:jc w:val="center"/>
        </w:trPr>
        <w:tc>
          <w:tcPr>
            <w:tcW w:w="471" w:type="dxa"/>
            <w:tcBorders>
              <w:top w:val="nil"/>
              <w:left w:val="single" w:sz="4" w:space="0" w:color="auto"/>
              <w:bottom w:val="nil"/>
              <w:right w:val="nil"/>
            </w:tcBorders>
            <w:shd w:val="clear" w:color="auto" w:fill="auto"/>
            <w:noWrap/>
            <w:vAlign w:val="bottom"/>
            <w:hideMark/>
          </w:tcPr>
          <w:p w:rsidR="0010219D" w:rsidRPr="00826645" w:rsidRDefault="0010219D" w:rsidP="0010219D">
            <w:pPr>
              <w:rPr>
                <w:b/>
                <w:bCs/>
                <w:sz w:val="22"/>
                <w:szCs w:val="22"/>
              </w:rPr>
            </w:pPr>
            <w:r w:rsidRPr="00826645">
              <w:rPr>
                <w:b/>
                <w:bCs/>
                <w:sz w:val="22"/>
                <w:szCs w:val="22"/>
              </w:rPr>
              <w:t> </w:t>
            </w:r>
          </w:p>
        </w:tc>
        <w:tc>
          <w:tcPr>
            <w:tcW w:w="2841" w:type="dxa"/>
            <w:vMerge/>
            <w:tcBorders>
              <w:top w:val="nil"/>
              <w:left w:val="nil"/>
              <w:bottom w:val="nil"/>
              <w:right w:val="nil"/>
            </w:tcBorders>
            <w:vAlign w:val="center"/>
            <w:hideMark/>
          </w:tcPr>
          <w:p w:rsidR="0010219D" w:rsidRPr="00826645" w:rsidRDefault="0010219D" w:rsidP="0010219D">
            <w:pPr>
              <w:rPr>
                <w:b/>
                <w:bCs/>
                <w:sz w:val="22"/>
                <w:szCs w:val="22"/>
              </w:rPr>
            </w:pPr>
          </w:p>
        </w:tc>
        <w:tc>
          <w:tcPr>
            <w:tcW w:w="1206" w:type="dxa"/>
            <w:vMerge/>
            <w:tcBorders>
              <w:top w:val="nil"/>
              <w:left w:val="nil"/>
              <w:bottom w:val="nil"/>
              <w:right w:val="nil"/>
            </w:tcBorders>
            <w:vAlign w:val="center"/>
            <w:hideMark/>
          </w:tcPr>
          <w:p w:rsidR="0010219D" w:rsidRPr="00826645" w:rsidRDefault="0010219D" w:rsidP="0010219D">
            <w:pPr>
              <w:rPr>
                <w:b/>
                <w:bCs/>
                <w:sz w:val="22"/>
                <w:szCs w:val="22"/>
              </w:rPr>
            </w:pPr>
          </w:p>
        </w:tc>
        <w:tc>
          <w:tcPr>
            <w:tcW w:w="1476" w:type="dxa"/>
            <w:vMerge/>
            <w:tcBorders>
              <w:top w:val="nil"/>
              <w:left w:val="nil"/>
              <w:bottom w:val="nil"/>
              <w:right w:val="nil"/>
            </w:tcBorders>
            <w:vAlign w:val="center"/>
            <w:hideMark/>
          </w:tcPr>
          <w:p w:rsidR="0010219D" w:rsidRPr="00826645" w:rsidRDefault="0010219D" w:rsidP="0010219D">
            <w:pPr>
              <w:rPr>
                <w:b/>
                <w:bCs/>
                <w:sz w:val="22"/>
                <w:szCs w:val="22"/>
              </w:rPr>
            </w:pPr>
          </w:p>
        </w:tc>
        <w:tc>
          <w:tcPr>
            <w:tcW w:w="1476" w:type="dxa"/>
            <w:vMerge/>
            <w:tcBorders>
              <w:top w:val="nil"/>
              <w:left w:val="nil"/>
              <w:bottom w:val="nil"/>
              <w:right w:val="nil"/>
            </w:tcBorders>
            <w:vAlign w:val="center"/>
            <w:hideMark/>
          </w:tcPr>
          <w:p w:rsidR="0010219D" w:rsidRPr="00826645" w:rsidRDefault="0010219D" w:rsidP="0010219D">
            <w:pPr>
              <w:rPr>
                <w:b/>
                <w:bCs/>
                <w:sz w:val="22"/>
                <w:szCs w:val="22"/>
              </w:rPr>
            </w:pPr>
          </w:p>
        </w:tc>
        <w:tc>
          <w:tcPr>
            <w:tcW w:w="1518" w:type="dxa"/>
            <w:vMerge/>
            <w:tcBorders>
              <w:top w:val="nil"/>
              <w:left w:val="nil"/>
              <w:bottom w:val="nil"/>
              <w:right w:val="nil"/>
            </w:tcBorders>
            <w:vAlign w:val="center"/>
            <w:hideMark/>
          </w:tcPr>
          <w:p w:rsidR="0010219D" w:rsidRPr="00826645" w:rsidRDefault="0010219D" w:rsidP="0010219D">
            <w:pPr>
              <w:rPr>
                <w:b/>
                <w:bCs/>
                <w:sz w:val="22"/>
                <w:szCs w:val="22"/>
              </w:rPr>
            </w:pPr>
          </w:p>
        </w:tc>
        <w:tc>
          <w:tcPr>
            <w:tcW w:w="1511" w:type="dxa"/>
            <w:vMerge/>
            <w:tcBorders>
              <w:top w:val="nil"/>
              <w:left w:val="nil"/>
              <w:bottom w:val="nil"/>
              <w:right w:val="nil"/>
            </w:tcBorders>
            <w:vAlign w:val="center"/>
            <w:hideMark/>
          </w:tcPr>
          <w:p w:rsidR="0010219D" w:rsidRPr="00826645" w:rsidRDefault="0010219D" w:rsidP="0010219D">
            <w:pPr>
              <w:rPr>
                <w:b/>
                <w:bCs/>
                <w:sz w:val="22"/>
                <w:szCs w:val="22"/>
              </w:rPr>
            </w:pPr>
          </w:p>
        </w:tc>
        <w:tc>
          <w:tcPr>
            <w:tcW w:w="276" w:type="dxa"/>
            <w:tcBorders>
              <w:top w:val="nil"/>
              <w:left w:val="nil"/>
              <w:bottom w:val="nil"/>
              <w:right w:val="single" w:sz="4" w:space="0" w:color="auto"/>
            </w:tcBorders>
            <w:shd w:val="clear" w:color="auto" w:fill="auto"/>
            <w:noWrap/>
            <w:vAlign w:val="bottom"/>
            <w:hideMark/>
          </w:tcPr>
          <w:p w:rsidR="0010219D" w:rsidRPr="00826645" w:rsidRDefault="0010219D" w:rsidP="0010219D">
            <w:pPr>
              <w:jc w:val="center"/>
              <w:rPr>
                <w:b/>
                <w:bCs/>
                <w:sz w:val="22"/>
                <w:szCs w:val="22"/>
              </w:rPr>
            </w:pPr>
            <w:r w:rsidRPr="00826645">
              <w:rPr>
                <w:b/>
                <w:bCs/>
                <w:sz w:val="22"/>
                <w:szCs w:val="22"/>
              </w:rPr>
              <w:t> </w:t>
            </w:r>
          </w:p>
        </w:tc>
      </w:tr>
      <w:tr w:rsidR="0010219D" w:rsidRPr="00826645" w:rsidTr="004D4632">
        <w:trPr>
          <w:trHeight w:val="300"/>
          <w:jc w:val="center"/>
        </w:trPr>
        <w:tc>
          <w:tcPr>
            <w:tcW w:w="471" w:type="dxa"/>
            <w:tcBorders>
              <w:top w:val="single" w:sz="4" w:space="0" w:color="000000"/>
              <w:left w:val="single" w:sz="4" w:space="0" w:color="auto"/>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2841" w:type="dxa"/>
            <w:tcBorders>
              <w:top w:val="single" w:sz="4" w:space="0" w:color="000000"/>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206" w:type="dxa"/>
            <w:tcBorders>
              <w:top w:val="single" w:sz="4" w:space="0" w:color="000000"/>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476" w:type="dxa"/>
            <w:tcBorders>
              <w:top w:val="single" w:sz="4" w:space="0" w:color="000000"/>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476" w:type="dxa"/>
            <w:tcBorders>
              <w:top w:val="single" w:sz="4" w:space="0" w:color="000000"/>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518" w:type="dxa"/>
            <w:tcBorders>
              <w:top w:val="single" w:sz="4" w:space="0" w:color="000000"/>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511" w:type="dxa"/>
            <w:tcBorders>
              <w:top w:val="single" w:sz="4" w:space="0" w:color="000000"/>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276" w:type="dxa"/>
            <w:tcBorders>
              <w:top w:val="single" w:sz="4" w:space="0" w:color="000000"/>
              <w:left w:val="nil"/>
              <w:bottom w:val="nil"/>
              <w:right w:val="single" w:sz="4" w:space="0" w:color="auto"/>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r>
      <w:tr w:rsidR="0010219D" w:rsidRPr="00826645" w:rsidTr="004D4632">
        <w:trPr>
          <w:trHeight w:val="300"/>
          <w:jc w:val="center"/>
        </w:trPr>
        <w:tc>
          <w:tcPr>
            <w:tcW w:w="471" w:type="dxa"/>
            <w:tcBorders>
              <w:top w:val="nil"/>
              <w:left w:val="single" w:sz="4" w:space="0" w:color="auto"/>
              <w:bottom w:val="nil"/>
              <w:right w:val="nil"/>
            </w:tcBorders>
            <w:shd w:val="clear" w:color="000000" w:fill="FFFFFF"/>
            <w:noWrap/>
            <w:vAlign w:val="bottom"/>
            <w:hideMark/>
          </w:tcPr>
          <w:p w:rsidR="0010219D" w:rsidRPr="00826645" w:rsidRDefault="0010219D" w:rsidP="0010219D">
            <w:pPr>
              <w:jc w:val="center"/>
              <w:rPr>
                <w:sz w:val="22"/>
                <w:szCs w:val="22"/>
              </w:rPr>
            </w:pPr>
            <w:r w:rsidRPr="00826645">
              <w:rPr>
                <w:sz w:val="22"/>
                <w:szCs w:val="22"/>
              </w:rPr>
              <w:t>1</w:t>
            </w:r>
          </w:p>
        </w:tc>
        <w:tc>
          <w:tcPr>
            <w:tcW w:w="2841" w:type="dxa"/>
            <w:tcBorders>
              <w:top w:val="nil"/>
              <w:left w:val="nil"/>
              <w:bottom w:val="nil"/>
              <w:right w:val="nil"/>
            </w:tcBorders>
            <w:shd w:val="clear" w:color="000000" w:fill="FFFFFF"/>
            <w:noWrap/>
            <w:vAlign w:val="bottom"/>
            <w:hideMark/>
          </w:tcPr>
          <w:p w:rsidR="0010219D" w:rsidRPr="00826645" w:rsidRDefault="0010219D" w:rsidP="0010219D">
            <w:pPr>
              <w:rPr>
                <w:b/>
                <w:bCs/>
                <w:sz w:val="22"/>
                <w:szCs w:val="22"/>
              </w:rPr>
            </w:pPr>
            <w:r w:rsidRPr="00826645">
              <w:rPr>
                <w:b/>
                <w:bCs/>
                <w:sz w:val="22"/>
                <w:szCs w:val="22"/>
              </w:rPr>
              <w:t>Operating Revenues:</w:t>
            </w:r>
          </w:p>
        </w:tc>
        <w:tc>
          <w:tcPr>
            <w:tcW w:w="1206"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u w:val="single"/>
              </w:rPr>
            </w:pPr>
            <w:r w:rsidRPr="00826645">
              <w:rPr>
                <w:sz w:val="22"/>
                <w:szCs w:val="22"/>
                <w:u w:val="single"/>
              </w:rPr>
              <w:t xml:space="preserve">$392,780 </w:t>
            </w:r>
          </w:p>
        </w:tc>
        <w:tc>
          <w:tcPr>
            <w:tcW w:w="1476"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u w:val="single"/>
              </w:rPr>
            </w:pPr>
            <w:r w:rsidRPr="00826645">
              <w:rPr>
                <w:sz w:val="22"/>
                <w:szCs w:val="22"/>
                <w:u w:val="single"/>
              </w:rPr>
              <w:t xml:space="preserve">$0 </w:t>
            </w:r>
          </w:p>
        </w:tc>
        <w:tc>
          <w:tcPr>
            <w:tcW w:w="1476"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u w:val="single"/>
              </w:rPr>
            </w:pPr>
            <w:r w:rsidRPr="00826645">
              <w:rPr>
                <w:sz w:val="22"/>
                <w:szCs w:val="22"/>
                <w:u w:val="single"/>
              </w:rPr>
              <w:t xml:space="preserve">$392,780 </w:t>
            </w:r>
          </w:p>
        </w:tc>
        <w:tc>
          <w:tcPr>
            <w:tcW w:w="1518"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u w:val="single"/>
              </w:rPr>
            </w:pPr>
            <w:r w:rsidRPr="00826645">
              <w:rPr>
                <w:sz w:val="22"/>
                <w:szCs w:val="22"/>
                <w:u w:val="single"/>
              </w:rPr>
              <w:t xml:space="preserve">$76,022 </w:t>
            </w:r>
          </w:p>
        </w:tc>
        <w:tc>
          <w:tcPr>
            <w:tcW w:w="1511"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u w:val="single"/>
              </w:rPr>
            </w:pPr>
            <w:r w:rsidRPr="00826645">
              <w:rPr>
                <w:sz w:val="22"/>
                <w:szCs w:val="22"/>
                <w:u w:val="single"/>
              </w:rPr>
              <w:t xml:space="preserve">$468,802 </w:t>
            </w:r>
          </w:p>
        </w:tc>
        <w:tc>
          <w:tcPr>
            <w:tcW w:w="276" w:type="dxa"/>
            <w:tcBorders>
              <w:top w:val="nil"/>
              <w:left w:val="nil"/>
              <w:bottom w:val="nil"/>
              <w:right w:val="single" w:sz="4" w:space="0" w:color="auto"/>
            </w:tcBorders>
            <w:shd w:val="clear" w:color="000000" w:fill="FFFFFF"/>
            <w:noWrap/>
            <w:vAlign w:val="bottom"/>
            <w:hideMark/>
          </w:tcPr>
          <w:p w:rsidR="0010219D" w:rsidRPr="00826645" w:rsidRDefault="0010219D" w:rsidP="0010219D">
            <w:pPr>
              <w:rPr>
                <w:sz w:val="22"/>
                <w:szCs w:val="22"/>
                <w:u w:val="single"/>
              </w:rPr>
            </w:pPr>
            <w:r w:rsidRPr="00826645">
              <w:rPr>
                <w:sz w:val="22"/>
                <w:szCs w:val="22"/>
                <w:u w:val="single"/>
              </w:rPr>
              <w:t> </w:t>
            </w:r>
          </w:p>
        </w:tc>
      </w:tr>
      <w:tr w:rsidR="0010219D" w:rsidRPr="00826645" w:rsidTr="004D4632">
        <w:trPr>
          <w:trHeight w:val="300"/>
          <w:jc w:val="center"/>
        </w:trPr>
        <w:tc>
          <w:tcPr>
            <w:tcW w:w="471" w:type="dxa"/>
            <w:tcBorders>
              <w:top w:val="nil"/>
              <w:left w:val="single" w:sz="4" w:space="0" w:color="auto"/>
              <w:bottom w:val="nil"/>
              <w:right w:val="nil"/>
            </w:tcBorders>
            <w:shd w:val="clear" w:color="000000" w:fill="FFFFFF"/>
            <w:noWrap/>
            <w:vAlign w:val="bottom"/>
            <w:hideMark/>
          </w:tcPr>
          <w:p w:rsidR="0010219D" w:rsidRPr="00826645" w:rsidRDefault="0010219D" w:rsidP="0010219D">
            <w:pPr>
              <w:jc w:val="center"/>
              <w:rPr>
                <w:sz w:val="22"/>
                <w:szCs w:val="22"/>
              </w:rPr>
            </w:pPr>
            <w:r w:rsidRPr="00826645">
              <w:rPr>
                <w:sz w:val="22"/>
                <w:szCs w:val="22"/>
              </w:rPr>
              <w:t> </w:t>
            </w:r>
          </w:p>
        </w:tc>
        <w:tc>
          <w:tcPr>
            <w:tcW w:w="2841"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206"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476"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476"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518"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p>
        </w:tc>
        <w:tc>
          <w:tcPr>
            <w:tcW w:w="1511"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276" w:type="dxa"/>
            <w:tcBorders>
              <w:top w:val="nil"/>
              <w:left w:val="nil"/>
              <w:bottom w:val="nil"/>
              <w:right w:val="single" w:sz="4" w:space="0" w:color="auto"/>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r>
      <w:tr w:rsidR="0010219D" w:rsidRPr="00826645" w:rsidTr="004D4632">
        <w:trPr>
          <w:trHeight w:val="300"/>
          <w:jc w:val="center"/>
        </w:trPr>
        <w:tc>
          <w:tcPr>
            <w:tcW w:w="471" w:type="dxa"/>
            <w:tcBorders>
              <w:top w:val="nil"/>
              <w:left w:val="single" w:sz="4" w:space="0" w:color="auto"/>
              <w:bottom w:val="nil"/>
              <w:right w:val="nil"/>
            </w:tcBorders>
            <w:shd w:val="clear" w:color="000000" w:fill="FFFFFF"/>
            <w:noWrap/>
            <w:vAlign w:val="bottom"/>
            <w:hideMark/>
          </w:tcPr>
          <w:p w:rsidR="0010219D" w:rsidRPr="00826645" w:rsidRDefault="0010219D" w:rsidP="0010219D">
            <w:pPr>
              <w:jc w:val="center"/>
              <w:rPr>
                <w:sz w:val="22"/>
                <w:szCs w:val="22"/>
              </w:rPr>
            </w:pPr>
            <w:r w:rsidRPr="00826645">
              <w:rPr>
                <w:sz w:val="22"/>
                <w:szCs w:val="22"/>
              </w:rPr>
              <w:t> </w:t>
            </w:r>
          </w:p>
        </w:tc>
        <w:tc>
          <w:tcPr>
            <w:tcW w:w="2841" w:type="dxa"/>
            <w:tcBorders>
              <w:top w:val="nil"/>
              <w:left w:val="nil"/>
              <w:bottom w:val="nil"/>
              <w:right w:val="nil"/>
            </w:tcBorders>
            <w:shd w:val="clear" w:color="000000" w:fill="FFFFFF"/>
            <w:noWrap/>
            <w:vAlign w:val="bottom"/>
            <w:hideMark/>
          </w:tcPr>
          <w:p w:rsidR="0010219D" w:rsidRPr="00826645" w:rsidRDefault="0010219D" w:rsidP="0010219D">
            <w:pPr>
              <w:rPr>
                <w:b/>
                <w:bCs/>
                <w:sz w:val="22"/>
                <w:szCs w:val="22"/>
              </w:rPr>
            </w:pPr>
            <w:r w:rsidRPr="00826645">
              <w:rPr>
                <w:b/>
                <w:bCs/>
                <w:sz w:val="22"/>
                <w:szCs w:val="22"/>
              </w:rPr>
              <w:t>Operating Expenses</w:t>
            </w:r>
          </w:p>
        </w:tc>
        <w:tc>
          <w:tcPr>
            <w:tcW w:w="1206"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476"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476"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518"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511"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276" w:type="dxa"/>
            <w:tcBorders>
              <w:top w:val="nil"/>
              <w:left w:val="nil"/>
              <w:bottom w:val="nil"/>
              <w:right w:val="single" w:sz="4" w:space="0" w:color="auto"/>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r>
      <w:tr w:rsidR="0010219D" w:rsidRPr="00826645" w:rsidTr="004D4632">
        <w:trPr>
          <w:trHeight w:val="300"/>
          <w:jc w:val="center"/>
        </w:trPr>
        <w:tc>
          <w:tcPr>
            <w:tcW w:w="471" w:type="dxa"/>
            <w:tcBorders>
              <w:top w:val="nil"/>
              <w:left w:val="single" w:sz="4" w:space="0" w:color="auto"/>
              <w:bottom w:val="nil"/>
              <w:right w:val="nil"/>
            </w:tcBorders>
            <w:shd w:val="clear" w:color="000000" w:fill="FFFFFF"/>
            <w:noWrap/>
            <w:vAlign w:val="bottom"/>
            <w:hideMark/>
          </w:tcPr>
          <w:p w:rsidR="0010219D" w:rsidRPr="00826645" w:rsidRDefault="0010219D" w:rsidP="0010219D">
            <w:pPr>
              <w:jc w:val="center"/>
              <w:rPr>
                <w:sz w:val="22"/>
                <w:szCs w:val="22"/>
              </w:rPr>
            </w:pPr>
            <w:r w:rsidRPr="00826645">
              <w:rPr>
                <w:sz w:val="22"/>
                <w:szCs w:val="22"/>
              </w:rPr>
              <w:t>2</w:t>
            </w:r>
          </w:p>
        </w:tc>
        <w:tc>
          <w:tcPr>
            <w:tcW w:w="2841"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xml:space="preserve">    Operation &amp; Maintenance</w:t>
            </w:r>
          </w:p>
        </w:tc>
        <w:tc>
          <w:tcPr>
            <w:tcW w:w="1206"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$182,503</w:t>
            </w:r>
          </w:p>
        </w:tc>
        <w:tc>
          <w:tcPr>
            <w:tcW w:w="1476"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 xml:space="preserve">($2,100) </w:t>
            </w:r>
          </w:p>
        </w:tc>
        <w:tc>
          <w:tcPr>
            <w:tcW w:w="1476"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$180,403</w:t>
            </w:r>
          </w:p>
        </w:tc>
        <w:tc>
          <w:tcPr>
            <w:tcW w:w="1518"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511"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$180,403</w:t>
            </w:r>
          </w:p>
        </w:tc>
        <w:tc>
          <w:tcPr>
            <w:tcW w:w="276" w:type="dxa"/>
            <w:tcBorders>
              <w:top w:val="nil"/>
              <w:left w:val="nil"/>
              <w:bottom w:val="nil"/>
              <w:right w:val="single" w:sz="4" w:space="0" w:color="auto"/>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r>
      <w:tr w:rsidR="0010219D" w:rsidRPr="00826645" w:rsidTr="004D4632">
        <w:trPr>
          <w:trHeight w:val="300"/>
          <w:jc w:val="center"/>
        </w:trPr>
        <w:tc>
          <w:tcPr>
            <w:tcW w:w="471" w:type="dxa"/>
            <w:tcBorders>
              <w:top w:val="nil"/>
              <w:left w:val="single" w:sz="4" w:space="0" w:color="auto"/>
              <w:bottom w:val="nil"/>
              <w:right w:val="nil"/>
            </w:tcBorders>
            <w:shd w:val="clear" w:color="000000" w:fill="FFFFFF"/>
            <w:noWrap/>
            <w:vAlign w:val="bottom"/>
            <w:hideMark/>
          </w:tcPr>
          <w:p w:rsidR="0010219D" w:rsidRPr="00826645" w:rsidRDefault="0010219D" w:rsidP="0010219D">
            <w:pPr>
              <w:jc w:val="center"/>
              <w:rPr>
                <w:sz w:val="22"/>
                <w:szCs w:val="22"/>
              </w:rPr>
            </w:pPr>
            <w:r w:rsidRPr="00826645">
              <w:rPr>
                <w:sz w:val="22"/>
                <w:szCs w:val="22"/>
              </w:rPr>
              <w:t> </w:t>
            </w:r>
          </w:p>
        </w:tc>
        <w:tc>
          <w:tcPr>
            <w:tcW w:w="2841"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206"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476"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476"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518"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511"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276" w:type="dxa"/>
            <w:tcBorders>
              <w:top w:val="nil"/>
              <w:left w:val="nil"/>
              <w:bottom w:val="nil"/>
              <w:right w:val="single" w:sz="4" w:space="0" w:color="auto"/>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r>
      <w:tr w:rsidR="0010219D" w:rsidRPr="00826645" w:rsidTr="004D4632">
        <w:trPr>
          <w:trHeight w:val="300"/>
          <w:jc w:val="center"/>
        </w:trPr>
        <w:tc>
          <w:tcPr>
            <w:tcW w:w="471" w:type="dxa"/>
            <w:tcBorders>
              <w:top w:val="nil"/>
              <w:left w:val="single" w:sz="4" w:space="0" w:color="auto"/>
              <w:bottom w:val="nil"/>
              <w:right w:val="nil"/>
            </w:tcBorders>
            <w:shd w:val="clear" w:color="000000" w:fill="FFFFFF"/>
            <w:noWrap/>
            <w:vAlign w:val="bottom"/>
            <w:hideMark/>
          </w:tcPr>
          <w:p w:rsidR="0010219D" w:rsidRPr="00826645" w:rsidRDefault="0010219D" w:rsidP="0010219D">
            <w:pPr>
              <w:jc w:val="center"/>
              <w:rPr>
                <w:sz w:val="22"/>
                <w:szCs w:val="22"/>
              </w:rPr>
            </w:pPr>
            <w:r w:rsidRPr="00826645">
              <w:rPr>
                <w:sz w:val="22"/>
                <w:szCs w:val="22"/>
              </w:rPr>
              <w:t>3</w:t>
            </w:r>
          </w:p>
        </w:tc>
        <w:tc>
          <w:tcPr>
            <w:tcW w:w="2841"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xml:space="preserve">    Depreciation</w:t>
            </w:r>
          </w:p>
        </w:tc>
        <w:tc>
          <w:tcPr>
            <w:tcW w:w="1206"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(8,061)</w:t>
            </w:r>
          </w:p>
        </w:tc>
        <w:tc>
          <w:tcPr>
            <w:tcW w:w="1476"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 xml:space="preserve">54,922 </w:t>
            </w:r>
          </w:p>
        </w:tc>
        <w:tc>
          <w:tcPr>
            <w:tcW w:w="1476"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 xml:space="preserve">46,861 </w:t>
            </w:r>
          </w:p>
        </w:tc>
        <w:tc>
          <w:tcPr>
            <w:tcW w:w="1518"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511"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 xml:space="preserve">46,861 </w:t>
            </w:r>
          </w:p>
        </w:tc>
        <w:tc>
          <w:tcPr>
            <w:tcW w:w="276" w:type="dxa"/>
            <w:tcBorders>
              <w:top w:val="nil"/>
              <w:left w:val="nil"/>
              <w:bottom w:val="nil"/>
              <w:right w:val="single" w:sz="4" w:space="0" w:color="auto"/>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r>
      <w:tr w:rsidR="0010219D" w:rsidRPr="00826645" w:rsidTr="004D4632">
        <w:trPr>
          <w:trHeight w:val="300"/>
          <w:jc w:val="center"/>
        </w:trPr>
        <w:tc>
          <w:tcPr>
            <w:tcW w:w="471" w:type="dxa"/>
            <w:tcBorders>
              <w:top w:val="nil"/>
              <w:left w:val="single" w:sz="4" w:space="0" w:color="auto"/>
              <w:bottom w:val="nil"/>
              <w:right w:val="nil"/>
            </w:tcBorders>
            <w:shd w:val="clear" w:color="000000" w:fill="FFFFFF"/>
            <w:noWrap/>
            <w:vAlign w:val="bottom"/>
            <w:hideMark/>
          </w:tcPr>
          <w:p w:rsidR="0010219D" w:rsidRPr="00826645" w:rsidRDefault="0010219D" w:rsidP="0010219D">
            <w:pPr>
              <w:jc w:val="center"/>
              <w:rPr>
                <w:sz w:val="22"/>
                <w:szCs w:val="22"/>
              </w:rPr>
            </w:pPr>
            <w:r w:rsidRPr="00826645">
              <w:rPr>
                <w:sz w:val="22"/>
                <w:szCs w:val="22"/>
              </w:rPr>
              <w:t> </w:t>
            </w:r>
          </w:p>
        </w:tc>
        <w:tc>
          <w:tcPr>
            <w:tcW w:w="2841"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206"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476"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476"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518"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511"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276" w:type="dxa"/>
            <w:tcBorders>
              <w:top w:val="nil"/>
              <w:left w:val="nil"/>
              <w:bottom w:val="nil"/>
              <w:right w:val="single" w:sz="4" w:space="0" w:color="auto"/>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r>
      <w:tr w:rsidR="0010219D" w:rsidRPr="00826645" w:rsidTr="004D4632">
        <w:trPr>
          <w:trHeight w:val="300"/>
          <w:jc w:val="center"/>
        </w:trPr>
        <w:tc>
          <w:tcPr>
            <w:tcW w:w="471" w:type="dxa"/>
            <w:tcBorders>
              <w:top w:val="nil"/>
              <w:left w:val="single" w:sz="4" w:space="0" w:color="auto"/>
              <w:bottom w:val="nil"/>
              <w:right w:val="nil"/>
            </w:tcBorders>
            <w:shd w:val="clear" w:color="000000" w:fill="FFFFFF"/>
            <w:noWrap/>
            <w:vAlign w:val="bottom"/>
            <w:hideMark/>
          </w:tcPr>
          <w:p w:rsidR="0010219D" w:rsidRPr="00826645" w:rsidRDefault="0010219D" w:rsidP="0010219D">
            <w:pPr>
              <w:jc w:val="center"/>
              <w:rPr>
                <w:sz w:val="22"/>
                <w:szCs w:val="22"/>
              </w:rPr>
            </w:pPr>
            <w:r w:rsidRPr="00826645">
              <w:rPr>
                <w:sz w:val="22"/>
                <w:szCs w:val="22"/>
              </w:rPr>
              <w:t>4</w:t>
            </w:r>
          </w:p>
        </w:tc>
        <w:tc>
          <w:tcPr>
            <w:tcW w:w="2841"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xml:space="preserve">    Amortization</w:t>
            </w:r>
          </w:p>
        </w:tc>
        <w:tc>
          <w:tcPr>
            <w:tcW w:w="1206"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 xml:space="preserve">494 </w:t>
            </w:r>
          </w:p>
        </w:tc>
        <w:tc>
          <w:tcPr>
            <w:tcW w:w="1476"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 xml:space="preserve">0 </w:t>
            </w:r>
          </w:p>
        </w:tc>
        <w:tc>
          <w:tcPr>
            <w:tcW w:w="1476"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 xml:space="preserve">494 </w:t>
            </w:r>
          </w:p>
        </w:tc>
        <w:tc>
          <w:tcPr>
            <w:tcW w:w="1518"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511"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 xml:space="preserve">494 </w:t>
            </w:r>
          </w:p>
        </w:tc>
        <w:tc>
          <w:tcPr>
            <w:tcW w:w="276" w:type="dxa"/>
            <w:tcBorders>
              <w:top w:val="nil"/>
              <w:left w:val="nil"/>
              <w:bottom w:val="nil"/>
              <w:right w:val="single" w:sz="4" w:space="0" w:color="auto"/>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r>
      <w:tr w:rsidR="0010219D" w:rsidRPr="00826645" w:rsidTr="004D4632">
        <w:trPr>
          <w:trHeight w:val="300"/>
          <w:jc w:val="center"/>
        </w:trPr>
        <w:tc>
          <w:tcPr>
            <w:tcW w:w="471" w:type="dxa"/>
            <w:tcBorders>
              <w:top w:val="nil"/>
              <w:left w:val="single" w:sz="4" w:space="0" w:color="auto"/>
              <w:bottom w:val="nil"/>
              <w:right w:val="nil"/>
            </w:tcBorders>
            <w:shd w:val="clear" w:color="000000" w:fill="FFFFFF"/>
            <w:noWrap/>
            <w:vAlign w:val="bottom"/>
            <w:hideMark/>
          </w:tcPr>
          <w:p w:rsidR="0010219D" w:rsidRPr="00826645" w:rsidRDefault="0010219D" w:rsidP="0010219D">
            <w:pPr>
              <w:jc w:val="center"/>
              <w:rPr>
                <w:sz w:val="22"/>
                <w:szCs w:val="22"/>
              </w:rPr>
            </w:pPr>
            <w:r w:rsidRPr="00826645">
              <w:rPr>
                <w:sz w:val="22"/>
                <w:szCs w:val="22"/>
              </w:rPr>
              <w:t> </w:t>
            </w:r>
          </w:p>
        </w:tc>
        <w:tc>
          <w:tcPr>
            <w:tcW w:w="2841"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206"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476"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476"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518"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511"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276" w:type="dxa"/>
            <w:tcBorders>
              <w:top w:val="nil"/>
              <w:left w:val="nil"/>
              <w:bottom w:val="nil"/>
              <w:right w:val="single" w:sz="4" w:space="0" w:color="auto"/>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r>
      <w:tr w:rsidR="0010219D" w:rsidRPr="00826645" w:rsidTr="004D4632">
        <w:trPr>
          <w:trHeight w:val="300"/>
          <w:jc w:val="center"/>
        </w:trPr>
        <w:tc>
          <w:tcPr>
            <w:tcW w:w="471" w:type="dxa"/>
            <w:tcBorders>
              <w:top w:val="nil"/>
              <w:left w:val="single" w:sz="4" w:space="0" w:color="auto"/>
              <w:bottom w:val="nil"/>
              <w:right w:val="nil"/>
            </w:tcBorders>
            <w:shd w:val="clear" w:color="000000" w:fill="FFFFFF"/>
            <w:noWrap/>
            <w:vAlign w:val="bottom"/>
            <w:hideMark/>
          </w:tcPr>
          <w:p w:rsidR="0010219D" w:rsidRPr="00826645" w:rsidRDefault="0010219D" w:rsidP="0010219D">
            <w:pPr>
              <w:jc w:val="center"/>
              <w:rPr>
                <w:sz w:val="22"/>
                <w:szCs w:val="22"/>
              </w:rPr>
            </w:pPr>
            <w:r w:rsidRPr="00826645">
              <w:rPr>
                <w:sz w:val="22"/>
                <w:szCs w:val="22"/>
              </w:rPr>
              <w:t>5</w:t>
            </w:r>
          </w:p>
        </w:tc>
        <w:tc>
          <w:tcPr>
            <w:tcW w:w="2841"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xml:space="preserve">    Taxes Other Than Income</w:t>
            </w:r>
          </w:p>
        </w:tc>
        <w:tc>
          <w:tcPr>
            <w:tcW w:w="1206"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 xml:space="preserve">39,806 </w:t>
            </w:r>
          </w:p>
        </w:tc>
        <w:tc>
          <w:tcPr>
            <w:tcW w:w="1476"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(353)</w:t>
            </w:r>
          </w:p>
        </w:tc>
        <w:tc>
          <w:tcPr>
            <w:tcW w:w="1476"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 xml:space="preserve">39,453 </w:t>
            </w:r>
          </w:p>
        </w:tc>
        <w:tc>
          <w:tcPr>
            <w:tcW w:w="1518"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 xml:space="preserve">3,421 </w:t>
            </w:r>
          </w:p>
        </w:tc>
        <w:tc>
          <w:tcPr>
            <w:tcW w:w="1511"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sz w:val="22"/>
                <w:szCs w:val="22"/>
              </w:rPr>
              <w:t xml:space="preserve">42,874 </w:t>
            </w:r>
          </w:p>
        </w:tc>
        <w:tc>
          <w:tcPr>
            <w:tcW w:w="276" w:type="dxa"/>
            <w:tcBorders>
              <w:top w:val="nil"/>
              <w:left w:val="nil"/>
              <w:bottom w:val="nil"/>
              <w:right w:val="single" w:sz="4" w:space="0" w:color="auto"/>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r>
      <w:tr w:rsidR="0010219D" w:rsidRPr="00826645" w:rsidTr="004D4632">
        <w:trPr>
          <w:trHeight w:val="300"/>
          <w:jc w:val="center"/>
        </w:trPr>
        <w:tc>
          <w:tcPr>
            <w:tcW w:w="471" w:type="dxa"/>
            <w:tcBorders>
              <w:top w:val="nil"/>
              <w:left w:val="single" w:sz="4" w:space="0" w:color="auto"/>
              <w:bottom w:val="nil"/>
              <w:right w:val="nil"/>
            </w:tcBorders>
            <w:shd w:val="clear" w:color="000000" w:fill="FFFFFF"/>
            <w:noWrap/>
            <w:vAlign w:val="bottom"/>
            <w:hideMark/>
          </w:tcPr>
          <w:p w:rsidR="0010219D" w:rsidRPr="00826645" w:rsidRDefault="0010219D" w:rsidP="0010219D">
            <w:pPr>
              <w:jc w:val="center"/>
              <w:rPr>
                <w:sz w:val="22"/>
                <w:szCs w:val="22"/>
              </w:rPr>
            </w:pPr>
            <w:r w:rsidRPr="00826645">
              <w:rPr>
                <w:sz w:val="22"/>
                <w:szCs w:val="22"/>
              </w:rPr>
              <w:t> </w:t>
            </w:r>
          </w:p>
        </w:tc>
        <w:tc>
          <w:tcPr>
            <w:tcW w:w="2841"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206"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476"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476"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518"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511"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276" w:type="dxa"/>
            <w:tcBorders>
              <w:top w:val="nil"/>
              <w:left w:val="nil"/>
              <w:bottom w:val="nil"/>
              <w:right w:val="single" w:sz="4" w:space="0" w:color="auto"/>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r>
      <w:tr w:rsidR="0010219D" w:rsidRPr="00826645" w:rsidTr="004D4632">
        <w:trPr>
          <w:trHeight w:val="300"/>
          <w:jc w:val="center"/>
        </w:trPr>
        <w:tc>
          <w:tcPr>
            <w:tcW w:w="471" w:type="dxa"/>
            <w:tcBorders>
              <w:top w:val="nil"/>
              <w:left w:val="single" w:sz="4" w:space="0" w:color="auto"/>
              <w:bottom w:val="nil"/>
              <w:right w:val="nil"/>
            </w:tcBorders>
            <w:shd w:val="clear" w:color="000000" w:fill="FFFFFF"/>
            <w:noWrap/>
            <w:vAlign w:val="bottom"/>
            <w:hideMark/>
          </w:tcPr>
          <w:p w:rsidR="0010219D" w:rsidRPr="00826645" w:rsidRDefault="0010219D" w:rsidP="0010219D">
            <w:pPr>
              <w:jc w:val="center"/>
              <w:rPr>
                <w:sz w:val="22"/>
                <w:szCs w:val="22"/>
              </w:rPr>
            </w:pPr>
            <w:r w:rsidRPr="00826645">
              <w:rPr>
                <w:sz w:val="22"/>
                <w:szCs w:val="22"/>
              </w:rPr>
              <w:t>6</w:t>
            </w:r>
          </w:p>
        </w:tc>
        <w:tc>
          <w:tcPr>
            <w:tcW w:w="2841" w:type="dxa"/>
            <w:tcBorders>
              <w:top w:val="nil"/>
              <w:left w:val="nil"/>
              <w:bottom w:val="nil"/>
              <w:right w:val="nil"/>
            </w:tcBorders>
            <w:shd w:val="clear" w:color="auto" w:fill="auto"/>
            <w:noWrap/>
            <w:vAlign w:val="bottom"/>
            <w:hideMark/>
          </w:tcPr>
          <w:p w:rsidR="0010219D" w:rsidRPr="00826645" w:rsidRDefault="0010219D" w:rsidP="0010219D">
            <w:pPr>
              <w:rPr>
                <w:b/>
                <w:bCs/>
                <w:sz w:val="22"/>
                <w:szCs w:val="22"/>
              </w:rPr>
            </w:pPr>
            <w:r w:rsidRPr="00826645">
              <w:rPr>
                <w:b/>
                <w:bCs/>
                <w:sz w:val="22"/>
                <w:szCs w:val="22"/>
              </w:rPr>
              <w:t>Total Operating Expense</w:t>
            </w:r>
          </w:p>
        </w:tc>
        <w:tc>
          <w:tcPr>
            <w:tcW w:w="1206"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u w:val="single"/>
              </w:rPr>
            </w:pPr>
            <w:r w:rsidRPr="00826645">
              <w:rPr>
                <w:sz w:val="22"/>
                <w:szCs w:val="22"/>
                <w:u w:val="single"/>
              </w:rPr>
              <w:t xml:space="preserve">214,742 </w:t>
            </w:r>
          </w:p>
        </w:tc>
        <w:tc>
          <w:tcPr>
            <w:tcW w:w="1476"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u w:val="single"/>
              </w:rPr>
            </w:pPr>
            <w:r w:rsidRPr="00826645">
              <w:rPr>
                <w:sz w:val="22"/>
                <w:szCs w:val="22"/>
                <w:u w:val="single"/>
              </w:rPr>
              <w:t xml:space="preserve">52,470 </w:t>
            </w:r>
          </w:p>
        </w:tc>
        <w:tc>
          <w:tcPr>
            <w:tcW w:w="1476"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u w:val="single"/>
              </w:rPr>
            </w:pPr>
            <w:r w:rsidRPr="00826645">
              <w:rPr>
                <w:sz w:val="22"/>
                <w:szCs w:val="22"/>
                <w:u w:val="single"/>
              </w:rPr>
              <w:t xml:space="preserve">267,212 </w:t>
            </w:r>
          </w:p>
        </w:tc>
        <w:tc>
          <w:tcPr>
            <w:tcW w:w="1518"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u w:val="single"/>
              </w:rPr>
            </w:pPr>
            <w:r w:rsidRPr="00826645">
              <w:rPr>
                <w:sz w:val="22"/>
                <w:szCs w:val="22"/>
                <w:u w:val="single"/>
              </w:rPr>
              <w:t xml:space="preserve">3,421 </w:t>
            </w:r>
          </w:p>
        </w:tc>
        <w:tc>
          <w:tcPr>
            <w:tcW w:w="1511"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u w:val="single"/>
              </w:rPr>
            </w:pPr>
            <w:r w:rsidRPr="00826645">
              <w:rPr>
                <w:sz w:val="22"/>
                <w:szCs w:val="22"/>
                <w:u w:val="single"/>
              </w:rPr>
              <w:t xml:space="preserve">270,633 </w:t>
            </w:r>
          </w:p>
        </w:tc>
        <w:tc>
          <w:tcPr>
            <w:tcW w:w="276" w:type="dxa"/>
            <w:tcBorders>
              <w:top w:val="nil"/>
              <w:left w:val="nil"/>
              <w:bottom w:val="nil"/>
              <w:right w:val="single" w:sz="4" w:space="0" w:color="auto"/>
            </w:tcBorders>
            <w:shd w:val="clear" w:color="000000" w:fill="FFFFFF"/>
            <w:noWrap/>
            <w:vAlign w:val="bottom"/>
            <w:hideMark/>
          </w:tcPr>
          <w:p w:rsidR="0010219D" w:rsidRPr="00826645" w:rsidRDefault="0010219D" w:rsidP="0010219D">
            <w:pPr>
              <w:rPr>
                <w:sz w:val="22"/>
                <w:szCs w:val="22"/>
                <w:u w:val="single"/>
              </w:rPr>
            </w:pPr>
            <w:r w:rsidRPr="00826645">
              <w:rPr>
                <w:sz w:val="22"/>
                <w:szCs w:val="22"/>
                <w:u w:val="single"/>
              </w:rPr>
              <w:t> </w:t>
            </w:r>
          </w:p>
        </w:tc>
      </w:tr>
      <w:tr w:rsidR="0010219D" w:rsidRPr="00826645" w:rsidTr="004D4632">
        <w:trPr>
          <w:trHeight w:val="300"/>
          <w:jc w:val="center"/>
        </w:trPr>
        <w:tc>
          <w:tcPr>
            <w:tcW w:w="471" w:type="dxa"/>
            <w:tcBorders>
              <w:top w:val="nil"/>
              <w:left w:val="single" w:sz="4" w:space="0" w:color="auto"/>
              <w:bottom w:val="nil"/>
              <w:right w:val="nil"/>
            </w:tcBorders>
            <w:shd w:val="clear" w:color="000000" w:fill="FFFFFF"/>
            <w:noWrap/>
            <w:vAlign w:val="bottom"/>
            <w:hideMark/>
          </w:tcPr>
          <w:p w:rsidR="0010219D" w:rsidRPr="00826645" w:rsidRDefault="0010219D" w:rsidP="0010219D">
            <w:pPr>
              <w:jc w:val="center"/>
              <w:rPr>
                <w:sz w:val="22"/>
                <w:szCs w:val="22"/>
              </w:rPr>
            </w:pPr>
            <w:r w:rsidRPr="00826645">
              <w:rPr>
                <w:sz w:val="22"/>
                <w:szCs w:val="22"/>
              </w:rPr>
              <w:t> </w:t>
            </w:r>
          </w:p>
        </w:tc>
        <w:tc>
          <w:tcPr>
            <w:tcW w:w="2841"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206"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476"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476"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518"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511"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276" w:type="dxa"/>
            <w:tcBorders>
              <w:top w:val="nil"/>
              <w:left w:val="nil"/>
              <w:bottom w:val="nil"/>
              <w:right w:val="single" w:sz="4" w:space="0" w:color="auto"/>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r>
      <w:tr w:rsidR="0010219D" w:rsidRPr="00826645" w:rsidTr="004D4632">
        <w:trPr>
          <w:trHeight w:val="300"/>
          <w:jc w:val="center"/>
        </w:trPr>
        <w:tc>
          <w:tcPr>
            <w:tcW w:w="471" w:type="dxa"/>
            <w:tcBorders>
              <w:top w:val="nil"/>
              <w:left w:val="single" w:sz="4" w:space="0" w:color="auto"/>
              <w:bottom w:val="nil"/>
              <w:right w:val="nil"/>
            </w:tcBorders>
            <w:shd w:val="clear" w:color="000000" w:fill="FFFFFF"/>
            <w:noWrap/>
            <w:vAlign w:val="bottom"/>
            <w:hideMark/>
          </w:tcPr>
          <w:p w:rsidR="0010219D" w:rsidRPr="00826645" w:rsidRDefault="0010219D" w:rsidP="0010219D">
            <w:pPr>
              <w:jc w:val="center"/>
              <w:rPr>
                <w:sz w:val="22"/>
                <w:szCs w:val="22"/>
              </w:rPr>
            </w:pPr>
            <w:r w:rsidRPr="00826645">
              <w:rPr>
                <w:sz w:val="22"/>
                <w:szCs w:val="22"/>
              </w:rPr>
              <w:t>7</w:t>
            </w:r>
          </w:p>
        </w:tc>
        <w:tc>
          <w:tcPr>
            <w:tcW w:w="2841" w:type="dxa"/>
            <w:tcBorders>
              <w:top w:val="nil"/>
              <w:left w:val="nil"/>
              <w:bottom w:val="nil"/>
              <w:right w:val="nil"/>
            </w:tcBorders>
            <w:shd w:val="clear" w:color="000000" w:fill="FFFFFF"/>
            <w:noWrap/>
            <w:vAlign w:val="bottom"/>
            <w:hideMark/>
          </w:tcPr>
          <w:p w:rsidR="0010219D" w:rsidRPr="00826645" w:rsidRDefault="0010219D" w:rsidP="0010219D">
            <w:pPr>
              <w:rPr>
                <w:b/>
                <w:bCs/>
                <w:sz w:val="22"/>
                <w:szCs w:val="22"/>
              </w:rPr>
            </w:pPr>
            <w:r w:rsidRPr="00826645">
              <w:rPr>
                <w:b/>
                <w:bCs/>
                <w:sz w:val="22"/>
                <w:szCs w:val="22"/>
              </w:rPr>
              <w:t>Operating Income</w:t>
            </w:r>
          </w:p>
        </w:tc>
        <w:tc>
          <w:tcPr>
            <w:tcW w:w="1206"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u w:val="double"/>
              </w:rPr>
            </w:pPr>
            <w:r w:rsidRPr="00826645">
              <w:rPr>
                <w:sz w:val="22"/>
                <w:szCs w:val="22"/>
                <w:u w:val="double"/>
              </w:rPr>
              <w:t xml:space="preserve">$178,038 </w:t>
            </w:r>
          </w:p>
        </w:tc>
        <w:tc>
          <w:tcPr>
            <w:tcW w:w="1476"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u w:val="double"/>
              </w:rPr>
            </w:pPr>
            <w:r w:rsidRPr="00826645">
              <w:rPr>
                <w:sz w:val="22"/>
                <w:szCs w:val="22"/>
                <w:u w:val="double"/>
              </w:rPr>
              <w:t>($52,470)</w:t>
            </w:r>
          </w:p>
        </w:tc>
        <w:tc>
          <w:tcPr>
            <w:tcW w:w="1476"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u w:val="double"/>
              </w:rPr>
            </w:pPr>
            <w:r w:rsidRPr="00826645">
              <w:rPr>
                <w:sz w:val="22"/>
                <w:szCs w:val="22"/>
                <w:u w:val="double"/>
              </w:rPr>
              <w:t xml:space="preserve">$125,568 </w:t>
            </w:r>
          </w:p>
        </w:tc>
        <w:tc>
          <w:tcPr>
            <w:tcW w:w="1518"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u w:val="double"/>
              </w:rPr>
            </w:pPr>
            <w:r w:rsidRPr="00826645">
              <w:rPr>
                <w:sz w:val="22"/>
                <w:szCs w:val="22"/>
                <w:u w:val="double"/>
              </w:rPr>
              <w:t xml:space="preserve">$72,601 </w:t>
            </w:r>
          </w:p>
        </w:tc>
        <w:tc>
          <w:tcPr>
            <w:tcW w:w="1511"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u w:val="double"/>
              </w:rPr>
            </w:pPr>
            <w:r w:rsidRPr="00826645">
              <w:rPr>
                <w:sz w:val="22"/>
                <w:szCs w:val="22"/>
                <w:u w:val="double"/>
              </w:rPr>
              <w:t xml:space="preserve">$198,170 </w:t>
            </w:r>
          </w:p>
        </w:tc>
        <w:tc>
          <w:tcPr>
            <w:tcW w:w="276" w:type="dxa"/>
            <w:tcBorders>
              <w:top w:val="nil"/>
              <w:left w:val="nil"/>
              <w:bottom w:val="nil"/>
              <w:right w:val="single" w:sz="4" w:space="0" w:color="auto"/>
            </w:tcBorders>
            <w:shd w:val="clear" w:color="000000" w:fill="FFFFFF"/>
            <w:noWrap/>
            <w:vAlign w:val="bottom"/>
            <w:hideMark/>
          </w:tcPr>
          <w:p w:rsidR="0010219D" w:rsidRPr="00826645" w:rsidRDefault="0010219D" w:rsidP="0010219D">
            <w:pPr>
              <w:rPr>
                <w:sz w:val="22"/>
                <w:szCs w:val="22"/>
                <w:u w:val="double"/>
              </w:rPr>
            </w:pPr>
            <w:r w:rsidRPr="00826645">
              <w:rPr>
                <w:sz w:val="22"/>
                <w:szCs w:val="22"/>
                <w:u w:val="single"/>
              </w:rPr>
              <w:t> </w:t>
            </w:r>
          </w:p>
        </w:tc>
      </w:tr>
      <w:tr w:rsidR="0010219D" w:rsidRPr="00826645" w:rsidTr="004D4632">
        <w:trPr>
          <w:trHeight w:val="300"/>
          <w:jc w:val="center"/>
        </w:trPr>
        <w:tc>
          <w:tcPr>
            <w:tcW w:w="471" w:type="dxa"/>
            <w:tcBorders>
              <w:top w:val="nil"/>
              <w:left w:val="single" w:sz="4" w:space="0" w:color="auto"/>
              <w:bottom w:val="nil"/>
              <w:right w:val="nil"/>
            </w:tcBorders>
            <w:shd w:val="clear" w:color="000000" w:fill="FFFFFF"/>
            <w:noWrap/>
            <w:vAlign w:val="bottom"/>
            <w:hideMark/>
          </w:tcPr>
          <w:p w:rsidR="0010219D" w:rsidRPr="00826645" w:rsidRDefault="0010219D" w:rsidP="0010219D">
            <w:pPr>
              <w:jc w:val="center"/>
              <w:rPr>
                <w:sz w:val="22"/>
                <w:szCs w:val="22"/>
              </w:rPr>
            </w:pPr>
            <w:r w:rsidRPr="00826645">
              <w:rPr>
                <w:sz w:val="22"/>
                <w:szCs w:val="22"/>
              </w:rPr>
              <w:t> </w:t>
            </w:r>
          </w:p>
        </w:tc>
        <w:tc>
          <w:tcPr>
            <w:tcW w:w="2841"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206"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476"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476"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518"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511"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276" w:type="dxa"/>
            <w:tcBorders>
              <w:top w:val="nil"/>
              <w:left w:val="nil"/>
              <w:bottom w:val="nil"/>
              <w:right w:val="single" w:sz="4" w:space="0" w:color="auto"/>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r>
      <w:tr w:rsidR="0010219D" w:rsidRPr="00826645" w:rsidTr="004D4632">
        <w:trPr>
          <w:trHeight w:val="300"/>
          <w:jc w:val="center"/>
        </w:trPr>
        <w:tc>
          <w:tcPr>
            <w:tcW w:w="471" w:type="dxa"/>
            <w:tcBorders>
              <w:top w:val="nil"/>
              <w:left w:val="single" w:sz="4" w:space="0" w:color="auto"/>
              <w:bottom w:val="nil"/>
              <w:right w:val="nil"/>
            </w:tcBorders>
            <w:shd w:val="clear" w:color="000000" w:fill="FFFFFF"/>
            <w:noWrap/>
            <w:vAlign w:val="bottom"/>
            <w:hideMark/>
          </w:tcPr>
          <w:p w:rsidR="0010219D" w:rsidRPr="00826645" w:rsidRDefault="0010219D" w:rsidP="0010219D">
            <w:pPr>
              <w:jc w:val="center"/>
              <w:rPr>
                <w:sz w:val="22"/>
                <w:szCs w:val="22"/>
              </w:rPr>
            </w:pPr>
            <w:r w:rsidRPr="00826645">
              <w:rPr>
                <w:sz w:val="22"/>
                <w:szCs w:val="22"/>
              </w:rPr>
              <w:t>8</w:t>
            </w:r>
          </w:p>
        </w:tc>
        <w:tc>
          <w:tcPr>
            <w:tcW w:w="2841" w:type="dxa"/>
            <w:tcBorders>
              <w:top w:val="nil"/>
              <w:left w:val="nil"/>
              <w:bottom w:val="nil"/>
              <w:right w:val="nil"/>
            </w:tcBorders>
            <w:shd w:val="clear" w:color="000000" w:fill="FFFFFF"/>
            <w:noWrap/>
            <w:vAlign w:val="bottom"/>
            <w:hideMark/>
          </w:tcPr>
          <w:p w:rsidR="0010219D" w:rsidRPr="00826645" w:rsidRDefault="0010219D" w:rsidP="0010219D">
            <w:pPr>
              <w:rPr>
                <w:b/>
                <w:bCs/>
                <w:sz w:val="22"/>
                <w:szCs w:val="22"/>
              </w:rPr>
            </w:pPr>
            <w:r w:rsidRPr="00826645">
              <w:rPr>
                <w:b/>
                <w:bCs/>
                <w:sz w:val="22"/>
                <w:szCs w:val="22"/>
              </w:rPr>
              <w:t>Rate Base</w:t>
            </w:r>
          </w:p>
        </w:tc>
        <w:tc>
          <w:tcPr>
            <w:tcW w:w="1206"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u w:val="double"/>
              </w:rPr>
            </w:pPr>
            <w:r w:rsidRPr="00826645">
              <w:rPr>
                <w:sz w:val="22"/>
                <w:szCs w:val="22"/>
                <w:u w:val="double"/>
              </w:rPr>
              <w:t xml:space="preserve">$2,109,453 </w:t>
            </w:r>
          </w:p>
        </w:tc>
        <w:tc>
          <w:tcPr>
            <w:tcW w:w="1476"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476"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u w:val="double"/>
              </w:rPr>
            </w:pPr>
            <w:r w:rsidRPr="00826645">
              <w:rPr>
                <w:sz w:val="22"/>
                <w:szCs w:val="22"/>
                <w:u w:val="double"/>
              </w:rPr>
              <w:t xml:space="preserve">$2,294,527 </w:t>
            </w:r>
          </w:p>
        </w:tc>
        <w:tc>
          <w:tcPr>
            <w:tcW w:w="1518"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511"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u w:val="double"/>
              </w:rPr>
            </w:pPr>
            <w:r w:rsidRPr="00826645">
              <w:rPr>
                <w:sz w:val="22"/>
                <w:szCs w:val="22"/>
                <w:u w:val="double"/>
              </w:rPr>
              <w:t xml:space="preserve">$2,294,527 </w:t>
            </w:r>
          </w:p>
        </w:tc>
        <w:tc>
          <w:tcPr>
            <w:tcW w:w="276" w:type="dxa"/>
            <w:tcBorders>
              <w:top w:val="nil"/>
              <w:left w:val="nil"/>
              <w:bottom w:val="nil"/>
              <w:right w:val="single" w:sz="4" w:space="0" w:color="auto"/>
            </w:tcBorders>
            <w:shd w:val="clear" w:color="000000" w:fill="FFFFFF"/>
            <w:noWrap/>
            <w:vAlign w:val="bottom"/>
            <w:hideMark/>
          </w:tcPr>
          <w:p w:rsidR="0010219D" w:rsidRPr="00826645" w:rsidRDefault="0010219D" w:rsidP="0010219D">
            <w:pPr>
              <w:rPr>
                <w:sz w:val="22"/>
                <w:szCs w:val="22"/>
                <w:u w:val="double"/>
              </w:rPr>
            </w:pPr>
            <w:r w:rsidRPr="00826645">
              <w:rPr>
                <w:sz w:val="22"/>
                <w:szCs w:val="22"/>
                <w:u w:val="single"/>
              </w:rPr>
              <w:t> </w:t>
            </w:r>
          </w:p>
        </w:tc>
      </w:tr>
      <w:tr w:rsidR="0010219D" w:rsidRPr="00826645" w:rsidTr="004D4632">
        <w:trPr>
          <w:trHeight w:val="300"/>
          <w:jc w:val="center"/>
        </w:trPr>
        <w:tc>
          <w:tcPr>
            <w:tcW w:w="471" w:type="dxa"/>
            <w:tcBorders>
              <w:top w:val="nil"/>
              <w:left w:val="single" w:sz="4" w:space="0" w:color="auto"/>
              <w:bottom w:val="nil"/>
              <w:right w:val="nil"/>
            </w:tcBorders>
            <w:shd w:val="clear" w:color="000000" w:fill="FFFFFF"/>
            <w:noWrap/>
            <w:vAlign w:val="bottom"/>
            <w:hideMark/>
          </w:tcPr>
          <w:p w:rsidR="0010219D" w:rsidRPr="00826645" w:rsidRDefault="0010219D" w:rsidP="0010219D">
            <w:pPr>
              <w:jc w:val="center"/>
              <w:rPr>
                <w:sz w:val="22"/>
                <w:szCs w:val="22"/>
              </w:rPr>
            </w:pPr>
            <w:r w:rsidRPr="00826645">
              <w:rPr>
                <w:sz w:val="22"/>
                <w:szCs w:val="22"/>
              </w:rPr>
              <w:t> </w:t>
            </w:r>
          </w:p>
        </w:tc>
        <w:tc>
          <w:tcPr>
            <w:tcW w:w="2841"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206"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476"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476"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518"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511"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276" w:type="dxa"/>
            <w:tcBorders>
              <w:top w:val="nil"/>
              <w:left w:val="nil"/>
              <w:bottom w:val="nil"/>
              <w:right w:val="single" w:sz="4" w:space="0" w:color="auto"/>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r>
      <w:tr w:rsidR="0010219D" w:rsidRPr="00826645" w:rsidTr="004D4632">
        <w:trPr>
          <w:trHeight w:val="300"/>
          <w:jc w:val="center"/>
        </w:trPr>
        <w:tc>
          <w:tcPr>
            <w:tcW w:w="471" w:type="dxa"/>
            <w:tcBorders>
              <w:top w:val="nil"/>
              <w:left w:val="single" w:sz="4" w:space="0" w:color="auto"/>
              <w:bottom w:val="nil"/>
              <w:right w:val="nil"/>
            </w:tcBorders>
            <w:shd w:val="clear" w:color="000000" w:fill="FFFFFF"/>
            <w:noWrap/>
            <w:vAlign w:val="bottom"/>
            <w:hideMark/>
          </w:tcPr>
          <w:p w:rsidR="0010219D" w:rsidRPr="00826645" w:rsidRDefault="0010219D" w:rsidP="0010219D">
            <w:pPr>
              <w:jc w:val="center"/>
              <w:rPr>
                <w:sz w:val="22"/>
                <w:szCs w:val="22"/>
              </w:rPr>
            </w:pPr>
            <w:r w:rsidRPr="00826645">
              <w:rPr>
                <w:sz w:val="22"/>
                <w:szCs w:val="22"/>
              </w:rPr>
              <w:t>9</w:t>
            </w:r>
          </w:p>
        </w:tc>
        <w:tc>
          <w:tcPr>
            <w:tcW w:w="2841" w:type="dxa"/>
            <w:tcBorders>
              <w:top w:val="nil"/>
              <w:left w:val="nil"/>
              <w:bottom w:val="nil"/>
              <w:right w:val="nil"/>
            </w:tcBorders>
            <w:shd w:val="clear" w:color="000000" w:fill="FFFFFF"/>
            <w:noWrap/>
            <w:vAlign w:val="bottom"/>
            <w:hideMark/>
          </w:tcPr>
          <w:p w:rsidR="0010219D" w:rsidRPr="00826645" w:rsidRDefault="0010219D" w:rsidP="0010219D">
            <w:pPr>
              <w:rPr>
                <w:b/>
                <w:bCs/>
                <w:sz w:val="22"/>
                <w:szCs w:val="22"/>
              </w:rPr>
            </w:pPr>
            <w:r w:rsidRPr="00826645">
              <w:rPr>
                <w:b/>
                <w:bCs/>
                <w:sz w:val="22"/>
                <w:szCs w:val="22"/>
              </w:rPr>
              <w:t>Rate of Return</w:t>
            </w:r>
          </w:p>
        </w:tc>
        <w:tc>
          <w:tcPr>
            <w:tcW w:w="1206"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u w:val="double"/>
              </w:rPr>
            </w:pPr>
            <w:r w:rsidRPr="00826645">
              <w:rPr>
                <w:sz w:val="22"/>
                <w:szCs w:val="22"/>
                <w:u w:val="double"/>
              </w:rPr>
              <w:t>8.44%</w:t>
            </w:r>
          </w:p>
        </w:tc>
        <w:tc>
          <w:tcPr>
            <w:tcW w:w="1476"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476"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u w:val="double"/>
              </w:rPr>
            </w:pPr>
            <w:r w:rsidRPr="00826645">
              <w:rPr>
                <w:sz w:val="22"/>
                <w:szCs w:val="22"/>
                <w:u w:val="double"/>
              </w:rPr>
              <w:t>5.47%</w:t>
            </w:r>
          </w:p>
        </w:tc>
        <w:tc>
          <w:tcPr>
            <w:tcW w:w="1518"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511"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u w:val="double"/>
              </w:rPr>
            </w:pPr>
            <w:r w:rsidRPr="00826645">
              <w:rPr>
                <w:sz w:val="22"/>
                <w:szCs w:val="22"/>
                <w:u w:val="double"/>
              </w:rPr>
              <w:t>8.64%</w:t>
            </w:r>
          </w:p>
        </w:tc>
        <w:tc>
          <w:tcPr>
            <w:tcW w:w="276" w:type="dxa"/>
            <w:tcBorders>
              <w:top w:val="nil"/>
              <w:left w:val="nil"/>
              <w:bottom w:val="nil"/>
              <w:right w:val="single" w:sz="4" w:space="0" w:color="auto"/>
            </w:tcBorders>
            <w:shd w:val="clear" w:color="000000" w:fill="FFFFFF"/>
            <w:noWrap/>
            <w:vAlign w:val="bottom"/>
            <w:hideMark/>
          </w:tcPr>
          <w:p w:rsidR="0010219D" w:rsidRPr="00826645" w:rsidRDefault="0010219D" w:rsidP="0010219D">
            <w:pPr>
              <w:rPr>
                <w:sz w:val="22"/>
                <w:szCs w:val="22"/>
                <w:u w:val="double"/>
              </w:rPr>
            </w:pPr>
            <w:r w:rsidRPr="00826645">
              <w:rPr>
                <w:sz w:val="22"/>
                <w:szCs w:val="22"/>
                <w:u w:val="single"/>
              </w:rPr>
              <w:t> </w:t>
            </w:r>
          </w:p>
        </w:tc>
      </w:tr>
      <w:tr w:rsidR="0010219D" w:rsidRPr="00826645" w:rsidTr="004D4632">
        <w:trPr>
          <w:trHeight w:val="300"/>
          <w:jc w:val="center"/>
        </w:trPr>
        <w:tc>
          <w:tcPr>
            <w:tcW w:w="471" w:type="dxa"/>
            <w:tcBorders>
              <w:top w:val="nil"/>
              <w:left w:val="single" w:sz="4" w:space="0" w:color="auto"/>
              <w:bottom w:val="single" w:sz="4" w:space="0" w:color="auto"/>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2841" w:type="dxa"/>
            <w:tcBorders>
              <w:top w:val="nil"/>
              <w:left w:val="nil"/>
              <w:bottom w:val="single" w:sz="4" w:space="0" w:color="auto"/>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206" w:type="dxa"/>
            <w:tcBorders>
              <w:top w:val="nil"/>
              <w:left w:val="nil"/>
              <w:bottom w:val="single" w:sz="4" w:space="0" w:color="auto"/>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476" w:type="dxa"/>
            <w:tcBorders>
              <w:top w:val="nil"/>
              <w:left w:val="nil"/>
              <w:bottom w:val="single" w:sz="4" w:space="0" w:color="auto"/>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476" w:type="dxa"/>
            <w:tcBorders>
              <w:top w:val="nil"/>
              <w:left w:val="nil"/>
              <w:bottom w:val="single" w:sz="4" w:space="0" w:color="auto"/>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518" w:type="dxa"/>
            <w:tcBorders>
              <w:top w:val="nil"/>
              <w:left w:val="nil"/>
              <w:bottom w:val="single" w:sz="4" w:space="0" w:color="auto"/>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511" w:type="dxa"/>
            <w:tcBorders>
              <w:top w:val="nil"/>
              <w:left w:val="nil"/>
              <w:bottom w:val="single" w:sz="4" w:space="0" w:color="auto"/>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276" w:type="dxa"/>
            <w:tcBorders>
              <w:top w:val="nil"/>
              <w:left w:val="nil"/>
              <w:bottom w:val="single" w:sz="4" w:space="0" w:color="auto"/>
              <w:right w:val="single" w:sz="4" w:space="0" w:color="auto"/>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r>
    </w:tbl>
    <w:p w:rsidR="0010219D" w:rsidRPr="00826645" w:rsidRDefault="0010219D" w:rsidP="004F544E">
      <w:pPr>
        <w:pStyle w:val="OrderBody"/>
      </w:pPr>
    </w:p>
    <w:p w:rsidR="0010219D" w:rsidRPr="00826645" w:rsidRDefault="0010219D" w:rsidP="004F544E">
      <w:pPr>
        <w:pStyle w:val="OrderBody"/>
        <w:sectPr w:rsidR="0010219D" w:rsidRPr="00826645" w:rsidSect="0010219D">
          <w:headerReference w:type="first" r:id="rId14"/>
          <w:pgSz w:w="12240" w:h="15840" w:code="1"/>
          <w:pgMar w:top="1440" w:right="1440" w:bottom="1440" w:left="1440" w:header="720" w:footer="720" w:gutter="0"/>
          <w:cols w:space="720"/>
          <w:titlePg/>
          <w:docGrid w:linePitch="360"/>
        </w:sectPr>
      </w:pPr>
    </w:p>
    <w:p w:rsidR="0010219D" w:rsidRPr="00826645" w:rsidRDefault="0010219D" w:rsidP="004F544E">
      <w:pPr>
        <w:pStyle w:val="OrderBody"/>
      </w:pPr>
    </w:p>
    <w:p w:rsidR="0010219D" w:rsidRPr="00826645" w:rsidRDefault="0010219D" w:rsidP="0010219D">
      <w:pPr>
        <w:spacing w:after="240"/>
        <w:jc w:val="both"/>
      </w:pPr>
    </w:p>
    <w:tbl>
      <w:tblPr>
        <w:tblW w:w="9463" w:type="dxa"/>
        <w:tblInd w:w="113" w:type="dxa"/>
        <w:tblLook w:val="04A0" w:firstRow="1" w:lastRow="0" w:firstColumn="1" w:lastColumn="0" w:noHBand="0" w:noVBand="1"/>
      </w:tblPr>
      <w:tblGrid>
        <w:gridCol w:w="326"/>
        <w:gridCol w:w="6868"/>
        <w:gridCol w:w="1986"/>
        <w:gridCol w:w="283"/>
      </w:tblGrid>
      <w:tr w:rsidR="0010219D" w:rsidRPr="00826645" w:rsidTr="004D4632">
        <w:trPr>
          <w:trHeight w:val="300"/>
        </w:trPr>
        <w:tc>
          <w:tcPr>
            <w:tcW w:w="7194" w:type="dxa"/>
            <w:gridSpan w:val="2"/>
            <w:tcBorders>
              <w:top w:val="single" w:sz="4" w:space="0" w:color="auto"/>
              <w:left w:val="single" w:sz="4" w:space="0" w:color="auto"/>
              <w:bottom w:val="nil"/>
              <w:right w:val="nil"/>
            </w:tcBorders>
            <w:shd w:val="clear" w:color="000000" w:fill="FFFFFF"/>
            <w:noWrap/>
            <w:vAlign w:val="bottom"/>
            <w:hideMark/>
          </w:tcPr>
          <w:p w:rsidR="0010219D" w:rsidRPr="00826645" w:rsidRDefault="0010219D" w:rsidP="0010219D">
            <w:pPr>
              <w:rPr>
                <w:rFonts w:ascii="Arial" w:hAnsi="Arial" w:cs="Arial"/>
                <w:b/>
                <w:bCs/>
              </w:rPr>
            </w:pPr>
            <w:bookmarkStart w:id="13" w:name="RANGE!B32:E57"/>
            <w:r w:rsidRPr="00826645">
              <w:rPr>
                <w:rFonts w:ascii="Arial" w:hAnsi="Arial" w:cs="Arial"/>
                <w:b/>
                <w:bCs/>
              </w:rPr>
              <w:t>Riverdale</w:t>
            </w:r>
            <w:bookmarkEnd w:id="13"/>
            <w:r w:rsidRPr="00826645">
              <w:rPr>
                <w:rFonts w:ascii="Arial" w:hAnsi="Arial" w:cs="Arial"/>
                <w:b/>
                <w:bCs/>
              </w:rPr>
              <w:t xml:space="preserve"> Utility Holding, Inc.</w:t>
            </w:r>
          </w:p>
        </w:tc>
        <w:tc>
          <w:tcPr>
            <w:tcW w:w="2269" w:type="dxa"/>
            <w:gridSpan w:val="2"/>
            <w:tcBorders>
              <w:top w:val="single" w:sz="4" w:space="0" w:color="auto"/>
              <w:left w:val="nil"/>
              <w:bottom w:val="nil"/>
              <w:right w:val="single" w:sz="4" w:space="0" w:color="auto"/>
            </w:tcBorders>
            <w:shd w:val="clear" w:color="000000" w:fill="FFFFFF"/>
            <w:noWrap/>
            <w:vAlign w:val="bottom"/>
            <w:hideMark/>
          </w:tcPr>
          <w:p w:rsidR="0010219D" w:rsidRPr="00826645" w:rsidRDefault="0010219D" w:rsidP="0010219D">
            <w:pPr>
              <w:jc w:val="right"/>
              <w:rPr>
                <w:rFonts w:ascii="Arial" w:hAnsi="Arial" w:cs="Arial"/>
                <w:b/>
                <w:bCs/>
              </w:rPr>
            </w:pPr>
            <w:r w:rsidRPr="00826645">
              <w:rPr>
                <w:rFonts w:ascii="Arial" w:hAnsi="Arial" w:cs="Arial"/>
                <w:b/>
                <w:bCs/>
              </w:rPr>
              <w:t>Schedule No. 3-B</w:t>
            </w:r>
          </w:p>
        </w:tc>
      </w:tr>
      <w:tr w:rsidR="0010219D" w:rsidRPr="00826645" w:rsidTr="004D4632">
        <w:trPr>
          <w:trHeight w:val="300"/>
        </w:trPr>
        <w:tc>
          <w:tcPr>
            <w:tcW w:w="7194" w:type="dxa"/>
            <w:gridSpan w:val="2"/>
            <w:tcBorders>
              <w:top w:val="nil"/>
              <w:left w:val="single" w:sz="4" w:space="0" w:color="auto"/>
              <w:bottom w:val="nil"/>
              <w:right w:val="nil"/>
            </w:tcBorders>
            <w:shd w:val="clear" w:color="000000" w:fill="FFFFFF"/>
            <w:noWrap/>
            <w:vAlign w:val="bottom"/>
            <w:hideMark/>
          </w:tcPr>
          <w:p w:rsidR="0010219D" w:rsidRPr="00826645" w:rsidRDefault="0010219D" w:rsidP="0010219D">
            <w:pPr>
              <w:rPr>
                <w:rFonts w:ascii="Arial" w:hAnsi="Arial" w:cs="Arial"/>
                <w:b/>
                <w:bCs/>
              </w:rPr>
            </w:pPr>
            <w:r w:rsidRPr="00826645">
              <w:rPr>
                <w:rFonts w:ascii="Arial" w:hAnsi="Arial" w:cs="Arial"/>
                <w:b/>
                <w:bCs/>
              </w:rPr>
              <w:t>Adjustments to Operating Income</w:t>
            </w:r>
          </w:p>
        </w:tc>
        <w:tc>
          <w:tcPr>
            <w:tcW w:w="2269" w:type="dxa"/>
            <w:gridSpan w:val="2"/>
            <w:tcBorders>
              <w:top w:val="nil"/>
              <w:left w:val="nil"/>
              <w:bottom w:val="nil"/>
              <w:right w:val="single" w:sz="4" w:space="0" w:color="auto"/>
            </w:tcBorders>
            <w:shd w:val="clear" w:color="000000" w:fill="FFFFFF"/>
            <w:noWrap/>
            <w:vAlign w:val="bottom"/>
            <w:hideMark/>
          </w:tcPr>
          <w:p w:rsidR="0010219D" w:rsidRPr="00826645" w:rsidRDefault="0010219D" w:rsidP="0010219D">
            <w:pPr>
              <w:jc w:val="right"/>
              <w:rPr>
                <w:rFonts w:ascii="Arial" w:hAnsi="Arial" w:cs="Arial"/>
                <w:b/>
                <w:bCs/>
              </w:rPr>
            </w:pPr>
            <w:r w:rsidRPr="00826645">
              <w:rPr>
                <w:rFonts w:ascii="Arial" w:hAnsi="Arial" w:cs="Arial"/>
                <w:b/>
                <w:bCs/>
              </w:rPr>
              <w:t>20240011-WU</w:t>
            </w:r>
          </w:p>
        </w:tc>
      </w:tr>
      <w:tr w:rsidR="0010219D" w:rsidRPr="00826645" w:rsidTr="004D4632">
        <w:trPr>
          <w:trHeight w:val="300"/>
        </w:trPr>
        <w:tc>
          <w:tcPr>
            <w:tcW w:w="7194" w:type="dxa"/>
            <w:gridSpan w:val="2"/>
            <w:tcBorders>
              <w:top w:val="nil"/>
              <w:left w:val="single" w:sz="4" w:space="0" w:color="auto"/>
              <w:bottom w:val="single" w:sz="4" w:space="0" w:color="auto"/>
              <w:right w:val="nil"/>
            </w:tcBorders>
            <w:shd w:val="clear" w:color="000000" w:fill="FFFFFF"/>
            <w:noWrap/>
            <w:vAlign w:val="bottom"/>
            <w:hideMark/>
          </w:tcPr>
          <w:p w:rsidR="0010219D" w:rsidRPr="00826645" w:rsidRDefault="0010219D" w:rsidP="0010219D">
            <w:pPr>
              <w:rPr>
                <w:rFonts w:ascii="Arial" w:hAnsi="Arial" w:cs="Arial"/>
                <w:b/>
                <w:bCs/>
              </w:rPr>
            </w:pPr>
            <w:r w:rsidRPr="00826645">
              <w:rPr>
                <w:rFonts w:ascii="Arial" w:hAnsi="Arial" w:cs="Arial"/>
                <w:b/>
                <w:bCs/>
              </w:rPr>
              <w:t>80% Design Capacity</w:t>
            </w:r>
          </w:p>
        </w:tc>
        <w:tc>
          <w:tcPr>
            <w:tcW w:w="1986" w:type="dxa"/>
            <w:tcBorders>
              <w:top w:val="nil"/>
              <w:left w:val="nil"/>
              <w:bottom w:val="nil"/>
              <w:right w:val="nil"/>
            </w:tcBorders>
            <w:shd w:val="clear" w:color="000000" w:fill="FFFFFF"/>
            <w:noWrap/>
            <w:vAlign w:val="bottom"/>
            <w:hideMark/>
          </w:tcPr>
          <w:p w:rsidR="0010219D" w:rsidRPr="00826645" w:rsidRDefault="0010219D" w:rsidP="0010219D">
            <w:pPr>
              <w:jc w:val="right"/>
              <w:rPr>
                <w:rFonts w:ascii="Arial" w:hAnsi="Arial" w:cs="Arial"/>
                <w:b/>
                <w:bCs/>
              </w:rPr>
            </w:pPr>
            <w:r w:rsidRPr="00826645">
              <w:rPr>
                <w:rFonts w:ascii="Arial" w:hAnsi="Arial" w:cs="Arial"/>
                <w:b/>
                <w:bCs/>
              </w:rPr>
              <w:t> </w:t>
            </w:r>
          </w:p>
        </w:tc>
        <w:tc>
          <w:tcPr>
            <w:tcW w:w="283" w:type="dxa"/>
            <w:tcBorders>
              <w:top w:val="nil"/>
              <w:left w:val="nil"/>
              <w:bottom w:val="nil"/>
              <w:right w:val="single" w:sz="4" w:space="0" w:color="auto"/>
            </w:tcBorders>
            <w:shd w:val="clear" w:color="000000" w:fill="FFFFFF"/>
            <w:noWrap/>
            <w:vAlign w:val="bottom"/>
            <w:hideMark/>
          </w:tcPr>
          <w:p w:rsidR="0010219D" w:rsidRPr="00826645" w:rsidRDefault="0010219D" w:rsidP="0010219D">
            <w:pPr>
              <w:rPr>
                <w:rFonts w:ascii="Arial" w:hAnsi="Arial" w:cs="Arial"/>
              </w:rPr>
            </w:pPr>
            <w:r w:rsidRPr="00826645">
              <w:rPr>
                <w:rFonts w:ascii="Arial" w:hAnsi="Arial" w:cs="Arial"/>
              </w:rPr>
              <w:t> </w:t>
            </w:r>
          </w:p>
        </w:tc>
      </w:tr>
      <w:tr w:rsidR="0010219D" w:rsidRPr="00826645" w:rsidTr="004D4632">
        <w:trPr>
          <w:trHeight w:val="300"/>
        </w:trPr>
        <w:tc>
          <w:tcPr>
            <w:tcW w:w="326" w:type="dxa"/>
            <w:tcBorders>
              <w:top w:val="nil"/>
              <w:left w:val="single" w:sz="4" w:space="0" w:color="auto"/>
              <w:bottom w:val="nil"/>
              <w:right w:val="nil"/>
            </w:tcBorders>
            <w:shd w:val="clear" w:color="000000" w:fill="FFFFFF"/>
            <w:noWrap/>
            <w:vAlign w:val="bottom"/>
            <w:hideMark/>
          </w:tcPr>
          <w:p w:rsidR="0010219D" w:rsidRPr="00826645" w:rsidRDefault="0010219D" w:rsidP="0010219D">
            <w:pPr>
              <w:rPr>
                <w:rFonts w:ascii="Arial" w:hAnsi="Arial" w:cs="Arial"/>
                <w:sz w:val="20"/>
                <w:szCs w:val="20"/>
              </w:rPr>
            </w:pPr>
            <w:r w:rsidRPr="00826645">
              <w:rPr>
                <w:rFonts w:ascii="Arial" w:hAnsi="Arial" w:cs="Arial"/>
                <w:sz w:val="20"/>
                <w:szCs w:val="20"/>
              </w:rPr>
              <w:t> </w:t>
            </w:r>
          </w:p>
        </w:tc>
        <w:tc>
          <w:tcPr>
            <w:tcW w:w="6868" w:type="dxa"/>
            <w:tcBorders>
              <w:top w:val="nil"/>
              <w:left w:val="nil"/>
              <w:bottom w:val="nil"/>
              <w:right w:val="nil"/>
            </w:tcBorders>
            <w:shd w:val="clear" w:color="000000" w:fill="FFFFFF"/>
            <w:noWrap/>
            <w:vAlign w:val="bottom"/>
            <w:hideMark/>
          </w:tcPr>
          <w:p w:rsidR="0010219D" w:rsidRPr="00826645" w:rsidRDefault="0010219D" w:rsidP="0010219D">
            <w:pPr>
              <w:rPr>
                <w:rFonts w:ascii="Arial" w:hAnsi="Arial" w:cs="Arial"/>
                <w:sz w:val="20"/>
                <w:szCs w:val="20"/>
              </w:rPr>
            </w:pPr>
            <w:r w:rsidRPr="00826645">
              <w:rPr>
                <w:rFonts w:ascii="Arial" w:hAnsi="Arial" w:cs="Arial"/>
                <w:sz w:val="20"/>
                <w:szCs w:val="20"/>
              </w:rPr>
              <w:t> </w:t>
            </w:r>
          </w:p>
        </w:tc>
        <w:tc>
          <w:tcPr>
            <w:tcW w:w="1986" w:type="dxa"/>
            <w:tcBorders>
              <w:top w:val="single" w:sz="4" w:space="0" w:color="000000"/>
              <w:left w:val="nil"/>
              <w:bottom w:val="nil"/>
              <w:right w:val="nil"/>
            </w:tcBorders>
            <w:shd w:val="clear" w:color="000000" w:fill="FFFFFF"/>
            <w:noWrap/>
            <w:vAlign w:val="bottom"/>
            <w:hideMark/>
          </w:tcPr>
          <w:p w:rsidR="0010219D" w:rsidRPr="00826645" w:rsidRDefault="0010219D" w:rsidP="0010219D">
            <w:pPr>
              <w:jc w:val="center"/>
              <w:rPr>
                <w:rFonts w:ascii="Arial" w:hAnsi="Arial" w:cs="Arial"/>
                <w:sz w:val="20"/>
                <w:szCs w:val="20"/>
              </w:rPr>
            </w:pPr>
            <w:r w:rsidRPr="00826645">
              <w:rPr>
                <w:rFonts w:ascii="Arial" w:hAnsi="Arial" w:cs="Arial"/>
                <w:sz w:val="20"/>
                <w:szCs w:val="20"/>
              </w:rPr>
              <w:t> </w:t>
            </w:r>
          </w:p>
        </w:tc>
        <w:tc>
          <w:tcPr>
            <w:tcW w:w="283" w:type="dxa"/>
            <w:tcBorders>
              <w:top w:val="single" w:sz="4" w:space="0" w:color="000000"/>
              <w:left w:val="nil"/>
              <w:bottom w:val="nil"/>
              <w:right w:val="single" w:sz="4" w:space="0" w:color="auto"/>
            </w:tcBorders>
            <w:shd w:val="clear" w:color="000000" w:fill="FFFFFF"/>
            <w:noWrap/>
            <w:vAlign w:val="bottom"/>
            <w:hideMark/>
          </w:tcPr>
          <w:p w:rsidR="0010219D" w:rsidRPr="00826645" w:rsidRDefault="0010219D" w:rsidP="0010219D">
            <w:pPr>
              <w:rPr>
                <w:rFonts w:ascii="Arial" w:hAnsi="Arial" w:cs="Arial"/>
                <w:sz w:val="20"/>
                <w:szCs w:val="20"/>
              </w:rPr>
            </w:pPr>
            <w:r w:rsidRPr="00826645">
              <w:rPr>
                <w:rFonts w:ascii="Arial" w:hAnsi="Arial" w:cs="Arial"/>
                <w:sz w:val="20"/>
                <w:szCs w:val="20"/>
              </w:rPr>
              <w:t> </w:t>
            </w:r>
          </w:p>
        </w:tc>
      </w:tr>
      <w:tr w:rsidR="0010219D" w:rsidRPr="00826645" w:rsidTr="004D4632">
        <w:trPr>
          <w:trHeight w:val="300"/>
        </w:trPr>
        <w:tc>
          <w:tcPr>
            <w:tcW w:w="326" w:type="dxa"/>
            <w:tcBorders>
              <w:top w:val="nil"/>
              <w:left w:val="single" w:sz="4" w:space="0" w:color="auto"/>
              <w:bottom w:val="nil"/>
              <w:right w:val="nil"/>
            </w:tcBorders>
            <w:shd w:val="clear" w:color="000000" w:fill="FFFFFF"/>
            <w:noWrap/>
            <w:vAlign w:val="bottom"/>
            <w:hideMark/>
          </w:tcPr>
          <w:p w:rsidR="0010219D" w:rsidRPr="00826645" w:rsidRDefault="0010219D" w:rsidP="0010219D">
            <w:pPr>
              <w:rPr>
                <w:rFonts w:ascii="Arial" w:hAnsi="Arial" w:cs="Arial"/>
                <w:sz w:val="20"/>
                <w:szCs w:val="20"/>
              </w:rPr>
            </w:pPr>
            <w:r w:rsidRPr="00826645">
              <w:rPr>
                <w:rFonts w:ascii="Arial" w:hAnsi="Arial" w:cs="Arial"/>
                <w:sz w:val="20"/>
                <w:szCs w:val="20"/>
              </w:rPr>
              <w:t> </w:t>
            </w:r>
          </w:p>
        </w:tc>
        <w:tc>
          <w:tcPr>
            <w:tcW w:w="6868" w:type="dxa"/>
            <w:tcBorders>
              <w:top w:val="nil"/>
              <w:left w:val="nil"/>
              <w:bottom w:val="nil"/>
              <w:right w:val="nil"/>
            </w:tcBorders>
            <w:shd w:val="clear" w:color="000000" w:fill="FFFFFF"/>
            <w:noWrap/>
            <w:vAlign w:val="bottom"/>
            <w:hideMark/>
          </w:tcPr>
          <w:p w:rsidR="0010219D" w:rsidRPr="00826645" w:rsidRDefault="0010219D" w:rsidP="0010219D">
            <w:pPr>
              <w:rPr>
                <w:b/>
                <w:bCs/>
                <w:sz w:val="22"/>
                <w:szCs w:val="22"/>
              </w:rPr>
            </w:pPr>
            <w:r w:rsidRPr="00826645">
              <w:rPr>
                <w:b/>
                <w:bCs/>
                <w:sz w:val="22"/>
                <w:szCs w:val="22"/>
              </w:rPr>
              <w:t>Explanation</w:t>
            </w:r>
          </w:p>
        </w:tc>
        <w:tc>
          <w:tcPr>
            <w:tcW w:w="1986" w:type="dxa"/>
            <w:tcBorders>
              <w:top w:val="nil"/>
              <w:left w:val="nil"/>
              <w:bottom w:val="nil"/>
              <w:right w:val="nil"/>
            </w:tcBorders>
            <w:shd w:val="clear" w:color="000000" w:fill="FFFFFF"/>
            <w:noWrap/>
            <w:vAlign w:val="bottom"/>
            <w:hideMark/>
          </w:tcPr>
          <w:p w:rsidR="0010219D" w:rsidRPr="00826645" w:rsidRDefault="0010219D" w:rsidP="0010219D">
            <w:pPr>
              <w:jc w:val="center"/>
              <w:rPr>
                <w:b/>
                <w:bCs/>
                <w:sz w:val="22"/>
                <w:szCs w:val="22"/>
              </w:rPr>
            </w:pPr>
            <w:r w:rsidRPr="00826645">
              <w:rPr>
                <w:b/>
                <w:bCs/>
                <w:sz w:val="22"/>
                <w:szCs w:val="22"/>
              </w:rPr>
              <w:t>Water</w:t>
            </w:r>
          </w:p>
        </w:tc>
        <w:tc>
          <w:tcPr>
            <w:tcW w:w="283" w:type="dxa"/>
            <w:tcBorders>
              <w:top w:val="nil"/>
              <w:left w:val="nil"/>
              <w:bottom w:val="nil"/>
              <w:right w:val="single" w:sz="4" w:space="0" w:color="auto"/>
            </w:tcBorders>
            <w:shd w:val="clear" w:color="000000" w:fill="FFFFFF"/>
            <w:noWrap/>
            <w:vAlign w:val="bottom"/>
            <w:hideMark/>
          </w:tcPr>
          <w:p w:rsidR="0010219D" w:rsidRPr="00826645" w:rsidRDefault="0010219D" w:rsidP="0010219D">
            <w:pPr>
              <w:jc w:val="center"/>
              <w:rPr>
                <w:rFonts w:ascii="Arial" w:hAnsi="Arial" w:cs="Arial"/>
                <w:sz w:val="20"/>
                <w:szCs w:val="20"/>
              </w:rPr>
            </w:pPr>
            <w:r w:rsidRPr="00826645">
              <w:rPr>
                <w:rFonts w:ascii="Arial" w:hAnsi="Arial" w:cs="Arial"/>
                <w:sz w:val="20"/>
                <w:szCs w:val="20"/>
              </w:rPr>
              <w:t> </w:t>
            </w:r>
          </w:p>
        </w:tc>
      </w:tr>
      <w:tr w:rsidR="0010219D" w:rsidRPr="00826645" w:rsidTr="004D4632">
        <w:trPr>
          <w:trHeight w:val="300"/>
        </w:trPr>
        <w:tc>
          <w:tcPr>
            <w:tcW w:w="326" w:type="dxa"/>
            <w:tcBorders>
              <w:top w:val="nil"/>
              <w:left w:val="single" w:sz="4" w:space="0" w:color="auto"/>
              <w:bottom w:val="nil"/>
              <w:right w:val="nil"/>
            </w:tcBorders>
            <w:shd w:val="clear" w:color="000000" w:fill="FFFFFF"/>
            <w:noWrap/>
            <w:vAlign w:val="bottom"/>
            <w:hideMark/>
          </w:tcPr>
          <w:p w:rsidR="0010219D" w:rsidRPr="00826645" w:rsidRDefault="0010219D" w:rsidP="0010219D">
            <w:pPr>
              <w:rPr>
                <w:rFonts w:ascii="Arial" w:hAnsi="Arial" w:cs="Arial"/>
                <w:sz w:val="20"/>
                <w:szCs w:val="20"/>
              </w:rPr>
            </w:pPr>
            <w:r w:rsidRPr="00826645">
              <w:rPr>
                <w:rFonts w:ascii="Arial" w:hAnsi="Arial" w:cs="Arial"/>
                <w:sz w:val="20"/>
                <w:szCs w:val="20"/>
              </w:rPr>
              <w:t> </w:t>
            </w:r>
          </w:p>
        </w:tc>
        <w:tc>
          <w:tcPr>
            <w:tcW w:w="6868" w:type="dxa"/>
            <w:tcBorders>
              <w:top w:val="nil"/>
              <w:left w:val="nil"/>
              <w:bottom w:val="nil"/>
              <w:right w:val="nil"/>
            </w:tcBorders>
            <w:shd w:val="clear" w:color="000000" w:fill="FFFFFF"/>
            <w:noWrap/>
            <w:vAlign w:val="bottom"/>
            <w:hideMark/>
          </w:tcPr>
          <w:p w:rsidR="0010219D" w:rsidRPr="00826645" w:rsidRDefault="0010219D" w:rsidP="0010219D">
            <w:pPr>
              <w:rPr>
                <w:rFonts w:ascii="Arial" w:hAnsi="Arial" w:cs="Arial"/>
                <w:sz w:val="20"/>
                <w:szCs w:val="20"/>
              </w:rPr>
            </w:pPr>
            <w:r w:rsidRPr="00826645">
              <w:rPr>
                <w:rFonts w:ascii="Arial" w:hAnsi="Arial" w:cs="Arial"/>
                <w:sz w:val="20"/>
                <w:szCs w:val="20"/>
              </w:rPr>
              <w:t> </w:t>
            </w:r>
          </w:p>
        </w:tc>
        <w:tc>
          <w:tcPr>
            <w:tcW w:w="1986" w:type="dxa"/>
            <w:tcBorders>
              <w:top w:val="nil"/>
              <w:left w:val="nil"/>
              <w:bottom w:val="nil"/>
              <w:right w:val="nil"/>
            </w:tcBorders>
            <w:shd w:val="clear" w:color="000000" w:fill="FFFFFF"/>
            <w:noWrap/>
            <w:vAlign w:val="bottom"/>
            <w:hideMark/>
          </w:tcPr>
          <w:p w:rsidR="0010219D" w:rsidRPr="00826645" w:rsidRDefault="0010219D" w:rsidP="0010219D">
            <w:pPr>
              <w:jc w:val="center"/>
              <w:rPr>
                <w:rFonts w:ascii="Arial" w:hAnsi="Arial" w:cs="Arial"/>
                <w:sz w:val="20"/>
                <w:szCs w:val="20"/>
              </w:rPr>
            </w:pPr>
            <w:r w:rsidRPr="00826645">
              <w:rPr>
                <w:rFonts w:ascii="Arial" w:hAnsi="Arial" w:cs="Arial"/>
                <w:sz w:val="20"/>
                <w:szCs w:val="20"/>
              </w:rPr>
              <w:t> </w:t>
            </w:r>
          </w:p>
        </w:tc>
        <w:tc>
          <w:tcPr>
            <w:tcW w:w="283" w:type="dxa"/>
            <w:tcBorders>
              <w:top w:val="nil"/>
              <w:left w:val="nil"/>
              <w:bottom w:val="nil"/>
              <w:right w:val="single" w:sz="4" w:space="0" w:color="auto"/>
            </w:tcBorders>
            <w:shd w:val="clear" w:color="000000" w:fill="FFFFFF"/>
            <w:noWrap/>
            <w:vAlign w:val="bottom"/>
            <w:hideMark/>
          </w:tcPr>
          <w:p w:rsidR="0010219D" w:rsidRPr="00826645" w:rsidRDefault="0010219D" w:rsidP="0010219D">
            <w:pPr>
              <w:rPr>
                <w:rFonts w:ascii="Arial" w:hAnsi="Arial" w:cs="Arial"/>
                <w:sz w:val="20"/>
                <w:szCs w:val="20"/>
              </w:rPr>
            </w:pPr>
            <w:r w:rsidRPr="00826645">
              <w:rPr>
                <w:rFonts w:ascii="Arial" w:hAnsi="Arial" w:cs="Arial"/>
                <w:sz w:val="20"/>
                <w:szCs w:val="20"/>
              </w:rPr>
              <w:t> </w:t>
            </w:r>
          </w:p>
        </w:tc>
      </w:tr>
      <w:tr w:rsidR="0010219D" w:rsidRPr="00826645" w:rsidTr="004D4632">
        <w:trPr>
          <w:trHeight w:val="300"/>
        </w:trPr>
        <w:tc>
          <w:tcPr>
            <w:tcW w:w="326" w:type="dxa"/>
            <w:tcBorders>
              <w:top w:val="nil"/>
              <w:left w:val="single" w:sz="4" w:space="0" w:color="auto"/>
              <w:bottom w:val="nil"/>
              <w:right w:val="nil"/>
            </w:tcBorders>
            <w:shd w:val="clear" w:color="000000" w:fill="FFFFFF"/>
            <w:noWrap/>
            <w:vAlign w:val="bottom"/>
          </w:tcPr>
          <w:p w:rsidR="0010219D" w:rsidRPr="00826645" w:rsidRDefault="0010219D" w:rsidP="0010219D">
            <w:pPr>
              <w:rPr>
                <w:rFonts w:ascii="Arial" w:hAnsi="Arial" w:cs="Arial"/>
                <w:sz w:val="20"/>
                <w:szCs w:val="20"/>
              </w:rPr>
            </w:pPr>
          </w:p>
        </w:tc>
        <w:tc>
          <w:tcPr>
            <w:tcW w:w="6868" w:type="dxa"/>
            <w:tcBorders>
              <w:top w:val="nil"/>
              <w:left w:val="nil"/>
              <w:bottom w:val="nil"/>
              <w:right w:val="nil"/>
            </w:tcBorders>
            <w:shd w:val="clear" w:color="000000" w:fill="FFFFFF"/>
            <w:noWrap/>
            <w:vAlign w:val="bottom"/>
          </w:tcPr>
          <w:p w:rsidR="0010219D" w:rsidRPr="00826645" w:rsidRDefault="0010219D" w:rsidP="0010219D">
            <w:pPr>
              <w:rPr>
                <w:rFonts w:ascii="Arial" w:hAnsi="Arial" w:cs="Arial"/>
                <w:sz w:val="20"/>
                <w:szCs w:val="20"/>
              </w:rPr>
            </w:pPr>
            <w:r w:rsidRPr="00826645">
              <w:rPr>
                <w:b/>
                <w:bCs/>
                <w:sz w:val="22"/>
                <w:szCs w:val="22"/>
              </w:rPr>
              <w:t>Operation and Maintenance Expense</w:t>
            </w:r>
          </w:p>
        </w:tc>
        <w:tc>
          <w:tcPr>
            <w:tcW w:w="1986" w:type="dxa"/>
            <w:tcBorders>
              <w:top w:val="nil"/>
              <w:left w:val="nil"/>
              <w:bottom w:val="nil"/>
              <w:right w:val="nil"/>
            </w:tcBorders>
            <w:shd w:val="clear" w:color="000000" w:fill="FFFFFF"/>
            <w:noWrap/>
            <w:vAlign w:val="bottom"/>
          </w:tcPr>
          <w:p w:rsidR="0010219D" w:rsidRPr="00826645" w:rsidRDefault="0010219D" w:rsidP="0010219D">
            <w:pPr>
              <w:jc w:val="center"/>
              <w:rPr>
                <w:rFonts w:ascii="Arial" w:hAnsi="Arial" w:cs="Arial"/>
                <w:sz w:val="20"/>
                <w:szCs w:val="20"/>
              </w:rPr>
            </w:pPr>
          </w:p>
        </w:tc>
        <w:tc>
          <w:tcPr>
            <w:tcW w:w="283" w:type="dxa"/>
            <w:tcBorders>
              <w:top w:val="nil"/>
              <w:left w:val="nil"/>
              <w:bottom w:val="nil"/>
              <w:right w:val="single" w:sz="4" w:space="0" w:color="auto"/>
            </w:tcBorders>
            <w:shd w:val="clear" w:color="000000" w:fill="FFFFFF"/>
            <w:noWrap/>
            <w:vAlign w:val="bottom"/>
          </w:tcPr>
          <w:p w:rsidR="0010219D" w:rsidRPr="00826645" w:rsidRDefault="0010219D" w:rsidP="0010219D">
            <w:pPr>
              <w:rPr>
                <w:rFonts w:ascii="Arial" w:hAnsi="Arial" w:cs="Arial"/>
                <w:sz w:val="20"/>
                <w:szCs w:val="20"/>
              </w:rPr>
            </w:pPr>
          </w:p>
        </w:tc>
      </w:tr>
      <w:tr w:rsidR="0010219D" w:rsidRPr="00826645" w:rsidTr="004D4632">
        <w:trPr>
          <w:trHeight w:val="300"/>
        </w:trPr>
        <w:tc>
          <w:tcPr>
            <w:tcW w:w="326" w:type="dxa"/>
            <w:tcBorders>
              <w:top w:val="nil"/>
              <w:left w:val="single" w:sz="4" w:space="0" w:color="auto"/>
              <w:bottom w:val="nil"/>
              <w:right w:val="nil"/>
            </w:tcBorders>
            <w:shd w:val="clear" w:color="000000" w:fill="FFFFFF"/>
            <w:noWrap/>
            <w:vAlign w:val="bottom"/>
          </w:tcPr>
          <w:p w:rsidR="0010219D" w:rsidRPr="00826645" w:rsidRDefault="0010219D" w:rsidP="0010219D">
            <w:pPr>
              <w:rPr>
                <w:sz w:val="22"/>
                <w:szCs w:val="22"/>
              </w:rPr>
            </w:pPr>
          </w:p>
        </w:tc>
        <w:tc>
          <w:tcPr>
            <w:tcW w:w="6868" w:type="dxa"/>
            <w:tcBorders>
              <w:top w:val="nil"/>
              <w:left w:val="nil"/>
              <w:bottom w:val="nil"/>
              <w:right w:val="nil"/>
            </w:tcBorders>
            <w:shd w:val="clear" w:color="000000" w:fill="FFFFFF"/>
            <w:noWrap/>
            <w:vAlign w:val="bottom"/>
          </w:tcPr>
          <w:p w:rsidR="0010219D" w:rsidRPr="00826645" w:rsidRDefault="0010219D" w:rsidP="0010219D">
            <w:pPr>
              <w:rPr>
                <w:sz w:val="22"/>
                <w:szCs w:val="22"/>
              </w:rPr>
            </w:pPr>
            <w:r w:rsidRPr="00826645">
              <w:rPr>
                <w:sz w:val="22"/>
                <w:szCs w:val="22"/>
              </w:rPr>
              <w:t>To reflect the correct amount of contractual services expense.</w:t>
            </w:r>
          </w:p>
        </w:tc>
        <w:tc>
          <w:tcPr>
            <w:tcW w:w="1986" w:type="dxa"/>
            <w:tcBorders>
              <w:top w:val="nil"/>
              <w:left w:val="nil"/>
              <w:bottom w:val="nil"/>
              <w:right w:val="nil"/>
            </w:tcBorders>
            <w:shd w:val="clear" w:color="000000" w:fill="FFFFFF"/>
            <w:noWrap/>
            <w:vAlign w:val="bottom"/>
          </w:tcPr>
          <w:p w:rsidR="0010219D" w:rsidRPr="00826645" w:rsidRDefault="0010219D" w:rsidP="0010219D">
            <w:pPr>
              <w:jc w:val="right"/>
              <w:rPr>
                <w:bCs/>
                <w:sz w:val="22"/>
                <w:szCs w:val="22"/>
                <w:u w:val="double"/>
              </w:rPr>
            </w:pPr>
            <w:r w:rsidRPr="00826645">
              <w:rPr>
                <w:bCs/>
                <w:sz w:val="22"/>
                <w:szCs w:val="22"/>
                <w:u w:val="double"/>
              </w:rPr>
              <w:t xml:space="preserve">($2,100) </w:t>
            </w:r>
          </w:p>
        </w:tc>
        <w:tc>
          <w:tcPr>
            <w:tcW w:w="283" w:type="dxa"/>
            <w:tcBorders>
              <w:top w:val="nil"/>
              <w:left w:val="nil"/>
              <w:bottom w:val="nil"/>
              <w:right w:val="single" w:sz="4" w:space="0" w:color="auto"/>
            </w:tcBorders>
            <w:shd w:val="clear" w:color="000000" w:fill="FFFFFF"/>
            <w:noWrap/>
            <w:vAlign w:val="bottom"/>
          </w:tcPr>
          <w:p w:rsidR="0010219D" w:rsidRPr="00826645" w:rsidRDefault="0010219D" w:rsidP="0010219D">
            <w:pPr>
              <w:rPr>
                <w:sz w:val="22"/>
                <w:szCs w:val="22"/>
              </w:rPr>
            </w:pPr>
          </w:p>
        </w:tc>
      </w:tr>
      <w:tr w:rsidR="0010219D" w:rsidRPr="00826645" w:rsidTr="004D4632">
        <w:trPr>
          <w:trHeight w:val="300"/>
        </w:trPr>
        <w:tc>
          <w:tcPr>
            <w:tcW w:w="326" w:type="dxa"/>
            <w:tcBorders>
              <w:top w:val="nil"/>
              <w:left w:val="single" w:sz="4" w:space="0" w:color="auto"/>
              <w:bottom w:val="nil"/>
              <w:right w:val="nil"/>
            </w:tcBorders>
            <w:shd w:val="clear" w:color="000000" w:fill="FFFFFF"/>
            <w:noWrap/>
            <w:vAlign w:val="bottom"/>
          </w:tcPr>
          <w:p w:rsidR="0010219D" w:rsidRPr="00826645" w:rsidRDefault="0010219D" w:rsidP="0010219D">
            <w:pPr>
              <w:rPr>
                <w:rFonts w:ascii="Arial" w:hAnsi="Arial" w:cs="Arial"/>
                <w:sz w:val="20"/>
                <w:szCs w:val="20"/>
              </w:rPr>
            </w:pPr>
          </w:p>
        </w:tc>
        <w:tc>
          <w:tcPr>
            <w:tcW w:w="6868" w:type="dxa"/>
            <w:tcBorders>
              <w:top w:val="nil"/>
              <w:left w:val="nil"/>
              <w:bottom w:val="nil"/>
              <w:right w:val="nil"/>
            </w:tcBorders>
            <w:shd w:val="clear" w:color="000000" w:fill="FFFFFF"/>
            <w:noWrap/>
            <w:vAlign w:val="bottom"/>
          </w:tcPr>
          <w:p w:rsidR="0010219D" w:rsidRPr="00826645" w:rsidRDefault="0010219D" w:rsidP="0010219D">
            <w:pPr>
              <w:rPr>
                <w:rFonts w:ascii="Arial" w:hAnsi="Arial" w:cs="Arial"/>
                <w:sz w:val="20"/>
                <w:szCs w:val="20"/>
              </w:rPr>
            </w:pPr>
          </w:p>
        </w:tc>
        <w:tc>
          <w:tcPr>
            <w:tcW w:w="1986" w:type="dxa"/>
            <w:tcBorders>
              <w:top w:val="nil"/>
              <w:left w:val="nil"/>
              <w:bottom w:val="nil"/>
              <w:right w:val="nil"/>
            </w:tcBorders>
            <w:shd w:val="clear" w:color="000000" w:fill="FFFFFF"/>
            <w:noWrap/>
            <w:vAlign w:val="bottom"/>
          </w:tcPr>
          <w:p w:rsidR="0010219D" w:rsidRPr="00826645" w:rsidRDefault="0010219D" w:rsidP="0010219D">
            <w:pPr>
              <w:jc w:val="center"/>
              <w:rPr>
                <w:rFonts w:ascii="Arial" w:hAnsi="Arial" w:cs="Arial"/>
                <w:sz w:val="20"/>
                <w:szCs w:val="20"/>
              </w:rPr>
            </w:pPr>
          </w:p>
        </w:tc>
        <w:tc>
          <w:tcPr>
            <w:tcW w:w="283" w:type="dxa"/>
            <w:tcBorders>
              <w:top w:val="nil"/>
              <w:left w:val="nil"/>
              <w:bottom w:val="nil"/>
              <w:right w:val="single" w:sz="4" w:space="0" w:color="auto"/>
            </w:tcBorders>
            <w:shd w:val="clear" w:color="000000" w:fill="FFFFFF"/>
            <w:noWrap/>
            <w:vAlign w:val="bottom"/>
          </w:tcPr>
          <w:p w:rsidR="0010219D" w:rsidRPr="00826645" w:rsidRDefault="0010219D" w:rsidP="0010219D">
            <w:pPr>
              <w:rPr>
                <w:rFonts w:ascii="Arial" w:hAnsi="Arial" w:cs="Arial"/>
                <w:sz w:val="20"/>
                <w:szCs w:val="20"/>
              </w:rPr>
            </w:pPr>
          </w:p>
        </w:tc>
      </w:tr>
      <w:tr w:rsidR="0010219D" w:rsidRPr="00826645" w:rsidTr="004D4632">
        <w:trPr>
          <w:trHeight w:val="300"/>
        </w:trPr>
        <w:tc>
          <w:tcPr>
            <w:tcW w:w="326" w:type="dxa"/>
            <w:tcBorders>
              <w:top w:val="nil"/>
              <w:left w:val="single" w:sz="4" w:space="0" w:color="auto"/>
              <w:bottom w:val="nil"/>
              <w:right w:val="nil"/>
            </w:tcBorders>
            <w:shd w:val="clear" w:color="000000" w:fill="FFFFFF"/>
            <w:noWrap/>
            <w:vAlign w:val="bottom"/>
            <w:hideMark/>
          </w:tcPr>
          <w:p w:rsidR="0010219D" w:rsidRPr="00826645" w:rsidRDefault="0010219D" w:rsidP="0010219D">
            <w:pPr>
              <w:jc w:val="center"/>
              <w:rPr>
                <w:sz w:val="22"/>
                <w:szCs w:val="22"/>
              </w:rPr>
            </w:pPr>
            <w:r w:rsidRPr="00826645">
              <w:rPr>
                <w:sz w:val="22"/>
                <w:szCs w:val="22"/>
              </w:rPr>
              <w:t> </w:t>
            </w:r>
          </w:p>
        </w:tc>
        <w:tc>
          <w:tcPr>
            <w:tcW w:w="6868" w:type="dxa"/>
            <w:tcBorders>
              <w:top w:val="nil"/>
              <w:left w:val="nil"/>
              <w:bottom w:val="nil"/>
              <w:right w:val="nil"/>
            </w:tcBorders>
            <w:shd w:val="clear" w:color="000000" w:fill="FFFFFF"/>
            <w:noWrap/>
            <w:vAlign w:val="bottom"/>
            <w:hideMark/>
          </w:tcPr>
          <w:p w:rsidR="0010219D" w:rsidRPr="00826645" w:rsidRDefault="0010219D" w:rsidP="0010219D">
            <w:pPr>
              <w:rPr>
                <w:b/>
                <w:bCs/>
                <w:sz w:val="22"/>
                <w:szCs w:val="22"/>
              </w:rPr>
            </w:pPr>
            <w:r w:rsidRPr="00826645">
              <w:rPr>
                <w:b/>
                <w:bCs/>
                <w:sz w:val="22"/>
                <w:szCs w:val="22"/>
              </w:rPr>
              <w:t>Depreciation Expense - Net</w:t>
            </w:r>
          </w:p>
        </w:tc>
        <w:tc>
          <w:tcPr>
            <w:tcW w:w="1986"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283" w:type="dxa"/>
            <w:tcBorders>
              <w:top w:val="nil"/>
              <w:left w:val="nil"/>
              <w:bottom w:val="nil"/>
              <w:right w:val="single" w:sz="4" w:space="0" w:color="auto"/>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r>
      <w:tr w:rsidR="0010219D" w:rsidRPr="00826645" w:rsidTr="004D4632">
        <w:trPr>
          <w:trHeight w:val="300"/>
        </w:trPr>
        <w:tc>
          <w:tcPr>
            <w:tcW w:w="326" w:type="dxa"/>
            <w:tcBorders>
              <w:top w:val="nil"/>
              <w:left w:val="single" w:sz="4" w:space="0" w:color="auto"/>
              <w:bottom w:val="nil"/>
              <w:right w:val="nil"/>
            </w:tcBorders>
            <w:shd w:val="clear" w:color="000000" w:fill="FFFFFF"/>
            <w:noWrap/>
            <w:vAlign w:val="bottom"/>
            <w:hideMark/>
          </w:tcPr>
          <w:p w:rsidR="0010219D" w:rsidRPr="00826645" w:rsidRDefault="0010219D" w:rsidP="0010219D">
            <w:pPr>
              <w:jc w:val="center"/>
              <w:rPr>
                <w:sz w:val="22"/>
                <w:szCs w:val="22"/>
              </w:rPr>
            </w:pPr>
            <w:r w:rsidRPr="00826645">
              <w:rPr>
                <w:sz w:val="22"/>
                <w:szCs w:val="22"/>
              </w:rPr>
              <w:t> </w:t>
            </w:r>
          </w:p>
        </w:tc>
        <w:tc>
          <w:tcPr>
            <w:tcW w:w="6868"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To reflect correct depreciation rates and amortization of CIAC rates.</w:t>
            </w:r>
          </w:p>
        </w:tc>
        <w:tc>
          <w:tcPr>
            <w:tcW w:w="1986" w:type="dxa"/>
            <w:tcBorders>
              <w:top w:val="nil"/>
              <w:left w:val="nil"/>
              <w:bottom w:val="nil"/>
              <w:right w:val="nil"/>
            </w:tcBorders>
            <w:shd w:val="clear" w:color="000000" w:fill="FFFFFF"/>
            <w:noWrap/>
            <w:vAlign w:val="bottom"/>
            <w:hideMark/>
          </w:tcPr>
          <w:p w:rsidR="0010219D" w:rsidRPr="00826645" w:rsidRDefault="0010219D" w:rsidP="0010219D">
            <w:pPr>
              <w:jc w:val="right"/>
              <w:rPr>
                <w:bCs/>
                <w:sz w:val="22"/>
                <w:szCs w:val="22"/>
                <w:u w:val="double"/>
              </w:rPr>
            </w:pPr>
            <w:r w:rsidRPr="00826645">
              <w:rPr>
                <w:bCs/>
                <w:sz w:val="22"/>
                <w:szCs w:val="22"/>
                <w:u w:val="double"/>
              </w:rPr>
              <w:t xml:space="preserve">$54,922 </w:t>
            </w:r>
          </w:p>
        </w:tc>
        <w:tc>
          <w:tcPr>
            <w:tcW w:w="283" w:type="dxa"/>
            <w:tcBorders>
              <w:top w:val="nil"/>
              <w:left w:val="nil"/>
              <w:bottom w:val="nil"/>
              <w:right w:val="single" w:sz="4" w:space="0" w:color="auto"/>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r>
      <w:tr w:rsidR="0010219D" w:rsidRPr="00826645" w:rsidTr="004D4632">
        <w:trPr>
          <w:trHeight w:val="300"/>
        </w:trPr>
        <w:tc>
          <w:tcPr>
            <w:tcW w:w="326" w:type="dxa"/>
            <w:tcBorders>
              <w:top w:val="nil"/>
              <w:left w:val="single" w:sz="4" w:space="0" w:color="auto"/>
              <w:bottom w:val="nil"/>
              <w:right w:val="nil"/>
            </w:tcBorders>
            <w:shd w:val="clear" w:color="000000" w:fill="FFFFFF"/>
            <w:noWrap/>
            <w:vAlign w:val="bottom"/>
            <w:hideMark/>
          </w:tcPr>
          <w:p w:rsidR="0010219D" w:rsidRPr="00826645" w:rsidRDefault="0010219D" w:rsidP="0010219D">
            <w:pPr>
              <w:jc w:val="center"/>
              <w:rPr>
                <w:sz w:val="22"/>
                <w:szCs w:val="22"/>
              </w:rPr>
            </w:pPr>
            <w:r w:rsidRPr="00826645">
              <w:rPr>
                <w:sz w:val="22"/>
                <w:szCs w:val="22"/>
              </w:rPr>
              <w:t> </w:t>
            </w:r>
          </w:p>
        </w:tc>
        <w:tc>
          <w:tcPr>
            <w:tcW w:w="6868"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986"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283" w:type="dxa"/>
            <w:tcBorders>
              <w:top w:val="nil"/>
              <w:left w:val="nil"/>
              <w:bottom w:val="nil"/>
              <w:right w:val="single" w:sz="4" w:space="0" w:color="auto"/>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r>
      <w:tr w:rsidR="0010219D" w:rsidRPr="00826645" w:rsidTr="004D4632">
        <w:trPr>
          <w:trHeight w:val="300"/>
        </w:trPr>
        <w:tc>
          <w:tcPr>
            <w:tcW w:w="326" w:type="dxa"/>
            <w:tcBorders>
              <w:top w:val="nil"/>
              <w:left w:val="single" w:sz="4" w:space="0" w:color="auto"/>
              <w:bottom w:val="nil"/>
              <w:right w:val="nil"/>
            </w:tcBorders>
            <w:shd w:val="clear" w:color="000000" w:fill="FFFFFF"/>
            <w:noWrap/>
            <w:vAlign w:val="bottom"/>
            <w:hideMark/>
          </w:tcPr>
          <w:p w:rsidR="0010219D" w:rsidRPr="00826645" w:rsidRDefault="0010219D" w:rsidP="0010219D">
            <w:pPr>
              <w:jc w:val="center"/>
              <w:rPr>
                <w:sz w:val="22"/>
                <w:szCs w:val="22"/>
              </w:rPr>
            </w:pPr>
            <w:r w:rsidRPr="00826645">
              <w:rPr>
                <w:sz w:val="22"/>
                <w:szCs w:val="22"/>
              </w:rPr>
              <w:t> </w:t>
            </w:r>
          </w:p>
        </w:tc>
        <w:tc>
          <w:tcPr>
            <w:tcW w:w="6868" w:type="dxa"/>
            <w:tcBorders>
              <w:top w:val="nil"/>
              <w:left w:val="nil"/>
              <w:bottom w:val="nil"/>
              <w:right w:val="nil"/>
            </w:tcBorders>
            <w:shd w:val="clear" w:color="000000" w:fill="FFFFFF"/>
            <w:noWrap/>
            <w:vAlign w:val="bottom"/>
            <w:hideMark/>
          </w:tcPr>
          <w:p w:rsidR="0010219D" w:rsidRPr="00826645" w:rsidRDefault="0010219D" w:rsidP="0010219D">
            <w:pPr>
              <w:rPr>
                <w:b/>
                <w:bCs/>
                <w:sz w:val="22"/>
                <w:szCs w:val="22"/>
              </w:rPr>
            </w:pPr>
            <w:r w:rsidRPr="00826645">
              <w:rPr>
                <w:b/>
                <w:bCs/>
                <w:sz w:val="22"/>
                <w:szCs w:val="22"/>
              </w:rPr>
              <w:t>Taxes Other Than Income</w:t>
            </w:r>
          </w:p>
        </w:tc>
        <w:tc>
          <w:tcPr>
            <w:tcW w:w="1986" w:type="dxa"/>
            <w:tcBorders>
              <w:top w:val="nil"/>
              <w:left w:val="nil"/>
              <w:bottom w:val="nil"/>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283" w:type="dxa"/>
            <w:tcBorders>
              <w:top w:val="nil"/>
              <w:left w:val="nil"/>
              <w:bottom w:val="nil"/>
              <w:right w:val="single" w:sz="4" w:space="0" w:color="auto"/>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r>
      <w:tr w:rsidR="0010219D" w:rsidRPr="00826645" w:rsidTr="004D4632">
        <w:trPr>
          <w:trHeight w:val="300"/>
        </w:trPr>
        <w:tc>
          <w:tcPr>
            <w:tcW w:w="326" w:type="dxa"/>
            <w:tcBorders>
              <w:top w:val="nil"/>
              <w:left w:val="single" w:sz="4" w:space="0" w:color="auto"/>
              <w:bottom w:val="nil"/>
              <w:right w:val="nil"/>
            </w:tcBorders>
            <w:shd w:val="clear" w:color="000000" w:fill="FFFFFF"/>
            <w:noWrap/>
            <w:vAlign w:val="bottom"/>
            <w:hideMark/>
          </w:tcPr>
          <w:p w:rsidR="0010219D" w:rsidRPr="00826645" w:rsidRDefault="0010219D" w:rsidP="0010219D">
            <w:pPr>
              <w:jc w:val="center"/>
              <w:rPr>
                <w:sz w:val="22"/>
                <w:szCs w:val="22"/>
              </w:rPr>
            </w:pPr>
          </w:p>
        </w:tc>
        <w:tc>
          <w:tcPr>
            <w:tcW w:w="6868" w:type="dxa"/>
            <w:tcBorders>
              <w:top w:val="nil"/>
              <w:left w:val="nil"/>
              <w:bottom w:val="nil"/>
              <w:right w:val="nil"/>
            </w:tcBorders>
            <w:shd w:val="clear" w:color="000000" w:fill="FFFFFF"/>
            <w:noWrap/>
            <w:vAlign w:val="bottom"/>
            <w:hideMark/>
          </w:tcPr>
          <w:p w:rsidR="0010219D" w:rsidRPr="00826645" w:rsidRDefault="007A20A6" w:rsidP="007A20A6">
            <w:pPr>
              <w:rPr>
                <w:sz w:val="22"/>
                <w:szCs w:val="22"/>
              </w:rPr>
            </w:pPr>
            <w:r>
              <w:rPr>
                <w:sz w:val="22"/>
                <w:szCs w:val="22"/>
              </w:rPr>
              <w:t xml:space="preserve">To reflect </w:t>
            </w:r>
            <w:r w:rsidR="0010219D" w:rsidRPr="00826645">
              <w:rPr>
                <w:sz w:val="22"/>
                <w:szCs w:val="22"/>
              </w:rPr>
              <w:t>net plant.</w:t>
            </w:r>
          </w:p>
        </w:tc>
        <w:tc>
          <w:tcPr>
            <w:tcW w:w="1986" w:type="dxa"/>
            <w:tcBorders>
              <w:top w:val="nil"/>
              <w:left w:val="nil"/>
              <w:bottom w:val="nil"/>
              <w:right w:val="nil"/>
            </w:tcBorders>
            <w:shd w:val="clear" w:color="000000" w:fill="FFFFFF"/>
            <w:noWrap/>
            <w:vAlign w:val="bottom"/>
            <w:hideMark/>
          </w:tcPr>
          <w:p w:rsidR="0010219D" w:rsidRPr="00826645" w:rsidRDefault="0010219D" w:rsidP="0010219D">
            <w:pPr>
              <w:jc w:val="right"/>
              <w:rPr>
                <w:sz w:val="22"/>
                <w:szCs w:val="22"/>
              </w:rPr>
            </w:pPr>
            <w:r w:rsidRPr="00826645">
              <w:rPr>
                <w:bCs/>
                <w:sz w:val="22"/>
                <w:szCs w:val="22"/>
                <w:u w:val="double"/>
              </w:rPr>
              <w:t>($353)</w:t>
            </w:r>
          </w:p>
        </w:tc>
        <w:tc>
          <w:tcPr>
            <w:tcW w:w="283" w:type="dxa"/>
            <w:tcBorders>
              <w:top w:val="nil"/>
              <w:left w:val="nil"/>
              <w:bottom w:val="nil"/>
              <w:right w:val="single" w:sz="4" w:space="0" w:color="auto"/>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r>
      <w:tr w:rsidR="0010219D" w:rsidRPr="00826645" w:rsidTr="004D4632">
        <w:trPr>
          <w:trHeight w:val="300"/>
        </w:trPr>
        <w:tc>
          <w:tcPr>
            <w:tcW w:w="326" w:type="dxa"/>
            <w:tcBorders>
              <w:top w:val="nil"/>
              <w:left w:val="single" w:sz="4" w:space="0" w:color="auto"/>
              <w:bottom w:val="single" w:sz="4" w:space="0" w:color="auto"/>
              <w:right w:val="nil"/>
            </w:tcBorders>
            <w:shd w:val="clear" w:color="000000" w:fill="FFFFFF"/>
            <w:noWrap/>
            <w:vAlign w:val="bottom"/>
            <w:hideMark/>
          </w:tcPr>
          <w:p w:rsidR="0010219D" w:rsidRPr="00826645" w:rsidRDefault="0010219D" w:rsidP="0010219D">
            <w:pPr>
              <w:jc w:val="center"/>
              <w:rPr>
                <w:sz w:val="22"/>
                <w:szCs w:val="22"/>
              </w:rPr>
            </w:pPr>
            <w:r w:rsidRPr="00826645">
              <w:rPr>
                <w:sz w:val="22"/>
                <w:szCs w:val="22"/>
              </w:rPr>
              <w:t> </w:t>
            </w:r>
          </w:p>
        </w:tc>
        <w:tc>
          <w:tcPr>
            <w:tcW w:w="6868" w:type="dxa"/>
            <w:tcBorders>
              <w:top w:val="nil"/>
              <w:left w:val="nil"/>
              <w:bottom w:val="single" w:sz="4" w:space="0" w:color="auto"/>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1986" w:type="dxa"/>
            <w:tcBorders>
              <w:top w:val="nil"/>
              <w:left w:val="nil"/>
              <w:bottom w:val="single" w:sz="4" w:space="0" w:color="auto"/>
              <w:right w:val="nil"/>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10219D" w:rsidRPr="00826645" w:rsidRDefault="0010219D" w:rsidP="0010219D">
            <w:pPr>
              <w:rPr>
                <w:sz w:val="22"/>
                <w:szCs w:val="22"/>
              </w:rPr>
            </w:pPr>
            <w:r w:rsidRPr="00826645">
              <w:rPr>
                <w:sz w:val="22"/>
                <w:szCs w:val="22"/>
              </w:rPr>
              <w:t> </w:t>
            </w:r>
          </w:p>
        </w:tc>
      </w:tr>
    </w:tbl>
    <w:p w:rsidR="0010219D" w:rsidRPr="00826645" w:rsidRDefault="0010219D" w:rsidP="004F544E">
      <w:pPr>
        <w:pStyle w:val="OrderBody"/>
      </w:pPr>
    </w:p>
    <w:p w:rsidR="0010219D" w:rsidRPr="00826645" w:rsidRDefault="0010219D" w:rsidP="004F544E">
      <w:pPr>
        <w:pStyle w:val="OrderBody"/>
        <w:sectPr w:rsidR="0010219D" w:rsidRPr="00826645" w:rsidSect="0010219D">
          <w:headerReference w:type="first" r:id="rId15"/>
          <w:pgSz w:w="12240" w:h="15840" w:code="1"/>
          <w:pgMar w:top="1440" w:right="1440" w:bottom="1440" w:left="1440" w:header="720" w:footer="720" w:gutter="0"/>
          <w:cols w:space="720"/>
          <w:titlePg/>
          <w:docGrid w:linePitch="360"/>
        </w:sectPr>
      </w:pPr>
    </w:p>
    <w:p w:rsidR="00C82C5A" w:rsidRPr="00826645" w:rsidRDefault="00C82C5A" w:rsidP="00C82C5A">
      <w:pPr>
        <w:spacing w:after="240"/>
        <w:jc w:val="both"/>
      </w:pPr>
    </w:p>
    <w:tbl>
      <w:tblPr>
        <w:tblW w:w="10120" w:type="dxa"/>
        <w:tblLook w:val="04A0" w:firstRow="1" w:lastRow="0" w:firstColumn="1" w:lastColumn="0" w:noHBand="0" w:noVBand="1"/>
      </w:tblPr>
      <w:tblGrid>
        <w:gridCol w:w="5440"/>
        <w:gridCol w:w="2300"/>
        <w:gridCol w:w="2380"/>
      </w:tblGrid>
      <w:tr w:rsidR="00C82C5A" w:rsidRPr="00826645" w:rsidTr="004D4632">
        <w:trPr>
          <w:trHeight w:val="300"/>
        </w:trPr>
        <w:tc>
          <w:tcPr>
            <w:tcW w:w="5440" w:type="dxa"/>
            <w:tcBorders>
              <w:top w:val="single" w:sz="8" w:space="0" w:color="auto"/>
              <w:left w:val="single" w:sz="8" w:space="0" w:color="auto"/>
              <w:bottom w:val="nil"/>
              <w:right w:val="nil"/>
            </w:tcBorders>
            <w:shd w:val="clear" w:color="auto" w:fill="auto"/>
            <w:noWrap/>
            <w:vAlign w:val="center"/>
            <w:hideMark/>
          </w:tcPr>
          <w:p w:rsidR="00C82C5A" w:rsidRPr="00826645" w:rsidRDefault="00C82C5A" w:rsidP="00C82C5A">
            <w:pPr>
              <w:rPr>
                <w:b/>
                <w:bCs/>
                <w:color w:val="000000"/>
                <w:sz w:val="22"/>
              </w:rPr>
            </w:pPr>
            <w:r w:rsidRPr="00826645">
              <w:rPr>
                <w:b/>
                <w:bCs/>
                <w:color w:val="000000"/>
                <w:sz w:val="22"/>
                <w:szCs w:val="22"/>
              </w:rPr>
              <w:t>RIVERDALE UTILITY HOLDING, INC.</w:t>
            </w:r>
          </w:p>
        </w:tc>
        <w:tc>
          <w:tcPr>
            <w:tcW w:w="2300" w:type="dxa"/>
            <w:tcBorders>
              <w:top w:val="single" w:sz="8" w:space="0" w:color="auto"/>
              <w:left w:val="nil"/>
              <w:bottom w:val="nil"/>
              <w:right w:val="nil"/>
            </w:tcBorders>
            <w:shd w:val="clear" w:color="auto" w:fill="auto"/>
            <w:noWrap/>
            <w:vAlign w:val="center"/>
            <w:hideMark/>
          </w:tcPr>
          <w:p w:rsidR="00C82C5A" w:rsidRPr="00826645" w:rsidRDefault="00C82C5A" w:rsidP="00C82C5A">
            <w:pPr>
              <w:rPr>
                <w:b/>
                <w:bCs/>
                <w:color w:val="000000"/>
                <w:sz w:val="22"/>
              </w:rPr>
            </w:pPr>
            <w:r w:rsidRPr="00826645">
              <w:rPr>
                <w:b/>
                <w:bCs/>
                <w:color w:val="000000"/>
                <w:sz w:val="22"/>
                <w:szCs w:val="22"/>
              </w:rPr>
              <w:t> </w:t>
            </w:r>
          </w:p>
        </w:tc>
        <w:tc>
          <w:tcPr>
            <w:tcW w:w="2380" w:type="dxa"/>
            <w:tcBorders>
              <w:top w:val="single" w:sz="8" w:space="0" w:color="auto"/>
              <w:left w:val="nil"/>
              <w:bottom w:val="nil"/>
              <w:right w:val="single" w:sz="8" w:space="0" w:color="auto"/>
            </w:tcBorders>
            <w:shd w:val="clear" w:color="auto" w:fill="auto"/>
            <w:noWrap/>
            <w:vAlign w:val="center"/>
            <w:hideMark/>
          </w:tcPr>
          <w:p w:rsidR="00C82C5A" w:rsidRPr="00826645" w:rsidRDefault="00C82C5A" w:rsidP="00C82C5A">
            <w:pPr>
              <w:jc w:val="right"/>
              <w:rPr>
                <w:b/>
                <w:bCs/>
                <w:color w:val="000000"/>
                <w:sz w:val="22"/>
              </w:rPr>
            </w:pPr>
            <w:r w:rsidRPr="00826645">
              <w:rPr>
                <w:b/>
                <w:bCs/>
                <w:color w:val="000000"/>
                <w:sz w:val="22"/>
                <w:szCs w:val="22"/>
              </w:rPr>
              <w:t>SCHEDULE NO. 4</w:t>
            </w:r>
          </w:p>
        </w:tc>
      </w:tr>
      <w:tr w:rsidR="00C82C5A" w:rsidRPr="00826645" w:rsidTr="004D4632">
        <w:trPr>
          <w:trHeight w:val="315"/>
        </w:trPr>
        <w:tc>
          <w:tcPr>
            <w:tcW w:w="5440" w:type="dxa"/>
            <w:tcBorders>
              <w:top w:val="nil"/>
              <w:left w:val="single" w:sz="8" w:space="0" w:color="auto"/>
              <w:bottom w:val="single" w:sz="8" w:space="0" w:color="auto"/>
              <w:right w:val="nil"/>
            </w:tcBorders>
            <w:shd w:val="clear" w:color="auto" w:fill="auto"/>
            <w:noWrap/>
            <w:vAlign w:val="center"/>
            <w:hideMark/>
          </w:tcPr>
          <w:p w:rsidR="00C82C5A" w:rsidRPr="00826645" w:rsidRDefault="00C82C5A" w:rsidP="00C82C5A">
            <w:pPr>
              <w:rPr>
                <w:b/>
                <w:bCs/>
                <w:color w:val="000000"/>
                <w:sz w:val="22"/>
              </w:rPr>
            </w:pPr>
            <w:r w:rsidRPr="00826645">
              <w:rPr>
                <w:b/>
                <w:bCs/>
                <w:color w:val="000000"/>
                <w:sz w:val="22"/>
                <w:szCs w:val="22"/>
              </w:rPr>
              <w:t>MONTHLY WATER RATES</w:t>
            </w:r>
          </w:p>
        </w:tc>
        <w:tc>
          <w:tcPr>
            <w:tcW w:w="4680" w:type="dxa"/>
            <w:gridSpan w:val="2"/>
            <w:tcBorders>
              <w:top w:val="nil"/>
              <w:left w:val="nil"/>
              <w:bottom w:val="single" w:sz="8" w:space="0" w:color="auto"/>
              <w:right w:val="single" w:sz="8" w:space="0" w:color="000000"/>
            </w:tcBorders>
            <w:shd w:val="clear" w:color="auto" w:fill="auto"/>
            <w:noWrap/>
            <w:vAlign w:val="center"/>
            <w:hideMark/>
          </w:tcPr>
          <w:p w:rsidR="00C82C5A" w:rsidRPr="00826645" w:rsidRDefault="00C82C5A" w:rsidP="00C82C5A">
            <w:pPr>
              <w:jc w:val="right"/>
              <w:rPr>
                <w:b/>
                <w:bCs/>
                <w:color w:val="000000"/>
                <w:sz w:val="22"/>
              </w:rPr>
            </w:pPr>
            <w:r w:rsidRPr="00826645">
              <w:rPr>
                <w:b/>
                <w:bCs/>
                <w:color w:val="000000"/>
                <w:sz w:val="22"/>
                <w:szCs w:val="22"/>
              </w:rPr>
              <w:t>DOCKET NO. 20240011-WU</w:t>
            </w:r>
          </w:p>
        </w:tc>
      </w:tr>
      <w:tr w:rsidR="00C82C5A" w:rsidRPr="00826645" w:rsidTr="004D4632">
        <w:trPr>
          <w:trHeight w:val="340"/>
        </w:trPr>
        <w:tc>
          <w:tcPr>
            <w:tcW w:w="5440" w:type="dxa"/>
            <w:tcBorders>
              <w:top w:val="nil"/>
              <w:left w:val="single" w:sz="8" w:space="0" w:color="auto"/>
              <w:bottom w:val="nil"/>
              <w:right w:val="nil"/>
            </w:tcBorders>
            <w:shd w:val="clear" w:color="000000" w:fill="D9D9D9"/>
            <w:noWrap/>
            <w:vAlign w:val="bottom"/>
            <w:hideMark/>
          </w:tcPr>
          <w:p w:rsidR="00C82C5A" w:rsidRPr="00826645" w:rsidRDefault="00C82C5A" w:rsidP="00C82C5A">
            <w:pPr>
              <w:rPr>
                <w:rFonts w:ascii="Calibri" w:hAnsi="Calibri" w:cs="Calibri"/>
                <w:color w:val="000000"/>
                <w:sz w:val="22"/>
              </w:rPr>
            </w:pPr>
            <w:r w:rsidRPr="00826645">
              <w:rPr>
                <w:rFonts w:ascii="Calibri" w:hAnsi="Calibri" w:cs="Calibri"/>
                <w:color w:val="000000"/>
                <w:sz w:val="22"/>
                <w:szCs w:val="22"/>
              </w:rPr>
              <w:t> </w:t>
            </w:r>
          </w:p>
        </w:tc>
        <w:tc>
          <w:tcPr>
            <w:tcW w:w="2300" w:type="dxa"/>
            <w:tcBorders>
              <w:top w:val="nil"/>
              <w:left w:val="nil"/>
              <w:bottom w:val="nil"/>
              <w:right w:val="nil"/>
            </w:tcBorders>
            <w:shd w:val="clear" w:color="000000" w:fill="D9D9D9"/>
            <w:noWrap/>
            <w:vAlign w:val="center"/>
            <w:hideMark/>
          </w:tcPr>
          <w:p w:rsidR="00C82C5A" w:rsidRPr="00826645" w:rsidRDefault="00C82C5A" w:rsidP="00C82C5A">
            <w:pPr>
              <w:jc w:val="center"/>
              <w:rPr>
                <w:b/>
                <w:bCs/>
                <w:color w:val="000000"/>
                <w:sz w:val="22"/>
              </w:rPr>
            </w:pPr>
            <w:r w:rsidRPr="00826645">
              <w:rPr>
                <w:b/>
                <w:bCs/>
                <w:color w:val="000000"/>
                <w:sz w:val="22"/>
                <w:szCs w:val="22"/>
              </w:rPr>
              <w:t>UTILITY</w:t>
            </w:r>
          </w:p>
        </w:tc>
        <w:tc>
          <w:tcPr>
            <w:tcW w:w="2380" w:type="dxa"/>
            <w:tcBorders>
              <w:top w:val="nil"/>
              <w:left w:val="nil"/>
              <w:bottom w:val="nil"/>
              <w:right w:val="single" w:sz="8" w:space="0" w:color="auto"/>
            </w:tcBorders>
            <w:shd w:val="clear" w:color="000000" w:fill="D9D9D9"/>
            <w:noWrap/>
            <w:vAlign w:val="center"/>
            <w:hideMark/>
          </w:tcPr>
          <w:p w:rsidR="00C82C5A" w:rsidRPr="00826645" w:rsidRDefault="00826645" w:rsidP="00C82C5A">
            <w:pPr>
              <w:jc w:val="center"/>
              <w:rPr>
                <w:b/>
                <w:bCs/>
                <w:color w:val="000000"/>
                <w:sz w:val="22"/>
              </w:rPr>
            </w:pPr>
            <w:r>
              <w:rPr>
                <w:b/>
                <w:bCs/>
                <w:color w:val="000000"/>
                <w:sz w:val="22"/>
                <w:szCs w:val="22"/>
              </w:rPr>
              <w:t>COMMISSION</w:t>
            </w:r>
          </w:p>
        </w:tc>
      </w:tr>
      <w:tr w:rsidR="00C82C5A" w:rsidRPr="00826645" w:rsidTr="004D4632">
        <w:trPr>
          <w:trHeight w:val="153"/>
        </w:trPr>
        <w:tc>
          <w:tcPr>
            <w:tcW w:w="5440" w:type="dxa"/>
            <w:tcBorders>
              <w:top w:val="nil"/>
              <w:left w:val="single" w:sz="8" w:space="0" w:color="auto"/>
              <w:bottom w:val="nil"/>
              <w:right w:val="nil"/>
            </w:tcBorders>
            <w:shd w:val="clear" w:color="000000" w:fill="D9D9D9"/>
            <w:noWrap/>
            <w:vAlign w:val="bottom"/>
            <w:hideMark/>
          </w:tcPr>
          <w:p w:rsidR="00C82C5A" w:rsidRPr="00826645" w:rsidRDefault="00C82C5A" w:rsidP="00C82C5A">
            <w:pPr>
              <w:rPr>
                <w:rFonts w:ascii="Calibri" w:hAnsi="Calibri" w:cs="Calibri"/>
                <w:color w:val="000000"/>
                <w:sz w:val="22"/>
              </w:rPr>
            </w:pPr>
            <w:r w:rsidRPr="00826645">
              <w:rPr>
                <w:rFonts w:ascii="Calibri" w:hAnsi="Calibri" w:cs="Calibri"/>
                <w:color w:val="000000"/>
                <w:sz w:val="22"/>
                <w:szCs w:val="22"/>
              </w:rPr>
              <w:t> </w:t>
            </w:r>
          </w:p>
        </w:tc>
        <w:tc>
          <w:tcPr>
            <w:tcW w:w="2300" w:type="dxa"/>
            <w:tcBorders>
              <w:top w:val="nil"/>
              <w:left w:val="nil"/>
              <w:bottom w:val="nil"/>
              <w:right w:val="nil"/>
            </w:tcBorders>
            <w:shd w:val="clear" w:color="000000" w:fill="D9D9D9"/>
            <w:noWrap/>
            <w:vAlign w:val="center"/>
            <w:hideMark/>
          </w:tcPr>
          <w:p w:rsidR="00C82C5A" w:rsidRPr="00826645" w:rsidRDefault="00C82C5A" w:rsidP="00C82C5A">
            <w:pPr>
              <w:jc w:val="center"/>
              <w:rPr>
                <w:b/>
                <w:bCs/>
                <w:color w:val="000000"/>
                <w:sz w:val="22"/>
              </w:rPr>
            </w:pPr>
            <w:r w:rsidRPr="00826645">
              <w:rPr>
                <w:b/>
                <w:bCs/>
                <w:color w:val="000000"/>
                <w:sz w:val="22"/>
                <w:szCs w:val="22"/>
              </w:rPr>
              <w:t>REQUESTED</w:t>
            </w:r>
          </w:p>
        </w:tc>
        <w:tc>
          <w:tcPr>
            <w:tcW w:w="2380" w:type="dxa"/>
            <w:tcBorders>
              <w:top w:val="nil"/>
              <w:left w:val="nil"/>
              <w:bottom w:val="nil"/>
              <w:right w:val="single" w:sz="8" w:space="0" w:color="auto"/>
            </w:tcBorders>
            <w:shd w:val="clear" w:color="000000" w:fill="D9D9D9"/>
            <w:noWrap/>
            <w:vAlign w:val="center"/>
            <w:hideMark/>
          </w:tcPr>
          <w:p w:rsidR="00C82C5A" w:rsidRPr="00826645" w:rsidRDefault="00826645" w:rsidP="00C82C5A">
            <w:pPr>
              <w:jc w:val="center"/>
              <w:rPr>
                <w:b/>
                <w:bCs/>
                <w:color w:val="000000"/>
                <w:sz w:val="22"/>
              </w:rPr>
            </w:pPr>
            <w:r>
              <w:rPr>
                <w:b/>
                <w:bCs/>
                <w:color w:val="000000"/>
                <w:sz w:val="22"/>
                <w:szCs w:val="22"/>
              </w:rPr>
              <w:t>APPROVED</w:t>
            </w:r>
          </w:p>
        </w:tc>
      </w:tr>
      <w:tr w:rsidR="00C82C5A" w:rsidRPr="00826645" w:rsidTr="004D4632">
        <w:trPr>
          <w:trHeight w:val="315"/>
        </w:trPr>
        <w:tc>
          <w:tcPr>
            <w:tcW w:w="5440" w:type="dxa"/>
            <w:tcBorders>
              <w:top w:val="nil"/>
              <w:left w:val="single" w:sz="8" w:space="0" w:color="auto"/>
              <w:bottom w:val="single" w:sz="8" w:space="0" w:color="auto"/>
              <w:right w:val="nil"/>
            </w:tcBorders>
            <w:shd w:val="clear" w:color="000000" w:fill="D9D9D9"/>
            <w:noWrap/>
            <w:vAlign w:val="bottom"/>
            <w:hideMark/>
          </w:tcPr>
          <w:p w:rsidR="00C82C5A" w:rsidRPr="00826645" w:rsidRDefault="00C82C5A" w:rsidP="00C82C5A">
            <w:pPr>
              <w:rPr>
                <w:rFonts w:ascii="Calibri" w:hAnsi="Calibri" w:cs="Calibri"/>
                <w:color w:val="000000"/>
                <w:sz w:val="22"/>
              </w:rPr>
            </w:pPr>
            <w:r w:rsidRPr="00826645">
              <w:rPr>
                <w:rFonts w:ascii="Calibri" w:hAnsi="Calibri" w:cs="Calibri"/>
                <w:color w:val="000000"/>
                <w:sz w:val="22"/>
                <w:szCs w:val="22"/>
              </w:rPr>
              <w:t> </w:t>
            </w:r>
          </w:p>
        </w:tc>
        <w:tc>
          <w:tcPr>
            <w:tcW w:w="2300" w:type="dxa"/>
            <w:tcBorders>
              <w:top w:val="nil"/>
              <w:left w:val="nil"/>
              <w:bottom w:val="single" w:sz="8" w:space="0" w:color="auto"/>
              <w:right w:val="nil"/>
            </w:tcBorders>
            <w:shd w:val="clear" w:color="000000" w:fill="D9D9D9"/>
            <w:noWrap/>
            <w:vAlign w:val="center"/>
            <w:hideMark/>
          </w:tcPr>
          <w:p w:rsidR="00C82C5A" w:rsidRPr="00826645" w:rsidRDefault="00C82C5A" w:rsidP="00C82C5A">
            <w:pPr>
              <w:jc w:val="center"/>
              <w:rPr>
                <w:b/>
                <w:bCs/>
                <w:color w:val="000000"/>
                <w:sz w:val="22"/>
              </w:rPr>
            </w:pPr>
            <w:r w:rsidRPr="00826645">
              <w:rPr>
                <w:b/>
                <w:bCs/>
                <w:color w:val="000000"/>
                <w:sz w:val="22"/>
                <w:szCs w:val="22"/>
              </w:rPr>
              <w:t>RATES</w:t>
            </w:r>
          </w:p>
        </w:tc>
        <w:tc>
          <w:tcPr>
            <w:tcW w:w="2380" w:type="dxa"/>
            <w:tcBorders>
              <w:top w:val="nil"/>
              <w:left w:val="nil"/>
              <w:bottom w:val="single" w:sz="8" w:space="0" w:color="auto"/>
              <w:right w:val="single" w:sz="8" w:space="0" w:color="auto"/>
            </w:tcBorders>
            <w:shd w:val="clear" w:color="000000" w:fill="D9D9D9"/>
            <w:noWrap/>
            <w:vAlign w:val="center"/>
            <w:hideMark/>
          </w:tcPr>
          <w:p w:rsidR="00C82C5A" w:rsidRPr="00826645" w:rsidRDefault="00C82C5A" w:rsidP="00C82C5A">
            <w:pPr>
              <w:jc w:val="center"/>
              <w:rPr>
                <w:b/>
                <w:bCs/>
                <w:color w:val="000000"/>
                <w:sz w:val="22"/>
              </w:rPr>
            </w:pPr>
            <w:r w:rsidRPr="00826645">
              <w:rPr>
                <w:b/>
                <w:bCs/>
                <w:color w:val="000000"/>
                <w:sz w:val="22"/>
                <w:szCs w:val="22"/>
              </w:rPr>
              <w:t>RATES</w:t>
            </w:r>
          </w:p>
        </w:tc>
      </w:tr>
      <w:tr w:rsidR="00C82C5A" w:rsidRPr="00826645" w:rsidTr="004D4632">
        <w:trPr>
          <w:trHeight w:val="300"/>
        </w:trPr>
        <w:tc>
          <w:tcPr>
            <w:tcW w:w="5440" w:type="dxa"/>
            <w:tcBorders>
              <w:top w:val="nil"/>
              <w:left w:val="single" w:sz="8" w:space="0" w:color="auto"/>
              <w:bottom w:val="nil"/>
              <w:right w:val="nil"/>
            </w:tcBorders>
            <w:shd w:val="clear" w:color="auto" w:fill="auto"/>
            <w:noWrap/>
            <w:vAlign w:val="center"/>
            <w:hideMark/>
          </w:tcPr>
          <w:p w:rsidR="00C82C5A" w:rsidRPr="00826645" w:rsidRDefault="00C82C5A" w:rsidP="00C82C5A">
            <w:pPr>
              <w:rPr>
                <w:color w:val="000000"/>
                <w:sz w:val="22"/>
              </w:rPr>
            </w:pPr>
            <w:r w:rsidRPr="00826645">
              <w:rPr>
                <w:color w:val="000000"/>
                <w:sz w:val="22"/>
                <w:szCs w:val="22"/>
              </w:rPr>
              <w:t> </w:t>
            </w:r>
          </w:p>
        </w:tc>
        <w:tc>
          <w:tcPr>
            <w:tcW w:w="2300" w:type="dxa"/>
            <w:tcBorders>
              <w:top w:val="nil"/>
              <w:left w:val="nil"/>
              <w:bottom w:val="nil"/>
              <w:right w:val="nil"/>
            </w:tcBorders>
            <w:shd w:val="clear" w:color="auto" w:fill="auto"/>
            <w:noWrap/>
            <w:vAlign w:val="center"/>
            <w:hideMark/>
          </w:tcPr>
          <w:p w:rsidR="00C82C5A" w:rsidRPr="00826645" w:rsidRDefault="00C82C5A" w:rsidP="00C82C5A">
            <w:pPr>
              <w:rPr>
                <w:color w:val="000000"/>
                <w:sz w:val="22"/>
              </w:rPr>
            </w:pPr>
          </w:p>
        </w:tc>
        <w:tc>
          <w:tcPr>
            <w:tcW w:w="2380" w:type="dxa"/>
            <w:tcBorders>
              <w:top w:val="nil"/>
              <w:left w:val="nil"/>
              <w:bottom w:val="nil"/>
              <w:right w:val="single" w:sz="8" w:space="0" w:color="auto"/>
            </w:tcBorders>
            <w:shd w:val="clear" w:color="auto" w:fill="auto"/>
            <w:noWrap/>
            <w:vAlign w:val="center"/>
            <w:hideMark/>
          </w:tcPr>
          <w:p w:rsidR="00C82C5A" w:rsidRPr="00826645" w:rsidRDefault="00C82C5A" w:rsidP="00C82C5A">
            <w:pPr>
              <w:jc w:val="right"/>
              <w:rPr>
                <w:color w:val="000000"/>
                <w:sz w:val="22"/>
              </w:rPr>
            </w:pPr>
            <w:r w:rsidRPr="00826645">
              <w:rPr>
                <w:color w:val="000000"/>
                <w:sz w:val="22"/>
                <w:szCs w:val="22"/>
              </w:rPr>
              <w:t> </w:t>
            </w:r>
          </w:p>
        </w:tc>
      </w:tr>
      <w:tr w:rsidR="00C82C5A" w:rsidRPr="00826645" w:rsidTr="004D4632">
        <w:trPr>
          <w:trHeight w:val="300"/>
        </w:trPr>
        <w:tc>
          <w:tcPr>
            <w:tcW w:w="5440" w:type="dxa"/>
            <w:tcBorders>
              <w:top w:val="nil"/>
              <w:left w:val="single" w:sz="8" w:space="0" w:color="auto"/>
              <w:bottom w:val="nil"/>
              <w:right w:val="nil"/>
            </w:tcBorders>
            <w:shd w:val="clear" w:color="auto" w:fill="auto"/>
            <w:noWrap/>
            <w:vAlign w:val="center"/>
            <w:hideMark/>
          </w:tcPr>
          <w:p w:rsidR="00C82C5A" w:rsidRPr="00826645" w:rsidRDefault="00C82C5A" w:rsidP="00C82C5A">
            <w:pPr>
              <w:rPr>
                <w:b/>
                <w:bCs/>
                <w:color w:val="000000"/>
                <w:sz w:val="22"/>
                <w:u w:val="single"/>
              </w:rPr>
            </w:pPr>
            <w:r w:rsidRPr="00826645">
              <w:rPr>
                <w:b/>
                <w:bCs/>
                <w:color w:val="000000"/>
                <w:sz w:val="22"/>
                <w:szCs w:val="22"/>
                <w:u w:val="single"/>
              </w:rPr>
              <w:t>Residential Service and General Service</w:t>
            </w:r>
          </w:p>
        </w:tc>
        <w:tc>
          <w:tcPr>
            <w:tcW w:w="2300" w:type="dxa"/>
            <w:tcBorders>
              <w:top w:val="nil"/>
              <w:left w:val="nil"/>
              <w:bottom w:val="nil"/>
              <w:right w:val="nil"/>
            </w:tcBorders>
            <w:shd w:val="clear" w:color="auto" w:fill="auto"/>
            <w:noWrap/>
            <w:vAlign w:val="center"/>
            <w:hideMark/>
          </w:tcPr>
          <w:p w:rsidR="00C82C5A" w:rsidRPr="00826645" w:rsidRDefault="00C82C5A" w:rsidP="00C82C5A">
            <w:pPr>
              <w:rPr>
                <w:b/>
                <w:bCs/>
                <w:color w:val="000000"/>
                <w:sz w:val="22"/>
                <w:u w:val="single"/>
              </w:rPr>
            </w:pPr>
          </w:p>
        </w:tc>
        <w:tc>
          <w:tcPr>
            <w:tcW w:w="2380" w:type="dxa"/>
            <w:tcBorders>
              <w:top w:val="nil"/>
              <w:left w:val="nil"/>
              <w:bottom w:val="nil"/>
              <w:right w:val="single" w:sz="8" w:space="0" w:color="auto"/>
            </w:tcBorders>
            <w:shd w:val="clear" w:color="auto" w:fill="auto"/>
            <w:noWrap/>
            <w:vAlign w:val="center"/>
            <w:hideMark/>
          </w:tcPr>
          <w:p w:rsidR="00C82C5A" w:rsidRPr="00826645" w:rsidRDefault="00C82C5A" w:rsidP="00C82C5A">
            <w:pPr>
              <w:rPr>
                <w:color w:val="000000"/>
                <w:sz w:val="22"/>
              </w:rPr>
            </w:pPr>
            <w:r w:rsidRPr="00826645">
              <w:rPr>
                <w:color w:val="000000"/>
                <w:sz w:val="22"/>
                <w:szCs w:val="22"/>
              </w:rPr>
              <w:t> </w:t>
            </w:r>
          </w:p>
        </w:tc>
      </w:tr>
      <w:tr w:rsidR="00C82C5A" w:rsidRPr="00826645" w:rsidTr="004D4632">
        <w:trPr>
          <w:trHeight w:val="300"/>
        </w:trPr>
        <w:tc>
          <w:tcPr>
            <w:tcW w:w="5440" w:type="dxa"/>
            <w:tcBorders>
              <w:top w:val="nil"/>
              <w:left w:val="single" w:sz="8" w:space="0" w:color="auto"/>
              <w:bottom w:val="nil"/>
              <w:right w:val="nil"/>
            </w:tcBorders>
            <w:shd w:val="clear" w:color="auto" w:fill="auto"/>
            <w:noWrap/>
            <w:vAlign w:val="center"/>
            <w:hideMark/>
          </w:tcPr>
          <w:p w:rsidR="00C82C5A" w:rsidRPr="00826645" w:rsidRDefault="00C82C5A" w:rsidP="00C82C5A">
            <w:pPr>
              <w:rPr>
                <w:color w:val="000000"/>
                <w:sz w:val="22"/>
              </w:rPr>
            </w:pPr>
            <w:r w:rsidRPr="00826645">
              <w:rPr>
                <w:color w:val="000000"/>
                <w:sz w:val="22"/>
                <w:szCs w:val="22"/>
              </w:rPr>
              <w:t>Base Facility Charge by Meter Size</w:t>
            </w:r>
          </w:p>
        </w:tc>
        <w:tc>
          <w:tcPr>
            <w:tcW w:w="2300" w:type="dxa"/>
            <w:tcBorders>
              <w:top w:val="nil"/>
              <w:left w:val="nil"/>
              <w:bottom w:val="nil"/>
              <w:right w:val="nil"/>
            </w:tcBorders>
            <w:shd w:val="clear" w:color="auto" w:fill="auto"/>
            <w:noWrap/>
            <w:vAlign w:val="center"/>
            <w:hideMark/>
          </w:tcPr>
          <w:p w:rsidR="00C82C5A" w:rsidRPr="00826645" w:rsidRDefault="00C82C5A" w:rsidP="00C82C5A">
            <w:pPr>
              <w:rPr>
                <w:color w:val="000000"/>
                <w:sz w:val="22"/>
              </w:rPr>
            </w:pPr>
          </w:p>
        </w:tc>
        <w:tc>
          <w:tcPr>
            <w:tcW w:w="2380" w:type="dxa"/>
            <w:tcBorders>
              <w:top w:val="nil"/>
              <w:left w:val="nil"/>
              <w:bottom w:val="nil"/>
              <w:right w:val="single" w:sz="8" w:space="0" w:color="auto"/>
            </w:tcBorders>
            <w:shd w:val="clear" w:color="auto" w:fill="auto"/>
            <w:noWrap/>
            <w:vAlign w:val="center"/>
            <w:hideMark/>
          </w:tcPr>
          <w:p w:rsidR="00C82C5A" w:rsidRPr="00826645" w:rsidRDefault="00C82C5A" w:rsidP="00C82C5A">
            <w:pPr>
              <w:jc w:val="right"/>
              <w:rPr>
                <w:color w:val="000000"/>
                <w:sz w:val="22"/>
              </w:rPr>
            </w:pPr>
            <w:r w:rsidRPr="00826645">
              <w:rPr>
                <w:color w:val="000000"/>
                <w:sz w:val="22"/>
                <w:szCs w:val="22"/>
              </w:rPr>
              <w:t> </w:t>
            </w:r>
          </w:p>
        </w:tc>
      </w:tr>
      <w:tr w:rsidR="00C82C5A" w:rsidRPr="00826645" w:rsidTr="004D4632">
        <w:trPr>
          <w:trHeight w:val="300"/>
        </w:trPr>
        <w:tc>
          <w:tcPr>
            <w:tcW w:w="5440" w:type="dxa"/>
            <w:tcBorders>
              <w:top w:val="nil"/>
              <w:left w:val="single" w:sz="8" w:space="0" w:color="auto"/>
              <w:bottom w:val="nil"/>
              <w:right w:val="nil"/>
            </w:tcBorders>
            <w:shd w:val="clear" w:color="auto" w:fill="auto"/>
            <w:noWrap/>
            <w:vAlign w:val="center"/>
            <w:hideMark/>
          </w:tcPr>
          <w:p w:rsidR="00C82C5A" w:rsidRPr="00826645" w:rsidRDefault="00C82C5A" w:rsidP="00C82C5A">
            <w:pPr>
              <w:rPr>
                <w:color w:val="000000"/>
                <w:sz w:val="22"/>
              </w:rPr>
            </w:pPr>
            <w:r w:rsidRPr="00826645">
              <w:rPr>
                <w:color w:val="000000"/>
                <w:sz w:val="22"/>
                <w:szCs w:val="22"/>
              </w:rPr>
              <w:t>5/8" x 3/4"</w:t>
            </w:r>
          </w:p>
        </w:tc>
        <w:tc>
          <w:tcPr>
            <w:tcW w:w="2300" w:type="dxa"/>
            <w:tcBorders>
              <w:top w:val="nil"/>
              <w:left w:val="nil"/>
              <w:bottom w:val="nil"/>
              <w:right w:val="nil"/>
            </w:tcBorders>
            <w:shd w:val="clear" w:color="auto" w:fill="auto"/>
            <w:noWrap/>
            <w:vAlign w:val="center"/>
            <w:hideMark/>
          </w:tcPr>
          <w:p w:rsidR="00C82C5A" w:rsidRPr="00826645" w:rsidRDefault="00C82C5A" w:rsidP="00C82C5A">
            <w:pPr>
              <w:jc w:val="right"/>
              <w:rPr>
                <w:color w:val="000000"/>
                <w:sz w:val="22"/>
              </w:rPr>
            </w:pPr>
            <w:r w:rsidRPr="00826645">
              <w:rPr>
                <w:color w:val="000000"/>
                <w:sz w:val="22"/>
                <w:szCs w:val="22"/>
              </w:rPr>
              <w:t xml:space="preserve">$54.77 </w:t>
            </w:r>
          </w:p>
        </w:tc>
        <w:tc>
          <w:tcPr>
            <w:tcW w:w="2380" w:type="dxa"/>
            <w:tcBorders>
              <w:top w:val="nil"/>
              <w:left w:val="nil"/>
              <w:bottom w:val="nil"/>
              <w:right w:val="single" w:sz="8" w:space="0" w:color="auto"/>
            </w:tcBorders>
            <w:shd w:val="clear" w:color="auto" w:fill="auto"/>
            <w:noWrap/>
            <w:vAlign w:val="center"/>
            <w:hideMark/>
          </w:tcPr>
          <w:p w:rsidR="00C82C5A" w:rsidRPr="00826645" w:rsidRDefault="00C82C5A" w:rsidP="00C82C5A">
            <w:pPr>
              <w:jc w:val="right"/>
              <w:rPr>
                <w:color w:val="000000"/>
                <w:sz w:val="22"/>
              </w:rPr>
            </w:pPr>
            <w:r w:rsidRPr="00826645">
              <w:rPr>
                <w:color w:val="000000"/>
                <w:sz w:val="22"/>
                <w:szCs w:val="22"/>
              </w:rPr>
              <w:t xml:space="preserve">$65.29 </w:t>
            </w:r>
          </w:p>
        </w:tc>
      </w:tr>
      <w:tr w:rsidR="00C82C5A" w:rsidRPr="00826645" w:rsidTr="004D4632">
        <w:trPr>
          <w:trHeight w:val="300"/>
        </w:trPr>
        <w:tc>
          <w:tcPr>
            <w:tcW w:w="5440" w:type="dxa"/>
            <w:tcBorders>
              <w:top w:val="nil"/>
              <w:left w:val="single" w:sz="8" w:space="0" w:color="auto"/>
              <w:bottom w:val="nil"/>
              <w:right w:val="nil"/>
            </w:tcBorders>
            <w:shd w:val="clear" w:color="auto" w:fill="auto"/>
            <w:noWrap/>
            <w:vAlign w:val="center"/>
            <w:hideMark/>
          </w:tcPr>
          <w:p w:rsidR="00C82C5A" w:rsidRPr="00826645" w:rsidRDefault="00C82C5A" w:rsidP="00C82C5A">
            <w:pPr>
              <w:rPr>
                <w:color w:val="000000"/>
                <w:sz w:val="22"/>
              </w:rPr>
            </w:pPr>
            <w:r w:rsidRPr="00826645">
              <w:rPr>
                <w:color w:val="000000"/>
                <w:sz w:val="22"/>
                <w:szCs w:val="22"/>
              </w:rPr>
              <w:t>3/4"</w:t>
            </w:r>
          </w:p>
        </w:tc>
        <w:tc>
          <w:tcPr>
            <w:tcW w:w="2300" w:type="dxa"/>
            <w:tcBorders>
              <w:top w:val="nil"/>
              <w:left w:val="nil"/>
              <w:bottom w:val="nil"/>
              <w:right w:val="nil"/>
            </w:tcBorders>
            <w:shd w:val="clear" w:color="auto" w:fill="auto"/>
            <w:noWrap/>
            <w:vAlign w:val="center"/>
            <w:hideMark/>
          </w:tcPr>
          <w:p w:rsidR="00C82C5A" w:rsidRPr="00826645" w:rsidRDefault="00C82C5A" w:rsidP="00C82C5A">
            <w:pPr>
              <w:jc w:val="right"/>
              <w:rPr>
                <w:color w:val="000000"/>
                <w:sz w:val="22"/>
              </w:rPr>
            </w:pPr>
            <w:r w:rsidRPr="00826645">
              <w:rPr>
                <w:color w:val="000000"/>
                <w:sz w:val="22"/>
                <w:szCs w:val="22"/>
              </w:rPr>
              <w:t xml:space="preserve">$82.16 </w:t>
            </w:r>
          </w:p>
        </w:tc>
        <w:tc>
          <w:tcPr>
            <w:tcW w:w="2380" w:type="dxa"/>
            <w:tcBorders>
              <w:top w:val="nil"/>
              <w:left w:val="nil"/>
              <w:bottom w:val="nil"/>
              <w:right w:val="single" w:sz="8" w:space="0" w:color="auto"/>
            </w:tcBorders>
            <w:shd w:val="clear" w:color="auto" w:fill="auto"/>
            <w:noWrap/>
            <w:vAlign w:val="center"/>
            <w:hideMark/>
          </w:tcPr>
          <w:p w:rsidR="00C82C5A" w:rsidRPr="00826645" w:rsidRDefault="00C82C5A" w:rsidP="00C82C5A">
            <w:pPr>
              <w:jc w:val="right"/>
              <w:rPr>
                <w:color w:val="000000"/>
                <w:sz w:val="22"/>
              </w:rPr>
            </w:pPr>
            <w:r w:rsidRPr="00826645">
              <w:rPr>
                <w:color w:val="000000"/>
                <w:sz w:val="22"/>
                <w:szCs w:val="22"/>
              </w:rPr>
              <w:t xml:space="preserve">$97.94 </w:t>
            </w:r>
          </w:p>
        </w:tc>
      </w:tr>
      <w:tr w:rsidR="00C82C5A" w:rsidRPr="00826645" w:rsidTr="004D4632">
        <w:trPr>
          <w:trHeight w:val="300"/>
        </w:trPr>
        <w:tc>
          <w:tcPr>
            <w:tcW w:w="5440" w:type="dxa"/>
            <w:tcBorders>
              <w:top w:val="nil"/>
              <w:left w:val="single" w:sz="8" w:space="0" w:color="auto"/>
              <w:bottom w:val="nil"/>
              <w:right w:val="nil"/>
            </w:tcBorders>
            <w:shd w:val="clear" w:color="auto" w:fill="auto"/>
            <w:noWrap/>
            <w:vAlign w:val="center"/>
            <w:hideMark/>
          </w:tcPr>
          <w:p w:rsidR="00C82C5A" w:rsidRPr="00826645" w:rsidRDefault="00C82C5A" w:rsidP="00C82C5A">
            <w:pPr>
              <w:rPr>
                <w:color w:val="000000"/>
                <w:sz w:val="22"/>
              </w:rPr>
            </w:pPr>
            <w:r w:rsidRPr="00826645">
              <w:rPr>
                <w:color w:val="000000"/>
                <w:sz w:val="22"/>
                <w:szCs w:val="22"/>
              </w:rPr>
              <w:t>1"</w:t>
            </w:r>
          </w:p>
        </w:tc>
        <w:tc>
          <w:tcPr>
            <w:tcW w:w="2300" w:type="dxa"/>
            <w:tcBorders>
              <w:top w:val="nil"/>
              <w:left w:val="nil"/>
              <w:bottom w:val="nil"/>
              <w:right w:val="nil"/>
            </w:tcBorders>
            <w:shd w:val="clear" w:color="auto" w:fill="auto"/>
            <w:noWrap/>
            <w:vAlign w:val="center"/>
            <w:hideMark/>
          </w:tcPr>
          <w:p w:rsidR="00C82C5A" w:rsidRPr="00826645" w:rsidRDefault="00C82C5A" w:rsidP="00C82C5A">
            <w:pPr>
              <w:jc w:val="right"/>
              <w:rPr>
                <w:color w:val="000000"/>
                <w:sz w:val="22"/>
              </w:rPr>
            </w:pPr>
            <w:r w:rsidRPr="00826645">
              <w:rPr>
                <w:color w:val="000000"/>
                <w:sz w:val="22"/>
                <w:szCs w:val="22"/>
              </w:rPr>
              <w:t xml:space="preserve">$136.93 </w:t>
            </w:r>
          </w:p>
        </w:tc>
        <w:tc>
          <w:tcPr>
            <w:tcW w:w="2380" w:type="dxa"/>
            <w:tcBorders>
              <w:top w:val="nil"/>
              <w:left w:val="nil"/>
              <w:bottom w:val="nil"/>
              <w:right w:val="single" w:sz="8" w:space="0" w:color="auto"/>
            </w:tcBorders>
            <w:shd w:val="clear" w:color="auto" w:fill="auto"/>
            <w:noWrap/>
            <w:vAlign w:val="center"/>
            <w:hideMark/>
          </w:tcPr>
          <w:p w:rsidR="00C82C5A" w:rsidRPr="00826645" w:rsidRDefault="00C82C5A" w:rsidP="00C82C5A">
            <w:pPr>
              <w:jc w:val="right"/>
              <w:rPr>
                <w:color w:val="000000"/>
                <w:sz w:val="22"/>
              </w:rPr>
            </w:pPr>
            <w:r w:rsidRPr="00826645">
              <w:rPr>
                <w:color w:val="000000"/>
                <w:sz w:val="22"/>
                <w:szCs w:val="22"/>
              </w:rPr>
              <w:t xml:space="preserve">$163.23 </w:t>
            </w:r>
          </w:p>
        </w:tc>
      </w:tr>
      <w:tr w:rsidR="00C82C5A" w:rsidRPr="00826645" w:rsidTr="004D4632">
        <w:trPr>
          <w:trHeight w:val="315"/>
        </w:trPr>
        <w:tc>
          <w:tcPr>
            <w:tcW w:w="5440" w:type="dxa"/>
            <w:tcBorders>
              <w:top w:val="nil"/>
              <w:left w:val="single" w:sz="8" w:space="0" w:color="auto"/>
              <w:bottom w:val="nil"/>
              <w:right w:val="nil"/>
            </w:tcBorders>
            <w:shd w:val="clear" w:color="auto" w:fill="auto"/>
            <w:noWrap/>
            <w:vAlign w:val="center"/>
            <w:hideMark/>
          </w:tcPr>
          <w:p w:rsidR="00C82C5A" w:rsidRPr="00826645" w:rsidRDefault="00C82C5A" w:rsidP="00C82C5A">
            <w:pPr>
              <w:rPr>
                <w:color w:val="000000"/>
                <w:sz w:val="22"/>
              </w:rPr>
            </w:pPr>
            <w:r w:rsidRPr="00826645">
              <w:rPr>
                <w:color w:val="000000"/>
                <w:sz w:val="22"/>
                <w:szCs w:val="22"/>
              </w:rPr>
              <w:t>1-1/2"</w:t>
            </w:r>
            <w:r w:rsidRPr="00826645">
              <w:rPr>
                <w:color w:val="000000"/>
              </w:rPr>
              <w:t xml:space="preserve"> </w:t>
            </w:r>
            <w:r w:rsidRPr="00826645">
              <w:rPr>
                <w:color w:val="000000"/>
                <w:sz w:val="22"/>
                <w:szCs w:val="22"/>
              </w:rPr>
              <w:t>Turbine</w:t>
            </w:r>
          </w:p>
        </w:tc>
        <w:tc>
          <w:tcPr>
            <w:tcW w:w="2300" w:type="dxa"/>
            <w:tcBorders>
              <w:top w:val="nil"/>
              <w:left w:val="nil"/>
              <w:bottom w:val="nil"/>
              <w:right w:val="nil"/>
            </w:tcBorders>
            <w:shd w:val="clear" w:color="auto" w:fill="auto"/>
            <w:noWrap/>
            <w:vAlign w:val="center"/>
            <w:hideMark/>
          </w:tcPr>
          <w:p w:rsidR="00C82C5A" w:rsidRPr="00826645" w:rsidRDefault="00C82C5A" w:rsidP="00C82C5A">
            <w:pPr>
              <w:jc w:val="right"/>
              <w:rPr>
                <w:color w:val="000000"/>
                <w:sz w:val="22"/>
              </w:rPr>
            </w:pPr>
            <w:r w:rsidRPr="00826645">
              <w:rPr>
                <w:color w:val="000000"/>
                <w:sz w:val="22"/>
                <w:szCs w:val="22"/>
              </w:rPr>
              <w:t xml:space="preserve">$273.85 </w:t>
            </w:r>
          </w:p>
        </w:tc>
        <w:tc>
          <w:tcPr>
            <w:tcW w:w="2380" w:type="dxa"/>
            <w:tcBorders>
              <w:top w:val="nil"/>
              <w:left w:val="nil"/>
              <w:bottom w:val="nil"/>
              <w:right w:val="single" w:sz="8" w:space="0" w:color="auto"/>
            </w:tcBorders>
            <w:shd w:val="clear" w:color="auto" w:fill="auto"/>
            <w:noWrap/>
            <w:vAlign w:val="center"/>
            <w:hideMark/>
          </w:tcPr>
          <w:p w:rsidR="00C82C5A" w:rsidRPr="00826645" w:rsidRDefault="00C82C5A" w:rsidP="00C82C5A">
            <w:pPr>
              <w:jc w:val="right"/>
              <w:rPr>
                <w:color w:val="000000"/>
                <w:sz w:val="22"/>
              </w:rPr>
            </w:pPr>
            <w:r w:rsidRPr="00826645">
              <w:rPr>
                <w:color w:val="000000"/>
                <w:sz w:val="22"/>
                <w:szCs w:val="22"/>
              </w:rPr>
              <w:t xml:space="preserve">$326.45 </w:t>
            </w:r>
          </w:p>
        </w:tc>
      </w:tr>
      <w:tr w:rsidR="00C82C5A" w:rsidRPr="00826645" w:rsidTr="004D4632">
        <w:trPr>
          <w:trHeight w:val="315"/>
        </w:trPr>
        <w:tc>
          <w:tcPr>
            <w:tcW w:w="5440" w:type="dxa"/>
            <w:tcBorders>
              <w:top w:val="nil"/>
              <w:left w:val="single" w:sz="8" w:space="0" w:color="auto"/>
              <w:bottom w:val="nil"/>
              <w:right w:val="nil"/>
            </w:tcBorders>
            <w:shd w:val="clear" w:color="auto" w:fill="auto"/>
            <w:noWrap/>
            <w:vAlign w:val="center"/>
            <w:hideMark/>
          </w:tcPr>
          <w:p w:rsidR="00C82C5A" w:rsidRPr="00826645" w:rsidRDefault="00C82C5A" w:rsidP="00C82C5A">
            <w:pPr>
              <w:rPr>
                <w:color w:val="000000"/>
                <w:sz w:val="22"/>
              </w:rPr>
            </w:pPr>
            <w:r w:rsidRPr="00826645">
              <w:rPr>
                <w:color w:val="000000"/>
                <w:sz w:val="22"/>
                <w:szCs w:val="22"/>
              </w:rPr>
              <w:t>2"</w:t>
            </w:r>
            <w:r w:rsidRPr="00826645">
              <w:rPr>
                <w:color w:val="000000"/>
              </w:rPr>
              <w:t xml:space="preserve"> </w:t>
            </w:r>
            <w:r w:rsidRPr="00826645">
              <w:rPr>
                <w:color w:val="000000"/>
                <w:sz w:val="22"/>
                <w:szCs w:val="22"/>
              </w:rPr>
              <w:t>Turbine</w:t>
            </w:r>
          </w:p>
        </w:tc>
        <w:tc>
          <w:tcPr>
            <w:tcW w:w="2300" w:type="dxa"/>
            <w:tcBorders>
              <w:top w:val="nil"/>
              <w:left w:val="nil"/>
              <w:bottom w:val="nil"/>
              <w:right w:val="nil"/>
            </w:tcBorders>
            <w:shd w:val="clear" w:color="auto" w:fill="auto"/>
            <w:noWrap/>
            <w:vAlign w:val="center"/>
            <w:hideMark/>
          </w:tcPr>
          <w:p w:rsidR="00C82C5A" w:rsidRPr="00826645" w:rsidRDefault="00C82C5A" w:rsidP="00C82C5A">
            <w:pPr>
              <w:jc w:val="right"/>
              <w:rPr>
                <w:color w:val="000000"/>
                <w:sz w:val="22"/>
              </w:rPr>
            </w:pPr>
            <w:r w:rsidRPr="00826645">
              <w:rPr>
                <w:color w:val="000000"/>
                <w:sz w:val="22"/>
                <w:szCs w:val="22"/>
              </w:rPr>
              <w:t xml:space="preserve">$438.16 </w:t>
            </w:r>
          </w:p>
        </w:tc>
        <w:tc>
          <w:tcPr>
            <w:tcW w:w="2380" w:type="dxa"/>
            <w:tcBorders>
              <w:top w:val="nil"/>
              <w:left w:val="nil"/>
              <w:bottom w:val="nil"/>
              <w:right w:val="single" w:sz="8" w:space="0" w:color="auto"/>
            </w:tcBorders>
            <w:shd w:val="clear" w:color="auto" w:fill="auto"/>
            <w:noWrap/>
            <w:vAlign w:val="center"/>
            <w:hideMark/>
          </w:tcPr>
          <w:p w:rsidR="00C82C5A" w:rsidRPr="00826645" w:rsidRDefault="00C82C5A" w:rsidP="00C82C5A">
            <w:pPr>
              <w:jc w:val="right"/>
              <w:rPr>
                <w:color w:val="000000"/>
                <w:sz w:val="22"/>
              </w:rPr>
            </w:pPr>
            <w:r w:rsidRPr="00826645">
              <w:rPr>
                <w:color w:val="000000"/>
                <w:sz w:val="22"/>
                <w:szCs w:val="22"/>
              </w:rPr>
              <w:t xml:space="preserve">$522.32 </w:t>
            </w:r>
          </w:p>
        </w:tc>
      </w:tr>
      <w:tr w:rsidR="00C82C5A" w:rsidRPr="00826645" w:rsidTr="004D4632">
        <w:trPr>
          <w:trHeight w:val="300"/>
        </w:trPr>
        <w:tc>
          <w:tcPr>
            <w:tcW w:w="5440" w:type="dxa"/>
            <w:tcBorders>
              <w:top w:val="nil"/>
              <w:left w:val="single" w:sz="8" w:space="0" w:color="auto"/>
              <w:bottom w:val="nil"/>
              <w:right w:val="nil"/>
            </w:tcBorders>
            <w:shd w:val="clear" w:color="auto" w:fill="auto"/>
            <w:noWrap/>
            <w:vAlign w:val="center"/>
            <w:hideMark/>
          </w:tcPr>
          <w:p w:rsidR="00C82C5A" w:rsidRPr="00826645" w:rsidRDefault="00C82C5A" w:rsidP="00C82C5A">
            <w:pPr>
              <w:rPr>
                <w:color w:val="000000"/>
                <w:sz w:val="22"/>
              </w:rPr>
            </w:pPr>
            <w:r w:rsidRPr="00826645">
              <w:rPr>
                <w:color w:val="000000"/>
                <w:sz w:val="22"/>
                <w:szCs w:val="22"/>
              </w:rPr>
              <w:t>3" Turbine</w:t>
            </w:r>
          </w:p>
        </w:tc>
        <w:tc>
          <w:tcPr>
            <w:tcW w:w="2300" w:type="dxa"/>
            <w:tcBorders>
              <w:top w:val="nil"/>
              <w:left w:val="nil"/>
              <w:bottom w:val="nil"/>
              <w:right w:val="nil"/>
            </w:tcBorders>
            <w:shd w:val="clear" w:color="auto" w:fill="auto"/>
            <w:noWrap/>
            <w:vAlign w:val="center"/>
            <w:hideMark/>
          </w:tcPr>
          <w:p w:rsidR="00C82C5A" w:rsidRPr="00826645" w:rsidRDefault="00C82C5A" w:rsidP="00C82C5A">
            <w:pPr>
              <w:jc w:val="right"/>
              <w:rPr>
                <w:color w:val="000000"/>
                <w:sz w:val="22"/>
              </w:rPr>
            </w:pPr>
            <w:r w:rsidRPr="00826645">
              <w:rPr>
                <w:color w:val="000000"/>
                <w:sz w:val="22"/>
                <w:szCs w:val="22"/>
              </w:rPr>
              <w:t xml:space="preserve">$958.48 </w:t>
            </w:r>
          </w:p>
        </w:tc>
        <w:tc>
          <w:tcPr>
            <w:tcW w:w="2380" w:type="dxa"/>
            <w:tcBorders>
              <w:top w:val="nil"/>
              <w:left w:val="nil"/>
              <w:bottom w:val="nil"/>
              <w:right w:val="single" w:sz="8" w:space="0" w:color="auto"/>
            </w:tcBorders>
            <w:shd w:val="clear" w:color="auto" w:fill="auto"/>
            <w:noWrap/>
            <w:vAlign w:val="center"/>
            <w:hideMark/>
          </w:tcPr>
          <w:p w:rsidR="00C82C5A" w:rsidRPr="00826645" w:rsidRDefault="00C82C5A" w:rsidP="00C82C5A">
            <w:pPr>
              <w:jc w:val="right"/>
              <w:rPr>
                <w:color w:val="000000"/>
                <w:sz w:val="22"/>
              </w:rPr>
            </w:pPr>
            <w:r w:rsidRPr="00826645">
              <w:rPr>
                <w:color w:val="000000"/>
                <w:sz w:val="22"/>
                <w:szCs w:val="22"/>
              </w:rPr>
              <w:t xml:space="preserve">$1,142.58 </w:t>
            </w:r>
          </w:p>
        </w:tc>
      </w:tr>
      <w:tr w:rsidR="00C82C5A" w:rsidRPr="00826645" w:rsidTr="004D4632">
        <w:trPr>
          <w:trHeight w:val="300"/>
        </w:trPr>
        <w:tc>
          <w:tcPr>
            <w:tcW w:w="5440" w:type="dxa"/>
            <w:tcBorders>
              <w:top w:val="nil"/>
              <w:left w:val="single" w:sz="8" w:space="0" w:color="auto"/>
              <w:bottom w:val="nil"/>
              <w:right w:val="nil"/>
            </w:tcBorders>
            <w:shd w:val="clear" w:color="auto" w:fill="auto"/>
            <w:noWrap/>
            <w:vAlign w:val="center"/>
            <w:hideMark/>
          </w:tcPr>
          <w:p w:rsidR="00C82C5A" w:rsidRPr="00826645" w:rsidRDefault="00C82C5A" w:rsidP="00C82C5A">
            <w:pPr>
              <w:rPr>
                <w:color w:val="000000"/>
                <w:sz w:val="22"/>
              </w:rPr>
            </w:pPr>
            <w:r w:rsidRPr="00826645">
              <w:rPr>
                <w:color w:val="000000"/>
                <w:sz w:val="22"/>
                <w:szCs w:val="22"/>
              </w:rPr>
              <w:t> </w:t>
            </w:r>
          </w:p>
        </w:tc>
        <w:tc>
          <w:tcPr>
            <w:tcW w:w="2300" w:type="dxa"/>
            <w:tcBorders>
              <w:top w:val="nil"/>
              <w:left w:val="nil"/>
              <w:bottom w:val="nil"/>
              <w:right w:val="nil"/>
            </w:tcBorders>
            <w:shd w:val="clear" w:color="auto" w:fill="auto"/>
            <w:noWrap/>
            <w:vAlign w:val="center"/>
            <w:hideMark/>
          </w:tcPr>
          <w:p w:rsidR="00C82C5A" w:rsidRPr="00826645" w:rsidRDefault="00C82C5A" w:rsidP="00C82C5A">
            <w:pPr>
              <w:rPr>
                <w:color w:val="000000"/>
                <w:sz w:val="22"/>
              </w:rPr>
            </w:pPr>
          </w:p>
        </w:tc>
        <w:tc>
          <w:tcPr>
            <w:tcW w:w="2380" w:type="dxa"/>
            <w:tcBorders>
              <w:top w:val="nil"/>
              <w:left w:val="nil"/>
              <w:bottom w:val="nil"/>
              <w:right w:val="single" w:sz="8" w:space="0" w:color="auto"/>
            </w:tcBorders>
            <w:shd w:val="clear" w:color="auto" w:fill="auto"/>
            <w:noWrap/>
            <w:vAlign w:val="center"/>
            <w:hideMark/>
          </w:tcPr>
          <w:p w:rsidR="00C82C5A" w:rsidRPr="00826645" w:rsidRDefault="00C82C5A" w:rsidP="00C82C5A">
            <w:pPr>
              <w:jc w:val="right"/>
              <w:rPr>
                <w:color w:val="000000"/>
                <w:sz w:val="22"/>
              </w:rPr>
            </w:pPr>
            <w:r w:rsidRPr="00826645">
              <w:rPr>
                <w:color w:val="000000"/>
                <w:sz w:val="22"/>
                <w:szCs w:val="22"/>
              </w:rPr>
              <w:t> </w:t>
            </w:r>
          </w:p>
        </w:tc>
      </w:tr>
      <w:tr w:rsidR="00C82C5A" w:rsidRPr="00826645" w:rsidTr="004D4632">
        <w:trPr>
          <w:trHeight w:val="300"/>
        </w:trPr>
        <w:tc>
          <w:tcPr>
            <w:tcW w:w="5440" w:type="dxa"/>
            <w:tcBorders>
              <w:top w:val="nil"/>
              <w:left w:val="single" w:sz="8" w:space="0" w:color="auto"/>
              <w:bottom w:val="nil"/>
              <w:right w:val="nil"/>
            </w:tcBorders>
            <w:shd w:val="clear" w:color="auto" w:fill="auto"/>
            <w:noWrap/>
            <w:vAlign w:val="center"/>
            <w:hideMark/>
          </w:tcPr>
          <w:p w:rsidR="00C82C5A" w:rsidRPr="00826645" w:rsidRDefault="00C82C5A" w:rsidP="00C82C5A">
            <w:pPr>
              <w:rPr>
                <w:color w:val="000000"/>
                <w:sz w:val="22"/>
              </w:rPr>
            </w:pPr>
            <w:r w:rsidRPr="00826645">
              <w:rPr>
                <w:color w:val="000000"/>
                <w:sz w:val="22"/>
                <w:szCs w:val="22"/>
              </w:rPr>
              <w:t>Charge per 1,000 gallons - Residential Service</w:t>
            </w:r>
          </w:p>
        </w:tc>
        <w:tc>
          <w:tcPr>
            <w:tcW w:w="2300" w:type="dxa"/>
            <w:tcBorders>
              <w:top w:val="nil"/>
              <w:left w:val="nil"/>
              <w:bottom w:val="nil"/>
              <w:right w:val="nil"/>
            </w:tcBorders>
            <w:shd w:val="clear" w:color="auto" w:fill="auto"/>
            <w:noWrap/>
            <w:vAlign w:val="center"/>
            <w:hideMark/>
          </w:tcPr>
          <w:p w:rsidR="00C82C5A" w:rsidRPr="00826645" w:rsidRDefault="00C82C5A" w:rsidP="00C82C5A">
            <w:pPr>
              <w:rPr>
                <w:color w:val="000000"/>
                <w:sz w:val="22"/>
              </w:rPr>
            </w:pPr>
          </w:p>
        </w:tc>
        <w:tc>
          <w:tcPr>
            <w:tcW w:w="2380" w:type="dxa"/>
            <w:tcBorders>
              <w:top w:val="nil"/>
              <w:left w:val="nil"/>
              <w:bottom w:val="nil"/>
              <w:right w:val="single" w:sz="8" w:space="0" w:color="auto"/>
            </w:tcBorders>
            <w:shd w:val="clear" w:color="auto" w:fill="auto"/>
            <w:noWrap/>
            <w:vAlign w:val="center"/>
            <w:hideMark/>
          </w:tcPr>
          <w:p w:rsidR="00C82C5A" w:rsidRPr="00826645" w:rsidRDefault="00C82C5A" w:rsidP="00C82C5A">
            <w:pPr>
              <w:jc w:val="right"/>
              <w:rPr>
                <w:color w:val="000000"/>
                <w:sz w:val="22"/>
              </w:rPr>
            </w:pPr>
            <w:r w:rsidRPr="00826645">
              <w:rPr>
                <w:color w:val="000000"/>
                <w:sz w:val="22"/>
                <w:szCs w:val="22"/>
              </w:rPr>
              <w:t> </w:t>
            </w:r>
          </w:p>
        </w:tc>
      </w:tr>
      <w:tr w:rsidR="00C82C5A" w:rsidRPr="00826645" w:rsidTr="004D4632">
        <w:trPr>
          <w:trHeight w:val="300"/>
        </w:trPr>
        <w:tc>
          <w:tcPr>
            <w:tcW w:w="5440" w:type="dxa"/>
            <w:tcBorders>
              <w:top w:val="nil"/>
              <w:left w:val="single" w:sz="8" w:space="0" w:color="auto"/>
              <w:bottom w:val="nil"/>
              <w:right w:val="nil"/>
            </w:tcBorders>
            <w:shd w:val="clear" w:color="auto" w:fill="auto"/>
            <w:noWrap/>
            <w:vAlign w:val="center"/>
            <w:hideMark/>
          </w:tcPr>
          <w:p w:rsidR="00C82C5A" w:rsidRPr="00826645" w:rsidRDefault="00C82C5A" w:rsidP="00C82C5A">
            <w:pPr>
              <w:rPr>
                <w:color w:val="000000"/>
                <w:sz w:val="22"/>
              </w:rPr>
            </w:pPr>
            <w:r w:rsidRPr="00826645">
              <w:rPr>
                <w:color w:val="000000"/>
                <w:sz w:val="22"/>
                <w:szCs w:val="22"/>
              </w:rPr>
              <w:t>0- 7,000 gallons</w:t>
            </w:r>
          </w:p>
        </w:tc>
        <w:tc>
          <w:tcPr>
            <w:tcW w:w="2300" w:type="dxa"/>
            <w:tcBorders>
              <w:top w:val="nil"/>
              <w:left w:val="nil"/>
              <w:bottom w:val="nil"/>
              <w:right w:val="nil"/>
            </w:tcBorders>
            <w:shd w:val="clear" w:color="auto" w:fill="auto"/>
            <w:noWrap/>
            <w:vAlign w:val="center"/>
            <w:hideMark/>
          </w:tcPr>
          <w:p w:rsidR="00C82C5A" w:rsidRPr="00826645" w:rsidRDefault="00C82C5A" w:rsidP="00C82C5A">
            <w:pPr>
              <w:jc w:val="right"/>
              <w:rPr>
                <w:color w:val="000000"/>
                <w:sz w:val="22"/>
              </w:rPr>
            </w:pPr>
            <w:r w:rsidRPr="00826645">
              <w:rPr>
                <w:color w:val="000000"/>
                <w:sz w:val="22"/>
                <w:szCs w:val="22"/>
              </w:rPr>
              <w:t xml:space="preserve">$10.38 </w:t>
            </w:r>
          </w:p>
        </w:tc>
        <w:tc>
          <w:tcPr>
            <w:tcW w:w="2380" w:type="dxa"/>
            <w:tcBorders>
              <w:top w:val="nil"/>
              <w:left w:val="nil"/>
              <w:bottom w:val="nil"/>
              <w:right w:val="single" w:sz="8" w:space="0" w:color="auto"/>
            </w:tcBorders>
            <w:shd w:val="clear" w:color="auto" w:fill="auto"/>
            <w:noWrap/>
            <w:vAlign w:val="center"/>
            <w:hideMark/>
          </w:tcPr>
          <w:p w:rsidR="00C82C5A" w:rsidRPr="00826645" w:rsidRDefault="00C82C5A" w:rsidP="00C82C5A">
            <w:pPr>
              <w:jc w:val="right"/>
              <w:rPr>
                <w:color w:val="000000"/>
                <w:sz w:val="22"/>
              </w:rPr>
            </w:pPr>
            <w:r w:rsidRPr="00826645">
              <w:rPr>
                <w:color w:val="000000"/>
                <w:sz w:val="22"/>
                <w:szCs w:val="22"/>
              </w:rPr>
              <w:t xml:space="preserve">$12.43 </w:t>
            </w:r>
          </w:p>
        </w:tc>
      </w:tr>
      <w:tr w:rsidR="00C82C5A" w:rsidRPr="00826645" w:rsidTr="004D4632">
        <w:trPr>
          <w:trHeight w:val="300"/>
        </w:trPr>
        <w:tc>
          <w:tcPr>
            <w:tcW w:w="5440" w:type="dxa"/>
            <w:tcBorders>
              <w:top w:val="nil"/>
              <w:left w:val="single" w:sz="8" w:space="0" w:color="auto"/>
              <w:bottom w:val="nil"/>
              <w:right w:val="nil"/>
            </w:tcBorders>
            <w:shd w:val="clear" w:color="auto" w:fill="auto"/>
            <w:noWrap/>
            <w:vAlign w:val="center"/>
            <w:hideMark/>
          </w:tcPr>
          <w:p w:rsidR="00C82C5A" w:rsidRPr="00826645" w:rsidRDefault="00C82C5A" w:rsidP="00C82C5A">
            <w:pPr>
              <w:rPr>
                <w:color w:val="000000"/>
                <w:sz w:val="22"/>
              </w:rPr>
            </w:pPr>
            <w:r w:rsidRPr="00826645">
              <w:rPr>
                <w:color w:val="000000"/>
                <w:sz w:val="22"/>
                <w:szCs w:val="22"/>
              </w:rPr>
              <w:t>Over 7,000 gallons</w:t>
            </w:r>
          </w:p>
        </w:tc>
        <w:tc>
          <w:tcPr>
            <w:tcW w:w="2300" w:type="dxa"/>
            <w:tcBorders>
              <w:top w:val="nil"/>
              <w:left w:val="nil"/>
              <w:bottom w:val="nil"/>
              <w:right w:val="nil"/>
            </w:tcBorders>
            <w:shd w:val="clear" w:color="auto" w:fill="auto"/>
            <w:noWrap/>
            <w:vAlign w:val="center"/>
            <w:hideMark/>
          </w:tcPr>
          <w:p w:rsidR="00C82C5A" w:rsidRPr="00826645" w:rsidRDefault="00C82C5A" w:rsidP="00C82C5A">
            <w:pPr>
              <w:jc w:val="right"/>
              <w:rPr>
                <w:color w:val="000000"/>
                <w:sz w:val="22"/>
              </w:rPr>
            </w:pPr>
            <w:r w:rsidRPr="00826645">
              <w:rPr>
                <w:color w:val="000000"/>
                <w:sz w:val="22"/>
                <w:szCs w:val="22"/>
              </w:rPr>
              <w:t xml:space="preserve">$12.98 </w:t>
            </w:r>
          </w:p>
        </w:tc>
        <w:tc>
          <w:tcPr>
            <w:tcW w:w="2380" w:type="dxa"/>
            <w:tcBorders>
              <w:top w:val="nil"/>
              <w:left w:val="nil"/>
              <w:bottom w:val="nil"/>
              <w:right w:val="single" w:sz="8" w:space="0" w:color="auto"/>
            </w:tcBorders>
            <w:shd w:val="clear" w:color="auto" w:fill="auto"/>
            <w:noWrap/>
            <w:vAlign w:val="center"/>
            <w:hideMark/>
          </w:tcPr>
          <w:p w:rsidR="00C82C5A" w:rsidRPr="00826645" w:rsidRDefault="00C82C5A" w:rsidP="00C82C5A">
            <w:pPr>
              <w:jc w:val="right"/>
              <w:rPr>
                <w:color w:val="000000"/>
                <w:sz w:val="22"/>
              </w:rPr>
            </w:pPr>
            <w:r w:rsidRPr="00826645">
              <w:rPr>
                <w:color w:val="000000"/>
                <w:sz w:val="22"/>
                <w:szCs w:val="22"/>
              </w:rPr>
              <w:t xml:space="preserve">$15.54 </w:t>
            </w:r>
          </w:p>
        </w:tc>
      </w:tr>
      <w:tr w:rsidR="00C82C5A" w:rsidRPr="00826645" w:rsidTr="004D4632">
        <w:trPr>
          <w:trHeight w:val="300"/>
        </w:trPr>
        <w:tc>
          <w:tcPr>
            <w:tcW w:w="5440" w:type="dxa"/>
            <w:tcBorders>
              <w:top w:val="nil"/>
              <w:left w:val="single" w:sz="8" w:space="0" w:color="auto"/>
              <w:bottom w:val="nil"/>
              <w:right w:val="nil"/>
            </w:tcBorders>
            <w:shd w:val="clear" w:color="auto" w:fill="auto"/>
            <w:noWrap/>
            <w:vAlign w:val="center"/>
            <w:hideMark/>
          </w:tcPr>
          <w:p w:rsidR="00C82C5A" w:rsidRPr="00826645" w:rsidRDefault="00C82C5A" w:rsidP="00C82C5A">
            <w:pPr>
              <w:rPr>
                <w:color w:val="000000"/>
                <w:sz w:val="22"/>
              </w:rPr>
            </w:pPr>
            <w:r w:rsidRPr="00826645">
              <w:rPr>
                <w:color w:val="000000"/>
                <w:sz w:val="22"/>
                <w:szCs w:val="22"/>
              </w:rPr>
              <w:t> </w:t>
            </w:r>
          </w:p>
        </w:tc>
        <w:tc>
          <w:tcPr>
            <w:tcW w:w="2300" w:type="dxa"/>
            <w:tcBorders>
              <w:top w:val="nil"/>
              <w:left w:val="nil"/>
              <w:bottom w:val="nil"/>
              <w:right w:val="nil"/>
            </w:tcBorders>
            <w:shd w:val="clear" w:color="auto" w:fill="auto"/>
            <w:noWrap/>
            <w:vAlign w:val="center"/>
            <w:hideMark/>
          </w:tcPr>
          <w:p w:rsidR="00C82C5A" w:rsidRPr="00826645" w:rsidRDefault="00C82C5A" w:rsidP="00C82C5A">
            <w:pPr>
              <w:rPr>
                <w:color w:val="000000"/>
                <w:sz w:val="22"/>
              </w:rPr>
            </w:pPr>
          </w:p>
        </w:tc>
        <w:tc>
          <w:tcPr>
            <w:tcW w:w="2380" w:type="dxa"/>
            <w:tcBorders>
              <w:top w:val="nil"/>
              <w:left w:val="nil"/>
              <w:bottom w:val="nil"/>
              <w:right w:val="single" w:sz="8" w:space="0" w:color="auto"/>
            </w:tcBorders>
            <w:shd w:val="clear" w:color="auto" w:fill="auto"/>
            <w:noWrap/>
            <w:vAlign w:val="center"/>
            <w:hideMark/>
          </w:tcPr>
          <w:p w:rsidR="00C82C5A" w:rsidRPr="00826645" w:rsidRDefault="00C82C5A" w:rsidP="00C82C5A">
            <w:pPr>
              <w:jc w:val="right"/>
              <w:rPr>
                <w:color w:val="000000"/>
                <w:sz w:val="22"/>
              </w:rPr>
            </w:pPr>
            <w:r w:rsidRPr="00826645">
              <w:rPr>
                <w:color w:val="000000"/>
                <w:sz w:val="22"/>
                <w:szCs w:val="22"/>
              </w:rPr>
              <w:t> </w:t>
            </w:r>
          </w:p>
        </w:tc>
      </w:tr>
      <w:tr w:rsidR="00C82C5A" w:rsidRPr="00826645" w:rsidTr="004D4632">
        <w:trPr>
          <w:trHeight w:val="300"/>
        </w:trPr>
        <w:tc>
          <w:tcPr>
            <w:tcW w:w="5440" w:type="dxa"/>
            <w:tcBorders>
              <w:top w:val="nil"/>
              <w:left w:val="single" w:sz="8" w:space="0" w:color="auto"/>
              <w:bottom w:val="nil"/>
              <w:right w:val="nil"/>
            </w:tcBorders>
            <w:shd w:val="clear" w:color="auto" w:fill="auto"/>
            <w:noWrap/>
            <w:vAlign w:val="center"/>
            <w:hideMark/>
          </w:tcPr>
          <w:p w:rsidR="00C82C5A" w:rsidRPr="00826645" w:rsidRDefault="00C82C5A" w:rsidP="00C82C5A">
            <w:pPr>
              <w:rPr>
                <w:color w:val="000000"/>
                <w:sz w:val="22"/>
              </w:rPr>
            </w:pPr>
            <w:r w:rsidRPr="00826645">
              <w:rPr>
                <w:color w:val="000000"/>
                <w:sz w:val="22"/>
                <w:szCs w:val="22"/>
              </w:rPr>
              <w:t>Charge per 1,000 gallons - General Service</w:t>
            </w:r>
          </w:p>
        </w:tc>
        <w:tc>
          <w:tcPr>
            <w:tcW w:w="2300" w:type="dxa"/>
            <w:tcBorders>
              <w:top w:val="nil"/>
              <w:left w:val="nil"/>
              <w:bottom w:val="nil"/>
              <w:right w:val="nil"/>
            </w:tcBorders>
            <w:shd w:val="clear" w:color="auto" w:fill="auto"/>
            <w:noWrap/>
            <w:vAlign w:val="center"/>
            <w:hideMark/>
          </w:tcPr>
          <w:p w:rsidR="00C82C5A" w:rsidRPr="00826645" w:rsidRDefault="00C82C5A" w:rsidP="00C82C5A">
            <w:pPr>
              <w:jc w:val="right"/>
              <w:rPr>
                <w:color w:val="000000"/>
                <w:sz w:val="22"/>
              </w:rPr>
            </w:pPr>
            <w:r w:rsidRPr="00826645">
              <w:rPr>
                <w:color w:val="000000"/>
                <w:sz w:val="22"/>
                <w:szCs w:val="22"/>
              </w:rPr>
              <w:t xml:space="preserve">$10.80 </w:t>
            </w:r>
          </w:p>
        </w:tc>
        <w:tc>
          <w:tcPr>
            <w:tcW w:w="2380" w:type="dxa"/>
            <w:tcBorders>
              <w:top w:val="nil"/>
              <w:left w:val="nil"/>
              <w:bottom w:val="nil"/>
              <w:right w:val="single" w:sz="8" w:space="0" w:color="auto"/>
            </w:tcBorders>
            <w:shd w:val="clear" w:color="auto" w:fill="auto"/>
            <w:noWrap/>
            <w:vAlign w:val="center"/>
            <w:hideMark/>
          </w:tcPr>
          <w:p w:rsidR="00C82C5A" w:rsidRPr="00826645" w:rsidRDefault="00C82C5A" w:rsidP="00C82C5A">
            <w:pPr>
              <w:jc w:val="right"/>
              <w:rPr>
                <w:color w:val="000000"/>
                <w:sz w:val="22"/>
              </w:rPr>
            </w:pPr>
            <w:r w:rsidRPr="00826645">
              <w:rPr>
                <w:color w:val="000000"/>
                <w:sz w:val="22"/>
                <w:szCs w:val="22"/>
              </w:rPr>
              <w:t xml:space="preserve">$12.93 </w:t>
            </w:r>
          </w:p>
        </w:tc>
      </w:tr>
      <w:tr w:rsidR="00C82C5A" w:rsidRPr="00826645" w:rsidTr="004D4632">
        <w:trPr>
          <w:trHeight w:val="300"/>
        </w:trPr>
        <w:tc>
          <w:tcPr>
            <w:tcW w:w="5440" w:type="dxa"/>
            <w:tcBorders>
              <w:top w:val="nil"/>
              <w:left w:val="single" w:sz="8" w:space="0" w:color="auto"/>
              <w:bottom w:val="nil"/>
              <w:right w:val="nil"/>
            </w:tcBorders>
            <w:shd w:val="clear" w:color="auto" w:fill="auto"/>
            <w:noWrap/>
            <w:vAlign w:val="center"/>
            <w:hideMark/>
          </w:tcPr>
          <w:p w:rsidR="00C82C5A" w:rsidRPr="00826645" w:rsidRDefault="00C82C5A" w:rsidP="00C82C5A">
            <w:pPr>
              <w:rPr>
                <w:color w:val="000000"/>
                <w:sz w:val="22"/>
              </w:rPr>
            </w:pPr>
            <w:r w:rsidRPr="00826645">
              <w:rPr>
                <w:color w:val="000000"/>
                <w:sz w:val="22"/>
                <w:szCs w:val="22"/>
              </w:rPr>
              <w:t> </w:t>
            </w:r>
          </w:p>
        </w:tc>
        <w:tc>
          <w:tcPr>
            <w:tcW w:w="2300" w:type="dxa"/>
            <w:tcBorders>
              <w:top w:val="nil"/>
              <w:left w:val="nil"/>
              <w:bottom w:val="nil"/>
              <w:right w:val="nil"/>
            </w:tcBorders>
            <w:shd w:val="clear" w:color="auto" w:fill="auto"/>
            <w:noWrap/>
            <w:vAlign w:val="center"/>
            <w:hideMark/>
          </w:tcPr>
          <w:p w:rsidR="00C82C5A" w:rsidRPr="00826645" w:rsidRDefault="00C82C5A" w:rsidP="00C82C5A">
            <w:pPr>
              <w:rPr>
                <w:color w:val="000000"/>
                <w:sz w:val="22"/>
              </w:rPr>
            </w:pPr>
          </w:p>
        </w:tc>
        <w:tc>
          <w:tcPr>
            <w:tcW w:w="2380" w:type="dxa"/>
            <w:tcBorders>
              <w:top w:val="nil"/>
              <w:left w:val="nil"/>
              <w:bottom w:val="nil"/>
              <w:right w:val="single" w:sz="8" w:space="0" w:color="auto"/>
            </w:tcBorders>
            <w:shd w:val="clear" w:color="auto" w:fill="auto"/>
            <w:noWrap/>
            <w:vAlign w:val="center"/>
            <w:hideMark/>
          </w:tcPr>
          <w:p w:rsidR="00C82C5A" w:rsidRPr="00826645" w:rsidRDefault="00C82C5A" w:rsidP="00C82C5A">
            <w:pPr>
              <w:jc w:val="right"/>
              <w:rPr>
                <w:color w:val="000000"/>
                <w:sz w:val="22"/>
              </w:rPr>
            </w:pPr>
            <w:r w:rsidRPr="00826645">
              <w:rPr>
                <w:color w:val="000000"/>
                <w:sz w:val="22"/>
                <w:szCs w:val="22"/>
              </w:rPr>
              <w:t> </w:t>
            </w:r>
          </w:p>
        </w:tc>
      </w:tr>
      <w:tr w:rsidR="00C82C5A" w:rsidRPr="00826645" w:rsidTr="004D4632">
        <w:trPr>
          <w:trHeight w:val="300"/>
        </w:trPr>
        <w:tc>
          <w:tcPr>
            <w:tcW w:w="7740" w:type="dxa"/>
            <w:gridSpan w:val="2"/>
            <w:tcBorders>
              <w:top w:val="nil"/>
              <w:left w:val="single" w:sz="8" w:space="0" w:color="auto"/>
              <w:bottom w:val="nil"/>
              <w:right w:val="nil"/>
            </w:tcBorders>
            <w:shd w:val="clear" w:color="auto" w:fill="auto"/>
            <w:noWrap/>
            <w:vAlign w:val="center"/>
            <w:hideMark/>
          </w:tcPr>
          <w:p w:rsidR="00C82C5A" w:rsidRPr="00826645" w:rsidRDefault="00C82C5A" w:rsidP="00C82C5A">
            <w:pPr>
              <w:rPr>
                <w:b/>
                <w:bCs/>
                <w:color w:val="000000"/>
                <w:sz w:val="22"/>
                <w:u w:val="single"/>
              </w:rPr>
            </w:pPr>
            <w:r w:rsidRPr="00826645">
              <w:rPr>
                <w:b/>
                <w:bCs/>
                <w:color w:val="000000"/>
                <w:sz w:val="22"/>
                <w:szCs w:val="22"/>
                <w:u w:val="single"/>
              </w:rPr>
              <w:t>Typical Residential 5/8" x 3/4" Meter Bill Comparison</w:t>
            </w:r>
          </w:p>
        </w:tc>
        <w:tc>
          <w:tcPr>
            <w:tcW w:w="2380" w:type="dxa"/>
            <w:tcBorders>
              <w:top w:val="nil"/>
              <w:left w:val="nil"/>
              <w:bottom w:val="nil"/>
              <w:right w:val="single" w:sz="8" w:space="0" w:color="auto"/>
            </w:tcBorders>
            <w:shd w:val="clear" w:color="auto" w:fill="auto"/>
            <w:noWrap/>
            <w:vAlign w:val="center"/>
            <w:hideMark/>
          </w:tcPr>
          <w:p w:rsidR="00C82C5A" w:rsidRPr="00826645" w:rsidRDefault="00C82C5A" w:rsidP="00C82C5A">
            <w:pPr>
              <w:jc w:val="right"/>
              <w:rPr>
                <w:color w:val="000000"/>
                <w:sz w:val="22"/>
              </w:rPr>
            </w:pPr>
            <w:r w:rsidRPr="00826645">
              <w:rPr>
                <w:color w:val="000000"/>
                <w:sz w:val="22"/>
                <w:szCs w:val="22"/>
              </w:rPr>
              <w:t> </w:t>
            </w:r>
          </w:p>
        </w:tc>
      </w:tr>
      <w:tr w:rsidR="00C82C5A" w:rsidRPr="00826645" w:rsidTr="004D4632">
        <w:trPr>
          <w:trHeight w:val="300"/>
        </w:trPr>
        <w:tc>
          <w:tcPr>
            <w:tcW w:w="5440" w:type="dxa"/>
            <w:tcBorders>
              <w:top w:val="nil"/>
              <w:left w:val="single" w:sz="8" w:space="0" w:color="auto"/>
              <w:bottom w:val="nil"/>
              <w:right w:val="nil"/>
            </w:tcBorders>
            <w:shd w:val="clear" w:color="auto" w:fill="auto"/>
            <w:noWrap/>
            <w:vAlign w:val="center"/>
            <w:hideMark/>
          </w:tcPr>
          <w:p w:rsidR="00C82C5A" w:rsidRPr="00826645" w:rsidRDefault="00C82C5A" w:rsidP="00C82C5A">
            <w:pPr>
              <w:rPr>
                <w:color w:val="000000"/>
                <w:sz w:val="22"/>
              </w:rPr>
            </w:pPr>
            <w:r w:rsidRPr="00826645">
              <w:rPr>
                <w:color w:val="000000"/>
                <w:sz w:val="22"/>
                <w:szCs w:val="22"/>
              </w:rPr>
              <w:t>3,000 Gallons</w:t>
            </w:r>
          </w:p>
        </w:tc>
        <w:tc>
          <w:tcPr>
            <w:tcW w:w="2300" w:type="dxa"/>
            <w:tcBorders>
              <w:top w:val="nil"/>
              <w:left w:val="nil"/>
              <w:bottom w:val="nil"/>
              <w:right w:val="nil"/>
            </w:tcBorders>
            <w:shd w:val="clear" w:color="auto" w:fill="auto"/>
            <w:noWrap/>
            <w:vAlign w:val="center"/>
            <w:hideMark/>
          </w:tcPr>
          <w:p w:rsidR="00C82C5A" w:rsidRPr="00826645" w:rsidRDefault="00C82C5A" w:rsidP="00C82C5A">
            <w:pPr>
              <w:jc w:val="right"/>
              <w:rPr>
                <w:color w:val="000000"/>
                <w:sz w:val="22"/>
              </w:rPr>
            </w:pPr>
            <w:r w:rsidRPr="00826645">
              <w:rPr>
                <w:color w:val="000000"/>
                <w:sz w:val="22"/>
                <w:szCs w:val="22"/>
              </w:rPr>
              <w:t xml:space="preserve">$85.91 </w:t>
            </w:r>
          </w:p>
        </w:tc>
        <w:tc>
          <w:tcPr>
            <w:tcW w:w="2380" w:type="dxa"/>
            <w:tcBorders>
              <w:top w:val="nil"/>
              <w:left w:val="nil"/>
              <w:bottom w:val="nil"/>
              <w:right w:val="single" w:sz="8" w:space="0" w:color="auto"/>
            </w:tcBorders>
            <w:shd w:val="clear" w:color="auto" w:fill="auto"/>
            <w:noWrap/>
            <w:vAlign w:val="center"/>
            <w:hideMark/>
          </w:tcPr>
          <w:p w:rsidR="00C82C5A" w:rsidRPr="00826645" w:rsidRDefault="00C82C5A" w:rsidP="00C82C5A">
            <w:pPr>
              <w:jc w:val="right"/>
              <w:rPr>
                <w:color w:val="000000"/>
                <w:sz w:val="22"/>
              </w:rPr>
            </w:pPr>
            <w:r w:rsidRPr="00826645">
              <w:rPr>
                <w:color w:val="000000"/>
                <w:sz w:val="22"/>
                <w:szCs w:val="22"/>
              </w:rPr>
              <w:t xml:space="preserve">$102.58 </w:t>
            </w:r>
          </w:p>
        </w:tc>
      </w:tr>
      <w:tr w:rsidR="00C82C5A" w:rsidRPr="00826645" w:rsidTr="004D4632">
        <w:trPr>
          <w:trHeight w:val="300"/>
        </w:trPr>
        <w:tc>
          <w:tcPr>
            <w:tcW w:w="5440" w:type="dxa"/>
            <w:tcBorders>
              <w:top w:val="nil"/>
              <w:left w:val="single" w:sz="8" w:space="0" w:color="auto"/>
              <w:bottom w:val="nil"/>
              <w:right w:val="nil"/>
            </w:tcBorders>
            <w:shd w:val="clear" w:color="auto" w:fill="auto"/>
            <w:noWrap/>
            <w:vAlign w:val="center"/>
            <w:hideMark/>
          </w:tcPr>
          <w:p w:rsidR="00C82C5A" w:rsidRPr="00826645" w:rsidRDefault="00C82C5A" w:rsidP="00C82C5A">
            <w:pPr>
              <w:rPr>
                <w:color w:val="000000"/>
                <w:sz w:val="22"/>
              </w:rPr>
            </w:pPr>
            <w:r w:rsidRPr="00826645">
              <w:rPr>
                <w:color w:val="000000"/>
                <w:sz w:val="22"/>
                <w:szCs w:val="22"/>
              </w:rPr>
              <w:t>6,000 Gallons</w:t>
            </w:r>
          </w:p>
        </w:tc>
        <w:tc>
          <w:tcPr>
            <w:tcW w:w="2300" w:type="dxa"/>
            <w:tcBorders>
              <w:top w:val="nil"/>
              <w:left w:val="nil"/>
              <w:bottom w:val="nil"/>
              <w:right w:val="nil"/>
            </w:tcBorders>
            <w:shd w:val="clear" w:color="auto" w:fill="auto"/>
            <w:noWrap/>
            <w:vAlign w:val="center"/>
            <w:hideMark/>
          </w:tcPr>
          <w:p w:rsidR="00C82C5A" w:rsidRPr="00826645" w:rsidRDefault="00C82C5A" w:rsidP="00C82C5A">
            <w:pPr>
              <w:jc w:val="right"/>
              <w:rPr>
                <w:color w:val="000000"/>
                <w:sz w:val="22"/>
              </w:rPr>
            </w:pPr>
            <w:r w:rsidRPr="00826645">
              <w:rPr>
                <w:color w:val="000000"/>
                <w:sz w:val="22"/>
                <w:szCs w:val="22"/>
              </w:rPr>
              <w:t xml:space="preserve">$117.05 </w:t>
            </w:r>
          </w:p>
        </w:tc>
        <w:tc>
          <w:tcPr>
            <w:tcW w:w="2380" w:type="dxa"/>
            <w:tcBorders>
              <w:top w:val="nil"/>
              <w:left w:val="nil"/>
              <w:bottom w:val="nil"/>
              <w:right w:val="single" w:sz="8" w:space="0" w:color="auto"/>
            </w:tcBorders>
            <w:shd w:val="clear" w:color="auto" w:fill="auto"/>
            <w:noWrap/>
            <w:vAlign w:val="center"/>
            <w:hideMark/>
          </w:tcPr>
          <w:p w:rsidR="00C82C5A" w:rsidRPr="00826645" w:rsidRDefault="00C82C5A" w:rsidP="00C82C5A">
            <w:pPr>
              <w:jc w:val="right"/>
              <w:rPr>
                <w:color w:val="000000"/>
                <w:sz w:val="22"/>
              </w:rPr>
            </w:pPr>
            <w:r w:rsidRPr="00826645">
              <w:rPr>
                <w:color w:val="000000"/>
                <w:sz w:val="22"/>
                <w:szCs w:val="22"/>
              </w:rPr>
              <w:t xml:space="preserve">$139.87 </w:t>
            </w:r>
          </w:p>
        </w:tc>
      </w:tr>
      <w:tr w:rsidR="00C82C5A" w:rsidRPr="00C82C5A" w:rsidTr="004D4632">
        <w:trPr>
          <w:trHeight w:val="300"/>
        </w:trPr>
        <w:tc>
          <w:tcPr>
            <w:tcW w:w="5440" w:type="dxa"/>
            <w:tcBorders>
              <w:top w:val="nil"/>
              <w:left w:val="single" w:sz="8" w:space="0" w:color="auto"/>
              <w:bottom w:val="nil"/>
              <w:right w:val="nil"/>
            </w:tcBorders>
            <w:shd w:val="clear" w:color="auto" w:fill="auto"/>
            <w:noWrap/>
            <w:vAlign w:val="center"/>
            <w:hideMark/>
          </w:tcPr>
          <w:p w:rsidR="00C82C5A" w:rsidRPr="00826645" w:rsidRDefault="00C82C5A" w:rsidP="00C82C5A">
            <w:pPr>
              <w:rPr>
                <w:color w:val="000000"/>
                <w:sz w:val="22"/>
              </w:rPr>
            </w:pPr>
            <w:r w:rsidRPr="00826645">
              <w:rPr>
                <w:color w:val="000000"/>
                <w:sz w:val="22"/>
                <w:szCs w:val="22"/>
              </w:rPr>
              <w:t>9,000 Gallons</w:t>
            </w:r>
          </w:p>
        </w:tc>
        <w:tc>
          <w:tcPr>
            <w:tcW w:w="2300" w:type="dxa"/>
            <w:tcBorders>
              <w:top w:val="nil"/>
              <w:left w:val="nil"/>
              <w:bottom w:val="nil"/>
              <w:right w:val="nil"/>
            </w:tcBorders>
            <w:shd w:val="clear" w:color="auto" w:fill="auto"/>
            <w:noWrap/>
            <w:vAlign w:val="center"/>
            <w:hideMark/>
          </w:tcPr>
          <w:p w:rsidR="00C82C5A" w:rsidRPr="00826645" w:rsidRDefault="00C82C5A" w:rsidP="00C82C5A">
            <w:pPr>
              <w:jc w:val="right"/>
              <w:rPr>
                <w:color w:val="000000"/>
                <w:sz w:val="22"/>
              </w:rPr>
            </w:pPr>
            <w:r w:rsidRPr="00826645">
              <w:rPr>
                <w:color w:val="000000"/>
                <w:sz w:val="22"/>
                <w:szCs w:val="22"/>
              </w:rPr>
              <w:t xml:space="preserve">$153.39 </w:t>
            </w:r>
          </w:p>
        </w:tc>
        <w:tc>
          <w:tcPr>
            <w:tcW w:w="2380" w:type="dxa"/>
            <w:tcBorders>
              <w:top w:val="nil"/>
              <w:left w:val="nil"/>
              <w:bottom w:val="nil"/>
              <w:right w:val="single" w:sz="8" w:space="0" w:color="auto"/>
            </w:tcBorders>
            <w:shd w:val="clear" w:color="auto" w:fill="auto"/>
            <w:noWrap/>
            <w:vAlign w:val="center"/>
            <w:hideMark/>
          </w:tcPr>
          <w:p w:rsidR="00C82C5A" w:rsidRPr="00C82C5A" w:rsidRDefault="00C82C5A" w:rsidP="00C82C5A">
            <w:pPr>
              <w:jc w:val="right"/>
              <w:rPr>
                <w:color w:val="000000"/>
                <w:sz w:val="22"/>
              </w:rPr>
            </w:pPr>
            <w:r w:rsidRPr="00826645">
              <w:rPr>
                <w:color w:val="000000"/>
                <w:sz w:val="22"/>
                <w:szCs w:val="22"/>
              </w:rPr>
              <w:t>$183.38</w:t>
            </w:r>
            <w:r w:rsidRPr="00C82C5A">
              <w:rPr>
                <w:color w:val="000000"/>
                <w:sz w:val="22"/>
                <w:szCs w:val="22"/>
              </w:rPr>
              <w:t xml:space="preserve"> </w:t>
            </w:r>
          </w:p>
        </w:tc>
      </w:tr>
      <w:tr w:rsidR="00C82C5A" w:rsidRPr="00C82C5A" w:rsidTr="004D4632">
        <w:trPr>
          <w:trHeight w:val="315"/>
        </w:trPr>
        <w:tc>
          <w:tcPr>
            <w:tcW w:w="5440" w:type="dxa"/>
            <w:tcBorders>
              <w:top w:val="nil"/>
              <w:left w:val="single" w:sz="8" w:space="0" w:color="auto"/>
              <w:bottom w:val="single" w:sz="8" w:space="0" w:color="auto"/>
              <w:right w:val="nil"/>
            </w:tcBorders>
            <w:shd w:val="clear" w:color="auto" w:fill="auto"/>
            <w:noWrap/>
            <w:vAlign w:val="center"/>
            <w:hideMark/>
          </w:tcPr>
          <w:p w:rsidR="00C82C5A" w:rsidRPr="00C82C5A" w:rsidRDefault="00C82C5A" w:rsidP="00C82C5A">
            <w:pPr>
              <w:rPr>
                <w:color w:val="000000"/>
                <w:sz w:val="22"/>
              </w:rPr>
            </w:pPr>
            <w:r w:rsidRPr="00C82C5A">
              <w:rPr>
                <w:color w:val="000000"/>
                <w:sz w:val="22"/>
                <w:szCs w:val="22"/>
              </w:rPr>
              <w:t> </w:t>
            </w:r>
          </w:p>
        </w:tc>
        <w:tc>
          <w:tcPr>
            <w:tcW w:w="2300" w:type="dxa"/>
            <w:tcBorders>
              <w:top w:val="nil"/>
              <w:left w:val="nil"/>
              <w:bottom w:val="single" w:sz="8" w:space="0" w:color="auto"/>
              <w:right w:val="nil"/>
            </w:tcBorders>
            <w:shd w:val="clear" w:color="auto" w:fill="auto"/>
            <w:noWrap/>
            <w:vAlign w:val="center"/>
            <w:hideMark/>
          </w:tcPr>
          <w:p w:rsidR="00C82C5A" w:rsidRPr="00C82C5A" w:rsidRDefault="00C82C5A" w:rsidP="00C82C5A">
            <w:pPr>
              <w:rPr>
                <w:color w:val="000000"/>
                <w:sz w:val="22"/>
              </w:rPr>
            </w:pPr>
            <w:r w:rsidRPr="00C82C5A">
              <w:rPr>
                <w:color w:val="000000"/>
                <w:sz w:val="22"/>
                <w:szCs w:val="22"/>
              </w:rPr>
              <w:t> </w:t>
            </w:r>
          </w:p>
        </w:tc>
        <w:tc>
          <w:tcPr>
            <w:tcW w:w="2380" w:type="dxa"/>
            <w:tcBorders>
              <w:top w:val="nil"/>
              <w:left w:val="nil"/>
              <w:bottom w:val="single" w:sz="8" w:space="0" w:color="auto"/>
              <w:right w:val="single" w:sz="8" w:space="0" w:color="auto"/>
            </w:tcBorders>
            <w:shd w:val="clear" w:color="auto" w:fill="auto"/>
            <w:noWrap/>
            <w:vAlign w:val="center"/>
            <w:hideMark/>
          </w:tcPr>
          <w:p w:rsidR="00C82C5A" w:rsidRPr="00C82C5A" w:rsidRDefault="00C82C5A" w:rsidP="00C82C5A">
            <w:pPr>
              <w:rPr>
                <w:color w:val="000000"/>
                <w:sz w:val="22"/>
              </w:rPr>
            </w:pPr>
            <w:r w:rsidRPr="00C82C5A">
              <w:rPr>
                <w:color w:val="000000"/>
                <w:sz w:val="22"/>
                <w:szCs w:val="22"/>
              </w:rPr>
              <w:t> </w:t>
            </w:r>
          </w:p>
        </w:tc>
      </w:tr>
    </w:tbl>
    <w:p w:rsidR="0010219D" w:rsidRDefault="0010219D" w:rsidP="004F544E">
      <w:pPr>
        <w:pStyle w:val="OrderBody"/>
      </w:pPr>
    </w:p>
    <w:p w:rsidR="00C82C5A" w:rsidRPr="00F44D2B" w:rsidRDefault="00C82C5A" w:rsidP="004F544E">
      <w:pPr>
        <w:pStyle w:val="OrderBody"/>
      </w:pPr>
    </w:p>
    <w:sectPr w:rsidR="00C82C5A" w:rsidRPr="00F44D2B" w:rsidSect="0010219D">
      <w:head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50F" w:rsidRDefault="00F3750F">
      <w:r>
        <w:separator/>
      </w:r>
    </w:p>
  </w:endnote>
  <w:endnote w:type="continuationSeparator" w:id="0">
    <w:p w:rsidR="00F3750F" w:rsidRDefault="00F37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SWIS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50F" w:rsidRDefault="00F3750F">
    <w:pPr>
      <w:pStyle w:val="Footer"/>
    </w:pPr>
  </w:p>
  <w:p w:rsidR="00F3750F" w:rsidRDefault="00F37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50F" w:rsidRDefault="00F3750F">
      <w:r>
        <w:separator/>
      </w:r>
    </w:p>
  </w:footnote>
  <w:footnote w:type="continuationSeparator" w:id="0">
    <w:p w:rsidR="00F3750F" w:rsidRDefault="00F3750F">
      <w:r>
        <w:continuationSeparator/>
      </w:r>
    </w:p>
  </w:footnote>
  <w:footnote w:id="1">
    <w:p w:rsidR="00F3750F" w:rsidRPr="00C111AD" w:rsidRDefault="00F3750F" w:rsidP="00F44D2B">
      <w:pPr>
        <w:autoSpaceDE w:val="0"/>
        <w:autoSpaceDN w:val="0"/>
        <w:adjustRightInd w:val="0"/>
        <w:jc w:val="both"/>
        <w:rPr>
          <w:i/>
          <w:iCs/>
          <w:color w:val="262626"/>
          <w:sz w:val="20"/>
          <w:szCs w:val="20"/>
        </w:rPr>
      </w:pPr>
      <w:r>
        <w:rPr>
          <w:rStyle w:val="FootnoteReference"/>
        </w:rPr>
        <w:footnoteRef/>
      </w:r>
      <w:r>
        <w:rPr>
          <w:sz w:val="20"/>
          <w:szCs w:val="20"/>
        </w:rPr>
        <w:t xml:space="preserve"> Order No. PSC-2024-0380-PAA-WS, issued August 28, 2024, in Docket No. 20240023-WS, </w:t>
      </w:r>
      <w:r>
        <w:rPr>
          <w:i/>
          <w:sz w:val="20"/>
          <w:szCs w:val="20"/>
        </w:rPr>
        <w:t>In re: Application for certificates to provide water and wastewater services and approval of initial rates and charges in Lake County, by North Lake County Water &amp; Sewer Company LLC.</w:t>
      </w:r>
      <w:r>
        <w:rPr>
          <w:sz w:val="20"/>
          <w:szCs w:val="20"/>
        </w:rPr>
        <w:t>; Order</w:t>
      </w:r>
      <w:r w:rsidRPr="00C111AD">
        <w:rPr>
          <w:sz w:val="20"/>
          <w:szCs w:val="20"/>
        </w:rPr>
        <w:t xml:space="preserve"> No. PSC-2022-0437-PAA-WS, issued December 27, 2022, in Docket No. 20220088-WS, </w:t>
      </w:r>
      <w:r w:rsidRPr="00C111AD">
        <w:rPr>
          <w:i/>
          <w:sz w:val="20"/>
          <w:szCs w:val="20"/>
        </w:rPr>
        <w:t>In re: Application for certificates to provide water and wastewater service and approval of initial rates and charges in Sumter County, by</w:t>
      </w:r>
      <w:r>
        <w:rPr>
          <w:i/>
          <w:sz w:val="20"/>
          <w:szCs w:val="20"/>
        </w:rPr>
        <w:t xml:space="preserve"> Middleton Utility Company, LLC.; </w:t>
      </w:r>
      <w:r>
        <w:rPr>
          <w:color w:val="262626"/>
          <w:sz w:val="20"/>
          <w:szCs w:val="20"/>
        </w:rPr>
        <w:t xml:space="preserve">Order Nos. PSC-17-0059-PAA-WS, issued February 24, 2017, in Docket No. 20160220-WS, </w:t>
      </w:r>
      <w:r>
        <w:rPr>
          <w:i/>
          <w:iCs/>
          <w:color w:val="262626"/>
          <w:sz w:val="20"/>
          <w:szCs w:val="20"/>
        </w:rPr>
        <w:t xml:space="preserve">In re: Application for original water and wastewater certificates in Sumter County, by South Sumter Utility Company, LLC.; </w:t>
      </w:r>
      <w:r>
        <w:rPr>
          <w:iCs/>
          <w:color w:val="262626"/>
          <w:sz w:val="20"/>
          <w:szCs w:val="20"/>
        </w:rPr>
        <w:t xml:space="preserve">and Order No. </w:t>
      </w:r>
      <w:r>
        <w:rPr>
          <w:color w:val="262626"/>
          <w:sz w:val="20"/>
          <w:szCs w:val="20"/>
        </w:rPr>
        <w:t xml:space="preserve">PSC-13-0484-FOF-WS, issued October 15, 2013, in Docket No. 20130105-WS, </w:t>
      </w:r>
      <w:r>
        <w:rPr>
          <w:i/>
          <w:iCs/>
          <w:color w:val="262626"/>
          <w:sz w:val="20"/>
          <w:szCs w:val="20"/>
        </w:rPr>
        <w:t xml:space="preserve">In re: Application for certificates to provide water and wastewater service in Hendry and Collier Counties, by Consolidated Services of Hendry </w:t>
      </w:r>
      <w:r>
        <w:rPr>
          <w:i/>
          <w:iCs/>
          <w:color w:val="262626"/>
          <w:sz w:val="18"/>
          <w:szCs w:val="18"/>
        </w:rPr>
        <w:t>&amp;</w:t>
      </w:r>
      <w:r>
        <w:rPr>
          <w:i/>
          <w:iCs/>
          <w:color w:val="262626"/>
          <w:sz w:val="20"/>
          <w:szCs w:val="20"/>
        </w:rPr>
        <w:t xml:space="preserve"> Collier, LLC.</w:t>
      </w:r>
    </w:p>
  </w:footnote>
  <w:footnote w:id="2">
    <w:p w:rsidR="00F3750F" w:rsidRPr="00B77BF7" w:rsidRDefault="00F3750F" w:rsidP="00F44D2B">
      <w:pPr>
        <w:pStyle w:val="FootnoteText"/>
        <w:rPr>
          <w:i/>
        </w:rPr>
      </w:pPr>
      <w:r>
        <w:rPr>
          <w:rStyle w:val="FootnoteReference"/>
        </w:rPr>
        <w:footnoteRef/>
      </w:r>
      <w:r>
        <w:t xml:space="preserve"> Order No. PSC-2024-0380-PAA-WS, issued August 28, 2024, in Docket No. 20240023-WS, </w:t>
      </w:r>
      <w:r>
        <w:rPr>
          <w:i/>
        </w:rPr>
        <w:t>In re: Application for certificates to provide water and wastewater services and approval of initial rates and charges in Lake County, by North Lake County Water &amp; Sewer Company LLC.</w:t>
      </w:r>
    </w:p>
  </w:footnote>
  <w:footnote w:id="3">
    <w:p w:rsidR="00F3750F" w:rsidRDefault="00F3750F" w:rsidP="00F44D2B">
      <w:pPr>
        <w:pStyle w:val="FootnoteText"/>
      </w:pPr>
      <w:r>
        <w:rPr>
          <w:rStyle w:val="FootnoteReference"/>
        </w:rPr>
        <w:footnoteRef/>
      </w:r>
      <w:r>
        <w:t xml:space="preserve"> Order No. PSC-2023-0189-PAA-WS, issued June 28, 2023, in Docket No. 20230006-WS, </w:t>
      </w:r>
      <w:r>
        <w:rPr>
          <w:i/>
          <w:iCs/>
        </w:rPr>
        <w:t>In re:</w:t>
      </w:r>
      <w:r>
        <w:t xml:space="preserve"> </w:t>
      </w:r>
      <w:r w:rsidRPr="00011129">
        <w:rPr>
          <w:i/>
        </w:rPr>
        <w:t>Water and wastewater industry annual reestablishment of authorized range of return on common equity for water and wastewater utilities pursuant to Section 367.081(4)(f), F.S.</w:t>
      </w:r>
    </w:p>
  </w:footnote>
  <w:footnote w:id="4">
    <w:p w:rsidR="00F3750F" w:rsidRDefault="00F3750F" w:rsidP="00F44D2B">
      <w:pPr>
        <w:pStyle w:val="FootnoteText"/>
      </w:pPr>
      <w:r>
        <w:rPr>
          <w:rStyle w:val="FootnoteReference"/>
        </w:rPr>
        <w:footnoteRef/>
      </w:r>
      <w:r>
        <w:t xml:space="preserve"> Order No. PSC-2022-0404-PAA-WS, issued November 21, 2022, in Docket No. 20200185-WS, </w:t>
      </w:r>
      <w:r>
        <w:rPr>
          <w:i/>
          <w:iCs/>
        </w:rPr>
        <w:t>In re: Application for certificated to provide water and wastewater services in Lake and Sumter Counties, by Gibson Place Utility Company, LLC.</w:t>
      </w:r>
      <w:r>
        <w:t xml:space="preserve">; Order No. PSC-2022-0437-PAA-WS, issued December 27, 2022, in Docket No. 20220088-WS, </w:t>
      </w:r>
      <w:r>
        <w:rPr>
          <w:i/>
          <w:iCs/>
        </w:rPr>
        <w:t>In re: Application for certificated to provide water and wastewater services and approval of initial rates and changes in Sumter County, by Middleton Utility Company, LLC.</w:t>
      </w:r>
      <w:r>
        <w:t xml:space="preserve"> </w:t>
      </w:r>
    </w:p>
  </w:footnote>
  <w:footnote w:id="5">
    <w:p w:rsidR="00F3750F" w:rsidRPr="00011129" w:rsidRDefault="00F3750F" w:rsidP="00F44D2B">
      <w:pPr>
        <w:pStyle w:val="FootnoteText"/>
        <w:rPr>
          <w:i/>
        </w:rPr>
      </w:pPr>
      <w:r>
        <w:rPr>
          <w:rStyle w:val="FootnoteReference"/>
        </w:rPr>
        <w:footnoteRef/>
      </w:r>
      <w:r>
        <w:t xml:space="preserve"> Order No. PSC-2024-0165-PAA-WS, issued May, 22, 2024, in Docket No. 20240006-WS, </w:t>
      </w:r>
      <w:r>
        <w:rPr>
          <w:i/>
        </w:rPr>
        <w:t>In re:</w:t>
      </w:r>
      <w:r w:rsidRPr="00011129">
        <w:t xml:space="preserve"> </w:t>
      </w:r>
      <w:r w:rsidRPr="00011129">
        <w:rPr>
          <w:i/>
        </w:rPr>
        <w:t>Water and wastewater industry annual reestablishment of authorized range of return on common equity for water and wastewater utilities pursuant to Section 367.081(4)(f), F.S.</w:t>
      </w:r>
      <w:r>
        <w:rPr>
          <w:i/>
        </w:rPr>
        <w:t xml:space="preserve"> p. 5. </w:t>
      </w:r>
    </w:p>
  </w:footnote>
  <w:footnote w:id="6">
    <w:p w:rsidR="00F3750F" w:rsidRDefault="00F3750F" w:rsidP="00F44D2B">
      <w:pPr>
        <w:pStyle w:val="FootnoteText"/>
      </w:pPr>
      <w:r>
        <w:rPr>
          <w:rStyle w:val="FootnoteReference"/>
        </w:rPr>
        <w:footnoteRef/>
      </w:r>
      <w:r>
        <w:t xml:space="preserve"> Document No. 00858-2025. </w:t>
      </w:r>
    </w:p>
  </w:footnote>
  <w:footnote w:id="7">
    <w:p w:rsidR="00F3750F" w:rsidRDefault="00F3750F" w:rsidP="00F44D2B">
      <w:pPr>
        <w:pStyle w:val="FootnoteText"/>
      </w:pPr>
      <w:r>
        <w:rPr>
          <w:rStyle w:val="FootnoteReference"/>
        </w:rPr>
        <w:footnoteRef/>
      </w:r>
      <w:r>
        <w:t xml:space="preserve"> Order No. PSC-2021-0201-FOF-WS, issued June 4, 2020, in Docket No. 20200240-WS, </w:t>
      </w:r>
      <w:r w:rsidRPr="00D41B86">
        <w:rPr>
          <w:i/>
        </w:rPr>
        <w:t>In re: Proposed amendment of Rule 25-30.460, F.A.C., Application for Miscellaneous Service Charges.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50F" w:rsidRDefault="00F3750F">
    <w:pPr>
      <w:pStyle w:val="OrderHeader"/>
    </w:pPr>
    <w:r>
      <w:t xml:space="preserve">ORDER NO. </w:t>
    </w:r>
    <w:r w:rsidR="00EC262F">
      <w:fldChar w:fldCharType="begin"/>
    </w:r>
    <w:r w:rsidR="00EC262F">
      <w:instrText xml:space="preserve"> REF OrderNo0092 </w:instrText>
    </w:r>
    <w:r w:rsidR="00EC262F">
      <w:fldChar w:fldCharType="separate"/>
    </w:r>
    <w:r>
      <w:t>PSC-2025-0092-PAA-WU</w:t>
    </w:r>
    <w:r w:rsidR="00EC262F">
      <w:fldChar w:fldCharType="end"/>
    </w:r>
  </w:p>
  <w:p w:rsidR="00F3750F" w:rsidRDefault="00F3750F">
    <w:pPr>
      <w:pStyle w:val="OrderHeader"/>
    </w:pPr>
    <w:bookmarkStart w:id="9" w:name="HeaderDocketNo"/>
    <w:bookmarkEnd w:id="9"/>
    <w:r>
      <w:t>DOCKET NO. 20240011-WU</w:t>
    </w:r>
  </w:p>
  <w:p w:rsidR="00F3750F" w:rsidRDefault="00F3750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C262F">
      <w:rPr>
        <w:rStyle w:val="PageNumber"/>
        <w:noProof/>
      </w:rPr>
      <w:t>13</w:t>
    </w:r>
    <w:r>
      <w:rPr>
        <w:rStyle w:val="PageNumber"/>
      </w:rPr>
      <w:fldChar w:fldCharType="end"/>
    </w:r>
  </w:p>
  <w:p w:rsidR="00F3750F" w:rsidRDefault="00F3750F">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50F" w:rsidRDefault="00F3750F" w:rsidP="004A43FF">
    <w:pPr>
      <w:pStyle w:val="OrderHeader"/>
    </w:pPr>
    <w:r>
      <w:t xml:space="preserve">ORDER NO. </w:t>
    </w:r>
    <w:r w:rsidR="00EC262F">
      <w:fldChar w:fldCharType="begin"/>
    </w:r>
    <w:r w:rsidR="00EC262F">
      <w:instrText xml:space="preserve"> REF OrderNo0092 </w:instrText>
    </w:r>
    <w:r w:rsidR="00EC262F">
      <w:fldChar w:fldCharType="separate"/>
    </w:r>
    <w:r>
      <w:t>PSC-2025-0092-PAA-WU</w:t>
    </w:r>
    <w:r w:rsidR="00EC262F">
      <w:fldChar w:fldCharType="end"/>
    </w:r>
    <w:r>
      <w:tab/>
    </w:r>
    <w:r>
      <w:tab/>
      <w:t>Attachment A</w:t>
    </w:r>
  </w:p>
  <w:p w:rsidR="00F3750F" w:rsidRDefault="00F3750F" w:rsidP="004A43FF">
    <w:pPr>
      <w:pStyle w:val="OrderHeader"/>
    </w:pPr>
    <w:r>
      <w:t>DOCKET NO. 20240011-WU</w:t>
    </w:r>
    <w:r>
      <w:tab/>
    </w:r>
    <w:r>
      <w:tab/>
      <w:t xml:space="preserve">Page </w:t>
    </w:r>
    <w:r>
      <w:fldChar w:fldCharType="begin"/>
    </w:r>
    <w:r>
      <w:instrText xml:space="preserve"> = </w:instrText>
    </w:r>
    <w:r>
      <w:fldChar w:fldCharType="begin"/>
    </w:r>
    <w:r>
      <w:instrText xml:space="preserve"> PAGE </w:instrText>
    </w:r>
    <w:r>
      <w:fldChar w:fldCharType="separate"/>
    </w:r>
    <w:r w:rsidR="00EC262F">
      <w:rPr>
        <w:noProof/>
      </w:rPr>
      <w:instrText>15</w:instrText>
    </w:r>
    <w:r>
      <w:fldChar w:fldCharType="end"/>
    </w:r>
    <w:r>
      <w:instrText xml:space="preserve"> - 14 </w:instrText>
    </w:r>
    <w:r>
      <w:fldChar w:fldCharType="separate"/>
    </w:r>
    <w:r w:rsidR="00EC262F">
      <w:rPr>
        <w:noProof/>
      </w:rPr>
      <w:t>1</w:t>
    </w:r>
    <w:r>
      <w:fldChar w:fldCharType="end"/>
    </w:r>
    <w:r>
      <w:t xml:space="preserve"> of 2</w:t>
    </w:r>
  </w:p>
  <w:p w:rsidR="00F3750F" w:rsidRDefault="00F3750F" w:rsidP="004A43F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C262F">
      <w:rPr>
        <w:rStyle w:val="PageNumber"/>
        <w:noProof/>
      </w:rPr>
      <w:t>15</w:t>
    </w:r>
    <w:r>
      <w:rPr>
        <w:rStyle w:val="PageNumber"/>
      </w:rPr>
      <w:fldChar w:fldCharType="end"/>
    </w:r>
  </w:p>
  <w:p w:rsidR="00F3750F" w:rsidRDefault="00F375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50F" w:rsidRDefault="00F3750F" w:rsidP="004A43FF">
    <w:pPr>
      <w:pStyle w:val="OrderHeader"/>
    </w:pPr>
    <w:r>
      <w:t xml:space="preserve">ORDER NO. </w:t>
    </w:r>
    <w:r w:rsidR="00EC262F">
      <w:fldChar w:fldCharType="begin"/>
    </w:r>
    <w:r w:rsidR="00EC262F">
      <w:instrText xml:space="preserve"> REF OrderNo0092 </w:instrText>
    </w:r>
    <w:r w:rsidR="00EC262F">
      <w:fldChar w:fldCharType="separate"/>
    </w:r>
    <w:r>
      <w:t>PSC-2025-0092-PAA-WU</w:t>
    </w:r>
    <w:r w:rsidR="00EC262F">
      <w:fldChar w:fldCharType="end"/>
    </w:r>
    <w:r>
      <w:tab/>
    </w:r>
    <w:r>
      <w:tab/>
      <w:t>Attachment A</w:t>
    </w:r>
  </w:p>
  <w:p w:rsidR="00F3750F" w:rsidRDefault="00F3750F" w:rsidP="004A43FF">
    <w:pPr>
      <w:pStyle w:val="OrderHeader"/>
    </w:pPr>
    <w:r>
      <w:t>DOCKET NO. 20240011-WU</w:t>
    </w:r>
    <w:r>
      <w:tab/>
    </w:r>
    <w:r>
      <w:tab/>
      <w:t xml:space="preserve">Page </w:t>
    </w:r>
    <w:r>
      <w:fldChar w:fldCharType="begin"/>
    </w:r>
    <w:r>
      <w:instrText xml:space="preserve"> = </w:instrText>
    </w:r>
    <w:r>
      <w:fldChar w:fldCharType="begin"/>
    </w:r>
    <w:r>
      <w:instrText xml:space="preserve"> PAGE </w:instrText>
    </w:r>
    <w:r>
      <w:fldChar w:fldCharType="separate"/>
    </w:r>
    <w:r w:rsidR="00EC262F">
      <w:rPr>
        <w:noProof/>
      </w:rPr>
      <w:instrText>16</w:instrText>
    </w:r>
    <w:r>
      <w:fldChar w:fldCharType="end"/>
    </w:r>
    <w:r>
      <w:instrText xml:space="preserve"> - 14 </w:instrText>
    </w:r>
    <w:r>
      <w:fldChar w:fldCharType="separate"/>
    </w:r>
    <w:r w:rsidR="00EC262F">
      <w:rPr>
        <w:noProof/>
      </w:rPr>
      <w:t>2</w:t>
    </w:r>
    <w:r>
      <w:fldChar w:fldCharType="end"/>
    </w:r>
    <w:r>
      <w:t xml:space="preserve"> of 2</w:t>
    </w:r>
  </w:p>
  <w:p w:rsidR="00F3750F" w:rsidRDefault="00F3750F" w:rsidP="004A43F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C262F">
      <w:rPr>
        <w:rStyle w:val="PageNumber"/>
        <w:noProof/>
      </w:rPr>
      <w:t>16</w:t>
    </w:r>
    <w:r>
      <w:rPr>
        <w:rStyle w:val="PageNumber"/>
      </w:rPr>
      <w:fldChar w:fldCharType="end"/>
    </w:r>
  </w:p>
  <w:p w:rsidR="00F3750F" w:rsidRDefault="00F375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50F" w:rsidRDefault="00F3750F" w:rsidP="004A43FF">
    <w:pPr>
      <w:pStyle w:val="OrderHeader"/>
    </w:pPr>
    <w:r>
      <w:t xml:space="preserve">ORDER NO. </w:t>
    </w:r>
    <w:r w:rsidR="00EC262F">
      <w:fldChar w:fldCharType="begin"/>
    </w:r>
    <w:r w:rsidR="00EC262F">
      <w:instrText xml:space="preserve"> REF OrderNo0092 </w:instrText>
    </w:r>
    <w:r w:rsidR="00EC262F">
      <w:fldChar w:fldCharType="separate"/>
    </w:r>
    <w:r>
      <w:t>PSC-2025-0092-PAA-WU</w:t>
    </w:r>
    <w:r w:rsidR="00EC262F">
      <w:fldChar w:fldCharType="end"/>
    </w:r>
    <w:r>
      <w:tab/>
    </w:r>
    <w:r>
      <w:tab/>
      <w:t>Schedule No. 1-A</w:t>
    </w:r>
  </w:p>
  <w:p w:rsidR="00F3750F" w:rsidRDefault="00F3750F" w:rsidP="004A43FF">
    <w:pPr>
      <w:pStyle w:val="OrderHeader"/>
    </w:pPr>
    <w:r>
      <w:t>DOCKET NO. 20240011-WU</w:t>
    </w:r>
    <w:r>
      <w:tab/>
    </w:r>
    <w:r>
      <w:tab/>
    </w:r>
  </w:p>
  <w:p w:rsidR="00F3750F" w:rsidRDefault="00F3750F" w:rsidP="004A43F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C262F">
      <w:rPr>
        <w:rStyle w:val="PageNumber"/>
        <w:noProof/>
      </w:rPr>
      <w:t>17</w:t>
    </w:r>
    <w:r>
      <w:rPr>
        <w:rStyle w:val="PageNumber"/>
      </w:rPr>
      <w:fldChar w:fldCharType="end"/>
    </w:r>
  </w:p>
  <w:p w:rsidR="00F3750F" w:rsidRDefault="00F3750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50F" w:rsidRDefault="00F3750F" w:rsidP="004A43FF">
    <w:pPr>
      <w:pStyle w:val="OrderHeader"/>
    </w:pPr>
    <w:r>
      <w:t xml:space="preserve">ORDER NO. </w:t>
    </w:r>
    <w:r w:rsidR="00EC262F">
      <w:fldChar w:fldCharType="begin"/>
    </w:r>
    <w:r w:rsidR="00EC262F">
      <w:instrText xml:space="preserve"> REF OrderNo0092 </w:instrText>
    </w:r>
    <w:r w:rsidR="00EC262F">
      <w:fldChar w:fldCharType="separate"/>
    </w:r>
    <w:r>
      <w:t>PSC-2025-0092-PAA-WU</w:t>
    </w:r>
    <w:r w:rsidR="00EC262F">
      <w:fldChar w:fldCharType="end"/>
    </w:r>
    <w:r>
      <w:tab/>
    </w:r>
    <w:r>
      <w:tab/>
      <w:t>Schedule No. 1-B</w:t>
    </w:r>
  </w:p>
  <w:p w:rsidR="00F3750F" w:rsidRDefault="00F3750F" w:rsidP="004A43FF">
    <w:pPr>
      <w:pStyle w:val="OrderHeader"/>
    </w:pPr>
    <w:r>
      <w:t>DOCKET NO. 20240011-WU</w:t>
    </w:r>
    <w:r>
      <w:tab/>
    </w:r>
    <w:r>
      <w:tab/>
    </w:r>
  </w:p>
  <w:p w:rsidR="00F3750F" w:rsidRDefault="00F3750F" w:rsidP="004A43F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C262F">
      <w:rPr>
        <w:rStyle w:val="PageNumber"/>
        <w:noProof/>
      </w:rPr>
      <w:t>18</w:t>
    </w:r>
    <w:r>
      <w:rPr>
        <w:rStyle w:val="PageNumber"/>
      </w:rPr>
      <w:fldChar w:fldCharType="end"/>
    </w:r>
  </w:p>
  <w:p w:rsidR="00F3750F" w:rsidRDefault="00F3750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50F" w:rsidRDefault="00F3750F" w:rsidP="004A43FF">
    <w:pPr>
      <w:pStyle w:val="OrderHeader"/>
    </w:pPr>
    <w:r>
      <w:t xml:space="preserve">ORDER NO. </w:t>
    </w:r>
    <w:r w:rsidR="00EC262F">
      <w:fldChar w:fldCharType="begin"/>
    </w:r>
    <w:r w:rsidR="00EC262F">
      <w:instrText xml:space="preserve"> REF OrderNo0092 </w:instrText>
    </w:r>
    <w:r w:rsidR="00EC262F">
      <w:fldChar w:fldCharType="separate"/>
    </w:r>
    <w:r>
      <w:t>PSC-2025-0092-PAA-WU</w:t>
    </w:r>
    <w:r w:rsidR="00EC262F">
      <w:fldChar w:fldCharType="end"/>
    </w:r>
    <w:r>
      <w:tab/>
    </w:r>
    <w:r>
      <w:tab/>
    </w:r>
    <w:r>
      <w:tab/>
    </w:r>
    <w:r>
      <w:tab/>
    </w:r>
    <w:r>
      <w:tab/>
      <w:t>Schedule No. 2</w:t>
    </w:r>
  </w:p>
  <w:p w:rsidR="00F3750F" w:rsidRDefault="00F3750F" w:rsidP="004A43FF">
    <w:pPr>
      <w:pStyle w:val="OrderHeader"/>
    </w:pPr>
    <w:r>
      <w:t>DOCKET NO. 20240011-WU</w:t>
    </w:r>
    <w:r>
      <w:tab/>
    </w:r>
    <w:r>
      <w:tab/>
    </w:r>
  </w:p>
  <w:p w:rsidR="00F3750F" w:rsidRDefault="00F3750F" w:rsidP="004A43F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C262F">
      <w:rPr>
        <w:rStyle w:val="PageNumber"/>
        <w:noProof/>
      </w:rPr>
      <w:t>19</w:t>
    </w:r>
    <w:r>
      <w:rPr>
        <w:rStyle w:val="PageNumber"/>
      </w:rPr>
      <w:fldChar w:fldCharType="end"/>
    </w:r>
  </w:p>
  <w:p w:rsidR="00F3750F" w:rsidRDefault="00F3750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50F" w:rsidRDefault="00F3750F" w:rsidP="004A43FF">
    <w:pPr>
      <w:pStyle w:val="OrderHeader"/>
    </w:pPr>
    <w:r>
      <w:t xml:space="preserve">ORDER NO. </w:t>
    </w:r>
    <w:r w:rsidR="00EC262F">
      <w:fldChar w:fldCharType="begin"/>
    </w:r>
    <w:r w:rsidR="00EC262F">
      <w:instrText xml:space="preserve"> REF OrderNo0092 </w:instrText>
    </w:r>
    <w:r w:rsidR="00EC262F">
      <w:fldChar w:fldCharType="separate"/>
    </w:r>
    <w:r>
      <w:t>PSC-2025-0092-PAA-WU</w:t>
    </w:r>
    <w:r w:rsidR="00EC262F">
      <w:fldChar w:fldCharType="end"/>
    </w:r>
    <w:r>
      <w:tab/>
    </w:r>
    <w:r>
      <w:tab/>
      <w:t>Schedule No. 3-A</w:t>
    </w:r>
  </w:p>
  <w:p w:rsidR="00F3750F" w:rsidRDefault="00F3750F" w:rsidP="004A43FF">
    <w:pPr>
      <w:pStyle w:val="OrderHeader"/>
    </w:pPr>
    <w:r>
      <w:t>DOCKET NO. 20240011-WU</w:t>
    </w:r>
    <w:r>
      <w:tab/>
    </w:r>
    <w:r>
      <w:tab/>
    </w:r>
  </w:p>
  <w:p w:rsidR="00F3750F" w:rsidRDefault="00F3750F" w:rsidP="004A43F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C262F">
      <w:rPr>
        <w:rStyle w:val="PageNumber"/>
        <w:noProof/>
      </w:rPr>
      <w:t>20</w:t>
    </w:r>
    <w:r>
      <w:rPr>
        <w:rStyle w:val="PageNumber"/>
      </w:rPr>
      <w:fldChar w:fldCharType="end"/>
    </w:r>
  </w:p>
  <w:p w:rsidR="00F3750F" w:rsidRDefault="00F3750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50F" w:rsidRDefault="00F3750F" w:rsidP="004A43FF">
    <w:pPr>
      <w:pStyle w:val="OrderHeader"/>
    </w:pPr>
    <w:r>
      <w:t xml:space="preserve">ORDER NO. </w:t>
    </w:r>
    <w:r w:rsidR="00EC262F">
      <w:fldChar w:fldCharType="begin"/>
    </w:r>
    <w:r w:rsidR="00EC262F">
      <w:instrText xml:space="preserve"> REF OrderNo0092 </w:instrText>
    </w:r>
    <w:r w:rsidR="00EC262F">
      <w:fldChar w:fldCharType="separate"/>
    </w:r>
    <w:r>
      <w:t>PSC-2025-0092-PAA-WU</w:t>
    </w:r>
    <w:r w:rsidR="00EC262F">
      <w:fldChar w:fldCharType="end"/>
    </w:r>
    <w:r>
      <w:tab/>
    </w:r>
    <w:r>
      <w:tab/>
      <w:t>Schedule No. 3-B</w:t>
    </w:r>
  </w:p>
  <w:p w:rsidR="00F3750F" w:rsidRDefault="00F3750F" w:rsidP="004A43FF">
    <w:pPr>
      <w:pStyle w:val="OrderHeader"/>
    </w:pPr>
    <w:r>
      <w:t>DOCKET NO. 20240011-WU</w:t>
    </w:r>
    <w:r>
      <w:tab/>
    </w:r>
    <w:r>
      <w:tab/>
    </w:r>
  </w:p>
  <w:p w:rsidR="00F3750F" w:rsidRDefault="00F3750F" w:rsidP="004A43F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C262F">
      <w:rPr>
        <w:rStyle w:val="PageNumber"/>
        <w:noProof/>
      </w:rPr>
      <w:t>21</w:t>
    </w:r>
    <w:r>
      <w:rPr>
        <w:rStyle w:val="PageNumber"/>
      </w:rPr>
      <w:fldChar w:fldCharType="end"/>
    </w:r>
  </w:p>
  <w:p w:rsidR="00F3750F" w:rsidRDefault="00F3750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50F" w:rsidRDefault="00F3750F" w:rsidP="004A43FF">
    <w:pPr>
      <w:pStyle w:val="OrderHeader"/>
    </w:pPr>
    <w:r>
      <w:t xml:space="preserve">ORDER NO. </w:t>
    </w:r>
    <w:r w:rsidR="00EC262F">
      <w:fldChar w:fldCharType="begin"/>
    </w:r>
    <w:r w:rsidR="00EC262F">
      <w:instrText xml:space="preserve"> REF OrderNo0092 </w:instrText>
    </w:r>
    <w:r w:rsidR="00EC262F">
      <w:fldChar w:fldCharType="separate"/>
    </w:r>
    <w:r>
      <w:t>PSC-2025-0092-PAA-WU</w:t>
    </w:r>
    <w:r w:rsidR="00EC262F">
      <w:fldChar w:fldCharType="end"/>
    </w:r>
    <w:r>
      <w:tab/>
    </w:r>
    <w:r>
      <w:tab/>
      <w:t>Schedule No. 4</w:t>
    </w:r>
  </w:p>
  <w:p w:rsidR="00F3750F" w:rsidRDefault="00F3750F" w:rsidP="004A43FF">
    <w:pPr>
      <w:pStyle w:val="OrderHeader"/>
    </w:pPr>
    <w:r>
      <w:t>DOCKET NO. 20240011-WU</w:t>
    </w:r>
    <w:r>
      <w:tab/>
    </w:r>
    <w:r>
      <w:tab/>
    </w:r>
  </w:p>
  <w:p w:rsidR="00F3750F" w:rsidRDefault="00F3750F" w:rsidP="004A43F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C262F">
      <w:rPr>
        <w:rStyle w:val="PageNumber"/>
        <w:noProof/>
      </w:rPr>
      <w:t>22</w:t>
    </w:r>
    <w:r>
      <w:rPr>
        <w:rStyle w:val="PageNumber"/>
      </w:rPr>
      <w:fldChar w:fldCharType="end"/>
    </w:r>
  </w:p>
  <w:p w:rsidR="00F3750F" w:rsidRDefault="00F375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10F70"/>
    <w:multiLevelType w:val="hybridMultilevel"/>
    <w:tmpl w:val="69265BE4"/>
    <w:lvl w:ilvl="0" w:tplc="3216F54C">
      <w:start w:val="3"/>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CA5C4A"/>
    <w:multiLevelType w:val="hybridMultilevel"/>
    <w:tmpl w:val="C7B031DC"/>
    <w:lvl w:ilvl="0" w:tplc="2F88E41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5A5EC1"/>
    <w:multiLevelType w:val="hybridMultilevel"/>
    <w:tmpl w:val="C85272C4"/>
    <w:lvl w:ilvl="0" w:tplc="3216F54C">
      <w:start w:val="3"/>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11-WU"/>
  </w:docVars>
  <w:rsids>
    <w:rsidRoot w:val="00683473"/>
    <w:rsid w:val="000022B8"/>
    <w:rsid w:val="00003883"/>
    <w:rsid w:val="00011251"/>
    <w:rsid w:val="00025C2A"/>
    <w:rsid w:val="00025C9D"/>
    <w:rsid w:val="0003433F"/>
    <w:rsid w:val="00035A8C"/>
    <w:rsid w:val="00036BDD"/>
    <w:rsid w:val="00041FFD"/>
    <w:rsid w:val="00042C99"/>
    <w:rsid w:val="00053212"/>
    <w:rsid w:val="00053AB9"/>
    <w:rsid w:val="00056229"/>
    <w:rsid w:val="00057AF1"/>
    <w:rsid w:val="00065FC2"/>
    <w:rsid w:val="00067685"/>
    <w:rsid w:val="00067B07"/>
    <w:rsid w:val="000730D7"/>
    <w:rsid w:val="00076E6B"/>
    <w:rsid w:val="00081AE4"/>
    <w:rsid w:val="0008247D"/>
    <w:rsid w:val="00090AFC"/>
    <w:rsid w:val="00096507"/>
    <w:rsid w:val="000A3459"/>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219D"/>
    <w:rsid w:val="00103190"/>
    <w:rsid w:val="00104333"/>
    <w:rsid w:val="001052BA"/>
    <w:rsid w:val="001107B3"/>
    <w:rsid w:val="001114B1"/>
    <w:rsid w:val="001139D8"/>
    <w:rsid w:val="00116AD3"/>
    <w:rsid w:val="00121957"/>
    <w:rsid w:val="00122F8B"/>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D2806"/>
    <w:rsid w:val="001E0152"/>
    <w:rsid w:val="001E0FF5"/>
    <w:rsid w:val="001F0095"/>
    <w:rsid w:val="001F36B0"/>
    <w:rsid w:val="001F3892"/>
    <w:rsid w:val="001F4CA3"/>
    <w:rsid w:val="001F59E0"/>
    <w:rsid w:val="002002ED"/>
    <w:rsid w:val="002044DD"/>
    <w:rsid w:val="002170E5"/>
    <w:rsid w:val="002179AC"/>
    <w:rsid w:val="00220D57"/>
    <w:rsid w:val="00223B99"/>
    <w:rsid w:val="0022721A"/>
    <w:rsid w:val="00230BB9"/>
    <w:rsid w:val="002348E4"/>
    <w:rsid w:val="00241CEF"/>
    <w:rsid w:val="0025124E"/>
    <w:rsid w:val="00252B30"/>
    <w:rsid w:val="00255291"/>
    <w:rsid w:val="002613E4"/>
    <w:rsid w:val="00262C43"/>
    <w:rsid w:val="00263E21"/>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6293"/>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14F6"/>
    <w:rsid w:val="003D1D8F"/>
    <w:rsid w:val="003D3989"/>
    <w:rsid w:val="003D4CCA"/>
    <w:rsid w:val="003D52A6"/>
    <w:rsid w:val="003D6416"/>
    <w:rsid w:val="003E1D48"/>
    <w:rsid w:val="003E711F"/>
    <w:rsid w:val="003F1D2B"/>
    <w:rsid w:val="003F49A6"/>
    <w:rsid w:val="003F518F"/>
    <w:rsid w:val="003F6BA7"/>
    <w:rsid w:val="003F7445"/>
    <w:rsid w:val="00411DF2"/>
    <w:rsid w:val="00411E8F"/>
    <w:rsid w:val="00417124"/>
    <w:rsid w:val="0042172E"/>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A43FF"/>
    <w:rsid w:val="004B2108"/>
    <w:rsid w:val="004B3A2B"/>
    <w:rsid w:val="004B70D3"/>
    <w:rsid w:val="004C312D"/>
    <w:rsid w:val="004D2D1B"/>
    <w:rsid w:val="004D4632"/>
    <w:rsid w:val="004D5067"/>
    <w:rsid w:val="004D6838"/>
    <w:rsid w:val="004D72BC"/>
    <w:rsid w:val="004E469D"/>
    <w:rsid w:val="004E7F4F"/>
    <w:rsid w:val="004F2952"/>
    <w:rsid w:val="004F2DDE"/>
    <w:rsid w:val="004F544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776C9"/>
    <w:rsid w:val="0058264B"/>
    <w:rsid w:val="00586368"/>
    <w:rsid w:val="005868AA"/>
    <w:rsid w:val="00590845"/>
    <w:rsid w:val="005963C2"/>
    <w:rsid w:val="005A0D69"/>
    <w:rsid w:val="005A31F4"/>
    <w:rsid w:val="005A73EA"/>
    <w:rsid w:val="005B45F7"/>
    <w:rsid w:val="005B63EA"/>
    <w:rsid w:val="005C1A88"/>
    <w:rsid w:val="005C5033"/>
    <w:rsid w:val="005C6846"/>
    <w:rsid w:val="005D4E1B"/>
    <w:rsid w:val="005E49BF"/>
    <w:rsid w:val="005E751B"/>
    <w:rsid w:val="005F1A75"/>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5736F"/>
    <w:rsid w:val="00660774"/>
    <w:rsid w:val="0066389A"/>
    <w:rsid w:val="0066495C"/>
    <w:rsid w:val="00665CC7"/>
    <w:rsid w:val="00672612"/>
    <w:rsid w:val="00674ECC"/>
    <w:rsid w:val="00677F18"/>
    <w:rsid w:val="00683473"/>
    <w:rsid w:val="00693483"/>
    <w:rsid w:val="006A0BF3"/>
    <w:rsid w:val="006A364C"/>
    <w:rsid w:val="006A502B"/>
    <w:rsid w:val="006B0036"/>
    <w:rsid w:val="006B0DA6"/>
    <w:rsid w:val="006B3FA9"/>
    <w:rsid w:val="006C547E"/>
    <w:rsid w:val="006D2B51"/>
    <w:rsid w:val="006D5575"/>
    <w:rsid w:val="006D7191"/>
    <w:rsid w:val="006E21C4"/>
    <w:rsid w:val="006E42BE"/>
    <w:rsid w:val="006E5D4D"/>
    <w:rsid w:val="006E6D16"/>
    <w:rsid w:val="006F25E4"/>
    <w:rsid w:val="00703CE8"/>
    <w:rsid w:val="00703F2A"/>
    <w:rsid w:val="00704C5D"/>
    <w:rsid w:val="007072BC"/>
    <w:rsid w:val="00715275"/>
    <w:rsid w:val="00721B44"/>
    <w:rsid w:val="007232A2"/>
    <w:rsid w:val="00726366"/>
    <w:rsid w:val="00731747"/>
    <w:rsid w:val="00731AB6"/>
    <w:rsid w:val="00733B6B"/>
    <w:rsid w:val="00733BD8"/>
    <w:rsid w:val="00740808"/>
    <w:rsid w:val="00740A1B"/>
    <w:rsid w:val="00742131"/>
    <w:rsid w:val="007467C4"/>
    <w:rsid w:val="00755702"/>
    <w:rsid w:val="0076170F"/>
    <w:rsid w:val="00762128"/>
    <w:rsid w:val="0076669C"/>
    <w:rsid w:val="00766E46"/>
    <w:rsid w:val="00772CCB"/>
    <w:rsid w:val="00777727"/>
    <w:rsid w:val="0078166A"/>
    <w:rsid w:val="00782B79"/>
    <w:rsid w:val="00783811"/>
    <w:rsid w:val="007865E9"/>
    <w:rsid w:val="0079237D"/>
    <w:rsid w:val="00792383"/>
    <w:rsid w:val="00794D5A"/>
    <w:rsid w:val="00794DD9"/>
    <w:rsid w:val="0079509B"/>
    <w:rsid w:val="007A060F"/>
    <w:rsid w:val="007A20A6"/>
    <w:rsid w:val="007B1C5E"/>
    <w:rsid w:val="007B350E"/>
    <w:rsid w:val="007B35FB"/>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5520"/>
    <w:rsid w:val="008169A4"/>
    <w:rsid w:val="00822500"/>
    <w:rsid w:val="00826645"/>
    <w:rsid w:val="008278FE"/>
    <w:rsid w:val="00832598"/>
    <w:rsid w:val="00832B80"/>
    <w:rsid w:val="0083397E"/>
    <w:rsid w:val="0083534B"/>
    <w:rsid w:val="00842035"/>
    <w:rsid w:val="00842602"/>
    <w:rsid w:val="008449F0"/>
    <w:rsid w:val="00846F11"/>
    <w:rsid w:val="00847B45"/>
    <w:rsid w:val="00863A66"/>
    <w:rsid w:val="0086411E"/>
    <w:rsid w:val="008703D7"/>
    <w:rsid w:val="00873817"/>
    <w:rsid w:val="00874429"/>
    <w:rsid w:val="00875D22"/>
    <w:rsid w:val="00883D9A"/>
    <w:rsid w:val="00885782"/>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1F6B"/>
    <w:rsid w:val="00A9515B"/>
    <w:rsid w:val="00A97535"/>
    <w:rsid w:val="00AA2BAA"/>
    <w:rsid w:val="00AA2D95"/>
    <w:rsid w:val="00AA6516"/>
    <w:rsid w:val="00AA73E7"/>
    <w:rsid w:val="00AA73F1"/>
    <w:rsid w:val="00AB0E1A"/>
    <w:rsid w:val="00AB1A30"/>
    <w:rsid w:val="00AB3897"/>
    <w:rsid w:val="00AB3C36"/>
    <w:rsid w:val="00AB3D30"/>
    <w:rsid w:val="00AC4B09"/>
    <w:rsid w:val="00AC5A01"/>
    <w:rsid w:val="00AD10EB"/>
    <w:rsid w:val="00AD1ED3"/>
    <w:rsid w:val="00AD3717"/>
    <w:rsid w:val="00AD74F4"/>
    <w:rsid w:val="00AD7832"/>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834"/>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77060"/>
    <w:rsid w:val="00B86EF0"/>
    <w:rsid w:val="00B874D9"/>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4170"/>
    <w:rsid w:val="00C041C9"/>
    <w:rsid w:val="00C065A1"/>
    <w:rsid w:val="00C10ED5"/>
    <w:rsid w:val="00C12574"/>
    <w:rsid w:val="00C151A6"/>
    <w:rsid w:val="00C24098"/>
    <w:rsid w:val="00C30A4E"/>
    <w:rsid w:val="00C411F3"/>
    <w:rsid w:val="00C44105"/>
    <w:rsid w:val="00C46513"/>
    <w:rsid w:val="00C523EC"/>
    <w:rsid w:val="00C55A33"/>
    <w:rsid w:val="00C64D49"/>
    <w:rsid w:val="00C66692"/>
    <w:rsid w:val="00C673B5"/>
    <w:rsid w:val="00C7063D"/>
    <w:rsid w:val="00C72339"/>
    <w:rsid w:val="00C820BC"/>
    <w:rsid w:val="00C82C5A"/>
    <w:rsid w:val="00C830BC"/>
    <w:rsid w:val="00C8524D"/>
    <w:rsid w:val="00C90904"/>
    <w:rsid w:val="00C91123"/>
    <w:rsid w:val="00CA1005"/>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1783"/>
    <w:rsid w:val="00D02E0F"/>
    <w:rsid w:val="00D03EE8"/>
    <w:rsid w:val="00D069A3"/>
    <w:rsid w:val="00D10250"/>
    <w:rsid w:val="00D13535"/>
    <w:rsid w:val="00D15497"/>
    <w:rsid w:val="00D17B79"/>
    <w:rsid w:val="00D205F5"/>
    <w:rsid w:val="00D23FEA"/>
    <w:rsid w:val="00D269CA"/>
    <w:rsid w:val="00D30B48"/>
    <w:rsid w:val="00D3168A"/>
    <w:rsid w:val="00D350D1"/>
    <w:rsid w:val="00D37B3A"/>
    <w:rsid w:val="00D46FAA"/>
    <w:rsid w:val="00D47A40"/>
    <w:rsid w:val="00D51D33"/>
    <w:rsid w:val="00D57BB2"/>
    <w:rsid w:val="00D57E57"/>
    <w:rsid w:val="00D70752"/>
    <w:rsid w:val="00D74EF9"/>
    <w:rsid w:val="00D80E2D"/>
    <w:rsid w:val="00D84D5E"/>
    <w:rsid w:val="00D8560E"/>
    <w:rsid w:val="00D8758F"/>
    <w:rsid w:val="00DA4EDD"/>
    <w:rsid w:val="00DA6B78"/>
    <w:rsid w:val="00DB122B"/>
    <w:rsid w:val="00DB4605"/>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47D36"/>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C262F"/>
    <w:rsid w:val="00ED6A79"/>
    <w:rsid w:val="00EE17DF"/>
    <w:rsid w:val="00EF1482"/>
    <w:rsid w:val="00EF4621"/>
    <w:rsid w:val="00EF4D52"/>
    <w:rsid w:val="00EF57F1"/>
    <w:rsid w:val="00EF6312"/>
    <w:rsid w:val="00F00C4B"/>
    <w:rsid w:val="00F019F1"/>
    <w:rsid w:val="00F038B0"/>
    <w:rsid w:val="00F05F34"/>
    <w:rsid w:val="00F22B27"/>
    <w:rsid w:val="00F234A7"/>
    <w:rsid w:val="00F277B6"/>
    <w:rsid w:val="00F27DA5"/>
    <w:rsid w:val="00F3750F"/>
    <w:rsid w:val="00F37E07"/>
    <w:rsid w:val="00F4182A"/>
    <w:rsid w:val="00F44D2B"/>
    <w:rsid w:val="00F464ED"/>
    <w:rsid w:val="00F54380"/>
    <w:rsid w:val="00F54B47"/>
    <w:rsid w:val="00F61247"/>
    <w:rsid w:val="00F61F61"/>
    <w:rsid w:val="00F63191"/>
    <w:rsid w:val="00F664F3"/>
    <w:rsid w:val="00F6702E"/>
    <w:rsid w:val="00F70E84"/>
    <w:rsid w:val="00F80685"/>
    <w:rsid w:val="00F94968"/>
    <w:rsid w:val="00FA092B"/>
    <w:rsid w:val="00FA4F6C"/>
    <w:rsid w:val="00FA6EFD"/>
    <w:rsid w:val="00FB2881"/>
    <w:rsid w:val="00FB2A8E"/>
    <w:rsid w:val="00FB3791"/>
    <w:rsid w:val="00FB6780"/>
    <w:rsid w:val="00FB74EA"/>
    <w:rsid w:val="00FC724B"/>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F44D2B"/>
  </w:style>
  <w:style w:type="table" w:customStyle="1" w:styleId="TableGrid16">
    <w:name w:val="Table Grid16"/>
    <w:basedOn w:val="TableNormal"/>
    <w:next w:val="TableGrid"/>
    <w:rsid w:val="00F44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44D2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4605"/>
    <w:pPr>
      <w:ind w:left="720"/>
      <w:contextualSpacing/>
    </w:pPr>
  </w:style>
  <w:style w:type="character" w:styleId="CommentReference">
    <w:name w:val="annotation reference"/>
    <w:basedOn w:val="DefaultParagraphFont"/>
    <w:semiHidden/>
    <w:unhideWhenUsed/>
    <w:rsid w:val="00263E21"/>
    <w:rPr>
      <w:sz w:val="16"/>
      <w:szCs w:val="16"/>
    </w:rPr>
  </w:style>
  <w:style w:type="paragraph" w:styleId="CommentText">
    <w:name w:val="annotation text"/>
    <w:basedOn w:val="Normal"/>
    <w:link w:val="CommentTextChar"/>
    <w:semiHidden/>
    <w:unhideWhenUsed/>
    <w:rsid w:val="00263E21"/>
    <w:rPr>
      <w:sz w:val="20"/>
      <w:szCs w:val="20"/>
    </w:rPr>
  </w:style>
  <w:style w:type="character" w:customStyle="1" w:styleId="CommentTextChar">
    <w:name w:val="Comment Text Char"/>
    <w:basedOn w:val="DefaultParagraphFont"/>
    <w:link w:val="CommentText"/>
    <w:semiHidden/>
    <w:rsid w:val="00263E21"/>
  </w:style>
  <w:style w:type="paragraph" w:styleId="CommentSubject">
    <w:name w:val="annotation subject"/>
    <w:basedOn w:val="CommentText"/>
    <w:next w:val="CommentText"/>
    <w:link w:val="CommentSubjectChar"/>
    <w:semiHidden/>
    <w:unhideWhenUsed/>
    <w:rsid w:val="00263E21"/>
    <w:rPr>
      <w:b/>
      <w:bCs/>
    </w:rPr>
  </w:style>
  <w:style w:type="character" w:customStyle="1" w:styleId="CommentSubjectChar">
    <w:name w:val="Comment Subject Char"/>
    <w:basedOn w:val="CommentTextChar"/>
    <w:link w:val="CommentSubject"/>
    <w:semiHidden/>
    <w:rsid w:val="00263E21"/>
    <w:rPr>
      <w:b/>
      <w:bCs/>
    </w:rPr>
  </w:style>
  <w:style w:type="paragraph" w:styleId="BalloonText">
    <w:name w:val="Balloon Text"/>
    <w:basedOn w:val="Normal"/>
    <w:link w:val="BalloonTextChar"/>
    <w:semiHidden/>
    <w:unhideWhenUsed/>
    <w:rsid w:val="00263E21"/>
    <w:rPr>
      <w:rFonts w:ascii="Segoe UI" w:hAnsi="Segoe UI" w:cs="Segoe UI"/>
      <w:sz w:val="18"/>
      <w:szCs w:val="18"/>
    </w:rPr>
  </w:style>
  <w:style w:type="character" w:customStyle="1" w:styleId="BalloonTextChar">
    <w:name w:val="Balloon Text Char"/>
    <w:basedOn w:val="DefaultParagraphFont"/>
    <w:link w:val="BalloonText"/>
    <w:semiHidden/>
    <w:rsid w:val="00263E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22</Pages>
  <Words>6557</Words>
  <Characters>37378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2025-03-24T15:51:00Z</dcterms:created>
  <dcterms:modified xsi:type="dcterms:W3CDTF">2025-03-24T17:19:00Z</dcterms:modified>
</cp:coreProperties>
</file>