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D7695" w14:textId="77777777" w:rsidR="00CB5276" w:rsidRDefault="009B0A0A" w:rsidP="009B0A0A">
      <w:pPr>
        <w:pStyle w:val="OrderHeading"/>
      </w:pPr>
      <w:r>
        <w:t>BEFORE THE FLORIDA PUBLIC SERVICE COMMISSION</w:t>
      </w:r>
    </w:p>
    <w:p w14:paraId="533B27C4" w14:textId="77777777" w:rsidR="009B0A0A" w:rsidRDefault="009B0A0A" w:rsidP="009B0A0A">
      <w:pPr>
        <w:pStyle w:val="OrderBody"/>
      </w:pPr>
    </w:p>
    <w:p w14:paraId="1F716ACA" w14:textId="77777777" w:rsidR="009B0A0A" w:rsidRDefault="009B0A0A" w:rsidP="009B0A0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0A0A" w:rsidRPr="00C63FCF" w14:paraId="7D3B2CC4" w14:textId="77777777" w:rsidTr="00C63FCF">
        <w:trPr>
          <w:trHeight w:val="828"/>
        </w:trPr>
        <w:tc>
          <w:tcPr>
            <w:tcW w:w="4788" w:type="dxa"/>
            <w:tcBorders>
              <w:bottom w:val="single" w:sz="8" w:space="0" w:color="auto"/>
              <w:right w:val="double" w:sz="6" w:space="0" w:color="auto"/>
            </w:tcBorders>
            <w:shd w:val="clear" w:color="auto" w:fill="auto"/>
          </w:tcPr>
          <w:p w14:paraId="5D1A8007" w14:textId="77777777" w:rsidR="009B0A0A" w:rsidRDefault="009B0A0A"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14:paraId="5CAE72AB" w14:textId="77777777" w:rsidR="009B0A0A" w:rsidRDefault="009B0A0A" w:rsidP="009B0A0A">
            <w:pPr>
              <w:pStyle w:val="OrderBody"/>
            </w:pPr>
            <w:r>
              <w:t xml:space="preserve">DOCKET NO. </w:t>
            </w:r>
            <w:bookmarkStart w:id="1" w:name="SSDocketNo"/>
            <w:bookmarkEnd w:id="1"/>
            <w:r>
              <w:t>20250011-EI</w:t>
            </w:r>
          </w:p>
          <w:p w14:paraId="2B71FA11" w14:textId="5DAA89FD" w:rsidR="009B0A0A" w:rsidRDefault="009B0A0A" w:rsidP="00C63FCF">
            <w:pPr>
              <w:pStyle w:val="OrderBody"/>
              <w:tabs>
                <w:tab w:val="center" w:pos="4320"/>
                <w:tab w:val="right" w:pos="8640"/>
              </w:tabs>
              <w:jc w:val="left"/>
            </w:pPr>
            <w:r>
              <w:t xml:space="preserve">ORDER NO. </w:t>
            </w:r>
            <w:bookmarkStart w:id="2" w:name="OrderNo0133"/>
            <w:r w:rsidR="00B14F0A">
              <w:t>PSC-2025-0133-PCO-EI</w:t>
            </w:r>
            <w:bookmarkEnd w:id="2"/>
          </w:p>
          <w:p w14:paraId="4E931FE3" w14:textId="727CA72B" w:rsidR="009B0A0A" w:rsidRDefault="009B0A0A" w:rsidP="00C63FCF">
            <w:pPr>
              <w:pStyle w:val="OrderBody"/>
              <w:tabs>
                <w:tab w:val="center" w:pos="4320"/>
                <w:tab w:val="right" w:pos="8640"/>
              </w:tabs>
              <w:jc w:val="left"/>
            </w:pPr>
            <w:r>
              <w:t xml:space="preserve">ISSUED: </w:t>
            </w:r>
            <w:r w:rsidR="00B14F0A">
              <w:t>April 16, 2025</w:t>
            </w:r>
          </w:p>
        </w:tc>
      </w:tr>
    </w:tbl>
    <w:p w14:paraId="62314B38" w14:textId="77777777" w:rsidR="009B0A0A" w:rsidRDefault="009B0A0A" w:rsidP="009B0A0A"/>
    <w:p w14:paraId="181F9277" w14:textId="77777777" w:rsidR="009B0A0A" w:rsidRDefault="009B0A0A" w:rsidP="009B0A0A"/>
    <w:p w14:paraId="0E42A105" w14:textId="77777777" w:rsidR="00883482" w:rsidRDefault="009B0A0A" w:rsidP="009B0A0A">
      <w:pPr>
        <w:pStyle w:val="CenterUnderline"/>
      </w:pPr>
      <w:bookmarkStart w:id="3" w:name="Commissioners"/>
      <w:bookmarkEnd w:id="3"/>
      <w:r>
        <w:t>ORDER</w:t>
      </w:r>
      <w:bookmarkStart w:id="4" w:name="OrderTitle"/>
      <w:r>
        <w:t xml:space="preserve"> </w:t>
      </w:r>
      <w:r w:rsidR="00883482">
        <w:t>GRANTING IN PART AND DENYING IN PART</w:t>
      </w:r>
    </w:p>
    <w:p w14:paraId="2D2802BA" w14:textId="77777777" w:rsidR="00883482" w:rsidRDefault="00883482" w:rsidP="009B0A0A">
      <w:pPr>
        <w:pStyle w:val="CenterUnderline"/>
      </w:pPr>
      <w:r>
        <w:t>OFFICE OF PUBLIC COUNSEL’S MOTION TO ENLARGE DISCOVERY</w:t>
      </w:r>
    </w:p>
    <w:p w14:paraId="72FD5F1A" w14:textId="77777777" w:rsidR="00CB5276" w:rsidRDefault="00883482" w:rsidP="009B0A0A">
      <w:pPr>
        <w:pStyle w:val="CenterUnderline"/>
      </w:pPr>
      <w:r>
        <w:t>AND DENYING REQUEST FOR ORAL ARGUMENT</w:t>
      </w:r>
      <w:r w:rsidR="009B0A0A">
        <w:t xml:space="preserve"> </w:t>
      </w:r>
      <w:bookmarkEnd w:id="4"/>
    </w:p>
    <w:p w14:paraId="7D3657DC" w14:textId="77777777" w:rsidR="009B0A0A" w:rsidRDefault="009B0A0A" w:rsidP="009B0A0A">
      <w:pPr>
        <w:pStyle w:val="CenterUnderline"/>
      </w:pPr>
    </w:p>
    <w:p w14:paraId="28D59706" w14:textId="77777777" w:rsidR="009B0A0A" w:rsidRPr="00A055CE" w:rsidRDefault="00A055CE" w:rsidP="00A055CE">
      <w:pPr>
        <w:pStyle w:val="OrderBody"/>
        <w:jc w:val="center"/>
        <w:rPr>
          <w:u w:val="single"/>
        </w:rPr>
      </w:pPr>
      <w:r>
        <w:rPr>
          <w:u w:val="single"/>
        </w:rPr>
        <w:t>Background</w:t>
      </w:r>
    </w:p>
    <w:p w14:paraId="250F7DA6" w14:textId="77777777" w:rsidR="00A055CE" w:rsidRDefault="00A055CE">
      <w:pPr>
        <w:pStyle w:val="OrderBody"/>
      </w:pPr>
      <w:bookmarkStart w:id="5" w:name="OrderText"/>
      <w:bookmarkEnd w:id="5"/>
    </w:p>
    <w:p w14:paraId="5E54132F" w14:textId="77777777" w:rsidR="00CC2D70" w:rsidRDefault="00CC2D70">
      <w:pPr>
        <w:pStyle w:val="OrderBody"/>
      </w:pPr>
      <w:r>
        <w:tab/>
        <w:t>On April 1, 2025, the Office of Public Counsel (OPC) filed a Motion to Enlarge Discovery (Motion) and Request for Oral Argument (Request). OPC requests in the Motion that the current limit of 750 interrogatories be removed or, in the alternative, increased to 1,500. In support of this relief, OPC argues that this is a</w:t>
      </w:r>
      <w:r w:rsidR="00866B85">
        <w:t>n extremely</w:t>
      </w:r>
      <w:r>
        <w:t xml:space="preserve"> complex proceeding involving almost $10 billion in rev</w:t>
      </w:r>
      <w:r w:rsidR="00866B85">
        <w:t>enues over four years;</w:t>
      </w:r>
      <w:r>
        <w:t xml:space="preserve"> that it has already propounded </w:t>
      </w:r>
      <w:r w:rsidR="00866B85">
        <w:t>582 interrogatories; and that it needs the current limit eliminated or increased so that it can continue to conduct discovery that it deems crucial to representing the ratepayers.</w:t>
      </w:r>
      <w:r w:rsidR="00A055CE">
        <w:t xml:space="preserve"> OPC requests oral argument on the Motion pursuant to </w:t>
      </w:r>
      <w:r w:rsidR="00A055CE" w:rsidRPr="002A1D5B">
        <w:rPr>
          <w:color w:val="000000"/>
        </w:rPr>
        <w:t>Rule 25-22.0</w:t>
      </w:r>
      <w:r w:rsidR="009568CF">
        <w:rPr>
          <w:color w:val="000000"/>
        </w:rPr>
        <w:t>0</w:t>
      </w:r>
      <w:r w:rsidR="00484AC1">
        <w:rPr>
          <w:color w:val="000000"/>
        </w:rPr>
        <w:t>22</w:t>
      </w:r>
      <w:r w:rsidR="00A055CE" w:rsidRPr="002A1D5B">
        <w:rPr>
          <w:color w:val="000000"/>
        </w:rPr>
        <w:t>, Florida Administrative Code</w:t>
      </w:r>
      <w:r w:rsidR="00A055CE">
        <w:rPr>
          <w:color w:val="000000"/>
        </w:rPr>
        <w:t xml:space="preserve"> (F.A.C.)</w:t>
      </w:r>
      <w:r w:rsidR="00A055CE" w:rsidRPr="002A1D5B">
        <w:rPr>
          <w:color w:val="000000"/>
        </w:rPr>
        <w:t>,</w:t>
      </w:r>
      <w:r w:rsidR="00A055CE">
        <w:rPr>
          <w:color w:val="000000"/>
        </w:rPr>
        <w:t xml:space="preserve"> and in support thereof asserts that argument would assist the Prehearing Officer in disposing of the Motion.</w:t>
      </w:r>
    </w:p>
    <w:p w14:paraId="5A70CFA9" w14:textId="77777777" w:rsidR="00866B85" w:rsidRDefault="00866B85">
      <w:pPr>
        <w:pStyle w:val="OrderBody"/>
      </w:pPr>
    </w:p>
    <w:p w14:paraId="34DB5B37" w14:textId="4EE1A532" w:rsidR="00866B85" w:rsidRDefault="00866B85">
      <w:pPr>
        <w:pStyle w:val="OrderBody"/>
      </w:pPr>
      <w:r>
        <w:tab/>
        <w:t>On April 8, 2025, Florida Power &amp; Light Company (FPL) filed a Response in Opposition to the Motion</w:t>
      </w:r>
      <w:r w:rsidR="00B83BC5">
        <w:t xml:space="preserve"> and a Response in Opposition to the Request</w:t>
      </w:r>
      <w:r>
        <w:t>. FPL argues that the Motion should be denied as premature because OPC has not yet reach</w:t>
      </w:r>
      <w:r w:rsidR="007E5B77">
        <w:t>ed</w:t>
      </w:r>
      <w:r>
        <w:t xml:space="preserve"> the current limit on interrogatories.</w:t>
      </w:r>
      <w:r w:rsidR="00CC5080">
        <w:t xml:space="preserve"> FPL continues that the existing limit is sufficient and consistent with prior practice; that removing the limit would place an undue burden on FPL; and that OPC has failed to demonstrate good cause to increase the limit.</w:t>
      </w:r>
      <w:r w:rsidR="00A055CE">
        <w:t xml:space="preserve"> FPL opposes the Request and argues that no further argument on the issues presented in the Motion is necessary.</w:t>
      </w:r>
    </w:p>
    <w:p w14:paraId="1383CE1C" w14:textId="3135D697" w:rsidR="00E80D45" w:rsidRPr="00E80D45" w:rsidRDefault="00E80D45">
      <w:pPr>
        <w:pStyle w:val="OrderBody"/>
      </w:pPr>
    </w:p>
    <w:p w14:paraId="797627AF" w14:textId="7783C394" w:rsidR="00E80D45" w:rsidRPr="00E80D45" w:rsidRDefault="00E80D45" w:rsidP="00E80D45">
      <w:pPr>
        <w:autoSpaceDE w:val="0"/>
        <w:autoSpaceDN w:val="0"/>
        <w:adjustRightInd w:val="0"/>
        <w:jc w:val="both"/>
      </w:pPr>
      <w:r w:rsidRPr="00E80D45">
        <w:tab/>
      </w:r>
      <w:r w:rsidRPr="00E80D45">
        <w:rPr>
          <w:rFonts w:eastAsia="InvisibleOCR" w:cs="InvisibleOCR"/>
        </w:rPr>
        <w:t xml:space="preserve">The League of United Latin American Citizens, Florida Rising, and the Environmental Confederation of Southwest Florida support the </w:t>
      </w:r>
      <w:r>
        <w:rPr>
          <w:rFonts w:eastAsia="InvisibleOCR" w:cs="InvisibleOCR"/>
        </w:rPr>
        <w:t>M</w:t>
      </w:r>
      <w:r w:rsidRPr="00E80D45">
        <w:rPr>
          <w:rFonts w:eastAsia="InvisibleOCR" w:cs="InvisibleOCR"/>
        </w:rPr>
        <w:t>otion. The Florida Industrial Power Users Group, the Federal Executive Agencies, and the</w:t>
      </w:r>
      <w:r>
        <w:rPr>
          <w:rFonts w:eastAsia="InvisibleOCR" w:cs="InvisibleOCR"/>
        </w:rPr>
        <w:t xml:space="preserve"> </w:t>
      </w:r>
      <w:r w:rsidRPr="00E80D45">
        <w:rPr>
          <w:rFonts w:eastAsia="InvisibleOCR" w:cs="InvisibleOCR"/>
        </w:rPr>
        <w:t>Southern Alliance for Cle</w:t>
      </w:r>
      <w:r>
        <w:rPr>
          <w:rFonts w:eastAsia="InvisibleOCR" w:cs="InvisibleOCR"/>
        </w:rPr>
        <w:t>an Energy do not object to the M</w:t>
      </w:r>
      <w:r w:rsidRPr="00E80D45">
        <w:rPr>
          <w:rFonts w:eastAsia="InvisibleOCR" w:cs="InvisibleOCR"/>
        </w:rPr>
        <w:t>otion. Walmart, the Florida Retail Federation, Electrify America, and EVgo Service</w:t>
      </w:r>
      <w:r>
        <w:rPr>
          <w:rFonts w:eastAsia="InvisibleOCR" w:cs="InvisibleOCR"/>
        </w:rPr>
        <w:t>s, LLC take no position on the M</w:t>
      </w:r>
      <w:r w:rsidRPr="00E80D45">
        <w:rPr>
          <w:rFonts w:eastAsia="InvisibleOCR" w:cs="InvisibleOCR"/>
        </w:rPr>
        <w:t>otion.</w:t>
      </w:r>
    </w:p>
    <w:p w14:paraId="5E471822" w14:textId="77777777" w:rsidR="00A055CE" w:rsidRDefault="00A055CE">
      <w:pPr>
        <w:pStyle w:val="OrderBody"/>
      </w:pPr>
    </w:p>
    <w:p w14:paraId="6875B14E" w14:textId="77777777" w:rsidR="00A055CE" w:rsidRPr="00A055CE" w:rsidRDefault="00A055CE" w:rsidP="00A055CE">
      <w:pPr>
        <w:pStyle w:val="OrderBody"/>
        <w:jc w:val="center"/>
      </w:pPr>
      <w:r>
        <w:rPr>
          <w:u w:val="single"/>
        </w:rPr>
        <w:t>Decision</w:t>
      </w:r>
    </w:p>
    <w:p w14:paraId="061FFF31" w14:textId="77777777" w:rsidR="00B83BC5" w:rsidRDefault="00B83BC5">
      <w:pPr>
        <w:pStyle w:val="OrderBody"/>
      </w:pPr>
    </w:p>
    <w:p w14:paraId="148DA5F6" w14:textId="1599C60C" w:rsidR="00A055CE" w:rsidRPr="002A1D5B" w:rsidRDefault="00B83BC5" w:rsidP="00A055CE">
      <w:pPr>
        <w:shd w:val="clear" w:color="auto" w:fill="FFFFFF"/>
        <w:jc w:val="both"/>
        <w:rPr>
          <w:color w:val="000000"/>
        </w:rPr>
      </w:pPr>
      <w:r>
        <w:tab/>
      </w:r>
      <w:r w:rsidR="00484AC1">
        <w:rPr>
          <w:color w:val="000000"/>
        </w:rPr>
        <w:t>Rule 25-22.0022</w:t>
      </w:r>
      <w:r w:rsidR="00A055CE" w:rsidRPr="002A1D5B">
        <w:rPr>
          <w:color w:val="000000"/>
        </w:rPr>
        <w:t>, F</w:t>
      </w:r>
      <w:r w:rsidR="007E5B77">
        <w:rPr>
          <w:color w:val="000000"/>
        </w:rPr>
        <w:t>.A.C.</w:t>
      </w:r>
      <w:r w:rsidR="00A055CE" w:rsidRPr="002A1D5B">
        <w:rPr>
          <w:color w:val="000000"/>
        </w:rPr>
        <w:t xml:space="preserve">, requires a movant </w:t>
      </w:r>
      <w:r w:rsidR="00A055CE">
        <w:rPr>
          <w:color w:val="000000"/>
        </w:rPr>
        <w:t>to show with particularity why o</w:t>
      </w:r>
      <w:r w:rsidR="00A055CE" w:rsidRPr="002A1D5B">
        <w:rPr>
          <w:color w:val="000000"/>
        </w:rPr>
        <w:t xml:space="preserve">ral </w:t>
      </w:r>
      <w:r w:rsidR="00A055CE">
        <w:rPr>
          <w:color w:val="000000"/>
        </w:rPr>
        <w:t>a</w:t>
      </w:r>
      <w:r w:rsidR="00A055CE" w:rsidRPr="002A1D5B">
        <w:rPr>
          <w:color w:val="000000"/>
        </w:rPr>
        <w:t xml:space="preserve">rgument would aid the </w:t>
      </w:r>
      <w:r w:rsidR="00A055CE">
        <w:rPr>
          <w:color w:val="000000"/>
        </w:rPr>
        <w:t>Prehearing Officer</w:t>
      </w:r>
      <w:r w:rsidR="00A055CE" w:rsidRPr="002A1D5B">
        <w:rPr>
          <w:color w:val="000000"/>
        </w:rPr>
        <w:t xml:space="preserve"> in comprehending and evaluating the issues.</w:t>
      </w:r>
      <w:r w:rsidR="00A055CE">
        <w:rPr>
          <w:color w:val="000000"/>
        </w:rPr>
        <w:t xml:space="preserve"> Although</w:t>
      </w:r>
      <w:r w:rsidR="00A055CE" w:rsidRPr="002A1D5B">
        <w:rPr>
          <w:color w:val="000000"/>
        </w:rPr>
        <w:t xml:space="preserve"> </w:t>
      </w:r>
      <w:r w:rsidR="00A055CE">
        <w:rPr>
          <w:color w:val="000000"/>
        </w:rPr>
        <w:t xml:space="preserve">OPC </w:t>
      </w:r>
      <w:r w:rsidR="00A055CE" w:rsidRPr="002A1D5B">
        <w:rPr>
          <w:color w:val="000000"/>
        </w:rPr>
        <w:t xml:space="preserve">maintains that oral argument is necessary, the Motion </w:t>
      </w:r>
      <w:r w:rsidR="00DC78D6">
        <w:rPr>
          <w:color w:val="000000"/>
        </w:rPr>
        <w:t>presents a full statement of relevant facts and thorough arguments on the issues</w:t>
      </w:r>
      <w:r w:rsidR="00A055CE" w:rsidRPr="002A1D5B">
        <w:rPr>
          <w:color w:val="000000"/>
        </w:rPr>
        <w:t xml:space="preserve">. Therefore, it does not appear to </w:t>
      </w:r>
      <w:r w:rsidR="00DC78D6">
        <w:rPr>
          <w:color w:val="000000"/>
        </w:rPr>
        <w:t>me</w:t>
      </w:r>
      <w:r w:rsidR="00A055CE" w:rsidRPr="002A1D5B">
        <w:rPr>
          <w:color w:val="000000"/>
        </w:rPr>
        <w:t xml:space="preserve"> that </w:t>
      </w:r>
      <w:r w:rsidR="00A055CE" w:rsidRPr="002A1D5B">
        <w:rPr>
          <w:color w:val="000000"/>
          <w:bdr w:val="none" w:sz="0" w:space="0" w:color="auto" w:frame="1"/>
          <w:shd w:val="clear" w:color="auto" w:fill="FFFFFF"/>
        </w:rPr>
        <w:t>oral</w:t>
      </w:r>
      <w:r w:rsidR="00A055CE" w:rsidRPr="002A1D5B">
        <w:rPr>
          <w:color w:val="000000"/>
        </w:rPr>
        <w:t xml:space="preserve"> </w:t>
      </w:r>
      <w:r w:rsidR="00A055CE" w:rsidRPr="002A1D5B">
        <w:rPr>
          <w:color w:val="000000"/>
          <w:bdr w:val="none" w:sz="0" w:space="0" w:color="auto" w:frame="1"/>
          <w:shd w:val="clear" w:color="auto" w:fill="FFFFFF"/>
        </w:rPr>
        <w:t>argument</w:t>
      </w:r>
      <w:r w:rsidR="00A055CE" w:rsidRPr="002A1D5B">
        <w:rPr>
          <w:color w:val="000000"/>
        </w:rPr>
        <w:t xml:space="preserve"> would assist in evaluating the Motion, and the Request for </w:t>
      </w:r>
      <w:r w:rsidR="00A055CE" w:rsidRPr="002A1D5B">
        <w:rPr>
          <w:color w:val="000000"/>
          <w:bdr w:val="none" w:sz="0" w:space="0" w:color="auto" w:frame="1"/>
          <w:shd w:val="clear" w:color="auto" w:fill="FFFFFF"/>
        </w:rPr>
        <w:t>Oral</w:t>
      </w:r>
      <w:r w:rsidR="00A055CE" w:rsidRPr="002A1D5B">
        <w:rPr>
          <w:color w:val="000000"/>
        </w:rPr>
        <w:t xml:space="preserve"> </w:t>
      </w:r>
      <w:r w:rsidR="00A055CE" w:rsidRPr="002A1D5B">
        <w:rPr>
          <w:color w:val="000000"/>
          <w:bdr w:val="none" w:sz="0" w:space="0" w:color="auto" w:frame="1"/>
          <w:shd w:val="clear" w:color="auto" w:fill="FFFFFF"/>
        </w:rPr>
        <w:t>Argument</w:t>
      </w:r>
      <w:r w:rsidR="00A055CE" w:rsidRPr="002A1D5B">
        <w:rPr>
          <w:color w:val="000000"/>
        </w:rPr>
        <w:t xml:space="preserve"> is </w:t>
      </w:r>
      <w:r w:rsidR="00A055CE" w:rsidRPr="002A1D5B">
        <w:rPr>
          <w:color w:val="000000"/>
          <w:bdr w:val="none" w:sz="0" w:space="0" w:color="auto" w:frame="1"/>
          <w:shd w:val="clear" w:color="auto" w:fill="FFFFFF"/>
        </w:rPr>
        <w:t>denied</w:t>
      </w:r>
      <w:r w:rsidR="00A055CE" w:rsidRPr="002A1D5B">
        <w:rPr>
          <w:color w:val="000000"/>
        </w:rPr>
        <w:t>.</w:t>
      </w:r>
    </w:p>
    <w:p w14:paraId="192499D3" w14:textId="77777777" w:rsidR="00CC5080" w:rsidRDefault="00CC5080">
      <w:pPr>
        <w:pStyle w:val="OrderBody"/>
      </w:pPr>
    </w:p>
    <w:p w14:paraId="072D7CB4" w14:textId="2E1AA268" w:rsidR="007B5802" w:rsidRDefault="00CC5080">
      <w:pPr>
        <w:pStyle w:val="OrderBody"/>
      </w:pPr>
      <w:r>
        <w:lastRenderedPageBreak/>
        <w:tab/>
      </w:r>
      <w:r w:rsidR="00B83BC5">
        <w:t>OPC has not demonstrated good cause to</w:t>
      </w:r>
      <w:r w:rsidR="00057C31">
        <w:t xml:space="preserve"> eliminate or</w:t>
      </w:r>
      <w:r w:rsidR="00B83BC5">
        <w:t xml:space="preserve"> double the existing limit</w:t>
      </w:r>
      <w:r w:rsidR="00057C31">
        <w:t xml:space="preserve"> on interrogatories</w:t>
      </w:r>
      <w:r w:rsidR="00B83BC5">
        <w:t>. However, a modest incre</w:t>
      </w:r>
      <w:r w:rsidR="000A188E">
        <w:t xml:space="preserve">ase </w:t>
      </w:r>
      <w:r w:rsidR="007E5B77">
        <w:t>to</w:t>
      </w:r>
      <w:r w:rsidR="000A188E">
        <w:t xml:space="preserve"> the limit is appropriate. Accordingly, t</w:t>
      </w:r>
      <w:r>
        <w:t>he existing limit on interrogatories</w:t>
      </w:r>
      <w:r w:rsidR="00AA678B">
        <w:t>, including all subparts,</w:t>
      </w:r>
      <w:r>
        <w:t xml:space="preserve"> shall be increased for the Office of Public Counsel only from 750 to 850. In all other respects, the Motion to Enlarge Discovery is denied</w:t>
      </w:r>
      <w:r w:rsidR="007B5802">
        <w:t>. This denial is without prejudice to OPC filing a subsequent motion to expand the limit on interrogatories based on a particularized demonstration of good cause as to one or more specific issues.</w:t>
      </w:r>
      <w:r w:rsidR="0069683A">
        <w:t xml:space="preserve"> In addition, I note that the OEP in this docket included robust discovery limits recognizing the complex nature of base rate proceedings and all parties should be judicious and efficient with written discovery.   </w:t>
      </w:r>
    </w:p>
    <w:p w14:paraId="4354DC6B" w14:textId="71A27683" w:rsidR="009E135E" w:rsidRDefault="009E135E">
      <w:pPr>
        <w:pStyle w:val="OrderBody"/>
      </w:pPr>
    </w:p>
    <w:p w14:paraId="2C2DE3C2" w14:textId="2C96C30A" w:rsidR="00CC5080" w:rsidRDefault="00CC5080">
      <w:pPr>
        <w:pStyle w:val="OrderBody"/>
      </w:pPr>
    </w:p>
    <w:p w14:paraId="1DC0C5B5" w14:textId="6381D9B6" w:rsidR="009B0A0A" w:rsidRDefault="009B0A0A" w:rsidP="009B0A0A">
      <w:pPr>
        <w:pStyle w:val="OrderBody"/>
        <w:keepNext/>
        <w:keepLines/>
      </w:pPr>
      <w:r>
        <w:tab/>
        <w:t xml:space="preserve">By ORDER of Chairman Mike La Rosa, as Prehearing Officer, this </w:t>
      </w:r>
      <w:bookmarkStart w:id="6" w:name="replaceDate"/>
      <w:bookmarkEnd w:id="6"/>
      <w:r w:rsidR="00B14F0A">
        <w:rPr>
          <w:u w:val="single"/>
        </w:rPr>
        <w:t>16th</w:t>
      </w:r>
      <w:r w:rsidR="00B14F0A">
        <w:t xml:space="preserve"> day of </w:t>
      </w:r>
      <w:r w:rsidR="00B14F0A">
        <w:rPr>
          <w:u w:val="single"/>
        </w:rPr>
        <w:t>April</w:t>
      </w:r>
      <w:r w:rsidR="00B14F0A">
        <w:t xml:space="preserve">, </w:t>
      </w:r>
      <w:r w:rsidR="00B14F0A">
        <w:rPr>
          <w:u w:val="single"/>
        </w:rPr>
        <w:t>2025</w:t>
      </w:r>
      <w:r w:rsidR="00B14F0A">
        <w:t>.</w:t>
      </w:r>
    </w:p>
    <w:p w14:paraId="0789F8A2" w14:textId="77777777" w:rsidR="00B14F0A" w:rsidRPr="00B14F0A" w:rsidRDefault="00B14F0A" w:rsidP="009B0A0A">
      <w:pPr>
        <w:pStyle w:val="OrderBody"/>
        <w:keepNext/>
        <w:keepLines/>
      </w:pPr>
    </w:p>
    <w:p w14:paraId="076D6E20" w14:textId="77777777" w:rsidR="009B0A0A" w:rsidRDefault="009B0A0A" w:rsidP="009B0A0A">
      <w:pPr>
        <w:pStyle w:val="OrderBody"/>
        <w:keepNext/>
        <w:keepLines/>
      </w:pPr>
    </w:p>
    <w:p w14:paraId="0C266C0A" w14:textId="77777777" w:rsidR="009B0A0A" w:rsidRDefault="009B0A0A" w:rsidP="009B0A0A">
      <w:pPr>
        <w:pStyle w:val="OrderBody"/>
        <w:keepNext/>
        <w:keepLines/>
      </w:pPr>
    </w:p>
    <w:p w14:paraId="390B67C4" w14:textId="77777777" w:rsidR="009B0A0A" w:rsidRDefault="009B0A0A" w:rsidP="009B0A0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B0A0A" w14:paraId="03119348" w14:textId="77777777" w:rsidTr="009B0A0A">
        <w:tc>
          <w:tcPr>
            <w:tcW w:w="720" w:type="dxa"/>
            <w:shd w:val="clear" w:color="auto" w:fill="auto"/>
          </w:tcPr>
          <w:p w14:paraId="0598A386" w14:textId="77777777" w:rsidR="009B0A0A" w:rsidRDefault="009B0A0A" w:rsidP="009B0A0A">
            <w:pPr>
              <w:pStyle w:val="OrderBody"/>
              <w:keepNext/>
              <w:keepLines/>
            </w:pPr>
            <w:bookmarkStart w:id="7" w:name="bkmrkSignature" w:colFirst="0" w:colLast="0"/>
          </w:p>
        </w:tc>
        <w:tc>
          <w:tcPr>
            <w:tcW w:w="4320" w:type="dxa"/>
            <w:tcBorders>
              <w:bottom w:val="single" w:sz="4" w:space="0" w:color="auto"/>
            </w:tcBorders>
            <w:shd w:val="clear" w:color="auto" w:fill="auto"/>
          </w:tcPr>
          <w:p w14:paraId="4BC5EC93" w14:textId="0F7F61D2" w:rsidR="009B0A0A" w:rsidRDefault="00B14F0A" w:rsidP="009B0A0A">
            <w:pPr>
              <w:pStyle w:val="OrderBody"/>
              <w:keepNext/>
              <w:keepLines/>
            </w:pPr>
            <w:r>
              <w:t>/s/ Mike La Rosa</w:t>
            </w:r>
            <w:bookmarkStart w:id="8" w:name="_GoBack"/>
            <w:bookmarkEnd w:id="8"/>
          </w:p>
        </w:tc>
      </w:tr>
      <w:bookmarkEnd w:id="7"/>
      <w:tr w:rsidR="009B0A0A" w14:paraId="609C34AF" w14:textId="77777777" w:rsidTr="009B0A0A">
        <w:tc>
          <w:tcPr>
            <w:tcW w:w="720" w:type="dxa"/>
            <w:shd w:val="clear" w:color="auto" w:fill="auto"/>
          </w:tcPr>
          <w:p w14:paraId="544BD665" w14:textId="77777777" w:rsidR="009B0A0A" w:rsidRDefault="009B0A0A" w:rsidP="009B0A0A">
            <w:pPr>
              <w:pStyle w:val="OrderBody"/>
              <w:keepNext/>
              <w:keepLines/>
            </w:pPr>
          </w:p>
        </w:tc>
        <w:tc>
          <w:tcPr>
            <w:tcW w:w="4320" w:type="dxa"/>
            <w:tcBorders>
              <w:top w:val="single" w:sz="4" w:space="0" w:color="auto"/>
            </w:tcBorders>
            <w:shd w:val="clear" w:color="auto" w:fill="auto"/>
          </w:tcPr>
          <w:p w14:paraId="7C6CC518" w14:textId="77777777" w:rsidR="009B0A0A" w:rsidRDefault="009B0A0A" w:rsidP="009B0A0A">
            <w:pPr>
              <w:pStyle w:val="OrderBody"/>
              <w:keepNext/>
              <w:keepLines/>
            </w:pPr>
            <w:r>
              <w:t>Mike La Rosa</w:t>
            </w:r>
          </w:p>
          <w:p w14:paraId="73D229D8" w14:textId="77777777" w:rsidR="009B0A0A" w:rsidRDefault="009B0A0A" w:rsidP="009B0A0A">
            <w:pPr>
              <w:pStyle w:val="OrderBody"/>
              <w:keepNext/>
              <w:keepLines/>
            </w:pPr>
            <w:r>
              <w:t>Chairman and Prehearing Officer</w:t>
            </w:r>
          </w:p>
        </w:tc>
      </w:tr>
    </w:tbl>
    <w:p w14:paraId="639E0918" w14:textId="77777777" w:rsidR="009B0A0A" w:rsidRDefault="009B0A0A" w:rsidP="009B0A0A">
      <w:pPr>
        <w:pStyle w:val="OrderSigInfo"/>
        <w:keepNext/>
        <w:keepLines/>
      </w:pPr>
      <w:r>
        <w:t>Florida Public Service Commission</w:t>
      </w:r>
    </w:p>
    <w:p w14:paraId="40CFD0A9" w14:textId="77777777" w:rsidR="009B0A0A" w:rsidRDefault="009B0A0A" w:rsidP="009B0A0A">
      <w:pPr>
        <w:pStyle w:val="OrderSigInfo"/>
        <w:keepNext/>
        <w:keepLines/>
      </w:pPr>
      <w:r>
        <w:t>2540 Shumard Oak Boulevard</w:t>
      </w:r>
    </w:p>
    <w:p w14:paraId="7F84AF4B" w14:textId="77777777" w:rsidR="009B0A0A" w:rsidRDefault="009B0A0A" w:rsidP="009B0A0A">
      <w:pPr>
        <w:pStyle w:val="OrderSigInfo"/>
        <w:keepNext/>
        <w:keepLines/>
      </w:pPr>
      <w:r>
        <w:t>Tallahassee, Florida 32399</w:t>
      </w:r>
    </w:p>
    <w:p w14:paraId="2045D087" w14:textId="77777777" w:rsidR="009B0A0A" w:rsidRDefault="009B0A0A" w:rsidP="009B0A0A">
      <w:pPr>
        <w:pStyle w:val="OrderSigInfo"/>
        <w:keepNext/>
        <w:keepLines/>
      </w:pPr>
      <w:r>
        <w:t>(850) 413</w:t>
      </w:r>
      <w:r>
        <w:noBreakHyphen/>
        <w:t>6770</w:t>
      </w:r>
    </w:p>
    <w:p w14:paraId="315D7D52" w14:textId="77777777" w:rsidR="009B0A0A" w:rsidRDefault="009B0A0A" w:rsidP="009B0A0A">
      <w:pPr>
        <w:pStyle w:val="OrderSigInfo"/>
        <w:keepNext/>
        <w:keepLines/>
      </w:pPr>
      <w:r>
        <w:t>www.floridapsc.com</w:t>
      </w:r>
    </w:p>
    <w:p w14:paraId="6A9D880E" w14:textId="77777777" w:rsidR="009B0A0A" w:rsidRDefault="009B0A0A" w:rsidP="009B0A0A">
      <w:pPr>
        <w:pStyle w:val="OrderSigInfo"/>
        <w:keepNext/>
        <w:keepLines/>
      </w:pPr>
    </w:p>
    <w:p w14:paraId="3879760D" w14:textId="77777777" w:rsidR="009B0A0A" w:rsidRDefault="009B0A0A" w:rsidP="009B0A0A">
      <w:pPr>
        <w:pStyle w:val="OrderSigInfo"/>
        <w:keepNext/>
        <w:keepLines/>
      </w:pPr>
      <w:r>
        <w:t>Copies furnished:  A copy of this document is provided to the parties of record at the time of issuance and, if applicable, interested persons.</w:t>
      </w:r>
    </w:p>
    <w:p w14:paraId="26B298F5" w14:textId="77777777" w:rsidR="009B0A0A" w:rsidRDefault="009B0A0A" w:rsidP="009B0A0A">
      <w:pPr>
        <w:pStyle w:val="OrderBody"/>
        <w:keepNext/>
        <w:keepLines/>
      </w:pPr>
    </w:p>
    <w:p w14:paraId="2CA2A661" w14:textId="77777777" w:rsidR="009B0A0A" w:rsidRDefault="009B0A0A" w:rsidP="009B0A0A">
      <w:pPr>
        <w:pStyle w:val="OrderBody"/>
        <w:keepNext/>
        <w:keepLines/>
      </w:pPr>
    </w:p>
    <w:p w14:paraId="76D593A1" w14:textId="77777777" w:rsidR="009B0A0A" w:rsidRDefault="009B0A0A" w:rsidP="009B0A0A">
      <w:pPr>
        <w:pStyle w:val="OrderBody"/>
        <w:keepNext/>
        <w:keepLines/>
      </w:pPr>
      <w:r>
        <w:t>SPS</w:t>
      </w:r>
    </w:p>
    <w:p w14:paraId="7A8D70C2" w14:textId="77777777" w:rsidR="009B0A0A" w:rsidRDefault="009B0A0A" w:rsidP="009B0A0A">
      <w:pPr>
        <w:pStyle w:val="OrderBody"/>
      </w:pPr>
    </w:p>
    <w:p w14:paraId="1F2BCAA0" w14:textId="77777777" w:rsidR="009B0A0A" w:rsidRDefault="009B0A0A" w:rsidP="009B0A0A">
      <w:pPr>
        <w:pStyle w:val="OrderBody"/>
      </w:pPr>
    </w:p>
    <w:p w14:paraId="6E09113F" w14:textId="77777777" w:rsidR="009B0A0A" w:rsidRDefault="009B0A0A" w:rsidP="009B0A0A">
      <w:pPr>
        <w:pStyle w:val="CenterUnderline"/>
      </w:pPr>
      <w:r>
        <w:t>NOTICE OF FURTHER PROCEEDINGS OR JUDICIAL REVIEW</w:t>
      </w:r>
    </w:p>
    <w:p w14:paraId="6CE795C5" w14:textId="77777777" w:rsidR="009B0A0A" w:rsidRDefault="009B0A0A" w:rsidP="009B0A0A">
      <w:pPr>
        <w:pStyle w:val="CenterUnderline"/>
      </w:pPr>
    </w:p>
    <w:p w14:paraId="0B699863" w14:textId="77777777" w:rsidR="009B0A0A" w:rsidRDefault="009B0A0A" w:rsidP="009B0A0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D07BE24" w14:textId="77777777" w:rsidR="009B0A0A" w:rsidRDefault="009B0A0A" w:rsidP="009B0A0A">
      <w:pPr>
        <w:pStyle w:val="OrderBody"/>
      </w:pPr>
    </w:p>
    <w:p w14:paraId="5D166369" w14:textId="77777777" w:rsidR="009B0A0A" w:rsidRDefault="009B0A0A" w:rsidP="009B0A0A">
      <w:pPr>
        <w:pStyle w:val="OrderBody"/>
      </w:pPr>
      <w:r>
        <w:tab/>
        <w:t>Mediation may be available on a case-by-case basis.  If mediation is conducted, it does not affect a substantially interested person's right to a hearing.</w:t>
      </w:r>
    </w:p>
    <w:p w14:paraId="3EF0A88F" w14:textId="77777777" w:rsidR="009B0A0A" w:rsidRDefault="009B0A0A" w:rsidP="009B0A0A">
      <w:pPr>
        <w:pStyle w:val="OrderBody"/>
      </w:pPr>
    </w:p>
    <w:p w14:paraId="406C2724" w14:textId="5D365B53" w:rsidR="009B0A0A" w:rsidRDefault="009B0A0A" w:rsidP="009B0A0A">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026643A" w14:textId="77777777" w:rsidR="009B0A0A" w:rsidRDefault="009B0A0A" w:rsidP="009B0A0A">
      <w:pPr>
        <w:pStyle w:val="OrderBody"/>
      </w:pPr>
    </w:p>
    <w:sectPr w:rsidR="009B0A0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97F5B" w14:textId="77777777" w:rsidR="009B0A0A" w:rsidRDefault="009B0A0A">
      <w:r>
        <w:separator/>
      </w:r>
    </w:p>
  </w:endnote>
  <w:endnote w:type="continuationSeparator" w:id="0">
    <w:p w14:paraId="54FD2859" w14:textId="77777777" w:rsidR="009B0A0A" w:rsidRDefault="009B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79CCB" w14:textId="77777777" w:rsidR="00FA6EFD" w:rsidRDefault="00FA6EFD">
    <w:pPr>
      <w:pStyle w:val="Footer"/>
    </w:pPr>
  </w:p>
  <w:p w14:paraId="4786E9F1"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5766B" w14:textId="77777777" w:rsidR="009B0A0A" w:rsidRDefault="009B0A0A">
      <w:r>
        <w:separator/>
      </w:r>
    </w:p>
  </w:footnote>
  <w:footnote w:type="continuationSeparator" w:id="0">
    <w:p w14:paraId="117CB7AA" w14:textId="77777777" w:rsidR="009B0A0A" w:rsidRDefault="009B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68D5A" w14:textId="2A462F8F" w:rsidR="00FA6EFD" w:rsidRDefault="00FA6EFD">
    <w:pPr>
      <w:pStyle w:val="OrderHeader"/>
    </w:pPr>
    <w:r>
      <w:t xml:space="preserve">ORDER NO. </w:t>
    </w:r>
    <w:fldSimple w:instr=" REF OrderNo0133 ">
      <w:r w:rsidR="00B14F0A">
        <w:t>PSC-2025-0133-PCO-EI</w:t>
      </w:r>
    </w:fldSimple>
  </w:p>
  <w:p w14:paraId="49299441" w14:textId="77777777" w:rsidR="00FA6EFD" w:rsidRDefault="009B0A0A">
    <w:pPr>
      <w:pStyle w:val="OrderHeader"/>
    </w:pPr>
    <w:bookmarkStart w:id="9" w:name="HeaderDocketNo"/>
    <w:bookmarkEnd w:id="9"/>
    <w:r>
      <w:t>DOCKET NO. 20250011-EI</w:t>
    </w:r>
  </w:p>
  <w:p w14:paraId="5B29644B" w14:textId="4D2AB08F"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4F0A">
      <w:rPr>
        <w:rStyle w:val="PageNumber"/>
        <w:noProof/>
      </w:rPr>
      <w:t>2</w:t>
    </w:r>
    <w:r>
      <w:rPr>
        <w:rStyle w:val="PageNumber"/>
      </w:rPr>
      <w:fldChar w:fldCharType="end"/>
    </w:r>
  </w:p>
  <w:p w14:paraId="5DF9738D"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9B0A0A"/>
    <w:rsid w:val="000022B8"/>
    <w:rsid w:val="00003883"/>
    <w:rsid w:val="00011251"/>
    <w:rsid w:val="00025C2A"/>
    <w:rsid w:val="00025C9D"/>
    <w:rsid w:val="0003433F"/>
    <w:rsid w:val="00035A8C"/>
    <w:rsid w:val="00036BDD"/>
    <w:rsid w:val="00041FFD"/>
    <w:rsid w:val="00042C99"/>
    <w:rsid w:val="00053AB9"/>
    <w:rsid w:val="00056229"/>
    <w:rsid w:val="00057AF1"/>
    <w:rsid w:val="00057C31"/>
    <w:rsid w:val="00065FC2"/>
    <w:rsid w:val="00067685"/>
    <w:rsid w:val="00067B07"/>
    <w:rsid w:val="000730D7"/>
    <w:rsid w:val="00076E6B"/>
    <w:rsid w:val="00081AE4"/>
    <w:rsid w:val="0008247D"/>
    <w:rsid w:val="00090AFC"/>
    <w:rsid w:val="00096507"/>
    <w:rsid w:val="000A188E"/>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223E"/>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0238"/>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1960"/>
    <w:rsid w:val="00411DF2"/>
    <w:rsid w:val="00411E8F"/>
    <w:rsid w:val="004247F5"/>
    <w:rsid w:val="0042527B"/>
    <w:rsid w:val="0042705B"/>
    <w:rsid w:val="00427EAC"/>
    <w:rsid w:val="004431B4"/>
    <w:rsid w:val="00445604"/>
    <w:rsid w:val="00451158"/>
    <w:rsid w:val="0045537F"/>
    <w:rsid w:val="00457DC7"/>
    <w:rsid w:val="004640B3"/>
    <w:rsid w:val="00471473"/>
    <w:rsid w:val="00472BCC"/>
    <w:rsid w:val="00477699"/>
    <w:rsid w:val="00484AC1"/>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9683A"/>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5802"/>
    <w:rsid w:val="007C0FBC"/>
    <w:rsid w:val="007C29C9"/>
    <w:rsid w:val="007C35B8"/>
    <w:rsid w:val="007C36E3"/>
    <w:rsid w:val="007C3ABB"/>
    <w:rsid w:val="007C7134"/>
    <w:rsid w:val="007C7ECF"/>
    <w:rsid w:val="007D3D20"/>
    <w:rsid w:val="007D44F9"/>
    <w:rsid w:val="007D742E"/>
    <w:rsid w:val="007E3AFD"/>
    <w:rsid w:val="007E542E"/>
    <w:rsid w:val="007E5B77"/>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66B85"/>
    <w:rsid w:val="008703D7"/>
    <w:rsid w:val="00874429"/>
    <w:rsid w:val="00875D22"/>
    <w:rsid w:val="0088348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568CF"/>
    <w:rsid w:val="00964A38"/>
    <w:rsid w:val="00966A9D"/>
    <w:rsid w:val="0096742B"/>
    <w:rsid w:val="00967C64"/>
    <w:rsid w:val="009718C5"/>
    <w:rsid w:val="00976AFF"/>
    <w:rsid w:val="00986AED"/>
    <w:rsid w:val="009924CF"/>
    <w:rsid w:val="00994100"/>
    <w:rsid w:val="009A04B7"/>
    <w:rsid w:val="009A6B17"/>
    <w:rsid w:val="009B052E"/>
    <w:rsid w:val="009B0A0A"/>
    <w:rsid w:val="009B4E00"/>
    <w:rsid w:val="009D4C29"/>
    <w:rsid w:val="009E135E"/>
    <w:rsid w:val="009E58E9"/>
    <w:rsid w:val="009E6803"/>
    <w:rsid w:val="009F417D"/>
    <w:rsid w:val="009F6AD2"/>
    <w:rsid w:val="009F7C1B"/>
    <w:rsid w:val="00A00B5B"/>
    <w:rsid w:val="00A00D8D"/>
    <w:rsid w:val="00A01BB6"/>
    <w:rsid w:val="00A055CE"/>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678B"/>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14F0A"/>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35"/>
    <w:rsid w:val="00B61D42"/>
    <w:rsid w:val="00B67A43"/>
    <w:rsid w:val="00B71D1F"/>
    <w:rsid w:val="00B72CFF"/>
    <w:rsid w:val="00B73DE6"/>
    <w:rsid w:val="00B761CD"/>
    <w:rsid w:val="00B76B66"/>
    <w:rsid w:val="00B83BC5"/>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093A"/>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2D70"/>
    <w:rsid w:val="00CC5080"/>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2E2F"/>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C78D6"/>
    <w:rsid w:val="00DD382A"/>
    <w:rsid w:val="00DD592E"/>
    <w:rsid w:val="00DE057F"/>
    <w:rsid w:val="00DE2082"/>
    <w:rsid w:val="00DE2289"/>
    <w:rsid w:val="00DF09A7"/>
    <w:rsid w:val="00DF2B51"/>
    <w:rsid w:val="00E001D6"/>
    <w:rsid w:val="00E03A76"/>
    <w:rsid w:val="00E04410"/>
    <w:rsid w:val="00E07484"/>
    <w:rsid w:val="00E11351"/>
    <w:rsid w:val="00E12C5B"/>
    <w:rsid w:val="00E33F44"/>
    <w:rsid w:val="00E37D48"/>
    <w:rsid w:val="00E4225C"/>
    <w:rsid w:val="00E44879"/>
    <w:rsid w:val="00E72914"/>
    <w:rsid w:val="00E75AE0"/>
    <w:rsid w:val="00E76B61"/>
    <w:rsid w:val="00E80D45"/>
    <w:rsid w:val="00E83C1F"/>
    <w:rsid w:val="00E85684"/>
    <w:rsid w:val="00E8794B"/>
    <w:rsid w:val="00E94A27"/>
    <w:rsid w:val="00E97656"/>
    <w:rsid w:val="00EA004A"/>
    <w:rsid w:val="00EA172C"/>
    <w:rsid w:val="00EA259B"/>
    <w:rsid w:val="00EA35A3"/>
    <w:rsid w:val="00EA3E6A"/>
    <w:rsid w:val="00EA69CF"/>
    <w:rsid w:val="00EB18EF"/>
    <w:rsid w:val="00EB58F4"/>
    <w:rsid w:val="00EB7951"/>
    <w:rsid w:val="00EC2F26"/>
    <w:rsid w:val="00ED6A79"/>
    <w:rsid w:val="00EE17DF"/>
    <w:rsid w:val="00EF1482"/>
    <w:rsid w:val="00EF4621"/>
    <w:rsid w:val="00EF4D52"/>
    <w:rsid w:val="00EF6312"/>
    <w:rsid w:val="00F00C4B"/>
    <w:rsid w:val="00F038B0"/>
    <w:rsid w:val="00F05F34"/>
    <w:rsid w:val="00F20A31"/>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5D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C78D6"/>
    <w:rPr>
      <w:rFonts w:ascii="Segoe UI" w:hAnsi="Segoe UI" w:cs="Segoe UI"/>
      <w:sz w:val="18"/>
      <w:szCs w:val="18"/>
    </w:rPr>
  </w:style>
  <w:style w:type="character" w:customStyle="1" w:styleId="BalloonTextChar">
    <w:name w:val="Balloon Text Char"/>
    <w:basedOn w:val="DefaultParagraphFont"/>
    <w:link w:val="BalloonText"/>
    <w:semiHidden/>
    <w:rsid w:val="00DC78D6"/>
    <w:rPr>
      <w:rFonts w:ascii="Segoe UI" w:hAnsi="Segoe UI" w:cs="Segoe UI"/>
      <w:sz w:val="18"/>
      <w:szCs w:val="18"/>
    </w:rPr>
  </w:style>
  <w:style w:type="character" w:styleId="CommentReference">
    <w:name w:val="annotation reference"/>
    <w:basedOn w:val="DefaultParagraphFont"/>
    <w:semiHidden/>
    <w:unhideWhenUsed/>
    <w:rsid w:val="00C2093A"/>
    <w:rPr>
      <w:sz w:val="16"/>
      <w:szCs w:val="16"/>
    </w:rPr>
  </w:style>
  <w:style w:type="paragraph" w:styleId="CommentText">
    <w:name w:val="annotation text"/>
    <w:basedOn w:val="Normal"/>
    <w:link w:val="CommentTextChar"/>
    <w:semiHidden/>
    <w:unhideWhenUsed/>
    <w:rsid w:val="00C2093A"/>
    <w:rPr>
      <w:sz w:val="20"/>
      <w:szCs w:val="20"/>
    </w:rPr>
  </w:style>
  <w:style w:type="character" w:customStyle="1" w:styleId="CommentTextChar">
    <w:name w:val="Comment Text Char"/>
    <w:basedOn w:val="DefaultParagraphFont"/>
    <w:link w:val="CommentText"/>
    <w:semiHidden/>
    <w:rsid w:val="00C2093A"/>
  </w:style>
  <w:style w:type="paragraph" w:styleId="CommentSubject">
    <w:name w:val="annotation subject"/>
    <w:basedOn w:val="CommentText"/>
    <w:next w:val="CommentText"/>
    <w:link w:val="CommentSubjectChar"/>
    <w:semiHidden/>
    <w:unhideWhenUsed/>
    <w:rsid w:val="00C2093A"/>
    <w:rPr>
      <w:b/>
      <w:bCs/>
    </w:rPr>
  </w:style>
  <w:style w:type="character" w:customStyle="1" w:styleId="CommentSubjectChar">
    <w:name w:val="Comment Subject Char"/>
    <w:basedOn w:val="CommentTextChar"/>
    <w:link w:val="CommentSubject"/>
    <w:semiHidden/>
    <w:rsid w:val="00C20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2025-04-16T15:24:00Z</dcterms:created>
  <dcterms:modified xsi:type="dcterms:W3CDTF">2025-04-16T16:44:00Z</dcterms:modified>
</cp:coreProperties>
</file>