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5C5CF7">
            <w:pPr>
              <w:pStyle w:val="MemoHeading"/>
            </w:pPr>
            <w:bookmarkStart w:id="1" w:name="FilingDate"/>
            <w:r>
              <w:t>April 24</w:t>
            </w:r>
            <w:r w:rsidR="00DE456E">
              <w:t>,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DE456E" w:rsidRDefault="00DE456E">
            <w:pPr>
              <w:pStyle w:val="MemoHeading"/>
            </w:pPr>
            <w:bookmarkStart w:id="2" w:name="From"/>
            <w:r>
              <w:t>Division of Engineering (Thompson, Ellis, King, Ramos)</w:t>
            </w:r>
          </w:p>
          <w:p w:rsidR="00DE456E" w:rsidRDefault="00DE456E">
            <w:pPr>
              <w:pStyle w:val="MemoHeading"/>
            </w:pPr>
            <w:r>
              <w:t>Division of Accounting and Finance (Bardin)</w:t>
            </w:r>
          </w:p>
          <w:p w:rsidR="00DE456E" w:rsidRDefault="00DE456E">
            <w:pPr>
              <w:pStyle w:val="MemoHeading"/>
            </w:pPr>
            <w:r>
              <w:t>Division of Economics (Bethea)</w:t>
            </w:r>
          </w:p>
          <w:p w:rsidR="007C0528" w:rsidRDefault="00DE456E">
            <w:pPr>
              <w:pStyle w:val="MemoHeading"/>
            </w:pPr>
            <w:r>
              <w:t>Office of the General Counsel (Marquez, Farooqi)</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DE456E">
            <w:pPr>
              <w:pStyle w:val="MemoHeadingRe"/>
            </w:pPr>
            <w:bookmarkStart w:id="3" w:name="Re"/>
            <w:r>
              <w:t>Docket No. 20240121-WU – Application for grandfather certificate to operate water utility in Columbia County by Consolidated Water Works</w:t>
            </w:r>
            <w:r w:rsidR="00044BE3">
              <w:t>, Inc</w:t>
            </w:r>
            <w:r>
              <w:t>.</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DE456E" w:rsidP="00F176C6">
            <w:pPr>
              <w:pStyle w:val="MemoHeading"/>
            </w:pPr>
            <w:bookmarkStart w:id="4" w:name="AgendaDate"/>
            <w:r>
              <w:t>0</w:t>
            </w:r>
            <w:r w:rsidR="005C5CF7">
              <w:t>5</w:t>
            </w:r>
            <w:r>
              <w:t>/0</w:t>
            </w:r>
            <w:r w:rsidR="005C5CF7">
              <w:t>6</w:t>
            </w:r>
            <w:r>
              <w:t>/25</w:t>
            </w:r>
            <w:bookmarkEnd w:id="4"/>
            <w:r w:rsidR="007C0528">
              <w:t xml:space="preserve"> – </w:t>
            </w:r>
            <w:bookmarkStart w:id="5" w:name="PermittedStatus"/>
            <w:r>
              <w:t xml:space="preserve">Regular Agenda – </w:t>
            </w:r>
            <w:r w:rsidR="005A2409">
              <w:t>Proposed Agency Action for Issue</w:t>
            </w:r>
            <w:r w:rsidR="00F176C6">
              <w:t xml:space="preserve"> 3 </w:t>
            </w:r>
            <w:r w:rsidR="005A2409">
              <w:t xml:space="preserve">–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DE456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DE456E">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DE456E">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DE456E">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765605" w:rsidRPr="003F5957" w:rsidRDefault="00765605" w:rsidP="00765605">
      <w:pPr>
        <w:jc w:val="both"/>
      </w:pPr>
      <w:r w:rsidRPr="003F5957">
        <w:t>On May 16, 2024, the Board of County C</w:t>
      </w:r>
      <w:r w:rsidR="00B13436">
        <w:t>ommissioners of Columbia County</w:t>
      </w:r>
      <w:r w:rsidRPr="003F5957">
        <w:t xml:space="preserve"> adopted Resolution No. 2024R-13 (Resolution), transferring regulation of the privately-owned, for</w:t>
      </w:r>
      <w:r w:rsidR="00EF2941">
        <w:t>-</w:t>
      </w:r>
      <w:r w:rsidRPr="003F5957">
        <w:t xml:space="preserve">profit water and wastewater utilities in Columbia County to the Florida Public Service Commission (Commission). Effective upon the adoption of the Resolution, all non-exempt water and </w:t>
      </w:r>
      <w:proofErr w:type="gramStart"/>
      <w:r w:rsidRPr="003F5957">
        <w:t>wastewater</w:t>
      </w:r>
      <w:proofErr w:type="gramEnd"/>
      <w:r w:rsidRPr="003F5957">
        <w:t xml:space="preserve"> systems in Columbia County became subject </w:t>
      </w:r>
      <w:r w:rsidR="00332759">
        <w:t>of</w:t>
      </w:r>
      <w:r w:rsidR="00332759" w:rsidRPr="003F5957">
        <w:t xml:space="preserve"> </w:t>
      </w:r>
      <w:r w:rsidRPr="003F5957">
        <w:t>the provisions of Chapter 367, Florida Statutes (F.S.). By Order No. PSC-2024-0222-FOF-WS, the Commission acknowledged the Resolution.</w:t>
      </w:r>
      <w:r w:rsidRPr="003F5957">
        <w:rPr>
          <w:vertAlign w:val="superscript"/>
        </w:rPr>
        <w:footnoteReference w:id="1"/>
      </w:r>
      <w:r w:rsidRPr="003F5957">
        <w:t xml:space="preserve"> </w:t>
      </w:r>
    </w:p>
    <w:p w:rsidR="00765605" w:rsidRPr="003F5957" w:rsidRDefault="00765605" w:rsidP="00765605">
      <w:pPr>
        <w:jc w:val="both"/>
      </w:pPr>
    </w:p>
    <w:p w:rsidR="00765605" w:rsidRPr="003F5957" w:rsidRDefault="00765605" w:rsidP="00765605">
      <w:pPr>
        <w:jc w:val="both"/>
      </w:pPr>
      <w:r w:rsidRPr="003F5957">
        <w:t>Pursuant to Section 367.171(2</w:t>
      </w:r>
      <w:proofErr w:type="gramStart"/>
      <w:r w:rsidRPr="003F5957">
        <w:t>)(</w:t>
      </w:r>
      <w:proofErr w:type="gramEnd"/>
      <w:r w:rsidRPr="003F5957">
        <w:t>b), F.S., each utility engaged in the operation or construction of a system shall be entitled to receive a certificate for the area served by such utility on the day the chapter becomes applicable to the utility. On August 14, 2024, Consolidated Water Works, Inc. (Consolidated or Utility) filed an application for a certificate under grandfather rights to provide water service in Columbia County pursuant to Section 367.171(2), F.S., and Rule 25-30.035, Florida Administrative Code (F.A.C.). The Utility’s initial application was found to be deficient and staff issued a deficiency letter on September 20, 2024.</w:t>
      </w:r>
      <w:r w:rsidRPr="003F5957">
        <w:rPr>
          <w:vertAlign w:val="superscript"/>
        </w:rPr>
        <w:footnoteReference w:id="2"/>
      </w:r>
      <w:r w:rsidRPr="003F5957">
        <w:t xml:space="preserve"> Consolidated filed a response to the deficiencies on October 22, 2024.</w:t>
      </w:r>
      <w:r w:rsidRPr="003F5957">
        <w:rPr>
          <w:vertAlign w:val="superscript"/>
        </w:rPr>
        <w:footnoteReference w:id="3"/>
      </w:r>
      <w:r w:rsidRPr="003F5957">
        <w:t xml:space="preserve"> The application was still found to be deficient. Staff issued a second deficiency letter on November 21, 2024.</w:t>
      </w:r>
      <w:r w:rsidRPr="003F5957">
        <w:rPr>
          <w:vertAlign w:val="superscript"/>
        </w:rPr>
        <w:footnoteReference w:id="4"/>
      </w:r>
      <w:r w:rsidRPr="003F5957">
        <w:t xml:space="preserve"> Consolidated cured the deficiencies on </w:t>
      </w:r>
      <w:r w:rsidR="005C5CF7">
        <w:t>March 19, 2025</w:t>
      </w:r>
      <w:r w:rsidRPr="003F5957">
        <w:t>.</w:t>
      </w:r>
      <w:r w:rsidRPr="003F5957">
        <w:rPr>
          <w:vertAlign w:val="superscript"/>
        </w:rPr>
        <w:footnoteReference w:id="5"/>
      </w:r>
    </w:p>
    <w:p w:rsidR="00765605" w:rsidRPr="003F5957" w:rsidRDefault="00765605" w:rsidP="00765605">
      <w:pPr>
        <w:jc w:val="both"/>
      </w:pPr>
    </w:p>
    <w:p w:rsidR="0068481F" w:rsidRDefault="00765605" w:rsidP="00765605">
      <w:pPr>
        <w:pStyle w:val="BodyText"/>
      </w:pPr>
      <w:r w:rsidRPr="002B0120">
        <w:t xml:space="preserve">The </w:t>
      </w:r>
      <w:r w:rsidRPr="003F5957">
        <w:t xml:space="preserve">Consolidated </w:t>
      </w:r>
      <w:r w:rsidRPr="002B0120">
        <w:t xml:space="preserve">system has been in existence since </w:t>
      </w:r>
      <w:r w:rsidRPr="003F5957">
        <w:t>1974</w:t>
      </w:r>
      <w:r w:rsidRPr="002B0120">
        <w:t xml:space="preserve"> and currently serves </w:t>
      </w:r>
      <w:r w:rsidRPr="003F5957">
        <w:t>235</w:t>
      </w:r>
      <w:r w:rsidRPr="002B0120">
        <w:t xml:space="preserve"> residential customer</w:t>
      </w:r>
      <w:r w:rsidRPr="003F5957">
        <w:t>s</w:t>
      </w:r>
      <w:r w:rsidRPr="002B0120">
        <w:t>. The Utility’s service area is located in the S</w:t>
      </w:r>
      <w:r w:rsidRPr="003F5957">
        <w:t>uwannee River</w:t>
      </w:r>
      <w:r w:rsidRPr="002B0120">
        <w:t xml:space="preserve"> Water Management District. This recommendation addresses the application for </w:t>
      </w:r>
      <w:r w:rsidRPr="003F5957">
        <w:t xml:space="preserve">a </w:t>
      </w:r>
      <w:r w:rsidRPr="002B0120">
        <w:t xml:space="preserve">grandfather water </w:t>
      </w:r>
      <w:r w:rsidRPr="003F5957">
        <w:t>certificate</w:t>
      </w:r>
      <w:r w:rsidRPr="002B0120">
        <w:t xml:space="preserve"> and rates and charges. The Commission has jurisdiction </w:t>
      </w:r>
      <w:r w:rsidRPr="003F5957">
        <w:rPr>
          <w:rFonts w:eastAsiaTheme="minorHAnsi" w:cstheme="minorBidi"/>
          <w:szCs w:val="22"/>
        </w:rPr>
        <w:t>over this matter</w:t>
      </w:r>
      <w:r w:rsidRPr="003F5957">
        <w:t xml:space="preserve"> </w:t>
      </w:r>
      <w:r w:rsidRPr="002B0120">
        <w:t>pursuant to Section 367.171, F.S</w:t>
      </w:r>
      <w:r>
        <w:t>.</w:t>
      </w: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DE456E" w:rsidRDefault="00DE456E">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DE456E" w:rsidRDefault="00DE456E">
      <w:pPr>
        <w:pStyle w:val="BodyText"/>
      </w:pPr>
      <w:r>
        <w:t> Should Consolidated Water Works, Inc.’s application for a grandfather water certificate in Columbia County be acknowledged?</w:t>
      </w:r>
    </w:p>
    <w:p w:rsidR="00DE456E" w:rsidRPr="004C3641" w:rsidRDefault="00DE456E">
      <w:pPr>
        <w:pStyle w:val="IssueSubsectionHeading"/>
        <w:rPr>
          <w:vanish/>
          <w:specVanish/>
        </w:rPr>
      </w:pPr>
      <w:r w:rsidRPr="004C3641">
        <w:t>Recommendation: </w:t>
      </w:r>
    </w:p>
    <w:p w:rsidR="00DE456E" w:rsidRDefault="00DE456E">
      <w:pPr>
        <w:pStyle w:val="BodyText"/>
      </w:pPr>
      <w:r>
        <w:t> </w:t>
      </w:r>
      <w:r w:rsidR="00B9464D" w:rsidRPr="002B0120">
        <w:t xml:space="preserve">Yes. </w:t>
      </w:r>
      <w:r w:rsidR="00B9464D">
        <w:t>Consolidated</w:t>
      </w:r>
      <w:r w:rsidR="00B9464D" w:rsidRPr="002B0120">
        <w:t xml:space="preserve">’s application should be </w:t>
      </w:r>
      <w:r w:rsidR="00B9464D">
        <w:t>acknowledged</w:t>
      </w:r>
      <w:r w:rsidR="00B9464D" w:rsidRPr="002B0120">
        <w:t xml:space="preserve"> and the Utility </w:t>
      </w:r>
      <w:r w:rsidR="00B9464D">
        <w:t xml:space="preserve">should be </w:t>
      </w:r>
      <w:r w:rsidR="00EF2941">
        <w:t>granted</w:t>
      </w:r>
      <w:r w:rsidR="00B9464D">
        <w:t xml:space="preserve"> Certificate No</w:t>
      </w:r>
      <w:r w:rsidR="00B9464D" w:rsidRPr="002B0120">
        <w:t xml:space="preserve">. </w:t>
      </w:r>
      <w:r w:rsidR="00B9464D" w:rsidRPr="0050325A">
        <w:t>693-W</w:t>
      </w:r>
      <w:r w:rsidR="00B9464D" w:rsidRPr="002B0120">
        <w:t xml:space="preserve">, effective May </w:t>
      </w:r>
      <w:r w:rsidR="00B9464D">
        <w:t>16</w:t>
      </w:r>
      <w:r w:rsidR="00B9464D" w:rsidRPr="002B0120">
        <w:t xml:space="preserve">, 2024, to serve the territory described in Attachment A. The resultant order should serve as </w:t>
      </w:r>
      <w:r w:rsidR="00B9464D">
        <w:t>Consolidated</w:t>
      </w:r>
      <w:r w:rsidR="00B9464D" w:rsidRPr="002B0120">
        <w:t>’s certificate and should be retained by the Utility</w:t>
      </w:r>
      <w:r w:rsidR="00765605" w:rsidRPr="002B0120">
        <w:t>. (</w:t>
      </w:r>
      <w:r w:rsidR="00765605">
        <w:t>Thompson</w:t>
      </w:r>
      <w:r w:rsidR="00765605" w:rsidRPr="002B0120">
        <w:t>, Bardin</w:t>
      </w:r>
      <w:r w:rsidR="00765605">
        <w:t>)</w:t>
      </w:r>
      <w:r>
        <w:t xml:space="preserve"> </w:t>
      </w:r>
    </w:p>
    <w:p w:rsidR="00DE456E" w:rsidRPr="004C3641" w:rsidRDefault="00DE456E">
      <w:pPr>
        <w:pStyle w:val="IssueSubsectionHeading"/>
        <w:rPr>
          <w:vanish/>
          <w:specVanish/>
        </w:rPr>
      </w:pPr>
      <w:r w:rsidRPr="004C3641">
        <w:t>Staff Analysis: </w:t>
      </w:r>
    </w:p>
    <w:p w:rsidR="00765605" w:rsidRPr="002B0120" w:rsidRDefault="00DE456E" w:rsidP="00765605">
      <w:pPr>
        <w:jc w:val="both"/>
      </w:pPr>
      <w:r>
        <w:t> </w:t>
      </w:r>
      <w:r w:rsidR="00765605" w:rsidRPr="002B0120">
        <w:t>The Utility’s application for certificate under grandfather rights to provide water service in C</w:t>
      </w:r>
      <w:r w:rsidR="00765605" w:rsidRPr="003F5957">
        <w:t>olumbia</w:t>
      </w:r>
      <w:r w:rsidR="00765605" w:rsidRPr="002B0120">
        <w:t xml:space="preserve"> County is in compliance with Section 367.171(2</w:t>
      </w:r>
      <w:proofErr w:type="gramStart"/>
      <w:r w:rsidR="00765605" w:rsidRPr="002B0120">
        <w:t>)(</w:t>
      </w:r>
      <w:proofErr w:type="gramEnd"/>
      <w:r w:rsidR="00765605" w:rsidRPr="002B0120">
        <w:t>b), F.S., and Rule 25-30.035, F.A.C. An adequate service territory description and system maps were provided. As the Utility has its own treatment facilit</w:t>
      </w:r>
      <w:r w:rsidR="00765605" w:rsidRPr="003F5957">
        <w:t xml:space="preserve">ies, the application contains </w:t>
      </w:r>
      <w:r w:rsidR="00765605" w:rsidRPr="002B0120">
        <w:t>warranty deed</w:t>
      </w:r>
      <w:r w:rsidR="00765605" w:rsidRPr="003F5957">
        <w:t>s</w:t>
      </w:r>
      <w:r w:rsidR="00765605" w:rsidRPr="002B0120">
        <w:t xml:space="preserve"> as proof of ownership of the land on which the Utility’s facilities are located as required by Rule 25-30.035(11), F.A.C. A description of the Utility’s territory is </w:t>
      </w:r>
      <w:r w:rsidR="00782E98">
        <w:t>provided</w:t>
      </w:r>
      <w:r w:rsidR="00782E98" w:rsidRPr="002B0120">
        <w:t xml:space="preserve"> </w:t>
      </w:r>
      <w:r w:rsidR="00765605" w:rsidRPr="002B0120">
        <w:t>in Attachment A.</w:t>
      </w:r>
    </w:p>
    <w:p w:rsidR="00765605" w:rsidRPr="003F5957" w:rsidRDefault="00765605" w:rsidP="00765605">
      <w:pPr>
        <w:jc w:val="both"/>
      </w:pPr>
    </w:p>
    <w:p w:rsidR="00765605" w:rsidRPr="003F5957" w:rsidRDefault="00765605" w:rsidP="00765605">
      <w:pPr>
        <w:autoSpaceDE w:val="0"/>
        <w:autoSpaceDN w:val="0"/>
        <w:adjustRightInd w:val="0"/>
        <w:jc w:val="both"/>
        <w:rPr>
          <w:rFonts w:ascii="TimesNewRomanPSMT" w:hAnsi="TimesNewRomanPSMT" w:cs="TimesNewRomanPSMT"/>
        </w:rPr>
      </w:pPr>
      <w:r w:rsidRPr="003F5957">
        <w:t xml:space="preserve">As stated in the case background, Consolidated has been in existence since 1974 and currently serves 235 residential customers. </w:t>
      </w:r>
      <w:r w:rsidRPr="003F5957">
        <w:rPr>
          <w:rFonts w:ascii="TimesNewRomanPSMT" w:hAnsi="TimesNewRomanPSMT" w:cs="TimesNewRomanPSMT"/>
        </w:rPr>
        <w:t>The Utility does not currently have any outstanding citations, violations, or consent orders on file with the Florida Department of Environmental Protection.</w:t>
      </w:r>
    </w:p>
    <w:p w:rsidR="00765605" w:rsidRPr="003F5957" w:rsidRDefault="00765605" w:rsidP="00765605">
      <w:pPr>
        <w:autoSpaceDE w:val="0"/>
        <w:autoSpaceDN w:val="0"/>
        <w:adjustRightInd w:val="0"/>
        <w:jc w:val="both"/>
        <w:rPr>
          <w:rFonts w:ascii="TimesNewRomanPSMT" w:hAnsi="TimesNewRomanPSMT" w:cs="TimesNewRomanPSMT"/>
        </w:rPr>
      </w:pPr>
    </w:p>
    <w:p w:rsidR="00765605" w:rsidRDefault="00765605" w:rsidP="00765605">
      <w:pPr>
        <w:jc w:val="both"/>
        <w:rPr>
          <w:rFonts w:ascii="TimesNewRomanPSMT" w:hAnsi="TimesNewRomanPSMT" w:cs="TimesNewRomanPSMT"/>
        </w:rPr>
      </w:pPr>
      <w:r w:rsidRPr="003F5957">
        <w:rPr>
          <w:rFonts w:ascii="TimesNewRomanPSMT" w:hAnsi="TimesNewRomanPSMT" w:cs="TimesNewRomanPSMT"/>
        </w:rPr>
        <w:t>The Utility is aware of its obligation to submit its 2024 Annual Report pursuant to Rule 25-30.110, F.A.C., and is also aware of its obligation to pay regulatory assessment fees pursuant to Rule 25-30.120, F.A.C. In addition, the Utility is aware that it must maintain its books and records according to the National Association of Regulatory Utility Commissioners’ Uniform System of Accounts.</w:t>
      </w:r>
    </w:p>
    <w:p w:rsidR="00A20FA8" w:rsidRPr="003F5957" w:rsidRDefault="00A20FA8" w:rsidP="00765605">
      <w:pPr>
        <w:jc w:val="both"/>
        <w:rPr>
          <w:rFonts w:ascii="TimesNewRomanPSMT" w:hAnsi="TimesNewRomanPSMT" w:cs="TimesNewRomanPSMT"/>
        </w:rPr>
      </w:pPr>
    </w:p>
    <w:p w:rsidR="00765605" w:rsidRPr="003F5957" w:rsidRDefault="00A20FA8" w:rsidP="00765605">
      <w:pPr>
        <w:jc w:val="both"/>
      </w:pPr>
      <w:r w:rsidRPr="00EC265E">
        <w:rPr>
          <w:rFonts w:ascii="Arial" w:hAnsi="Arial" w:cs="Arial"/>
          <w:b/>
        </w:rPr>
        <w:t>Conclusion</w:t>
      </w:r>
    </w:p>
    <w:p w:rsidR="00DE456E" w:rsidRDefault="00765605" w:rsidP="00765605">
      <w:pPr>
        <w:pStyle w:val="BodyText"/>
      </w:pPr>
      <w:r w:rsidRPr="003F5957">
        <w:t xml:space="preserve">Based on the above, staff recommends that Consolidated be granted </w:t>
      </w:r>
      <w:r w:rsidR="00B9464D" w:rsidRPr="003F5957">
        <w:t>Certificate No.</w:t>
      </w:r>
      <w:r w:rsidR="00B9464D">
        <w:t xml:space="preserve"> 693-W</w:t>
      </w:r>
      <w:r w:rsidR="00B9464D" w:rsidRPr="003F5957">
        <w:t xml:space="preserve"> </w:t>
      </w:r>
      <w:r w:rsidRPr="003F5957">
        <w:t>to serve the territory described in Attachment A. The resultant order should serve as Consolidated’s certificate and should be retained by the Utility</w:t>
      </w:r>
      <w:r>
        <w:t>.</w:t>
      </w:r>
    </w:p>
    <w:p w:rsidR="00DE456E" w:rsidRDefault="00DE456E">
      <w:pPr>
        <w:pStyle w:val="IssueHeading"/>
        <w:rPr>
          <w:vanish/>
          <w:specVanish/>
        </w:rPr>
      </w:pPr>
      <w:r w:rsidRPr="004C3641">
        <w:rPr>
          <w:b w:val="0"/>
          <w:i w:val="0"/>
        </w:rPr>
        <w:br w:type="page"/>
      </w:r>
      <w:r w:rsidRPr="004C3641">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DE456E" w:rsidRDefault="00DE456E">
      <w:pPr>
        <w:pStyle w:val="BodyText"/>
      </w:pPr>
      <w:r>
        <w:t> </w:t>
      </w:r>
      <w:r w:rsidR="00064860">
        <w:t>What rates</w:t>
      </w:r>
      <w:r w:rsidR="00A20FA8">
        <w:t>, charges,</w:t>
      </w:r>
      <w:r w:rsidR="000A041B">
        <w:t xml:space="preserve"> </w:t>
      </w:r>
      <w:r w:rsidR="00064860">
        <w:t>and deposits should be approved for Consolidated Water Works</w:t>
      </w:r>
      <w:r w:rsidR="00D972D8">
        <w:t>, Inc.</w:t>
      </w:r>
      <w:r w:rsidR="00064860" w:rsidRPr="005D4584">
        <w:t>?</w:t>
      </w:r>
    </w:p>
    <w:p w:rsidR="00DE456E" w:rsidRPr="004C3641" w:rsidRDefault="00DE456E">
      <w:pPr>
        <w:pStyle w:val="IssueSubsectionHeading"/>
        <w:rPr>
          <w:vanish/>
          <w:specVanish/>
        </w:rPr>
      </w:pPr>
      <w:r w:rsidRPr="004C3641">
        <w:t>Recommendation: </w:t>
      </w:r>
    </w:p>
    <w:p w:rsidR="00DE456E" w:rsidRDefault="00DE456E">
      <w:pPr>
        <w:pStyle w:val="BodyText"/>
      </w:pPr>
      <w:r>
        <w:t> </w:t>
      </w:r>
      <w:r w:rsidR="00A20FA8">
        <w:t>Of t</w:t>
      </w:r>
      <w:r w:rsidR="00064860">
        <w:t>he U</w:t>
      </w:r>
      <w:r w:rsidR="00064860" w:rsidRPr="00BC6566">
        <w:t>tility’s</w:t>
      </w:r>
      <w:r w:rsidR="00064860">
        <w:t xml:space="preserve"> rates</w:t>
      </w:r>
      <w:r w:rsidR="00A20FA8">
        <w:t>, charges,</w:t>
      </w:r>
      <w:r w:rsidR="00064860">
        <w:t xml:space="preserve"> and deposits</w:t>
      </w:r>
      <w:r w:rsidR="00064860" w:rsidRPr="00BC6566">
        <w:t xml:space="preserve"> th</w:t>
      </w:r>
      <w:r w:rsidR="00064860">
        <w:t xml:space="preserve">at were </w:t>
      </w:r>
      <w:r w:rsidR="00A20FA8">
        <w:t>approved by</w:t>
      </w:r>
      <w:r w:rsidR="00064860">
        <w:t xml:space="preserve"> Columbia</w:t>
      </w:r>
      <w:r w:rsidR="00064860" w:rsidRPr="00BC6566">
        <w:t xml:space="preserve"> County </w:t>
      </w:r>
      <w:r w:rsidR="00A20FA8">
        <w:t xml:space="preserve">and in effect when Columbia County </w:t>
      </w:r>
      <w:r w:rsidR="00064860" w:rsidRPr="00BC6566">
        <w:t>transferred jurisdiction to the Commi</w:t>
      </w:r>
      <w:r w:rsidR="00D972D8">
        <w:t>ssion</w:t>
      </w:r>
      <w:r w:rsidR="00A20FA8">
        <w:t>,</w:t>
      </w:r>
      <w:r w:rsidR="005850F5">
        <w:t xml:space="preserve"> </w:t>
      </w:r>
      <w:r w:rsidR="00124A6E">
        <w:t xml:space="preserve">the rates, charges, and initial customer deposit </w:t>
      </w:r>
      <w:r w:rsidR="00064860">
        <w:t>shown on Schedule No. 1</w:t>
      </w:r>
      <w:r w:rsidR="00D972D8">
        <w:t xml:space="preserve"> </w:t>
      </w:r>
      <w:r w:rsidR="00124A6E">
        <w:t xml:space="preserve">are appropriate </w:t>
      </w:r>
      <w:r w:rsidR="00D972D8">
        <w:t>and</w:t>
      </w:r>
      <w:r w:rsidR="00064860">
        <w:t xml:space="preserve"> should be approved. </w:t>
      </w:r>
      <w:r w:rsidR="00124A6E">
        <w:t xml:space="preserve">In addition, the Utility’s existing Violation Reconnection Charge and Premise Visit Charge should be approved. </w:t>
      </w:r>
      <w:r w:rsidR="00064860" w:rsidRPr="00FE384A">
        <w:t>The</w:t>
      </w:r>
      <w:r w:rsidR="00124A6E">
        <w:t>se charges, as well as the</w:t>
      </w:r>
      <w:r w:rsidR="00064860" w:rsidRPr="00FE384A">
        <w:t xml:space="preserve"> rate</w:t>
      </w:r>
      <w:r w:rsidR="00124A6E">
        <w:t>, charge</w:t>
      </w:r>
      <w:r w:rsidR="00064860" w:rsidRPr="00FE384A">
        <w:t>s</w:t>
      </w:r>
      <w:r w:rsidR="00124A6E">
        <w:t>,</w:t>
      </w:r>
      <w:r w:rsidR="00D972D8">
        <w:t xml:space="preserve"> </w:t>
      </w:r>
      <w:r w:rsidR="00064860">
        <w:t xml:space="preserve">and </w:t>
      </w:r>
      <w:r w:rsidR="00D972D8">
        <w:t>initial</w:t>
      </w:r>
      <w:r w:rsidR="00064860">
        <w:t xml:space="preserve"> </w:t>
      </w:r>
      <w:r w:rsidR="00124A6E">
        <w:t xml:space="preserve">customer </w:t>
      </w:r>
      <w:r w:rsidR="00064860">
        <w:t>deposit</w:t>
      </w:r>
      <w:r w:rsidR="00064860" w:rsidRPr="00FE384A">
        <w:t xml:space="preserve"> </w:t>
      </w:r>
      <w:r w:rsidR="00124A6E">
        <w:t xml:space="preserve">shown in Schedule No. 1, </w:t>
      </w:r>
      <w:r w:rsidR="00064860" w:rsidRPr="00FE384A">
        <w:t xml:space="preserve">should be effective for service rendered </w:t>
      </w:r>
      <w:r w:rsidR="00064860">
        <w:t xml:space="preserve">or connections made </w:t>
      </w:r>
      <w:r w:rsidR="00064860" w:rsidRPr="00FE384A">
        <w:t>on or after the stamped approval date on the tariff shee</w:t>
      </w:r>
      <w:r w:rsidR="00064860">
        <w:t>ts pursuant to Rule 25-30.475, F.A.C. The U</w:t>
      </w:r>
      <w:r w:rsidR="00064860" w:rsidRPr="00FE384A">
        <w:t xml:space="preserve">tility should be required to charge the approved </w:t>
      </w:r>
      <w:r w:rsidR="001E56C7">
        <w:t xml:space="preserve">Violation Reconnection Charge and Premise Visit Charge, as well as the </w:t>
      </w:r>
      <w:r w:rsidR="00064860" w:rsidRPr="00FE384A">
        <w:t>rates</w:t>
      </w:r>
      <w:r w:rsidR="001E56C7">
        <w:t>, charges,</w:t>
      </w:r>
      <w:r w:rsidR="00064860">
        <w:t xml:space="preserve"> and </w:t>
      </w:r>
      <w:r w:rsidR="0093414F">
        <w:t>initial</w:t>
      </w:r>
      <w:r w:rsidR="00064860">
        <w:t xml:space="preserve"> </w:t>
      </w:r>
      <w:r w:rsidR="001E56C7">
        <w:t xml:space="preserve">customer </w:t>
      </w:r>
      <w:r w:rsidR="00064860">
        <w:t>deposit</w:t>
      </w:r>
      <w:r w:rsidR="00064860" w:rsidRPr="00FE384A">
        <w:t xml:space="preserve"> </w:t>
      </w:r>
      <w:r w:rsidR="001E56C7">
        <w:t xml:space="preserve">shown in Schedule No. 1 </w:t>
      </w:r>
      <w:r w:rsidR="00064860" w:rsidRPr="00FE384A">
        <w:t>until authorized to change them by th</w:t>
      </w:r>
      <w:r w:rsidR="001E56C7">
        <w:t>e</w:t>
      </w:r>
      <w:r w:rsidR="00064860" w:rsidRPr="00FE384A">
        <w:t xml:space="preserve"> Commissi</w:t>
      </w:r>
      <w:r w:rsidR="00064860">
        <w:t>on in a subsequent proceeding</w:t>
      </w:r>
      <w:r w:rsidR="00064860" w:rsidRPr="00FE384A">
        <w:t xml:space="preserve">. </w:t>
      </w:r>
      <w:r w:rsidR="00064860">
        <w:t>(Bethea)</w:t>
      </w:r>
      <w:r>
        <w:t xml:space="preserve"> </w:t>
      </w:r>
    </w:p>
    <w:p w:rsidR="00DE456E" w:rsidRPr="004C3641" w:rsidRDefault="00DE456E">
      <w:pPr>
        <w:pStyle w:val="IssueSubsectionHeading"/>
        <w:rPr>
          <w:vanish/>
          <w:specVanish/>
        </w:rPr>
      </w:pPr>
      <w:r w:rsidRPr="004C3641">
        <w:t>Staff Analysis: </w:t>
      </w:r>
    </w:p>
    <w:p w:rsidR="001E56C7" w:rsidRDefault="00DE456E" w:rsidP="00260503">
      <w:pPr>
        <w:jc w:val="both"/>
        <w:outlineLvl w:val="1"/>
      </w:pPr>
      <w:r>
        <w:t> </w:t>
      </w:r>
      <w:r w:rsidR="00064860" w:rsidRPr="00C57005">
        <w:t xml:space="preserve">Columbia County Board of County Commissioners approved the Utility’s current monthly water rates by Resolution Number 2024R-05 on March 21, 2024. The monthly water rates </w:t>
      </w:r>
      <w:r w:rsidR="001E56C7">
        <w:t>consist of</w:t>
      </w:r>
      <w:r w:rsidR="00064860" w:rsidRPr="00C57005">
        <w:t xml:space="preserve"> a base facility charge and gallonage charge per 1,000 gallons. The Utility’s </w:t>
      </w:r>
      <w:r w:rsidR="00AE3E76">
        <w:t xml:space="preserve">water </w:t>
      </w:r>
      <w:r w:rsidR="00064860" w:rsidRPr="00C57005">
        <w:t xml:space="preserve">charges </w:t>
      </w:r>
      <w:r w:rsidR="00AE3E76">
        <w:t>consist</w:t>
      </w:r>
      <w:r w:rsidR="00064860" w:rsidRPr="00C57005">
        <w:t xml:space="preserve"> </w:t>
      </w:r>
      <w:r w:rsidR="00AE3E76">
        <w:t xml:space="preserve">of </w:t>
      </w:r>
      <w:r w:rsidR="00064860" w:rsidRPr="00C57005">
        <w:t xml:space="preserve">miscellaneous service charges </w:t>
      </w:r>
      <w:r w:rsidR="00085DD1">
        <w:t>that</w:t>
      </w:r>
      <w:r w:rsidR="00064860" w:rsidRPr="00C57005">
        <w:t xml:space="preserve"> have been in effect since the Utility was acquired by the existing owner</w:t>
      </w:r>
      <w:r w:rsidR="001E56C7">
        <w:t>,</w:t>
      </w:r>
      <w:r w:rsidR="00064860" w:rsidRPr="00C57005">
        <w:t xml:space="preserve"> </w:t>
      </w:r>
      <w:r w:rsidR="001E56C7">
        <w:t>however, some of t</w:t>
      </w:r>
      <w:r w:rsidR="00064860" w:rsidRPr="00C57005">
        <w:t xml:space="preserve">he miscellaneous service charges are not consistent with </w:t>
      </w:r>
      <w:r w:rsidR="001E56C7">
        <w:t xml:space="preserve">Florida Statutes or </w:t>
      </w:r>
      <w:r w:rsidR="00064860" w:rsidRPr="00C57005">
        <w:t xml:space="preserve">Commission </w:t>
      </w:r>
      <w:r w:rsidR="001E56C7">
        <w:t>R</w:t>
      </w:r>
      <w:r w:rsidR="00064860" w:rsidRPr="00C57005">
        <w:t xml:space="preserve">ules and </w:t>
      </w:r>
      <w:r w:rsidR="001E56C7">
        <w:t xml:space="preserve">staff recommends they be modified </w:t>
      </w:r>
      <w:r w:rsidR="00064860" w:rsidRPr="00C57005">
        <w:t xml:space="preserve">in Issue </w:t>
      </w:r>
      <w:r w:rsidR="00E8165D">
        <w:t>3</w:t>
      </w:r>
      <w:r w:rsidR="00064860" w:rsidRPr="00C57005">
        <w:t xml:space="preserve">. </w:t>
      </w:r>
      <w:r w:rsidR="001E56C7">
        <w:t xml:space="preserve">Though, as stated previously, the Utility’s existing Violation Reconnection Charge and Premise Visit Charge remain unchanged and should be approved herein. </w:t>
      </w:r>
      <w:r w:rsidR="00064860" w:rsidRPr="00C57005">
        <w:t>The Utility is fully built out and has no service availability charges.</w:t>
      </w:r>
    </w:p>
    <w:p w:rsidR="001E56C7" w:rsidRDefault="001E56C7" w:rsidP="00260503">
      <w:pPr>
        <w:jc w:val="both"/>
        <w:outlineLvl w:val="1"/>
      </w:pPr>
    </w:p>
    <w:p w:rsidR="00064860" w:rsidRDefault="001E56C7" w:rsidP="00260503">
      <w:pPr>
        <w:jc w:val="both"/>
        <w:outlineLvl w:val="1"/>
      </w:pPr>
      <w:r w:rsidRPr="00EC265E">
        <w:rPr>
          <w:rFonts w:ascii="Arial" w:hAnsi="Arial" w:cs="Arial"/>
          <w:b/>
        </w:rPr>
        <w:t>Conclusion</w:t>
      </w:r>
    </w:p>
    <w:p w:rsidR="00DE456E" w:rsidRDefault="00064860" w:rsidP="00260503">
      <w:pPr>
        <w:pStyle w:val="BodyText"/>
        <w:spacing w:after="0"/>
      </w:pPr>
      <w:r>
        <w:t>Staff recommends that</w:t>
      </w:r>
      <w:r w:rsidR="00AE3E76">
        <w:t>, of</w:t>
      </w:r>
      <w:r>
        <w:t xml:space="preserve"> the U</w:t>
      </w:r>
      <w:r w:rsidRPr="00BC6566">
        <w:t>tility’s</w:t>
      </w:r>
      <w:r>
        <w:t xml:space="preserve"> rates</w:t>
      </w:r>
      <w:r w:rsidR="00AE3E76">
        <w:t>, charges,</w:t>
      </w:r>
      <w:r>
        <w:t xml:space="preserve"> and deposits</w:t>
      </w:r>
      <w:r w:rsidRPr="00BC6566">
        <w:t xml:space="preserve"> th</w:t>
      </w:r>
      <w:r>
        <w:t xml:space="preserve">at were </w:t>
      </w:r>
      <w:r w:rsidR="00AE3E76">
        <w:t xml:space="preserve">approved by Columbia County and </w:t>
      </w:r>
      <w:r>
        <w:t>in effect when Columbia</w:t>
      </w:r>
      <w:r w:rsidRPr="00BC6566">
        <w:t xml:space="preserve"> County transferred jurisdiction to the Commi</w:t>
      </w:r>
      <w:r>
        <w:t>ssion</w:t>
      </w:r>
      <w:r w:rsidR="00DC26C7">
        <w:t xml:space="preserve">, </w:t>
      </w:r>
      <w:r w:rsidR="00AE3E76">
        <w:t xml:space="preserve">only the rates, charges, and initial customer deposit </w:t>
      </w:r>
      <w:r w:rsidR="00DC26C7">
        <w:t>shown on Schedule No. 1</w:t>
      </w:r>
      <w:r w:rsidR="00AE3E76">
        <w:t>, and the Utility’s existing Violation Reconnection Charge and Premise Visit Charge</w:t>
      </w:r>
      <w:r w:rsidR="00DC26C7">
        <w:t>,</w:t>
      </w:r>
      <w:r>
        <w:t xml:space="preserve"> </w:t>
      </w:r>
      <w:r w:rsidR="00AE3E76">
        <w:t xml:space="preserve">are appropriate and </w:t>
      </w:r>
      <w:r>
        <w:t xml:space="preserve">should be approved. </w:t>
      </w:r>
      <w:r w:rsidRPr="00FE384A">
        <w:t>The rates</w:t>
      </w:r>
      <w:r w:rsidR="00AE3E76">
        <w:t>, charges,</w:t>
      </w:r>
      <w:r>
        <w:t xml:space="preserve"> and </w:t>
      </w:r>
      <w:r w:rsidR="00085DD1">
        <w:t>initial</w:t>
      </w:r>
      <w:r>
        <w:t xml:space="preserve"> </w:t>
      </w:r>
      <w:r w:rsidR="00AE3E76">
        <w:t xml:space="preserve">customer </w:t>
      </w:r>
      <w:r>
        <w:t>deposit</w:t>
      </w:r>
      <w:r w:rsidRPr="00FE384A">
        <w:t xml:space="preserve"> </w:t>
      </w:r>
      <w:r w:rsidR="00AE3E76">
        <w:t xml:space="preserve">shown on Schedule No. 1 </w:t>
      </w:r>
      <w:r w:rsidRPr="00FE384A">
        <w:t xml:space="preserve">should be effective for service rendered </w:t>
      </w:r>
      <w:r>
        <w:t xml:space="preserve">or connections made </w:t>
      </w:r>
      <w:r w:rsidRPr="00FE384A">
        <w:t>on or after the stamped approval date on the tariff shee</w:t>
      </w:r>
      <w:r>
        <w:t>ts pursuant to Rule 25-30.475, F.A.C. The U</w:t>
      </w:r>
      <w:r w:rsidRPr="00FE384A">
        <w:t xml:space="preserve">tility should be required to charge the approved </w:t>
      </w:r>
      <w:r w:rsidR="00AE3E76">
        <w:t xml:space="preserve">Violation Reconnection Charge and Premise Visit Charge, as well as the </w:t>
      </w:r>
      <w:r w:rsidRPr="00FE384A">
        <w:t>rates</w:t>
      </w:r>
      <w:r w:rsidR="00AE3E76">
        <w:t>, charges,</w:t>
      </w:r>
      <w:r>
        <w:t xml:space="preserve"> and initial </w:t>
      </w:r>
      <w:r w:rsidR="00AE3E76">
        <w:t xml:space="preserve">customer </w:t>
      </w:r>
      <w:r>
        <w:t>deposit</w:t>
      </w:r>
      <w:r w:rsidRPr="00FE384A">
        <w:t xml:space="preserve"> </w:t>
      </w:r>
      <w:r w:rsidR="00AE3E76">
        <w:t xml:space="preserve">shown in Schedule No. 1 </w:t>
      </w:r>
      <w:r w:rsidRPr="00FE384A">
        <w:t>until authorized to change them by th</w:t>
      </w:r>
      <w:r w:rsidR="00AE3E76">
        <w:t>e</w:t>
      </w:r>
      <w:r w:rsidRPr="00FE384A">
        <w:t xml:space="preserve"> Commissi</w:t>
      </w:r>
      <w:r>
        <w:t>on in a subsequent proceeding.</w:t>
      </w:r>
    </w:p>
    <w:p w:rsidR="00DE456E" w:rsidRDefault="00DE456E">
      <w:pPr>
        <w:pStyle w:val="IssueHeading"/>
        <w:rPr>
          <w:vanish/>
          <w:specVanish/>
        </w:rPr>
      </w:pPr>
      <w:r w:rsidRPr="004C3641">
        <w:rPr>
          <w:b w:val="0"/>
          <w:i w:val="0"/>
        </w:rPr>
        <w:br w:type="page"/>
      </w:r>
      <w:r w:rsidRPr="004C3641">
        <w:t xml:space="preserve">Issue </w:t>
      </w:r>
      <w:fldSimple w:instr=" SEQ Issue \* MERGEFORMAT ">
        <w:r>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 \l 1 </w:instrText>
      </w:r>
      <w:r>
        <w:fldChar w:fldCharType="end"/>
      </w:r>
      <w:r>
        <w:t> </w:t>
      </w:r>
    </w:p>
    <w:p w:rsidR="00DE456E" w:rsidRDefault="00DE456E">
      <w:pPr>
        <w:pStyle w:val="BodyText"/>
      </w:pPr>
      <w:r>
        <w:t> </w:t>
      </w:r>
      <w:r w:rsidR="00064860" w:rsidRPr="00EC265E">
        <w:t>What are the appropriate miscellaneous service cha</w:t>
      </w:r>
      <w:r w:rsidR="00064860">
        <w:t>rges for Consolidate Water Works</w:t>
      </w:r>
      <w:r w:rsidR="008459B9">
        <w:t>, Inc.</w:t>
      </w:r>
      <w:r w:rsidR="00064860">
        <w:t>?</w:t>
      </w:r>
    </w:p>
    <w:p w:rsidR="00DE456E" w:rsidRPr="004C3641" w:rsidRDefault="00DE456E">
      <w:pPr>
        <w:pStyle w:val="IssueSubsectionHeading"/>
        <w:rPr>
          <w:vanish/>
          <w:specVanish/>
        </w:rPr>
      </w:pPr>
      <w:r w:rsidRPr="004C3641">
        <w:t>Recommendation: </w:t>
      </w:r>
    </w:p>
    <w:p w:rsidR="00DE456E" w:rsidRDefault="00DE456E">
      <w:pPr>
        <w:pStyle w:val="BodyText"/>
      </w:pPr>
      <w:r>
        <w:t> </w:t>
      </w:r>
      <w:r w:rsidR="00AE3E76">
        <w:t xml:space="preserve">With the exception of the Utility’s existing Violation Reconnection Charge and Premise Visit Charge (which are approved in Issue 2), no other miscellaneous service charge should be approved. </w:t>
      </w:r>
      <w:r w:rsidR="00F343B2">
        <w:t>T</w:t>
      </w:r>
      <w:r w:rsidR="00064860">
        <w:t xml:space="preserve">he appropriate miscellaneous service charges are shown on Table </w:t>
      </w:r>
      <w:r w:rsidR="000F1918">
        <w:t>3</w:t>
      </w:r>
      <w:r w:rsidR="00064860" w:rsidRPr="00245880">
        <w:t>-2.</w:t>
      </w:r>
      <w:r w:rsidR="00064860">
        <w:t xml:space="preserve"> The Utility </w:t>
      </w:r>
      <w:r w:rsidR="00064860" w:rsidRPr="00C44090">
        <w:t>should be required to file a proposed customer notice to reflect the Commission-approved charge</w:t>
      </w:r>
      <w:r w:rsidR="00064860">
        <w:t>s</w:t>
      </w:r>
      <w:r w:rsidR="00064860" w:rsidRPr="00C44090">
        <w:t>. The approved charge</w:t>
      </w:r>
      <w:r w:rsidR="00064860">
        <w:t>s</w:t>
      </w:r>
      <w:r w:rsidR="00064860" w:rsidRPr="00C44090">
        <w:t xml:space="preserve"> should be effective </w:t>
      </w:r>
      <w:r w:rsidR="00064860">
        <w:t xml:space="preserve">for service rendered or connections made </w:t>
      </w:r>
      <w:r w:rsidR="00064860" w:rsidRPr="00C44090">
        <w:t>on or after the stamped approval date on the tariff sheet pursuant to Rule 25-30.475, F.A.C. In addition,</w:t>
      </w:r>
      <w:r w:rsidR="00064860" w:rsidRPr="00892D27">
        <w:t xml:space="preserve"> </w:t>
      </w:r>
      <w:r w:rsidR="00064860">
        <w:t>the tariff sheets will be approved upon staff’s verification that the tariffs are consistent with the Commission’s decision and that the proposed customer notice is adequate. (Bethea)</w:t>
      </w:r>
      <w:r>
        <w:t xml:space="preserve"> </w:t>
      </w:r>
    </w:p>
    <w:p w:rsidR="00DE456E" w:rsidRPr="004C3641" w:rsidRDefault="00DE456E">
      <w:pPr>
        <w:pStyle w:val="IssueSubsectionHeading"/>
        <w:rPr>
          <w:vanish/>
          <w:specVanish/>
        </w:rPr>
      </w:pPr>
      <w:r w:rsidRPr="004C3641">
        <w:t>Staff Analysis: </w:t>
      </w:r>
    </w:p>
    <w:p w:rsidR="00064860" w:rsidRDefault="00DE456E" w:rsidP="00064860">
      <w:pPr>
        <w:jc w:val="both"/>
      </w:pPr>
      <w:r>
        <w:t> </w:t>
      </w:r>
      <w:r w:rsidR="00AC6AE9">
        <w:t xml:space="preserve">The Utility did not request to revise its existing miscellaneous service charges. </w:t>
      </w:r>
      <w:r w:rsidR="00064860" w:rsidRPr="00EC265E">
        <w:rPr>
          <w:rFonts w:ascii="TimesNewRomanPSMT" w:hAnsi="TimesNewRomanPSMT" w:cs="TimesNewRomanPSMT"/>
        </w:rPr>
        <w:t xml:space="preserve">Section 367.091, F.S., authorizes the Commission to establish, increase, or change a rate or charge other than monthly rates or service availability charges. </w:t>
      </w:r>
      <w:r w:rsidR="00064860" w:rsidRPr="00EC265E">
        <w:t xml:space="preserve">Staff </w:t>
      </w:r>
      <w:r w:rsidR="00AC6AE9">
        <w:t>recommends</w:t>
      </w:r>
      <w:r w:rsidR="00064860" w:rsidRPr="00EC265E">
        <w:t xml:space="preserve"> that some of the Utility’s existing charges</w:t>
      </w:r>
      <w:r w:rsidR="00AC6AE9">
        <w:t>,</w:t>
      </w:r>
      <w:r w:rsidR="00064860" w:rsidRPr="00EC265E">
        <w:t xml:space="preserve"> </w:t>
      </w:r>
      <w:r w:rsidR="00AC6AE9">
        <w:t xml:space="preserve">namely the Initial Connection and Normal Reconnection charges, </w:t>
      </w:r>
      <w:r w:rsidR="00064860" w:rsidRPr="00EC265E">
        <w:t xml:space="preserve">should be revised to conform </w:t>
      </w:r>
      <w:proofErr w:type="gramStart"/>
      <w:r w:rsidR="00AC6AE9">
        <w:t>with</w:t>
      </w:r>
      <w:proofErr w:type="gramEnd"/>
      <w:r w:rsidR="00AC6AE9">
        <w:t xml:space="preserve"> Rule 25-30.460, F.A.C</w:t>
      </w:r>
      <w:r w:rsidR="00064860" w:rsidRPr="00EC265E">
        <w:t xml:space="preserve">. </w:t>
      </w:r>
      <w:r w:rsidR="00AC6AE9">
        <w:t xml:space="preserve">As discussed in Issue 2, the Utility’s Violation Reconnection Charge and Premise Visit Charge should be approved without modification. </w:t>
      </w:r>
      <w:r w:rsidR="00064860" w:rsidRPr="00EC265E">
        <w:t>The Utility’s current</w:t>
      </w:r>
      <w:r w:rsidR="00064860">
        <w:t xml:space="preserve"> miscellaneous service charges for</w:t>
      </w:r>
      <w:r w:rsidR="00064860" w:rsidRPr="00EC265E">
        <w:t xml:space="preserve"> water consist of various </w:t>
      </w:r>
      <w:r w:rsidR="00064860">
        <w:t xml:space="preserve">charges and are shown on Table </w:t>
      </w:r>
      <w:r w:rsidR="000F1918">
        <w:t>3</w:t>
      </w:r>
      <w:r w:rsidR="00064860" w:rsidRPr="00245880">
        <w:t>-1.</w:t>
      </w:r>
    </w:p>
    <w:p w:rsidR="00AC6AE9" w:rsidRPr="00EC265E" w:rsidRDefault="00AC6AE9" w:rsidP="00064860">
      <w:pPr>
        <w:jc w:val="both"/>
      </w:pPr>
    </w:p>
    <w:p w:rsidR="00064860" w:rsidRPr="00EC265E" w:rsidRDefault="00064860" w:rsidP="00064860">
      <w:pPr>
        <w:kinsoku w:val="0"/>
        <w:overflowPunct w:val="0"/>
        <w:autoSpaceDE w:val="0"/>
        <w:autoSpaceDN w:val="0"/>
        <w:adjustRightInd w:val="0"/>
        <w:spacing w:line="268" w:lineRule="exact"/>
        <w:ind w:right="3"/>
        <w:jc w:val="center"/>
        <w:rPr>
          <w:rFonts w:ascii="Arial" w:hAnsi="Arial" w:cs="Arial"/>
          <w:b/>
          <w:bCs/>
        </w:rPr>
      </w:pPr>
      <w:r w:rsidRPr="00245880">
        <w:rPr>
          <w:rFonts w:ascii="Arial" w:hAnsi="Arial" w:cs="Arial"/>
          <w:b/>
          <w:bCs/>
        </w:rPr>
        <w:t xml:space="preserve">Table </w:t>
      </w:r>
      <w:r w:rsidR="000F1918">
        <w:rPr>
          <w:rFonts w:ascii="Arial" w:hAnsi="Arial" w:cs="Arial"/>
          <w:b/>
          <w:bCs/>
        </w:rPr>
        <w:t>3</w:t>
      </w:r>
      <w:r w:rsidRPr="00245880">
        <w:rPr>
          <w:rFonts w:ascii="Arial" w:hAnsi="Arial" w:cs="Arial"/>
          <w:b/>
          <w:bCs/>
        </w:rPr>
        <w:t>-1</w:t>
      </w:r>
    </w:p>
    <w:p w:rsidR="00064860" w:rsidRDefault="00064860" w:rsidP="00064860">
      <w:pPr>
        <w:kinsoku w:val="0"/>
        <w:overflowPunct w:val="0"/>
        <w:autoSpaceDE w:val="0"/>
        <w:autoSpaceDN w:val="0"/>
        <w:adjustRightInd w:val="0"/>
        <w:ind w:right="1"/>
        <w:jc w:val="center"/>
        <w:rPr>
          <w:rFonts w:ascii="Arial" w:hAnsi="Arial" w:cs="Arial"/>
          <w:b/>
          <w:bCs/>
        </w:rPr>
      </w:pPr>
      <w:r>
        <w:rPr>
          <w:rFonts w:ascii="Arial" w:hAnsi="Arial" w:cs="Arial"/>
          <w:b/>
          <w:bCs/>
        </w:rPr>
        <w:t>Consolidated Water Works</w:t>
      </w:r>
      <w:r w:rsidR="00A20FA8">
        <w:rPr>
          <w:rFonts w:ascii="Arial" w:hAnsi="Arial" w:cs="Arial"/>
          <w:b/>
          <w:bCs/>
        </w:rPr>
        <w:t>, Inc.</w:t>
      </w:r>
    </w:p>
    <w:p w:rsidR="00064860" w:rsidRPr="00EC265E" w:rsidRDefault="00064860" w:rsidP="00064860">
      <w:pPr>
        <w:kinsoku w:val="0"/>
        <w:overflowPunct w:val="0"/>
        <w:autoSpaceDE w:val="0"/>
        <w:autoSpaceDN w:val="0"/>
        <w:adjustRightInd w:val="0"/>
        <w:ind w:right="1"/>
        <w:jc w:val="center"/>
        <w:rPr>
          <w:rFonts w:ascii="Arial" w:hAnsi="Arial" w:cs="Arial"/>
          <w:b/>
          <w:bCs/>
        </w:rPr>
      </w:pPr>
      <w:r w:rsidRPr="00EC265E">
        <w:rPr>
          <w:rFonts w:ascii="Arial" w:hAnsi="Arial" w:cs="Arial"/>
          <w:b/>
          <w:bCs/>
        </w:rPr>
        <w:t>Existing Miscellaneous Service Charges</w:t>
      </w:r>
    </w:p>
    <w:tbl>
      <w:tblPr>
        <w:tblW w:w="8354"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4574"/>
        <w:gridCol w:w="221"/>
        <w:gridCol w:w="3559"/>
      </w:tblGrid>
      <w:tr w:rsidR="00064860" w:rsidRPr="00EC265E" w:rsidTr="001978CB">
        <w:trPr>
          <w:trHeight w:val="278"/>
          <w:jc w:val="center"/>
        </w:trPr>
        <w:tc>
          <w:tcPr>
            <w:tcW w:w="4795" w:type="dxa"/>
            <w:gridSpan w:val="2"/>
          </w:tcPr>
          <w:p w:rsidR="00064860" w:rsidRPr="00EC265E" w:rsidRDefault="00064860" w:rsidP="001978CB">
            <w:pPr>
              <w:kinsoku w:val="0"/>
              <w:overflowPunct w:val="0"/>
              <w:autoSpaceDE w:val="0"/>
              <w:autoSpaceDN w:val="0"/>
              <w:adjustRightInd w:val="0"/>
              <w:rPr>
                <w:sz w:val="20"/>
                <w:szCs w:val="20"/>
              </w:rPr>
            </w:pPr>
          </w:p>
        </w:tc>
        <w:tc>
          <w:tcPr>
            <w:tcW w:w="3559" w:type="dxa"/>
          </w:tcPr>
          <w:p w:rsidR="00064860" w:rsidRPr="00EC265E" w:rsidRDefault="00064860" w:rsidP="001978CB">
            <w:pPr>
              <w:kinsoku w:val="0"/>
              <w:overflowPunct w:val="0"/>
              <w:autoSpaceDE w:val="0"/>
              <w:autoSpaceDN w:val="0"/>
              <w:adjustRightInd w:val="0"/>
              <w:spacing w:line="259" w:lineRule="exact"/>
              <w:ind w:right="362"/>
              <w:jc w:val="center"/>
              <w:rPr>
                <w:b/>
                <w:bCs/>
                <w:spacing w:val="-2"/>
                <w:u w:val="single"/>
              </w:rPr>
            </w:pPr>
            <w:r>
              <w:rPr>
                <w:b/>
                <w:bCs/>
                <w:spacing w:val="-2"/>
                <w:u w:val="single"/>
              </w:rPr>
              <w:t>Existing W</w:t>
            </w:r>
            <w:r w:rsidRPr="00EC265E">
              <w:rPr>
                <w:b/>
                <w:bCs/>
                <w:spacing w:val="-2"/>
                <w:u w:val="single"/>
              </w:rPr>
              <w:t>ater</w:t>
            </w:r>
          </w:p>
          <w:p w:rsidR="00064860" w:rsidRPr="00EC265E" w:rsidRDefault="00064860" w:rsidP="001978CB">
            <w:pPr>
              <w:kinsoku w:val="0"/>
              <w:overflowPunct w:val="0"/>
              <w:autoSpaceDE w:val="0"/>
              <w:autoSpaceDN w:val="0"/>
              <w:adjustRightInd w:val="0"/>
              <w:spacing w:line="259" w:lineRule="exact"/>
              <w:ind w:right="362"/>
              <w:jc w:val="right"/>
              <w:rPr>
                <w:b/>
                <w:bCs/>
                <w:spacing w:val="-2"/>
                <w:u w:val="single"/>
              </w:rPr>
            </w:pPr>
          </w:p>
        </w:tc>
      </w:tr>
      <w:tr w:rsidR="00064860" w:rsidRPr="00EC265E" w:rsidTr="001978CB">
        <w:trPr>
          <w:trHeight w:val="280"/>
          <w:jc w:val="center"/>
        </w:trPr>
        <w:tc>
          <w:tcPr>
            <w:tcW w:w="4574" w:type="dxa"/>
          </w:tcPr>
          <w:p w:rsidR="00064860" w:rsidRPr="00EC265E" w:rsidRDefault="00064860" w:rsidP="001978CB">
            <w:pPr>
              <w:kinsoku w:val="0"/>
              <w:overflowPunct w:val="0"/>
              <w:autoSpaceDE w:val="0"/>
              <w:autoSpaceDN w:val="0"/>
              <w:adjustRightInd w:val="0"/>
              <w:spacing w:line="261" w:lineRule="exact"/>
              <w:ind w:left="107"/>
            </w:pPr>
            <w:r>
              <w:t>Initial Connection Charge</w:t>
            </w:r>
          </w:p>
        </w:tc>
        <w:tc>
          <w:tcPr>
            <w:tcW w:w="3780" w:type="dxa"/>
            <w:gridSpan w:val="2"/>
          </w:tcPr>
          <w:p w:rsidR="00064860" w:rsidRPr="00EC265E" w:rsidRDefault="00064860" w:rsidP="001978CB">
            <w:pPr>
              <w:kinsoku w:val="0"/>
              <w:overflowPunct w:val="0"/>
              <w:autoSpaceDE w:val="0"/>
              <w:autoSpaceDN w:val="0"/>
              <w:adjustRightInd w:val="0"/>
              <w:spacing w:line="261" w:lineRule="exact"/>
              <w:ind w:right="365"/>
              <w:jc w:val="center"/>
              <w:rPr>
                <w:spacing w:val="-2"/>
              </w:rPr>
            </w:pPr>
            <w:r>
              <w:rPr>
                <w:spacing w:val="-2"/>
              </w:rPr>
              <w:t>$25.00</w:t>
            </w:r>
          </w:p>
        </w:tc>
      </w:tr>
      <w:tr w:rsidR="00064860" w:rsidRPr="00EC265E" w:rsidTr="001978CB">
        <w:trPr>
          <w:trHeight w:val="302"/>
          <w:jc w:val="center"/>
        </w:trPr>
        <w:tc>
          <w:tcPr>
            <w:tcW w:w="4574" w:type="dxa"/>
          </w:tcPr>
          <w:p w:rsidR="00064860" w:rsidRPr="00EC265E" w:rsidRDefault="00064860" w:rsidP="001978CB">
            <w:pPr>
              <w:kinsoku w:val="0"/>
              <w:overflowPunct w:val="0"/>
              <w:autoSpaceDE w:val="0"/>
              <w:autoSpaceDN w:val="0"/>
              <w:adjustRightInd w:val="0"/>
              <w:spacing w:before="1"/>
              <w:ind w:left="107"/>
            </w:pPr>
            <w:r>
              <w:t>Normal Reconnection Charge</w:t>
            </w:r>
          </w:p>
        </w:tc>
        <w:tc>
          <w:tcPr>
            <w:tcW w:w="3780" w:type="dxa"/>
            <w:gridSpan w:val="2"/>
          </w:tcPr>
          <w:p w:rsidR="00064860" w:rsidRPr="00EC265E" w:rsidRDefault="00064860" w:rsidP="001978CB">
            <w:pPr>
              <w:kinsoku w:val="0"/>
              <w:overflowPunct w:val="0"/>
              <w:autoSpaceDE w:val="0"/>
              <w:autoSpaceDN w:val="0"/>
              <w:adjustRightInd w:val="0"/>
              <w:spacing w:before="1"/>
              <w:ind w:right="365"/>
              <w:jc w:val="center"/>
              <w:rPr>
                <w:spacing w:val="-2"/>
              </w:rPr>
            </w:pPr>
            <w:r>
              <w:rPr>
                <w:spacing w:val="-2"/>
              </w:rPr>
              <w:t>$25</w:t>
            </w:r>
            <w:r w:rsidRPr="00EC265E">
              <w:rPr>
                <w:spacing w:val="-2"/>
              </w:rPr>
              <w:t>.00</w:t>
            </w:r>
          </w:p>
        </w:tc>
      </w:tr>
      <w:tr w:rsidR="00064860" w:rsidRPr="00EC265E" w:rsidTr="001978CB">
        <w:trPr>
          <w:trHeight w:val="308"/>
          <w:jc w:val="center"/>
        </w:trPr>
        <w:tc>
          <w:tcPr>
            <w:tcW w:w="4574" w:type="dxa"/>
          </w:tcPr>
          <w:p w:rsidR="00064860" w:rsidRPr="00EC265E" w:rsidRDefault="00064860" w:rsidP="001978CB">
            <w:pPr>
              <w:kinsoku w:val="0"/>
              <w:overflowPunct w:val="0"/>
              <w:autoSpaceDE w:val="0"/>
              <w:autoSpaceDN w:val="0"/>
              <w:adjustRightInd w:val="0"/>
              <w:spacing w:before="15" w:line="273" w:lineRule="exact"/>
              <w:ind w:left="107"/>
            </w:pPr>
            <w:r>
              <w:t>Violation Reconnection Charge</w:t>
            </w:r>
          </w:p>
        </w:tc>
        <w:tc>
          <w:tcPr>
            <w:tcW w:w="3780" w:type="dxa"/>
            <w:gridSpan w:val="2"/>
          </w:tcPr>
          <w:p w:rsidR="00064860" w:rsidRPr="00EC265E" w:rsidRDefault="00064860" w:rsidP="001978CB">
            <w:pPr>
              <w:kinsoku w:val="0"/>
              <w:overflowPunct w:val="0"/>
              <w:autoSpaceDE w:val="0"/>
              <w:autoSpaceDN w:val="0"/>
              <w:adjustRightInd w:val="0"/>
              <w:spacing w:before="15" w:line="273" w:lineRule="exact"/>
              <w:ind w:right="365"/>
              <w:jc w:val="center"/>
              <w:rPr>
                <w:spacing w:val="-2"/>
              </w:rPr>
            </w:pPr>
            <w:r>
              <w:rPr>
                <w:spacing w:val="-2"/>
              </w:rPr>
              <w:t>$25.00</w:t>
            </w:r>
          </w:p>
        </w:tc>
      </w:tr>
      <w:tr w:rsidR="00064860" w:rsidRPr="00EC265E" w:rsidTr="001978CB">
        <w:trPr>
          <w:trHeight w:val="308"/>
          <w:jc w:val="center"/>
        </w:trPr>
        <w:tc>
          <w:tcPr>
            <w:tcW w:w="4574" w:type="dxa"/>
          </w:tcPr>
          <w:p w:rsidR="00064860" w:rsidRPr="00EC265E" w:rsidRDefault="00064860" w:rsidP="001978CB">
            <w:pPr>
              <w:kinsoku w:val="0"/>
              <w:overflowPunct w:val="0"/>
              <w:autoSpaceDE w:val="0"/>
              <w:autoSpaceDN w:val="0"/>
              <w:adjustRightInd w:val="0"/>
              <w:spacing w:before="15" w:line="273" w:lineRule="exact"/>
              <w:ind w:left="107"/>
            </w:pPr>
            <w:r>
              <w:t>Premise Visit Charge</w:t>
            </w:r>
          </w:p>
        </w:tc>
        <w:tc>
          <w:tcPr>
            <w:tcW w:w="3780" w:type="dxa"/>
            <w:gridSpan w:val="2"/>
          </w:tcPr>
          <w:p w:rsidR="00064860" w:rsidRPr="00EC265E" w:rsidRDefault="00064860" w:rsidP="001978CB">
            <w:pPr>
              <w:kinsoku w:val="0"/>
              <w:overflowPunct w:val="0"/>
              <w:autoSpaceDE w:val="0"/>
              <w:autoSpaceDN w:val="0"/>
              <w:adjustRightInd w:val="0"/>
              <w:spacing w:before="15" w:line="273" w:lineRule="exact"/>
              <w:ind w:right="365"/>
              <w:jc w:val="center"/>
              <w:rPr>
                <w:spacing w:val="-2"/>
              </w:rPr>
            </w:pPr>
            <w:r>
              <w:rPr>
                <w:spacing w:val="-2"/>
              </w:rPr>
              <w:t>$25</w:t>
            </w:r>
            <w:r w:rsidRPr="00EC265E">
              <w:rPr>
                <w:spacing w:val="-2"/>
              </w:rPr>
              <w:t>.00</w:t>
            </w:r>
          </w:p>
        </w:tc>
      </w:tr>
    </w:tbl>
    <w:p w:rsidR="00064860" w:rsidRPr="00EC265E" w:rsidRDefault="00064860" w:rsidP="00827250">
      <w:pPr>
        <w:ind w:left="180"/>
        <w:jc w:val="both"/>
        <w:rPr>
          <w:sz w:val="20"/>
          <w:szCs w:val="20"/>
        </w:rPr>
      </w:pPr>
      <w:r w:rsidRPr="00EC265E">
        <w:rPr>
          <w:sz w:val="20"/>
          <w:szCs w:val="20"/>
        </w:rPr>
        <w:t xml:space="preserve">      Source: Utility’s current tariff and response to staff’s deficiencies</w:t>
      </w:r>
    </w:p>
    <w:p w:rsidR="00064860" w:rsidRDefault="00064860" w:rsidP="00064860">
      <w:pPr>
        <w:jc w:val="both"/>
        <w:outlineLvl w:val="2"/>
        <w:rPr>
          <w:rFonts w:ascii="Arial" w:hAnsi="Arial" w:cs="Arial"/>
          <w:b/>
          <w:bCs/>
          <w:iCs/>
          <w:szCs w:val="28"/>
        </w:rPr>
      </w:pPr>
    </w:p>
    <w:p w:rsidR="00064860" w:rsidRPr="00160106" w:rsidRDefault="00064860" w:rsidP="00064860">
      <w:pPr>
        <w:jc w:val="both"/>
        <w:outlineLvl w:val="2"/>
        <w:rPr>
          <w:rFonts w:ascii="Arial" w:hAnsi="Arial" w:cs="Arial"/>
          <w:b/>
          <w:bCs/>
          <w:iCs/>
          <w:szCs w:val="28"/>
        </w:rPr>
      </w:pPr>
      <w:r w:rsidRPr="00160106">
        <w:rPr>
          <w:rFonts w:ascii="Arial" w:hAnsi="Arial" w:cs="Arial"/>
          <w:b/>
          <w:bCs/>
          <w:iCs/>
          <w:szCs w:val="28"/>
        </w:rPr>
        <w:t>Premises Visit and Violation Reconnection Charge</w:t>
      </w:r>
    </w:p>
    <w:p w:rsidR="00917405" w:rsidRDefault="00064860" w:rsidP="00064860">
      <w:pPr>
        <w:jc w:val="both"/>
      </w:pPr>
      <w:r w:rsidRPr="00160106">
        <w:rPr>
          <w:rFonts w:eastAsia="Arial"/>
        </w:rPr>
        <w:t xml:space="preserve">As shown </w:t>
      </w:r>
      <w:r>
        <w:rPr>
          <w:rFonts w:eastAsia="Arial"/>
        </w:rPr>
        <w:t xml:space="preserve">above </w:t>
      </w:r>
      <w:r w:rsidRPr="00160106">
        <w:rPr>
          <w:rFonts w:eastAsia="Arial"/>
        </w:rPr>
        <w:t xml:space="preserve">on Table </w:t>
      </w:r>
      <w:r w:rsidR="00FD61E4">
        <w:rPr>
          <w:rFonts w:eastAsia="Arial"/>
        </w:rPr>
        <w:t>3</w:t>
      </w:r>
      <w:r w:rsidRPr="00245880">
        <w:rPr>
          <w:rFonts w:eastAsia="Arial"/>
        </w:rPr>
        <w:t>-1,</w:t>
      </w:r>
      <w:r>
        <w:rPr>
          <w:rFonts w:eastAsia="Arial"/>
        </w:rPr>
        <w:t xml:space="preserve"> the Utility’s existing </w:t>
      </w:r>
      <w:r w:rsidRPr="00160106">
        <w:rPr>
          <w:rFonts w:eastAsia="Arial"/>
        </w:rPr>
        <w:t>miscellaneous service</w:t>
      </w:r>
      <w:r>
        <w:rPr>
          <w:rFonts w:eastAsia="Arial"/>
        </w:rPr>
        <w:t xml:space="preserve"> charges consists of initial connection and normal reconnection charges</w:t>
      </w:r>
      <w:r w:rsidR="00A20FA8">
        <w:rPr>
          <w:rFonts w:eastAsia="Arial"/>
        </w:rPr>
        <w:t>.</w:t>
      </w:r>
      <w:r>
        <w:rPr>
          <w:rFonts w:eastAsia="Arial"/>
        </w:rPr>
        <w:t xml:space="preserve"> </w:t>
      </w:r>
      <w:r w:rsidR="00A20FA8">
        <w:rPr>
          <w:rFonts w:eastAsia="Arial"/>
        </w:rPr>
        <w:t xml:space="preserve">However, </w:t>
      </w:r>
      <w:r w:rsidR="00AC6AE9">
        <w:rPr>
          <w:rFonts w:eastAsia="Arial"/>
        </w:rPr>
        <w:t xml:space="preserve">pursuant to </w:t>
      </w:r>
      <w:r w:rsidRPr="00160106">
        <w:t>Rule 25-30.460</w:t>
      </w:r>
      <w:r w:rsidR="00A20FA8">
        <w:t>(2</w:t>
      </w:r>
      <w:proofErr w:type="gramStart"/>
      <w:r w:rsidR="00A20FA8">
        <w:t>)(</w:t>
      </w:r>
      <w:proofErr w:type="gramEnd"/>
      <w:r w:rsidR="00A20FA8">
        <w:t>a)</w:t>
      </w:r>
      <w:r w:rsidRPr="00160106">
        <w:t xml:space="preserve">, F.A.C., initial connection and normal reconnection charges are </w:t>
      </w:r>
      <w:r w:rsidR="00917405">
        <w:t xml:space="preserve">subsumed </w:t>
      </w:r>
      <w:r w:rsidRPr="00160106">
        <w:t>with</w:t>
      </w:r>
      <w:r w:rsidR="00917405">
        <w:t>in</w:t>
      </w:r>
      <w:r w:rsidRPr="00160106">
        <w:t xml:space="preserve"> the </w:t>
      </w:r>
      <w:r w:rsidR="00917405">
        <w:t>definition of the premises visit charge</w:t>
      </w:r>
      <w:r w:rsidRPr="00160106">
        <w:t>.</w:t>
      </w:r>
      <w:r>
        <w:t xml:space="preserve"> Therefore, staff recommends that the initial connection and normal reconnection charges be removed.</w:t>
      </w:r>
      <w:r w:rsidRPr="00EC265E">
        <w:t xml:space="preserve"> </w:t>
      </w:r>
      <w:r>
        <w:t>S</w:t>
      </w:r>
      <w:r>
        <w:rPr>
          <w:rFonts w:ascii="TimesNewRomanPSMT" w:hAnsi="TimesNewRomanPSMT" w:cs="TimesNewRomanPSMT"/>
        </w:rPr>
        <w:t>taff recommends that the definition for the premises visit charge be updated to comply with Rule 25-30.460, F.A.C.</w:t>
      </w:r>
      <w:r w:rsidR="002D4C00" w:rsidRPr="002D4C00">
        <w:t xml:space="preserve"> </w:t>
      </w:r>
      <w:r w:rsidR="00260503">
        <w:t>T</w:t>
      </w:r>
      <w:r w:rsidR="00260503" w:rsidRPr="00EC265E">
        <w:t xml:space="preserve">he appropriate miscellaneous </w:t>
      </w:r>
      <w:r w:rsidR="00260503">
        <w:t>service charges shown on Table 3</w:t>
      </w:r>
      <w:r w:rsidR="00260503" w:rsidRPr="00EC265E">
        <w:t>-2 should be approved.</w:t>
      </w:r>
    </w:p>
    <w:p w:rsidR="00917405" w:rsidRDefault="00917405" w:rsidP="00064860">
      <w:pPr>
        <w:jc w:val="both"/>
      </w:pPr>
    </w:p>
    <w:p w:rsidR="00917405" w:rsidRDefault="00917405" w:rsidP="00064860">
      <w:pPr>
        <w:jc w:val="both"/>
      </w:pPr>
    </w:p>
    <w:p w:rsidR="00917405" w:rsidRDefault="00917405" w:rsidP="00064860">
      <w:pPr>
        <w:jc w:val="both"/>
      </w:pPr>
    </w:p>
    <w:p w:rsidR="00F343B2" w:rsidRDefault="00F343B2" w:rsidP="00064860">
      <w:pPr>
        <w:jc w:val="both"/>
      </w:pPr>
    </w:p>
    <w:p w:rsidR="00064860" w:rsidRDefault="00064860" w:rsidP="00064860">
      <w:pPr>
        <w:jc w:val="both"/>
      </w:pPr>
    </w:p>
    <w:p w:rsidR="00064860" w:rsidRDefault="00064860" w:rsidP="00064860">
      <w:pPr>
        <w:jc w:val="center"/>
        <w:rPr>
          <w:rFonts w:ascii="Arial" w:hAnsi="Arial" w:cs="Arial"/>
          <w:b/>
        </w:rPr>
      </w:pPr>
      <w:r w:rsidRPr="00245880">
        <w:rPr>
          <w:rFonts w:ascii="Arial" w:hAnsi="Arial" w:cs="Arial"/>
          <w:b/>
        </w:rPr>
        <w:t xml:space="preserve">Table </w:t>
      </w:r>
      <w:r w:rsidR="00EA3456">
        <w:rPr>
          <w:rFonts w:ascii="Arial" w:hAnsi="Arial" w:cs="Arial"/>
          <w:b/>
        </w:rPr>
        <w:t>3</w:t>
      </w:r>
      <w:r w:rsidRPr="00245880">
        <w:rPr>
          <w:rFonts w:ascii="Arial" w:hAnsi="Arial" w:cs="Arial"/>
          <w:b/>
        </w:rPr>
        <w:t>-2</w:t>
      </w:r>
    </w:p>
    <w:p w:rsidR="00064860" w:rsidRPr="00EC265E" w:rsidRDefault="00064860" w:rsidP="00064860">
      <w:pPr>
        <w:jc w:val="center"/>
        <w:rPr>
          <w:rFonts w:ascii="Arial" w:hAnsi="Arial" w:cs="Arial"/>
          <w:b/>
        </w:rPr>
      </w:pPr>
      <w:r>
        <w:rPr>
          <w:rFonts w:ascii="Arial" w:hAnsi="Arial" w:cs="Arial"/>
          <w:b/>
          <w:bCs/>
        </w:rPr>
        <w:t>Consolidated Water Works</w:t>
      </w:r>
      <w:r w:rsidR="00917405">
        <w:rPr>
          <w:rFonts w:ascii="Arial" w:hAnsi="Arial" w:cs="Arial"/>
          <w:b/>
          <w:bCs/>
        </w:rPr>
        <w:t xml:space="preserve">, Inc. </w:t>
      </w:r>
    </w:p>
    <w:p w:rsidR="00064860" w:rsidRPr="00EC265E" w:rsidRDefault="00064860" w:rsidP="00064860">
      <w:pPr>
        <w:jc w:val="center"/>
        <w:rPr>
          <w:rFonts w:ascii="Arial" w:hAnsi="Arial" w:cs="Arial"/>
          <w:b/>
        </w:rPr>
      </w:pPr>
      <w:r w:rsidRPr="00EC265E">
        <w:rPr>
          <w:rFonts w:ascii="Arial" w:hAnsi="Arial" w:cs="Arial"/>
          <w:b/>
        </w:rPr>
        <w:t>Staff Recommended Miscellaneous Service Charges</w:t>
      </w:r>
    </w:p>
    <w:tbl>
      <w:tblPr>
        <w:tblStyle w:val="TableGrid"/>
        <w:tblW w:w="0" w:type="auto"/>
        <w:tblInd w:w="108" w:type="dxa"/>
        <w:tblLook w:val="04A0" w:firstRow="1" w:lastRow="0" w:firstColumn="1" w:lastColumn="0" w:noHBand="0" w:noVBand="1"/>
      </w:tblPr>
      <w:tblGrid>
        <w:gridCol w:w="6120"/>
        <w:gridCol w:w="3240"/>
      </w:tblGrid>
      <w:tr w:rsidR="00064860" w:rsidRPr="00EC265E" w:rsidTr="00827250">
        <w:tc>
          <w:tcPr>
            <w:tcW w:w="6120" w:type="dxa"/>
          </w:tcPr>
          <w:p w:rsidR="00064860" w:rsidRPr="00EC265E" w:rsidRDefault="00064860" w:rsidP="001978CB">
            <w:pPr>
              <w:jc w:val="both"/>
            </w:pPr>
            <w:r w:rsidRPr="00EC265E">
              <w:t>Premises Visit</w:t>
            </w:r>
          </w:p>
        </w:tc>
        <w:tc>
          <w:tcPr>
            <w:tcW w:w="3240" w:type="dxa"/>
          </w:tcPr>
          <w:p w:rsidR="00064860" w:rsidRPr="00EC265E" w:rsidRDefault="00064860" w:rsidP="001978CB">
            <w:pPr>
              <w:jc w:val="right"/>
            </w:pPr>
            <w:r>
              <w:t>$25</w:t>
            </w:r>
          </w:p>
        </w:tc>
      </w:tr>
      <w:tr w:rsidR="00064860" w:rsidRPr="00EC265E" w:rsidTr="00827250">
        <w:tc>
          <w:tcPr>
            <w:tcW w:w="6120" w:type="dxa"/>
          </w:tcPr>
          <w:p w:rsidR="00064860" w:rsidRPr="00EC265E" w:rsidRDefault="00064860" w:rsidP="001978CB">
            <w:pPr>
              <w:jc w:val="both"/>
            </w:pPr>
            <w:r w:rsidRPr="00EC265E">
              <w:t>Viola</w:t>
            </w:r>
            <w:r>
              <w:t>tion Reconnection Charge (W</w:t>
            </w:r>
            <w:r w:rsidRPr="00EC265E">
              <w:t>ater)</w:t>
            </w:r>
          </w:p>
        </w:tc>
        <w:tc>
          <w:tcPr>
            <w:tcW w:w="3240" w:type="dxa"/>
          </w:tcPr>
          <w:p w:rsidR="00064860" w:rsidRPr="00EC265E" w:rsidRDefault="00064860" w:rsidP="001978CB">
            <w:pPr>
              <w:jc w:val="right"/>
            </w:pPr>
            <w:r>
              <w:t>$25</w:t>
            </w:r>
          </w:p>
        </w:tc>
      </w:tr>
    </w:tbl>
    <w:p w:rsidR="00064860" w:rsidRDefault="00064860" w:rsidP="00064860">
      <w:pPr>
        <w:rPr>
          <w:rFonts w:ascii="Arial" w:hAnsi="Arial" w:cs="Arial"/>
          <w:b/>
        </w:rPr>
      </w:pPr>
    </w:p>
    <w:p w:rsidR="00064860" w:rsidRDefault="00064860" w:rsidP="00064860">
      <w:pPr>
        <w:rPr>
          <w:rFonts w:ascii="Arial" w:hAnsi="Arial" w:cs="Arial"/>
          <w:b/>
        </w:rPr>
      </w:pPr>
    </w:p>
    <w:p w:rsidR="00064860" w:rsidRPr="00EC265E" w:rsidRDefault="00064860" w:rsidP="00064860">
      <w:pPr>
        <w:rPr>
          <w:rFonts w:ascii="Arial" w:hAnsi="Arial" w:cs="Arial"/>
          <w:b/>
        </w:rPr>
      </w:pPr>
      <w:r w:rsidRPr="00EC265E">
        <w:rPr>
          <w:rFonts w:ascii="Arial" w:hAnsi="Arial" w:cs="Arial"/>
          <w:b/>
        </w:rPr>
        <w:t>Conclusion</w:t>
      </w:r>
    </w:p>
    <w:p w:rsidR="00DE456E" w:rsidRDefault="00917405" w:rsidP="00064860">
      <w:pPr>
        <w:pStyle w:val="BodyText"/>
      </w:pPr>
      <w:r>
        <w:t>The Utility’s existing Violation Reconnection Charge and Premise Visit Charge remain unchanged and are recommended for approval in Issue 2.  The Initial Connection Charge and Normal Reconnection Charge should be removed because they fall within Rule 25-30.460(2</w:t>
      </w:r>
      <w:proofErr w:type="gramStart"/>
      <w:r>
        <w:t>)(</w:t>
      </w:r>
      <w:proofErr w:type="gramEnd"/>
      <w:r>
        <w:t xml:space="preserve">a), F.A.C.’s, definition of premises visit charge. </w:t>
      </w:r>
      <w:r w:rsidR="00064860" w:rsidRPr="00EC265E">
        <w:t>The Utility should be required to file a proposed customer notice to reflect the Commission-approved charges. The approved charges should be effective for service rendered or connections made on or after the stamped approval date on the tariff sheet pursuant to Rule 25-30.475(2), F.A.C. In addition, the tariff sheets should be approved upon staff’s verification that the tariffs are consistent with the Commission’s decision and that the proposed customer notice is adequate</w:t>
      </w:r>
      <w:r w:rsidR="00064860">
        <w:t>.</w:t>
      </w:r>
    </w:p>
    <w:p w:rsidR="00DE456E" w:rsidRDefault="00DE456E">
      <w:pPr>
        <w:pStyle w:val="IssueHeading"/>
        <w:rPr>
          <w:vanish/>
          <w:specVanish/>
        </w:rPr>
      </w:pPr>
      <w:r w:rsidRPr="004C3641">
        <w:rPr>
          <w:b w:val="0"/>
          <w:i w:val="0"/>
        </w:rPr>
        <w:br w:type="page"/>
      </w:r>
      <w:r w:rsidRPr="004C3641">
        <w:t xml:space="preserve">Issue </w:t>
      </w:r>
      <w:fldSimple w:instr=" SEQ Issue \* MERGEFORMAT ">
        <w:r>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4</w:instrText>
      </w:r>
      <w:r>
        <w:fldChar w:fldCharType="end"/>
      </w:r>
      <w:r>
        <w:tab/>
        <w:instrText xml:space="preserve">" \l 1 </w:instrText>
      </w:r>
      <w:r>
        <w:fldChar w:fldCharType="end"/>
      </w:r>
      <w:r>
        <w:t> </w:t>
      </w:r>
    </w:p>
    <w:p w:rsidR="00DE456E" w:rsidRDefault="00DE456E">
      <w:pPr>
        <w:pStyle w:val="BodyText"/>
      </w:pPr>
      <w:r>
        <w:t> Should this docket be closed?</w:t>
      </w:r>
    </w:p>
    <w:p w:rsidR="00DE456E" w:rsidRPr="004C3641" w:rsidRDefault="00DE456E">
      <w:pPr>
        <w:pStyle w:val="IssueSubsectionHeading"/>
        <w:rPr>
          <w:vanish/>
          <w:specVanish/>
        </w:rPr>
      </w:pPr>
      <w:r w:rsidRPr="004C3641">
        <w:t>Recommendation: </w:t>
      </w:r>
    </w:p>
    <w:p w:rsidR="00DE456E" w:rsidRDefault="00DE456E" w:rsidP="00CC007A">
      <w:pPr>
        <w:autoSpaceDE w:val="0"/>
        <w:autoSpaceDN w:val="0"/>
        <w:adjustRightInd w:val="0"/>
        <w:jc w:val="both"/>
      </w:pPr>
      <w:r>
        <w:t> </w:t>
      </w:r>
      <w:r w:rsidR="00CC007A">
        <w:rPr>
          <w:rFonts w:ascii="TimesNewRomanPSMT" w:hAnsi="TimesNewRomanPSMT" w:cs="TimesNewRomanPSMT"/>
        </w:rPr>
        <w:t>No. If no person whose substantial interests are affected by the proposed agency action portion of this recommendation files a protest within 21 days of the issuance of the order, a consummating order should be issued. The docket should remain open for staff’s</w:t>
      </w:r>
      <w:r w:rsidR="00B31E73">
        <w:rPr>
          <w:rFonts w:ascii="TimesNewRomanPSMT" w:hAnsi="TimesNewRomanPSMT" w:cs="TimesNewRomanPSMT"/>
        </w:rPr>
        <w:t xml:space="preserve"> </w:t>
      </w:r>
      <w:r w:rsidR="00CC007A">
        <w:rPr>
          <w:rFonts w:ascii="TimesNewRomanPSMT" w:hAnsi="TimesNewRomanPSMT" w:cs="TimesNewRomanPSMT"/>
        </w:rPr>
        <w:t>verification that the revised tariff sheets and customer notice have been filed by the Utility and approved by staff. Once this action is complete, this docket should be closed administratively</w:t>
      </w:r>
      <w:r w:rsidR="00765605">
        <w:t>. (Marquez, Farooqi)</w:t>
      </w:r>
      <w:r>
        <w:t xml:space="preserve"> </w:t>
      </w:r>
    </w:p>
    <w:p w:rsidR="00CC007A" w:rsidRPr="00CC007A" w:rsidRDefault="00CC007A" w:rsidP="00CC007A">
      <w:pPr>
        <w:autoSpaceDE w:val="0"/>
        <w:autoSpaceDN w:val="0"/>
        <w:adjustRightInd w:val="0"/>
        <w:jc w:val="both"/>
        <w:rPr>
          <w:rFonts w:ascii="TimesNewRomanPSMT" w:hAnsi="TimesNewRomanPSMT" w:cs="TimesNewRomanPSMT"/>
        </w:rPr>
      </w:pPr>
    </w:p>
    <w:p w:rsidR="00DE456E" w:rsidRPr="004C3641" w:rsidRDefault="00DE456E" w:rsidP="00CC007A">
      <w:pPr>
        <w:pStyle w:val="IssueSubsectionHeading"/>
        <w:rPr>
          <w:vanish/>
          <w:specVanish/>
        </w:rPr>
      </w:pPr>
      <w:r w:rsidRPr="004C3641">
        <w:t>Staff Analysis: </w:t>
      </w:r>
    </w:p>
    <w:p w:rsidR="00DE456E" w:rsidRPr="00CC007A" w:rsidRDefault="00DE456E" w:rsidP="00CC007A">
      <w:pPr>
        <w:autoSpaceDE w:val="0"/>
        <w:autoSpaceDN w:val="0"/>
        <w:adjustRightInd w:val="0"/>
        <w:jc w:val="both"/>
        <w:rPr>
          <w:rFonts w:ascii="TimesNewRomanPSMT" w:hAnsi="TimesNewRomanPSMT" w:cs="TimesNewRomanPSMT"/>
        </w:rPr>
      </w:pPr>
      <w:r>
        <w:t> </w:t>
      </w:r>
      <w:r w:rsidR="00CC007A">
        <w:rPr>
          <w:rFonts w:ascii="TimesNewRomanPSMT" w:hAnsi="TimesNewRomanPSMT" w:cs="TimesNewRomanPSMT"/>
        </w:rPr>
        <w:t>If no person whose substantial interests are affected by the proposed agency action portion of this recommendation files a protest within 21 days of the issuance of the order, a consummating order should be issued. The docket should remain open for staff’s verification that the revised tariff sheets and customer notice have been filed by the Utility and approved by staff. Once this action is complete, this docket should be closed administratively</w:t>
      </w:r>
      <w:r w:rsidR="00765605" w:rsidRPr="00FA7D30">
        <w:t>.</w:t>
      </w:r>
    </w:p>
    <w:p w:rsidR="00E06484" w:rsidRDefault="00E06484" w:rsidP="00E275D8">
      <w:pPr>
        <w:pStyle w:val="BodyText"/>
      </w:pPr>
    </w:p>
    <w:p w:rsidR="00DE456E" w:rsidRDefault="00DE456E" w:rsidP="00E275D8">
      <w:pPr>
        <w:pStyle w:val="BodyText"/>
        <w:sectPr w:rsidR="00DE456E"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691E4E" w:rsidRDefault="00691E4E" w:rsidP="00691E4E">
      <w:pPr>
        <w:tabs>
          <w:tab w:val="left" w:pos="1905"/>
        </w:tabs>
        <w:jc w:val="center"/>
        <w:rPr>
          <w:b/>
          <w:u w:val="single"/>
        </w:rPr>
      </w:pPr>
      <w:r w:rsidRPr="001D2D23">
        <w:rPr>
          <w:b/>
          <w:u w:val="single"/>
        </w:rPr>
        <w:t>DESCRIPTION OF TERRITORY SERVED</w:t>
      </w:r>
    </w:p>
    <w:p w:rsidR="00691E4E" w:rsidRPr="001D2D23" w:rsidRDefault="00691E4E" w:rsidP="00691E4E">
      <w:pPr>
        <w:tabs>
          <w:tab w:val="left" w:pos="1905"/>
        </w:tabs>
        <w:jc w:val="center"/>
        <w:rPr>
          <w:b/>
          <w:u w:val="single"/>
        </w:rPr>
      </w:pPr>
    </w:p>
    <w:p w:rsidR="00765605" w:rsidRPr="00691E4E" w:rsidRDefault="00765605" w:rsidP="00691E4E">
      <w:pPr>
        <w:jc w:val="center"/>
        <w:rPr>
          <w:b/>
          <w:u w:val="single"/>
        </w:rPr>
      </w:pPr>
      <w:r w:rsidRPr="00691E4E">
        <w:rPr>
          <w:b/>
          <w:u w:val="single"/>
        </w:rPr>
        <w:t>Consolidated Water Works, Inc.</w:t>
      </w:r>
    </w:p>
    <w:p w:rsidR="00765605" w:rsidRPr="00691E4E" w:rsidRDefault="00765605" w:rsidP="00691E4E">
      <w:pPr>
        <w:jc w:val="center"/>
        <w:rPr>
          <w:b/>
          <w:u w:val="single"/>
        </w:rPr>
      </w:pPr>
      <w:r w:rsidRPr="00691E4E">
        <w:rPr>
          <w:b/>
          <w:u w:val="single"/>
        </w:rPr>
        <w:t>Columbia County</w:t>
      </w:r>
      <w:r w:rsidR="00F343B2" w:rsidRPr="00691E4E">
        <w:rPr>
          <w:b/>
          <w:u w:val="single"/>
        </w:rPr>
        <w:t xml:space="preserve"> </w:t>
      </w:r>
      <w:r w:rsidRPr="00691E4E">
        <w:rPr>
          <w:b/>
          <w:u w:val="single"/>
        </w:rPr>
        <w:t>Water Service Area</w:t>
      </w:r>
    </w:p>
    <w:p w:rsidR="00765605" w:rsidRPr="0064762F" w:rsidRDefault="00765605" w:rsidP="00765605">
      <w:pPr>
        <w:spacing w:before="116"/>
        <w:jc w:val="center"/>
        <w:rPr>
          <w:sz w:val="20"/>
        </w:rPr>
      </w:pPr>
    </w:p>
    <w:p w:rsidR="00765605" w:rsidRDefault="00765605" w:rsidP="00765605">
      <w:pPr>
        <w:widowControl w:val="0"/>
        <w:autoSpaceDE w:val="0"/>
        <w:autoSpaceDN w:val="0"/>
        <w:spacing w:line="236" w:lineRule="exact"/>
        <w:jc w:val="both"/>
        <w:rPr>
          <w:u w:val="single"/>
        </w:rPr>
      </w:pPr>
      <w:r w:rsidRPr="00014075">
        <w:rPr>
          <w:u w:val="single"/>
        </w:rPr>
        <w:t>Azalea Park Legal Description:</w:t>
      </w:r>
    </w:p>
    <w:p w:rsidR="00765605" w:rsidRPr="00014075" w:rsidRDefault="00765605" w:rsidP="00765605">
      <w:pPr>
        <w:widowControl w:val="0"/>
        <w:autoSpaceDE w:val="0"/>
        <w:autoSpaceDN w:val="0"/>
        <w:spacing w:line="236" w:lineRule="exact"/>
        <w:jc w:val="both"/>
        <w:rPr>
          <w:u w:val="single"/>
        </w:rPr>
      </w:pPr>
    </w:p>
    <w:p w:rsidR="00765605" w:rsidRPr="0064762F" w:rsidRDefault="00765605" w:rsidP="00765605">
      <w:pPr>
        <w:widowControl w:val="0"/>
        <w:autoSpaceDE w:val="0"/>
        <w:autoSpaceDN w:val="0"/>
        <w:spacing w:line="236" w:lineRule="exact"/>
        <w:jc w:val="both"/>
      </w:pPr>
      <w:r w:rsidRPr="00014075">
        <w:t xml:space="preserve">COMMENCE AT THE NORTHWEST CORNER OF THE SOUTHWEST ¼ OF THE NORTHEAST ¼, SECTION 19, TOWNSHIP 4 </w:t>
      </w:r>
      <w:r>
        <w:t>SOUTH, RANGE 17 EAST, AND RUN S 89°22’00” E</w:t>
      </w:r>
      <w:r w:rsidRPr="00014075">
        <w:t xml:space="preserve"> ALONG THE NORTH LINE OF SAID SOUTHWEST ¼ OF THE NORTHEAST ¼ 410.80 FEET TO THE POINT OF </w:t>
      </w:r>
      <w:r>
        <w:t>BEGINNING, THENCE CONTINUE S 89°22’00” E</w:t>
      </w:r>
      <w:r w:rsidRPr="00014075">
        <w:t>, ALONG SAID NORTH LINE OF THE SOUTHWEST ¼ OF THE NORTHEAST ¼ 995.20 FEET, THENCE S</w:t>
      </w:r>
      <w:r>
        <w:t xml:space="preserve"> 0°40’00” E</w:t>
      </w:r>
      <w:r w:rsidRPr="00014075">
        <w:t xml:space="preserve"> ALONG THE EAST LINE OF SAID SOUTHWEST ¼ OF THE NORTHEAST ¼ 1361.70 FEET, THENCE N 88°16’30” W ALONG THE SOUTH LINE OF SAID SOUTHWEST ¼ OF THE NORTHEAST ¼ 1406.25 FEET, THENCE N 9°02’00” E PARALLEL TO STATE ROAD NO. 47 A DISTANCE OF 694.65 FEET, THENCE S 89°16’30” W PARALLEL TO THE SOUTH LINE OF THE SOUTHEAST ¼ OF THE NORTHWEST ¼ 417.00 FEET, THENCE N 9°02’00” E ALONG THE EAST LINE OF STATE ROAD NO. 47 A DISTA</w:t>
      </w:r>
      <w:r>
        <w:t>NCE OF 296.00 FEET, THENCE S 89°22’00” E</w:t>
      </w:r>
      <w:r w:rsidRPr="00014075">
        <w:t>, PARALLEL TO SAID NORTH LINE OF THE SOUTHWEST ¼ OF THE NORTHEAST ¼ 597.00 FEET, THENCE N 9°02’00” E PARALLEL TO STATE ROAD NO. 47 A DISTANCE OF 369.00 FEET TO THE POINT OF BEGINNING. SAID LAND LYING IN THE SOUTHWEST ¼ OF THE NORTHEAST ¼, AND THE SOUTHEAST ¼ OF THE NORTHWEST ¼, SECTION 19, TOWNSHIP 4 SOUTH, RANGE 17 EAST, COLUMBIA COUNTY, FLORIDA AND CONTAINING 42.23 ACRES MORE OR LESS.</w:t>
      </w:r>
    </w:p>
    <w:p w:rsidR="00765605" w:rsidRDefault="00765605" w:rsidP="00765605">
      <w:pPr>
        <w:widowControl w:val="0"/>
        <w:autoSpaceDE w:val="0"/>
        <w:autoSpaceDN w:val="0"/>
        <w:spacing w:line="236" w:lineRule="exact"/>
        <w:rPr>
          <w:u w:val="single"/>
        </w:rPr>
      </w:pPr>
    </w:p>
    <w:p w:rsidR="00765605" w:rsidRDefault="00765605" w:rsidP="00765605">
      <w:pPr>
        <w:widowControl w:val="0"/>
        <w:autoSpaceDE w:val="0"/>
        <w:autoSpaceDN w:val="0"/>
        <w:spacing w:line="236" w:lineRule="exact"/>
        <w:rPr>
          <w:u w:val="single"/>
        </w:rPr>
      </w:pPr>
      <w:r w:rsidRPr="00014075">
        <w:rPr>
          <w:u w:val="single"/>
        </w:rPr>
        <w:t xml:space="preserve">Shady Oaks </w:t>
      </w:r>
      <w:r>
        <w:rPr>
          <w:u w:val="single"/>
        </w:rPr>
        <w:t xml:space="preserve">Acres </w:t>
      </w:r>
      <w:r w:rsidRPr="00014075">
        <w:rPr>
          <w:u w:val="single"/>
        </w:rPr>
        <w:t xml:space="preserve">Unit 1 Legal Description: </w:t>
      </w:r>
    </w:p>
    <w:p w:rsidR="00765605" w:rsidRDefault="00765605" w:rsidP="00765605">
      <w:pPr>
        <w:widowControl w:val="0"/>
        <w:autoSpaceDE w:val="0"/>
        <w:autoSpaceDN w:val="0"/>
        <w:spacing w:line="236" w:lineRule="exact"/>
        <w:rPr>
          <w:u w:val="single"/>
        </w:rPr>
      </w:pPr>
    </w:p>
    <w:p w:rsidR="00765605" w:rsidRPr="00014075" w:rsidRDefault="00765605" w:rsidP="00765605">
      <w:pPr>
        <w:widowControl w:val="0"/>
        <w:autoSpaceDE w:val="0"/>
        <w:autoSpaceDN w:val="0"/>
        <w:spacing w:line="236" w:lineRule="exact"/>
        <w:jc w:val="both"/>
        <w:rPr>
          <w:rFonts w:ascii="TimesNewRomanPSMT" w:hAnsi="TimesNewRomanPSMT" w:cs="TimesNewRomanPSMT"/>
          <w:sz w:val="23"/>
          <w:szCs w:val="23"/>
        </w:rPr>
      </w:pPr>
      <w:r w:rsidRPr="00DA209D">
        <w:t>COMMENCE AT THE SOUTHWEST CORNER OF THE SOUTHWEST ¼ OF THE SOUTHEAST ¼ OF SECTION 20, TOWNSHIP 4 SOUTH, RANGE 16 EAST, AND RUN N 0°20’30”</w:t>
      </w:r>
      <w:r>
        <w:t xml:space="preserve"> </w:t>
      </w:r>
      <w:r w:rsidRPr="00DA209D">
        <w:t>W, 40 FEET, TO THE NORTH RIGHT-OF-WAY LINE OF STATE ROAD NO. S-242 TO THE POINT OF BEGINNING, THENCE CONTINUE N 0°20’30”</w:t>
      </w:r>
      <w:r>
        <w:t xml:space="preserve"> </w:t>
      </w:r>
      <w:r w:rsidRPr="00DA209D">
        <w:t>W ALONG THE WEST LINE OF SAID SOUTHWEST ¼ OF SOUTHEAST ¼ 995.0 FEET, THENCE N 89°03’30”</w:t>
      </w:r>
      <w:r>
        <w:t xml:space="preserve"> </w:t>
      </w:r>
      <w:r w:rsidRPr="00DA209D">
        <w:t>E, 705 FEET, THENCE S 0°20’30” E 995 FEET TO THE NORTH RIGHT-OF-WAY LINE OF SAID STATE ROAD, THENCE S 89°03’30”</w:t>
      </w:r>
      <w:r>
        <w:t xml:space="preserve"> </w:t>
      </w:r>
      <w:r w:rsidRPr="00DA209D">
        <w:t>W, 705 FEET, TO THE POINT OF BEGINNING.</w:t>
      </w:r>
    </w:p>
    <w:p w:rsidR="00765605" w:rsidRDefault="00765605" w:rsidP="00765605">
      <w:pPr>
        <w:widowControl w:val="0"/>
        <w:autoSpaceDE w:val="0"/>
        <w:autoSpaceDN w:val="0"/>
        <w:spacing w:line="236" w:lineRule="exact"/>
        <w:rPr>
          <w:u w:val="single"/>
        </w:rPr>
      </w:pPr>
    </w:p>
    <w:p w:rsidR="00765605" w:rsidRDefault="00765605" w:rsidP="00765605">
      <w:pPr>
        <w:widowControl w:val="0"/>
        <w:autoSpaceDE w:val="0"/>
        <w:autoSpaceDN w:val="0"/>
        <w:spacing w:line="236" w:lineRule="exact"/>
        <w:rPr>
          <w:u w:val="single"/>
        </w:rPr>
      </w:pPr>
      <w:r w:rsidRPr="00014075">
        <w:rPr>
          <w:u w:val="single"/>
        </w:rPr>
        <w:t xml:space="preserve">Shady Oaks </w:t>
      </w:r>
      <w:r>
        <w:rPr>
          <w:u w:val="single"/>
        </w:rPr>
        <w:t xml:space="preserve">Acres </w:t>
      </w:r>
      <w:r w:rsidRPr="00014075">
        <w:rPr>
          <w:u w:val="single"/>
        </w:rPr>
        <w:t xml:space="preserve">Unit </w:t>
      </w:r>
      <w:r>
        <w:rPr>
          <w:u w:val="single"/>
        </w:rPr>
        <w:t>2</w:t>
      </w:r>
      <w:r w:rsidRPr="00014075">
        <w:rPr>
          <w:u w:val="single"/>
        </w:rPr>
        <w:t xml:space="preserve"> Legal Description:</w:t>
      </w:r>
    </w:p>
    <w:p w:rsidR="00765605" w:rsidRDefault="00765605" w:rsidP="00765605">
      <w:pPr>
        <w:widowControl w:val="0"/>
        <w:autoSpaceDE w:val="0"/>
        <w:autoSpaceDN w:val="0"/>
        <w:spacing w:line="236" w:lineRule="exact"/>
        <w:rPr>
          <w:u w:val="single"/>
        </w:rPr>
      </w:pPr>
    </w:p>
    <w:p w:rsidR="00765605" w:rsidRDefault="00765605" w:rsidP="00765605">
      <w:pPr>
        <w:widowControl w:val="0"/>
        <w:autoSpaceDE w:val="0"/>
        <w:autoSpaceDN w:val="0"/>
        <w:spacing w:line="236" w:lineRule="exact"/>
        <w:jc w:val="both"/>
      </w:pPr>
      <w:r w:rsidRPr="00DA209D">
        <w:t>COMMENCE AT THE SOUTHWEST CORNER OF THE SOUTHWEST ¼ OF SOUTHEAST ¼ OF SECTION 20, TOWNSHIP 4 SOUTH, RANGE 16 EAST AND RUN THENCE N 89°03’30” E, ALONG THE SOUTH LINE OF THE SOUTHWEST ¼ OF SOUTHEAST ¼, 705.00 FEET, THENCE N 0°20’30” W, 145.00 FEET TO THE POINT OF BEGINNING, THENCE CONTINUE N 0°20’30 W, 865.00 FEET, THENCE N 89°03’30” E 750.00 FEET, THENCE S 0°20’30” E 970.00 FEET, TO THE NORTH RIGHT OF WAY LINE OF STATE ROAD NO. S-242, THENCE S 89°03’30 W ALONG SAID NORTH RIGHT OF WAY LINE 540.00 FEET, THENCE N 0°20’30” W, 105.00 FEET, THENCE S 89°03’30” W, 210.00 FEET TO THE POINT OF BEGINNING</w:t>
      </w:r>
      <w:r>
        <w:t>.</w:t>
      </w:r>
    </w:p>
    <w:p w:rsidR="00765605" w:rsidRDefault="00765605" w:rsidP="00765605">
      <w:pPr>
        <w:widowControl w:val="0"/>
        <w:autoSpaceDE w:val="0"/>
        <w:autoSpaceDN w:val="0"/>
        <w:spacing w:line="236" w:lineRule="exact"/>
      </w:pPr>
    </w:p>
    <w:p w:rsidR="00765605" w:rsidRDefault="00765605" w:rsidP="00765605">
      <w:pPr>
        <w:widowControl w:val="0"/>
        <w:autoSpaceDE w:val="0"/>
        <w:autoSpaceDN w:val="0"/>
        <w:spacing w:line="236" w:lineRule="exact"/>
      </w:pPr>
    </w:p>
    <w:p w:rsidR="00765605" w:rsidRDefault="00765605" w:rsidP="00765605">
      <w:pPr>
        <w:widowControl w:val="0"/>
        <w:autoSpaceDE w:val="0"/>
        <w:autoSpaceDN w:val="0"/>
        <w:spacing w:line="236" w:lineRule="exact"/>
      </w:pPr>
    </w:p>
    <w:p w:rsidR="00765605" w:rsidRDefault="00765605" w:rsidP="00765605">
      <w:pPr>
        <w:widowControl w:val="0"/>
        <w:autoSpaceDE w:val="0"/>
        <w:autoSpaceDN w:val="0"/>
        <w:spacing w:line="236" w:lineRule="exact"/>
      </w:pPr>
    </w:p>
    <w:p w:rsidR="00F343B2" w:rsidRDefault="00F343B2" w:rsidP="00765605">
      <w:pPr>
        <w:widowControl w:val="0"/>
        <w:autoSpaceDE w:val="0"/>
        <w:autoSpaceDN w:val="0"/>
        <w:spacing w:line="236" w:lineRule="exact"/>
      </w:pPr>
    </w:p>
    <w:p w:rsidR="00765605" w:rsidRDefault="00765605" w:rsidP="00765605">
      <w:pPr>
        <w:widowControl w:val="0"/>
        <w:autoSpaceDE w:val="0"/>
        <w:autoSpaceDN w:val="0"/>
        <w:spacing w:line="236" w:lineRule="exact"/>
      </w:pPr>
      <w:r w:rsidRPr="00014075">
        <w:rPr>
          <w:u w:val="single"/>
        </w:rPr>
        <w:t xml:space="preserve">Shady Oaks </w:t>
      </w:r>
      <w:r>
        <w:rPr>
          <w:u w:val="single"/>
        </w:rPr>
        <w:t xml:space="preserve">Acres </w:t>
      </w:r>
      <w:r w:rsidRPr="00014075">
        <w:rPr>
          <w:u w:val="single"/>
        </w:rPr>
        <w:t xml:space="preserve">Unit </w:t>
      </w:r>
      <w:r>
        <w:rPr>
          <w:u w:val="single"/>
        </w:rPr>
        <w:t>2</w:t>
      </w:r>
      <w:r w:rsidRPr="00014075">
        <w:rPr>
          <w:u w:val="single"/>
        </w:rPr>
        <w:t xml:space="preserve"> </w:t>
      </w:r>
      <w:r>
        <w:rPr>
          <w:u w:val="single"/>
        </w:rPr>
        <w:t xml:space="preserve">Addition </w:t>
      </w:r>
      <w:r w:rsidRPr="00014075">
        <w:rPr>
          <w:u w:val="single"/>
        </w:rPr>
        <w:t>Legal Description:</w:t>
      </w:r>
    </w:p>
    <w:p w:rsidR="00765605" w:rsidRDefault="00765605" w:rsidP="00765605">
      <w:pPr>
        <w:widowControl w:val="0"/>
        <w:autoSpaceDE w:val="0"/>
        <w:autoSpaceDN w:val="0"/>
        <w:spacing w:line="236" w:lineRule="exact"/>
      </w:pPr>
    </w:p>
    <w:p w:rsidR="00765605" w:rsidRDefault="00765605" w:rsidP="00765605">
      <w:pPr>
        <w:widowControl w:val="0"/>
        <w:autoSpaceDE w:val="0"/>
        <w:autoSpaceDN w:val="0"/>
        <w:spacing w:line="236" w:lineRule="exact"/>
        <w:jc w:val="both"/>
      </w:pPr>
      <w:r w:rsidRPr="000B1A20">
        <w:t>COMMENCE AT THE SOUTHWEST CORNER OF THE SOUTHWEST ONE-QUARTER (SW ¼</w:t>
      </w:r>
      <w:r>
        <w:t xml:space="preserve">) </w:t>
      </w:r>
      <w:r w:rsidRPr="000B1A20">
        <w:t>OF THE SOUTHEAST ONE-QUARTER (SE</w:t>
      </w:r>
      <w:r>
        <w:t xml:space="preserve"> </w:t>
      </w:r>
      <w:r w:rsidRPr="000B1A20">
        <w:t>¼), SECTION 20, TOWNSHIP 4-SOUTH, RANG</w:t>
      </w:r>
      <w:r>
        <w:t xml:space="preserve">E </w:t>
      </w:r>
      <w:r w:rsidRPr="000B1A20">
        <w:t>16-EAST, AND RUN THENCE N 89°03</w:t>
      </w:r>
      <w:r>
        <w:t>'</w:t>
      </w:r>
      <w:r w:rsidRPr="000B1A20">
        <w:t>30"</w:t>
      </w:r>
      <w:r>
        <w:t xml:space="preserve"> </w:t>
      </w:r>
      <w:r w:rsidRPr="000B1A20">
        <w:t xml:space="preserve">E, ALONG THE SOUTH LINE OF SAID </w:t>
      </w:r>
      <w:r>
        <w:t xml:space="preserve">SECTION, </w:t>
      </w:r>
      <w:r w:rsidRPr="000B1A20">
        <w:t>1245.00 FEET, THENCE N 0°20</w:t>
      </w:r>
      <w:r>
        <w:t>'</w:t>
      </w:r>
      <w:r w:rsidRPr="000B1A20">
        <w:t>30"</w:t>
      </w:r>
      <w:r>
        <w:t xml:space="preserve"> </w:t>
      </w:r>
      <w:r w:rsidRPr="000B1A20">
        <w:t xml:space="preserve">W, 40.00 FEET, TO THE NORTH RIGHT-OF-WAY LINE </w:t>
      </w:r>
      <w:r>
        <w:t xml:space="preserve">OF </w:t>
      </w:r>
      <w:r w:rsidRPr="000B1A20">
        <w:t>STATE ROAD NO. S-242 AND TO T</w:t>
      </w:r>
      <w:r>
        <w:t xml:space="preserve">HE POINT OF </w:t>
      </w:r>
      <w:r w:rsidRPr="000B1A20">
        <w:t>BEGINNING, THENCE CONTINU</w:t>
      </w:r>
      <w:r>
        <w:t xml:space="preserve">E N </w:t>
      </w:r>
      <w:r w:rsidRPr="000B1A20">
        <w:t>0°20'30"</w:t>
      </w:r>
      <w:r>
        <w:t xml:space="preserve"> </w:t>
      </w:r>
      <w:r w:rsidRPr="000B1A20">
        <w:t>W, 970.00 FEET, THENCE N</w:t>
      </w:r>
      <w:r>
        <w:t xml:space="preserve"> </w:t>
      </w:r>
      <w:r w:rsidRPr="000B1A20">
        <w:t>89°03'30"</w:t>
      </w:r>
      <w:r>
        <w:t xml:space="preserve"> </w:t>
      </w:r>
      <w:r w:rsidRPr="000B1A20">
        <w:t>E, 1310.03 FEET, TO TH</w:t>
      </w:r>
      <w:r>
        <w:t xml:space="preserve">E </w:t>
      </w:r>
      <w:r w:rsidRPr="000B1A20">
        <w:t>NORTHWESTERLY RIGHT-OF-WAY LINE OF STATE ROAD NO.</w:t>
      </w:r>
      <w:r>
        <w:t xml:space="preserve"> </w:t>
      </w:r>
      <w:r w:rsidRPr="000B1A20">
        <w:t xml:space="preserve">247, </w:t>
      </w:r>
      <w:r>
        <w:t>THENCE S 4</w:t>
      </w:r>
      <w:r w:rsidRPr="000B1A20">
        <w:t>1°30'</w:t>
      </w:r>
      <w:r>
        <w:t>0”</w:t>
      </w:r>
      <w:r w:rsidRPr="000B1A20">
        <w:t xml:space="preserve"> </w:t>
      </w:r>
      <w:r>
        <w:t xml:space="preserve">W, </w:t>
      </w:r>
      <w:r w:rsidRPr="000B1A20">
        <w:t>ALONG SAID NORTHWESTERLY RIGHT-OF-WAY, 1</w:t>
      </w:r>
      <w:r>
        <w:t>029.81 F</w:t>
      </w:r>
      <w:r w:rsidRPr="000B1A20">
        <w:t xml:space="preserve">EET, </w:t>
      </w:r>
      <w:r>
        <w:t xml:space="preserve">THENCE S </w:t>
      </w:r>
      <w:r w:rsidRPr="000B1A20">
        <w:t>89°03'30"</w:t>
      </w:r>
      <w:r>
        <w:t xml:space="preserve"> </w:t>
      </w:r>
      <w:r w:rsidRPr="000B1A20">
        <w:t>W</w:t>
      </w:r>
      <w:r>
        <w:t xml:space="preserve">, </w:t>
      </w:r>
      <w:r w:rsidRPr="000B1A20">
        <w:t>433.04 FEET, TH</w:t>
      </w:r>
      <w:r>
        <w:t xml:space="preserve">ENCE S </w:t>
      </w:r>
      <w:r w:rsidRPr="000B1A20">
        <w:t xml:space="preserve">0°22'46" E, </w:t>
      </w:r>
      <w:r>
        <w:t>2</w:t>
      </w:r>
      <w:r w:rsidRPr="000B1A20">
        <w:t xml:space="preserve">10.00 FEET, TO THE NORTH RIGHT-OF-WAY LINE </w:t>
      </w:r>
      <w:r>
        <w:t xml:space="preserve">OF </w:t>
      </w:r>
      <w:r w:rsidRPr="000B1A20">
        <w:t xml:space="preserve">STATE ROAD </w:t>
      </w:r>
      <w:r>
        <w:t xml:space="preserve">NO. </w:t>
      </w:r>
      <w:r w:rsidRPr="000B1A20">
        <w:t xml:space="preserve">S-242, </w:t>
      </w:r>
      <w:r>
        <w:t xml:space="preserve">THENCE S </w:t>
      </w:r>
      <w:r w:rsidRPr="000B1A20">
        <w:t>89°03' 30"</w:t>
      </w:r>
      <w:r>
        <w:t xml:space="preserve"> </w:t>
      </w:r>
      <w:r w:rsidRPr="000B1A20">
        <w:t>W, 190.14 FEET, TO THE POINT OF BEGINNING.</w:t>
      </w:r>
    </w:p>
    <w:p w:rsidR="00765605" w:rsidRDefault="00765605" w:rsidP="00765605">
      <w:pPr>
        <w:widowControl w:val="0"/>
        <w:autoSpaceDE w:val="0"/>
        <w:autoSpaceDN w:val="0"/>
        <w:spacing w:line="236" w:lineRule="exact"/>
        <w:jc w:val="both"/>
      </w:pPr>
    </w:p>
    <w:p w:rsidR="00765605" w:rsidRDefault="00765605" w:rsidP="00765605">
      <w:pPr>
        <w:widowControl w:val="0"/>
        <w:autoSpaceDE w:val="0"/>
        <w:autoSpaceDN w:val="0"/>
        <w:spacing w:line="236" w:lineRule="exact"/>
        <w:jc w:val="both"/>
        <w:rPr>
          <w:u w:val="single"/>
        </w:rPr>
      </w:pPr>
      <w:r w:rsidRPr="00812113">
        <w:rPr>
          <w:u w:val="single"/>
        </w:rPr>
        <w:t>242 Village Legal Description:</w:t>
      </w:r>
    </w:p>
    <w:p w:rsidR="00765605" w:rsidRDefault="00765605" w:rsidP="00765605">
      <w:pPr>
        <w:widowControl w:val="0"/>
        <w:autoSpaceDE w:val="0"/>
        <w:autoSpaceDN w:val="0"/>
        <w:spacing w:line="236" w:lineRule="exact"/>
        <w:jc w:val="both"/>
      </w:pPr>
    </w:p>
    <w:p w:rsidR="00765605" w:rsidRDefault="00765605" w:rsidP="00765605">
      <w:pPr>
        <w:widowControl w:val="0"/>
        <w:autoSpaceDE w:val="0"/>
        <w:autoSpaceDN w:val="0"/>
        <w:spacing w:line="236" w:lineRule="exact"/>
        <w:jc w:val="both"/>
      </w:pPr>
      <w:r w:rsidRPr="00812113">
        <w:t>THE SW ¼ OF THE SW</w:t>
      </w:r>
      <w:r w:rsidR="00F26D76">
        <w:t xml:space="preserve"> </w:t>
      </w:r>
      <w:r w:rsidRPr="00812113">
        <w:t xml:space="preserve">¼ OF SECTION </w:t>
      </w:r>
      <w:r>
        <w:t>2</w:t>
      </w:r>
      <w:r w:rsidRPr="00812113">
        <w:t>1, TOWNSHIP 4 SOUTH, RANGE 17 EAST,</w:t>
      </w:r>
      <w:r>
        <w:t xml:space="preserve"> </w:t>
      </w:r>
      <w:r w:rsidRPr="00812113">
        <w:t>COLUMBIA COUNTY, FLORIDA, LESS AND EXCEPT, RIGHT-OF-WAY FOR STATE ROAD</w:t>
      </w:r>
      <w:r>
        <w:t xml:space="preserve"> </w:t>
      </w:r>
      <w:r w:rsidRPr="00812113">
        <w:t>242</w:t>
      </w:r>
      <w:r>
        <w:t>.</w:t>
      </w:r>
    </w:p>
    <w:p w:rsidR="00765605" w:rsidRPr="0064762F" w:rsidRDefault="00765605" w:rsidP="00765605">
      <w:pPr>
        <w:widowControl w:val="0"/>
        <w:autoSpaceDE w:val="0"/>
        <w:autoSpaceDN w:val="0"/>
        <w:spacing w:line="236" w:lineRule="exact"/>
        <w:jc w:val="both"/>
        <w:sectPr w:rsidR="00765605" w:rsidRPr="0064762F" w:rsidSect="0068481F">
          <w:headerReference w:type="default" r:id="rId14"/>
          <w:pgSz w:w="12240" w:h="15840" w:code="1"/>
          <w:pgMar w:top="1584" w:right="1440" w:bottom="1440" w:left="1440" w:header="720" w:footer="720" w:gutter="0"/>
          <w:cols w:space="720"/>
          <w:formProt w:val="0"/>
          <w:docGrid w:linePitch="360"/>
        </w:sectPr>
      </w:pPr>
    </w:p>
    <w:p w:rsidR="00765605" w:rsidRPr="0064762F" w:rsidRDefault="00765605" w:rsidP="00765605">
      <w:pPr>
        <w:jc w:val="center"/>
        <w:rPr>
          <w:b/>
        </w:rPr>
      </w:pPr>
      <w:r w:rsidRPr="0064762F">
        <w:rPr>
          <w:b/>
        </w:rPr>
        <w:t>FLORIDA PUBLIC SERVICE COMMISSION</w:t>
      </w:r>
    </w:p>
    <w:p w:rsidR="00765605" w:rsidRPr="0064762F" w:rsidRDefault="00765605" w:rsidP="00765605">
      <w:pPr>
        <w:jc w:val="center"/>
        <w:rPr>
          <w:b/>
        </w:rPr>
      </w:pPr>
    </w:p>
    <w:p w:rsidR="00765605" w:rsidRPr="0064762F" w:rsidRDefault="004268A9" w:rsidP="00765605">
      <w:pPr>
        <w:jc w:val="center"/>
        <w:rPr>
          <w:b/>
        </w:rPr>
      </w:pPr>
      <w:proofErr w:type="gramStart"/>
      <w:r>
        <w:rPr>
          <w:b/>
        </w:rPr>
        <w:t>a</w:t>
      </w:r>
      <w:r w:rsidR="00765605" w:rsidRPr="0064762F">
        <w:rPr>
          <w:b/>
        </w:rPr>
        <w:t>uthorizes</w:t>
      </w:r>
      <w:proofErr w:type="gramEnd"/>
    </w:p>
    <w:p w:rsidR="00765605" w:rsidRPr="0064762F" w:rsidRDefault="00765605" w:rsidP="00765605">
      <w:pPr>
        <w:jc w:val="center"/>
        <w:rPr>
          <w:b/>
        </w:rPr>
      </w:pPr>
      <w:r>
        <w:rPr>
          <w:b/>
          <w:bCs/>
        </w:rPr>
        <w:t>Consolidated Water Works, Inc.</w:t>
      </w:r>
    </w:p>
    <w:p w:rsidR="00765605" w:rsidRPr="0064762F" w:rsidRDefault="00F343B2" w:rsidP="00765605">
      <w:pPr>
        <w:jc w:val="center"/>
        <w:rPr>
          <w:b/>
        </w:rPr>
      </w:pPr>
      <w:proofErr w:type="gramStart"/>
      <w:r>
        <w:rPr>
          <w:b/>
        </w:rPr>
        <w:t>p</w:t>
      </w:r>
      <w:r w:rsidR="00765605" w:rsidRPr="0064762F">
        <w:rPr>
          <w:b/>
        </w:rPr>
        <w:t>ursuant</w:t>
      </w:r>
      <w:proofErr w:type="gramEnd"/>
      <w:r w:rsidR="00765605" w:rsidRPr="0064762F">
        <w:rPr>
          <w:b/>
        </w:rPr>
        <w:t xml:space="preserve"> to</w:t>
      </w:r>
    </w:p>
    <w:p w:rsidR="00765605" w:rsidRPr="0064762F" w:rsidRDefault="00765605" w:rsidP="00765605">
      <w:pPr>
        <w:jc w:val="center"/>
        <w:rPr>
          <w:b/>
        </w:rPr>
      </w:pPr>
      <w:r w:rsidRPr="0064762F">
        <w:rPr>
          <w:b/>
        </w:rPr>
        <w:t xml:space="preserve">Certificate Number </w:t>
      </w:r>
      <w:r w:rsidR="00B9464D" w:rsidRPr="00B9464D">
        <w:rPr>
          <w:b/>
        </w:rPr>
        <w:t>693-W</w:t>
      </w:r>
    </w:p>
    <w:p w:rsidR="00765605" w:rsidRPr="0064762F" w:rsidRDefault="00765605" w:rsidP="00765605">
      <w:pPr>
        <w:jc w:val="center"/>
        <w:rPr>
          <w:b/>
        </w:rPr>
      </w:pPr>
    </w:p>
    <w:p w:rsidR="00765605" w:rsidRPr="0064762F" w:rsidRDefault="00765605" w:rsidP="00765605">
      <w:pPr>
        <w:jc w:val="both"/>
      </w:pPr>
      <w:r w:rsidRPr="0064762F">
        <w:t xml:space="preserve">to provide water service in </w:t>
      </w:r>
      <w:r w:rsidRPr="004268A9">
        <w:t>Columbia County</w:t>
      </w:r>
      <w:r w:rsidRPr="0064762F">
        <w:t xml:space="preserve"> in accordance with the provisions of Chapter 367, Florida Statutes, and the Rule</w:t>
      </w:r>
      <w:r w:rsidR="004268A9">
        <w:t>s</w:t>
      </w:r>
      <w:r w:rsidRPr="0064762F">
        <w:t xml:space="preserve">, </w:t>
      </w:r>
      <w:r w:rsidR="004268A9">
        <w:t>R</w:t>
      </w:r>
      <w:r w:rsidRPr="0064762F">
        <w:t>egulations, and Orders of this Commission in the territory described by the Orders of this Commission. This authorization shall remain in force and effect until superseded, suspended, cancelled or revoked by Order of this Commission.</w:t>
      </w:r>
    </w:p>
    <w:p w:rsidR="00765605" w:rsidRPr="0064762F" w:rsidRDefault="00765605" w:rsidP="00765605">
      <w:pPr>
        <w:jc w:val="both"/>
      </w:pPr>
    </w:p>
    <w:p w:rsidR="00765605" w:rsidRPr="0064762F" w:rsidRDefault="00765605" w:rsidP="00765605">
      <w:pPr>
        <w:jc w:val="both"/>
        <w:rPr>
          <w:u w:val="single"/>
        </w:rPr>
      </w:pPr>
      <w:r w:rsidRPr="0064762F">
        <w:rPr>
          <w:u w:val="single"/>
        </w:rPr>
        <w:t>Order Number</w:t>
      </w:r>
      <w:r w:rsidRPr="0064762F">
        <w:tab/>
      </w:r>
      <w:r w:rsidRPr="0064762F">
        <w:tab/>
      </w:r>
      <w:r w:rsidRPr="0064762F">
        <w:tab/>
      </w:r>
      <w:r w:rsidRPr="0064762F">
        <w:rPr>
          <w:u w:val="single"/>
        </w:rPr>
        <w:t>Date Issued</w:t>
      </w:r>
      <w:r w:rsidRPr="0064762F">
        <w:tab/>
      </w:r>
      <w:r w:rsidRPr="0064762F">
        <w:rPr>
          <w:u w:val="single"/>
        </w:rPr>
        <w:t>Docket Number</w:t>
      </w:r>
      <w:r w:rsidRPr="0064762F">
        <w:tab/>
      </w:r>
      <w:r w:rsidRPr="0064762F">
        <w:rPr>
          <w:u w:val="single"/>
        </w:rPr>
        <w:t>Filing Type</w:t>
      </w:r>
    </w:p>
    <w:p w:rsidR="00765605" w:rsidRPr="0064762F" w:rsidRDefault="00765605" w:rsidP="00765605">
      <w:pPr>
        <w:jc w:val="both"/>
      </w:pPr>
    </w:p>
    <w:p w:rsidR="00765605" w:rsidRPr="0064762F" w:rsidRDefault="00765605" w:rsidP="00765605">
      <w:pPr>
        <w:jc w:val="both"/>
      </w:pPr>
      <w:r w:rsidRPr="0064762F">
        <w:t>*</w:t>
      </w:r>
      <w:r w:rsidRPr="0064762F">
        <w:tab/>
      </w:r>
      <w:r w:rsidRPr="0064762F">
        <w:tab/>
      </w:r>
      <w:r w:rsidRPr="0064762F">
        <w:tab/>
      </w:r>
      <w:r w:rsidRPr="0064762F">
        <w:tab/>
        <w:t>*</w:t>
      </w:r>
      <w:r w:rsidRPr="0064762F">
        <w:tab/>
      </w:r>
      <w:r w:rsidRPr="0064762F">
        <w:tab/>
        <w:t>202401</w:t>
      </w:r>
      <w:r>
        <w:t>21</w:t>
      </w:r>
      <w:r w:rsidRPr="0064762F">
        <w:t>-W</w:t>
      </w:r>
      <w:r>
        <w:t>U</w:t>
      </w:r>
      <w:r w:rsidRPr="0064762F">
        <w:tab/>
      </w:r>
      <w:r w:rsidRPr="0064762F">
        <w:tab/>
        <w:t>Grandfather Certificate</w:t>
      </w:r>
    </w:p>
    <w:p w:rsidR="00765605" w:rsidRPr="0064762F" w:rsidRDefault="00765605" w:rsidP="00765605">
      <w:pPr>
        <w:jc w:val="both"/>
      </w:pPr>
    </w:p>
    <w:p w:rsidR="00765605" w:rsidRPr="00763793" w:rsidRDefault="00765605" w:rsidP="00765605">
      <w:pPr>
        <w:spacing w:after="240"/>
        <w:rPr>
          <w:sz w:val="2"/>
        </w:rPr>
      </w:pPr>
      <w:r w:rsidRPr="0064762F">
        <w:t>* Order Number and date to</w:t>
      </w:r>
      <w:r>
        <w:t xml:space="preserve"> be provided at time of issuance.</w:t>
      </w:r>
    </w:p>
    <w:p w:rsidR="00DE456E" w:rsidRDefault="00DE456E" w:rsidP="00E275D8">
      <w:pPr>
        <w:pStyle w:val="BodyText"/>
      </w:pPr>
    </w:p>
    <w:p w:rsidR="00DE456E" w:rsidRDefault="00DE456E" w:rsidP="00E275D8">
      <w:pPr>
        <w:pStyle w:val="BodyText"/>
        <w:sectPr w:rsidR="00DE456E" w:rsidSect="0068481F">
          <w:pgSz w:w="12240" w:h="15840" w:code="1"/>
          <w:pgMar w:top="1584" w:right="1440" w:bottom="1440" w:left="1440" w:header="720" w:footer="720" w:gutter="0"/>
          <w:cols w:space="720"/>
          <w:formProt w:val="0"/>
          <w:docGrid w:linePitch="360"/>
        </w:sectPr>
      </w:pPr>
    </w:p>
    <w:p w:rsidR="00064860" w:rsidRPr="00004CA4" w:rsidRDefault="00064860" w:rsidP="00064860">
      <w:pPr>
        <w:jc w:val="center"/>
        <w:rPr>
          <w:rFonts w:ascii="Arial" w:hAnsi="Arial" w:cs="Arial"/>
          <w:b/>
        </w:rPr>
      </w:pPr>
      <w:r>
        <w:rPr>
          <w:rFonts w:ascii="Arial" w:hAnsi="Arial" w:cs="Arial"/>
          <w:b/>
          <w:bCs/>
        </w:rPr>
        <w:t>Consolidated Water Works</w:t>
      </w:r>
    </w:p>
    <w:p w:rsidR="00064860" w:rsidRPr="00922204" w:rsidRDefault="00064860" w:rsidP="00064860">
      <w:pPr>
        <w:jc w:val="center"/>
        <w:rPr>
          <w:rFonts w:ascii="Arial" w:hAnsi="Arial" w:cs="Arial"/>
          <w:b/>
        </w:rPr>
      </w:pPr>
      <w:r w:rsidRPr="00922204">
        <w:rPr>
          <w:rFonts w:ascii="Arial" w:hAnsi="Arial" w:cs="Arial"/>
          <w:b/>
        </w:rPr>
        <w:t>Monthly Water Rates</w:t>
      </w:r>
    </w:p>
    <w:p w:rsidR="00064860" w:rsidRPr="00922204" w:rsidRDefault="00064860" w:rsidP="00064860">
      <w:pPr>
        <w:jc w:val="center"/>
        <w:rPr>
          <w:rFonts w:ascii="Arial" w:hAnsi="Arial" w:cs="Arial"/>
          <w:b/>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1530"/>
        <w:gridCol w:w="2178"/>
      </w:tblGrid>
      <w:tr w:rsidR="00064860" w:rsidRPr="00922204" w:rsidTr="001978CB">
        <w:trPr>
          <w:jc w:val="right"/>
        </w:trPr>
        <w:tc>
          <w:tcPr>
            <w:tcW w:w="7398" w:type="dxa"/>
            <w:gridSpan w:val="2"/>
          </w:tcPr>
          <w:p w:rsidR="00064860" w:rsidRPr="001D749D" w:rsidRDefault="00064860" w:rsidP="001978CB">
            <w:pPr>
              <w:rPr>
                <w:rFonts w:ascii="Arial" w:hAnsi="Arial" w:cs="Arial"/>
                <w:b/>
              </w:rPr>
            </w:pPr>
            <w:r>
              <w:rPr>
                <w:rFonts w:ascii="Arial" w:hAnsi="Arial" w:cs="Arial"/>
                <w:b/>
              </w:rPr>
              <w:t>Residential</w:t>
            </w:r>
            <w:r w:rsidRPr="001D749D">
              <w:rPr>
                <w:rFonts w:ascii="Arial" w:hAnsi="Arial" w:cs="Arial"/>
                <w:b/>
              </w:rPr>
              <w:t xml:space="preserve"> and General Service</w:t>
            </w:r>
          </w:p>
        </w:tc>
        <w:tc>
          <w:tcPr>
            <w:tcW w:w="2178" w:type="dxa"/>
          </w:tcPr>
          <w:p w:rsidR="00064860" w:rsidRPr="00922204" w:rsidRDefault="00064860" w:rsidP="001978CB">
            <w:pPr>
              <w:rPr>
                <w:u w:val="single"/>
              </w:rPr>
            </w:pPr>
          </w:p>
        </w:tc>
      </w:tr>
      <w:tr w:rsidR="00064860" w:rsidRPr="00922204" w:rsidTr="001978CB">
        <w:trPr>
          <w:jc w:val="right"/>
        </w:trPr>
        <w:tc>
          <w:tcPr>
            <w:tcW w:w="7398" w:type="dxa"/>
            <w:gridSpan w:val="2"/>
          </w:tcPr>
          <w:p w:rsidR="00064860" w:rsidRPr="00922204" w:rsidRDefault="00064860" w:rsidP="001978CB">
            <w:r w:rsidRPr="00922204">
              <w:t>Base Facility Charge by Meter Size</w:t>
            </w:r>
          </w:p>
        </w:tc>
        <w:tc>
          <w:tcPr>
            <w:tcW w:w="2178" w:type="dxa"/>
          </w:tcPr>
          <w:p w:rsidR="00064860" w:rsidRPr="00922204" w:rsidRDefault="00064860" w:rsidP="001978CB">
            <w:pPr>
              <w:rPr>
                <w:u w:val="single"/>
              </w:rPr>
            </w:pPr>
          </w:p>
        </w:tc>
      </w:tr>
      <w:tr w:rsidR="00064860" w:rsidRPr="00922204" w:rsidTr="001978CB">
        <w:trPr>
          <w:jc w:val="right"/>
        </w:trPr>
        <w:tc>
          <w:tcPr>
            <w:tcW w:w="7398" w:type="dxa"/>
            <w:gridSpan w:val="2"/>
          </w:tcPr>
          <w:p w:rsidR="00064860" w:rsidRPr="00922204" w:rsidRDefault="00064860" w:rsidP="001978CB">
            <w:r>
              <w:t>All Meter Sizes</w:t>
            </w:r>
          </w:p>
        </w:tc>
        <w:tc>
          <w:tcPr>
            <w:tcW w:w="2178" w:type="dxa"/>
          </w:tcPr>
          <w:p w:rsidR="00064860" w:rsidRPr="00922204" w:rsidRDefault="00064860" w:rsidP="001978CB">
            <w:pPr>
              <w:jc w:val="right"/>
            </w:pPr>
            <w:r>
              <w:t>$11.49</w:t>
            </w:r>
          </w:p>
        </w:tc>
      </w:tr>
      <w:tr w:rsidR="00064860" w:rsidRPr="00922204" w:rsidTr="001978CB">
        <w:trPr>
          <w:jc w:val="right"/>
        </w:trPr>
        <w:tc>
          <w:tcPr>
            <w:tcW w:w="7398" w:type="dxa"/>
            <w:gridSpan w:val="2"/>
          </w:tcPr>
          <w:p w:rsidR="00064860" w:rsidRPr="00922204" w:rsidRDefault="00064860" w:rsidP="001978CB"/>
        </w:tc>
        <w:tc>
          <w:tcPr>
            <w:tcW w:w="2178" w:type="dxa"/>
          </w:tcPr>
          <w:p w:rsidR="00064860" w:rsidRPr="00922204" w:rsidRDefault="00064860" w:rsidP="001978CB">
            <w:pPr>
              <w:jc w:val="right"/>
            </w:pPr>
          </w:p>
        </w:tc>
      </w:tr>
      <w:tr w:rsidR="00064860" w:rsidRPr="00922204" w:rsidTr="001978CB">
        <w:trPr>
          <w:jc w:val="right"/>
        </w:trPr>
        <w:tc>
          <w:tcPr>
            <w:tcW w:w="7398" w:type="dxa"/>
            <w:gridSpan w:val="2"/>
          </w:tcPr>
          <w:p w:rsidR="00064860" w:rsidRPr="00922204" w:rsidRDefault="00064860" w:rsidP="001978CB">
            <w:r w:rsidRPr="00922204">
              <w:t>Charge Per 1,000 gallons</w:t>
            </w:r>
            <w:r>
              <w:t xml:space="preserve"> </w:t>
            </w:r>
            <w:r w:rsidRPr="00FA63B1">
              <w:rPr>
                <w:bCs/>
              </w:rPr>
              <w:t xml:space="preserve">– </w:t>
            </w:r>
            <w:r>
              <w:t xml:space="preserve">Residential and General Service </w:t>
            </w:r>
          </w:p>
        </w:tc>
        <w:tc>
          <w:tcPr>
            <w:tcW w:w="2178" w:type="dxa"/>
          </w:tcPr>
          <w:p w:rsidR="00064860" w:rsidRPr="00922204" w:rsidRDefault="00064860" w:rsidP="001978CB">
            <w:pPr>
              <w:jc w:val="right"/>
            </w:pPr>
            <w:r>
              <w:t>$11.49</w:t>
            </w:r>
          </w:p>
        </w:tc>
      </w:tr>
      <w:tr w:rsidR="00064860" w:rsidRPr="00922204" w:rsidTr="001978CB">
        <w:trPr>
          <w:jc w:val="right"/>
        </w:trPr>
        <w:tc>
          <w:tcPr>
            <w:tcW w:w="7398" w:type="dxa"/>
            <w:gridSpan w:val="2"/>
          </w:tcPr>
          <w:p w:rsidR="00064860" w:rsidRDefault="00064860" w:rsidP="001978CB">
            <w:pPr>
              <w:rPr>
                <w:b/>
              </w:rPr>
            </w:pPr>
          </w:p>
        </w:tc>
        <w:tc>
          <w:tcPr>
            <w:tcW w:w="2178" w:type="dxa"/>
          </w:tcPr>
          <w:p w:rsidR="00064860" w:rsidRDefault="00064860" w:rsidP="001978CB">
            <w:pPr>
              <w:jc w:val="right"/>
            </w:pPr>
          </w:p>
        </w:tc>
      </w:tr>
      <w:tr w:rsidR="00064860" w:rsidRPr="00922204" w:rsidTr="001978CB">
        <w:trPr>
          <w:jc w:val="right"/>
        </w:trPr>
        <w:tc>
          <w:tcPr>
            <w:tcW w:w="7398" w:type="dxa"/>
            <w:gridSpan w:val="2"/>
          </w:tcPr>
          <w:p w:rsidR="00064860" w:rsidRDefault="00064860" w:rsidP="001978CB">
            <w:pPr>
              <w:rPr>
                <w:b/>
              </w:rPr>
            </w:pPr>
          </w:p>
        </w:tc>
        <w:tc>
          <w:tcPr>
            <w:tcW w:w="2178" w:type="dxa"/>
          </w:tcPr>
          <w:p w:rsidR="00064860" w:rsidRDefault="00064860" w:rsidP="001978CB">
            <w:pPr>
              <w:jc w:val="right"/>
            </w:pPr>
          </w:p>
        </w:tc>
      </w:tr>
      <w:tr w:rsidR="00064860" w:rsidRPr="00922204" w:rsidTr="001978CB">
        <w:trPr>
          <w:jc w:val="right"/>
        </w:trPr>
        <w:tc>
          <w:tcPr>
            <w:tcW w:w="7398" w:type="dxa"/>
            <w:gridSpan w:val="2"/>
          </w:tcPr>
          <w:p w:rsidR="00064860" w:rsidRPr="001D749D" w:rsidRDefault="00064860" w:rsidP="001978CB">
            <w:pPr>
              <w:jc w:val="center"/>
              <w:rPr>
                <w:rFonts w:ascii="Arial" w:hAnsi="Arial" w:cs="Arial"/>
                <w:b/>
              </w:rPr>
            </w:pPr>
            <w:r w:rsidRPr="001D749D">
              <w:rPr>
                <w:rFonts w:ascii="Arial" w:hAnsi="Arial" w:cs="Arial"/>
                <w:b/>
                <w:bCs/>
              </w:rPr>
              <w:t xml:space="preserve">                </w:t>
            </w:r>
            <w:r>
              <w:rPr>
                <w:rFonts w:ascii="Arial" w:hAnsi="Arial" w:cs="Arial"/>
                <w:b/>
                <w:bCs/>
              </w:rPr>
              <w:t xml:space="preserve">              </w:t>
            </w:r>
            <w:r w:rsidRPr="001D749D">
              <w:rPr>
                <w:rFonts w:ascii="Arial" w:hAnsi="Arial" w:cs="Arial"/>
                <w:b/>
                <w:bCs/>
              </w:rPr>
              <w:t xml:space="preserve"> Initial Customer Deposits</w:t>
            </w:r>
          </w:p>
        </w:tc>
        <w:tc>
          <w:tcPr>
            <w:tcW w:w="2178" w:type="dxa"/>
          </w:tcPr>
          <w:p w:rsidR="00064860" w:rsidRDefault="00064860" w:rsidP="001978CB">
            <w:pPr>
              <w:jc w:val="right"/>
            </w:pPr>
          </w:p>
        </w:tc>
      </w:tr>
      <w:tr w:rsidR="00064860" w:rsidRPr="00922204" w:rsidTr="001978CB">
        <w:trPr>
          <w:jc w:val="right"/>
        </w:trPr>
        <w:tc>
          <w:tcPr>
            <w:tcW w:w="5868" w:type="dxa"/>
          </w:tcPr>
          <w:p w:rsidR="00064860" w:rsidRDefault="00064860" w:rsidP="001978CB">
            <w:pPr>
              <w:rPr>
                <w:b/>
              </w:rPr>
            </w:pPr>
            <w:r w:rsidRPr="00FA63B1">
              <w:rPr>
                <w:bCs/>
              </w:rPr>
              <w:t xml:space="preserve">Residential </w:t>
            </w:r>
            <w:r>
              <w:rPr>
                <w:bCs/>
              </w:rPr>
              <w:t>–</w:t>
            </w:r>
            <w:r w:rsidRPr="00FA63B1">
              <w:rPr>
                <w:bCs/>
              </w:rPr>
              <w:t xml:space="preserve"> </w:t>
            </w:r>
            <w:r>
              <w:t>All Meters</w:t>
            </w:r>
          </w:p>
        </w:tc>
        <w:tc>
          <w:tcPr>
            <w:tcW w:w="3708" w:type="dxa"/>
            <w:gridSpan w:val="2"/>
          </w:tcPr>
          <w:p w:rsidR="00064860" w:rsidRDefault="00064860" w:rsidP="001978CB">
            <w:pPr>
              <w:jc w:val="right"/>
            </w:pPr>
            <w:r>
              <w:t>$75.00</w:t>
            </w:r>
          </w:p>
        </w:tc>
      </w:tr>
      <w:tr w:rsidR="00064860" w:rsidRPr="00922204" w:rsidTr="001978CB">
        <w:trPr>
          <w:jc w:val="right"/>
        </w:trPr>
        <w:tc>
          <w:tcPr>
            <w:tcW w:w="7398" w:type="dxa"/>
            <w:gridSpan w:val="2"/>
          </w:tcPr>
          <w:p w:rsidR="00064860" w:rsidRDefault="00064860" w:rsidP="001978CB">
            <w:pPr>
              <w:rPr>
                <w:b/>
              </w:rPr>
            </w:pPr>
          </w:p>
        </w:tc>
        <w:tc>
          <w:tcPr>
            <w:tcW w:w="2178" w:type="dxa"/>
          </w:tcPr>
          <w:p w:rsidR="00064860" w:rsidRDefault="00064860" w:rsidP="001978CB">
            <w:pPr>
              <w:jc w:val="right"/>
            </w:pPr>
          </w:p>
        </w:tc>
      </w:tr>
    </w:tbl>
    <w:p w:rsidR="00064860" w:rsidRPr="00922204" w:rsidRDefault="00064860" w:rsidP="00064860">
      <w:pPr>
        <w:jc w:val="center"/>
        <w:rPr>
          <w:rFonts w:ascii="Arial" w:hAnsi="Arial" w:cs="Arial"/>
          <w:b/>
        </w:rPr>
      </w:pPr>
    </w:p>
    <w:p w:rsidR="00DE456E" w:rsidRDefault="00DE456E" w:rsidP="00E275D8">
      <w:pPr>
        <w:pStyle w:val="BodyText"/>
      </w:pPr>
    </w:p>
    <w:p w:rsidR="00DE456E" w:rsidRDefault="00DE456E" w:rsidP="00E275D8">
      <w:pPr>
        <w:pStyle w:val="BodyText"/>
      </w:pPr>
    </w:p>
    <w:sectPr w:rsidR="00DE456E"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56E" w:rsidRDefault="00DE456E">
      <w:r>
        <w:separator/>
      </w:r>
    </w:p>
  </w:endnote>
  <w:endnote w:type="continuationSeparator" w:id="0">
    <w:p w:rsidR="00DE456E" w:rsidRDefault="00DE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ED1660">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56E" w:rsidRDefault="00DE456E">
      <w:r>
        <w:separator/>
      </w:r>
    </w:p>
  </w:footnote>
  <w:footnote w:type="continuationSeparator" w:id="0">
    <w:p w:rsidR="00DE456E" w:rsidRDefault="00DE456E">
      <w:r>
        <w:continuationSeparator/>
      </w:r>
    </w:p>
  </w:footnote>
  <w:footnote w:id="1">
    <w:p w:rsidR="00765605" w:rsidRDefault="00765605" w:rsidP="00765605">
      <w:pPr>
        <w:pStyle w:val="FootnoteText"/>
      </w:pPr>
      <w:r>
        <w:rPr>
          <w:rStyle w:val="FootnoteReference"/>
        </w:rPr>
        <w:footnoteRef/>
      </w:r>
      <w:r>
        <w:t xml:space="preserve"> </w:t>
      </w:r>
      <w:r w:rsidRPr="00635C51">
        <w:t>Order No. PSC-2024-0222-FOF-WS</w:t>
      </w:r>
      <w:r>
        <w:t xml:space="preserve">, issued July 1, 2024, in Docket No. 20240089-WS, </w:t>
      </w:r>
      <w:r w:rsidRPr="003F5336">
        <w:rPr>
          <w:i/>
        </w:rPr>
        <w:t>In re:</w:t>
      </w:r>
      <w:r>
        <w:rPr>
          <w:i/>
        </w:rPr>
        <w:t xml:space="preserve"> </w:t>
      </w:r>
      <w:r w:rsidRPr="003F5336">
        <w:rPr>
          <w:i/>
        </w:rPr>
        <w:t>Resolution of the Board of County Commissioners of C</w:t>
      </w:r>
      <w:r>
        <w:rPr>
          <w:i/>
        </w:rPr>
        <w:t>olumbia</w:t>
      </w:r>
      <w:r w:rsidRPr="003F5336">
        <w:rPr>
          <w:i/>
        </w:rPr>
        <w:t xml:space="preserve"> County declaring C</w:t>
      </w:r>
      <w:r>
        <w:rPr>
          <w:i/>
        </w:rPr>
        <w:t>olumbia</w:t>
      </w:r>
      <w:r w:rsidRPr="003F5336">
        <w:rPr>
          <w:i/>
        </w:rPr>
        <w:t xml:space="preserve"> County subject of the </w:t>
      </w:r>
      <w:r>
        <w:rPr>
          <w:i/>
        </w:rPr>
        <w:t>provisions of Section</w:t>
      </w:r>
      <w:r w:rsidRPr="003F5336">
        <w:rPr>
          <w:i/>
        </w:rPr>
        <w:t xml:space="preserve"> 367, F.S.</w:t>
      </w:r>
    </w:p>
  </w:footnote>
  <w:footnote w:id="2">
    <w:p w:rsidR="00765605" w:rsidRDefault="00765605" w:rsidP="00765605">
      <w:pPr>
        <w:pStyle w:val="FootnoteText"/>
      </w:pPr>
      <w:r>
        <w:rPr>
          <w:rStyle w:val="FootnoteReference"/>
        </w:rPr>
        <w:footnoteRef/>
      </w:r>
      <w:r>
        <w:t xml:space="preserve"> Document No. </w:t>
      </w:r>
      <w:r w:rsidRPr="00B25074">
        <w:t>09109-2024</w:t>
      </w:r>
      <w:r>
        <w:t xml:space="preserve">, filed September 20, 2024, in Docket No. 20240121-WU, </w:t>
      </w:r>
      <w:r w:rsidRPr="00B25074">
        <w:rPr>
          <w:i/>
        </w:rPr>
        <w:t>In re: Application for grandfather certificate to operate water utility in Columbia County by Consolidated Water Works</w:t>
      </w:r>
      <w:r w:rsidR="00931B2E">
        <w:rPr>
          <w:i/>
        </w:rPr>
        <w:t>, Inc</w:t>
      </w:r>
      <w:r w:rsidRPr="00B25074">
        <w:rPr>
          <w:i/>
        </w:rPr>
        <w:t>.</w:t>
      </w:r>
    </w:p>
  </w:footnote>
  <w:footnote w:id="3">
    <w:p w:rsidR="00765605" w:rsidRDefault="00765605" w:rsidP="00765605">
      <w:pPr>
        <w:pStyle w:val="FootnoteText"/>
      </w:pPr>
      <w:r>
        <w:rPr>
          <w:rStyle w:val="FootnoteReference"/>
        </w:rPr>
        <w:footnoteRef/>
      </w:r>
      <w:r>
        <w:t xml:space="preserve"> Document No. </w:t>
      </w:r>
      <w:r w:rsidRPr="00345648">
        <w:t>09642-2024</w:t>
      </w:r>
      <w:r>
        <w:t xml:space="preserve">, filed </w:t>
      </w:r>
      <w:r>
        <w:rPr>
          <w:szCs w:val="24"/>
        </w:rPr>
        <w:t>October 22</w:t>
      </w:r>
      <w:r w:rsidRPr="002B0120">
        <w:rPr>
          <w:szCs w:val="24"/>
        </w:rPr>
        <w:t>, 2024</w:t>
      </w:r>
      <w:r>
        <w:t>,</w:t>
      </w:r>
      <w:r w:rsidRPr="00345648">
        <w:t xml:space="preserve"> </w:t>
      </w:r>
      <w:r>
        <w:t xml:space="preserve">in Docket No. 20240121-WU, </w:t>
      </w:r>
      <w:r w:rsidRPr="00B25074">
        <w:rPr>
          <w:i/>
        </w:rPr>
        <w:t>In re: Application for grandfather certificate to operate water utility in Columbia County by Consolidated Water Works</w:t>
      </w:r>
      <w:r w:rsidR="00931B2E">
        <w:rPr>
          <w:i/>
        </w:rPr>
        <w:t>, Inc</w:t>
      </w:r>
      <w:r w:rsidRPr="00B25074">
        <w:rPr>
          <w:i/>
        </w:rPr>
        <w:t>.</w:t>
      </w:r>
    </w:p>
  </w:footnote>
  <w:footnote w:id="4">
    <w:p w:rsidR="00765605" w:rsidRDefault="00765605" w:rsidP="00765605">
      <w:pPr>
        <w:pStyle w:val="FootnoteText"/>
      </w:pPr>
      <w:r>
        <w:rPr>
          <w:rStyle w:val="FootnoteReference"/>
        </w:rPr>
        <w:footnoteRef/>
      </w:r>
      <w:r>
        <w:t xml:space="preserve"> Document No. </w:t>
      </w:r>
      <w:r w:rsidRPr="00D37047">
        <w:t>09973-2024</w:t>
      </w:r>
      <w:r>
        <w:t xml:space="preserve">, filed November 21, 2024, in Docket No. 20240121-WU, </w:t>
      </w:r>
      <w:r w:rsidRPr="00B25074">
        <w:rPr>
          <w:i/>
        </w:rPr>
        <w:t>In re: Application for grandfather certificate to operate water utility in Columbia County by Consolidated Water Works</w:t>
      </w:r>
      <w:r w:rsidR="00931B2E">
        <w:rPr>
          <w:i/>
        </w:rPr>
        <w:t>, Inc</w:t>
      </w:r>
      <w:r w:rsidRPr="00B25074">
        <w:rPr>
          <w:i/>
        </w:rPr>
        <w:t>.</w:t>
      </w:r>
    </w:p>
  </w:footnote>
  <w:footnote w:id="5">
    <w:p w:rsidR="00765605" w:rsidRDefault="00765605" w:rsidP="00765605">
      <w:pPr>
        <w:pStyle w:val="FootnoteText"/>
      </w:pPr>
      <w:r>
        <w:rPr>
          <w:rStyle w:val="FootnoteReference"/>
        </w:rPr>
        <w:footnoteRef/>
      </w:r>
      <w:r>
        <w:t xml:space="preserve"> </w:t>
      </w:r>
      <w:r w:rsidR="005C5CF7">
        <w:t xml:space="preserve">Document No. </w:t>
      </w:r>
      <w:r w:rsidR="005C5CF7" w:rsidRPr="005C5CF7">
        <w:t>01938-2025</w:t>
      </w:r>
      <w:r w:rsidR="005C5CF7">
        <w:t xml:space="preserve">, filed March 19, 2025, in Docket No. 20240121-WU, </w:t>
      </w:r>
      <w:r w:rsidR="005C5CF7" w:rsidRPr="00B25074">
        <w:rPr>
          <w:i/>
        </w:rPr>
        <w:t>In re: Application for grandfather certificate to operate water utility in Columbia County by Consolidated Water Works</w:t>
      </w:r>
      <w:r w:rsidR="00931B2E">
        <w:rPr>
          <w:i/>
        </w:rPr>
        <w:t>, Inc</w:t>
      </w:r>
      <w:r w:rsidR="005C5CF7" w:rsidRPr="00B25074">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DE456E"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20240121-WU</w:t>
    </w:r>
    <w:bookmarkEnd w:id="15"/>
  </w:p>
  <w:p w:rsidR="00BC402E" w:rsidRDefault="00BC402E">
    <w:pPr>
      <w:pStyle w:val="Header"/>
    </w:pPr>
    <w:r>
      <w:t xml:space="preserve">Date: </w:t>
    </w:r>
    <w:fldSimple w:instr=" REF FilingDate ">
      <w:r w:rsidR="00064860">
        <w:t>April 24, 2025</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DE456E">
      <w:t>Docket No.</w:t>
    </w:r>
    <w:r>
      <w:fldChar w:fldCharType="end"/>
    </w:r>
    <w:r>
      <w:t xml:space="preserve"> </w:t>
    </w:r>
    <w:r>
      <w:fldChar w:fldCharType="begin"/>
    </w:r>
    <w:r>
      <w:instrText xml:space="preserve"> REF DocketList</w:instrText>
    </w:r>
    <w:r>
      <w:fldChar w:fldCharType="separate"/>
    </w:r>
    <w:r w:rsidR="00DE456E">
      <w:t>20240121-WU</w:t>
    </w:r>
    <w:r>
      <w:fldChar w:fldCharType="end"/>
    </w:r>
    <w:r>
      <w:tab/>
      <w:t xml:space="preserve">Issue </w:t>
    </w:r>
    <w:r w:rsidR="000C1905">
      <w:fldChar w:fldCharType="begin"/>
    </w:r>
    <w:r w:rsidR="000C1905">
      <w:instrText xml:space="preserve"> Seq Issue \c \* Arabic </w:instrText>
    </w:r>
    <w:r w:rsidR="000C1905">
      <w:fldChar w:fldCharType="separate"/>
    </w:r>
    <w:r w:rsidR="00ED1660">
      <w:rPr>
        <w:noProof/>
      </w:rPr>
      <w:t>2</w:t>
    </w:r>
    <w:r w:rsidR="000C1905">
      <w:rPr>
        <w:noProof/>
      </w:rPr>
      <w:fldChar w:fldCharType="end"/>
    </w:r>
  </w:p>
  <w:p w:rsidR="00BC402E" w:rsidRDefault="00BC402E">
    <w:pPr>
      <w:pStyle w:val="Header"/>
    </w:pPr>
    <w:r>
      <w:t xml:space="preserve">Date: </w:t>
    </w:r>
    <w:fldSimple w:instr=" REF FilingDate ">
      <w:r w:rsidR="00064860">
        <w:t>April 24</w:t>
      </w:r>
      <w:r w:rsidR="00DE456E">
        <w:t>, 2025</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605" w:rsidRDefault="00765605"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20240121-WU</w:t>
    </w:r>
    <w:r>
      <w:fldChar w:fldCharType="end"/>
    </w:r>
    <w:r>
      <w:tab/>
      <w:t>Attachment A</w:t>
    </w:r>
  </w:p>
  <w:p w:rsidR="00765605" w:rsidRDefault="00765605" w:rsidP="00765605">
    <w:pPr>
      <w:pStyle w:val="Header"/>
      <w:tabs>
        <w:tab w:val="left" w:pos="8280"/>
      </w:tabs>
      <w:ind w:right="-90"/>
    </w:pPr>
    <w:r>
      <w:t xml:space="preserve">Date: </w:t>
    </w:r>
    <w:fldSimple w:instr=" REF FilingDate ">
      <w:r w:rsidR="00064860">
        <w:t>April 24, 2025</w:t>
      </w:r>
    </w:fldSimple>
    <w:r>
      <w:tab/>
    </w:r>
    <w:r>
      <w:tab/>
      <w:t xml:space="preserve">Page </w:t>
    </w:r>
    <w:r>
      <w:fldChar w:fldCharType="begin"/>
    </w:r>
    <w:r>
      <w:instrText xml:space="preserve">= </w:instrText>
    </w:r>
    <w:r>
      <w:fldChar w:fldCharType="begin"/>
    </w:r>
    <w:r>
      <w:instrText xml:space="preserve">  page</w:instrText>
    </w:r>
    <w:r>
      <w:fldChar w:fldCharType="separate"/>
    </w:r>
    <w:r w:rsidR="00ED1660">
      <w:rPr>
        <w:noProof/>
      </w:rPr>
      <w:instrText>8</w:instrText>
    </w:r>
    <w:r>
      <w:fldChar w:fldCharType="end"/>
    </w:r>
    <w:r w:rsidR="00064860">
      <w:instrText xml:space="preserve"> -7</w:instrText>
    </w:r>
    <w:r>
      <w:fldChar w:fldCharType="separate"/>
    </w:r>
    <w:r w:rsidR="00ED1660">
      <w:rPr>
        <w:noProof/>
      </w:rPr>
      <w:t>1</w:t>
    </w:r>
    <w:r>
      <w:fldChar w:fldCharType="end"/>
    </w:r>
    <w:r>
      <w:t xml:space="preserve"> of 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56E" w:rsidRDefault="00DE456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20240121-WU</w:t>
    </w:r>
    <w:r>
      <w:fldChar w:fldCharType="end"/>
    </w:r>
    <w:r>
      <w:tab/>
      <w:t>Schedule No. 1</w:t>
    </w:r>
  </w:p>
  <w:p w:rsidR="00DE456E" w:rsidRDefault="00DE456E">
    <w:pPr>
      <w:pStyle w:val="Header"/>
    </w:pPr>
    <w:r>
      <w:t xml:space="preserve">Date: </w:t>
    </w:r>
    <w:fldSimple w:instr=" REF FilingDate ">
      <w:r w:rsidR="00064860">
        <w:t>April 24, 2025</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481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DE456E"/>
    <w:rsid w:val="000043D5"/>
    <w:rsid w:val="00006170"/>
    <w:rsid w:val="00010E37"/>
    <w:rsid w:val="000172DA"/>
    <w:rsid w:val="00022337"/>
    <w:rsid w:val="00023A0E"/>
    <w:rsid w:val="000247C5"/>
    <w:rsid w:val="000277C2"/>
    <w:rsid w:val="00035B48"/>
    <w:rsid w:val="00036CE2"/>
    <w:rsid w:val="000437FE"/>
    <w:rsid w:val="00044BE3"/>
    <w:rsid w:val="000513BE"/>
    <w:rsid w:val="00051573"/>
    <w:rsid w:val="0005451B"/>
    <w:rsid w:val="00064860"/>
    <w:rsid w:val="00065A06"/>
    <w:rsid w:val="000666F3"/>
    <w:rsid w:val="00070DCB"/>
    <w:rsid w:val="00072CCA"/>
    <w:rsid w:val="00073120"/>
    <w:rsid w:val="000764D0"/>
    <w:rsid w:val="000828D3"/>
    <w:rsid w:val="00085DD1"/>
    <w:rsid w:val="000A041B"/>
    <w:rsid w:val="000A2B57"/>
    <w:rsid w:val="000A418B"/>
    <w:rsid w:val="000B0ACE"/>
    <w:rsid w:val="000C4431"/>
    <w:rsid w:val="000C6607"/>
    <w:rsid w:val="000D1C06"/>
    <w:rsid w:val="000D3043"/>
    <w:rsid w:val="000D4319"/>
    <w:rsid w:val="000E24FA"/>
    <w:rsid w:val="000E338A"/>
    <w:rsid w:val="000E4392"/>
    <w:rsid w:val="000F1918"/>
    <w:rsid w:val="000F374A"/>
    <w:rsid w:val="000F4DAF"/>
    <w:rsid w:val="00105BA1"/>
    <w:rsid w:val="001076AF"/>
    <w:rsid w:val="001109F6"/>
    <w:rsid w:val="00116C6B"/>
    <w:rsid w:val="00117C8C"/>
    <w:rsid w:val="001239F0"/>
    <w:rsid w:val="00124A6E"/>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56C7"/>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0503"/>
    <w:rsid w:val="00263D44"/>
    <w:rsid w:val="002702AD"/>
    <w:rsid w:val="00281EB4"/>
    <w:rsid w:val="0028775A"/>
    <w:rsid w:val="00292D82"/>
    <w:rsid w:val="00293EE7"/>
    <w:rsid w:val="002963CB"/>
    <w:rsid w:val="002B2DAC"/>
    <w:rsid w:val="002B4A01"/>
    <w:rsid w:val="002C291B"/>
    <w:rsid w:val="002C746A"/>
    <w:rsid w:val="002C7E4E"/>
    <w:rsid w:val="002D226D"/>
    <w:rsid w:val="002D4C00"/>
    <w:rsid w:val="002D74E3"/>
    <w:rsid w:val="002F6030"/>
    <w:rsid w:val="003001AC"/>
    <w:rsid w:val="003037E1"/>
    <w:rsid w:val="00307E51"/>
    <w:rsid w:val="003103EC"/>
    <w:rsid w:val="00312132"/>
    <w:rsid w:val="003130BA"/>
    <w:rsid w:val="003144EF"/>
    <w:rsid w:val="0031480E"/>
    <w:rsid w:val="00316877"/>
    <w:rsid w:val="00322F74"/>
    <w:rsid w:val="00325E15"/>
    <w:rsid w:val="00332759"/>
    <w:rsid w:val="00340073"/>
    <w:rsid w:val="003411D8"/>
    <w:rsid w:val="00343B0E"/>
    <w:rsid w:val="003445B0"/>
    <w:rsid w:val="00353B66"/>
    <w:rsid w:val="00355934"/>
    <w:rsid w:val="00357928"/>
    <w:rsid w:val="003632FD"/>
    <w:rsid w:val="00370F78"/>
    <w:rsid w:val="00372805"/>
    <w:rsid w:val="00373180"/>
    <w:rsid w:val="0037386B"/>
    <w:rsid w:val="00375AB9"/>
    <w:rsid w:val="0037691E"/>
    <w:rsid w:val="003821A0"/>
    <w:rsid w:val="003844CC"/>
    <w:rsid w:val="00385B04"/>
    <w:rsid w:val="003864CF"/>
    <w:rsid w:val="003948AE"/>
    <w:rsid w:val="003A08C0"/>
    <w:rsid w:val="003A22A6"/>
    <w:rsid w:val="003A32EB"/>
    <w:rsid w:val="003A5494"/>
    <w:rsid w:val="003B2510"/>
    <w:rsid w:val="003B4355"/>
    <w:rsid w:val="003B4BD7"/>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68A9"/>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2183"/>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4F6242"/>
    <w:rsid w:val="00503944"/>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50F5"/>
    <w:rsid w:val="00586E8B"/>
    <w:rsid w:val="00587090"/>
    <w:rsid w:val="00587A44"/>
    <w:rsid w:val="00597730"/>
    <w:rsid w:val="005977EC"/>
    <w:rsid w:val="00597DE7"/>
    <w:rsid w:val="005A1CD3"/>
    <w:rsid w:val="005A2409"/>
    <w:rsid w:val="005A4AA2"/>
    <w:rsid w:val="005B34B6"/>
    <w:rsid w:val="005B606A"/>
    <w:rsid w:val="005B6C8F"/>
    <w:rsid w:val="005B6EC3"/>
    <w:rsid w:val="005C17D7"/>
    <w:rsid w:val="005C33CE"/>
    <w:rsid w:val="005C5CF7"/>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1F70"/>
    <w:rsid w:val="00673BDB"/>
    <w:rsid w:val="00674341"/>
    <w:rsid w:val="006771B8"/>
    <w:rsid w:val="006775AB"/>
    <w:rsid w:val="00682631"/>
    <w:rsid w:val="00683A89"/>
    <w:rsid w:val="006843B6"/>
    <w:rsid w:val="0068481F"/>
    <w:rsid w:val="00691E4E"/>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62F1F"/>
    <w:rsid w:val="00765605"/>
    <w:rsid w:val="00780C09"/>
    <w:rsid w:val="00780DDF"/>
    <w:rsid w:val="00782E98"/>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27250"/>
    <w:rsid w:val="008305B7"/>
    <w:rsid w:val="00832DDC"/>
    <w:rsid w:val="008426B0"/>
    <w:rsid w:val="008431BB"/>
    <w:rsid w:val="008459B9"/>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5CC0"/>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17405"/>
    <w:rsid w:val="00920E64"/>
    <w:rsid w:val="00922002"/>
    <w:rsid w:val="009225CB"/>
    <w:rsid w:val="00924020"/>
    <w:rsid w:val="00924BF4"/>
    <w:rsid w:val="009271A7"/>
    <w:rsid w:val="0092762F"/>
    <w:rsid w:val="00931B2E"/>
    <w:rsid w:val="0093414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0FA8"/>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C6AE9"/>
    <w:rsid w:val="00AD0E89"/>
    <w:rsid w:val="00AD444B"/>
    <w:rsid w:val="00AD5614"/>
    <w:rsid w:val="00AD6C78"/>
    <w:rsid w:val="00AE03F0"/>
    <w:rsid w:val="00AE2EAB"/>
    <w:rsid w:val="00AE3E76"/>
    <w:rsid w:val="00AF13D0"/>
    <w:rsid w:val="00AF5E0E"/>
    <w:rsid w:val="00AF5F89"/>
    <w:rsid w:val="00AF6FB4"/>
    <w:rsid w:val="00AF73CB"/>
    <w:rsid w:val="00B002D6"/>
    <w:rsid w:val="00B02EF0"/>
    <w:rsid w:val="00B03379"/>
    <w:rsid w:val="00B03FA5"/>
    <w:rsid w:val="00B04110"/>
    <w:rsid w:val="00B05B51"/>
    <w:rsid w:val="00B05D71"/>
    <w:rsid w:val="00B13436"/>
    <w:rsid w:val="00B14E5A"/>
    <w:rsid w:val="00B15370"/>
    <w:rsid w:val="00B16DA4"/>
    <w:rsid w:val="00B17BEB"/>
    <w:rsid w:val="00B21A3C"/>
    <w:rsid w:val="00B223C0"/>
    <w:rsid w:val="00B234ED"/>
    <w:rsid w:val="00B249B2"/>
    <w:rsid w:val="00B25CA3"/>
    <w:rsid w:val="00B2765A"/>
    <w:rsid w:val="00B3109A"/>
    <w:rsid w:val="00B31E73"/>
    <w:rsid w:val="00B32D37"/>
    <w:rsid w:val="00B41AA8"/>
    <w:rsid w:val="00B42B45"/>
    <w:rsid w:val="00B47027"/>
    <w:rsid w:val="00B516ED"/>
    <w:rsid w:val="00B565DA"/>
    <w:rsid w:val="00B57A6A"/>
    <w:rsid w:val="00B62D0D"/>
    <w:rsid w:val="00B760F1"/>
    <w:rsid w:val="00B7669E"/>
    <w:rsid w:val="00B76EBB"/>
    <w:rsid w:val="00B77DA1"/>
    <w:rsid w:val="00B822A0"/>
    <w:rsid w:val="00B82F85"/>
    <w:rsid w:val="00B858AE"/>
    <w:rsid w:val="00B85964"/>
    <w:rsid w:val="00B9464D"/>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45C4"/>
    <w:rsid w:val="00C2575A"/>
    <w:rsid w:val="00C31BB3"/>
    <w:rsid w:val="00C36977"/>
    <w:rsid w:val="00C46628"/>
    <w:rsid w:val="00C467DA"/>
    <w:rsid w:val="00C477D9"/>
    <w:rsid w:val="00C55EDD"/>
    <w:rsid w:val="00C57869"/>
    <w:rsid w:val="00C60BA3"/>
    <w:rsid w:val="00C623F7"/>
    <w:rsid w:val="00C62A81"/>
    <w:rsid w:val="00C67CD7"/>
    <w:rsid w:val="00C71E00"/>
    <w:rsid w:val="00C73901"/>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007A"/>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226D2"/>
    <w:rsid w:val="00D350E2"/>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972D8"/>
    <w:rsid w:val="00DA51E7"/>
    <w:rsid w:val="00DB0260"/>
    <w:rsid w:val="00DB1C78"/>
    <w:rsid w:val="00DB3F50"/>
    <w:rsid w:val="00DB7D96"/>
    <w:rsid w:val="00DC23FE"/>
    <w:rsid w:val="00DC26C7"/>
    <w:rsid w:val="00DC59E6"/>
    <w:rsid w:val="00DD150B"/>
    <w:rsid w:val="00DD3356"/>
    <w:rsid w:val="00DD5025"/>
    <w:rsid w:val="00DD5464"/>
    <w:rsid w:val="00DD6F85"/>
    <w:rsid w:val="00DE254E"/>
    <w:rsid w:val="00DE32C0"/>
    <w:rsid w:val="00DE456E"/>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165D"/>
    <w:rsid w:val="00E838B0"/>
    <w:rsid w:val="00E86A7C"/>
    <w:rsid w:val="00E878E1"/>
    <w:rsid w:val="00E87F2C"/>
    <w:rsid w:val="00E920F2"/>
    <w:rsid w:val="00E95278"/>
    <w:rsid w:val="00E96A42"/>
    <w:rsid w:val="00EA2273"/>
    <w:rsid w:val="00EA3456"/>
    <w:rsid w:val="00EA7C3C"/>
    <w:rsid w:val="00EB2DB3"/>
    <w:rsid w:val="00EC3FBB"/>
    <w:rsid w:val="00EC6B7A"/>
    <w:rsid w:val="00ED1660"/>
    <w:rsid w:val="00ED3A87"/>
    <w:rsid w:val="00ED5B67"/>
    <w:rsid w:val="00EE1A5C"/>
    <w:rsid w:val="00EE5F5A"/>
    <w:rsid w:val="00EF264C"/>
    <w:rsid w:val="00EF2941"/>
    <w:rsid w:val="00EF3FEE"/>
    <w:rsid w:val="00EF6B41"/>
    <w:rsid w:val="00F04B59"/>
    <w:rsid w:val="00F07B69"/>
    <w:rsid w:val="00F11741"/>
    <w:rsid w:val="00F117B0"/>
    <w:rsid w:val="00F12B1C"/>
    <w:rsid w:val="00F13CF8"/>
    <w:rsid w:val="00F15855"/>
    <w:rsid w:val="00F176C6"/>
    <w:rsid w:val="00F200B2"/>
    <w:rsid w:val="00F227DC"/>
    <w:rsid w:val="00F263B9"/>
    <w:rsid w:val="00F26D76"/>
    <w:rsid w:val="00F30701"/>
    <w:rsid w:val="00F32978"/>
    <w:rsid w:val="00F343B2"/>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D61E4"/>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0B8E222D-A0DE-4342-B293-2638F5B5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765605"/>
    <w:rPr>
      <w:vertAlign w:val="superscript"/>
    </w:rPr>
  </w:style>
  <w:style w:type="character" w:customStyle="1" w:styleId="FootnoteTextChar">
    <w:name w:val="Footnote Text Char"/>
    <w:basedOn w:val="DefaultParagraphFont"/>
    <w:link w:val="FootnoteText"/>
    <w:uiPriority w:val="99"/>
    <w:rsid w:val="00064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B9E85-BE27-45E6-8132-6AA839938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11</Pages>
  <Words>2477</Words>
  <Characters>14120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Danielle Adams</dc:creator>
  <cp:lastModifiedBy>Danielle Adams</cp:lastModifiedBy>
  <cp:revision>2</cp:revision>
  <cp:lastPrinted>2004-01-27T20:32:00Z</cp:lastPrinted>
  <dcterms:created xsi:type="dcterms:W3CDTF">2025-04-24T13:10:00Z</dcterms:created>
  <dcterms:modified xsi:type="dcterms:W3CDTF">2025-04-24T13:10:00Z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20240121-WU</vt:lpwstr>
  </property>
  <property fmtid="{D5CDD505-2E9C-101B-9397-08002B2CF9AE}" pid="3" name="MasterDocument">
    <vt:bool>false</vt:bool>
  </property>
</Properties>
</file>