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D6BA8">
            <w:pPr>
              <w:pStyle w:val="MemoHeading"/>
            </w:pPr>
            <w:bookmarkStart w:id="1" w:name="FilingDate"/>
            <w:r>
              <w:t>April 24,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D6BA8" w:rsidRDefault="007D6BA8">
            <w:pPr>
              <w:pStyle w:val="MemoHeading"/>
            </w:pPr>
            <w:bookmarkStart w:id="2" w:name="From"/>
            <w:r>
              <w:t>Division of Engineering (Sanchez, Ellis)</w:t>
            </w:r>
          </w:p>
          <w:p w:rsidR="007C0528" w:rsidRDefault="007D6BA8">
            <w:pPr>
              <w:pStyle w:val="MemoHeading"/>
            </w:pPr>
            <w:r>
              <w:t>Office of the General Counsel (Augspurger, Marquez)</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D6BA8">
            <w:pPr>
              <w:pStyle w:val="MemoHeadingRe"/>
            </w:pPr>
            <w:bookmarkStart w:id="3" w:name="Re"/>
            <w:r>
              <w:t>Docket No. 20250054-EQ – Petition for approval of amended standard offer contract (Schedule COG-2),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D6BA8">
            <w:pPr>
              <w:pStyle w:val="MemoHeading"/>
            </w:pPr>
            <w:r>
              <w:t xml:space="preserve">05/06/25 – </w:t>
            </w:r>
            <w:bookmarkStart w:id="4" w:name="PermittedStatus"/>
            <w:r>
              <w:t xml:space="preserve">Regular Agenda – </w:t>
            </w:r>
            <w:bookmarkEnd w:id="4"/>
            <w:r>
              <w:t>Tariff Suspension – 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D6BA8">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D6BA8">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7D6BA8">
            <w:pPr>
              <w:pStyle w:val="MemoHeading"/>
            </w:pPr>
            <w:bookmarkStart w:id="8" w:name="CriticalDates"/>
            <w:r>
              <w:t>05/31/25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D6BA8">
            <w:pPr>
              <w:pStyle w:val="MemoHeading"/>
            </w:pPr>
            <w:bookmarkStart w:id="9" w:name="SpecialInstructions"/>
            <w:r>
              <w:t>Staff recommends the Commission simultaneously consider Docket Nos. 20250053-EQ, 20250054-EQ, 20250055-EQ, and 20250056-EQ.</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934AEA" w:rsidRDefault="00934AEA" w:rsidP="00934AEA">
      <w:pPr>
        <w:pStyle w:val="BodyText"/>
      </w:pPr>
      <w:r>
        <w:t xml:space="preserve">Section 366.91(3), Florida Statutes (F.S.), requires each investor-owned utility to continuously offer to purchase capacity and energy from renewable generating facilities and small qualifying facilities. Rules 25-17.200 through 25-17.310, Florida Administrative Code (F.A.C.), implement the statute and require each investor-owned utility to file with the Commission, by April 1 of each year, a revised standard offer contract based on the next avoidable fossil-fueled generating unit of each technology type identified in the utility’s current Ten-Year Site Plan (TYSP). </w:t>
      </w:r>
      <w:r w:rsidRPr="000F7C79">
        <w:t xml:space="preserve"> On April 1, 2025, Duke Energy Florida, LLC (DEF) filed a petition for approval of its amended standard offer c</w:t>
      </w:r>
      <w:r>
        <w:t>ontract based on its 2025 TYSP.</w:t>
      </w:r>
    </w:p>
    <w:p w:rsidR="0068481F" w:rsidRDefault="00934AEA" w:rsidP="00934AEA">
      <w:pPr>
        <w:pStyle w:val="BodyText"/>
      </w:pPr>
      <w:r w:rsidRPr="005936B1">
        <w:lastRenderedPageBreak/>
        <w:t>This is staff’s recommendation to suspend the proposed revisions</w:t>
      </w:r>
      <w:r>
        <w:t xml:space="preserve"> and associated tariffs</w:t>
      </w:r>
      <w:r w:rsidRPr="005936B1">
        <w:t>.</w:t>
      </w:r>
      <w:r>
        <w:t xml:space="preserve"> </w:t>
      </w:r>
      <w:r w:rsidRPr="000F7C79">
        <w:t>The Commission has jurisdiction over this amended standard offer contract, pursuant to Sections 366.04</w:t>
      </w:r>
      <w:r>
        <w:t>, 366.041, 366.05, 366.055, 366.06</w:t>
      </w:r>
      <w:r w:rsidRPr="000F7C79">
        <w:t>, and 366.91, F.S</w:t>
      </w:r>
      <w:r>
        <w:t>.</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934AEA" w:rsidRDefault="00934AEA">
      <w:pPr>
        <w:pStyle w:val="IssueHeading"/>
        <w:rPr>
          <w:vanish/>
          <w:specVanish/>
        </w:rPr>
      </w:pPr>
      <w:r w:rsidRPr="004C3641">
        <w:t xml:space="preserve">Issue </w:t>
      </w:r>
      <w:r w:rsidR="00F06EB0">
        <w:fldChar w:fldCharType="begin"/>
      </w:r>
      <w:r w:rsidR="00F06EB0">
        <w:instrText xml:space="preserve"> SEQ Issue \* MERGEFORMAT </w:instrText>
      </w:r>
      <w:r w:rsidR="00F06EB0">
        <w:fldChar w:fldCharType="separate"/>
      </w:r>
      <w:r>
        <w:rPr>
          <w:noProof/>
        </w:rPr>
        <w:t>1</w:t>
      </w:r>
      <w:r w:rsidR="00F06E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(Sanchez)" \l 1 </w:instrText>
      </w:r>
      <w:r>
        <w:fldChar w:fldCharType="end"/>
      </w:r>
      <w:r>
        <w:t> </w:t>
      </w:r>
    </w:p>
    <w:p w:rsidR="00934AEA" w:rsidRDefault="00934AEA">
      <w:pPr>
        <w:pStyle w:val="BodyText"/>
      </w:pPr>
      <w:r>
        <w:t> Should the Commission suspend DEF's proposed revisions to its standard offer contract and associated tariffs?</w:t>
      </w:r>
    </w:p>
    <w:p w:rsidR="00934AEA" w:rsidRPr="004C3641" w:rsidRDefault="00934AEA">
      <w:pPr>
        <w:pStyle w:val="IssueSubsectionHeading"/>
        <w:rPr>
          <w:vanish/>
          <w:specVanish/>
        </w:rPr>
      </w:pPr>
      <w:r w:rsidRPr="004C3641">
        <w:t>Recommendation: </w:t>
      </w:r>
    </w:p>
    <w:p w:rsidR="00934AEA" w:rsidRDefault="00934AEA">
      <w:pPr>
        <w:pStyle w:val="BodyText"/>
      </w:pPr>
      <w:r>
        <w:t> Yes. Staff recommends that DEF’s proposed revisions to its standard offer contract and associated tariffs be suspended to allow staff sufficient time to review the petition and gather all information in order to present the Commission with an informed recommendation on the tariff proposals. (Sanchez)</w:t>
      </w:r>
    </w:p>
    <w:p w:rsidR="00934AEA" w:rsidRPr="004C3641" w:rsidRDefault="00934AEA">
      <w:pPr>
        <w:pStyle w:val="IssueSubsectionHeading"/>
        <w:rPr>
          <w:vanish/>
          <w:specVanish/>
        </w:rPr>
      </w:pPr>
      <w:r w:rsidRPr="004C3641">
        <w:t>Staff Analysis: </w:t>
      </w:r>
    </w:p>
    <w:p w:rsidR="00934AEA" w:rsidRDefault="00934AEA" w:rsidP="00934AEA">
      <w:pPr>
        <w:pStyle w:val="BodyText"/>
      </w:pPr>
      <w:r>
        <w:t> Staff recommends that DEF’s proposed revisions to its standard offer contract and associated tariffs be suspended to allow staff sufficient time to review the petition and gather all information in order to present the Commission with an informed recommendation on the tariff proposals.</w:t>
      </w:r>
    </w:p>
    <w:p w:rsidR="00934AEA" w:rsidRDefault="00934AEA" w:rsidP="00934AEA">
      <w:pPr>
        <w:pStyle w:val="BodyText"/>
      </w:pPr>
      <w:r>
        <w:t>Pursuant to Section 366.06(3), F.S., the Commission may withhold consent to the operation of all or any portion of a new rate schedule, delivering to the utility requesting such change a reason or written statement of good cause for doing so within 60 days. Staff believes that the reason stated above is a good cause consistent with the requirement of Section 366.06(3), F.S.</w:t>
      </w:r>
    </w:p>
    <w:p w:rsidR="00934AEA" w:rsidRDefault="00934AEA">
      <w:pPr>
        <w:pStyle w:val="IssueHeading"/>
        <w:rPr>
          <w:vanish/>
          <w:specVanish/>
        </w:rPr>
      </w:pPr>
      <w:r w:rsidRPr="004C3641">
        <w:rPr>
          <w:b w:val="0"/>
          <w:i w:val="0"/>
        </w:rPr>
        <w:br w:type="page"/>
      </w:r>
      <w:r w:rsidRPr="004C3641">
        <w:t xml:space="preserve">Issue </w:t>
      </w:r>
      <w:r w:rsidR="00F06EB0">
        <w:fldChar w:fldCharType="begin"/>
      </w:r>
      <w:r w:rsidR="00F06EB0">
        <w:instrText xml:space="preserve"> SEQ Issue \*</w:instrText>
      </w:r>
      <w:r w:rsidR="00F06EB0">
        <w:instrText xml:space="preserve"> MERGEFORMAT </w:instrText>
      </w:r>
      <w:r w:rsidR="00F06EB0">
        <w:fldChar w:fldCharType="separate"/>
      </w:r>
      <w:r>
        <w:rPr>
          <w:noProof/>
        </w:rPr>
        <w:t>2</w:t>
      </w:r>
      <w:r w:rsidR="00F06E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(Augspurger, Marquez)" \l 1 </w:instrText>
      </w:r>
      <w:r>
        <w:fldChar w:fldCharType="end"/>
      </w:r>
      <w:r>
        <w:t> </w:t>
      </w:r>
    </w:p>
    <w:p w:rsidR="00934AEA" w:rsidRDefault="00934AEA">
      <w:pPr>
        <w:pStyle w:val="BodyText"/>
      </w:pPr>
      <w:r>
        <w:t> Should this docket be closed?</w:t>
      </w:r>
    </w:p>
    <w:p w:rsidR="00934AEA" w:rsidRPr="004C3641" w:rsidRDefault="00934AEA">
      <w:pPr>
        <w:pStyle w:val="IssueSubsectionHeading"/>
        <w:rPr>
          <w:vanish/>
          <w:specVanish/>
        </w:rPr>
      </w:pPr>
      <w:r w:rsidRPr="004C3641">
        <w:t>Recommendation: </w:t>
      </w:r>
    </w:p>
    <w:p w:rsidR="00934AEA" w:rsidRDefault="00934AEA">
      <w:pPr>
        <w:pStyle w:val="BodyText"/>
      </w:pPr>
      <w:r>
        <w:t> No. The docket should remain open pending the Commission’s decision on DEF’s revised standard offer contract. (Augspurger, Marquez)</w:t>
      </w:r>
    </w:p>
    <w:p w:rsidR="00934AEA" w:rsidRPr="004C3641" w:rsidRDefault="00934AEA">
      <w:pPr>
        <w:pStyle w:val="IssueSubsectionHeading"/>
        <w:rPr>
          <w:vanish/>
          <w:specVanish/>
        </w:rPr>
      </w:pPr>
      <w:r w:rsidRPr="004C3641">
        <w:t>Staff Analysis: </w:t>
      </w:r>
    </w:p>
    <w:p w:rsidR="00934AEA" w:rsidRDefault="00934AEA">
      <w:pPr>
        <w:pStyle w:val="BodyText"/>
      </w:pPr>
      <w:r>
        <w:t> The docket should remain open pending the Commission’s decision on DEF’s revised standard offer contract.</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A8" w:rsidRDefault="007D6BA8">
      <w:r>
        <w:separator/>
      </w:r>
    </w:p>
  </w:endnote>
  <w:endnote w:type="continuationSeparator" w:id="0">
    <w:p w:rsidR="007D6BA8" w:rsidRDefault="007D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10153">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A8" w:rsidRDefault="007D6BA8">
      <w:r>
        <w:separator/>
      </w:r>
    </w:p>
  </w:footnote>
  <w:footnote w:type="continuationSeparator" w:id="0">
    <w:p w:rsidR="007D6BA8" w:rsidRDefault="007D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7D6BA8"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20250054-EQ</w:t>
    </w:r>
    <w:bookmarkEnd w:id="14"/>
  </w:p>
  <w:p w:rsidR="00BC402E" w:rsidRDefault="00BC402E">
    <w:pPr>
      <w:pStyle w:val="Header"/>
    </w:pPr>
    <w:r>
      <w:t xml:space="preserve">Date: </w:t>
    </w:r>
    <w:r w:rsidR="00F06EB0">
      <w:fldChar w:fldCharType="begin"/>
    </w:r>
    <w:r w:rsidR="00F06EB0">
      <w:instrText xml:space="preserve"> REF FilingDate </w:instrText>
    </w:r>
    <w:r w:rsidR="00F06EB0">
      <w:fldChar w:fldCharType="separate"/>
    </w:r>
    <w:r w:rsidR="00934AEA">
      <w:t>April 24, 2025</w:t>
    </w:r>
    <w:r w:rsidR="00F06EB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34AEA">
      <w:t>Docket No.</w:t>
    </w:r>
    <w:r>
      <w:fldChar w:fldCharType="end"/>
    </w:r>
    <w:r>
      <w:t xml:space="preserve"> </w:t>
    </w:r>
    <w:r>
      <w:fldChar w:fldCharType="begin"/>
    </w:r>
    <w:r>
      <w:instrText xml:space="preserve"> REF DocketList</w:instrText>
    </w:r>
    <w:r>
      <w:fldChar w:fldCharType="separate"/>
    </w:r>
    <w:r w:rsidR="00934AEA">
      <w:t>20250054-EQ</w:t>
    </w:r>
    <w:r>
      <w:fldChar w:fldCharType="end"/>
    </w:r>
    <w:r>
      <w:tab/>
      <w:t xml:space="preserve">Issue </w:t>
    </w:r>
    <w:fldSimple w:instr=" Seq Issue \c \* Arabic ">
      <w:r w:rsidR="00B10153">
        <w:rPr>
          <w:noProof/>
        </w:rPr>
        <w:t>2</w:t>
      </w:r>
    </w:fldSimple>
  </w:p>
  <w:p w:rsidR="00BC402E" w:rsidRDefault="00BC402E">
    <w:pPr>
      <w:pStyle w:val="Header"/>
    </w:pPr>
    <w:r>
      <w:t xml:space="preserve">Date: </w:t>
    </w:r>
    <w:r w:rsidR="00F06EB0">
      <w:fldChar w:fldCharType="begin"/>
    </w:r>
    <w:r w:rsidR="00F06EB0">
      <w:instrText xml:space="preserve"> REF FilingDate </w:instrText>
    </w:r>
    <w:r w:rsidR="00F06EB0">
      <w:fldChar w:fldCharType="separate"/>
    </w:r>
    <w:r w:rsidR="00934AEA">
      <w:t>April 24, 2025</w:t>
    </w:r>
    <w:r w:rsidR="00F06EB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D6BA8"/>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D6BA8"/>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4AEA"/>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0153"/>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B0A5014-F341-4651-B638-23658E94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3473-5239-4DD5-8C53-C019904A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456</Words>
  <Characters>3011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2025-04-24T13:22:00Z</dcterms:created>
  <dcterms:modified xsi:type="dcterms:W3CDTF">2025-04-24T13:22:00Z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20250054-EQ</vt:lpwstr>
  </property>
  <property fmtid="{D5CDD505-2E9C-101B-9397-08002B2CF9AE}" pid="3" name="MasterDocument">
    <vt:bool>false</vt:bool>
  </property>
</Properties>
</file>