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52510B5E"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2B6324FF" w14:textId="77777777" w:rsidR="007C0528" w:rsidRDefault="007C0528" w:rsidP="00532DFB">
            <w:pPr>
              <w:pStyle w:val="MastHeadState"/>
            </w:pPr>
            <w:bookmarkStart w:id="0" w:name="_GoBack"/>
            <w:bookmarkEnd w:id="0"/>
            <w:r>
              <w:t>State of Florida</w:t>
            </w:r>
          </w:p>
          <w:p w14:paraId="158F0EC0" w14:textId="77777777" w:rsidR="007C0528" w:rsidRDefault="00072CCA">
            <w:pPr>
              <w:jc w:val="center"/>
            </w:pPr>
            <w:r>
              <w:rPr>
                <w:noProof/>
              </w:rPr>
              <w:drawing>
                <wp:inline distT="0" distB="0" distL="0" distR="0" wp14:anchorId="1833FB53" wp14:editId="1D3D5507">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2C359380"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1E684E5F" w14:textId="77777777" w:rsidR="007C0528" w:rsidRDefault="007C0528">
            <w:pPr>
              <w:pStyle w:val="MastHeadPSC"/>
            </w:pPr>
            <w:r>
              <w:t>Public Service Commission</w:t>
            </w:r>
          </w:p>
          <w:p w14:paraId="2293672F" w14:textId="77777777" w:rsidR="007C0528" w:rsidRDefault="007C0528">
            <w:pPr>
              <w:pStyle w:val="MastHeadAddress"/>
            </w:pPr>
            <w:r>
              <w:t>Capital Circle Office Center ● 2540 Shumard Oak Boulevard</w:t>
            </w:r>
            <w:r>
              <w:br/>
              <w:t>Tallahassee, Florida 32399-0850</w:t>
            </w:r>
          </w:p>
          <w:p w14:paraId="0BEA334B" w14:textId="77777777" w:rsidR="007C0528" w:rsidRDefault="007C0528">
            <w:pPr>
              <w:pStyle w:val="MastHeadMemorandum"/>
            </w:pPr>
            <w:r>
              <w:t>-M-E-M-O-R-A-N-D-U-M-</w:t>
            </w:r>
          </w:p>
          <w:p w14:paraId="32BE8715" w14:textId="77777777" w:rsidR="007C0528" w:rsidRDefault="007C0528">
            <w:pPr>
              <w:pStyle w:val="MemoHeading"/>
            </w:pPr>
          </w:p>
        </w:tc>
      </w:tr>
      <w:tr w:rsidR="007C0528" w14:paraId="2A6BF261"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0A2DEDB8"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1F0553C8" w14:textId="77777777" w:rsidR="007C0528" w:rsidRDefault="00E66B21">
            <w:pPr>
              <w:pStyle w:val="MemoHeading"/>
            </w:pPr>
            <w:bookmarkStart w:id="1" w:name="FilingDate"/>
            <w:r>
              <w:t>September 25, 2025</w:t>
            </w:r>
            <w:bookmarkEnd w:id="1"/>
          </w:p>
        </w:tc>
      </w:tr>
      <w:tr w:rsidR="007C0528" w14:paraId="638F8FD1" w14:textId="77777777">
        <w:tc>
          <w:tcPr>
            <w:tcW w:w="1254" w:type="dxa"/>
            <w:tcBorders>
              <w:top w:val="nil"/>
              <w:left w:val="nil"/>
              <w:bottom w:val="nil"/>
              <w:right w:val="nil"/>
            </w:tcBorders>
            <w:shd w:val="clear" w:color="auto" w:fill="auto"/>
            <w:tcMar>
              <w:top w:w="288" w:type="dxa"/>
              <w:bottom w:w="0" w:type="dxa"/>
              <w:right w:w="0" w:type="dxa"/>
            </w:tcMar>
          </w:tcPr>
          <w:p w14:paraId="0A3E3B19"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106DE8FB" w14:textId="77777777" w:rsidR="007C0528" w:rsidRDefault="007C0528" w:rsidP="0093658B">
            <w:pPr>
              <w:pStyle w:val="MemoHeading"/>
            </w:pPr>
            <w:r>
              <w:t>Office of Commission Clerk (</w:t>
            </w:r>
            <w:r w:rsidR="004E69B5">
              <w:t>Teitzman</w:t>
            </w:r>
            <w:r>
              <w:t>)</w:t>
            </w:r>
          </w:p>
        </w:tc>
      </w:tr>
      <w:tr w:rsidR="007C0528" w14:paraId="6278AA21" w14:textId="77777777">
        <w:tc>
          <w:tcPr>
            <w:tcW w:w="1254" w:type="dxa"/>
            <w:tcBorders>
              <w:top w:val="nil"/>
              <w:left w:val="nil"/>
              <w:bottom w:val="nil"/>
              <w:right w:val="nil"/>
            </w:tcBorders>
            <w:shd w:val="clear" w:color="auto" w:fill="auto"/>
            <w:tcMar>
              <w:top w:w="288" w:type="dxa"/>
              <w:right w:w="0" w:type="dxa"/>
            </w:tcMar>
          </w:tcPr>
          <w:p w14:paraId="158D2C54"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63EA5F77" w14:textId="77777777" w:rsidR="00E66B21" w:rsidRDefault="00E66B21">
            <w:pPr>
              <w:pStyle w:val="MemoHeading"/>
            </w:pPr>
            <w:bookmarkStart w:id="2" w:name="From"/>
            <w:r>
              <w:t>Division of Economics (Ward)</w:t>
            </w:r>
          </w:p>
          <w:p w14:paraId="315D46FA" w14:textId="77777777" w:rsidR="007C0528" w:rsidRDefault="00E66B21">
            <w:pPr>
              <w:pStyle w:val="MemoHeading"/>
            </w:pPr>
            <w:r>
              <w:t>Office of the General Counsel (Bloom)</w:t>
            </w:r>
            <w:bookmarkEnd w:id="2"/>
          </w:p>
        </w:tc>
      </w:tr>
      <w:tr w:rsidR="007C0528" w14:paraId="211A2558" w14:textId="77777777">
        <w:tc>
          <w:tcPr>
            <w:tcW w:w="1254" w:type="dxa"/>
            <w:tcBorders>
              <w:top w:val="nil"/>
              <w:left w:val="nil"/>
              <w:bottom w:val="nil"/>
              <w:right w:val="nil"/>
            </w:tcBorders>
            <w:shd w:val="clear" w:color="auto" w:fill="auto"/>
            <w:tcMar>
              <w:top w:w="288" w:type="dxa"/>
              <w:right w:w="0" w:type="dxa"/>
            </w:tcMar>
          </w:tcPr>
          <w:p w14:paraId="4A238E80"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511EAE86" w14:textId="77777777" w:rsidR="007C0528" w:rsidRDefault="00E66B21">
            <w:pPr>
              <w:pStyle w:val="MemoHeadingRe"/>
            </w:pPr>
            <w:bookmarkStart w:id="3" w:name="Re"/>
            <w:r>
              <w:t>Docket No. 20250102-GU – Petition for approval of tariff modification to reflect TTS pool manager, by Florida Public Utilities Company.</w:t>
            </w:r>
            <w:bookmarkEnd w:id="3"/>
          </w:p>
        </w:tc>
      </w:tr>
      <w:tr w:rsidR="007C0528" w14:paraId="621E4C6E" w14:textId="77777777">
        <w:tc>
          <w:tcPr>
            <w:tcW w:w="1254" w:type="dxa"/>
            <w:tcBorders>
              <w:top w:val="nil"/>
              <w:left w:val="nil"/>
              <w:bottom w:val="nil"/>
              <w:right w:val="nil"/>
            </w:tcBorders>
            <w:shd w:val="clear" w:color="auto" w:fill="auto"/>
            <w:tcMar>
              <w:top w:w="288" w:type="dxa"/>
              <w:bottom w:w="0" w:type="dxa"/>
              <w:right w:w="0" w:type="dxa"/>
            </w:tcMar>
          </w:tcPr>
          <w:p w14:paraId="03177292"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3592F719" w14:textId="77777777" w:rsidR="007C0528" w:rsidRDefault="00E66B21">
            <w:pPr>
              <w:pStyle w:val="MemoHeading"/>
            </w:pPr>
            <w:bookmarkStart w:id="4" w:name="AgendaDate"/>
            <w:r>
              <w:t>10/07/25</w:t>
            </w:r>
            <w:bookmarkEnd w:id="4"/>
            <w:r w:rsidR="007C0528">
              <w:t xml:space="preserve"> – </w:t>
            </w:r>
            <w:bookmarkStart w:id="5" w:name="PermittedStatus"/>
            <w:r>
              <w:t xml:space="preserve">Regular Agenda – </w:t>
            </w:r>
            <w:r w:rsidR="004F0330">
              <w:t xml:space="preserve">Tariff Filing </w:t>
            </w:r>
            <w:r w:rsidR="004F0330" w:rsidRPr="004F0330">
              <w:t>–</w:t>
            </w:r>
            <w:r w:rsidR="004F0330">
              <w:t xml:space="preserve"> </w:t>
            </w:r>
            <w:r>
              <w:t>Interested Persons May Participate</w:t>
            </w:r>
            <w:bookmarkEnd w:id="5"/>
          </w:p>
        </w:tc>
      </w:tr>
      <w:tr w:rsidR="007C0528" w14:paraId="227AE75E" w14:textId="77777777">
        <w:tc>
          <w:tcPr>
            <w:tcW w:w="3690" w:type="dxa"/>
            <w:gridSpan w:val="3"/>
            <w:tcBorders>
              <w:top w:val="nil"/>
              <w:left w:val="nil"/>
              <w:bottom w:val="nil"/>
              <w:right w:val="nil"/>
            </w:tcBorders>
            <w:shd w:val="clear" w:color="auto" w:fill="auto"/>
            <w:tcMar>
              <w:top w:w="288" w:type="dxa"/>
              <w:bottom w:w="0" w:type="dxa"/>
              <w:right w:w="0" w:type="dxa"/>
            </w:tcMar>
          </w:tcPr>
          <w:p w14:paraId="3F66FA58"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6C9EC866" w14:textId="77777777" w:rsidR="007C0528" w:rsidRDefault="00E66B21">
            <w:pPr>
              <w:pStyle w:val="MemoHeading"/>
            </w:pPr>
            <w:bookmarkStart w:id="6" w:name="CommissionersAssigned"/>
            <w:r>
              <w:t>All Commissioners</w:t>
            </w:r>
            <w:bookmarkEnd w:id="6"/>
          </w:p>
        </w:tc>
      </w:tr>
      <w:tr w:rsidR="007C0528" w14:paraId="3B629104" w14:textId="77777777">
        <w:tc>
          <w:tcPr>
            <w:tcW w:w="3690" w:type="dxa"/>
            <w:gridSpan w:val="3"/>
            <w:tcBorders>
              <w:top w:val="nil"/>
              <w:left w:val="nil"/>
              <w:bottom w:val="nil"/>
              <w:right w:val="nil"/>
            </w:tcBorders>
            <w:shd w:val="clear" w:color="auto" w:fill="auto"/>
            <w:tcMar>
              <w:top w:w="288" w:type="dxa"/>
              <w:bottom w:w="0" w:type="dxa"/>
              <w:right w:w="0" w:type="dxa"/>
            </w:tcMar>
          </w:tcPr>
          <w:p w14:paraId="600AD3CB"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1A6BFA00" w14:textId="77777777" w:rsidR="007C0528" w:rsidRDefault="00E66B21">
            <w:pPr>
              <w:pStyle w:val="MemoHeading"/>
            </w:pPr>
            <w:bookmarkStart w:id="7" w:name="PrehearingOfficer"/>
            <w:r>
              <w:t>Administrative</w:t>
            </w:r>
            <w:bookmarkEnd w:id="7"/>
          </w:p>
        </w:tc>
      </w:tr>
      <w:tr w:rsidR="007C0528" w14:paraId="2ED76636"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4F621713"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011C1ED4" w14:textId="77777777" w:rsidR="007C0528" w:rsidRDefault="00E66B21">
            <w:pPr>
              <w:pStyle w:val="MemoHeading"/>
            </w:pPr>
            <w:bookmarkStart w:id="9" w:name="CriticalDates"/>
            <w:r>
              <w:t>10/13/25 (60-Day Suspension Date)</w:t>
            </w:r>
            <w:bookmarkEnd w:id="9"/>
          </w:p>
        </w:tc>
      </w:tr>
      <w:tr w:rsidR="007C0528" w14:paraId="217C0519"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1878EC21"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72076A0A" w14:textId="77777777" w:rsidR="007C0528" w:rsidRDefault="00E66B21">
            <w:pPr>
              <w:pStyle w:val="MemoHeading"/>
            </w:pPr>
            <w:bookmarkStart w:id="10" w:name="SpecialInstructions"/>
            <w:r>
              <w:t>None</w:t>
            </w:r>
            <w:bookmarkEnd w:id="10"/>
          </w:p>
        </w:tc>
      </w:tr>
    </w:tbl>
    <w:p w14:paraId="2DDC4AE7" w14:textId="77777777" w:rsidR="007C0528" w:rsidRDefault="007C0528">
      <w:pPr>
        <w:pStyle w:val="BodyText"/>
      </w:pPr>
    </w:p>
    <w:p w14:paraId="773249F2"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5F4BB46F" w14:textId="77777777" w:rsidR="0068481F" w:rsidRDefault="00E66B21">
      <w:pPr>
        <w:pStyle w:val="BodyText"/>
      </w:pPr>
      <w:r>
        <w:t>On August 14, 2025, Florida Public Utilities Company (FPUC</w:t>
      </w:r>
      <w:r w:rsidR="00CA6BEE">
        <w:t xml:space="preserve"> or utility</w:t>
      </w:r>
      <w:r>
        <w:t xml:space="preserve">) filed a petition for approval of a tariff modification reflecting the </w:t>
      </w:r>
      <w:r w:rsidR="0046132D">
        <w:t>automation</w:t>
      </w:r>
      <w:r w:rsidR="004F0330">
        <w:t xml:space="preserve"> of FPUC’s </w:t>
      </w:r>
      <w:r w:rsidR="005E58FE">
        <w:t>Transitional Transportation Service (</w:t>
      </w:r>
      <w:r>
        <w:t>TTS</w:t>
      </w:r>
      <w:r w:rsidR="005E58FE">
        <w:t>)</w:t>
      </w:r>
      <w:r>
        <w:t xml:space="preserve"> pool manager assignment process. </w:t>
      </w:r>
      <w:r w:rsidR="004F0330">
        <w:t xml:space="preserve">The TTS program is designed to allow Indiantown and Central Florida Gas </w:t>
      </w:r>
      <w:r w:rsidR="002A24A5">
        <w:t xml:space="preserve">(CFG) </w:t>
      </w:r>
      <w:r w:rsidR="004F0330">
        <w:t xml:space="preserve">Division </w:t>
      </w:r>
      <w:r w:rsidR="002A24A5">
        <w:t xml:space="preserve">customers </w:t>
      </w:r>
      <w:r w:rsidR="00711498">
        <w:t>to purchase natural gas from one of two TTS shippers and select from certain gas pricing options offered by the TTS shippers.</w:t>
      </w:r>
      <w:r w:rsidR="001F1A2C">
        <w:t xml:space="preserve"> </w:t>
      </w:r>
      <w:r w:rsidR="001F1A2C" w:rsidRPr="001F1A2C">
        <w:t>The TTS tariff was originally established in 2002 to facilitate the conversion of remaining sales customers to aggregated customer pools. These customer pools are administered by qualified gas marketers (also known as pool managers) who have the capability of combining the gas supply requirements of customers in the TTS pools with other customers served by the pool managers, both on and off the utility’s distribution system.</w:t>
      </w:r>
      <w:r w:rsidR="004F0330">
        <w:t xml:space="preserve"> </w:t>
      </w:r>
      <w:r w:rsidR="002A24A5">
        <w:t xml:space="preserve">FPUC’s Indiantown and CFG Division provide transportation service only. </w:t>
      </w:r>
      <w:r>
        <w:t>Under the proposed tariff</w:t>
      </w:r>
      <w:r w:rsidR="009A3B8F">
        <w:t>,</w:t>
      </w:r>
      <w:r>
        <w:t xml:space="preserve"> FPUC would </w:t>
      </w:r>
      <w:r w:rsidR="00D9232C">
        <w:t xml:space="preserve">utilize its new </w:t>
      </w:r>
      <w:r w:rsidR="00934A73">
        <w:t xml:space="preserve">billing system to automate the assignment of TTS pool managers. </w:t>
      </w:r>
      <w:r w:rsidR="009A3B8F">
        <w:t xml:space="preserve">In response to staff’s </w:t>
      </w:r>
      <w:r w:rsidR="008A78A0">
        <w:t>data request</w:t>
      </w:r>
      <w:r w:rsidR="009A3B8F">
        <w:t>,</w:t>
      </w:r>
      <w:r w:rsidR="008A78A0">
        <w:t xml:space="preserve"> the utility stated that </w:t>
      </w:r>
      <w:r w:rsidR="00934A73">
        <w:t xml:space="preserve">TTS pool manager A would be assigned to customers moving in on even numbered </w:t>
      </w:r>
      <w:r w:rsidR="00934A73">
        <w:lastRenderedPageBreak/>
        <w:t>calendar days</w:t>
      </w:r>
      <w:r w:rsidR="0010025A">
        <w:t>,</w:t>
      </w:r>
      <w:r w:rsidR="00934A73">
        <w:t xml:space="preserve"> while TTS pool manager B would be assigned to customers moving in on odd numbered calendar days.</w:t>
      </w:r>
      <w:r w:rsidR="008A78A0">
        <w:rPr>
          <w:rStyle w:val="FootnoteReference"/>
        </w:rPr>
        <w:footnoteReference w:id="1"/>
      </w:r>
      <w:r w:rsidR="00934A73">
        <w:t xml:space="preserve"> Currently, this assignment is done manually.</w:t>
      </w:r>
    </w:p>
    <w:p w14:paraId="7655F956" w14:textId="77777777" w:rsidR="00934A73" w:rsidRPr="00934A73" w:rsidRDefault="00934A73" w:rsidP="00934A73">
      <w:pPr>
        <w:pStyle w:val="BodyText"/>
      </w:pPr>
      <w:r w:rsidRPr="00934A73">
        <w:t>During the evaluation of the petition, staff issued a data request for which re</w:t>
      </w:r>
      <w:r>
        <w:t>sponses were received on September 5</w:t>
      </w:r>
      <w:r w:rsidRPr="00934A73">
        <w:t xml:space="preserve">, 2025. </w:t>
      </w:r>
      <w:r w:rsidR="00711498">
        <w:t xml:space="preserve">Proposed tariff sheet No. 6.526 is included to the recommendation as Attachment A. </w:t>
      </w:r>
      <w:r w:rsidRPr="00934A73">
        <w:t>The Commission has jurisdiction over this matter pursuant to Sections 366.03, 366.04, 366.05, and 366.06, Florida Statutes (F.S.).</w:t>
      </w:r>
    </w:p>
    <w:bookmarkEnd w:id="12"/>
    <w:p w14:paraId="5B4B517A" w14:textId="77777777" w:rsidR="00EA2273" w:rsidRDefault="00EA2273" w:rsidP="008A78A0">
      <w:pPr>
        <w:pStyle w:val="RecommendationMajorSectionHeading"/>
        <w:jc w:val="left"/>
        <w:sectPr w:rsidR="00EA227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584" w:right="1440" w:bottom="1440" w:left="1440" w:header="720" w:footer="720" w:gutter="0"/>
          <w:cols w:space="720"/>
          <w:formProt w:val="0"/>
          <w:titlePg/>
          <w:docGrid w:linePitch="360"/>
        </w:sectPr>
      </w:pPr>
    </w:p>
    <w:p w14:paraId="73818B43" w14:textId="77777777" w:rsidR="007C0528" w:rsidRDefault="007C0528">
      <w:pPr>
        <w:pStyle w:val="RecommendationMajorSectionHeading"/>
      </w:pPr>
      <w:bookmarkStart w:id="16" w:name="DiscussionOfIssues"/>
      <w:r>
        <w:lastRenderedPageBreak/>
        <w:t>Discussion of Issues</w:t>
      </w:r>
    </w:p>
    <w:bookmarkEnd w:id="16"/>
    <w:p w14:paraId="4BC8704A" w14:textId="6097E2F2" w:rsidR="00E66B21" w:rsidRDefault="00E66B21">
      <w:pPr>
        <w:pStyle w:val="IssueHeading"/>
        <w:rPr>
          <w:vanish/>
          <w:specVanish/>
        </w:rPr>
      </w:pPr>
      <w:r w:rsidRPr="004C3641">
        <w:t xml:space="preserve">Issue </w:t>
      </w:r>
      <w:fldSimple w:instr=" SEQ Issue \* MERGEFORMAT ">
        <w:r w:rsidR="008F0CC6">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8F0CC6">
        <w:rPr>
          <w:noProof/>
        </w:rPr>
        <w:instrText>1</w:instrText>
      </w:r>
      <w:r>
        <w:fldChar w:fldCharType="end"/>
      </w:r>
      <w:r>
        <w:tab/>
        <w:instrText xml:space="preserve">(Ward)" \l 1 </w:instrText>
      </w:r>
      <w:r>
        <w:fldChar w:fldCharType="end"/>
      </w:r>
      <w:r>
        <w:t> </w:t>
      </w:r>
    </w:p>
    <w:p w14:paraId="6388B6E6" w14:textId="77777777" w:rsidR="00E66B21" w:rsidRDefault="00E66B21">
      <w:pPr>
        <w:pStyle w:val="BodyText"/>
      </w:pPr>
      <w:r>
        <w:t xml:space="preserve"> Should the Commission approve FPUC's request to automatically </w:t>
      </w:r>
      <w:r w:rsidR="007E0EF8">
        <w:t>assign TTS pool managers and the</w:t>
      </w:r>
      <w:r>
        <w:t xml:space="preserve"> associated tariff?</w:t>
      </w:r>
    </w:p>
    <w:p w14:paraId="0EDD849A" w14:textId="77777777" w:rsidR="00E66B21" w:rsidRPr="004C3641" w:rsidRDefault="00E66B21">
      <w:pPr>
        <w:pStyle w:val="IssueSubsectionHeading"/>
        <w:rPr>
          <w:vanish/>
          <w:specVanish/>
        </w:rPr>
      </w:pPr>
      <w:r w:rsidRPr="004C3641">
        <w:t>Recommendation: </w:t>
      </w:r>
    </w:p>
    <w:p w14:paraId="6334C2C3" w14:textId="14E72164" w:rsidR="00E66B21" w:rsidRDefault="00E66B21">
      <w:pPr>
        <w:pStyle w:val="BodyText"/>
      </w:pPr>
      <w:r>
        <w:t> </w:t>
      </w:r>
      <w:r w:rsidR="005407B2">
        <w:t>Yes, the Commission should approve FPUC’s request to automatically assign TTS pool managers and the associated tariff.</w:t>
      </w:r>
      <w:r>
        <w:t xml:space="preserve"> </w:t>
      </w:r>
      <w:r w:rsidR="000C691A">
        <w:t>The new automated process will allow the utility to bill customers efficiently</w:t>
      </w:r>
      <w:r w:rsidR="0010025A">
        <w:t>,</w:t>
      </w:r>
      <w:r w:rsidR="000C691A">
        <w:t xml:space="preserve"> while ensuring that initial pool manager assignments are made on a fair and unbiased basis. </w:t>
      </w:r>
      <w:r w:rsidR="00711498">
        <w:t xml:space="preserve">If approved, proposed tariff sheet No. 6.526 should become effective </w:t>
      </w:r>
      <w:r w:rsidR="00FD4E3B">
        <w:t>upon the issuance of a Consummating Order.</w:t>
      </w:r>
      <w:r w:rsidR="00711498">
        <w:t xml:space="preserve"> </w:t>
      </w:r>
      <w:r>
        <w:t>(Ward)</w:t>
      </w:r>
    </w:p>
    <w:p w14:paraId="7A20A33B" w14:textId="77777777" w:rsidR="00E66B21" w:rsidRPr="004C3641" w:rsidRDefault="00E66B21">
      <w:pPr>
        <w:pStyle w:val="IssueSubsectionHeading"/>
        <w:rPr>
          <w:vanish/>
          <w:specVanish/>
        </w:rPr>
      </w:pPr>
      <w:r w:rsidRPr="004C3641">
        <w:t>Staff Analysis: </w:t>
      </w:r>
    </w:p>
    <w:p w14:paraId="5122F9F4" w14:textId="77777777" w:rsidR="002F3378" w:rsidRDefault="00E66B21">
      <w:pPr>
        <w:pStyle w:val="BodyText"/>
      </w:pPr>
      <w:r>
        <w:t> </w:t>
      </w:r>
      <w:r w:rsidR="00E478C7">
        <w:t>Historically, if a premises had previously been assigned a particular pool manager</w:t>
      </w:r>
      <w:r w:rsidR="0010025A">
        <w:t>,</w:t>
      </w:r>
      <w:r w:rsidR="00E478C7">
        <w:t xml:space="preserve"> then any customer that subsequently moved into that premises would automatically be assigned to that same pool manager. If no pool manager had been assigned to the premises in the past, then a pool manager would be manually assigned to either TTS pool manager A or </w:t>
      </w:r>
      <w:r w:rsidR="009A3B8F">
        <w:t xml:space="preserve">B. In response to staff’s </w:t>
      </w:r>
      <w:r w:rsidR="00E478C7">
        <w:t>data request</w:t>
      </w:r>
      <w:r w:rsidR="00711498">
        <w:t>,</w:t>
      </w:r>
      <w:r w:rsidR="00E478C7">
        <w:t xml:space="preserve"> the utility stated that pool manager A is</w:t>
      </w:r>
      <w:r w:rsidR="007178E6">
        <w:t xml:space="preserve"> assigned to customers signing up for service</w:t>
      </w:r>
      <w:r w:rsidR="00E478C7">
        <w:t xml:space="preserve"> on even numbered calendar days and pool manager B is</w:t>
      </w:r>
      <w:r w:rsidR="007178E6">
        <w:t xml:space="preserve"> assigned to customers signing up for service</w:t>
      </w:r>
      <w:r w:rsidR="00E478C7">
        <w:t xml:space="preserve"> on odd numbered calendar days</w:t>
      </w:r>
      <w:r w:rsidR="008A78A0">
        <w:t xml:space="preserve">. </w:t>
      </w:r>
    </w:p>
    <w:p w14:paraId="45DBF8A8" w14:textId="2DC61369" w:rsidR="00412566" w:rsidRDefault="00E478C7">
      <w:pPr>
        <w:pStyle w:val="BodyText"/>
      </w:pPr>
      <w:r>
        <w:t>In its petition, FPUC states that with the utility’s new billing system, pool manager assignments can be done automatica</w:t>
      </w:r>
      <w:r w:rsidR="002F3378">
        <w:t xml:space="preserve">lly without manual intervention, regardless of any prior history. </w:t>
      </w:r>
      <w:r w:rsidR="000C691A">
        <w:t>In re</w:t>
      </w:r>
      <w:r w:rsidR="004223C8">
        <w:t xml:space="preserve">sponse to staff’s </w:t>
      </w:r>
      <w:r w:rsidR="000C691A">
        <w:t>data request</w:t>
      </w:r>
      <w:r w:rsidR="00711498">
        <w:t>,</w:t>
      </w:r>
      <w:r w:rsidR="000C691A">
        <w:t xml:space="preserve"> the utility stated that it would </w:t>
      </w:r>
      <w:r w:rsidR="0010025A">
        <w:t>utilize</w:t>
      </w:r>
      <w:r w:rsidR="000C691A">
        <w:t xml:space="preserve"> the new customer move-in workflow in</w:t>
      </w:r>
      <w:r w:rsidR="00750D2F">
        <w:t xml:space="preserve"> System Analysis Program Development</w:t>
      </w:r>
      <w:r w:rsidR="000C691A">
        <w:t xml:space="preserve"> </w:t>
      </w:r>
      <w:r w:rsidR="00750D2F">
        <w:t>(</w:t>
      </w:r>
      <w:r w:rsidR="000C691A" w:rsidRPr="00EE3070">
        <w:t>SAP</w:t>
      </w:r>
      <w:r w:rsidR="00750D2F">
        <w:t>)</w:t>
      </w:r>
      <w:r w:rsidR="000C691A">
        <w:t>, its new billing system, to automate the assignment of TTS pool managers.</w:t>
      </w:r>
      <w:r w:rsidR="000C691A">
        <w:rPr>
          <w:rStyle w:val="FootnoteReference"/>
        </w:rPr>
        <w:footnoteReference w:id="2"/>
      </w:r>
      <w:r w:rsidR="000C691A">
        <w:t xml:space="preserve"> </w:t>
      </w:r>
      <w:r w:rsidR="002F3378">
        <w:t>The new automated process would automatically assign new customers to TTS pool managers based upon whether the customer at that location signs up for service on an odd or even day of the week.</w:t>
      </w:r>
      <w:r w:rsidR="00412566">
        <w:t xml:space="preserve"> Under the proposed tariff</w:t>
      </w:r>
      <w:r w:rsidR="009A3B8F">
        <w:t>,</w:t>
      </w:r>
      <w:r w:rsidR="00412566">
        <w:t xml:space="preserve"> this would take place regardless of any prior pool manager history at the location.</w:t>
      </w:r>
      <w:r w:rsidR="002F3378">
        <w:t xml:space="preserve"> </w:t>
      </w:r>
      <w:r w:rsidR="00412566">
        <w:t>In respon</w:t>
      </w:r>
      <w:r w:rsidR="009A3B8F">
        <w:t xml:space="preserve">se to staff’s </w:t>
      </w:r>
      <w:r w:rsidR="00412566">
        <w:t>data request</w:t>
      </w:r>
      <w:r w:rsidR="00711498">
        <w:t>,</w:t>
      </w:r>
      <w:r w:rsidR="00412566">
        <w:t xml:space="preserve"> the utility asserted that if </w:t>
      </w:r>
      <w:r w:rsidR="002A24A5">
        <w:t>i</w:t>
      </w:r>
      <w:r w:rsidR="00343E91">
        <w:t>n the future</w:t>
      </w:r>
      <w:r w:rsidR="002A24A5">
        <w:t xml:space="preserve"> </w:t>
      </w:r>
      <w:r w:rsidR="00412566">
        <w:t>a third TTS pool manager was added, the utility would adjust the automation to assign TTS pool managers every third day, ensuring that each pool manager is provided an equal opportunity to be assigned during the move-in workflow.</w:t>
      </w:r>
      <w:r w:rsidR="000C691A">
        <w:rPr>
          <w:rStyle w:val="FootnoteReference"/>
        </w:rPr>
        <w:footnoteReference w:id="3"/>
      </w:r>
    </w:p>
    <w:p w14:paraId="22DF17E7" w14:textId="77777777" w:rsidR="00412566" w:rsidRDefault="00412566">
      <w:pPr>
        <w:pStyle w:val="BodyText"/>
      </w:pPr>
      <w:r>
        <w:t>Additionally, i</w:t>
      </w:r>
      <w:r w:rsidR="009A3B8F">
        <w:t xml:space="preserve">n response to staff’s </w:t>
      </w:r>
      <w:r w:rsidR="002F3378">
        <w:t>data request</w:t>
      </w:r>
      <w:r>
        <w:t>,</w:t>
      </w:r>
      <w:r w:rsidR="002F3378">
        <w:t xml:space="preserve"> the utility stated that a periodic review will </w:t>
      </w:r>
      <w:r>
        <w:t xml:space="preserve">be </w:t>
      </w:r>
      <w:r w:rsidR="002F3378">
        <w:t>performed to confirm TTS pool manager assignments are distributed as expected based on move-in dates.</w:t>
      </w:r>
      <w:r>
        <w:rPr>
          <w:rStyle w:val="FootnoteReference"/>
        </w:rPr>
        <w:footnoteReference w:id="4"/>
      </w:r>
      <w:r w:rsidR="002F3378">
        <w:t xml:space="preserve"> The utility asserts that the new automated process will improve the utility’s ability to bill customers efficiently and accurately, as well as further ensure that initial pool manager assignments are made on a fair and unbiased basis. </w:t>
      </w:r>
    </w:p>
    <w:p w14:paraId="63A4CEB6" w14:textId="77777777" w:rsidR="000C691A" w:rsidRDefault="000C691A" w:rsidP="000C691A">
      <w:pPr>
        <w:pStyle w:val="First-LevelSubheading"/>
      </w:pPr>
      <w:r>
        <w:t>Conclusion</w:t>
      </w:r>
    </w:p>
    <w:p w14:paraId="449AF522" w14:textId="71A4CCF3" w:rsidR="000C691A" w:rsidRDefault="00485A45">
      <w:pPr>
        <w:pStyle w:val="BodyText"/>
      </w:pPr>
      <w:r>
        <w:t>Staff recommends approval of FPUC’s request to automatically assign TTS</w:t>
      </w:r>
      <w:r w:rsidR="007E0EF8">
        <w:t xml:space="preserve"> pool managers and the</w:t>
      </w:r>
      <w:r>
        <w:t xml:space="preserve"> associated tariff.</w:t>
      </w:r>
      <w:r w:rsidR="00711498">
        <w:t xml:space="preserve"> The new automated process will allow the utility to bill customers efficiently</w:t>
      </w:r>
      <w:r w:rsidR="00EE3070">
        <w:t>,</w:t>
      </w:r>
      <w:r w:rsidR="00711498">
        <w:t xml:space="preserve"> while ensuring the initial pool manager assignments are made on a fair and unbiased basis. If approved, proposed tariff sheet No. 6.526 should become effective</w:t>
      </w:r>
      <w:r w:rsidR="008D1C19">
        <w:t xml:space="preserve"> upon the issuance of a Consummating Order</w:t>
      </w:r>
      <w:r w:rsidR="00711498">
        <w:t>.</w:t>
      </w:r>
    </w:p>
    <w:p w14:paraId="07BAEB1A" w14:textId="63FCC2AD" w:rsidR="00BF2D8E" w:rsidRDefault="00BF2D8E">
      <w:pPr>
        <w:pStyle w:val="IssueHeading"/>
        <w:rPr>
          <w:vanish/>
          <w:specVanish/>
        </w:rPr>
      </w:pPr>
      <w:r w:rsidRPr="004C3641">
        <w:rPr>
          <w:b w:val="0"/>
          <w:i w:val="0"/>
        </w:rPr>
        <w:br w:type="page"/>
      </w:r>
      <w:r w:rsidRPr="004C3641">
        <w:lastRenderedPageBreak/>
        <w:t xml:space="preserve">Issue </w:t>
      </w:r>
      <w:fldSimple w:instr=" SEQ Issue \* MERGEFORMAT ">
        <w:r w:rsidR="008F0CC6">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8F0CC6">
        <w:rPr>
          <w:noProof/>
        </w:rPr>
        <w:instrText>2</w:instrText>
      </w:r>
      <w:r>
        <w:fldChar w:fldCharType="end"/>
      </w:r>
      <w:r>
        <w:tab/>
        <w:instrText xml:space="preserve">(Bloom)" \l 1 </w:instrText>
      </w:r>
      <w:r>
        <w:fldChar w:fldCharType="end"/>
      </w:r>
      <w:r>
        <w:t> </w:t>
      </w:r>
    </w:p>
    <w:p w14:paraId="28D9FE71" w14:textId="77777777" w:rsidR="00BF2D8E" w:rsidRDefault="00BF2D8E">
      <w:pPr>
        <w:pStyle w:val="BodyText"/>
      </w:pPr>
      <w:r>
        <w:t> Should this docket be closed?</w:t>
      </w:r>
    </w:p>
    <w:p w14:paraId="4E02FF28" w14:textId="77777777" w:rsidR="00BF2D8E" w:rsidRPr="004C3641" w:rsidRDefault="00BF2D8E">
      <w:pPr>
        <w:pStyle w:val="IssueSubsectionHeading"/>
        <w:rPr>
          <w:vanish/>
          <w:specVanish/>
        </w:rPr>
      </w:pPr>
      <w:r w:rsidRPr="004C3641">
        <w:t>Recommendation: </w:t>
      </w:r>
    </w:p>
    <w:p w14:paraId="64036DA8" w14:textId="6DF3432E" w:rsidR="00BF2D8E" w:rsidRDefault="00BF2D8E">
      <w:pPr>
        <w:pStyle w:val="BodyText"/>
      </w:pPr>
      <w:r>
        <w:t> </w:t>
      </w:r>
      <w:r w:rsidR="00D74009">
        <w:t xml:space="preserve">If a timely protest is filed, the tariff should not be implemented while the protest is pending. </w:t>
      </w:r>
      <w:r w:rsidR="009E281B">
        <w:t>If no protest is filed by a person whose substantial interests are affected within 21 days of the issuance of the Order, this docket should be closed upon the issuance of a Consummating Order.</w:t>
      </w:r>
      <w:r>
        <w:t xml:space="preserve"> (Bloom)</w:t>
      </w:r>
    </w:p>
    <w:p w14:paraId="7292B4D9" w14:textId="77777777" w:rsidR="00BF2D8E" w:rsidRPr="004C3641" w:rsidRDefault="00BF2D8E">
      <w:pPr>
        <w:pStyle w:val="IssueSubsectionHeading"/>
        <w:rPr>
          <w:vanish/>
          <w:specVanish/>
        </w:rPr>
      </w:pPr>
      <w:r w:rsidRPr="004C3641">
        <w:t>Staff Analysis: </w:t>
      </w:r>
    </w:p>
    <w:p w14:paraId="0130DB7A" w14:textId="2C93DAC3" w:rsidR="00BF2D8E" w:rsidRDefault="00BF2D8E">
      <w:pPr>
        <w:pStyle w:val="BodyText"/>
      </w:pPr>
      <w:r>
        <w:t> </w:t>
      </w:r>
      <w:r w:rsidR="00D74009">
        <w:t xml:space="preserve">If a timely protest is filed, the tariff should not be implemented while the protest is pending. </w:t>
      </w:r>
      <w:r w:rsidR="009E281B">
        <w:t xml:space="preserve">If </w:t>
      </w:r>
      <w:r w:rsidR="009E281B" w:rsidRPr="009E281B">
        <w:t>no protest is filed by a person whose substantial interests are affected within 21 days of the issuance of the Order, this docket should be closed upon the issuance of a Consummating Order.</w:t>
      </w:r>
    </w:p>
    <w:p w14:paraId="4A608780" w14:textId="77777777" w:rsidR="00934A73" w:rsidRDefault="00934A73" w:rsidP="00E275D8">
      <w:pPr>
        <w:pStyle w:val="BodyText"/>
        <w:sectPr w:rsidR="00934A73" w:rsidSect="0068481F">
          <w:headerReference w:type="default" r:id="rId15"/>
          <w:headerReference w:type="first" r:id="rId16"/>
          <w:footerReference w:type="first" r:id="rId17"/>
          <w:pgSz w:w="12240" w:h="15840" w:code="1"/>
          <w:pgMar w:top="1584" w:right="1440" w:bottom="1440" w:left="1440" w:header="720" w:footer="720" w:gutter="0"/>
          <w:cols w:space="720"/>
          <w:formProt w:val="0"/>
          <w:docGrid w:linePitch="360"/>
        </w:sectPr>
      </w:pPr>
    </w:p>
    <w:p w14:paraId="743B0B78" w14:textId="7C286A85" w:rsidR="00E06484" w:rsidRDefault="002D6414" w:rsidP="00E275D8">
      <w:pPr>
        <w:pStyle w:val="BodyText"/>
      </w:pPr>
      <w:r>
        <w:rPr>
          <w:noProof/>
        </w:rPr>
        <w:drawing>
          <wp:inline distT="0" distB="0" distL="0" distR="0" wp14:anchorId="358B668E" wp14:editId="4FDE9C43">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526 - Redlin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E06484" w:rsidSect="0068481F">
      <w:headerReference w:type="default" r:id="rId19"/>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C9541" w14:textId="77777777" w:rsidR="00B4617A" w:rsidRDefault="00B4617A">
      <w:r>
        <w:separator/>
      </w:r>
    </w:p>
  </w:endnote>
  <w:endnote w:type="continuationSeparator" w:id="0">
    <w:p w14:paraId="52B899C7" w14:textId="77777777" w:rsidR="00B4617A" w:rsidRDefault="00B4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A9413" w14:textId="77777777" w:rsidR="008F0CC6" w:rsidRDefault="008F0C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DE126" w14:textId="32CC4AEB"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6676A">
      <w:rPr>
        <w:rStyle w:val="PageNumber"/>
        <w:noProof/>
      </w:rPr>
      <w:t>4</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14489" w14:textId="77777777" w:rsidR="008F0CC6" w:rsidRDefault="008F0C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F047"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96EE4" w14:textId="77777777" w:rsidR="00B4617A" w:rsidRDefault="00B4617A">
      <w:r>
        <w:separator/>
      </w:r>
    </w:p>
  </w:footnote>
  <w:footnote w:type="continuationSeparator" w:id="0">
    <w:p w14:paraId="3EA65A8E" w14:textId="77777777" w:rsidR="00B4617A" w:rsidRDefault="00B4617A">
      <w:r>
        <w:continuationSeparator/>
      </w:r>
    </w:p>
  </w:footnote>
  <w:footnote w:id="1">
    <w:p w14:paraId="4C958142" w14:textId="77777777" w:rsidR="008A78A0" w:rsidRDefault="008A78A0">
      <w:pPr>
        <w:pStyle w:val="FootnoteText"/>
      </w:pPr>
      <w:r>
        <w:rPr>
          <w:rStyle w:val="FootnoteReference"/>
        </w:rPr>
        <w:footnoteRef/>
      </w:r>
      <w:r w:rsidR="0010025A">
        <w:t xml:space="preserve"> </w:t>
      </w:r>
      <w:r w:rsidR="00293765">
        <w:t xml:space="preserve">Document No. </w:t>
      </w:r>
      <w:r w:rsidR="009A3B8F">
        <w:t>09211-2025, filed September 5, 2025.</w:t>
      </w:r>
    </w:p>
  </w:footnote>
  <w:footnote w:id="2">
    <w:p w14:paraId="1E8CA7DB" w14:textId="77777777" w:rsidR="000C691A" w:rsidRDefault="000C691A">
      <w:pPr>
        <w:pStyle w:val="FootnoteText"/>
      </w:pPr>
      <w:r>
        <w:rPr>
          <w:rStyle w:val="FootnoteReference"/>
        </w:rPr>
        <w:footnoteRef/>
      </w:r>
      <w:r w:rsidR="00EE3070">
        <w:t xml:space="preserve"> </w:t>
      </w:r>
      <w:r w:rsidR="009A3B8F" w:rsidRPr="00A76D9C">
        <w:rPr>
          <w:i/>
        </w:rPr>
        <w:t>Id</w:t>
      </w:r>
      <w:r w:rsidR="009A3B8F">
        <w:t>.</w:t>
      </w:r>
    </w:p>
  </w:footnote>
  <w:footnote w:id="3">
    <w:p w14:paraId="15103F19" w14:textId="77777777" w:rsidR="000C691A" w:rsidRDefault="000C691A">
      <w:pPr>
        <w:pStyle w:val="FootnoteText"/>
      </w:pPr>
      <w:r>
        <w:rPr>
          <w:rStyle w:val="FootnoteReference"/>
        </w:rPr>
        <w:footnoteRef/>
      </w:r>
      <w:r w:rsidR="00EE3070">
        <w:t xml:space="preserve"> </w:t>
      </w:r>
      <w:r w:rsidR="009A3B8F" w:rsidRPr="00A76D9C">
        <w:rPr>
          <w:i/>
        </w:rPr>
        <w:t>Id</w:t>
      </w:r>
      <w:r w:rsidR="009A3B8F">
        <w:t>.</w:t>
      </w:r>
    </w:p>
  </w:footnote>
  <w:footnote w:id="4">
    <w:p w14:paraId="2B5160F3" w14:textId="77777777" w:rsidR="00412566" w:rsidRDefault="00412566">
      <w:pPr>
        <w:pStyle w:val="FootnoteText"/>
      </w:pPr>
      <w:r>
        <w:rPr>
          <w:rStyle w:val="FootnoteReference"/>
        </w:rPr>
        <w:footnoteRef/>
      </w:r>
      <w:r w:rsidR="00EE3070">
        <w:t xml:space="preserve"> </w:t>
      </w:r>
      <w:r w:rsidR="009A3B8F" w:rsidRPr="00A76D9C">
        <w:rPr>
          <w:i/>
        </w:rPr>
        <w:t>Id</w:t>
      </w:r>
      <w:r w:rsidR="009A3B8F">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E585F" w14:textId="77777777" w:rsidR="008F0CC6" w:rsidRDefault="008F0C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EAAEF" w14:textId="77777777" w:rsidR="00BC402E" w:rsidRDefault="00E66B21"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20250102-GU</w:t>
    </w:r>
    <w:bookmarkEnd w:id="15"/>
  </w:p>
  <w:p w14:paraId="28306925" w14:textId="2D06AFDE" w:rsidR="00BC402E" w:rsidRDefault="00BC402E">
    <w:pPr>
      <w:pStyle w:val="Header"/>
    </w:pPr>
    <w:r>
      <w:t xml:space="preserve">Date: </w:t>
    </w:r>
    <w:fldSimple w:instr=" REF FilingDate ">
      <w:r w:rsidR="008F0CC6">
        <w:t>September 25, 2025</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64CE9" w14:textId="77777777" w:rsidR="008F0CC6" w:rsidRDefault="008F0C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7E35A" w14:textId="03B018F8"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8F0CC6">
      <w:t>Docket No.</w:t>
    </w:r>
    <w:r>
      <w:fldChar w:fldCharType="end"/>
    </w:r>
    <w:r>
      <w:t xml:space="preserve"> </w:t>
    </w:r>
    <w:r>
      <w:fldChar w:fldCharType="begin"/>
    </w:r>
    <w:r>
      <w:instrText xml:space="preserve"> REF DocketList</w:instrText>
    </w:r>
    <w:r>
      <w:fldChar w:fldCharType="separate"/>
    </w:r>
    <w:r w:rsidR="008F0CC6">
      <w:t>20250102-GU</w:t>
    </w:r>
    <w:r>
      <w:fldChar w:fldCharType="end"/>
    </w:r>
    <w:r>
      <w:tab/>
      <w:t xml:space="preserve">Issue </w:t>
    </w:r>
    <w:fldSimple w:instr=" Seq Issue \c \* Arabic ">
      <w:r w:rsidR="00B6676A">
        <w:rPr>
          <w:noProof/>
        </w:rPr>
        <w:t>2</w:t>
      </w:r>
    </w:fldSimple>
  </w:p>
  <w:p w14:paraId="1D49B7F5" w14:textId="7433B579" w:rsidR="00BC402E" w:rsidRDefault="00BC402E">
    <w:pPr>
      <w:pStyle w:val="Header"/>
    </w:pPr>
    <w:r>
      <w:t xml:space="preserve">Date: </w:t>
    </w:r>
    <w:fldSimple w:instr=" REF FilingDate ">
      <w:r w:rsidR="008F0CC6">
        <w:t>September 25, 2025</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4F1EE" w14:textId="77777777" w:rsidR="00BC402E" w:rsidRDefault="00BC40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C3E23" w14:textId="56D24135" w:rsidR="00934A73" w:rsidRDefault="00934A73" w:rsidP="00220732">
    <w:pPr>
      <w:pStyle w:val="Header"/>
      <w:tabs>
        <w:tab w:val="clear" w:pos="4320"/>
        <w:tab w:val="clear" w:pos="8640"/>
        <w:tab w:val="right" w:pos="9360"/>
      </w:tabs>
    </w:pPr>
    <w:r>
      <w:fldChar w:fldCharType="begin"/>
    </w:r>
    <w:r>
      <w:instrText xml:space="preserve"> REF DocketLabel</w:instrText>
    </w:r>
    <w:r>
      <w:fldChar w:fldCharType="separate"/>
    </w:r>
    <w:r w:rsidR="008F0CC6">
      <w:t>Docket No.</w:t>
    </w:r>
    <w:r>
      <w:fldChar w:fldCharType="end"/>
    </w:r>
    <w:r>
      <w:t xml:space="preserve"> </w:t>
    </w:r>
    <w:r>
      <w:fldChar w:fldCharType="begin"/>
    </w:r>
    <w:r>
      <w:instrText xml:space="preserve"> REF DocketList</w:instrText>
    </w:r>
    <w:r>
      <w:fldChar w:fldCharType="separate"/>
    </w:r>
    <w:r w:rsidR="008F0CC6">
      <w:t>20250102-GU</w:t>
    </w:r>
    <w:r>
      <w:fldChar w:fldCharType="end"/>
    </w:r>
    <w:r>
      <w:tab/>
      <w:t>Attachment A</w:t>
    </w:r>
  </w:p>
  <w:p w14:paraId="4B48C6CA" w14:textId="4D343CE1" w:rsidR="00934A73" w:rsidRDefault="00934A73" w:rsidP="00934A73">
    <w:pPr>
      <w:pStyle w:val="Header"/>
      <w:tabs>
        <w:tab w:val="clear" w:pos="4320"/>
        <w:tab w:val="clear" w:pos="8640"/>
        <w:tab w:val="right" w:pos="9360"/>
      </w:tabs>
    </w:pPr>
    <w:r>
      <w:t xml:space="preserve">Date: </w:t>
    </w:r>
    <w:r w:rsidR="00CE7754">
      <w:fldChar w:fldCharType="begin"/>
    </w:r>
    <w:r w:rsidR="00CE7754">
      <w:instrText xml:space="preserve"> REF FilingDate </w:instrText>
    </w:r>
    <w:r w:rsidR="00CE7754">
      <w:fldChar w:fldCharType="separate"/>
    </w:r>
    <w:r w:rsidR="008F0CC6">
      <w:t>September 25, 2025</w:t>
    </w:r>
    <w:r w:rsidR="00CE7754">
      <w:fldChar w:fldCharType="end"/>
    </w:r>
    <w:r>
      <w:tab/>
    </w:r>
    <w:r w:rsidRPr="00934A73">
      <w:t>Page 1 of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505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66B21"/>
    <w:rsid w:val="000043D5"/>
    <w:rsid w:val="00006170"/>
    <w:rsid w:val="00010E37"/>
    <w:rsid w:val="000172DA"/>
    <w:rsid w:val="00022008"/>
    <w:rsid w:val="00022337"/>
    <w:rsid w:val="00023A0E"/>
    <w:rsid w:val="000247C5"/>
    <w:rsid w:val="000277C2"/>
    <w:rsid w:val="00035B48"/>
    <w:rsid w:val="00036CE2"/>
    <w:rsid w:val="000437FE"/>
    <w:rsid w:val="000513BE"/>
    <w:rsid w:val="00051573"/>
    <w:rsid w:val="0005451B"/>
    <w:rsid w:val="00065A06"/>
    <w:rsid w:val="000666F3"/>
    <w:rsid w:val="00066C79"/>
    <w:rsid w:val="00070DCB"/>
    <w:rsid w:val="00072CCA"/>
    <w:rsid w:val="00073120"/>
    <w:rsid w:val="000764D0"/>
    <w:rsid w:val="000828D3"/>
    <w:rsid w:val="00087A0E"/>
    <w:rsid w:val="00090DB4"/>
    <w:rsid w:val="000912EC"/>
    <w:rsid w:val="00097804"/>
    <w:rsid w:val="000A2B57"/>
    <w:rsid w:val="000A418B"/>
    <w:rsid w:val="000B0ACE"/>
    <w:rsid w:val="000C4431"/>
    <w:rsid w:val="000C5435"/>
    <w:rsid w:val="000C6607"/>
    <w:rsid w:val="000C691A"/>
    <w:rsid w:val="000D1C06"/>
    <w:rsid w:val="000D3043"/>
    <w:rsid w:val="000D4319"/>
    <w:rsid w:val="000D4831"/>
    <w:rsid w:val="000E24FA"/>
    <w:rsid w:val="000E338A"/>
    <w:rsid w:val="000E4392"/>
    <w:rsid w:val="000E620E"/>
    <w:rsid w:val="000F334F"/>
    <w:rsid w:val="000F374A"/>
    <w:rsid w:val="000F4DAF"/>
    <w:rsid w:val="000F53C1"/>
    <w:rsid w:val="0010025A"/>
    <w:rsid w:val="00105BA1"/>
    <w:rsid w:val="001066FE"/>
    <w:rsid w:val="001076AF"/>
    <w:rsid w:val="001109F6"/>
    <w:rsid w:val="00116C6B"/>
    <w:rsid w:val="00117868"/>
    <w:rsid w:val="00117C8C"/>
    <w:rsid w:val="001239F0"/>
    <w:rsid w:val="00124C38"/>
    <w:rsid w:val="00124E2E"/>
    <w:rsid w:val="00125ED4"/>
    <w:rsid w:val="00127E1E"/>
    <w:rsid w:val="001303BF"/>
    <w:rsid w:val="001305E9"/>
    <w:rsid w:val="001307AF"/>
    <w:rsid w:val="0013347E"/>
    <w:rsid w:val="00135687"/>
    <w:rsid w:val="00136BD1"/>
    <w:rsid w:val="00146B5D"/>
    <w:rsid w:val="00150ECE"/>
    <w:rsid w:val="0015506E"/>
    <w:rsid w:val="00157CCC"/>
    <w:rsid w:val="00163031"/>
    <w:rsid w:val="001654C4"/>
    <w:rsid w:val="0016701C"/>
    <w:rsid w:val="00171A90"/>
    <w:rsid w:val="00180254"/>
    <w:rsid w:val="00191E1F"/>
    <w:rsid w:val="00191EE8"/>
    <w:rsid w:val="001923A2"/>
    <w:rsid w:val="00192943"/>
    <w:rsid w:val="00193BAF"/>
    <w:rsid w:val="00194791"/>
    <w:rsid w:val="001A206F"/>
    <w:rsid w:val="001A437D"/>
    <w:rsid w:val="001A7406"/>
    <w:rsid w:val="001A7AE4"/>
    <w:rsid w:val="001B1EDC"/>
    <w:rsid w:val="001B4053"/>
    <w:rsid w:val="001B4FEE"/>
    <w:rsid w:val="001B51C5"/>
    <w:rsid w:val="001B672A"/>
    <w:rsid w:val="001B6F3F"/>
    <w:rsid w:val="001C13F4"/>
    <w:rsid w:val="001C52B5"/>
    <w:rsid w:val="001D0D3E"/>
    <w:rsid w:val="001D2817"/>
    <w:rsid w:val="001D2899"/>
    <w:rsid w:val="001E14A3"/>
    <w:rsid w:val="001E390F"/>
    <w:rsid w:val="001E7FF4"/>
    <w:rsid w:val="001F1A2C"/>
    <w:rsid w:val="001F2245"/>
    <w:rsid w:val="001F2C63"/>
    <w:rsid w:val="001F48C7"/>
    <w:rsid w:val="001F6DA1"/>
    <w:rsid w:val="00200178"/>
    <w:rsid w:val="00204200"/>
    <w:rsid w:val="002044E6"/>
    <w:rsid w:val="0020584D"/>
    <w:rsid w:val="00205C82"/>
    <w:rsid w:val="00205DC2"/>
    <w:rsid w:val="00212B17"/>
    <w:rsid w:val="00214BE8"/>
    <w:rsid w:val="002163B6"/>
    <w:rsid w:val="00217215"/>
    <w:rsid w:val="00220732"/>
    <w:rsid w:val="0022121F"/>
    <w:rsid w:val="00221D32"/>
    <w:rsid w:val="00222AC1"/>
    <w:rsid w:val="00225C3F"/>
    <w:rsid w:val="00263D44"/>
    <w:rsid w:val="002702AD"/>
    <w:rsid w:val="00280964"/>
    <w:rsid w:val="00281EB4"/>
    <w:rsid w:val="00292D82"/>
    <w:rsid w:val="00293765"/>
    <w:rsid w:val="00293EE7"/>
    <w:rsid w:val="002963CB"/>
    <w:rsid w:val="002A24A5"/>
    <w:rsid w:val="002B2DAC"/>
    <w:rsid w:val="002B4A01"/>
    <w:rsid w:val="002C291B"/>
    <w:rsid w:val="002C746A"/>
    <w:rsid w:val="002C7E4E"/>
    <w:rsid w:val="002D226D"/>
    <w:rsid w:val="002D6414"/>
    <w:rsid w:val="002D74E3"/>
    <w:rsid w:val="002F3378"/>
    <w:rsid w:val="002F4F88"/>
    <w:rsid w:val="002F6030"/>
    <w:rsid w:val="003001AC"/>
    <w:rsid w:val="003037E1"/>
    <w:rsid w:val="00307E51"/>
    <w:rsid w:val="003103EC"/>
    <w:rsid w:val="00312132"/>
    <w:rsid w:val="003130BA"/>
    <w:rsid w:val="003144EF"/>
    <w:rsid w:val="0031480E"/>
    <w:rsid w:val="00316877"/>
    <w:rsid w:val="00322F74"/>
    <w:rsid w:val="00325E15"/>
    <w:rsid w:val="00335116"/>
    <w:rsid w:val="00340073"/>
    <w:rsid w:val="003411D8"/>
    <w:rsid w:val="0034192C"/>
    <w:rsid w:val="00343E91"/>
    <w:rsid w:val="003445B0"/>
    <w:rsid w:val="00353B66"/>
    <w:rsid w:val="00355934"/>
    <w:rsid w:val="00357928"/>
    <w:rsid w:val="0036010E"/>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3E0D"/>
    <w:rsid w:val="003B4355"/>
    <w:rsid w:val="003B5D0A"/>
    <w:rsid w:val="003C2CC4"/>
    <w:rsid w:val="003C3710"/>
    <w:rsid w:val="003C42A3"/>
    <w:rsid w:val="003C48F7"/>
    <w:rsid w:val="003E0463"/>
    <w:rsid w:val="003E0EFC"/>
    <w:rsid w:val="003E0F08"/>
    <w:rsid w:val="003E4A2B"/>
    <w:rsid w:val="003E5BDD"/>
    <w:rsid w:val="003E6FE9"/>
    <w:rsid w:val="003E76C2"/>
    <w:rsid w:val="003F1367"/>
    <w:rsid w:val="003F1679"/>
    <w:rsid w:val="003F21EB"/>
    <w:rsid w:val="003F4A35"/>
    <w:rsid w:val="003F5F03"/>
    <w:rsid w:val="003F7FDD"/>
    <w:rsid w:val="00400E4A"/>
    <w:rsid w:val="00402101"/>
    <w:rsid w:val="00402481"/>
    <w:rsid w:val="00402978"/>
    <w:rsid w:val="004042B4"/>
    <w:rsid w:val="00410DC4"/>
    <w:rsid w:val="00412566"/>
    <w:rsid w:val="00412DAE"/>
    <w:rsid w:val="0041302D"/>
    <w:rsid w:val="004223C8"/>
    <w:rsid w:val="004242E6"/>
    <w:rsid w:val="00427B35"/>
    <w:rsid w:val="00431598"/>
    <w:rsid w:val="004319AD"/>
    <w:rsid w:val="004426B8"/>
    <w:rsid w:val="00444432"/>
    <w:rsid w:val="00447D5C"/>
    <w:rsid w:val="00450202"/>
    <w:rsid w:val="004502B2"/>
    <w:rsid w:val="00455499"/>
    <w:rsid w:val="0046132D"/>
    <w:rsid w:val="004649A7"/>
    <w:rsid w:val="00471860"/>
    <w:rsid w:val="00471DFE"/>
    <w:rsid w:val="00476F2F"/>
    <w:rsid w:val="00477026"/>
    <w:rsid w:val="00477730"/>
    <w:rsid w:val="00485A45"/>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0330"/>
    <w:rsid w:val="004F50D1"/>
    <w:rsid w:val="004F5C43"/>
    <w:rsid w:val="005050A2"/>
    <w:rsid w:val="00506030"/>
    <w:rsid w:val="0050652D"/>
    <w:rsid w:val="00506C03"/>
    <w:rsid w:val="00511A11"/>
    <w:rsid w:val="00516496"/>
    <w:rsid w:val="00521F14"/>
    <w:rsid w:val="00522E7D"/>
    <w:rsid w:val="00523B11"/>
    <w:rsid w:val="0052455B"/>
    <w:rsid w:val="0052572A"/>
    <w:rsid w:val="00532DFB"/>
    <w:rsid w:val="005407B2"/>
    <w:rsid w:val="00543CB3"/>
    <w:rsid w:val="005442E4"/>
    <w:rsid w:val="00547652"/>
    <w:rsid w:val="0055529B"/>
    <w:rsid w:val="00560FF0"/>
    <w:rsid w:val="005614BD"/>
    <w:rsid w:val="0057154F"/>
    <w:rsid w:val="00580F69"/>
    <w:rsid w:val="00581CA3"/>
    <w:rsid w:val="00585031"/>
    <w:rsid w:val="00586E8B"/>
    <w:rsid w:val="00587090"/>
    <w:rsid w:val="00587A44"/>
    <w:rsid w:val="00592B08"/>
    <w:rsid w:val="00597730"/>
    <w:rsid w:val="005977EC"/>
    <w:rsid w:val="00597DE7"/>
    <w:rsid w:val="005A1CD3"/>
    <w:rsid w:val="005A494C"/>
    <w:rsid w:val="005A4AA2"/>
    <w:rsid w:val="005A5994"/>
    <w:rsid w:val="005B34B6"/>
    <w:rsid w:val="005B606A"/>
    <w:rsid w:val="005B6C8F"/>
    <w:rsid w:val="005B6EC3"/>
    <w:rsid w:val="005C17D7"/>
    <w:rsid w:val="005C33CE"/>
    <w:rsid w:val="005D015A"/>
    <w:rsid w:val="005D0F74"/>
    <w:rsid w:val="005D2E7D"/>
    <w:rsid w:val="005D4A8F"/>
    <w:rsid w:val="005D561B"/>
    <w:rsid w:val="005D578F"/>
    <w:rsid w:val="005D5ECF"/>
    <w:rsid w:val="005D721C"/>
    <w:rsid w:val="005E58FE"/>
    <w:rsid w:val="005F468D"/>
    <w:rsid w:val="005F5556"/>
    <w:rsid w:val="005F57E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39D"/>
    <w:rsid w:val="006D3B14"/>
    <w:rsid w:val="006D3BD1"/>
    <w:rsid w:val="006E010E"/>
    <w:rsid w:val="006E08CB"/>
    <w:rsid w:val="006E3271"/>
    <w:rsid w:val="006E598D"/>
    <w:rsid w:val="006E6EB7"/>
    <w:rsid w:val="0070437D"/>
    <w:rsid w:val="00704CF1"/>
    <w:rsid w:val="00705B04"/>
    <w:rsid w:val="0071040E"/>
    <w:rsid w:val="00711498"/>
    <w:rsid w:val="007178E6"/>
    <w:rsid w:val="00717EE9"/>
    <w:rsid w:val="00724992"/>
    <w:rsid w:val="00724F64"/>
    <w:rsid w:val="00727F90"/>
    <w:rsid w:val="00734820"/>
    <w:rsid w:val="007349DC"/>
    <w:rsid w:val="0074365E"/>
    <w:rsid w:val="00744B55"/>
    <w:rsid w:val="00750CCA"/>
    <w:rsid w:val="00750D2F"/>
    <w:rsid w:val="007515FD"/>
    <w:rsid w:val="00753AB2"/>
    <w:rsid w:val="00760D80"/>
    <w:rsid w:val="00761CB4"/>
    <w:rsid w:val="00780C09"/>
    <w:rsid w:val="00780DDF"/>
    <w:rsid w:val="007834E9"/>
    <w:rsid w:val="00787DBC"/>
    <w:rsid w:val="0079019A"/>
    <w:rsid w:val="00792935"/>
    <w:rsid w:val="00796F59"/>
    <w:rsid w:val="007A04A1"/>
    <w:rsid w:val="007A1840"/>
    <w:rsid w:val="007A41DD"/>
    <w:rsid w:val="007B730C"/>
    <w:rsid w:val="007C0528"/>
    <w:rsid w:val="007C08EA"/>
    <w:rsid w:val="007C3D38"/>
    <w:rsid w:val="007D0F35"/>
    <w:rsid w:val="007D1783"/>
    <w:rsid w:val="007D4546"/>
    <w:rsid w:val="007D4FEB"/>
    <w:rsid w:val="007D6146"/>
    <w:rsid w:val="007E0CE7"/>
    <w:rsid w:val="007E0EF8"/>
    <w:rsid w:val="007E5041"/>
    <w:rsid w:val="007E6DAF"/>
    <w:rsid w:val="007F1193"/>
    <w:rsid w:val="007F417F"/>
    <w:rsid w:val="007F7644"/>
    <w:rsid w:val="008036B6"/>
    <w:rsid w:val="008042BD"/>
    <w:rsid w:val="00804E17"/>
    <w:rsid w:val="008050B3"/>
    <w:rsid w:val="00816624"/>
    <w:rsid w:val="00822427"/>
    <w:rsid w:val="00822562"/>
    <w:rsid w:val="00823663"/>
    <w:rsid w:val="00823664"/>
    <w:rsid w:val="008258AB"/>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A78A0"/>
    <w:rsid w:val="008B5C68"/>
    <w:rsid w:val="008B62AE"/>
    <w:rsid w:val="008C04B5"/>
    <w:rsid w:val="008C14FA"/>
    <w:rsid w:val="008C7B0B"/>
    <w:rsid w:val="008D1C19"/>
    <w:rsid w:val="008D4057"/>
    <w:rsid w:val="008E1F19"/>
    <w:rsid w:val="008F0CC6"/>
    <w:rsid w:val="008F2262"/>
    <w:rsid w:val="008F4D2B"/>
    <w:rsid w:val="008F5B91"/>
    <w:rsid w:val="008F6D9C"/>
    <w:rsid w:val="008F7736"/>
    <w:rsid w:val="0090019E"/>
    <w:rsid w:val="00900435"/>
    <w:rsid w:val="00901086"/>
    <w:rsid w:val="00901C8A"/>
    <w:rsid w:val="00902F66"/>
    <w:rsid w:val="00903C72"/>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4A73"/>
    <w:rsid w:val="0093658B"/>
    <w:rsid w:val="009429FF"/>
    <w:rsid w:val="009444D1"/>
    <w:rsid w:val="00945BD6"/>
    <w:rsid w:val="009479FB"/>
    <w:rsid w:val="00951C45"/>
    <w:rsid w:val="00951DD8"/>
    <w:rsid w:val="0096053F"/>
    <w:rsid w:val="009656F2"/>
    <w:rsid w:val="00966A08"/>
    <w:rsid w:val="009701B7"/>
    <w:rsid w:val="00971207"/>
    <w:rsid w:val="00972FDC"/>
    <w:rsid w:val="00975CB4"/>
    <w:rsid w:val="009863B0"/>
    <w:rsid w:val="00987DE1"/>
    <w:rsid w:val="00990571"/>
    <w:rsid w:val="00991905"/>
    <w:rsid w:val="009926B2"/>
    <w:rsid w:val="0099673A"/>
    <w:rsid w:val="009A3291"/>
    <w:rsid w:val="009A3330"/>
    <w:rsid w:val="009A3B8F"/>
    <w:rsid w:val="009A548F"/>
    <w:rsid w:val="009A7C96"/>
    <w:rsid w:val="009B483E"/>
    <w:rsid w:val="009B4D53"/>
    <w:rsid w:val="009B61BF"/>
    <w:rsid w:val="009C3253"/>
    <w:rsid w:val="009C3DB9"/>
    <w:rsid w:val="009C5968"/>
    <w:rsid w:val="009D0436"/>
    <w:rsid w:val="009D46E5"/>
    <w:rsid w:val="009D568A"/>
    <w:rsid w:val="009D5EDD"/>
    <w:rsid w:val="009E281B"/>
    <w:rsid w:val="009E7956"/>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3D95"/>
    <w:rsid w:val="00A27D6E"/>
    <w:rsid w:val="00A328EC"/>
    <w:rsid w:val="00A33A51"/>
    <w:rsid w:val="00A41CA6"/>
    <w:rsid w:val="00A431ED"/>
    <w:rsid w:val="00A47927"/>
    <w:rsid w:val="00A47FFC"/>
    <w:rsid w:val="00A5442F"/>
    <w:rsid w:val="00A54FF9"/>
    <w:rsid w:val="00A56765"/>
    <w:rsid w:val="00A675AC"/>
    <w:rsid w:val="00A7097D"/>
    <w:rsid w:val="00A7581F"/>
    <w:rsid w:val="00A76D97"/>
    <w:rsid w:val="00A76D9C"/>
    <w:rsid w:val="00A81274"/>
    <w:rsid w:val="00A86ACA"/>
    <w:rsid w:val="00A90058"/>
    <w:rsid w:val="00A92439"/>
    <w:rsid w:val="00A92FB1"/>
    <w:rsid w:val="00A95980"/>
    <w:rsid w:val="00A95A0C"/>
    <w:rsid w:val="00AA2765"/>
    <w:rsid w:val="00AA77B5"/>
    <w:rsid w:val="00AB6C5D"/>
    <w:rsid w:val="00AC0A99"/>
    <w:rsid w:val="00AC3401"/>
    <w:rsid w:val="00AC51A7"/>
    <w:rsid w:val="00AC603B"/>
    <w:rsid w:val="00AD0E89"/>
    <w:rsid w:val="00AD1D87"/>
    <w:rsid w:val="00AD444B"/>
    <w:rsid w:val="00AD5614"/>
    <w:rsid w:val="00AD6C78"/>
    <w:rsid w:val="00AE03F0"/>
    <w:rsid w:val="00AE2EAB"/>
    <w:rsid w:val="00AF13D0"/>
    <w:rsid w:val="00AF3D9B"/>
    <w:rsid w:val="00AF5E0E"/>
    <w:rsid w:val="00AF5F89"/>
    <w:rsid w:val="00AF6FB4"/>
    <w:rsid w:val="00AF73CB"/>
    <w:rsid w:val="00B002D6"/>
    <w:rsid w:val="00B02EF0"/>
    <w:rsid w:val="00B03379"/>
    <w:rsid w:val="00B03FA5"/>
    <w:rsid w:val="00B04110"/>
    <w:rsid w:val="00B05B51"/>
    <w:rsid w:val="00B1110C"/>
    <w:rsid w:val="00B14E5A"/>
    <w:rsid w:val="00B15370"/>
    <w:rsid w:val="00B16DA4"/>
    <w:rsid w:val="00B17BEB"/>
    <w:rsid w:val="00B21A3C"/>
    <w:rsid w:val="00B223C0"/>
    <w:rsid w:val="00B234ED"/>
    <w:rsid w:val="00B249B2"/>
    <w:rsid w:val="00B24BEC"/>
    <w:rsid w:val="00B25CA3"/>
    <w:rsid w:val="00B2765A"/>
    <w:rsid w:val="00B27DEB"/>
    <w:rsid w:val="00B3109A"/>
    <w:rsid w:val="00B32D37"/>
    <w:rsid w:val="00B41AA8"/>
    <w:rsid w:val="00B42397"/>
    <w:rsid w:val="00B42B45"/>
    <w:rsid w:val="00B4617A"/>
    <w:rsid w:val="00B516ED"/>
    <w:rsid w:val="00B565DA"/>
    <w:rsid w:val="00B57A6A"/>
    <w:rsid w:val="00B62D0D"/>
    <w:rsid w:val="00B6676A"/>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3B87"/>
    <w:rsid w:val="00BC402E"/>
    <w:rsid w:val="00BC70C6"/>
    <w:rsid w:val="00BD0F48"/>
    <w:rsid w:val="00BD14E5"/>
    <w:rsid w:val="00BD376B"/>
    <w:rsid w:val="00BE0E50"/>
    <w:rsid w:val="00BE6DDB"/>
    <w:rsid w:val="00BE6FDA"/>
    <w:rsid w:val="00BF03E0"/>
    <w:rsid w:val="00BF2D8E"/>
    <w:rsid w:val="00BF5010"/>
    <w:rsid w:val="00C03009"/>
    <w:rsid w:val="00C03D5F"/>
    <w:rsid w:val="00C1292C"/>
    <w:rsid w:val="00C13791"/>
    <w:rsid w:val="00C210BD"/>
    <w:rsid w:val="00C23086"/>
    <w:rsid w:val="00C2575A"/>
    <w:rsid w:val="00C31BB3"/>
    <w:rsid w:val="00C36977"/>
    <w:rsid w:val="00C41398"/>
    <w:rsid w:val="00C46628"/>
    <w:rsid w:val="00C467DA"/>
    <w:rsid w:val="00C477D9"/>
    <w:rsid w:val="00C530DF"/>
    <w:rsid w:val="00C57869"/>
    <w:rsid w:val="00C6097E"/>
    <w:rsid w:val="00C60BA3"/>
    <w:rsid w:val="00C623F7"/>
    <w:rsid w:val="00C6297D"/>
    <w:rsid w:val="00C62A81"/>
    <w:rsid w:val="00C67CD7"/>
    <w:rsid w:val="00C71E00"/>
    <w:rsid w:val="00C75BC5"/>
    <w:rsid w:val="00C81670"/>
    <w:rsid w:val="00C81773"/>
    <w:rsid w:val="00C82861"/>
    <w:rsid w:val="00C8396C"/>
    <w:rsid w:val="00C8564E"/>
    <w:rsid w:val="00C86896"/>
    <w:rsid w:val="00C907A8"/>
    <w:rsid w:val="00C91670"/>
    <w:rsid w:val="00C93211"/>
    <w:rsid w:val="00C93DB8"/>
    <w:rsid w:val="00C942EC"/>
    <w:rsid w:val="00C94341"/>
    <w:rsid w:val="00C946E6"/>
    <w:rsid w:val="00C96047"/>
    <w:rsid w:val="00C96C9E"/>
    <w:rsid w:val="00C979D0"/>
    <w:rsid w:val="00CA0818"/>
    <w:rsid w:val="00CA15C8"/>
    <w:rsid w:val="00CA2C8F"/>
    <w:rsid w:val="00CA30DA"/>
    <w:rsid w:val="00CA3A24"/>
    <w:rsid w:val="00CA6BEE"/>
    <w:rsid w:val="00CB1777"/>
    <w:rsid w:val="00CB33E9"/>
    <w:rsid w:val="00CC10A9"/>
    <w:rsid w:val="00CD0655"/>
    <w:rsid w:val="00CD0660"/>
    <w:rsid w:val="00CE2BF8"/>
    <w:rsid w:val="00CE484E"/>
    <w:rsid w:val="00CE4D20"/>
    <w:rsid w:val="00CE656F"/>
    <w:rsid w:val="00CE6A0B"/>
    <w:rsid w:val="00CF0DA8"/>
    <w:rsid w:val="00CF2E25"/>
    <w:rsid w:val="00CF4453"/>
    <w:rsid w:val="00CF5589"/>
    <w:rsid w:val="00CF5D94"/>
    <w:rsid w:val="00CF7E0F"/>
    <w:rsid w:val="00D00893"/>
    <w:rsid w:val="00D034D7"/>
    <w:rsid w:val="00D04BE4"/>
    <w:rsid w:val="00D06FC7"/>
    <w:rsid w:val="00D12565"/>
    <w:rsid w:val="00D140C1"/>
    <w:rsid w:val="00D14127"/>
    <w:rsid w:val="00D21DBB"/>
    <w:rsid w:val="00D32120"/>
    <w:rsid w:val="00D4690D"/>
    <w:rsid w:val="00D479AE"/>
    <w:rsid w:val="00D50FCD"/>
    <w:rsid w:val="00D533E3"/>
    <w:rsid w:val="00D60ADB"/>
    <w:rsid w:val="00D60B16"/>
    <w:rsid w:val="00D60F02"/>
    <w:rsid w:val="00D634D5"/>
    <w:rsid w:val="00D64A0B"/>
    <w:rsid w:val="00D66E49"/>
    <w:rsid w:val="00D70D71"/>
    <w:rsid w:val="00D72F74"/>
    <w:rsid w:val="00D74009"/>
    <w:rsid w:val="00D81563"/>
    <w:rsid w:val="00D837C1"/>
    <w:rsid w:val="00D85907"/>
    <w:rsid w:val="00D860AC"/>
    <w:rsid w:val="00D9073E"/>
    <w:rsid w:val="00D9221D"/>
    <w:rsid w:val="00D9232C"/>
    <w:rsid w:val="00D9253C"/>
    <w:rsid w:val="00D958DF"/>
    <w:rsid w:val="00D96DA1"/>
    <w:rsid w:val="00DA2B98"/>
    <w:rsid w:val="00DA51E7"/>
    <w:rsid w:val="00DB0260"/>
    <w:rsid w:val="00DB1C78"/>
    <w:rsid w:val="00DB7D96"/>
    <w:rsid w:val="00DC23FE"/>
    <w:rsid w:val="00DC59E6"/>
    <w:rsid w:val="00DD0A5E"/>
    <w:rsid w:val="00DD150B"/>
    <w:rsid w:val="00DD3356"/>
    <w:rsid w:val="00DD5025"/>
    <w:rsid w:val="00DD5464"/>
    <w:rsid w:val="00DD6F85"/>
    <w:rsid w:val="00DD748A"/>
    <w:rsid w:val="00DE254E"/>
    <w:rsid w:val="00DE32C0"/>
    <w:rsid w:val="00DE52C0"/>
    <w:rsid w:val="00DE76A7"/>
    <w:rsid w:val="00DF1510"/>
    <w:rsid w:val="00E02F1F"/>
    <w:rsid w:val="00E05454"/>
    <w:rsid w:val="00E06484"/>
    <w:rsid w:val="00E06B24"/>
    <w:rsid w:val="00E20A7D"/>
    <w:rsid w:val="00E23FE4"/>
    <w:rsid w:val="00E275D8"/>
    <w:rsid w:val="00E30F6A"/>
    <w:rsid w:val="00E3117C"/>
    <w:rsid w:val="00E31288"/>
    <w:rsid w:val="00E3191F"/>
    <w:rsid w:val="00E34307"/>
    <w:rsid w:val="00E34511"/>
    <w:rsid w:val="00E3635B"/>
    <w:rsid w:val="00E375C3"/>
    <w:rsid w:val="00E375CA"/>
    <w:rsid w:val="00E478C7"/>
    <w:rsid w:val="00E5364F"/>
    <w:rsid w:val="00E53CDE"/>
    <w:rsid w:val="00E562DB"/>
    <w:rsid w:val="00E567E8"/>
    <w:rsid w:val="00E63766"/>
    <w:rsid w:val="00E64679"/>
    <w:rsid w:val="00E65EBC"/>
    <w:rsid w:val="00E6602E"/>
    <w:rsid w:val="00E66B21"/>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228A"/>
    <w:rsid w:val="00EE3070"/>
    <w:rsid w:val="00EE5F5A"/>
    <w:rsid w:val="00EF22FB"/>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1280"/>
    <w:rsid w:val="00F93809"/>
    <w:rsid w:val="00F94B7A"/>
    <w:rsid w:val="00FA17AC"/>
    <w:rsid w:val="00FA32DE"/>
    <w:rsid w:val="00FA3382"/>
    <w:rsid w:val="00FA59CD"/>
    <w:rsid w:val="00FB0CDC"/>
    <w:rsid w:val="00FB1740"/>
    <w:rsid w:val="00FB4235"/>
    <w:rsid w:val="00FC4446"/>
    <w:rsid w:val="00FC5469"/>
    <w:rsid w:val="00FC6D7D"/>
    <w:rsid w:val="00FD16B0"/>
    <w:rsid w:val="00FD4E3B"/>
    <w:rsid w:val="00FD4FED"/>
    <w:rsid w:val="00FD5BF0"/>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D6410F9"/>
  <w15:docId w15:val="{4FA2208A-0AA7-4366-A22D-BABB80BB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8A78A0"/>
    <w:rPr>
      <w:vertAlign w:val="superscript"/>
    </w:rPr>
  </w:style>
  <w:style w:type="character" w:styleId="CommentReference">
    <w:name w:val="annotation reference"/>
    <w:basedOn w:val="DefaultParagraphFont"/>
    <w:semiHidden/>
    <w:unhideWhenUsed/>
    <w:rsid w:val="00EE3070"/>
    <w:rPr>
      <w:sz w:val="16"/>
      <w:szCs w:val="16"/>
    </w:rPr>
  </w:style>
  <w:style w:type="paragraph" w:styleId="Revision">
    <w:name w:val="Revision"/>
    <w:hidden/>
    <w:uiPriority w:val="99"/>
    <w:semiHidden/>
    <w:rsid w:val="00A76D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24D01-F5B1-4F74-8C36-DDC2052BA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5</Pages>
  <Words>949</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Oakley  Ward</dc:creator>
  <cp:lastModifiedBy>Jackie Colson</cp:lastModifiedBy>
  <cp:revision>2</cp:revision>
  <cp:lastPrinted>2025-09-16T20:43:00Z</cp:lastPrinted>
  <dcterms:created xsi:type="dcterms:W3CDTF">2025-09-25T13:08:00Z</dcterms:created>
  <dcterms:modified xsi:type="dcterms:W3CDTF">2025-09-25T13:08:00Z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20250102-GU</vt:lpwstr>
  </property>
  <property fmtid="{D5CDD505-2E9C-101B-9397-08002B2CF9AE}" pid="3" name="MasterDocument">
    <vt:bool>false</vt:bool>
  </property>
</Properties>
</file>