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0A63B71"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3E25E1C" w14:textId="77777777" w:rsidR="007C0528" w:rsidRDefault="007C0528" w:rsidP="00532DFB">
            <w:pPr>
              <w:pStyle w:val="MastHeadState"/>
            </w:pPr>
            <w:r>
              <w:t>State of Florida</w:t>
            </w:r>
          </w:p>
          <w:p w14:paraId="5E4141F8" w14:textId="77777777" w:rsidR="007C0528" w:rsidRDefault="00072CCA">
            <w:pPr>
              <w:jc w:val="center"/>
            </w:pPr>
            <w:r>
              <w:rPr>
                <w:noProof/>
              </w:rPr>
              <w:drawing>
                <wp:inline distT="0" distB="0" distL="0" distR="0" wp14:anchorId="714DEF4B" wp14:editId="55E202BC">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88CB33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8C422F1" w14:textId="77777777" w:rsidR="007C0528" w:rsidRDefault="007C0528">
            <w:pPr>
              <w:pStyle w:val="MastHeadPSC"/>
            </w:pPr>
            <w:r>
              <w:t>Public Service Commission</w:t>
            </w:r>
          </w:p>
          <w:p w14:paraId="377D48D9" w14:textId="77777777" w:rsidR="007C0528" w:rsidRDefault="007C0528">
            <w:pPr>
              <w:pStyle w:val="MastHeadAddress"/>
            </w:pPr>
            <w:r>
              <w:t>Capital Circle Office Center ● 2540 Shumard Oak Boulevard</w:t>
            </w:r>
            <w:r>
              <w:br/>
              <w:t>Tallahassee, Florida 32399-0850</w:t>
            </w:r>
          </w:p>
          <w:p w14:paraId="5C6089BE" w14:textId="77777777" w:rsidR="007C0528" w:rsidRDefault="007C0528">
            <w:pPr>
              <w:pStyle w:val="MastHeadMemorandum"/>
            </w:pPr>
            <w:r>
              <w:t>-M-E-M-O-R-A-N-D-U-M-</w:t>
            </w:r>
          </w:p>
          <w:p w14:paraId="7E9120DA" w14:textId="77777777" w:rsidR="007C0528" w:rsidRDefault="007C0528">
            <w:pPr>
              <w:pStyle w:val="MemoHeading"/>
            </w:pPr>
          </w:p>
        </w:tc>
      </w:tr>
      <w:tr w:rsidR="007C0528" w14:paraId="6F747D2F"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443156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C99B2FE" w14:textId="77777777" w:rsidR="007C0528" w:rsidRDefault="00BC2CF5">
            <w:pPr>
              <w:pStyle w:val="MemoHeading"/>
            </w:pPr>
            <w:bookmarkStart w:id="0" w:name="FilingDate"/>
            <w:r>
              <w:t>November 18, 2025</w:t>
            </w:r>
            <w:bookmarkEnd w:id="0"/>
          </w:p>
        </w:tc>
      </w:tr>
      <w:tr w:rsidR="007C0528" w14:paraId="15D9EA1F" w14:textId="77777777">
        <w:tc>
          <w:tcPr>
            <w:tcW w:w="1254" w:type="dxa"/>
            <w:tcBorders>
              <w:top w:val="nil"/>
              <w:left w:val="nil"/>
              <w:bottom w:val="nil"/>
              <w:right w:val="nil"/>
            </w:tcBorders>
            <w:shd w:val="clear" w:color="auto" w:fill="auto"/>
            <w:tcMar>
              <w:top w:w="288" w:type="dxa"/>
              <w:bottom w:w="0" w:type="dxa"/>
              <w:right w:w="0" w:type="dxa"/>
            </w:tcMar>
          </w:tcPr>
          <w:p w14:paraId="62F355C7"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C2EAE1A" w14:textId="77777777" w:rsidR="007C0528" w:rsidRDefault="007C0528" w:rsidP="0093658B">
            <w:pPr>
              <w:pStyle w:val="MemoHeading"/>
            </w:pPr>
            <w:r>
              <w:t>Office of Commission Clerk (</w:t>
            </w:r>
            <w:r w:rsidR="004E69B5">
              <w:t>Teitzman</w:t>
            </w:r>
            <w:r>
              <w:t>)</w:t>
            </w:r>
          </w:p>
        </w:tc>
      </w:tr>
      <w:tr w:rsidR="007C0528" w14:paraId="72F89450" w14:textId="77777777">
        <w:tc>
          <w:tcPr>
            <w:tcW w:w="1254" w:type="dxa"/>
            <w:tcBorders>
              <w:top w:val="nil"/>
              <w:left w:val="nil"/>
              <w:bottom w:val="nil"/>
              <w:right w:val="nil"/>
            </w:tcBorders>
            <w:shd w:val="clear" w:color="auto" w:fill="auto"/>
            <w:tcMar>
              <w:top w:w="288" w:type="dxa"/>
              <w:right w:w="0" w:type="dxa"/>
            </w:tcMar>
          </w:tcPr>
          <w:p w14:paraId="63F77676"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788667C" w14:textId="77777777" w:rsidR="00BC2CF5" w:rsidRDefault="00BC2CF5">
            <w:pPr>
              <w:pStyle w:val="MemoHeading"/>
            </w:pPr>
            <w:bookmarkStart w:id="1" w:name="From"/>
            <w:r>
              <w:t>Division of Economics (Guffey)</w:t>
            </w:r>
          </w:p>
          <w:p w14:paraId="36D05FD1" w14:textId="77777777" w:rsidR="007C0528" w:rsidRDefault="00BC2CF5">
            <w:pPr>
              <w:pStyle w:val="MemoHeading"/>
            </w:pPr>
            <w:r>
              <w:t>Office of the General Counsel (Dose)</w:t>
            </w:r>
            <w:bookmarkEnd w:id="1"/>
          </w:p>
        </w:tc>
      </w:tr>
      <w:tr w:rsidR="007C0528" w14:paraId="0CE60DBA" w14:textId="77777777">
        <w:tc>
          <w:tcPr>
            <w:tcW w:w="1254" w:type="dxa"/>
            <w:tcBorders>
              <w:top w:val="nil"/>
              <w:left w:val="nil"/>
              <w:bottom w:val="nil"/>
              <w:right w:val="nil"/>
            </w:tcBorders>
            <w:shd w:val="clear" w:color="auto" w:fill="auto"/>
            <w:tcMar>
              <w:top w:w="288" w:type="dxa"/>
              <w:right w:w="0" w:type="dxa"/>
            </w:tcMar>
          </w:tcPr>
          <w:p w14:paraId="455EB48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D40756F" w14:textId="77777777" w:rsidR="007C0528" w:rsidRDefault="00BC2CF5">
            <w:pPr>
              <w:pStyle w:val="MemoHeadingRe"/>
            </w:pPr>
            <w:bookmarkStart w:id="2" w:name="Re"/>
            <w:r>
              <w:t>Docket No. 20250109-GU – Petition for approval of gas utility access and replacement directive cost recovery factors for January 2026 through December 2026, by Florida Public Utilities Company.</w:t>
            </w:r>
            <w:bookmarkEnd w:id="2"/>
          </w:p>
        </w:tc>
      </w:tr>
      <w:tr w:rsidR="007C0528" w14:paraId="3EF33A62" w14:textId="77777777">
        <w:tc>
          <w:tcPr>
            <w:tcW w:w="1254" w:type="dxa"/>
            <w:tcBorders>
              <w:top w:val="nil"/>
              <w:left w:val="nil"/>
              <w:bottom w:val="nil"/>
              <w:right w:val="nil"/>
            </w:tcBorders>
            <w:shd w:val="clear" w:color="auto" w:fill="auto"/>
            <w:tcMar>
              <w:top w:w="288" w:type="dxa"/>
              <w:bottom w:w="0" w:type="dxa"/>
              <w:right w:w="0" w:type="dxa"/>
            </w:tcMar>
          </w:tcPr>
          <w:p w14:paraId="70A94959"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96FBEB0" w14:textId="77777777" w:rsidR="007C0528" w:rsidRDefault="00BC2CF5">
            <w:pPr>
              <w:pStyle w:val="MemoHeading"/>
            </w:pPr>
            <w:bookmarkStart w:id="3" w:name="AgendaDate"/>
            <w:r>
              <w:t>12/02/25</w:t>
            </w:r>
            <w:bookmarkEnd w:id="3"/>
            <w:r w:rsidR="007C0528">
              <w:t xml:space="preserve"> – </w:t>
            </w:r>
            <w:bookmarkStart w:id="4" w:name="PermittedStatus"/>
            <w:r>
              <w:t xml:space="preserve">Regular Agenda – </w:t>
            </w:r>
            <w:r w:rsidR="0004539B">
              <w:t xml:space="preserve">Tariff Filing - </w:t>
            </w:r>
            <w:r>
              <w:t>Interested Persons May Participate</w:t>
            </w:r>
            <w:bookmarkEnd w:id="4"/>
          </w:p>
        </w:tc>
      </w:tr>
      <w:tr w:rsidR="007C0528" w14:paraId="124F63E4" w14:textId="77777777">
        <w:tc>
          <w:tcPr>
            <w:tcW w:w="3690" w:type="dxa"/>
            <w:gridSpan w:val="3"/>
            <w:tcBorders>
              <w:top w:val="nil"/>
              <w:left w:val="nil"/>
              <w:bottom w:val="nil"/>
              <w:right w:val="nil"/>
            </w:tcBorders>
            <w:shd w:val="clear" w:color="auto" w:fill="auto"/>
            <w:tcMar>
              <w:top w:w="288" w:type="dxa"/>
              <w:bottom w:w="0" w:type="dxa"/>
              <w:right w:w="0" w:type="dxa"/>
            </w:tcMar>
          </w:tcPr>
          <w:p w14:paraId="1413904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D92C2FE" w14:textId="77777777" w:rsidR="007C0528" w:rsidRDefault="00BC2CF5">
            <w:pPr>
              <w:pStyle w:val="MemoHeading"/>
            </w:pPr>
            <w:bookmarkStart w:id="5" w:name="CommissionersAssigned"/>
            <w:r>
              <w:t>All Commissioners</w:t>
            </w:r>
            <w:bookmarkEnd w:id="5"/>
          </w:p>
        </w:tc>
      </w:tr>
      <w:tr w:rsidR="007C0528" w14:paraId="0DF2E790" w14:textId="77777777">
        <w:tc>
          <w:tcPr>
            <w:tcW w:w="3690" w:type="dxa"/>
            <w:gridSpan w:val="3"/>
            <w:tcBorders>
              <w:top w:val="nil"/>
              <w:left w:val="nil"/>
              <w:bottom w:val="nil"/>
              <w:right w:val="nil"/>
            </w:tcBorders>
            <w:shd w:val="clear" w:color="auto" w:fill="auto"/>
            <w:tcMar>
              <w:top w:w="288" w:type="dxa"/>
              <w:bottom w:w="0" w:type="dxa"/>
              <w:right w:w="0" w:type="dxa"/>
            </w:tcMar>
          </w:tcPr>
          <w:p w14:paraId="0AB7DE99"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AE352F9" w14:textId="77777777" w:rsidR="007C0528" w:rsidRDefault="00BC2CF5">
            <w:pPr>
              <w:pStyle w:val="MemoHeading"/>
            </w:pPr>
            <w:bookmarkStart w:id="6" w:name="PrehearingOfficer"/>
            <w:r>
              <w:t>Administrative</w:t>
            </w:r>
            <w:bookmarkEnd w:id="6"/>
          </w:p>
        </w:tc>
      </w:tr>
      <w:tr w:rsidR="007C0528" w14:paraId="24BE1E9E"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AAA2F44"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2DE42722" w14:textId="13A8A11B" w:rsidR="007C0528" w:rsidRDefault="00F35FF1">
            <w:pPr>
              <w:pStyle w:val="MemoHeading"/>
            </w:pPr>
            <w:bookmarkStart w:id="8" w:name="CriticalDates"/>
            <w:r>
              <w:t>05/02/26</w:t>
            </w:r>
            <w:bookmarkStart w:id="9" w:name="_GoBack"/>
            <w:bookmarkEnd w:id="9"/>
            <w:r w:rsidR="00BC2CF5">
              <w:t xml:space="preserve"> (8-Month Effective Date)</w:t>
            </w:r>
            <w:bookmarkEnd w:id="8"/>
          </w:p>
        </w:tc>
      </w:tr>
      <w:tr w:rsidR="007C0528" w14:paraId="2EBF096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CA9500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66F8144" w14:textId="77777777" w:rsidR="007C0528" w:rsidRDefault="00BC2CF5">
            <w:pPr>
              <w:pStyle w:val="MemoHeading"/>
            </w:pPr>
            <w:bookmarkStart w:id="10" w:name="SpecialInstructions"/>
            <w:r>
              <w:t>None</w:t>
            </w:r>
            <w:bookmarkEnd w:id="10"/>
          </w:p>
        </w:tc>
      </w:tr>
    </w:tbl>
    <w:p w14:paraId="71D8D6C9" w14:textId="77777777" w:rsidR="007C0528" w:rsidRDefault="007C0528">
      <w:pPr>
        <w:pStyle w:val="BodyText"/>
      </w:pPr>
    </w:p>
    <w:p w14:paraId="26B4CE76"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1615F03" w14:textId="3FB2CD51" w:rsidR="0004539B" w:rsidRDefault="0004539B" w:rsidP="0004539B">
      <w:pPr>
        <w:pStyle w:val="BodyText"/>
      </w:pPr>
      <w:r>
        <w:t xml:space="preserve">On September 2, 2025, Florida Public Utilities Company (FPUC or Company) </w:t>
      </w:r>
      <w:r w:rsidRPr="003538A3">
        <w:t>filed a petition</w:t>
      </w:r>
      <w:r>
        <w:t xml:space="preserve"> </w:t>
      </w:r>
      <w:r w:rsidRPr="003538A3">
        <w:t>for app</w:t>
      </w:r>
      <w:r>
        <w:t xml:space="preserve">roval of its Gas Utility Access and Replacement Directive </w:t>
      </w:r>
      <w:r w:rsidRPr="003538A3">
        <w:t>(G</w:t>
      </w:r>
      <w:r>
        <w:t>UARD</w:t>
      </w:r>
      <w:r w:rsidRPr="003538A3">
        <w:t xml:space="preserve">) cost recovery factors for </w:t>
      </w:r>
      <w:r>
        <w:t>January through December 2026</w:t>
      </w:r>
      <w:r w:rsidR="00D503ED">
        <w:t xml:space="preserve">. </w:t>
      </w:r>
      <w:r>
        <w:t xml:space="preserve">The petition includes the direct testimony and Exhibit BD-1 of </w:t>
      </w:r>
      <w:r w:rsidR="007D402B">
        <w:t xml:space="preserve">FPUC witness </w:t>
      </w:r>
      <w:r>
        <w:t>Bryan Dayton providing the calculations of the proposed factors and Third Revised Sheet No. 7.403.</w:t>
      </w:r>
    </w:p>
    <w:p w14:paraId="0F8696E9" w14:textId="497B778A" w:rsidR="0004539B" w:rsidRDefault="009B30A7" w:rsidP="001551C6">
      <w:pPr>
        <w:pStyle w:val="BodyText"/>
      </w:pPr>
      <w:r>
        <w:t>By</w:t>
      </w:r>
      <w:r w:rsidR="0004539B">
        <w:t xml:space="preserve"> Order No. PSC-2023-0235-PAA-GU (GUARD Order),</w:t>
      </w:r>
      <w:r w:rsidR="0004539B" w:rsidRPr="00E5787D">
        <w:rPr>
          <w:rStyle w:val="FootnoteReference"/>
        </w:rPr>
        <w:t xml:space="preserve"> </w:t>
      </w:r>
      <w:r w:rsidR="0004539B">
        <w:t xml:space="preserve">the Commission approved FPUC’s 10-year GUARD program consisting of two components: </w:t>
      </w:r>
      <w:r w:rsidR="0004539B" w:rsidRPr="003B0237">
        <w:t>(1) replacement of problematic pipes and facilities</w:t>
      </w:r>
      <w:r w:rsidR="00322F72">
        <w:t>,</w:t>
      </w:r>
      <w:r w:rsidR="0004539B">
        <w:t xml:space="preserve"> and</w:t>
      </w:r>
      <w:r w:rsidR="0004539B" w:rsidRPr="003B0237">
        <w:t xml:space="preserve"> (2) relocation of mains and service lines located in rear easement and other </w:t>
      </w:r>
      <w:r w:rsidR="0004539B" w:rsidRPr="003B0237">
        <w:lastRenderedPageBreak/>
        <w:t>difficult to access areas to the front lot easements</w:t>
      </w:r>
      <w:r w:rsidR="0004539B">
        <w:t>.</w:t>
      </w:r>
      <w:r w:rsidR="0004539B">
        <w:rPr>
          <w:rStyle w:val="FootnoteReference"/>
        </w:rPr>
        <w:footnoteReference w:id="1"/>
      </w:r>
      <w:r w:rsidR="0004539B">
        <w:t xml:space="preserve"> As established in the GUARD Order, FPUC is able to</w:t>
      </w:r>
      <w:r w:rsidR="0004539B" w:rsidRPr="003538A3">
        <w:t xml:space="preserve"> recover the </w:t>
      </w:r>
      <w:r w:rsidR="0004539B">
        <w:t>revenue requirements of expedited programs to replace problematic pipes and facilities and to relocate certain facilities in rear easements and other difficult to access areas in order to enhance the safety of portions of FPUC’s natural gas distribution system</w:t>
      </w:r>
      <w:r w:rsidR="0004539B" w:rsidRPr="003538A3">
        <w:t xml:space="preserve"> through a </w:t>
      </w:r>
      <w:r w:rsidR="0004539B">
        <w:t xml:space="preserve">monthly </w:t>
      </w:r>
      <w:r w:rsidR="0004539B" w:rsidRPr="003538A3">
        <w:t>surcharge on customers’ bills.</w:t>
      </w:r>
      <w:r w:rsidR="0004539B">
        <w:t xml:space="preserve"> The GUARD Order further established the methodology for annually setting the GUARD surcharge to recover the costs of the program</w:t>
      </w:r>
      <w:r w:rsidR="001551C6">
        <w:t xml:space="preserve">. </w:t>
      </w:r>
    </w:p>
    <w:p w14:paraId="3958318D" w14:textId="77777777" w:rsidR="0004539B" w:rsidRDefault="003F10AF" w:rsidP="0004539B">
      <w:pPr>
        <w:jc w:val="both"/>
      </w:pPr>
      <w:r>
        <w:t>T</w:t>
      </w:r>
      <w:r w:rsidRPr="003B0237">
        <w:t xml:space="preserve">he methodology to calculate </w:t>
      </w:r>
      <w:r>
        <w:t xml:space="preserve">the </w:t>
      </w:r>
      <w:r w:rsidRPr="003B0237">
        <w:t xml:space="preserve">GUARD program surcharges is the same that </w:t>
      </w:r>
      <w:r>
        <w:t xml:space="preserve">was approved </w:t>
      </w:r>
      <w:r w:rsidRPr="003B0237">
        <w:t xml:space="preserve">for </w:t>
      </w:r>
      <w:r>
        <w:t>FPUC’s concluded</w:t>
      </w:r>
      <w:r w:rsidRPr="003B0237">
        <w:t xml:space="preserve"> </w:t>
      </w:r>
      <w:r>
        <w:t>Gas Replacement and Infrastructure Program</w:t>
      </w:r>
      <w:r w:rsidRPr="003B0237">
        <w:t>.</w:t>
      </w:r>
      <w:r>
        <w:rPr>
          <w:rStyle w:val="FootnoteReference"/>
        </w:rPr>
        <w:footnoteReference w:id="2"/>
      </w:r>
      <w:r>
        <w:t xml:space="preserve"> </w:t>
      </w:r>
      <w:r w:rsidR="0004539B">
        <w:t xml:space="preserve">In the GUARD Order, the Commission directed FPUC to file its annual GUARD program petition to revise the surcharge on or before September 1 of each year, to implement the revised surcharge effective January 1 through December 31 of the following year. </w:t>
      </w:r>
    </w:p>
    <w:p w14:paraId="0771C974" w14:textId="77777777" w:rsidR="0004539B" w:rsidRDefault="0004539B" w:rsidP="0004539B">
      <w:pPr>
        <w:jc w:val="both"/>
      </w:pPr>
    </w:p>
    <w:p w14:paraId="334A0D0E" w14:textId="20A5BE2E" w:rsidR="001551C6" w:rsidRDefault="009B30A7" w:rsidP="0004539B">
      <w:pPr>
        <w:jc w:val="both"/>
      </w:pPr>
      <w:r>
        <w:t>By</w:t>
      </w:r>
      <w:r w:rsidR="001551C6">
        <w:t xml:space="preserve"> Order No. </w:t>
      </w:r>
      <w:bookmarkStart w:id="14" w:name="OrderNo0504"/>
      <w:r w:rsidR="001551C6">
        <w:t>PSC-2024-0504-TRF-GU</w:t>
      </w:r>
      <w:bookmarkEnd w:id="14"/>
      <w:r w:rsidR="001551C6">
        <w:t>, the Commission approved FPUC’s 2025 GUARD cost recovery factors</w:t>
      </w:r>
      <w:r w:rsidR="00CE0112">
        <w:t xml:space="preserve"> </w:t>
      </w:r>
      <w:r w:rsidR="00CE0112">
        <w:rPr>
          <w:rStyle w:val="BodyTextChar"/>
        </w:rPr>
        <w:t xml:space="preserve">and associated Second Revised Sheet No. 7.403, which was effective </w:t>
      </w:r>
      <w:r w:rsidR="00BB08AE">
        <w:rPr>
          <w:rStyle w:val="BodyTextChar"/>
        </w:rPr>
        <w:t>from the</w:t>
      </w:r>
      <w:r w:rsidR="00CE0112">
        <w:rPr>
          <w:rStyle w:val="BodyTextChar"/>
        </w:rPr>
        <w:t xml:space="preserve"> first billing cycle of January through the last billing cycle of December 2025</w:t>
      </w:r>
      <w:r w:rsidR="001551C6">
        <w:t>.</w:t>
      </w:r>
      <w:r w:rsidR="00BB08AE">
        <w:rPr>
          <w:rStyle w:val="FootnoteReference"/>
        </w:rPr>
        <w:footnoteReference w:id="3"/>
      </w:r>
    </w:p>
    <w:p w14:paraId="3AE3A87B" w14:textId="77777777" w:rsidR="001551C6" w:rsidRDefault="001551C6" w:rsidP="0004539B">
      <w:pPr>
        <w:jc w:val="both"/>
      </w:pPr>
    </w:p>
    <w:p w14:paraId="4AC33AB8" w14:textId="77777777" w:rsidR="0004539B" w:rsidRDefault="0004539B" w:rsidP="0004539B">
      <w:pPr>
        <w:jc w:val="both"/>
      </w:pPr>
      <w:r>
        <w:t>Included in this recommendation are Attachment A - list of GUARD projects for 202</w:t>
      </w:r>
      <w:r w:rsidR="00E21215">
        <w:t>4</w:t>
      </w:r>
      <w:r>
        <w:t>-202</w:t>
      </w:r>
      <w:r w:rsidR="00E21215">
        <w:t>6</w:t>
      </w:r>
      <w:r>
        <w:t xml:space="preserve"> Actual/Forecast</w:t>
      </w:r>
      <w:r w:rsidR="00CE0112">
        <w:t>,</w:t>
      </w:r>
      <w:r w:rsidR="00D34406">
        <w:t xml:space="preserve"> </w:t>
      </w:r>
      <w:r w:rsidR="003F10AF">
        <w:t xml:space="preserve">and </w:t>
      </w:r>
      <w:r>
        <w:t>Attachment B</w:t>
      </w:r>
      <w:r w:rsidR="00D43770">
        <w:t xml:space="preserve"> </w:t>
      </w:r>
      <w:r>
        <w:t>-</w:t>
      </w:r>
      <w:r w:rsidR="00D43770">
        <w:t xml:space="preserve"> </w:t>
      </w:r>
      <w:r w:rsidR="00E21215">
        <w:t>Third</w:t>
      </w:r>
      <w:r>
        <w:t xml:space="preserve"> Revised</w:t>
      </w:r>
      <w:r w:rsidR="00D34406">
        <w:t xml:space="preserve"> Tariff</w:t>
      </w:r>
      <w:r>
        <w:t xml:space="preserve"> Sheet No. 7.403 legislative version</w:t>
      </w:r>
      <w:r w:rsidR="003F10AF">
        <w:t xml:space="preserve">. </w:t>
      </w:r>
    </w:p>
    <w:p w14:paraId="3EB07BFC" w14:textId="77777777" w:rsidR="0004539B" w:rsidRDefault="0004539B" w:rsidP="0004539B">
      <w:pPr>
        <w:jc w:val="both"/>
      </w:pPr>
    </w:p>
    <w:p w14:paraId="139155E8" w14:textId="1C18FE61" w:rsidR="0068481F" w:rsidRDefault="0004539B" w:rsidP="0004539B">
      <w:pPr>
        <w:pStyle w:val="BodyText"/>
      </w:pPr>
      <w:r>
        <w:t>During the review process, staff issued a data request to FPUC on September 2</w:t>
      </w:r>
      <w:r w:rsidR="00E21215">
        <w:t>2</w:t>
      </w:r>
      <w:r>
        <w:t>, 202</w:t>
      </w:r>
      <w:r w:rsidR="00E21215">
        <w:t>5</w:t>
      </w:r>
      <w:r>
        <w:t xml:space="preserve">, for which responses were received on October </w:t>
      </w:r>
      <w:r w:rsidR="00E21215">
        <w:t>6</w:t>
      </w:r>
      <w:r>
        <w:t>, 202</w:t>
      </w:r>
      <w:r w:rsidR="00E21215">
        <w:t>5</w:t>
      </w:r>
      <w:r>
        <w:t xml:space="preserve">. </w:t>
      </w:r>
      <w:r w:rsidR="009B30A7">
        <w:t>By</w:t>
      </w:r>
      <w:r>
        <w:t xml:space="preserve"> Order No. </w:t>
      </w:r>
      <w:r w:rsidRPr="00762D29">
        <w:t>PSC-</w:t>
      </w:r>
      <w:r w:rsidR="00D34406">
        <w:t>2025-0392</w:t>
      </w:r>
      <w:r w:rsidRPr="00B91B11">
        <w:t>-P</w:t>
      </w:r>
      <w:r w:rsidRPr="00762D29">
        <w:t>CO-GU</w:t>
      </w:r>
      <w:r>
        <w:t>,</w:t>
      </w:r>
      <w:r w:rsidRPr="00762D29">
        <w:t xml:space="preserve"> the Commission suspended the proposed </w:t>
      </w:r>
      <w:r w:rsidRPr="00C44F92">
        <w:t>tariffs.</w:t>
      </w:r>
      <w:r w:rsidR="00E115C7" w:rsidRPr="00C44F92">
        <w:rPr>
          <w:rStyle w:val="FootnoteReference"/>
        </w:rPr>
        <w:footnoteReference w:id="4"/>
      </w:r>
      <w:r>
        <w:t xml:space="preserve"> The Commission has jurisdiction over this matter pursuant to Sections 366.04, 366.05, and 366.06, Florida Statutes (F.S.).</w:t>
      </w:r>
    </w:p>
    <w:p w14:paraId="49995336" w14:textId="77777777" w:rsidR="007C0528" w:rsidRDefault="007C0528" w:rsidP="0068481F"/>
    <w:bookmarkEnd w:id="12"/>
    <w:p w14:paraId="1A1A25B9"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7825DB48" w14:textId="77777777" w:rsidR="007C0528" w:rsidRDefault="007C0528">
      <w:pPr>
        <w:pStyle w:val="RecommendationMajorSectionHeading"/>
      </w:pPr>
      <w:bookmarkStart w:id="18" w:name="DiscussionOfIssues"/>
      <w:r>
        <w:lastRenderedPageBreak/>
        <w:t>Discussion of Issues</w:t>
      </w:r>
    </w:p>
    <w:bookmarkEnd w:id="18"/>
    <w:p w14:paraId="5F5A5862" w14:textId="11C32F1D" w:rsidR="00486FBF" w:rsidRDefault="00486FBF">
      <w:pPr>
        <w:pStyle w:val="IssueHeading"/>
        <w:rPr>
          <w:vanish/>
          <w:specVanish/>
        </w:rPr>
      </w:pPr>
      <w:r w:rsidRPr="004C3641">
        <w:t xml:space="preserve">Issue </w:t>
      </w:r>
      <w:r w:rsidR="00F35FF1">
        <w:fldChar w:fldCharType="begin"/>
      </w:r>
      <w:r w:rsidR="00F35FF1">
        <w:instrText xml:space="preserve"> SEQ Issue \* MERGEFORMAT </w:instrText>
      </w:r>
      <w:r w:rsidR="00F35FF1">
        <w:fldChar w:fldCharType="separate"/>
      </w:r>
      <w:r w:rsidR="00195DAB">
        <w:rPr>
          <w:noProof/>
        </w:rPr>
        <w:t>1</w:t>
      </w:r>
      <w:r w:rsidR="00F35FF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95DAB">
        <w:rPr>
          <w:noProof/>
        </w:rPr>
        <w:instrText>1</w:instrText>
      </w:r>
      <w:r>
        <w:fldChar w:fldCharType="end"/>
      </w:r>
      <w:r>
        <w:tab/>
        <w:instrText xml:space="preserve">(Guffey)" \l 1 </w:instrText>
      </w:r>
      <w:r>
        <w:fldChar w:fldCharType="end"/>
      </w:r>
      <w:r>
        <w:t> </w:t>
      </w:r>
    </w:p>
    <w:p w14:paraId="27FD91ED" w14:textId="77777777" w:rsidR="00486FBF" w:rsidRDefault="00486FBF">
      <w:pPr>
        <w:pStyle w:val="BodyText"/>
      </w:pPr>
      <w:r>
        <w:t xml:space="preserve"> Should the Commission approve FPUC's 2026 Gas Utility Access and Replacement </w:t>
      </w:r>
      <w:r w:rsidR="00C44F92">
        <w:t xml:space="preserve">Directive </w:t>
      </w:r>
      <w:r w:rsidR="00CE4D6E">
        <w:t xml:space="preserve">(GUARD) </w:t>
      </w:r>
      <w:r w:rsidR="00C44F92">
        <w:t>cost</w:t>
      </w:r>
      <w:r>
        <w:t xml:space="preserve"> recovery factors and associated Third Revised Sheet No. 7.403 </w:t>
      </w:r>
      <w:r w:rsidRPr="00835B30">
        <w:t xml:space="preserve">for the </w:t>
      </w:r>
      <w:r>
        <w:t>period January to December 2026?</w:t>
      </w:r>
    </w:p>
    <w:p w14:paraId="45D40145" w14:textId="77777777" w:rsidR="00486FBF" w:rsidRPr="004C3641" w:rsidRDefault="00486FBF">
      <w:pPr>
        <w:pStyle w:val="IssueSubsectionHeading"/>
        <w:rPr>
          <w:vanish/>
          <w:specVanish/>
        </w:rPr>
      </w:pPr>
      <w:r w:rsidRPr="004C3641">
        <w:t>Recommendation: </w:t>
      </w:r>
    </w:p>
    <w:p w14:paraId="71419B8A" w14:textId="77777777" w:rsidR="00486FBF" w:rsidRDefault="00486FBF">
      <w:pPr>
        <w:pStyle w:val="BodyText"/>
      </w:pPr>
      <w:r>
        <w:t xml:space="preserve"> Yes. The Commission should approve FPUC's 2026 GUARD cost recovery factors and associated Third Revised Sheet No. 7.403, included in Attachment B to this recommendation, to be effective for the first billing cycle of January </w:t>
      </w:r>
      <w:r w:rsidR="00A01CF7">
        <w:t xml:space="preserve">2026 </w:t>
      </w:r>
      <w:r>
        <w:t xml:space="preserve">through the last billing cycle of December 2026. </w:t>
      </w:r>
      <w:r w:rsidR="001649F6">
        <w:t xml:space="preserve">The Commission should also </w:t>
      </w:r>
      <w:r w:rsidR="00C0361C">
        <w:t>approve</w:t>
      </w:r>
      <w:r w:rsidR="001649F6">
        <w:t xml:space="preserve"> FPUC</w:t>
      </w:r>
      <w:r w:rsidR="00C0361C">
        <w:t>’s request</w:t>
      </w:r>
      <w:r w:rsidR="001649F6">
        <w:t xml:space="preserve"> to provide six months of actual and six months of </w:t>
      </w:r>
      <w:r w:rsidR="009315BB">
        <w:t>estimated</w:t>
      </w:r>
      <w:r w:rsidR="001649F6">
        <w:t xml:space="preserve"> data </w:t>
      </w:r>
      <w:r w:rsidR="00C0361C">
        <w:t xml:space="preserve">in its actual/estimated true-up filings. </w:t>
      </w:r>
      <w:r>
        <w:t>The GUARD surcharge would allow FPUC to replace problematic pipes and facilities and relocate certain facilities located in rear easements to the front easements, and recover the project costs on an expedited basis. (Guffey)</w:t>
      </w:r>
    </w:p>
    <w:p w14:paraId="7CF8F76A" w14:textId="77777777" w:rsidR="00486FBF" w:rsidRPr="004C3641" w:rsidRDefault="00486FBF">
      <w:pPr>
        <w:pStyle w:val="IssueSubsectionHeading"/>
        <w:rPr>
          <w:vanish/>
          <w:specVanish/>
        </w:rPr>
      </w:pPr>
      <w:r w:rsidRPr="004C3641">
        <w:t>Staff Analysis: </w:t>
      </w:r>
    </w:p>
    <w:p w14:paraId="76388821" w14:textId="77777777" w:rsidR="00486FBF" w:rsidRDefault="00486FBF">
      <w:pPr>
        <w:pStyle w:val="BodyText"/>
      </w:pPr>
      <w:r>
        <w:t> </w:t>
      </w:r>
      <w:r w:rsidR="003C2815">
        <w:t xml:space="preserve">The GUARD program </w:t>
      </w:r>
      <w:r w:rsidR="003C2815" w:rsidRPr="003B0237">
        <w:t>is driven by risks identified under FPUC’s Distribution Integrity Management Program and risk assessments performed by an independent contractor.</w:t>
      </w:r>
      <w:r w:rsidR="003C2815" w:rsidRPr="003B0237">
        <w:rPr>
          <w:vertAlign w:val="superscript"/>
        </w:rPr>
        <w:footnoteReference w:id="5"/>
      </w:r>
      <w:r w:rsidR="003C2815">
        <w:t xml:space="preserve"> As stated by witness </w:t>
      </w:r>
      <w:r w:rsidR="00490F23">
        <w:t>Dayton</w:t>
      </w:r>
      <w:r w:rsidR="00A01CF7">
        <w:t xml:space="preserve"> and</w:t>
      </w:r>
      <w:r w:rsidR="00CE67D0">
        <w:t xml:space="preserve"> in</w:t>
      </w:r>
      <w:r w:rsidR="00A01CF7">
        <w:t xml:space="preserve"> responses to staff’s data request</w:t>
      </w:r>
      <w:r w:rsidR="003C2815">
        <w:t xml:space="preserve">, the GUARD projects are based upon </w:t>
      </w:r>
      <w:r w:rsidR="00A01CF7">
        <w:t>risk</w:t>
      </w:r>
      <w:r w:rsidR="003C2815">
        <w:t xml:space="preserve"> assessment </w:t>
      </w:r>
      <w:r w:rsidR="00A01CF7">
        <w:t>categorized as high, medium, and low risk, by</w:t>
      </w:r>
      <w:r w:rsidR="003C2815">
        <w:t xml:space="preserve"> an independent contractor. Projects in high consequence areas and those of high risk continue to be a priority. The prioritized projects for 202</w:t>
      </w:r>
      <w:r w:rsidR="00490F23">
        <w:t>5</w:t>
      </w:r>
      <w:r w:rsidR="003C2815">
        <w:t xml:space="preserve"> and 202</w:t>
      </w:r>
      <w:r w:rsidR="00490F23">
        <w:t>6</w:t>
      </w:r>
      <w:r w:rsidR="003C2815">
        <w:t xml:space="preserve"> are included in Attachment A to this recommendation. </w:t>
      </w:r>
      <w:r w:rsidR="003C2815" w:rsidRPr="00895AD5">
        <w:t>Attachment A</w:t>
      </w:r>
      <w:r w:rsidR="003C2815">
        <w:t xml:space="preserve"> indicates that FPUC currently has </w:t>
      </w:r>
      <w:r w:rsidR="00F549B8">
        <w:t>nine</w:t>
      </w:r>
      <w:r w:rsidR="003C2815">
        <w:t xml:space="preserve"> projects in-progress which will relocate </w:t>
      </w:r>
      <w:r w:rsidR="00F549B8">
        <w:t>30.21</w:t>
      </w:r>
      <w:r w:rsidR="003C2815">
        <w:t xml:space="preserve"> miles of </w:t>
      </w:r>
      <w:r w:rsidR="003C2815" w:rsidRPr="00CD6488">
        <w:t>pipes from rear lot</w:t>
      </w:r>
      <w:r w:rsidR="003C2815">
        <w:t>s</w:t>
      </w:r>
      <w:r w:rsidR="003C2815" w:rsidRPr="00CD6488">
        <w:t xml:space="preserve"> to the street front </w:t>
      </w:r>
      <w:r w:rsidR="00490F23">
        <w:t xml:space="preserve">and install </w:t>
      </w:r>
      <w:r w:rsidR="00F549B8">
        <w:t>1,568</w:t>
      </w:r>
      <w:r w:rsidR="00490F23">
        <w:t xml:space="preserve"> service</w:t>
      </w:r>
      <w:r w:rsidR="009B30A7">
        <w:t xml:space="preserve"> line</w:t>
      </w:r>
      <w:r w:rsidR="00490F23">
        <w:t xml:space="preserve">s </w:t>
      </w:r>
      <w:r w:rsidR="003C2815" w:rsidRPr="00CD6488">
        <w:t xml:space="preserve">in Palm Beach and Seminole counties for an estimated investment </w:t>
      </w:r>
      <w:r w:rsidR="003C2815">
        <w:t xml:space="preserve">cost </w:t>
      </w:r>
      <w:r w:rsidR="003C2815" w:rsidRPr="00CD6488">
        <w:t>of $</w:t>
      </w:r>
      <w:r w:rsidR="00F549B8">
        <w:t>22.6</w:t>
      </w:r>
      <w:r w:rsidR="003C2815">
        <w:t>M</w:t>
      </w:r>
      <w:r w:rsidR="003C2815" w:rsidRPr="00CD6488">
        <w:t xml:space="preserve"> during 202</w:t>
      </w:r>
      <w:r w:rsidR="00FF1CC9">
        <w:t>5</w:t>
      </w:r>
      <w:r w:rsidR="003C2815" w:rsidRPr="00CD6488">
        <w:t>.</w:t>
      </w:r>
      <w:r w:rsidR="003C2815">
        <w:t xml:space="preserve"> For 202</w:t>
      </w:r>
      <w:r w:rsidR="00FF1CC9">
        <w:t>6</w:t>
      </w:r>
      <w:r w:rsidR="003C2815">
        <w:t xml:space="preserve">, </w:t>
      </w:r>
      <w:r w:rsidR="00FF1CC9">
        <w:t>30</w:t>
      </w:r>
      <w:r w:rsidR="003C2815">
        <w:t xml:space="preserve"> projects which include replacing obsolete/Aldyl-A pipes, span pipes, </w:t>
      </w:r>
      <w:r w:rsidR="00FF1CC9">
        <w:t xml:space="preserve">under building, </w:t>
      </w:r>
      <w:r w:rsidR="003C2815">
        <w:t xml:space="preserve">and relocation of pipes from rear lot easements to the front lot easements for </w:t>
      </w:r>
      <w:r w:rsidR="00FF1CC9">
        <w:t>53.13</w:t>
      </w:r>
      <w:r w:rsidR="003C2815">
        <w:t xml:space="preserve"> miles and 2,203 service</w:t>
      </w:r>
      <w:r w:rsidR="009E41EC">
        <w:t xml:space="preserve"> line</w:t>
      </w:r>
      <w:r w:rsidR="003C2815">
        <w:t xml:space="preserve">s in Palm Beach, </w:t>
      </w:r>
      <w:r w:rsidR="00AD7C3D">
        <w:t xml:space="preserve">Polk, </w:t>
      </w:r>
      <w:r w:rsidR="003C2815">
        <w:t>Seminole, and Volusia counties are listed for an estimated investment cost of $</w:t>
      </w:r>
      <w:r w:rsidR="004A7AD8">
        <w:t>25.14</w:t>
      </w:r>
      <w:r w:rsidR="003C2815">
        <w:t>M</w:t>
      </w:r>
      <w:r w:rsidR="00A01CF7">
        <w:t>.</w:t>
      </w:r>
    </w:p>
    <w:p w14:paraId="71CB461B" w14:textId="19B75A87" w:rsidR="001B76F3" w:rsidRDefault="00C0361C" w:rsidP="001B76F3">
      <w:pPr>
        <w:jc w:val="both"/>
      </w:pPr>
      <w:r>
        <w:t>The Company requested that</w:t>
      </w:r>
      <w:r w:rsidR="00FE2736">
        <w:t xml:space="preserve"> the actual/estimated true up amounts </w:t>
      </w:r>
      <w:r w:rsidR="0010056A">
        <w:t xml:space="preserve">be </w:t>
      </w:r>
      <w:r w:rsidR="00FE2736">
        <w:t xml:space="preserve">based on six months of actual data </w:t>
      </w:r>
      <w:r w:rsidR="00676007">
        <w:t xml:space="preserve">and six months of projected data. In the past filings, the Company provided seven months of actual data and five months of projected data. The Company </w:t>
      </w:r>
      <w:r w:rsidR="00A54AD8">
        <w:t>included this revision</w:t>
      </w:r>
      <w:r w:rsidR="00F71A5F">
        <w:t xml:space="preserve"> </w:t>
      </w:r>
      <w:r w:rsidR="00676007">
        <w:t xml:space="preserve">in this filing and </w:t>
      </w:r>
      <w:r>
        <w:t>intends to apply it to</w:t>
      </w:r>
      <w:r w:rsidR="00A01CF7">
        <w:t xml:space="preserve"> all future GUARD filing</w:t>
      </w:r>
      <w:r w:rsidR="00676007">
        <w:t>s</w:t>
      </w:r>
      <w:r>
        <w:t>.</w:t>
      </w:r>
      <w:r w:rsidR="00676007">
        <w:t xml:space="preserve"> </w:t>
      </w:r>
      <w:r>
        <w:t xml:space="preserve">The </w:t>
      </w:r>
      <w:r w:rsidR="00933C83">
        <w:t>Company</w:t>
      </w:r>
      <w:r>
        <w:t xml:space="preserve"> explained that this change would </w:t>
      </w:r>
      <w:r w:rsidR="00676007">
        <w:t>better align FPUC’s GUARD filing with its sister company, Florida City Gas</w:t>
      </w:r>
      <w:r w:rsidR="00BC286C">
        <w:t>’</w:t>
      </w:r>
      <w:r w:rsidR="00676007">
        <w:t xml:space="preserve"> </w:t>
      </w:r>
      <w:r w:rsidR="00CE0112">
        <w:t>Safety, Access, and Facility Enhancement (</w:t>
      </w:r>
      <w:r w:rsidR="00676007">
        <w:t>SAFE</w:t>
      </w:r>
      <w:r w:rsidR="00CE0112">
        <w:t>)</w:t>
      </w:r>
      <w:r w:rsidR="00676007">
        <w:t xml:space="preserve"> program filing</w:t>
      </w:r>
      <w:r w:rsidR="00A54AD8">
        <w:t>, because</w:t>
      </w:r>
      <w:r>
        <w:t xml:space="preserve"> </w:t>
      </w:r>
      <w:r w:rsidR="00933C83">
        <w:t>the</w:t>
      </w:r>
      <w:r w:rsidR="00A54AD8">
        <w:t xml:space="preserve"> annual SAFE filing also utilizes</w:t>
      </w:r>
      <w:r w:rsidR="00933C83">
        <w:t xml:space="preserve"> six months of actual data and six months of </w:t>
      </w:r>
      <w:r w:rsidR="009315BB">
        <w:t>estimated</w:t>
      </w:r>
      <w:r w:rsidR="00933C83">
        <w:t xml:space="preserve"> data.</w:t>
      </w:r>
      <w:r w:rsidR="00A54AD8">
        <w:t xml:space="preserve"> Furthermore, a</w:t>
      </w:r>
      <w:r w:rsidR="00E12D59">
        <w:t xml:space="preserve">ny difference between actual and estimated data </w:t>
      </w:r>
      <w:r w:rsidR="00A54AD8">
        <w:t>would</w:t>
      </w:r>
      <w:r w:rsidR="00E12D59">
        <w:t xml:space="preserve"> be incorporated in the next year’s true up.</w:t>
      </w:r>
    </w:p>
    <w:p w14:paraId="1E4D7E36" w14:textId="77777777" w:rsidR="003E1869" w:rsidRDefault="003E1869" w:rsidP="001B76F3">
      <w:pPr>
        <w:jc w:val="both"/>
      </w:pPr>
    </w:p>
    <w:p w14:paraId="1DEF8F99" w14:textId="77777777" w:rsidR="00E06484" w:rsidRDefault="00037EA2" w:rsidP="00037EA2">
      <w:pPr>
        <w:pStyle w:val="First-LevelSubheading"/>
      </w:pPr>
      <w:r>
        <w:t>FPUC’s True-Ups by Year</w:t>
      </w:r>
    </w:p>
    <w:p w14:paraId="0A6499FB" w14:textId="77777777" w:rsidR="00037EA2" w:rsidRDefault="00037EA2" w:rsidP="00E275D8">
      <w:pPr>
        <w:pStyle w:val="BodyText"/>
      </w:pPr>
      <w:r>
        <w:t>FPUC’s calculation for th</w:t>
      </w:r>
      <w:r w:rsidRPr="0068781A">
        <w:t>e 202</w:t>
      </w:r>
      <w:r w:rsidR="007343E8">
        <w:t>6</w:t>
      </w:r>
      <w:r w:rsidRPr="0068781A">
        <w:t xml:space="preserve"> G</w:t>
      </w:r>
      <w:r>
        <w:t>UARD</w:t>
      </w:r>
      <w:r w:rsidRPr="0068781A">
        <w:t xml:space="preserve"> revenue requirement includes a final true-up for 202</w:t>
      </w:r>
      <w:r w:rsidR="007343E8">
        <w:t>4</w:t>
      </w:r>
      <w:r w:rsidRPr="0068781A">
        <w:t>, actual/estimated true-up for 202</w:t>
      </w:r>
      <w:r w:rsidR="007343E8">
        <w:t>5</w:t>
      </w:r>
      <w:r w:rsidRPr="0068781A">
        <w:t>, and projected costs for 202</w:t>
      </w:r>
      <w:r w:rsidR="007343E8">
        <w:t>6</w:t>
      </w:r>
      <w:r w:rsidRPr="0068781A">
        <w:t xml:space="preserve">. </w:t>
      </w:r>
    </w:p>
    <w:p w14:paraId="5073EAE7" w14:textId="77777777" w:rsidR="00A54AD8" w:rsidRDefault="00A54AD8" w:rsidP="00E275D8">
      <w:pPr>
        <w:pStyle w:val="BodyText"/>
      </w:pPr>
    </w:p>
    <w:p w14:paraId="0A078D04" w14:textId="77777777" w:rsidR="00037EA2" w:rsidRDefault="00037EA2" w:rsidP="00037EA2">
      <w:pPr>
        <w:pStyle w:val="First-LevelSubheading"/>
      </w:pPr>
      <w:r>
        <w:t>Final 2024 GUARD True-Up</w:t>
      </w:r>
    </w:p>
    <w:p w14:paraId="5EB997E9" w14:textId="77777777" w:rsidR="00037EA2" w:rsidRDefault="00037EA2" w:rsidP="00E275D8">
      <w:pPr>
        <w:pStyle w:val="BodyText"/>
      </w:pPr>
      <w:r>
        <w:t xml:space="preserve">Company witness </w:t>
      </w:r>
      <w:r w:rsidR="007343E8">
        <w:t>Dayton</w:t>
      </w:r>
      <w:r>
        <w:t xml:space="preserve"> states that the January through December 202</w:t>
      </w:r>
      <w:r w:rsidR="007343E8">
        <w:t>4</w:t>
      </w:r>
      <w:r>
        <w:t xml:space="preserve"> true-up resulted in an </w:t>
      </w:r>
      <w:r w:rsidR="00EC02EB" w:rsidRPr="00EC02EB">
        <w:t>under</w:t>
      </w:r>
      <w:r w:rsidRPr="00EC02EB">
        <w:t>-recovery of $</w:t>
      </w:r>
      <w:r w:rsidR="00EC02EB" w:rsidRPr="00EC02EB">
        <w:t>701,550</w:t>
      </w:r>
      <w:r w:rsidRPr="00EC02EB">
        <w:t xml:space="preserve">, inclusive of interest. As shown in Schedule C-1 of the petition, the </w:t>
      </w:r>
      <w:r w:rsidRPr="008B275D">
        <w:t>202</w:t>
      </w:r>
      <w:r w:rsidR="00EC02EB" w:rsidRPr="008B275D">
        <w:t>3</w:t>
      </w:r>
      <w:r w:rsidRPr="008B275D">
        <w:t xml:space="preserve"> ending balance was an over-recovery of $</w:t>
      </w:r>
      <w:r w:rsidR="008B275D" w:rsidRPr="008B275D">
        <w:t>571,835</w:t>
      </w:r>
      <w:r w:rsidRPr="008B275D">
        <w:t>. Combined with the 202</w:t>
      </w:r>
      <w:r w:rsidR="008B275D" w:rsidRPr="008B275D">
        <w:t>4</w:t>
      </w:r>
      <w:r w:rsidRPr="008B275D">
        <w:t xml:space="preserve"> </w:t>
      </w:r>
      <w:r w:rsidR="008B275D" w:rsidRPr="008B275D">
        <w:t>under</w:t>
      </w:r>
      <w:r w:rsidRPr="008B275D">
        <w:t>-recovery of $</w:t>
      </w:r>
      <w:r w:rsidR="00AE1C64">
        <w:t>1,283,709</w:t>
      </w:r>
      <w:r w:rsidRPr="008B275D">
        <w:t xml:space="preserve">, and </w:t>
      </w:r>
      <w:r w:rsidR="00790D53">
        <w:t xml:space="preserve">year-end </w:t>
      </w:r>
      <w:r w:rsidRPr="008B275D">
        <w:t xml:space="preserve">monthly interest </w:t>
      </w:r>
      <w:r w:rsidR="00790D53">
        <w:t xml:space="preserve">expense </w:t>
      </w:r>
      <w:r w:rsidRPr="008B275D">
        <w:t>of $</w:t>
      </w:r>
      <w:r w:rsidR="008B275D" w:rsidRPr="008B275D">
        <w:t>10,324</w:t>
      </w:r>
      <w:r w:rsidRPr="008B275D">
        <w:t xml:space="preserve"> associated with any over- and under-recoveries results in a final 202</w:t>
      </w:r>
      <w:r w:rsidR="008B275D" w:rsidRPr="008B275D">
        <w:t>4</w:t>
      </w:r>
      <w:r w:rsidRPr="008B275D">
        <w:t xml:space="preserve"> </w:t>
      </w:r>
      <w:r w:rsidR="00790D53">
        <w:t>und</w:t>
      </w:r>
      <w:r w:rsidRPr="008B275D">
        <w:t>er-recovery of $</w:t>
      </w:r>
      <w:r w:rsidR="00AE1C64">
        <w:t>701,550</w:t>
      </w:r>
      <w:r>
        <w:t>.</w:t>
      </w:r>
    </w:p>
    <w:p w14:paraId="1105AE19" w14:textId="77777777" w:rsidR="00037EA2" w:rsidRDefault="00037EA2" w:rsidP="00037EA2">
      <w:pPr>
        <w:pStyle w:val="First-LevelSubheading"/>
      </w:pPr>
      <w:r>
        <w:t xml:space="preserve">Actual/Estimated </w:t>
      </w:r>
      <w:r w:rsidRPr="00862129">
        <w:t>202</w:t>
      </w:r>
      <w:r w:rsidR="007343E8">
        <w:t>5</w:t>
      </w:r>
      <w:r w:rsidRPr="00862129">
        <w:t xml:space="preserve"> GUARD </w:t>
      </w:r>
      <w:r>
        <w:t>True-Up</w:t>
      </w:r>
    </w:p>
    <w:p w14:paraId="21F4B081" w14:textId="77777777" w:rsidR="00037EA2" w:rsidRDefault="00037EA2" w:rsidP="00E275D8">
      <w:pPr>
        <w:pStyle w:val="BodyText"/>
      </w:pPr>
      <w:r w:rsidRPr="00EE462A">
        <w:t>The January through December 202</w:t>
      </w:r>
      <w:r w:rsidR="00EE462A" w:rsidRPr="00EE462A">
        <w:t>4</w:t>
      </w:r>
      <w:r w:rsidRPr="00EE462A">
        <w:t xml:space="preserve"> GUARD investment and associated revenue requirement amounts are shown on Exhibit </w:t>
      </w:r>
      <w:r w:rsidR="00EE462A" w:rsidRPr="00EE462A">
        <w:t>BD</w:t>
      </w:r>
      <w:r w:rsidRPr="00EE462A">
        <w:t xml:space="preserve">-1, page 2 of </w:t>
      </w:r>
      <w:r w:rsidR="00EE462A" w:rsidRPr="00EE462A">
        <w:t>7</w:t>
      </w:r>
      <w:r w:rsidRPr="00EE462A">
        <w:t>. In 202</w:t>
      </w:r>
      <w:r w:rsidR="00EE462A" w:rsidRPr="00EE462A">
        <w:t>4</w:t>
      </w:r>
      <w:r w:rsidRPr="00EE462A">
        <w:t xml:space="preserve">, the actual beginning balance was an </w:t>
      </w:r>
      <w:r w:rsidR="00AE1C64">
        <w:t>under</w:t>
      </w:r>
      <w:r w:rsidRPr="00EE462A">
        <w:t>-recovery of $</w:t>
      </w:r>
      <w:r w:rsidR="00AE1C64">
        <w:t>701,550</w:t>
      </w:r>
      <w:r w:rsidR="00276E09">
        <w:t xml:space="preserve"> </w:t>
      </w:r>
      <w:r w:rsidR="00276E09" w:rsidRPr="00EE462A">
        <w:t>(inclusive of interest)</w:t>
      </w:r>
      <w:r w:rsidRPr="00EE462A">
        <w:t xml:space="preserve">. </w:t>
      </w:r>
      <w:r w:rsidR="00276E09">
        <w:t>As shown on Exhibit BD-1, page 3 of 7, t</w:t>
      </w:r>
      <w:r w:rsidRPr="00EE462A">
        <w:t>he 202</w:t>
      </w:r>
      <w:r w:rsidR="00EE462A" w:rsidRPr="00EE462A">
        <w:t>5</w:t>
      </w:r>
      <w:r w:rsidRPr="00EE462A">
        <w:t xml:space="preserve"> actual (January through Ju</w:t>
      </w:r>
      <w:r w:rsidR="00EE462A">
        <w:t>ne</w:t>
      </w:r>
      <w:r w:rsidRPr="00EE462A">
        <w:t>) and forecasted (</w:t>
      </w:r>
      <w:r w:rsidR="00EE462A">
        <w:t>July</w:t>
      </w:r>
      <w:r w:rsidRPr="00EE462A">
        <w:t xml:space="preserve"> through December) GUARD true-up is an </w:t>
      </w:r>
      <w:r w:rsidR="00AE1C64">
        <w:t>over</w:t>
      </w:r>
      <w:r w:rsidRPr="00EE462A">
        <w:t>-recovery of $</w:t>
      </w:r>
      <w:r w:rsidR="00AE1C64">
        <w:t>658,951</w:t>
      </w:r>
      <w:r w:rsidRPr="00EE462A">
        <w:t xml:space="preserve"> (inclusive of interest), resulting in an </w:t>
      </w:r>
      <w:r w:rsidR="00745CF7">
        <w:t xml:space="preserve">overall </w:t>
      </w:r>
      <w:r w:rsidRPr="00EE462A">
        <w:t>under-recovery of $</w:t>
      </w:r>
      <w:r w:rsidR="00AE1C64">
        <w:t>42,599</w:t>
      </w:r>
      <w:r w:rsidRPr="006C1DF0">
        <w:t>.</w:t>
      </w:r>
      <w:r w:rsidRPr="00EE462A">
        <w:t xml:space="preserve"> As shown in Table 1-1 below, th</w:t>
      </w:r>
      <w:r w:rsidR="00276E09">
        <w:t>is</w:t>
      </w:r>
      <w:r w:rsidRPr="00EE462A">
        <w:t xml:space="preserve"> under-recovery is being applied to the 202</w:t>
      </w:r>
      <w:r w:rsidR="00EE462A">
        <w:t>6</w:t>
      </w:r>
      <w:r w:rsidRPr="00EE462A">
        <w:t xml:space="preserve"> GUARD revenue requirement, resulting in a higher revenue requirement to be recovered from customers in 202</w:t>
      </w:r>
      <w:r w:rsidR="00EE462A">
        <w:t>6</w:t>
      </w:r>
      <w:r w:rsidRPr="005B4DCA">
        <w:t>.</w:t>
      </w:r>
    </w:p>
    <w:p w14:paraId="4323F9EA" w14:textId="77777777" w:rsidR="00037EA2" w:rsidRDefault="00037EA2" w:rsidP="00037EA2">
      <w:pPr>
        <w:pStyle w:val="First-LevelSubheading"/>
      </w:pPr>
      <w:r w:rsidRPr="009B694C">
        <w:t>Projected 202</w:t>
      </w:r>
      <w:r w:rsidR="007343E8">
        <w:t>6</w:t>
      </w:r>
      <w:r w:rsidRPr="009B694C">
        <w:t xml:space="preserve"> GUARD Revenue Requiremen</w:t>
      </w:r>
      <w:r>
        <w:t>t</w:t>
      </w:r>
    </w:p>
    <w:p w14:paraId="5637508F" w14:textId="77777777" w:rsidR="001B76F3" w:rsidRDefault="00037EA2" w:rsidP="009315BB">
      <w:pPr>
        <w:pStyle w:val="BodyText"/>
      </w:pPr>
      <w:r w:rsidRPr="00D26724">
        <w:t>For 202</w:t>
      </w:r>
      <w:r w:rsidR="00D26724" w:rsidRPr="00D26724">
        <w:t>6</w:t>
      </w:r>
      <w:r w:rsidRPr="00D26724">
        <w:t xml:space="preserve">, FPUC plans to invest </w:t>
      </w:r>
      <w:r w:rsidRPr="00527572">
        <w:t>$</w:t>
      </w:r>
      <w:r w:rsidR="00527572" w:rsidRPr="00527572">
        <w:t>24,902,464</w:t>
      </w:r>
      <w:r w:rsidRPr="00527572">
        <w:t xml:space="preserve"> ($</w:t>
      </w:r>
      <w:r w:rsidR="00527572" w:rsidRPr="00527572">
        <w:t>18,023,786</w:t>
      </w:r>
      <w:r w:rsidRPr="00527572">
        <w:t xml:space="preserve"> for mains</w:t>
      </w:r>
      <w:r w:rsidR="00527572" w:rsidRPr="00527572">
        <w:t xml:space="preserve">, </w:t>
      </w:r>
      <w:r w:rsidRPr="00527572">
        <w:t>$</w:t>
      </w:r>
      <w:r w:rsidR="00527572" w:rsidRPr="00527572">
        <w:t>5,998,678</w:t>
      </w:r>
      <w:r w:rsidRPr="00527572">
        <w:t xml:space="preserve"> for service</w:t>
      </w:r>
      <w:r w:rsidR="009E41EC">
        <w:t xml:space="preserve"> line</w:t>
      </w:r>
      <w:r w:rsidRPr="00527572">
        <w:t>s</w:t>
      </w:r>
      <w:r w:rsidR="00527572" w:rsidRPr="00527572">
        <w:t>, and $880,000 for meters</w:t>
      </w:r>
      <w:r w:rsidRPr="00527572">
        <w:t xml:space="preserve">), resulting in a total </w:t>
      </w:r>
      <w:r w:rsidR="00745CF7">
        <w:t xml:space="preserve">qualified </w:t>
      </w:r>
      <w:r w:rsidRPr="00527572">
        <w:t xml:space="preserve">investment of </w:t>
      </w:r>
      <w:r w:rsidRPr="00745CF7">
        <w:t>$</w:t>
      </w:r>
      <w:r w:rsidR="00745CF7" w:rsidRPr="00D70C71">
        <w:t>110,515,998</w:t>
      </w:r>
      <w:r w:rsidRPr="00745CF7">
        <w:t xml:space="preserve"> (including the year-end 202</w:t>
      </w:r>
      <w:r w:rsidR="00745CF7" w:rsidRPr="00745CF7">
        <w:t>5</w:t>
      </w:r>
      <w:r w:rsidRPr="00745CF7">
        <w:t xml:space="preserve"> investment)</w:t>
      </w:r>
      <w:r w:rsidR="00745CF7" w:rsidRPr="00745CF7">
        <w:t xml:space="preserve"> in 2026</w:t>
      </w:r>
      <w:r w:rsidRPr="00745CF7">
        <w:t xml:space="preserve">. </w:t>
      </w:r>
      <w:r w:rsidRPr="00527572">
        <w:t>The GUARD program revenue requirement includes a return on investment, depreciation expense, extending customer-owned fuel lines (to connect to meters which require to be relocated due to safety issues), customer notification expense, and property taxes. All expenses are dependent upon the level of investment costs. After adding the 202</w:t>
      </w:r>
      <w:r w:rsidR="00527572" w:rsidRPr="00527572">
        <w:t>5</w:t>
      </w:r>
      <w:r w:rsidRPr="00527572">
        <w:t xml:space="preserve"> under-recovery true-up amount of $</w:t>
      </w:r>
      <w:r w:rsidR="00230CCE">
        <w:t>42,599</w:t>
      </w:r>
      <w:r w:rsidRPr="00527572">
        <w:t>, the 202</w:t>
      </w:r>
      <w:r w:rsidR="00527572" w:rsidRPr="00527572">
        <w:t>6</w:t>
      </w:r>
      <w:r w:rsidRPr="00527572">
        <w:t xml:space="preserve"> GUARD revenue requirement to be recovered through the proposed surcharges is $</w:t>
      </w:r>
      <w:r w:rsidR="00527572">
        <w:t>10,</w:t>
      </w:r>
      <w:r w:rsidR="00230CCE">
        <w:t>180,614</w:t>
      </w:r>
      <w:r>
        <w:t>.</w:t>
      </w:r>
      <w:r w:rsidR="009315BB">
        <w:t xml:space="preserve"> </w:t>
      </w:r>
    </w:p>
    <w:p w14:paraId="231A73E3" w14:textId="01004A1A" w:rsidR="00037EA2" w:rsidRDefault="00AE67AF" w:rsidP="00AE67AF">
      <w:pPr>
        <w:pStyle w:val="TableNumber"/>
        <w:keepNext/>
      </w:pPr>
      <w:r>
        <w:t xml:space="preserve">Table </w:t>
      </w:r>
      <w:r w:rsidR="00F35FF1">
        <w:fldChar w:fldCharType="begin"/>
      </w:r>
      <w:r w:rsidR="00F35FF1">
        <w:instrText xml:space="preserve"> SEQ Issue \c </w:instrText>
      </w:r>
      <w:r w:rsidR="00F35FF1">
        <w:fldChar w:fldCharType="separate"/>
      </w:r>
      <w:r w:rsidR="00195DAB">
        <w:rPr>
          <w:noProof/>
        </w:rPr>
        <w:t>1</w:t>
      </w:r>
      <w:r w:rsidR="00F35FF1">
        <w:rPr>
          <w:noProof/>
        </w:rPr>
        <w:fldChar w:fldCharType="end"/>
      </w:r>
      <w:r>
        <w:t>-1</w:t>
      </w:r>
    </w:p>
    <w:p w14:paraId="48DCA18F" w14:textId="77777777" w:rsidR="00AE67AF" w:rsidRDefault="00AE67AF" w:rsidP="00AE67AF">
      <w:pPr>
        <w:pStyle w:val="TableTitle"/>
        <w:keepNext/>
      </w:pPr>
      <w:r>
        <w:t>2026 GUARD Revenue Requirement Calculation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8"/>
        <w:gridCol w:w="4788"/>
      </w:tblGrid>
      <w:tr w:rsidR="00AE67AF" w14:paraId="6603BBFC" w14:textId="77777777" w:rsidTr="00344A84">
        <w:tc>
          <w:tcPr>
            <w:tcW w:w="4788" w:type="dxa"/>
            <w:tcBorders>
              <w:top w:val="single" w:sz="4" w:space="0" w:color="auto"/>
              <w:bottom w:val="single" w:sz="4" w:space="0" w:color="auto"/>
            </w:tcBorders>
          </w:tcPr>
          <w:p w14:paraId="532EB979" w14:textId="77777777" w:rsidR="00AE67AF" w:rsidRDefault="00AE67AF" w:rsidP="00B77467">
            <w:r w:rsidRPr="005072FA">
              <w:rPr>
                <w:b/>
              </w:rPr>
              <w:t>202</w:t>
            </w:r>
            <w:r>
              <w:rPr>
                <w:b/>
              </w:rPr>
              <w:t>6</w:t>
            </w:r>
            <w:r w:rsidRPr="005072FA">
              <w:rPr>
                <w:b/>
              </w:rPr>
              <w:t xml:space="preserve"> </w:t>
            </w:r>
            <w:r w:rsidR="00D12D60">
              <w:rPr>
                <w:b/>
              </w:rPr>
              <w:t xml:space="preserve">Total </w:t>
            </w:r>
            <w:r w:rsidR="00B77467">
              <w:rPr>
                <w:b/>
              </w:rPr>
              <w:t>Qualified</w:t>
            </w:r>
            <w:r>
              <w:rPr>
                <w:b/>
              </w:rPr>
              <w:t xml:space="preserve"> Investment</w:t>
            </w:r>
          </w:p>
        </w:tc>
        <w:tc>
          <w:tcPr>
            <w:tcW w:w="4788" w:type="dxa"/>
            <w:tcBorders>
              <w:top w:val="single" w:sz="4" w:space="0" w:color="auto"/>
              <w:bottom w:val="single" w:sz="4" w:space="0" w:color="auto"/>
            </w:tcBorders>
          </w:tcPr>
          <w:p w14:paraId="428E3E95" w14:textId="77777777" w:rsidR="00AE67AF" w:rsidRPr="00D70C71" w:rsidRDefault="00556EBB" w:rsidP="00556EBB">
            <w:pPr>
              <w:jc w:val="right"/>
              <w:rPr>
                <w:b/>
              </w:rPr>
            </w:pPr>
            <w:r w:rsidRPr="00D70C71">
              <w:rPr>
                <w:b/>
              </w:rPr>
              <w:t>$110,515,998</w:t>
            </w:r>
          </w:p>
        </w:tc>
      </w:tr>
      <w:tr w:rsidR="00AE67AF" w14:paraId="0F270525" w14:textId="77777777" w:rsidTr="00344A84">
        <w:tc>
          <w:tcPr>
            <w:tcW w:w="4788" w:type="dxa"/>
            <w:tcBorders>
              <w:top w:val="single" w:sz="4" w:space="0" w:color="auto"/>
            </w:tcBorders>
          </w:tcPr>
          <w:p w14:paraId="384F94EE" w14:textId="77777777" w:rsidR="00AE67AF" w:rsidRDefault="00AE67AF" w:rsidP="00AE67AF">
            <w:r>
              <w:t>2026 Return on Investment</w:t>
            </w:r>
          </w:p>
        </w:tc>
        <w:tc>
          <w:tcPr>
            <w:tcW w:w="4788" w:type="dxa"/>
            <w:tcBorders>
              <w:top w:val="single" w:sz="4" w:space="0" w:color="auto"/>
            </w:tcBorders>
          </w:tcPr>
          <w:p w14:paraId="601134E4" w14:textId="77777777" w:rsidR="00AE67AF" w:rsidRDefault="00556EBB" w:rsidP="00556EBB">
            <w:pPr>
              <w:jc w:val="right"/>
            </w:pPr>
            <w:r>
              <w:t>$6,842,806</w:t>
            </w:r>
          </w:p>
        </w:tc>
      </w:tr>
      <w:tr w:rsidR="00AE67AF" w14:paraId="35ED6BFE" w14:textId="77777777" w:rsidTr="00D70C71">
        <w:tc>
          <w:tcPr>
            <w:tcW w:w="4788" w:type="dxa"/>
          </w:tcPr>
          <w:p w14:paraId="66FD08A6" w14:textId="77777777" w:rsidR="00AE67AF" w:rsidRDefault="00AE67AF" w:rsidP="00AE67AF">
            <w:r>
              <w:t>Depreciation Expenses</w:t>
            </w:r>
          </w:p>
        </w:tc>
        <w:tc>
          <w:tcPr>
            <w:tcW w:w="4788" w:type="dxa"/>
          </w:tcPr>
          <w:p w14:paraId="1441A897" w14:textId="77777777" w:rsidR="00AE67AF" w:rsidRDefault="00D70C71" w:rsidP="00556EBB">
            <w:pPr>
              <w:jc w:val="right"/>
            </w:pPr>
            <w:r>
              <w:t>$1,615,761</w:t>
            </w:r>
          </w:p>
        </w:tc>
      </w:tr>
      <w:tr w:rsidR="00AE67AF" w14:paraId="1B4EEBCA" w14:textId="77777777" w:rsidTr="00D70C71">
        <w:tc>
          <w:tcPr>
            <w:tcW w:w="4788" w:type="dxa"/>
          </w:tcPr>
          <w:p w14:paraId="7054BF85" w14:textId="77777777" w:rsidR="00AE67AF" w:rsidRDefault="00AE67AF" w:rsidP="00AE67AF">
            <w:r>
              <w:t>Fuel Line Expenses</w:t>
            </w:r>
          </w:p>
        </w:tc>
        <w:tc>
          <w:tcPr>
            <w:tcW w:w="4788" w:type="dxa"/>
          </w:tcPr>
          <w:p w14:paraId="7E443FC2" w14:textId="77777777" w:rsidR="00AE67AF" w:rsidRDefault="00D70C71" w:rsidP="00556EBB">
            <w:pPr>
              <w:jc w:val="right"/>
            </w:pPr>
            <w:r>
              <w:t>$</w:t>
            </w:r>
            <w:r w:rsidR="00206212">
              <w:t>24,000</w:t>
            </w:r>
          </w:p>
        </w:tc>
      </w:tr>
      <w:tr w:rsidR="00AE67AF" w14:paraId="6FFF071F" w14:textId="77777777" w:rsidTr="00D70C71">
        <w:tc>
          <w:tcPr>
            <w:tcW w:w="4788" w:type="dxa"/>
          </w:tcPr>
          <w:p w14:paraId="3DB87707" w14:textId="77777777" w:rsidR="00AE67AF" w:rsidRDefault="00AE67AF" w:rsidP="00AE67AF">
            <w:r>
              <w:t>Property/Ad Valorem Tax Expense</w:t>
            </w:r>
          </w:p>
        </w:tc>
        <w:tc>
          <w:tcPr>
            <w:tcW w:w="4788" w:type="dxa"/>
          </w:tcPr>
          <w:p w14:paraId="68BB2ECB" w14:textId="77777777" w:rsidR="00AE67AF" w:rsidRDefault="00D70C71" w:rsidP="00556EBB">
            <w:pPr>
              <w:jc w:val="right"/>
            </w:pPr>
            <w:r>
              <w:t>$</w:t>
            </w:r>
            <w:r w:rsidR="00206212">
              <w:t>1,635,408</w:t>
            </w:r>
          </w:p>
        </w:tc>
      </w:tr>
      <w:tr w:rsidR="00AE67AF" w14:paraId="1B3F94C2" w14:textId="77777777" w:rsidTr="00D70C71">
        <w:tc>
          <w:tcPr>
            <w:tcW w:w="4788" w:type="dxa"/>
          </w:tcPr>
          <w:p w14:paraId="25C12740" w14:textId="77777777" w:rsidR="00AE67AF" w:rsidRDefault="00AE67AF" w:rsidP="00AE67AF">
            <w:r>
              <w:t>Customer Notification Expense</w:t>
            </w:r>
          </w:p>
        </w:tc>
        <w:tc>
          <w:tcPr>
            <w:tcW w:w="4788" w:type="dxa"/>
          </w:tcPr>
          <w:p w14:paraId="7E0B86CE" w14:textId="77777777" w:rsidR="00AE67AF" w:rsidRPr="00D70C71" w:rsidRDefault="00D70C71" w:rsidP="00556EBB">
            <w:pPr>
              <w:jc w:val="right"/>
              <w:rPr>
                <w:u w:val="single"/>
              </w:rPr>
            </w:pPr>
            <w:r>
              <w:rPr>
                <w:u w:val="single"/>
              </w:rPr>
              <w:t>$</w:t>
            </w:r>
            <w:r w:rsidR="00206212" w:rsidRPr="00D70C71">
              <w:rPr>
                <w:u w:val="single"/>
              </w:rPr>
              <w:t>20,040</w:t>
            </w:r>
          </w:p>
        </w:tc>
      </w:tr>
      <w:tr w:rsidR="00AE67AF" w14:paraId="6C19E59C" w14:textId="77777777" w:rsidTr="00D70C71">
        <w:tc>
          <w:tcPr>
            <w:tcW w:w="4788" w:type="dxa"/>
          </w:tcPr>
          <w:p w14:paraId="713A9D22" w14:textId="77777777" w:rsidR="00AE67AF" w:rsidRDefault="00AE67AF" w:rsidP="00AE67AF">
            <w:r>
              <w:t xml:space="preserve">2026 </w:t>
            </w:r>
            <w:r w:rsidR="00D12D60">
              <w:t xml:space="preserve">Net </w:t>
            </w:r>
            <w:r>
              <w:t>GUARD Revenue Requirement</w:t>
            </w:r>
          </w:p>
        </w:tc>
        <w:tc>
          <w:tcPr>
            <w:tcW w:w="4788" w:type="dxa"/>
          </w:tcPr>
          <w:p w14:paraId="70AB0634" w14:textId="77777777" w:rsidR="00AE67AF" w:rsidRDefault="00D70C71" w:rsidP="00556EBB">
            <w:pPr>
              <w:jc w:val="right"/>
            </w:pPr>
            <w:r>
              <w:t>$</w:t>
            </w:r>
            <w:r w:rsidR="00AF75D7">
              <w:t>10,138,015</w:t>
            </w:r>
          </w:p>
        </w:tc>
      </w:tr>
      <w:tr w:rsidR="00AE67AF" w14:paraId="40D9AE1C" w14:textId="77777777" w:rsidTr="00D70C71">
        <w:tc>
          <w:tcPr>
            <w:tcW w:w="4788" w:type="dxa"/>
          </w:tcPr>
          <w:p w14:paraId="388A8117" w14:textId="77777777" w:rsidR="00AE67AF" w:rsidRDefault="00AE67AF" w:rsidP="00AE67AF">
            <w:r>
              <w:t>Plus 2025 Under-Recovery</w:t>
            </w:r>
          </w:p>
        </w:tc>
        <w:tc>
          <w:tcPr>
            <w:tcW w:w="4788" w:type="dxa"/>
          </w:tcPr>
          <w:p w14:paraId="34872D17" w14:textId="77777777" w:rsidR="00AE67AF" w:rsidRPr="00230CCE" w:rsidRDefault="00D70C71" w:rsidP="00D12D60">
            <w:pPr>
              <w:jc w:val="right"/>
              <w:rPr>
                <w:u w:val="single"/>
              </w:rPr>
            </w:pPr>
            <w:r w:rsidRPr="00230CCE">
              <w:rPr>
                <w:u w:val="single"/>
              </w:rPr>
              <w:t>$</w:t>
            </w:r>
            <w:r w:rsidR="00D12D60" w:rsidRPr="00230CCE">
              <w:rPr>
                <w:u w:val="single"/>
              </w:rPr>
              <w:t>42,599</w:t>
            </w:r>
          </w:p>
        </w:tc>
      </w:tr>
      <w:tr w:rsidR="00AE67AF" w14:paraId="2C2BCDB5" w14:textId="77777777" w:rsidTr="00D70C71">
        <w:tc>
          <w:tcPr>
            <w:tcW w:w="4788" w:type="dxa"/>
          </w:tcPr>
          <w:p w14:paraId="79F95171" w14:textId="77777777" w:rsidR="00AE67AF" w:rsidRPr="00D12D60" w:rsidRDefault="00AE67AF" w:rsidP="00AE67AF">
            <w:pPr>
              <w:rPr>
                <w:b/>
              </w:rPr>
            </w:pPr>
            <w:r w:rsidRPr="00D12D60">
              <w:rPr>
                <w:b/>
              </w:rPr>
              <w:t>2026 Total Revenue Requirement</w:t>
            </w:r>
          </w:p>
        </w:tc>
        <w:tc>
          <w:tcPr>
            <w:tcW w:w="4788" w:type="dxa"/>
          </w:tcPr>
          <w:p w14:paraId="6CB6641E" w14:textId="77777777" w:rsidR="00AE67AF" w:rsidRPr="00D12D60" w:rsidRDefault="00D70C71" w:rsidP="00D12D60">
            <w:pPr>
              <w:jc w:val="right"/>
              <w:rPr>
                <w:b/>
              </w:rPr>
            </w:pPr>
            <w:r w:rsidRPr="00D12D60">
              <w:rPr>
                <w:b/>
              </w:rPr>
              <w:t>$</w:t>
            </w:r>
            <w:r w:rsidR="00AF75D7" w:rsidRPr="00D12D60">
              <w:rPr>
                <w:b/>
              </w:rPr>
              <w:t>10,</w:t>
            </w:r>
            <w:r w:rsidR="00D12D60">
              <w:rPr>
                <w:b/>
              </w:rPr>
              <w:t>180,614</w:t>
            </w:r>
          </w:p>
        </w:tc>
      </w:tr>
    </w:tbl>
    <w:p w14:paraId="277F6781" w14:textId="77777777" w:rsidR="00AE67AF" w:rsidRDefault="00AE67AF" w:rsidP="00AE67AF">
      <w:pPr>
        <w:pStyle w:val="TableSource"/>
      </w:pPr>
      <w:r>
        <w:t>Source: Witness Dayton’s Testimony Exhibit BD-1, Schedule C-2, Page 4 of 7.</w:t>
      </w:r>
    </w:p>
    <w:p w14:paraId="5DB29608" w14:textId="77777777" w:rsidR="00AE67AF" w:rsidRDefault="00B85258" w:rsidP="00B85258">
      <w:pPr>
        <w:pStyle w:val="First-LevelSubheading"/>
      </w:pPr>
      <w:r>
        <w:t>Proposed 2026 GUARD Surcharges</w:t>
      </w:r>
    </w:p>
    <w:p w14:paraId="27328667" w14:textId="77777777" w:rsidR="00B85258" w:rsidRPr="00D26724" w:rsidRDefault="00B85258" w:rsidP="00B85258">
      <w:pPr>
        <w:pStyle w:val="BodyText"/>
        <w:rPr>
          <w:highlight w:val="yellow"/>
        </w:rPr>
      </w:pPr>
      <w:r w:rsidRPr="00CB5E08">
        <w:t xml:space="preserve">As approved in the </w:t>
      </w:r>
      <w:r w:rsidR="00CB5E08" w:rsidRPr="00CB5E08">
        <w:t xml:space="preserve">2023 </w:t>
      </w:r>
      <w:r w:rsidRPr="00CB5E08">
        <w:t>GUARD Order, the total 202</w:t>
      </w:r>
      <w:r w:rsidR="00CB5E08">
        <w:t>6</w:t>
      </w:r>
      <w:r w:rsidRPr="00CB5E08">
        <w:t xml:space="preserve"> revenue requirement is allocated to the rate classes using the same methodology used for the allocation of mains and service</w:t>
      </w:r>
      <w:r w:rsidR="009E41EC">
        <w:t xml:space="preserve"> line</w:t>
      </w:r>
      <w:r w:rsidRPr="00CB5E08">
        <w:t>s in the cost of service study used in the Company’s most recent rate case. The respective percentages were multiplied by the 202</w:t>
      </w:r>
      <w:r w:rsidR="00CB5E08">
        <w:t>6</w:t>
      </w:r>
      <w:r w:rsidRPr="00CB5E08">
        <w:t xml:space="preserve"> revenue requirement and divided by each rate class’s projected therm sales to provide the GUARD surcharge for each rate class. This methodology was originally established by the 2012 Order approving FPUC’s GRIP program.</w:t>
      </w:r>
    </w:p>
    <w:p w14:paraId="585ADA8F" w14:textId="77777777" w:rsidR="00B85258" w:rsidRDefault="00B85258" w:rsidP="00B85258">
      <w:pPr>
        <w:pStyle w:val="BodyText"/>
      </w:pPr>
      <w:r w:rsidRPr="003D03B9">
        <w:t>In 202</w:t>
      </w:r>
      <w:r w:rsidR="003D03B9" w:rsidRPr="003D03B9">
        <w:t>5</w:t>
      </w:r>
      <w:r w:rsidRPr="003D03B9">
        <w:t xml:space="preserve">, the monthly </w:t>
      </w:r>
      <w:r w:rsidR="00CB501A">
        <w:t>bill impact</w:t>
      </w:r>
      <w:r w:rsidRPr="003D03B9">
        <w:t xml:space="preserve"> was $</w:t>
      </w:r>
      <w:r w:rsidR="00CB501A">
        <w:t>2.22</w:t>
      </w:r>
      <w:r w:rsidRPr="003D03B9">
        <w:t xml:space="preserve"> for a</w:t>
      </w:r>
      <w:r w:rsidR="001B76F3">
        <w:t xml:space="preserve"> </w:t>
      </w:r>
      <w:r w:rsidRPr="003D03B9">
        <w:t>residential customer using 20 therms per month or $</w:t>
      </w:r>
      <w:r w:rsidR="003D03B9" w:rsidRPr="003D03B9">
        <w:t>26.6</w:t>
      </w:r>
      <w:r w:rsidR="00CB501A">
        <w:t>4</w:t>
      </w:r>
      <w:r w:rsidRPr="003D03B9">
        <w:t xml:space="preserve"> per year. The proposed 202</w:t>
      </w:r>
      <w:r w:rsidR="003D03B9" w:rsidRPr="003D03B9">
        <w:t>6</w:t>
      </w:r>
      <w:r w:rsidRPr="003D03B9">
        <w:t xml:space="preserve"> GUARD surcharge for FPUC’s residential customers who use 20 therms a month on the Residential Service tariff (RES-2) would pay $0.</w:t>
      </w:r>
      <w:r w:rsidR="003D03B9" w:rsidRPr="003D03B9">
        <w:t>26015</w:t>
      </w:r>
      <w:r w:rsidRPr="003D03B9">
        <w:t xml:space="preserve"> per therm compared to the 202</w:t>
      </w:r>
      <w:r w:rsidR="003D03B9" w:rsidRPr="003D03B9">
        <w:t>5</w:t>
      </w:r>
      <w:r w:rsidRPr="003D03B9">
        <w:t xml:space="preserve"> GUARD surcharge of $0.</w:t>
      </w:r>
      <w:r w:rsidR="003D03B9" w:rsidRPr="003D03B9">
        <w:t>11116</w:t>
      </w:r>
      <w:r w:rsidRPr="003D03B9">
        <w:t xml:space="preserve"> per therm. The monthly bill impact for 202</w:t>
      </w:r>
      <w:r w:rsidR="003D03B9" w:rsidRPr="003D03B9">
        <w:t>6</w:t>
      </w:r>
      <w:r w:rsidRPr="003D03B9">
        <w:t xml:space="preserve"> would be $</w:t>
      </w:r>
      <w:r w:rsidR="003D03B9" w:rsidRPr="003D03B9">
        <w:t>5.20</w:t>
      </w:r>
      <w:r w:rsidRPr="003D03B9">
        <w:t xml:space="preserve"> for a residential customer using 20 therms per month or $</w:t>
      </w:r>
      <w:r w:rsidR="003D03B9" w:rsidRPr="003D03B9">
        <w:t>62.44</w:t>
      </w:r>
      <w:r w:rsidRPr="003D03B9">
        <w:t xml:space="preserve"> per year.</w:t>
      </w:r>
      <w:r>
        <w:t xml:space="preserve"> </w:t>
      </w:r>
      <w:r w:rsidRPr="0068781A">
        <w:t xml:space="preserve">The proposed </w:t>
      </w:r>
      <w:r>
        <w:t>GUARD</w:t>
      </w:r>
      <w:r w:rsidRPr="0068781A">
        <w:t xml:space="preserve"> surcharges are shown in Attachment B, </w:t>
      </w:r>
      <w:r>
        <w:t xml:space="preserve">in </w:t>
      </w:r>
      <w:r w:rsidR="00D26724">
        <w:t>Third</w:t>
      </w:r>
      <w:r>
        <w:t xml:space="preserve"> Revised</w:t>
      </w:r>
      <w:r w:rsidRPr="0068781A">
        <w:t xml:space="preserve"> Sheet No. 7.</w:t>
      </w:r>
      <w:r>
        <w:t>403.</w:t>
      </w:r>
    </w:p>
    <w:p w14:paraId="307F822E" w14:textId="77777777" w:rsidR="006967B4" w:rsidRDefault="006967B4" w:rsidP="006967B4">
      <w:pPr>
        <w:pStyle w:val="First-LevelSubheading"/>
      </w:pPr>
      <w:r>
        <w:t xml:space="preserve">Conclusion </w:t>
      </w:r>
    </w:p>
    <w:p w14:paraId="26B1FD92" w14:textId="77777777" w:rsidR="006967B4" w:rsidRDefault="009315BB" w:rsidP="00B85258">
      <w:pPr>
        <w:pStyle w:val="BodyText"/>
      </w:pPr>
      <w:r>
        <w:t>The Commission should approve FPUC's 2026 GUARD cost recovery factors and associated Third Revised Sheet No. 7.403, included in Attachment B to this recommendation, to be effective for the first billing cycle of January 2026 through the last billing cycle of December 2026. The Commission should also approve FPUC’s request to provide six months of actual and six months of estimated data in its actual/estimated true-up filings. The GUARD surcharge would allow FPUC to replace problematic pipes and facilities and relocate certain facilities located in rear easements to the front easements, and recover the project costs on an expedited basis</w:t>
      </w:r>
      <w:r w:rsidR="006967B4">
        <w:t>.</w:t>
      </w:r>
    </w:p>
    <w:p w14:paraId="1559A23C" w14:textId="70CB54B3" w:rsidR="00C81058" w:rsidRDefault="00C81058">
      <w:pPr>
        <w:pStyle w:val="IssueHeading"/>
        <w:rPr>
          <w:vanish/>
          <w:specVanish/>
        </w:rPr>
      </w:pPr>
      <w:r w:rsidRPr="004C3641">
        <w:rPr>
          <w:b w:val="0"/>
          <w:i w:val="0"/>
        </w:rPr>
        <w:br w:type="page"/>
      </w:r>
      <w:r w:rsidRPr="004C3641">
        <w:t xml:space="preserve">Issue </w:t>
      </w:r>
      <w:r w:rsidR="00F35FF1">
        <w:fldChar w:fldCharType="begin"/>
      </w:r>
      <w:r w:rsidR="00F35FF1">
        <w:instrText xml:space="preserve"> SEQ Issue \* MERGEFORMAT </w:instrText>
      </w:r>
      <w:r w:rsidR="00F35FF1">
        <w:fldChar w:fldCharType="separate"/>
      </w:r>
      <w:r w:rsidR="00195DAB">
        <w:rPr>
          <w:noProof/>
        </w:rPr>
        <w:t>2</w:t>
      </w:r>
      <w:r w:rsidR="00F35FF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95DAB">
        <w:rPr>
          <w:noProof/>
        </w:rPr>
        <w:instrText>2</w:instrText>
      </w:r>
      <w:r>
        <w:fldChar w:fldCharType="end"/>
      </w:r>
      <w:r>
        <w:tab/>
        <w:instrText xml:space="preserve">(Dose)" \l 1 </w:instrText>
      </w:r>
      <w:r>
        <w:fldChar w:fldCharType="end"/>
      </w:r>
      <w:r>
        <w:t> </w:t>
      </w:r>
    </w:p>
    <w:p w14:paraId="2AB18342" w14:textId="77777777" w:rsidR="00C81058" w:rsidRDefault="00C81058">
      <w:pPr>
        <w:pStyle w:val="BodyText"/>
      </w:pPr>
      <w:r>
        <w:t> Should this docket be closed?</w:t>
      </w:r>
    </w:p>
    <w:p w14:paraId="77053BF0" w14:textId="77777777" w:rsidR="00C81058" w:rsidRPr="004C3641" w:rsidRDefault="00C81058">
      <w:pPr>
        <w:pStyle w:val="IssueSubsectionHeading"/>
        <w:rPr>
          <w:vanish/>
          <w:specVanish/>
        </w:rPr>
      </w:pPr>
      <w:r w:rsidRPr="004C3641">
        <w:t>Recommendation: </w:t>
      </w:r>
    </w:p>
    <w:p w14:paraId="1ED95289" w14:textId="77777777" w:rsidR="00C81058" w:rsidRDefault="00C81058">
      <w:pPr>
        <w:pStyle w:val="BodyText"/>
      </w:pPr>
      <w:r>
        <w:t> Yes.  If a protest is filed within 21 days of the issuance of the order, the tariffs should remain in effect, with any revenues held subject to refund, pending resolution of the protest.  If no timely protest is filed, this docket should be closed upon the issuance of a consummating order. (Dose)</w:t>
      </w:r>
    </w:p>
    <w:p w14:paraId="12401E6D" w14:textId="77777777" w:rsidR="00C81058" w:rsidRPr="004C3641" w:rsidRDefault="00C81058">
      <w:pPr>
        <w:pStyle w:val="IssueSubsectionHeading"/>
        <w:rPr>
          <w:vanish/>
          <w:specVanish/>
        </w:rPr>
      </w:pPr>
      <w:r w:rsidRPr="004C3641">
        <w:t>Staff Analysis: </w:t>
      </w:r>
    </w:p>
    <w:p w14:paraId="40DBE81B" w14:textId="77777777" w:rsidR="00C81058" w:rsidRDefault="00C81058">
      <w:pPr>
        <w:pStyle w:val="BodyText"/>
      </w:pPr>
      <w:r>
        <w:t> If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14:paraId="4F64299A" w14:textId="77777777" w:rsidR="001F4A55" w:rsidRDefault="001F4A55" w:rsidP="00B85258">
      <w:pPr>
        <w:pStyle w:val="BodyText"/>
        <w:sectPr w:rsidR="001F4A55"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14:paraId="509CD1F6" w14:textId="77777777" w:rsidR="005F5B66" w:rsidRDefault="00952197" w:rsidP="00B85258">
      <w:pPr>
        <w:pStyle w:val="BodyText"/>
        <w:sectPr w:rsidR="005F5B66" w:rsidSect="0068481F">
          <w:headerReference w:type="default" r:id="rId18"/>
          <w:pgSz w:w="12240" w:h="15840" w:code="1"/>
          <w:pgMar w:top="1584" w:right="1440" w:bottom="1440" w:left="1440" w:header="720" w:footer="720" w:gutter="0"/>
          <w:cols w:space="720"/>
          <w:formProt w:val="0"/>
          <w:docGrid w:linePitch="360"/>
        </w:sectPr>
      </w:pPr>
      <w:r w:rsidRPr="00952197">
        <w:rPr>
          <w:noProof/>
        </w:rPr>
        <w:drawing>
          <wp:inline distT="0" distB="0" distL="0" distR="0" wp14:anchorId="5A8FD51D" wp14:editId="5AEFAC2D">
            <wp:extent cx="8164089" cy="5962650"/>
            <wp:effectExtent l="0" t="4445"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8197879" cy="5987329"/>
                    </a:xfrm>
                    <a:prstGeom prst="rect">
                      <a:avLst/>
                    </a:prstGeom>
                    <a:noFill/>
                    <a:ln>
                      <a:noFill/>
                    </a:ln>
                  </pic:spPr>
                </pic:pic>
              </a:graphicData>
            </a:graphic>
          </wp:inline>
        </w:drawing>
      </w:r>
    </w:p>
    <w:p w14:paraId="2B2F9C1E" w14:textId="77777777" w:rsidR="00B85258" w:rsidRDefault="005F5B66" w:rsidP="00B85258">
      <w:pPr>
        <w:pStyle w:val="BodyText"/>
      </w:pPr>
      <w:r>
        <w:rPr>
          <w:noProof/>
        </w:rPr>
        <w:drawing>
          <wp:inline distT="0" distB="0" distL="0" distR="0" wp14:anchorId="37AD10BE" wp14:editId="05680D1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riff pages_Page_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5C84E4E4" w14:textId="77777777" w:rsidR="005D3AA3" w:rsidRDefault="005D3AA3" w:rsidP="00B85258">
      <w:pPr>
        <w:pStyle w:val="BodyText"/>
      </w:pPr>
    </w:p>
    <w:sectPr w:rsidR="005D3AA3"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5FD8A" w14:textId="77777777" w:rsidR="00384D8B" w:rsidRDefault="00384D8B">
      <w:r>
        <w:separator/>
      </w:r>
    </w:p>
  </w:endnote>
  <w:endnote w:type="continuationSeparator" w:id="0">
    <w:p w14:paraId="2F01845D" w14:textId="77777777" w:rsidR="00384D8B" w:rsidRDefault="0038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8C6" w14:textId="77777777" w:rsidR="00195DAB" w:rsidRDefault="00195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7BEA" w14:textId="26EDDE0F"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35FF1">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9C9FE" w14:textId="77777777" w:rsidR="00195DAB" w:rsidRDefault="00195D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0F70"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1A63E" w14:textId="77777777" w:rsidR="00384D8B" w:rsidRDefault="00384D8B">
      <w:r>
        <w:separator/>
      </w:r>
    </w:p>
  </w:footnote>
  <w:footnote w:type="continuationSeparator" w:id="0">
    <w:p w14:paraId="6C76C3E2" w14:textId="77777777" w:rsidR="00384D8B" w:rsidRDefault="00384D8B">
      <w:r>
        <w:continuationSeparator/>
      </w:r>
    </w:p>
  </w:footnote>
  <w:footnote w:id="1">
    <w:p w14:paraId="04A30C39" w14:textId="77777777" w:rsidR="0004539B" w:rsidRDefault="0004539B" w:rsidP="0004539B">
      <w:pPr>
        <w:pStyle w:val="FootnoteText"/>
      </w:pPr>
      <w:r>
        <w:rPr>
          <w:rStyle w:val="FootnoteReference"/>
        </w:rPr>
        <w:footnoteRef/>
      </w:r>
      <w:r>
        <w:t xml:space="preserve"> Order No. PSC-2023-0235-PAA-GU, issued August 15, 2023, amended by Order No. PSC-2023-0235A-PAA-GU, issued August 18, 2023, in Docket No. 20230029-GU, </w:t>
      </w:r>
      <w:r w:rsidRPr="009B68FB">
        <w:rPr>
          <w:i/>
        </w:rPr>
        <w:t>In re</w:t>
      </w:r>
      <w:r>
        <w:rPr>
          <w:i/>
        </w:rPr>
        <w:t>:</w:t>
      </w:r>
      <w:r w:rsidRPr="009B68FB">
        <w:rPr>
          <w:i/>
        </w:rPr>
        <w:t xml:space="preserve"> Petition for approval of gas utility access and replacement directive, by Florida Public Utilities Company.</w:t>
      </w:r>
    </w:p>
  </w:footnote>
  <w:footnote w:id="2">
    <w:p w14:paraId="7E188BDE" w14:textId="77777777" w:rsidR="003F10AF" w:rsidRDefault="003F10AF" w:rsidP="003F10AF">
      <w:pPr>
        <w:pStyle w:val="FootnoteText"/>
      </w:pPr>
      <w:r>
        <w:rPr>
          <w:rStyle w:val="FootnoteReference"/>
        </w:rPr>
        <w:footnoteRef/>
      </w:r>
      <w:r>
        <w:t xml:space="preserve"> Order No. PSC-2012-0490-TRF, issued September 24, 2021, in Docket No. 20120036-GU,</w:t>
      </w:r>
      <w:r w:rsidRPr="00A34DEA">
        <w:rPr>
          <w:i/>
        </w:rPr>
        <w:t xml:space="preserve"> In re: Joint petition for approval of Gas Reliability Infrastructure Program (GRIP) by Florida Public Utilities Company and the Florida Division of Chesapeake Utilities Corporation.</w:t>
      </w:r>
    </w:p>
  </w:footnote>
  <w:footnote w:id="3">
    <w:p w14:paraId="0EBAC773" w14:textId="77777777" w:rsidR="00BB08AE" w:rsidRDefault="00BB08AE">
      <w:pPr>
        <w:pStyle w:val="FootnoteText"/>
      </w:pPr>
      <w:r>
        <w:rPr>
          <w:rStyle w:val="FootnoteReference"/>
        </w:rPr>
        <w:footnoteRef/>
      </w:r>
      <w:r>
        <w:t xml:space="preserve"> Order No. PSC-2024-0504-TRF-GU, issued December 17, 2024, </w:t>
      </w:r>
      <w:r w:rsidRPr="00E82D64">
        <w:t>in Docket No. 20240137-GU,</w:t>
      </w:r>
      <w:r w:rsidRPr="00BB08AE">
        <w:rPr>
          <w:i/>
        </w:rPr>
        <w:t xml:space="preserve"> In re: </w:t>
      </w:r>
      <w:bookmarkStart w:id="15" w:name="SSInRe"/>
      <w:bookmarkEnd w:id="15"/>
      <w:r w:rsidRPr="00BB08AE">
        <w:rPr>
          <w:i/>
        </w:rPr>
        <w:t>Petition for approval of GUARD cost recovery factors, by Florida Public Utilities Company</w:t>
      </w:r>
      <w:r>
        <w:t>.</w:t>
      </w:r>
    </w:p>
  </w:footnote>
  <w:footnote w:id="4">
    <w:p w14:paraId="2E824DBC" w14:textId="2A18B7C0" w:rsidR="00E115C7" w:rsidRPr="00D56EF3" w:rsidRDefault="00E115C7">
      <w:pPr>
        <w:pStyle w:val="FootnoteText"/>
        <w:rPr>
          <w:i/>
        </w:rPr>
      </w:pPr>
      <w:r>
        <w:rPr>
          <w:rStyle w:val="FootnoteReference"/>
        </w:rPr>
        <w:footnoteRef/>
      </w:r>
      <w:r>
        <w:t xml:space="preserve"> </w:t>
      </w:r>
      <w:r w:rsidR="00D34406">
        <w:t>Order No. PSC-2025-0392-</w:t>
      </w:r>
      <w:r w:rsidR="0010056A">
        <w:t>PCO</w:t>
      </w:r>
      <w:r w:rsidR="00D34406">
        <w:t xml:space="preserve">-GU, issued October 22, 2025, in Docket No. 20250109-GU, </w:t>
      </w:r>
      <w:r w:rsidR="00D34406">
        <w:rPr>
          <w:i/>
        </w:rPr>
        <w:t>In re:</w:t>
      </w:r>
      <w:r w:rsidR="00D34406" w:rsidRPr="00D34406">
        <w:t xml:space="preserve"> </w:t>
      </w:r>
      <w:r w:rsidR="00D34406" w:rsidRPr="00D34406">
        <w:rPr>
          <w:i/>
        </w:rPr>
        <w:t>Petition for approval of gas utility access and replacement directive cost recovery factors for January 2026 through December 2026, by Florida Public Utilities Company.</w:t>
      </w:r>
    </w:p>
  </w:footnote>
  <w:footnote w:id="5">
    <w:p w14:paraId="57ECFFA9" w14:textId="77777777" w:rsidR="003C2815" w:rsidRDefault="003C2815" w:rsidP="003C2815">
      <w:pPr>
        <w:pStyle w:val="FootnoteText"/>
      </w:pPr>
      <w:r>
        <w:rPr>
          <w:rStyle w:val="FootnoteReference"/>
        </w:rPr>
        <w:footnoteRef/>
      </w:r>
      <w:r>
        <w:rPr>
          <w:iCs/>
        </w:rPr>
        <w:t xml:space="preserve"> </w:t>
      </w:r>
      <w:r w:rsidRPr="00F448B1">
        <w:rPr>
          <w:iCs/>
        </w:rPr>
        <w:t xml:space="preserve">Pursuant to </w:t>
      </w:r>
      <w:r>
        <w:rPr>
          <w:iCs/>
        </w:rPr>
        <w:t xml:space="preserve">Chapter 49, </w:t>
      </w:r>
      <w:r w:rsidRPr="00F448B1">
        <w:rPr>
          <w:iCs/>
        </w:rPr>
        <w:t>Section 192.1005 Code of Federal Regulations</w:t>
      </w:r>
      <w:r>
        <w:rPr>
          <w:iCs/>
        </w:rPr>
        <w:t xml:space="preserve"> (2023)</w:t>
      </w:r>
      <w:r w:rsidRPr="00F448B1">
        <w:rPr>
          <w:iCs/>
        </w:rPr>
        <w:t>, a gas distribution operator must develop and implement an integrity management program that includes a written integrity management plan</w:t>
      </w:r>
      <w:r w:rsidRPr="00D35175">
        <w:rPr>
          <w:shd w:val="clear" w:color="auto" w:fill="FFFFFF"/>
        </w:rPr>
        <w:t>.</w:t>
      </w:r>
      <w:r>
        <w:rPr>
          <w:color w:val="212529"/>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8932F" w14:textId="77777777" w:rsidR="00195DAB" w:rsidRDefault="00195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28DDD" w14:textId="77777777" w:rsidR="00BC402E" w:rsidRDefault="00BC2CF5" w:rsidP="00220732">
    <w:pPr>
      <w:pStyle w:val="Header"/>
      <w:tabs>
        <w:tab w:val="clear" w:pos="4320"/>
        <w:tab w:val="clear" w:pos="8640"/>
        <w:tab w:val="right" w:pos="9360"/>
      </w:tabs>
    </w:pPr>
    <w:bookmarkStart w:id="16" w:name="DocketLabel"/>
    <w:r>
      <w:t>Docket No.</w:t>
    </w:r>
    <w:bookmarkEnd w:id="16"/>
    <w:r w:rsidR="00BC402E">
      <w:t xml:space="preserve"> </w:t>
    </w:r>
    <w:bookmarkStart w:id="17" w:name="DocketList"/>
    <w:r>
      <w:t>20250109-GU</w:t>
    </w:r>
    <w:bookmarkEnd w:id="17"/>
  </w:p>
  <w:p w14:paraId="2F094A87" w14:textId="4B06B148" w:rsidR="00BC402E" w:rsidRDefault="00BC402E">
    <w:pPr>
      <w:pStyle w:val="Header"/>
    </w:pPr>
    <w:r>
      <w:t xml:space="preserve">Date: </w:t>
    </w:r>
    <w:r w:rsidR="00F35FF1">
      <w:fldChar w:fldCharType="begin"/>
    </w:r>
    <w:r w:rsidR="00F35FF1">
      <w:instrText xml:space="preserve"> REF FilingDate </w:instrText>
    </w:r>
    <w:r w:rsidR="00F35FF1">
      <w:fldChar w:fldCharType="separate"/>
    </w:r>
    <w:r w:rsidR="00195DAB">
      <w:t>November 18, 2025</w:t>
    </w:r>
    <w:r w:rsidR="00F35FF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10CB" w14:textId="77777777" w:rsidR="00195DAB" w:rsidRDefault="00195D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AE1E" w14:textId="3BD3C4BD"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95DAB">
      <w:t>Docket No.</w:t>
    </w:r>
    <w:r>
      <w:fldChar w:fldCharType="end"/>
    </w:r>
    <w:r>
      <w:t xml:space="preserve"> </w:t>
    </w:r>
    <w:r>
      <w:fldChar w:fldCharType="begin"/>
    </w:r>
    <w:r>
      <w:instrText xml:space="preserve"> REF DocketList</w:instrText>
    </w:r>
    <w:r>
      <w:fldChar w:fldCharType="separate"/>
    </w:r>
    <w:r w:rsidR="00195DAB">
      <w:t>20250109-GU</w:t>
    </w:r>
    <w:r>
      <w:fldChar w:fldCharType="end"/>
    </w:r>
    <w:r>
      <w:tab/>
      <w:t xml:space="preserve">Issue </w:t>
    </w:r>
    <w:r w:rsidR="00F35FF1">
      <w:fldChar w:fldCharType="begin"/>
    </w:r>
    <w:r w:rsidR="00F35FF1">
      <w:instrText xml:space="preserve"> Seq Issue \c \* Arabic </w:instrText>
    </w:r>
    <w:r w:rsidR="00F35FF1">
      <w:fldChar w:fldCharType="separate"/>
    </w:r>
    <w:r w:rsidR="00F35FF1">
      <w:rPr>
        <w:noProof/>
      </w:rPr>
      <w:t>2</w:t>
    </w:r>
    <w:r w:rsidR="00F35FF1">
      <w:rPr>
        <w:noProof/>
      </w:rPr>
      <w:fldChar w:fldCharType="end"/>
    </w:r>
  </w:p>
  <w:p w14:paraId="490C9B66" w14:textId="38B065E5" w:rsidR="00BC402E" w:rsidRDefault="00BC402E">
    <w:pPr>
      <w:pStyle w:val="Header"/>
    </w:pPr>
    <w:r>
      <w:t xml:space="preserve">Date: </w:t>
    </w:r>
    <w:r w:rsidR="00F35FF1">
      <w:fldChar w:fldCharType="begin"/>
    </w:r>
    <w:r w:rsidR="00F35FF1">
      <w:instrText xml:space="preserve"> REF FilingDate </w:instrText>
    </w:r>
    <w:r w:rsidR="00F35FF1">
      <w:fldChar w:fldCharType="separate"/>
    </w:r>
    <w:r w:rsidR="00195DAB">
      <w:t>November 18, 2025</w:t>
    </w:r>
    <w:r w:rsidR="00F35FF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10FCA" w14:textId="77777777"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CCB2" w14:textId="3D429799" w:rsidR="001F4A55" w:rsidRDefault="001F4A55" w:rsidP="00220732">
    <w:pPr>
      <w:pStyle w:val="Header"/>
      <w:tabs>
        <w:tab w:val="clear" w:pos="4320"/>
        <w:tab w:val="clear" w:pos="8640"/>
        <w:tab w:val="right" w:pos="9360"/>
      </w:tabs>
    </w:pPr>
    <w:r>
      <w:fldChar w:fldCharType="begin"/>
    </w:r>
    <w:r>
      <w:instrText xml:space="preserve"> REF DocketLabel</w:instrText>
    </w:r>
    <w:r>
      <w:fldChar w:fldCharType="separate"/>
    </w:r>
    <w:r w:rsidR="00195DAB">
      <w:t>Docket No.</w:t>
    </w:r>
    <w:r>
      <w:fldChar w:fldCharType="end"/>
    </w:r>
    <w:r>
      <w:t xml:space="preserve"> </w:t>
    </w:r>
    <w:r>
      <w:fldChar w:fldCharType="begin"/>
    </w:r>
    <w:r>
      <w:instrText xml:space="preserve"> REF DocketList</w:instrText>
    </w:r>
    <w:r>
      <w:fldChar w:fldCharType="separate"/>
    </w:r>
    <w:r w:rsidR="00195DAB">
      <w:t>20250109-GU</w:t>
    </w:r>
    <w:r>
      <w:fldChar w:fldCharType="end"/>
    </w:r>
    <w:r>
      <w:tab/>
      <w:t>Attachment A</w:t>
    </w:r>
  </w:p>
  <w:p w14:paraId="6C29AE1D" w14:textId="051031CC" w:rsidR="001F4A55" w:rsidRDefault="001F4A55">
    <w:pPr>
      <w:pStyle w:val="Header"/>
    </w:pPr>
    <w:r>
      <w:t xml:space="preserve">Date: </w:t>
    </w:r>
    <w:r w:rsidR="00F35FF1">
      <w:fldChar w:fldCharType="begin"/>
    </w:r>
    <w:r w:rsidR="00F35FF1">
      <w:instrText xml:space="preserve"> REF FilingDate </w:instrText>
    </w:r>
    <w:r w:rsidR="00F35FF1">
      <w:fldChar w:fldCharType="separate"/>
    </w:r>
    <w:r w:rsidR="00195DAB">
      <w:t>November 18, 2025</w:t>
    </w:r>
    <w:r w:rsidR="00F35FF1">
      <w:fldChar w:fldCharType="end"/>
    </w:r>
    <w:r>
      <w:tab/>
    </w:r>
    <w:r>
      <w:tab/>
      <w:t xml:space="preserve">                                     GUARD Projects 2024-2026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53E08" w14:textId="6FEBF695" w:rsidR="00200190" w:rsidRDefault="00200190" w:rsidP="00220732">
    <w:pPr>
      <w:pStyle w:val="Header"/>
      <w:tabs>
        <w:tab w:val="clear" w:pos="4320"/>
        <w:tab w:val="clear" w:pos="8640"/>
        <w:tab w:val="right" w:pos="9360"/>
      </w:tabs>
    </w:pPr>
    <w:r>
      <w:fldChar w:fldCharType="begin"/>
    </w:r>
    <w:r>
      <w:instrText xml:space="preserve"> REF DocketLabel</w:instrText>
    </w:r>
    <w:r>
      <w:fldChar w:fldCharType="separate"/>
    </w:r>
    <w:r w:rsidR="00195DAB">
      <w:t>Docket No.</w:t>
    </w:r>
    <w:r>
      <w:fldChar w:fldCharType="end"/>
    </w:r>
    <w:r>
      <w:t xml:space="preserve"> </w:t>
    </w:r>
    <w:r>
      <w:fldChar w:fldCharType="begin"/>
    </w:r>
    <w:r>
      <w:instrText xml:space="preserve"> REF DocketList</w:instrText>
    </w:r>
    <w:r>
      <w:fldChar w:fldCharType="separate"/>
    </w:r>
    <w:r w:rsidR="00195DAB">
      <w:t>20250109-GU</w:t>
    </w:r>
    <w:r>
      <w:fldChar w:fldCharType="end"/>
    </w:r>
    <w:r>
      <w:tab/>
      <w:t>Attachment C</w:t>
    </w:r>
  </w:p>
  <w:p w14:paraId="52097333" w14:textId="790BB9BD" w:rsidR="00200190" w:rsidRDefault="00200190">
    <w:pPr>
      <w:pStyle w:val="Header"/>
    </w:pPr>
    <w:r>
      <w:t xml:space="preserve">Date: </w:t>
    </w:r>
    <w:r w:rsidR="00F35FF1">
      <w:fldChar w:fldCharType="begin"/>
    </w:r>
    <w:r w:rsidR="00F35FF1">
      <w:instrText xml:space="preserve"> REF FilingDate </w:instrText>
    </w:r>
    <w:r w:rsidR="00F35FF1">
      <w:fldChar w:fldCharType="separate"/>
    </w:r>
    <w:r w:rsidR="00195DAB">
      <w:t>November 18, 2025</w:t>
    </w:r>
    <w:r w:rsidR="00F35FF1">
      <w:fldChar w:fldCharType="end"/>
    </w:r>
    <w:r>
      <w:tab/>
    </w:r>
    <w:r>
      <w:tab/>
      <w:t xml:space="preserve">                                     </w:t>
    </w:r>
    <w:r>
      <w:rPr>
        <w:noProof/>
      </w:rPr>
      <w:drawing>
        <wp:inline distT="0" distB="0" distL="0" distR="0" wp14:anchorId="65EF6BF7" wp14:editId="2D0DC749">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riff pages_Page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C2CF5"/>
    <w:rsid w:val="000043D5"/>
    <w:rsid w:val="00006170"/>
    <w:rsid w:val="00010E37"/>
    <w:rsid w:val="000172DA"/>
    <w:rsid w:val="00022008"/>
    <w:rsid w:val="00022337"/>
    <w:rsid w:val="00023A0E"/>
    <w:rsid w:val="000247C5"/>
    <w:rsid w:val="000277C2"/>
    <w:rsid w:val="00035B48"/>
    <w:rsid w:val="00036CE2"/>
    <w:rsid w:val="00037EA2"/>
    <w:rsid w:val="000437FE"/>
    <w:rsid w:val="0004539B"/>
    <w:rsid w:val="000513BE"/>
    <w:rsid w:val="00051573"/>
    <w:rsid w:val="0005301E"/>
    <w:rsid w:val="0005451B"/>
    <w:rsid w:val="00065A06"/>
    <w:rsid w:val="000666F3"/>
    <w:rsid w:val="00066C79"/>
    <w:rsid w:val="000670F5"/>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3FDF"/>
    <w:rsid w:val="000E4392"/>
    <w:rsid w:val="000E620E"/>
    <w:rsid w:val="000F374A"/>
    <w:rsid w:val="000F4DAF"/>
    <w:rsid w:val="000F53C1"/>
    <w:rsid w:val="0010056A"/>
    <w:rsid w:val="00102A01"/>
    <w:rsid w:val="00105BA1"/>
    <w:rsid w:val="00105ED8"/>
    <w:rsid w:val="001066FE"/>
    <w:rsid w:val="001076AF"/>
    <w:rsid w:val="001109F6"/>
    <w:rsid w:val="00113A38"/>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51C6"/>
    <w:rsid w:val="00157CCC"/>
    <w:rsid w:val="00163031"/>
    <w:rsid w:val="001649F6"/>
    <w:rsid w:val="001654C4"/>
    <w:rsid w:val="0016701C"/>
    <w:rsid w:val="00171A90"/>
    <w:rsid w:val="00180254"/>
    <w:rsid w:val="00191E1F"/>
    <w:rsid w:val="00191EE8"/>
    <w:rsid w:val="00192943"/>
    <w:rsid w:val="00193BAF"/>
    <w:rsid w:val="00194791"/>
    <w:rsid w:val="00195DAB"/>
    <w:rsid w:val="001A206F"/>
    <w:rsid w:val="001A7406"/>
    <w:rsid w:val="001A7AE4"/>
    <w:rsid w:val="001B1EDC"/>
    <w:rsid w:val="001B4053"/>
    <w:rsid w:val="001B4FEE"/>
    <w:rsid w:val="001B51C5"/>
    <w:rsid w:val="001B672A"/>
    <w:rsid w:val="001B6F3F"/>
    <w:rsid w:val="001B76F3"/>
    <w:rsid w:val="001C13F4"/>
    <w:rsid w:val="001C52B5"/>
    <w:rsid w:val="001D0D3E"/>
    <w:rsid w:val="001D2817"/>
    <w:rsid w:val="001D2899"/>
    <w:rsid w:val="001E14A3"/>
    <w:rsid w:val="001E390F"/>
    <w:rsid w:val="001E7FF4"/>
    <w:rsid w:val="001F015F"/>
    <w:rsid w:val="001F2245"/>
    <w:rsid w:val="001F2C63"/>
    <w:rsid w:val="001F48C7"/>
    <w:rsid w:val="001F4A55"/>
    <w:rsid w:val="001F6DA1"/>
    <w:rsid w:val="00200178"/>
    <w:rsid w:val="00200190"/>
    <w:rsid w:val="00204200"/>
    <w:rsid w:val="002044E6"/>
    <w:rsid w:val="00205C82"/>
    <w:rsid w:val="00205DC2"/>
    <w:rsid w:val="00206212"/>
    <w:rsid w:val="00212B17"/>
    <w:rsid w:val="002163B6"/>
    <w:rsid w:val="00217215"/>
    <w:rsid w:val="00220732"/>
    <w:rsid w:val="0022121F"/>
    <w:rsid w:val="00221D32"/>
    <w:rsid w:val="00222AC1"/>
    <w:rsid w:val="00225C3F"/>
    <w:rsid w:val="00230CCE"/>
    <w:rsid w:val="00263D44"/>
    <w:rsid w:val="002702AD"/>
    <w:rsid w:val="00273742"/>
    <w:rsid w:val="00276E09"/>
    <w:rsid w:val="00281EB4"/>
    <w:rsid w:val="00292D82"/>
    <w:rsid w:val="00293EE7"/>
    <w:rsid w:val="002963CB"/>
    <w:rsid w:val="002B2DAC"/>
    <w:rsid w:val="002B4A01"/>
    <w:rsid w:val="002C291B"/>
    <w:rsid w:val="002C746A"/>
    <w:rsid w:val="002C7E4E"/>
    <w:rsid w:val="002D226D"/>
    <w:rsid w:val="002D67D8"/>
    <w:rsid w:val="002D74E3"/>
    <w:rsid w:val="002E3536"/>
    <w:rsid w:val="002F35AA"/>
    <w:rsid w:val="002F6030"/>
    <w:rsid w:val="003001AC"/>
    <w:rsid w:val="003037E1"/>
    <w:rsid w:val="00307E51"/>
    <w:rsid w:val="003103EC"/>
    <w:rsid w:val="00311E09"/>
    <w:rsid w:val="00312132"/>
    <w:rsid w:val="003130BA"/>
    <w:rsid w:val="003144EF"/>
    <w:rsid w:val="0031480E"/>
    <w:rsid w:val="00316877"/>
    <w:rsid w:val="00322F72"/>
    <w:rsid w:val="00322F74"/>
    <w:rsid w:val="00324BC8"/>
    <w:rsid w:val="00325E15"/>
    <w:rsid w:val="00335116"/>
    <w:rsid w:val="00340073"/>
    <w:rsid w:val="003411D8"/>
    <w:rsid w:val="00341352"/>
    <w:rsid w:val="0034192C"/>
    <w:rsid w:val="003445B0"/>
    <w:rsid w:val="00344A84"/>
    <w:rsid w:val="00353B66"/>
    <w:rsid w:val="00355934"/>
    <w:rsid w:val="00357928"/>
    <w:rsid w:val="0036010E"/>
    <w:rsid w:val="003632FD"/>
    <w:rsid w:val="00370F78"/>
    <w:rsid w:val="00372805"/>
    <w:rsid w:val="00373180"/>
    <w:rsid w:val="00373228"/>
    <w:rsid w:val="00375AB9"/>
    <w:rsid w:val="0037691E"/>
    <w:rsid w:val="003821A0"/>
    <w:rsid w:val="00384D8B"/>
    <w:rsid w:val="00385B04"/>
    <w:rsid w:val="003864CF"/>
    <w:rsid w:val="003948AE"/>
    <w:rsid w:val="003A08C0"/>
    <w:rsid w:val="003A22A6"/>
    <w:rsid w:val="003A32EB"/>
    <w:rsid w:val="003A5494"/>
    <w:rsid w:val="003B2510"/>
    <w:rsid w:val="003B4355"/>
    <w:rsid w:val="003B5D0A"/>
    <w:rsid w:val="003C2815"/>
    <w:rsid w:val="003C2CC4"/>
    <w:rsid w:val="003C3710"/>
    <w:rsid w:val="003C42A3"/>
    <w:rsid w:val="003C48F7"/>
    <w:rsid w:val="003D03B9"/>
    <w:rsid w:val="003E0463"/>
    <w:rsid w:val="003E0EFC"/>
    <w:rsid w:val="003E1869"/>
    <w:rsid w:val="003E4A2B"/>
    <w:rsid w:val="003E5BDD"/>
    <w:rsid w:val="003E6FE9"/>
    <w:rsid w:val="003E76C2"/>
    <w:rsid w:val="003F10AF"/>
    <w:rsid w:val="003F1367"/>
    <w:rsid w:val="003F1679"/>
    <w:rsid w:val="003F21EB"/>
    <w:rsid w:val="003F4A35"/>
    <w:rsid w:val="003F5F03"/>
    <w:rsid w:val="003F7FDD"/>
    <w:rsid w:val="00400E4A"/>
    <w:rsid w:val="00402101"/>
    <w:rsid w:val="00402481"/>
    <w:rsid w:val="00402978"/>
    <w:rsid w:val="004042B4"/>
    <w:rsid w:val="004050D3"/>
    <w:rsid w:val="00410DC4"/>
    <w:rsid w:val="00412DAE"/>
    <w:rsid w:val="0041302D"/>
    <w:rsid w:val="004242E6"/>
    <w:rsid w:val="00427B35"/>
    <w:rsid w:val="00431598"/>
    <w:rsid w:val="004319AD"/>
    <w:rsid w:val="00437C99"/>
    <w:rsid w:val="004426B8"/>
    <w:rsid w:val="00444432"/>
    <w:rsid w:val="00447D5C"/>
    <w:rsid w:val="00450202"/>
    <w:rsid w:val="004502B2"/>
    <w:rsid w:val="00455499"/>
    <w:rsid w:val="004649A7"/>
    <w:rsid w:val="00471860"/>
    <w:rsid w:val="00471DFE"/>
    <w:rsid w:val="00477026"/>
    <w:rsid w:val="00477730"/>
    <w:rsid w:val="00486FBF"/>
    <w:rsid w:val="00490F23"/>
    <w:rsid w:val="004A744D"/>
    <w:rsid w:val="004A7AD8"/>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27572"/>
    <w:rsid w:val="00530846"/>
    <w:rsid w:val="00532DFB"/>
    <w:rsid w:val="00541706"/>
    <w:rsid w:val="00543CB3"/>
    <w:rsid w:val="005442E4"/>
    <w:rsid w:val="00547652"/>
    <w:rsid w:val="0055075B"/>
    <w:rsid w:val="0055529B"/>
    <w:rsid w:val="00556D63"/>
    <w:rsid w:val="00556EBB"/>
    <w:rsid w:val="00560FF0"/>
    <w:rsid w:val="005614BD"/>
    <w:rsid w:val="0057154F"/>
    <w:rsid w:val="00580F69"/>
    <w:rsid w:val="00581CA3"/>
    <w:rsid w:val="00585031"/>
    <w:rsid w:val="00585064"/>
    <w:rsid w:val="00586E8B"/>
    <w:rsid w:val="00587090"/>
    <w:rsid w:val="00587A44"/>
    <w:rsid w:val="00597730"/>
    <w:rsid w:val="005977EC"/>
    <w:rsid w:val="00597DE7"/>
    <w:rsid w:val="005A1CD3"/>
    <w:rsid w:val="005A29BE"/>
    <w:rsid w:val="005A4AA2"/>
    <w:rsid w:val="005A5994"/>
    <w:rsid w:val="005B34B6"/>
    <w:rsid w:val="005B606A"/>
    <w:rsid w:val="005B6C8F"/>
    <w:rsid w:val="005B6EC3"/>
    <w:rsid w:val="005C17D7"/>
    <w:rsid w:val="005C33CE"/>
    <w:rsid w:val="005C5CAD"/>
    <w:rsid w:val="005D0F74"/>
    <w:rsid w:val="005D2E7D"/>
    <w:rsid w:val="005D3AA3"/>
    <w:rsid w:val="005D4A8F"/>
    <w:rsid w:val="005D561B"/>
    <w:rsid w:val="005D578F"/>
    <w:rsid w:val="005D5ECF"/>
    <w:rsid w:val="005E1FBD"/>
    <w:rsid w:val="005F01E3"/>
    <w:rsid w:val="005F468D"/>
    <w:rsid w:val="005F5556"/>
    <w:rsid w:val="005F5B66"/>
    <w:rsid w:val="005F69A3"/>
    <w:rsid w:val="006043B3"/>
    <w:rsid w:val="00604CC7"/>
    <w:rsid w:val="00613441"/>
    <w:rsid w:val="00615423"/>
    <w:rsid w:val="006165B2"/>
    <w:rsid w:val="00617276"/>
    <w:rsid w:val="0062527B"/>
    <w:rsid w:val="00625D97"/>
    <w:rsid w:val="00625F1C"/>
    <w:rsid w:val="0062658E"/>
    <w:rsid w:val="006279E1"/>
    <w:rsid w:val="00630CEB"/>
    <w:rsid w:val="00632264"/>
    <w:rsid w:val="006347BB"/>
    <w:rsid w:val="006355F2"/>
    <w:rsid w:val="006470BC"/>
    <w:rsid w:val="006554D3"/>
    <w:rsid w:val="006603F4"/>
    <w:rsid w:val="00660795"/>
    <w:rsid w:val="00661708"/>
    <w:rsid w:val="00666522"/>
    <w:rsid w:val="00667036"/>
    <w:rsid w:val="00667B89"/>
    <w:rsid w:val="006714D8"/>
    <w:rsid w:val="00672046"/>
    <w:rsid w:val="00673BDB"/>
    <w:rsid w:val="00674341"/>
    <w:rsid w:val="00676007"/>
    <w:rsid w:val="006771B8"/>
    <w:rsid w:val="006805FA"/>
    <w:rsid w:val="00682631"/>
    <w:rsid w:val="00683A89"/>
    <w:rsid w:val="006843B6"/>
    <w:rsid w:val="0068481F"/>
    <w:rsid w:val="00693EA1"/>
    <w:rsid w:val="0069636F"/>
    <w:rsid w:val="006967B4"/>
    <w:rsid w:val="00696F5D"/>
    <w:rsid w:val="00697249"/>
    <w:rsid w:val="006A06F3"/>
    <w:rsid w:val="006A1A67"/>
    <w:rsid w:val="006B09C4"/>
    <w:rsid w:val="006B3947"/>
    <w:rsid w:val="006B4293"/>
    <w:rsid w:val="006B624F"/>
    <w:rsid w:val="006C0C95"/>
    <w:rsid w:val="006C1DF0"/>
    <w:rsid w:val="006C31E3"/>
    <w:rsid w:val="006D18D3"/>
    <w:rsid w:val="006D1EE9"/>
    <w:rsid w:val="006D2BC2"/>
    <w:rsid w:val="006D339D"/>
    <w:rsid w:val="006D3BD1"/>
    <w:rsid w:val="006E010E"/>
    <w:rsid w:val="006E08CB"/>
    <w:rsid w:val="006E598D"/>
    <w:rsid w:val="006E6EB7"/>
    <w:rsid w:val="006F1E68"/>
    <w:rsid w:val="0070437D"/>
    <w:rsid w:val="00704CF1"/>
    <w:rsid w:val="00704F81"/>
    <w:rsid w:val="00705B04"/>
    <w:rsid w:val="0071040E"/>
    <w:rsid w:val="00717EE9"/>
    <w:rsid w:val="00724992"/>
    <w:rsid w:val="00724F64"/>
    <w:rsid w:val="00727F90"/>
    <w:rsid w:val="007343E8"/>
    <w:rsid w:val="00734820"/>
    <w:rsid w:val="007349DC"/>
    <w:rsid w:val="0074365E"/>
    <w:rsid w:val="00744B55"/>
    <w:rsid w:val="00745CF7"/>
    <w:rsid w:val="00751131"/>
    <w:rsid w:val="007515FD"/>
    <w:rsid w:val="00753AB2"/>
    <w:rsid w:val="00760D80"/>
    <w:rsid w:val="00761CB4"/>
    <w:rsid w:val="0077352D"/>
    <w:rsid w:val="007746A2"/>
    <w:rsid w:val="00780C09"/>
    <w:rsid w:val="00780DDF"/>
    <w:rsid w:val="007834E9"/>
    <w:rsid w:val="00787DBC"/>
    <w:rsid w:val="0079019A"/>
    <w:rsid w:val="00790D53"/>
    <w:rsid w:val="00791243"/>
    <w:rsid w:val="00791C84"/>
    <w:rsid w:val="00792935"/>
    <w:rsid w:val="007A04A1"/>
    <w:rsid w:val="007A1840"/>
    <w:rsid w:val="007A41DD"/>
    <w:rsid w:val="007B2C2A"/>
    <w:rsid w:val="007B730C"/>
    <w:rsid w:val="007C0528"/>
    <w:rsid w:val="007C08EA"/>
    <w:rsid w:val="007C3D38"/>
    <w:rsid w:val="007D0F35"/>
    <w:rsid w:val="007D1783"/>
    <w:rsid w:val="007D402B"/>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4B4C"/>
    <w:rsid w:val="00855D08"/>
    <w:rsid w:val="008618A4"/>
    <w:rsid w:val="008731AB"/>
    <w:rsid w:val="00874344"/>
    <w:rsid w:val="0087505D"/>
    <w:rsid w:val="00875D4B"/>
    <w:rsid w:val="00877703"/>
    <w:rsid w:val="00882155"/>
    <w:rsid w:val="0088233B"/>
    <w:rsid w:val="0088599E"/>
    <w:rsid w:val="00886C37"/>
    <w:rsid w:val="008915FC"/>
    <w:rsid w:val="00892D99"/>
    <w:rsid w:val="00893315"/>
    <w:rsid w:val="00894C09"/>
    <w:rsid w:val="008B275D"/>
    <w:rsid w:val="008B5C68"/>
    <w:rsid w:val="008B62AE"/>
    <w:rsid w:val="008B69B5"/>
    <w:rsid w:val="008C04B5"/>
    <w:rsid w:val="008C14FA"/>
    <w:rsid w:val="008C7B0B"/>
    <w:rsid w:val="008D4057"/>
    <w:rsid w:val="008E1F19"/>
    <w:rsid w:val="008F2262"/>
    <w:rsid w:val="008F4D2B"/>
    <w:rsid w:val="008F5B91"/>
    <w:rsid w:val="008F6D9C"/>
    <w:rsid w:val="008F7736"/>
    <w:rsid w:val="0090019E"/>
    <w:rsid w:val="009002DB"/>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15BB"/>
    <w:rsid w:val="00933C83"/>
    <w:rsid w:val="0093658B"/>
    <w:rsid w:val="009429FF"/>
    <w:rsid w:val="009444D1"/>
    <w:rsid w:val="00945BD6"/>
    <w:rsid w:val="009479FB"/>
    <w:rsid w:val="00951C45"/>
    <w:rsid w:val="00951DD8"/>
    <w:rsid w:val="00952197"/>
    <w:rsid w:val="0096053F"/>
    <w:rsid w:val="009656F2"/>
    <w:rsid w:val="00966A08"/>
    <w:rsid w:val="009701B7"/>
    <w:rsid w:val="00971207"/>
    <w:rsid w:val="009715FD"/>
    <w:rsid w:val="00972FDC"/>
    <w:rsid w:val="00975CB4"/>
    <w:rsid w:val="009863B0"/>
    <w:rsid w:val="00987DE1"/>
    <w:rsid w:val="00990571"/>
    <w:rsid w:val="00991905"/>
    <w:rsid w:val="009926B2"/>
    <w:rsid w:val="0099673A"/>
    <w:rsid w:val="009A3291"/>
    <w:rsid w:val="009A3330"/>
    <w:rsid w:val="009A548F"/>
    <w:rsid w:val="009A7C96"/>
    <w:rsid w:val="009B053D"/>
    <w:rsid w:val="009B30A7"/>
    <w:rsid w:val="009B483E"/>
    <w:rsid w:val="009B61BF"/>
    <w:rsid w:val="009C3253"/>
    <w:rsid w:val="009C3DB9"/>
    <w:rsid w:val="009C5968"/>
    <w:rsid w:val="009D0436"/>
    <w:rsid w:val="009D46E5"/>
    <w:rsid w:val="009D568A"/>
    <w:rsid w:val="009E13FE"/>
    <w:rsid w:val="009E41EC"/>
    <w:rsid w:val="009E7956"/>
    <w:rsid w:val="009F04EC"/>
    <w:rsid w:val="009F2A7C"/>
    <w:rsid w:val="009F3B36"/>
    <w:rsid w:val="00A019B9"/>
    <w:rsid w:val="00A01CF7"/>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442F"/>
    <w:rsid w:val="00A54AD8"/>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D7C3D"/>
    <w:rsid w:val="00AE03F0"/>
    <w:rsid w:val="00AE1C64"/>
    <w:rsid w:val="00AE2EAB"/>
    <w:rsid w:val="00AE67AF"/>
    <w:rsid w:val="00AF13D0"/>
    <w:rsid w:val="00AF3D9B"/>
    <w:rsid w:val="00AF5E0E"/>
    <w:rsid w:val="00AF5F89"/>
    <w:rsid w:val="00AF6FB4"/>
    <w:rsid w:val="00AF73CB"/>
    <w:rsid w:val="00AF75D7"/>
    <w:rsid w:val="00B002D6"/>
    <w:rsid w:val="00B02EF0"/>
    <w:rsid w:val="00B03379"/>
    <w:rsid w:val="00B03FA5"/>
    <w:rsid w:val="00B04110"/>
    <w:rsid w:val="00B0491B"/>
    <w:rsid w:val="00B05B51"/>
    <w:rsid w:val="00B14E5A"/>
    <w:rsid w:val="00B15370"/>
    <w:rsid w:val="00B16DA4"/>
    <w:rsid w:val="00B17BEB"/>
    <w:rsid w:val="00B21A3C"/>
    <w:rsid w:val="00B223C0"/>
    <w:rsid w:val="00B234ED"/>
    <w:rsid w:val="00B249B2"/>
    <w:rsid w:val="00B24BEC"/>
    <w:rsid w:val="00B25CA3"/>
    <w:rsid w:val="00B2703C"/>
    <w:rsid w:val="00B2765A"/>
    <w:rsid w:val="00B27DEB"/>
    <w:rsid w:val="00B3109A"/>
    <w:rsid w:val="00B32D37"/>
    <w:rsid w:val="00B410D6"/>
    <w:rsid w:val="00B41AA8"/>
    <w:rsid w:val="00B42B45"/>
    <w:rsid w:val="00B516ED"/>
    <w:rsid w:val="00B565DA"/>
    <w:rsid w:val="00B57A6A"/>
    <w:rsid w:val="00B62D0D"/>
    <w:rsid w:val="00B760F1"/>
    <w:rsid w:val="00B7669E"/>
    <w:rsid w:val="00B76EBB"/>
    <w:rsid w:val="00B77467"/>
    <w:rsid w:val="00B77DA1"/>
    <w:rsid w:val="00B822A0"/>
    <w:rsid w:val="00B82F85"/>
    <w:rsid w:val="00B85258"/>
    <w:rsid w:val="00B858AE"/>
    <w:rsid w:val="00B85964"/>
    <w:rsid w:val="00B92620"/>
    <w:rsid w:val="00B96250"/>
    <w:rsid w:val="00BA0D55"/>
    <w:rsid w:val="00BA37B3"/>
    <w:rsid w:val="00BA4CC6"/>
    <w:rsid w:val="00BA7F46"/>
    <w:rsid w:val="00BB08AE"/>
    <w:rsid w:val="00BB0F1D"/>
    <w:rsid w:val="00BB3493"/>
    <w:rsid w:val="00BB6E4C"/>
    <w:rsid w:val="00BB7468"/>
    <w:rsid w:val="00BC0514"/>
    <w:rsid w:val="00BC188A"/>
    <w:rsid w:val="00BC286C"/>
    <w:rsid w:val="00BC2CF5"/>
    <w:rsid w:val="00BC3B87"/>
    <w:rsid w:val="00BC402E"/>
    <w:rsid w:val="00BC70C6"/>
    <w:rsid w:val="00BD0F48"/>
    <w:rsid w:val="00BD14E5"/>
    <w:rsid w:val="00BD2F88"/>
    <w:rsid w:val="00BE0E50"/>
    <w:rsid w:val="00BE6DDB"/>
    <w:rsid w:val="00BE6FDA"/>
    <w:rsid w:val="00BF03E0"/>
    <w:rsid w:val="00BF5010"/>
    <w:rsid w:val="00C0237E"/>
    <w:rsid w:val="00C03009"/>
    <w:rsid w:val="00C0361C"/>
    <w:rsid w:val="00C03D5F"/>
    <w:rsid w:val="00C13791"/>
    <w:rsid w:val="00C210BD"/>
    <w:rsid w:val="00C228E0"/>
    <w:rsid w:val="00C2575A"/>
    <w:rsid w:val="00C31BB3"/>
    <w:rsid w:val="00C36977"/>
    <w:rsid w:val="00C44F92"/>
    <w:rsid w:val="00C46628"/>
    <w:rsid w:val="00C467DA"/>
    <w:rsid w:val="00C477D9"/>
    <w:rsid w:val="00C530DF"/>
    <w:rsid w:val="00C57869"/>
    <w:rsid w:val="00C6097E"/>
    <w:rsid w:val="00C60BA3"/>
    <w:rsid w:val="00C623F7"/>
    <w:rsid w:val="00C6297D"/>
    <w:rsid w:val="00C62A81"/>
    <w:rsid w:val="00C63A98"/>
    <w:rsid w:val="00C67CD7"/>
    <w:rsid w:val="00C71E00"/>
    <w:rsid w:val="00C75BC5"/>
    <w:rsid w:val="00C81058"/>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777"/>
    <w:rsid w:val="00CB33E9"/>
    <w:rsid w:val="00CB501A"/>
    <w:rsid w:val="00CB5E08"/>
    <w:rsid w:val="00CC10A9"/>
    <w:rsid w:val="00CC4741"/>
    <w:rsid w:val="00CD0655"/>
    <w:rsid w:val="00CD0660"/>
    <w:rsid w:val="00CD416E"/>
    <w:rsid w:val="00CE0112"/>
    <w:rsid w:val="00CE2BF8"/>
    <w:rsid w:val="00CE484E"/>
    <w:rsid w:val="00CE4D20"/>
    <w:rsid w:val="00CE4D6E"/>
    <w:rsid w:val="00CE656F"/>
    <w:rsid w:val="00CE67D0"/>
    <w:rsid w:val="00CE6A0B"/>
    <w:rsid w:val="00CF0DA8"/>
    <w:rsid w:val="00CF2E25"/>
    <w:rsid w:val="00CF4453"/>
    <w:rsid w:val="00CF5589"/>
    <w:rsid w:val="00CF5D94"/>
    <w:rsid w:val="00CF7E0F"/>
    <w:rsid w:val="00D00893"/>
    <w:rsid w:val="00D034D7"/>
    <w:rsid w:val="00D04BE4"/>
    <w:rsid w:val="00D06FC7"/>
    <w:rsid w:val="00D12565"/>
    <w:rsid w:val="00D12D60"/>
    <w:rsid w:val="00D140C1"/>
    <w:rsid w:val="00D14127"/>
    <w:rsid w:val="00D26724"/>
    <w:rsid w:val="00D34406"/>
    <w:rsid w:val="00D43770"/>
    <w:rsid w:val="00D479AE"/>
    <w:rsid w:val="00D503ED"/>
    <w:rsid w:val="00D50FCD"/>
    <w:rsid w:val="00D533E3"/>
    <w:rsid w:val="00D56EF3"/>
    <w:rsid w:val="00D60B16"/>
    <w:rsid w:val="00D60F02"/>
    <w:rsid w:val="00D64A0B"/>
    <w:rsid w:val="00D66E49"/>
    <w:rsid w:val="00D70C71"/>
    <w:rsid w:val="00D70D71"/>
    <w:rsid w:val="00D71D49"/>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11197"/>
    <w:rsid w:val="00E115C7"/>
    <w:rsid w:val="00E12D59"/>
    <w:rsid w:val="00E20A7D"/>
    <w:rsid w:val="00E2121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2D64"/>
    <w:rsid w:val="00E838B0"/>
    <w:rsid w:val="00E86A7C"/>
    <w:rsid w:val="00E878E1"/>
    <w:rsid w:val="00E87F2C"/>
    <w:rsid w:val="00E95278"/>
    <w:rsid w:val="00E9584A"/>
    <w:rsid w:val="00E96A42"/>
    <w:rsid w:val="00EA2273"/>
    <w:rsid w:val="00EA7C3C"/>
    <w:rsid w:val="00EB2DB3"/>
    <w:rsid w:val="00EC02EB"/>
    <w:rsid w:val="00EC3FBB"/>
    <w:rsid w:val="00EC6B7A"/>
    <w:rsid w:val="00ED3A87"/>
    <w:rsid w:val="00ED5B67"/>
    <w:rsid w:val="00EE1A5C"/>
    <w:rsid w:val="00EE462A"/>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5FF1"/>
    <w:rsid w:val="00F45CB2"/>
    <w:rsid w:val="00F511F3"/>
    <w:rsid w:val="00F544C0"/>
    <w:rsid w:val="00F549B8"/>
    <w:rsid w:val="00F55332"/>
    <w:rsid w:val="00F6156E"/>
    <w:rsid w:val="00F6504A"/>
    <w:rsid w:val="00F65519"/>
    <w:rsid w:val="00F66D9F"/>
    <w:rsid w:val="00F713C0"/>
    <w:rsid w:val="00F71A5F"/>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736"/>
    <w:rsid w:val="00FE2FF8"/>
    <w:rsid w:val="00FE59EC"/>
    <w:rsid w:val="00FE5B67"/>
    <w:rsid w:val="00FE60D6"/>
    <w:rsid w:val="00FF1CC9"/>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F7C273"/>
  <w15:docId w15:val="{0313C38B-BA10-4A8A-9ED2-74068F65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04539B"/>
  </w:style>
  <w:style w:type="character" w:styleId="FootnoteReference">
    <w:name w:val="footnote reference"/>
    <w:basedOn w:val="DefaultParagraphFont"/>
    <w:semiHidden/>
    <w:unhideWhenUsed/>
    <w:rsid w:val="0004539B"/>
    <w:rPr>
      <w:vertAlign w:val="superscript"/>
    </w:rPr>
  </w:style>
  <w:style w:type="character" w:styleId="CommentReference">
    <w:name w:val="annotation reference"/>
    <w:basedOn w:val="DefaultParagraphFont"/>
    <w:semiHidden/>
    <w:unhideWhenUsed/>
    <w:rsid w:val="00CB50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1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A5BB5-620B-466F-81FF-3783E2E6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1616</Words>
  <Characters>9588</Characters>
  <Application>Microsoft Office Word</Application>
  <DocSecurity>0</DocSecurity>
  <Lines>299</Lines>
  <Paragraphs>160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Adam Teitzman</cp:lastModifiedBy>
  <cp:revision>3</cp:revision>
  <cp:lastPrinted>2025-11-13T12:56:00Z</cp:lastPrinted>
  <dcterms:created xsi:type="dcterms:W3CDTF">2025-11-18T14:15:00Z</dcterms:created>
  <dcterms:modified xsi:type="dcterms:W3CDTF">2025-11-19T15:40:00Z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20250109-GU</vt:lpwstr>
  </property>
  <property fmtid="{D5CDD505-2E9C-101B-9397-08002B2CF9AE}" pid="3" name="MasterDocument">
    <vt:bool>false</vt:bool>
  </property>
</Properties>
</file>