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547A5">
            <w:pPr>
              <w:pStyle w:val="MemoHeading"/>
            </w:pPr>
            <w:bookmarkStart w:id="1" w:name="FilingDate"/>
            <w:r>
              <w:t>November 18</w:t>
            </w:r>
            <w:r w:rsidR="00441498">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41498" w:rsidRDefault="00441498">
            <w:pPr>
              <w:pStyle w:val="MemoHeading"/>
            </w:pPr>
            <w:bookmarkStart w:id="2" w:name="From"/>
            <w:r>
              <w:t>Division of Economics (P. Kelley)</w:t>
            </w:r>
          </w:p>
          <w:p w:rsidR="007C0528" w:rsidRDefault="00441498">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41498">
            <w:pPr>
              <w:pStyle w:val="MemoHeadingRe"/>
            </w:pPr>
            <w:bookmarkStart w:id="3" w:name="Re"/>
            <w:r>
              <w:t>Docket No. 20250111-GU – Petition for approval of safety, access, and facility enhancement program true-up and 2026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41498">
            <w:pPr>
              <w:pStyle w:val="MemoHeading"/>
            </w:pPr>
            <w:bookmarkStart w:id="4" w:name="AgendaDate"/>
            <w:r>
              <w:t>12/02/25</w:t>
            </w:r>
            <w:bookmarkEnd w:id="4"/>
            <w:r w:rsidR="007C0528">
              <w:t xml:space="preserve"> – </w:t>
            </w:r>
            <w:bookmarkStart w:id="5" w:name="PermittedStatus"/>
            <w:r>
              <w:t>Regular Agenda –</w:t>
            </w:r>
            <w:r w:rsidR="00F547A5">
              <w:t xml:space="preserve"> Tariff Filing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4149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4149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B2003">
            <w:pPr>
              <w:pStyle w:val="MemoHeading"/>
            </w:pPr>
            <w:bookmarkStart w:id="9" w:name="CriticalDates"/>
            <w:r>
              <w:t>05/03</w:t>
            </w:r>
            <w:r w:rsidR="00441498">
              <w:t>/26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4149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547A5" w:rsidRDefault="00F547A5" w:rsidP="00F547A5">
      <w:pPr>
        <w:autoSpaceDE w:val="0"/>
        <w:autoSpaceDN w:val="0"/>
        <w:adjustRightInd w:val="0"/>
        <w:jc w:val="both"/>
        <w:rPr>
          <w:color w:val="232323"/>
        </w:rPr>
      </w:pPr>
      <w:r>
        <w:t xml:space="preserve">On September 3, 2025, </w:t>
      </w:r>
      <w:r w:rsidRPr="00A40595">
        <w:rPr>
          <w:color w:val="232323"/>
        </w:rPr>
        <w:t xml:space="preserve">Florida City Gas (FCG or </w:t>
      </w:r>
      <w:r w:rsidRPr="00A40595">
        <w:rPr>
          <w:color w:val="0B0B0B"/>
        </w:rPr>
        <w:t xml:space="preserve">utility) filed </w:t>
      </w:r>
      <w:r w:rsidRPr="00A40595">
        <w:rPr>
          <w:color w:val="232323"/>
        </w:rPr>
        <w:t xml:space="preserve">a </w:t>
      </w:r>
      <w:r w:rsidRPr="00A40595">
        <w:rPr>
          <w:color w:val="0B0B0B"/>
        </w:rPr>
        <w:t xml:space="preserve">petition </w:t>
      </w:r>
      <w:r>
        <w:rPr>
          <w:color w:val="232323"/>
        </w:rPr>
        <w:t xml:space="preserve">for approval of its safety, </w:t>
      </w:r>
      <w:r w:rsidRPr="00A40595">
        <w:rPr>
          <w:color w:val="3A3A3A"/>
        </w:rPr>
        <w:t xml:space="preserve">access, </w:t>
      </w:r>
      <w:r>
        <w:rPr>
          <w:color w:val="232323"/>
        </w:rPr>
        <w:t>and facility enhancement</w:t>
      </w:r>
      <w:r w:rsidRPr="00A40595">
        <w:rPr>
          <w:color w:val="0B0B0B"/>
        </w:rPr>
        <w:t xml:space="preserve"> </w:t>
      </w:r>
      <w:r w:rsidRPr="00A40595">
        <w:rPr>
          <w:color w:val="232323"/>
        </w:rPr>
        <w:t xml:space="preserve">(SAFE) </w:t>
      </w:r>
      <w:r>
        <w:rPr>
          <w:color w:val="232323"/>
        </w:rPr>
        <w:t xml:space="preserve">program </w:t>
      </w:r>
      <w:r w:rsidRPr="00A40595">
        <w:rPr>
          <w:color w:val="0B0B0B"/>
        </w:rPr>
        <w:t xml:space="preserve">true-up </w:t>
      </w:r>
      <w:r w:rsidRPr="00A40595">
        <w:rPr>
          <w:color w:val="3A3A3A"/>
        </w:rPr>
        <w:t>a</w:t>
      </w:r>
      <w:r w:rsidRPr="00A40595">
        <w:rPr>
          <w:color w:val="0B0B0B"/>
        </w:rPr>
        <w:t xml:space="preserve">nd </w:t>
      </w:r>
      <w:r>
        <w:rPr>
          <w:color w:val="232323"/>
        </w:rPr>
        <w:t>2026</w:t>
      </w:r>
      <w:r w:rsidRPr="00A40595">
        <w:rPr>
          <w:color w:val="232323"/>
        </w:rPr>
        <w:t xml:space="preserve"> cost </w:t>
      </w:r>
      <w:r w:rsidRPr="00A40595">
        <w:rPr>
          <w:color w:val="0B0B0B"/>
        </w:rPr>
        <w:t xml:space="preserve">recovery </w:t>
      </w:r>
      <w:r w:rsidRPr="00A40595">
        <w:rPr>
          <w:color w:val="232323"/>
        </w:rPr>
        <w:t>factors</w:t>
      </w:r>
      <w:r>
        <w:rPr>
          <w:color w:val="232323"/>
        </w:rPr>
        <w:t xml:space="preserve">. The </w:t>
      </w:r>
      <w:r w:rsidRPr="00A40595">
        <w:rPr>
          <w:color w:val="232323"/>
        </w:rPr>
        <w:t xml:space="preserve">SAFE </w:t>
      </w:r>
      <w:r w:rsidRPr="00A40595">
        <w:rPr>
          <w:color w:val="0B0B0B"/>
        </w:rPr>
        <w:t>pro</w:t>
      </w:r>
      <w:r w:rsidRPr="00A40595">
        <w:rPr>
          <w:color w:val="3A3A3A"/>
        </w:rPr>
        <w:t>gra</w:t>
      </w:r>
      <w:r w:rsidRPr="00A40595">
        <w:rPr>
          <w:color w:val="0B0B0B"/>
        </w:rPr>
        <w:t xml:space="preserve">m </w:t>
      </w:r>
      <w:r w:rsidRPr="00A40595">
        <w:rPr>
          <w:color w:val="232323"/>
        </w:rPr>
        <w:t xml:space="preserve">was originally approved </w:t>
      </w:r>
      <w:r w:rsidRPr="00A40595">
        <w:rPr>
          <w:color w:val="0B0B0B"/>
        </w:rPr>
        <w:t xml:space="preserve">by the </w:t>
      </w:r>
      <w:r w:rsidRPr="00A40595">
        <w:rPr>
          <w:color w:val="232323"/>
        </w:rPr>
        <w:t xml:space="preserve">Commission </w:t>
      </w:r>
      <w:r w:rsidR="00D2324C">
        <w:rPr>
          <w:color w:val="0B0B0B"/>
        </w:rPr>
        <w:t xml:space="preserve">by </w:t>
      </w:r>
      <w:r w:rsidRPr="00A40595">
        <w:rPr>
          <w:color w:val="232323"/>
        </w:rPr>
        <w:t>Order No</w:t>
      </w:r>
      <w:r w:rsidRPr="00A40595">
        <w:rPr>
          <w:color w:val="4A494D"/>
        </w:rPr>
        <w:t xml:space="preserve">. </w:t>
      </w:r>
      <w:r w:rsidRPr="00A40595">
        <w:rPr>
          <w:color w:val="0B0B0B"/>
        </w:rPr>
        <w:t>PSC-15-0390-TRF-GU</w:t>
      </w:r>
      <w:r>
        <w:rPr>
          <w:color w:val="232323"/>
        </w:rPr>
        <w:t xml:space="preserve"> (2015 O</w:t>
      </w:r>
      <w:r w:rsidRPr="00A40595">
        <w:rPr>
          <w:color w:val="232323"/>
        </w:rPr>
        <w:t xml:space="preserve">rder) </w:t>
      </w:r>
      <w:r w:rsidRPr="00A40595">
        <w:rPr>
          <w:color w:val="0B0B0B"/>
        </w:rPr>
        <w:t xml:space="preserve">to recover the </w:t>
      </w:r>
      <w:r w:rsidRPr="00A40595">
        <w:rPr>
          <w:color w:val="232323"/>
        </w:rPr>
        <w:t xml:space="preserve">cost of </w:t>
      </w:r>
      <w:r w:rsidRPr="00A40595">
        <w:rPr>
          <w:color w:val="0B0B0B"/>
        </w:rPr>
        <w:t xml:space="preserve">relocating </w:t>
      </w:r>
      <w:r w:rsidRPr="00A40595">
        <w:rPr>
          <w:color w:val="232323"/>
        </w:rPr>
        <w:t xml:space="preserve">on an expedited </w:t>
      </w:r>
      <w:r w:rsidRPr="00A40595">
        <w:rPr>
          <w:color w:val="0B0B0B"/>
        </w:rPr>
        <w:t>basi</w:t>
      </w:r>
      <w:r w:rsidRPr="00A40595">
        <w:rPr>
          <w:color w:val="3A3A3A"/>
        </w:rPr>
        <w:t xml:space="preserve">s </w:t>
      </w:r>
      <w:r w:rsidRPr="00A40595">
        <w:rPr>
          <w:color w:val="232323"/>
        </w:rPr>
        <w:t xml:space="preserve">certain existing </w:t>
      </w:r>
      <w:r w:rsidRPr="00A40595">
        <w:rPr>
          <w:color w:val="3A3A3A"/>
        </w:rPr>
        <w:t xml:space="preserve">gas </w:t>
      </w:r>
      <w:r w:rsidRPr="00A40595">
        <w:rPr>
          <w:color w:val="0B0B0B"/>
        </w:rPr>
        <w:t>m</w:t>
      </w:r>
      <w:r w:rsidRPr="00A40595">
        <w:rPr>
          <w:color w:val="3A3A3A"/>
        </w:rPr>
        <w:t>a</w:t>
      </w:r>
      <w:r w:rsidRPr="00A40595">
        <w:rPr>
          <w:color w:val="0B0B0B"/>
        </w:rPr>
        <w:t>ins</w:t>
      </w:r>
      <w:r>
        <w:rPr>
          <w:color w:val="232323"/>
        </w:rPr>
        <w:t xml:space="preserve"> </w:t>
      </w:r>
      <w:r w:rsidRPr="00A40595">
        <w:rPr>
          <w:color w:val="232323"/>
        </w:rPr>
        <w:t xml:space="preserve">and associated facilities </w:t>
      </w:r>
      <w:r w:rsidRPr="00A40595">
        <w:rPr>
          <w:color w:val="0B0B0B"/>
        </w:rPr>
        <w:t xml:space="preserve">from rear lot </w:t>
      </w:r>
      <w:r w:rsidRPr="00A40595">
        <w:rPr>
          <w:color w:val="232323"/>
        </w:rPr>
        <w:t xml:space="preserve">easements </w:t>
      </w:r>
      <w:r w:rsidRPr="00A40595">
        <w:rPr>
          <w:color w:val="0B0B0B"/>
        </w:rPr>
        <w:t xml:space="preserve">to the </w:t>
      </w:r>
      <w:r w:rsidRPr="00A40595">
        <w:rPr>
          <w:color w:val="232323"/>
        </w:rPr>
        <w:t xml:space="preserve">street </w:t>
      </w:r>
      <w:r w:rsidRPr="00A40595">
        <w:rPr>
          <w:color w:val="0B0B0B"/>
        </w:rPr>
        <w:t>front</w:t>
      </w:r>
      <w:r>
        <w:rPr>
          <w:color w:val="0B0B0B"/>
        </w:rPr>
        <w:t>.</w:t>
      </w:r>
      <w:r>
        <w:rPr>
          <w:rStyle w:val="FootnoteReference"/>
          <w:color w:val="0B0B0B"/>
        </w:rPr>
        <w:footnoteReference w:id="1"/>
      </w:r>
      <w:r>
        <w:rPr>
          <w:color w:val="0B0B0B"/>
        </w:rPr>
        <w:t xml:space="preserve"> </w:t>
      </w:r>
      <w:r w:rsidRPr="00A40595">
        <w:rPr>
          <w:color w:val="0B0B0B"/>
        </w:rPr>
        <w:t xml:space="preserve">In the </w:t>
      </w:r>
      <w:r>
        <w:rPr>
          <w:color w:val="232323"/>
        </w:rPr>
        <w:t>2015 O</w:t>
      </w:r>
      <w:r w:rsidRPr="00A40595">
        <w:rPr>
          <w:color w:val="232323"/>
        </w:rPr>
        <w:t xml:space="preserve">rder, </w:t>
      </w:r>
      <w:r w:rsidRPr="00A40595">
        <w:rPr>
          <w:color w:val="0B0B0B"/>
        </w:rPr>
        <w:t>the</w:t>
      </w:r>
      <w:r>
        <w:rPr>
          <w:color w:val="232323"/>
        </w:rPr>
        <w:t xml:space="preserve"> </w:t>
      </w:r>
      <w:r w:rsidRPr="00A40595">
        <w:rPr>
          <w:color w:val="232323"/>
        </w:rPr>
        <w:t xml:space="preserve">Commission found </w:t>
      </w:r>
      <w:r w:rsidRPr="00A40595">
        <w:rPr>
          <w:color w:val="0B0B0B"/>
        </w:rPr>
        <w:t xml:space="preserve">that the relocation </w:t>
      </w:r>
      <w:r w:rsidRPr="00A40595">
        <w:rPr>
          <w:color w:val="232323"/>
        </w:rPr>
        <w:t xml:space="preserve">of </w:t>
      </w:r>
      <w:r w:rsidRPr="00A40595">
        <w:rPr>
          <w:color w:val="0B0B0B"/>
        </w:rPr>
        <w:t xml:space="preserve">mains </w:t>
      </w:r>
      <w:r w:rsidRPr="00A40595">
        <w:rPr>
          <w:color w:val="232323"/>
        </w:rPr>
        <w:t xml:space="preserve">and services </w:t>
      </w:r>
      <w:r w:rsidRPr="00A40595">
        <w:rPr>
          <w:color w:val="0B0B0B"/>
        </w:rPr>
        <w:t xml:space="preserve">to the </w:t>
      </w:r>
      <w:r w:rsidRPr="00A40595">
        <w:rPr>
          <w:color w:val="232323"/>
        </w:rPr>
        <w:t xml:space="preserve">street </w:t>
      </w:r>
      <w:r w:rsidRPr="00A40595">
        <w:rPr>
          <w:color w:val="0B0B0B"/>
        </w:rPr>
        <w:t xml:space="preserve">front </w:t>
      </w:r>
      <w:r w:rsidRPr="00A40595">
        <w:rPr>
          <w:color w:val="232323"/>
        </w:rPr>
        <w:t xml:space="preserve">provides for </w:t>
      </w:r>
      <w:r w:rsidRPr="00A40595">
        <w:rPr>
          <w:color w:val="0B0B0B"/>
        </w:rPr>
        <w:t>more</w:t>
      </w:r>
      <w:r>
        <w:rPr>
          <w:color w:val="232323"/>
        </w:rPr>
        <w:t xml:space="preserve"> </w:t>
      </w:r>
      <w:r w:rsidRPr="00A40595">
        <w:rPr>
          <w:color w:val="0B0B0B"/>
        </w:rPr>
        <w:t xml:space="preserve">direct </w:t>
      </w:r>
      <w:r w:rsidRPr="00A40595">
        <w:rPr>
          <w:color w:val="232323"/>
        </w:rPr>
        <w:t xml:space="preserve">access </w:t>
      </w:r>
      <w:r w:rsidRPr="00A40595">
        <w:rPr>
          <w:color w:val="0B0B0B"/>
        </w:rPr>
        <w:t xml:space="preserve">to the </w:t>
      </w:r>
      <w:r w:rsidRPr="00A40595">
        <w:rPr>
          <w:color w:val="232323"/>
        </w:rPr>
        <w:t xml:space="preserve">facilities and will enhance </w:t>
      </w:r>
      <w:r w:rsidRPr="00A40595">
        <w:rPr>
          <w:color w:val="0B0B0B"/>
        </w:rPr>
        <w:t xml:space="preserve">the level </w:t>
      </w:r>
      <w:r w:rsidRPr="00A40595">
        <w:rPr>
          <w:color w:val="232323"/>
        </w:rPr>
        <w:t xml:space="preserve">of service </w:t>
      </w:r>
      <w:r w:rsidRPr="00A40595">
        <w:rPr>
          <w:color w:val="0B0B0B"/>
        </w:rPr>
        <w:t xml:space="preserve">provided to </w:t>
      </w:r>
      <w:r>
        <w:rPr>
          <w:color w:val="232323"/>
        </w:rPr>
        <w:t xml:space="preserve">all customers </w:t>
      </w:r>
      <w:r w:rsidRPr="00A40595">
        <w:rPr>
          <w:color w:val="0B0B0B"/>
        </w:rPr>
        <w:t>throu</w:t>
      </w:r>
      <w:r w:rsidRPr="00A40595">
        <w:rPr>
          <w:color w:val="3A3A3A"/>
        </w:rPr>
        <w:t>g</w:t>
      </w:r>
      <w:r w:rsidRPr="00A40595">
        <w:rPr>
          <w:color w:val="0B0B0B"/>
        </w:rPr>
        <w:t xml:space="preserve">h improved </w:t>
      </w:r>
      <w:r w:rsidRPr="00A40595">
        <w:rPr>
          <w:color w:val="3A3A3A"/>
        </w:rPr>
        <w:t>safe</w:t>
      </w:r>
      <w:r w:rsidRPr="00A40595">
        <w:rPr>
          <w:color w:val="0B0B0B"/>
        </w:rPr>
        <w:t xml:space="preserve">ty </w:t>
      </w:r>
      <w:r w:rsidRPr="00A40595">
        <w:rPr>
          <w:color w:val="3A3A3A"/>
        </w:rPr>
        <w:t>a</w:t>
      </w:r>
      <w:r w:rsidRPr="00A40595">
        <w:rPr>
          <w:color w:val="0B0B0B"/>
        </w:rPr>
        <w:t>nd reliability</w:t>
      </w:r>
      <w:r w:rsidRPr="00A40595">
        <w:rPr>
          <w:color w:val="4A494D"/>
        </w:rPr>
        <w:t xml:space="preserve">. </w:t>
      </w:r>
      <w:r w:rsidRPr="00A40595">
        <w:rPr>
          <w:color w:val="232323"/>
        </w:rPr>
        <w:t xml:space="preserve">The SAFE factor </w:t>
      </w:r>
      <w:r w:rsidRPr="00A40595">
        <w:rPr>
          <w:color w:val="0B0B0B"/>
        </w:rPr>
        <w:t>i</w:t>
      </w:r>
      <w:r w:rsidRPr="00A40595">
        <w:rPr>
          <w:color w:val="3A3A3A"/>
        </w:rPr>
        <w:t xml:space="preserve">s </w:t>
      </w:r>
      <w:r w:rsidRPr="00A40595">
        <w:rPr>
          <w:color w:val="232323"/>
        </w:rPr>
        <w:t xml:space="preserve">a </w:t>
      </w:r>
      <w:r>
        <w:rPr>
          <w:color w:val="232323"/>
        </w:rPr>
        <w:t xml:space="preserve">fixed </w:t>
      </w:r>
      <w:r w:rsidRPr="00A40595">
        <w:rPr>
          <w:color w:val="3A3A3A"/>
        </w:rPr>
        <w:t>s</w:t>
      </w:r>
      <w:r w:rsidRPr="00A40595">
        <w:rPr>
          <w:color w:val="0B0B0B"/>
        </w:rPr>
        <w:t>urch</w:t>
      </w:r>
      <w:r w:rsidRPr="00A40595">
        <w:rPr>
          <w:color w:val="3A3A3A"/>
        </w:rPr>
        <w:t>a</w:t>
      </w:r>
      <w:r w:rsidRPr="00A40595">
        <w:rPr>
          <w:color w:val="0B0B0B"/>
        </w:rPr>
        <w:t xml:space="preserve">rge </w:t>
      </w:r>
      <w:r w:rsidRPr="00A40595">
        <w:rPr>
          <w:color w:val="232323"/>
        </w:rPr>
        <w:t xml:space="preserve">on customers' </w:t>
      </w:r>
      <w:r w:rsidRPr="00A40595">
        <w:rPr>
          <w:color w:val="0B0B0B"/>
        </w:rPr>
        <w:t>bill</w:t>
      </w:r>
      <w:r w:rsidRPr="00A40595">
        <w:rPr>
          <w:color w:val="3A3A3A"/>
        </w:rPr>
        <w:t>s</w:t>
      </w:r>
      <w:r>
        <w:rPr>
          <w:color w:val="232323"/>
        </w:rPr>
        <w:t>.</w:t>
      </w:r>
    </w:p>
    <w:p w:rsidR="00F547A5" w:rsidRDefault="00F547A5" w:rsidP="00F547A5">
      <w:pPr>
        <w:autoSpaceDE w:val="0"/>
        <w:autoSpaceDN w:val="0"/>
        <w:adjustRightInd w:val="0"/>
        <w:jc w:val="both"/>
        <w:rPr>
          <w:color w:val="232323"/>
        </w:rPr>
      </w:pPr>
    </w:p>
    <w:p w:rsidR="00F547A5" w:rsidRDefault="00F547A5" w:rsidP="00F547A5">
      <w:pPr>
        <w:pStyle w:val="BodyText"/>
      </w:pPr>
      <w:r w:rsidRPr="00472DE2">
        <w:lastRenderedPageBreak/>
        <w:t>In the 2015 Order, the Commission required the utility to file an annual petition, beginning in 2016, for review and resetting of the SAFE factors to true-up any prior over-or under-recovery and to set the surcharge for the coming year.</w:t>
      </w:r>
      <w:r w:rsidRPr="00EA5DCE">
        <w:t xml:space="preserve"> </w:t>
      </w:r>
      <w:r w:rsidRPr="00472DE2">
        <w:t>The SAFE program was originally approved as a 10-year program and</w:t>
      </w:r>
      <w:r>
        <w:t xml:space="preserve"> was planned to finish in 2025.</w:t>
      </w:r>
    </w:p>
    <w:p w:rsidR="00F547A5" w:rsidRDefault="00F547A5" w:rsidP="00F547A5">
      <w:pPr>
        <w:pStyle w:val="BodyText"/>
      </w:pPr>
      <w:r w:rsidRPr="00472DE2">
        <w:t xml:space="preserve">During the utility’s 2022 rate case, the Commission approved the </w:t>
      </w:r>
      <w:r w:rsidR="005D79FA">
        <w:t xml:space="preserve">continuation and </w:t>
      </w:r>
      <w:r w:rsidRPr="00472DE2">
        <w:t>expansion of the SAFE program</w:t>
      </w:r>
      <w:r w:rsidR="00F33C5F">
        <w:t xml:space="preserve"> </w:t>
      </w:r>
      <w:r w:rsidRPr="00472DE2">
        <w:t xml:space="preserve">beyond its 2025 expiration date </w:t>
      </w:r>
      <w:r w:rsidR="005D79FA">
        <w:t xml:space="preserve">to include </w:t>
      </w:r>
      <w:r w:rsidRPr="00472DE2">
        <w:t>the relocation of an additional approximately 150 miles of mains and services</w:t>
      </w:r>
      <w:r w:rsidR="00F33C5F">
        <w:t xml:space="preserve"> and</w:t>
      </w:r>
      <w:r w:rsidR="00F33C5F" w:rsidRPr="00F33C5F">
        <w:t xml:space="preserve"> </w:t>
      </w:r>
      <w:r w:rsidR="00F33C5F" w:rsidRPr="00472DE2">
        <w:t>the replacement of approximately 160 miles of orange pipe.</w:t>
      </w:r>
      <w:r w:rsidR="00F33C5F" w:rsidRPr="00472DE2">
        <w:rPr>
          <w:rStyle w:val="FootnoteReference"/>
        </w:rPr>
        <w:footnoteReference w:id="2"/>
      </w:r>
    </w:p>
    <w:p w:rsidR="00EA2273" w:rsidRDefault="00F547A5" w:rsidP="00F547A5">
      <w:pPr>
        <w:pStyle w:val="BodyText"/>
        <w:rPr>
          <w:rStyle w:val="FootnoteReference"/>
        </w:rPr>
      </w:pPr>
      <w:r>
        <w:t xml:space="preserve">In 2024, the Commission approved FCG’s petition to modify its SAFE </w:t>
      </w:r>
      <w:r w:rsidR="00882C12">
        <w:t xml:space="preserve">program to include replacing </w:t>
      </w:r>
      <w:r>
        <w:t>span pipes, burying shallow and ex</w:t>
      </w:r>
      <w:r w:rsidR="00882C12">
        <w:t>posed pipeline, and replacing</w:t>
      </w:r>
      <w:r>
        <w:t xml:space="preserve"> obsolete pipe and related facilities.</w:t>
      </w:r>
      <w:r>
        <w:rPr>
          <w:rStyle w:val="FootnoteReference"/>
        </w:rPr>
        <w:footnoteReference w:id="3"/>
      </w:r>
      <w:r>
        <w:t xml:space="preserve"> </w:t>
      </w:r>
      <w:r w:rsidRPr="00472DE2">
        <w:t xml:space="preserve">The total estimated cost for the program </w:t>
      </w:r>
      <w:r>
        <w:t xml:space="preserve">modifications </w:t>
      </w:r>
      <w:r w:rsidRPr="00472DE2">
        <w:t>is $49.8 million over a ten year period.</w:t>
      </w:r>
      <w:r w:rsidRPr="00472DE2">
        <w:rPr>
          <w:rStyle w:val="FootnoteReference"/>
        </w:rPr>
        <w:footnoteReference w:id="4"/>
      </w:r>
      <w:r>
        <w:t xml:space="preserve"> The additional program modifications are included in this proceeding for recalculation of the SAFE surcharges.</w:t>
      </w:r>
      <w:r w:rsidRPr="003072CC">
        <w:t xml:space="preserve"> </w:t>
      </w:r>
      <w:r w:rsidRPr="00472DE2">
        <w:t>The</w:t>
      </w:r>
      <w:r>
        <w:t xml:space="preserve"> current 2025</w:t>
      </w:r>
      <w:r w:rsidRPr="00472DE2">
        <w:t xml:space="preserve"> SAFE factors were approved by Order No</w:t>
      </w:r>
      <w:r>
        <w:t>. P</w:t>
      </w:r>
      <w:r w:rsidR="00C477D8">
        <w:t>SC-2025-0033-TRF-GU</w:t>
      </w:r>
      <w:r>
        <w:t>.</w:t>
      </w:r>
      <w:r w:rsidRPr="00EA5DCE">
        <w:rPr>
          <w:rStyle w:val="FootnoteReference"/>
        </w:rPr>
        <w:t xml:space="preserve"> </w:t>
      </w:r>
      <w:r w:rsidRPr="00472DE2">
        <w:rPr>
          <w:rStyle w:val="FootnoteReference"/>
        </w:rPr>
        <w:footnoteReference w:id="5"/>
      </w:r>
      <w:bookmarkEnd w:id="12"/>
    </w:p>
    <w:p w:rsidR="00F547A5" w:rsidRDefault="00C477D8" w:rsidP="00F547A5">
      <w:pPr>
        <w:pStyle w:val="BodyText"/>
      </w:pPr>
      <w:r>
        <w:t>By Order No. PSC-2025-0396-PCO-GU, issued October 23</w:t>
      </w:r>
      <w:r w:rsidR="002013A9">
        <w:t>, 2025</w:t>
      </w:r>
      <w:r w:rsidR="00F547A5" w:rsidRPr="00157829">
        <w:t>, the Commission suspended the proposed tariffs to allow staff sufficient time to analyze the utility’s filing, pursuant to Section 366.06(3), Florida Statu</w:t>
      </w:r>
      <w:r w:rsidR="00F547A5">
        <w:t>t</w:t>
      </w:r>
      <w:r w:rsidR="00F547A5" w:rsidRPr="00157829">
        <w:t>es (F.S.</w:t>
      </w:r>
      <w:r w:rsidR="00F547A5">
        <w:t>). Commission staff issued its</w:t>
      </w:r>
      <w:r w:rsidR="00F547A5" w:rsidRPr="00157829">
        <w:t xml:space="preserve"> first dat</w:t>
      </w:r>
      <w:r w:rsidR="00F547A5">
        <w:t>a request to FCG on September 22, 2025</w:t>
      </w:r>
      <w:r w:rsidR="00F547A5" w:rsidRPr="00157829">
        <w:t>, for which FCG pro</w:t>
      </w:r>
      <w:r w:rsidR="00F547A5">
        <w:t>vided a response on October 3, 2025</w:t>
      </w:r>
      <w:r w:rsidR="002013A9">
        <w:t>.</w:t>
      </w:r>
    </w:p>
    <w:p w:rsidR="002013A9" w:rsidRDefault="002013A9" w:rsidP="00F547A5">
      <w:pPr>
        <w:pStyle w:val="BodyText"/>
        <w:sectPr w:rsidR="002013A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r w:rsidRPr="00157829">
        <w:t xml:space="preserve">FCG’s annual progress in the SAFE program is shown in Attachment A to the recommendation. </w:t>
      </w:r>
      <w:r w:rsidR="00096C9F">
        <w:t>The proposed 2026</w:t>
      </w:r>
      <w:r w:rsidRPr="00157829">
        <w:t xml:space="preserve"> SAFE factors are shown in Attachment B to the rec</w:t>
      </w:r>
      <w:r>
        <w:t xml:space="preserve">ommendation on Eighth Revised Sheet No. </w:t>
      </w:r>
      <w:r w:rsidRPr="00157829">
        <w:t>79</w:t>
      </w:r>
      <w:r w:rsidRPr="00157829">
        <w:rPr>
          <w:rFonts w:ascii="TimesNewRomanPSMT" w:hAnsi="TimesNewRomanPSMT" w:cs="TimesNewRomanPSMT"/>
        </w:rPr>
        <w:t xml:space="preserve">. </w:t>
      </w:r>
      <w:r w:rsidRPr="00157829">
        <w:t>The Commission has jurisdiction over the matter pursuant to Sections 366.04, 366.041, 366.05, and 366.06, F.S</w:t>
      </w:r>
      <w:r>
        <w:t>.</w:t>
      </w:r>
    </w:p>
    <w:p w:rsidR="007C0528" w:rsidRDefault="007C0528">
      <w:pPr>
        <w:pStyle w:val="RecommendationMajorSectionHeading"/>
      </w:pPr>
      <w:bookmarkStart w:id="16" w:name="DiscussionOfIssues"/>
      <w:r>
        <w:lastRenderedPageBreak/>
        <w:t>Discussion of Issues</w:t>
      </w:r>
    </w:p>
    <w:bookmarkEnd w:id="16"/>
    <w:p w:rsidR="00CA319A" w:rsidRDefault="00CA319A">
      <w:pPr>
        <w:pStyle w:val="IssueHeading"/>
        <w:rPr>
          <w:vanish/>
          <w:specVanish/>
        </w:rPr>
      </w:pPr>
      <w:r w:rsidRPr="004C3641">
        <w:t xml:space="preserve">Issue </w:t>
      </w:r>
      <w:r w:rsidR="0075661D">
        <w:fldChar w:fldCharType="begin"/>
      </w:r>
      <w:r w:rsidR="0075661D">
        <w:instrText xml:space="preserve"> SEQ Issue \* MERGEFOR</w:instrText>
      </w:r>
      <w:r w:rsidR="0075661D">
        <w:instrText xml:space="preserve">MAT </w:instrText>
      </w:r>
      <w:r w:rsidR="0075661D">
        <w:fldChar w:fldCharType="separate"/>
      </w:r>
      <w:r w:rsidR="00B04611">
        <w:rPr>
          <w:noProof/>
        </w:rPr>
        <w:t>1</w:t>
      </w:r>
      <w:r w:rsidR="0075661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04611">
        <w:rPr>
          <w:noProof/>
        </w:rPr>
        <w:instrText>1</w:instrText>
      </w:r>
      <w:r>
        <w:fldChar w:fldCharType="end"/>
      </w:r>
      <w:r>
        <w:tab/>
        <w:instrText xml:space="preserve">(P. Kelley)" \l 1 </w:instrText>
      </w:r>
      <w:r>
        <w:fldChar w:fldCharType="end"/>
      </w:r>
      <w:r>
        <w:t> </w:t>
      </w:r>
    </w:p>
    <w:p w:rsidR="00CA319A" w:rsidRDefault="00CA319A">
      <w:pPr>
        <w:pStyle w:val="BodyText"/>
      </w:pPr>
      <w:r>
        <w:t> Should the Commission approve FCG's proposed SAFE tariffs for the period January through December 2026?</w:t>
      </w:r>
    </w:p>
    <w:p w:rsidR="00CA319A" w:rsidRPr="004C3641" w:rsidRDefault="00CA319A">
      <w:pPr>
        <w:pStyle w:val="IssueSubsectionHeading"/>
        <w:rPr>
          <w:vanish/>
          <w:specVanish/>
        </w:rPr>
      </w:pPr>
      <w:r w:rsidRPr="004C3641">
        <w:t>Recommendation: </w:t>
      </w:r>
    </w:p>
    <w:p w:rsidR="00CA319A" w:rsidRDefault="00CA319A">
      <w:pPr>
        <w:pStyle w:val="BodyText"/>
      </w:pPr>
      <w:r>
        <w:t> </w:t>
      </w:r>
      <w:r w:rsidR="00FA797C" w:rsidRPr="00157829">
        <w:t>Yes. The Commission should approve FCG’s proposed SAFE tariff for the peri</w:t>
      </w:r>
      <w:r w:rsidR="00FA797C">
        <w:t>od January through December 2026</w:t>
      </w:r>
      <w:r w:rsidR="00FA797C" w:rsidRPr="00157829">
        <w:t>. After reviewing FCG’s filings and supporting documentati</w:t>
      </w:r>
      <w:r w:rsidR="00FA797C">
        <w:t>on, the calculations of the 2026</w:t>
      </w:r>
      <w:r w:rsidR="00FA797C" w:rsidRPr="00157829">
        <w:t xml:space="preserve"> SAFE factors appear consistent with the methodology approved in the 2015 Order and are reasonable and accurate</w:t>
      </w:r>
      <w:r w:rsidR="00FA797C">
        <w:t>.</w:t>
      </w:r>
      <w:r>
        <w:t xml:space="preserve"> (P. Kelley)</w:t>
      </w:r>
    </w:p>
    <w:p w:rsidR="00CA319A" w:rsidRPr="004C3641" w:rsidRDefault="00CA319A">
      <w:pPr>
        <w:pStyle w:val="IssueSubsectionHeading"/>
        <w:rPr>
          <w:vanish/>
          <w:specVanish/>
        </w:rPr>
      </w:pPr>
      <w:r w:rsidRPr="004C3641">
        <w:t>Staff Analysis: </w:t>
      </w:r>
    </w:p>
    <w:p w:rsidR="00CA319A" w:rsidRDefault="00CA319A">
      <w:pPr>
        <w:pStyle w:val="BodyText"/>
      </w:pPr>
      <w:r>
        <w:t> </w:t>
      </w:r>
      <w:r w:rsidR="00E56174" w:rsidRPr="00157829">
        <w:t>As required by the 2015 Order, the uti</w:t>
      </w:r>
      <w:r w:rsidR="00E56174">
        <w:t>lity’s calculations for the 2026</w:t>
      </w:r>
      <w:r w:rsidR="00E56174" w:rsidRPr="00157829">
        <w:t xml:space="preserve"> revenue requirement and SAFE factors includ</w:t>
      </w:r>
      <w:r w:rsidR="00E56174">
        <w:t>e a final true-up for 2024</w:t>
      </w:r>
      <w:r w:rsidR="00E56174" w:rsidRPr="00157829">
        <w:t>, an estimated/actual true-up for 20</w:t>
      </w:r>
      <w:r w:rsidR="00E56174">
        <w:t>25, and projected costs for 2026</w:t>
      </w:r>
      <w:r w:rsidR="00E56174" w:rsidRPr="00157829">
        <w:t>.</w:t>
      </w:r>
      <w:r w:rsidR="00E56174">
        <w:t xml:space="preserve"> During 2025, the utility replaced 31.7</w:t>
      </w:r>
      <w:r w:rsidR="00E56174" w:rsidRPr="00157829">
        <w:t xml:space="preserve"> miles of main</w:t>
      </w:r>
      <w:r w:rsidR="00E56174">
        <w:t>s and 1,244</w:t>
      </w:r>
      <w:r w:rsidR="00E56174" w:rsidRPr="00157829">
        <w:t xml:space="preserve"> services</w:t>
      </w:r>
      <w:r w:rsidR="00D631F2">
        <w:t xml:space="preserve"> as shown in Attachment A to the petition</w:t>
      </w:r>
      <w:r w:rsidR="00724301">
        <w:t>.</w:t>
      </w:r>
      <w:r w:rsidR="00724301" w:rsidRPr="00724301">
        <w:rPr>
          <w:rStyle w:val="FootnoteReference"/>
        </w:rPr>
        <w:t xml:space="preserve"> </w:t>
      </w:r>
      <w:r w:rsidR="005F2AB4">
        <w:t>FCG also replaced 18</w:t>
      </w:r>
      <w:r w:rsidR="00FF118A">
        <w:t xml:space="preserve"> miles</w:t>
      </w:r>
      <w:r w:rsidR="005F2AB4">
        <w:t xml:space="preserve"> of mains and 1,185 services associated with orange pipe in 2025</w:t>
      </w:r>
      <w:r w:rsidR="00D631F2">
        <w:t>.</w:t>
      </w:r>
    </w:p>
    <w:p w:rsidR="005D79FA" w:rsidRDefault="005D79FA">
      <w:pPr>
        <w:pStyle w:val="BodyText"/>
      </w:pPr>
      <w:r>
        <w:t>In Attachment B to its petition, the utility provided a description of the SAFE program</w:t>
      </w:r>
      <w:r w:rsidR="00882C12">
        <w:t xml:space="preserve"> projects undertaken</w:t>
      </w:r>
      <w:r>
        <w:t xml:space="preserve"> in 2024 and 2025 and forecast for 2026. In response to staff’s data request, FCG explained that it prioritizes its replacement projects based on a risk assessment and to complete all projects in a cost-effective manner the utility uses a competitively bidding process. Work is awarded based on lowest bid, capacity to complete the work, and historical performance. FCG further explained that due to limited internal resources it utilizes contract labor the complete the replacement work.</w:t>
      </w:r>
    </w:p>
    <w:p w:rsidR="00E06484" w:rsidRDefault="00724301" w:rsidP="00724301">
      <w:pPr>
        <w:pStyle w:val="Second-LevelSubheading"/>
      </w:pPr>
      <w:r>
        <w:t>Final True-ups for 2024</w:t>
      </w:r>
    </w:p>
    <w:p w:rsidR="00724301" w:rsidRDefault="00724301" w:rsidP="00E275D8">
      <w:pPr>
        <w:pStyle w:val="BodyText"/>
      </w:pPr>
      <w:r w:rsidRPr="00157829">
        <w:t xml:space="preserve">FCG stated that the revenues </w:t>
      </w:r>
      <w:r w:rsidR="00D631F2">
        <w:t>collected for 2024</w:t>
      </w:r>
      <w:r>
        <w:t xml:space="preserve"> were $</w:t>
      </w:r>
      <w:r w:rsidR="008F1DC3">
        <w:t>4,728,363</w:t>
      </w:r>
      <w:r w:rsidRPr="00724301">
        <w:t xml:space="preserve"> </w:t>
      </w:r>
      <w:r w:rsidRPr="00157829">
        <w:t>compared to a revenue requirement of</w:t>
      </w:r>
      <w:r>
        <w:t xml:space="preserve"> $3,691,675</w:t>
      </w:r>
      <w:r w:rsidRPr="00724301">
        <w:t xml:space="preserve"> </w:t>
      </w:r>
      <w:r w:rsidR="008F1DC3">
        <w:t>resulting in an over</w:t>
      </w:r>
      <w:r w:rsidRPr="00157829">
        <w:t>-recovery</w:t>
      </w:r>
      <w:r w:rsidR="005E4C2E">
        <w:t xml:space="preserve"> of $1,036,688</w:t>
      </w:r>
      <w:r>
        <w:t>. Adding the 2023 final under-recovery of $1,852,753 and the $</w:t>
      </w:r>
      <w:r w:rsidR="008F1DC3">
        <w:t>1,036,688 over</w:t>
      </w:r>
      <w:r>
        <w:t xml:space="preserve">-recovery of 2024, including interest, results in a final 2024 under-recovery of </w:t>
      </w:r>
      <w:r w:rsidR="005E4C2E">
        <w:t>$865,219.</w:t>
      </w:r>
      <w:r w:rsidR="005E4C2E" w:rsidRPr="005E4C2E">
        <w:rPr>
          <w:rStyle w:val="FootnoteReference"/>
        </w:rPr>
        <w:t xml:space="preserve"> </w:t>
      </w:r>
    </w:p>
    <w:p w:rsidR="00EA2656" w:rsidRDefault="008D68C6" w:rsidP="00EA2656">
      <w:pPr>
        <w:pStyle w:val="Second-LevelSubheading"/>
      </w:pPr>
      <w:r>
        <w:t>Actual/Estimated 2025</w:t>
      </w:r>
      <w:r w:rsidR="00EA2656" w:rsidRPr="00157829">
        <w:t xml:space="preserve"> True-u</w:t>
      </w:r>
      <w:r w:rsidR="00EA2656">
        <w:t>p</w:t>
      </w:r>
    </w:p>
    <w:p w:rsidR="00EA2656" w:rsidRPr="00157829" w:rsidRDefault="00EA2656" w:rsidP="00EA2656">
      <w:pPr>
        <w:jc w:val="both"/>
      </w:pPr>
      <w:r w:rsidRPr="00157829">
        <w:t>FCG provided actual revenues for January through June and forecasted revenues for July through</w:t>
      </w:r>
    </w:p>
    <w:p w:rsidR="00EA2656" w:rsidRDefault="00EA2656" w:rsidP="00EA2656">
      <w:pPr>
        <w:pStyle w:val="BodyText"/>
      </w:pPr>
      <w:r>
        <w:t>December 2025</w:t>
      </w:r>
      <w:r w:rsidRPr="00157829">
        <w:t>, totaling</w:t>
      </w:r>
      <w:r w:rsidR="005A3F72">
        <w:t xml:space="preserve"> $8,308,405 </w:t>
      </w:r>
      <w:r w:rsidR="005A3F72" w:rsidRPr="00157829">
        <w:t>as compared to a projected revenue requirement of</w:t>
      </w:r>
      <w:r w:rsidR="00532955">
        <w:t xml:space="preserve"> $8,547,138,</w:t>
      </w:r>
      <w:r w:rsidR="00532955" w:rsidRPr="00532955">
        <w:t xml:space="preserve"> </w:t>
      </w:r>
      <w:r w:rsidR="00532955">
        <w:t>resulting in an under</w:t>
      </w:r>
      <w:r w:rsidR="00532955" w:rsidRPr="00157829">
        <w:t>-recovery of</w:t>
      </w:r>
      <w:r w:rsidR="00D631F2">
        <w:t xml:space="preserve"> $238,733</w:t>
      </w:r>
      <w:r w:rsidR="00532955">
        <w:t>.</w:t>
      </w:r>
      <w:r w:rsidR="00532955" w:rsidRPr="00532955">
        <w:t xml:space="preserve"> </w:t>
      </w:r>
      <w:r w:rsidR="00532955" w:rsidRPr="00157829">
        <w:t xml:space="preserve">Adding the </w:t>
      </w:r>
      <w:r w:rsidR="00532955">
        <w:t>2</w:t>
      </w:r>
      <w:r w:rsidR="00D631F2">
        <w:t>024 under-recovery of $865,219</w:t>
      </w:r>
      <w:r w:rsidR="00532955">
        <w:t xml:space="preserve"> to the 2025</w:t>
      </w:r>
      <w:r w:rsidR="00FF118A">
        <w:t xml:space="preserve"> under</w:t>
      </w:r>
      <w:r w:rsidR="00532955" w:rsidRPr="00157829">
        <w:t>-recovery of</w:t>
      </w:r>
      <w:r w:rsidR="00D631F2">
        <w:t xml:space="preserve"> $238,733</w:t>
      </w:r>
      <w:r w:rsidR="00532955">
        <w:t>,</w:t>
      </w:r>
      <w:r w:rsidR="00532955" w:rsidRPr="00532955">
        <w:t xml:space="preserve"> </w:t>
      </w:r>
      <w:r w:rsidR="00532955">
        <w:t>the resulting total 2025</w:t>
      </w:r>
      <w:r w:rsidR="00532955" w:rsidRPr="00157829">
        <w:t xml:space="preserve"> true-up, including interest, is an under-recovery of</w:t>
      </w:r>
      <w:r w:rsidR="00532955">
        <w:t xml:space="preserve"> $1,106,822.</w:t>
      </w:r>
    </w:p>
    <w:p w:rsidR="0073514A" w:rsidRDefault="0073514A" w:rsidP="0073514A">
      <w:pPr>
        <w:pStyle w:val="Second-LevelSubheading"/>
      </w:pPr>
      <w:r>
        <w:t>Projected 2026 Costs</w:t>
      </w:r>
    </w:p>
    <w:p w:rsidR="007828B8" w:rsidRDefault="0073514A" w:rsidP="00EA2656">
      <w:pPr>
        <w:pStyle w:val="BodyText"/>
      </w:pPr>
      <w:r w:rsidRPr="00157829">
        <w:t xml:space="preserve">The utility’s projected </w:t>
      </w:r>
      <w:r>
        <w:t>investment for 2026</w:t>
      </w:r>
      <w:r w:rsidRPr="00157829">
        <w:t xml:space="preserve"> is</w:t>
      </w:r>
      <w:r>
        <w:t xml:space="preserve"> $107,960,202</w:t>
      </w:r>
      <w:r w:rsidRPr="0073514A">
        <w:t xml:space="preserve"> </w:t>
      </w:r>
      <w:r w:rsidRPr="00157829">
        <w:t xml:space="preserve">for its </w:t>
      </w:r>
      <w:r w:rsidR="002E7227">
        <w:t>SAFE program</w:t>
      </w:r>
      <w:r w:rsidRPr="00157829">
        <w:t>. The revenue requirement, which includes a return on investment, depreciation, and taxes is</w:t>
      </w:r>
      <w:r>
        <w:t xml:space="preserve"> $12,315,423.</w:t>
      </w:r>
      <w:r w:rsidRPr="0073514A">
        <w:t xml:space="preserve"> </w:t>
      </w:r>
      <w:r w:rsidRPr="00157829">
        <w:t>The return on investment calculation includes federal income taxes, regulatory assessment fees, and bad d</w:t>
      </w:r>
      <w:r w:rsidR="001D0BFE">
        <w:t>ebt. After adding the 2025 under</w:t>
      </w:r>
      <w:r w:rsidRPr="00157829">
        <w:t>-recovery of</w:t>
      </w:r>
      <w:r w:rsidR="00343D85">
        <w:t xml:space="preserve"> $1,106,822, the tota</w:t>
      </w:r>
      <w:r w:rsidR="001D0BFE">
        <w:t>l 2026 revenue requirement is $</w:t>
      </w:r>
      <w:r w:rsidR="00343D85">
        <w:t xml:space="preserve">13,422,245. </w:t>
      </w:r>
      <w:r w:rsidR="00343D85" w:rsidRPr="00157829">
        <w:t>Table 1-1 displays the projected 202</w:t>
      </w:r>
      <w:r w:rsidR="00343D85">
        <w:t>6</w:t>
      </w:r>
      <w:r w:rsidR="00343D85" w:rsidRPr="00157829">
        <w:t xml:space="preserve"> </w:t>
      </w:r>
      <w:r w:rsidR="00343D85">
        <w:t xml:space="preserve">SAFE program </w:t>
      </w:r>
      <w:r w:rsidR="00343D85" w:rsidRPr="00157829">
        <w:t>revenue requirement calculation</w:t>
      </w:r>
      <w:r w:rsidR="00343D85">
        <w:t>.</w:t>
      </w:r>
    </w:p>
    <w:p w:rsidR="007828B8" w:rsidRDefault="007828B8" w:rsidP="007828B8">
      <w:r>
        <w:br w:type="page"/>
      </w:r>
    </w:p>
    <w:p w:rsidR="007828B8" w:rsidRPr="00157829" w:rsidRDefault="007828B8" w:rsidP="007828B8">
      <w:pPr>
        <w:pStyle w:val="TableNumber"/>
        <w:keepNext/>
      </w:pPr>
      <w:r w:rsidRPr="00157829">
        <w:lastRenderedPageBreak/>
        <w:t xml:space="preserve">Table </w:t>
      </w:r>
      <w:fldSimple w:instr=" SEQ Issue \c ">
        <w:r w:rsidR="00B04611">
          <w:rPr>
            <w:noProof/>
          </w:rPr>
          <w:t>1</w:t>
        </w:r>
      </w:fldSimple>
      <w:r w:rsidRPr="00157829">
        <w:t>-1</w:t>
      </w:r>
    </w:p>
    <w:p w:rsidR="007828B8" w:rsidRPr="00157829" w:rsidRDefault="00CE42F1" w:rsidP="007828B8">
      <w:pPr>
        <w:pStyle w:val="TableTitle"/>
        <w:keepNext/>
      </w:pPr>
      <w:r>
        <w:t>2026</w:t>
      </w:r>
      <w:r w:rsidR="007828B8" w:rsidRPr="00157829">
        <w:t xml:space="preserve"> </w:t>
      </w:r>
      <w:r w:rsidR="007828B8">
        <w:t xml:space="preserve">SAFE Program </w:t>
      </w:r>
      <w:r w:rsidR="007828B8" w:rsidRPr="00157829">
        <w:t>Revenue Requirements Calculation</w:t>
      </w:r>
    </w:p>
    <w:tbl>
      <w:tblPr>
        <w:tblStyle w:val="TableGrid"/>
        <w:tblW w:w="0" w:type="auto"/>
        <w:tblLook w:val="04A0" w:firstRow="1" w:lastRow="0" w:firstColumn="1" w:lastColumn="0" w:noHBand="0" w:noVBand="1"/>
      </w:tblPr>
      <w:tblGrid>
        <w:gridCol w:w="7835"/>
        <w:gridCol w:w="1741"/>
      </w:tblGrid>
      <w:tr w:rsidR="007828B8" w:rsidRPr="00157829" w:rsidTr="00A247C4">
        <w:tc>
          <w:tcPr>
            <w:tcW w:w="7835" w:type="dxa"/>
            <w:tcBorders>
              <w:bottom w:val="single" w:sz="4" w:space="0" w:color="auto"/>
              <w:right w:val="nil"/>
            </w:tcBorders>
          </w:tcPr>
          <w:p w:rsidR="007828B8" w:rsidRPr="00157829" w:rsidRDefault="00CE42F1" w:rsidP="00A247C4">
            <w:pPr>
              <w:tabs>
                <w:tab w:val="right" w:pos="9360"/>
              </w:tabs>
            </w:pPr>
            <w:r>
              <w:t>2026</w:t>
            </w:r>
            <w:r w:rsidR="007828B8" w:rsidRPr="00157829">
              <w:t xml:space="preserve"> Projected Investment</w:t>
            </w:r>
          </w:p>
        </w:tc>
        <w:tc>
          <w:tcPr>
            <w:tcW w:w="1741" w:type="dxa"/>
            <w:tcBorders>
              <w:left w:val="nil"/>
              <w:bottom w:val="single" w:sz="4" w:space="0" w:color="auto"/>
            </w:tcBorders>
          </w:tcPr>
          <w:p w:rsidR="007828B8" w:rsidRPr="00157829" w:rsidRDefault="007828B8" w:rsidP="00A247C4">
            <w:pPr>
              <w:tabs>
                <w:tab w:val="right" w:pos="9360"/>
              </w:tabs>
              <w:jc w:val="right"/>
            </w:pPr>
            <w:r>
              <w:t>$107,960,202</w:t>
            </w:r>
          </w:p>
        </w:tc>
      </w:tr>
      <w:tr w:rsidR="007828B8" w:rsidRPr="00157829" w:rsidTr="00A247C4">
        <w:tc>
          <w:tcPr>
            <w:tcW w:w="7835" w:type="dxa"/>
            <w:tcBorders>
              <w:bottom w:val="nil"/>
              <w:right w:val="nil"/>
            </w:tcBorders>
          </w:tcPr>
          <w:p w:rsidR="007828B8" w:rsidRPr="00157829" w:rsidRDefault="007828B8" w:rsidP="00A247C4">
            <w:pPr>
              <w:tabs>
                <w:tab w:val="right" w:pos="9360"/>
              </w:tabs>
            </w:pPr>
            <w:r w:rsidRPr="00157829">
              <w:t>Return on Investment</w:t>
            </w:r>
          </w:p>
        </w:tc>
        <w:tc>
          <w:tcPr>
            <w:tcW w:w="1741" w:type="dxa"/>
            <w:tcBorders>
              <w:left w:val="nil"/>
              <w:bottom w:val="nil"/>
            </w:tcBorders>
          </w:tcPr>
          <w:p w:rsidR="007828B8" w:rsidRPr="00157829" w:rsidRDefault="00A916C0" w:rsidP="00A247C4">
            <w:pPr>
              <w:tabs>
                <w:tab w:val="right" w:pos="9360"/>
              </w:tabs>
              <w:jc w:val="right"/>
            </w:pPr>
            <w:r>
              <w:t>$8,719,408</w:t>
            </w:r>
          </w:p>
        </w:tc>
      </w:tr>
      <w:tr w:rsidR="007828B8" w:rsidRPr="00157829" w:rsidTr="00A247C4">
        <w:tc>
          <w:tcPr>
            <w:tcW w:w="7835" w:type="dxa"/>
            <w:tcBorders>
              <w:top w:val="nil"/>
              <w:bottom w:val="nil"/>
              <w:right w:val="nil"/>
            </w:tcBorders>
          </w:tcPr>
          <w:p w:rsidR="007828B8" w:rsidRPr="00157829" w:rsidRDefault="007828B8" w:rsidP="00A247C4">
            <w:pPr>
              <w:tabs>
                <w:tab w:val="right" w:pos="9360"/>
              </w:tabs>
            </w:pPr>
            <w:r w:rsidRPr="00157829">
              <w:t>Depreciation Expense</w:t>
            </w:r>
          </w:p>
        </w:tc>
        <w:tc>
          <w:tcPr>
            <w:tcW w:w="1741" w:type="dxa"/>
            <w:tcBorders>
              <w:top w:val="nil"/>
              <w:left w:val="nil"/>
              <w:bottom w:val="nil"/>
            </w:tcBorders>
          </w:tcPr>
          <w:p w:rsidR="007828B8" w:rsidRPr="00157829" w:rsidRDefault="00A916C0" w:rsidP="00A247C4">
            <w:pPr>
              <w:tabs>
                <w:tab w:val="right" w:pos="9360"/>
              </w:tabs>
              <w:jc w:val="right"/>
            </w:pPr>
            <w:r>
              <w:t>$1,921,817</w:t>
            </w:r>
          </w:p>
        </w:tc>
      </w:tr>
      <w:tr w:rsidR="007828B8" w:rsidRPr="00157829" w:rsidTr="00A247C4">
        <w:tc>
          <w:tcPr>
            <w:tcW w:w="7835" w:type="dxa"/>
            <w:tcBorders>
              <w:top w:val="nil"/>
              <w:bottom w:val="nil"/>
              <w:right w:val="nil"/>
            </w:tcBorders>
          </w:tcPr>
          <w:p w:rsidR="007828B8" w:rsidRPr="00157829" w:rsidRDefault="007828B8" w:rsidP="00A247C4">
            <w:pPr>
              <w:tabs>
                <w:tab w:val="right" w:pos="9360"/>
              </w:tabs>
            </w:pPr>
            <w:r w:rsidRPr="00157829">
              <w:t>Property Tax Expense</w:t>
            </w:r>
          </w:p>
        </w:tc>
        <w:tc>
          <w:tcPr>
            <w:tcW w:w="1741" w:type="dxa"/>
            <w:tcBorders>
              <w:top w:val="nil"/>
              <w:left w:val="nil"/>
              <w:bottom w:val="nil"/>
            </w:tcBorders>
          </w:tcPr>
          <w:p w:rsidR="007828B8" w:rsidRPr="00157829" w:rsidRDefault="00A916C0" w:rsidP="00A247C4">
            <w:pPr>
              <w:tabs>
                <w:tab w:val="right" w:pos="9360"/>
              </w:tabs>
              <w:jc w:val="right"/>
            </w:pPr>
            <w:r>
              <w:rPr>
                <w:u w:val="single"/>
              </w:rPr>
              <w:t>$1,674,198</w:t>
            </w:r>
          </w:p>
        </w:tc>
      </w:tr>
      <w:tr w:rsidR="007828B8" w:rsidRPr="00157829" w:rsidTr="00A247C4">
        <w:tc>
          <w:tcPr>
            <w:tcW w:w="7835" w:type="dxa"/>
            <w:tcBorders>
              <w:top w:val="nil"/>
              <w:bottom w:val="nil"/>
              <w:right w:val="nil"/>
            </w:tcBorders>
          </w:tcPr>
          <w:p w:rsidR="007828B8" w:rsidRPr="00157829" w:rsidRDefault="00CE42F1" w:rsidP="00A247C4">
            <w:pPr>
              <w:tabs>
                <w:tab w:val="right" w:pos="9360"/>
              </w:tabs>
            </w:pPr>
            <w:r>
              <w:t>2026</w:t>
            </w:r>
            <w:r w:rsidR="007828B8" w:rsidRPr="00157829">
              <w:t xml:space="preserve">  Revenue Requirement</w:t>
            </w:r>
          </w:p>
        </w:tc>
        <w:tc>
          <w:tcPr>
            <w:tcW w:w="1741" w:type="dxa"/>
            <w:tcBorders>
              <w:top w:val="nil"/>
              <w:left w:val="nil"/>
              <w:bottom w:val="nil"/>
            </w:tcBorders>
          </w:tcPr>
          <w:p w:rsidR="007828B8" w:rsidRPr="00157829" w:rsidRDefault="007828B8" w:rsidP="00A247C4">
            <w:pPr>
              <w:tabs>
                <w:tab w:val="right" w:pos="9360"/>
              </w:tabs>
              <w:jc w:val="right"/>
            </w:pPr>
            <w:r>
              <w:t>$12,315,423</w:t>
            </w:r>
          </w:p>
        </w:tc>
      </w:tr>
      <w:tr w:rsidR="007828B8" w:rsidRPr="00157829" w:rsidTr="00A247C4">
        <w:tc>
          <w:tcPr>
            <w:tcW w:w="7835" w:type="dxa"/>
            <w:tcBorders>
              <w:top w:val="nil"/>
              <w:bottom w:val="nil"/>
              <w:right w:val="nil"/>
            </w:tcBorders>
          </w:tcPr>
          <w:p w:rsidR="007828B8" w:rsidRPr="00157829" w:rsidRDefault="00CE42F1" w:rsidP="00A247C4">
            <w:pPr>
              <w:tabs>
                <w:tab w:val="right" w:pos="9360"/>
              </w:tabs>
            </w:pPr>
            <w:r>
              <w:t>Plus 2025</w:t>
            </w:r>
            <w:r w:rsidR="007828B8">
              <w:t xml:space="preserve"> Under</w:t>
            </w:r>
            <w:r w:rsidR="007828B8" w:rsidRPr="00157829">
              <w:t>-recovery</w:t>
            </w:r>
          </w:p>
        </w:tc>
        <w:tc>
          <w:tcPr>
            <w:tcW w:w="1741" w:type="dxa"/>
            <w:tcBorders>
              <w:top w:val="nil"/>
              <w:left w:val="nil"/>
              <w:bottom w:val="nil"/>
            </w:tcBorders>
          </w:tcPr>
          <w:p w:rsidR="007828B8" w:rsidRPr="00D16048" w:rsidRDefault="007828B8" w:rsidP="00A247C4">
            <w:pPr>
              <w:tabs>
                <w:tab w:val="right" w:pos="9360"/>
              </w:tabs>
              <w:jc w:val="right"/>
              <w:rPr>
                <w:u w:val="single"/>
              </w:rPr>
            </w:pPr>
            <w:r>
              <w:rPr>
                <w:u w:val="single"/>
              </w:rPr>
              <w:t>$1,106,822</w:t>
            </w:r>
          </w:p>
        </w:tc>
      </w:tr>
      <w:tr w:rsidR="007828B8" w:rsidRPr="00157829" w:rsidTr="00A247C4">
        <w:tc>
          <w:tcPr>
            <w:tcW w:w="7835" w:type="dxa"/>
            <w:tcBorders>
              <w:top w:val="nil"/>
              <w:right w:val="nil"/>
            </w:tcBorders>
          </w:tcPr>
          <w:p w:rsidR="007828B8" w:rsidRPr="00157829" w:rsidRDefault="00CE42F1" w:rsidP="00A247C4">
            <w:pPr>
              <w:tabs>
                <w:tab w:val="right" w:pos="9360"/>
              </w:tabs>
            </w:pPr>
            <w:r>
              <w:t>Total 2026</w:t>
            </w:r>
            <w:r w:rsidR="007828B8" w:rsidRPr="00157829">
              <w:t xml:space="preserve"> Revenue Requirement</w:t>
            </w:r>
          </w:p>
        </w:tc>
        <w:tc>
          <w:tcPr>
            <w:tcW w:w="1741" w:type="dxa"/>
            <w:tcBorders>
              <w:top w:val="nil"/>
              <w:left w:val="nil"/>
            </w:tcBorders>
          </w:tcPr>
          <w:p w:rsidR="007828B8" w:rsidRPr="00157829" w:rsidRDefault="007828B8" w:rsidP="00A247C4">
            <w:pPr>
              <w:tabs>
                <w:tab w:val="right" w:pos="9360"/>
              </w:tabs>
              <w:jc w:val="right"/>
            </w:pPr>
            <w:r>
              <w:t>$13,422,245</w:t>
            </w:r>
          </w:p>
        </w:tc>
      </w:tr>
    </w:tbl>
    <w:p w:rsidR="0073514A" w:rsidRDefault="00CE42F1" w:rsidP="00EA2656">
      <w:pPr>
        <w:pStyle w:val="BodyText"/>
      </w:pPr>
      <w:r>
        <w:t xml:space="preserve">Source: </w:t>
      </w:r>
      <w:r w:rsidR="007828B8" w:rsidRPr="00157829">
        <w:t>Attachment C</w:t>
      </w:r>
      <w:r>
        <w:t>, Schedule 4</w:t>
      </w:r>
      <w:r w:rsidR="007828B8" w:rsidRPr="00157829">
        <w:t xml:space="preserve"> of the petition.</w:t>
      </w:r>
    </w:p>
    <w:p w:rsidR="000D6DDF" w:rsidRDefault="000D6DDF" w:rsidP="000D6DDF">
      <w:pPr>
        <w:pStyle w:val="First-LevelSubheading"/>
      </w:pPr>
      <w:r>
        <w:t>Proposed 2026 SAFE Factors</w:t>
      </w:r>
    </w:p>
    <w:p w:rsidR="000D6DDF" w:rsidRDefault="000D6DDF" w:rsidP="00EA2656">
      <w:pPr>
        <w:pStyle w:val="BodyText"/>
      </w:pPr>
      <w:r w:rsidRPr="00157829">
        <w:t>The SAFE factors are fixed monthly charges. FCG’s cost allocation methodology was approved in the 2015 Order and was used in the instant filing. The approved methodology allocates the current cost of a 2-inch pipe to all customers on a per customer basis and allocates the incremental cost of replacing a 4-inch pipe to customers who use over 6,000 therms per year. For customers who require 4-inch pipes, the cost takes into account that the minimum pipe is insufficient to serve their demand, and therefore, allocates an incremental per foot cost in addition to the all-customer cost. The resulting allocation</w:t>
      </w:r>
      <w:r>
        <w:t xml:space="preserve"> factors are applied to the 2026</w:t>
      </w:r>
      <w:r w:rsidRPr="00157829">
        <w:t xml:space="preserve"> total revenue requirement to develop the monthly SAFE factors</w:t>
      </w:r>
      <w:r>
        <w:t>.</w:t>
      </w:r>
    </w:p>
    <w:p w:rsidR="000D6DDF" w:rsidRDefault="000D6DDF" w:rsidP="00EA2656">
      <w:pPr>
        <w:pStyle w:val="BodyText"/>
      </w:pPr>
      <w:r w:rsidRPr="00157829">
        <w:t>The proposed fi</w:t>
      </w:r>
      <w:r>
        <w:t>xed monthly SAFE factor is $8.70</w:t>
      </w:r>
      <w:r w:rsidRPr="000D6DDF">
        <w:t xml:space="preserve"> </w:t>
      </w:r>
      <w:r w:rsidRPr="00157829">
        <w:t>for customers using less than 6,000 therms p</w:t>
      </w:r>
      <w:r>
        <w:t>er year (current factor is $4.66</w:t>
      </w:r>
      <w:r w:rsidRPr="00157829">
        <w:t>)</w:t>
      </w:r>
      <w:r>
        <w:t xml:space="preserve">. </w:t>
      </w:r>
      <w:r w:rsidRPr="00157829">
        <w:t>The proposed fixed monthly SAFE factor for customers using more than 6,000 therms per year is $</w:t>
      </w:r>
      <w:r>
        <w:t>11.01 (current factor is $7.77</w:t>
      </w:r>
      <w:r w:rsidRPr="00157829">
        <w:t>)</w:t>
      </w:r>
      <w:r w:rsidR="005D79FA">
        <w:t xml:space="preserve">. FCG stated that </w:t>
      </w:r>
      <w:r w:rsidR="00355396">
        <w:t xml:space="preserve">it </w:t>
      </w:r>
      <w:r w:rsidR="005D79FA">
        <w:t>will provide notice to customers of the approved 2026 SAFE factors through a customer bill message and update rate schedule posted online.</w:t>
      </w:r>
    </w:p>
    <w:p w:rsidR="004C4EEE" w:rsidRDefault="003A399F" w:rsidP="003A399F">
      <w:pPr>
        <w:pStyle w:val="First-LevelSubheading"/>
      </w:pPr>
      <w:r>
        <w:t>Conclusion</w:t>
      </w:r>
    </w:p>
    <w:p w:rsidR="00650CAE" w:rsidRDefault="003A399F">
      <w:pPr>
        <w:pStyle w:val="IssueHeading"/>
        <w:rPr>
          <w:vanish/>
          <w:specVanish/>
        </w:rPr>
      </w:pPr>
      <w:r w:rsidRPr="00C80641">
        <w:rPr>
          <w:rFonts w:ascii="Times New Roman" w:hAnsi="Times New Roman" w:cs="Times New Roman"/>
          <w:b w:val="0"/>
          <w:i w:val="0"/>
        </w:rPr>
        <w:t>The Commission should approve FCG’s proposed SAFE tariff for the period January through December 2026. After reviewing FCG’s filings and supporting documentation, the calculations of the 2026 SAFE factors appear consistent with the me</w:t>
      </w:r>
      <w:r w:rsidR="0062298E">
        <w:rPr>
          <w:rFonts w:ascii="Times New Roman" w:hAnsi="Times New Roman" w:cs="Times New Roman"/>
          <w:b w:val="0"/>
          <w:i w:val="0"/>
        </w:rPr>
        <w:t>thodology approved in the 2015 O</w:t>
      </w:r>
      <w:r w:rsidRPr="00C80641">
        <w:rPr>
          <w:rFonts w:ascii="Times New Roman" w:hAnsi="Times New Roman" w:cs="Times New Roman"/>
          <w:b w:val="0"/>
          <w:i w:val="0"/>
        </w:rPr>
        <w:t>rder and are reasonable and accurate.</w:t>
      </w:r>
      <w:r w:rsidR="00650CAE" w:rsidRPr="004C3641">
        <w:rPr>
          <w:b w:val="0"/>
          <w:i w:val="0"/>
        </w:rPr>
        <w:br w:type="page"/>
      </w:r>
      <w:r w:rsidR="00650CAE" w:rsidRPr="004C3641">
        <w:t xml:space="preserve">Issue </w:t>
      </w:r>
      <w:fldSimple w:instr=" SEQ Issue \* MERGEFORMAT ">
        <w:r w:rsidR="00B04611">
          <w:rPr>
            <w:noProof/>
          </w:rPr>
          <w:t>2</w:t>
        </w:r>
      </w:fldSimple>
      <w:r w:rsidR="00650CAE" w:rsidRPr="004C3641">
        <w:t>:</w:t>
      </w:r>
      <w:r w:rsidR="00650CAE">
        <w:fldChar w:fldCharType="begin"/>
      </w:r>
      <w:r w:rsidR="00650CAE">
        <w:instrText xml:space="preserve"> TC "</w:instrText>
      </w:r>
      <w:r w:rsidR="00650CAE">
        <w:fldChar w:fldCharType="begin"/>
      </w:r>
      <w:r w:rsidR="00650CAE">
        <w:instrText xml:space="preserve"> SEQ issue \c </w:instrText>
      </w:r>
      <w:r w:rsidR="00650CAE">
        <w:fldChar w:fldCharType="separate"/>
      </w:r>
      <w:r w:rsidR="00B04611">
        <w:rPr>
          <w:noProof/>
        </w:rPr>
        <w:instrText>2</w:instrText>
      </w:r>
      <w:r w:rsidR="00650CAE">
        <w:fldChar w:fldCharType="end"/>
      </w:r>
      <w:r w:rsidR="00650CAE">
        <w:tab/>
        <w:instrText xml:space="preserve">(Sandy)" \l 1 </w:instrText>
      </w:r>
      <w:r w:rsidR="00650CAE">
        <w:fldChar w:fldCharType="end"/>
      </w:r>
      <w:r w:rsidR="00650CAE">
        <w:t> </w:t>
      </w:r>
    </w:p>
    <w:p w:rsidR="00650CAE" w:rsidRDefault="00650CAE">
      <w:pPr>
        <w:pStyle w:val="BodyText"/>
      </w:pPr>
      <w:r>
        <w:t> Should this docket be closed?</w:t>
      </w:r>
    </w:p>
    <w:p w:rsidR="00650CAE" w:rsidRPr="004C3641" w:rsidRDefault="00650CAE">
      <w:pPr>
        <w:pStyle w:val="IssueSubsectionHeading"/>
        <w:rPr>
          <w:vanish/>
          <w:specVanish/>
        </w:rPr>
      </w:pPr>
      <w:r w:rsidRPr="004C3641">
        <w:t>Recommendation: </w:t>
      </w:r>
    </w:p>
    <w:p w:rsidR="00650CAE" w:rsidRDefault="00650CAE">
      <w:pPr>
        <w:pStyle w:val="BodyText"/>
      </w:pPr>
      <w:r>
        <w:t> </w:t>
      </w:r>
      <w:r w:rsidRPr="00157829">
        <w:t>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(Sandy)</w:t>
      </w:r>
    </w:p>
    <w:p w:rsidR="00650CAE" w:rsidRPr="004C3641" w:rsidRDefault="00650CAE">
      <w:pPr>
        <w:pStyle w:val="IssueSubsectionHeading"/>
        <w:rPr>
          <w:vanish/>
          <w:specVanish/>
        </w:rPr>
      </w:pPr>
      <w:r w:rsidRPr="004C3641">
        <w:t>Staff Analysis: </w:t>
      </w:r>
    </w:p>
    <w:p w:rsidR="003B2943" w:rsidRDefault="00650CAE">
      <w:pPr>
        <w:pStyle w:val="BodyText"/>
        <w:sectPr w:rsidR="003B2943"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t> </w:t>
      </w:r>
      <w:r w:rsidRPr="00157829">
        <w:t>Yes. If Issue 1 is approved and a protest is filed within 21 days of the issuance of the order, the tariffs should remain in effect, with any revenues held subject to refund, pend</w:t>
      </w:r>
      <w:r>
        <w:t xml:space="preserve">ing resolution of the protest. </w:t>
      </w:r>
      <w:r w:rsidRPr="00157829">
        <w:t>If no timely protest is filed, this docket should be closed upon the issuance of a consummating order</w:t>
      </w:r>
      <w:r>
        <w:t>.</w:t>
      </w:r>
    </w:p>
    <w:p w:rsidR="00C80641" w:rsidRDefault="00C80641">
      <w:pPr>
        <w:pStyle w:val="BodyText"/>
      </w:pPr>
    </w:p>
    <w:p w:rsidR="00291EBA" w:rsidRDefault="00FF118A">
      <w:pPr>
        <w:sectPr w:rsidR="00291EBA" w:rsidSect="008D68C6">
          <w:headerReference w:type="default" r:id="rId18"/>
          <w:footerReference w:type="default" r:id="rId19"/>
          <w:pgSz w:w="12240" w:h="15840" w:code="1"/>
          <w:pgMar w:top="1584" w:right="1440" w:bottom="1440" w:left="1440" w:header="720" w:footer="720" w:gutter="0"/>
          <w:pgNumType w:start="9"/>
          <w:cols w:space="720"/>
          <w:formProt w:val="0"/>
          <w:docGrid w:linePitch="360"/>
        </w:sectPr>
      </w:pPr>
      <w:r>
        <w:rPr>
          <w:noProof/>
        </w:rPr>
        <w:drawing>
          <wp:inline distT="0" distB="0" distL="0" distR="0" wp14:anchorId="4E118690" wp14:editId="116433C2">
            <wp:extent cx="7559351" cy="5986780"/>
            <wp:effectExtent l="508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952-2025_Page_1.jpg"/>
                    <pic:cNvPicPr/>
                  </pic:nvPicPr>
                  <pic:blipFill>
                    <a:blip r:embed="rId20">
                      <a:extLst>
                        <a:ext uri="{28A0092B-C50C-407E-A947-70E740481C1C}">
                          <a14:useLocalDpi xmlns:a14="http://schemas.microsoft.com/office/drawing/2010/main" val="0"/>
                        </a:ext>
                      </a:extLst>
                    </a:blip>
                    <a:stretch>
                      <a:fillRect/>
                    </a:stretch>
                  </pic:blipFill>
                  <pic:spPr>
                    <a:xfrm rot="5400000">
                      <a:off x="0" y="0"/>
                      <a:ext cx="7579144" cy="6002455"/>
                    </a:xfrm>
                    <a:prstGeom prst="rect">
                      <a:avLst/>
                    </a:prstGeom>
                  </pic:spPr>
                </pic:pic>
              </a:graphicData>
            </a:graphic>
          </wp:inline>
        </w:drawing>
      </w:r>
    </w:p>
    <w:p w:rsidR="00C80641" w:rsidRDefault="00C80641">
      <w:pPr>
        <w:pStyle w:val="BodyText"/>
      </w:pPr>
    </w:p>
    <w:p w:rsidR="003A399F" w:rsidRDefault="00291EBA" w:rsidP="00EA2656">
      <w:pPr>
        <w:pStyle w:val="BodyText"/>
      </w:pPr>
      <w:r>
        <w:rPr>
          <w:noProof/>
        </w:rPr>
        <w:drawing>
          <wp:inline distT="0" distB="0" distL="0" distR="0" wp14:anchorId="5C8A9886" wp14:editId="4C0A37E7">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8952-2025_Page_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A399F" w:rsidSect="008D68C6">
      <w:headerReference w:type="default" r:id="rId22"/>
      <w:footerReference w:type="default" r:id="rId23"/>
      <w:pgSz w:w="12240" w:h="15840" w:code="1"/>
      <w:pgMar w:top="1584" w:right="1440" w:bottom="1440" w:left="1440" w:header="720" w:footer="720" w:gutter="0"/>
      <w:pgNumType w:start="9"/>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27" w:rsidRDefault="00B97227">
      <w:r>
        <w:separator/>
      </w:r>
    </w:p>
  </w:endnote>
  <w:endnote w:type="continuationSeparator" w:id="0">
    <w:p w:rsidR="00B97227" w:rsidRDefault="00B9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11" w:rsidRDefault="00B04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1B6D">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11" w:rsidRDefault="00B046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8A" w:rsidRDefault="00FF118A">
    <w:pPr>
      <w:pStyle w:val="Footer"/>
      <w:tabs>
        <w:tab w:val="clear" w:pos="4320"/>
        <w:tab w:val="clear" w:pos="8640"/>
        <w:tab w:val="center" w:pos="4674"/>
        <w:tab w:val="right" w:pos="9360"/>
      </w:tabs>
    </w:pPr>
    <w:r>
      <w:tab/>
      <w:t xml:space="preserve">- </w:t>
    </w:r>
    <w:r>
      <w:rPr>
        <w:rStyle w:val="PageNumber"/>
      </w:rPr>
      <w:t>6 -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8A" w:rsidRDefault="00FF118A">
    <w:pPr>
      <w:pStyle w:val="Footer"/>
      <w:tabs>
        <w:tab w:val="clear" w:pos="4320"/>
        <w:tab w:val="clear" w:pos="8640"/>
        <w:tab w:val="center" w:pos="4674"/>
        <w:tab w:val="right" w:pos="9360"/>
      </w:tabs>
    </w:pPr>
    <w:r>
      <w:tab/>
      <w:t xml:space="preserve">- </w:t>
    </w:r>
    <w:r>
      <w:rPr>
        <w:rStyle w:val="PageNumber"/>
      </w:rPr>
      <w:t>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27" w:rsidRDefault="00B97227">
      <w:r>
        <w:separator/>
      </w:r>
    </w:p>
  </w:footnote>
  <w:footnote w:type="continuationSeparator" w:id="0">
    <w:p w:rsidR="00B97227" w:rsidRDefault="00B97227">
      <w:r>
        <w:continuationSeparator/>
      </w:r>
    </w:p>
  </w:footnote>
  <w:footnote w:id="1">
    <w:p w:rsidR="00F547A5" w:rsidRPr="00A40595" w:rsidRDefault="00F547A5" w:rsidP="00F547A5">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2015,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F33C5F" w:rsidRPr="00722AE6" w:rsidRDefault="00F33C5F" w:rsidP="00F33C5F">
      <w:pPr>
        <w:autoSpaceDE w:val="0"/>
        <w:autoSpaceDN w:val="0"/>
        <w:adjustRightInd w:val="0"/>
        <w:jc w:val="both"/>
        <w:rPr>
          <w:i/>
          <w:iCs/>
          <w:sz w:val="20"/>
          <w:szCs w:val="20"/>
        </w:rPr>
      </w:pPr>
      <w:r>
        <w:rPr>
          <w:rStyle w:val="FootnoteReference"/>
        </w:rPr>
        <w:footnoteRef/>
      </w:r>
      <w:r>
        <w:t xml:space="preserve"> </w:t>
      </w:r>
      <w:r w:rsidRPr="00722AE6">
        <w:rPr>
          <w:sz w:val="20"/>
          <w:szCs w:val="20"/>
        </w:rPr>
        <w:t xml:space="preserve">Order No. PSC-2023-0177-FOF-GU, issued June 9, 2023, in Docket No. 20220069-GU, </w:t>
      </w:r>
      <w:r w:rsidRPr="00722AE6">
        <w:rPr>
          <w:i/>
          <w:iCs/>
          <w:sz w:val="20"/>
          <w:szCs w:val="20"/>
        </w:rPr>
        <w:t>In re: Petition for rate</w:t>
      </w:r>
      <w:r>
        <w:rPr>
          <w:i/>
          <w:iCs/>
          <w:sz w:val="20"/>
          <w:szCs w:val="20"/>
        </w:rPr>
        <w:t xml:space="preserve"> </w:t>
      </w:r>
      <w:r w:rsidRPr="00722AE6">
        <w:rPr>
          <w:i/>
          <w:iCs/>
          <w:sz w:val="20"/>
          <w:szCs w:val="20"/>
        </w:rPr>
        <w:t>increase by Florida City Gas</w:t>
      </w:r>
      <w:r w:rsidRPr="00722AE6">
        <w:rPr>
          <w:i/>
          <w:iCs/>
        </w:rPr>
        <w:t>.</w:t>
      </w:r>
    </w:p>
  </w:footnote>
  <w:footnote w:id="3">
    <w:p w:rsidR="00F547A5" w:rsidRDefault="00F547A5" w:rsidP="00F547A5">
      <w:pPr>
        <w:pStyle w:val="FootnoteText"/>
      </w:pPr>
      <w:r>
        <w:rPr>
          <w:rStyle w:val="FootnoteReference"/>
        </w:rPr>
        <w:footnoteRef/>
      </w:r>
      <w:r>
        <w:t xml:space="preserve"> Order No. PSC-2024-0438-PAA-GU, issued October 2, 2024, in Docket No. 20240071-GU, </w:t>
      </w:r>
      <w:r>
        <w:rPr>
          <w:i/>
        </w:rPr>
        <w:t>In re: Petition for approval of safety, access, and facility enhancement program modifications, by Florida City Gas.</w:t>
      </w:r>
    </w:p>
  </w:footnote>
  <w:footnote w:id="4">
    <w:p w:rsidR="00F547A5" w:rsidRDefault="00F547A5" w:rsidP="00F547A5">
      <w:pPr>
        <w:pStyle w:val="FootnoteText"/>
      </w:pPr>
      <w:r>
        <w:rPr>
          <w:rStyle w:val="FootnoteReference"/>
        </w:rPr>
        <w:footnoteRef/>
      </w:r>
      <w:r>
        <w:t xml:space="preserve"> Order No. PSC-2024-0438-PAA-GU, page 4.</w:t>
      </w:r>
    </w:p>
  </w:footnote>
  <w:footnote w:id="5">
    <w:p w:rsidR="00F547A5" w:rsidRPr="009D5D0C" w:rsidRDefault="00F547A5" w:rsidP="00F547A5">
      <w:pPr>
        <w:autoSpaceDE w:val="0"/>
        <w:autoSpaceDN w:val="0"/>
        <w:adjustRightInd w:val="0"/>
        <w:jc w:val="both"/>
        <w:rPr>
          <w:i/>
          <w:iCs/>
          <w:sz w:val="20"/>
          <w:szCs w:val="20"/>
        </w:rPr>
      </w:pPr>
      <w:r>
        <w:rPr>
          <w:rStyle w:val="FootnoteReference"/>
        </w:rPr>
        <w:footnoteRef/>
      </w:r>
      <w:r>
        <w:t xml:space="preserve"> </w:t>
      </w:r>
      <w:r w:rsidRPr="009D5D0C">
        <w:rPr>
          <w:sz w:val="20"/>
          <w:szCs w:val="20"/>
        </w:rPr>
        <w:t>Order No.</w:t>
      </w:r>
      <w:r w:rsidRPr="001B2E93">
        <w:rPr>
          <w:color w:val="333333"/>
        </w:rPr>
        <w:t xml:space="preserve"> </w:t>
      </w:r>
      <w:r>
        <w:rPr>
          <w:color w:val="333333"/>
          <w:sz w:val="20"/>
          <w:szCs w:val="20"/>
        </w:rPr>
        <w:t>PSC-2025-0033</w:t>
      </w:r>
      <w:r w:rsidRPr="001B2E93">
        <w:rPr>
          <w:color w:val="333333"/>
          <w:sz w:val="20"/>
          <w:szCs w:val="20"/>
        </w:rPr>
        <w:t>-TRF-GU</w:t>
      </w:r>
      <w:r>
        <w:rPr>
          <w:sz w:val="20"/>
          <w:szCs w:val="20"/>
        </w:rPr>
        <w:t>, issued January 28, 2025, in Docket No. 20240134</w:t>
      </w:r>
      <w:r w:rsidRPr="009D5D0C">
        <w:rPr>
          <w:sz w:val="20"/>
          <w:szCs w:val="20"/>
        </w:rPr>
        <w:t xml:space="preserve">-GU, </w:t>
      </w:r>
      <w:r w:rsidRPr="009D5D0C">
        <w:rPr>
          <w:i/>
          <w:iCs/>
          <w:sz w:val="20"/>
          <w:szCs w:val="20"/>
        </w:rPr>
        <w:t>In re: Petition for</w:t>
      </w:r>
      <w:r>
        <w:rPr>
          <w:i/>
          <w:iCs/>
          <w:sz w:val="20"/>
          <w:szCs w:val="20"/>
        </w:rPr>
        <w:t xml:space="preserve"> </w:t>
      </w:r>
      <w:r w:rsidRPr="009D5D0C">
        <w:rPr>
          <w:i/>
          <w:iCs/>
          <w:sz w:val="20"/>
          <w:szCs w:val="20"/>
        </w:rPr>
        <w:t>approval of safety, access, and facility enha</w:t>
      </w:r>
      <w:r>
        <w:rPr>
          <w:i/>
          <w:iCs/>
          <w:sz w:val="20"/>
          <w:szCs w:val="20"/>
        </w:rPr>
        <w:t>ncement program true-up and 2024</w:t>
      </w:r>
      <w:r w:rsidRPr="009D5D0C">
        <w:rPr>
          <w:i/>
          <w:iCs/>
          <w:sz w:val="20"/>
          <w:szCs w:val="20"/>
        </w:rPr>
        <w:t xml:space="preserve"> co</w:t>
      </w:r>
      <w:r>
        <w:rPr>
          <w:i/>
          <w:iCs/>
          <w:sz w:val="20"/>
          <w:szCs w:val="20"/>
        </w:rPr>
        <w:t xml:space="preserve">st recovery factors, by Florida </w:t>
      </w:r>
      <w:r w:rsidRPr="009D5D0C">
        <w:rPr>
          <w:i/>
          <w:iCs/>
          <w:sz w:val="20"/>
          <w:szCs w:val="20"/>
        </w:rPr>
        <w:t>City Gas</w:t>
      </w:r>
      <w:r w:rsidRPr="009D5D0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11" w:rsidRDefault="00B0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44149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20250111-GU</w:t>
    </w:r>
    <w:bookmarkEnd w:id="15"/>
  </w:p>
  <w:p w:rsidR="00BC402E" w:rsidRDefault="00BC402E">
    <w:pPr>
      <w:pStyle w:val="Header"/>
    </w:pPr>
    <w:r>
      <w:t xml:space="preserve">Date: </w:t>
    </w:r>
    <w:fldSimple w:instr=" REF FilingDate ">
      <w:r w:rsidR="00B04611">
        <w:t>November 18,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611" w:rsidRDefault="00B046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04611">
      <w:t>Docket No.</w:t>
    </w:r>
    <w:r>
      <w:fldChar w:fldCharType="end"/>
    </w:r>
    <w:r>
      <w:t xml:space="preserve"> </w:t>
    </w:r>
    <w:r>
      <w:fldChar w:fldCharType="begin"/>
    </w:r>
    <w:r>
      <w:instrText xml:space="preserve"> REF DocketList</w:instrText>
    </w:r>
    <w:r>
      <w:fldChar w:fldCharType="separate"/>
    </w:r>
    <w:r w:rsidR="00B04611">
      <w:t>20250111-GU</w:t>
    </w:r>
    <w:r>
      <w:fldChar w:fldCharType="end"/>
    </w:r>
    <w:r>
      <w:tab/>
      <w:t xml:space="preserve">Issue </w:t>
    </w:r>
    <w:fldSimple w:instr=" Seq Issue \c \* Arabic ">
      <w:r w:rsidR="00151B6D">
        <w:rPr>
          <w:noProof/>
        </w:rPr>
        <w:t>2</w:t>
      </w:r>
    </w:fldSimple>
  </w:p>
  <w:p w:rsidR="00BC402E" w:rsidRDefault="00BC402E">
    <w:pPr>
      <w:pStyle w:val="Header"/>
    </w:pPr>
    <w:r>
      <w:t xml:space="preserve">Date: </w:t>
    </w:r>
    <w:fldSimple w:instr=" REF FilingDate ">
      <w:r w:rsidR="00B04611">
        <w:t>November 18,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43" w:rsidRDefault="003B2943" w:rsidP="00220732">
    <w:pPr>
      <w:pStyle w:val="Header"/>
      <w:tabs>
        <w:tab w:val="clear" w:pos="4320"/>
        <w:tab w:val="clear" w:pos="8640"/>
        <w:tab w:val="right" w:pos="9360"/>
      </w:tabs>
    </w:pPr>
    <w:r>
      <w:fldChar w:fldCharType="begin"/>
    </w:r>
    <w:r>
      <w:instrText xml:space="preserve"> REF DocketLabel</w:instrText>
    </w:r>
    <w:r>
      <w:fldChar w:fldCharType="separate"/>
    </w:r>
    <w:r w:rsidR="00B04611">
      <w:t>Docket No.</w:t>
    </w:r>
    <w:r>
      <w:fldChar w:fldCharType="end"/>
    </w:r>
    <w:r>
      <w:t xml:space="preserve"> </w:t>
    </w:r>
    <w:r>
      <w:fldChar w:fldCharType="begin"/>
    </w:r>
    <w:r>
      <w:instrText xml:space="preserve"> REF DocketList</w:instrText>
    </w:r>
    <w:r>
      <w:fldChar w:fldCharType="separate"/>
    </w:r>
    <w:r w:rsidR="00B04611">
      <w:t>20250111-GU</w:t>
    </w:r>
    <w:r>
      <w:fldChar w:fldCharType="end"/>
    </w:r>
    <w:r>
      <w:tab/>
      <w:t>Attachment A</w:t>
    </w:r>
  </w:p>
  <w:p w:rsidR="003B2943" w:rsidRDefault="003B2943" w:rsidP="003B2943">
    <w:pPr>
      <w:pStyle w:val="Header"/>
      <w:tabs>
        <w:tab w:val="clear" w:pos="4320"/>
        <w:tab w:val="clear" w:pos="8640"/>
        <w:tab w:val="right" w:pos="9360"/>
      </w:tabs>
    </w:pPr>
    <w:r>
      <w:t xml:space="preserve">Date: </w:t>
    </w:r>
    <w:fldSimple w:instr=" REF FilingDate ">
      <w:r w:rsidR="00B04611">
        <w:t>November 18, 2025</w:t>
      </w:r>
    </w:fldSimple>
    <w:r>
      <w:tab/>
      <w:t xml:space="preserve">Page </w:t>
    </w:r>
    <w:r>
      <w:fldChar w:fldCharType="begin"/>
    </w:r>
    <w:r>
      <w:instrText xml:space="preserve">= </w:instrText>
    </w:r>
    <w:r>
      <w:fldChar w:fldCharType="begin"/>
    </w:r>
    <w:r>
      <w:instrText xml:space="preserve">Page </w:instrText>
    </w:r>
    <w:r>
      <w:fldChar w:fldCharType="separate"/>
    </w:r>
    <w:r w:rsidR="00151B6D">
      <w:rPr>
        <w:noProof/>
      </w:rPr>
      <w:instrText>9</w:instrText>
    </w:r>
    <w:r>
      <w:fldChar w:fldCharType="end"/>
    </w:r>
    <w:r>
      <w:instrText xml:space="preserve">- 8 </w:instrText>
    </w:r>
    <w:r>
      <w:fldChar w:fldCharType="separate"/>
    </w:r>
    <w:r w:rsidR="00151B6D">
      <w:rPr>
        <w:noProof/>
      </w:rPr>
      <w:t>1</w:t>
    </w:r>
    <w:r>
      <w:fldChar w:fldCharType="end"/>
    </w:r>
    <w:r w:rsidR="00291EBA">
      <w:t xml:space="preserve">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BA" w:rsidRDefault="00291EBA" w:rsidP="00220732">
    <w:pPr>
      <w:pStyle w:val="Header"/>
      <w:tabs>
        <w:tab w:val="clear" w:pos="4320"/>
        <w:tab w:val="clear" w:pos="8640"/>
        <w:tab w:val="right" w:pos="9360"/>
      </w:tabs>
    </w:pPr>
    <w:r>
      <w:fldChar w:fldCharType="begin"/>
    </w:r>
    <w:r>
      <w:instrText xml:space="preserve"> REF DocketLabel</w:instrText>
    </w:r>
    <w:r>
      <w:fldChar w:fldCharType="separate"/>
    </w:r>
    <w:r w:rsidR="00B04611">
      <w:t>Docket No.</w:t>
    </w:r>
    <w:r>
      <w:fldChar w:fldCharType="end"/>
    </w:r>
    <w:r>
      <w:t xml:space="preserve"> </w:t>
    </w:r>
    <w:r>
      <w:fldChar w:fldCharType="begin"/>
    </w:r>
    <w:r>
      <w:instrText xml:space="preserve"> REF DocketList</w:instrText>
    </w:r>
    <w:r>
      <w:fldChar w:fldCharType="separate"/>
    </w:r>
    <w:r w:rsidR="00B04611">
      <w:t>20250111-GU</w:t>
    </w:r>
    <w:r>
      <w:fldChar w:fldCharType="end"/>
    </w:r>
    <w:r>
      <w:tab/>
      <w:t>Attachment B</w:t>
    </w:r>
  </w:p>
  <w:p w:rsidR="00291EBA" w:rsidRDefault="00291EBA" w:rsidP="003B2943">
    <w:pPr>
      <w:pStyle w:val="Header"/>
      <w:tabs>
        <w:tab w:val="clear" w:pos="4320"/>
        <w:tab w:val="clear" w:pos="8640"/>
        <w:tab w:val="right" w:pos="9360"/>
      </w:tabs>
    </w:pPr>
    <w:r>
      <w:t xml:space="preserve">Date: </w:t>
    </w:r>
    <w:r w:rsidR="0075661D">
      <w:fldChar w:fldCharType="begin"/>
    </w:r>
    <w:r w:rsidR="0075661D">
      <w:instrText xml:space="preserve"> REF FilingDate </w:instrText>
    </w:r>
    <w:r w:rsidR="0075661D">
      <w:fldChar w:fldCharType="separate"/>
    </w:r>
    <w:r w:rsidR="00B04611">
      <w:t>November 18, 2025</w:t>
    </w:r>
    <w:r w:rsidR="0075661D">
      <w:fldChar w:fldCharType="end"/>
    </w:r>
    <w:r>
      <w:tab/>
      <w:t xml:space="preserve">Page </w:t>
    </w:r>
    <w:r>
      <w:fldChar w:fldCharType="begin"/>
    </w:r>
    <w:r>
      <w:instrText xml:space="preserve">= </w:instrText>
    </w:r>
    <w:r>
      <w:fldChar w:fldCharType="begin"/>
    </w:r>
    <w:r>
      <w:instrText xml:space="preserve">Page </w:instrText>
    </w:r>
    <w:r>
      <w:fldChar w:fldCharType="separate"/>
    </w:r>
    <w:r w:rsidR="00151B6D">
      <w:rPr>
        <w:noProof/>
      </w:rPr>
      <w:instrText>9</w:instrText>
    </w:r>
    <w:r>
      <w:fldChar w:fldCharType="end"/>
    </w:r>
    <w:r>
      <w:instrText xml:space="preserve">- 8 </w:instrText>
    </w:r>
    <w:r>
      <w:fldChar w:fldCharType="separate"/>
    </w:r>
    <w:r w:rsidR="00151B6D">
      <w:rPr>
        <w:noProof/>
      </w:rPr>
      <w:t>1</w:t>
    </w:r>
    <w:r>
      <w:fldChar w:fldCharType="end"/>
    </w:r>
    <w:r w:rsidR="00FF118A">
      <w:t xml:space="preserve">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41498"/>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6C9F"/>
    <w:rsid w:val="00097804"/>
    <w:rsid w:val="000A2B57"/>
    <w:rsid w:val="000A418B"/>
    <w:rsid w:val="000B0ACE"/>
    <w:rsid w:val="000C4431"/>
    <w:rsid w:val="000C5435"/>
    <w:rsid w:val="000C6607"/>
    <w:rsid w:val="000D1C06"/>
    <w:rsid w:val="000D3043"/>
    <w:rsid w:val="000D4319"/>
    <w:rsid w:val="000D4831"/>
    <w:rsid w:val="000D6DDF"/>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1B6D"/>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B7EC1"/>
    <w:rsid w:val="001C13F4"/>
    <w:rsid w:val="001C4CE4"/>
    <w:rsid w:val="001C52B5"/>
    <w:rsid w:val="001D0BFE"/>
    <w:rsid w:val="001D0D3E"/>
    <w:rsid w:val="001D2817"/>
    <w:rsid w:val="001D2899"/>
    <w:rsid w:val="001E14A3"/>
    <w:rsid w:val="001E390F"/>
    <w:rsid w:val="001E7FF4"/>
    <w:rsid w:val="001F2245"/>
    <w:rsid w:val="001F2C63"/>
    <w:rsid w:val="001F48C7"/>
    <w:rsid w:val="001F6DA1"/>
    <w:rsid w:val="00200178"/>
    <w:rsid w:val="002013A9"/>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1EBA"/>
    <w:rsid w:val="00292D82"/>
    <w:rsid w:val="00293EE7"/>
    <w:rsid w:val="002963CB"/>
    <w:rsid w:val="002B2DAC"/>
    <w:rsid w:val="002B4A01"/>
    <w:rsid w:val="002C291B"/>
    <w:rsid w:val="002C746A"/>
    <w:rsid w:val="002C7E4E"/>
    <w:rsid w:val="002D226D"/>
    <w:rsid w:val="002D74E3"/>
    <w:rsid w:val="002E7227"/>
    <w:rsid w:val="002F6030"/>
    <w:rsid w:val="003001AC"/>
    <w:rsid w:val="003037E1"/>
    <w:rsid w:val="00307E51"/>
    <w:rsid w:val="003103EC"/>
    <w:rsid w:val="00310706"/>
    <w:rsid w:val="00312132"/>
    <w:rsid w:val="003130BA"/>
    <w:rsid w:val="003144EF"/>
    <w:rsid w:val="0031480E"/>
    <w:rsid w:val="00316877"/>
    <w:rsid w:val="00322F74"/>
    <w:rsid w:val="00325E15"/>
    <w:rsid w:val="00335116"/>
    <w:rsid w:val="00340073"/>
    <w:rsid w:val="003411D8"/>
    <w:rsid w:val="0034192C"/>
    <w:rsid w:val="00343D85"/>
    <w:rsid w:val="003445B0"/>
    <w:rsid w:val="00353B66"/>
    <w:rsid w:val="0035539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399F"/>
    <w:rsid w:val="003A5494"/>
    <w:rsid w:val="003B2510"/>
    <w:rsid w:val="003B2943"/>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41498"/>
    <w:rsid w:val="004426B8"/>
    <w:rsid w:val="00444432"/>
    <w:rsid w:val="00447D5C"/>
    <w:rsid w:val="00450202"/>
    <w:rsid w:val="004502B2"/>
    <w:rsid w:val="00455499"/>
    <w:rsid w:val="004649A7"/>
    <w:rsid w:val="00471860"/>
    <w:rsid w:val="00471DFE"/>
    <w:rsid w:val="00477026"/>
    <w:rsid w:val="00477730"/>
    <w:rsid w:val="00495479"/>
    <w:rsid w:val="004A744D"/>
    <w:rsid w:val="004B60BD"/>
    <w:rsid w:val="004C3150"/>
    <w:rsid w:val="004C3641"/>
    <w:rsid w:val="004C3873"/>
    <w:rsid w:val="004C4390"/>
    <w:rsid w:val="004C4AF7"/>
    <w:rsid w:val="004C4EEE"/>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7A4"/>
    <w:rsid w:val="00532955"/>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3F72"/>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D79FA"/>
    <w:rsid w:val="005E4C2E"/>
    <w:rsid w:val="005F2AB4"/>
    <w:rsid w:val="005F468D"/>
    <w:rsid w:val="005F5556"/>
    <w:rsid w:val="005F69A3"/>
    <w:rsid w:val="00604CC7"/>
    <w:rsid w:val="00613441"/>
    <w:rsid w:val="00615423"/>
    <w:rsid w:val="006165B2"/>
    <w:rsid w:val="00617276"/>
    <w:rsid w:val="0062298E"/>
    <w:rsid w:val="0062527B"/>
    <w:rsid w:val="00625D97"/>
    <w:rsid w:val="00625F1C"/>
    <w:rsid w:val="0062658E"/>
    <w:rsid w:val="006279E1"/>
    <w:rsid w:val="00630CEB"/>
    <w:rsid w:val="00632264"/>
    <w:rsid w:val="006355F2"/>
    <w:rsid w:val="006470BC"/>
    <w:rsid w:val="00650CAE"/>
    <w:rsid w:val="006554D3"/>
    <w:rsid w:val="006603F4"/>
    <w:rsid w:val="00661708"/>
    <w:rsid w:val="00666522"/>
    <w:rsid w:val="00667036"/>
    <w:rsid w:val="00667B89"/>
    <w:rsid w:val="00670905"/>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2003"/>
    <w:rsid w:val="006B3947"/>
    <w:rsid w:val="006B4293"/>
    <w:rsid w:val="006B624F"/>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0446"/>
    <w:rsid w:val="00724301"/>
    <w:rsid w:val="00724992"/>
    <w:rsid w:val="00724F64"/>
    <w:rsid w:val="00727F90"/>
    <w:rsid w:val="00734820"/>
    <w:rsid w:val="007349DC"/>
    <w:rsid w:val="0073514A"/>
    <w:rsid w:val="0074365E"/>
    <w:rsid w:val="00744B55"/>
    <w:rsid w:val="007515FD"/>
    <w:rsid w:val="00753AB2"/>
    <w:rsid w:val="00760D80"/>
    <w:rsid w:val="00761CB4"/>
    <w:rsid w:val="00780C09"/>
    <w:rsid w:val="00780DDF"/>
    <w:rsid w:val="007828B8"/>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4734"/>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56A2F"/>
    <w:rsid w:val="008618A4"/>
    <w:rsid w:val="008731AB"/>
    <w:rsid w:val="00874344"/>
    <w:rsid w:val="0087505D"/>
    <w:rsid w:val="00877703"/>
    <w:rsid w:val="00882155"/>
    <w:rsid w:val="0088233B"/>
    <w:rsid w:val="00882C12"/>
    <w:rsid w:val="0088599E"/>
    <w:rsid w:val="00886C37"/>
    <w:rsid w:val="008915FC"/>
    <w:rsid w:val="00892D99"/>
    <w:rsid w:val="00893315"/>
    <w:rsid w:val="00894C09"/>
    <w:rsid w:val="008B28CC"/>
    <w:rsid w:val="008B506A"/>
    <w:rsid w:val="008B5C68"/>
    <w:rsid w:val="008B62AE"/>
    <w:rsid w:val="008C04B5"/>
    <w:rsid w:val="008C14FA"/>
    <w:rsid w:val="008C7B0B"/>
    <w:rsid w:val="008D4057"/>
    <w:rsid w:val="008D68C6"/>
    <w:rsid w:val="008E1F19"/>
    <w:rsid w:val="008F1DC3"/>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1EFE"/>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058"/>
    <w:rsid w:val="00A916C0"/>
    <w:rsid w:val="00A92439"/>
    <w:rsid w:val="00A92FB1"/>
    <w:rsid w:val="00A95980"/>
    <w:rsid w:val="00A95A0C"/>
    <w:rsid w:val="00AA2765"/>
    <w:rsid w:val="00AA77B5"/>
    <w:rsid w:val="00AB6C5D"/>
    <w:rsid w:val="00AC3401"/>
    <w:rsid w:val="00AC51A7"/>
    <w:rsid w:val="00AC603B"/>
    <w:rsid w:val="00AC6DA6"/>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4611"/>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4783"/>
    <w:rsid w:val="00B96250"/>
    <w:rsid w:val="00B97227"/>
    <w:rsid w:val="00BA0D55"/>
    <w:rsid w:val="00BA37B3"/>
    <w:rsid w:val="00BA4CC6"/>
    <w:rsid w:val="00BA7F46"/>
    <w:rsid w:val="00BB0F1D"/>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8"/>
    <w:rsid w:val="00C477D9"/>
    <w:rsid w:val="00C530DF"/>
    <w:rsid w:val="00C57869"/>
    <w:rsid w:val="00C6097E"/>
    <w:rsid w:val="00C60BA3"/>
    <w:rsid w:val="00C623F7"/>
    <w:rsid w:val="00C6297D"/>
    <w:rsid w:val="00C62A81"/>
    <w:rsid w:val="00C67CD7"/>
    <w:rsid w:val="00C71E00"/>
    <w:rsid w:val="00C75BC5"/>
    <w:rsid w:val="00C80641"/>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19A"/>
    <w:rsid w:val="00CA3A24"/>
    <w:rsid w:val="00CB1777"/>
    <w:rsid w:val="00CB33E9"/>
    <w:rsid w:val="00CC10A9"/>
    <w:rsid w:val="00CD0655"/>
    <w:rsid w:val="00CD0660"/>
    <w:rsid w:val="00CE2BF8"/>
    <w:rsid w:val="00CE42F1"/>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324C"/>
    <w:rsid w:val="00D479AE"/>
    <w:rsid w:val="00D50FCD"/>
    <w:rsid w:val="00D533E3"/>
    <w:rsid w:val="00D60B16"/>
    <w:rsid w:val="00D60F02"/>
    <w:rsid w:val="00D631F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174"/>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2656"/>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3C5F"/>
    <w:rsid w:val="00F45CB2"/>
    <w:rsid w:val="00F511F3"/>
    <w:rsid w:val="00F544C0"/>
    <w:rsid w:val="00F547A5"/>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A797C"/>
    <w:rsid w:val="00FB0CDC"/>
    <w:rsid w:val="00FB1740"/>
    <w:rsid w:val="00FB4235"/>
    <w:rsid w:val="00FC4446"/>
    <w:rsid w:val="00FC5469"/>
    <w:rsid w:val="00FC5B01"/>
    <w:rsid w:val="00FC6D7D"/>
    <w:rsid w:val="00FD16B0"/>
    <w:rsid w:val="00FD4FED"/>
    <w:rsid w:val="00FE00C8"/>
    <w:rsid w:val="00FE0577"/>
    <w:rsid w:val="00FE2FF8"/>
    <w:rsid w:val="00FE59EC"/>
    <w:rsid w:val="00FE5B67"/>
    <w:rsid w:val="00FE60D6"/>
    <w:rsid w:val="00FF118A"/>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5CEAF89-4EAB-4B66-BB8F-A4D7F0C6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F547A5"/>
    <w:rPr>
      <w:vertAlign w:val="superscript"/>
    </w:rPr>
  </w:style>
  <w:style w:type="character" w:customStyle="1" w:styleId="FootnoteTextChar">
    <w:name w:val="Footnote Text Char"/>
    <w:basedOn w:val="DefaultParagraphFont"/>
    <w:link w:val="FootnoteText"/>
    <w:uiPriority w:val="99"/>
    <w:rsid w:val="00F5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CD018-6805-409C-851A-91969BE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1303</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Jackie Colson</cp:lastModifiedBy>
  <cp:revision>2</cp:revision>
  <cp:lastPrinted>2025-10-17T18:39:00Z</cp:lastPrinted>
  <dcterms:created xsi:type="dcterms:W3CDTF">2025-11-18T14:17:00Z</dcterms:created>
  <dcterms:modified xsi:type="dcterms:W3CDTF">2025-11-18T14:17:00Z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20250111-GU</vt:lpwstr>
  </property>
  <property fmtid="{D5CDD505-2E9C-101B-9397-08002B2CF9AE}" pid="3" name="MasterDocument">
    <vt:bool>false</vt:bool>
  </property>
</Properties>
</file>