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41040BA"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4A03E58" w14:textId="77777777" w:rsidR="007C0528" w:rsidRDefault="007C0528" w:rsidP="00532DFB">
            <w:pPr>
              <w:pStyle w:val="MastHeadState"/>
            </w:pPr>
            <w:bookmarkStart w:id="0" w:name="_GoBack"/>
            <w:bookmarkEnd w:id="0"/>
            <w:r>
              <w:t>State of Florida</w:t>
            </w:r>
          </w:p>
          <w:p w14:paraId="12846447" w14:textId="77777777" w:rsidR="007C0528" w:rsidRDefault="00072CCA">
            <w:pPr>
              <w:jc w:val="center"/>
            </w:pPr>
            <w:r>
              <w:rPr>
                <w:noProof/>
              </w:rPr>
              <w:drawing>
                <wp:inline distT="0" distB="0" distL="0" distR="0" wp14:anchorId="40048211" wp14:editId="07FE95D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C07B502"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EB7F6ED" w14:textId="77777777" w:rsidR="007C0528" w:rsidRDefault="007C0528">
            <w:pPr>
              <w:pStyle w:val="MastHeadPSC"/>
            </w:pPr>
            <w:r>
              <w:t>Public Service Commission</w:t>
            </w:r>
          </w:p>
          <w:p w14:paraId="0288BCD7" w14:textId="77777777" w:rsidR="007C0528" w:rsidRDefault="007C0528">
            <w:pPr>
              <w:pStyle w:val="MastHeadAddress"/>
            </w:pPr>
            <w:r>
              <w:t>Capital Circle Office Center ● 2540 Shumard Oak Boulevard</w:t>
            </w:r>
            <w:r>
              <w:br/>
              <w:t>Tallahassee, Florida 32399-0850</w:t>
            </w:r>
          </w:p>
          <w:p w14:paraId="52C1364E" w14:textId="77777777" w:rsidR="007C0528" w:rsidRDefault="007C0528">
            <w:pPr>
              <w:pStyle w:val="MastHeadMemorandum"/>
            </w:pPr>
            <w:r>
              <w:t>-M-E-M-O-R-A-N-D-U-M-</w:t>
            </w:r>
          </w:p>
          <w:p w14:paraId="594D4300" w14:textId="77777777" w:rsidR="007C0528" w:rsidRDefault="007C0528">
            <w:pPr>
              <w:pStyle w:val="MemoHeading"/>
            </w:pPr>
          </w:p>
        </w:tc>
      </w:tr>
      <w:tr w:rsidR="007C0528" w14:paraId="210D92DD"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E8FDE5B"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0525180" w14:textId="77777777" w:rsidR="007C0528" w:rsidRDefault="004D4881">
            <w:pPr>
              <w:pStyle w:val="MemoHeading"/>
            </w:pPr>
            <w:bookmarkStart w:id="1" w:name="FilingDate"/>
            <w:r>
              <w:t>March 26, 2026</w:t>
            </w:r>
            <w:bookmarkEnd w:id="1"/>
          </w:p>
        </w:tc>
      </w:tr>
      <w:tr w:rsidR="007C0528" w14:paraId="4B8B5814" w14:textId="77777777">
        <w:tc>
          <w:tcPr>
            <w:tcW w:w="1254" w:type="dxa"/>
            <w:tcBorders>
              <w:top w:val="nil"/>
              <w:left w:val="nil"/>
              <w:bottom w:val="nil"/>
              <w:right w:val="nil"/>
            </w:tcBorders>
            <w:shd w:val="clear" w:color="auto" w:fill="auto"/>
            <w:tcMar>
              <w:top w:w="288" w:type="dxa"/>
              <w:bottom w:w="0" w:type="dxa"/>
              <w:right w:w="0" w:type="dxa"/>
            </w:tcMar>
          </w:tcPr>
          <w:p w14:paraId="20C7E966"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051C1FA" w14:textId="77777777" w:rsidR="007C0528" w:rsidRDefault="007C0528" w:rsidP="0093658B">
            <w:pPr>
              <w:pStyle w:val="MemoHeading"/>
            </w:pPr>
            <w:r>
              <w:t>Office of Commission Clerk (</w:t>
            </w:r>
            <w:r w:rsidR="004E69B5">
              <w:t>Teitzman</w:t>
            </w:r>
            <w:r>
              <w:t>)</w:t>
            </w:r>
          </w:p>
        </w:tc>
      </w:tr>
      <w:tr w:rsidR="007C0528" w14:paraId="02FEE145" w14:textId="77777777">
        <w:tc>
          <w:tcPr>
            <w:tcW w:w="1254" w:type="dxa"/>
            <w:tcBorders>
              <w:top w:val="nil"/>
              <w:left w:val="nil"/>
              <w:bottom w:val="nil"/>
              <w:right w:val="nil"/>
            </w:tcBorders>
            <w:shd w:val="clear" w:color="auto" w:fill="auto"/>
            <w:tcMar>
              <w:top w:w="288" w:type="dxa"/>
              <w:right w:w="0" w:type="dxa"/>
            </w:tcMar>
          </w:tcPr>
          <w:p w14:paraId="3BBEE35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5234B0E" w14:textId="77777777" w:rsidR="004D4881" w:rsidRDefault="004D4881">
            <w:pPr>
              <w:pStyle w:val="MemoHeading"/>
            </w:pPr>
            <w:bookmarkStart w:id="2" w:name="From"/>
            <w:r>
              <w:t>Division of Engineering (Olivieri, King, Ramos)</w:t>
            </w:r>
          </w:p>
          <w:p w14:paraId="56032D81" w14:textId="225381FA" w:rsidR="004D4881" w:rsidRDefault="004D4881">
            <w:pPr>
              <w:pStyle w:val="MemoHeading"/>
            </w:pPr>
            <w:r>
              <w:t xml:space="preserve">Division of Accounting and Finance (Higgins, </w:t>
            </w:r>
            <w:r w:rsidR="005F4BB3">
              <w:t xml:space="preserve">G. </w:t>
            </w:r>
            <w:r>
              <w:t>Kelley, Lenberg)</w:t>
            </w:r>
          </w:p>
          <w:p w14:paraId="52F58A66" w14:textId="77777777" w:rsidR="004D4881" w:rsidRDefault="004D4881">
            <w:pPr>
              <w:pStyle w:val="MemoHeading"/>
            </w:pPr>
            <w:r>
              <w:t>Division of Economics (Bethea, Bruce)</w:t>
            </w:r>
          </w:p>
          <w:p w14:paraId="30CB5168" w14:textId="77777777" w:rsidR="007C0528" w:rsidRDefault="004D4881">
            <w:pPr>
              <w:pStyle w:val="MemoHeading"/>
            </w:pPr>
            <w:r>
              <w:t>Office of the General Counsel (Marquez, Farooqi)</w:t>
            </w:r>
            <w:bookmarkEnd w:id="2"/>
          </w:p>
        </w:tc>
      </w:tr>
      <w:tr w:rsidR="007C0528" w14:paraId="190C4646" w14:textId="77777777">
        <w:tc>
          <w:tcPr>
            <w:tcW w:w="1254" w:type="dxa"/>
            <w:tcBorders>
              <w:top w:val="nil"/>
              <w:left w:val="nil"/>
              <w:bottom w:val="nil"/>
              <w:right w:val="nil"/>
            </w:tcBorders>
            <w:shd w:val="clear" w:color="auto" w:fill="auto"/>
            <w:tcMar>
              <w:top w:w="288" w:type="dxa"/>
              <w:right w:w="0" w:type="dxa"/>
            </w:tcMar>
          </w:tcPr>
          <w:p w14:paraId="0714C96B"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37FCDF0" w14:textId="77777777" w:rsidR="007C0528" w:rsidRDefault="004D4881">
            <w:pPr>
              <w:pStyle w:val="MemoHeadingRe"/>
            </w:pPr>
            <w:bookmarkStart w:id="3" w:name="Re"/>
            <w:r>
              <w:t>Docket No. 20250084-SU – Application for staff-assisted rate case in Orange County, by Gulfstream Utility LLC.</w:t>
            </w:r>
            <w:bookmarkEnd w:id="3"/>
          </w:p>
        </w:tc>
      </w:tr>
      <w:tr w:rsidR="007C0528" w14:paraId="265989DE" w14:textId="77777777">
        <w:tc>
          <w:tcPr>
            <w:tcW w:w="1254" w:type="dxa"/>
            <w:tcBorders>
              <w:top w:val="nil"/>
              <w:left w:val="nil"/>
              <w:bottom w:val="nil"/>
              <w:right w:val="nil"/>
            </w:tcBorders>
            <w:shd w:val="clear" w:color="auto" w:fill="auto"/>
            <w:tcMar>
              <w:top w:w="288" w:type="dxa"/>
              <w:bottom w:w="0" w:type="dxa"/>
              <w:right w:w="0" w:type="dxa"/>
            </w:tcMar>
          </w:tcPr>
          <w:p w14:paraId="06F0AAAC"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3D68A60" w14:textId="0E3C4305" w:rsidR="00155646" w:rsidRDefault="005F4BB3" w:rsidP="00155646">
            <w:pPr>
              <w:pStyle w:val="MemoHeading"/>
            </w:pPr>
            <w:bookmarkStart w:id="4" w:name="AgendaDate"/>
            <w:r>
              <w:t>04/07/26</w:t>
            </w:r>
            <w:bookmarkEnd w:id="4"/>
            <w:r>
              <w:t xml:space="preserve"> – </w:t>
            </w:r>
            <w:bookmarkStart w:id="5" w:name="PermittedStatus"/>
            <w:r>
              <w:t xml:space="preserve">Regular Agenda – </w:t>
            </w:r>
            <w:r w:rsidR="00BD3DB7">
              <w:t xml:space="preserve">Proposed Agency Action – </w:t>
            </w:r>
            <w:r w:rsidR="00155646">
              <w:t>Except for Issue Nos. 12,</w:t>
            </w:r>
          </w:p>
          <w:p w14:paraId="59D047A6" w14:textId="2AD1D169" w:rsidR="007C0528" w:rsidRDefault="00155646" w:rsidP="00155646">
            <w:pPr>
              <w:pStyle w:val="MemoHeading"/>
            </w:pPr>
            <w:r>
              <w:t xml:space="preserve">13, and 14 – </w:t>
            </w:r>
            <w:r w:rsidR="005F4BB3">
              <w:t>Interested Persons May Participate</w:t>
            </w:r>
            <w:bookmarkEnd w:id="5"/>
          </w:p>
        </w:tc>
      </w:tr>
      <w:tr w:rsidR="007C0528" w14:paraId="4F387A19" w14:textId="77777777">
        <w:tc>
          <w:tcPr>
            <w:tcW w:w="3690" w:type="dxa"/>
            <w:gridSpan w:val="3"/>
            <w:tcBorders>
              <w:top w:val="nil"/>
              <w:left w:val="nil"/>
              <w:bottom w:val="nil"/>
              <w:right w:val="nil"/>
            </w:tcBorders>
            <w:shd w:val="clear" w:color="auto" w:fill="auto"/>
            <w:tcMar>
              <w:top w:w="288" w:type="dxa"/>
              <w:bottom w:w="0" w:type="dxa"/>
              <w:right w:w="0" w:type="dxa"/>
            </w:tcMar>
          </w:tcPr>
          <w:p w14:paraId="540AC5F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C597709" w14:textId="77777777" w:rsidR="007C0528" w:rsidRDefault="004D4881">
            <w:pPr>
              <w:pStyle w:val="MemoHeading"/>
            </w:pPr>
            <w:bookmarkStart w:id="6" w:name="CommissionersAssigned"/>
            <w:r>
              <w:t>All Commissioners</w:t>
            </w:r>
            <w:bookmarkEnd w:id="6"/>
          </w:p>
        </w:tc>
      </w:tr>
      <w:tr w:rsidR="007C0528" w14:paraId="19136298" w14:textId="77777777">
        <w:tc>
          <w:tcPr>
            <w:tcW w:w="3690" w:type="dxa"/>
            <w:gridSpan w:val="3"/>
            <w:tcBorders>
              <w:top w:val="nil"/>
              <w:left w:val="nil"/>
              <w:bottom w:val="nil"/>
              <w:right w:val="nil"/>
            </w:tcBorders>
            <w:shd w:val="clear" w:color="auto" w:fill="auto"/>
            <w:tcMar>
              <w:top w:w="288" w:type="dxa"/>
              <w:bottom w:w="0" w:type="dxa"/>
              <w:right w:w="0" w:type="dxa"/>
            </w:tcMar>
          </w:tcPr>
          <w:p w14:paraId="44B0E52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153DB5D" w14:textId="77777777" w:rsidR="007C0528" w:rsidRDefault="004D4881">
            <w:pPr>
              <w:pStyle w:val="MemoHeading"/>
            </w:pPr>
            <w:bookmarkStart w:id="7" w:name="PrehearingOfficer"/>
            <w:r>
              <w:t>La Rosa</w:t>
            </w:r>
            <w:bookmarkEnd w:id="7"/>
          </w:p>
        </w:tc>
      </w:tr>
      <w:tr w:rsidR="007C0528" w14:paraId="3350A1B2"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7BA1299"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86845F5" w14:textId="1641CCB4" w:rsidR="007C0528" w:rsidRDefault="003D50C5">
            <w:pPr>
              <w:pStyle w:val="MemoHeading"/>
            </w:pPr>
            <w:r>
              <w:t xml:space="preserve">10/19/26 </w:t>
            </w:r>
            <w:r w:rsidRPr="00630AA9">
              <w:rPr>
                <w:rFonts w:eastAsia="InvisibleOCR"/>
              </w:rPr>
              <w:t>(15-Month Effective Date (SARC))</w:t>
            </w:r>
          </w:p>
        </w:tc>
      </w:tr>
      <w:tr w:rsidR="007C0528" w14:paraId="53A0846A"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757ED66"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33B43B0" w14:textId="77777777" w:rsidR="007C0528" w:rsidRDefault="004D4881">
            <w:pPr>
              <w:pStyle w:val="MemoHeading"/>
            </w:pPr>
            <w:bookmarkStart w:id="9" w:name="SpecialInstructions"/>
            <w:r>
              <w:t>None</w:t>
            </w:r>
            <w:bookmarkEnd w:id="9"/>
          </w:p>
        </w:tc>
      </w:tr>
    </w:tbl>
    <w:p w14:paraId="5004A94E" w14:textId="77777777" w:rsidR="007C0528" w:rsidRDefault="007C0528">
      <w:pPr>
        <w:pStyle w:val="BodyText"/>
      </w:pPr>
    </w:p>
    <w:p w14:paraId="5DDFE429"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66174DB1" w14:textId="77777777" w:rsidR="00BD3DB7" w:rsidRDefault="00BD3DB7" w:rsidP="00BD3DB7">
      <w:pPr>
        <w:pStyle w:val="BodyText"/>
      </w:pPr>
      <w:r>
        <w:t>Gulfstream Utility</w:t>
      </w:r>
      <w:r w:rsidRPr="007750FE">
        <w:t xml:space="preserve"> LLC (</w:t>
      </w:r>
      <w:r>
        <w:t>Gulfstream</w:t>
      </w:r>
      <w:r w:rsidRPr="007750FE">
        <w:t xml:space="preserve"> or </w:t>
      </w:r>
      <w:r>
        <w:t>U</w:t>
      </w:r>
      <w:r w:rsidRPr="007750FE">
        <w:t>tility</w:t>
      </w:r>
      <w:r>
        <w:t>) is a Class C u</w:t>
      </w:r>
      <w:r w:rsidRPr="007750FE">
        <w:t xml:space="preserve">tility providing </w:t>
      </w:r>
      <w:r>
        <w:t>wastewater service to approximately 965 residential customers in Orange</w:t>
      </w:r>
      <w:r w:rsidRPr="007750FE">
        <w:t xml:space="preserve"> County. </w:t>
      </w:r>
      <w:r>
        <w:t xml:space="preserve">Gulfstream provides water service to its wastewater customers through a bulk service agreement with Orange County. Because Gulfstream is acting as a reseller of water, pursuant to Section </w:t>
      </w:r>
      <w:r w:rsidRPr="00F44526">
        <w:t>367.022(</w:t>
      </w:r>
      <w:r>
        <w:t>9</w:t>
      </w:r>
      <w:r w:rsidRPr="00F44526">
        <w:t>),</w:t>
      </w:r>
      <w:r>
        <w:t xml:space="preserve"> Florida Statutes (F.S.), the water operations are exempt from Florida Public Service Commission (Commission) regulation. In October 2023, Gulfstream applied for a</w:t>
      </w:r>
      <w:r w:rsidRPr="007750FE">
        <w:t xml:space="preserve"> staff-assisted rate case</w:t>
      </w:r>
      <w:r>
        <w:t xml:space="preserve"> (SARC). However, in June 2024, the Utility withdrew its application.</w:t>
      </w:r>
      <w:r w:rsidRPr="007750FE">
        <w:t xml:space="preserve"> </w:t>
      </w:r>
      <w:r>
        <w:t>Thus, this is Gulfstream’s first SARC before the Commission. According to the Utility</w:t>
      </w:r>
      <w:r w:rsidRPr="007750FE">
        <w:t>’s</w:t>
      </w:r>
      <w:r>
        <w:t xml:space="preserve"> 2024</w:t>
      </w:r>
      <w:r w:rsidRPr="007750FE">
        <w:t xml:space="preserve"> annual report, </w:t>
      </w:r>
      <w:r>
        <w:t>its operating revenues were $132,236</w:t>
      </w:r>
      <w:r w:rsidRPr="007750FE">
        <w:t xml:space="preserve"> and ope</w:t>
      </w:r>
      <w:r>
        <w:t>rating expenses were $187,386.</w:t>
      </w:r>
    </w:p>
    <w:p w14:paraId="5F5FC247" w14:textId="270C6056" w:rsidR="0083363F" w:rsidRDefault="00BD3DB7" w:rsidP="00BD3DB7">
      <w:pPr>
        <w:pStyle w:val="BodyText"/>
      </w:pPr>
      <w:r>
        <w:lastRenderedPageBreak/>
        <w:t>Gulfstream</w:t>
      </w:r>
      <w:r w:rsidRPr="00772963">
        <w:t xml:space="preserve"> </w:t>
      </w:r>
      <w:r>
        <w:t>has been in existence since 2005 and was granted an original certificate by the Commission in 2022.</w:t>
      </w:r>
      <w:r>
        <w:rPr>
          <w:rStyle w:val="FootnoteReference"/>
        </w:rPr>
        <w:footnoteReference w:id="1"/>
      </w:r>
      <w:r>
        <w:t xml:space="preserve"> On June 4, 2025</w:t>
      </w:r>
      <w:r w:rsidRPr="007750FE">
        <w:t xml:space="preserve">, </w:t>
      </w:r>
      <w:r>
        <w:t>the Utility</w:t>
      </w:r>
      <w:r w:rsidRPr="007750FE">
        <w:t xml:space="preserve"> filed an application for a SARC</w:t>
      </w:r>
      <w:r>
        <w:t xml:space="preserve"> and</w:t>
      </w:r>
      <w:r w:rsidRPr="007750FE">
        <w:t xml:space="preserve"> the official filing date of the SARC </w:t>
      </w:r>
      <w:r>
        <w:t>was established as July 18</w:t>
      </w:r>
      <w:r w:rsidRPr="007750FE">
        <w:t>, 202</w:t>
      </w:r>
      <w:r>
        <w:t>5</w:t>
      </w:r>
      <w:r w:rsidRPr="007750FE">
        <w:t xml:space="preserve">. </w:t>
      </w:r>
      <w:r>
        <w:t>Gulfstream’s</w:t>
      </w:r>
      <w:r w:rsidR="0083363F">
        <w:t xml:space="preserve"> </w:t>
      </w:r>
      <w:r w:rsidR="0083363F" w:rsidRPr="007C7835">
        <w:t xml:space="preserve">request for a SARC is due to </w:t>
      </w:r>
      <w:r w:rsidR="0083363F" w:rsidRPr="00673C23">
        <w:t>capital improvements and additional pro</w:t>
      </w:r>
      <w:r w:rsidR="0083363F">
        <w:t xml:space="preserve"> forma expense to the</w:t>
      </w:r>
      <w:r w:rsidR="0083363F" w:rsidRPr="00673C23">
        <w:t xml:space="preserve"> wastewater system</w:t>
      </w:r>
      <w:r w:rsidR="0083363F" w:rsidRPr="007C7835">
        <w:t>.</w:t>
      </w:r>
      <w:r w:rsidR="0083363F">
        <w:t xml:space="preserve"> The 12-month period ending on December 31, 2024, was selected as the test year</w:t>
      </w:r>
      <w:r w:rsidR="00155646">
        <w:t>.</w:t>
      </w:r>
      <w:r w:rsidR="0083363F">
        <w:t xml:space="preserve"> </w:t>
      </w:r>
    </w:p>
    <w:p w14:paraId="77AD01D2" w14:textId="53605A9E" w:rsidR="0068481F" w:rsidRDefault="0083363F" w:rsidP="0083363F">
      <w:pPr>
        <w:pStyle w:val="BodyText"/>
      </w:pPr>
      <w:r w:rsidRPr="007750FE">
        <w:t xml:space="preserve">The Commission has jurisdiction in this case pursuant to Sections </w:t>
      </w:r>
      <w:r>
        <w:t xml:space="preserve">367.011, </w:t>
      </w:r>
      <w:r w:rsidRPr="007750FE">
        <w:t>367.081, 367.0812, 367.0814, 367.091,</w:t>
      </w:r>
      <w:r>
        <w:t xml:space="preserve"> and 367.121, </w:t>
      </w:r>
      <w:r w:rsidRPr="007750FE">
        <w:t>F.S.</w:t>
      </w:r>
    </w:p>
    <w:p w14:paraId="432BC1EF" w14:textId="77777777" w:rsidR="007C0528" w:rsidRDefault="007C0528" w:rsidP="0068481F"/>
    <w:bookmarkEnd w:id="11"/>
    <w:p w14:paraId="00BBD65A"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411AFD15" w14:textId="77777777" w:rsidR="007C0528" w:rsidRDefault="007C0528">
      <w:pPr>
        <w:pStyle w:val="RecommendationMajorSectionHeading"/>
      </w:pPr>
      <w:bookmarkStart w:id="15" w:name="DiscussionOfIssues"/>
      <w:r>
        <w:t>Discussion of Issues</w:t>
      </w:r>
    </w:p>
    <w:bookmarkEnd w:id="15"/>
    <w:p w14:paraId="5D7BE0F5" w14:textId="09989A69" w:rsidR="00B359B9" w:rsidRDefault="00B359B9">
      <w:pPr>
        <w:rPr>
          <w:rFonts w:ascii="Arial" w:hAnsi="Arial" w:cs="Arial"/>
          <w:b/>
          <w:bCs/>
          <w:i/>
          <w:kern w:val="32"/>
          <w:szCs w:val="32"/>
        </w:rPr>
      </w:pPr>
    </w:p>
    <w:p w14:paraId="436BE5EC" w14:textId="4A2BB329" w:rsidR="004D4881" w:rsidRDefault="004D4881">
      <w:pPr>
        <w:pStyle w:val="IssueHeading"/>
        <w:rPr>
          <w:vanish/>
          <w:specVanish/>
        </w:rPr>
      </w:pPr>
      <w:r w:rsidRPr="004C3641">
        <w:t xml:space="preserve">Issue </w:t>
      </w:r>
      <w:fldSimple w:instr=" SEQ Issue \* MERGEFORMAT ">
        <w:r w:rsidR="0002012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1</w:instrText>
      </w:r>
      <w:r>
        <w:fldChar w:fldCharType="end"/>
      </w:r>
      <w:r>
        <w:tab/>
        <w:instrText xml:space="preserve">(Olivieri)" \l 1 </w:instrText>
      </w:r>
      <w:r>
        <w:fldChar w:fldCharType="end"/>
      </w:r>
      <w:r>
        <w:t> </w:t>
      </w:r>
    </w:p>
    <w:p w14:paraId="1D606521" w14:textId="441374BC" w:rsidR="004D4881" w:rsidRDefault="004D4881">
      <w:pPr>
        <w:pStyle w:val="BodyText"/>
      </w:pPr>
      <w:r>
        <w:t> Is the quality of service provided by Gulfstream Utility LLC satisfactory?</w:t>
      </w:r>
    </w:p>
    <w:p w14:paraId="16146707" w14:textId="77777777" w:rsidR="004D4881" w:rsidRPr="004C3641" w:rsidRDefault="004D4881">
      <w:pPr>
        <w:pStyle w:val="IssueSubsectionHeading"/>
        <w:rPr>
          <w:vanish/>
          <w:specVanish/>
        </w:rPr>
      </w:pPr>
      <w:r w:rsidRPr="004C3641">
        <w:t>Recommendation: </w:t>
      </w:r>
    </w:p>
    <w:p w14:paraId="27C12853" w14:textId="05868D42" w:rsidR="004D4881" w:rsidRDefault="004D4881">
      <w:pPr>
        <w:pStyle w:val="BodyText"/>
      </w:pPr>
      <w:r>
        <w:t> </w:t>
      </w:r>
      <w:r w:rsidR="003D50C5">
        <w:t xml:space="preserve">Yes. Gulfstream </w:t>
      </w:r>
      <w:r w:rsidR="003D50C5" w:rsidRPr="00DE405C">
        <w:rPr>
          <w:rFonts w:eastAsia="InvisibleOCR"/>
        </w:rPr>
        <w:t>is currently in</w:t>
      </w:r>
      <w:r w:rsidR="003D50C5">
        <w:rPr>
          <w:rFonts w:eastAsia="InvisibleOCR"/>
        </w:rPr>
        <w:t xml:space="preserve"> </w:t>
      </w:r>
      <w:r w:rsidR="003D50C5" w:rsidRPr="00DE405C">
        <w:rPr>
          <w:rFonts w:eastAsia="InvisibleOCR"/>
        </w:rPr>
        <w:t>compliance with the Department of Environmental Protection (DEP)</w:t>
      </w:r>
      <w:r w:rsidR="003D50C5">
        <w:rPr>
          <w:rFonts w:eastAsia="InvisibleOCR"/>
        </w:rPr>
        <w:t xml:space="preserve"> and there </w:t>
      </w:r>
      <w:r w:rsidR="003D50C5" w:rsidRPr="00D64FDB">
        <w:t xml:space="preserve">were no complaints recorded during </w:t>
      </w:r>
      <w:r w:rsidR="00BD3DB7" w:rsidRPr="000B560F">
        <w:t xml:space="preserve">the </w:t>
      </w:r>
      <w:r w:rsidR="00BD3DB7">
        <w:t>test year or four years prior. T</w:t>
      </w:r>
      <w:r w:rsidR="00BD3DB7" w:rsidRPr="00D64FDB">
        <w:t>herefore</w:t>
      </w:r>
      <w:r w:rsidR="003D50C5" w:rsidRPr="00D64FDB">
        <w:t>, the quality of service should be considered satisfactory</w:t>
      </w:r>
      <w:r w:rsidR="00D64FDB" w:rsidRPr="00D64FDB">
        <w:t>.</w:t>
      </w:r>
      <w:r>
        <w:t xml:space="preserve"> (Olivieri)</w:t>
      </w:r>
    </w:p>
    <w:p w14:paraId="3834B525" w14:textId="77777777" w:rsidR="004D4881" w:rsidRPr="004C3641" w:rsidRDefault="004D4881">
      <w:pPr>
        <w:pStyle w:val="IssueSubsectionHeading"/>
        <w:rPr>
          <w:vanish/>
          <w:specVanish/>
        </w:rPr>
      </w:pPr>
      <w:r w:rsidRPr="004C3641">
        <w:t>Staff Analysis: </w:t>
      </w:r>
    </w:p>
    <w:p w14:paraId="591620BC" w14:textId="3221FD19" w:rsidR="0083363F" w:rsidRDefault="004D4881" w:rsidP="0083363F">
      <w:pPr>
        <w:pStyle w:val="BodyText"/>
      </w:pPr>
      <w:r>
        <w:t> </w:t>
      </w:r>
      <w:r w:rsidR="0083363F">
        <w:t>P</w:t>
      </w:r>
      <w:r w:rsidR="0083363F" w:rsidRPr="007750FE">
        <w:t xml:space="preserve">ursuant to Section </w:t>
      </w:r>
      <w:r w:rsidR="00BD3DB7" w:rsidRPr="007750FE">
        <w:t>367.081(2</w:t>
      </w:r>
      <w:proofErr w:type="gramStart"/>
      <w:r w:rsidR="00BD3DB7" w:rsidRPr="007750FE">
        <w:t>)(</w:t>
      </w:r>
      <w:proofErr w:type="gramEnd"/>
      <w:r w:rsidR="00BD3DB7" w:rsidRPr="007750FE">
        <w:t>a)</w:t>
      </w:r>
      <w:r w:rsidR="00BD3DB7">
        <w:t>(</w:t>
      </w:r>
      <w:r w:rsidR="00BD3DB7" w:rsidRPr="007750FE">
        <w:t>1</w:t>
      </w:r>
      <w:r w:rsidR="00BD3DB7">
        <w:t>)</w:t>
      </w:r>
      <w:r w:rsidR="00BD3DB7" w:rsidRPr="007750FE">
        <w:t>,</w:t>
      </w:r>
      <w:r w:rsidR="00BD3DB7">
        <w:t xml:space="preserve"> </w:t>
      </w:r>
      <w:r w:rsidR="00BD3DB7" w:rsidRPr="007750FE">
        <w:t>F.S.</w:t>
      </w:r>
      <w:r w:rsidR="00BD3DB7">
        <w:t xml:space="preserve">, and Rule 25-30.433(1), </w:t>
      </w:r>
      <w:r w:rsidR="00BD3DB7" w:rsidRPr="002434E4">
        <w:t>Florida Administrative Code (F.A.C.)</w:t>
      </w:r>
      <w:r w:rsidR="00BD3DB7" w:rsidRPr="007750FE">
        <w:t>, in wastewater rate cases, the Commission shall determine the overall quality of service pr</w:t>
      </w:r>
      <w:r w:rsidR="00BD3DB7">
        <w:t>ovided by the u</w:t>
      </w:r>
      <w:r w:rsidR="00BD3DB7" w:rsidRPr="007750FE">
        <w:t xml:space="preserve">tility. </w:t>
      </w:r>
      <w:r w:rsidR="00BD3DB7">
        <w:t xml:space="preserve">This determination is made from an evaluation of the utility’s attempt to address customer satisfaction. </w:t>
      </w:r>
      <w:r w:rsidR="00BD3DB7" w:rsidRPr="007750FE">
        <w:t>Rule 25-</w:t>
      </w:r>
      <w:r w:rsidR="00BD3DB7">
        <w:t>30.433, F.A.C., further states that the most recent outstanding citations</w:t>
      </w:r>
      <w:r w:rsidR="0083363F">
        <w:t xml:space="preserve">, violations, and consent orders on file with the </w:t>
      </w:r>
      <w:r w:rsidR="0083363F" w:rsidRPr="001C7924">
        <w:t>DEP</w:t>
      </w:r>
      <w:r w:rsidR="0083363F">
        <w:t xml:space="preserve">, the county health department, and any DEP and county health department officials’ testimony concerning quality of service shall be considered. In addition, any customer testimony, comments, or complaints received by the Commission are also reviewed. The operating condition of the wastewater system is addressed in Issue 2. </w:t>
      </w:r>
    </w:p>
    <w:p w14:paraId="4CA4D6E2" w14:textId="77777777" w:rsidR="003D50C5" w:rsidRDefault="003D50C5" w:rsidP="003D50C5">
      <w:pPr>
        <w:pStyle w:val="First-LevelSubheading"/>
      </w:pPr>
      <w:r>
        <w:t>The Utility’s Attempt to Address Customer Satisfaction</w:t>
      </w:r>
    </w:p>
    <w:p w14:paraId="6AD47ACF" w14:textId="09BD8BF9" w:rsidR="003D50C5" w:rsidRDefault="003D50C5" w:rsidP="003D50C5">
      <w:pPr>
        <w:pStyle w:val="BodyText"/>
      </w:pPr>
      <w:r>
        <w:t xml:space="preserve">There were no complaints recorded by </w:t>
      </w:r>
      <w:r w:rsidRPr="00CB1499">
        <w:t xml:space="preserve">the Commission’s Consumer Activity Tracking System (CATS), received by the Utility, </w:t>
      </w:r>
      <w:r>
        <w:t>or</w:t>
      </w:r>
      <w:r w:rsidRPr="00CB1499">
        <w:t xml:space="preserve"> filed with</w:t>
      </w:r>
      <w:r>
        <w:t xml:space="preserve"> the</w:t>
      </w:r>
      <w:r w:rsidRPr="00CB1499">
        <w:t xml:space="preserve"> DEP for the test year and four years prior. </w:t>
      </w:r>
      <w:r>
        <w:t xml:space="preserve">As of March 2, 2026, there were six customer comments filed in the docket file, including a letter submitted by each of the three Homeowner’s Associations within Gulfstream’s service territory. The majority of the comments were in opposition to the overall rate increase. The remaining comments addressed potential Utility under earnings due to malfunctioning meters and being billed a lower rate than approved by the Commission. Table 1-1 summarizes the customer comments filed in this docket. </w:t>
      </w:r>
    </w:p>
    <w:p w14:paraId="747847D0" w14:textId="77777777" w:rsidR="003D50C5" w:rsidRPr="00DA5C12" w:rsidRDefault="003D50C5" w:rsidP="003D50C5">
      <w:pPr>
        <w:keepNext/>
        <w:jc w:val="center"/>
        <w:rPr>
          <w:rFonts w:ascii="Arial" w:hAnsi="Arial"/>
          <w:b/>
        </w:rPr>
      </w:pPr>
      <w:r w:rsidRPr="00DA5C12">
        <w:rPr>
          <w:rFonts w:ascii="Arial" w:hAnsi="Arial"/>
          <w:b/>
          <w:sz w:val="23"/>
          <w:szCs w:val="23"/>
        </w:rPr>
        <w:t xml:space="preserve"> </w:t>
      </w:r>
      <w:r w:rsidRPr="00DA5C12">
        <w:rPr>
          <w:rFonts w:ascii="Arial" w:hAnsi="Arial"/>
        </w:rPr>
        <w:t xml:space="preserve"> </w:t>
      </w:r>
      <w:r>
        <w:rPr>
          <w:rFonts w:ascii="Arial" w:hAnsi="Arial"/>
          <w:b/>
        </w:rPr>
        <w:t>Table 1</w:t>
      </w:r>
      <w:r w:rsidRPr="00DA5C12">
        <w:rPr>
          <w:rFonts w:ascii="Arial" w:hAnsi="Arial"/>
          <w:b/>
        </w:rPr>
        <w:t>-1</w:t>
      </w:r>
    </w:p>
    <w:p w14:paraId="4567F711" w14:textId="77777777" w:rsidR="003D50C5" w:rsidRPr="00DA5C12" w:rsidRDefault="003D50C5" w:rsidP="003D50C5">
      <w:pPr>
        <w:keepNext/>
        <w:jc w:val="center"/>
        <w:rPr>
          <w:rFonts w:ascii="Arial" w:hAnsi="Arial"/>
          <w:b/>
        </w:rPr>
      </w:pPr>
      <w:r>
        <w:rPr>
          <w:rFonts w:ascii="Arial" w:hAnsi="Arial"/>
          <w:b/>
        </w:rPr>
        <w:t>Number of Comments</w:t>
      </w:r>
      <w:r w:rsidRPr="00DA5C12">
        <w:rPr>
          <w:rFonts w:ascii="Arial" w:hAnsi="Arial"/>
          <w:b/>
        </w:rPr>
        <w:t xml:space="preserve"> by Source and Subject</w:t>
      </w:r>
    </w:p>
    <w:tbl>
      <w:tblPr>
        <w:tblStyle w:val="TableGrid1"/>
        <w:tblW w:w="5125" w:type="dxa"/>
        <w:jc w:val="center"/>
        <w:tblLayout w:type="fixed"/>
        <w:tblLook w:val="04A0" w:firstRow="1" w:lastRow="0" w:firstColumn="1" w:lastColumn="0" w:noHBand="0" w:noVBand="1"/>
      </w:tblPr>
      <w:tblGrid>
        <w:gridCol w:w="3847"/>
        <w:gridCol w:w="1278"/>
      </w:tblGrid>
      <w:tr w:rsidR="003D50C5" w:rsidRPr="00DA5C12" w14:paraId="7901D820" w14:textId="77777777" w:rsidTr="003D50C5">
        <w:trPr>
          <w:jc w:val="center"/>
        </w:trPr>
        <w:tc>
          <w:tcPr>
            <w:tcW w:w="3847" w:type="dxa"/>
          </w:tcPr>
          <w:p w14:paraId="407E0E6F" w14:textId="77777777" w:rsidR="003D50C5" w:rsidRPr="00DA5C12" w:rsidRDefault="003D50C5" w:rsidP="003D50C5">
            <w:pPr>
              <w:widowControl w:val="0"/>
              <w:jc w:val="center"/>
              <w:rPr>
                <w:b/>
              </w:rPr>
            </w:pPr>
            <w:r w:rsidRPr="00DA5C12">
              <w:rPr>
                <w:b/>
              </w:rPr>
              <w:t xml:space="preserve">Subject of </w:t>
            </w:r>
            <w:r>
              <w:rPr>
                <w:b/>
              </w:rPr>
              <w:t>Comment</w:t>
            </w:r>
          </w:p>
        </w:tc>
        <w:tc>
          <w:tcPr>
            <w:tcW w:w="1278" w:type="dxa"/>
          </w:tcPr>
          <w:p w14:paraId="3EFC8833" w14:textId="77777777" w:rsidR="003D50C5" w:rsidRPr="00DA5C12" w:rsidRDefault="003D50C5" w:rsidP="003D50C5">
            <w:pPr>
              <w:widowControl w:val="0"/>
              <w:jc w:val="center"/>
              <w:rPr>
                <w:b/>
              </w:rPr>
            </w:pPr>
            <w:r w:rsidRPr="00DA5C12">
              <w:rPr>
                <w:b/>
              </w:rPr>
              <w:t>Total</w:t>
            </w:r>
          </w:p>
        </w:tc>
      </w:tr>
      <w:tr w:rsidR="003D50C5" w:rsidRPr="00DA5C12" w14:paraId="0406A4EA" w14:textId="77777777" w:rsidTr="003D50C5">
        <w:trPr>
          <w:jc w:val="center"/>
        </w:trPr>
        <w:tc>
          <w:tcPr>
            <w:tcW w:w="3847" w:type="dxa"/>
          </w:tcPr>
          <w:p w14:paraId="56CD4E64" w14:textId="77777777" w:rsidR="003D50C5" w:rsidRPr="00DA5C12" w:rsidRDefault="003D50C5" w:rsidP="003D50C5">
            <w:pPr>
              <w:widowControl w:val="0"/>
            </w:pPr>
            <w:r w:rsidRPr="00DA5C12">
              <w:t>Billing</w:t>
            </w:r>
          </w:p>
        </w:tc>
        <w:tc>
          <w:tcPr>
            <w:tcW w:w="1278" w:type="dxa"/>
          </w:tcPr>
          <w:p w14:paraId="1D453B74" w14:textId="77777777" w:rsidR="003D50C5" w:rsidRPr="00DA5C12" w:rsidRDefault="003D50C5" w:rsidP="003D50C5">
            <w:pPr>
              <w:widowControl w:val="0"/>
              <w:jc w:val="center"/>
            </w:pPr>
            <w:r>
              <w:t>3</w:t>
            </w:r>
          </w:p>
        </w:tc>
      </w:tr>
      <w:tr w:rsidR="003D50C5" w:rsidRPr="00DA5C12" w14:paraId="459E4A14" w14:textId="77777777" w:rsidTr="003D50C5">
        <w:trPr>
          <w:jc w:val="center"/>
        </w:trPr>
        <w:tc>
          <w:tcPr>
            <w:tcW w:w="3847" w:type="dxa"/>
          </w:tcPr>
          <w:p w14:paraId="0DF15B56" w14:textId="77777777" w:rsidR="003D50C5" w:rsidRPr="00DA5C12" w:rsidRDefault="003D50C5" w:rsidP="003D50C5">
            <w:pPr>
              <w:widowControl w:val="0"/>
            </w:pPr>
            <w:r>
              <w:t>Noticing</w:t>
            </w:r>
          </w:p>
        </w:tc>
        <w:tc>
          <w:tcPr>
            <w:tcW w:w="1278" w:type="dxa"/>
          </w:tcPr>
          <w:p w14:paraId="7F4999CD" w14:textId="77777777" w:rsidR="003D50C5" w:rsidRPr="00DA5C12" w:rsidRDefault="003D50C5" w:rsidP="003D50C5">
            <w:pPr>
              <w:widowControl w:val="0"/>
              <w:jc w:val="center"/>
            </w:pPr>
            <w:r>
              <w:t>4</w:t>
            </w:r>
          </w:p>
        </w:tc>
      </w:tr>
      <w:tr w:rsidR="003D50C5" w:rsidRPr="00DA5C12" w14:paraId="50824823" w14:textId="77777777" w:rsidTr="003D50C5">
        <w:trPr>
          <w:jc w:val="center"/>
        </w:trPr>
        <w:tc>
          <w:tcPr>
            <w:tcW w:w="3847" w:type="dxa"/>
          </w:tcPr>
          <w:p w14:paraId="648CBDCD" w14:textId="77777777" w:rsidR="003D50C5" w:rsidRDefault="003D50C5" w:rsidP="003D50C5">
            <w:pPr>
              <w:widowControl w:val="0"/>
            </w:pPr>
            <w:r>
              <w:t>Rate Increase</w:t>
            </w:r>
          </w:p>
        </w:tc>
        <w:tc>
          <w:tcPr>
            <w:tcW w:w="1278" w:type="dxa"/>
          </w:tcPr>
          <w:p w14:paraId="065A47D4" w14:textId="77777777" w:rsidR="003D50C5" w:rsidRDefault="003D50C5" w:rsidP="003D50C5">
            <w:pPr>
              <w:widowControl w:val="0"/>
              <w:jc w:val="center"/>
            </w:pPr>
            <w:r>
              <w:t>5</w:t>
            </w:r>
          </w:p>
        </w:tc>
      </w:tr>
      <w:tr w:rsidR="003D50C5" w:rsidRPr="00DA5C12" w14:paraId="02C869A3" w14:textId="77777777" w:rsidTr="003D50C5">
        <w:trPr>
          <w:jc w:val="center"/>
        </w:trPr>
        <w:tc>
          <w:tcPr>
            <w:tcW w:w="3847" w:type="dxa"/>
          </w:tcPr>
          <w:p w14:paraId="3116426E" w14:textId="77777777" w:rsidR="003D50C5" w:rsidRDefault="003D50C5" w:rsidP="003D50C5">
            <w:pPr>
              <w:widowControl w:val="0"/>
            </w:pPr>
            <w:r>
              <w:t>Meters</w:t>
            </w:r>
          </w:p>
        </w:tc>
        <w:tc>
          <w:tcPr>
            <w:tcW w:w="1278" w:type="dxa"/>
          </w:tcPr>
          <w:p w14:paraId="3DFF3606" w14:textId="77777777" w:rsidR="003D50C5" w:rsidRDefault="003D50C5" w:rsidP="003D50C5">
            <w:pPr>
              <w:widowControl w:val="0"/>
              <w:jc w:val="center"/>
            </w:pPr>
            <w:r>
              <w:t>1</w:t>
            </w:r>
          </w:p>
        </w:tc>
      </w:tr>
      <w:tr w:rsidR="003D50C5" w:rsidRPr="00DA5C12" w14:paraId="26DEA022" w14:textId="77777777" w:rsidTr="003D50C5">
        <w:trPr>
          <w:jc w:val="center"/>
        </w:trPr>
        <w:tc>
          <w:tcPr>
            <w:tcW w:w="3847" w:type="dxa"/>
          </w:tcPr>
          <w:p w14:paraId="5D894371" w14:textId="77777777" w:rsidR="003D50C5" w:rsidRPr="008C1FB4" w:rsidRDefault="003D50C5" w:rsidP="003D50C5">
            <w:pPr>
              <w:widowControl w:val="0"/>
              <w:rPr>
                <w:b/>
              </w:rPr>
            </w:pPr>
            <w:r w:rsidRPr="008C1FB4">
              <w:rPr>
                <w:b/>
              </w:rPr>
              <w:t>Total*</w:t>
            </w:r>
          </w:p>
        </w:tc>
        <w:tc>
          <w:tcPr>
            <w:tcW w:w="1278" w:type="dxa"/>
          </w:tcPr>
          <w:p w14:paraId="75ED2CDA" w14:textId="77777777" w:rsidR="003D50C5" w:rsidRPr="008C1FB4" w:rsidRDefault="003D50C5" w:rsidP="003D50C5">
            <w:pPr>
              <w:widowControl w:val="0"/>
              <w:jc w:val="center"/>
              <w:rPr>
                <w:b/>
              </w:rPr>
            </w:pPr>
            <w:r w:rsidRPr="008C1FB4">
              <w:rPr>
                <w:b/>
              </w:rPr>
              <w:t>13</w:t>
            </w:r>
          </w:p>
        </w:tc>
      </w:tr>
    </w:tbl>
    <w:p w14:paraId="45B1F26C" w14:textId="77777777" w:rsidR="003D50C5" w:rsidRDefault="003D50C5" w:rsidP="003D50C5">
      <w:pPr>
        <w:tabs>
          <w:tab w:val="left" w:pos="2160"/>
        </w:tabs>
        <w:spacing w:after="240"/>
        <w:jc w:val="both"/>
        <w:rPr>
          <w:sz w:val="20"/>
          <w:szCs w:val="20"/>
        </w:rPr>
      </w:pPr>
      <w:r w:rsidRPr="00DA5C12">
        <w:rPr>
          <w:sz w:val="20"/>
          <w:szCs w:val="20"/>
        </w:rPr>
        <w:t xml:space="preserve">           *A single customer com</w:t>
      </w:r>
      <w:r>
        <w:rPr>
          <w:sz w:val="20"/>
          <w:szCs w:val="20"/>
        </w:rPr>
        <w:t>ment</w:t>
      </w:r>
      <w:r w:rsidRPr="00DA5C12">
        <w:rPr>
          <w:sz w:val="20"/>
          <w:szCs w:val="20"/>
        </w:rPr>
        <w:t xml:space="preserve"> may be counted multiple times if it fits into multiple categories.</w:t>
      </w:r>
    </w:p>
    <w:p w14:paraId="56ADEA4E" w14:textId="30797C32" w:rsidR="003D50C5" w:rsidRDefault="003D50C5" w:rsidP="003D50C5">
      <w:pPr>
        <w:spacing w:after="240"/>
        <w:jc w:val="both"/>
        <w:rPr>
          <w:szCs w:val="20"/>
        </w:rPr>
      </w:pPr>
      <w:r w:rsidRPr="0048330A">
        <w:rPr>
          <w:szCs w:val="20"/>
        </w:rPr>
        <w:t>A customer meeting was held on January 13, 2026</w:t>
      </w:r>
      <w:r>
        <w:rPr>
          <w:szCs w:val="20"/>
        </w:rPr>
        <w:t>,</w:t>
      </w:r>
      <w:r w:rsidRPr="0048330A">
        <w:rPr>
          <w:szCs w:val="20"/>
        </w:rPr>
        <w:t xml:space="preserve"> and one customer provided comment</w:t>
      </w:r>
      <w:r>
        <w:rPr>
          <w:szCs w:val="20"/>
        </w:rPr>
        <w:t>. This customer echoed the same concerns identified in their written comment which was included in the above analysis.</w:t>
      </w:r>
      <w:r w:rsidRPr="0048330A">
        <w:rPr>
          <w:szCs w:val="20"/>
        </w:rPr>
        <w:t xml:space="preserve"> </w:t>
      </w:r>
      <w:r>
        <w:rPr>
          <w:szCs w:val="20"/>
        </w:rPr>
        <w:t>Staff performed a supplemental review, th</w:t>
      </w:r>
      <w:r w:rsidR="00155646">
        <w:rPr>
          <w:szCs w:val="20"/>
        </w:rPr>
        <w:t>r</w:t>
      </w:r>
      <w:r>
        <w:rPr>
          <w:szCs w:val="20"/>
        </w:rPr>
        <w:t xml:space="preserve">ough March 2, 2026, of complaints filed in CATS following the customer meeting and found one billing complaint, which was addressed by the Utility. Based on the above, the Utility’s quality of service appears to be satisfactory.  </w:t>
      </w:r>
    </w:p>
    <w:p w14:paraId="0A82D018" w14:textId="77777777" w:rsidR="003D50C5" w:rsidRPr="008C1FB4" w:rsidRDefault="003D50C5" w:rsidP="003D50C5">
      <w:pPr>
        <w:spacing w:after="240"/>
        <w:jc w:val="both"/>
        <w:rPr>
          <w:szCs w:val="20"/>
        </w:rPr>
      </w:pPr>
    </w:p>
    <w:p w14:paraId="6902A0B4" w14:textId="77777777" w:rsidR="003D50C5" w:rsidRDefault="003D50C5" w:rsidP="003D50C5">
      <w:pPr>
        <w:pStyle w:val="First-LevelSubheading"/>
      </w:pPr>
      <w:r>
        <w:t>Conclusion</w:t>
      </w:r>
    </w:p>
    <w:p w14:paraId="01CA49D5" w14:textId="47774358" w:rsidR="004D4881" w:rsidRDefault="00BD3DB7" w:rsidP="003D50C5">
      <w:pPr>
        <w:pStyle w:val="BodyText"/>
      </w:pPr>
      <w:r>
        <w:t xml:space="preserve">Gulfstream </w:t>
      </w:r>
      <w:r w:rsidRPr="00396B2D">
        <w:rPr>
          <w:rFonts w:eastAsia="InvisibleOCR"/>
        </w:rPr>
        <w:t>is currently in</w:t>
      </w:r>
      <w:r>
        <w:rPr>
          <w:rFonts w:eastAsia="InvisibleOCR"/>
        </w:rPr>
        <w:t xml:space="preserve"> </w:t>
      </w:r>
      <w:r w:rsidRPr="00396B2D">
        <w:rPr>
          <w:rFonts w:eastAsia="InvisibleOCR"/>
        </w:rPr>
        <w:t>compliance with the DEP</w:t>
      </w:r>
      <w:r>
        <w:rPr>
          <w:rFonts w:eastAsia="InvisibleOCR"/>
        </w:rPr>
        <w:t xml:space="preserve"> and </w:t>
      </w:r>
      <w:r w:rsidRPr="005F3107">
        <w:rPr>
          <w:rFonts w:eastAsia="InvisibleOCR"/>
        </w:rPr>
        <w:t>there</w:t>
      </w:r>
      <w:r w:rsidRPr="005F3107">
        <w:t xml:space="preserve"> were no complaints recorded during the </w:t>
      </w:r>
      <w:r>
        <w:t>test year or four years prior. T</w:t>
      </w:r>
      <w:r w:rsidRPr="00D64FDB">
        <w:t>herefore, the quality of service should be considered satisfactory</w:t>
      </w:r>
      <w:r w:rsidR="0083363F">
        <w:t>.</w:t>
      </w:r>
    </w:p>
    <w:p w14:paraId="487F165E" w14:textId="1D0521A4" w:rsidR="004D4881" w:rsidRDefault="004D4881">
      <w:pPr>
        <w:pStyle w:val="IssueHeading"/>
        <w:rPr>
          <w:vanish/>
          <w:specVanish/>
        </w:rPr>
      </w:pPr>
      <w:r w:rsidRPr="004C3641">
        <w:rPr>
          <w:b w:val="0"/>
          <w:i w:val="0"/>
        </w:rPr>
        <w:br w:type="page"/>
      </w:r>
      <w:r w:rsidRPr="004C3641">
        <w:t xml:space="preserve">Issue </w:t>
      </w:r>
      <w:fldSimple w:instr=" SEQ Issue \* MERGEFORMAT ">
        <w:r w:rsidR="0002012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2</w:instrText>
      </w:r>
      <w:r>
        <w:fldChar w:fldCharType="end"/>
      </w:r>
      <w:r>
        <w:tab/>
        <w:instrText xml:space="preserve">(Olivieri)" \l 1 </w:instrText>
      </w:r>
      <w:r>
        <w:fldChar w:fldCharType="end"/>
      </w:r>
      <w:r>
        <w:t> </w:t>
      </w:r>
    </w:p>
    <w:p w14:paraId="4E89F183" w14:textId="7202623B" w:rsidR="004D4881" w:rsidRDefault="004D4881">
      <w:pPr>
        <w:pStyle w:val="BodyText"/>
      </w:pPr>
      <w:r>
        <w:t> Are the infrastructure and operating conditions of Gulfstream Utility LLC’s wastewater system in compliance with DEP regulations?</w:t>
      </w:r>
    </w:p>
    <w:p w14:paraId="1D030582" w14:textId="77777777" w:rsidR="004D4881" w:rsidRPr="004C3641" w:rsidRDefault="004D4881">
      <w:pPr>
        <w:pStyle w:val="IssueSubsectionHeading"/>
        <w:rPr>
          <w:vanish/>
          <w:specVanish/>
        </w:rPr>
      </w:pPr>
      <w:r w:rsidRPr="004C3641">
        <w:t>Recommendation: </w:t>
      </w:r>
    </w:p>
    <w:p w14:paraId="17F71AAE" w14:textId="77777777" w:rsidR="004D4881" w:rsidRDefault="004D4881">
      <w:pPr>
        <w:pStyle w:val="BodyText"/>
      </w:pPr>
      <w:r>
        <w:t> </w:t>
      </w:r>
      <w:r w:rsidR="00D55347">
        <w:t>Yes. Gulfstream’s wastewater treatment facilities are in compliance with DEP regulations.</w:t>
      </w:r>
      <w:r>
        <w:t xml:space="preserve"> (Olivieri)</w:t>
      </w:r>
    </w:p>
    <w:p w14:paraId="7DC73F80" w14:textId="77777777" w:rsidR="004D4881" w:rsidRPr="004C3641" w:rsidRDefault="004D4881">
      <w:pPr>
        <w:pStyle w:val="IssueSubsectionHeading"/>
        <w:rPr>
          <w:vanish/>
          <w:specVanish/>
        </w:rPr>
      </w:pPr>
      <w:r w:rsidRPr="004C3641">
        <w:t>Staff Analysis: </w:t>
      </w:r>
    </w:p>
    <w:p w14:paraId="5FDC1DD7" w14:textId="0EB5504A" w:rsidR="00D55347" w:rsidRPr="00D55347" w:rsidRDefault="004D4881" w:rsidP="00D55347">
      <w:pPr>
        <w:pStyle w:val="BodyText"/>
      </w:pPr>
      <w:r>
        <w:t> </w:t>
      </w:r>
      <w:r w:rsidR="00D55347" w:rsidRPr="00D55347">
        <w:t>Rule 25-30.225(2), F.A.C., requires each wastewater utility to maintain and operate its plant and facilities by employing qualified operators in accordance with the rule</w:t>
      </w:r>
      <w:r w:rsidR="00BD3DB7">
        <w:t>s</w:t>
      </w:r>
      <w:r w:rsidR="00D55347" w:rsidRPr="00D55347">
        <w:t xml:space="preserve">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compliance evaluations, inspections, citations, violations, consent orders issued to the utility, customer testimony, comments, complaints, utility testimony, and responses to the aforementioned items. </w:t>
      </w:r>
    </w:p>
    <w:p w14:paraId="1A71A330" w14:textId="77777777" w:rsidR="00D55347" w:rsidRPr="00D55347" w:rsidRDefault="00D55347" w:rsidP="00D55347">
      <w:pPr>
        <w:tabs>
          <w:tab w:val="left" w:pos="3810"/>
        </w:tabs>
        <w:jc w:val="both"/>
        <w:outlineLvl w:val="2"/>
        <w:rPr>
          <w:rFonts w:ascii="Arial" w:hAnsi="Arial" w:cs="Arial"/>
          <w:b/>
          <w:bCs/>
          <w:iCs/>
          <w:szCs w:val="28"/>
        </w:rPr>
      </w:pPr>
      <w:r w:rsidRPr="00D55347">
        <w:rPr>
          <w:rFonts w:ascii="Arial" w:hAnsi="Arial" w:cs="Arial"/>
          <w:b/>
          <w:bCs/>
          <w:iCs/>
          <w:szCs w:val="28"/>
        </w:rPr>
        <w:t>Wastewater System Operating Conditions</w:t>
      </w:r>
    </w:p>
    <w:p w14:paraId="148E395D" w14:textId="57CD8758" w:rsidR="00D55347" w:rsidRPr="00D55347" w:rsidRDefault="00D55347" w:rsidP="00D55347">
      <w:pPr>
        <w:spacing w:after="240"/>
        <w:jc w:val="both"/>
      </w:pPr>
      <w:r w:rsidRPr="00D55347">
        <w:t>Gulfstream’s wastewater system has a permitted capacity of 99,000 gallons per day (</w:t>
      </w:r>
      <w:proofErr w:type="spellStart"/>
      <w:r w:rsidR="0097769F">
        <w:t>gpd</w:t>
      </w:r>
      <w:proofErr w:type="spellEnd"/>
      <w:r w:rsidRPr="00D55347">
        <w:t>) Annual Average Daily Flow (AADF) and is a contact stabilization domestic wastewater treatment plant. Liquid chlorine disinfection is applied prior to wastewater effluent flowing into the percolation ponds and spray field. Staff reviewed the Utility’s compliance evaluation inspections conducted by the DEP to determine the Utility’s overall wastewater facility compliance. A review of the inspection conducted on May 5, 2025, indicated that the Gulfstream wastewater treatment facility was in compliance with the DEP’s rules and regulations.</w:t>
      </w:r>
    </w:p>
    <w:p w14:paraId="2F3B5EDB" w14:textId="77777777" w:rsidR="00D55347" w:rsidRPr="00D55347" w:rsidRDefault="00D55347" w:rsidP="00D55347">
      <w:pPr>
        <w:tabs>
          <w:tab w:val="left" w:pos="3810"/>
        </w:tabs>
        <w:jc w:val="both"/>
        <w:outlineLvl w:val="2"/>
        <w:rPr>
          <w:rFonts w:ascii="Arial" w:hAnsi="Arial" w:cs="Arial"/>
          <w:b/>
          <w:bCs/>
          <w:iCs/>
          <w:szCs w:val="28"/>
        </w:rPr>
      </w:pPr>
      <w:r>
        <w:rPr>
          <w:rFonts w:ascii="Arial" w:hAnsi="Arial" w:cs="Arial"/>
          <w:b/>
          <w:bCs/>
          <w:iCs/>
          <w:szCs w:val="28"/>
        </w:rPr>
        <w:t>Conclusion</w:t>
      </w:r>
    </w:p>
    <w:p w14:paraId="13B2C8A2" w14:textId="77777777" w:rsidR="004D4881" w:rsidRDefault="00D55347" w:rsidP="00D55347">
      <w:pPr>
        <w:pStyle w:val="BodyText"/>
      </w:pPr>
      <w:r w:rsidRPr="00D55347">
        <w:t>Gulfstream’s wastewater treatment facilities are in compliance with DEP regulations</w:t>
      </w:r>
      <w:r w:rsidR="00F518B2">
        <w:t>.</w:t>
      </w:r>
    </w:p>
    <w:p w14:paraId="4CC7B6DB" w14:textId="791C7623" w:rsidR="004D4881" w:rsidRDefault="004D4881">
      <w:pPr>
        <w:pStyle w:val="IssueHeading"/>
        <w:rPr>
          <w:vanish/>
          <w:specVanish/>
        </w:rPr>
      </w:pPr>
      <w:r w:rsidRPr="004C3641">
        <w:rPr>
          <w:b w:val="0"/>
          <w:i w:val="0"/>
        </w:rPr>
        <w:br w:type="page"/>
      </w:r>
      <w:r w:rsidRPr="004C3641">
        <w:t xml:space="preserve">Issue </w:t>
      </w:r>
      <w:fldSimple w:instr=" SEQ Issue \* MERGEFORMAT ">
        <w:r w:rsidR="0002012B">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3</w:instrText>
      </w:r>
      <w:r>
        <w:fldChar w:fldCharType="end"/>
      </w:r>
      <w:r>
        <w:tab/>
        <w:instrText xml:space="preserve">(Olivieri)" \l 1 </w:instrText>
      </w:r>
      <w:r>
        <w:fldChar w:fldCharType="end"/>
      </w:r>
      <w:r>
        <w:t> </w:t>
      </w:r>
    </w:p>
    <w:p w14:paraId="24BEDEC1" w14:textId="1DF4E4C2" w:rsidR="004D4881" w:rsidRDefault="004D4881">
      <w:pPr>
        <w:pStyle w:val="BodyText"/>
      </w:pPr>
      <w:r>
        <w:t xml:space="preserve"> What are the used and useful (U&amp;U) percentages of </w:t>
      </w:r>
      <w:r w:rsidR="007E315F">
        <w:t>Gulfstream Utility LLC’s wastewater</w:t>
      </w:r>
      <w:r>
        <w:t xml:space="preserve"> treatment plant (WWTP) and the wastewater collection system?</w:t>
      </w:r>
    </w:p>
    <w:p w14:paraId="49745ADE" w14:textId="77777777" w:rsidR="004D4881" w:rsidRPr="004C3641" w:rsidRDefault="004D4881">
      <w:pPr>
        <w:pStyle w:val="IssueSubsectionHeading"/>
        <w:rPr>
          <w:vanish/>
          <w:specVanish/>
        </w:rPr>
      </w:pPr>
      <w:r w:rsidRPr="004C3641">
        <w:t>Recommendation: </w:t>
      </w:r>
    </w:p>
    <w:p w14:paraId="0FCEDECD" w14:textId="77777777" w:rsidR="004D4881" w:rsidRDefault="004D4881">
      <w:pPr>
        <w:pStyle w:val="BodyText"/>
      </w:pPr>
      <w:r>
        <w:t> </w:t>
      </w:r>
      <w:r w:rsidR="00D55347">
        <w:t>Gulfstream</w:t>
      </w:r>
      <w:r w:rsidR="00D55347" w:rsidRPr="001C7924">
        <w:t>’s WWTP and wastewater collection system should both be consider</w:t>
      </w:r>
      <w:r w:rsidR="00D55347">
        <w:t>ed</w:t>
      </w:r>
      <w:r w:rsidR="00D55347" w:rsidRPr="001C7924">
        <w:t xml:space="preserve"> 100 percent U&amp;U. There is no excessive infiltration and inflow (I&amp;I) and no adjustment to operating expenses is necessary</w:t>
      </w:r>
      <w:r w:rsidR="00D55347">
        <w:t>.</w:t>
      </w:r>
      <w:r>
        <w:t xml:space="preserve"> (Olivieri)</w:t>
      </w:r>
    </w:p>
    <w:p w14:paraId="0E462462" w14:textId="77777777" w:rsidR="004D4881" w:rsidRPr="004C3641" w:rsidRDefault="004D4881">
      <w:pPr>
        <w:pStyle w:val="IssueSubsectionHeading"/>
        <w:rPr>
          <w:vanish/>
          <w:specVanish/>
        </w:rPr>
      </w:pPr>
      <w:r w:rsidRPr="004C3641">
        <w:t>Staff Analysis: </w:t>
      </w:r>
    </w:p>
    <w:p w14:paraId="00691AB3" w14:textId="241D9D8D" w:rsidR="003D50C5" w:rsidRDefault="004D4881" w:rsidP="003D50C5">
      <w:pPr>
        <w:pStyle w:val="BodyText"/>
      </w:pPr>
      <w:r>
        <w:t> </w:t>
      </w:r>
      <w:r w:rsidR="003D50C5">
        <w:t xml:space="preserve">As stated in Issue 2, Gulfstream’s WWTP is permitted by the DEP as a 99,000 </w:t>
      </w:r>
      <w:proofErr w:type="spellStart"/>
      <w:r w:rsidR="0097769F" w:rsidRPr="0097769F">
        <w:t>gpd</w:t>
      </w:r>
      <w:proofErr w:type="spellEnd"/>
      <w:r w:rsidR="003D50C5">
        <w:t xml:space="preserve"> facility. According to the Utility, its wastewater collection system is comprised of approximately 39,117 feet of 8-inch polyvinyl chloride (PVC) collecting mains. There are fifty-one manholes and six lift stations throughout the service area.</w:t>
      </w:r>
    </w:p>
    <w:p w14:paraId="5B31F475" w14:textId="77777777" w:rsidR="003D50C5" w:rsidRDefault="003D50C5" w:rsidP="003D50C5">
      <w:pPr>
        <w:pStyle w:val="First-LevelSubheading"/>
      </w:pPr>
      <w:r>
        <w:t>Infiltration and Inflow (I&amp;I)</w:t>
      </w:r>
    </w:p>
    <w:p w14:paraId="267C0586" w14:textId="77777777" w:rsidR="003D50C5" w:rsidRDefault="003D50C5" w:rsidP="003D50C5">
      <w:pPr>
        <w:pStyle w:val="BodyText"/>
      </w:pPr>
      <w:r>
        <w:t>R</w:t>
      </w:r>
      <w:r w:rsidRPr="00C30C37">
        <w:t xml:space="preserve">ule 25-30.432, F.A.C., provides that in determining the amount of U&amp;U plant, the Commission will consider </w:t>
      </w:r>
      <w:proofErr w:type="gramStart"/>
      <w:r w:rsidRPr="00C30C37">
        <w:t>I&amp;I</w:t>
      </w:r>
      <w:proofErr w:type="gramEnd"/>
      <w:r w:rsidRPr="00C30C37">
        <w:t>. Excessive I&amp;I is a calculation that is based on a comparison of allowable wastewater treated to the actual amount of wastewater treated. Allowable treated wa</w:t>
      </w:r>
      <w:r>
        <w:t>ter was calculated as 18,871,043</w:t>
      </w:r>
      <w:r w:rsidRPr="00C30C37">
        <w:t xml:space="preserve"> gallons and the amount of w</w:t>
      </w:r>
      <w:r>
        <w:t>astewater treated was 15,095,000</w:t>
      </w:r>
      <w:r w:rsidRPr="00C30C37">
        <w:t xml:space="preserve"> gal</w:t>
      </w:r>
      <w:r>
        <w:t xml:space="preserve">lons. </w:t>
      </w:r>
      <w:r w:rsidRPr="00C30C37">
        <w:t>The amount treated is less than the estimated allowable amount. Therefore, there is no excessive I&amp;I and no adjustment to operating expenses is necessary</w:t>
      </w:r>
      <w:r>
        <w:t>.</w:t>
      </w:r>
    </w:p>
    <w:p w14:paraId="7EEC9F72" w14:textId="77777777" w:rsidR="003D50C5" w:rsidRDefault="003D50C5" w:rsidP="003D50C5">
      <w:pPr>
        <w:pStyle w:val="First-LevelSubheading"/>
      </w:pPr>
      <w:r>
        <w:t>Wastewater Treatment Plant and Collection System U&amp;U</w:t>
      </w:r>
    </w:p>
    <w:p w14:paraId="56ADDA57" w14:textId="2D2D6CD1" w:rsidR="003D50C5" w:rsidRDefault="003D50C5" w:rsidP="003D50C5">
      <w:pPr>
        <w:spacing w:after="240"/>
        <w:jc w:val="both"/>
      </w:pPr>
      <w:r>
        <w:t>T</w:t>
      </w:r>
      <w:r w:rsidRPr="00CD4A03">
        <w:t>he formula for calculating U&amp;U for the WWTP is (</w:t>
      </w:r>
      <w:r>
        <w:t>AADF</w:t>
      </w:r>
      <w:r w:rsidRPr="00CD4A03">
        <w:t xml:space="preserve"> + growth – excessive I&amp;I) / permitted plant capacity.</w:t>
      </w:r>
      <w:r w:rsidRPr="00CD4A03">
        <w:rPr>
          <w:color w:val="00B050"/>
        </w:rPr>
        <w:t xml:space="preserve"> </w:t>
      </w:r>
      <w:r w:rsidRPr="009C3FDC">
        <w:rPr>
          <w:color w:val="000000" w:themeColor="text1"/>
        </w:rPr>
        <w:t xml:space="preserve">The </w:t>
      </w:r>
      <w:r>
        <w:rPr>
          <w:color w:val="000000" w:themeColor="text1"/>
        </w:rPr>
        <w:t>AADF</w:t>
      </w:r>
      <w:r w:rsidRPr="009C3FDC">
        <w:rPr>
          <w:color w:val="000000" w:themeColor="text1"/>
        </w:rPr>
        <w:t xml:space="preserve"> for the Utility during the test year is</w:t>
      </w:r>
      <w:r>
        <w:rPr>
          <w:color w:val="C00000"/>
        </w:rPr>
        <w:t xml:space="preserve"> </w:t>
      </w:r>
      <w:r w:rsidRPr="005B7477">
        <w:t>4</w:t>
      </w:r>
      <w:r>
        <w:rPr>
          <w:color w:val="000000" w:themeColor="text1"/>
        </w:rPr>
        <w:t>1</w:t>
      </w:r>
      <w:r w:rsidRPr="009C3FDC">
        <w:rPr>
          <w:color w:val="000000" w:themeColor="text1"/>
        </w:rPr>
        <w:t>,</w:t>
      </w:r>
      <w:r>
        <w:rPr>
          <w:color w:val="000000" w:themeColor="text1"/>
        </w:rPr>
        <w:t>356</w:t>
      </w:r>
      <w:r w:rsidRPr="009C3FDC">
        <w:rPr>
          <w:color w:val="000000" w:themeColor="text1"/>
        </w:rPr>
        <w:t xml:space="preserve"> </w:t>
      </w:r>
      <w:proofErr w:type="spellStart"/>
      <w:r w:rsidR="0097769F" w:rsidRPr="0097769F">
        <w:rPr>
          <w:color w:val="000000" w:themeColor="text1"/>
        </w:rPr>
        <w:t>gpd</w:t>
      </w:r>
      <w:proofErr w:type="spellEnd"/>
      <w:r w:rsidRPr="009C3FDC">
        <w:rPr>
          <w:color w:val="000000" w:themeColor="text1"/>
        </w:rPr>
        <w:t xml:space="preserve">. There is no excessive I&amp;I and no growth based on a linear regression. The permitted capacity of the plant is </w:t>
      </w:r>
      <w:r>
        <w:rPr>
          <w:color w:val="000000" w:themeColor="text1"/>
        </w:rPr>
        <w:t>99</w:t>
      </w:r>
      <w:r w:rsidRPr="009C3FDC">
        <w:rPr>
          <w:color w:val="000000" w:themeColor="text1"/>
        </w:rPr>
        <w:t xml:space="preserve">,000 </w:t>
      </w:r>
      <w:proofErr w:type="spellStart"/>
      <w:r w:rsidR="0097769F" w:rsidRPr="0097769F">
        <w:rPr>
          <w:color w:val="000000" w:themeColor="text1"/>
        </w:rPr>
        <w:t>gpd</w:t>
      </w:r>
      <w:proofErr w:type="spellEnd"/>
      <w:r w:rsidRPr="009C3FDC">
        <w:rPr>
          <w:color w:val="000000" w:themeColor="text1"/>
        </w:rPr>
        <w:t xml:space="preserve">. Based on this calculation, </w:t>
      </w:r>
      <w:r>
        <w:rPr>
          <w:color w:val="000000" w:themeColor="text1"/>
        </w:rPr>
        <w:t xml:space="preserve">the </w:t>
      </w:r>
      <w:r w:rsidRPr="009C3FDC">
        <w:rPr>
          <w:color w:val="000000" w:themeColor="text1"/>
        </w:rPr>
        <w:t xml:space="preserve">WWTP is </w:t>
      </w:r>
      <w:r>
        <w:rPr>
          <w:color w:val="000000" w:themeColor="text1"/>
        </w:rPr>
        <w:t>42</w:t>
      </w:r>
      <w:r w:rsidRPr="00EC312B">
        <w:rPr>
          <w:color w:val="000000" w:themeColor="text1"/>
        </w:rPr>
        <w:t xml:space="preserve"> percent</w:t>
      </w:r>
      <w:r w:rsidRPr="009C3FDC">
        <w:rPr>
          <w:color w:val="000000" w:themeColor="text1"/>
        </w:rPr>
        <w:t xml:space="preserve"> U&amp;U.</w:t>
      </w:r>
      <w:r>
        <w:rPr>
          <w:color w:val="000000" w:themeColor="text1"/>
        </w:rPr>
        <w:t xml:space="preserve"> </w:t>
      </w:r>
    </w:p>
    <w:p w14:paraId="669E143E" w14:textId="0EB6C49C" w:rsidR="003D50C5" w:rsidRDefault="003D50C5" w:rsidP="003D50C5">
      <w:pPr>
        <w:pStyle w:val="BodyText"/>
      </w:pPr>
      <w:r>
        <w:t xml:space="preserve">However, Rule 25-30.432, F.A.C., provides that in calculating U&amp;U, the Commission will also consider other factors, such as whether the area served by the plant is built out. Based on staff’s review of the customer growth and the maps provided by Gulfstream, the service territory has experienced little to no growth over the last five years. Additionally, all lots within the service territory are occupied. Therefore, staff recommends that Gulfstream’s WWTP and the wastewater collection system be considered 100 percent U&amp;U. </w:t>
      </w:r>
    </w:p>
    <w:p w14:paraId="597B8A27" w14:textId="77777777" w:rsidR="003D50C5" w:rsidRDefault="003D50C5" w:rsidP="003D50C5">
      <w:pPr>
        <w:pStyle w:val="First-LevelSubheading"/>
      </w:pPr>
      <w:r>
        <w:t>Conclusion</w:t>
      </w:r>
    </w:p>
    <w:p w14:paraId="1B00FF85" w14:textId="736FEF21" w:rsidR="004D4881" w:rsidRDefault="003D50C5" w:rsidP="003D50C5">
      <w:pPr>
        <w:pStyle w:val="BodyText"/>
      </w:pPr>
      <w:r>
        <w:t>Staff recommends Gulfstream</w:t>
      </w:r>
      <w:r w:rsidRPr="00904FA7">
        <w:t>’s WWTP and wastewater collection system should both be consider</w:t>
      </w:r>
      <w:r>
        <w:t xml:space="preserve">ed 100 percent U&amp;U. </w:t>
      </w:r>
      <w:r w:rsidRPr="00C30C37">
        <w:t>The</w:t>
      </w:r>
      <w:r>
        <w:t>re is no excessive I&amp;I</w:t>
      </w:r>
      <w:r w:rsidRPr="00C30C37">
        <w:t xml:space="preserve"> and no adjustment to operating expenses is necessary</w:t>
      </w:r>
      <w:r w:rsidR="00D55347">
        <w:t>.</w:t>
      </w:r>
    </w:p>
    <w:p w14:paraId="10575594" w14:textId="42541223"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4</w:instrText>
      </w:r>
      <w:r>
        <w:fldChar w:fldCharType="end"/>
      </w:r>
      <w:r>
        <w:tab/>
        <w:instrText xml:space="preserve">(Lenberg, Olivieri)" \l 1 </w:instrText>
      </w:r>
      <w:r>
        <w:fldChar w:fldCharType="end"/>
      </w:r>
      <w:r>
        <w:t> </w:t>
      </w:r>
    </w:p>
    <w:p w14:paraId="017AD474" w14:textId="23FE31D1" w:rsidR="00167B7C" w:rsidRDefault="00167B7C">
      <w:pPr>
        <w:pStyle w:val="BodyText"/>
      </w:pPr>
      <w:r>
        <w:t> What is the appropriate average test year rate base for Gulfstream Utility LLC?</w:t>
      </w:r>
    </w:p>
    <w:p w14:paraId="603516C4" w14:textId="77777777" w:rsidR="00167B7C" w:rsidRPr="004C3641" w:rsidRDefault="00167B7C">
      <w:pPr>
        <w:pStyle w:val="IssueSubsectionHeading"/>
        <w:rPr>
          <w:vanish/>
          <w:specVanish/>
        </w:rPr>
      </w:pPr>
      <w:r w:rsidRPr="004C3641">
        <w:t>Recommendation: </w:t>
      </w:r>
    </w:p>
    <w:p w14:paraId="6FB758FC" w14:textId="09B9E523" w:rsidR="00167B7C" w:rsidRDefault="00167B7C">
      <w:pPr>
        <w:pStyle w:val="BodyText"/>
      </w:pPr>
      <w:r>
        <w:t> </w:t>
      </w:r>
      <w:r w:rsidR="00102EE8" w:rsidRPr="00D26FB3">
        <w:t>The appropriate average test year r</w:t>
      </w:r>
      <w:r w:rsidR="00102EE8">
        <w:t>ate base for Gulfstream Utility</w:t>
      </w:r>
      <w:r w:rsidR="00102EE8" w:rsidRPr="00D26FB3">
        <w:t xml:space="preserve"> LLC is $</w:t>
      </w:r>
      <w:r w:rsidR="00102EE8">
        <w:t>473,502</w:t>
      </w:r>
      <w:r w:rsidR="00D55347">
        <w:t>.</w:t>
      </w:r>
      <w:r>
        <w:t xml:space="preserve"> (Lenberg, Olivieri)</w:t>
      </w:r>
    </w:p>
    <w:p w14:paraId="67DDA38C" w14:textId="77777777" w:rsidR="00167B7C" w:rsidRPr="004C3641" w:rsidRDefault="00167B7C">
      <w:pPr>
        <w:pStyle w:val="IssueSubsectionHeading"/>
        <w:rPr>
          <w:vanish/>
          <w:specVanish/>
        </w:rPr>
      </w:pPr>
      <w:r w:rsidRPr="004C3641">
        <w:t>Staff Analysis: </w:t>
      </w:r>
    </w:p>
    <w:p w14:paraId="36475250" w14:textId="769F9B8A" w:rsidR="00672E0C" w:rsidRPr="00D26FB3" w:rsidRDefault="00167B7C" w:rsidP="00672E0C">
      <w:pPr>
        <w:spacing w:after="240"/>
        <w:jc w:val="both"/>
      </w:pPr>
      <w:r>
        <w:t> </w:t>
      </w:r>
      <w:r w:rsidR="00672E0C" w:rsidRPr="00D26FB3">
        <w:t xml:space="preserve">The appropriate components of the Utility’s rate base include utility plant in service (UPIS), land and land rights, accumulated depreciation, and working capital. Staff selected the test year ended December 31, 2024, for the </w:t>
      </w:r>
      <w:r w:rsidR="007E315F">
        <w:t>current</w:t>
      </w:r>
      <w:r w:rsidR="00672E0C" w:rsidRPr="00D26FB3">
        <w:t xml:space="preserve"> rate case. A summary of each component and the recommended adjustments are discussed below.</w:t>
      </w:r>
    </w:p>
    <w:p w14:paraId="692DA4B8" w14:textId="77777777" w:rsidR="00672E0C" w:rsidRPr="00D26FB3" w:rsidRDefault="00672E0C" w:rsidP="00672E0C">
      <w:pPr>
        <w:jc w:val="both"/>
        <w:outlineLvl w:val="2"/>
        <w:rPr>
          <w:rFonts w:ascii="Arial" w:hAnsi="Arial" w:cs="Arial"/>
          <w:b/>
          <w:bCs/>
          <w:iCs/>
          <w:szCs w:val="28"/>
        </w:rPr>
      </w:pPr>
      <w:r w:rsidRPr="00D26FB3">
        <w:rPr>
          <w:rFonts w:ascii="Arial" w:hAnsi="Arial" w:cs="Arial"/>
          <w:b/>
          <w:bCs/>
          <w:iCs/>
          <w:szCs w:val="28"/>
        </w:rPr>
        <w:t>Pro Forma Plant Additions</w:t>
      </w:r>
    </w:p>
    <w:p w14:paraId="171528FF" w14:textId="29D7CD58" w:rsidR="00672E0C" w:rsidRPr="00D26FB3" w:rsidRDefault="007E315F" w:rsidP="00672E0C">
      <w:pPr>
        <w:spacing w:after="240"/>
        <w:jc w:val="both"/>
      </w:pPr>
      <w:r w:rsidRPr="00D26FB3">
        <w:t xml:space="preserve">Gulfstream is requesting recovery of </w:t>
      </w:r>
      <w:r>
        <w:t>three</w:t>
      </w:r>
      <w:r w:rsidRPr="00D26FB3">
        <w:t xml:space="preserve"> pro forma projects. </w:t>
      </w:r>
      <w:r>
        <w:t>S</w:t>
      </w:r>
      <w:r w:rsidRPr="00D26FB3">
        <w:t xml:space="preserve">taff requested </w:t>
      </w:r>
      <w:r>
        <w:t xml:space="preserve">that the Utility provide any </w:t>
      </w:r>
      <w:r w:rsidRPr="00D26FB3">
        <w:t xml:space="preserve">bids </w:t>
      </w:r>
      <w:r>
        <w:t xml:space="preserve">solicited </w:t>
      </w:r>
      <w:r w:rsidRPr="00D26FB3">
        <w:t xml:space="preserve">for each project. However, in response to staff’s data request, Gulfstream indicated that, although </w:t>
      </w:r>
      <w:r>
        <w:t>it is</w:t>
      </w:r>
      <w:r w:rsidRPr="00D26FB3">
        <w:t xml:space="preserve"> standard</w:t>
      </w:r>
      <w:r w:rsidR="00672E0C" w:rsidRPr="00D26FB3">
        <w:t xml:space="preserve"> practice is to obtain three bids for every project, multiple bids were not obtained for any of these projects due to the urgent nature of each repair. The Utility’s requested pro forma projects are described below. </w:t>
      </w:r>
    </w:p>
    <w:p w14:paraId="7769EB3E" w14:textId="77777777" w:rsidR="00585D48" w:rsidRDefault="00585D48" w:rsidP="00585D48">
      <w:pPr>
        <w:pStyle w:val="Second-LevelSubheading"/>
      </w:pPr>
      <w:r>
        <w:t>Project No. 1 – Lift Station Repair</w:t>
      </w:r>
    </w:p>
    <w:p w14:paraId="35729472" w14:textId="77777777" w:rsidR="00585D48" w:rsidRDefault="00585D48" w:rsidP="00585D48">
      <w:pPr>
        <w:pStyle w:val="BodyText"/>
      </w:pPr>
      <w:r>
        <w:t>Project No. 1 was for repairs to lift station No. 1. This project required the removal of hydraulic cement covering the float wires before replacing all four floats. Additionally, a repair to a 4-inch discharge pipe was required. Gulfstream stated that this repair was urgent in order to avoid any potential leaks or contamination. The Utility provided an invoice for this project totaling $7,809, with an in-service date of February 2025.</w:t>
      </w:r>
    </w:p>
    <w:p w14:paraId="07B5BB0D" w14:textId="77777777" w:rsidR="00585D48" w:rsidRDefault="00585D48" w:rsidP="00585D48">
      <w:pPr>
        <w:pStyle w:val="Second-LevelSubheading"/>
      </w:pPr>
      <w:r>
        <w:t>Project No. 2 – Trolley Cable/Wheel, Diffuser Pull, and Digester Repair</w:t>
      </w:r>
    </w:p>
    <w:p w14:paraId="61D588D5" w14:textId="77777777" w:rsidR="00585D48" w:rsidRDefault="00585D48" w:rsidP="00585D48">
      <w:pPr>
        <w:pStyle w:val="BodyText"/>
      </w:pPr>
      <w:r>
        <w:t xml:space="preserve">Project No. 2 involved the construction of a trolley cable system and the replacement of a wheel for the #1 trolley, pulling and cleaning of diffusers in the tanks, and the welding of a hole in the digester. Gulfstream stated that this repair was urgent due to the vital role the trolley system plays in uninterrupted operation of large machinery at the WWTP, including enabling continuous sludge removal. The Utility provided an invoice for this project totaling $20,232, with an in-service date of July 2025. </w:t>
      </w:r>
    </w:p>
    <w:p w14:paraId="57EF4C89" w14:textId="273404C6" w:rsidR="00585D48" w:rsidRDefault="00585D48" w:rsidP="00585D48">
      <w:pPr>
        <w:pStyle w:val="BodyText"/>
        <w:spacing w:after="0"/>
        <w:ind w:left="720"/>
        <w:rPr>
          <w:rFonts w:ascii="Arial" w:hAnsi="Arial" w:cs="Arial"/>
          <w:b/>
          <w:bCs/>
          <w:i/>
          <w:iCs/>
          <w:szCs w:val="28"/>
        </w:rPr>
      </w:pPr>
      <w:r>
        <w:rPr>
          <w:rFonts w:ascii="Arial" w:hAnsi="Arial" w:cs="Arial"/>
          <w:b/>
          <w:bCs/>
          <w:i/>
          <w:iCs/>
          <w:szCs w:val="28"/>
        </w:rPr>
        <w:t xml:space="preserve">Project No. 3 </w:t>
      </w:r>
      <w:r>
        <w:rPr>
          <w:rFonts w:ascii="Arial" w:hAnsi="Arial" w:cs="Arial"/>
          <w:b/>
          <w:bCs/>
          <w:i/>
          <w:iCs/>
          <w:szCs w:val="28"/>
        </w:rPr>
        <w:softHyphen/>
        <w:t>– LED Light</w:t>
      </w:r>
      <w:r w:rsidR="007E315F">
        <w:rPr>
          <w:rFonts w:ascii="Arial" w:hAnsi="Arial" w:cs="Arial"/>
          <w:b/>
          <w:bCs/>
          <w:i/>
          <w:iCs/>
          <w:szCs w:val="28"/>
        </w:rPr>
        <w:t>s (Withdrawn)</w:t>
      </w:r>
    </w:p>
    <w:p w14:paraId="125818F6" w14:textId="77777777" w:rsidR="00585D48" w:rsidRDefault="00585D48" w:rsidP="00585D48">
      <w:pPr>
        <w:pStyle w:val="BodyText"/>
      </w:pPr>
      <w:r>
        <w:t>In its initial filing, Gulfstream requested recovery for the installation of LED lighting. However, this request was withdrawn as the lighting was installed at the Clubhouse and therefore not on utility property.</w:t>
      </w:r>
    </w:p>
    <w:p w14:paraId="58C24C23" w14:textId="3101F9D1" w:rsidR="00585D48" w:rsidRDefault="00585D48" w:rsidP="00585D48">
      <w:pPr>
        <w:pStyle w:val="Second-LevelSubheading"/>
      </w:pPr>
      <w:r>
        <w:t>Project No. 4 – Blower Replacement</w:t>
      </w:r>
    </w:p>
    <w:p w14:paraId="30EFD274" w14:textId="77777777" w:rsidR="00585D48" w:rsidRDefault="00585D48" w:rsidP="00585D48">
      <w:pPr>
        <w:pStyle w:val="BodyText"/>
      </w:pPr>
      <w:r>
        <w:t>Project No. 4 was the replacement of the starter on blower #1 due to item failure, and the replacement of the belts, oil, and intake filters for both blowers as preventative maintenance. Blowers are an essential element of a WWTP as they serve several functions. Gulfstream explained that this project was urgent given that the blower system is vital to biological treatment, odor control of the plant, and maintaining proper discharge standards. The Utility provided an invoice totaling $2,385 for this project, with an in-service date of March 2025.</w:t>
      </w:r>
    </w:p>
    <w:p w14:paraId="497E09A3" w14:textId="5C973DA6" w:rsidR="00672E0C" w:rsidRPr="00D26FB3" w:rsidRDefault="00585D48" w:rsidP="003A4CDC">
      <w:pPr>
        <w:pStyle w:val="BodyText"/>
      </w:pPr>
      <w:r>
        <w:t>Staff believes the Utility’s three requested pro forma projects are reasonable and should be approved because these projects involve repairs to vital utility infrastructure necessary to maintain safe and reliable service to customers.</w:t>
      </w:r>
    </w:p>
    <w:p w14:paraId="034490B4" w14:textId="77777777" w:rsidR="00672E0C" w:rsidRPr="00D26FB3" w:rsidRDefault="00672E0C" w:rsidP="00672E0C">
      <w:pPr>
        <w:jc w:val="both"/>
      </w:pPr>
      <w:r w:rsidRPr="00D26FB3">
        <w:rPr>
          <w:rFonts w:ascii="Arial" w:hAnsi="Arial" w:cs="Arial"/>
          <w:b/>
        </w:rPr>
        <w:t>Utility Plant in Service</w:t>
      </w:r>
    </w:p>
    <w:p w14:paraId="61DACA3F" w14:textId="2307663E" w:rsidR="00672E0C" w:rsidRPr="00D26FB3" w:rsidRDefault="00672E0C" w:rsidP="00672E0C">
      <w:pPr>
        <w:spacing w:after="240"/>
        <w:jc w:val="both"/>
      </w:pPr>
      <w:r w:rsidRPr="00D26FB3">
        <w:t>The Utility recorded UPIS of $425,241. Audit staff increased this amount by $3,750,000 to reflect the Original Cost Study provided by the Utility in Docket No. 20210191-SU.</w:t>
      </w:r>
      <w:r w:rsidRPr="00D26FB3">
        <w:rPr>
          <w:vertAlign w:val="superscript"/>
        </w:rPr>
        <w:footnoteReference w:id="2"/>
      </w:r>
      <w:r w:rsidRPr="00D26FB3">
        <w:t xml:space="preserve"> The Original Cost Study reflected plant balance</w:t>
      </w:r>
      <w:r>
        <w:t>s</w:t>
      </w:r>
      <w:r w:rsidRPr="00D26FB3">
        <w:t xml:space="preserve"> totaling $3,750,000 as of December 31, 2021, which were deemed fully depreciated. Additionally, audit staff decreased this amount by $12,351 to remove installation costs of backflow preventers that </w:t>
      </w:r>
      <w:r>
        <w:t>were</w:t>
      </w:r>
      <w:r w:rsidRPr="00D26FB3">
        <w:t xml:space="preserve"> unrelated to the wastewater system. As described above, the Utility requested pro forma additions to UPIS. Therefore, staff increased UPIS by $</w:t>
      </w:r>
      <w:r>
        <w:t>30,876</w:t>
      </w:r>
      <w:r w:rsidRPr="00D26FB3">
        <w:t xml:space="preserve"> to reflect</w:t>
      </w:r>
      <w:r w:rsidR="007E315F">
        <w:t xml:space="preserve"> the three</w:t>
      </w:r>
      <w:r w:rsidRPr="00D26FB3">
        <w:t xml:space="preserve"> pro forma additions to UPIS; this amount is offset by the retirements of $</w:t>
      </w:r>
      <w:r>
        <w:t>23,157</w:t>
      </w:r>
      <w:r w:rsidRPr="00D26FB3">
        <w:t>. Staff further decreased this amount by $9,981 to reflect an averaging adjustment. Staff’s net adjustment to UPIS results in an increase of $3,735,</w:t>
      </w:r>
      <w:r>
        <w:t>387</w:t>
      </w:r>
      <w:r w:rsidRPr="00D26FB3">
        <w:t>. Therefore, staff recommends a total UPIS of $4,160,</w:t>
      </w:r>
      <w:r>
        <w:t>628</w:t>
      </w:r>
      <w:r w:rsidRPr="00D26FB3">
        <w:t>.</w:t>
      </w:r>
      <w:r w:rsidRPr="00672E0C">
        <w:t xml:space="preserve"> </w:t>
      </w:r>
    </w:p>
    <w:p w14:paraId="57F46B72" w14:textId="7AC7E64B" w:rsidR="00672E0C" w:rsidRPr="00D26FB3" w:rsidRDefault="00672E0C" w:rsidP="00672E0C">
      <w:pPr>
        <w:jc w:val="both"/>
        <w:rPr>
          <w:rFonts w:ascii="Arial" w:hAnsi="Arial" w:cs="Arial"/>
          <w:b/>
        </w:rPr>
      </w:pPr>
      <w:r w:rsidRPr="00D26FB3">
        <w:rPr>
          <w:rFonts w:ascii="Arial" w:hAnsi="Arial" w:cs="Arial"/>
          <w:b/>
        </w:rPr>
        <w:t>Land and Land Rights</w:t>
      </w:r>
    </w:p>
    <w:p w14:paraId="7C8A364F" w14:textId="79715E49" w:rsidR="00672E0C" w:rsidRPr="00D26FB3" w:rsidRDefault="00672E0C" w:rsidP="00672E0C">
      <w:pPr>
        <w:spacing w:after="240"/>
        <w:jc w:val="both"/>
      </w:pPr>
      <w:r w:rsidRPr="00D26FB3">
        <w:t>The Utility recorded a test year land and land rights balance of $98,726. Staff made no adjustments to this amount and</w:t>
      </w:r>
      <w:r w:rsidR="007E315F">
        <w:t>,</w:t>
      </w:r>
      <w:r w:rsidRPr="00D26FB3">
        <w:t xml:space="preserve"> therefore, recommends a land and land rights balance of $98,726.</w:t>
      </w:r>
      <w:r w:rsidRPr="00672E0C">
        <w:t xml:space="preserve"> </w:t>
      </w:r>
    </w:p>
    <w:p w14:paraId="4C673754" w14:textId="6DD76D55" w:rsidR="00672E0C" w:rsidRPr="00D26FB3" w:rsidRDefault="00672E0C" w:rsidP="00672E0C">
      <w:pPr>
        <w:jc w:val="both"/>
        <w:rPr>
          <w:rFonts w:ascii="Arial" w:hAnsi="Arial" w:cs="Arial"/>
          <w:b/>
        </w:rPr>
      </w:pPr>
      <w:r w:rsidRPr="00D26FB3">
        <w:rPr>
          <w:rFonts w:ascii="Arial" w:hAnsi="Arial" w:cs="Arial"/>
          <w:b/>
        </w:rPr>
        <w:t>Used and Useful</w:t>
      </w:r>
    </w:p>
    <w:p w14:paraId="7D53C0DA" w14:textId="111A5FF0" w:rsidR="00672E0C" w:rsidRPr="00D26FB3" w:rsidRDefault="00672E0C" w:rsidP="00672E0C">
      <w:pPr>
        <w:spacing w:after="240"/>
        <w:jc w:val="both"/>
      </w:pPr>
      <w:r w:rsidRPr="00D26FB3">
        <w:t>As discussed in Issue 3, the Utility’s system is considered 100 percent U&amp;U. Therefore, no U&amp;U adjustment is necessary.</w:t>
      </w:r>
      <w:r w:rsidRPr="00672E0C">
        <w:t xml:space="preserve"> </w:t>
      </w:r>
    </w:p>
    <w:p w14:paraId="385D3F50" w14:textId="0E9821C2" w:rsidR="00672E0C" w:rsidRPr="00D26FB3" w:rsidRDefault="00672E0C" w:rsidP="00672E0C">
      <w:pPr>
        <w:jc w:val="both"/>
        <w:rPr>
          <w:rFonts w:ascii="Arial" w:hAnsi="Arial" w:cs="Arial"/>
          <w:b/>
        </w:rPr>
      </w:pPr>
      <w:r w:rsidRPr="00D26FB3">
        <w:rPr>
          <w:rFonts w:ascii="Arial" w:hAnsi="Arial" w:cs="Arial"/>
          <w:b/>
        </w:rPr>
        <w:t>Accumulated Depreciation</w:t>
      </w:r>
    </w:p>
    <w:p w14:paraId="4B16FA43" w14:textId="01A39732" w:rsidR="00D7225B" w:rsidRPr="00D7225B" w:rsidRDefault="00672E0C" w:rsidP="00D7225B">
      <w:pPr>
        <w:spacing w:after="240"/>
        <w:jc w:val="both"/>
      </w:pPr>
      <w:r w:rsidRPr="00D26FB3">
        <w:t xml:space="preserve">The Utility recorded accumulated depreciation of $66,862. However, the Utility did not record the accumulated depreciation associated with the UPIS identified in the Original Cost Study. Audit staff increased this amount by $3,750,000 to reflect the </w:t>
      </w:r>
      <w:r>
        <w:t xml:space="preserve">fully </w:t>
      </w:r>
      <w:r w:rsidRPr="00D26FB3">
        <w:t xml:space="preserve">depreciated plant balance from the Original Cost Study. Audit staff further increased this amount by $3,263 to reflect depreciation the Utility did not record in Account 351 – Organization. Audit staff </w:t>
      </w:r>
      <w:r w:rsidR="007E315F">
        <w:t xml:space="preserve">then </w:t>
      </w:r>
      <w:r w:rsidRPr="00D26FB3">
        <w:t xml:space="preserve">decreased this amount by $377 to remove over depreciation for Account 364. Audit staff further increased accumulated depreciation by $24,628 to reflect the use of the correct depreciation rates per Rule 25-30.140, F.A.C. </w:t>
      </w:r>
      <w:proofErr w:type="gramStart"/>
      <w:r w:rsidRPr="00D26FB3">
        <w:t>Additionally</w:t>
      </w:r>
      <w:proofErr w:type="gramEnd"/>
      <w:r w:rsidRPr="00D26FB3">
        <w:t xml:space="preserve">, audit staff </w:t>
      </w:r>
      <w:r>
        <w:t>decreased this amount by $1,235</w:t>
      </w:r>
      <w:r w:rsidRPr="00D26FB3">
        <w:t xml:space="preserve"> to reflect the backflow preventers removed from UPIS. Staff decreased accumulated depreciation by $</w:t>
      </w:r>
      <w:r>
        <w:t>22,642</w:t>
      </w:r>
      <w:r w:rsidRPr="00D26FB3">
        <w:t xml:space="preserve"> to reflect pro forma additions and retirements. Lastly, staff decreased this amount by $</w:t>
      </w:r>
      <w:r>
        <w:t>11,669</w:t>
      </w:r>
      <w:r w:rsidRPr="00D26FB3">
        <w:t xml:space="preserve"> to reflect an averaging adjustment. Staff’s </w:t>
      </w:r>
      <w:r w:rsidR="006038D3">
        <w:t>adjustments are summarized on</w:t>
      </w:r>
      <w:r w:rsidRPr="00D26FB3">
        <w:t xml:space="preserve"> Table 4-1. </w:t>
      </w:r>
    </w:p>
    <w:p w14:paraId="1AD15D9E" w14:textId="5BDE9360" w:rsidR="00D7225B" w:rsidRDefault="00D7225B">
      <w:pPr>
        <w:rPr>
          <w:rFonts w:ascii="Arial" w:hAnsi="Arial"/>
          <w:b/>
        </w:rPr>
      </w:pPr>
      <w:r>
        <w:rPr>
          <w:rFonts w:ascii="Arial" w:hAnsi="Arial"/>
          <w:b/>
        </w:rPr>
        <w:br w:type="page"/>
      </w:r>
    </w:p>
    <w:p w14:paraId="04C8A3B8" w14:textId="77777777" w:rsidR="00D7225B" w:rsidRDefault="00D7225B" w:rsidP="00672E0C">
      <w:pPr>
        <w:keepNext/>
        <w:jc w:val="center"/>
        <w:rPr>
          <w:rFonts w:ascii="Arial" w:hAnsi="Arial"/>
          <w:b/>
        </w:rPr>
      </w:pPr>
    </w:p>
    <w:p w14:paraId="124F8301" w14:textId="2AE1283C" w:rsidR="00672E0C" w:rsidRPr="00D26FB3" w:rsidRDefault="00672E0C" w:rsidP="00672E0C">
      <w:pPr>
        <w:keepNext/>
        <w:jc w:val="center"/>
        <w:rPr>
          <w:rFonts w:ascii="Arial" w:hAnsi="Arial"/>
          <w:b/>
        </w:rPr>
      </w:pPr>
      <w:r>
        <w:rPr>
          <w:rFonts w:ascii="Arial" w:hAnsi="Arial"/>
          <w:b/>
        </w:rPr>
        <w:t>T</w:t>
      </w:r>
      <w:r w:rsidRPr="00D26FB3">
        <w:rPr>
          <w:rFonts w:ascii="Arial" w:hAnsi="Arial"/>
          <w:b/>
        </w:rPr>
        <w:t>able 4-1</w:t>
      </w:r>
    </w:p>
    <w:p w14:paraId="0F61836D" w14:textId="77777777" w:rsidR="00672E0C" w:rsidRPr="00D26FB3" w:rsidRDefault="00672E0C" w:rsidP="00672E0C">
      <w:pPr>
        <w:keepNext/>
        <w:jc w:val="center"/>
        <w:rPr>
          <w:rFonts w:ascii="Arial" w:hAnsi="Arial"/>
          <w:b/>
        </w:rPr>
      </w:pPr>
      <w:r w:rsidRPr="00D26FB3">
        <w:rPr>
          <w:rFonts w:ascii="Arial" w:hAnsi="Arial"/>
          <w:b/>
        </w:rPr>
        <w:t>Staff Adjustments to Accumulated Depreciation</w:t>
      </w:r>
    </w:p>
    <w:tbl>
      <w:tblPr>
        <w:tblStyle w:val="TableGrid51"/>
        <w:tblW w:w="5000" w:type="pct"/>
        <w:tblBorders>
          <w:insideH w:val="none" w:sz="0" w:space="0" w:color="auto"/>
          <w:insideV w:val="none" w:sz="0" w:space="0" w:color="auto"/>
        </w:tblBorders>
        <w:tblLook w:val="04A0" w:firstRow="1" w:lastRow="0" w:firstColumn="1" w:lastColumn="0" w:noHBand="0" w:noVBand="1"/>
      </w:tblPr>
      <w:tblGrid>
        <w:gridCol w:w="7942"/>
        <w:gridCol w:w="1634"/>
      </w:tblGrid>
      <w:tr w:rsidR="00672E0C" w:rsidRPr="00D26FB3" w14:paraId="0A5F1A17" w14:textId="77777777" w:rsidTr="00672E0C">
        <w:tc>
          <w:tcPr>
            <w:tcW w:w="4147" w:type="pct"/>
          </w:tcPr>
          <w:p w14:paraId="2AFB99B5" w14:textId="77777777" w:rsidR="00672E0C" w:rsidRPr="00D26FB3" w:rsidRDefault="00672E0C" w:rsidP="00672E0C">
            <w:pPr>
              <w:jc w:val="center"/>
              <w:rPr>
                <w:b/>
                <w:u w:val="single"/>
              </w:rPr>
            </w:pPr>
            <w:r w:rsidRPr="00D26FB3">
              <w:rPr>
                <w:b/>
                <w:u w:val="single"/>
              </w:rPr>
              <w:t>Description</w:t>
            </w:r>
          </w:p>
        </w:tc>
        <w:tc>
          <w:tcPr>
            <w:tcW w:w="853" w:type="pct"/>
          </w:tcPr>
          <w:p w14:paraId="11447592" w14:textId="77777777" w:rsidR="00672E0C" w:rsidRPr="00D26FB3" w:rsidRDefault="00672E0C" w:rsidP="00672E0C">
            <w:pPr>
              <w:jc w:val="center"/>
              <w:rPr>
                <w:b/>
                <w:u w:val="single"/>
              </w:rPr>
            </w:pPr>
            <w:r w:rsidRPr="00D26FB3">
              <w:rPr>
                <w:b/>
                <w:u w:val="single"/>
              </w:rPr>
              <w:t>Adjustment</w:t>
            </w:r>
          </w:p>
        </w:tc>
      </w:tr>
      <w:tr w:rsidR="00672E0C" w:rsidRPr="00D26FB3" w14:paraId="07D2E3B3" w14:textId="77777777" w:rsidTr="00672E0C">
        <w:tc>
          <w:tcPr>
            <w:tcW w:w="4147" w:type="pct"/>
          </w:tcPr>
          <w:p w14:paraId="7D7892BC" w14:textId="77777777" w:rsidR="00672E0C" w:rsidRPr="00D26FB3" w:rsidRDefault="00672E0C" w:rsidP="00672E0C">
            <w:r w:rsidRPr="00D26FB3">
              <w:t xml:space="preserve">To reflect </w:t>
            </w:r>
            <w:r>
              <w:t xml:space="preserve">an </w:t>
            </w:r>
            <w:r w:rsidRPr="00D26FB3">
              <w:t>auditing adjustment from the Original Cost Study.</w:t>
            </w:r>
          </w:p>
        </w:tc>
        <w:tc>
          <w:tcPr>
            <w:tcW w:w="853" w:type="pct"/>
          </w:tcPr>
          <w:p w14:paraId="15A220D9" w14:textId="77777777" w:rsidR="00672E0C" w:rsidRPr="00D26FB3" w:rsidRDefault="00672E0C" w:rsidP="00672E0C">
            <w:pPr>
              <w:jc w:val="right"/>
            </w:pPr>
            <w:r w:rsidRPr="00D26FB3">
              <w:t>$3,750,000</w:t>
            </w:r>
          </w:p>
        </w:tc>
      </w:tr>
      <w:tr w:rsidR="00672E0C" w:rsidRPr="00D26FB3" w14:paraId="28B5CBF7" w14:textId="77777777" w:rsidTr="00672E0C">
        <w:tc>
          <w:tcPr>
            <w:tcW w:w="4147" w:type="pct"/>
          </w:tcPr>
          <w:p w14:paraId="40760CB7" w14:textId="77777777" w:rsidR="00672E0C" w:rsidRPr="00D26FB3" w:rsidRDefault="00672E0C" w:rsidP="00672E0C">
            <w:r w:rsidRPr="00D26FB3">
              <w:t xml:space="preserve">To reflect </w:t>
            </w:r>
            <w:r>
              <w:t xml:space="preserve">an </w:t>
            </w:r>
            <w:r w:rsidRPr="00D26FB3">
              <w:t>auditing adjustment for unrecorded depreciation.</w:t>
            </w:r>
          </w:p>
        </w:tc>
        <w:tc>
          <w:tcPr>
            <w:tcW w:w="853" w:type="pct"/>
          </w:tcPr>
          <w:p w14:paraId="0BD29549" w14:textId="77777777" w:rsidR="00672E0C" w:rsidRPr="00D26FB3" w:rsidRDefault="00672E0C" w:rsidP="00672E0C">
            <w:pPr>
              <w:jc w:val="right"/>
            </w:pPr>
            <w:r w:rsidRPr="00D26FB3">
              <w:t>3,263</w:t>
            </w:r>
          </w:p>
        </w:tc>
      </w:tr>
      <w:tr w:rsidR="00672E0C" w:rsidRPr="00D26FB3" w14:paraId="28876F71" w14:textId="77777777" w:rsidTr="00672E0C">
        <w:tc>
          <w:tcPr>
            <w:tcW w:w="4147" w:type="pct"/>
          </w:tcPr>
          <w:p w14:paraId="615E9048" w14:textId="77777777" w:rsidR="00672E0C" w:rsidRPr="00D26FB3" w:rsidRDefault="00672E0C" w:rsidP="00672E0C">
            <w:r w:rsidRPr="00D26FB3">
              <w:t xml:space="preserve">To reflect </w:t>
            </w:r>
            <w:r>
              <w:t xml:space="preserve">an </w:t>
            </w:r>
            <w:r w:rsidRPr="00D26FB3">
              <w:t>auditing adjustment to remove over deprecation.</w:t>
            </w:r>
          </w:p>
        </w:tc>
        <w:tc>
          <w:tcPr>
            <w:tcW w:w="853" w:type="pct"/>
          </w:tcPr>
          <w:p w14:paraId="03D1F3ED" w14:textId="77777777" w:rsidR="00672E0C" w:rsidRPr="00D26FB3" w:rsidRDefault="00672E0C" w:rsidP="00672E0C">
            <w:pPr>
              <w:jc w:val="right"/>
            </w:pPr>
            <w:r w:rsidRPr="00D26FB3">
              <w:t>(377)</w:t>
            </w:r>
          </w:p>
        </w:tc>
      </w:tr>
      <w:tr w:rsidR="00672E0C" w:rsidRPr="00D26FB3" w14:paraId="18A74397" w14:textId="77777777" w:rsidTr="00672E0C">
        <w:tc>
          <w:tcPr>
            <w:tcW w:w="4147" w:type="pct"/>
          </w:tcPr>
          <w:p w14:paraId="6ECAF932" w14:textId="77777777" w:rsidR="00672E0C" w:rsidRPr="00D26FB3" w:rsidRDefault="00672E0C" w:rsidP="00672E0C">
            <w:r w:rsidRPr="00D26FB3">
              <w:t>To reflect</w:t>
            </w:r>
            <w:r>
              <w:t xml:space="preserve"> an</w:t>
            </w:r>
            <w:r w:rsidRPr="00D26FB3">
              <w:t xml:space="preserve"> auditing adjustment for the use of correct depreciation rates.</w:t>
            </w:r>
          </w:p>
        </w:tc>
        <w:tc>
          <w:tcPr>
            <w:tcW w:w="853" w:type="pct"/>
          </w:tcPr>
          <w:p w14:paraId="7BC6E760" w14:textId="77777777" w:rsidR="00672E0C" w:rsidRPr="00D26FB3" w:rsidRDefault="00672E0C" w:rsidP="00672E0C">
            <w:pPr>
              <w:jc w:val="right"/>
            </w:pPr>
            <w:r w:rsidRPr="00D26FB3">
              <w:t>24,628</w:t>
            </w:r>
          </w:p>
        </w:tc>
      </w:tr>
      <w:tr w:rsidR="00672E0C" w:rsidRPr="00D26FB3" w14:paraId="7177EF7E" w14:textId="77777777" w:rsidTr="00672E0C">
        <w:tc>
          <w:tcPr>
            <w:tcW w:w="4147" w:type="pct"/>
          </w:tcPr>
          <w:p w14:paraId="63D8B91E" w14:textId="77777777" w:rsidR="00672E0C" w:rsidRPr="00D26FB3" w:rsidRDefault="00672E0C" w:rsidP="00672E0C">
            <w:r w:rsidRPr="00D26FB3">
              <w:t xml:space="preserve">To reflect </w:t>
            </w:r>
            <w:r>
              <w:t xml:space="preserve">an </w:t>
            </w:r>
            <w:r w:rsidRPr="00D26FB3">
              <w:t>auditing adjustment to remove backflow preventers.</w:t>
            </w:r>
          </w:p>
        </w:tc>
        <w:tc>
          <w:tcPr>
            <w:tcW w:w="853" w:type="pct"/>
          </w:tcPr>
          <w:p w14:paraId="0C4295C2" w14:textId="77777777" w:rsidR="00672E0C" w:rsidRPr="00D26FB3" w:rsidRDefault="00672E0C" w:rsidP="00672E0C">
            <w:pPr>
              <w:jc w:val="right"/>
            </w:pPr>
            <w:r w:rsidRPr="00D26FB3">
              <w:t>(1,235)</w:t>
            </w:r>
          </w:p>
        </w:tc>
      </w:tr>
      <w:tr w:rsidR="00672E0C" w:rsidRPr="00D26FB3" w14:paraId="7D0B157A" w14:textId="77777777" w:rsidTr="00672E0C">
        <w:tc>
          <w:tcPr>
            <w:tcW w:w="4147" w:type="pct"/>
          </w:tcPr>
          <w:p w14:paraId="212BA192" w14:textId="77777777" w:rsidR="00672E0C" w:rsidRPr="00D26FB3" w:rsidRDefault="00672E0C" w:rsidP="00672E0C">
            <w:r w:rsidRPr="00D26FB3">
              <w:t>To reflect pro forma additions.</w:t>
            </w:r>
          </w:p>
        </w:tc>
        <w:tc>
          <w:tcPr>
            <w:tcW w:w="853" w:type="pct"/>
          </w:tcPr>
          <w:p w14:paraId="21E22DFD" w14:textId="77777777" w:rsidR="00672E0C" w:rsidRPr="00D26FB3" w:rsidRDefault="00672E0C" w:rsidP="00672E0C">
            <w:pPr>
              <w:jc w:val="right"/>
            </w:pPr>
            <w:r w:rsidRPr="00D26FB3">
              <w:t>(</w:t>
            </w:r>
            <w:r>
              <w:t>22,642</w:t>
            </w:r>
            <w:r w:rsidRPr="00D26FB3">
              <w:t>)</w:t>
            </w:r>
          </w:p>
        </w:tc>
      </w:tr>
      <w:tr w:rsidR="00672E0C" w:rsidRPr="00D26FB3" w14:paraId="6833478D" w14:textId="77777777" w:rsidTr="00672E0C">
        <w:tc>
          <w:tcPr>
            <w:tcW w:w="4147" w:type="pct"/>
          </w:tcPr>
          <w:p w14:paraId="2D43EFF8" w14:textId="77777777" w:rsidR="00672E0C" w:rsidRPr="00D26FB3" w:rsidRDefault="00672E0C" w:rsidP="00672E0C">
            <w:r w:rsidRPr="00D26FB3">
              <w:t xml:space="preserve">To reflect </w:t>
            </w:r>
            <w:r>
              <w:t xml:space="preserve">an </w:t>
            </w:r>
            <w:r w:rsidRPr="00D26FB3">
              <w:t>averaging adjustment.</w:t>
            </w:r>
          </w:p>
        </w:tc>
        <w:tc>
          <w:tcPr>
            <w:tcW w:w="853" w:type="pct"/>
          </w:tcPr>
          <w:p w14:paraId="2259C04E" w14:textId="77777777" w:rsidR="00672E0C" w:rsidRPr="00D26FB3" w:rsidRDefault="00672E0C" w:rsidP="00672E0C">
            <w:pPr>
              <w:jc w:val="right"/>
              <w:rPr>
                <w:u w:val="single"/>
              </w:rPr>
            </w:pPr>
            <w:r w:rsidRPr="00D26FB3">
              <w:rPr>
                <w:u w:val="single"/>
              </w:rPr>
              <w:t>(11,</w:t>
            </w:r>
            <w:r>
              <w:rPr>
                <w:u w:val="single"/>
              </w:rPr>
              <w:t>669</w:t>
            </w:r>
            <w:r w:rsidRPr="00D26FB3">
              <w:rPr>
                <w:u w:val="single"/>
              </w:rPr>
              <w:t>)</w:t>
            </w:r>
          </w:p>
        </w:tc>
      </w:tr>
      <w:tr w:rsidR="00672E0C" w:rsidRPr="00D26FB3" w14:paraId="3CC8DF62" w14:textId="77777777" w:rsidTr="00672E0C">
        <w:tc>
          <w:tcPr>
            <w:tcW w:w="4147" w:type="pct"/>
          </w:tcPr>
          <w:p w14:paraId="124CD68D" w14:textId="77777777" w:rsidR="00672E0C" w:rsidRPr="00D26FB3" w:rsidRDefault="00672E0C" w:rsidP="00672E0C">
            <w:r w:rsidRPr="00D26FB3">
              <w:t xml:space="preserve">   Total adjustments to accumulated depreciation.</w:t>
            </w:r>
          </w:p>
        </w:tc>
        <w:tc>
          <w:tcPr>
            <w:tcW w:w="853" w:type="pct"/>
          </w:tcPr>
          <w:p w14:paraId="28CF8909" w14:textId="77777777" w:rsidR="00672E0C" w:rsidRPr="00D26FB3" w:rsidRDefault="00672E0C" w:rsidP="00672E0C">
            <w:pPr>
              <w:jc w:val="right"/>
              <w:rPr>
                <w:u w:val="double"/>
              </w:rPr>
            </w:pPr>
            <w:r w:rsidRPr="00D26FB3">
              <w:rPr>
                <w:u w:val="double"/>
              </w:rPr>
              <w:t>$3,74</w:t>
            </w:r>
            <w:r>
              <w:rPr>
                <w:u w:val="double"/>
              </w:rPr>
              <w:t>1</w:t>
            </w:r>
            <w:r w:rsidRPr="00D26FB3">
              <w:rPr>
                <w:u w:val="double"/>
              </w:rPr>
              <w:t>,</w:t>
            </w:r>
            <w:r>
              <w:rPr>
                <w:u w:val="double"/>
              </w:rPr>
              <w:t>968</w:t>
            </w:r>
          </w:p>
        </w:tc>
      </w:tr>
    </w:tbl>
    <w:p w14:paraId="012E8687" w14:textId="748F78C8" w:rsidR="00672E0C" w:rsidRPr="007E315F" w:rsidRDefault="00672E0C" w:rsidP="00672E0C">
      <w:pPr>
        <w:jc w:val="both"/>
        <w:rPr>
          <w:sz w:val="20"/>
          <w:szCs w:val="20"/>
        </w:rPr>
      </w:pPr>
      <w:r w:rsidRPr="007E315F">
        <w:rPr>
          <w:sz w:val="20"/>
          <w:szCs w:val="20"/>
        </w:rPr>
        <w:t>Source: Staff calculations.</w:t>
      </w:r>
    </w:p>
    <w:p w14:paraId="3F199282" w14:textId="77777777" w:rsidR="009C555C" w:rsidRPr="00D26FB3" w:rsidRDefault="009C555C" w:rsidP="00672E0C">
      <w:pPr>
        <w:jc w:val="both"/>
      </w:pPr>
    </w:p>
    <w:p w14:paraId="15B2CBD2" w14:textId="0741E3CD" w:rsidR="00672E0C" w:rsidRPr="00D26FB3" w:rsidRDefault="00672E0C" w:rsidP="00672E0C">
      <w:pPr>
        <w:spacing w:after="240"/>
        <w:jc w:val="both"/>
      </w:pPr>
      <w:r w:rsidRPr="00D26FB3">
        <w:t>As described above and summarized in Table 4-1, staff’s net adjustment to accumulated depreciation result in an increase of $3,74</w:t>
      </w:r>
      <w:r>
        <w:t>1</w:t>
      </w:r>
      <w:r w:rsidRPr="00D26FB3">
        <w:t>,</w:t>
      </w:r>
      <w:r>
        <w:t>968</w:t>
      </w:r>
      <w:r w:rsidRPr="00D26FB3">
        <w:t>. Therefore, staff recommends an accumulated depreciation of $3,80</w:t>
      </w:r>
      <w:r>
        <w:t>8</w:t>
      </w:r>
      <w:r w:rsidRPr="00D26FB3">
        <w:t>,</w:t>
      </w:r>
      <w:r>
        <w:t>830</w:t>
      </w:r>
      <w:r w:rsidRPr="00D26FB3">
        <w:t>.</w:t>
      </w:r>
      <w:r w:rsidRPr="00672E0C">
        <w:t xml:space="preserve"> </w:t>
      </w:r>
    </w:p>
    <w:p w14:paraId="268EA3E3" w14:textId="100E7532" w:rsidR="00672E0C" w:rsidRPr="00D26FB3" w:rsidRDefault="00672E0C" w:rsidP="00672E0C">
      <w:pPr>
        <w:jc w:val="both"/>
        <w:rPr>
          <w:rFonts w:ascii="Arial" w:hAnsi="Arial" w:cs="Arial"/>
          <w:b/>
        </w:rPr>
      </w:pPr>
      <w:r w:rsidRPr="00D26FB3">
        <w:rPr>
          <w:rFonts w:ascii="Arial" w:hAnsi="Arial" w:cs="Arial"/>
          <w:b/>
        </w:rPr>
        <w:t>Working Capital Allowance</w:t>
      </w:r>
    </w:p>
    <w:p w14:paraId="2F04F146" w14:textId="6BA8E324" w:rsidR="00672E0C" w:rsidRPr="00D26FB3" w:rsidRDefault="00672E0C" w:rsidP="00672E0C">
      <w:pPr>
        <w:spacing w:after="240"/>
        <w:jc w:val="both"/>
      </w:pPr>
      <w:r w:rsidRPr="00D26FB3">
        <w:t>Working capital is defined as the short-term investor-supplied funds that are necessary to meet operating expenses. Consistent with Rule 25-30.433(3), F.A.C., and Commission practice, staff used the one-eighth of operation and maintenance (O&amp;M) expense (less rate case expense) formula for calculating the working capital allowance.</w:t>
      </w:r>
      <w:r w:rsidRPr="00D26FB3">
        <w:rPr>
          <w:vertAlign w:val="superscript"/>
        </w:rPr>
        <w:footnoteReference w:id="3"/>
      </w:r>
      <w:r w:rsidRPr="00D26FB3">
        <w:t xml:space="preserve"> As such, staff removed the rate case expense of $</w:t>
      </w:r>
      <w:r>
        <w:t>3,492</w:t>
      </w:r>
      <w:r w:rsidRPr="00D26FB3">
        <w:t>. This resulted in an adjusted O&amp;M expense balance of $183,828. Based on this calculation, staff recommends a working capital allowance of $22,978.</w:t>
      </w:r>
      <w:r w:rsidRPr="00672E0C">
        <w:t xml:space="preserve"> </w:t>
      </w:r>
    </w:p>
    <w:p w14:paraId="7483C393" w14:textId="479EB7FB" w:rsidR="00672E0C" w:rsidRPr="00D26FB3" w:rsidRDefault="00672E0C" w:rsidP="00672E0C">
      <w:pPr>
        <w:jc w:val="both"/>
        <w:rPr>
          <w:rFonts w:ascii="Arial" w:hAnsi="Arial" w:cs="Arial"/>
          <w:b/>
        </w:rPr>
      </w:pPr>
      <w:r w:rsidRPr="00D26FB3">
        <w:rPr>
          <w:rFonts w:ascii="Arial" w:hAnsi="Arial" w:cs="Arial"/>
          <w:b/>
        </w:rPr>
        <w:t>Rate Base Summary</w:t>
      </w:r>
    </w:p>
    <w:p w14:paraId="67D90E58" w14:textId="7DF2C50D" w:rsidR="00167B7C" w:rsidRDefault="00672E0C" w:rsidP="00672E0C">
      <w:pPr>
        <w:spacing w:after="240"/>
        <w:jc w:val="both"/>
      </w:pPr>
      <w:r w:rsidRPr="00D26FB3">
        <w:t>Based on the foregoing, staff recommends that the appropriate average test year rate base is $47</w:t>
      </w:r>
      <w:r>
        <w:t>3</w:t>
      </w:r>
      <w:r w:rsidRPr="00D26FB3">
        <w:t>,</w:t>
      </w:r>
      <w:r>
        <w:t>502</w:t>
      </w:r>
      <w:r w:rsidRPr="00D26FB3">
        <w:t>. Rate base is shown on Schedule No. 1-A. The related ad</w:t>
      </w:r>
      <w:r>
        <w:t xml:space="preserve">justments are shown on Schedule </w:t>
      </w:r>
      <w:r w:rsidRPr="00D26FB3">
        <w:t>No. 1-B</w:t>
      </w:r>
      <w:r w:rsidR="00F518B2">
        <w:t>.</w:t>
      </w:r>
    </w:p>
    <w:p w14:paraId="0D0837B7" w14:textId="29590AB8"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5</w:instrText>
      </w:r>
      <w:r>
        <w:fldChar w:fldCharType="end"/>
      </w:r>
      <w:r>
        <w:tab/>
        <w:instrText xml:space="preserve">(Lenberg)" \l 1 </w:instrText>
      </w:r>
      <w:r>
        <w:fldChar w:fldCharType="end"/>
      </w:r>
      <w:r>
        <w:t> </w:t>
      </w:r>
    </w:p>
    <w:p w14:paraId="0F4E109F" w14:textId="77777777" w:rsidR="00167B7C" w:rsidRDefault="00167B7C">
      <w:pPr>
        <w:pStyle w:val="BodyText"/>
      </w:pPr>
      <w:r>
        <w:t> What is the appropriate return on equity and overall rate of return for Gulfstream Utility LLC?</w:t>
      </w:r>
    </w:p>
    <w:p w14:paraId="40E04C86" w14:textId="77777777" w:rsidR="00167B7C" w:rsidRPr="004C3641" w:rsidRDefault="00167B7C">
      <w:pPr>
        <w:pStyle w:val="IssueSubsectionHeading"/>
        <w:rPr>
          <w:vanish/>
          <w:specVanish/>
        </w:rPr>
      </w:pPr>
      <w:r w:rsidRPr="004C3641">
        <w:t>Recommendation: </w:t>
      </w:r>
    </w:p>
    <w:p w14:paraId="77E48353" w14:textId="54AC5E39" w:rsidR="00167B7C" w:rsidRDefault="00167B7C">
      <w:pPr>
        <w:pStyle w:val="BodyText"/>
      </w:pPr>
      <w:r>
        <w:t> </w:t>
      </w:r>
      <w:r w:rsidR="00672E0C" w:rsidRPr="00D26FB3">
        <w:t>The appropriate return on equity (ROE) is 8.51 percent, with a range of 7.51 percent to 9.51 percent. The appropriate overall rate of return is 8.51 percent</w:t>
      </w:r>
      <w:r w:rsidR="00672E0C">
        <w:t>.</w:t>
      </w:r>
      <w:r>
        <w:t xml:space="preserve"> (Lenberg)</w:t>
      </w:r>
    </w:p>
    <w:p w14:paraId="148EEE68" w14:textId="77777777" w:rsidR="00167B7C" w:rsidRPr="004C3641" w:rsidRDefault="00167B7C">
      <w:pPr>
        <w:pStyle w:val="IssueSubsectionHeading"/>
        <w:rPr>
          <w:vanish/>
          <w:specVanish/>
        </w:rPr>
      </w:pPr>
      <w:r w:rsidRPr="004C3641">
        <w:t>Staff Analysis: </w:t>
      </w:r>
    </w:p>
    <w:p w14:paraId="4A5CCAF2" w14:textId="3B673239" w:rsidR="00167B7C" w:rsidRDefault="00167B7C">
      <w:pPr>
        <w:pStyle w:val="BodyText"/>
      </w:pPr>
      <w:r>
        <w:t> </w:t>
      </w:r>
      <w:r w:rsidR="00672E0C" w:rsidRPr="00D26FB3">
        <w:t>The Utility’s capital structure consists of common equity. The Utility’s capital structure has been reconciled with staff’s recommended rate base. The appropriate ROE is 8.51 percent based on the Commission-approved leverage formula currently in effect.</w:t>
      </w:r>
      <w:r w:rsidR="00672E0C" w:rsidRPr="00D26FB3">
        <w:rPr>
          <w:vertAlign w:val="superscript"/>
        </w:rPr>
        <w:footnoteReference w:id="4"/>
      </w:r>
      <w:r w:rsidR="00672E0C" w:rsidRPr="00D26FB3">
        <w:t xml:space="preserve"> Staff recommends an ROE of 8.51 percent</w:t>
      </w:r>
      <w:r w:rsidR="007E315F">
        <w:t>,</w:t>
      </w:r>
      <w:r w:rsidR="00672E0C" w:rsidRPr="00D26FB3">
        <w:t xml:space="preserve"> with a range of 7.51 percent to 9.51 percent, and an overall rate of return of 8.51 percent. The ROE and overall rate of return </w:t>
      </w:r>
      <w:r w:rsidR="00672E0C">
        <w:t>are equal</w:t>
      </w:r>
      <w:r w:rsidR="00453C51">
        <w:t>,</w:t>
      </w:r>
      <w:r w:rsidR="00672E0C">
        <w:t xml:space="preserve"> as</w:t>
      </w:r>
      <w:r w:rsidR="00672E0C" w:rsidRPr="00D26FB3">
        <w:t xml:space="preserve"> shown on Schedule No. 2</w:t>
      </w:r>
      <w:r w:rsidR="00672E0C">
        <w:t>.</w:t>
      </w:r>
    </w:p>
    <w:p w14:paraId="64E28479" w14:textId="6BE33C1D"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6</w:instrText>
      </w:r>
      <w:r>
        <w:fldChar w:fldCharType="end"/>
      </w:r>
      <w:r>
        <w:tab/>
        <w:instrText xml:space="preserve">(Bethea)" \l 1 </w:instrText>
      </w:r>
      <w:r>
        <w:fldChar w:fldCharType="end"/>
      </w:r>
      <w:r>
        <w:t> </w:t>
      </w:r>
    </w:p>
    <w:p w14:paraId="6100F8A3" w14:textId="16D225CF" w:rsidR="00167B7C" w:rsidRDefault="00167B7C">
      <w:pPr>
        <w:pStyle w:val="BodyText"/>
      </w:pPr>
      <w:r>
        <w:t xml:space="preserve"> What </w:t>
      </w:r>
      <w:r w:rsidR="00B644F7">
        <w:t xml:space="preserve">are </w:t>
      </w:r>
      <w:r>
        <w:t>the appropriate amount of test year operating revenues for Gulfstream Utility LLC’s wastewater system?</w:t>
      </w:r>
    </w:p>
    <w:p w14:paraId="7D4F6784" w14:textId="77777777" w:rsidR="00167B7C" w:rsidRPr="004C3641" w:rsidRDefault="00167B7C">
      <w:pPr>
        <w:pStyle w:val="IssueSubsectionHeading"/>
        <w:rPr>
          <w:vanish/>
          <w:specVanish/>
        </w:rPr>
      </w:pPr>
      <w:r w:rsidRPr="004C3641">
        <w:t>Recommendation: </w:t>
      </w:r>
    </w:p>
    <w:p w14:paraId="6A433F24" w14:textId="77777777" w:rsidR="00167B7C" w:rsidRDefault="00167B7C">
      <w:pPr>
        <w:pStyle w:val="BodyText"/>
      </w:pPr>
      <w:r>
        <w:t> </w:t>
      </w:r>
      <w:r w:rsidR="00EF55B6" w:rsidRPr="003F6BF5">
        <w:t xml:space="preserve">The appropriate test year operating revenues for </w:t>
      </w:r>
      <w:r w:rsidR="00EF55B6">
        <w:t>Gulfstream’s</w:t>
      </w:r>
      <w:r w:rsidR="00EF55B6" w:rsidRPr="003F6BF5">
        <w:t xml:space="preserve"> </w:t>
      </w:r>
      <w:r w:rsidR="00EF55B6">
        <w:t>waste</w:t>
      </w:r>
      <w:r w:rsidR="00EF55B6" w:rsidRPr="003F6BF5">
        <w:t xml:space="preserve">water system are </w:t>
      </w:r>
      <w:r w:rsidR="00EF55B6">
        <w:t>$157,926.</w:t>
      </w:r>
      <w:r>
        <w:t xml:space="preserve"> (Bethea)</w:t>
      </w:r>
    </w:p>
    <w:p w14:paraId="30DA4296" w14:textId="77777777" w:rsidR="00167B7C" w:rsidRPr="004C3641" w:rsidRDefault="00167B7C">
      <w:pPr>
        <w:pStyle w:val="IssueSubsectionHeading"/>
        <w:rPr>
          <w:vanish/>
          <w:specVanish/>
        </w:rPr>
      </w:pPr>
      <w:r w:rsidRPr="004C3641">
        <w:t>Staff Analysis: </w:t>
      </w:r>
    </w:p>
    <w:p w14:paraId="40394DA8" w14:textId="77777777" w:rsidR="00EF55B6" w:rsidRDefault="00167B7C" w:rsidP="00EF55B6">
      <w:pPr>
        <w:jc w:val="both"/>
      </w:pPr>
      <w:r>
        <w:t> </w:t>
      </w:r>
      <w:r w:rsidR="00EF55B6">
        <w:t>The U</w:t>
      </w:r>
      <w:r w:rsidR="00EF55B6" w:rsidRPr="003F6BF5">
        <w:t>tility recorded total test year operating</w:t>
      </w:r>
      <w:r w:rsidR="00EF55B6">
        <w:t xml:space="preserve"> revenues of $139,605</w:t>
      </w:r>
      <w:r w:rsidR="00EF55B6" w:rsidRPr="003F6BF5">
        <w:t xml:space="preserve"> for wastewater. The waste</w:t>
      </w:r>
      <w:r w:rsidR="00EF55B6">
        <w:t>water revenues included $139,605</w:t>
      </w:r>
      <w:r w:rsidR="00EF55B6" w:rsidRPr="003F6BF5">
        <w:t xml:space="preserve"> of service revenues and no miscellaneous revenues.</w:t>
      </w:r>
      <w:r w:rsidR="00EF55B6" w:rsidRPr="00A74EE0">
        <w:t xml:space="preserve"> </w:t>
      </w:r>
      <w:r w:rsidR="00EF55B6">
        <w:t>During the test year, Gulfstream</w:t>
      </w:r>
      <w:r w:rsidR="00EF55B6" w:rsidRPr="003F6BF5">
        <w:t xml:space="preserve"> was approved for a price index rate adjustmen</w:t>
      </w:r>
      <w:r w:rsidR="00EF55B6">
        <w:t>t, which was effective August</w:t>
      </w:r>
      <w:r w:rsidR="00EF55B6" w:rsidRPr="003F6BF5">
        <w:t xml:space="preserve"> 1</w:t>
      </w:r>
      <w:r w:rsidR="00EF55B6">
        <w:t>3</w:t>
      </w:r>
      <w:r w:rsidR="00EF55B6" w:rsidRPr="003F6BF5">
        <w:t>, 2024.</w:t>
      </w:r>
      <w:r w:rsidR="00EF55B6">
        <w:t xml:space="preserve"> However, a review of the billing data indicated that the Utility incorrectly billed customers at a lower base facility (BFC) and usage charge, resulting in the Utility not collecting the appropriate test year operating revenues.</w:t>
      </w:r>
      <w:r w:rsidR="00EF55B6" w:rsidRPr="003F6BF5">
        <w:t xml:space="preserve"> </w:t>
      </w:r>
      <w:r w:rsidR="00EF55B6">
        <w:t xml:space="preserve">Therefore, staff applied the current rates to the billing determinants to determine the appropriate test year operating revenues. </w:t>
      </w:r>
      <w:r w:rsidR="00EF55B6" w:rsidRPr="003F6BF5">
        <w:t>As a result, staff determined test year service revenues should be</w:t>
      </w:r>
      <w:r w:rsidR="00EF55B6">
        <w:t xml:space="preserve"> $157,926</w:t>
      </w:r>
      <w:r w:rsidR="00EF55B6" w:rsidRPr="003F6BF5">
        <w:t xml:space="preserve"> for </w:t>
      </w:r>
      <w:r w:rsidR="00EF55B6">
        <w:t>waste</w:t>
      </w:r>
      <w:r w:rsidR="00EF55B6" w:rsidRPr="003F6BF5">
        <w:t>water. This results in an increase to service revenue of $</w:t>
      </w:r>
      <w:r w:rsidR="00EF55B6">
        <w:t>18,321 ($157,926</w:t>
      </w:r>
      <w:r w:rsidR="00EF55B6" w:rsidRPr="003F6BF5">
        <w:t xml:space="preserve"> –</w:t>
      </w:r>
      <w:r w:rsidR="00EF55B6">
        <w:t xml:space="preserve"> $139,605</w:t>
      </w:r>
      <w:r w:rsidR="00EF55B6" w:rsidRPr="003F6BF5">
        <w:t xml:space="preserve">) for </w:t>
      </w:r>
      <w:r w:rsidR="00EF55B6">
        <w:t>waste</w:t>
      </w:r>
      <w:r w:rsidR="00EF55B6" w:rsidRPr="003F6BF5">
        <w:t>water.</w:t>
      </w:r>
      <w:r w:rsidR="00EF55B6">
        <w:t xml:space="preserve"> </w:t>
      </w:r>
    </w:p>
    <w:p w14:paraId="716505B6" w14:textId="77777777" w:rsidR="00EF55B6" w:rsidRPr="003F6BF5" w:rsidRDefault="00EF55B6" w:rsidP="00EF55B6">
      <w:pPr>
        <w:jc w:val="both"/>
      </w:pPr>
    </w:p>
    <w:p w14:paraId="4B991599" w14:textId="77777777" w:rsidR="00167B7C" w:rsidRDefault="00EF55B6" w:rsidP="00EF55B6">
      <w:pPr>
        <w:pStyle w:val="BodyText"/>
      </w:pPr>
      <w:r w:rsidRPr="003F6BF5">
        <w:t>Based on the above, the appropriate test year</w:t>
      </w:r>
      <w:r>
        <w:t xml:space="preserve"> operating revenues for Gulfstream</w:t>
      </w:r>
      <w:r w:rsidRPr="003F6BF5">
        <w:t xml:space="preserve">’s </w:t>
      </w:r>
      <w:r>
        <w:t>wastewater system are $157,926.</w:t>
      </w:r>
    </w:p>
    <w:p w14:paraId="4ADE596F" w14:textId="0A4BDE72"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7</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7</w:instrText>
      </w:r>
      <w:r>
        <w:fldChar w:fldCharType="end"/>
      </w:r>
      <w:r>
        <w:tab/>
        <w:instrText xml:space="preserve">(Lenberg, Olivieri)" \l 1 </w:instrText>
      </w:r>
      <w:r>
        <w:fldChar w:fldCharType="end"/>
      </w:r>
      <w:r>
        <w:t> </w:t>
      </w:r>
    </w:p>
    <w:p w14:paraId="4F19E2C5" w14:textId="77777777" w:rsidR="00167B7C" w:rsidRDefault="00167B7C">
      <w:pPr>
        <w:pStyle w:val="BodyText"/>
      </w:pPr>
      <w:r>
        <w:t> What is the appropriate amount of operating expense for Gulfstream Utility LLC?</w:t>
      </w:r>
    </w:p>
    <w:p w14:paraId="2F1D8B8A" w14:textId="77777777" w:rsidR="00167B7C" w:rsidRPr="004C3641" w:rsidRDefault="00167B7C">
      <w:pPr>
        <w:pStyle w:val="IssueSubsectionHeading"/>
        <w:rPr>
          <w:vanish/>
          <w:specVanish/>
        </w:rPr>
      </w:pPr>
      <w:r w:rsidRPr="004C3641">
        <w:t>Recommendation: </w:t>
      </w:r>
    </w:p>
    <w:p w14:paraId="1B7EFD29" w14:textId="0F6240F1" w:rsidR="00167B7C" w:rsidRDefault="00167B7C">
      <w:pPr>
        <w:pStyle w:val="BodyText"/>
      </w:pPr>
      <w:r>
        <w:t> </w:t>
      </w:r>
      <w:r w:rsidR="00672E0C" w:rsidRPr="00D26FB3">
        <w:rPr>
          <w:bCs/>
          <w:iCs/>
          <w:szCs w:val="28"/>
        </w:rPr>
        <w:t>The appropriate amount of operating expense for Gulfstream is $</w:t>
      </w:r>
      <w:r w:rsidR="00672E0C">
        <w:rPr>
          <w:bCs/>
          <w:iCs/>
          <w:szCs w:val="28"/>
        </w:rPr>
        <w:t>232,036.</w:t>
      </w:r>
      <w:r>
        <w:t xml:space="preserve"> (Lenberg, Olivieri)</w:t>
      </w:r>
    </w:p>
    <w:p w14:paraId="71C2C111" w14:textId="77777777" w:rsidR="00167B7C" w:rsidRPr="004C3641" w:rsidRDefault="00167B7C">
      <w:pPr>
        <w:pStyle w:val="IssueSubsectionHeading"/>
        <w:rPr>
          <w:vanish/>
          <w:specVanish/>
        </w:rPr>
      </w:pPr>
      <w:r w:rsidRPr="004C3641">
        <w:t>Staff Analysis: </w:t>
      </w:r>
    </w:p>
    <w:p w14:paraId="5DD42030" w14:textId="1F29F21F" w:rsidR="00672E0C" w:rsidRDefault="00167B7C" w:rsidP="00672E0C">
      <w:pPr>
        <w:jc w:val="both"/>
        <w:rPr>
          <w:bCs/>
          <w:iCs/>
          <w:szCs w:val="28"/>
        </w:rPr>
      </w:pPr>
      <w:r>
        <w:t> </w:t>
      </w:r>
      <w:r w:rsidR="00672E0C" w:rsidRPr="00D26FB3">
        <w:rPr>
          <w:bCs/>
          <w:iCs/>
          <w:szCs w:val="28"/>
        </w:rPr>
        <w:t>The Utility recorded operating expenses of $216,748. The test year expenses have been reviewed by staff, including invoices and other supporting documentation. Staff has made several adjustments to the Utility’s operating expenses as described below.</w:t>
      </w:r>
    </w:p>
    <w:p w14:paraId="5848DC0D" w14:textId="503D6B0E" w:rsidR="00D55347" w:rsidRDefault="00D55347" w:rsidP="00D55347">
      <w:pPr>
        <w:jc w:val="both"/>
      </w:pPr>
    </w:p>
    <w:p w14:paraId="7E2EB962" w14:textId="77777777" w:rsidR="00D55347" w:rsidRDefault="00D55347" w:rsidP="00D55347">
      <w:pPr>
        <w:jc w:val="both"/>
      </w:pPr>
      <w:r w:rsidRPr="00B3270D">
        <w:rPr>
          <w:rFonts w:ascii="Arial" w:hAnsi="Arial" w:cs="Arial"/>
          <w:b/>
        </w:rPr>
        <w:t xml:space="preserve">Pro Forma </w:t>
      </w:r>
      <w:r>
        <w:rPr>
          <w:rFonts w:ascii="Arial" w:hAnsi="Arial" w:cs="Arial"/>
          <w:b/>
        </w:rPr>
        <w:t>O&amp;M</w:t>
      </w:r>
      <w:r>
        <w:t xml:space="preserve"> </w:t>
      </w:r>
    </w:p>
    <w:p w14:paraId="618ADC8F" w14:textId="7E529E2B" w:rsidR="00167B7C" w:rsidRDefault="00D55347" w:rsidP="00D55347">
      <w:pPr>
        <w:pStyle w:val="BodyText"/>
      </w:pPr>
      <w:r>
        <w:t xml:space="preserve">Gulfstream is requesting recovery of the cost to submit a WWTP Permit Renewal to </w:t>
      </w:r>
      <w:r w:rsidR="007E315F">
        <w:t xml:space="preserve">the </w:t>
      </w:r>
      <w:r>
        <w:t>DEP. In order to complete this process, Gulfstream contracted with a professional engineering firm to prepare the following: a Capacity Analysis Report; an Operations and Maintenance Performance Report; a Pow</w:t>
      </w:r>
      <w:r w:rsidR="007E315F">
        <w:t>er Outage Contingency Plan; and</w:t>
      </w:r>
      <w:r>
        <w:t xml:space="preserve"> a Collection System Action Plan. The cost for preparing these reports was $4,050. Staff has reviewed the supporting documentation submitted with the Utility’s application in this SARC and believes this cost to be reasonable. The Utility’s WWTP permit was renewed by the DEP on March 24, 2025. Since this expense is required for the Utility to maintain its permit with the DEP, staff recommends approval of this expense.</w:t>
      </w:r>
    </w:p>
    <w:p w14:paraId="62C7588E" w14:textId="77777777" w:rsidR="00672E0C" w:rsidRPr="00D26FB3" w:rsidRDefault="00672E0C" w:rsidP="00672E0C">
      <w:pPr>
        <w:jc w:val="both"/>
        <w:outlineLvl w:val="2"/>
        <w:rPr>
          <w:rFonts w:ascii="Arial" w:hAnsi="Arial" w:cs="Arial"/>
          <w:b/>
          <w:bCs/>
          <w:iCs/>
          <w:szCs w:val="28"/>
        </w:rPr>
      </w:pPr>
      <w:r w:rsidRPr="00D26FB3">
        <w:rPr>
          <w:rFonts w:ascii="Arial" w:hAnsi="Arial" w:cs="Arial"/>
          <w:b/>
          <w:bCs/>
          <w:iCs/>
          <w:szCs w:val="28"/>
        </w:rPr>
        <w:t>Operation and Maintenance Expenses</w:t>
      </w:r>
    </w:p>
    <w:p w14:paraId="149D220B" w14:textId="77777777" w:rsidR="00672E0C" w:rsidRPr="00D26FB3" w:rsidRDefault="00672E0C" w:rsidP="00672E0C">
      <w:pPr>
        <w:jc w:val="both"/>
      </w:pPr>
    </w:p>
    <w:p w14:paraId="6B2FCD65" w14:textId="77777777" w:rsidR="00672E0C" w:rsidRPr="00D26FB3" w:rsidRDefault="00672E0C" w:rsidP="00672E0C">
      <w:pPr>
        <w:ind w:firstLine="720"/>
        <w:jc w:val="both"/>
        <w:rPr>
          <w:rFonts w:ascii="Arial" w:hAnsi="Arial" w:cs="Arial"/>
          <w:b/>
        </w:rPr>
      </w:pPr>
      <w:r w:rsidRPr="00D26FB3">
        <w:rPr>
          <w:rFonts w:ascii="Arial" w:hAnsi="Arial" w:cs="Arial"/>
          <w:b/>
        </w:rPr>
        <w:t>Salaries and Wages – Employees (701)</w:t>
      </w:r>
    </w:p>
    <w:p w14:paraId="23E78DE2" w14:textId="77777777" w:rsidR="00672E0C" w:rsidRPr="00D26FB3" w:rsidRDefault="00672E0C" w:rsidP="00672E0C">
      <w:pPr>
        <w:jc w:val="both"/>
        <w:rPr>
          <w:bCs/>
          <w:iCs/>
          <w:szCs w:val="28"/>
        </w:rPr>
      </w:pPr>
      <w:r w:rsidRPr="00D26FB3">
        <w:rPr>
          <w:bCs/>
          <w:iCs/>
          <w:szCs w:val="28"/>
        </w:rPr>
        <w:t>The Utility recorded a salaries and wages expense of $10,669, which included payroll tax. Staff decreased this amount by $749 to reclassify payroll taxes to Taxes Other Than Income</w:t>
      </w:r>
      <w:r>
        <w:rPr>
          <w:bCs/>
          <w:iCs/>
          <w:szCs w:val="28"/>
        </w:rPr>
        <w:t xml:space="preserve"> (TOTI)</w:t>
      </w:r>
      <w:r w:rsidRPr="00D26FB3">
        <w:rPr>
          <w:bCs/>
          <w:iCs/>
          <w:szCs w:val="28"/>
        </w:rPr>
        <w:t>. Therefore, staff recommends a salaries and wages expense of $9,920.</w:t>
      </w:r>
    </w:p>
    <w:p w14:paraId="053AEA0D" w14:textId="77777777" w:rsidR="00672E0C" w:rsidRPr="00D26FB3" w:rsidRDefault="00672E0C" w:rsidP="00672E0C">
      <w:pPr>
        <w:jc w:val="both"/>
        <w:rPr>
          <w:bCs/>
          <w:iCs/>
          <w:szCs w:val="28"/>
        </w:rPr>
      </w:pPr>
    </w:p>
    <w:p w14:paraId="4031AB1F" w14:textId="77777777" w:rsidR="00672E0C" w:rsidRPr="00D26FB3" w:rsidRDefault="00672E0C" w:rsidP="00672E0C">
      <w:pPr>
        <w:jc w:val="both"/>
        <w:rPr>
          <w:rFonts w:ascii="Arial" w:hAnsi="Arial" w:cs="Arial"/>
          <w:b/>
        </w:rPr>
      </w:pPr>
      <w:r w:rsidRPr="00D26FB3">
        <w:rPr>
          <w:bCs/>
          <w:iCs/>
          <w:szCs w:val="28"/>
        </w:rPr>
        <w:tab/>
      </w:r>
      <w:r w:rsidRPr="00D26FB3">
        <w:rPr>
          <w:rFonts w:ascii="Arial" w:hAnsi="Arial" w:cs="Arial"/>
          <w:b/>
        </w:rPr>
        <w:t>Purchased Wastewater Treatment (710)</w:t>
      </w:r>
    </w:p>
    <w:p w14:paraId="4C7E9928" w14:textId="77777777" w:rsidR="00672E0C" w:rsidRPr="00D26FB3" w:rsidRDefault="00672E0C" w:rsidP="00672E0C">
      <w:pPr>
        <w:jc w:val="both"/>
      </w:pPr>
      <w:r w:rsidRPr="00D26FB3">
        <w:rPr>
          <w:bCs/>
          <w:iCs/>
          <w:szCs w:val="28"/>
        </w:rPr>
        <w:t>The Utility recorded purchased wastewater treatment expense of $68,726. Staff decreased this amount by $3,823 to reflect an audit adjustment based on actual invoices provided by the Utility. Therefore, staff recommends a purchased wastewater treatment expense of</w:t>
      </w:r>
      <w:r w:rsidRPr="00D26FB3">
        <w:t xml:space="preserve"> $64,903.</w:t>
      </w:r>
    </w:p>
    <w:p w14:paraId="2FC665A7" w14:textId="77777777" w:rsidR="00672E0C" w:rsidRPr="00D26FB3" w:rsidRDefault="00672E0C" w:rsidP="00672E0C">
      <w:pPr>
        <w:jc w:val="both"/>
      </w:pPr>
    </w:p>
    <w:p w14:paraId="69369480" w14:textId="77777777" w:rsidR="00672E0C" w:rsidRPr="00D26FB3" w:rsidRDefault="00672E0C" w:rsidP="00672E0C">
      <w:pPr>
        <w:ind w:firstLine="720"/>
        <w:jc w:val="both"/>
        <w:rPr>
          <w:rFonts w:ascii="Arial" w:hAnsi="Arial" w:cs="Arial"/>
          <w:b/>
        </w:rPr>
      </w:pPr>
      <w:r w:rsidRPr="00D26FB3">
        <w:rPr>
          <w:rFonts w:ascii="Arial" w:hAnsi="Arial" w:cs="Arial"/>
          <w:b/>
        </w:rPr>
        <w:t>Sludge Removal Expense (711)</w:t>
      </w:r>
    </w:p>
    <w:p w14:paraId="6DEBF4B9" w14:textId="05CC2921" w:rsidR="00672E0C" w:rsidRDefault="00672E0C" w:rsidP="00672E0C">
      <w:pPr>
        <w:jc w:val="both"/>
        <w:rPr>
          <w:bCs/>
          <w:iCs/>
          <w:szCs w:val="28"/>
        </w:rPr>
      </w:pPr>
      <w:r w:rsidRPr="00D26FB3">
        <w:rPr>
          <w:bCs/>
          <w:iCs/>
          <w:szCs w:val="28"/>
        </w:rPr>
        <w:t xml:space="preserve">The Utility recorded sludge removal expense of $15,645. Staff decreased this amount by $998 to reflect an audit adjustment related to an out-of-period invoice. Staff also increased this amount by $3,923 to reflect an audit adjustment for invoices provided by the Utility that had not been charged to an expense account. Staff further increased this amount by $5,895 to reflect a reclassification of sludge removal costs that had been recorded in </w:t>
      </w:r>
      <w:r w:rsidR="007E315F" w:rsidRPr="00D26FB3">
        <w:rPr>
          <w:bCs/>
          <w:iCs/>
          <w:szCs w:val="28"/>
        </w:rPr>
        <w:t xml:space="preserve">Account 731 </w:t>
      </w:r>
      <w:r w:rsidR="007E315F">
        <w:rPr>
          <w:bCs/>
          <w:iCs/>
          <w:szCs w:val="28"/>
        </w:rPr>
        <w:t>–</w:t>
      </w:r>
      <w:r w:rsidR="007E315F" w:rsidRPr="00D26FB3">
        <w:rPr>
          <w:bCs/>
          <w:iCs/>
          <w:szCs w:val="28"/>
        </w:rPr>
        <w:t xml:space="preserve"> Contractual Services</w:t>
      </w:r>
      <w:r w:rsidR="007E315F">
        <w:rPr>
          <w:bCs/>
          <w:iCs/>
          <w:szCs w:val="28"/>
        </w:rPr>
        <w:t xml:space="preserve"> – Professional</w:t>
      </w:r>
      <w:r w:rsidR="007E315F" w:rsidRPr="00D26FB3">
        <w:rPr>
          <w:bCs/>
          <w:iCs/>
          <w:szCs w:val="28"/>
        </w:rPr>
        <w:t>. Staff’s</w:t>
      </w:r>
      <w:r w:rsidRPr="00D26FB3">
        <w:rPr>
          <w:bCs/>
          <w:iCs/>
          <w:szCs w:val="28"/>
        </w:rPr>
        <w:t xml:space="preserve"> net adjustment to sludge removal expense results in an increase of $8,820. Therefore, staff recommends a sludge removal expense of $24,465.</w:t>
      </w:r>
    </w:p>
    <w:p w14:paraId="10185193" w14:textId="77777777" w:rsidR="00672E0C" w:rsidRPr="00D26FB3" w:rsidRDefault="00672E0C" w:rsidP="00672E0C">
      <w:pPr>
        <w:jc w:val="both"/>
        <w:rPr>
          <w:bCs/>
          <w:iCs/>
          <w:szCs w:val="28"/>
        </w:rPr>
      </w:pPr>
    </w:p>
    <w:p w14:paraId="0FFE2B54" w14:textId="77777777" w:rsidR="00672E0C" w:rsidRPr="00D26FB3" w:rsidRDefault="00672E0C" w:rsidP="00672E0C">
      <w:pPr>
        <w:ind w:firstLine="720"/>
        <w:jc w:val="both"/>
        <w:rPr>
          <w:rFonts w:ascii="Arial" w:hAnsi="Arial" w:cs="Arial"/>
          <w:b/>
        </w:rPr>
      </w:pPr>
      <w:r w:rsidRPr="00D26FB3">
        <w:rPr>
          <w:rFonts w:ascii="Arial" w:hAnsi="Arial" w:cs="Arial"/>
          <w:b/>
        </w:rPr>
        <w:t>Purchased Power (715)</w:t>
      </w:r>
    </w:p>
    <w:p w14:paraId="24D0EE77" w14:textId="77777777" w:rsidR="00672E0C" w:rsidRPr="00D26FB3" w:rsidRDefault="00672E0C" w:rsidP="00672E0C">
      <w:pPr>
        <w:jc w:val="both"/>
        <w:rPr>
          <w:bCs/>
          <w:iCs/>
          <w:szCs w:val="28"/>
        </w:rPr>
      </w:pPr>
      <w:r w:rsidRPr="00D26FB3">
        <w:rPr>
          <w:bCs/>
          <w:iCs/>
          <w:szCs w:val="28"/>
        </w:rPr>
        <w:t>The Utility recorded purchased power expense of $4,328. Staff increased this amount by $2,161 to reflect an audit adjustment based on invoices for the test year provided by the Utility. Therefore, staff recommends a purchased power expense of $6,489.</w:t>
      </w:r>
    </w:p>
    <w:p w14:paraId="7E590080" w14:textId="77777777" w:rsidR="00672E0C" w:rsidRPr="00D26FB3" w:rsidRDefault="00672E0C" w:rsidP="00672E0C">
      <w:pPr>
        <w:jc w:val="both"/>
        <w:rPr>
          <w:bCs/>
          <w:iCs/>
          <w:szCs w:val="28"/>
        </w:rPr>
      </w:pPr>
    </w:p>
    <w:p w14:paraId="649E476E" w14:textId="77777777" w:rsidR="003A4CDC" w:rsidRDefault="003A4CDC" w:rsidP="00672E0C">
      <w:pPr>
        <w:ind w:firstLine="720"/>
        <w:jc w:val="both"/>
        <w:rPr>
          <w:rFonts w:ascii="Arial" w:hAnsi="Arial" w:cs="Arial"/>
          <w:b/>
        </w:rPr>
      </w:pPr>
    </w:p>
    <w:p w14:paraId="37753453" w14:textId="4C654895" w:rsidR="00672E0C" w:rsidRPr="00D26FB3" w:rsidRDefault="00672E0C" w:rsidP="00672E0C">
      <w:pPr>
        <w:ind w:firstLine="720"/>
        <w:jc w:val="both"/>
        <w:rPr>
          <w:rFonts w:ascii="Arial" w:hAnsi="Arial" w:cs="Arial"/>
          <w:b/>
        </w:rPr>
      </w:pPr>
      <w:r w:rsidRPr="00D26FB3">
        <w:rPr>
          <w:rFonts w:ascii="Arial" w:hAnsi="Arial" w:cs="Arial"/>
          <w:b/>
        </w:rPr>
        <w:t>Chemicals (718)</w:t>
      </w:r>
    </w:p>
    <w:p w14:paraId="26651784" w14:textId="6E1935FF" w:rsidR="00672E0C" w:rsidRDefault="00672E0C" w:rsidP="00672E0C">
      <w:pPr>
        <w:jc w:val="both"/>
        <w:rPr>
          <w:bCs/>
          <w:iCs/>
          <w:szCs w:val="28"/>
        </w:rPr>
      </w:pPr>
      <w:r w:rsidRPr="00D26FB3">
        <w:rPr>
          <w:bCs/>
          <w:iCs/>
          <w:szCs w:val="28"/>
        </w:rPr>
        <w:t xml:space="preserve">The Utility recorded chemicals expense of $7,397. Staff decreased this amount by $561 to reflect an audit adjustment to remove an out-of-period invoice. </w:t>
      </w:r>
      <w:r w:rsidR="007E315F" w:rsidRPr="00D26FB3">
        <w:rPr>
          <w:bCs/>
          <w:iCs/>
          <w:szCs w:val="28"/>
        </w:rPr>
        <w:t xml:space="preserve">Staff </w:t>
      </w:r>
      <w:r w:rsidR="007E315F">
        <w:rPr>
          <w:bCs/>
          <w:iCs/>
          <w:szCs w:val="28"/>
        </w:rPr>
        <w:t xml:space="preserve">also </w:t>
      </w:r>
      <w:r w:rsidR="007E315F" w:rsidRPr="00D26FB3">
        <w:rPr>
          <w:bCs/>
          <w:iCs/>
          <w:szCs w:val="28"/>
        </w:rPr>
        <w:t>increased this amount by $2,056 to reflect an audit adjustment for the reclassification of chemicals expense that had been recorded in Account 731 – Contractual Services</w:t>
      </w:r>
      <w:r w:rsidR="007E315F">
        <w:rPr>
          <w:bCs/>
          <w:iCs/>
          <w:szCs w:val="28"/>
        </w:rPr>
        <w:t xml:space="preserve"> – Professional</w:t>
      </w:r>
      <w:r w:rsidR="007E315F" w:rsidRPr="00D26FB3">
        <w:rPr>
          <w:bCs/>
          <w:iCs/>
          <w:szCs w:val="28"/>
        </w:rPr>
        <w:t>. Staff’s</w:t>
      </w:r>
      <w:r w:rsidRPr="00D26FB3">
        <w:rPr>
          <w:bCs/>
          <w:iCs/>
          <w:szCs w:val="28"/>
        </w:rPr>
        <w:t xml:space="preserve"> net adjustment to chemical expense results in an increase of $1,495. Therefore, staff recommends a chemicals expense of $8,892.</w:t>
      </w:r>
    </w:p>
    <w:p w14:paraId="0F43E1BF" w14:textId="77777777" w:rsidR="00672E0C" w:rsidRDefault="00672E0C" w:rsidP="00672E0C">
      <w:pPr>
        <w:jc w:val="both"/>
        <w:rPr>
          <w:bCs/>
          <w:iCs/>
          <w:szCs w:val="28"/>
        </w:rPr>
      </w:pPr>
    </w:p>
    <w:p w14:paraId="3A38181B" w14:textId="77777777" w:rsidR="00672E0C" w:rsidRPr="00D26FB3" w:rsidRDefault="00672E0C" w:rsidP="00672E0C">
      <w:pPr>
        <w:ind w:firstLine="720"/>
        <w:jc w:val="both"/>
        <w:rPr>
          <w:rFonts w:ascii="Arial" w:hAnsi="Arial" w:cs="Arial"/>
          <w:b/>
        </w:rPr>
      </w:pPr>
      <w:r>
        <w:rPr>
          <w:rFonts w:ascii="Arial" w:hAnsi="Arial" w:cs="Arial"/>
          <w:b/>
        </w:rPr>
        <w:t>Materials and Supplies</w:t>
      </w:r>
      <w:r w:rsidRPr="00D26FB3">
        <w:rPr>
          <w:rFonts w:ascii="Arial" w:hAnsi="Arial" w:cs="Arial"/>
          <w:b/>
        </w:rPr>
        <w:t xml:space="preserve"> (7</w:t>
      </w:r>
      <w:r>
        <w:rPr>
          <w:rFonts w:ascii="Arial" w:hAnsi="Arial" w:cs="Arial"/>
          <w:b/>
        </w:rPr>
        <w:t>2</w:t>
      </w:r>
      <w:r w:rsidRPr="00D26FB3">
        <w:rPr>
          <w:rFonts w:ascii="Arial" w:hAnsi="Arial" w:cs="Arial"/>
          <w:b/>
        </w:rPr>
        <w:t>0)</w:t>
      </w:r>
    </w:p>
    <w:p w14:paraId="150194BC" w14:textId="41EFF041" w:rsidR="00672E0C" w:rsidRPr="00D26FB3" w:rsidRDefault="00672E0C" w:rsidP="00672E0C">
      <w:pPr>
        <w:jc w:val="both"/>
        <w:rPr>
          <w:bCs/>
          <w:iCs/>
          <w:szCs w:val="28"/>
        </w:rPr>
      </w:pPr>
      <w:r w:rsidRPr="00D26FB3">
        <w:rPr>
          <w:bCs/>
          <w:iCs/>
          <w:szCs w:val="28"/>
        </w:rPr>
        <w:t xml:space="preserve">The Utility recorded </w:t>
      </w:r>
      <w:r>
        <w:rPr>
          <w:bCs/>
          <w:iCs/>
          <w:szCs w:val="28"/>
        </w:rPr>
        <w:t>materials and supplies</w:t>
      </w:r>
      <w:r w:rsidRPr="00D26FB3">
        <w:rPr>
          <w:bCs/>
          <w:iCs/>
          <w:szCs w:val="28"/>
        </w:rPr>
        <w:t xml:space="preserve"> expense of $</w:t>
      </w:r>
      <w:r>
        <w:rPr>
          <w:bCs/>
          <w:iCs/>
          <w:szCs w:val="28"/>
        </w:rPr>
        <w:t>800</w:t>
      </w:r>
      <w:r w:rsidRPr="00D26FB3">
        <w:rPr>
          <w:bCs/>
          <w:iCs/>
          <w:szCs w:val="28"/>
        </w:rPr>
        <w:t xml:space="preserve">. Staff </w:t>
      </w:r>
      <w:r>
        <w:rPr>
          <w:bCs/>
          <w:iCs/>
          <w:szCs w:val="28"/>
        </w:rPr>
        <w:t>made no adjustments to this amount</w:t>
      </w:r>
      <w:r w:rsidRPr="00D26FB3">
        <w:rPr>
          <w:bCs/>
          <w:iCs/>
          <w:szCs w:val="28"/>
        </w:rPr>
        <w:t xml:space="preserve">. Therefore, staff recommends a </w:t>
      </w:r>
      <w:r>
        <w:rPr>
          <w:bCs/>
          <w:iCs/>
          <w:szCs w:val="28"/>
        </w:rPr>
        <w:t>material</w:t>
      </w:r>
      <w:r w:rsidR="001267CF">
        <w:rPr>
          <w:bCs/>
          <w:iCs/>
          <w:szCs w:val="28"/>
        </w:rPr>
        <w:t>s</w:t>
      </w:r>
      <w:r>
        <w:rPr>
          <w:bCs/>
          <w:iCs/>
          <w:szCs w:val="28"/>
        </w:rPr>
        <w:t xml:space="preserve"> and supplies</w:t>
      </w:r>
      <w:r w:rsidRPr="00D26FB3">
        <w:rPr>
          <w:bCs/>
          <w:iCs/>
          <w:szCs w:val="28"/>
        </w:rPr>
        <w:t xml:space="preserve"> expense of</w:t>
      </w:r>
      <w:r w:rsidRPr="00D26FB3">
        <w:t xml:space="preserve"> $</w:t>
      </w:r>
      <w:r>
        <w:t>800</w:t>
      </w:r>
      <w:r w:rsidRPr="00D26FB3">
        <w:t>.</w:t>
      </w:r>
    </w:p>
    <w:p w14:paraId="78B3AA5D" w14:textId="77777777" w:rsidR="00672E0C" w:rsidRPr="00D26FB3" w:rsidRDefault="00672E0C" w:rsidP="00672E0C">
      <w:pPr>
        <w:jc w:val="both"/>
        <w:rPr>
          <w:bCs/>
          <w:iCs/>
          <w:szCs w:val="28"/>
        </w:rPr>
      </w:pPr>
    </w:p>
    <w:p w14:paraId="1F9BA939" w14:textId="77777777" w:rsidR="00672E0C" w:rsidRPr="00D26FB3" w:rsidRDefault="00672E0C" w:rsidP="00672E0C">
      <w:pPr>
        <w:ind w:firstLine="720"/>
        <w:jc w:val="both"/>
        <w:rPr>
          <w:rFonts w:ascii="Arial" w:hAnsi="Arial" w:cs="Arial"/>
          <w:b/>
        </w:rPr>
      </w:pPr>
      <w:r w:rsidRPr="00D26FB3">
        <w:rPr>
          <w:rFonts w:ascii="Arial" w:hAnsi="Arial" w:cs="Arial"/>
          <w:b/>
        </w:rPr>
        <w:t>Contractual Services – Billing (730)</w:t>
      </w:r>
    </w:p>
    <w:p w14:paraId="31B7B7DD" w14:textId="77777777" w:rsidR="00672E0C" w:rsidRPr="00D26FB3" w:rsidRDefault="00672E0C" w:rsidP="00672E0C">
      <w:pPr>
        <w:jc w:val="both"/>
        <w:rPr>
          <w:bCs/>
          <w:iCs/>
          <w:szCs w:val="28"/>
        </w:rPr>
      </w:pPr>
      <w:r w:rsidRPr="00D26FB3">
        <w:rPr>
          <w:bCs/>
          <w:iCs/>
          <w:szCs w:val="28"/>
        </w:rPr>
        <w:t>The Utility recorded contractual services – billing expense of $8,427. Staff decreased this amount by $651 to reflect an audit adjustment to remove an out-of-period invoice. Staff further decreased this amount by $1,366 to remove charges for November and December 2024 for which no supporting documentation was provided. Staff’s net adjustment to contractual services – billing expense results in a decrease of $2,017. Therefore, staff recommends a contractual services – billing expense of $6,410.</w:t>
      </w:r>
    </w:p>
    <w:p w14:paraId="7015700D" w14:textId="77777777" w:rsidR="00672E0C" w:rsidRPr="00D26FB3" w:rsidRDefault="00672E0C" w:rsidP="00672E0C">
      <w:pPr>
        <w:jc w:val="both"/>
      </w:pPr>
    </w:p>
    <w:p w14:paraId="0178899A" w14:textId="77777777" w:rsidR="00672E0C" w:rsidRPr="00D26FB3" w:rsidRDefault="00672E0C" w:rsidP="00672E0C">
      <w:pPr>
        <w:ind w:firstLine="720"/>
        <w:jc w:val="both"/>
        <w:rPr>
          <w:rFonts w:ascii="Arial" w:hAnsi="Arial" w:cs="Arial"/>
          <w:b/>
        </w:rPr>
      </w:pPr>
      <w:r w:rsidRPr="00D26FB3">
        <w:rPr>
          <w:rFonts w:ascii="Arial" w:hAnsi="Arial" w:cs="Arial"/>
          <w:b/>
        </w:rPr>
        <w:t>Contractual Services – Professional (731)</w:t>
      </w:r>
    </w:p>
    <w:p w14:paraId="08439B8F" w14:textId="77777777" w:rsidR="00672E0C" w:rsidRPr="00D26FB3" w:rsidRDefault="00672E0C" w:rsidP="00672E0C">
      <w:pPr>
        <w:jc w:val="both"/>
        <w:rPr>
          <w:bCs/>
          <w:iCs/>
          <w:szCs w:val="28"/>
        </w:rPr>
      </w:pPr>
      <w:r w:rsidRPr="00D26FB3">
        <w:rPr>
          <w:bCs/>
          <w:iCs/>
          <w:szCs w:val="28"/>
        </w:rPr>
        <w:t>The Utility recorded contractual services – professional expense of $59,676. Staff increased this amount by $481 to reflect a full year of groundskeeping services at the wastewater treatment plant. Staff decreased this amount by $1,279 to reflect an audit adjustment due to lack of supporting documentation. In addition, staff decreased this amount by $5,895 and $2,056 to reclassify expenses that had been inappropriately recorded in Account 731 – Contractual Services and properly assign them to Accounts 711 – Sludge Removal and 718 – Chemicals, respectively. Staff’s net adjustment to contractual services – professional expense results in a decrease of $8,749. Therefore, staff recommends a contractual services – professional expense of $50,927.</w:t>
      </w:r>
    </w:p>
    <w:p w14:paraId="24B382C9" w14:textId="77777777" w:rsidR="00672E0C" w:rsidRDefault="00672E0C" w:rsidP="00672E0C">
      <w:pPr>
        <w:jc w:val="both"/>
        <w:rPr>
          <w:bCs/>
          <w:iCs/>
          <w:szCs w:val="28"/>
        </w:rPr>
      </w:pPr>
    </w:p>
    <w:p w14:paraId="15AD2317" w14:textId="77777777" w:rsidR="00672E0C" w:rsidRPr="00D26FB3" w:rsidRDefault="00672E0C" w:rsidP="00672E0C">
      <w:pPr>
        <w:ind w:firstLine="720"/>
        <w:jc w:val="both"/>
        <w:rPr>
          <w:rFonts w:ascii="Arial" w:hAnsi="Arial" w:cs="Arial"/>
          <w:b/>
        </w:rPr>
      </w:pPr>
      <w:r w:rsidRPr="00D26FB3">
        <w:rPr>
          <w:rFonts w:ascii="Arial" w:hAnsi="Arial" w:cs="Arial"/>
          <w:b/>
        </w:rPr>
        <w:t xml:space="preserve">Contractual Services – </w:t>
      </w:r>
      <w:r>
        <w:rPr>
          <w:rFonts w:ascii="Arial" w:hAnsi="Arial" w:cs="Arial"/>
          <w:b/>
        </w:rPr>
        <w:t>Other</w:t>
      </w:r>
      <w:r w:rsidRPr="00D26FB3">
        <w:rPr>
          <w:rFonts w:ascii="Arial" w:hAnsi="Arial" w:cs="Arial"/>
          <w:b/>
        </w:rPr>
        <w:t xml:space="preserve"> (7</w:t>
      </w:r>
      <w:r>
        <w:rPr>
          <w:rFonts w:ascii="Arial" w:hAnsi="Arial" w:cs="Arial"/>
          <w:b/>
        </w:rPr>
        <w:t>36</w:t>
      </w:r>
      <w:r w:rsidRPr="00D26FB3">
        <w:rPr>
          <w:rFonts w:ascii="Arial" w:hAnsi="Arial" w:cs="Arial"/>
          <w:b/>
        </w:rPr>
        <w:t>)</w:t>
      </w:r>
    </w:p>
    <w:p w14:paraId="2E27DED1" w14:textId="77777777" w:rsidR="00672E0C" w:rsidRDefault="00672E0C" w:rsidP="00672E0C">
      <w:pPr>
        <w:jc w:val="both"/>
      </w:pPr>
      <w:r w:rsidRPr="00D26FB3">
        <w:rPr>
          <w:bCs/>
          <w:iCs/>
          <w:szCs w:val="28"/>
        </w:rPr>
        <w:t xml:space="preserve">The Utility recorded contractual services – </w:t>
      </w:r>
      <w:r>
        <w:rPr>
          <w:bCs/>
          <w:iCs/>
          <w:szCs w:val="28"/>
        </w:rPr>
        <w:t>other</w:t>
      </w:r>
      <w:r w:rsidRPr="00D26FB3">
        <w:rPr>
          <w:bCs/>
          <w:iCs/>
          <w:szCs w:val="28"/>
        </w:rPr>
        <w:t xml:space="preserve"> expense of $</w:t>
      </w:r>
      <w:r>
        <w:rPr>
          <w:bCs/>
          <w:iCs/>
          <w:szCs w:val="28"/>
        </w:rPr>
        <w:t>9,723</w:t>
      </w:r>
      <w:r w:rsidRPr="00D26FB3">
        <w:rPr>
          <w:bCs/>
          <w:iCs/>
          <w:szCs w:val="28"/>
        </w:rPr>
        <w:t xml:space="preserve">. Staff </w:t>
      </w:r>
      <w:r>
        <w:rPr>
          <w:bCs/>
          <w:iCs/>
          <w:szCs w:val="28"/>
        </w:rPr>
        <w:t>made no adjustments to this amount</w:t>
      </w:r>
      <w:r w:rsidRPr="00D26FB3">
        <w:rPr>
          <w:bCs/>
          <w:iCs/>
          <w:szCs w:val="28"/>
        </w:rPr>
        <w:t xml:space="preserve">. Therefore, staff recommends a contractual services – </w:t>
      </w:r>
      <w:r>
        <w:rPr>
          <w:bCs/>
          <w:iCs/>
          <w:szCs w:val="28"/>
        </w:rPr>
        <w:t>other</w:t>
      </w:r>
      <w:r w:rsidRPr="00D26FB3">
        <w:rPr>
          <w:bCs/>
          <w:iCs/>
          <w:szCs w:val="28"/>
        </w:rPr>
        <w:t xml:space="preserve"> expense of</w:t>
      </w:r>
      <w:r w:rsidRPr="00D26FB3">
        <w:t xml:space="preserve"> $</w:t>
      </w:r>
      <w:r>
        <w:t>9,723</w:t>
      </w:r>
      <w:r w:rsidRPr="00D26FB3">
        <w:t>.</w:t>
      </w:r>
    </w:p>
    <w:p w14:paraId="4A9BD5A0" w14:textId="77777777" w:rsidR="00672E0C" w:rsidRPr="00D26FB3" w:rsidRDefault="00672E0C" w:rsidP="00672E0C">
      <w:pPr>
        <w:jc w:val="both"/>
        <w:rPr>
          <w:bCs/>
          <w:iCs/>
          <w:szCs w:val="28"/>
        </w:rPr>
      </w:pPr>
    </w:p>
    <w:p w14:paraId="575F2737" w14:textId="77777777" w:rsidR="00672E0C" w:rsidRPr="00D26FB3" w:rsidRDefault="00672E0C" w:rsidP="00672E0C">
      <w:pPr>
        <w:ind w:firstLine="720"/>
        <w:jc w:val="both"/>
        <w:rPr>
          <w:rFonts w:ascii="Arial" w:hAnsi="Arial" w:cs="Arial"/>
          <w:b/>
        </w:rPr>
      </w:pPr>
      <w:r w:rsidRPr="00D26FB3">
        <w:rPr>
          <w:rFonts w:ascii="Arial" w:hAnsi="Arial" w:cs="Arial"/>
          <w:b/>
        </w:rPr>
        <w:t>Transportation Expense (750)</w:t>
      </w:r>
    </w:p>
    <w:p w14:paraId="78704118" w14:textId="77777777" w:rsidR="00672E0C" w:rsidRPr="00D26FB3" w:rsidRDefault="00672E0C" w:rsidP="00672E0C">
      <w:pPr>
        <w:jc w:val="both"/>
        <w:rPr>
          <w:bCs/>
          <w:iCs/>
          <w:szCs w:val="28"/>
        </w:rPr>
      </w:pPr>
      <w:r w:rsidRPr="00D26FB3">
        <w:rPr>
          <w:bCs/>
          <w:iCs/>
          <w:szCs w:val="28"/>
        </w:rPr>
        <w:t xml:space="preserve"> The Utility recorded transportation expense of $536. Staff decreased this amount by $310 to reflect an audit adjustment due to lack of supporting documentation. Therefore, staff recommends a transportation expense of $226.</w:t>
      </w:r>
    </w:p>
    <w:p w14:paraId="057E26F0" w14:textId="77777777" w:rsidR="00672E0C" w:rsidRPr="00D26FB3" w:rsidRDefault="00672E0C" w:rsidP="00672E0C">
      <w:pPr>
        <w:jc w:val="both"/>
        <w:rPr>
          <w:bCs/>
          <w:iCs/>
          <w:szCs w:val="28"/>
        </w:rPr>
      </w:pPr>
    </w:p>
    <w:p w14:paraId="2C5FCDF6" w14:textId="77777777" w:rsidR="001267CF" w:rsidRDefault="001267CF" w:rsidP="001267CF">
      <w:pPr>
        <w:ind w:firstLine="720"/>
        <w:jc w:val="both"/>
        <w:rPr>
          <w:rFonts w:ascii="Arial" w:hAnsi="Arial" w:cs="Arial"/>
          <w:b/>
        </w:rPr>
      </w:pPr>
      <w:r>
        <w:rPr>
          <w:rFonts w:ascii="Arial" w:hAnsi="Arial" w:cs="Arial"/>
          <w:b/>
        </w:rPr>
        <w:t>Regulatory Commission Expense (765)</w:t>
      </w:r>
    </w:p>
    <w:p w14:paraId="03D044EA" w14:textId="726D2856" w:rsidR="00672E0C" w:rsidRDefault="001267CF" w:rsidP="001267CF">
      <w:pPr>
        <w:spacing w:after="240"/>
        <w:jc w:val="both"/>
      </w:pPr>
      <w:r>
        <w:rPr>
          <w:bCs/>
          <w:iCs/>
          <w:szCs w:val="28"/>
        </w:rPr>
        <w:t>The Utility did not record any rate case expense for the current docket</w:t>
      </w:r>
      <w:r w:rsidR="00672E0C">
        <w:rPr>
          <w:bCs/>
          <w:iCs/>
          <w:szCs w:val="28"/>
        </w:rPr>
        <w:t>.</w:t>
      </w:r>
      <w:r w:rsidR="00672E0C">
        <w:t xml:space="preserve"> The Utility is required by Rule 25-22.0407, F.A.C., to mail notices of the rate case overview, final rates, and four-year rate reduction. Staff calculated noticing costs to be $3,368.</w:t>
      </w:r>
    </w:p>
    <w:p w14:paraId="09E45928" w14:textId="77777777" w:rsidR="001267CF" w:rsidRDefault="001267CF" w:rsidP="001267CF">
      <w:pPr>
        <w:spacing w:after="240"/>
        <w:jc w:val="both"/>
      </w:pPr>
      <w:r>
        <w:t>Under Section 367.0814(3), F.S., the Commission may award rate case expense for attorney fees or fees of other outside consultants if such fees are incurred after the initial staff report. On February 13, 2026, the Utility provided documentation to support $9,407 in additional rate case expense including legal expenses and consulting fees incurred to date and estimated through the end of the proposed agency action process.</w:t>
      </w:r>
      <w:r>
        <w:rPr>
          <w:rStyle w:val="FootnoteReference"/>
        </w:rPr>
        <w:footnoteReference w:id="5"/>
      </w:r>
      <w:r>
        <w:t xml:space="preserve"> Staff reviewed the documentation and believes the Utility’s requested rate case expense is reasonable.</w:t>
      </w:r>
    </w:p>
    <w:p w14:paraId="183D1ACA" w14:textId="77777777" w:rsidR="001267CF" w:rsidRDefault="001267CF" w:rsidP="001267CF">
      <w:pPr>
        <w:spacing w:after="240"/>
        <w:jc w:val="both"/>
      </w:pPr>
      <w:r>
        <w:t>Staff calculated the distance from the Utility representative’s office in Orlando, Florida, to Tallahassee, Florida as 261 miles. Based on the 2026 Internal Revenue Service business mileage rate of $0.725, staff calculated round trip travel and lodging expense to the Commission Conference of $578. However, because the same Utility representative will be attending the Commission Conference on behalf of this and two sister utilities, staff allocated only 33.3 percent of the total travel expense, or $193, to Gulfstream. Additionally, the Utility paid a filing fee of $1,000 for its SARC application.</w:t>
      </w:r>
    </w:p>
    <w:p w14:paraId="7B398741" w14:textId="77777777" w:rsidR="001267CF" w:rsidRDefault="001267CF" w:rsidP="001267CF">
      <w:pPr>
        <w:jc w:val="both"/>
      </w:pPr>
      <w:r>
        <w:t>Staff recommends a total rate case expense, consisting of noticing costs, travel, lodging expenses and filing fee of $13,967, which amortized over four years is $3,492. Therefore, staff recommends total annual rate case expense of $3,492.</w:t>
      </w:r>
    </w:p>
    <w:p w14:paraId="6906BA94" w14:textId="77777777" w:rsidR="001267CF" w:rsidRDefault="001267CF" w:rsidP="001267CF">
      <w:pPr>
        <w:jc w:val="both"/>
        <w:rPr>
          <w:rFonts w:ascii="Arial" w:hAnsi="Arial" w:cs="Arial"/>
        </w:rPr>
      </w:pPr>
    </w:p>
    <w:p w14:paraId="4230A43F" w14:textId="77777777" w:rsidR="001267CF" w:rsidRPr="00D26FB3" w:rsidRDefault="001267CF" w:rsidP="001267CF">
      <w:pPr>
        <w:ind w:firstLine="720"/>
        <w:jc w:val="both"/>
        <w:rPr>
          <w:rFonts w:ascii="Arial" w:hAnsi="Arial" w:cs="Arial"/>
          <w:b/>
        </w:rPr>
      </w:pPr>
      <w:r w:rsidRPr="00D26FB3">
        <w:rPr>
          <w:rFonts w:ascii="Arial" w:hAnsi="Arial" w:cs="Arial"/>
          <w:b/>
        </w:rPr>
        <w:t xml:space="preserve"> Miscellaneous Expenses (775)</w:t>
      </w:r>
    </w:p>
    <w:p w14:paraId="7571F347" w14:textId="5F19CE9D" w:rsidR="00672E0C" w:rsidRPr="00D26FB3" w:rsidRDefault="001267CF" w:rsidP="001267CF">
      <w:pPr>
        <w:jc w:val="both"/>
      </w:pPr>
      <w:r w:rsidRPr="00D26FB3">
        <w:t>The Utility recorded miscellaneous expenses of $1,460</w:t>
      </w:r>
      <w:r w:rsidRPr="00D26FB3">
        <w:rPr>
          <w:bCs/>
          <w:iCs/>
          <w:szCs w:val="28"/>
        </w:rPr>
        <w:t xml:space="preserve">. </w:t>
      </w:r>
      <w:r w:rsidRPr="00D26FB3">
        <w:t xml:space="preserve">Staff decreased this amount by $1,147 to remove telephone and cable expenses the Utility elected not to include for recovery. Staff further decreased this amount by $50 to remove unsupported office expenses. As described above, the Utility requested O&amp;M pro forma to recover the costs of its </w:t>
      </w:r>
      <w:r>
        <w:t>WWTP</w:t>
      </w:r>
      <w:r w:rsidRPr="00D26FB3">
        <w:t xml:space="preserve"> permit renewal, which is a non-recurring cost estimated to be $4,050. Pursuant to Rule 25-30.433(9), F.A.C., staff amortized this amount over five years, resulting in an increase to the test year expense of $810. </w:t>
      </w:r>
      <w:r w:rsidRPr="00D26FB3">
        <w:rPr>
          <w:bCs/>
          <w:iCs/>
          <w:szCs w:val="28"/>
        </w:rPr>
        <w:t xml:space="preserve">Staff’s net adjustment to </w:t>
      </w:r>
      <w:r w:rsidRPr="00D26FB3">
        <w:t>miscellaneous expenses</w:t>
      </w:r>
      <w:r w:rsidRPr="00D26FB3">
        <w:rPr>
          <w:bCs/>
          <w:iCs/>
          <w:szCs w:val="28"/>
        </w:rPr>
        <w:t xml:space="preserve"> results in a decrease of $387. </w:t>
      </w:r>
      <w:r w:rsidRPr="00D26FB3">
        <w:t>Therefore, staff recommends miscellaneous expenses of $1,073</w:t>
      </w:r>
      <w:r w:rsidR="00672E0C" w:rsidRPr="00D26FB3">
        <w:t>.</w:t>
      </w:r>
    </w:p>
    <w:p w14:paraId="41B71B20" w14:textId="77777777" w:rsidR="003A4CDC" w:rsidRDefault="003A4CDC" w:rsidP="00672E0C">
      <w:pPr>
        <w:jc w:val="both"/>
        <w:rPr>
          <w:rFonts w:ascii="Arial" w:hAnsi="Arial" w:cs="Arial"/>
          <w:b/>
        </w:rPr>
      </w:pPr>
    </w:p>
    <w:p w14:paraId="2F8ECF7F" w14:textId="42368C74" w:rsidR="00672E0C" w:rsidRPr="00D26FB3" w:rsidRDefault="00672E0C" w:rsidP="00672E0C">
      <w:pPr>
        <w:jc w:val="both"/>
        <w:rPr>
          <w:rFonts w:ascii="Arial" w:hAnsi="Arial" w:cs="Arial"/>
          <w:b/>
        </w:rPr>
      </w:pPr>
      <w:r w:rsidRPr="00D26FB3">
        <w:rPr>
          <w:rFonts w:ascii="Arial" w:hAnsi="Arial" w:cs="Arial"/>
          <w:b/>
        </w:rPr>
        <w:t>Operation and Maintenance Expense Summary</w:t>
      </w:r>
    </w:p>
    <w:p w14:paraId="14BB19C6" w14:textId="77777777" w:rsidR="00672E0C" w:rsidRPr="00D26FB3" w:rsidRDefault="00672E0C" w:rsidP="00672E0C">
      <w:pPr>
        <w:jc w:val="both"/>
      </w:pPr>
      <w:r w:rsidRPr="00D26FB3">
        <w:t>The Utility recorded test year O&amp;M expense of $187,387. Based on the above adjustments, staff recommends O&amp;M expense be decreased by $</w:t>
      </w:r>
      <w:r>
        <w:t>68</w:t>
      </w:r>
      <w:r w:rsidRPr="00D26FB3">
        <w:t>. This results in a total O&amp;M expense of $18</w:t>
      </w:r>
      <w:r>
        <w:t>7</w:t>
      </w:r>
      <w:r w:rsidRPr="00D26FB3">
        <w:t>,</w:t>
      </w:r>
      <w:r>
        <w:t>319</w:t>
      </w:r>
      <w:r w:rsidRPr="00D26FB3">
        <w:t>. Staff’s recommended adjustments to O&amp;M are shown on S</w:t>
      </w:r>
      <w:r>
        <w:t>chedule No. 3-C</w:t>
      </w:r>
      <w:r w:rsidRPr="00D26FB3">
        <w:t>.</w:t>
      </w:r>
    </w:p>
    <w:p w14:paraId="68D88437" w14:textId="77777777" w:rsidR="00672E0C" w:rsidRPr="00D26FB3" w:rsidRDefault="00672E0C" w:rsidP="00672E0C">
      <w:pPr>
        <w:jc w:val="both"/>
      </w:pPr>
    </w:p>
    <w:p w14:paraId="5555102A" w14:textId="77777777" w:rsidR="00672E0C" w:rsidRPr="00D26FB3" w:rsidRDefault="00672E0C" w:rsidP="00672E0C">
      <w:pPr>
        <w:jc w:val="both"/>
        <w:rPr>
          <w:rFonts w:ascii="Arial" w:hAnsi="Arial" w:cs="Arial"/>
          <w:b/>
        </w:rPr>
      </w:pPr>
      <w:r w:rsidRPr="00D26FB3">
        <w:rPr>
          <w:rFonts w:ascii="Arial" w:hAnsi="Arial" w:cs="Arial"/>
          <w:b/>
        </w:rPr>
        <w:t>Depreciation Expense</w:t>
      </w:r>
    </w:p>
    <w:p w14:paraId="3B5A0176" w14:textId="77777777" w:rsidR="00672E0C" w:rsidRDefault="00672E0C" w:rsidP="00672E0C">
      <w:pPr>
        <w:jc w:val="both"/>
      </w:pPr>
      <w:r w:rsidRPr="00D26FB3">
        <w:t>The Utility recorded depreciation expense of $14,861. Based on the depreciation rates prescribed in Rule 25-30.140</w:t>
      </w:r>
      <w:r>
        <w:t>,</w:t>
      </w:r>
      <w:r w:rsidRPr="00D26FB3">
        <w:t xml:space="preserve"> F.A.C., audit staff increased this amount by $8,853. Staff further increased this amount by $5</w:t>
      </w:r>
      <w:r>
        <w:t>15</w:t>
      </w:r>
      <w:r w:rsidRPr="00D26FB3">
        <w:t xml:space="preserve"> to reflect pro forma ad</w:t>
      </w:r>
      <w:r>
        <w:t>ditions and retirements</w:t>
      </w:r>
      <w:r w:rsidRPr="00D26FB3">
        <w:t xml:space="preserve">. </w:t>
      </w:r>
      <w:r>
        <w:t xml:space="preserve">In addition, staff decreased this amount by $377 to remove depreciation expense associated with a fully depreciated account. </w:t>
      </w:r>
    </w:p>
    <w:p w14:paraId="06F6DC6B" w14:textId="77777777" w:rsidR="00672E0C" w:rsidRDefault="00672E0C" w:rsidP="00672E0C">
      <w:pPr>
        <w:jc w:val="both"/>
      </w:pPr>
    </w:p>
    <w:p w14:paraId="4772B276" w14:textId="77777777" w:rsidR="00672E0C" w:rsidRPr="00D26FB3" w:rsidRDefault="00672E0C" w:rsidP="00672E0C">
      <w:pPr>
        <w:jc w:val="both"/>
      </w:pPr>
      <w:r w:rsidRPr="00D26FB3">
        <w:t>Staff’s net adjustments to depreciation expense result in an increase of $</w:t>
      </w:r>
      <w:r>
        <w:t>8,991</w:t>
      </w:r>
      <w:r w:rsidRPr="00D26FB3">
        <w:t>. Therefore, staff recommends depreciation expense of $2</w:t>
      </w:r>
      <w:r>
        <w:t>3</w:t>
      </w:r>
      <w:r w:rsidRPr="00D26FB3">
        <w:t>,</w:t>
      </w:r>
      <w:r>
        <w:t>852</w:t>
      </w:r>
      <w:r w:rsidRPr="00D26FB3">
        <w:t>.</w:t>
      </w:r>
    </w:p>
    <w:p w14:paraId="16353E8C" w14:textId="68A66E96" w:rsidR="00672E0C" w:rsidRDefault="00672E0C" w:rsidP="00672E0C">
      <w:pPr>
        <w:jc w:val="both"/>
      </w:pPr>
    </w:p>
    <w:p w14:paraId="53ED4D2D" w14:textId="77777777" w:rsidR="001267CF" w:rsidRPr="00D26FB3" w:rsidRDefault="001267CF" w:rsidP="00672E0C">
      <w:pPr>
        <w:jc w:val="both"/>
      </w:pPr>
    </w:p>
    <w:p w14:paraId="13AD46FF" w14:textId="77777777" w:rsidR="00672E0C" w:rsidRPr="00D26FB3" w:rsidRDefault="00672E0C" w:rsidP="00672E0C">
      <w:pPr>
        <w:jc w:val="both"/>
        <w:rPr>
          <w:rFonts w:ascii="Arial" w:hAnsi="Arial" w:cs="Arial"/>
          <w:b/>
        </w:rPr>
      </w:pPr>
      <w:r w:rsidRPr="00D26FB3">
        <w:rPr>
          <w:rFonts w:ascii="Arial" w:hAnsi="Arial" w:cs="Arial"/>
          <w:b/>
        </w:rPr>
        <w:t>Taxes Other Than Income</w:t>
      </w:r>
      <w:r>
        <w:rPr>
          <w:rFonts w:ascii="Arial" w:hAnsi="Arial" w:cs="Arial"/>
          <w:b/>
        </w:rPr>
        <w:t xml:space="preserve"> </w:t>
      </w:r>
      <w:r w:rsidRPr="00D26FB3">
        <w:rPr>
          <w:rFonts w:ascii="Arial" w:hAnsi="Arial" w:cs="Arial"/>
          <w:b/>
        </w:rPr>
        <w:t>(TOTI)</w:t>
      </w:r>
    </w:p>
    <w:p w14:paraId="798958B5" w14:textId="77777777" w:rsidR="00672E0C" w:rsidRPr="00D26FB3" w:rsidRDefault="00672E0C" w:rsidP="00672E0C">
      <w:pPr>
        <w:jc w:val="both"/>
      </w:pPr>
      <w:r w:rsidRPr="00D26FB3">
        <w:t xml:space="preserve">The Utility recorded TOTI of $14,500. Audit staff decreased property tax by $468 to reflect 2024 Real and Tangible Personal Property tax assessments from Orange County. Staff increased </w:t>
      </w:r>
      <w:r w:rsidRPr="00D26FB3">
        <w:rPr>
          <w:bCs/>
          <w:iCs/>
          <w:szCs w:val="28"/>
        </w:rPr>
        <w:t>payroll tax</w:t>
      </w:r>
      <w:r w:rsidRPr="00D26FB3">
        <w:t xml:space="preserve"> by $749 </w:t>
      </w:r>
      <w:r w:rsidRPr="00D26FB3">
        <w:rPr>
          <w:bCs/>
          <w:iCs/>
          <w:szCs w:val="28"/>
        </w:rPr>
        <w:t>to reflect the reclassification of payroll tax expense that had been recorded in Account 701 – Salaries and Wages. Staff further increased TOTI by $</w:t>
      </w:r>
      <w:r>
        <w:rPr>
          <w:bCs/>
          <w:iCs/>
          <w:szCs w:val="28"/>
        </w:rPr>
        <w:t>111</w:t>
      </w:r>
      <w:r w:rsidRPr="00D26FB3">
        <w:rPr>
          <w:bCs/>
          <w:iCs/>
          <w:szCs w:val="28"/>
        </w:rPr>
        <w:t xml:space="preserve"> to reflect property taxes associated with pro forma plant additions.</w:t>
      </w:r>
    </w:p>
    <w:p w14:paraId="251D212D" w14:textId="77777777" w:rsidR="00672E0C" w:rsidRPr="00D26FB3" w:rsidRDefault="00672E0C" w:rsidP="00672E0C">
      <w:pPr>
        <w:jc w:val="both"/>
      </w:pPr>
    </w:p>
    <w:p w14:paraId="354D4333" w14:textId="77777777" w:rsidR="001267CF" w:rsidRPr="00D26FB3" w:rsidRDefault="001267CF" w:rsidP="001267CF">
      <w:pPr>
        <w:jc w:val="both"/>
      </w:pPr>
      <w:r>
        <w:t>Furthermore, b</w:t>
      </w:r>
      <w:r w:rsidRPr="00D26FB3">
        <w:t>ased on revenues discussed in Issue 6, TOTI should be increased by $824 to reflect a regulatory assessment fee (RAF) rate of 4.5 percent applied to the adjustment in revenues.</w:t>
      </w:r>
    </w:p>
    <w:p w14:paraId="7017C016" w14:textId="77777777" w:rsidR="001267CF" w:rsidRPr="00D26FB3" w:rsidRDefault="001267CF" w:rsidP="001267CF">
      <w:pPr>
        <w:jc w:val="both"/>
      </w:pPr>
    </w:p>
    <w:p w14:paraId="779C781B" w14:textId="5A30ED8C" w:rsidR="00672E0C" w:rsidRPr="00D26FB3" w:rsidRDefault="001267CF" w:rsidP="001267CF">
      <w:pPr>
        <w:spacing w:after="240"/>
        <w:jc w:val="both"/>
      </w:pPr>
      <w:r w:rsidRPr="00D26FB3">
        <w:t xml:space="preserve">As discussed </w:t>
      </w:r>
      <w:r>
        <w:t xml:space="preserve">later </w:t>
      </w:r>
      <w:r w:rsidRPr="00D26FB3">
        <w:t>in Issue 9</w:t>
      </w:r>
      <w:r w:rsidR="00672E0C" w:rsidRPr="00D26FB3">
        <w:t>, staff recommends revenues be increased by $11</w:t>
      </w:r>
      <w:r w:rsidR="00672E0C">
        <w:t>4</w:t>
      </w:r>
      <w:r w:rsidR="00672E0C" w:rsidRPr="00D26FB3">
        <w:t>,</w:t>
      </w:r>
      <w:r w:rsidR="00672E0C">
        <w:t>391</w:t>
      </w:r>
      <w:r w:rsidR="00672E0C" w:rsidRPr="00D26FB3">
        <w:t xml:space="preserve"> to reflect the increased revenue required to cover expenses and allow an opportunity to earn the recommended rate of return. As a result, TOTI should be increased by $5,</w:t>
      </w:r>
      <w:r w:rsidR="00672E0C">
        <w:t>148</w:t>
      </w:r>
      <w:r w:rsidR="00672E0C" w:rsidRPr="00D26FB3">
        <w:t xml:space="preserve"> to reflect a RAF rate of 4.5 percent of the change in revenues. Staff’s adjustments result in a total increase of $6,</w:t>
      </w:r>
      <w:r w:rsidR="00672E0C">
        <w:t>365</w:t>
      </w:r>
      <w:r w:rsidR="00672E0C" w:rsidRPr="00D26FB3">
        <w:t>. Therefore, staff recommends a TOTI of $20,</w:t>
      </w:r>
      <w:r w:rsidR="00672E0C">
        <w:t>865</w:t>
      </w:r>
      <w:r w:rsidR="00672E0C" w:rsidRPr="00D26FB3">
        <w:t>.</w:t>
      </w:r>
    </w:p>
    <w:p w14:paraId="48B88B82" w14:textId="77777777" w:rsidR="00672E0C" w:rsidRPr="00D26FB3" w:rsidRDefault="00672E0C" w:rsidP="00672E0C">
      <w:pPr>
        <w:jc w:val="both"/>
        <w:rPr>
          <w:rFonts w:ascii="Arial" w:hAnsi="Arial" w:cs="Arial"/>
          <w:b/>
        </w:rPr>
      </w:pPr>
      <w:r w:rsidRPr="00D26FB3">
        <w:rPr>
          <w:rFonts w:ascii="Arial" w:hAnsi="Arial" w:cs="Arial"/>
          <w:b/>
        </w:rPr>
        <w:t>Operating Expense Summary</w:t>
      </w:r>
    </w:p>
    <w:p w14:paraId="4368F4B8" w14:textId="08F60318" w:rsidR="00672E0C" w:rsidRDefault="00672E0C" w:rsidP="00672E0C">
      <w:pPr>
        <w:pStyle w:val="BodyText"/>
      </w:pPr>
      <w:r w:rsidRPr="00D26FB3">
        <w:t>The Utility recorded operating expenses of $216,748. The application of staff’s recommended adjustments to the Utility’s recommended operating expense results in a total operating expense of $23</w:t>
      </w:r>
      <w:r>
        <w:t>2</w:t>
      </w:r>
      <w:r w:rsidRPr="00D26FB3">
        <w:t>,0</w:t>
      </w:r>
      <w:r>
        <w:t>36</w:t>
      </w:r>
      <w:r w:rsidRPr="00D26FB3">
        <w:t>, an increase of $1</w:t>
      </w:r>
      <w:r>
        <w:t>5</w:t>
      </w:r>
      <w:r w:rsidRPr="00D26FB3">
        <w:t>,</w:t>
      </w:r>
      <w:r>
        <w:t>288</w:t>
      </w:r>
      <w:r w:rsidRPr="00D26FB3">
        <w:t>. Operating expenses are shown on Schedule No. 3-A, and the related adjustments are shown on Schedule No. 3-B</w:t>
      </w:r>
      <w:r w:rsidR="009C555C">
        <w:t>.</w:t>
      </w:r>
    </w:p>
    <w:p w14:paraId="273C52CF" w14:textId="6092820D"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8</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8</w:instrText>
      </w:r>
      <w:r>
        <w:fldChar w:fldCharType="end"/>
      </w:r>
      <w:r>
        <w:tab/>
        <w:instrText xml:space="preserve">(Lenberg)" \l 1 </w:instrText>
      </w:r>
      <w:r>
        <w:fldChar w:fldCharType="end"/>
      </w:r>
      <w:r>
        <w:t> </w:t>
      </w:r>
    </w:p>
    <w:p w14:paraId="5041A883" w14:textId="77777777" w:rsidR="00167B7C" w:rsidRDefault="00167B7C">
      <w:pPr>
        <w:pStyle w:val="BodyText"/>
      </w:pPr>
      <w:r>
        <w:t> Does Gulfstream Utility LLC meet the criteria for application of the operating ratio methodology?</w:t>
      </w:r>
    </w:p>
    <w:p w14:paraId="01EA9737" w14:textId="77777777" w:rsidR="00167B7C" w:rsidRPr="004C3641" w:rsidRDefault="00167B7C">
      <w:pPr>
        <w:pStyle w:val="IssueSubsectionHeading"/>
        <w:rPr>
          <w:vanish/>
          <w:specVanish/>
        </w:rPr>
      </w:pPr>
      <w:r w:rsidRPr="004C3641">
        <w:t>Recommendation: </w:t>
      </w:r>
    </w:p>
    <w:p w14:paraId="1FB7C27E" w14:textId="0101338D" w:rsidR="00167B7C" w:rsidRDefault="00167B7C">
      <w:pPr>
        <w:pStyle w:val="BodyText"/>
      </w:pPr>
      <w:r>
        <w:t> </w:t>
      </w:r>
      <w:r w:rsidR="00672E0C" w:rsidRPr="00D26FB3">
        <w:t>No</w:t>
      </w:r>
      <w:r w:rsidR="001267CF">
        <w:t>.</w:t>
      </w:r>
      <w:r w:rsidR="00672E0C" w:rsidRPr="00D26FB3">
        <w:t xml:space="preserve"> Gulfstream does not meet the criteria for application of the operating ratio methodology for calculating the revenue requirement</w:t>
      </w:r>
      <w:r w:rsidR="00672E0C">
        <w:t>.</w:t>
      </w:r>
      <w:r>
        <w:t xml:space="preserve"> (Lenberg)</w:t>
      </w:r>
    </w:p>
    <w:p w14:paraId="67AD2760" w14:textId="77777777" w:rsidR="00167B7C" w:rsidRPr="004C3641" w:rsidRDefault="00167B7C">
      <w:pPr>
        <w:pStyle w:val="IssueSubsectionHeading"/>
        <w:rPr>
          <w:vanish/>
          <w:specVanish/>
        </w:rPr>
      </w:pPr>
      <w:r w:rsidRPr="004C3641">
        <w:t>Staff Analysis: </w:t>
      </w:r>
    </w:p>
    <w:p w14:paraId="3E065C3B" w14:textId="77777777" w:rsidR="001267CF" w:rsidRPr="00D26FB3" w:rsidRDefault="00167B7C" w:rsidP="001267CF">
      <w:pPr>
        <w:spacing w:after="240"/>
        <w:jc w:val="both"/>
      </w:pPr>
      <w:r>
        <w:t> </w:t>
      </w:r>
      <w:r w:rsidR="00672E0C" w:rsidRPr="00D26FB3">
        <w:t xml:space="preserve">Rule 25-30.4575(2), F.A.C., indicates that in rate cases processed under Rule 25-30.455, F.A.C., the Commission will use the operating ratio methodology to </w:t>
      </w:r>
      <w:r w:rsidR="001267CF" w:rsidRPr="00D26FB3">
        <w:t xml:space="preserve">establish the </w:t>
      </w:r>
      <w:r w:rsidR="001267CF">
        <w:t>u</w:t>
      </w:r>
      <w:r w:rsidR="001267CF" w:rsidRPr="00D26FB3">
        <w:t xml:space="preserve">tility’s revenue requirement when its rate base is not greater than 125 percent of O&amp;M expenses, less regulatory Commission expense and purchased wastewater treatment expense, and the use of the operating ratio methodology does not change the </w:t>
      </w:r>
      <w:r w:rsidR="001267CF">
        <w:t>u</w:t>
      </w:r>
      <w:r w:rsidR="001267CF" w:rsidRPr="00D26FB3">
        <w:t>tility’s qualification for a SARC.</w:t>
      </w:r>
    </w:p>
    <w:p w14:paraId="78CC8947" w14:textId="150D0A05" w:rsidR="00167B7C" w:rsidRDefault="001267CF" w:rsidP="001267CF">
      <w:pPr>
        <w:spacing w:after="240"/>
        <w:jc w:val="both"/>
      </w:pPr>
      <w:r w:rsidRPr="00D26FB3">
        <w:t>With respect to Gulfstream, staff has recommended a rate base of $47</w:t>
      </w:r>
      <w:r>
        <w:t>3</w:t>
      </w:r>
      <w:r w:rsidRPr="00D26FB3">
        <w:t>,</w:t>
      </w:r>
      <w:r>
        <w:t>502</w:t>
      </w:r>
      <w:r w:rsidRPr="00D26FB3">
        <w:t>. After removal of rate case expense and purchased wastewater treatment expense, staff calculated an adjusted O&amp;M expense of $118,925. Based on staff’s recommended amounts, the Utility’s rate base is 39</w:t>
      </w:r>
      <w:r>
        <w:t>8</w:t>
      </w:r>
      <w:r w:rsidRPr="00D26FB3">
        <w:t>.</w:t>
      </w:r>
      <w:r>
        <w:t>15</w:t>
      </w:r>
      <w:r w:rsidRPr="00D26FB3">
        <w:t xml:space="preserve"> percent of its adjusted O&amp;M expense. </w:t>
      </w:r>
      <w:r>
        <w:t>Therefore</w:t>
      </w:r>
      <w:r w:rsidRPr="00D26FB3">
        <w:t>, the Utility does not qualify for application of the operating ratio methodology</w:t>
      </w:r>
      <w:r w:rsidR="00672E0C">
        <w:t>.</w:t>
      </w:r>
    </w:p>
    <w:p w14:paraId="59BB6F37" w14:textId="05B3164C"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9</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9</w:instrText>
      </w:r>
      <w:r>
        <w:fldChar w:fldCharType="end"/>
      </w:r>
      <w:r>
        <w:tab/>
        <w:instrText xml:space="preserve">(Lenberg)" \l 1 </w:instrText>
      </w:r>
      <w:r>
        <w:fldChar w:fldCharType="end"/>
      </w:r>
      <w:r>
        <w:t> </w:t>
      </w:r>
    </w:p>
    <w:p w14:paraId="06A665BA" w14:textId="77777777" w:rsidR="00167B7C" w:rsidRDefault="00167B7C">
      <w:pPr>
        <w:pStyle w:val="BodyText"/>
      </w:pPr>
      <w:r>
        <w:t> What is the appropriate revenue requirement for Gulfstream Utility LLC?</w:t>
      </w:r>
    </w:p>
    <w:p w14:paraId="389954C1" w14:textId="77777777" w:rsidR="00167B7C" w:rsidRPr="004C3641" w:rsidRDefault="00167B7C">
      <w:pPr>
        <w:pStyle w:val="IssueSubsectionHeading"/>
        <w:rPr>
          <w:vanish/>
          <w:specVanish/>
        </w:rPr>
      </w:pPr>
      <w:r w:rsidRPr="004C3641">
        <w:t>Recommendation: </w:t>
      </w:r>
    </w:p>
    <w:p w14:paraId="6D555530" w14:textId="08F82A84" w:rsidR="00167B7C" w:rsidRDefault="00167B7C">
      <w:pPr>
        <w:pStyle w:val="BodyText"/>
      </w:pPr>
      <w:r>
        <w:t> </w:t>
      </w:r>
      <w:r w:rsidR="00672E0C" w:rsidRPr="00D26FB3">
        <w:t>The appropriate revenue requirement is $27</w:t>
      </w:r>
      <w:r w:rsidR="00672E0C">
        <w:t>2</w:t>
      </w:r>
      <w:r w:rsidR="00672E0C" w:rsidRPr="00D26FB3">
        <w:t>,</w:t>
      </w:r>
      <w:r w:rsidR="00672E0C">
        <w:t>317</w:t>
      </w:r>
      <w:r w:rsidR="00672E0C" w:rsidRPr="00D26FB3">
        <w:t>, resulting in an annual increase of $11</w:t>
      </w:r>
      <w:r w:rsidR="00672E0C">
        <w:t>4</w:t>
      </w:r>
      <w:r w:rsidR="00672E0C" w:rsidRPr="00D26FB3">
        <w:t>,</w:t>
      </w:r>
      <w:r w:rsidR="00672E0C">
        <w:t>391</w:t>
      </w:r>
      <w:r w:rsidR="00672E0C" w:rsidRPr="00D26FB3">
        <w:t xml:space="preserve"> (7</w:t>
      </w:r>
      <w:r w:rsidR="00672E0C">
        <w:t>2</w:t>
      </w:r>
      <w:r w:rsidR="00672E0C" w:rsidRPr="00D26FB3">
        <w:t>.</w:t>
      </w:r>
      <w:r w:rsidR="00672E0C">
        <w:t>43</w:t>
      </w:r>
      <w:r w:rsidR="00672E0C" w:rsidRPr="00D26FB3">
        <w:t xml:space="preserve"> percent)</w:t>
      </w:r>
      <w:r w:rsidR="00672E0C">
        <w:t>.</w:t>
      </w:r>
      <w:r>
        <w:t xml:space="preserve"> (Lenberg)</w:t>
      </w:r>
    </w:p>
    <w:p w14:paraId="7DB213E9" w14:textId="77777777" w:rsidR="00167B7C" w:rsidRPr="004C3641" w:rsidRDefault="00167B7C">
      <w:pPr>
        <w:pStyle w:val="IssueSubsectionHeading"/>
        <w:rPr>
          <w:vanish/>
          <w:specVanish/>
        </w:rPr>
      </w:pPr>
      <w:r w:rsidRPr="004C3641">
        <w:t>Staff Analysis: </w:t>
      </w:r>
    </w:p>
    <w:p w14:paraId="5DD2BE7B" w14:textId="77777777" w:rsidR="00672E0C" w:rsidRPr="00D26FB3" w:rsidRDefault="00167B7C" w:rsidP="00672E0C">
      <w:pPr>
        <w:spacing w:after="240"/>
        <w:jc w:val="both"/>
      </w:pPr>
      <w:r>
        <w:t> </w:t>
      </w:r>
      <w:r w:rsidR="00672E0C" w:rsidRPr="00D26FB3">
        <w:t>Gulfstream should be allowed an annual increase of $11</w:t>
      </w:r>
      <w:r w:rsidR="00672E0C">
        <w:t>4</w:t>
      </w:r>
      <w:r w:rsidR="00672E0C" w:rsidRPr="00D26FB3">
        <w:t>,</w:t>
      </w:r>
      <w:r w:rsidR="00672E0C">
        <w:t>391</w:t>
      </w:r>
      <w:r w:rsidR="00672E0C" w:rsidRPr="00D26FB3">
        <w:t xml:space="preserve"> (7</w:t>
      </w:r>
      <w:r w:rsidR="00672E0C">
        <w:t>2</w:t>
      </w:r>
      <w:r w:rsidR="00672E0C" w:rsidRPr="00D26FB3">
        <w:t>.</w:t>
      </w:r>
      <w:r w:rsidR="00672E0C">
        <w:t>43</w:t>
      </w:r>
      <w:r w:rsidR="00672E0C" w:rsidRPr="00D26FB3">
        <w:t xml:space="preserve"> percent). This should allow the Utility the opportunity to recover </w:t>
      </w:r>
      <w:r w:rsidR="00672E0C">
        <w:t xml:space="preserve">its </w:t>
      </w:r>
      <w:r w:rsidR="00672E0C" w:rsidRPr="00D26FB3">
        <w:t>expenses and earn an 8.51 percent return on rate base. The calculations for the revenue requirement are shown on Table 9-1.</w:t>
      </w:r>
      <w:r w:rsidR="00672E0C" w:rsidRPr="00D26FB3">
        <w:rPr>
          <w:vertAlign w:val="superscript"/>
        </w:rPr>
        <w:footnoteReference w:id="6"/>
      </w:r>
    </w:p>
    <w:p w14:paraId="78E24A8C" w14:textId="77777777" w:rsidR="00672E0C" w:rsidRPr="00D26FB3" w:rsidRDefault="00672E0C" w:rsidP="00672E0C">
      <w:pPr>
        <w:keepNext/>
        <w:spacing w:before="480"/>
        <w:jc w:val="center"/>
        <w:rPr>
          <w:rFonts w:ascii="Arial" w:hAnsi="Arial"/>
          <w:b/>
        </w:rPr>
      </w:pPr>
      <w:r w:rsidRPr="00D26FB3">
        <w:rPr>
          <w:rFonts w:ascii="Arial" w:hAnsi="Arial"/>
          <w:b/>
        </w:rPr>
        <w:t>Table 9-1</w:t>
      </w:r>
    </w:p>
    <w:p w14:paraId="1C52E335" w14:textId="77777777" w:rsidR="00672E0C" w:rsidRPr="00D26FB3" w:rsidRDefault="00672E0C" w:rsidP="00672E0C">
      <w:pPr>
        <w:keepNext/>
        <w:jc w:val="center"/>
        <w:rPr>
          <w:rFonts w:ascii="Arial" w:hAnsi="Arial"/>
          <w:b/>
        </w:rPr>
      </w:pPr>
      <w:r w:rsidRPr="00D26FB3">
        <w:rPr>
          <w:rFonts w:ascii="Arial" w:hAnsi="Arial"/>
          <w:b/>
        </w:rPr>
        <w:t>Revenue Requirement</w:t>
      </w:r>
    </w:p>
    <w:tbl>
      <w:tblPr>
        <w:tblStyle w:val="TableGrid61"/>
        <w:tblW w:w="0" w:type="auto"/>
        <w:jc w:val="center"/>
        <w:tblBorders>
          <w:insideH w:val="none" w:sz="0" w:space="0" w:color="auto"/>
          <w:insideV w:val="none" w:sz="0" w:space="0" w:color="auto"/>
        </w:tblBorders>
        <w:tblLook w:val="04A0" w:firstRow="1" w:lastRow="0" w:firstColumn="1" w:lastColumn="0" w:noHBand="0" w:noVBand="1"/>
      </w:tblPr>
      <w:tblGrid>
        <w:gridCol w:w="4106"/>
        <w:gridCol w:w="1116"/>
      </w:tblGrid>
      <w:tr w:rsidR="00672E0C" w:rsidRPr="00D26FB3" w14:paraId="1168276F" w14:textId="77777777" w:rsidTr="00672E0C">
        <w:trPr>
          <w:jc w:val="center"/>
        </w:trPr>
        <w:tc>
          <w:tcPr>
            <w:tcW w:w="4106" w:type="dxa"/>
          </w:tcPr>
          <w:p w14:paraId="32E335F5" w14:textId="77777777" w:rsidR="00672E0C" w:rsidRPr="00D26FB3" w:rsidRDefault="00672E0C" w:rsidP="00672E0C">
            <w:r w:rsidRPr="00D26FB3">
              <w:t>Wastewater Rate Base</w:t>
            </w:r>
          </w:p>
        </w:tc>
        <w:tc>
          <w:tcPr>
            <w:tcW w:w="0" w:type="auto"/>
          </w:tcPr>
          <w:p w14:paraId="5199B957" w14:textId="77777777" w:rsidR="00672E0C" w:rsidRPr="00D26FB3" w:rsidRDefault="00672E0C" w:rsidP="00672E0C">
            <w:pPr>
              <w:jc w:val="right"/>
            </w:pPr>
            <w:r w:rsidRPr="00D26FB3">
              <w:t>$47</w:t>
            </w:r>
            <w:r>
              <w:t>3</w:t>
            </w:r>
            <w:r w:rsidRPr="00D26FB3">
              <w:t>,</w:t>
            </w:r>
            <w:r>
              <w:t>502</w:t>
            </w:r>
          </w:p>
        </w:tc>
      </w:tr>
      <w:tr w:rsidR="00672E0C" w:rsidRPr="00D26FB3" w14:paraId="11E36E62" w14:textId="77777777" w:rsidTr="00672E0C">
        <w:trPr>
          <w:jc w:val="center"/>
        </w:trPr>
        <w:tc>
          <w:tcPr>
            <w:tcW w:w="4106" w:type="dxa"/>
          </w:tcPr>
          <w:p w14:paraId="63BD8538" w14:textId="77777777" w:rsidR="00672E0C" w:rsidRPr="00D26FB3" w:rsidRDefault="00672E0C" w:rsidP="00672E0C">
            <w:r w:rsidRPr="00D26FB3">
              <w:t>Rate of Return</w:t>
            </w:r>
          </w:p>
        </w:tc>
        <w:tc>
          <w:tcPr>
            <w:tcW w:w="0" w:type="auto"/>
          </w:tcPr>
          <w:p w14:paraId="78ACA283" w14:textId="77777777" w:rsidR="00672E0C" w:rsidRPr="00D26FB3" w:rsidRDefault="00672E0C" w:rsidP="00672E0C">
            <w:pPr>
              <w:jc w:val="right"/>
              <w:rPr>
                <w:u w:val="single"/>
              </w:rPr>
            </w:pPr>
            <w:r w:rsidRPr="00D26FB3">
              <w:t xml:space="preserve">× </w:t>
            </w:r>
            <w:r w:rsidRPr="00D26FB3">
              <w:rPr>
                <w:u w:val="single"/>
              </w:rPr>
              <w:t>8.51%</w:t>
            </w:r>
          </w:p>
        </w:tc>
      </w:tr>
      <w:tr w:rsidR="00672E0C" w:rsidRPr="00D26FB3" w14:paraId="264A2A46" w14:textId="77777777" w:rsidTr="00672E0C">
        <w:trPr>
          <w:jc w:val="center"/>
        </w:trPr>
        <w:tc>
          <w:tcPr>
            <w:tcW w:w="4106" w:type="dxa"/>
          </w:tcPr>
          <w:p w14:paraId="5D0E6391" w14:textId="77777777" w:rsidR="00672E0C" w:rsidRPr="00D26FB3" w:rsidRDefault="00672E0C" w:rsidP="00672E0C">
            <w:r w:rsidRPr="00D26FB3">
              <w:t>Return on Rate Base</w:t>
            </w:r>
          </w:p>
        </w:tc>
        <w:tc>
          <w:tcPr>
            <w:tcW w:w="0" w:type="auto"/>
          </w:tcPr>
          <w:p w14:paraId="0C0E93D6" w14:textId="77777777" w:rsidR="00672E0C" w:rsidRPr="00D26FB3" w:rsidRDefault="00672E0C" w:rsidP="00672E0C">
            <w:pPr>
              <w:jc w:val="right"/>
              <w:rPr>
                <w:u w:val="double"/>
              </w:rPr>
            </w:pPr>
            <w:r w:rsidRPr="00D26FB3">
              <w:rPr>
                <w:u w:val="double"/>
              </w:rPr>
              <w:t>$40,</w:t>
            </w:r>
            <w:r>
              <w:rPr>
                <w:u w:val="double"/>
              </w:rPr>
              <w:t>281</w:t>
            </w:r>
          </w:p>
        </w:tc>
      </w:tr>
      <w:tr w:rsidR="00672E0C" w:rsidRPr="00D26FB3" w14:paraId="4493B36C" w14:textId="77777777" w:rsidTr="00672E0C">
        <w:trPr>
          <w:jc w:val="center"/>
        </w:trPr>
        <w:tc>
          <w:tcPr>
            <w:tcW w:w="4106" w:type="dxa"/>
          </w:tcPr>
          <w:p w14:paraId="06447562" w14:textId="77777777" w:rsidR="00672E0C" w:rsidRPr="00D26FB3" w:rsidRDefault="00672E0C" w:rsidP="00672E0C">
            <w:r w:rsidRPr="00D26FB3">
              <w:t>Water O&amp;M Expense</w:t>
            </w:r>
          </w:p>
        </w:tc>
        <w:tc>
          <w:tcPr>
            <w:tcW w:w="0" w:type="auto"/>
          </w:tcPr>
          <w:p w14:paraId="0B57DBB0" w14:textId="77777777" w:rsidR="00672E0C" w:rsidRPr="00D26FB3" w:rsidRDefault="00672E0C" w:rsidP="00672E0C">
            <w:pPr>
              <w:jc w:val="right"/>
            </w:pPr>
            <w:r w:rsidRPr="00D26FB3">
              <w:t>18</w:t>
            </w:r>
            <w:r>
              <w:t>7</w:t>
            </w:r>
            <w:r w:rsidRPr="00D26FB3">
              <w:t>,</w:t>
            </w:r>
            <w:r>
              <w:t>319</w:t>
            </w:r>
          </w:p>
        </w:tc>
      </w:tr>
      <w:tr w:rsidR="00672E0C" w:rsidRPr="00D26FB3" w14:paraId="45FB55B3" w14:textId="77777777" w:rsidTr="00672E0C">
        <w:trPr>
          <w:jc w:val="center"/>
        </w:trPr>
        <w:tc>
          <w:tcPr>
            <w:tcW w:w="4106" w:type="dxa"/>
          </w:tcPr>
          <w:p w14:paraId="715710D2" w14:textId="77777777" w:rsidR="00672E0C" w:rsidRPr="00D26FB3" w:rsidRDefault="00672E0C" w:rsidP="00672E0C">
            <w:r w:rsidRPr="00D26FB3">
              <w:t>Depreciation Expense</w:t>
            </w:r>
          </w:p>
        </w:tc>
        <w:tc>
          <w:tcPr>
            <w:tcW w:w="0" w:type="auto"/>
          </w:tcPr>
          <w:p w14:paraId="342D3948" w14:textId="77777777" w:rsidR="00672E0C" w:rsidRPr="00D26FB3" w:rsidRDefault="00672E0C" w:rsidP="00672E0C">
            <w:pPr>
              <w:jc w:val="right"/>
            </w:pPr>
            <w:r w:rsidRPr="00D26FB3">
              <w:t>2</w:t>
            </w:r>
            <w:r>
              <w:t>3</w:t>
            </w:r>
            <w:r w:rsidRPr="00D26FB3">
              <w:t>,</w:t>
            </w:r>
            <w:r>
              <w:t>852</w:t>
            </w:r>
          </w:p>
        </w:tc>
      </w:tr>
      <w:tr w:rsidR="00672E0C" w:rsidRPr="00D26FB3" w14:paraId="4EAC67A9" w14:textId="77777777" w:rsidTr="00672E0C">
        <w:trPr>
          <w:jc w:val="center"/>
        </w:trPr>
        <w:tc>
          <w:tcPr>
            <w:tcW w:w="4106" w:type="dxa"/>
          </w:tcPr>
          <w:p w14:paraId="561385FF" w14:textId="77777777" w:rsidR="00672E0C" w:rsidRPr="00D26FB3" w:rsidRDefault="00672E0C" w:rsidP="00672E0C">
            <w:r w:rsidRPr="00D26FB3">
              <w:t>Taxes Other Than Income</w:t>
            </w:r>
          </w:p>
        </w:tc>
        <w:tc>
          <w:tcPr>
            <w:tcW w:w="0" w:type="auto"/>
          </w:tcPr>
          <w:p w14:paraId="46087CE6" w14:textId="77777777" w:rsidR="00672E0C" w:rsidRPr="00D26FB3" w:rsidRDefault="00672E0C" w:rsidP="00672E0C">
            <w:pPr>
              <w:jc w:val="right"/>
            </w:pPr>
            <w:r w:rsidRPr="00D26FB3">
              <w:rPr>
                <w:u w:val="single"/>
              </w:rPr>
              <w:t>20,</w:t>
            </w:r>
            <w:r>
              <w:rPr>
                <w:u w:val="single"/>
              </w:rPr>
              <w:t>865</w:t>
            </w:r>
          </w:p>
        </w:tc>
      </w:tr>
      <w:tr w:rsidR="00672E0C" w:rsidRPr="00D26FB3" w14:paraId="0297E25B" w14:textId="77777777" w:rsidTr="00672E0C">
        <w:trPr>
          <w:jc w:val="center"/>
        </w:trPr>
        <w:tc>
          <w:tcPr>
            <w:tcW w:w="4106" w:type="dxa"/>
          </w:tcPr>
          <w:p w14:paraId="47118BA5" w14:textId="77777777" w:rsidR="00672E0C" w:rsidRPr="00D26FB3" w:rsidRDefault="00672E0C" w:rsidP="00672E0C">
            <w:r w:rsidRPr="00D26FB3">
              <w:t>Revenue Requirement</w:t>
            </w:r>
          </w:p>
        </w:tc>
        <w:tc>
          <w:tcPr>
            <w:tcW w:w="0" w:type="auto"/>
          </w:tcPr>
          <w:p w14:paraId="07271D33" w14:textId="77777777" w:rsidR="00672E0C" w:rsidRPr="00D26FB3" w:rsidRDefault="00672E0C" w:rsidP="00672E0C">
            <w:pPr>
              <w:jc w:val="right"/>
              <w:rPr>
                <w:u w:val="single"/>
              </w:rPr>
            </w:pPr>
            <w:r w:rsidRPr="00D26FB3">
              <w:rPr>
                <w:u w:val="double"/>
              </w:rPr>
              <w:t>$27</w:t>
            </w:r>
            <w:r>
              <w:rPr>
                <w:u w:val="double"/>
              </w:rPr>
              <w:t>2</w:t>
            </w:r>
            <w:r w:rsidRPr="00D26FB3">
              <w:rPr>
                <w:u w:val="double"/>
              </w:rPr>
              <w:t>,</w:t>
            </w:r>
            <w:r>
              <w:rPr>
                <w:u w:val="double"/>
              </w:rPr>
              <w:t>317</w:t>
            </w:r>
          </w:p>
        </w:tc>
      </w:tr>
      <w:tr w:rsidR="00672E0C" w:rsidRPr="00D26FB3" w14:paraId="461E2346" w14:textId="77777777" w:rsidTr="00672E0C">
        <w:trPr>
          <w:jc w:val="center"/>
        </w:trPr>
        <w:tc>
          <w:tcPr>
            <w:tcW w:w="4106" w:type="dxa"/>
          </w:tcPr>
          <w:p w14:paraId="17D372B6" w14:textId="77777777" w:rsidR="00672E0C" w:rsidRPr="00D26FB3" w:rsidRDefault="00672E0C" w:rsidP="00672E0C">
            <w:r w:rsidRPr="00D26FB3">
              <w:t>Less Test Year Revenues</w:t>
            </w:r>
          </w:p>
        </w:tc>
        <w:tc>
          <w:tcPr>
            <w:tcW w:w="0" w:type="auto"/>
          </w:tcPr>
          <w:p w14:paraId="25E465B2" w14:textId="77777777" w:rsidR="00672E0C" w:rsidRPr="00D26FB3" w:rsidRDefault="00672E0C" w:rsidP="00672E0C">
            <w:pPr>
              <w:jc w:val="right"/>
              <w:rPr>
                <w:u w:val="double"/>
              </w:rPr>
            </w:pPr>
            <w:r w:rsidRPr="00D26FB3">
              <w:t>$157,926</w:t>
            </w:r>
          </w:p>
        </w:tc>
      </w:tr>
      <w:tr w:rsidR="00672E0C" w:rsidRPr="00D26FB3" w14:paraId="20F78260" w14:textId="77777777" w:rsidTr="00672E0C">
        <w:trPr>
          <w:jc w:val="center"/>
        </w:trPr>
        <w:tc>
          <w:tcPr>
            <w:tcW w:w="4106" w:type="dxa"/>
          </w:tcPr>
          <w:p w14:paraId="0D3C0475" w14:textId="77777777" w:rsidR="00672E0C" w:rsidRPr="00D26FB3" w:rsidRDefault="00672E0C" w:rsidP="00672E0C">
            <w:r w:rsidRPr="00D26FB3">
              <w:t>Annual Increase</w:t>
            </w:r>
          </w:p>
        </w:tc>
        <w:tc>
          <w:tcPr>
            <w:tcW w:w="0" w:type="auto"/>
          </w:tcPr>
          <w:p w14:paraId="5283AFAE" w14:textId="77777777" w:rsidR="00672E0C" w:rsidRPr="00D26FB3" w:rsidRDefault="00672E0C" w:rsidP="00672E0C">
            <w:pPr>
              <w:jc w:val="right"/>
            </w:pPr>
            <w:r w:rsidRPr="00D26FB3">
              <w:t>$11</w:t>
            </w:r>
            <w:r>
              <w:t>4</w:t>
            </w:r>
            <w:r w:rsidRPr="00D26FB3">
              <w:t>,</w:t>
            </w:r>
            <w:r>
              <w:t>391</w:t>
            </w:r>
          </w:p>
        </w:tc>
      </w:tr>
      <w:tr w:rsidR="00672E0C" w:rsidRPr="00D26FB3" w14:paraId="64019A23" w14:textId="77777777" w:rsidTr="00672E0C">
        <w:trPr>
          <w:jc w:val="center"/>
        </w:trPr>
        <w:tc>
          <w:tcPr>
            <w:tcW w:w="4106" w:type="dxa"/>
          </w:tcPr>
          <w:p w14:paraId="52516062" w14:textId="77777777" w:rsidR="00672E0C" w:rsidRPr="00D26FB3" w:rsidRDefault="00672E0C" w:rsidP="00672E0C">
            <w:r w:rsidRPr="00D26FB3">
              <w:t>Percent Increase</w:t>
            </w:r>
          </w:p>
        </w:tc>
        <w:tc>
          <w:tcPr>
            <w:tcW w:w="0" w:type="auto"/>
          </w:tcPr>
          <w:p w14:paraId="16EB82B2" w14:textId="77777777" w:rsidR="00672E0C" w:rsidRPr="00D26FB3" w:rsidRDefault="00672E0C" w:rsidP="00672E0C">
            <w:pPr>
              <w:jc w:val="right"/>
            </w:pPr>
            <w:r w:rsidRPr="00D26FB3">
              <w:t>7</w:t>
            </w:r>
            <w:r>
              <w:t>2</w:t>
            </w:r>
            <w:r w:rsidRPr="00D26FB3">
              <w:t>.</w:t>
            </w:r>
            <w:r>
              <w:t>43</w:t>
            </w:r>
            <w:r w:rsidRPr="00D26FB3">
              <w:t>%</w:t>
            </w:r>
          </w:p>
        </w:tc>
      </w:tr>
    </w:tbl>
    <w:p w14:paraId="33B2CD0D" w14:textId="0ECFCB61" w:rsidR="00167B7C" w:rsidRDefault="00672E0C" w:rsidP="00672E0C">
      <w:pPr>
        <w:pStyle w:val="BodyText"/>
        <w:tabs>
          <w:tab w:val="left" w:pos="2070"/>
        </w:tabs>
      </w:pPr>
      <w:r w:rsidRPr="00D26FB3">
        <w:tab/>
      </w:r>
      <w:r w:rsidRPr="001267CF">
        <w:rPr>
          <w:sz w:val="20"/>
        </w:rPr>
        <w:t>Source: Staff calculations.</w:t>
      </w:r>
    </w:p>
    <w:p w14:paraId="6D714BDA" w14:textId="54DAF70E"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10</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10</w:instrText>
      </w:r>
      <w:r>
        <w:fldChar w:fldCharType="end"/>
      </w:r>
      <w:r>
        <w:tab/>
        <w:instrText xml:space="preserve">(Bethea)" \l 1 </w:instrText>
      </w:r>
      <w:r>
        <w:fldChar w:fldCharType="end"/>
      </w:r>
      <w:r>
        <w:t> </w:t>
      </w:r>
    </w:p>
    <w:p w14:paraId="2E77EC1F" w14:textId="77777777" w:rsidR="00167B7C" w:rsidRDefault="00167B7C">
      <w:pPr>
        <w:pStyle w:val="BodyText"/>
      </w:pPr>
      <w:r>
        <w:t> What are the appropriate rate structure and rates for Gulfstream Utility LLC?</w:t>
      </w:r>
    </w:p>
    <w:p w14:paraId="49AA39E7" w14:textId="77777777" w:rsidR="00167B7C" w:rsidRPr="004C3641" w:rsidRDefault="00167B7C">
      <w:pPr>
        <w:pStyle w:val="IssueSubsectionHeading"/>
        <w:rPr>
          <w:vanish/>
          <w:specVanish/>
        </w:rPr>
      </w:pPr>
      <w:r w:rsidRPr="004C3641">
        <w:t>Recommendation: </w:t>
      </w:r>
    </w:p>
    <w:p w14:paraId="227C2830" w14:textId="29709BC8" w:rsidR="00167B7C" w:rsidRDefault="00167B7C">
      <w:pPr>
        <w:pStyle w:val="BodyText"/>
      </w:pPr>
      <w:r>
        <w:t> </w:t>
      </w:r>
      <w:r w:rsidR="001267CF">
        <w:t>The recommended rate structure</w:t>
      </w:r>
      <w:r w:rsidR="001267CF" w:rsidRPr="00CE3C19">
        <w:t xml:space="preserve"> and monthly wastewater rates are shown on Schedule No. 4. </w:t>
      </w:r>
      <w:r w:rsidR="001267CF">
        <w:t xml:space="preserve">The Utility’s proposal to include a repression adjustment should be denied. The Utility should file revised tariff sheets and a proposed customer notice to reflect the Commission-approved rates. </w:t>
      </w:r>
      <w:r w:rsidR="001267CF" w:rsidRPr="00CE3C19">
        <w:t>The approved rates should be effective for service rendered on or after the stamped approval date on the tariff sheets</w:t>
      </w:r>
      <w:r w:rsidR="001267CF">
        <w:t>,</w:t>
      </w:r>
      <w:r w:rsidR="001267CF" w:rsidRPr="00CE3C19">
        <w:t xml:space="preserve"> pursuant to Rule 25-30.475(1), F.A.C. In addition, the approved rates should not be implemented until staff has approved the proposed customer notice and the notice has been received by the customers. The Utility should provide proof of the date notice was given </w:t>
      </w:r>
      <w:r w:rsidR="001267CF">
        <w:t xml:space="preserve">by affidavit </w:t>
      </w:r>
      <w:r w:rsidR="001267CF" w:rsidRPr="00CE3C19">
        <w:t>within 10 days of the date of the notice</w:t>
      </w:r>
      <w:r w:rsidR="00EF55B6">
        <w:t>.</w:t>
      </w:r>
      <w:r>
        <w:t xml:space="preserve"> (Bethea)</w:t>
      </w:r>
    </w:p>
    <w:p w14:paraId="101E880A" w14:textId="77777777" w:rsidR="00167B7C" w:rsidRPr="004C3641" w:rsidRDefault="00167B7C">
      <w:pPr>
        <w:pStyle w:val="IssueSubsectionHeading"/>
        <w:rPr>
          <w:vanish/>
          <w:specVanish/>
        </w:rPr>
      </w:pPr>
      <w:r w:rsidRPr="004C3641">
        <w:t>Staff Analysis: </w:t>
      </w:r>
    </w:p>
    <w:p w14:paraId="42F61894" w14:textId="77777777" w:rsidR="001267CF" w:rsidRPr="00686E4D" w:rsidRDefault="00167B7C" w:rsidP="001267CF">
      <w:pPr>
        <w:spacing w:after="240"/>
        <w:jc w:val="both"/>
      </w:pPr>
      <w:r>
        <w:t> </w:t>
      </w:r>
      <w:r w:rsidR="001267CF" w:rsidRPr="00431445">
        <w:t>Gulfstream</w:t>
      </w:r>
      <w:r w:rsidR="001267CF" w:rsidRPr="00686E4D">
        <w:t xml:space="preserve"> provides wastewa</w:t>
      </w:r>
      <w:r w:rsidR="001267CF">
        <w:t>ter service to approximately 965</w:t>
      </w:r>
      <w:r w:rsidR="001267CF" w:rsidRPr="00686E4D">
        <w:t xml:space="preserve"> residential customers and no general service customers. Currently, the wastewater rate structure for residential </w:t>
      </w:r>
      <w:r w:rsidR="001267CF">
        <w:t xml:space="preserve">and general service </w:t>
      </w:r>
      <w:r w:rsidR="001267CF" w:rsidRPr="00686E4D">
        <w:t xml:space="preserve">customers consists of a monthly uniform BFC for all meter sizes and </w:t>
      </w:r>
      <w:r w:rsidR="001267CF">
        <w:t xml:space="preserve">a </w:t>
      </w:r>
      <w:r w:rsidR="001267CF" w:rsidRPr="00686E4D">
        <w:t>gallonage char</w:t>
      </w:r>
      <w:r w:rsidR="001267CF">
        <w:t>ge with no</w:t>
      </w:r>
      <w:r w:rsidR="001267CF" w:rsidRPr="00686E4D">
        <w:t xml:space="preserve"> gallonage cap</w:t>
      </w:r>
      <w:r w:rsidR="001267CF">
        <w:t xml:space="preserve"> for residential customers</w:t>
      </w:r>
      <w:r w:rsidR="001267CF" w:rsidRPr="00686E4D">
        <w:t>.</w:t>
      </w:r>
    </w:p>
    <w:p w14:paraId="7619AF7E" w14:textId="77777777" w:rsidR="001267CF" w:rsidRPr="00686E4D" w:rsidRDefault="001267CF" w:rsidP="001267CF">
      <w:pPr>
        <w:spacing w:after="240"/>
        <w:jc w:val="both"/>
      </w:pPr>
      <w:r w:rsidRPr="00686E4D">
        <w:t xml:space="preserve">Staff performed an analysis of the Utility’s billing data in order to evaluate various BFC cost recovery percentages and gallonage caps for the residential wastewater customers. The goal of the evaluation was to select the rate design parameters that: </w:t>
      </w:r>
      <w:r>
        <w:t>(</w:t>
      </w:r>
      <w:r w:rsidRPr="00686E4D">
        <w:t xml:space="preserve">1) produce the recommended revenue requirement; </w:t>
      </w:r>
      <w:r>
        <w:t>(</w:t>
      </w:r>
      <w:r w:rsidRPr="00686E4D">
        <w:t xml:space="preserve">2) equitably distribute cost recovery among the Utility’s customers; and </w:t>
      </w:r>
      <w:r>
        <w:t>(</w:t>
      </w:r>
      <w:r w:rsidRPr="00686E4D">
        <w:t xml:space="preserve">3) implement a gallonage cap, where appropriate, that considers the </w:t>
      </w:r>
      <w:r>
        <w:t xml:space="preserve">approximate </w:t>
      </w:r>
      <w:r w:rsidRPr="00686E4D">
        <w:t>amount of water that may return to the wastewater system.</w:t>
      </w:r>
    </w:p>
    <w:p w14:paraId="526E6AC9" w14:textId="77777777" w:rsidR="001267CF" w:rsidRDefault="001267CF" w:rsidP="001267CF">
      <w:pPr>
        <w:spacing w:after="240"/>
        <w:jc w:val="both"/>
      </w:pPr>
      <w:r>
        <w:t>S</w:t>
      </w:r>
      <w:r w:rsidRPr="00686E4D">
        <w:t xml:space="preserve">taff allocated 50 percent of the wastewater revenue to the BFC due to the capital intensive nature of </w:t>
      </w:r>
      <w:r>
        <w:t>wastewater plants. As mentioned above, the Utility</w:t>
      </w:r>
      <w:r w:rsidRPr="00686E4D">
        <w:t xml:space="preserve"> current</w:t>
      </w:r>
      <w:r>
        <w:t>ly does not have</w:t>
      </w:r>
      <w:r w:rsidRPr="00686E4D">
        <w:t xml:space="preserve"> </w:t>
      </w:r>
      <w:r>
        <w:t xml:space="preserve">a </w:t>
      </w:r>
      <w:r w:rsidRPr="00686E4D">
        <w:t>wastewater gallonage cap set.</w:t>
      </w:r>
      <w:r>
        <w:t xml:space="preserve"> </w:t>
      </w:r>
      <w:r w:rsidRPr="00686E4D">
        <w:t>The wastewater gallonage cap recognizes that not all water used by the residential customers is returned to the wastewater system.</w:t>
      </w:r>
      <w:r>
        <w:t xml:space="preserve"> T</w:t>
      </w:r>
      <w:r w:rsidRPr="00D71945">
        <w:t xml:space="preserve">he wastewater cap </w:t>
      </w:r>
      <w:r>
        <w:t xml:space="preserve">of most utilities is set </w:t>
      </w:r>
      <w:r w:rsidRPr="00D71945">
        <w:t>at approximately 80 percent of residential water sold, which typically results in gallonage caps of 6,000, 8,000, or 10,000. Based on staff’s re</w:t>
      </w:r>
      <w:r>
        <w:t>view of the billing analysis, 86</w:t>
      </w:r>
      <w:r w:rsidRPr="00D71945">
        <w:t xml:space="preserve"> percent of t</w:t>
      </w:r>
      <w:r>
        <w:t xml:space="preserve">he gallons are captured at the 4,000 gallon level. Although the approved residential wastewater cap is typically based on 80 percent of total water sold, in this case, doing so would yield an exceptionally low residential wastewater cap. In addition, lowering the gallonage cap below 6,000 gallons would have an adverse effect on the residential gallonage charge and resulting customer bills. </w:t>
      </w:r>
      <w:r w:rsidRPr="00686E4D">
        <w:t>Based on staff’s review of the billing data, staff recommends</w:t>
      </w:r>
      <w:r>
        <w:t xml:space="preserve"> that the gallonage cap </w:t>
      </w:r>
      <w:r w:rsidRPr="00D71945">
        <w:t xml:space="preserve">for </w:t>
      </w:r>
      <w:r>
        <w:t>residential customers be set at 6,000 gallons</w:t>
      </w:r>
      <w:r w:rsidRPr="00D71945">
        <w:t>.</w:t>
      </w:r>
    </w:p>
    <w:p w14:paraId="71037E27" w14:textId="77777777" w:rsidR="001267CF" w:rsidRPr="00F06362" w:rsidRDefault="001267CF" w:rsidP="001267CF">
      <w:pPr>
        <w:spacing w:after="240"/>
        <w:jc w:val="both"/>
      </w:pPr>
      <w:r>
        <w:t xml:space="preserve">In addition, although the Utility does not have any general service customers, staff recommends implementing general service rates by meter size for future customers. </w:t>
      </w:r>
      <w:r w:rsidRPr="00686E4D">
        <w:t>Staff also recommends that the general s</w:t>
      </w:r>
      <w:r>
        <w:t>ervice gallonage charge</w:t>
      </w:r>
      <w:r w:rsidRPr="00686E4D">
        <w:t xml:space="preserve"> be</w:t>
      </w:r>
      <w:r>
        <w:t xml:space="preserve"> set</w:t>
      </w:r>
      <w:r w:rsidRPr="00686E4D">
        <w:t xml:space="preserve"> 1.2 times greater than the residential gallonage charge, which is consistent with Commission practice.</w:t>
      </w:r>
    </w:p>
    <w:p w14:paraId="2E0B95E8" w14:textId="77777777" w:rsidR="001267CF" w:rsidRPr="00EC000C" w:rsidRDefault="001267CF" w:rsidP="001267CF">
      <w:pPr>
        <w:spacing w:after="240"/>
        <w:jc w:val="both"/>
      </w:pPr>
      <w:r>
        <w:t>Finally</w:t>
      </w:r>
      <w:r w:rsidRPr="00686E4D">
        <w:t xml:space="preserve">, </w:t>
      </w:r>
      <w:r>
        <w:t xml:space="preserve">in its application, Gulfstream requested a repression adjustment. </w:t>
      </w:r>
      <w:r w:rsidRPr="00924691">
        <w:t>The Commission, as a result of an increase in the price of water, has applied a corresponding wastewater repression adjustment when the water and wa</w:t>
      </w:r>
      <w:r>
        <w:t>stewater provider are the same u</w:t>
      </w:r>
      <w:r w:rsidRPr="00924691">
        <w:t>tility.</w:t>
      </w:r>
      <w:r w:rsidRPr="00924691">
        <w:rPr>
          <w:vertAlign w:val="superscript"/>
        </w:rPr>
        <w:footnoteReference w:id="7"/>
      </w:r>
      <w:r w:rsidRPr="00924691">
        <w:t xml:space="preserve"> Even in cases with</w:t>
      </w:r>
      <w:r>
        <w:t xml:space="preserve"> a single water and wastewater u</w:t>
      </w:r>
      <w:r w:rsidRPr="00924691">
        <w:t xml:space="preserve">tility provider, there </w:t>
      </w:r>
      <w:r>
        <w:t xml:space="preserve">has </w:t>
      </w:r>
      <w:r w:rsidRPr="00924691">
        <w:t>still been no recognition of an adjustment due to an increase in the price of wastewater</w:t>
      </w:r>
      <w:r>
        <w:t xml:space="preserve">. The Commission has </w:t>
      </w:r>
      <w:r w:rsidRPr="00924691">
        <w:t>only recogni</w:t>
      </w:r>
      <w:r>
        <w:t>zed</w:t>
      </w:r>
      <w:r w:rsidRPr="00924691">
        <w:t xml:space="preserve"> the effect </w:t>
      </w:r>
      <w:r>
        <w:t xml:space="preserve">on customer demand from </w:t>
      </w:r>
      <w:r w:rsidRPr="00924691">
        <w:t xml:space="preserve">an increase in the price of water. It is Commission practice that an increase in the price of water is the catalyst for whether or not </w:t>
      </w:r>
      <w:r>
        <w:t xml:space="preserve">to make </w:t>
      </w:r>
      <w:r w:rsidRPr="00924691">
        <w:t>a repression adjustment</w:t>
      </w:r>
      <w:r>
        <w:t>,</w:t>
      </w:r>
      <w:r w:rsidRPr="00924691">
        <w:t xml:space="preserve"> which would ultimately flow through to wastewater.</w:t>
      </w:r>
      <w:r w:rsidRPr="00686E4D">
        <w:t xml:space="preserve"> Therefore, a repression adjustment for</w:t>
      </w:r>
      <w:r>
        <w:t xml:space="preserve"> the Utility’s</w:t>
      </w:r>
      <w:r w:rsidRPr="00686E4D">
        <w:t xml:space="preserve"> wastewater </w:t>
      </w:r>
      <w:r>
        <w:t xml:space="preserve">system </w:t>
      </w:r>
      <w:r w:rsidRPr="00686E4D">
        <w:t>is not applicab</w:t>
      </w:r>
      <w:r>
        <w:t>le in this case.</w:t>
      </w:r>
    </w:p>
    <w:p w14:paraId="616FA7A8" w14:textId="0D82A2F3" w:rsidR="00167B7C" w:rsidRDefault="001267CF" w:rsidP="001267CF">
      <w:pPr>
        <w:spacing w:after="240"/>
        <w:jc w:val="both"/>
      </w:pPr>
      <w:r w:rsidRPr="00EC000C">
        <w:t>Based on the above,</w:t>
      </w:r>
      <w:r w:rsidRPr="00B620F2">
        <w:t xml:space="preserve"> </w:t>
      </w:r>
      <w:r>
        <w:t>staff’s recommended rate structure</w:t>
      </w:r>
      <w:r w:rsidRPr="00CE3C19">
        <w:t xml:space="preserve"> and monthly wastewater rates are shown on </w:t>
      </w:r>
      <w:r w:rsidRPr="00DC5ED7">
        <w:t>Schedule No. 4</w:t>
      </w:r>
      <w:r w:rsidRPr="00CE3C19">
        <w:t xml:space="preserve">. </w:t>
      </w:r>
      <w:r>
        <w:t>The Utility’s proposal to include a repression adjustment should be denied. The Utility should file revised tariff sheets and a proposed customer notice to reflect the Commission-approved rates.</w:t>
      </w:r>
      <w:r w:rsidRPr="00CE3C19">
        <w:t xml:space="preserve"> The approved rates should be effective for service rendered on or after the stamped approval date on the tariff sheets</w:t>
      </w:r>
      <w:r>
        <w:t>,</w:t>
      </w:r>
      <w:r w:rsidRPr="00CE3C19">
        <w:t xml:space="preserve"> pursuant to Rule 25-30.475(1), F.A.C. In addition, the approved rates should not be implemented until staff has approved the proposed customer notice and the notice has been received by the customers. The Utility should provide proof of the date notice was given </w:t>
      </w:r>
      <w:r>
        <w:t xml:space="preserve">by affidavit </w:t>
      </w:r>
      <w:r w:rsidRPr="00CE3C19">
        <w:t>within 10 days of the date of the notice</w:t>
      </w:r>
      <w:r w:rsidR="00EF55B6">
        <w:t>.</w:t>
      </w:r>
    </w:p>
    <w:p w14:paraId="137FD337" w14:textId="164B4FC0"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11</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11</w:instrText>
      </w:r>
      <w:r>
        <w:fldChar w:fldCharType="end"/>
      </w:r>
      <w:r>
        <w:tab/>
        <w:instrText xml:space="preserve">(Bethea)" \l 1 </w:instrText>
      </w:r>
      <w:r>
        <w:fldChar w:fldCharType="end"/>
      </w:r>
      <w:r>
        <w:t> </w:t>
      </w:r>
    </w:p>
    <w:p w14:paraId="29D6B023" w14:textId="77777777" w:rsidR="00167B7C" w:rsidRDefault="00167B7C">
      <w:pPr>
        <w:pStyle w:val="BodyText"/>
      </w:pPr>
      <w:r>
        <w:t> What are the appropriate initial customer deposits for Gulfstream Utility LLC?</w:t>
      </w:r>
    </w:p>
    <w:p w14:paraId="2C2FE94F" w14:textId="77777777" w:rsidR="00EF55B6" w:rsidRPr="00B620F2" w:rsidRDefault="00EF55B6" w:rsidP="00EF55B6">
      <w:pPr>
        <w:spacing w:after="240"/>
        <w:jc w:val="both"/>
        <w:outlineLvl w:val="1"/>
        <w:rPr>
          <w:rFonts w:ascii="Arial" w:hAnsi="Arial" w:cs="Arial"/>
          <w:b/>
          <w:bCs/>
          <w:i/>
          <w:iCs/>
          <w:vanish/>
          <w:szCs w:val="28"/>
        </w:rPr>
      </w:pPr>
      <w:r w:rsidRPr="00B620F2">
        <w:rPr>
          <w:rFonts w:ascii="Arial" w:hAnsi="Arial" w:cs="Arial"/>
          <w:b/>
          <w:bCs/>
          <w:i/>
          <w:iCs/>
          <w:szCs w:val="28"/>
        </w:rPr>
        <w:t>Recommendation: </w:t>
      </w:r>
    </w:p>
    <w:p w14:paraId="45165730" w14:textId="77777777" w:rsidR="00167B7C" w:rsidRDefault="00EF55B6" w:rsidP="00EF55B6">
      <w:pPr>
        <w:pStyle w:val="BodyText"/>
      </w:pPr>
      <w:r w:rsidRPr="00B620F2">
        <w:t xml:space="preserve"> The appropriate </w:t>
      </w:r>
      <w:r>
        <w:t>initial customer deposit is $49</w:t>
      </w:r>
      <w:r w:rsidRPr="00B620F2">
        <w:t xml:space="preserve"> </w:t>
      </w:r>
      <w:r w:rsidRPr="00B620F2">
        <w:rPr>
          <w:color w:val="000000"/>
        </w:rPr>
        <w:t>for all residential meter sizes.</w:t>
      </w:r>
      <w:r w:rsidRPr="000A580D">
        <w:t xml:space="preserve"> </w:t>
      </w:r>
      <w:r w:rsidRPr="006F38B0">
        <w:t xml:space="preserve">The initial customer deposit for all other residential meter sizes and all general service meter sizes should be two times the average estimated bill for </w:t>
      </w:r>
      <w:r>
        <w:t>waste</w:t>
      </w:r>
      <w:r w:rsidRPr="006F38B0">
        <w:t>water.</w:t>
      </w:r>
      <w:r w:rsidRPr="00B620F2">
        <w:rPr>
          <w:color w:val="000000"/>
        </w:rPr>
        <w:t xml:space="preserve"> </w:t>
      </w:r>
      <w:r w:rsidRPr="00B620F2">
        <w:t>The approved initial customer deposits should be effective for service rendered or connections made on or after the stamped approval date on the tariff sheets pursuant to Rule 25-30.475, F.A.C. The Utility should be required to collect the approved initial customer deposits until authorized to change them by the Commission in a</w:t>
      </w:r>
      <w:r>
        <w:t xml:space="preserve"> subsequent proceeding.</w:t>
      </w:r>
      <w:r w:rsidR="00167B7C">
        <w:t xml:space="preserve"> (Bethea)</w:t>
      </w:r>
    </w:p>
    <w:p w14:paraId="051B9DF7" w14:textId="77777777" w:rsidR="00167B7C" w:rsidRPr="004C3641" w:rsidRDefault="00167B7C">
      <w:pPr>
        <w:pStyle w:val="IssueSubsectionHeading"/>
        <w:rPr>
          <w:vanish/>
          <w:specVanish/>
        </w:rPr>
      </w:pPr>
      <w:r w:rsidRPr="004C3641">
        <w:t>Staff Analysis: </w:t>
      </w:r>
    </w:p>
    <w:p w14:paraId="0F87B1D3" w14:textId="3AF037E1" w:rsidR="00EF55B6" w:rsidRDefault="00167B7C" w:rsidP="00EF55B6">
      <w:pPr>
        <w:spacing w:after="240"/>
        <w:jc w:val="both"/>
      </w:pPr>
      <w:r>
        <w:t> </w:t>
      </w:r>
      <w:r w:rsidR="001267CF" w:rsidRPr="00B620F2">
        <w:t xml:space="preserve">Rule 25-30.311, F.A.C., provides the criteria for collecting, administering, and refunding customer deposits. Customer deposits are designed to minimize the exposure of bad debt expense for the </w:t>
      </w:r>
      <w:r w:rsidR="001267CF">
        <w:t>u</w:t>
      </w:r>
      <w:r w:rsidR="001267CF" w:rsidRPr="00B620F2">
        <w:t>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1267CF" w:rsidRPr="00B620F2">
        <w:rPr>
          <w:vertAlign w:val="superscript"/>
        </w:rPr>
        <w:footnoteReference w:id="8"/>
      </w:r>
      <w:r w:rsidR="001267CF" w:rsidRPr="00B620F2">
        <w:t xml:space="preserve"> Currently, </w:t>
      </w:r>
      <w:r w:rsidR="001267CF">
        <w:t>Gulfstream</w:t>
      </w:r>
      <w:r w:rsidR="001267CF" w:rsidRPr="00B620F2">
        <w:t xml:space="preserve"> has an</w:t>
      </w:r>
      <w:r w:rsidR="001267CF">
        <w:t xml:space="preserve"> initial customer deposit of $28</w:t>
      </w:r>
      <w:r w:rsidR="001267CF" w:rsidRPr="00F122D4">
        <w:t xml:space="preserve"> </w:t>
      </w:r>
      <w:r w:rsidR="001267CF" w:rsidRPr="00E42F48">
        <w:t>for the 5/8 inch x 3/4 inch meter size</w:t>
      </w:r>
      <w:r w:rsidR="001267CF">
        <w:t>,</w:t>
      </w:r>
      <w:r w:rsidR="001267CF" w:rsidRPr="00E42F48">
        <w:t xml:space="preserve"> and two times the average estimated bill for the </w:t>
      </w:r>
      <w:r w:rsidR="001267CF">
        <w:t>general service customers</w:t>
      </w:r>
      <w:r w:rsidR="001267CF" w:rsidRPr="00E42F48">
        <w:t>.</w:t>
      </w:r>
      <w:r w:rsidR="001267CF" w:rsidRPr="00B620F2">
        <w:t xml:space="preserve"> However, this amount does not cover two months’ average bills based on staff’s recommended rates. </w:t>
      </w:r>
      <w:r w:rsidR="001267CF">
        <w:t xml:space="preserve">Based on </w:t>
      </w:r>
      <w:r w:rsidR="001267CF" w:rsidRPr="00EC72D5">
        <w:t xml:space="preserve">the </w:t>
      </w:r>
      <w:r w:rsidR="001267CF">
        <w:t xml:space="preserve">Utility’s average monthly residential consumption, the </w:t>
      </w:r>
      <w:r w:rsidR="001267CF" w:rsidRPr="00EC72D5">
        <w:t xml:space="preserve">appropriate initial customer deposit </w:t>
      </w:r>
      <w:r w:rsidR="001267CF">
        <w:t xml:space="preserve">should be $49 </w:t>
      </w:r>
      <w:r w:rsidR="001267CF" w:rsidRPr="00EC72D5">
        <w:t>to reflect an average residential customer bill for two months. The monthly</w:t>
      </w:r>
      <w:r w:rsidR="001267CF">
        <w:t xml:space="preserve"> average residential water bill is $24.67</w:t>
      </w:r>
      <w:r w:rsidR="00EF55B6">
        <w:t>.</w:t>
      </w:r>
    </w:p>
    <w:p w14:paraId="63BD9BC1" w14:textId="77777777" w:rsidR="00167B7C" w:rsidRDefault="00EF55B6" w:rsidP="00EF55B6">
      <w:pPr>
        <w:pStyle w:val="BodyText"/>
      </w:pPr>
      <w:r w:rsidRPr="00B620F2">
        <w:t>Staff recommends the appropriate i</w:t>
      </w:r>
      <w:r>
        <w:t>nitial customer deposit is $49</w:t>
      </w:r>
      <w:r w:rsidRPr="00B620F2">
        <w:t xml:space="preserve"> for all residential meter sizes. </w:t>
      </w:r>
      <w:r w:rsidRPr="006F38B0">
        <w:t xml:space="preserve">The initial customer deposit for all other residential meter sizes and all general service meter sizes should be two times the average estimated bill for </w:t>
      </w:r>
      <w:r>
        <w:t>waste</w:t>
      </w:r>
      <w:r w:rsidRPr="006F38B0">
        <w:t>water.</w:t>
      </w:r>
      <w:r>
        <w:t xml:space="preserve"> </w:t>
      </w:r>
      <w:r w:rsidRPr="00B620F2">
        <w:t>The approved initial customer deposits should be effective for service rendered or connections made on or after the stamped approval date on the tariff sheets pursuant to Rule 25-30.475, F.A.C. The Utility should be required to collect the approved initial customer deposits until authorized to change them by the Commission in a subsequent proceeding</w:t>
      </w:r>
      <w:r>
        <w:t>.</w:t>
      </w:r>
    </w:p>
    <w:p w14:paraId="7C0D2C7A" w14:textId="5109216F"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12</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12</w:instrText>
      </w:r>
      <w:r>
        <w:fldChar w:fldCharType="end"/>
      </w:r>
      <w:r>
        <w:tab/>
        <w:instrText xml:space="preserve">(Lenberg, Bethea)" \l 1 </w:instrText>
      </w:r>
      <w:r>
        <w:fldChar w:fldCharType="end"/>
      </w:r>
      <w:r>
        <w:t> </w:t>
      </w:r>
    </w:p>
    <w:p w14:paraId="20703DB5" w14:textId="77777777" w:rsidR="00167B7C" w:rsidRDefault="00167B7C">
      <w:pPr>
        <w:pStyle w:val="BodyText"/>
      </w:pPr>
      <w:r>
        <w:t> What is the appropriate amount by which rates should be reduced four years after the published effective date, to reflect the removal of the amortized rate case expense?</w:t>
      </w:r>
    </w:p>
    <w:p w14:paraId="0CFC0620" w14:textId="77777777" w:rsidR="00167B7C" w:rsidRPr="004C3641" w:rsidRDefault="00167B7C">
      <w:pPr>
        <w:pStyle w:val="IssueSubsectionHeading"/>
        <w:rPr>
          <w:vanish/>
          <w:specVanish/>
        </w:rPr>
      </w:pPr>
      <w:r w:rsidRPr="004C3641">
        <w:t>Recommendation: </w:t>
      </w:r>
    </w:p>
    <w:p w14:paraId="3B83A409" w14:textId="0CE332A3" w:rsidR="00167B7C" w:rsidRDefault="00167B7C">
      <w:pPr>
        <w:pStyle w:val="BodyText"/>
      </w:pPr>
      <w:r>
        <w:t> </w:t>
      </w:r>
      <w:r w:rsidR="00B359B9" w:rsidRPr="00D26FB3">
        <w:t>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Gulfstream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rsidR="00B359B9">
        <w:t>.</w:t>
      </w:r>
      <w:r>
        <w:t xml:space="preserve"> (Lenberg, Bethea)</w:t>
      </w:r>
    </w:p>
    <w:p w14:paraId="4438BFC4" w14:textId="77777777" w:rsidR="00167B7C" w:rsidRPr="004C3641" w:rsidRDefault="00167B7C">
      <w:pPr>
        <w:pStyle w:val="IssueSubsectionHeading"/>
        <w:rPr>
          <w:vanish/>
          <w:specVanish/>
        </w:rPr>
      </w:pPr>
      <w:r w:rsidRPr="004C3641">
        <w:t>Staff Analysis: </w:t>
      </w:r>
    </w:p>
    <w:p w14:paraId="68111798" w14:textId="0661D7A6" w:rsidR="00B359B9" w:rsidRPr="00D26FB3" w:rsidRDefault="00167B7C" w:rsidP="00B359B9">
      <w:pPr>
        <w:spacing w:after="240"/>
        <w:jc w:val="both"/>
      </w:pPr>
      <w:r>
        <w:t> </w:t>
      </w:r>
      <w:r w:rsidR="00B359B9" w:rsidRPr="00D26FB3">
        <w:t xml:space="preserve">Section </w:t>
      </w:r>
      <w:r w:rsidR="001267CF" w:rsidRPr="00D26FB3">
        <w:t>367.081</w:t>
      </w:r>
      <w:r w:rsidR="001267CF">
        <w:t>(8)</w:t>
      </w:r>
      <w:r w:rsidR="001267CF" w:rsidRPr="00D26FB3">
        <w:t>, F.S</w:t>
      </w:r>
      <w:r w:rsidR="00B359B9" w:rsidRPr="00D26FB3">
        <w:t>., requires that the rates be reduced immediately following the expiration of the four-year period by the amount of the rate case expense previously included in rates. The reduction will reflect the removal of revenue associated with the amortization of rate case expense and the gross-up for RAFs. This results in a reduction of $</w:t>
      </w:r>
      <w:r w:rsidR="00B359B9">
        <w:t>3,656</w:t>
      </w:r>
      <w:r w:rsidR="00B359B9" w:rsidRPr="00D26FB3">
        <w:t>.</w:t>
      </w:r>
    </w:p>
    <w:p w14:paraId="50219B84" w14:textId="0741CC73" w:rsidR="00167B7C" w:rsidRDefault="00B359B9" w:rsidP="00B359B9">
      <w:pPr>
        <w:pStyle w:val="BodyText"/>
      </w:pPr>
      <w:r w:rsidRPr="00D26FB3">
        <w:t>Staff recommends that the rates be reduced as shown on Schedule No. 4, to remove rate case expense grossed-up for RAFs and amortized over a four-year period. Pursuant to Section 367.081(8), F.S., the decrease in rates should become effective immediately following the expiration of the rate case expense recovery period. Gulfstream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t>.</w:t>
      </w:r>
    </w:p>
    <w:p w14:paraId="34580493" w14:textId="409062EF"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13</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13</w:instrText>
      </w:r>
      <w:r>
        <w:fldChar w:fldCharType="end"/>
      </w:r>
      <w:r>
        <w:tab/>
        <w:instrText xml:space="preserve">(Lenberg)" \l 1 </w:instrText>
      </w:r>
      <w:r>
        <w:fldChar w:fldCharType="end"/>
      </w:r>
      <w:r>
        <w:t> </w:t>
      </w:r>
    </w:p>
    <w:p w14:paraId="2FB44B47" w14:textId="77777777" w:rsidR="00167B7C" w:rsidRDefault="00167B7C">
      <w:pPr>
        <w:pStyle w:val="BodyText"/>
      </w:pPr>
      <w:r>
        <w:t> Should the recommended rates be approved for Gulfstream Utility LLC on a temporary basis, subject to refund with interest, in the event of a protest filed by a party other than the Utility?</w:t>
      </w:r>
    </w:p>
    <w:p w14:paraId="32B8AE66" w14:textId="77777777" w:rsidR="00167B7C" w:rsidRPr="004C3641" w:rsidRDefault="00167B7C">
      <w:pPr>
        <w:pStyle w:val="IssueSubsectionHeading"/>
        <w:rPr>
          <w:vanish/>
          <w:specVanish/>
        </w:rPr>
      </w:pPr>
      <w:r w:rsidRPr="004C3641">
        <w:t>Recommendation: </w:t>
      </w:r>
    </w:p>
    <w:p w14:paraId="3834AB41" w14:textId="77777777" w:rsidR="001267CF" w:rsidRPr="00D26FB3" w:rsidRDefault="00167B7C" w:rsidP="001267CF">
      <w:pPr>
        <w:spacing w:after="240"/>
        <w:jc w:val="both"/>
      </w:pPr>
      <w:r>
        <w:t> </w:t>
      </w:r>
      <w:r w:rsidR="001267CF" w:rsidRPr="00D26FB3">
        <w:t>Yes. Pursuant to Section 367.0814(7), F.S., the recommended rates should be approved for the Utility on a temporary basis, subject to refund with interest, in the event of a protest filed by a party other than the Utility. Gulfstream should file revised tariff sheets and a proposed customer notice reflecting the Commission-approved rates. The approved rates should be effective for services rendered on or after the stamped approval date on the tariff sheet</w:t>
      </w:r>
      <w:r w:rsidR="001267CF">
        <w:t>s</w:t>
      </w:r>
      <w:r w:rsidR="001267CF" w:rsidRPr="00D26FB3">
        <w:t xml:space="preserve">,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14:paraId="72073D18" w14:textId="579ABC5F" w:rsidR="00167B7C" w:rsidRDefault="001267CF" w:rsidP="001267CF">
      <w:pPr>
        <w:spacing w:after="240"/>
        <w:jc w:val="both"/>
      </w:pPr>
      <w:r w:rsidRPr="00D26FB3">
        <w:t xml:space="preserve">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both the current monthly and total amount </w:t>
      </w:r>
      <w:r>
        <w:t xml:space="preserve">of money </w:t>
      </w:r>
      <w:r w:rsidRPr="00D26FB3">
        <w:t>subject to refund at the end of the preceding month. The report filed should also indicate the status of the security being used to guarantee repayment of any potential refund</w:t>
      </w:r>
      <w:r w:rsidR="00B359B9">
        <w:t>.</w:t>
      </w:r>
      <w:r w:rsidR="00167B7C">
        <w:t xml:space="preserve"> (Lenberg)</w:t>
      </w:r>
    </w:p>
    <w:p w14:paraId="1ABFAAD9" w14:textId="77777777" w:rsidR="00167B7C" w:rsidRPr="004C3641" w:rsidRDefault="00167B7C">
      <w:pPr>
        <w:pStyle w:val="IssueSubsectionHeading"/>
        <w:rPr>
          <w:vanish/>
          <w:specVanish/>
        </w:rPr>
      </w:pPr>
      <w:r w:rsidRPr="004C3641">
        <w:t>Staff Analysis: </w:t>
      </w:r>
    </w:p>
    <w:p w14:paraId="6C9C1B37" w14:textId="4FE95EAC" w:rsidR="00B359B9" w:rsidRPr="00D26FB3" w:rsidRDefault="00167B7C" w:rsidP="00B359B9">
      <w:pPr>
        <w:spacing w:after="240"/>
        <w:jc w:val="both"/>
      </w:pPr>
      <w:r>
        <w:t> </w:t>
      </w:r>
      <w:r w:rsidR="00B359B9" w:rsidRPr="00D26FB3">
        <w:t xml:space="preserve">This recommendation proposes an increase in rates. A timely protest might delay a rate increase resulting in an unrecoverable loss of revenue to the Utility. Therefore, pursuant to Section 367.0814(7), F.S., in the event of a protest filed by a party other than the </w:t>
      </w:r>
      <w:proofErr w:type="gramStart"/>
      <w:r w:rsidR="00B359B9" w:rsidRPr="00D26FB3">
        <w:t>Utility</w:t>
      </w:r>
      <w:proofErr w:type="gramEnd"/>
      <w:r w:rsidR="00B359B9" w:rsidRPr="00D26FB3">
        <w:t>, staff recommends that the proposed rates be approved on a temporary basis. Gulfstream should file revised tariff sheets and a proposed customer notice reflecting the Commission-approved rates. The approved rates should be effective for service rendered on or after the stamped approval date on the tariff sheet</w:t>
      </w:r>
      <w:r w:rsidR="001267CF">
        <w:t>s</w:t>
      </w:r>
      <w:r w:rsidR="00B359B9" w:rsidRPr="00D26FB3">
        <w: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14:paraId="3BCCF3EF" w14:textId="77777777" w:rsidR="00B359B9" w:rsidRPr="00D26FB3" w:rsidRDefault="00B359B9" w:rsidP="00B359B9">
      <w:pPr>
        <w:spacing w:after="240"/>
        <w:jc w:val="both"/>
      </w:pPr>
      <w:r w:rsidRPr="00D26FB3">
        <w:t>Gulfstream should be authorized to initiate the temporary rates upon staff’s approval of an appropriate security for the potential refund and cost of the proposed customer notice. Security should be in the form of either a bond or letter of credit in the amount of $7</w:t>
      </w:r>
      <w:r>
        <w:t>8</w:t>
      </w:r>
      <w:r w:rsidRPr="00D26FB3">
        <w:t>,</w:t>
      </w:r>
      <w:r>
        <w:t>111</w:t>
      </w:r>
      <w:r w:rsidRPr="00D26FB3">
        <w:t>. Alternatively, the Utility may establish an escrow agreement with an independent financial institution.</w:t>
      </w:r>
    </w:p>
    <w:p w14:paraId="40B6E17B" w14:textId="77777777" w:rsidR="00B359B9" w:rsidRPr="00D26FB3" w:rsidRDefault="00B359B9" w:rsidP="00B359B9">
      <w:pPr>
        <w:spacing w:after="240"/>
        <w:jc w:val="both"/>
      </w:pPr>
      <w:r w:rsidRPr="00D26FB3">
        <w:t>If the Utility chooses a bond for securing the potential refund, the bond should contain wording to the effect that it will be terminated only under the following conditions:</w:t>
      </w:r>
    </w:p>
    <w:p w14:paraId="42F4F45D" w14:textId="77777777" w:rsidR="00B359B9" w:rsidRPr="00D26FB3" w:rsidRDefault="00B359B9" w:rsidP="00B359B9">
      <w:pPr>
        <w:spacing w:after="240"/>
        <w:jc w:val="both"/>
      </w:pPr>
      <w:r w:rsidRPr="00D26FB3">
        <w:t>1.</w:t>
      </w:r>
      <w:r w:rsidRPr="00D26FB3">
        <w:tab/>
        <w:t>The Commission approves the rate increase; or,</w:t>
      </w:r>
    </w:p>
    <w:p w14:paraId="4A4F74F8" w14:textId="77777777" w:rsidR="00B359B9" w:rsidRPr="00D26FB3" w:rsidRDefault="00B359B9" w:rsidP="00B359B9">
      <w:pPr>
        <w:spacing w:after="240"/>
        <w:ind w:left="720" w:hanging="720"/>
        <w:jc w:val="both"/>
      </w:pPr>
      <w:r w:rsidRPr="00D26FB3">
        <w:t>2.</w:t>
      </w:r>
      <w:r w:rsidRPr="00D26FB3">
        <w:tab/>
        <w:t>If the Commission denies the increase, the Utility shall refund the amount collected that is attributable to the increase.</w:t>
      </w:r>
    </w:p>
    <w:p w14:paraId="6547181F" w14:textId="77777777" w:rsidR="00B359B9" w:rsidRPr="00D26FB3" w:rsidRDefault="00B359B9" w:rsidP="00B359B9">
      <w:pPr>
        <w:spacing w:after="240"/>
        <w:jc w:val="both"/>
      </w:pPr>
      <w:r w:rsidRPr="00D26FB3">
        <w:t>If the Utility chooses a letter of credit for securing the potential refund, the letter of credit should contain the following conditions:</w:t>
      </w:r>
    </w:p>
    <w:p w14:paraId="737548C8" w14:textId="77777777" w:rsidR="00B359B9" w:rsidRPr="00D26FB3" w:rsidRDefault="00B359B9" w:rsidP="00B359B9">
      <w:pPr>
        <w:spacing w:after="240"/>
        <w:ind w:left="720" w:hanging="720"/>
        <w:jc w:val="both"/>
      </w:pPr>
      <w:r w:rsidRPr="00D26FB3">
        <w:t>1.</w:t>
      </w:r>
      <w:r w:rsidRPr="00D26FB3">
        <w:tab/>
        <w:t>The letter of credit is irrevocable for the period it is in effect.</w:t>
      </w:r>
    </w:p>
    <w:p w14:paraId="75761398" w14:textId="77777777" w:rsidR="00B359B9" w:rsidRPr="00D26FB3" w:rsidRDefault="00B359B9" w:rsidP="00B359B9">
      <w:pPr>
        <w:spacing w:after="240"/>
        <w:ind w:left="720" w:hanging="720"/>
        <w:jc w:val="both"/>
      </w:pPr>
      <w:r w:rsidRPr="00D26FB3">
        <w:t>2.</w:t>
      </w:r>
      <w:r w:rsidRPr="00D26FB3">
        <w:tab/>
        <w:t>The letter of credit will be in effect until a final Commission order is rendered, either approving or denying the rate increase.</w:t>
      </w:r>
    </w:p>
    <w:p w14:paraId="4DDAA0A2" w14:textId="77777777" w:rsidR="00B359B9" w:rsidRPr="00D26FB3" w:rsidRDefault="00B359B9" w:rsidP="00B359B9">
      <w:pPr>
        <w:spacing w:after="240"/>
        <w:jc w:val="both"/>
      </w:pPr>
      <w:r w:rsidRPr="00D26FB3">
        <w:t>If security is provided through an escrow agreement, the following conditions should be part of the agreement:</w:t>
      </w:r>
    </w:p>
    <w:p w14:paraId="57514EC7" w14:textId="77777777" w:rsidR="00B359B9" w:rsidRPr="00D26FB3" w:rsidRDefault="00B359B9" w:rsidP="00B359B9">
      <w:pPr>
        <w:spacing w:after="240"/>
        <w:ind w:left="720" w:hanging="720"/>
        <w:jc w:val="both"/>
      </w:pPr>
      <w:r w:rsidRPr="00D26FB3">
        <w:t>1.</w:t>
      </w:r>
      <w:r w:rsidRPr="00D26FB3">
        <w:tab/>
        <w:t>The Commission Clerk, or his or her designee, must be a signatory to the escrow agreement.</w:t>
      </w:r>
    </w:p>
    <w:p w14:paraId="6547FFA8" w14:textId="77777777" w:rsidR="00B359B9" w:rsidRPr="00D26FB3" w:rsidRDefault="00B359B9" w:rsidP="00B359B9">
      <w:pPr>
        <w:spacing w:after="240"/>
        <w:ind w:left="720" w:hanging="720"/>
        <w:jc w:val="both"/>
      </w:pPr>
      <w:r w:rsidRPr="00D26FB3">
        <w:t>2.</w:t>
      </w:r>
      <w:r w:rsidRPr="00D26FB3">
        <w:tab/>
        <w:t xml:space="preserve">No monies in the escrow account may be withdrawn by the Utility without the prior written authorization of the Commission Clerk, or his or her designee. </w:t>
      </w:r>
    </w:p>
    <w:p w14:paraId="1627C84B" w14:textId="77777777" w:rsidR="00B359B9" w:rsidRPr="00D26FB3" w:rsidRDefault="00B359B9" w:rsidP="00B359B9">
      <w:pPr>
        <w:spacing w:after="240"/>
        <w:ind w:left="720" w:hanging="720"/>
        <w:jc w:val="both"/>
      </w:pPr>
      <w:r w:rsidRPr="00D26FB3">
        <w:t>3.</w:t>
      </w:r>
      <w:r w:rsidRPr="00D26FB3">
        <w:tab/>
        <w:t>The escrow account shall be an interest bearing account.</w:t>
      </w:r>
    </w:p>
    <w:p w14:paraId="0F3BAD2E" w14:textId="77777777" w:rsidR="00B359B9" w:rsidRPr="00D26FB3" w:rsidRDefault="00B359B9" w:rsidP="00B359B9">
      <w:pPr>
        <w:spacing w:after="240"/>
        <w:ind w:left="720" w:hanging="720"/>
        <w:jc w:val="both"/>
      </w:pPr>
      <w:r w:rsidRPr="00D26FB3">
        <w:t>4.</w:t>
      </w:r>
      <w:r w:rsidRPr="00D26FB3">
        <w:tab/>
        <w:t>If a refund to the customers is required, all interest earned by the escrow account shall be distributed to the customers.</w:t>
      </w:r>
    </w:p>
    <w:p w14:paraId="7F6F7F92" w14:textId="77777777" w:rsidR="00B359B9" w:rsidRPr="00D26FB3" w:rsidRDefault="00B359B9" w:rsidP="00B359B9">
      <w:pPr>
        <w:spacing w:after="240"/>
        <w:ind w:left="720" w:hanging="720"/>
        <w:jc w:val="both"/>
      </w:pPr>
      <w:r w:rsidRPr="00D26FB3">
        <w:t>5.</w:t>
      </w:r>
      <w:r w:rsidRPr="00D26FB3">
        <w:tab/>
        <w:t>If a refund to the customers is not required, the interest earned by the escrow account shall revert to the Utility.</w:t>
      </w:r>
    </w:p>
    <w:p w14:paraId="737DF747" w14:textId="77777777" w:rsidR="00B359B9" w:rsidRPr="00D26FB3" w:rsidRDefault="00B359B9" w:rsidP="00B359B9">
      <w:pPr>
        <w:spacing w:after="240"/>
        <w:ind w:left="720" w:hanging="720"/>
        <w:jc w:val="both"/>
      </w:pPr>
      <w:r w:rsidRPr="00D26FB3">
        <w:t>6.</w:t>
      </w:r>
      <w:r w:rsidRPr="00D26FB3">
        <w:tab/>
        <w:t>All information on the escrow account shall be available from the holder of the escrow account to a Commission representative at all times.</w:t>
      </w:r>
    </w:p>
    <w:p w14:paraId="428446B8" w14:textId="77777777" w:rsidR="00B359B9" w:rsidRPr="00D26FB3" w:rsidRDefault="00B359B9" w:rsidP="00B359B9">
      <w:pPr>
        <w:spacing w:after="240"/>
        <w:ind w:left="720" w:hanging="720"/>
        <w:jc w:val="both"/>
      </w:pPr>
      <w:r w:rsidRPr="00D26FB3">
        <w:t>7.</w:t>
      </w:r>
      <w:r w:rsidRPr="00D26FB3">
        <w:tab/>
        <w:t>The amount of revenue subject to refund shall be deposited in the escrow account within seven days of receipt.</w:t>
      </w:r>
    </w:p>
    <w:p w14:paraId="6799D848" w14:textId="77777777" w:rsidR="00B359B9" w:rsidRPr="00D26FB3" w:rsidRDefault="00B359B9" w:rsidP="00B359B9">
      <w:pPr>
        <w:spacing w:after="240"/>
        <w:ind w:left="720" w:hanging="720"/>
        <w:jc w:val="both"/>
      </w:pPr>
      <w:r w:rsidRPr="00D26FB3">
        <w:t>8.</w:t>
      </w:r>
      <w:r w:rsidRPr="00D26FB3">
        <w:tab/>
        <w:t xml:space="preserve">This escrow account is established by the direction of the Florida Public Service Commission for the purpose(s) set forth in its order requiring such account. Pursuant to </w:t>
      </w:r>
      <w:proofErr w:type="spellStart"/>
      <w:r w:rsidRPr="00D26FB3">
        <w:rPr>
          <w:i/>
        </w:rPr>
        <w:t>Cosentino</w:t>
      </w:r>
      <w:proofErr w:type="spellEnd"/>
      <w:r w:rsidRPr="00D26FB3">
        <w:rPr>
          <w:i/>
        </w:rPr>
        <w:t xml:space="preserve"> v. Elson</w:t>
      </w:r>
      <w:r w:rsidRPr="00D26FB3">
        <w:t>, 263 So. 2d 253 (Fla. 3d DCA 1972), escrow accounts are not subject to garnishments.</w:t>
      </w:r>
    </w:p>
    <w:p w14:paraId="140B4163" w14:textId="77777777" w:rsidR="00B359B9" w:rsidRPr="00D26FB3" w:rsidRDefault="00B359B9" w:rsidP="00B359B9">
      <w:pPr>
        <w:spacing w:after="240"/>
        <w:ind w:left="720" w:hanging="720"/>
        <w:jc w:val="both"/>
      </w:pPr>
      <w:r w:rsidRPr="00D26FB3">
        <w:t>9.</w:t>
      </w:r>
      <w:r w:rsidRPr="00D26FB3">
        <w:tab/>
        <w:t>The account must specify by whom and on whose behalf such monies were paid.</w:t>
      </w:r>
    </w:p>
    <w:p w14:paraId="0ED836C7" w14:textId="77777777" w:rsidR="00B359B9" w:rsidRPr="00D26FB3" w:rsidRDefault="00B359B9" w:rsidP="00B359B9">
      <w:pPr>
        <w:spacing w:after="240"/>
        <w:jc w:val="both"/>
      </w:pPr>
      <w:r w:rsidRPr="00D26FB3">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4609F450" w14:textId="55FB937C" w:rsidR="00167B7C" w:rsidRDefault="00B359B9" w:rsidP="00B359B9">
      <w:pPr>
        <w:pStyle w:val="BodyText"/>
      </w:pPr>
      <w:r w:rsidRPr="00D26FB3">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t>.</w:t>
      </w:r>
    </w:p>
    <w:p w14:paraId="7306478D" w14:textId="3D52360E" w:rsidR="00B359B9" w:rsidRDefault="00B359B9">
      <w:pPr>
        <w:pStyle w:val="IssueHeading"/>
        <w:rPr>
          <w:vanish/>
          <w:specVanish/>
        </w:rPr>
      </w:pPr>
      <w:r w:rsidRPr="004C3641">
        <w:rPr>
          <w:b w:val="0"/>
          <w:i w:val="0"/>
        </w:rPr>
        <w:br w:type="page"/>
      </w:r>
      <w:r w:rsidRPr="004C3641">
        <w:t xml:space="preserve">Issue </w:t>
      </w:r>
      <w:fldSimple w:instr=" SEQ Issue \* MERGEFORMAT ">
        <w:r w:rsidR="0002012B">
          <w:rPr>
            <w:noProof/>
          </w:rPr>
          <w:t>14</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14</w:instrText>
      </w:r>
      <w:r>
        <w:fldChar w:fldCharType="end"/>
      </w:r>
      <w:r>
        <w:tab/>
        <w:instrText xml:space="preserve">(Lenberg)" \l 1 </w:instrText>
      </w:r>
      <w:r>
        <w:fldChar w:fldCharType="end"/>
      </w:r>
      <w:r>
        <w:t> </w:t>
      </w:r>
    </w:p>
    <w:p w14:paraId="52F3D39F" w14:textId="7263C98A" w:rsidR="00B359B9" w:rsidRDefault="00B359B9">
      <w:pPr>
        <w:pStyle w:val="BodyText"/>
      </w:pPr>
      <w:r>
        <w:t> Should Gulfstream Utility LLC be required to notify the Commission within 90 days of an effective order finalizing this docket, that it has adjusted its books for all the applicable NARUC USOA?</w:t>
      </w:r>
    </w:p>
    <w:p w14:paraId="6F0A6E13" w14:textId="77777777" w:rsidR="00B359B9" w:rsidRPr="004C3641" w:rsidRDefault="00B359B9">
      <w:pPr>
        <w:pStyle w:val="IssueSubsectionHeading"/>
        <w:rPr>
          <w:vanish/>
          <w:specVanish/>
        </w:rPr>
      </w:pPr>
      <w:r w:rsidRPr="004C3641">
        <w:t>Recommendation: </w:t>
      </w:r>
    </w:p>
    <w:p w14:paraId="7E2DBDA5" w14:textId="667676B6" w:rsidR="00B359B9" w:rsidRDefault="00B359B9">
      <w:pPr>
        <w:pStyle w:val="BodyText"/>
      </w:pPr>
      <w:r>
        <w:t> </w:t>
      </w:r>
      <w:r w:rsidR="001267CF" w:rsidRPr="007D3A17">
        <w:t xml:space="preserve">Yes. </w:t>
      </w:r>
      <w:r w:rsidR="001267CF">
        <w:t>Gulfstream</w:t>
      </w:r>
      <w:r w:rsidR="001267CF" w:rsidRPr="007D3A17">
        <w:t xml:space="preserve"> should be required to notify the Commission, in writing, that it has adjusted its books in accordance with the Commission’s decision. The Utility should submit a letter within 90 days of the Commission’s final order in this docket, confirming that the adjustments to all applicable </w:t>
      </w:r>
      <w:r w:rsidR="001267CF">
        <w:t>National Association of Regulatory Utility Commissioners (</w:t>
      </w:r>
      <w:r w:rsidR="001267CF" w:rsidRPr="007D3A17">
        <w:t>NARUC</w:t>
      </w:r>
      <w:r w:rsidR="001267CF">
        <w:t>) Uniform System of Accounts</w:t>
      </w:r>
      <w:r w:rsidR="001267CF" w:rsidRPr="007D3A17">
        <w:t xml:space="preserve"> </w:t>
      </w:r>
      <w:r w:rsidR="001267CF">
        <w:t>(</w:t>
      </w:r>
      <w:r w:rsidR="001267CF" w:rsidRPr="007D3A17">
        <w:t>USOA</w:t>
      </w:r>
      <w:r w:rsidR="001267CF">
        <w:t>)</w:t>
      </w:r>
      <w:r w:rsidR="001267CF" w:rsidRPr="007D3A17">
        <w:t xml:space="preserve"> primary accounts have been made to the Utility’s books and records. In the event the Utility needs additional time to complete the adjustments, a notice providing good cause should be filed not less than seven days prior to the deadline</w:t>
      </w:r>
      <w:r w:rsidR="001267CF">
        <w:t xml:space="preserve"> requesting an extension</w:t>
      </w:r>
      <w:r w:rsidR="001267CF" w:rsidRPr="007D3A17">
        <w:t>. Upon providing a notice of good cause, staff should be given administrative authority to grant an extension of up to 60 days</w:t>
      </w:r>
      <w:r>
        <w:t>. (Lenberg)</w:t>
      </w:r>
    </w:p>
    <w:p w14:paraId="67C7775D" w14:textId="77777777" w:rsidR="00B359B9" w:rsidRPr="004C3641" w:rsidRDefault="00B359B9">
      <w:pPr>
        <w:pStyle w:val="IssueSubsectionHeading"/>
        <w:rPr>
          <w:vanish/>
          <w:specVanish/>
        </w:rPr>
      </w:pPr>
      <w:r w:rsidRPr="004C3641">
        <w:t>Staff Analysis: </w:t>
      </w:r>
    </w:p>
    <w:p w14:paraId="6A3B1388" w14:textId="169A39F2" w:rsidR="00B359B9" w:rsidRDefault="00B359B9">
      <w:pPr>
        <w:pStyle w:val="BodyText"/>
      </w:pPr>
      <w:r>
        <w:t xml:space="preserve"> Gulfstream </w:t>
      </w:r>
      <w:r w:rsidRPr="007D3A17">
        <w:t>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w:t>
      </w:r>
      <w:r>
        <w:t xml:space="preserve"> requesting an extension</w:t>
      </w:r>
      <w:r w:rsidRPr="007D3A17">
        <w:t>. Upon providing a notice of good cause, staff should be given administrative authority to grant an extension of up to 60 days</w:t>
      </w:r>
      <w:r>
        <w:t>.</w:t>
      </w:r>
    </w:p>
    <w:p w14:paraId="06EE84B9" w14:textId="376A3015" w:rsidR="00167B7C" w:rsidRDefault="00167B7C">
      <w:pPr>
        <w:pStyle w:val="IssueHeading"/>
        <w:rPr>
          <w:vanish/>
          <w:specVanish/>
        </w:rPr>
      </w:pPr>
      <w:r w:rsidRPr="004C3641">
        <w:rPr>
          <w:b w:val="0"/>
          <w:i w:val="0"/>
        </w:rPr>
        <w:br w:type="page"/>
      </w:r>
      <w:r w:rsidRPr="004C3641">
        <w:t xml:space="preserve">Issue </w:t>
      </w:r>
      <w:fldSimple w:instr=" SEQ Issue \* MERGEFORMAT ">
        <w:r w:rsidR="0002012B">
          <w:rPr>
            <w:noProof/>
          </w:rPr>
          <w:t>15</w:t>
        </w:r>
      </w:fldSimple>
      <w:r w:rsidRPr="004C3641">
        <w:t>:</w:t>
      </w:r>
      <w:r>
        <w:fldChar w:fldCharType="begin"/>
      </w:r>
      <w:r>
        <w:instrText xml:space="preserve"> TC "</w:instrText>
      </w:r>
      <w:r>
        <w:fldChar w:fldCharType="begin"/>
      </w:r>
      <w:r>
        <w:instrText xml:space="preserve"> SEQ issue \c </w:instrText>
      </w:r>
      <w:r>
        <w:fldChar w:fldCharType="separate"/>
      </w:r>
      <w:r w:rsidR="0002012B">
        <w:rPr>
          <w:noProof/>
        </w:rPr>
        <w:instrText>15</w:instrText>
      </w:r>
      <w:r>
        <w:fldChar w:fldCharType="end"/>
      </w:r>
      <w:r>
        <w:tab/>
        <w:instrText xml:space="preserve">(Marquez)" \l 1 </w:instrText>
      </w:r>
      <w:r>
        <w:fldChar w:fldCharType="end"/>
      </w:r>
      <w:r>
        <w:t> </w:t>
      </w:r>
    </w:p>
    <w:p w14:paraId="076650A7" w14:textId="77777777" w:rsidR="00167B7C" w:rsidRDefault="00167B7C">
      <w:pPr>
        <w:pStyle w:val="BodyText"/>
      </w:pPr>
      <w:r>
        <w:t> Should this docket be closed?</w:t>
      </w:r>
    </w:p>
    <w:p w14:paraId="7B30C6EB" w14:textId="77777777" w:rsidR="00167B7C" w:rsidRPr="004C3641" w:rsidRDefault="00167B7C">
      <w:pPr>
        <w:pStyle w:val="IssueSubsectionHeading"/>
        <w:rPr>
          <w:vanish/>
          <w:specVanish/>
        </w:rPr>
      </w:pPr>
      <w:r w:rsidRPr="004C3641">
        <w:t>Recommendation: </w:t>
      </w:r>
    </w:p>
    <w:p w14:paraId="194C24AD" w14:textId="60F10D5D" w:rsidR="00167B7C" w:rsidRDefault="00167B7C">
      <w:pPr>
        <w:pStyle w:val="BodyText"/>
      </w:pPr>
      <w:r>
        <w:t> </w:t>
      </w:r>
      <w:r w:rsidR="001267CF">
        <w:t>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and that the Utility submitted its letter confirming all adjustments to applicable NARUC USOA primary accounts were made. Once these actions are complete, this docket should be closed administratively. (Marquez</w:t>
      </w:r>
      <w:r>
        <w:t>)</w:t>
      </w:r>
    </w:p>
    <w:p w14:paraId="1927CBB4" w14:textId="77777777" w:rsidR="00167B7C" w:rsidRPr="004C3641" w:rsidRDefault="00167B7C">
      <w:pPr>
        <w:pStyle w:val="IssueSubsectionHeading"/>
        <w:rPr>
          <w:vanish/>
          <w:specVanish/>
        </w:rPr>
      </w:pPr>
      <w:r w:rsidRPr="004C3641">
        <w:t>Staff Analysis: </w:t>
      </w:r>
    </w:p>
    <w:p w14:paraId="26BE7D7A" w14:textId="7B2AF300" w:rsidR="00167B7C" w:rsidRDefault="00167B7C">
      <w:pPr>
        <w:pStyle w:val="BodyText"/>
      </w:pPr>
      <w:r>
        <w:t> </w:t>
      </w:r>
      <w:r w:rsidR="001267CF" w:rsidRPr="00934239">
        <w:rPr>
          <w:rFonts w:ascii="TimesNewRomanPSMT" w:hAnsi="TimesNewRomanPSMT" w:cs="TimesNewRomanPSMT"/>
        </w:rPr>
        <w:t xml:space="preserve">If no person whose substantial interests are affected by the proposed agency action files a protest within 21 days of the issuance of the </w:t>
      </w:r>
      <w:r w:rsidR="001267CF">
        <w:rPr>
          <w:rFonts w:ascii="TimesNewRomanPSMT" w:hAnsi="TimesNewRomanPSMT" w:cs="TimesNewRomanPSMT"/>
        </w:rPr>
        <w:t xml:space="preserve">proposed agency action </w:t>
      </w:r>
      <w:r w:rsidR="001267CF" w:rsidRPr="00934239">
        <w:rPr>
          <w:rFonts w:ascii="TimesNewRomanPSMT" w:hAnsi="TimesNewRomanPSMT" w:cs="TimesNewRomanPSMT"/>
        </w:rPr>
        <w:t xml:space="preserve">order, a consummating order should be issued. The docket should remain open for staff’s verification that the revised tariff sheets and customer notice have been filed by the </w:t>
      </w:r>
      <w:r w:rsidR="001267CF">
        <w:rPr>
          <w:rFonts w:ascii="TimesNewRomanPSMT" w:hAnsi="TimesNewRomanPSMT" w:cs="TimesNewRomanPSMT"/>
        </w:rPr>
        <w:t>U</w:t>
      </w:r>
      <w:r w:rsidR="001267CF" w:rsidRPr="00934239">
        <w:rPr>
          <w:rFonts w:ascii="TimesNewRomanPSMT" w:hAnsi="TimesNewRomanPSMT" w:cs="TimesNewRomanPSMT"/>
        </w:rPr>
        <w:t>tility and approved by staff</w:t>
      </w:r>
      <w:r w:rsidR="001267CF">
        <w:rPr>
          <w:rFonts w:ascii="TimesNewRomanPSMT" w:hAnsi="TimesNewRomanPSMT" w:cs="TimesNewRomanPSMT"/>
        </w:rPr>
        <w:t xml:space="preserve">, </w:t>
      </w:r>
      <w:r w:rsidR="001267CF">
        <w:t>and that the Utility submitted its letter confirming all adjustments to applicable NARUC USOA primary accounts were made. Once these actions are complete, this docket should be closed administratively.</w:t>
      </w:r>
    </w:p>
    <w:p w14:paraId="74E076ED" w14:textId="6AD5E67E" w:rsidR="00EF55B6" w:rsidRDefault="00EF55B6" w:rsidP="00E275D8">
      <w:pPr>
        <w:pStyle w:val="BodyText"/>
      </w:pPr>
    </w:p>
    <w:p w14:paraId="2183EB7D" w14:textId="77777777" w:rsidR="00B359B9" w:rsidRDefault="00B359B9" w:rsidP="00E275D8">
      <w:pPr>
        <w:pStyle w:val="BodyText"/>
        <w:sectPr w:rsidR="00B359B9"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14:paraId="2AF870BA" w14:textId="49F9D856" w:rsidR="00B359B9" w:rsidRDefault="00155646" w:rsidP="00E275D8">
      <w:pPr>
        <w:pStyle w:val="BodyText"/>
      </w:pPr>
      <w:r w:rsidRPr="00637477">
        <w:rPr>
          <w:noProof/>
        </w:rPr>
        <w:drawing>
          <wp:anchor distT="0" distB="0" distL="114300" distR="114300" simplePos="0" relativeHeight="251659776" behindDoc="0" locked="0" layoutInCell="1" allowOverlap="1" wp14:anchorId="6D5DD043" wp14:editId="0EC6AA2D">
            <wp:simplePos x="0" y="0"/>
            <wp:positionH relativeFrom="column">
              <wp:posOffset>-500212</wp:posOffset>
            </wp:positionH>
            <wp:positionV relativeFrom="paragraph">
              <wp:posOffset>321945</wp:posOffset>
            </wp:positionV>
            <wp:extent cx="7223760" cy="3937690"/>
            <wp:effectExtent l="0" t="0" r="0" b="5715"/>
            <wp:wrapThrough wrapText="bothSides">
              <wp:wrapPolygon edited="0">
                <wp:start x="0" y="0"/>
                <wp:lineTo x="0" y="21527"/>
                <wp:lineTo x="21532" y="21527"/>
                <wp:lineTo x="21532" y="0"/>
                <wp:lineTo x="0" y="0"/>
              </wp:wrapPolygon>
            </wp:wrapThrough>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23760" cy="393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4BC1B" w14:textId="33CFE7BC" w:rsidR="00B359B9" w:rsidRDefault="00B359B9" w:rsidP="00E275D8">
      <w:pPr>
        <w:pStyle w:val="BodyText"/>
      </w:pPr>
    </w:p>
    <w:p w14:paraId="24CFEB2E" w14:textId="77777777" w:rsidR="00B359B9" w:rsidRDefault="00B359B9" w:rsidP="00E275D8">
      <w:pPr>
        <w:pStyle w:val="BodyText"/>
        <w:sectPr w:rsidR="00B359B9" w:rsidSect="0068481F">
          <w:headerReference w:type="default" r:id="rId18"/>
          <w:pgSz w:w="12240" w:h="15840" w:code="1"/>
          <w:pgMar w:top="1584" w:right="1440" w:bottom="1440" w:left="1440" w:header="720" w:footer="720" w:gutter="0"/>
          <w:cols w:space="720"/>
          <w:formProt w:val="0"/>
          <w:docGrid w:linePitch="360"/>
        </w:sectPr>
      </w:pPr>
    </w:p>
    <w:p w14:paraId="26A4F4FF" w14:textId="031F5E24" w:rsidR="00B359B9" w:rsidRDefault="00155646" w:rsidP="00E275D8">
      <w:pPr>
        <w:pStyle w:val="BodyText"/>
      </w:pPr>
      <w:r w:rsidRPr="00971505">
        <w:rPr>
          <w:noProof/>
        </w:rPr>
        <w:drawing>
          <wp:anchor distT="0" distB="0" distL="114300" distR="114300" simplePos="0" relativeHeight="251660800" behindDoc="0" locked="0" layoutInCell="1" allowOverlap="1" wp14:anchorId="51E7329C" wp14:editId="6D9A4646">
            <wp:simplePos x="0" y="0"/>
            <wp:positionH relativeFrom="column">
              <wp:posOffset>-784860</wp:posOffset>
            </wp:positionH>
            <wp:positionV relativeFrom="paragraph">
              <wp:posOffset>175835</wp:posOffset>
            </wp:positionV>
            <wp:extent cx="7498080" cy="5094564"/>
            <wp:effectExtent l="0" t="0" r="7620" b="0"/>
            <wp:wrapThrough wrapText="bothSides">
              <wp:wrapPolygon edited="0">
                <wp:start x="0" y="0"/>
                <wp:lineTo x="0" y="21487"/>
                <wp:lineTo x="21567" y="21487"/>
                <wp:lineTo x="2156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98080" cy="5094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223A8" w14:textId="68DD0BEC" w:rsidR="00B359B9" w:rsidRDefault="00B359B9" w:rsidP="00E275D8">
      <w:pPr>
        <w:pStyle w:val="BodyText"/>
      </w:pPr>
    </w:p>
    <w:p w14:paraId="13F3D3E1" w14:textId="177D2F3C" w:rsidR="00B359B9" w:rsidRDefault="00B359B9" w:rsidP="00E275D8">
      <w:pPr>
        <w:pStyle w:val="BodyText"/>
      </w:pPr>
    </w:p>
    <w:p w14:paraId="144D4AE6" w14:textId="77777777" w:rsidR="00B359B9" w:rsidRDefault="00B359B9" w:rsidP="00E275D8">
      <w:pPr>
        <w:pStyle w:val="BodyText"/>
        <w:sectPr w:rsidR="00B359B9" w:rsidSect="0068481F">
          <w:headerReference w:type="default" r:id="rId20"/>
          <w:pgSz w:w="12240" w:h="15840" w:code="1"/>
          <w:pgMar w:top="1584" w:right="1440" w:bottom="1440" w:left="1440" w:header="720" w:footer="720" w:gutter="0"/>
          <w:cols w:space="720"/>
          <w:formProt w:val="0"/>
          <w:docGrid w:linePitch="360"/>
        </w:sectPr>
      </w:pPr>
    </w:p>
    <w:p w14:paraId="38ACF433" w14:textId="3E94388C" w:rsidR="00B359B9" w:rsidRDefault="00155646" w:rsidP="00E275D8">
      <w:pPr>
        <w:pStyle w:val="BodyText"/>
      </w:pPr>
      <w:r w:rsidRPr="00971505">
        <w:rPr>
          <w:noProof/>
        </w:rPr>
        <w:drawing>
          <wp:anchor distT="0" distB="0" distL="114300" distR="114300" simplePos="0" relativeHeight="251662848" behindDoc="0" locked="0" layoutInCell="1" allowOverlap="1" wp14:anchorId="40A44184" wp14:editId="38BB4924">
            <wp:simplePos x="0" y="0"/>
            <wp:positionH relativeFrom="column">
              <wp:posOffset>-370936</wp:posOffset>
            </wp:positionH>
            <wp:positionV relativeFrom="paragraph">
              <wp:posOffset>241396</wp:posOffset>
            </wp:positionV>
            <wp:extent cx="9052560" cy="3630644"/>
            <wp:effectExtent l="0" t="0" r="0" b="0"/>
            <wp:wrapThrough wrapText="bothSides">
              <wp:wrapPolygon edited="0">
                <wp:start x="1409" y="1020"/>
                <wp:lineTo x="1409" y="20402"/>
                <wp:lineTo x="20045" y="20402"/>
                <wp:lineTo x="20045" y="1020"/>
                <wp:lineTo x="1409" y="102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52560" cy="3630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82204" w14:textId="3CBD207D" w:rsidR="00B359B9" w:rsidRDefault="00B359B9" w:rsidP="00E275D8">
      <w:pPr>
        <w:pStyle w:val="BodyText"/>
      </w:pPr>
    </w:p>
    <w:p w14:paraId="7D623F15" w14:textId="4C80615F" w:rsidR="00B359B9" w:rsidRDefault="00B359B9" w:rsidP="00E275D8">
      <w:pPr>
        <w:pStyle w:val="BodyText"/>
      </w:pPr>
    </w:p>
    <w:p w14:paraId="49A7DF89" w14:textId="77777777" w:rsidR="00D4074B" w:rsidRDefault="00D4074B" w:rsidP="00E275D8">
      <w:pPr>
        <w:pStyle w:val="BodyText"/>
        <w:sectPr w:rsidR="00D4074B" w:rsidSect="00B359B9">
          <w:headerReference w:type="default" r:id="rId22"/>
          <w:pgSz w:w="15840" w:h="12240" w:orient="landscape" w:code="1"/>
          <w:pgMar w:top="1440" w:right="1584" w:bottom="1440" w:left="1440" w:header="720" w:footer="720" w:gutter="0"/>
          <w:cols w:space="720"/>
          <w:formProt w:val="0"/>
          <w:docGrid w:linePitch="360"/>
        </w:sectPr>
      </w:pPr>
    </w:p>
    <w:p w14:paraId="27AE74D4" w14:textId="2106A51C" w:rsidR="00D4074B" w:rsidRDefault="00155646" w:rsidP="00E275D8">
      <w:pPr>
        <w:pStyle w:val="BodyText"/>
        <w:rPr>
          <w:noProof/>
        </w:rPr>
      </w:pPr>
      <w:r w:rsidRPr="00971505">
        <w:rPr>
          <w:noProof/>
        </w:rPr>
        <w:drawing>
          <wp:anchor distT="0" distB="0" distL="114300" distR="114300" simplePos="0" relativeHeight="251664896" behindDoc="0" locked="0" layoutInCell="1" allowOverlap="1" wp14:anchorId="5464F0AC" wp14:editId="54EBDA30">
            <wp:simplePos x="0" y="0"/>
            <wp:positionH relativeFrom="column">
              <wp:posOffset>-414068</wp:posOffset>
            </wp:positionH>
            <wp:positionV relativeFrom="paragraph">
              <wp:posOffset>327660</wp:posOffset>
            </wp:positionV>
            <wp:extent cx="9052560" cy="5127052"/>
            <wp:effectExtent l="0" t="0" r="0" b="0"/>
            <wp:wrapThrough wrapText="bothSides">
              <wp:wrapPolygon edited="0">
                <wp:start x="0" y="0"/>
                <wp:lineTo x="0" y="21509"/>
                <wp:lineTo x="21545" y="21509"/>
                <wp:lineTo x="2154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52560" cy="51270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0A664" w14:textId="77000233" w:rsidR="00D4074B" w:rsidRDefault="00D4074B" w:rsidP="00E275D8">
      <w:pPr>
        <w:pStyle w:val="BodyText"/>
      </w:pPr>
    </w:p>
    <w:p w14:paraId="07ECC72F" w14:textId="41601D47" w:rsidR="00D4074B" w:rsidRDefault="00D4074B" w:rsidP="00E275D8">
      <w:pPr>
        <w:pStyle w:val="BodyText"/>
        <w:sectPr w:rsidR="00D4074B" w:rsidSect="00B359B9">
          <w:headerReference w:type="default" r:id="rId24"/>
          <w:pgSz w:w="15840" w:h="12240" w:orient="landscape" w:code="1"/>
          <w:pgMar w:top="1440" w:right="1584" w:bottom="1440" w:left="1440" w:header="720" w:footer="720" w:gutter="0"/>
          <w:cols w:space="720"/>
          <w:formProt w:val="0"/>
          <w:docGrid w:linePitch="360"/>
        </w:sectPr>
      </w:pPr>
    </w:p>
    <w:p w14:paraId="74246914" w14:textId="5396508E" w:rsidR="00B359B9" w:rsidRDefault="00155646" w:rsidP="00E275D8">
      <w:pPr>
        <w:pStyle w:val="BodyText"/>
      </w:pPr>
      <w:r w:rsidRPr="00971505">
        <w:rPr>
          <w:noProof/>
        </w:rPr>
        <w:drawing>
          <wp:anchor distT="0" distB="0" distL="114300" distR="114300" simplePos="0" relativeHeight="251665920" behindDoc="0" locked="0" layoutInCell="1" allowOverlap="1" wp14:anchorId="435756B1" wp14:editId="5742E4C7">
            <wp:simplePos x="0" y="0"/>
            <wp:positionH relativeFrom="column">
              <wp:posOffset>-802257</wp:posOffset>
            </wp:positionH>
            <wp:positionV relativeFrom="paragraph">
              <wp:posOffset>124220</wp:posOffset>
            </wp:positionV>
            <wp:extent cx="7498080" cy="8311403"/>
            <wp:effectExtent l="0" t="0" r="7620" b="0"/>
            <wp:wrapThrough wrapText="bothSides">
              <wp:wrapPolygon edited="0">
                <wp:start x="0" y="0"/>
                <wp:lineTo x="0" y="21537"/>
                <wp:lineTo x="21567" y="21537"/>
                <wp:lineTo x="2156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98080" cy="8311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A31F3" w14:textId="0D8C1F38" w:rsidR="00D4074B" w:rsidRDefault="00D4074B" w:rsidP="00E275D8">
      <w:pPr>
        <w:pStyle w:val="BodyText"/>
      </w:pPr>
      <w:r w:rsidRPr="00085CED">
        <w:rPr>
          <w:noProof/>
        </w:rPr>
        <w:drawing>
          <wp:anchor distT="0" distB="0" distL="114300" distR="114300" simplePos="0" relativeHeight="251655680" behindDoc="0" locked="0" layoutInCell="1" allowOverlap="1" wp14:anchorId="7534D3E7" wp14:editId="533A8ECA">
            <wp:simplePos x="0" y="0"/>
            <wp:positionH relativeFrom="column">
              <wp:posOffset>-672262</wp:posOffset>
            </wp:positionH>
            <wp:positionV relativeFrom="paragraph">
              <wp:posOffset>205740</wp:posOffset>
            </wp:positionV>
            <wp:extent cx="7482840" cy="3387090"/>
            <wp:effectExtent l="0" t="0" r="3810" b="3810"/>
            <wp:wrapThrough wrapText="bothSides">
              <wp:wrapPolygon edited="0">
                <wp:start x="0" y="0"/>
                <wp:lineTo x="0" y="21503"/>
                <wp:lineTo x="21556" y="21503"/>
                <wp:lineTo x="2155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82840" cy="3387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B164A9" w14:textId="3E4669BC" w:rsidR="00D4074B" w:rsidRDefault="00D4074B" w:rsidP="00E275D8">
      <w:pPr>
        <w:pStyle w:val="BodyText"/>
      </w:pPr>
    </w:p>
    <w:p w14:paraId="45A1FAB1" w14:textId="77777777" w:rsidR="00D4074B" w:rsidRDefault="00D4074B" w:rsidP="00E275D8">
      <w:pPr>
        <w:pStyle w:val="BodyText"/>
        <w:sectPr w:rsidR="00D4074B" w:rsidSect="00D4074B">
          <w:headerReference w:type="default" r:id="rId27"/>
          <w:pgSz w:w="12240" w:h="15840" w:code="1"/>
          <w:pgMar w:top="1584" w:right="1440" w:bottom="1440" w:left="1440" w:header="720" w:footer="720" w:gutter="0"/>
          <w:cols w:space="720"/>
          <w:formProt w:val="0"/>
          <w:docGrid w:linePitch="360"/>
        </w:sectPr>
      </w:pPr>
    </w:p>
    <w:p w14:paraId="2E531748" w14:textId="5FED568F" w:rsidR="00D4074B" w:rsidRDefault="00155646" w:rsidP="00E275D8">
      <w:pPr>
        <w:pStyle w:val="BodyText"/>
      </w:pPr>
      <w:r w:rsidRPr="00971505">
        <w:rPr>
          <w:noProof/>
        </w:rPr>
        <w:drawing>
          <wp:anchor distT="0" distB="0" distL="114300" distR="114300" simplePos="0" relativeHeight="251667968" behindDoc="0" locked="0" layoutInCell="1" allowOverlap="1" wp14:anchorId="48CA76CC" wp14:editId="6E12B84C">
            <wp:simplePos x="0" y="0"/>
            <wp:positionH relativeFrom="column">
              <wp:posOffset>-552091</wp:posOffset>
            </wp:positionH>
            <wp:positionV relativeFrom="paragraph">
              <wp:posOffset>331254</wp:posOffset>
            </wp:positionV>
            <wp:extent cx="7223760" cy="5709365"/>
            <wp:effectExtent l="0" t="0" r="0" b="5715"/>
            <wp:wrapThrough wrapText="bothSides">
              <wp:wrapPolygon edited="0">
                <wp:start x="0" y="0"/>
                <wp:lineTo x="0" y="21550"/>
                <wp:lineTo x="21532" y="21550"/>
                <wp:lineTo x="2153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23760" cy="5709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2C6AD" w14:textId="08848BA1" w:rsidR="00D4074B" w:rsidRDefault="00D4074B" w:rsidP="00E275D8">
      <w:pPr>
        <w:pStyle w:val="BodyText"/>
      </w:pPr>
    </w:p>
    <w:p w14:paraId="0A0F1599" w14:textId="46B2E505" w:rsidR="00D4074B" w:rsidRDefault="00D4074B" w:rsidP="00E275D8">
      <w:pPr>
        <w:pStyle w:val="BodyText"/>
      </w:pPr>
    </w:p>
    <w:p w14:paraId="5808DE10" w14:textId="77777777" w:rsidR="00D4074B" w:rsidRDefault="00D4074B" w:rsidP="00E275D8">
      <w:pPr>
        <w:pStyle w:val="BodyText"/>
        <w:sectPr w:rsidR="00D4074B" w:rsidSect="00D4074B">
          <w:headerReference w:type="default" r:id="rId29"/>
          <w:pgSz w:w="12240" w:h="15840" w:code="1"/>
          <w:pgMar w:top="1584" w:right="1440" w:bottom="1440" w:left="1440" w:header="720" w:footer="720" w:gutter="0"/>
          <w:cols w:space="720"/>
          <w:formProt w:val="0"/>
          <w:docGrid w:linePitch="360"/>
        </w:sectPr>
      </w:pPr>
    </w:p>
    <w:p w14:paraId="623F587C" w14:textId="77777777" w:rsidR="00E06484" w:rsidRDefault="00E06484" w:rsidP="00E275D8">
      <w:pPr>
        <w:pStyle w:val="BodyText"/>
      </w:pPr>
    </w:p>
    <w:tbl>
      <w:tblPr>
        <w:tblW w:w="10960" w:type="dxa"/>
        <w:jc w:val="center"/>
        <w:tblLook w:val="04A0" w:firstRow="1" w:lastRow="0" w:firstColumn="1" w:lastColumn="0" w:noHBand="0" w:noVBand="1"/>
      </w:tblPr>
      <w:tblGrid>
        <w:gridCol w:w="5030"/>
        <w:gridCol w:w="1750"/>
        <w:gridCol w:w="2040"/>
        <w:gridCol w:w="2140"/>
      </w:tblGrid>
      <w:tr w:rsidR="000B22B5" w14:paraId="31F79A76" w14:textId="77777777" w:rsidTr="00BD3DB7">
        <w:trPr>
          <w:trHeight w:val="300"/>
          <w:jc w:val="center"/>
        </w:trPr>
        <w:tc>
          <w:tcPr>
            <w:tcW w:w="5030" w:type="dxa"/>
            <w:tcBorders>
              <w:top w:val="single" w:sz="8" w:space="0" w:color="auto"/>
              <w:left w:val="single" w:sz="8" w:space="0" w:color="auto"/>
              <w:bottom w:val="nil"/>
              <w:right w:val="nil"/>
            </w:tcBorders>
            <w:shd w:val="clear" w:color="auto" w:fill="auto"/>
            <w:noWrap/>
            <w:vAlign w:val="center"/>
            <w:hideMark/>
          </w:tcPr>
          <w:p w14:paraId="70F2F35B" w14:textId="77777777" w:rsidR="000B22B5" w:rsidRDefault="000B22B5" w:rsidP="00BD3DB7">
            <w:pPr>
              <w:rPr>
                <w:b/>
                <w:bCs/>
                <w:color w:val="000000"/>
                <w:sz w:val="20"/>
                <w:szCs w:val="20"/>
              </w:rPr>
            </w:pPr>
            <w:r>
              <w:rPr>
                <w:b/>
                <w:bCs/>
                <w:color w:val="000000"/>
                <w:sz w:val="20"/>
                <w:szCs w:val="20"/>
              </w:rPr>
              <w:t>GULFSTREAM UTILITY, LLC.</w:t>
            </w:r>
          </w:p>
        </w:tc>
        <w:tc>
          <w:tcPr>
            <w:tcW w:w="1750" w:type="dxa"/>
            <w:tcBorders>
              <w:top w:val="single" w:sz="8" w:space="0" w:color="auto"/>
              <w:left w:val="nil"/>
              <w:bottom w:val="nil"/>
              <w:right w:val="nil"/>
            </w:tcBorders>
            <w:shd w:val="clear" w:color="auto" w:fill="auto"/>
            <w:noWrap/>
            <w:vAlign w:val="center"/>
            <w:hideMark/>
          </w:tcPr>
          <w:p w14:paraId="336ED62E" w14:textId="77777777" w:rsidR="000B22B5" w:rsidRDefault="000B22B5" w:rsidP="00BD3DB7">
            <w:pPr>
              <w:rPr>
                <w:b/>
                <w:bCs/>
                <w:color w:val="000000"/>
                <w:sz w:val="20"/>
                <w:szCs w:val="20"/>
              </w:rPr>
            </w:pPr>
            <w:r>
              <w:rPr>
                <w:b/>
                <w:bCs/>
                <w:color w:val="000000"/>
                <w:sz w:val="20"/>
                <w:szCs w:val="20"/>
              </w:rPr>
              <w:t> </w:t>
            </w:r>
          </w:p>
        </w:tc>
        <w:tc>
          <w:tcPr>
            <w:tcW w:w="2040" w:type="dxa"/>
            <w:tcBorders>
              <w:top w:val="single" w:sz="8" w:space="0" w:color="auto"/>
              <w:left w:val="nil"/>
              <w:bottom w:val="nil"/>
              <w:right w:val="nil"/>
            </w:tcBorders>
            <w:shd w:val="clear" w:color="auto" w:fill="auto"/>
            <w:noWrap/>
            <w:vAlign w:val="center"/>
            <w:hideMark/>
          </w:tcPr>
          <w:p w14:paraId="3E1B80BF" w14:textId="77777777" w:rsidR="000B22B5" w:rsidRDefault="000B22B5" w:rsidP="00BD3DB7">
            <w:pPr>
              <w:rPr>
                <w:b/>
                <w:bCs/>
                <w:color w:val="000000"/>
                <w:sz w:val="20"/>
                <w:szCs w:val="20"/>
              </w:rPr>
            </w:pPr>
            <w:r>
              <w:rPr>
                <w:b/>
                <w:bCs/>
                <w:color w:val="000000"/>
                <w:sz w:val="20"/>
                <w:szCs w:val="20"/>
              </w:rPr>
              <w:t> </w:t>
            </w:r>
          </w:p>
        </w:tc>
        <w:tc>
          <w:tcPr>
            <w:tcW w:w="2140" w:type="dxa"/>
            <w:tcBorders>
              <w:top w:val="single" w:sz="8" w:space="0" w:color="auto"/>
              <w:left w:val="nil"/>
              <w:bottom w:val="nil"/>
              <w:right w:val="single" w:sz="8" w:space="0" w:color="auto"/>
            </w:tcBorders>
            <w:shd w:val="clear" w:color="auto" w:fill="auto"/>
            <w:noWrap/>
            <w:vAlign w:val="center"/>
            <w:hideMark/>
          </w:tcPr>
          <w:p w14:paraId="4026F7A7" w14:textId="64DF6513" w:rsidR="000B22B5" w:rsidRDefault="000B22B5" w:rsidP="000B22B5">
            <w:pPr>
              <w:jc w:val="right"/>
              <w:rPr>
                <w:b/>
                <w:bCs/>
                <w:color w:val="000000"/>
                <w:sz w:val="20"/>
                <w:szCs w:val="20"/>
              </w:rPr>
            </w:pPr>
            <w:r>
              <w:rPr>
                <w:b/>
                <w:bCs/>
                <w:color w:val="000000"/>
                <w:sz w:val="20"/>
                <w:szCs w:val="20"/>
              </w:rPr>
              <w:t>SCHEDULE NO. 4</w:t>
            </w:r>
          </w:p>
        </w:tc>
      </w:tr>
      <w:tr w:rsidR="000B22B5" w14:paraId="0F7FE1AC"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02ED5DB7" w14:textId="77777777" w:rsidR="000B22B5" w:rsidRDefault="000B22B5" w:rsidP="00BD3DB7">
            <w:pPr>
              <w:rPr>
                <w:b/>
                <w:bCs/>
                <w:color w:val="000000"/>
                <w:sz w:val="20"/>
                <w:szCs w:val="20"/>
              </w:rPr>
            </w:pPr>
            <w:r>
              <w:rPr>
                <w:b/>
                <w:bCs/>
                <w:color w:val="000000"/>
                <w:sz w:val="20"/>
                <w:szCs w:val="20"/>
              </w:rPr>
              <w:t>TEST YEAR ENDED DECEMBER 31, 2024</w:t>
            </w:r>
          </w:p>
        </w:tc>
        <w:tc>
          <w:tcPr>
            <w:tcW w:w="1750" w:type="dxa"/>
            <w:tcBorders>
              <w:top w:val="nil"/>
              <w:left w:val="nil"/>
              <w:bottom w:val="nil"/>
              <w:right w:val="nil"/>
            </w:tcBorders>
            <w:shd w:val="clear" w:color="auto" w:fill="auto"/>
            <w:noWrap/>
            <w:vAlign w:val="bottom"/>
            <w:hideMark/>
          </w:tcPr>
          <w:p w14:paraId="6730D579" w14:textId="77777777" w:rsidR="000B22B5" w:rsidRDefault="000B22B5" w:rsidP="00BD3DB7">
            <w:pPr>
              <w:rPr>
                <w:b/>
                <w:bCs/>
                <w:color w:val="000000"/>
                <w:sz w:val="20"/>
                <w:szCs w:val="20"/>
              </w:rPr>
            </w:pPr>
          </w:p>
        </w:tc>
        <w:tc>
          <w:tcPr>
            <w:tcW w:w="4180" w:type="dxa"/>
            <w:gridSpan w:val="2"/>
            <w:tcBorders>
              <w:top w:val="nil"/>
              <w:left w:val="nil"/>
              <w:bottom w:val="nil"/>
              <w:right w:val="single" w:sz="8" w:space="0" w:color="000000"/>
            </w:tcBorders>
            <w:shd w:val="clear" w:color="auto" w:fill="auto"/>
            <w:noWrap/>
            <w:vAlign w:val="center"/>
            <w:hideMark/>
          </w:tcPr>
          <w:p w14:paraId="577A724D" w14:textId="77777777" w:rsidR="000B22B5" w:rsidRDefault="000B22B5" w:rsidP="00BD3DB7">
            <w:pPr>
              <w:jc w:val="right"/>
              <w:rPr>
                <w:b/>
                <w:bCs/>
                <w:color w:val="000000"/>
                <w:sz w:val="20"/>
                <w:szCs w:val="20"/>
              </w:rPr>
            </w:pPr>
            <w:r>
              <w:rPr>
                <w:b/>
                <w:bCs/>
                <w:color w:val="000000"/>
                <w:sz w:val="20"/>
                <w:szCs w:val="20"/>
              </w:rPr>
              <w:t>DOCKET NO. 20250084-SU</w:t>
            </w:r>
          </w:p>
        </w:tc>
      </w:tr>
      <w:tr w:rsidR="000B22B5" w14:paraId="370D80C6" w14:textId="77777777" w:rsidTr="00BD3DB7">
        <w:trPr>
          <w:trHeight w:val="315"/>
          <w:jc w:val="center"/>
        </w:trPr>
        <w:tc>
          <w:tcPr>
            <w:tcW w:w="5030" w:type="dxa"/>
            <w:tcBorders>
              <w:top w:val="nil"/>
              <w:left w:val="single" w:sz="8" w:space="0" w:color="auto"/>
              <w:bottom w:val="single" w:sz="8" w:space="0" w:color="000000"/>
              <w:right w:val="nil"/>
            </w:tcBorders>
            <w:shd w:val="clear" w:color="auto" w:fill="auto"/>
            <w:noWrap/>
            <w:vAlign w:val="center"/>
            <w:hideMark/>
          </w:tcPr>
          <w:p w14:paraId="380133F7" w14:textId="77777777" w:rsidR="000B22B5" w:rsidRDefault="000B22B5" w:rsidP="00BD3DB7">
            <w:pPr>
              <w:rPr>
                <w:b/>
                <w:bCs/>
                <w:color w:val="000000"/>
                <w:sz w:val="20"/>
                <w:szCs w:val="20"/>
              </w:rPr>
            </w:pPr>
            <w:r>
              <w:rPr>
                <w:b/>
                <w:bCs/>
                <w:color w:val="000000"/>
                <w:sz w:val="20"/>
                <w:szCs w:val="20"/>
              </w:rPr>
              <w:t>MONTHLY WASTEWATER RATES</w:t>
            </w:r>
          </w:p>
        </w:tc>
        <w:tc>
          <w:tcPr>
            <w:tcW w:w="1750" w:type="dxa"/>
            <w:tcBorders>
              <w:top w:val="nil"/>
              <w:left w:val="nil"/>
              <w:bottom w:val="single" w:sz="8" w:space="0" w:color="000000"/>
              <w:right w:val="nil"/>
            </w:tcBorders>
            <w:shd w:val="clear" w:color="auto" w:fill="auto"/>
            <w:noWrap/>
            <w:vAlign w:val="bottom"/>
            <w:hideMark/>
          </w:tcPr>
          <w:p w14:paraId="21335237" w14:textId="77777777" w:rsidR="000B22B5" w:rsidRDefault="000B22B5" w:rsidP="00BD3DB7">
            <w:pPr>
              <w:rPr>
                <w:sz w:val="20"/>
                <w:szCs w:val="20"/>
              </w:rPr>
            </w:pPr>
            <w:r>
              <w:rPr>
                <w:sz w:val="20"/>
                <w:szCs w:val="20"/>
              </w:rPr>
              <w:t> </w:t>
            </w:r>
          </w:p>
        </w:tc>
        <w:tc>
          <w:tcPr>
            <w:tcW w:w="2040" w:type="dxa"/>
            <w:tcBorders>
              <w:top w:val="nil"/>
              <w:left w:val="nil"/>
              <w:bottom w:val="single" w:sz="8" w:space="0" w:color="000000"/>
              <w:right w:val="nil"/>
            </w:tcBorders>
            <w:shd w:val="clear" w:color="auto" w:fill="auto"/>
            <w:noWrap/>
            <w:vAlign w:val="bottom"/>
            <w:hideMark/>
          </w:tcPr>
          <w:p w14:paraId="48E5C665" w14:textId="77777777" w:rsidR="000B22B5" w:rsidRDefault="000B22B5" w:rsidP="00BD3DB7">
            <w:pPr>
              <w:rPr>
                <w:sz w:val="20"/>
                <w:szCs w:val="20"/>
              </w:rPr>
            </w:pPr>
            <w:r>
              <w:rPr>
                <w:sz w:val="20"/>
                <w:szCs w:val="20"/>
              </w:rPr>
              <w:t> </w:t>
            </w:r>
          </w:p>
        </w:tc>
        <w:tc>
          <w:tcPr>
            <w:tcW w:w="2140" w:type="dxa"/>
            <w:tcBorders>
              <w:top w:val="nil"/>
              <w:left w:val="nil"/>
              <w:bottom w:val="single" w:sz="8" w:space="0" w:color="000000"/>
              <w:right w:val="single" w:sz="8" w:space="0" w:color="auto"/>
            </w:tcBorders>
            <w:shd w:val="clear" w:color="auto" w:fill="auto"/>
            <w:noWrap/>
            <w:vAlign w:val="center"/>
            <w:hideMark/>
          </w:tcPr>
          <w:p w14:paraId="31F8F64C" w14:textId="77777777" w:rsidR="000B22B5" w:rsidRDefault="000B22B5" w:rsidP="00BD3DB7">
            <w:pPr>
              <w:rPr>
                <w:b/>
                <w:bCs/>
                <w:sz w:val="20"/>
                <w:szCs w:val="20"/>
              </w:rPr>
            </w:pPr>
            <w:r>
              <w:rPr>
                <w:b/>
                <w:bCs/>
                <w:sz w:val="20"/>
                <w:szCs w:val="20"/>
              </w:rPr>
              <w:t> </w:t>
            </w:r>
          </w:p>
        </w:tc>
      </w:tr>
      <w:tr w:rsidR="000B22B5" w14:paraId="001247DB" w14:textId="77777777" w:rsidTr="00BD3DB7">
        <w:trPr>
          <w:trHeight w:val="300"/>
          <w:jc w:val="center"/>
        </w:trPr>
        <w:tc>
          <w:tcPr>
            <w:tcW w:w="5030" w:type="dxa"/>
            <w:tcBorders>
              <w:top w:val="nil"/>
              <w:left w:val="single" w:sz="8" w:space="0" w:color="auto"/>
              <w:bottom w:val="nil"/>
              <w:right w:val="nil"/>
            </w:tcBorders>
            <w:shd w:val="clear" w:color="000000" w:fill="FFFFFF"/>
            <w:noWrap/>
            <w:vAlign w:val="center"/>
            <w:hideMark/>
          </w:tcPr>
          <w:p w14:paraId="1C120A7E" w14:textId="77777777" w:rsidR="000B22B5" w:rsidRDefault="000B22B5" w:rsidP="00BD3DB7">
            <w:pPr>
              <w:rPr>
                <w:b/>
                <w:bCs/>
                <w:sz w:val="20"/>
                <w:szCs w:val="20"/>
              </w:rPr>
            </w:pPr>
            <w:r>
              <w:rPr>
                <w:b/>
                <w:bCs/>
                <w:sz w:val="20"/>
                <w:szCs w:val="20"/>
              </w:rPr>
              <w:t> </w:t>
            </w:r>
          </w:p>
        </w:tc>
        <w:tc>
          <w:tcPr>
            <w:tcW w:w="1750" w:type="dxa"/>
            <w:tcBorders>
              <w:top w:val="nil"/>
              <w:left w:val="nil"/>
              <w:bottom w:val="nil"/>
              <w:right w:val="nil"/>
            </w:tcBorders>
            <w:shd w:val="clear" w:color="000000" w:fill="FFFFFF"/>
            <w:noWrap/>
            <w:vAlign w:val="center"/>
            <w:hideMark/>
          </w:tcPr>
          <w:p w14:paraId="7B294016" w14:textId="77777777" w:rsidR="000B22B5" w:rsidRDefault="000B22B5" w:rsidP="00BD3DB7">
            <w:pPr>
              <w:jc w:val="center"/>
              <w:rPr>
                <w:b/>
                <w:bCs/>
                <w:color w:val="000000"/>
                <w:sz w:val="20"/>
                <w:szCs w:val="20"/>
              </w:rPr>
            </w:pPr>
            <w:r>
              <w:rPr>
                <w:b/>
                <w:bCs/>
                <w:color w:val="000000"/>
                <w:sz w:val="20"/>
                <w:szCs w:val="20"/>
              </w:rPr>
              <w:t>UTILITY</w:t>
            </w:r>
          </w:p>
        </w:tc>
        <w:tc>
          <w:tcPr>
            <w:tcW w:w="2040" w:type="dxa"/>
            <w:tcBorders>
              <w:top w:val="nil"/>
              <w:left w:val="nil"/>
              <w:bottom w:val="nil"/>
              <w:right w:val="nil"/>
            </w:tcBorders>
            <w:shd w:val="clear" w:color="000000" w:fill="FFFFFF"/>
            <w:noWrap/>
            <w:vAlign w:val="center"/>
            <w:hideMark/>
          </w:tcPr>
          <w:p w14:paraId="788C94A9" w14:textId="77777777" w:rsidR="000B22B5" w:rsidRDefault="000B22B5" w:rsidP="00BD3DB7">
            <w:pPr>
              <w:jc w:val="center"/>
              <w:rPr>
                <w:b/>
                <w:bCs/>
                <w:color w:val="000000"/>
                <w:sz w:val="20"/>
                <w:szCs w:val="20"/>
              </w:rPr>
            </w:pPr>
            <w:r>
              <w:rPr>
                <w:b/>
                <w:bCs/>
                <w:color w:val="000000"/>
                <w:sz w:val="20"/>
                <w:szCs w:val="20"/>
              </w:rPr>
              <w:t>STAFF</w:t>
            </w:r>
          </w:p>
        </w:tc>
        <w:tc>
          <w:tcPr>
            <w:tcW w:w="2140" w:type="dxa"/>
            <w:tcBorders>
              <w:top w:val="nil"/>
              <w:left w:val="nil"/>
              <w:bottom w:val="nil"/>
              <w:right w:val="single" w:sz="8" w:space="0" w:color="auto"/>
            </w:tcBorders>
            <w:shd w:val="clear" w:color="000000" w:fill="FFFFFF"/>
            <w:noWrap/>
            <w:vAlign w:val="center"/>
            <w:hideMark/>
          </w:tcPr>
          <w:p w14:paraId="442FFD39" w14:textId="77777777" w:rsidR="000B22B5" w:rsidRDefault="000B22B5" w:rsidP="00BD3DB7">
            <w:pPr>
              <w:jc w:val="center"/>
              <w:rPr>
                <w:b/>
                <w:bCs/>
                <w:color w:val="000000"/>
                <w:sz w:val="20"/>
                <w:szCs w:val="20"/>
              </w:rPr>
            </w:pPr>
            <w:r>
              <w:rPr>
                <w:b/>
                <w:bCs/>
                <w:color w:val="000000"/>
                <w:sz w:val="20"/>
                <w:szCs w:val="20"/>
              </w:rPr>
              <w:t>4 YEAR</w:t>
            </w:r>
          </w:p>
        </w:tc>
      </w:tr>
      <w:tr w:rsidR="000B22B5" w14:paraId="081BFAD4" w14:textId="77777777" w:rsidTr="00BD3DB7">
        <w:trPr>
          <w:trHeight w:val="300"/>
          <w:jc w:val="center"/>
        </w:trPr>
        <w:tc>
          <w:tcPr>
            <w:tcW w:w="5030" w:type="dxa"/>
            <w:tcBorders>
              <w:top w:val="nil"/>
              <w:left w:val="single" w:sz="8" w:space="0" w:color="auto"/>
              <w:bottom w:val="nil"/>
              <w:right w:val="nil"/>
            </w:tcBorders>
            <w:shd w:val="clear" w:color="000000" w:fill="FFFFFF"/>
            <w:noWrap/>
            <w:vAlign w:val="bottom"/>
            <w:hideMark/>
          </w:tcPr>
          <w:p w14:paraId="585B4F5C" w14:textId="77777777" w:rsidR="000B22B5" w:rsidRDefault="000B22B5" w:rsidP="00BD3DB7">
            <w:pPr>
              <w:rPr>
                <w:sz w:val="20"/>
                <w:szCs w:val="20"/>
              </w:rPr>
            </w:pPr>
            <w:r>
              <w:rPr>
                <w:sz w:val="20"/>
                <w:szCs w:val="20"/>
              </w:rPr>
              <w:t> </w:t>
            </w:r>
          </w:p>
        </w:tc>
        <w:tc>
          <w:tcPr>
            <w:tcW w:w="1750" w:type="dxa"/>
            <w:tcBorders>
              <w:top w:val="nil"/>
              <w:left w:val="nil"/>
              <w:bottom w:val="nil"/>
              <w:right w:val="nil"/>
            </w:tcBorders>
            <w:shd w:val="clear" w:color="000000" w:fill="FFFFFF"/>
            <w:noWrap/>
            <w:vAlign w:val="center"/>
            <w:hideMark/>
          </w:tcPr>
          <w:p w14:paraId="42005C1B" w14:textId="77777777" w:rsidR="000B22B5" w:rsidRDefault="000B22B5" w:rsidP="00BD3DB7">
            <w:pPr>
              <w:jc w:val="center"/>
              <w:rPr>
                <w:b/>
                <w:bCs/>
                <w:color w:val="000000"/>
                <w:sz w:val="20"/>
                <w:szCs w:val="20"/>
              </w:rPr>
            </w:pPr>
            <w:r>
              <w:rPr>
                <w:b/>
                <w:bCs/>
                <w:color w:val="000000"/>
                <w:sz w:val="20"/>
                <w:szCs w:val="20"/>
              </w:rPr>
              <w:t>CURRENT</w:t>
            </w:r>
          </w:p>
        </w:tc>
        <w:tc>
          <w:tcPr>
            <w:tcW w:w="2040" w:type="dxa"/>
            <w:tcBorders>
              <w:top w:val="nil"/>
              <w:left w:val="nil"/>
              <w:bottom w:val="nil"/>
              <w:right w:val="nil"/>
            </w:tcBorders>
            <w:shd w:val="clear" w:color="000000" w:fill="FFFFFF"/>
            <w:noWrap/>
            <w:vAlign w:val="center"/>
            <w:hideMark/>
          </w:tcPr>
          <w:p w14:paraId="22DA5D90" w14:textId="77777777" w:rsidR="000B22B5" w:rsidRDefault="000B22B5" w:rsidP="00BD3DB7">
            <w:pPr>
              <w:jc w:val="center"/>
              <w:rPr>
                <w:b/>
                <w:bCs/>
                <w:color w:val="000000"/>
                <w:sz w:val="20"/>
                <w:szCs w:val="20"/>
              </w:rPr>
            </w:pPr>
            <w:r>
              <w:rPr>
                <w:b/>
                <w:bCs/>
                <w:color w:val="000000"/>
                <w:sz w:val="20"/>
                <w:szCs w:val="20"/>
              </w:rPr>
              <w:t>RECOMMENDED</w:t>
            </w:r>
          </w:p>
        </w:tc>
        <w:tc>
          <w:tcPr>
            <w:tcW w:w="2140" w:type="dxa"/>
            <w:tcBorders>
              <w:top w:val="nil"/>
              <w:left w:val="nil"/>
              <w:bottom w:val="nil"/>
              <w:right w:val="single" w:sz="8" w:space="0" w:color="auto"/>
            </w:tcBorders>
            <w:shd w:val="clear" w:color="000000" w:fill="FFFFFF"/>
            <w:noWrap/>
            <w:vAlign w:val="center"/>
            <w:hideMark/>
          </w:tcPr>
          <w:p w14:paraId="2E442A6A" w14:textId="77777777" w:rsidR="000B22B5" w:rsidRDefault="000B22B5" w:rsidP="00BD3DB7">
            <w:pPr>
              <w:jc w:val="center"/>
              <w:rPr>
                <w:b/>
                <w:bCs/>
                <w:color w:val="000000"/>
                <w:sz w:val="20"/>
                <w:szCs w:val="20"/>
              </w:rPr>
            </w:pPr>
            <w:r>
              <w:rPr>
                <w:b/>
                <w:bCs/>
                <w:color w:val="000000"/>
                <w:sz w:val="20"/>
                <w:szCs w:val="20"/>
              </w:rPr>
              <w:t>RATE</w:t>
            </w:r>
          </w:p>
        </w:tc>
      </w:tr>
      <w:tr w:rsidR="000B22B5" w14:paraId="1CC780CD" w14:textId="77777777" w:rsidTr="00BD3DB7">
        <w:trPr>
          <w:trHeight w:val="330"/>
          <w:jc w:val="center"/>
        </w:trPr>
        <w:tc>
          <w:tcPr>
            <w:tcW w:w="5030" w:type="dxa"/>
            <w:tcBorders>
              <w:top w:val="nil"/>
              <w:left w:val="single" w:sz="8" w:space="0" w:color="auto"/>
              <w:bottom w:val="nil"/>
              <w:right w:val="nil"/>
            </w:tcBorders>
            <w:shd w:val="clear" w:color="000000" w:fill="FFFFFF"/>
            <w:noWrap/>
            <w:vAlign w:val="bottom"/>
            <w:hideMark/>
          </w:tcPr>
          <w:p w14:paraId="34725415" w14:textId="77777777" w:rsidR="000B22B5" w:rsidRDefault="000B22B5" w:rsidP="00BD3DB7">
            <w:pPr>
              <w:rPr>
                <w:sz w:val="20"/>
                <w:szCs w:val="20"/>
              </w:rPr>
            </w:pPr>
            <w:r>
              <w:rPr>
                <w:sz w:val="20"/>
                <w:szCs w:val="20"/>
              </w:rPr>
              <w:t> </w:t>
            </w:r>
          </w:p>
        </w:tc>
        <w:tc>
          <w:tcPr>
            <w:tcW w:w="1750" w:type="dxa"/>
            <w:tcBorders>
              <w:top w:val="nil"/>
              <w:left w:val="nil"/>
              <w:bottom w:val="nil"/>
              <w:right w:val="nil"/>
            </w:tcBorders>
            <w:shd w:val="clear" w:color="000000" w:fill="FFFFFF"/>
            <w:noWrap/>
            <w:vAlign w:val="center"/>
            <w:hideMark/>
          </w:tcPr>
          <w:p w14:paraId="211084E5" w14:textId="77777777" w:rsidR="000B22B5" w:rsidRDefault="000B22B5" w:rsidP="00BD3DB7">
            <w:pPr>
              <w:jc w:val="center"/>
              <w:rPr>
                <w:b/>
                <w:bCs/>
                <w:color w:val="000000"/>
                <w:sz w:val="20"/>
                <w:szCs w:val="20"/>
              </w:rPr>
            </w:pPr>
            <w:r>
              <w:rPr>
                <w:b/>
                <w:bCs/>
                <w:color w:val="000000"/>
                <w:sz w:val="20"/>
                <w:szCs w:val="20"/>
              </w:rPr>
              <w:t xml:space="preserve">RATES </w:t>
            </w:r>
          </w:p>
        </w:tc>
        <w:tc>
          <w:tcPr>
            <w:tcW w:w="2040" w:type="dxa"/>
            <w:tcBorders>
              <w:top w:val="nil"/>
              <w:left w:val="nil"/>
              <w:bottom w:val="nil"/>
              <w:right w:val="nil"/>
            </w:tcBorders>
            <w:shd w:val="clear" w:color="000000" w:fill="FFFFFF"/>
            <w:noWrap/>
            <w:vAlign w:val="center"/>
            <w:hideMark/>
          </w:tcPr>
          <w:p w14:paraId="11C701D0" w14:textId="77777777" w:rsidR="000B22B5" w:rsidRDefault="000B22B5" w:rsidP="00BD3DB7">
            <w:pPr>
              <w:jc w:val="center"/>
              <w:rPr>
                <w:b/>
                <w:bCs/>
                <w:color w:val="000000"/>
                <w:sz w:val="20"/>
                <w:szCs w:val="20"/>
              </w:rPr>
            </w:pPr>
            <w:r>
              <w:rPr>
                <w:b/>
                <w:bCs/>
                <w:color w:val="000000"/>
                <w:sz w:val="20"/>
                <w:szCs w:val="20"/>
              </w:rPr>
              <w:t>RATES</w:t>
            </w:r>
          </w:p>
        </w:tc>
        <w:tc>
          <w:tcPr>
            <w:tcW w:w="2140" w:type="dxa"/>
            <w:tcBorders>
              <w:top w:val="nil"/>
              <w:left w:val="nil"/>
              <w:bottom w:val="nil"/>
              <w:right w:val="single" w:sz="8" w:space="0" w:color="auto"/>
            </w:tcBorders>
            <w:shd w:val="clear" w:color="000000" w:fill="FFFFFF"/>
            <w:noWrap/>
            <w:vAlign w:val="center"/>
            <w:hideMark/>
          </w:tcPr>
          <w:p w14:paraId="1A9D3A05" w14:textId="77777777" w:rsidR="000B22B5" w:rsidRDefault="000B22B5" w:rsidP="00BD3DB7">
            <w:pPr>
              <w:jc w:val="center"/>
              <w:rPr>
                <w:b/>
                <w:bCs/>
                <w:color w:val="000000"/>
                <w:sz w:val="20"/>
                <w:szCs w:val="20"/>
              </w:rPr>
            </w:pPr>
            <w:r>
              <w:rPr>
                <w:b/>
                <w:bCs/>
                <w:color w:val="000000"/>
                <w:sz w:val="20"/>
                <w:szCs w:val="20"/>
              </w:rPr>
              <w:t>REDUCTION</w:t>
            </w:r>
          </w:p>
        </w:tc>
      </w:tr>
      <w:tr w:rsidR="000B22B5" w14:paraId="33F7C10E" w14:textId="77777777" w:rsidTr="00BD3DB7">
        <w:trPr>
          <w:trHeight w:val="315"/>
          <w:jc w:val="center"/>
        </w:trPr>
        <w:tc>
          <w:tcPr>
            <w:tcW w:w="5030" w:type="dxa"/>
            <w:tcBorders>
              <w:top w:val="single" w:sz="8" w:space="0" w:color="auto"/>
              <w:left w:val="single" w:sz="8" w:space="0" w:color="auto"/>
              <w:bottom w:val="nil"/>
              <w:right w:val="nil"/>
            </w:tcBorders>
            <w:shd w:val="clear" w:color="auto" w:fill="auto"/>
            <w:noWrap/>
            <w:vAlign w:val="center"/>
            <w:hideMark/>
          </w:tcPr>
          <w:p w14:paraId="2CA4E7AE" w14:textId="77777777" w:rsidR="000B22B5" w:rsidRDefault="000B22B5" w:rsidP="00BD3DB7">
            <w:pPr>
              <w:rPr>
                <w:b/>
                <w:bCs/>
                <w:color w:val="000000"/>
                <w:sz w:val="20"/>
                <w:szCs w:val="20"/>
                <w:u w:val="single"/>
              </w:rPr>
            </w:pPr>
            <w:r>
              <w:rPr>
                <w:b/>
                <w:bCs/>
                <w:color w:val="000000"/>
                <w:sz w:val="20"/>
                <w:szCs w:val="20"/>
                <w:u w:val="single"/>
              </w:rPr>
              <w:t>Residential  Service</w:t>
            </w:r>
          </w:p>
        </w:tc>
        <w:tc>
          <w:tcPr>
            <w:tcW w:w="1750" w:type="dxa"/>
            <w:tcBorders>
              <w:top w:val="single" w:sz="8" w:space="0" w:color="auto"/>
              <w:left w:val="nil"/>
              <w:bottom w:val="nil"/>
              <w:right w:val="nil"/>
            </w:tcBorders>
            <w:shd w:val="clear" w:color="auto" w:fill="auto"/>
            <w:noWrap/>
            <w:vAlign w:val="bottom"/>
            <w:hideMark/>
          </w:tcPr>
          <w:p w14:paraId="4D58C252" w14:textId="77777777" w:rsidR="000B22B5" w:rsidRDefault="000B22B5" w:rsidP="00BD3DB7">
            <w:pPr>
              <w:rPr>
                <w:sz w:val="20"/>
                <w:szCs w:val="20"/>
              </w:rPr>
            </w:pPr>
            <w:r>
              <w:rPr>
                <w:sz w:val="20"/>
                <w:szCs w:val="20"/>
              </w:rPr>
              <w:t> </w:t>
            </w:r>
          </w:p>
        </w:tc>
        <w:tc>
          <w:tcPr>
            <w:tcW w:w="2040" w:type="dxa"/>
            <w:tcBorders>
              <w:top w:val="single" w:sz="8" w:space="0" w:color="auto"/>
              <w:left w:val="nil"/>
              <w:bottom w:val="nil"/>
              <w:right w:val="nil"/>
            </w:tcBorders>
            <w:shd w:val="clear" w:color="auto" w:fill="auto"/>
            <w:noWrap/>
            <w:vAlign w:val="bottom"/>
            <w:hideMark/>
          </w:tcPr>
          <w:p w14:paraId="6123A1E6" w14:textId="77777777" w:rsidR="000B22B5" w:rsidRDefault="000B22B5" w:rsidP="00BD3DB7">
            <w:pPr>
              <w:rPr>
                <w:sz w:val="20"/>
                <w:szCs w:val="20"/>
              </w:rPr>
            </w:pPr>
            <w:r>
              <w:rPr>
                <w:sz w:val="20"/>
                <w:szCs w:val="20"/>
              </w:rPr>
              <w:t> </w:t>
            </w:r>
          </w:p>
        </w:tc>
        <w:tc>
          <w:tcPr>
            <w:tcW w:w="2140" w:type="dxa"/>
            <w:tcBorders>
              <w:top w:val="single" w:sz="8" w:space="0" w:color="auto"/>
              <w:left w:val="nil"/>
              <w:bottom w:val="nil"/>
              <w:right w:val="single" w:sz="8" w:space="0" w:color="auto"/>
            </w:tcBorders>
            <w:shd w:val="clear" w:color="auto" w:fill="auto"/>
            <w:noWrap/>
            <w:vAlign w:val="center"/>
            <w:hideMark/>
          </w:tcPr>
          <w:p w14:paraId="2F06D3CA" w14:textId="77777777" w:rsidR="000B22B5" w:rsidRDefault="000B22B5" w:rsidP="00BD3DB7">
            <w:pPr>
              <w:jc w:val="right"/>
              <w:rPr>
                <w:color w:val="000000"/>
                <w:sz w:val="20"/>
                <w:szCs w:val="20"/>
              </w:rPr>
            </w:pPr>
            <w:r>
              <w:rPr>
                <w:color w:val="000000"/>
                <w:sz w:val="20"/>
                <w:szCs w:val="20"/>
              </w:rPr>
              <w:t> </w:t>
            </w:r>
          </w:p>
        </w:tc>
      </w:tr>
      <w:tr w:rsidR="000B22B5" w14:paraId="1F7E4B3B" w14:textId="77777777" w:rsidTr="00BD3DB7">
        <w:trPr>
          <w:trHeight w:val="315"/>
          <w:jc w:val="center"/>
        </w:trPr>
        <w:tc>
          <w:tcPr>
            <w:tcW w:w="5030" w:type="dxa"/>
            <w:tcBorders>
              <w:top w:val="nil"/>
              <w:left w:val="single" w:sz="8" w:space="0" w:color="auto"/>
              <w:bottom w:val="nil"/>
              <w:right w:val="nil"/>
            </w:tcBorders>
            <w:shd w:val="clear" w:color="auto" w:fill="auto"/>
            <w:noWrap/>
            <w:vAlign w:val="center"/>
            <w:hideMark/>
          </w:tcPr>
          <w:p w14:paraId="42B5F34D" w14:textId="77777777" w:rsidR="000B22B5" w:rsidRDefault="000B22B5" w:rsidP="00BD3DB7">
            <w:pPr>
              <w:rPr>
                <w:color w:val="000000"/>
                <w:sz w:val="20"/>
                <w:szCs w:val="20"/>
              </w:rPr>
            </w:pPr>
            <w:r>
              <w:rPr>
                <w:color w:val="000000"/>
                <w:sz w:val="20"/>
                <w:szCs w:val="20"/>
              </w:rPr>
              <w:t>All Meter Sizes</w:t>
            </w:r>
          </w:p>
        </w:tc>
        <w:tc>
          <w:tcPr>
            <w:tcW w:w="1750" w:type="dxa"/>
            <w:tcBorders>
              <w:top w:val="nil"/>
              <w:left w:val="nil"/>
              <w:bottom w:val="nil"/>
              <w:right w:val="nil"/>
            </w:tcBorders>
            <w:shd w:val="clear" w:color="auto" w:fill="auto"/>
            <w:noWrap/>
            <w:vAlign w:val="center"/>
            <w:hideMark/>
          </w:tcPr>
          <w:p w14:paraId="5943BA2C" w14:textId="77777777" w:rsidR="000B22B5" w:rsidRDefault="000B22B5" w:rsidP="00BD3DB7">
            <w:pPr>
              <w:jc w:val="right"/>
              <w:rPr>
                <w:color w:val="000000"/>
                <w:sz w:val="20"/>
                <w:szCs w:val="20"/>
              </w:rPr>
            </w:pPr>
            <w:r>
              <w:rPr>
                <w:color w:val="000000"/>
                <w:sz w:val="20"/>
                <w:szCs w:val="20"/>
              </w:rPr>
              <w:t xml:space="preserve">$2.38 </w:t>
            </w:r>
          </w:p>
        </w:tc>
        <w:tc>
          <w:tcPr>
            <w:tcW w:w="2040" w:type="dxa"/>
            <w:tcBorders>
              <w:top w:val="nil"/>
              <w:left w:val="nil"/>
              <w:bottom w:val="nil"/>
              <w:right w:val="nil"/>
            </w:tcBorders>
            <w:shd w:val="clear" w:color="auto" w:fill="auto"/>
            <w:noWrap/>
            <w:vAlign w:val="center"/>
            <w:hideMark/>
          </w:tcPr>
          <w:p w14:paraId="164A04BA" w14:textId="77777777" w:rsidR="000B22B5" w:rsidRDefault="000B22B5" w:rsidP="00BD3DB7">
            <w:pPr>
              <w:jc w:val="right"/>
              <w:rPr>
                <w:color w:val="000000"/>
                <w:sz w:val="20"/>
                <w:szCs w:val="20"/>
              </w:rPr>
            </w:pPr>
            <w:r>
              <w:rPr>
                <w:color w:val="000000"/>
                <w:sz w:val="20"/>
                <w:szCs w:val="20"/>
              </w:rPr>
              <w:t xml:space="preserve">$11.85 </w:t>
            </w:r>
          </w:p>
        </w:tc>
        <w:tc>
          <w:tcPr>
            <w:tcW w:w="2140" w:type="dxa"/>
            <w:tcBorders>
              <w:top w:val="nil"/>
              <w:left w:val="nil"/>
              <w:bottom w:val="nil"/>
              <w:right w:val="single" w:sz="8" w:space="0" w:color="auto"/>
            </w:tcBorders>
            <w:shd w:val="clear" w:color="auto" w:fill="auto"/>
            <w:noWrap/>
            <w:vAlign w:val="center"/>
            <w:hideMark/>
          </w:tcPr>
          <w:p w14:paraId="30A405C6" w14:textId="77777777" w:rsidR="000B22B5" w:rsidRDefault="000B22B5" w:rsidP="00BD3DB7">
            <w:pPr>
              <w:jc w:val="right"/>
              <w:rPr>
                <w:color w:val="000000"/>
                <w:sz w:val="20"/>
                <w:szCs w:val="20"/>
              </w:rPr>
            </w:pPr>
            <w:r>
              <w:rPr>
                <w:color w:val="000000"/>
                <w:sz w:val="20"/>
                <w:szCs w:val="20"/>
              </w:rPr>
              <w:t xml:space="preserve">$0.16 </w:t>
            </w:r>
          </w:p>
        </w:tc>
      </w:tr>
      <w:tr w:rsidR="000B22B5" w14:paraId="3E6CB5DE"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4B18E927" w14:textId="77777777" w:rsidR="000B22B5" w:rsidRDefault="000B22B5" w:rsidP="00BD3DB7">
            <w:pPr>
              <w:rPr>
                <w:color w:val="000000"/>
                <w:sz w:val="20"/>
                <w:szCs w:val="20"/>
              </w:rPr>
            </w:pPr>
            <w:r>
              <w:rPr>
                <w:color w:val="000000"/>
                <w:sz w:val="20"/>
                <w:szCs w:val="20"/>
              </w:rPr>
              <w:t> </w:t>
            </w:r>
          </w:p>
        </w:tc>
        <w:tc>
          <w:tcPr>
            <w:tcW w:w="1750" w:type="dxa"/>
            <w:tcBorders>
              <w:top w:val="nil"/>
              <w:left w:val="nil"/>
              <w:bottom w:val="nil"/>
              <w:right w:val="nil"/>
            </w:tcBorders>
            <w:shd w:val="clear" w:color="auto" w:fill="auto"/>
            <w:noWrap/>
            <w:vAlign w:val="center"/>
            <w:hideMark/>
          </w:tcPr>
          <w:p w14:paraId="15B56B64" w14:textId="77777777" w:rsidR="000B22B5" w:rsidRDefault="000B22B5" w:rsidP="00BD3DB7">
            <w:pPr>
              <w:rPr>
                <w:color w:val="000000"/>
                <w:sz w:val="20"/>
                <w:szCs w:val="20"/>
              </w:rPr>
            </w:pPr>
          </w:p>
        </w:tc>
        <w:tc>
          <w:tcPr>
            <w:tcW w:w="2040" w:type="dxa"/>
            <w:tcBorders>
              <w:top w:val="nil"/>
              <w:left w:val="nil"/>
              <w:bottom w:val="nil"/>
              <w:right w:val="nil"/>
            </w:tcBorders>
            <w:shd w:val="clear" w:color="auto" w:fill="auto"/>
            <w:noWrap/>
            <w:vAlign w:val="center"/>
            <w:hideMark/>
          </w:tcPr>
          <w:p w14:paraId="6BE59638" w14:textId="77777777" w:rsidR="000B22B5" w:rsidRDefault="000B22B5" w:rsidP="00BD3DB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61C0D9B4" w14:textId="77777777" w:rsidR="000B22B5" w:rsidRDefault="000B22B5" w:rsidP="00BD3DB7">
            <w:pPr>
              <w:jc w:val="right"/>
              <w:rPr>
                <w:color w:val="000000"/>
                <w:sz w:val="20"/>
                <w:szCs w:val="20"/>
              </w:rPr>
            </w:pPr>
            <w:r>
              <w:rPr>
                <w:color w:val="000000"/>
                <w:sz w:val="20"/>
                <w:szCs w:val="20"/>
              </w:rPr>
              <w:t> </w:t>
            </w:r>
          </w:p>
        </w:tc>
      </w:tr>
      <w:tr w:rsidR="000B22B5" w14:paraId="2D93027D"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6B89D991" w14:textId="77777777" w:rsidR="000B22B5" w:rsidRDefault="000B22B5" w:rsidP="00BD3DB7">
            <w:pPr>
              <w:rPr>
                <w:color w:val="000000"/>
                <w:sz w:val="20"/>
                <w:szCs w:val="20"/>
              </w:rPr>
            </w:pPr>
            <w:r>
              <w:rPr>
                <w:color w:val="000000"/>
                <w:sz w:val="20"/>
                <w:szCs w:val="20"/>
              </w:rPr>
              <w:t xml:space="preserve">Charge per 1,000 gallons </w:t>
            </w:r>
          </w:p>
        </w:tc>
        <w:tc>
          <w:tcPr>
            <w:tcW w:w="1750" w:type="dxa"/>
            <w:tcBorders>
              <w:top w:val="nil"/>
              <w:left w:val="nil"/>
              <w:bottom w:val="nil"/>
              <w:right w:val="nil"/>
            </w:tcBorders>
            <w:shd w:val="clear" w:color="auto" w:fill="auto"/>
            <w:noWrap/>
            <w:vAlign w:val="center"/>
            <w:hideMark/>
          </w:tcPr>
          <w:p w14:paraId="226C7A4D" w14:textId="77777777" w:rsidR="000B22B5" w:rsidRDefault="000B22B5" w:rsidP="00BD3DB7">
            <w:pPr>
              <w:jc w:val="right"/>
              <w:rPr>
                <w:color w:val="000000"/>
                <w:sz w:val="20"/>
                <w:szCs w:val="20"/>
              </w:rPr>
            </w:pPr>
            <w:r>
              <w:rPr>
                <w:color w:val="000000"/>
                <w:sz w:val="20"/>
                <w:szCs w:val="20"/>
              </w:rPr>
              <w:t xml:space="preserve">$4.93 </w:t>
            </w:r>
          </w:p>
        </w:tc>
        <w:tc>
          <w:tcPr>
            <w:tcW w:w="2040" w:type="dxa"/>
            <w:tcBorders>
              <w:top w:val="nil"/>
              <w:left w:val="nil"/>
              <w:bottom w:val="nil"/>
              <w:right w:val="nil"/>
            </w:tcBorders>
            <w:shd w:val="clear" w:color="auto" w:fill="auto"/>
            <w:noWrap/>
            <w:vAlign w:val="center"/>
            <w:hideMark/>
          </w:tcPr>
          <w:p w14:paraId="369CA1BB" w14:textId="77777777" w:rsidR="000B22B5" w:rsidRDefault="000B22B5" w:rsidP="00BD3DB7">
            <w:pPr>
              <w:jc w:val="right"/>
              <w:rPr>
                <w:color w:val="000000"/>
                <w:sz w:val="20"/>
                <w:szCs w:val="20"/>
              </w:rPr>
            </w:pPr>
            <w:r>
              <w:rPr>
                <w:color w:val="000000"/>
                <w:sz w:val="20"/>
                <w:szCs w:val="20"/>
              </w:rPr>
              <w:t xml:space="preserve">$5.55 </w:t>
            </w:r>
          </w:p>
        </w:tc>
        <w:tc>
          <w:tcPr>
            <w:tcW w:w="2140" w:type="dxa"/>
            <w:tcBorders>
              <w:top w:val="nil"/>
              <w:left w:val="nil"/>
              <w:bottom w:val="nil"/>
              <w:right w:val="single" w:sz="8" w:space="0" w:color="auto"/>
            </w:tcBorders>
            <w:shd w:val="clear" w:color="auto" w:fill="auto"/>
            <w:noWrap/>
            <w:vAlign w:val="center"/>
            <w:hideMark/>
          </w:tcPr>
          <w:p w14:paraId="31F560E5" w14:textId="77777777" w:rsidR="000B22B5" w:rsidRDefault="000B22B5" w:rsidP="00BD3DB7">
            <w:pPr>
              <w:jc w:val="right"/>
              <w:rPr>
                <w:color w:val="000000"/>
                <w:sz w:val="20"/>
                <w:szCs w:val="20"/>
              </w:rPr>
            </w:pPr>
            <w:r>
              <w:rPr>
                <w:color w:val="000000"/>
                <w:sz w:val="20"/>
                <w:szCs w:val="20"/>
              </w:rPr>
              <w:t xml:space="preserve">$0.07 </w:t>
            </w:r>
          </w:p>
        </w:tc>
      </w:tr>
      <w:tr w:rsidR="000B22B5" w14:paraId="42C689D7"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7BD35251" w14:textId="77777777" w:rsidR="000B22B5" w:rsidRDefault="000B22B5" w:rsidP="00BD3DB7">
            <w:pPr>
              <w:rPr>
                <w:color w:val="000000"/>
                <w:sz w:val="20"/>
                <w:szCs w:val="20"/>
              </w:rPr>
            </w:pPr>
            <w:r>
              <w:rPr>
                <w:color w:val="000000"/>
                <w:sz w:val="20"/>
                <w:szCs w:val="20"/>
              </w:rPr>
              <w:t>6,000 gallon cap*</w:t>
            </w:r>
          </w:p>
        </w:tc>
        <w:tc>
          <w:tcPr>
            <w:tcW w:w="1750" w:type="dxa"/>
            <w:tcBorders>
              <w:top w:val="nil"/>
              <w:left w:val="nil"/>
              <w:bottom w:val="nil"/>
              <w:right w:val="nil"/>
            </w:tcBorders>
            <w:shd w:val="clear" w:color="auto" w:fill="auto"/>
            <w:noWrap/>
            <w:vAlign w:val="center"/>
            <w:hideMark/>
          </w:tcPr>
          <w:p w14:paraId="7509F69E" w14:textId="77777777" w:rsidR="000B22B5" w:rsidRDefault="000B22B5" w:rsidP="00BD3DB7">
            <w:pPr>
              <w:rPr>
                <w:color w:val="000000"/>
                <w:sz w:val="20"/>
                <w:szCs w:val="20"/>
              </w:rPr>
            </w:pPr>
          </w:p>
        </w:tc>
        <w:tc>
          <w:tcPr>
            <w:tcW w:w="2040" w:type="dxa"/>
            <w:tcBorders>
              <w:top w:val="nil"/>
              <w:left w:val="nil"/>
              <w:bottom w:val="nil"/>
              <w:right w:val="nil"/>
            </w:tcBorders>
            <w:shd w:val="clear" w:color="auto" w:fill="auto"/>
            <w:noWrap/>
            <w:vAlign w:val="center"/>
            <w:hideMark/>
          </w:tcPr>
          <w:p w14:paraId="1A46FBB8" w14:textId="77777777" w:rsidR="000B22B5" w:rsidRDefault="000B22B5" w:rsidP="00BD3DB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3033801C" w14:textId="77777777" w:rsidR="000B22B5" w:rsidRDefault="000B22B5" w:rsidP="00BD3DB7">
            <w:pPr>
              <w:jc w:val="right"/>
              <w:rPr>
                <w:color w:val="000000"/>
                <w:sz w:val="20"/>
                <w:szCs w:val="20"/>
              </w:rPr>
            </w:pPr>
            <w:r>
              <w:rPr>
                <w:color w:val="000000"/>
                <w:sz w:val="20"/>
                <w:szCs w:val="20"/>
              </w:rPr>
              <w:t> </w:t>
            </w:r>
          </w:p>
        </w:tc>
      </w:tr>
      <w:tr w:rsidR="000B22B5" w14:paraId="377233A5"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55A2C483" w14:textId="77777777" w:rsidR="000B22B5" w:rsidRDefault="000B22B5" w:rsidP="00BD3DB7">
            <w:pPr>
              <w:rPr>
                <w:color w:val="000000"/>
                <w:sz w:val="20"/>
                <w:szCs w:val="20"/>
              </w:rPr>
            </w:pPr>
            <w:r>
              <w:rPr>
                <w:color w:val="000000"/>
                <w:sz w:val="20"/>
                <w:szCs w:val="20"/>
              </w:rPr>
              <w:t> </w:t>
            </w:r>
          </w:p>
        </w:tc>
        <w:tc>
          <w:tcPr>
            <w:tcW w:w="1750" w:type="dxa"/>
            <w:tcBorders>
              <w:top w:val="nil"/>
              <w:left w:val="nil"/>
              <w:bottom w:val="nil"/>
              <w:right w:val="nil"/>
            </w:tcBorders>
            <w:shd w:val="clear" w:color="auto" w:fill="auto"/>
            <w:noWrap/>
            <w:vAlign w:val="center"/>
            <w:hideMark/>
          </w:tcPr>
          <w:p w14:paraId="6059B366" w14:textId="77777777" w:rsidR="000B22B5" w:rsidRDefault="000B22B5" w:rsidP="00BD3DB7">
            <w:pPr>
              <w:rPr>
                <w:color w:val="000000"/>
                <w:sz w:val="20"/>
                <w:szCs w:val="20"/>
              </w:rPr>
            </w:pPr>
          </w:p>
        </w:tc>
        <w:tc>
          <w:tcPr>
            <w:tcW w:w="2040" w:type="dxa"/>
            <w:tcBorders>
              <w:top w:val="nil"/>
              <w:left w:val="nil"/>
              <w:bottom w:val="nil"/>
              <w:right w:val="nil"/>
            </w:tcBorders>
            <w:shd w:val="clear" w:color="auto" w:fill="auto"/>
            <w:noWrap/>
            <w:vAlign w:val="center"/>
            <w:hideMark/>
          </w:tcPr>
          <w:p w14:paraId="6C4439C7" w14:textId="77777777" w:rsidR="000B22B5" w:rsidRDefault="000B22B5" w:rsidP="00BD3DB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10696C73" w14:textId="77777777" w:rsidR="000B22B5" w:rsidRDefault="000B22B5" w:rsidP="00BD3DB7">
            <w:pPr>
              <w:jc w:val="right"/>
              <w:rPr>
                <w:color w:val="000000"/>
                <w:sz w:val="20"/>
                <w:szCs w:val="20"/>
              </w:rPr>
            </w:pPr>
            <w:r>
              <w:rPr>
                <w:color w:val="000000"/>
                <w:sz w:val="20"/>
                <w:szCs w:val="20"/>
              </w:rPr>
              <w:t> </w:t>
            </w:r>
          </w:p>
        </w:tc>
      </w:tr>
      <w:tr w:rsidR="000B22B5" w14:paraId="1DBD01B4"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33341FCD" w14:textId="77777777" w:rsidR="000B22B5" w:rsidRDefault="000B22B5" w:rsidP="00BD3DB7">
            <w:pPr>
              <w:rPr>
                <w:b/>
                <w:bCs/>
                <w:color w:val="000000"/>
                <w:sz w:val="20"/>
                <w:szCs w:val="20"/>
                <w:u w:val="single"/>
              </w:rPr>
            </w:pPr>
            <w:r>
              <w:rPr>
                <w:b/>
                <w:bCs/>
                <w:color w:val="000000"/>
                <w:sz w:val="20"/>
                <w:szCs w:val="20"/>
                <w:u w:val="single"/>
              </w:rPr>
              <w:t>General Service</w:t>
            </w:r>
          </w:p>
        </w:tc>
        <w:tc>
          <w:tcPr>
            <w:tcW w:w="1750" w:type="dxa"/>
            <w:tcBorders>
              <w:top w:val="nil"/>
              <w:left w:val="nil"/>
              <w:bottom w:val="nil"/>
              <w:right w:val="nil"/>
            </w:tcBorders>
            <w:shd w:val="clear" w:color="auto" w:fill="auto"/>
            <w:noWrap/>
            <w:vAlign w:val="center"/>
            <w:hideMark/>
          </w:tcPr>
          <w:p w14:paraId="71B4D3A9" w14:textId="77777777" w:rsidR="000B22B5" w:rsidRDefault="000B22B5" w:rsidP="00BD3DB7">
            <w:pPr>
              <w:rPr>
                <w:b/>
                <w:bCs/>
                <w:color w:val="000000"/>
                <w:sz w:val="20"/>
                <w:szCs w:val="20"/>
                <w:u w:val="single"/>
              </w:rPr>
            </w:pPr>
          </w:p>
        </w:tc>
        <w:tc>
          <w:tcPr>
            <w:tcW w:w="2040" w:type="dxa"/>
            <w:tcBorders>
              <w:top w:val="nil"/>
              <w:left w:val="nil"/>
              <w:bottom w:val="nil"/>
              <w:right w:val="nil"/>
            </w:tcBorders>
            <w:shd w:val="clear" w:color="auto" w:fill="auto"/>
            <w:noWrap/>
            <w:vAlign w:val="center"/>
            <w:hideMark/>
          </w:tcPr>
          <w:p w14:paraId="4128F294" w14:textId="77777777" w:rsidR="000B22B5" w:rsidRDefault="000B22B5" w:rsidP="00BD3DB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5AEEFF17" w14:textId="77777777" w:rsidR="000B22B5" w:rsidRDefault="000B22B5" w:rsidP="00BD3DB7">
            <w:pPr>
              <w:jc w:val="right"/>
              <w:rPr>
                <w:color w:val="000000"/>
                <w:sz w:val="20"/>
                <w:szCs w:val="20"/>
              </w:rPr>
            </w:pPr>
            <w:r>
              <w:rPr>
                <w:color w:val="000000"/>
                <w:sz w:val="20"/>
                <w:szCs w:val="20"/>
              </w:rPr>
              <w:t> </w:t>
            </w:r>
          </w:p>
        </w:tc>
      </w:tr>
      <w:tr w:rsidR="000B22B5" w14:paraId="4594C330"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76F722E4" w14:textId="77777777" w:rsidR="000B22B5" w:rsidRDefault="000B22B5" w:rsidP="00BD3DB7">
            <w:pPr>
              <w:rPr>
                <w:color w:val="000000"/>
                <w:sz w:val="20"/>
                <w:szCs w:val="20"/>
              </w:rPr>
            </w:pPr>
            <w:r>
              <w:rPr>
                <w:color w:val="000000"/>
                <w:sz w:val="20"/>
                <w:szCs w:val="20"/>
              </w:rPr>
              <w:t>All Meter Sizes</w:t>
            </w:r>
          </w:p>
        </w:tc>
        <w:tc>
          <w:tcPr>
            <w:tcW w:w="1750" w:type="dxa"/>
            <w:tcBorders>
              <w:top w:val="nil"/>
              <w:left w:val="nil"/>
              <w:bottom w:val="nil"/>
              <w:right w:val="nil"/>
            </w:tcBorders>
            <w:shd w:val="clear" w:color="auto" w:fill="auto"/>
            <w:noWrap/>
            <w:vAlign w:val="center"/>
            <w:hideMark/>
          </w:tcPr>
          <w:p w14:paraId="02027021" w14:textId="77777777" w:rsidR="000B22B5" w:rsidRDefault="000B22B5" w:rsidP="00BD3DB7">
            <w:pPr>
              <w:jc w:val="right"/>
              <w:rPr>
                <w:color w:val="000000"/>
                <w:sz w:val="20"/>
                <w:szCs w:val="20"/>
              </w:rPr>
            </w:pPr>
            <w:r>
              <w:rPr>
                <w:color w:val="000000"/>
                <w:sz w:val="20"/>
                <w:szCs w:val="20"/>
              </w:rPr>
              <w:t xml:space="preserve">$2.38 </w:t>
            </w:r>
          </w:p>
        </w:tc>
        <w:tc>
          <w:tcPr>
            <w:tcW w:w="2040" w:type="dxa"/>
            <w:tcBorders>
              <w:top w:val="nil"/>
              <w:left w:val="nil"/>
              <w:bottom w:val="nil"/>
              <w:right w:val="nil"/>
            </w:tcBorders>
            <w:shd w:val="clear" w:color="auto" w:fill="auto"/>
            <w:noWrap/>
            <w:vAlign w:val="center"/>
            <w:hideMark/>
          </w:tcPr>
          <w:p w14:paraId="329459A9" w14:textId="77777777" w:rsidR="000B22B5" w:rsidRDefault="000B22B5" w:rsidP="00BD3DB7">
            <w:pPr>
              <w:jc w:val="right"/>
              <w:rPr>
                <w:color w:val="000000"/>
                <w:sz w:val="20"/>
                <w:szCs w:val="20"/>
              </w:rPr>
            </w:pPr>
            <w:r>
              <w:rPr>
                <w:color w:val="000000"/>
                <w:sz w:val="20"/>
                <w:szCs w:val="20"/>
              </w:rPr>
              <w:t>N/A</w:t>
            </w:r>
          </w:p>
        </w:tc>
        <w:tc>
          <w:tcPr>
            <w:tcW w:w="2140" w:type="dxa"/>
            <w:tcBorders>
              <w:top w:val="nil"/>
              <w:left w:val="nil"/>
              <w:bottom w:val="nil"/>
              <w:right w:val="single" w:sz="8" w:space="0" w:color="auto"/>
            </w:tcBorders>
            <w:shd w:val="clear" w:color="auto" w:fill="auto"/>
            <w:noWrap/>
            <w:vAlign w:val="center"/>
            <w:hideMark/>
          </w:tcPr>
          <w:p w14:paraId="004080AB" w14:textId="77777777" w:rsidR="000B22B5" w:rsidRDefault="000B22B5" w:rsidP="00BD3DB7">
            <w:pPr>
              <w:jc w:val="right"/>
              <w:rPr>
                <w:color w:val="000000"/>
                <w:sz w:val="20"/>
                <w:szCs w:val="20"/>
              </w:rPr>
            </w:pPr>
            <w:r>
              <w:rPr>
                <w:color w:val="000000"/>
                <w:sz w:val="20"/>
                <w:szCs w:val="20"/>
              </w:rPr>
              <w:t> </w:t>
            </w:r>
          </w:p>
        </w:tc>
      </w:tr>
      <w:tr w:rsidR="000B22B5" w14:paraId="24D3F3DA"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7710E293" w14:textId="77777777" w:rsidR="000B22B5" w:rsidRDefault="000B22B5" w:rsidP="00BD3DB7">
            <w:pPr>
              <w:rPr>
                <w:color w:val="000000"/>
                <w:sz w:val="20"/>
                <w:szCs w:val="20"/>
              </w:rPr>
            </w:pPr>
            <w:r>
              <w:rPr>
                <w:color w:val="000000"/>
                <w:sz w:val="20"/>
                <w:szCs w:val="20"/>
              </w:rPr>
              <w:t> </w:t>
            </w:r>
          </w:p>
        </w:tc>
        <w:tc>
          <w:tcPr>
            <w:tcW w:w="1750" w:type="dxa"/>
            <w:tcBorders>
              <w:top w:val="nil"/>
              <w:left w:val="nil"/>
              <w:bottom w:val="nil"/>
              <w:right w:val="nil"/>
            </w:tcBorders>
            <w:shd w:val="clear" w:color="auto" w:fill="auto"/>
            <w:noWrap/>
            <w:vAlign w:val="center"/>
            <w:hideMark/>
          </w:tcPr>
          <w:p w14:paraId="5DD11D55" w14:textId="77777777" w:rsidR="000B22B5" w:rsidRDefault="000B22B5" w:rsidP="00BD3DB7">
            <w:pPr>
              <w:rPr>
                <w:color w:val="000000"/>
                <w:sz w:val="20"/>
                <w:szCs w:val="20"/>
              </w:rPr>
            </w:pPr>
          </w:p>
        </w:tc>
        <w:tc>
          <w:tcPr>
            <w:tcW w:w="2040" w:type="dxa"/>
            <w:tcBorders>
              <w:top w:val="nil"/>
              <w:left w:val="nil"/>
              <w:bottom w:val="nil"/>
              <w:right w:val="nil"/>
            </w:tcBorders>
            <w:shd w:val="clear" w:color="auto" w:fill="auto"/>
            <w:noWrap/>
            <w:vAlign w:val="center"/>
            <w:hideMark/>
          </w:tcPr>
          <w:p w14:paraId="3A5F3081" w14:textId="77777777" w:rsidR="000B22B5" w:rsidRDefault="000B22B5" w:rsidP="00BD3DB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70D48A8B" w14:textId="77777777" w:rsidR="000B22B5" w:rsidRDefault="000B22B5" w:rsidP="00BD3DB7">
            <w:pPr>
              <w:jc w:val="right"/>
              <w:rPr>
                <w:color w:val="000000"/>
                <w:sz w:val="20"/>
                <w:szCs w:val="20"/>
              </w:rPr>
            </w:pPr>
            <w:r>
              <w:rPr>
                <w:color w:val="000000"/>
                <w:sz w:val="20"/>
                <w:szCs w:val="20"/>
              </w:rPr>
              <w:t> </w:t>
            </w:r>
          </w:p>
        </w:tc>
      </w:tr>
      <w:tr w:rsidR="000B22B5" w14:paraId="06E29585"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723EC7B0" w14:textId="77777777" w:rsidR="000B22B5" w:rsidRDefault="000B22B5" w:rsidP="00BD3DB7">
            <w:pPr>
              <w:rPr>
                <w:color w:val="000000"/>
                <w:sz w:val="20"/>
                <w:szCs w:val="20"/>
              </w:rPr>
            </w:pPr>
            <w:r>
              <w:rPr>
                <w:color w:val="000000"/>
                <w:sz w:val="20"/>
                <w:szCs w:val="20"/>
              </w:rPr>
              <w:t>Base Facility Charge by Meter Size</w:t>
            </w:r>
          </w:p>
        </w:tc>
        <w:tc>
          <w:tcPr>
            <w:tcW w:w="1750" w:type="dxa"/>
            <w:tcBorders>
              <w:top w:val="nil"/>
              <w:left w:val="nil"/>
              <w:bottom w:val="nil"/>
              <w:right w:val="nil"/>
            </w:tcBorders>
            <w:shd w:val="clear" w:color="auto" w:fill="auto"/>
            <w:noWrap/>
            <w:vAlign w:val="center"/>
            <w:hideMark/>
          </w:tcPr>
          <w:p w14:paraId="6D7F8E71" w14:textId="77777777" w:rsidR="000B22B5" w:rsidRDefault="000B22B5" w:rsidP="00BD3DB7">
            <w:pPr>
              <w:rPr>
                <w:color w:val="000000"/>
                <w:sz w:val="20"/>
                <w:szCs w:val="20"/>
              </w:rPr>
            </w:pPr>
          </w:p>
        </w:tc>
        <w:tc>
          <w:tcPr>
            <w:tcW w:w="2040" w:type="dxa"/>
            <w:tcBorders>
              <w:top w:val="nil"/>
              <w:left w:val="nil"/>
              <w:bottom w:val="nil"/>
              <w:right w:val="nil"/>
            </w:tcBorders>
            <w:shd w:val="clear" w:color="auto" w:fill="auto"/>
            <w:noWrap/>
            <w:vAlign w:val="center"/>
            <w:hideMark/>
          </w:tcPr>
          <w:p w14:paraId="51886748" w14:textId="77777777" w:rsidR="000B22B5" w:rsidRDefault="000B22B5" w:rsidP="00BD3DB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78EF1416" w14:textId="77777777" w:rsidR="000B22B5" w:rsidRDefault="000B22B5" w:rsidP="00BD3DB7">
            <w:pPr>
              <w:jc w:val="right"/>
              <w:rPr>
                <w:color w:val="000000"/>
                <w:sz w:val="20"/>
                <w:szCs w:val="20"/>
              </w:rPr>
            </w:pPr>
            <w:r>
              <w:rPr>
                <w:color w:val="000000"/>
                <w:sz w:val="20"/>
                <w:szCs w:val="20"/>
              </w:rPr>
              <w:t> </w:t>
            </w:r>
          </w:p>
        </w:tc>
      </w:tr>
      <w:tr w:rsidR="000B22B5" w14:paraId="749A6863"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3D8EB6CE" w14:textId="77777777" w:rsidR="000B22B5" w:rsidRDefault="000B22B5" w:rsidP="00BD3DB7">
            <w:pPr>
              <w:rPr>
                <w:color w:val="000000"/>
                <w:sz w:val="20"/>
                <w:szCs w:val="20"/>
              </w:rPr>
            </w:pPr>
            <w:r>
              <w:rPr>
                <w:color w:val="000000"/>
                <w:sz w:val="20"/>
                <w:szCs w:val="20"/>
              </w:rPr>
              <w:t>5/8” X 3/4”</w:t>
            </w:r>
          </w:p>
        </w:tc>
        <w:tc>
          <w:tcPr>
            <w:tcW w:w="1750" w:type="dxa"/>
            <w:tcBorders>
              <w:top w:val="nil"/>
              <w:left w:val="nil"/>
              <w:bottom w:val="nil"/>
              <w:right w:val="nil"/>
            </w:tcBorders>
            <w:shd w:val="clear" w:color="auto" w:fill="auto"/>
            <w:noWrap/>
            <w:vAlign w:val="center"/>
            <w:hideMark/>
          </w:tcPr>
          <w:p w14:paraId="2707CC1D" w14:textId="77777777" w:rsidR="000B22B5" w:rsidRDefault="000B22B5" w:rsidP="00BD3DB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712E2EC0" w14:textId="77777777" w:rsidR="000B22B5" w:rsidRDefault="000B22B5" w:rsidP="00BD3DB7">
            <w:pPr>
              <w:jc w:val="right"/>
              <w:rPr>
                <w:color w:val="000000"/>
                <w:sz w:val="20"/>
                <w:szCs w:val="20"/>
              </w:rPr>
            </w:pPr>
            <w:r>
              <w:rPr>
                <w:color w:val="000000"/>
                <w:sz w:val="20"/>
                <w:szCs w:val="20"/>
              </w:rPr>
              <w:t xml:space="preserve">$11.85 </w:t>
            </w:r>
          </w:p>
        </w:tc>
        <w:tc>
          <w:tcPr>
            <w:tcW w:w="2140" w:type="dxa"/>
            <w:tcBorders>
              <w:top w:val="nil"/>
              <w:left w:val="nil"/>
              <w:bottom w:val="nil"/>
              <w:right w:val="single" w:sz="8" w:space="0" w:color="auto"/>
            </w:tcBorders>
            <w:shd w:val="clear" w:color="auto" w:fill="auto"/>
            <w:noWrap/>
            <w:vAlign w:val="center"/>
            <w:hideMark/>
          </w:tcPr>
          <w:p w14:paraId="13C48120" w14:textId="77777777" w:rsidR="000B22B5" w:rsidRDefault="000B22B5" w:rsidP="00BD3DB7">
            <w:pPr>
              <w:jc w:val="right"/>
              <w:rPr>
                <w:color w:val="000000"/>
                <w:sz w:val="20"/>
                <w:szCs w:val="20"/>
              </w:rPr>
            </w:pPr>
            <w:r>
              <w:rPr>
                <w:color w:val="000000"/>
                <w:sz w:val="20"/>
                <w:szCs w:val="20"/>
              </w:rPr>
              <w:t xml:space="preserve">$0.16 </w:t>
            </w:r>
          </w:p>
        </w:tc>
      </w:tr>
      <w:tr w:rsidR="000B22B5" w14:paraId="47ADCE36"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62A38DE8" w14:textId="77777777" w:rsidR="000B22B5" w:rsidRDefault="000B22B5" w:rsidP="00BD3DB7">
            <w:pPr>
              <w:rPr>
                <w:color w:val="000000"/>
                <w:sz w:val="20"/>
                <w:szCs w:val="20"/>
              </w:rPr>
            </w:pPr>
            <w:r>
              <w:rPr>
                <w:color w:val="000000"/>
                <w:sz w:val="20"/>
                <w:szCs w:val="20"/>
              </w:rPr>
              <w:t>3/4”</w:t>
            </w:r>
          </w:p>
        </w:tc>
        <w:tc>
          <w:tcPr>
            <w:tcW w:w="1750" w:type="dxa"/>
            <w:tcBorders>
              <w:top w:val="nil"/>
              <w:left w:val="nil"/>
              <w:bottom w:val="nil"/>
              <w:right w:val="nil"/>
            </w:tcBorders>
            <w:shd w:val="clear" w:color="auto" w:fill="auto"/>
            <w:noWrap/>
            <w:vAlign w:val="center"/>
            <w:hideMark/>
          </w:tcPr>
          <w:p w14:paraId="3787E582" w14:textId="77777777" w:rsidR="000B22B5" w:rsidRDefault="000B22B5" w:rsidP="00BD3DB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737C791A" w14:textId="77777777" w:rsidR="000B22B5" w:rsidRDefault="000B22B5" w:rsidP="00BD3DB7">
            <w:pPr>
              <w:jc w:val="right"/>
              <w:rPr>
                <w:color w:val="000000"/>
                <w:sz w:val="20"/>
                <w:szCs w:val="20"/>
              </w:rPr>
            </w:pPr>
            <w:r>
              <w:rPr>
                <w:color w:val="000000"/>
                <w:sz w:val="20"/>
                <w:szCs w:val="20"/>
              </w:rPr>
              <w:t xml:space="preserve">$17.78 </w:t>
            </w:r>
          </w:p>
        </w:tc>
        <w:tc>
          <w:tcPr>
            <w:tcW w:w="2140" w:type="dxa"/>
            <w:tcBorders>
              <w:top w:val="nil"/>
              <w:left w:val="nil"/>
              <w:bottom w:val="nil"/>
              <w:right w:val="single" w:sz="8" w:space="0" w:color="auto"/>
            </w:tcBorders>
            <w:shd w:val="clear" w:color="auto" w:fill="auto"/>
            <w:noWrap/>
            <w:vAlign w:val="center"/>
            <w:hideMark/>
          </w:tcPr>
          <w:p w14:paraId="093EC23A" w14:textId="77777777" w:rsidR="000B22B5" w:rsidRDefault="000B22B5" w:rsidP="00BD3DB7">
            <w:pPr>
              <w:jc w:val="right"/>
              <w:rPr>
                <w:color w:val="000000"/>
                <w:sz w:val="20"/>
                <w:szCs w:val="20"/>
              </w:rPr>
            </w:pPr>
            <w:r>
              <w:rPr>
                <w:color w:val="000000"/>
                <w:sz w:val="20"/>
                <w:szCs w:val="20"/>
              </w:rPr>
              <w:t xml:space="preserve">$0.24 </w:t>
            </w:r>
          </w:p>
        </w:tc>
      </w:tr>
      <w:tr w:rsidR="000B22B5" w14:paraId="7F1B3CE6"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71CCCEB9" w14:textId="77777777" w:rsidR="000B22B5" w:rsidRDefault="000B22B5" w:rsidP="00BD3DB7">
            <w:pPr>
              <w:rPr>
                <w:color w:val="000000"/>
                <w:sz w:val="20"/>
                <w:szCs w:val="20"/>
              </w:rPr>
            </w:pPr>
            <w:r>
              <w:rPr>
                <w:color w:val="000000"/>
                <w:sz w:val="20"/>
                <w:szCs w:val="20"/>
              </w:rPr>
              <w:t>1”</w:t>
            </w:r>
          </w:p>
        </w:tc>
        <w:tc>
          <w:tcPr>
            <w:tcW w:w="1750" w:type="dxa"/>
            <w:tcBorders>
              <w:top w:val="nil"/>
              <w:left w:val="nil"/>
              <w:bottom w:val="nil"/>
              <w:right w:val="nil"/>
            </w:tcBorders>
            <w:shd w:val="clear" w:color="auto" w:fill="auto"/>
            <w:noWrap/>
            <w:vAlign w:val="center"/>
            <w:hideMark/>
          </w:tcPr>
          <w:p w14:paraId="592378A1" w14:textId="77777777" w:rsidR="000B22B5" w:rsidRDefault="000B22B5" w:rsidP="00BD3DB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40D7A835" w14:textId="77777777" w:rsidR="000B22B5" w:rsidRDefault="000B22B5" w:rsidP="00BD3DB7">
            <w:pPr>
              <w:jc w:val="right"/>
              <w:rPr>
                <w:color w:val="000000"/>
                <w:sz w:val="20"/>
                <w:szCs w:val="20"/>
              </w:rPr>
            </w:pPr>
            <w:r>
              <w:rPr>
                <w:color w:val="000000"/>
                <w:sz w:val="20"/>
                <w:szCs w:val="20"/>
              </w:rPr>
              <w:t xml:space="preserve">$29.63 </w:t>
            </w:r>
          </w:p>
        </w:tc>
        <w:tc>
          <w:tcPr>
            <w:tcW w:w="2140" w:type="dxa"/>
            <w:tcBorders>
              <w:top w:val="nil"/>
              <w:left w:val="nil"/>
              <w:bottom w:val="nil"/>
              <w:right w:val="single" w:sz="8" w:space="0" w:color="auto"/>
            </w:tcBorders>
            <w:shd w:val="clear" w:color="auto" w:fill="auto"/>
            <w:noWrap/>
            <w:vAlign w:val="center"/>
            <w:hideMark/>
          </w:tcPr>
          <w:p w14:paraId="2C5CCC6D" w14:textId="77777777" w:rsidR="000B22B5" w:rsidRDefault="000B22B5" w:rsidP="00BD3DB7">
            <w:pPr>
              <w:jc w:val="right"/>
              <w:rPr>
                <w:color w:val="000000"/>
                <w:sz w:val="20"/>
                <w:szCs w:val="20"/>
              </w:rPr>
            </w:pPr>
            <w:r>
              <w:rPr>
                <w:color w:val="000000"/>
                <w:sz w:val="20"/>
                <w:szCs w:val="20"/>
              </w:rPr>
              <w:t xml:space="preserve">$0.40 </w:t>
            </w:r>
          </w:p>
        </w:tc>
      </w:tr>
      <w:tr w:rsidR="000B22B5" w14:paraId="6DA857D7"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52FC3273" w14:textId="77777777" w:rsidR="000B22B5" w:rsidRDefault="000B22B5" w:rsidP="00BD3DB7">
            <w:pPr>
              <w:rPr>
                <w:color w:val="000000"/>
                <w:sz w:val="20"/>
                <w:szCs w:val="20"/>
              </w:rPr>
            </w:pPr>
            <w:r>
              <w:rPr>
                <w:color w:val="000000"/>
                <w:sz w:val="20"/>
                <w:szCs w:val="20"/>
              </w:rPr>
              <w:t>1 1/2”</w:t>
            </w:r>
          </w:p>
        </w:tc>
        <w:tc>
          <w:tcPr>
            <w:tcW w:w="1750" w:type="dxa"/>
            <w:tcBorders>
              <w:top w:val="nil"/>
              <w:left w:val="nil"/>
              <w:bottom w:val="nil"/>
              <w:right w:val="nil"/>
            </w:tcBorders>
            <w:shd w:val="clear" w:color="auto" w:fill="auto"/>
            <w:noWrap/>
            <w:vAlign w:val="center"/>
            <w:hideMark/>
          </w:tcPr>
          <w:p w14:paraId="30283906" w14:textId="77777777" w:rsidR="000B22B5" w:rsidRDefault="000B22B5" w:rsidP="00BD3DB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12206D74" w14:textId="77777777" w:rsidR="000B22B5" w:rsidRDefault="000B22B5" w:rsidP="00BD3DB7">
            <w:pPr>
              <w:jc w:val="right"/>
              <w:rPr>
                <w:color w:val="000000"/>
                <w:sz w:val="20"/>
                <w:szCs w:val="20"/>
              </w:rPr>
            </w:pPr>
            <w:r>
              <w:rPr>
                <w:color w:val="000000"/>
                <w:sz w:val="20"/>
                <w:szCs w:val="20"/>
              </w:rPr>
              <w:t xml:space="preserve">$59.25 </w:t>
            </w:r>
          </w:p>
        </w:tc>
        <w:tc>
          <w:tcPr>
            <w:tcW w:w="2140" w:type="dxa"/>
            <w:tcBorders>
              <w:top w:val="nil"/>
              <w:left w:val="nil"/>
              <w:bottom w:val="nil"/>
              <w:right w:val="single" w:sz="8" w:space="0" w:color="auto"/>
            </w:tcBorders>
            <w:shd w:val="clear" w:color="auto" w:fill="auto"/>
            <w:noWrap/>
            <w:vAlign w:val="center"/>
            <w:hideMark/>
          </w:tcPr>
          <w:p w14:paraId="0113BF8E" w14:textId="77777777" w:rsidR="000B22B5" w:rsidRDefault="000B22B5" w:rsidP="00BD3DB7">
            <w:pPr>
              <w:jc w:val="right"/>
              <w:rPr>
                <w:color w:val="000000"/>
                <w:sz w:val="20"/>
                <w:szCs w:val="20"/>
              </w:rPr>
            </w:pPr>
            <w:r>
              <w:rPr>
                <w:color w:val="000000"/>
                <w:sz w:val="20"/>
                <w:szCs w:val="20"/>
              </w:rPr>
              <w:t xml:space="preserve">$0.79 </w:t>
            </w:r>
          </w:p>
        </w:tc>
      </w:tr>
      <w:tr w:rsidR="000B22B5" w14:paraId="7A84F1C5"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6E3EC838" w14:textId="77777777" w:rsidR="000B22B5" w:rsidRDefault="000B22B5" w:rsidP="00BD3DB7">
            <w:pPr>
              <w:rPr>
                <w:color w:val="000000"/>
                <w:sz w:val="20"/>
                <w:szCs w:val="20"/>
              </w:rPr>
            </w:pPr>
            <w:r>
              <w:rPr>
                <w:color w:val="000000"/>
                <w:sz w:val="20"/>
                <w:szCs w:val="20"/>
              </w:rPr>
              <w:t>2”</w:t>
            </w:r>
          </w:p>
        </w:tc>
        <w:tc>
          <w:tcPr>
            <w:tcW w:w="1750" w:type="dxa"/>
            <w:tcBorders>
              <w:top w:val="nil"/>
              <w:left w:val="nil"/>
              <w:bottom w:val="nil"/>
              <w:right w:val="nil"/>
            </w:tcBorders>
            <w:shd w:val="clear" w:color="auto" w:fill="auto"/>
            <w:noWrap/>
            <w:vAlign w:val="center"/>
            <w:hideMark/>
          </w:tcPr>
          <w:p w14:paraId="7993EE1F" w14:textId="77777777" w:rsidR="000B22B5" w:rsidRDefault="000B22B5" w:rsidP="00BD3DB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3B231D1D" w14:textId="77777777" w:rsidR="000B22B5" w:rsidRDefault="000B22B5" w:rsidP="00BD3DB7">
            <w:pPr>
              <w:jc w:val="right"/>
              <w:rPr>
                <w:color w:val="000000"/>
                <w:sz w:val="20"/>
                <w:szCs w:val="20"/>
              </w:rPr>
            </w:pPr>
            <w:r>
              <w:rPr>
                <w:color w:val="000000"/>
                <w:sz w:val="20"/>
                <w:szCs w:val="20"/>
              </w:rPr>
              <w:t xml:space="preserve">$94.80 </w:t>
            </w:r>
          </w:p>
        </w:tc>
        <w:tc>
          <w:tcPr>
            <w:tcW w:w="2140" w:type="dxa"/>
            <w:tcBorders>
              <w:top w:val="nil"/>
              <w:left w:val="nil"/>
              <w:bottom w:val="nil"/>
              <w:right w:val="single" w:sz="8" w:space="0" w:color="auto"/>
            </w:tcBorders>
            <w:shd w:val="clear" w:color="auto" w:fill="auto"/>
            <w:noWrap/>
            <w:vAlign w:val="center"/>
            <w:hideMark/>
          </w:tcPr>
          <w:p w14:paraId="4D20B322" w14:textId="77777777" w:rsidR="000B22B5" w:rsidRDefault="000B22B5" w:rsidP="00BD3DB7">
            <w:pPr>
              <w:jc w:val="right"/>
              <w:rPr>
                <w:color w:val="000000"/>
                <w:sz w:val="20"/>
                <w:szCs w:val="20"/>
              </w:rPr>
            </w:pPr>
            <w:r>
              <w:rPr>
                <w:color w:val="000000"/>
                <w:sz w:val="20"/>
                <w:szCs w:val="20"/>
              </w:rPr>
              <w:t xml:space="preserve">$1.27 </w:t>
            </w:r>
          </w:p>
        </w:tc>
      </w:tr>
      <w:tr w:rsidR="000B22B5" w14:paraId="458AD393"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593C0B46" w14:textId="77777777" w:rsidR="000B22B5" w:rsidRDefault="000B22B5" w:rsidP="00BD3DB7">
            <w:pPr>
              <w:rPr>
                <w:color w:val="000000"/>
                <w:sz w:val="20"/>
                <w:szCs w:val="20"/>
              </w:rPr>
            </w:pPr>
            <w:r>
              <w:rPr>
                <w:color w:val="000000"/>
                <w:sz w:val="20"/>
                <w:szCs w:val="20"/>
              </w:rPr>
              <w:t>3”</w:t>
            </w:r>
          </w:p>
        </w:tc>
        <w:tc>
          <w:tcPr>
            <w:tcW w:w="1750" w:type="dxa"/>
            <w:tcBorders>
              <w:top w:val="nil"/>
              <w:left w:val="nil"/>
              <w:bottom w:val="nil"/>
              <w:right w:val="nil"/>
            </w:tcBorders>
            <w:shd w:val="clear" w:color="auto" w:fill="auto"/>
            <w:noWrap/>
            <w:vAlign w:val="center"/>
            <w:hideMark/>
          </w:tcPr>
          <w:p w14:paraId="6F896E3E" w14:textId="77777777" w:rsidR="000B22B5" w:rsidRDefault="000B22B5" w:rsidP="00BD3DB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06573D5C" w14:textId="77777777" w:rsidR="000B22B5" w:rsidRDefault="000B22B5" w:rsidP="00BD3DB7">
            <w:pPr>
              <w:jc w:val="right"/>
              <w:rPr>
                <w:color w:val="000000"/>
                <w:sz w:val="20"/>
                <w:szCs w:val="20"/>
              </w:rPr>
            </w:pPr>
            <w:r>
              <w:rPr>
                <w:color w:val="000000"/>
                <w:sz w:val="20"/>
                <w:szCs w:val="20"/>
              </w:rPr>
              <w:t xml:space="preserve">$177.75 </w:t>
            </w:r>
          </w:p>
        </w:tc>
        <w:tc>
          <w:tcPr>
            <w:tcW w:w="2140" w:type="dxa"/>
            <w:tcBorders>
              <w:top w:val="nil"/>
              <w:left w:val="nil"/>
              <w:bottom w:val="nil"/>
              <w:right w:val="single" w:sz="8" w:space="0" w:color="auto"/>
            </w:tcBorders>
            <w:shd w:val="clear" w:color="auto" w:fill="auto"/>
            <w:noWrap/>
            <w:vAlign w:val="center"/>
            <w:hideMark/>
          </w:tcPr>
          <w:p w14:paraId="5BD99736" w14:textId="77777777" w:rsidR="000B22B5" w:rsidRDefault="000B22B5" w:rsidP="00BD3DB7">
            <w:pPr>
              <w:jc w:val="right"/>
              <w:rPr>
                <w:color w:val="000000"/>
                <w:sz w:val="20"/>
                <w:szCs w:val="20"/>
              </w:rPr>
            </w:pPr>
            <w:r>
              <w:rPr>
                <w:color w:val="000000"/>
                <w:sz w:val="20"/>
                <w:szCs w:val="20"/>
              </w:rPr>
              <w:t xml:space="preserve">$2.38 </w:t>
            </w:r>
          </w:p>
        </w:tc>
      </w:tr>
      <w:tr w:rsidR="000B22B5" w14:paraId="3779FD6F"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79E389E3" w14:textId="77777777" w:rsidR="000B22B5" w:rsidRDefault="000B22B5" w:rsidP="00BD3DB7">
            <w:pPr>
              <w:rPr>
                <w:color w:val="000000"/>
                <w:sz w:val="20"/>
                <w:szCs w:val="20"/>
              </w:rPr>
            </w:pPr>
            <w:r>
              <w:rPr>
                <w:color w:val="000000"/>
                <w:sz w:val="20"/>
                <w:szCs w:val="20"/>
              </w:rPr>
              <w:t>4”</w:t>
            </w:r>
          </w:p>
        </w:tc>
        <w:tc>
          <w:tcPr>
            <w:tcW w:w="1750" w:type="dxa"/>
            <w:tcBorders>
              <w:top w:val="nil"/>
              <w:left w:val="nil"/>
              <w:bottom w:val="nil"/>
              <w:right w:val="nil"/>
            </w:tcBorders>
            <w:shd w:val="clear" w:color="auto" w:fill="auto"/>
            <w:noWrap/>
            <w:vAlign w:val="center"/>
            <w:hideMark/>
          </w:tcPr>
          <w:p w14:paraId="292DC15A" w14:textId="77777777" w:rsidR="000B22B5" w:rsidRDefault="000B22B5" w:rsidP="00BD3DB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5B5F6526" w14:textId="77777777" w:rsidR="000B22B5" w:rsidRDefault="000B22B5" w:rsidP="00BD3DB7">
            <w:pPr>
              <w:jc w:val="right"/>
              <w:rPr>
                <w:color w:val="000000"/>
                <w:sz w:val="20"/>
                <w:szCs w:val="20"/>
              </w:rPr>
            </w:pPr>
            <w:r>
              <w:rPr>
                <w:color w:val="000000"/>
                <w:sz w:val="20"/>
                <w:szCs w:val="20"/>
              </w:rPr>
              <w:t xml:space="preserve">$296.25 </w:t>
            </w:r>
          </w:p>
        </w:tc>
        <w:tc>
          <w:tcPr>
            <w:tcW w:w="2140" w:type="dxa"/>
            <w:tcBorders>
              <w:top w:val="nil"/>
              <w:left w:val="nil"/>
              <w:bottom w:val="nil"/>
              <w:right w:val="single" w:sz="8" w:space="0" w:color="auto"/>
            </w:tcBorders>
            <w:shd w:val="clear" w:color="auto" w:fill="auto"/>
            <w:noWrap/>
            <w:vAlign w:val="center"/>
            <w:hideMark/>
          </w:tcPr>
          <w:p w14:paraId="75B83945" w14:textId="77777777" w:rsidR="000B22B5" w:rsidRDefault="000B22B5" w:rsidP="00BD3DB7">
            <w:pPr>
              <w:jc w:val="right"/>
              <w:rPr>
                <w:color w:val="000000"/>
                <w:sz w:val="20"/>
                <w:szCs w:val="20"/>
              </w:rPr>
            </w:pPr>
            <w:r>
              <w:rPr>
                <w:color w:val="000000"/>
                <w:sz w:val="20"/>
                <w:szCs w:val="20"/>
              </w:rPr>
              <w:t xml:space="preserve">$3.97 </w:t>
            </w:r>
          </w:p>
        </w:tc>
      </w:tr>
      <w:tr w:rsidR="000B22B5" w14:paraId="3DCB14ED"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5DFC5E6B" w14:textId="77777777" w:rsidR="000B22B5" w:rsidRDefault="000B22B5" w:rsidP="00BD3DB7">
            <w:pPr>
              <w:rPr>
                <w:color w:val="000000"/>
                <w:sz w:val="20"/>
                <w:szCs w:val="20"/>
              </w:rPr>
            </w:pPr>
            <w:r>
              <w:rPr>
                <w:color w:val="000000"/>
                <w:sz w:val="20"/>
                <w:szCs w:val="20"/>
              </w:rPr>
              <w:t>6”</w:t>
            </w:r>
          </w:p>
        </w:tc>
        <w:tc>
          <w:tcPr>
            <w:tcW w:w="1750" w:type="dxa"/>
            <w:tcBorders>
              <w:top w:val="nil"/>
              <w:left w:val="nil"/>
              <w:bottom w:val="nil"/>
              <w:right w:val="nil"/>
            </w:tcBorders>
            <w:shd w:val="clear" w:color="auto" w:fill="auto"/>
            <w:noWrap/>
            <w:vAlign w:val="center"/>
            <w:hideMark/>
          </w:tcPr>
          <w:p w14:paraId="35BF1992" w14:textId="77777777" w:rsidR="000B22B5" w:rsidRDefault="000B22B5" w:rsidP="00BD3DB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7F44C2B0" w14:textId="77777777" w:rsidR="000B22B5" w:rsidRDefault="000B22B5" w:rsidP="00BD3DB7">
            <w:pPr>
              <w:jc w:val="right"/>
              <w:rPr>
                <w:color w:val="000000"/>
                <w:sz w:val="20"/>
                <w:szCs w:val="20"/>
              </w:rPr>
            </w:pPr>
            <w:r>
              <w:rPr>
                <w:color w:val="000000"/>
                <w:sz w:val="20"/>
                <w:szCs w:val="20"/>
              </w:rPr>
              <w:t xml:space="preserve">$592.50 </w:t>
            </w:r>
          </w:p>
        </w:tc>
        <w:tc>
          <w:tcPr>
            <w:tcW w:w="2140" w:type="dxa"/>
            <w:tcBorders>
              <w:top w:val="nil"/>
              <w:left w:val="nil"/>
              <w:bottom w:val="nil"/>
              <w:right w:val="single" w:sz="8" w:space="0" w:color="auto"/>
            </w:tcBorders>
            <w:shd w:val="clear" w:color="auto" w:fill="auto"/>
            <w:noWrap/>
            <w:vAlign w:val="center"/>
            <w:hideMark/>
          </w:tcPr>
          <w:p w14:paraId="0BEDD32D" w14:textId="77777777" w:rsidR="000B22B5" w:rsidRDefault="000B22B5" w:rsidP="00BD3DB7">
            <w:pPr>
              <w:jc w:val="right"/>
              <w:rPr>
                <w:color w:val="000000"/>
                <w:sz w:val="20"/>
                <w:szCs w:val="20"/>
              </w:rPr>
            </w:pPr>
            <w:r>
              <w:rPr>
                <w:color w:val="000000"/>
                <w:sz w:val="20"/>
                <w:szCs w:val="20"/>
              </w:rPr>
              <w:t xml:space="preserve">$7.94 </w:t>
            </w:r>
          </w:p>
        </w:tc>
      </w:tr>
      <w:tr w:rsidR="000B22B5" w14:paraId="76414D35"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32EEAF0D" w14:textId="77777777" w:rsidR="000B22B5" w:rsidRDefault="000B22B5" w:rsidP="00BD3DB7">
            <w:pPr>
              <w:rPr>
                <w:color w:val="000000"/>
                <w:sz w:val="20"/>
                <w:szCs w:val="20"/>
              </w:rPr>
            </w:pPr>
            <w:r>
              <w:rPr>
                <w:color w:val="000000"/>
                <w:sz w:val="20"/>
                <w:szCs w:val="20"/>
              </w:rPr>
              <w:t> </w:t>
            </w:r>
          </w:p>
        </w:tc>
        <w:tc>
          <w:tcPr>
            <w:tcW w:w="1750" w:type="dxa"/>
            <w:tcBorders>
              <w:top w:val="nil"/>
              <w:left w:val="nil"/>
              <w:bottom w:val="nil"/>
              <w:right w:val="nil"/>
            </w:tcBorders>
            <w:shd w:val="clear" w:color="auto" w:fill="auto"/>
            <w:noWrap/>
            <w:vAlign w:val="center"/>
            <w:hideMark/>
          </w:tcPr>
          <w:p w14:paraId="09BE4F3B" w14:textId="77777777" w:rsidR="000B22B5" w:rsidRDefault="000B22B5" w:rsidP="00BD3DB7">
            <w:pPr>
              <w:rPr>
                <w:color w:val="000000"/>
                <w:sz w:val="20"/>
                <w:szCs w:val="20"/>
              </w:rPr>
            </w:pPr>
          </w:p>
        </w:tc>
        <w:tc>
          <w:tcPr>
            <w:tcW w:w="2040" w:type="dxa"/>
            <w:tcBorders>
              <w:top w:val="nil"/>
              <w:left w:val="nil"/>
              <w:bottom w:val="nil"/>
              <w:right w:val="nil"/>
            </w:tcBorders>
            <w:shd w:val="clear" w:color="auto" w:fill="auto"/>
            <w:noWrap/>
            <w:vAlign w:val="center"/>
            <w:hideMark/>
          </w:tcPr>
          <w:p w14:paraId="64F2452D" w14:textId="77777777" w:rsidR="000B22B5" w:rsidRDefault="000B22B5" w:rsidP="00BD3DB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3D54B8C6" w14:textId="77777777" w:rsidR="000B22B5" w:rsidRDefault="000B22B5" w:rsidP="00BD3DB7">
            <w:pPr>
              <w:jc w:val="right"/>
              <w:rPr>
                <w:color w:val="000000"/>
                <w:sz w:val="20"/>
                <w:szCs w:val="20"/>
              </w:rPr>
            </w:pPr>
            <w:r>
              <w:rPr>
                <w:color w:val="000000"/>
                <w:sz w:val="20"/>
                <w:szCs w:val="20"/>
              </w:rPr>
              <w:t> </w:t>
            </w:r>
          </w:p>
        </w:tc>
      </w:tr>
      <w:tr w:rsidR="000B22B5" w14:paraId="1CA6FE44"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423BDCD2" w14:textId="77777777" w:rsidR="000B22B5" w:rsidRDefault="000B22B5" w:rsidP="00BD3DB7">
            <w:pPr>
              <w:rPr>
                <w:color w:val="000000"/>
                <w:sz w:val="20"/>
                <w:szCs w:val="20"/>
              </w:rPr>
            </w:pPr>
            <w:r>
              <w:rPr>
                <w:color w:val="000000"/>
                <w:sz w:val="20"/>
                <w:szCs w:val="20"/>
              </w:rPr>
              <w:t xml:space="preserve">Charge per 1,000 gallons </w:t>
            </w:r>
          </w:p>
        </w:tc>
        <w:tc>
          <w:tcPr>
            <w:tcW w:w="1750" w:type="dxa"/>
            <w:tcBorders>
              <w:top w:val="nil"/>
              <w:left w:val="nil"/>
              <w:bottom w:val="nil"/>
              <w:right w:val="nil"/>
            </w:tcBorders>
            <w:shd w:val="clear" w:color="auto" w:fill="auto"/>
            <w:noWrap/>
            <w:vAlign w:val="center"/>
            <w:hideMark/>
          </w:tcPr>
          <w:p w14:paraId="0D9333CB" w14:textId="77777777" w:rsidR="000B22B5" w:rsidRDefault="000B22B5" w:rsidP="00BD3DB7">
            <w:pPr>
              <w:jc w:val="right"/>
              <w:rPr>
                <w:color w:val="000000"/>
                <w:sz w:val="20"/>
                <w:szCs w:val="20"/>
              </w:rPr>
            </w:pPr>
            <w:r>
              <w:rPr>
                <w:color w:val="000000"/>
                <w:sz w:val="20"/>
                <w:szCs w:val="20"/>
              </w:rPr>
              <w:t xml:space="preserve">$4.93 </w:t>
            </w:r>
          </w:p>
        </w:tc>
        <w:tc>
          <w:tcPr>
            <w:tcW w:w="2040" w:type="dxa"/>
            <w:tcBorders>
              <w:top w:val="nil"/>
              <w:left w:val="nil"/>
              <w:bottom w:val="nil"/>
              <w:right w:val="nil"/>
            </w:tcBorders>
            <w:shd w:val="clear" w:color="auto" w:fill="auto"/>
            <w:noWrap/>
            <w:vAlign w:val="center"/>
            <w:hideMark/>
          </w:tcPr>
          <w:p w14:paraId="63369B81" w14:textId="77777777" w:rsidR="000B22B5" w:rsidRDefault="000B22B5" w:rsidP="00BD3DB7">
            <w:pPr>
              <w:jc w:val="right"/>
              <w:rPr>
                <w:color w:val="000000"/>
                <w:sz w:val="20"/>
                <w:szCs w:val="20"/>
              </w:rPr>
            </w:pPr>
            <w:r>
              <w:rPr>
                <w:color w:val="000000"/>
                <w:sz w:val="20"/>
                <w:szCs w:val="20"/>
              </w:rPr>
              <w:t xml:space="preserve">$6.66 </w:t>
            </w:r>
          </w:p>
        </w:tc>
        <w:tc>
          <w:tcPr>
            <w:tcW w:w="2140" w:type="dxa"/>
            <w:tcBorders>
              <w:top w:val="nil"/>
              <w:left w:val="nil"/>
              <w:bottom w:val="nil"/>
              <w:right w:val="single" w:sz="8" w:space="0" w:color="auto"/>
            </w:tcBorders>
            <w:shd w:val="clear" w:color="auto" w:fill="auto"/>
            <w:noWrap/>
            <w:vAlign w:val="center"/>
            <w:hideMark/>
          </w:tcPr>
          <w:p w14:paraId="40F89CDF" w14:textId="77777777" w:rsidR="000B22B5" w:rsidRDefault="000B22B5" w:rsidP="00BD3DB7">
            <w:pPr>
              <w:jc w:val="right"/>
              <w:rPr>
                <w:color w:val="000000"/>
                <w:sz w:val="20"/>
                <w:szCs w:val="20"/>
              </w:rPr>
            </w:pPr>
            <w:r>
              <w:rPr>
                <w:color w:val="000000"/>
                <w:sz w:val="20"/>
                <w:szCs w:val="20"/>
              </w:rPr>
              <w:t xml:space="preserve">$0.09 </w:t>
            </w:r>
          </w:p>
        </w:tc>
      </w:tr>
      <w:tr w:rsidR="000B22B5" w14:paraId="2A75CF14"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4D7535B8" w14:textId="77777777" w:rsidR="000B22B5" w:rsidRDefault="000B22B5" w:rsidP="00BD3DB7">
            <w:pPr>
              <w:rPr>
                <w:color w:val="000000"/>
                <w:sz w:val="20"/>
                <w:szCs w:val="20"/>
              </w:rPr>
            </w:pPr>
            <w:r>
              <w:rPr>
                <w:color w:val="000000"/>
                <w:sz w:val="20"/>
                <w:szCs w:val="20"/>
              </w:rPr>
              <w:t> </w:t>
            </w:r>
          </w:p>
        </w:tc>
        <w:tc>
          <w:tcPr>
            <w:tcW w:w="1750" w:type="dxa"/>
            <w:tcBorders>
              <w:top w:val="nil"/>
              <w:left w:val="nil"/>
              <w:bottom w:val="nil"/>
              <w:right w:val="nil"/>
            </w:tcBorders>
            <w:shd w:val="clear" w:color="auto" w:fill="auto"/>
            <w:noWrap/>
            <w:vAlign w:val="center"/>
            <w:hideMark/>
          </w:tcPr>
          <w:p w14:paraId="249AA478" w14:textId="77777777" w:rsidR="000B22B5" w:rsidRDefault="000B22B5" w:rsidP="00BD3DB7">
            <w:pPr>
              <w:rPr>
                <w:color w:val="000000"/>
                <w:sz w:val="20"/>
                <w:szCs w:val="20"/>
              </w:rPr>
            </w:pPr>
          </w:p>
        </w:tc>
        <w:tc>
          <w:tcPr>
            <w:tcW w:w="2040" w:type="dxa"/>
            <w:tcBorders>
              <w:top w:val="nil"/>
              <w:left w:val="nil"/>
              <w:bottom w:val="nil"/>
              <w:right w:val="nil"/>
            </w:tcBorders>
            <w:shd w:val="clear" w:color="auto" w:fill="auto"/>
            <w:noWrap/>
            <w:vAlign w:val="center"/>
            <w:hideMark/>
          </w:tcPr>
          <w:p w14:paraId="5BA45427" w14:textId="77777777" w:rsidR="000B22B5" w:rsidRDefault="000B22B5" w:rsidP="00BD3DB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4A3D3DB9" w14:textId="77777777" w:rsidR="000B22B5" w:rsidRDefault="000B22B5" w:rsidP="00BD3DB7">
            <w:pPr>
              <w:jc w:val="right"/>
              <w:rPr>
                <w:color w:val="000000"/>
                <w:sz w:val="20"/>
                <w:szCs w:val="20"/>
              </w:rPr>
            </w:pPr>
            <w:r>
              <w:rPr>
                <w:color w:val="000000"/>
                <w:sz w:val="20"/>
                <w:szCs w:val="20"/>
              </w:rPr>
              <w:t> </w:t>
            </w:r>
          </w:p>
        </w:tc>
      </w:tr>
      <w:tr w:rsidR="000B22B5" w14:paraId="54123E6D"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04960930" w14:textId="77777777" w:rsidR="000B22B5" w:rsidRDefault="000B22B5" w:rsidP="00BD3DB7">
            <w:pPr>
              <w:rPr>
                <w:b/>
                <w:bCs/>
                <w:color w:val="000000"/>
                <w:sz w:val="20"/>
                <w:szCs w:val="20"/>
                <w:u w:val="single"/>
              </w:rPr>
            </w:pPr>
            <w:r>
              <w:rPr>
                <w:b/>
                <w:bCs/>
                <w:color w:val="000000"/>
                <w:sz w:val="20"/>
                <w:szCs w:val="20"/>
                <w:u w:val="single"/>
              </w:rPr>
              <w:t>Typical Residential 5/8" x 3/4" Meter Bill Comparison</w:t>
            </w:r>
          </w:p>
        </w:tc>
        <w:tc>
          <w:tcPr>
            <w:tcW w:w="1750" w:type="dxa"/>
            <w:tcBorders>
              <w:top w:val="nil"/>
              <w:left w:val="nil"/>
              <w:bottom w:val="nil"/>
              <w:right w:val="nil"/>
            </w:tcBorders>
            <w:shd w:val="clear" w:color="auto" w:fill="auto"/>
            <w:noWrap/>
            <w:vAlign w:val="bottom"/>
            <w:hideMark/>
          </w:tcPr>
          <w:p w14:paraId="0AEB1E87" w14:textId="77777777" w:rsidR="000B22B5" w:rsidRDefault="000B22B5" w:rsidP="00BD3DB7">
            <w:pPr>
              <w:rPr>
                <w:b/>
                <w:bCs/>
                <w:color w:val="000000"/>
                <w:sz w:val="20"/>
                <w:szCs w:val="20"/>
                <w:u w:val="single"/>
              </w:rPr>
            </w:pPr>
          </w:p>
        </w:tc>
        <w:tc>
          <w:tcPr>
            <w:tcW w:w="2040" w:type="dxa"/>
            <w:tcBorders>
              <w:top w:val="nil"/>
              <w:left w:val="nil"/>
              <w:bottom w:val="nil"/>
              <w:right w:val="nil"/>
            </w:tcBorders>
            <w:shd w:val="clear" w:color="auto" w:fill="auto"/>
            <w:noWrap/>
            <w:vAlign w:val="bottom"/>
            <w:hideMark/>
          </w:tcPr>
          <w:p w14:paraId="78FEDB56" w14:textId="77777777" w:rsidR="000B22B5" w:rsidRDefault="000B22B5" w:rsidP="00BD3DB7">
            <w:pPr>
              <w:rPr>
                <w:sz w:val="20"/>
                <w:szCs w:val="20"/>
              </w:rPr>
            </w:pPr>
          </w:p>
        </w:tc>
        <w:tc>
          <w:tcPr>
            <w:tcW w:w="2140" w:type="dxa"/>
            <w:tcBorders>
              <w:top w:val="nil"/>
              <w:left w:val="nil"/>
              <w:bottom w:val="nil"/>
              <w:right w:val="single" w:sz="8" w:space="0" w:color="auto"/>
            </w:tcBorders>
            <w:shd w:val="clear" w:color="auto" w:fill="auto"/>
            <w:noWrap/>
            <w:vAlign w:val="center"/>
            <w:hideMark/>
          </w:tcPr>
          <w:p w14:paraId="64315838" w14:textId="77777777" w:rsidR="000B22B5" w:rsidRDefault="000B22B5" w:rsidP="00BD3DB7">
            <w:pPr>
              <w:jc w:val="right"/>
              <w:rPr>
                <w:color w:val="000000"/>
                <w:sz w:val="20"/>
                <w:szCs w:val="20"/>
              </w:rPr>
            </w:pPr>
            <w:r>
              <w:rPr>
                <w:color w:val="000000"/>
                <w:sz w:val="20"/>
                <w:szCs w:val="20"/>
              </w:rPr>
              <w:t> </w:t>
            </w:r>
          </w:p>
        </w:tc>
      </w:tr>
      <w:tr w:rsidR="000B22B5" w14:paraId="70E5624C"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5AF1AC85" w14:textId="77777777" w:rsidR="000B22B5" w:rsidRDefault="000B22B5" w:rsidP="00BD3DB7">
            <w:pPr>
              <w:rPr>
                <w:color w:val="000000"/>
                <w:sz w:val="20"/>
                <w:szCs w:val="20"/>
              </w:rPr>
            </w:pPr>
            <w:r>
              <w:rPr>
                <w:color w:val="000000"/>
                <w:sz w:val="20"/>
                <w:szCs w:val="20"/>
              </w:rPr>
              <w:t>2,000 Gallons</w:t>
            </w:r>
          </w:p>
        </w:tc>
        <w:tc>
          <w:tcPr>
            <w:tcW w:w="1750" w:type="dxa"/>
            <w:tcBorders>
              <w:top w:val="nil"/>
              <w:left w:val="nil"/>
              <w:bottom w:val="nil"/>
              <w:right w:val="nil"/>
            </w:tcBorders>
            <w:shd w:val="clear" w:color="auto" w:fill="auto"/>
            <w:noWrap/>
            <w:vAlign w:val="center"/>
            <w:hideMark/>
          </w:tcPr>
          <w:p w14:paraId="04744AC1" w14:textId="77777777" w:rsidR="000B22B5" w:rsidRDefault="000B22B5" w:rsidP="00BD3DB7">
            <w:pPr>
              <w:jc w:val="right"/>
              <w:rPr>
                <w:color w:val="000000"/>
                <w:sz w:val="20"/>
                <w:szCs w:val="20"/>
              </w:rPr>
            </w:pPr>
            <w:r>
              <w:rPr>
                <w:color w:val="000000"/>
                <w:sz w:val="20"/>
                <w:szCs w:val="20"/>
              </w:rPr>
              <w:t xml:space="preserve">$12.24 </w:t>
            </w:r>
          </w:p>
        </w:tc>
        <w:tc>
          <w:tcPr>
            <w:tcW w:w="2040" w:type="dxa"/>
            <w:tcBorders>
              <w:top w:val="nil"/>
              <w:left w:val="nil"/>
              <w:bottom w:val="nil"/>
              <w:right w:val="nil"/>
            </w:tcBorders>
            <w:shd w:val="clear" w:color="auto" w:fill="auto"/>
            <w:noWrap/>
            <w:vAlign w:val="center"/>
            <w:hideMark/>
          </w:tcPr>
          <w:p w14:paraId="7C6478D2" w14:textId="77777777" w:rsidR="000B22B5" w:rsidRDefault="000B22B5" w:rsidP="00BD3DB7">
            <w:pPr>
              <w:jc w:val="right"/>
              <w:rPr>
                <w:color w:val="000000"/>
                <w:sz w:val="20"/>
                <w:szCs w:val="20"/>
              </w:rPr>
            </w:pPr>
            <w:r>
              <w:rPr>
                <w:color w:val="000000"/>
                <w:sz w:val="20"/>
                <w:szCs w:val="20"/>
              </w:rPr>
              <w:t xml:space="preserve">$22.95 </w:t>
            </w:r>
          </w:p>
        </w:tc>
        <w:tc>
          <w:tcPr>
            <w:tcW w:w="2140" w:type="dxa"/>
            <w:tcBorders>
              <w:top w:val="nil"/>
              <w:left w:val="nil"/>
              <w:bottom w:val="nil"/>
              <w:right w:val="single" w:sz="8" w:space="0" w:color="auto"/>
            </w:tcBorders>
            <w:shd w:val="clear" w:color="auto" w:fill="auto"/>
            <w:noWrap/>
            <w:vAlign w:val="center"/>
            <w:hideMark/>
          </w:tcPr>
          <w:p w14:paraId="357BFEA9" w14:textId="77777777" w:rsidR="000B22B5" w:rsidRDefault="000B22B5" w:rsidP="00BD3DB7">
            <w:pPr>
              <w:jc w:val="right"/>
              <w:rPr>
                <w:color w:val="000000"/>
                <w:sz w:val="20"/>
                <w:szCs w:val="20"/>
              </w:rPr>
            </w:pPr>
            <w:r>
              <w:rPr>
                <w:color w:val="000000"/>
                <w:sz w:val="20"/>
                <w:szCs w:val="20"/>
              </w:rPr>
              <w:t> </w:t>
            </w:r>
          </w:p>
        </w:tc>
      </w:tr>
      <w:tr w:rsidR="000B22B5" w14:paraId="06E8A2B3" w14:textId="77777777" w:rsidTr="00BD3DB7">
        <w:trPr>
          <w:trHeight w:val="300"/>
          <w:jc w:val="center"/>
        </w:trPr>
        <w:tc>
          <w:tcPr>
            <w:tcW w:w="5030" w:type="dxa"/>
            <w:tcBorders>
              <w:top w:val="nil"/>
              <w:left w:val="single" w:sz="8" w:space="0" w:color="auto"/>
              <w:bottom w:val="nil"/>
              <w:right w:val="nil"/>
            </w:tcBorders>
            <w:shd w:val="clear" w:color="auto" w:fill="auto"/>
            <w:noWrap/>
            <w:vAlign w:val="center"/>
            <w:hideMark/>
          </w:tcPr>
          <w:p w14:paraId="2AF8F3B3" w14:textId="77777777" w:rsidR="000B22B5" w:rsidRDefault="000B22B5" w:rsidP="00BD3DB7">
            <w:pPr>
              <w:rPr>
                <w:color w:val="000000"/>
                <w:sz w:val="20"/>
                <w:szCs w:val="20"/>
              </w:rPr>
            </w:pPr>
            <w:r>
              <w:rPr>
                <w:color w:val="000000"/>
                <w:sz w:val="20"/>
                <w:szCs w:val="20"/>
              </w:rPr>
              <w:t>6,000 Gallons</w:t>
            </w:r>
          </w:p>
        </w:tc>
        <w:tc>
          <w:tcPr>
            <w:tcW w:w="1750" w:type="dxa"/>
            <w:tcBorders>
              <w:top w:val="nil"/>
              <w:left w:val="nil"/>
              <w:bottom w:val="nil"/>
              <w:right w:val="nil"/>
            </w:tcBorders>
            <w:shd w:val="clear" w:color="auto" w:fill="auto"/>
            <w:noWrap/>
            <w:vAlign w:val="center"/>
            <w:hideMark/>
          </w:tcPr>
          <w:p w14:paraId="2BA9D7B2" w14:textId="77777777" w:rsidR="000B22B5" w:rsidRDefault="000B22B5" w:rsidP="00BD3DB7">
            <w:pPr>
              <w:jc w:val="right"/>
              <w:rPr>
                <w:color w:val="000000"/>
                <w:sz w:val="20"/>
                <w:szCs w:val="20"/>
              </w:rPr>
            </w:pPr>
            <w:r>
              <w:rPr>
                <w:color w:val="000000"/>
                <w:sz w:val="20"/>
                <w:szCs w:val="20"/>
              </w:rPr>
              <w:t xml:space="preserve">$31.96 </w:t>
            </w:r>
          </w:p>
        </w:tc>
        <w:tc>
          <w:tcPr>
            <w:tcW w:w="2040" w:type="dxa"/>
            <w:tcBorders>
              <w:top w:val="nil"/>
              <w:left w:val="nil"/>
              <w:bottom w:val="nil"/>
              <w:right w:val="nil"/>
            </w:tcBorders>
            <w:shd w:val="clear" w:color="auto" w:fill="auto"/>
            <w:noWrap/>
            <w:vAlign w:val="center"/>
            <w:hideMark/>
          </w:tcPr>
          <w:p w14:paraId="2DC48DF3" w14:textId="77777777" w:rsidR="000B22B5" w:rsidRDefault="000B22B5" w:rsidP="00BD3DB7">
            <w:pPr>
              <w:jc w:val="right"/>
              <w:rPr>
                <w:color w:val="000000"/>
                <w:sz w:val="20"/>
                <w:szCs w:val="20"/>
              </w:rPr>
            </w:pPr>
            <w:r>
              <w:rPr>
                <w:color w:val="000000"/>
                <w:sz w:val="20"/>
                <w:szCs w:val="20"/>
              </w:rPr>
              <w:t xml:space="preserve">$45.15 </w:t>
            </w:r>
          </w:p>
        </w:tc>
        <w:tc>
          <w:tcPr>
            <w:tcW w:w="2140" w:type="dxa"/>
            <w:tcBorders>
              <w:top w:val="nil"/>
              <w:left w:val="nil"/>
              <w:bottom w:val="nil"/>
              <w:right w:val="single" w:sz="8" w:space="0" w:color="auto"/>
            </w:tcBorders>
            <w:shd w:val="clear" w:color="auto" w:fill="auto"/>
            <w:noWrap/>
            <w:vAlign w:val="center"/>
            <w:hideMark/>
          </w:tcPr>
          <w:p w14:paraId="68866549" w14:textId="77777777" w:rsidR="000B22B5" w:rsidRDefault="000B22B5" w:rsidP="00BD3DB7">
            <w:pPr>
              <w:jc w:val="right"/>
              <w:rPr>
                <w:color w:val="000000"/>
                <w:sz w:val="20"/>
                <w:szCs w:val="20"/>
              </w:rPr>
            </w:pPr>
            <w:r>
              <w:rPr>
                <w:color w:val="000000"/>
                <w:sz w:val="20"/>
                <w:szCs w:val="20"/>
              </w:rPr>
              <w:t> </w:t>
            </w:r>
          </w:p>
        </w:tc>
      </w:tr>
      <w:tr w:rsidR="000B22B5" w14:paraId="2B6CEF0F" w14:textId="77777777" w:rsidTr="00BD3DB7">
        <w:trPr>
          <w:trHeight w:val="315"/>
          <w:jc w:val="center"/>
        </w:trPr>
        <w:tc>
          <w:tcPr>
            <w:tcW w:w="5030" w:type="dxa"/>
            <w:tcBorders>
              <w:top w:val="nil"/>
              <w:left w:val="single" w:sz="8" w:space="0" w:color="auto"/>
              <w:bottom w:val="single" w:sz="8" w:space="0" w:color="auto"/>
              <w:right w:val="nil"/>
            </w:tcBorders>
            <w:shd w:val="clear" w:color="auto" w:fill="auto"/>
            <w:noWrap/>
            <w:vAlign w:val="center"/>
            <w:hideMark/>
          </w:tcPr>
          <w:p w14:paraId="25B66633" w14:textId="77777777" w:rsidR="000B22B5" w:rsidRDefault="000B22B5" w:rsidP="00BD3DB7">
            <w:pPr>
              <w:rPr>
                <w:color w:val="000000"/>
                <w:sz w:val="20"/>
                <w:szCs w:val="20"/>
              </w:rPr>
            </w:pPr>
            <w:r>
              <w:rPr>
                <w:color w:val="000000"/>
                <w:sz w:val="20"/>
                <w:szCs w:val="20"/>
              </w:rPr>
              <w:t>8,000 Gallons</w:t>
            </w:r>
          </w:p>
        </w:tc>
        <w:tc>
          <w:tcPr>
            <w:tcW w:w="1750" w:type="dxa"/>
            <w:tcBorders>
              <w:top w:val="nil"/>
              <w:left w:val="nil"/>
              <w:bottom w:val="single" w:sz="8" w:space="0" w:color="auto"/>
              <w:right w:val="nil"/>
            </w:tcBorders>
            <w:shd w:val="clear" w:color="auto" w:fill="auto"/>
            <w:noWrap/>
            <w:vAlign w:val="center"/>
            <w:hideMark/>
          </w:tcPr>
          <w:p w14:paraId="617B7CB4" w14:textId="77777777" w:rsidR="000B22B5" w:rsidRDefault="000B22B5" w:rsidP="00BD3DB7">
            <w:pPr>
              <w:jc w:val="right"/>
              <w:rPr>
                <w:color w:val="000000"/>
                <w:sz w:val="20"/>
                <w:szCs w:val="20"/>
              </w:rPr>
            </w:pPr>
            <w:r>
              <w:rPr>
                <w:color w:val="000000"/>
                <w:sz w:val="20"/>
                <w:szCs w:val="20"/>
              </w:rPr>
              <w:t xml:space="preserve">$41.82 </w:t>
            </w:r>
          </w:p>
        </w:tc>
        <w:tc>
          <w:tcPr>
            <w:tcW w:w="2040" w:type="dxa"/>
            <w:tcBorders>
              <w:top w:val="nil"/>
              <w:left w:val="nil"/>
              <w:bottom w:val="single" w:sz="8" w:space="0" w:color="auto"/>
              <w:right w:val="nil"/>
            </w:tcBorders>
            <w:shd w:val="clear" w:color="auto" w:fill="auto"/>
            <w:noWrap/>
            <w:vAlign w:val="center"/>
            <w:hideMark/>
          </w:tcPr>
          <w:p w14:paraId="596BFED9" w14:textId="77777777" w:rsidR="000B22B5" w:rsidRDefault="000B22B5" w:rsidP="00BD3DB7">
            <w:pPr>
              <w:jc w:val="right"/>
              <w:rPr>
                <w:color w:val="000000"/>
                <w:sz w:val="20"/>
                <w:szCs w:val="20"/>
              </w:rPr>
            </w:pPr>
            <w:r>
              <w:rPr>
                <w:color w:val="000000"/>
                <w:sz w:val="20"/>
                <w:szCs w:val="20"/>
              </w:rPr>
              <w:t xml:space="preserve">$45.15 </w:t>
            </w:r>
          </w:p>
        </w:tc>
        <w:tc>
          <w:tcPr>
            <w:tcW w:w="2140" w:type="dxa"/>
            <w:tcBorders>
              <w:top w:val="nil"/>
              <w:left w:val="nil"/>
              <w:bottom w:val="single" w:sz="8" w:space="0" w:color="auto"/>
              <w:right w:val="single" w:sz="8" w:space="0" w:color="auto"/>
            </w:tcBorders>
            <w:shd w:val="clear" w:color="auto" w:fill="auto"/>
            <w:noWrap/>
            <w:vAlign w:val="center"/>
            <w:hideMark/>
          </w:tcPr>
          <w:p w14:paraId="1F1CB588" w14:textId="77777777" w:rsidR="000B22B5" w:rsidRDefault="000B22B5" w:rsidP="00BD3DB7">
            <w:pPr>
              <w:jc w:val="right"/>
              <w:rPr>
                <w:color w:val="000000"/>
                <w:sz w:val="20"/>
                <w:szCs w:val="20"/>
              </w:rPr>
            </w:pPr>
            <w:r>
              <w:rPr>
                <w:color w:val="000000"/>
                <w:sz w:val="20"/>
                <w:szCs w:val="20"/>
              </w:rPr>
              <w:t> </w:t>
            </w:r>
          </w:p>
        </w:tc>
      </w:tr>
      <w:tr w:rsidR="000B22B5" w14:paraId="02395096" w14:textId="77777777" w:rsidTr="00BD3DB7">
        <w:trPr>
          <w:trHeight w:val="300"/>
          <w:jc w:val="center"/>
        </w:trPr>
        <w:tc>
          <w:tcPr>
            <w:tcW w:w="10960" w:type="dxa"/>
            <w:gridSpan w:val="4"/>
            <w:tcBorders>
              <w:top w:val="nil"/>
              <w:left w:val="nil"/>
              <w:bottom w:val="nil"/>
              <w:right w:val="nil"/>
            </w:tcBorders>
            <w:shd w:val="clear" w:color="auto" w:fill="auto"/>
            <w:noWrap/>
            <w:vAlign w:val="center"/>
            <w:hideMark/>
          </w:tcPr>
          <w:p w14:paraId="0D1BE553" w14:textId="77777777" w:rsidR="000B22B5" w:rsidRDefault="000B22B5" w:rsidP="00BD3DB7">
            <w:pPr>
              <w:rPr>
                <w:color w:val="000000"/>
                <w:sz w:val="20"/>
                <w:szCs w:val="20"/>
              </w:rPr>
            </w:pPr>
            <w:r>
              <w:rPr>
                <w:color w:val="000000"/>
                <w:sz w:val="20"/>
                <w:szCs w:val="20"/>
              </w:rPr>
              <w:t>*Wastewater charges are now subject to a gallonage cap. This cap did not apply under previous rate schedules</w:t>
            </w:r>
          </w:p>
        </w:tc>
      </w:tr>
    </w:tbl>
    <w:p w14:paraId="34118FF0" w14:textId="77777777" w:rsidR="00EF55B6" w:rsidRDefault="00EF55B6" w:rsidP="00E275D8">
      <w:pPr>
        <w:pStyle w:val="BodyText"/>
      </w:pPr>
    </w:p>
    <w:p w14:paraId="20CBA84E" w14:textId="77777777" w:rsidR="00EF55B6" w:rsidRDefault="00EF55B6" w:rsidP="00E275D8">
      <w:pPr>
        <w:pStyle w:val="BodyText"/>
      </w:pPr>
    </w:p>
    <w:sectPr w:rsidR="00EF55B6" w:rsidSect="0068481F">
      <w:headerReference w:type="default" r:id="rId3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FA531" w14:textId="77777777" w:rsidR="00BD3DB7" w:rsidRDefault="00BD3DB7">
      <w:r>
        <w:separator/>
      </w:r>
    </w:p>
  </w:endnote>
  <w:endnote w:type="continuationSeparator" w:id="0">
    <w:p w14:paraId="40AE8BBA" w14:textId="77777777" w:rsidR="00BD3DB7" w:rsidRDefault="00BD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47FFB" w14:textId="77777777" w:rsidR="0002012B" w:rsidRDefault="00020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A23AC" w14:textId="67609998" w:rsidR="00BD3DB7" w:rsidRDefault="00BD3DB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17DA8">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0ED7" w14:textId="77777777" w:rsidR="0002012B" w:rsidRDefault="000201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FF43" w14:textId="77777777" w:rsidR="00BD3DB7" w:rsidRDefault="00BD3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8D00D" w14:textId="77777777" w:rsidR="00BD3DB7" w:rsidRDefault="00BD3DB7">
      <w:r>
        <w:separator/>
      </w:r>
    </w:p>
  </w:footnote>
  <w:footnote w:type="continuationSeparator" w:id="0">
    <w:p w14:paraId="470456B2" w14:textId="77777777" w:rsidR="00BD3DB7" w:rsidRDefault="00BD3DB7">
      <w:r>
        <w:continuationSeparator/>
      </w:r>
    </w:p>
  </w:footnote>
  <w:footnote w:id="1">
    <w:p w14:paraId="20D88DB9" w14:textId="77777777" w:rsidR="00BD3DB7" w:rsidRPr="009B79C3" w:rsidRDefault="00BD3DB7" w:rsidP="00BD3DB7">
      <w:pPr>
        <w:pStyle w:val="FootnoteText"/>
      </w:pPr>
      <w:r>
        <w:rPr>
          <w:rStyle w:val="FootnoteReference"/>
        </w:rPr>
        <w:footnoteRef/>
      </w:r>
      <w:r>
        <w:t xml:space="preserve"> Order No. PSC-2022-0246-PAA-SU, issued June 28, 2022, in Docket No. 20210191-SU, </w:t>
      </w:r>
      <w:r w:rsidRPr="00CF71AE">
        <w:rPr>
          <w:i/>
        </w:rPr>
        <w:t xml:space="preserve">In re: Application for </w:t>
      </w:r>
      <w:r>
        <w:rPr>
          <w:i/>
        </w:rPr>
        <w:t xml:space="preserve">certificate to provide </w:t>
      </w:r>
      <w:r w:rsidRPr="00CF71AE">
        <w:rPr>
          <w:i/>
        </w:rPr>
        <w:t xml:space="preserve">wastewater </w:t>
      </w:r>
      <w:r>
        <w:rPr>
          <w:i/>
        </w:rPr>
        <w:t xml:space="preserve">service in Orange County by Gulfstream </w:t>
      </w:r>
      <w:r w:rsidRPr="00CF71AE">
        <w:rPr>
          <w:i/>
        </w:rPr>
        <w:t>Utility LLC</w:t>
      </w:r>
      <w:r>
        <w:t>.</w:t>
      </w:r>
    </w:p>
  </w:footnote>
  <w:footnote w:id="2">
    <w:p w14:paraId="657E7E3A" w14:textId="6B19EE47" w:rsidR="00BD3DB7" w:rsidRPr="00237DED" w:rsidRDefault="00BD3DB7" w:rsidP="00672E0C">
      <w:pPr>
        <w:pStyle w:val="FootnoteText"/>
        <w:rPr>
          <w:i/>
        </w:rPr>
      </w:pPr>
      <w:r>
        <w:rPr>
          <w:rStyle w:val="FootnoteReference"/>
        </w:rPr>
        <w:footnoteRef/>
      </w:r>
      <w:r>
        <w:t xml:space="preserve"> Document No. 13066-2021, filed December 15, 202</w:t>
      </w:r>
      <w:r w:rsidR="007E315F">
        <w:t>1, in Docket No. 20210191-SU</w:t>
      </w:r>
      <w:r>
        <w:t>.</w:t>
      </w:r>
    </w:p>
  </w:footnote>
  <w:footnote w:id="3">
    <w:p w14:paraId="40BD76AC" w14:textId="334C69D1" w:rsidR="00BD3DB7" w:rsidRPr="00050142" w:rsidRDefault="00BD3DB7" w:rsidP="00672E0C">
      <w:pPr>
        <w:pStyle w:val="FootnoteText"/>
        <w:rPr>
          <w:i/>
        </w:rPr>
      </w:pPr>
      <w:r>
        <w:rPr>
          <w:rStyle w:val="FootnoteReference"/>
        </w:rPr>
        <w:footnoteRef/>
      </w:r>
      <w:r>
        <w:t xml:space="preserve"> </w:t>
      </w:r>
      <w:r w:rsidR="007E315F" w:rsidRPr="00906D10">
        <w:rPr>
          <w:i/>
        </w:rPr>
        <w:t>E.g.</w:t>
      </w:r>
      <w:r w:rsidR="007E315F">
        <w:t xml:space="preserve">, </w:t>
      </w:r>
      <w:r w:rsidR="007E315F" w:rsidRPr="00050142">
        <w:t>Order</w:t>
      </w:r>
      <w:r w:rsidRPr="00050142">
        <w:t xml:space="preserve"> No. </w:t>
      </w:r>
      <w:r>
        <w:t>PSC-2025-0359-PAA-WU</w:t>
      </w:r>
      <w:r w:rsidRPr="00050142">
        <w:t xml:space="preserve">, issued </w:t>
      </w:r>
      <w:r>
        <w:t>September</w:t>
      </w:r>
      <w:r w:rsidRPr="00050142">
        <w:t xml:space="preserve"> </w:t>
      </w:r>
      <w:r>
        <w:t>24</w:t>
      </w:r>
      <w:r w:rsidRPr="00050142">
        <w:t xml:space="preserve">, 2025, in Docket No. </w:t>
      </w:r>
      <w:r>
        <w:t>20240168-WU</w:t>
      </w:r>
      <w:r w:rsidRPr="00050142">
        <w:t xml:space="preserve">, </w:t>
      </w:r>
      <w:r w:rsidRPr="00050142">
        <w:rPr>
          <w:i/>
        </w:rPr>
        <w:t>In re: Application for</w:t>
      </w:r>
      <w:r>
        <w:rPr>
          <w:i/>
        </w:rPr>
        <w:t xml:space="preserve"> staff</w:t>
      </w:r>
      <w:r w:rsidRPr="00050142">
        <w:rPr>
          <w:i/>
        </w:rPr>
        <w:t xml:space="preserve">-assisted rate case in </w:t>
      </w:r>
      <w:r>
        <w:rPr>
          <w:i/>
        </w:rPr>
        <w:t>Highlands</w:t>
      </w:r>
      <w:r w:rsidRPr="00050142">
        <w:rPr>
          <w:i/>
        </w:rPr>
        <w:t xml:space="preserve"> County, by </w:t>
      </w:r>
      <w:r>
        <w:rPr>
          <w:i/>
        </w:rPr>
        <w:t>Country Walk Utilities</w:t>
      </w:r>
      <w:r w:rsidRPr="00050142">
        <w:rPr>
          <w:i/>
        </w:rPr>
        <w:t>,</w:t>
      </w:r>
      <w:r>
        <w:rPr>
          <w:i/>
        </w:rPr>
        <w:t xml:space="preserve"> Inc.</w:t>
      </w:r>
    </w:p>
  </w:footnote>
  <w:footnote w:id="4">
    <w:p w14:paraId="0CEB928A" w14:textId="5755A6FA" w:rsidR="00BD3DB7" w:rsidRDefault="00BD3DB7" w:rsidP="00672E0C">
      <w:pPr>
        <w:pStyle w:val="FootnoteText"/>
      </w:pPr>
      <w:r>
        <w:rPr>
          <w:rStyle w:val="FootnoteReference"/>
        </w:rPr>
        <w:footnoteRef/>
      </w:r>
      <w:r>
        <w:t xml:space="preserve"> Order No. PSC-2025-0213-PAA-WS, issued on June 18, 2025, in Docket No. 20250006-</w:t>
      </w:r>
      <w:r w:rsidR="007E315F" w:rsidRPr="007E315F">
        <w:t xml:space="preserve"> </w:t>
      </w:r>
      <w:r w:rsidR="007E315F">
        <w:t xml:space="preserve">WS, </w:t>
      </w:r>
      <w:r w:rsidR="007E315F" w:rsidRPr="007C0137">
        <w:rPr>
          <w:i/>
        </w:rPr>
        <w:t>In</w:t>
      </w:r>
      <w:r w:rsidRPr="007C0137">
        <w:rPr>
          <w:i/>
        </w:rPr>
        <w:t xml:space="preserve"> re: Water and wastewater industry annual reestablishment of authorized range of return on common equity for water and wastewater utilities pursuant to Section 367.081(4</w:t>
      </w:r>
      <w:proofErr w:type="gramStart"/>
      <w:r w:rsidRPr="007C0137">
        <w:rPr>
          <w:i/>
        </w:rPr>
        <w:t>)(</w:t>
      </w:r>
      <w:proofErr w:type="gramEnd"/>
      <w:r>
        <w:rPr>
          <w:i/>
        </w:rPr>
        <w:t>f</w:t>
      </w:r>
      <w:r w:rsidRPr="007C0137">
        <w:rPr>
          <w:i/>
        </w:rPr>
        <w:t>), F.S.</w:t>
      </w:r>
    </w:p>
  </w:footnote>
  <w:footnote w:id="5">
    <w:p w14:paraId="7C18530B" w14:textId="77777777" w:rsidR="001267CF" w:rsidRDefault="001267CF" w:rsidP="001267CF">
      <w:pPr>
        <w:pStyle w:val="FootnoteText"/>
      </w:pPr>
      <w:r>
        <w:rPr>
          <w:rStyle w:val="FootnoteReference"/>
        </w:rPr>
        <w:footnoteRef/>
      </w:r>
      <w:r>
        <w:t xml:space="preserve"> Document No. 01096-2026, filed February 13, 2026, in Docket No. 20250084-SU.</w:t>
      </w:r>
    </w:p>
  </w:footnote>
  <w:footnote w:id="6">
    <w:p w14:paraId="3EBF2724" w14:textId="77777777" w:rsidR="00BD3DB7" w:rsidRDefault="00BD3DB7" w:rsidP="00672E0C">
      <w:pPr>
        <w:pStyle w:val="FootnoteText"/>
      </w:pPr>
      <w:r>
        <w:rPr>
          <w:rStyle w:val="FootnoteReference"/>
        </w:rPr>
        <w:footnoteRef/>
      </w:r>
      <w:r>
        <w:t xml:space="preserve"> Staff notes calculations may not sum due to rounding.</w:t>
      </w:r>
    </w:p>
  </w:footnote>
  <w:footnote w:id="7">
    <w:p w14:paraId="67B20A8F" w14:textId="77777777" w:rsidR="001267CF" w:rsidRDefault="001267CF" w:rsidP="001267CF">
      <w:pPr>
        <w:pStyle w:val="FootnoteText"/>
      </w:pPr>
      <w:r>
        <w:rPr>
          <w:rStyle w:val="FootnoteReference"/>
        </w:rPr>
        <w:footnoteRef/>
      </w:r>
      <w:r w:rsidRPr="006B134E">
        <w:rPr>
          <w:sz w:val="10"/>
          <w:szCs w:val="10"/>
        </w:rPr>
        <w:t xml:space="preserve"> </w:t>
      </w:r>
      <w:r>
        <w:t xml:space="preserve">Order No. PSC-2017-0459-PAA-WS, issued November 30, 2017, in Docket No. 20160176-WS, </w:t>
      </w:r>
      <w:r w:rsidRPr="003C692B">
        <w:rPr>
          <w:i/>
        </w:rPr>
        <w:t>In re: Application for staff-assisted rate case in Polk County by Four Lakes Golf Club, Ltd.</w:t>
      </w:r>
    </w:p>
  </w:footnote>
  <w:footnote w:id="8">
    <w:p w14:paraId="2C9C94D2" w14:textId="77777777" w:rsidR="001267CF" w:rsidRPr="00DB010A" w:rsidRDefault="001267CF" w:rsidP="001267CF">
      <w:pPr>
        <w:autoSpaceDE w:val="0"/>
        <w:autoSpaceDN w:val="0"/>
        <w:adjustRightInd w:val="0"/>
        <w:rPr>
          <w:i/>
          <w:iCs/>
          <w:sz w:val="20"/>
          <w:szCs w:val="20"/>
        </w:rPr>
      </w:pPr>
      <w:r>
        <w:rPr>
          <w:rStyle w:val="FootnoteReference"/>
        </w:rPr>
        <w:footnoteRef/>
      </w:r>
      <w:r>
        <w:rPr>
          <w:sz w:val="20"/>
          <w:szCs w:val="20"/>
        </w:rPr>
        <w:t xml:space="preserve"> </w:t>
      </w:r>
      <w:r w:rsidRPr="00DB010A">
        <w:rPr>
          <w:sz w:val="20"/>
          <w:szCs w:val="20"/>
        </w:rPr>
        <w:t>Order No. PSC-15-0142-PAA-SU, issued March 26,</w:t>
      </w:r>
      <w:r>
        <w:rPr>
          <w:sz w:val="20"/>
          <w:szCs w:val="20"/>
        </w:rPr>
        <w:t xml:space="preserve"> </w:t>
      </w:r>
      <w:r w:rsidRPr="00DB010A">
        <w:rPr>
          <w:sz w:val="20"/>
          <w:szCs w:val="20"/>
        </w:rPr>
        <w:t xml:space="preserve">2015, in Docket No. </w:t>
      </w:r>
      <w:r>
        <w:rPr>
          <w:sz w:val="20"/>
          <w:szCs w:val="20"/>
        </w:rPr>
        <w:t>20</w:t>
      </w:r>
      <w:r w:rsidRPr="00DB010A">
        <w:rPr>
          <w:sz w:val="20"/>
          <w:szCs w:val="20"/>
        </w:rPr>
        <w:t xml:space="preserve">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r w:rsidRPr="00906D10">
        <w:rPr>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9BD1" w14:textId="77777777" w:rsidR="0002012B" w:rsidRDefault="000201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3A29E" w14:textId="40C38631" w:rsidR="00BD3DB7" w:rsidRDefault="00BD3DB7" w:rsidP="00D4074B">
    <w:pPr>
      <w:pStyle w:val="Header"/>
      <w:tabs>
        <w:tab w:val="clear" w:pos="4320"/>
        <w:tab w:val="clear" w:pos="8640"/>
        <w:tab w:val="left" w:pos="7560"/>
      </w:tabs>
    </w:pPr>
    <w:r>
      <w:fldChar w:fldCharType="begin"/>
    </w:r>
    <w:r>
      <w:instrText xml:space="preserve"> REF DocketLabel</w:instrText>
    </w:r>
    <w:r>
      <w:fldChar w:fldCharType="separate"/>
    </w:r>
    <w:r w:rsidR="0002012B">
      <w:t>Docket No.</w:t>
    </w:r>
    <w:r>
      <w:fldChar w:fldCharType="end"/>
    </w:r>
    <w:r>
      <w:t xml:space="preserve"> </w:t>
    </w:r>
    <w:r>
      <w:fldChar w:fldCharType="begin"/>
    </w:r>
    <w:r>
      <w:instrText xml:space="preserve"> REF DocketList</w:instrText>
    </w:r>
    <w:r>
      <w:fldChar w:fldCharType="separate"/>
    </w:r>
    <w:r w:rsidR="0002012B">
      <w:t>20250084-SU</w:t>
    </w:r>
    <w:r>
      <w:fldChar w:fldCharType="end"/>
    </w:r>
    <w:r>
      <w:tab/>
      <w:t>Schedule No. 3-B</w:t>
    </w:r>
  </w:p>
  <w:p w14:paraId="19023183" w14:textId="7FCC0119" w:rsidR="00BD3DB7" w:rsidRDefault="00BD3DB7">
    <w:pPr>
      <w:pStyle w:val="Header"/>
    </w:pPr>
    <w:r>
      <w:t xml:space="preserve">Date: </w:t>
    </w:r>
    <w:fldSimple w:instr=" REF FilingDate ">
      <w:r w:rsidR="0002012B">
        <w:t>March 26, 2026</w:t>
      </w:r>
    </w:fldSimple>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E96E1" w14:textId="295A41A2" w:rsidR="00BD3DB7" w:rsidRDefault="00BD3DB7" w:rsidP="00D4074B">
    <w:pPr>
      <w:pStyle w:val="Header"/>
      <w:tabs>
        <w:tab w:val="clear" w:pos="4320"/>
        <w:tab w:val="clear" w:pos="8640"/>
        <w:tab w:val="left" w:pos="7560"/>
      </w:tabs>
    </w:pPr>
    <w:r>
      <w:fldChar w:fldCharType="begin"/>
    </w:r>
    <w:r>
      <w:instrText xml:space="preserve"> REF DocketLabel</w:instrText>
    </w:r>
    <w:r>
      <w:fldChar w:fldCharType="separate"/>
    </w:r>
    <w:r w:rsidR="0002012B">
      <w:t>Docket No.</w:t>
    </w:r>
    <w:r>
      <w:fldChar w:fldCharType="end"/>
    </w:r>
    <w:r>
      <w:t xml:space="preserve"> </w:t>
    </w:r>
    <w:r>
      <w:fldChar w:fldCharType="begin"/>
    </w:r>
    <w:r>
      <w:instrText xml:space="preserve"> REF DocketList</w:instrText>
    </w:r>
    <w:r>
      <w:fldChar w:fldCharType="separate"/>
    </w:r>
    <w:r w:rsidR="0002012B">
      <w:t>20250084-SU</w:t>
    </w:r>
    <w:r>
      <w:fldChar w:fldCharType="end"/>
    </w:r>
    <w:r>
      <w:tab/>
      <w:t>Schedule No. 3-C</w:t>
    </w:r>
  </w:p>
  <w:p w14:paraId="6CDF1771" w14:textId="717BCB69" w:rsidR="00BD3DB7" w:rsidRDefault="00BD3DB7">
    <w:pPr>
      <w:pStyle w:val="Header"/>
    </w:pPr>
    <w:r>
      <w:t xml:space="preserve">Date: </w:t>
    </w:r>
    <w:fldSimple w:instr=" REF FilingDate ">
      <w:r w:rsidR="0002012B">
        <w:t>March 26, 2026</w:t>
      </w:r>
    </w:fldSimple>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7333F" w14:textId="0E50D902" w:rsidR="00BD3DB7" w:rsidRDefault="00BD3DB7" w:rsidP="00220732">
    <w:pPr>
      <w:pStyle w:val="Header"/>
      <w:tabs>
        <w:tab w:val="clear" w:pos="4320"/>
        <w:tab w:val="clear" w:pos="8640"/>
        <w:tab w:val="right" w:pos="9360"/>
      </w:tabs>
    </w:pPr>
    <w:r>
      <w:fldChar w:fldCharType="begin"/>
    </w:r>
    <w:r>
      <w:instrText xml:space="preserve"> REF DocketLabel</w:instrText>
    </w:r>
    <w:r>
      <w:fldChar w:fldCharType="separate"/>
    </w:r>
    <w:r w:rsidR="0002012B">
      <w:t>Docket No.</w:t>
    </w:r>
    <w:r>
      <w:fldChar w:fldCharType="end"/>
    </w:r>
    <w:r>
      <w:t xml:space="preserve"> </w:t>
    </w:r>
    <w:r>
      <w:fldChar w:fldCharType="begin"/>
    </w:r>
    <w:r>
      <w:instrText xml:space="preserve"> REF DocketList</w:instrText>
    </w:r>
    <w:r>
      <w:fldChar w:fldCharType="separate"/>
    </w:r>
    <w:r w:rsidR="0002012B">
      <w:t>20250084-SU</w:t>
    </w:r>
    <w:r>
      <w:fldChar w:fldCharType="end"/>
    </w:r>
    <w:r>
      <w:tab/>
      <w:t>Schedule No. 4</w:t>
    </w:r>
  </w:p>
  <w:p w14:paraId="0495D135" w14:textId="61C20B59" w:rsidR="00BD3DB7" w:rsidRDefault="00BD3DB7">
    <w:pPr>
      <w:pStyle w:val="Header"/>
    </w:pPr>
    <w:r>
      <w:t xml:space="preserve">Date: </w:t>
    </w:r>
    <w:fldSimple w:instr=" REF FilingDate ">
      <w:r w:rsidR="0002012B">
        <w:t>March 26, 2026</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6FA5" w14:textId="77777777" w:rsidR="00BD3DB7" w:rsidRDefault="00BD3DB7"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20250084-SU</w:t>
    </w:r>
    <w:bookmarkEnd w:id="14"/>
  </w:p>
  <w:p w14:paraId="1020ECA1" w14:textId="57FCD81C" w:rsidR="00BD3DB7" w:rsidRDefault="00BD3DB7">
    <w:pPr>
      <w:pStyle w:val="Header"/>
    </w:pPr>
    <w:r>
      <w:t xml:space="preserve">Date: </w:t>
    </w:r>
    <w:fldSimple w:instr=" REF FilingDate ">
      <w:r w:rsidR="0002012B">
        <w:t>March 26,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97C2A" w14:textId="77777777" w:rsidR="0002012B" w:rsidRDefault="000201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0FD15" w14:textId="7BA93342" w:rsidR="00BD3DB7" w:rsidRDefault="00BD3DB7" w:rsidP="00220732">
    <w:pPr>
      <w:pStyle w:val="Header"/>
      <w:tabs>
        <w:tab w:val="clear" w:pos="4320"/>
        <w:tab w:val="clear" w:pos="8640"/>
        <w:tab w:val="right" w:pos="9360"/>
      </w:tabs>
    </w:pPr>
    <w:r>
      <w:fldChar w:fldCharType="begin"/>
    </w:r>
    <w:r>
      <w:instrText xml:space="preserve"> REF DocketLabel</w:instrText>
    </w:r>
    <w:r>
      <w:fldChar w:fldCharType="separate"/>
    </w:r>
    <w:r w:rsidR="0002012B">
      <w:t>Docket No.</w:t>
    </w:r>
    <w:r>
      <w:fldChar w:fldCharType="end"/>
    </w:r>
    <w:r>
      <w:t xml:space="preserve"> </w:t>
    </w:r>
    <w:r>
      <w:fldChar w:fldCharType="begin"/>
    </w:r>
    <w:r>
      <w:instrText xml:space="preserve"> REF DocketList</w:instrText>
    </w:r>
    <w:r>
      <w:fldChar w:fldCharType="separate"/>
    </w:r>
    <w:r w:rsidR="0002012B">
      <w:t>20250084-SU</w:t>
    </w:r>
    <w:r>
      <w:fldChar w:fldCharType="end"/>
    </w:r>
    <w:r>
      <w:tab/>
      <w:t xml:space="preserve">Issue </w:t>
    </w:r>
    <w:fldSimple w:instr=" Seq Issue \c \* Arabic ">
      <w:r w:rsidR="00217DA8">
        <w:rPr>
          <w:noProof/>
        </w:rPr>
        <w:t>12</w:t>
      </w:r>
    </w:fldSimple>
  </w:p>
  <w:p w14:paraId="1B4A0505" w14:textId="78000ADA" w:rsidR="00BD3DB7" w:rsidRDefault="00BD3DB7">
    <w:pPr>
      <w:pStyle w:val="Header"/>
    </w:pPr>
    <w:r>
      <w:t xml:space="preserve">Date: </w:t>
    </w:r>
    <w:fldSimple w:instr=" REF FilingDate ">
      <w:r w:rsidR="0002012B">
        <w:t>March 26,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4370" w14:textId="77777777" w:rsidR="00BD3DB7" w:rsidRDefault="00BD3D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271F" w14:textId="714675A1" w:rsidR="00BD3DB7" w:rsidRDefault="00BD3DB7" w:rsidP="00220732">
    <w:pPr>
      <w:pStyle w:val="Header"/>
      <w:tabs>
        <w:tab w:val="clear" w:pos="4320"/>
        <w:tab w:val="clear" w:pos="8640"/>
        <w:tab w:val="right" w:pos="9360"/>
      </w:tabs>
    </w:pPr>
    <w:r>
      <w:fldChar w:fldCharType="begin"/>
    </w:r>
    <w:r>
      <w:instrText xml:space="preserve"> REF DocketLabel</w:instrText>
    </w:r>
    <w:r>
      <w:fldChar w:fldCharType="separate"/>
    </w:r>
    <w:r w:rsidR="0002012B">
      <w:t>Docket No.</w:t>
    </w:r>
    <w:r>
      <w:fldChar w:fldCharType="end"/>
    </w:r>
    <w:r>
      <w:t xml:space="preserve"> </w:t>
    </w:r>
    <w:r>
      <w:fldChar w:fldCharType="begin"/>
    </w:r>
    <w:r>
      <w:instrText xml:space="preserve"> REF DocketList</w:instrText>
    </w:r>
    <w:r>
      <w:fldChar w:fldCharType="separate"/>
    </w:r>
    <w:r w:rsidR="0002012B">
      <w:t>20250084-SU</w:t>
    </w:r>
    <w:r>
      <w:fldChar w:fldCharType="end"/>
    </w:r>
    <w:r>
      <w:tab/>
      <w:t>Schedule No. 1-A</w:t>
    </w:r>
  </w:p>
  <w:p w14:paraId="6CF9A1C8" w14:textId="5CFBEED3" w:rsidR="00BD3DB7" w:rsidRDefault="00BD3DB7">
    <w:pPr>
      <w:pStyle w:val="Header"/>
    </w:pPr>
    <w:r>
      <w:t xml:space="preserve">Date: </w:t>
    </w:r>
    <w:fldSimple w:instr=" REF FilingDate ">
      <w:r w:rsidR="0002012B">
        <w:t>March 26, 2026</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0CEC6" w14:textId="0592CD49" w:rsidR="00BD3DB7" w:rsidRDefault="00BD3DB7" w:rsidP="00220732">
    <w:pPr>
      <w:pStyle w:val="Header"/>
      <w:tabs>
        <w:tab w:val="clear" w:pos="4320"/>
        <w:tab w:val="clear" w:pos="8640"/>
        <w:tab w:val="right" w:pos="9360"/>
      </w:tabs>
    </w:pPr>
    <w:r>
      <w:fldChar w:fldCharType="begin"/>
    </w:r>
    <w:r>
      <w:instrText xml:space="preserve"> REF DocketLabel</w:instrText>
    </w:r>
    <w:r>
      <w:fldChar w:fldCharType="separate"/>
    </w:r>
    <w:r w:rsidR="0002012B">
      <w:t>Docket No.</w:t>
    </w:r>
    <w:r>
      <w:fldChar w:fldCharType="end"/>
    </w:r>
    <w:r>
      <w:t xml:space="preserve"> </w:t>
    </w:r>
    <w:r>
      <w:fldChar w:fldCharType="begin"/>
    </w:r>
    <w:r>
      <w:instrText xml:space="preserve"> REF DocketList</w:instrText>
    </w:r>
    <w:r>
      <w:fldChar w:fldCharType="separate"/>
    </w:r>
    <w:r w:rsidR="0002012B">
      <w:t>20250084-SU</w:t>
    </w:r>
    <w:r>
      <w:fldChar w:fldCharType="end"/>
    </w:r>
    <w:r>
      <w:tab/>
      <w:t>Schedule No. 1-B</w:t>
    </w:r>
  </w:p>
  <w:p w14:paraId="08094572" w14:textId="0BF0B1F7" w:rsidR="00BD3DB7" w:rsidRDefault="00BD3DB7">
    <w:pPr>
      <w:pStyle w:val="Header"/>
    </w:pPr>
    <w:r>
      <w:t xml:space="preserve">Date: </w:t>
    </w:r>
    <w:fldSimple w:instr=" REF FilingDate ">
      <w:r w:rsidR="0002012B">
        <w:t>March 26, 2026</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A2BE" w14:textId="5095F699" w:rsidR="00BD3DB7" w:rsidRDefault="00BD3DB7" w:rsidP="00D4074B">
    <w:pPr>
      <w:pStyle w:val="Header"/>
      <w:tabs>
        <w:tab w:val="clear" w:pos="4320"/>
        <w:tab w:val="clear" w:pos="8640"/>
        <w:tab w:val="right" w:pos="12600"/>
      </w:tabs>
    </w:pPr>
    <w:r>
      <w:fldChar w:fldCharType="begin"/>
    </w:r>
    <w:r>
      <w:instrText xml:space="preserve"> REF DocketLabel</w:instrText>
    </w:r>
    <w:r>
      <w:fldChar w:fldCharType="separate"/>
    </w:r>
    <w:r w:rsidR="0002012B">
      <w:t>Docket No.</w:t>
    </w:r>
    <w:r>
      <w:fldChar w:fldCharType="end"/>
    </w:r>
    <w:r>
      <w:t xml:space="preserve"> </w:t>
    </w:r>
    <w:r>
      <w:fldChar w:fldCharType="begin"/>
    </w:r>
    <w:r>
      <w:instrText xml:space="preserve"> REF DocketList</w:instrText>
    </w:r>
    <w:r>
      <w:fldChar w:fldCharType="separate"/>
    </w:r>
    <w:r w:rsidR="0002012B">
      <w:t>20250084-SU</w:t>
    </w:r>
    <w:r>
      <w:fldChar w:fldCharType="end"/>
    </w:r>
    <w:r>
      <w:tab/>
      <w:t>Schedule No. 2</w:t>
    </w:r>
  </w:p>
  <w:p w14:paraId="3AD937F4" w14:textId="16D39E03" w:rsidR="00BD3DB7" w:rsidRDefault="00BD3DB7">
    <w:pPr>
      <w:pStyle w:val="Header"/>
    </w:pPr>
    <w:r>
      <w:t xml:space="preserve">Date: </w:t>
    </w:r>
    <w:fldSimple w:instr=" REF FilingDate ">
      <w:r w:rsidR="0002012B">
        <w:t>March 26, 2026</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2E34" w14:textId="41BEA69F" w:rsidR="00BD3DB7" w:rsidRDefault="00BD3DB7" w:rsidP="00D4074B">
    <w:pPr>
      <w:pStyle w:val="Header"/>
      <w:tabs>
        <w:tab w:val="clear" w:pos="4320"/>
        <w:tab w:val="clear" w:pos="8640"/>
        <w:tab w:val="right" w:pos="12600"/>
      </w:tabs>
    </w:pPr>
    <w:r>
      <w:fldChar w:fldCharType="begin"/>
    </w:r>
    <w:r>
      <w:instrText xml:space="preserve"> REF DocketLabel</w:instrText>
    </w:r>
    <w:r>
      <w:fldChar w:fldCharType="separate"/>
    </w:r>
    <w:r w:rsidR="0002012B">
      <w:t>Docket No.</w:t>
    </w:r>
    <w:r>
      <w:fldChar w:fldCharType="end"/>
    </w:r>
    <w:r>
      <w:t xml:space="preserve"> </w:t>
    </w:r>
    <w:r>
      <w:fldChar w:fldCharType="begin"/>
    </w:r>
    <w:r>
      <w:instrText xml:space="preserve"> REF DocketList</w:instrText>
    </w:r>
    <w:r>
      <w:fldChar w:fldCharType="separate"/>
    </w:r>
    <w:r w:rsidR="0002012B">
      <w:t>20250084-SU</w:t>
    </w:r>
    <w:r>
      <w:fldChar w:fldCharType="end"/>
    </w:r>
    <w:r>
      <w:tab/>
      <w:t>Schedule No. 3-A</w:t>
    </w:r>
  </w:p>
  <w:p w14:paraId="64D0351D" w14:textId="72365D4F" w:rsidR="00BD3DB7" w:rsidRDefault="00BD3DB7">
    <w:pPr>
      <w:pStyle w:val="Header"/>
    </w:pPr>
    <w:r>
      <w:t xml:space="preserve">Date: </w:t>
    </w:r>
    <w:fldSimple w:instr=" REF FilingDate ">
      <w:r w:rsidR="0002012B">
        <w:t>March 26, 2026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D4881"/>
    <w:rsid w:val="000043D5"/>
    <w:rsid w:val="00006170"/>
    <w:rsid w:val="00010E37"/>
    <w:rsid w:val="000172DA"/>
    <w:rsid w:val="0002012B"/>
    <w:rsid w:val="00022008"/>
    <w:rsid w:val="00022337"/>
    <w:rsid w:val="00023A0E"/>
    <w:rsid w:val="000247C5"/>
    <w:rsid w:val="000277C2"/>
    <w:rsid w:val="000334DC"/>
    <w:rsid w:val="00035B48"/>
    <w:rsid w:val="00036CE2"/>
    <w:rsid w:val="000437FE"/>
    <w:rsid w:val="000513BE"/>
    <w:rsid w:val="00051573"/>
    <w:rsid w:val="0005451B"/>
    <w:rsid w:val="0006530B"/>
    <w:rsid w:val="00065A06"/>
    <w:rsid w:val="000666F3"/>
    <w:rsid w:val="00066C79"/>
    <w:rsid w:val="00070DCB"/>
    <w:rsid w:val="00072CCA"/>
    <w:rsid w:val="00073120"/>
    <w:rsid w:val="000764D0"/>
    <w:rsid w:val="000828D3"/>
    <w:rsid w:val="00087A0E"/>
    <w:rsid w:val="00090DB4"/>
    <w:rsid w:val="00097804"/>
    <w:rsid w:val="000A0F53"/>
    <w:rsid w:val="000A2B57"/>
    <w:rsid w:val="000A418B"/>
    <w:rsid w:val="000B023A"/>
    <w:rsid w:val="000B0ACE"/>
    <w:rsid w:val="000B22B5"/>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2EE8"/>
    <w:rsid w:val="00105BA1"/>
    <w:rsid w:val="001066FE"/>
    <w:rsid w:val="001076AF"/>
    <w:rsid w:val="001109F6"/>
    <w:rsid w:val="00116C6B"/>
    <w:rsid w:val="00117C8C"/>
    <w:rsid w:val="001239F0"/>
    <w:rsid w:val="00124C38"/>
    <w:rsid w:val="00124E2E"/>
    <w:rsid w:val="00125ED4"/>
    <w:rsid w:val="001267CF"/>
    <w:rsid w:val="00127E1E"/>
    <w:rsid w:val="001303BF"/>
    <w:rsid w:val="001305E9"/>
    <w:rsid w:val="001307AF"/>
    <w:rsid w:val="0013347E"/>
    <w:rsid w:val="00135687"/>
    <w:rsid w:val="00136BD1"/>
    <w:rsid w:val="00146B5D"/>
    <w:rsid w:val="00150ECE"/>
    <w:rsid w:val="0015506E"/>
    <w:rsid w:val="00155646"/>
    <w:rsid w:val="00157CCC"/>
    <w:rsid w:val="00163031"/>
    <w:rsid w:val="001654C4"/>
    <w:rsid w:val="0016701C"/>
    <w:rsid w:val="00167B7C"/>
    <w:rsid w:val="00171A90"/>
    <w:rsid w:val="00180254"/>
    <w:rsid w:val="00180604"/>
    <w:rsid w:val="0019046F"/>
    <w:rsid w:val="00191E1F"/>
    <w:rsid w:val="00191EE8"/>
    <w:rsid w:val="00192943"/>
    <w:rsid w:val="001931ED"/>
    <w:rsid w:val="00193BAF"/>
    <w:rsid w:val="00194791"/>
    <w:rsid w:val="00196AE8"/>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0B7E"/>
    <w:rsid w:val="001F2245"/>
    <w:rsid w:val="001F2C63"/>
    <w:rsid w:val="001F48C7"/>
    <w:rsid w:val="001F6DA1"/>
    <w:rsid w:val="00200178"/>
    <w:rsid w:val="00204200"/>
    <w:rsid w:val="002044E6"/>
    <w:rsid w:val="00205C82"/>
    <w:rsid w:val="00205DC2"/>
    <w:rsid w:val="00212B17"/>
    <w:rsid w:val="002163B6"/>
    <w:rsid w:val="00217215"/>
    <w:rsid w:val="00217DA8"/>
    <w:rsid w:val="00220732"/>
    <w:rsid w:val="0022121F"/>
    <w:rsid w:val="00221D32"/>
    <w:rsid w:val="00222AC1"/>
    <w:rsid w:val="00225C3F"/>
    <w:rsid w:val="00226ED6"/>
    <w:rsid w:val="002403D8"/>
    <w:rsid w:val="00244A5B"/>
    <w:rsid w:val="00263D44"/>
    <w:rsid w:val="002702AD"/>
    <w:rsid w:val="00281EB4"/>
    <w:rsid w:val="00292D82"/>
    <w:rsid w:val="00293EE7"/>
    <w:rsid w:val="002963CB"/>
    <w:rsid w:val="002B2DAC"/>
    <w:rsid w:val="002B4273"/>
    <w:rsid w:val="002B4A01"/>
    <w:rsid w:val="002C291B"/>
    <w:rsid w:val="002C3C93"/>
    <w:rsid w:val="002C746A"/>
    <w:rsid w:val="002C7E4E"/>
    <w:rsid w:val="002D1E44"/>
    <w:rsid w:val="002D226D"/>
    <w:rsid w:val="002D74E3"/>
    <w:rsid w:val="002F6030"/>
    <w:rsid w:val="003001AC"/>
    <w:rsid w:val="00301987"/>
    <w:rsid w:val="003037E1"/>
    <w:rsid w:val="00307E51"/>
    <w:rsid w:val="003103EC"/>
    <w:rsid w:val="00312132"/>
    <w:rsid w:val="003130BA"/>
    <w:rsid w:val="003144EF"/>
    <w:rsid w:val="0031480E"/>
    <w:rsid w:val="00316877"/>
    <w:rsid w:val="00322F74"/>
    <w:rsid w:val="00325E15"/>
    <w:rsid w:val="003306C7"/>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4CDC"/>
    <w:rsid w:val="003A5494"/>
    <w:rsid w:val="003B2510"/>
    <w:rsid w:val="003B4355"/>
    <w:rsid w:val="003B5D0A"/>
    <w:rsid w:val="003C2CC4"/>
    <w:rsid w:val="003C3710"/>
    <w:rsid w:val="003C42A3"/>
    <w:rsid w:val="003C48F7"/>
    <w:rsid w:val="003D1ADF"/>
    <w:rsid w:val="003D50C5"/>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426B8"/>
    <w:rsid w:val="00443535"/>
    <w:rsid w:val="00444432"/>
    <w:rsid w:val="00447D5C"/>
    <w:rsid w:val="00450202"/>
    <w:rsid w:val="004502B2"/>
    <w:rsid w:val="00453C51"/>
    <w:rsid w:val="00455499"/>
    <w:rsid w:val="004649A7"/>
    <w:rsid w:val="00466221"/>
    <w:rsid w:val="00467DBC"/>
    <w:rsid w:val="00471860"/>
    <w:rsid w:val="00471DFE"/>
    <w:rsid w:val="00472AA6"/>
    <w:rsid w:val="00477026"/>
    <w:rsid w:val="00477730"/>
    <w:rsid w:val="004A744D"/>
    <w:rsid w:val="004B60BD"/>
    <w:rsid w:val="004B64A3"/>
    <w:rsid w:val="004C3150"/>
    <w:rsid w:val="004C3641"/>
    <w:rsid w:val="004C3873"/>
    <w:rsid w:val="004C4390"/>
    <w:rsid w:val="004C4AF7"/>
    <w:rsid w:val="004C7501"/>
    <w:rsid w:val="004D020C"/>
    <w:rsid w:val="004D2881"/>
    <w:rsid w:val="004D2D7D"/>
    <w:rsid w:val="004D385F"/>
    <w:rsid w:val="004D4881"/>
    <w:rsid w:val="004D5B39"/>
    <w:rsid w:val="004D7976"/>
    <w:rsid w:val="004E0CEA"/>
    <w:rsid w:val="004E2DE1"/>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2D87"/>
    <w:rsid w:val="00580F69"/>
    <w:rsid w:val="00581CA3"/>
    <w:rsid w:val="00585031"/>
    <w:rsid w:val="00585D48"/>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18C2"/>
    <w:rsid w:val="005D2E7D"/>
    <w:rsid w:val="005D4A8F"/>
    <w:rsid w:val="005D561B"/>
    <w:rsid w:val="005D578F"/>
    <w:rsid w:val="005D5ECF"/>
    <w:rsid w:val="005E4FAB"/>
    <w:rsid w:val="005F468D"/>
    <w:rsid w:val="005F4BB3"/>
    <w:rsid w:val="005F5556"/>
    <w:rsid w:val="005F69A3"/>
    <w:rsid w:val="006038D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068B"/>
    <w:rsid w:val="006554D3"/>
    <w:rsid w:val="006603F4"/>
    <w:rsid w:val="00661708"/>
    <w:rsid w:val="00666522"/>
    <w:rsid w:val="00667036"/>
    <w:rsid w:val="00667B89"/>
    <w:rsid w:val="00672E0C"/>
    <w:rsid w:val="00673BDB"/>
    <w:rsid w:val="00674341"/>
    <w:rsid w:val="006771B8"/>
    <w:rsid w:val="00682631"/>
    <w:rsid w:val="00683A89"/>
    <w:rsid w:val="006843B6"/>
    <w:rsid w:val="0068481F"/>
    <w:rsid w:val="00693EA1"/>
    <w:rsid w:val="0069636F"/>
    <w:rsid w:val="00696F5D"/>
    <w:rsid w:val="00697249"/>
    <w:rsid w:val="006A06F3"/>
    <w:rsid w:val="006A1338"/>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0D69"/>
    <w:rsid w:val="006E598D"/>
    <w:rsid w:val="006E6EB7"/>
    <w:rsid w:val="0070437D"/>
    <w:rsid w:val="00704CF1"/>
    <w:rsid w:val="00705B04"/>
    <w:rsid w:val="0071040E"/>
    <w:rsid w:val="00717EE9"/>
    <w:rsid w:val="00724992"/>
    <w:rsid w:val="00724F64"/>
    <w:rsid w:val="00727AB3"/>
    <w:rsid w:val="00727F90"/>
    <w:rsid w:val="00734820"/>
    <w:rsid w:val="007349DC"/>
    <w:rsid w:val="0074365E"/>
    <w:rsid w:val="007445EE"/>
    <w:rsid w:val="00744B55"/>
    <w:rsid w:val="007515FD"/>
    <w:rsid w:val="00753AB2"/>
    <w:rsid w:val="00760D80"/>
    <w:rsid w:val="00761CB4"/>
    <w:rsid w:val="00780C09"/>
    <w:rsid w:val="00780DDF"/>
    <w:rsid w:val="007834E9"/>
    <w:rsid w:val="00787DBC"/>
    <w:rsid w:val="0079019A"/>
    <w:rsid w:val="00792935"/>
    <w:rsid w:val="007A04A1"/>
    <w:rsid w:val="007A1840"/>
    <w:rsid w:val="007A3104"/>
    <w:rsid w:val="007A41DD"/>
    <w:rsid w:val="007B730C"/>
    <w:rsid w:val="007C0528"/>
    <w:rsid w:val="007C08EA"/>
    <w:rsid w:val="007C3D38"/>
    <w:rsid w:val="007D0F35"/>
    <w:rsid w:val="007D1783"/>
    <w:rsid w:val="007D4546"/>
    <w:rsid w:val="007D4FEB"/>
    <w:rsid w:val="007D6146"/>
    <w:rsid w:val="007E0CE7"/>
    <w:rsid w:val="007E315F"/>
    <w:rsid w:val="007E5041"/>
    <w:rsid w:val="007E6DAF"/>
    <w:rsid w:val="007F1193"/>
    <w:rsid w:val="007F417F"/>
    <w:rsid w:val="007F7644"/>
    <w:rsid w:val="008031CC"/>
    <w:rsid w:val="008042BD"/>
    <w:rsid w:val="00804E17"/>
    <w:rsid w:val="008050B3"/>
    <w:rsid w:val="00816624"/>
    <w:rsid w:val="00822427"/>
    <w:rsid w:val="00822562"/>
    <w:rsid w:val="00823663"/>
    <w:rsid w:val="00823664"/>
    <w:rsid w:val="00825CBF"/>
    <w:rsid w:val="00825E4E"/>
    <w:rsid w:val="008305B7"/>
    <w:rsid w:val="00832DDC"/>
    <w:rsid w:val="0083363F"/>
    <w:rsid w:val="008403F8"/>
    <w:rsid w:val="008426B0"/>
    <w:rsid w:val="008431BB"/>
    <w:rsid w:val="00845E34"/>
    <w:rsid w:val="00850BAC"/>
    <w:rsid w:val="008542D9"/>
    <w:rsid w:val="00854A3E"/>
    <w:rsid w:val="00855D08"/>
    <w:rsid w:val="008618A4"/>
    <w:rsid w:val="008731AB"/>
    <w:rsid w:val="00874344"/>
    <w:rsid w:val="0087505D"/>
    <w:rsid w:val="00877703"/>
    <w:rsid w:val="00882155"/>
    <w:rsid w:val="0088233B"/>
    <w:rsid w:val="00883002"/>
    <w:rsid w:val="0088599E"/>
    <w:rsid w:val="00886C37"/>
    <w:rsid w:val="008915FC"/>
    <w:rsid w:val="00892D99"/>
    <w:rsid w:val="00893315"/>
    <w:rsid w:val="00894C09"/>
    <w:rsid w:val="008A0F46"/>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3DD8"/>
    <w:rsid w:val="00934F7C"/>
    <w:rsid w:val="0093658B"/>
    <w:rsid w:val="009429FF"/>
    <w:rsid w:val="009444D1"/>
    <w:rsid w:val="00945BD6"/>
    <w:rsid w:val="009479FB"/>
    <w:rsid w:val="00951C45"/>
    <w:rsid w:val="00951DD8"/>
    <w:rsid w:val="0096053F"/>
    <w:rsid w:val="0096440B"/>
    <w:rsid w:val="009656F2"/>
    <w:rsid w:val="00966A08"/>
    <w:rsid w:val="009701B7"/>
    <w:rsid w:val="00971207"/>
    <w:rsid w:val="00972FDC"/>
    <w:rsid w:val="00975CB4"/>
    <w:rsid w:val="0097769F"/>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55C"/>
    <w:rsid w:val="009C5968"/>
    <w:rsid w:val="009D0436"/>
    <w:rsid w:val="009D46E5"/>
    <w:rsid w:val="009D568A"/>
    <w:rsid w:val="009E7956"/>
    <w:rsid w:val="009F04EC"/>
    <w:rsid w:val="009F19E9"/>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36ED5"/>
    <w:rsid w:val="00A41CA6"/>
    <w:rsid w:val="00A431ED"/>
    <w:rsid w:val="00A47927"/>
    <w:rsid w:val="00A47FFC"/>
    <w:rsid w:val="00A52C51"/>
    <w:rsid w:val="00A5442F"/>
    <w:rsid w:val="00A54FF9"/>
    <w:rsid w:val="00A555C3"/>
    <w:rsid w:val="00A56765"/>
    <w:rsid w:val="00A675AC"/>
    <w:rsid w:val="00A7097D"/>
    <w:rsid w:val="00A7581F"/>
    <w:rsid w:val="00A81274"/>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06D42"/>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359B9"/>
    <w:rsid w:val="00B41AA8"/>
    <w:rsid w:val="00B42B45"/>
    <w:rsid w:val="00B47D97"/>
    <w:rsid w:val="00B516ED"/>
    <w:rsid w:val="00B565DA"/>
    <w:rsid w:val="00B57A6A"/>
    <w:rsid w:val="00B62D0D"/>
    <w:rsid w:val="00B644F7"/>
    <w:rsid w:val="00B6755B"/>
    <w:rsid w:val="00B75CC6"/>
    <w:rsid w:val="00B760F1"/>
    <w:rsid w:val="00B7669E"/>
    <w:rsid w:val="00B76EBB"/>
    <w:rsid w:val="00B77DA1"/>
    <w:rsid w:val="00B822A0"/>
    <w:rsid w:val="00B82F85"/>
    <w:rsid w:val="00B858AE"/>
    <w:rsid w:val="00B85964"/>
    <w:rsid w:val="00B95EF7"/>
    <w:rsid w:val="00B96250"/>
    <w:rsid w:val="00BA0D55"/>
    <w:rsid w:val="00BA37B3"/>
    <w:rsid w:val="00BA4CC6"/>
    <w:rsid w:val="00BA5786"/>
    <w:rsid w:val="00BA7F46"/>
    <w:rsid w:val="00BB0F1D"/>
    <w:rsid w:val="00BB1628"/>
    <w:rsid w:val="00BB3493"/>
    <w:rsid w:val="00BB6E4C"/>
    <w:rsid w:val="00BB7468"/>
    <w:rsid w:val="00BC0514"/>
    <w:rsid w:val="00BC188A"/>
    <w:rsid w:val="00BC3B87"/>
    <w:rsid w:val="00BC402E"/>
    <w:rsid w:val="00BC70C6"/>
    <w:rsid w:val="00BD0F48"/>
    <w:rsid w:val="00BD14E5"/>
    <w:rsid w:val="00BD3DB7"/>
    <w:rsid w:val="00BE0E50"/>
    <w:rsid w:val="00BE6DDB"/>
    <w:rsid w:val="00BE6FDA"/>
    <w:rsid w:val="00BF03E0"/>
    <w:rsid w:val="00BF5010"/>
    <w:rsid w:val="00C03009"/>
    <w:rsid w:val="00C03D5F"/>
    <w:rsid w:val="00C13791"/>
    <w:rsid w:val="00C1745D"/>
    <w:rsid w:val="00C210BD"/>
    <w:rsid w:val="00C234DC"/>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013E"/>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4074B"/>
    <w:rsid w:val="00D479AE"/>
    <w:rsid w:val="00D50FCD"/>
    <w:rsid w:val="00D533E3"/>
    <w:rsid w:val="00D55347"/>
    <w:rsid w:val="00D60B16"/>
    <w:rsid w:val="00D60F02"/>
    <w:rsid w:val="00D64A0B"/>
    <w:rsid w:val="00D64FDB"/>
    <w:rsid w:val="00D66E49"/>
    <w:rsid w:val="00D7078C"/>
    <w:rsid w:val="00D70D71"/>
    <w:rsid w:val="00D7225B"/>
    <w:rsid w:val="00D72F74"/>
    <w:rsid w:val="00D77DC1"/>
    <w:rsid w:val="00D81563"/>
    <w:rsid w:val="00D837C1"/>
    <w:rsid w:val="00D85907"/>
    <w:rsid w:val="00D860AC"/>
    <w:rsid w:val="00D90293"/>
    <w:rsid w:val="00D9073E"/>
    <w:rsid w:val="00D9221D"/>
    <w:rsid w:val="00D9253C"/>
    <w:rsid w:val="00D958DF"/>
    <w:rsid w:val="00D96DA1"/>
    <w:rsid w:val="00DA172F"/>
    <w:rsid w:val="00DA50A5"/>
    <w:rsid w:val="00DA51E7"/>
    <w:rsid w:val="00DB0260"/>
    <w:rsid w:val="00DB1C78"/>
    <w:rsid w:val="00DB7D96"/>
    <w:rsid w:val="00DC23FE"/>
    <w:rsid w:val="00DC59E6"/>
    <w:rsid w:val="00DC5ED7"/>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572C"/>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193D"/>
    <w:rsid w:val="00EA2273"/>
    <w:rsid w:val="00EA7C3C"/>
    <w:rsid w:val="00EB2DB3"/>
    <w:rsid w:val="00EC3FBB"/>
    <w:rsid w:val="00EC6B7A"/>
    <w:rsid w:val="00ED3A87"/>
    <w:rsid w:val="00ED5B67"/>
    <w:rsid w:val="00EE1A5C"/>
    <w:rsid w:val="00EE5F5A"/>
    <w:rsid w:val="00EF22FB"/>
    <w:rsid w:val="00EF264C"/>
    <w:rsid w:val="00EF3FEE"/>
    <w:rsid w:val="00EF55B6"/>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4795F"/>
    <w:rsid w:val="00F511F3"/>
    <w:rsid w:val="00F518B2"/>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18BE"/>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6CB9EBD"/>
  <w15:docId w15:val="{D1385E18-181D-4421-AFCC-8A7374EB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83363F"/>
  </w:style>
  <w:style w:type="character" w:styleId="FootnoteReference">
    <w:name w:val="footnote reference"/>
    <w:basedOn w:val="DefaultParagraphFont"/>
    <w:uiPriority w:val="99"/>
    <w:unhideWhenUsed/>
    <w:rsid w:val="0083363F"/>
    <w:rPr>
      <w:vertAlign w:val="superscript"/>
    </w:rPr>
  </w:style>
  <w:style w:type="table" w:customStyle="1" w:styleId="TableGrid1">
    <w:name w:val="Table Grid1"/>
    <w:basedOn w:val="TableNormal"/>
    <w:next w:val="TableGrid"/>
    <w:uiPriority w:val="59"/>
    <w:rsid w:val="0083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B64A3"/>
    <w:rPr>
      <w:sz w:val="16"/>
      <w:szCs w:val="16"/>
    </w:rPr>
  </w:style>
  <w:style w:type="table" w:customStyle="1" w:styleId="TableGrid51">
    <w:name w:val="Table Grid51"/>
    <w:basedOn w:val="TableNormal"/>
    <w:next w:val="TableGrid"/>
    <w:uiPriority w:val="59"/>
    <w:rsid w:val="0067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7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5F4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75585">
      <w:bodyDiv w:val="1"/>
      <w:marLeft w:val="0"/>
      <w:marRight w:val="0"/>
      <w:marTop w:val="0"/>
      <w:marBottom w:val="0"/>
      <w:divBdr>
        <w:top w:val="none" w:sz="0" w:space="0" w:color="auto"/>
        <w:left w:val="none" w:sz="0" w:space="0" w:color="auto"/>
        <w:bottom w:val="none" w:sz="0" w:space="0" w:color="auto"/>
        <w:right w:val="none" w:sz="0" w:space="0" w:color="auto"/>
      </w:divBdr>
    </w:div>
    <w:div w:id="94346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5.emf"/><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34</Pages>
  <Words>7474</Words>
  <Characters>43188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2026-03-26T12:50:00Z</dcterms:created>
  <dcterms:modified xsi:type="dcterms:W3CDTF">2026-03-26T12:50:00Z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20250084-SU</vt:lpwstr>
  </property>
  <property fmtid="{D5CDD505-2E9C-101B-9397-08002B2CF9AE}" pid="3" name="MasterDocument">
    <vt:bool>false</vt:bool>
  </property>
</Properties>
</file>