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72B36A66"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08E45E1C" w14:textId="75355A11" w:rsidR="007C0528" w:rsidRDefault="007C0528" w:rsidP="00532DFB">
            <w:pPr>
              <w:pStyle w:val="MastHeadState"/>
            </w:pPr>
            <w:bookmarkStart w:id="0" w:name="_GoBack"/>
            <w:bookmarkEnd w:id="0"/>
            <w:r>
              <w:t>State of Florida</w:t>
            </w:r>
          </w:p>
          <w:p w14:paraId="3BFAFB9D" w14:textId="77777777" w:rsidR="007C0528" w:rsidRDefault="00072CCA">
            <w:pPr>
              <w:jc w:val="center"/>
            </w:pPr>
            <w:r>
              <w:rPr>
                <w:noProof/>
              </w:rPr>
              <w:drawing>
                <wp:inline distT="0" distB="0" distL="0" distR="0" wp14:anchorId="219EFDE9" wp14:editId="6B7F88D7">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26938CA7"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0587BB9D" w14:textId="77777777" w:rsidR="007C0528" w:rsidRDefault="007C0528">
            <w:pPr>
              <w:pStyle w:val="MastHeadPSC"/>
            </w:pPr>
            <w:r>
              <w:t>Public Service Commission</w:t>
            </w:r>
          </w:p>
          <w:p w14:paraId="43351A73" w14:textId="77777777" w:rsidR="007C0528" w:rsidRDefault="007C0528">
            <w:pPr>
              <w:pStyle w:val="MastHeadAddress"/>
            </w:pPr>
            <w:r>
              <w:t>Capital Circle Office Center ● 2540 Shumard Oak Boulevard</w:t>
            </w:r>
            <w:r>
              <w:br/>
              <w:t>Tallahassee, Florida 32399-0850</w:t>
            </w:r>
          </w:p>
          <w:p w14:paraId="67449241" w14:textId="77777777" w:rsidR="007C0528" w:rsidRDefault="007C0528">
            <w:pPr>
              <w:pStyle w:val="MastHeadMemorandum"/>
            </w:pPr>
            <w:r>
              <w:t>-M-E-M-O-R-A-N-D-U-M-</w:t>
            </w:r>
          </w:p>
          <w:p w14:paraId="4CABB7B5" w14:textId="77777777" w:rsidR="007C0528" w:rsidRDefault="007C0528">
            <w:pPr>
              <w:pStyle w:val="MemoHeading"/>
            </w:pPr>
          </w:p>
        </w:tc>
      </w:tr>
      <w:tr w:rsidR="007C0528" w14:paraId="3F8866BC"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6805CE7A"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41CF0F3D" w14:textId="147E6F56" w:rsidR="007C0528" w:rsidRDefault="009F576E" w:rsidP="00B5116B">
            <w:pPr>
              <w:pStyle w:val="MemoHeading"/>
            </w:pPr>
            <w:bookmarkStart w:id="1" w:name="FilingDate"/>
            <w:r>
              <w:t>March</w:t>
            </w:r>
            <w:r w:rsidR="00AE2B72">
              <w:t xml:space="preserve"> </w:t>
            </w:r>
            <w:r w:rsidR="00B5116B">
              <w:t>26</w:t>
            </w:r>
            <w:r w:rsidR="00AE2B72">
              <w:t>, 202</w:t>
            </w:r>
            <w:bookmarkEnd w:id="1"/>
            <w:r w:rsidR="003D188A">
              <w:t>6</w:t>
            </w:r>
          </w:p>
        </w:tc>
      </w:tr>
      <w:tr w:rsidR="007C0528" w14:paraId="0B4884D3" w14:textId="77777777">
        <w:tc>
          <w:tcPr>
            <w:tcW w:w="1254" w:type="dxa"/>
            <w:tcBorders>
              <w:top w:val="nil"/>
              <w:left w:val="nil"/>
              <w:bottom w:val="nil"/>
              <w:right w:val="nil"/>
            </w:tcBorders>
            <w:shd w:val="clear" w:color="auto" w:fill="auto"/>
            <w:tcMar>
              <w:top w:w="288" w:type="dxa"/>
              <w:bottom w:w="0" w:type="dxa"/>
              <w:right w:w="0" w:type="dxa"/>
            </w:tcMar>
          </w:tcPr>
          <w:p w14:paraId="6EDA1063"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3EB39ADA" w14:textId="77777777" w:rsidR="007C0528" w:rsidRDefault="007C0528" w:rsidP="0093658B">
            <w:pPr>
              <w:pStyle w:val="MemoHeading"/>
            </w:pPr>
            <w:r>
              <w:t>Office of Commission Clerk (</w:t>
            </w:r>
            <w:r w:rsidR="004E69B5">
              <w:t>Teitzman</w:t>
            </w:r>
            <w:r>
              <w:t>)</w:t>
            </w:r>
          </w:p>
        </w:tc>
      </w:tr>
      <w:tr w:rsidR="007C0528" w14:paraId="12C7CEA4" w14:textId="77777777">
        <w:tc>
          <w:tcPr>
            <w:tcW w:w="1254" w:type="dxa"/>
            <w:tcBorders>
              <w:top w:val="nil"/>
              <w:left w:val="nil"/>
              <w:bottom w:val="nil"/>
              <w:right w:val="nil"/>
            </w:tcBorders>
            <w:shd w:val="clear" w:color="auto" w:fill="auto"/>
            <w:tcMar>
              <w:top w:w="288" w:type="dxa"/>
              <w:right w:w="0" w:type="dxa"/>
            </w:tcMar>
          </w:tcPr>
          <w:p w14:paraId="781C4E24"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70EEC3D2" w14:textId="0E6AED06" w:rsidR="00AE2B72" w:rsidRDefault="00AE2B72">
            <w:pPr>
              <w:pStyle w:val="MemoHeading"/>
            </w:pPr>
            <w:bookmarkStart w:id="2" w:name="From"/>
            <w:r>
              <w:t xml:space="preserve">Division of Accounting and Finance (Lenberg, Cohn, Higgins, </w:t>
            </w:r>
            <w:r w:rsidR="0070453D">
              <w:t xml:space="preserve">G. </w:t>
            </w:r>
            <w:r>
              <w:t>Kelley)</w:t>
            </w:r>
            <w:r w:rsidR="002C4EF8">
              <w:t xml:space="preserve"> </w:t>
            </w:r>
            <w:r w:rsidR="006E6F02">
              <w:rPr>
                <w:rFonts w:ascii="Brush Script MT" w:hAnsi="Brush Script MT"/>
                <w:color w:val="00B0F0"/>
              </w:rPr>
              <w:t>MC</w:t>
            </w:r>
          </w:p>
          <w:p w14:paraId="12DB3C2A" w14:textId="58D0D30B" w:rsidR="00AE2B72" w:rsidRDefault="00AE2B72">
            <w:pPr>
              <w:pStyle w:val="MemoHeading"/>
            </w:pPr>
            <w:r>
              <w:t>Division of Economics (Bruce, Chambliss, Hudson)</w:t>
            </w:r>
            <w:r w:rsidR="006E6F02">
              <w:t xml:space="preserve"> </w:t>
            </w:r>
            <w:r w:rsidR="006E6F02">
              <w:rPr>
                <w:rFonts w:ascii="Brush Script MT" w:hAnsi="Brush Script MT"/>
                <w:color w:val="00B0F0"/>
              </w:rPr>
              <w:t>EJD</w:t>
            </w:r>
          </w:p>
          <w:p w14:paraId="7F9FC7E2" w14:textId="3358F838" w:rsidR="00AE2B72" w:rsidRDefault="00AE2B72">
            <w:pPr>
              <w:pStyle w:val="MemoHeading"/>
            </w:pPr>
            <w:r>
              <w:t>Division of Engineering (Lewis,  Smith II)</w:t>
            </w:r>
            <w:r w:rsidR="006E6F02">
              <w:t xml:space="preserve"> </w:t>
            </w:r>
            <w:r w:rsidR="006E6F02">
              <w:rPr>
                <w:rFonts w:ascii="Brush Script MT" w:hAnsi="Brush Script MT"/>
                <w:color w:val="00B0F0"/>
              </w:rPr>
              <w:t>TB</w:t>
            </w:r>
          </w:p>
          <w:p w14:paraId="2FC424E2" w14:textId="39BCE30C" w:rsidR="007C0528" w:rsidRDefault="00AE2B72">
            <w:pPr>
              <w:pStyle w:val="MemoHeading"/>
            </w:pPr>
            <w:r>
              <w:t>Office of the General Counsel (Farooqi, Augspurger)</w:t>
            </w:r>
            <w:bookmarkEnd w:id="2"/>
            <w:r w:rsidR="006E6F02">
              <w:t xml:space="preserve"> </w:t>
            </w:r>
            <w:r w:rsidR="005356D5">
              <w:rPr>
                <w:rFonts w:ascii="Brush Script MT" w:hAnsi="Brush Script MT"/>
                <w:color w:val="00B0F0"/>
              </w:rPr>
              <w:t>SS</w:t>
            </w:r>
          </w:p>
        </w:tc>
      </w:tr>
      <w:tr w:rsidR="007C0528" w14:paraId="25C6C69C" w14:textId="77777777">
        <w:tc>
          <w:tcPr>
            <w:tcW w:w="1254" w:type="dxa"/>
            <w:tcBorders>
              <w:top w:val="nil"/>
              <w:left w:val="nil"/>
              <w:bottom w:val="nil"/>
              <w:right w:val="nil"/>
            </w:tcBorders>
            <w:shd w:val="clear" w:color="auto" w:fill="auto"/>
            <w:tcMar>
              <w:top w:w="288" w:type="dxa"/>
              <w:right w:w="0" w:type="dxa"/>
            </w:tcMar>
          </w:tcPr>
          <w:p w14:paraId="164F2992"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75FA7E28" w14:textId="77777777" w:rsidR="007C0528" w:rsidRDefault="00AE2B72">
            <w:pPr>
              <w:pStyle w:val="MemoHeadingRe"/>
            </w:pPr>
            <w:bookmarkStart w:id="3" w:name="Re"/>
            <w:r>
              <w:t>Docket No. 20250075-WU – Application for staff-assisted rate case in Citrus County, by Citrus Waterworks, Inc.</w:t>
            </w:r>
            <w:bookmarkEnd w:id="3"/>
          </w:p>
        </w:tc>
      </w:tr>
      <w:tr w:rsidR="007C0528" w14:paraId="2629C858" w14:textId="77777777">
        <w:tc>
          <w:tcPr>
            <w:tcW w:w="1254" w:type="dxa"/>
            <w:tcBorders>
              <w:top w:val="nil"/>
              <w:left w:val="nil"/>
              <w:bottom w:val="nil"/>
              <w:right w:val="nil"/>
            </w:tcBorders>
            <w:shd w:val="clear" w:color="auto" w:fill="auto"/>
            <w:tcMar>
              <w:top w:w="288" w:type="dxa"/>
              <w:bottom w:w="0" w:type="dxa"/>
              <w:right w:w="0" w:type="dxa"/>
            </w:tcMar>
          </w:tcPr>
          <w:p w14:paraId="55BE0EBC"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774827BF" w14:textId="04A364B9" w:rsidR="007C0528" w:rsidRDefault="009F576E" w:rsidP="009A623A">
            <w:pPr>
              <w:pStyle w:val="MemoHeading"/>
            </w:pPr>
            <w:bookmarkStart w:id="4" w:name="AgendaDate"/>
            <w:r>
              <w:t>4</w:t>
            </w:r>
            <w:r w:rsidR="00AE2B72">
              <w:t>/</w:t>
            </w:r>
            <w:r>
              <w:t>7</w:t>
            </w:r>
            <w:r w:rsidR="00AE2B72">
              <w:t>/2</w:t>
            </w:r>
            <w:bookmarkEnd w:id="4"/>
            <w:r w:rsidR="009A623A">
              <w:t>6</w:t>
            </w:r>
            <w:r w:rsidR="007C0528">
              <w:t xml:space="preserve"> – </w:t>
            </w:r>
            <w:bookmarkStart w:id="5" w:name="PermittedStatus"/>
            <w:r w:rsidR="00AE2B72">
              <w:t xml:space="preserve">Regular Agenda – </w:t>
            </w:r>
            <w:r w:rsidR="00072C25">
              <w:t xml:space="preserve">Proposed Agency Action – Except for Issue Nos. 12, 13, and 14 - </w:t>
            </w:r>
            <w:r w:rsidR="00AE2B72">
              <w:t>Interested Persons May Participate</w:t>
            </w:r>
            <w:bookmarkEnd w:id="5"/>
          </w:p>
        </w:tc>
      </w:tr>
      <w:tr w:rsidR="007C0528" w14:paraId="550E2C5B" w14:textId="77777777">
        <w:tc>
          <w:tcPr>
            <w:tcW w:w="3690" w:type="dxa"/>
            <w:gridSpan w:val="3"/>
            <w:tcBorders>
              <w:top w:val="nil"/>
              <w:left w:val="nil"/>
              <w:bottom w:val="nil"/>
              <w:right w:val="nil"/>
            </w:tcBorders>
            <w:shd w:val="clear" w:color="auto" w:fill="auto"/>
            <w:tcMar>
              <w:top w:w="288" w:type="dxa"/>
              <w:bottom w:w="0" w:type="dxa"/>
              <w:right w:w="0" w:type="dxa"/>
            </w:tcMar>
          </w:tcPr>
          <w:p w14:paraId="2BF7987C"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54A18F95" w14:textId="77777777" w:rsidR="007C0528" w:rsidRDefault="00AE2B72">
            <w:pPr>
              <w:pStyle w:val="MemoHeading"/>
            </w:pPr>
            <w:bookmarkStart w:id="6" w:name="CommissionersAssigned"/>
            <w:r>
              <w:t>All Commissioners</w:t>
            </w:r>
            <w:bookmarkEnd w:id="6"/>
          </w:p>
        </w:tc>
      </w:tr>
      <w:tr w:rsidR="007C0528" w14:paraId="4AED3F44" w14:textId="77777777">
        <w:tc>
          <w:tcPr>
            <w:tcW w:w="3690" w:type="dxa"/>
            <w:gridSpan w:val="3"/>
            <w:tcBorders>
              <w:top w:val="nil"/>
              <w:left w:val="nil"/>
              <w:bottom w:val="nil"/>
              <w:right w:val="nil"/>
            </w:tcBorders>
            <w:shd w:val="clear" w:color="auto" w:fill="auto"/>
            <w:tcMar>
              <w:top w:w="288" w:type="dxa"/>
              <w:bottom w:w="0" w:type="dxa"/>
              <w:right w:w="0" w:type="dxa"/>
            </w:tcMar>
          </w:tcPr>
          <w:p w14:paraId="1BC8881C"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771A66F8" w14:textId="4493C825" w:rsidR="007C0528" w:rsidRDefault="004E08AC">
            <w:pPr>
              <w:pStyle w:val="MemoHeading"/>
            </w:pPr>
            <w:r w:rsidRPr="004E08AC">
              <w:t>Payne</w:t>
            </w:r>
          </w:p>
        </w:tc>
      </w:tr>
      <w:tr w:rsidR="007C0528" w14:paraId="4A27D7F1"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0AA0E142" w14:textId="77777777"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14:paraId="58EE5460" w14:textId="77777777" w:rsidR="007C0528" w:rsidRDefault="00AE2B72">
            <w:pPr>
              <w:pStyle w:val="MemoHeading"/>
            </w:pPr>
            <w:bookmarkStart w:id="8" w:name="CriticalDates"/>
            <w:r>
              <w:t>09/21/26 (15-Month Effective Date (SARC))</w:t>
            </w:r>
            <w:bookmarkEnd w:id="8"/>
          </w:p>
        </w:tc>
      </w:tr>
      <w:tr w:rsidR="007C0528" w14:paraId="40C1161B"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7594160F"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4D1F31AA" w14:textId="126DB454" w:rsidR="007C0528" w:rsidRDefault="00331C0A" w:rsidP="00331C0A">
            <w:pPr>
              <w:pStyle w:val="MemoHeading"/>
            </w:pPr>
            <w:bookmarkStart w:id="9" w:name="SpecialInstructions"/>
            <w:r>
              <w:t>Place Item after Docket No. 20250140-WU.</w:t>
            </w:r>
            <w:bookmarkEnd w:id="9"/>
          </w:p>
        </w:tc>
      </w:tr>
    </w:tbl>
    <w:p w14:paraId="4A79F15C" w14:textId="77777777" w:rsidR="007C0528" w:rsidRDefault="007C0528">
      <w:pPr>
        <w:pStyle w:val="BodyText"/>
      </w:pPr>
    </w:p>
    <w:p w14:paraId="432D314F" w14:textId="77777777" w:rsidR="00EF237C" w:rsidRDefault="00EF237C" w:rsidP="00EF237C">
      <w:pPr>
        <w:pStyle w:val="RecommendationMajorSectionHeading"/>
      </w:pPr>
      <w:bookmarkStart w:id="10" w:name="RecToC"/>
      <w:bookmarkEnd w:id="10"/>
      <w:r>
        <w:br w:type="page"/>
      </w:r>
      <w:r>
        <w:lastRenderedPageBreak/>
        <w:t>Table of Contents</w:t>
      </w:r>
    </w:p>
    <w:p w14:paraId="37C98A34" w14:textId="77777777" w:rsidR="00EF237C" w:rsidRDefault="00EF237C">
      <w:pPr>
        <w:pStyle w:val="TOCColumnHeadings"/>
      </w:pPr>
      <w:r>
        <w:t>Issue</w:t>
      </w:r>
      <w:r>
        <w:tab/>
        <w:t>Description</w:t>
      </w:r>
      <w:r>
        <w:tab/>
        <w:t>Page</w:t>
      </w:r>
    </w:p>
    <w:p w14:paraId="13C0BDD9" w14:textId="290B8E80" w:rsidR="004A4C46" w:rsidRDefault="00EF237C">
      <w:pPr>
        <w:pStyle w:val="TOC1"/>
        <w:rPr>
          <w:rFonts w:asciiTheme="minorHAnsi" w:eastAsiaTheme="minorEastAsia" w:hAnsiTheme="minorHAnsi" w:cstheme="minorBidi"/>
          <w:noProof/>
          <w:sz w:val="22"/>
          <w:szCs w:val="22"/>
        </w:rPr>
      </w:pPr>
      <w:r>
        <w:fldChar w:fldCharType="begin"/>
      </w:r>
      <w:r>
        <w:instrText xml:space="preserve"> TOC \f \h \w \z </w:instrText>
      </w:r>
      <w:r>
        <w:fldChar w:fldCharType="separate"/>
      </w:r>
      <w:hyperlink w:anchor="_Toc225411877" w:history="1">
        <w:r w:rsidR="004A4C46" w:rsidRPr="00D92A57">
          <w:rPr>
            <w:rStyle w:val="Hyperlink"/>
            <w:noProof/>
          </w:rPr>
          <w:tab/>
          <w:t>Case Background</w:t>
        </w:r>
        <w:r w:rsidR="004A4C46">
          <w:rPr>
            <w:noProof/>
            <w:webHidden/>
          </w:rPr>
          <w:tab/>
        </w:r>
        <w:r w:rsidR="004A4C46">
          <w:rPr>
            <w:noProof/>
            <w:webHidden/>
          </w:rPr>
          <w:fldChar w:fldCharType="begin"/>
        </w:r>
        <w:r w:rsidR="004A4C46">
          <w:rPr>
            <w:noProof/>
            <w:webHidden/>
          </w:rPr>
          <w:instrText xml:space="preserve"> PAGEREF _Toc225411877 \h </w:instrText>
        </w:r>
        <w:r w:rsidR="004A4C46">
          <w:rPr>
            <w:noProof/>
            <w:webHidden/>
          </w:rPr>
        </w:r>
        <w:r w:rsidR="004A4C46">
          <w:rPr>
            <w:noProof/>
            <w:webHidden/>
          </w:rPr>
          <w:fldChar w:fldCharType="separate"/>
        </w:r>
        <w:r w:rsidR="004A4C46">
          <w:rPr>
            <w:noProof/>
            <w:webHidden/>
          </w:rPr>
          <w:t>3</w:t>
        </w:r>
        <w:r w:rsidR="004A4C46">
          <w:rPr>
            <w:noProof/>
            <w:webHidden/>
          </w:rPr>
          <w:fldChar w:fldCharType="end"/>
        </w:r>
      </w:hyperlink>
    </w:p>
    <w:p w14:paraId="643FE7E6" w14:textId="65779F75" w:rsidR="004A4C46" w:rsidRDefault="004A4C46">
      <w:pPr>
        <w:pStyle w:val="TOC1"/>
        <w:rPr>
          <w:rFonts w:asciiTheme="minorHAnsi" w:eastAsiaTheme="minorEastAsia" w:hAnsiTheme="minorHAnsi" w:cstheme="minorBidi"/>
          <w:noProof/>
          <w:sz w:val="22"/>
          <w:szCs w:val="22"/>
        </w:rPr>
      </w:pPr>
      <w:hyperlink w:anchor="_Toc225411878" w:history="1">
        <w:r w:rsidRPr="00D92A57">
          <w:rPr>
            <w:rStyle w:val="Hyperlink"/>
            <w:noProof/>
          </w:rPr>
          <w:t>1</w:t>
        </w:r>
        <w:r w:rsidRPr="00D92A57">
          <w:rPr>
            <w:rStyle w:val="Hyperlink"/>
            <w:noProof/>
          </w:rPr>
          <w:tab/>
          <w:t>Quality of Service</w:t>
        </w:r>
        <w:r>
          <w:rPr>
            <w:noProof/>
            <w:webHidden/>
          </w:rPr>
          <w:tab/>
        </w:r>
        <w:r>
          <w:rPr>
            <w:noProof/>
            <w:webHidden/>
          </w:rPr>
          <w:fldChar w:fldCharType="begin"/>
        </w:r>
        <w:r>
          <w:rPr>
            <w:noProof/>
            <w:webHidden/>
          </w:rPr>
          <w:instrText xml:space="preserve"> PAGEREF _Toc225411878 \h </w:instrText>
        </w:r>
        <w:r>
          <w:rPr>
            <w:noProof/>
            <w:webHidden/>
          </w:rPr>
        </w:r>
        <w:r>
          <w:rPr>
            <w:noProof/>
            <w:webHidden/>
          </w:rPr>
          <w:fldChar w:fldCharType="separate"/>
        </w:r>
        <w:r>
          <w:rPr>
            <w:noProof/>
            <w:webHidden/>
          </w:rPr>
          <w:t>4</w:t>
        </w:r>
        <w:r>
          <w:rPr>
            <w:noProof/>
            <w:webHidden/>
          </w:rPr>
          <w:fldChar w:fldCharType="end"/>
        </w:r>
      </w:hyperlink>
    </w:p>
    <w:p w14:paraId="02B059FF" w14:textId="767603AB" w:rsidR="004A4C46" w:rsidRDefault="004A4C46">
      <w:pPr>
        <w:pStyle w:val="TOC1"/>
        <w:rPr>
          <w:rFonts w:asciiTheme="minorHAnsi" w:eastAsiaTheme="minorEastAsia" w:hAnsiTheme="minorHAnsi" w:cstheme="minorBidi"/>
          <w:noProof/>
          <w:sz w:val="22"/>
          <w:szCs w:val="22"/>
        </w:rPr>
      </w:pPr>
      <w:hyperlink w:anchor="_Toc225411879" w:history="1">
        <w:r w:rsidRPr="00D92A57">
          <w:rPr>
            <w:rStyle w:val="Hyperlink"/>
            <w:noProof/>
          </w:rPr>
          <w:t>2</w:t>
        </w:r>
        <w:r w:rsidRPr="00D92A57">
          <w:rPr>
            <w:rStyle w:val="Hyperlink"/>
            <w:noProof/>
          </w:rPr>
          <w:tab/>
          <w:t>Infrastructure and Operating Conditions</w:t>
        </w:r>
        <w:r>
          <w:rPr>
            <w:noProof/>
            <w:webHidden/>
          </w:rPr>
          <w:tab/>
        </w:r>
        <w:r>
          <w:rPr>
            <w:noProof/>
            <w:webHidden/>
          </w:rPr>
          <w:fldChar w:fldCharType="begin"/>
        </w:r>
        <w:r>
          <w:rPr>
            <w:noProof/>
            <w:webHidden/>
          </w:rPr>
          <w:instrText xml:space="preserve"> PAGEREF _Toc225411879 \h </w:instrText>
        </w:r>
        <w:r>
          <w:rPr>
            <w:noProof/>
            <w:webHidden/>
          </w:rPr>
        </w:r>
        <w:r>
          <w:rPr>
            <w:noProof/>
            <w:webHidden/>
          </w:rPr>
          <w:fldChar w:fldCharType="separate"/>
        </w:r>
        <w:r>
          <w:rPr>
            <w:noProof/>
            <w:webHidden/>
          </w:rPr>
          <w:t>6</w:t>
        </w:r>
        <w:r>
          <w:rPr>
            <w:noProof/>
            <w:webHidden/>
          </w:rPr>
          <w:fldChar w:fldCharType="end"/>
        </w:r>
      </w:hyperlink>
    </w:p>
    <w:p w14:paraId="42792D48" w14:textId="12788D72" w:rsidR="004A4C46" w:rsidRDefault="004A4C46">
      <w:pPr>
        <w:pStyle w:val="TOC1"/>
        <w:rPr>
          <w:rFonts w:asciiTheme="minorHAnsi" w:eastAsiaTheme="minorEastAsia" w:hAnsiTheme="minorHAnsi" w:cstheme="minorBidi"/>
          <w:noProof/>
          <w:sz w:val="22"/>
          <w:szCs w:val="22"/>
        </w:rPr>
      </w:pPr>
      <w:hyperlink w:anchor="_Toc225411880" w:history="1">
        <w:r w:rsidRPr="00D92A57">
          <w:rPr>
            <w:rStyle w:val="Hyperlink"/>
            <w:noProof/>
          </w:rPr>
          <w:t>3</w:t>
        </w:r>
        <w:r w:rsidRPr="00D92A57">
          <w:rPr>
            <w:rStyle w:val="Hyperlink"/>
            <w:noProof/>
          </w:rPr>
          <w:tab/>
          <w:t>Used and Useful</w:t>
        </w:r>
        <w:r>
          <w:rPr>
            <w:noProof/>
            <w:webHidden/>
          </w:rPr>
          <w:tab/>
        </w:r>
        <w:r>
          <w:rPr>
            <w:noProof/>
            <w:webHidden/>
          </w:rPr>
          <w:fldChar w:fldCharType="begin"/>
        </w:r>
        <w:r>
          <w:rPr>
            <w:noProof/>
            <w:webHidden/>
          </w:rPr>
          <w:instrText xml:space="preserve"> PAGEREF _Toc225411880 \h </w:instrText>
        </w:r>
        <w:r>
          <w:rPr>
            <w:noProof/>
            <w:webHidden/>
          </w:rPr>
        </w:r>
        <w:r>
          <w:rPr>
            <w:noProof/>
            <w:webHidden/>
          </w:rPr>
          <w:fldChar w:fldCharType="separate"/>
        </w:r>
        <w:r>
          <w:rPr>
            <w:noProof/>
            <w:webHidden/>
          </w:rPr>
          <w:t>7</w:t>
        </w:r>
        <w:r>
          <w:rPr>
            <w:noProof/>
            <w:webHidden/>
          </w:rPr>
          <w:fldChar w:fldCharType="end"/>
        </w:r>
      </w:hyperlink>
    </w:p>
    <w:p w14:paraId="3DCAEBFD" w14:textId="4F189B10" w:rsidR="004A4C46" w:rsidRDefault="004A4C46">
      <w:pPr>
        <w:pStyle w:val="TOC1"/>
        <w:rPr>
          <w:rFonts w:asciiTheme="minorHAnsi" w:eastAsiaTheme="minorEastAsia" w:hAnsiTheme="minorHAnsi" w:cstheme="minorBidi"/>
          <w:noProof/>
          <w:sz w:val="22"/>
          <w:szCs w:val="22"/>
        </w:rPr>
      </w:pPr>
      <w:hyperlink w:anchor="_Toc225411881" w:history="1">
        <w:r w:rsidRPr="00D92A57">
          <w:rPr>
            <w:rStyle w:val="Hyperlink"/>
            <w:noProof/>
          </w:rPr>
          <w:t>4</w:t>
        </w:r>
        <w:r w:rsidRPr="00D92A57">
          <w:rPr>
            <w:rStyle w:val="Hyperlink"/>
            <w:noProof/>
          </w:rPr>
          <w:tab/>
          <w:t>Average Test Year Rate Base</w:t>
        </w:r>
        <w:r>
          <w:rPr>
            <w:noProof/>
            <w:webHidden/>
          </w:rPr>
          <w:tab/>
        </w:r>
        <w:r>
          <w:rPr>
            <w:noProof/>
            <w:webHidden/>
          </w:rPr>
          <w:fldChar w:fldCharType="begin"/>
        </w:r>
        <w:r>
          <w:rPr>
            <w:noProof/>
            <w:webHidden/>
          </w:rPr>
          <w:instrText xml:space="preserve"> PAGEREF _Toc225411881 \h </w:instrText>
        </w:r>
        <w:r>
          <w:rPr>
            <w:noProof/>
            <w:webHidden/>
          </w:rPr>
        </w:r>
        <w:r>
          <w:rPr>
            <w:noProof/>
            <w:webHidden/>
          </w:rPr>
          <w:fldChar w:fldCharType="separate"/>
        </w:r>
        <w:r>
          <w:rPr>
            <w:noProof/>
            <w:webHidden/>
          </w:rPr>
          <w:t>9</w:t>
        </w:r>
        <w:r>
          <w:rPr>
            <w:noProof/>
            <w:webHidden/>
          </w:rPr>
          <w:fldChar w:fldCharType="end"/>
        </w:r>
      </w:hyperlink>
    </w:p>
    <w:p w14:paraId="2CCC28AC" w14:textId="3E57B8E0" w:rsidR="004A4C46" w:rsidRDefault="004A4C46">
      <w:pPr>
        <w:pStyle w:val="TOC1"/>
        <w:rPr>
          <w:rFonts w:asciiTheme="minorHAnsi" w:eastAsiaTheme="minorEastAsia" w:hAnsiTheme="minorHAnsi" w:cstheme="minorBidi"/>
          <w:noProof/>
          <w:sz w:val="22"/>
          <w:szCs w:val="22"/>
        </w:rPr>
      </w:pPr>
      <w:hyperlink w:anchor="_Toc225411882" w:history="1">
        <w:r w:rsidRPr="00D92A57">
          <w:rPr>
            <w:rStyle w:val="Hyperlink"/>
            <w:noProof/>
          </w:rPr>
          <w:t>5</w:t>
        </w:r>
        <w:r w:rsidRPr="00D92A57">
          <w:rPr>
            <w:rStyle w:val="Hyperlink"/>
            <w:noProof/>
          </w:rPr>
          <w:tab/>
          <w:t>Rate of Return</w:t>
        </w:r>
        <w:r>
          <w:rPr>
            <w:noProof/>
            <w:webHidden/>
          </w:rPr>
          <w:tab/>
        </w:r>
        <w:r>
          <w:rPr>
            <w:noProof/>
            <w:webHidden/>
          </w:rPr>
          <w:fldChar w:fldCharType="begin"/>
        </w:r>
        <w:r>
          <w:rPr>
            <w:noProof/>
            <w:webHidden/>
          </w:rPr>
          <w:instrText xml:space="preserve"> PAGEREF _Toc225411882 \h </w:instrText>
        </w:r>
        <w:r>
          <w:rPr>
            <w:noProof/>
            <w:webHidden/>
          </w:rPr>
        </w:r>
        <w:r>
          <w:rPr>
            <w:noProof/>
            <w:webHidden/>
          </w:rPr>
          <w:fldChar w:fldCharType="separate"/>
        </w:r>
        <w:r>
          <w:rPr>
            <w:noProof/>
            <w:webHidden/>
          </w:rPr>
          <w:t>12</w:t>
        </w:r>
        <w:r>
          <w:rPr>
            <w:noProof/>
            <w:webHidden/>
          </w:rPr>
          <w:fldChar w:fldCharType="end"/>
        </w:r>
      </w:hyperlink>
    </w:p>
    <w:p w14:paraId="2F410735" w14:textId="5E03EA64" w:rsidR="004A4C46" w:rsidRDefault="004A4C46">
      <w:pPr>
        <w:pStyle w:val="TOC1"/>
        <w:rPr>
          <w:rFonts w:asciiTheme="minorHAnsi" w:eastAsiaTheme="minorEastAsia" w:hAnsiTheme="minorHAnsi" w:cstheme="minorBidi"/>
          <w:noProof/>
          <w:sz w:val="22"/>
          <w:szCs w:val="22"/>
        </w:rPr>
      </w:pPr>
      <w:hyperlink w:anchor="_Toc225411883" w:history="1">
        <w:r w:rsidRPr="00D92A57">
          <w:rPr>
            <w:rStyle w:val="Hyperlink"/>
            <w:noProof/>
          </w:rPr>
          <w:t>6</w:t>
        </w:r>
        <w:r w:rsidRPr="00D92A57">
          <w:rPr>
            <w:rStyle w:val="Hyperlink"/>
            <w:noProof/>
          </w:rPr>
          <w:tab/>
          <w:t>Test Year Revenues</w:t>
        </w:r>
        <w:r>
          <w:rPr>
            <w:noProof/>
            <w:webHidden/>
          </w:rPr>
          <w:tab/>
        </w:r>
        <w:r>
          <w:rPr>
            <w:noProof/>
            <w:webHidden/>
          </w:rPr>
          <w:fldChar w:fldCharType="begin"/>
        </w:r>
        <w:r>
          <w:rPr>
            <w:noProof/>
            <w:webHidden/>
          </w:rPr>
          <w:instrText xml:space="preserve"> PAGEREF _Toc225411883 \h </w:instrText>
        </w:r>
        <w:r>
          <w:rPr>
            <w:noProof/>
            <w:webHidden/>
          </w:rPr>
        </w:r>
        <w:r>
          <w:rPr>
            <w:noProof/>
            <w:webHidden/>
          </w:rPr>
          <w:fldChar w:fldCharType="separate"/>
        </w:r>
        <w:r>
          <w:rPr>
            <w:noProof/>
            <w:webHidden/>
          </w:rPr>
          <w:t>13</w:t>
        </w:r>
        <w:r>
          <w:rPr>
            <w:noProof/>
            <w:webHidden/>
          </w:rPr>
          <w:fldChar w:fldCharType="end"/>
        </w:r>
      </w:hyperlink>
    </w:p>
    <w:p w14:paraId="6CBE42FC" w14:textId="72F948A5" w:rsidR="004A4C46" w:rsidRDefault="004A4C46">
      <w:pPr>
        <w:pStyle w:val="TOC1"/>
        <w:rPr>
          <w:rFonts w:asciiTheme="minorHAnsi" w:eastAsiaTheme="minorEastAsia" w:hAnsiTheme="minorHAnsi" w:cstheme="minorBidi"/>
          <w:noProof/>
          <w:sz w:val="22"/>
          <w:szCs w:val="22"/>
        </w:rPr>
      </w:pPr>
      <w:hyperlink w:anchor="_Toc225411884" w:history="1">
        <w:r w:rsidRPr="00D92A57">
          <w:rPr>
            <w:rStyle w:val="Hyperlink"/>
            <w:noProof/>
          </w:rPr>
          <w:t>7</w:t>
        </w:r>
        <w:r w:rsidRPr="00D92A57">
          <w:rPr>
            <w:rStyle w:val="Hyperlink"/>
            <w:noProof/>
          </w:rPr>
          <w:tab/>
          <w:t>Operating Expenses</w:t>
        </w:r>
        <w:r>
          <w:rPr>
            <w:noProof/>
            <w:webHidden/>
          </w:rPr>
          <w:tab/>
        </w:r>
        <w:r>
          <w:rPr>
            <w:noProof/>
            <w:webHidden/>
          </w:rPr>
          <w:fldChar w:fldCharType="begin"/>
        </w:r>
        <w:r>
          <w:rPr>
            <w:noProof/>
            <w:webHidden/>
          </w:rPr>
          <w:instrText xml:space="preserve"> PAGEREF _Toc225411884 \h </w:instrText>
        </w:r>
        <w:r>
          <w:rPr>
            <w:noProof/>
            <w:webHidden/>
          </w:rPr>
        </w:r>
        <w:r>
          <w:rPr>
            <w:noProof/>
            <w:webHidden/>
          </w:rPr>
          <w:fldChar w:fldCharType="separate"/>
        </w:r>
        <w:r>
          <w:rPr>
            <w:noProof/>
            <w:webHidden/>
          </w:rPr>
          <w:t>14</w:t>
        </w:r>
        <w:r>
          <w:rPr>
            <w:noProof/>
            <w:webHidden/>
          </w:rPr>
          <w:fldChar w:fldCharType="end"/>
        </w:r>
      </w:hyperlink>
    </w:p>
    <w:p w14:paraId="5A1CA95E" w14:textId="3F427D4B" w:rsidR="004A4C46" w:rsidRDefault="004A4C46">
      <w:pPr>
        <w:pStyle w:val="TOC1"/>
        <w:rPr>
          <w:rFonts w:asciiTheme="minorHAnsi" w:eastAsiaTheme="minorEastAsia" w:hAnsiTheme="minorHAnsi" w:cstheme="minorBidi"/>
          <w:noProof/>
          <w:sz w:val="22"/>
          <w:szCs w:val="22"/>
        </w:rPr>
      </w:pPr>
      <w:hyperlink w:anchor="_Toc225411885" w:history="1">
        <w:r w:rsidRPr="00D92A57">
          <w:rPr>
            <w:rStyle w:val="Hyperlink"/>
            <w:noProof/>
          </w:rPr>
          <w:t>8</w:t>
        </w:r>
        <w:r w:rsidRPr="00D92A57">
          <w:rPr>
            <w:rStyle w:val="Hyperlink"/>
            <w:noProof/>
          </w:rPr>
          <w:tab/>
          <w:t>Operating Ratio Methodology</w:t>
        </w:r>
        <w:r>
          <w:rPr>
            <w:noProof/>
            <w:webHidden/>
          </w:rPr>
          <w:tab/>
        </w:r>
        <w:r>
          <w:rPr>
            <w:noProof/>
            <w:webHidden/>
          </w:rPr>
          <w:fldChar w:fldCharType="begin"/>
        </w:r>
        <w:r>
          <w:rPr>
            <w:noProof/>
            <w:webHidden/>
          </w:rPr>
          <w:instrText xml:space="preserve"> PAGEREF _Toc225411885 \h </w:instrText>
        </w:r>
        <w:r>
          <w:rPr>
            <w:noProof/>
            <w:webHidden/>
          </w:rPr>
        </w:r>
        <w:r>
          <w:rPr>
            <w:noProof/>
            <w:webHidden/>
          </w:rPr>
          <w:fldChar w:fldCharType="separate"/>
        </w:r>
        <w:r>
          <w:rPr>
            <w:noProof/>
            <w:webHidden/>
          </w:rPr>
          <w:t>17</w:t>
        </w:r>
        <w:r>
          <w:rPr>
            <w:noProof/>
            <w:webHidden/>
          </w:rPr>
          <w:fldChar w:fldCharType="end"/>
        </w:r>
      </w:hyperlink>
    </w:p>
    <w:p w14:paraId="189A63AD" w14:textId="7AF68937" w:rsidR="004A4C46" w:rsidRDefault="004A4C46">
      <w:pPr>
        <w:pStyle w:val="TOC1"/>
        <w:rPr>
          <w:rFonts w:asciiTheme="minorHAnsi" w:eastAsiaTheme="minorEastAsia" w:hAnsiTheme="minorHAnsi" w:cstheme="minorBidi"/>
          <w:noProof/>
          <w:sz w:val="22"/>
          <w:szCs w:val="22"/>
        </w:rPr>
      </w:pPr>
      <w:hyperlink w:anchor="_Toc225411886" w:history="1">
        <w:r w:rsidRPr="00D92A57">
          <w:rPr>
            <w:rStyle w:val="Hyperlink"/>
            <w:noProof/>
          </w:rPr>
          <w:t>9</w:t>
        </w:r>
        <w:r w:rsidRPr="00D92A57">
          <w:rPr>
            <w:rStyle w:val="Hyperlink"/>
            <w:noProof/>
          </w:rPr>
          <w:tab/>
          <w:t>Appropriate Revenue Requirement</w:t>
        </w:r>
        <w:r>
          <w:rPr>
            <w:noProof/>
            <w:webHidden/>
          </w:rPr>
          <w:tab/>
        </w:r>
        <w:r>
          <w:rPr>
            <w:noProof/>
            <w:webHidden/>
          </w:rPr>
          <w:fldChar w:fldCharType="begin"/>
        </w:r>
        <w:r>
          <w:rPr>
            <w:noProof/>
            <w:webHidden/>
          </w:rPr>
          <w:instrText xml:space="preserve"> PAGEREF _Toc225411886 \h </w:instrText>
        </w:r>
        <w:r>
          <w:rPr>
            <w:noProof/>
            <w:webHidden/>
          </w:rPr>
        </w:r>
        <w:r>
          <w:rPr>
            <w:noProof/>
            <w:webHidden/>
          </w:rPr>
          <w:fldChar w:fldCharType="separate"/>
        </w:r>
        <w:r>
          <w:rPr>
            <w:noProof/>
            <w:webHidden/>
          </w:rPr>
          <w:t>18</w:t>
        </w:r>
        <w:r>
          <w:rPr>
            <w:noProof/>
            <w:webHidden/>
          </w:rPr>
          <w:fldChar w:fldCharType="end"/>
        </w:r>
      </w:hyperlink>
    </w:p>
    <w:p w14:paraId="75EEA63B" w14:textId="5BDD041D" w:rsidR="004A4C46" w:rsidRDefault="004A4C46">
      <w:pPr>
        <w:pStyle w:val="TOC1"/>
        <w:rPr>
          <w:rFonts w:asciiTheme="minorHAnsi" w:eastAsiaTheme="minorEastAsia" w:hAnsiTheme="minorHAnsi" w:cstheme="minorBidi"/>
          <w:noProof/>
          <w:sz w:val="22"/>
          <w:szCs w:val="22"/>
        </w:rPr>
      </w:pPr>
      <w:hyperlink w:anchor="_Toc225411887" w:history="1">
        <w:r w:rsidRPr="00D92A57">
          <w:rPr>
            <w:rStyle w:val="Hyperlink"/>
            <w:noProof/>
          </w:rPr>
          <w:t>10</w:t>
        </w:r>
        <w:r w:rsidRPr="00D92A57">
          <w:rPr>
            <w:rStyle w:val="Hyperlink"/>
            <w:noProof/>
          </w:rPr>
          <w:tab/>
          <w:t>Appropriate Rate Structure</w:t>
        </w:r>
        <w:r>
          <w:rPr>
            <w:noProof/>
            <w:webHidden/>
          </w:rPr>
          <w:tab/>
        </w:r>
        <w:r>
          <w:rPr>
            <w:noProof/>
            <w:webHidden/>
          </w:rPr>
          <w:fldChar w:fldCharType="begin"/>
        </w:r>
        <w:r>
          <w:rPr>
            <w:noProof/>
            <w:webHidden/>
          </w:rPr>
          <w:instrText xml:space="preserve"> PAGEREF _Toc225411887 \h </w:instrText>
        </w:r>
        <w:r>
          <w:rPr>
            <w:noProof/>
            <w:webHidden/>
          </w:rPr>
        </w:r>
        <w:r>
          <w:rPr>
            <w:noProof/>
            <w:webHidden/>
          </w:rPr>
          <w:fldChar w:fldCharType="separate"/>
        </w:r>
        <w:r>
          <w:rPr>
            <w:noProof/>
            <w:webHidden/>
          </w:rPr>
          <w:t>19</w:t>
        </w:r>
        <w:r>
          <w:rPr>
            <w:noProof/>
            <w:webHidden/>
          </w:rPr>
          <w:fldChar w:fldCharType="end"/>
        </w:r>
      </w:hyperlink>
    </w:p>
    <w:p w14:paraId="5F6C2316" w14:textId="2FF151E6" w:rsidR="004A4C46" w:rsidRDefault="004A4C46">
      <w:pPr>
        <w:pStyle w:val="TOC1"/>
        <w:rPr>
          <w:rFonts w:asciiTheme="minorHAnsi" w:eastAsiaTheme="minorEastAsia" w:hAnsiTheme="minorHAnsi" w:cstheme="minorBidi"/>
          <w:noProof/>
          <w:sz w:val="22"/>
          <w:szCs w:val="22"/>
        </w:rPr>
      </w:pPr>
      <w:hyperlink w:anchor="_Toc225411888" w:history="1">
        <w:r w:rsidRPr="00D92A57">
          <w:rPr>
            <w:rStyle w:val="Hyperlink"/>
            <w:noProof/>
          </w:rPr>
          <w:t>11</w:t>
        </w:r>
        <w:r w:rsidRPr="00D92A57">
          <w:rPr>
            <w:rStyle w:val="Hyperlink"/>
            <w:noProof/>
          </w:rPr>
          <w:tab/>
          <w:t>Customer Deposits</w:t>
        </w:r>
        <w:r>
          <w:rPr>
            <w:noProof/>
            <w:webHidden/>
          </w:rPr>
          <w:tab/>
        </w:r>
        <w:r>
          <w:rPr>
            <w:noProof/>
            <w:webHidden/>
          </w:rPr>
          <w:fldChar w:fldCharType="begin"/>
        </w:r>
        <w:r>
          <w:rPr>
            <w:noProof/>
            <w:webHidden/>
          </w:rPr>
          <w:instrText xml:space="preserve"> PAGEREF _Toc225411888 \h </w:instrText>
        </w:r>
        <w:r>
          <w:rPr>
            <w:noProof/>
            <w:webHidden/>
          </w:rPr>
        </w:r>
        <w:r>
          <w:rPr>
            <w:noProof/>
            <w:webHidden/>
          </w:rPr>
          <w:fldChar w:fldCharType="separate"/>
        </w:r>
        <w:r>
          <w:rPr>
            <w:noProof/>
            <w:webHidden/>
          </w:rPr>
          <w:t>21</w:t>
        </w:r>
        <w:r>
          <w:rPr>
            <w:noProof/>
            <w:webHidden/>
          </w:rPr>
          <w:fldChar w:fldCharType="end"/>
        </w:r>
      </w:hyperlink>
    </w:p>
    <w:p w14:paraId="528AF45C" w14:textId="583892C3" w:rsidR="004A4C46" w:rsidRDefault="004A4C46">
      <w:pPr>
        <w:pStyle w:val="TOC1"/>
        <w:rPr>
          <w:rFonts w:asciiTheme="minorHAnsi" w:eastAsiaTheme="minorEastAsia" w:hAnsiTheme="minorHAnsi" w:cstheme="minorBidi"/>
          <w:noProof/>
          <w:sz w:val="22"/>
          <w:szCs w:val="22"/>
        </w:rPr>
      </w:pPr>
      <w:hyperlink w:anchor="_Toc225411889" w:history="1">
        <w:r w:rsidRPr="00D92A57">
          <w:rPr>
            <w:rStyle w:val="Hyperlink"/>
            <w:noProof/>
          </w:rPr>
          <w:t>12</w:t>
        </w:r>
        <w:r w:rsidRPr="00D92A57">
          <w:rPr>
            <w:rStyle w:val="Hyperlink"/>
            <w:noProof/>
          </w:rPr>
          <w:tab/>
          <w:t>Four Year Rate Reduction</w:t>
        </w:r>
        <w:r>
          <w:rPr>
            <w:noProof/>
            <w:webHidden/>
          </w:rPr>
          <w:tab/>
        </w:r>
        <w:r>
          <w:rPr>
            <w:noProof/>
            <w:webHidden/>
          </w:rPr>
          <w:fldChar w:fldCharType="begin"/>
        </w:r>
        <w:r>
          <w:rPr>
            <w:noProof/>
            <w:webHidden/>
          </w:rPr>
          <w:instrText xml:space="preserve"> PAGEREF _Toc225411889 \h </w:instrText>
        </w:r>
        <w:r>
          <w:rPr>
            <w:noProof/>
            <w:webHidden/>
          </w:rPr>
        </w:r>
        <w:r>
          <w:rPr>
            <w:noProof/>
            <w:webHidden/>
          </w:rPr>
          <w:fldChar w:fldCharType="separate"/>
        </w:r>
        <w:r>
          <w:rPr>
            <w:noProof/>
            <w:webHidden/>
          </w:rPr>
          <w:t>22</w:t>
        </w:r>
        <w:r>
          <w:rPr>
            <w:noProof/>
            <w:webHidden/>
          </w:rPr>
          <w:fldChar w:fldCharType="end"/>
        </w:r>
      </w:hyperlink>
    </w:p>
    <w:p w14:paraId="37CD4071" w14:textId="64894BB3" w:rsidR="004A4C46" w:rsidRDefault="004A4C46">
      <w:pPr>
        <w:pStyle w:val="TOC1"/>
        <w:rPr>
          <w:rFonts w:asciiTheme="minorHAnsi" w:eastAsiaTheme="minorEastAsia" w:hAnsiTheme="minorHAnsi" w:cstheme="minorBidi"/>
          <w:noProof/>
          <w:sz w:val="22"/>
          <w:szCs w:val="22"/>
        </w:rPr>
      </w:pPr>
      <w:hyperlink w:anchor="_Toc225411890" w:history="1">
        <w:r w:rsidRPr="00D92A57">
          <w:rPr>
            <w:rStyle w:val="Hyperlink"/>
            <w:noProof/>
          </w:rPr>
          <w:t>13</w:t>
        </w:r>
        <w:r w:rsidRPr="00D92A57">
          <w:rPr>
            <w:rStyle w:val="Hyperlink"/>
            <w:noProof/>
          </w:rPr>
          <w:tab/>
          <w:t>Temporary Rates</w:t>
        </w:r>
        <w:r>
          <w:rPr>
            <w:noProof/>
            <w:webHidden/>
          </w:rPr>
          <w:tab/>
        </w:r>
        <w:r>
          <w:rPr>
            <w:noProof/>
            <w:webHidden/>
          </w:rPr>
          <w:fldChar w:fldCharType="begin"/>
        </w:r>
        <w:r>
          <w:rPr>
            <w:noProof/>
            <w:webHidden/>
          </w:rPr>
          <w:instrText xml:space="preserve"> PAGEREF _Toc225411890 \h </w:instrText>
        </w:r>
        <w:r>
          <w:rPr>
            <w:noProof/>
            <w:webHidden/>
          </w:rPr>
        </w:r>
        <w:r>
          <w:rPr>
            <w:noProof/>
            <w:webHidden/>
          </w:rPr>
          <w:fldChar w:fldCharType="separate"/>
        </w:r>
        <w:r>
          <w:rPr>
            <w:noProof/>
            <w:webHidden/>
          </w:rPr>
          <w:t>23</w:t>
        </w:r>
        <w:r>
          <w:rPr>
            <w:noProof/>
            <w:webHidden/>
          </w:rPr>
          <w:fldChar w:fldCharType="end"/>
        </w:r>
      </w:hyperlink>
    </w:p>
    <w:p w14:paraId="582E12C7" w14:textId="5A33FF3A" w:rsidR="004A4C46" w:rsidRDefault="004A4C46">
      <w:pPr>
        <w:pStyle w:val="TOC1"/>
        <w:rPr>
          <w:rFonts w:asciiTheme="minorHAnsi" w:eastAsiaTheme="minorEastAsia" w:hAnsiTheme="minorHAnsi" w:cstheme="minorBidi"/>
          <w:noProof/>
          <w:sz w:val="22"/>
          <w:szCs w:val="22"/>
        </w:rPr>
      </w:pPr>
      <w:hyperlink w:anchor="_Toc225411891" w:history="1">
        <w:r w:rsidRPr="00D92A57">
          <w:rPr>
            <w:rStyle w:val="Hyperlink"/>
            <w:noProof/>
          </w:rPr>
          <w:t>14</w:t>
        </w:r>
        <w:r w:rsidRPr="00D92A57">
          <w:rPr>
            <w:rStyle w:val="Hyperlink"/>
            <w:noProof/>
          </w:rPr>
          <w:tab/>
          <w:t>Adjustment to Books</w:t>
        </w:r>
        <w:r>
          <w:rPr>
            <w:noProof/>
            <w:webHidden/>
          </w:rPr>
          <w:tab/>
        </w:r>
        <w:r>
          <w:rPr>
            <w:noProof/>
            <w:webHidden/>
          </w:rPr>
          <w:fldChar w:fldCharType="begin"/>
        </w:r>
        <w:r>
          <w:rPr>
            <w:noProof/>
            <w:webHidden/>
          </w:rPr>
          <w:instrText xml:space="preserve"> PAGEREF _Toc225411891 \h </w:instrText>
        </w:r>
        <w:r>
          <w:rPr>
            <w:noProof/>
            <w:webHidden/>
          </w:rPr>
        </w:r>
        <w:r>
          <w:rPr>
            <w:noProof/>
            <w:webHidden/>
          </w:rPr>
          <w:fldChar w:fldCharType="separate"/>
        </w:r>
        <w:r>
          <w:rPr>
            <w:noProof/>
            <w:webHidden/>
          </w:rPr>
          <w:t>26</w:t>
        </w:r>
        <w:r>
          <w:rPr>
            <w:noProof/>
            <w:webHidden/>
          </w:rPr>
          <w:fldChar w:fldCharType="end"/>
        </w:r>
      </w:hyperlink>
    </w:p>
    <w:p w14:paraId="7A93536D" w14:textId="39CCEF5D" w:rsidR="004A4C46" w:rsidRDefault="004A4C46">
      <w:pPr>
        <w:pStyle w:val="TOC1"/>
        <w:rPr>
          <w:rFonts w:asciiTheme="minorHAnsi" w:eastAsiaTheme="minorEastAsia" w:hAnsiTheme="minorHAnsi" w:cstheme="minorBidi"/>
          <w:noProof/>
          <w:sz w:val="22"/>
          <w:szCs w:val="22"/>
        </w:rPr>
      </w:pPr>
      <w:hyperlink w:anchor="_Toc225411892" w:history="1">
        <w:r w:rsidRPr="00D92A57">
          <w:rPr>
            <w:rStyle w:val="Hyperlink"/>
            <w:noProof/>
          </w:rPr>
          <w:t>15</w:t>
        </w:r>
        <w:r w:rsidRPr="00D92A57">
          <w:rPr>
            <w:rStyle w:val="Hyperlink"/>
            <w:noProof/>
          </w:rPr>
          <w:tab/>
          <w:t>Close Docket</w:t>
        </w:r>
        <w:r>
          <w:rPr>
            <w:noProof/>
            <w:webHidden/>
          </w:rPr>
          <w:tab/>
        </w:r>
        <w:r>
          <w:rPr>
            <w:noProof/>
            <w:webHidden/>
          </w:rPr>
          <w:fldChar w:fldCharType="begin"/>
        </w:r>
        <w:r>
          <w:rPr>
            <w:noProof/>
            <w:webHidden/>
          </w:rPr>
          <w:instrText xml:space="preserve"> PAGEREF _Toc225411892 \h </w:instrText>
        </w:r>
        <w:r>
          <w:rPr>
            <w:noProof/>
            <w:webHidden/>
          </w:rPr>
        </w:r>
        <w:r>
          <w:rPr>
            <w:noProof/>
            <w:webHidden/>
          </w:rPr>
          <w:fldChar w:fldCharType="separate"/>
        </w:r>
        <w:r>
          <w:rPr>
            <w:noProof/>
            <w:webHidden/>
          </w:rPr>
          <w:t>27</w:t>
        </w:r>
        <w:r>
          <w:rPr>
            <w:noProof/>
            <w:webHidden/>
          </w:rPr>
          <w:fldChar w:fldCharType="end"/>
        </w:r>
      </w:hyperlink>
    </w:p>
    <w:p w14:paraId="00F47576" w14:textId="056D3717" w:rsidR="004A4C46" w:rsidRDefault="004A4C46">
      <w:pPr>
        <w:pStyle w:val="TOC1"/>
        <w:rPr>
          <w:rFonts w:asciiTheme="minorHAnsi" w:eastAsiaTheme="minorEastAsia" w:hAnsiTheme="minorHAnsi" w:cstheme="minorBidi"/>
          <w:noProof/>
          <w:sz w:val="22"/>
          <w:szCs w:val="22"/>
        </w:rPr>
      </w:pPr>
      <w:hyperlink w:anchor="_Toc225411893" w:history="1">
        <w:r w:rsidRPr="00D92A57">
          <w:rPr>
            <w:rStyle w:val="Hyperlink"/>
            <w:noProof/>
          </w:rPr>
          <w:tab/>
          <w:t>Schedule No. 1-A Water Rate Base</w:t>
        </w:r>
        <w:r>
          <w:rPr>
            <w:noProof/>
            <w:webHidden/>
          </w:rPr>
          <w:tab/>
        </w:r>
        <w:r>
          <w:rPr>
            <w:noProof/>
            <w:webHidden/>
          </w:rPr>
          <w:fldChar w:fldCharType="begin"/>
        </w:r>
        <w:r>
          <w:rPr>
            <w:noProof/>
            <w:webHidden/>
          </w:rPr>
          <w:instrText xml:space="preserve"> PAGEREF _Toc225411893 \h </w:instrText>
        </w:r>
        <w:r>
          <w:rPr>
            <w:noProof/>
            <w:webHidden/>
          </w:rPr>
        </w:r>
        <w:r>
          <w:rPr>
            <w:noProof/>
            <w:webHidden/>
          </w:rPr>
          <w:fldChar w:fldCharType="separate"/>
        </w:r>
        <w:r>
          <w:rPr>
            <w:noProof/>
            <w:webHidden/>
          </w:rPr>
          <w:t>28</w:t>
        </w:r>
        <w:r>
          <w:rPr>
            <w:noProof/>
            <w:webHidden/>
          </w:rPr>
          <w:fldChar w:fldCharType="end"/>
        </w:r>
      </w:hyperlink>
    </w:p>
    <w:p w14:paraId="3D4AE2E5" w14:textId="1C5F4CFC" w:rsidR="004A4C46" w:rsidRDefault="004A4C46">
      <w:pPr>
        <w:pStyle w:val="TOC1"/>
        <w:rPr>
          <w:rFonts w:asciiTheme="minorHAnsi" w:eastAsiaTheme="minorEastAsia" w:hAnsiTheme="minorHAnsi" w:cstheme="minorBidi"/>
          <w:noProof/>
          <w:sz w:val="22"/>
          <w:szCs w:val="22"/>
        </w:rPr>
      </w:pPr>
      <w:hyperlink w:anchor="_Toc225411894" w:history="1">
        <w:r w:rsidRPr="00D92A57">
          <w:rPr>
            <w:rStyle w:val="Hyperlink"/>
            <w:noProof/>
          </w:rPr>
          <w:tab/>
          <w:t>Schedule No. 1-B Adjustment to Rate Base</w:t>
        </w:r>
        <w:r>
          <w:rPr>
            <w:noProof/>
            <w:webHidden/>
          </w:rPr>
          <w:tab/>
        </w:r>
        <w:r>
          <w:rPr>
            <w:noProof/>
            <w:webHidden/>
          </w:rPr>
          <w:fldChar w:fldCharType="begin"/>
        </w:r>
        <w:r>
          <w:rPr>
            <w:noProof/>
            <w:webHidden/>
          </w:rPr>
          <w:instrText xml:space="preserve"> PAGEREF _Toc225411894 \h </w:instrText>
        </w:r>
        <w:r>
          <w:rPr>
            <w:noProof/>
            <w:webHidden/>
          </w:rPr>
        </w:r>
        <w:r>
          <w:rPr>
            <w:noProof/>
            <w:webHidden/>
          </w:rPr>
          <w:fldChar w:fldCharType="separate"/>
        </w:r>
        <w:r>
          <w:rPr>
            <w:noProof/>
            <w:webHidden/>
          </w:rPr>
          <w:t>29</w:t>
        </w:r>
        <w:r>
          <w:rPr>
            <w:noProof/>
            <w:webHidden/>
          </w:rPr>
          <w:fldChar w:fldCharType="end"/>
        </w:r>
      </w:hyperlink>
    </w:p>
    <w:p w14:paraId="7CEF396A" w14:textId="40ED75B0" w:rsidR="004A4C46" w:rsidRDefault="004A4C46">
      <w:pPr>
        <w:pStyle w:val="TOC1"/>
        <w:rPr>
          <w:rFonts w:asciiTheme="minorHAnsi" w:eastAsiaTheme="minorEastAsia" w:hAnsiTheme="minorHAnsi" w:cstheme="minorBidi"/>
          <w:noProof/>
          <w:sz w:val="22"/>
          <w:szCs w:val="22"/>
        </w:rPr>
      </w:pPr>
      <w:hyperlink w:anchor="_Toc225411895" w:history="1">
        <w:r w:rsidRPr="00D92A57">
          <w:rPr>
            <w:rStyle w:val="Hyperlink"/>
            <w:noProof/>
          </w:rPr>
          <w:tab/>
          <w:t>Schedule No. 2 Capital Structure</w:t>
        </w:r>
        <w:r>
          <w:rPr>
            <w:noProof/>
            <w:webHidden/>
          </w:rPr>
          <w:tab/>
        </w:r>
        <w:r>
          <w:rPr>
            <w:noProof/>
            <w:webHidden/>
          </w:rPr>
          <w:fldChar w:fldCharType="begin"/>
        </w:r>
        <w:r>
          <w:rPr>
            <w:noProof/>
            <w:webHidden/>
          </w:rPr>
          <w:instrText xml:space="preserve"> PAGEREF _Toc225411895 \h </w:instrText>
        </w:r>
        <w:r>
          <w:rPr>
            <w:noProof/>
            <w:webHidden/>
          </w:rPr>
        </w:r>
        <w:r>
          <w:rPr>
            <w:noProof/>
            <w:webHidden/>
          </w:rPr>
          <w:fldChar w:fldCharType="separate"/>
        </w:r>
        <w:r>
          <w:rPr>
            <w:noProof/>
            <w:webHidden/>
          </w:rPr>
          <w:t>30</w:t>
        </w:r>
        <w:r>
          <w:rPr>
            <w:noProof/>
            <w:webHidden/>
          </w:rPr>
          <w:fldChar w:fldCharType="end"/>
        </w:r>
      </w:hyperlink>
    </w:p>
    <w:p w14:paraId="007A9518" w14:textId="5112E8D3" w:rsidR="004A4C46" w:rsidRDefault="004A4C46">
      <w:pPr>
        <w:pStyle w:val="TOC1"/>
        <w:rPr>
          <w:rFonts w:asciiTheme="minorHAnsi" w:eastAsiaTheme="minorEastAsia" w:hAnsiTheme="minorHAnsi" w:cstheme="minorBidi"/>
          <w:noProof/>
          <w:sz w:val="22"/>
          <w:szCs w:val="22"/>
        </w:rPr>
      </w:pPr>
      <w:hyperlink w:anchor="_Toc225411896" w:history="1">
        <w:r w:rsidRPr="00D92A57">
          <w:rPr>
            <w:rStyle w:val="Hyperlink"/>
            <w:noProof/>
          </w:rPr>
          <w:tab/>
          <w:t>Schedule No. 3-A Water Operating Income</w:t>
        </w:r>
        <w:r>
          <w:rPr>
            <w:noProof/>
            <w:webHidden/>
          </w:rPr>
          <w:tab/>
        </w:r>
        <w:r>
          <w:rPr>
            <w:noProof/>
            <w:webHidden/>
          </w:rPr>
          <w:fldChar w:fldCharType="begin"/>
        </w:r>
        <w:r>
          <w:rPr>
            <w:noProof/>
            <w:webHidden/>
          </w:rPr>
          <w:instrText xml:space="preserve"> PAGEREF _Toc225411896 \h </w:instrText>
        </w:r>
        <w:r>
          <w:rPr>
            <w:noProof/>
            <w:webHidden/>
          </w:rPr>
        </w:r>
        <w:r>
          <w:rPr>
            <w:noProof/>
            <w:webHidden/>
          </w:rPr>
          <w:fldChar w:fldCharType="separate"/>
        </w:r>
        <w:r>
          <w:rPr>
            <w:noProof/>
            <w:webHidden/>
          </w:rPr>
          <w:t>31</w:t>
        </w:r>
        <w:r>
          <w:rPr>
            <w:noProof/>
            <w:webHidden/>
          </w:rPr>
          <w:fldChar w:fldCharType="end"/>
        </w:r>
      </w:hyperlink>
    </w:p>
    <w:p w14:paraId="79B65750" w14:textId="688C7CD0" w:rsidR="004A4C46" w:rsidRDefault="004A4C46">
      <w:pPr>
        <w:pStyle w:val="TOC1"/>
        <w:rPr>
          <w:rFonts w:asciiTheme="minorHAnsi" w:eastAsiaTheme="minorEastAsia" w:hAnsiTheme="minorHAnsi" w:cstheme="minorBidi"/>
          <w:noProof/>
          <w:sz w:val="22"/>
          <w:szCs w:val="22"/>
        </w:rPr>
      </w:pPr>
      <w:hyperlink w:anchor="_Toc225411897" w:history="1">
        <w:r w:rsidRPr="00D92A57">
          <w:rPr>
            <w:rStyle w:val="Hyperlink"/>
            <w:noProof/>
          </w:rPr>
          <w:tab/>
          <w:t>Schedule No. 3-B Adjustments to Operating Income</w:t>
        </w:r>
        <w:r>
          <w:rPr>
            <w:noProof/>
            <w:webHidden/>
          </w:rPr>
          <w:tab/>
        </w:r>
        <w:r>
          <w:rPr>
            <w:noProof/>
            <w:webHidden/>
          </w:rPr>
          <w:fldChar w:fldCharType="begin"/>
        </w:r>
        <w:r>
          <w:rPr>
            <w:noProof/>
            <w:webHidden/>
          </w:rPr>
          <w:instrText xml:space="preserve"> PAGEREF _Toc225411897 \h </w:instrText>
        </w:r>
        <w:r>
          <w:rPr>
            <w:noProof/>
            <w:webHidden/>
          </w:rPr>
        </w:r>
        <w:r>
          <w:rPr>
            <w:noProof/>
            <w:webHidden/>
          </w:rPr>
          <w:fldChar w:fldCharType="separate"/>
        </w:r>
        <w:r>
          <w:rPr>
            <w:noProof/>
            <w:webHidden/>
          </w:rPr>
          <w:t>32</w:t>
        </w:r>
        <w:r>
          <w:rPr>
            <w:noProof/>
            <w:webHidden/>
          </w:rPr>
          <w:fldChar w:fldCharType="end"/>
        </w:r>
      </w:hyperlink>
    </w:p>
    <w:p w14:paraId="63408E99" w14:textId="763B5C36" w:rsidR="004A4C46" w:rsidRDefault="004A4C46">
      <w:pPr>
        <w:pStyle w:val="TOC1"/>
        <w:rPr>
          <w:rFonts w:asciiTheme="minorHAnsi" w:eastAsiaTheme="minorEastAsia" w:hAnsiTheme="minorHAnsi" w:cstheme="minorBidi"/>
          <w:noProof/>
          <w:sz w:val="22"/>
          <w:szCs w:val="22"/>
        </w:rPr>
      </w:pPr>
      <w:hyperlink w:anchor="_Toc225411898" w:history="1">
        <w:r w:rsidRPr="00D92A57">
          <w:rPr>
            <w:rStyle w:val="Hyperlink"/>
            <w:noProof/>
          </w:rPr>
          <w:tab/>
          <w:t>Schedule No. 3-C Analysis of Water O&amp;M Expense</w:t>
        </w:r>
        <w:r>
          <w:rPr>
            <w:noProof/>
            <w:webHidden/>
          </w:rPr>
          <w:tab/>
        </w:r>
        <w:r>
          <w:rPr>
            <w:noProof/>
            <w:webHidden/>
          </w:rPr>
          <w:fldChar w:fldCharType="begin"/>
        </w:r>
        <w:r>
          <w:rPr>
            <w:noProof/>
            <w:webHidden/>
          </w:rPr>
          <w:instrText xml:space="preserve"> PAGEREF _Toc225411898 \h </w:instrText>
        </w:r>
        <w:r>
          <w:rPr>
            <w:noProof/>
            <w:webHidden/>
          </w:rPr>
        </w:r>
        <w:r>
          <w:rPr>
            <w:noProof/>
            <w:webHidden/>
          </w:rPr>
          <w:fldChar w:fldCharType="separate"/>
        </w:r>
        <w:r>
          <w:rPr>
            <w:noProof/>
            <w:webHidden/>
          </w:rPr>
          <w:t>34</w:t>
        </w:r>
        <w:r>
          <w:rPr>
            <w:noProof/>
            <w:webHidden/>
          </w:rPr>
          <w:fldChar w:fldCharType="end"/>
        </w:r>
      </w:hyperlink>
    </w:p>
    <w:p w14:paraId="3EAB7699" w14:textId="08488B10" w:rsidR="004A4C46" w:rsidRDefault="004A4C46">
      <w:pPr>
        <w:pStyle w:val="TOC1"/>
        <w:rPr>
          <w:rFonts w:asciiTheme="minorHAnsi" w:eastAsiaTheme="minorEastAsia" w:hAnsiTheme="minorHAnsi" w:cstheme="minorBidi"/>
          <w:noProof/>
          <w:sz w:val="22"/>
          <w:szCs w:val="22"/>
        </w:rPr>
      </w:pPr>
      <w:hyperlink w:anchor="_Toc225411899" w:history="1">
        <w:r w:rsidRPr="00D92A57">
          <w:rPr>
            <w:rStyle w:val="Hyperlink"/>
            <w:noProof/>
          </w:rPr>
          <w:tab/>
          <w:t>Schedule No. 4 Monthly Water Rates</w:t>
        </w:r>
        <w:r>
          <w:rPr>
            <w:noProof/>
            <w:webHidden/>
          </w:rPr>
          <w:tab/>
        </w:r>
        <w:r>
          <w:rPr>
            <w:noProof/>
            <w:webHidden/>
          </w:rPr>
          <w:fldChar w:fldCharType="begin"/>
        </w:r>
        <w:r>
          <w:rPr>
            <w:noProof/>
            <w:webHidden/>
          </w:rPr>
          <w:instrText xml:space="preserve"> PAGEREF _Toc225411899 \h </w:instrText>
        </w:r>
        <w:r>
          <w:rPr>
            <w:noProof/>
            <w:webHidden/>
          </w:rPr>
        </w:r>
        <w:r>
          <w:rPr>
            <w:noProof/>
            <w:webHidden/>
          </w:rPr>
          <w:fldChar w:fldCharType="separate"/>
        </w:r>
        <w:r>
          <w:rPr>
            <w:noProof/>
            <w:webHidden/>
          </w:rPr>
          <w:t>35</w:t>
        </w:r>
        <w:r>
          <w:rPr>
            <w:noProof/>
            <w:webHidden/>
          </w:rPr>
          <w:fldChar w:fldCharType="end"/>
        </w:r>
      </w:hyperlink>
    </w:p>
    <w:p w14:paraId="4B4C70FA" w14:textId="172579DC" w:rsidR="00EF237C" w:rsidRDefault="00EF237C">
      <w:pPr>
        <w:pStyle w:val="TOCColumnHeadings"/>
      </w:pPr>
      <w:r>
        <w:fldChar w:fldCharType="end"/>
      </w:r>
    </w:p>
    <w:p w14:paraId="4E97083A" w14:textId="77777777" w:rsidR="007C0528" w:rsidRDefault="00EF237C">
      <w:pPr>
        <w:pStyle w:val="RecommendationMajorSectionHeading"/>
      </w:pPr>
      <w:r>
        <w:br w:type="page"/>
      </w:r>
      <w:r w:rsidR="007C0528">
        <w:lastRenderedPageBreak/>
        <w:t xml:space="preserve"> </w:t>
      </w:r>
      <w:bookmarkStart w:id="11" w:name="CaseBackground"/>
      <w:r w:rsidR="007C0528">
        <w:t>Case Background</w:t>
      </w:r>
      <w:r w:rsidR="007C0528">
        <w:fldChar w:fldCharType="begin"/>
      </w:r>
      <w:r w:rsidR="007C0528">
        <w:instrText xml:space="preserve"> TC  "</w:instrText>
      </w:r>
      <w:bookmarkStart w:id="12" w:name="_Toc225411877"/>
      <w:r w:rsidR="007C0528">
        <w:tab/>
        <w:instrText>Case Background</w:instrText>
      </w:r>
      <w:bookmarkEnd w:id="12"/>
      <w:r w:rsidR="007C0528">
        <w:instrText xml:space="preserve">" \l 1 </w:instrText>
      </w:r>
      <w:r w:rsidR="007C0528">
        <w:fldChar w:fldCharType="end"/>
      </w:r>
    </w:p>
    <w:p w14:paraId="13237802" w14:textId="3188D94D" w:rsidR="000F1967" w:rsidRDefault="000F1967" w:rsidP="000F1967">
      <w:pPr>
        <w:jc w:val="both"/>
      </w:pPr>
      <w:r w:rsidRPr="001152F3">
        <w:t>Citrus Waterworks, Inc. (Citrus</w:t>
      </w:r>
      <w:r>
        <w:t xml:space="preserve"> or Utility)</w:t>
      </w:r>
      <w:r w:rsidR="004D7B7D">
        <w:t xml:space="preserve"> </w:t>
      </w:r>
      <w:r w:rsidR="00C0180A">
        <w:t xml:space="preserve">is </w:t>
      </w:r>
      <w:r w:rsidR="008F7F88">
        <w:t>a Class C water-</w:t>
      </w:r>
      <w:r w:rsidR="008F7F88" w:rsidRPr="001152F3">
        <w:t>only utility</w:t>
      </w:r>
      <w:r w:rsidR="008F7F88">
        <w:t xml:space="preserve"> </w:t>
      </w:r>
      <w:r w:rsidR="00A467C6">
        <w:t xml:space="preserve">located </w:t>
      </w:r>
      <w:r w:rsidR="004D7B7D">
        <w:t>within the Southwest Florida Water Management District</w:t>
      </w:r>
      <w:r w:rsidR="008F7F88">
        <w:t>. Citrus</w:t>
      </w:r>
      <w:r w:rsidR="004D7B7D">
        <w:t xml:space="preserve"> </w:t>
      </w:r>
      <w:r w:rsidRPr="001152F3">
        <w:t xml:space="preserve"> provid</w:t>
      </w:r>
      <w:r w:rsidR="008F7F88">
        <w:t>es</w:t>
      </w:r>
      <w:r>
        <w:t xml:space="preserve"> service to approximately 154</w:t>
      </w:r>
      <w:r w:rsidRPr="001152F3">
        <w:t xml:space="preserve"> residential customers</w:t>
      </w:r>
      <w:r>
        <w:t xml:space="preserve"> and one</w:t>
      </w:r>
      <w:r w:rsidRPr="001152F3">
        <w:t xml:space="preserve"> general se</w:t>
      </w:r>
      <w:r>
        <w:t>rvice customer in Citrus County</w:t>
      </w:r>
      <w:r w:rsidRPr="001152F3">
        <w:t xml:space="preserve">. </w:t>
      </w:r>
      <w:r w:rsidR="00865C53">
        <w:t xml:space="preserve">Gary Deamer is the </w:t>
      </w:r>
      <w:r w:rsidR="00A50A83">
        <w:t>President</w:t>
      </w:r>
      <w:r w:rsidR="00865C53">
        <w:t xml:space="preserve"> and Owner of the Utility. </w:t>
      </w:r>
      <w:r w:rsidRPr="001152F3">
        <w:t xml:space="preserve">In 2025, the Commission </w:t>
      </w:r>
      <w:r>
        <w:t>approved</w:t>
      </w:r>
      <w:r w:rsidRPr="001152F3">
        <w:t xml:space="preserve"> a grandfather certificate </w:t>
      </w:r>
      <w:r>
        <w:t>for</w:t>
      </w:r>
      <w:r w:rsidRPr="001152F3">
        <w:t xml:space="preserve"> the Utility to operate</w:t>
      </w:r>
      <w:r>
        <w:t xml:space="preserve"> as a</w:t>
      </w:r>
      <w:r w:rsidRPr="001152F3">
        <w:t xml:space="preserve"> water utility.</w:t>
      </w:r>
      <w:r w:rsidRPr="001152F3">
        <w:rPr>
          <w:vertAlign w:val="superscript"/>
        </w:rPr>
        <w:footnoteReference w:id="1"/>
      </w:r>
      <w:r w:rsidRPr="001152F3">
        <w:t xml:space="preserve"> </w:t>
      </w:r>
      <w:r>
        <w:t>The Utility’s last rate setting proce</w:t>
      </w:r>
      <w:r w:rsidR="00301C88">
        <w:t>eding</w:t>
      </w:r>
      <w:r>
        <w:t xml:space="preserve"> was in 2024 </w:t>
      </w:r>
      <w:r w:rsidR="00301C88">
        <w:t>before</w:t>
      </w:r>
      <w:r w:rsidRPr="00851F3F">
        <w:rPr>
          <w:rFonts w:eastAsiaTheme="minorHAnsi" w:cstheme="minorBidi"/>
          <w:szCs w:val="22"/>
        </w:rPr>
        <w:t xml:space="preserve"> the Citrus County Water and Wastewater Authority</w:t>
      </w:r>
      <w:r w:rsidR="00301C88">
        <w:rPr>
          <w:rFonts w:eastAsiaTheme="minorHAnsi" w:cstheme="minorBidi"/>
          <w:szCs w:val="22"/>
        </w:rPr>
        <w:t xml:space="preserve"> (CCWWA). At the conclusion of that proceeding, the CCWWA approved the Utility’s current rates</w:t>
      </w:r>
      <w:r w:rsidRPr="00851F3F">
        <w:rPr>
          <w:rFonts w:eastAsiaTheme="minorHAnsi" w:cstheme="minorBidi"/>
          <w:szCs w:val="22"/>
        </w:rPr>
        <w:t xml:space="preserve"> in </w:t>
      </w:r>
      <w:r w:rsidR="00F75E24">
        <w:rPr>
          <w:rFonts w:eastAsiaTheme="minorHAnsi" w:cstheme="minorBidi"/>
          <w:szCs w:val="22"/>
        </w:rPr>
        <w:t xml:space="preserve">Amended </w:t>
      </w:r>
      <w:r w:rsidRPr="00851F3F">
        <w:rPr>
          <w:rFonts w:eastAsiaTheme="minorHAnsi" w:cstheme="minorBidi"/>
          <w:szCs w:val="22"/>
        </w:rPr>
        <w:t>Final Order No. 24-02</w:t>
      </w:r>
      <w:r w:rsidR="00A40112">
        <w:rPr>
          <w:rFonts w:eastAsiaTheme="minorHAnsi" w:cstheme="minorBidi"/>
          <w:szCs w:val="22"/>
        </w:rPr>
        <w:t xml:space="preserve">. </w:t>
      </w:r>
      <w:r w:rsidR="00426557">
        <w:rPr>
          <w:rFonts w:eastAsiaTheme="minorHAnsi" w:cstheme="minorBidi"/>
          <w:szCs w:val="22"/>
        </w:rPr>
        <w:t xml:space="preserve">The Commission reviewed Amended Final Order No. 24-02 as part of the Utility’s application for a grandfather certificate in Docket No. </w:t>
      </w:r>
      <w:r w:rsidR="00426557">
        <w:t>20240111-WU</w:t>
      </w:r>
      <w:r w:rsidR="00426557">
        <w:rPr>
          <w:rFonts w:eastAsiaTheme="minorHAnsi" w:cstheme="minorBidi"/>
          <w:szCs w:val="22"/>
        </w:rPr>
        <w:t>.</w:t>
      </w:r>
      <w:r w:rsidR="00A40112">
        <w:rPr>
          <w:rStyle w:val="FootnoteReference"/>
          <w:rFonts w:eastAsiaTheme="minorHAnsi" w:cstheme="minorBidi"/>
          <w:szCs w:val="22"/>
        </w:rPr>
        <w:footnoteReference w:id="2"/>
      </w:r>
    </w:p>
    <w:p w14:paraId="52BF9D85" w14:textId="77777777" w:rsidR="000F1967" w:rsidRDefault="000F1967" w:rsidP="000F1967">
      <w:pPr>
        <w:jc w:val="both"/>
      </w:pPr>
    </w:p>
    <w:p w14:paraId="1C0AEB62" w14:textId="0870FD16" w:rsidR="004D7B7D" w:rsidRPr="001152F3" w:rsidRDefault="000F1967" w:rsidP="000C7834">
      <w:pPr>
        <w:jc w:val="both"/>
      </w:pPr>
      <w:r w:rsidRPr="001152F3">
        <w:t xml:space="preserve">On April 30, 2025, Citrus filed an application for a </w:t>
      </w:r>
      <w:r>
        <w:t>staff-assisted rate case (SARC)</w:t>
      </w:r>
      <w:r w:rsidRPr="001152F3">
        <w:t>.</w:t>
      </w:r>
      <w:r w:rsidRPr="001152F3">
        <w:rPr>
          <w:vertAlign w:val="superscript"/>
        </w:rPr>
        <w:footnoteReference w:id="3"/>
      </w:r>
      <w:r w:rsidR="0070131E">
        <w:t xml:space="preserve"> The official filing date of the SARC was established as June 19, 2025.</w:t>
      </w:r>
      <w:r>
        <w:t xml:space="preserve"> </w:t>
      </w:r>
      <w:r w:rsidRPr="001152F3">
        <w:t>According to Citrus</w:t>
      </w:r>
      <w:r w:rsidR="00C50ADA">
        <w:t>’</w:t>
      </w:r>
      <w:r w:rsidRPr="001152F3">
        <w:t xml:space="preserve"> 2024 Annual Report, total gross revenues were $53,224 and total operating expenses were $55,845. </w:t>
      </w:r>
      <w:r w:rsidR="004D7B7D">
        <w:t>On November 20, 2025, Citrus filed an application</w:t>
      </w:r>
      <w:r w:rsidR="004D7B7D" w:rsidRPr="004D7B7D">
        <w:t xml:space="preserve"> for </w:t>
      </w:r>
      <w:r w:rsidR="000C7834">
        <w:t>a</w:t>
      </w:r>
      <w:r w:rsidR="00E52E29">
        <w:t>n</w:t>
      </w:r>
      <w:r w:rsidR="000C7834">
        <w:t xml:space="preserve"> </w:t>
      </w:r>
      <w:r w:rsidR="00F75E24">
        <w:t>Extension of Service Territory A</w:t>
      </w:r>
      <w:r w:rsidR="004D7B7D" w:rsidRPr="004D7B7D">
        <w:t>mendment of Certificate No. 684-W</w:t>
      </w:r>
      <w:r w:rsidR="00426557">
        <w:t>, as provided for by Rule 25-30.036, F</w:t>
      </w:r>
      <w:r w:rsidR="0070453D">
        <w:t xml:space="preserve">lorida </w:t>
      </w:r>
      <w:r w:rsidR="00426557">
        <w:t>A</w:t>
      </w:r>
      <w:r w:rsidR="0070453D">
        <w:t xml:space="preserve">dministrative </w:t>
      </w:r>
      <w:r w:rsidR="00426557">
        <w:t>C</w:t>
      </w:r>
      <w:r w:rsidR="0070453D">
        <w:t>ode (F.A.C.)</w:t>
      </w:r>
      <w:r w:rsidR="00426557">
        <w:t>,</w:t>
      </w:r>
      <w:r w:rsidR="004D7B7D" w:rsidRPr="004D7B7D">
        <w:t xml:space="preserve"> t</w:t>
      </w:r>
      <w:r w:rsidR="000C7834">
        <w:t xml:space="preserve">o include </w:t>
      </w:r>
      <w:r w:rsidR="0075564C">
        <w:t xml:space="preserve">territory </w:t>
      </w:r>
      <w:r w:rsidR="00AE5D90">
        <w:t xml:space="preserve">served by the Utility but </w:t>
      </w:r>
      <w:r w:rsidR="0075564C">
        <w:t>not included</w:t>
      </w:r>
      <w:r w:rsidR="0001083A">
        <w:t xml:space="preserve"> in its territory description</w:t>
      </w:r>
      <w:r w:rsidR="0075564C">
        <w:t xml:space="preserve"> when the Commission granted Citrus a grandfather certificate</w:t>
      </w:r>
      <w:r w:rsidR="00AE5D90">
        <w:t xml:space="preserve"> in 2025</w:t>
      </w:r>
      <w:r w:rsidR="000C7834">
        <w:t>.</w:t>
      </w:r>
      <w:r w:rsidR="005A3E06">
        <w:rPr>
          <w:rStyle w:val="FootnoteReference"/>
        </w:rPr>
        <w:footnoteReference w:id="4"/>
      </w:r>
    </w:p>
    <w:p w14:paraId="69F4CFF0" w14:textId="77777777" w:rsidR="000F1967" w:rsidRDefault="000F1967" w:rsidP="000F1967">
      <w:pPr>
        <w:jc w:val="both"/>
        <w:rPr>
          <w:rFonts w:eastAsiaTheme="minorHAnsi"/>
          <w:szCs w:val="22"/>
        </w:rPr>
      </w:pPr>
    </w:p>
    <w:p w14:paraId="6FDA1302" w14:textId="08C2F994" w:rsidR="000F1967" w:rsidRDefault="000F1967" w:rsidP="000F1967">
      <w:pPr>
        <w:pStyle w:val="BodyText"/>
      </w:pPr>
      <w:r w:rsidRPr="00194413">
        <w:rPr>
          <w:rFonts w:eastAsiaTheme="minorHAnsi"/>
          <w:szCs w:val="22"/>
        </w:rPr>
        <w:t>The Commission has jurisdiction</w:t>
      </w:r>
      <w:r w:rsidR="0070131E">
        <w:rPr>
          <w:rFonts w:eastAsiaTheme="minorHAnsi"/>
          <w:szCs w:val="22"/>
        </w:rPr>
        <w:t xml:space="preserve"> in this case</w:t>
      </w:r>
      <w:r w:rsidRPr="00194413">
        <w:rPr>
          <w:rFonts w:eastAsiaTheme="minorHAnsi"/>
          <w:szCs w:val="22"/>
        </w:rPr>
        <w:t xml:space="preserve"> pursuant to Sections 367.011, 367.081, 367.0812, 367.0814, 36</w:t>
      </w:r>
      <w:r>
        <w:rPr>
          <w:rFonts w:eastAsiaTheme="minorHAnsi"/>
          <w:szCs w:val="22"/>
        </w:rPr>
        <w:t>7</w:t>
      </w:r>
      <w:r w:rsidRPr="00194413">
        <w:rPr>
          <w:rFonts w:eastAsiaTheme="minorHAnsi"/>
          <w:szCs w:val="22"/>
        </w:rPr>
        <w:t>.091, and 367.121, Florida Statutes (F.S.)</w:t>
      </w:r>
      <w:r>
        <w:rPr>
          <w:rFonts w:eastAsiaTheme="minorHAnsi"/>
          <w:szCs w:val="22"/>
        </w:rPr>
        <w:t>.</w:t>
      </w:r>
    </w:p>
    <w:p w14:paraId="1C18385A" w14:textId="77777777" w:rsidR="0068481F" w:rsidRDefault="0068481F">
      <w:pPr>
        <w:pStyle w:val="BodyText"/>
      </w:pPr>
    </w:p>
    <w:p w14:paraId="68369BA6" w14:textId="77777777" w:rsidR="007C0528" w:rsidRDefault="007C0528" w:rsidP="0068481F"/>
    <w:bookmarkEnd w:id="11"/>
    <w:p w14:paraId="11FE3009" w14:textId="77777777" w:rsidR="00EA2273" w:rsidRDefault="00EA2273">
      <w:pPr>
        <w:pStyle w:val="RecommendationMajorSectionHeading"/>
        <w:sectPr w:rsidR="00EA2273">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584" w:right="1440" w:bottom="1440" w:left="1440" w:header="720" w:footer="720" w:gutter="0"/>
          <w:cols w:space="720"/>
          <w:formProt w:val="0"/>
          <w:titlePg/>
          <w:docGrid w:linePitch="360"/>
        </w:sectPr>
      </w:pPr>
    </w:p>
    <w:p w14:paraId="5F857EFE" w14:textId="77777777" w:rsidR="007C0528" w:rsidRDefault="007C0528">
      <w:pPr>
        <w:pStyle w:val="RecommendationMajorSectionHeading"/>
      </w:pPr>
      <w:bookmarkStart w:id="15" w:name="DiscussionOfIssues"/>
      <w:r>
        <w:t>Discussion of Issues</w:t>
      </w:r>
    </w:p>
    <w:bookmarkEnd w:id="15"/>
    <w:p w14:paraId="1F65B92E" w14:textId="3BF67293" w:rsidR="00144C53" w:rsidRDefault="00144C53">
      <w:pPr>
        <w:pStyle w:val="IssueHeading"/>
        <w:rPr>
          <w:vanish/>
          <w:specVanish/>
        </w:rPr>
      </w:pPr>
      <w:r w:rsidRPr="004C3641">
        <w:t xml:space="preserve">Issue </w:t>
      </w:r>
      <w:fldSimple w:instr=" SEQ Issue \* MERGEFORMAT ">
        <w:r w:rsidR="004A4C46">
          <w:rPr>
            <w:noProof/>
          </w:rPr>
          <w:t>1</w:t>
        </w:r>
      </w:fldSimple>
      <w:r w:rsidRPr="004C3641">
        <w:t>:</w:t>
      </w:r>
      <w:r>
        <w:fldChar w:fldCharType="begin"/>
      </w:r>
      <w:r>
        <w:instrText xml:space="preserve"> TC "</w:instrText>
      </w:r>
      <w:r>
        <w:fldChar w:fldCharType="begin"/>
      </w:r>
      <w:r>
        <w:instrText xml:space="preserve"> SEQ issue \c </w:instrText>
      </w:r>
      <w:r>
        <w:fldChar w:fldCharType="separate"/>
      </w:r>
      <w:bookmarkStart w:id="16" w:name="_Toc225411878"/>
      <w:r w:rsidR="004A4C46">
        <w:rPr>
          <w:noProof/>
        </w:rPr>
        <w:instrText>1</w:instrText>
      </w:r>
      <w:r>
        <w:fldChar w:fldCharType="end"/>
      </w:r>
      <w:r>
        <w:tab/>
        <w:instrText>Quality of Service</w:instrText>
      </w:r>
      <w:bookmarkEnd w:id="16"/>
      <w:r>
        <w:instrText xml:space="preserve">" \l 1 </w:instrText>
      </w:r>
      <w:r>
        <w:fldChar w:fldCharType="end"/>
      </w:r>
      <w:r>
        <w:t> </w:t>
      </w:r>
    </w:p>
    <w:p w14:paraId="1C7DEA90" w14:textId="77777777" w:rsidR="00144C53" w:rsidRDefault="00144C53">
      <w:pPr>
        <w:pStyle w:val="BodyText"/>
      </w:pPr>
      <w:r>
        <w:t xml:space="preserve"> Is the quality of service provided by </w:t>
      </w:r>
      <w:r w:rsidR="00F304E8">
        <w:t>Citrus Waterworks, Inc.</w:t>
      </w:r>
      <w:r>
        <w:t xml:space="preserve"> satisfactory? </w:t>
      </w:r>
    </w:p>
    <w:p w14:paraId="259C496A" w14:textId="77777777" w:rsidR="00144C53" w:rsidRPr="004C3641" w:rsidRDefault="00144C53">
      <w:pPr>
        <w:pStyle w:val="IssueSubsectionHeading"/>
        <w:rPr>
          <w:vanish/>
          <w:specVanish/>
        </w:rPr>
      </w:pPr>
      <w:r w:rsidRPr="004C3641">
        <w:t>Recommendation: </w:t>
      </w:r>
    </w:p>
    <w:p w14:paraId="77B93CB3" w14:textId="77777777" w:rsidR="00144C53" w:rsidRDefault="00144C53">
      <w:pPr>
        <w:pStyle w:val="BodyText"/>
      </w:pPr>
      <w:r>
        <w:t> </w:t>
      </w:r>
      <w:r w:rsidR="00C759A0" w:rsidRPr="00C759A0">
        <w:t>Yes. Citrus Waterworks, Inc. has been responsive to customer complaints and is in compliance with the Department of Environmental Protection (DEP) standards; therefore, the quality of service should be considered satisfactory.  (Lewis)</w:t>
      </w:r>
      <w:r w:rsidR="00210F0F">
        <w:t xml:space="preserve"> </w:t>
      </w:r>
    </w:p>
    <w:p w14:paraId="185A8D06" w14:textId="77777777" w:rsidR="00144C53" w:rsidRPr="004C3641" w:rsidRDefault="00144C53">
      <w:pPr>
        <w:pStyle w:val="IssueSubsectionHeading"/>
        <w:rPr>
          <w:vanish/>
          <w:specVanish/>
        </w:rPr>
      </w:pPr>
      <w:r w:rsidRPr="004C3641">
        <w:t>Staff Analysis: </w:t>
      </w:r>
    </w:p>
    <w:p w14:paraId="64E0EB88" w14:textId="3E16C70D" w:rsidR="00C759A0" w:rsidRPr="00C759A0" w:rsidRDefault="00144C53" w:rsidP="00C759A0">
      <w:pPr>
        <w:spacing w:after="240"/>
        <w:jc w:val="both"/>
        <w:rPr>
          <w:rFonts w:eastAsiaTheme="minorHAnsi" w:cstheme="minorBidi"/>
          <w:szCs w:val="22"/>
        </w:rPr>
      </w:pPr>
      <w:r>
        <w:t> </w:t>
      </w:r>
      <w:r w:rsidR="00C759A0" w:rsidRPr="00C759A0">
        <w:rPr>
          <w:rFonts w:eastAsiaTheme="minorHAnsi" w:cstheme="minorBidi"/>
          <w:szCs w:val="22"/>
        </w:rPr>
        <w:t xml:space="preserve">Pursuant to Section 367.081(2)(a)(l), F.S., and Rule 25-30.433(1), F.A.C., in water rate cases the Commission shall determine the overall quality of service provided by the </w:t>
      </w:r>
      <w:r w:rsidR="00626F31">
        <w:rPr>
          <w:rFonts w:eastAsiaTheme="minorHAnsi" w:cstheme="minorBidi"/>
          <w:szCs w:val="22"/>
        </w:rPr>
        <w:t>Utility</w:t>
      </w:r>
      <w:r w:rsidR="00C759A0" w:rsidRPr="00C759A0">
        <w:rPr>
          <w:rFonts w:eastAsiaTheme="minorHAnsi" w:cstheme="minorBidi"/>
          <w:szCs w:val="22"/>
        </w:rPr>
        <w:t xml:space="preserve">. This determination is made from an evaluation of the quality of the </w:t>
      </w:r>
      <w:r w:rsidR="00626F31">
        <w:rPr>
          <w:rFonts w:eastAsiaTheme="minorHAnsi" w:cstheme="minorBidi"/>
          <w:szCs w:val="22"/>
        </w:rPr>
        <w:t>Utility</w:t>
      </w:r>
      <w:r w:rsidR="00C759A0" w:rsidRPr="00C759A0">
        <w:rPr>
          <w:rFonts w:eastAsiaTheme="minorHAnsi" w:cstheme="minorBidi"/>
          <w:szCs w:val="22"/>
        </w:rPr>
        <w:t xml:space="preserve">’s product and the </w:t>
      </w:r>
      <w:r w:rsidR="00626F31">
        <w:rPr>
          <w:rFonts w:eastAsiaTheme="minorHAnsi" w:cstheme="minorBidi"/>
          <w:szCs w:val="22"/>
        </w:rPr>
        <w:t>Utility</w:t>
      </w:r>
      <w:r w:rsidR="00C759A0" w:rsidRPr="00C759A0">
        <w:rPr>
          <w:rFonts w:eastAsiaTheme="minorHAnsi" w:cstheme="minorBidi"/>
          <w:szCs w:val="22"/>
        </w:rPr>
        <w:t xml:space="preserve">’s attempt to address customer satisfaction. Rule </w:t>
      </w:r>
      <w:r w:rsidR="0070131E">
        <w:rPr>
          <w:rFonts w:eastAsiaTheme="minorHAnsi" w:cstheme="minorBidi"/>
          <w:szCs w:val="22"/>
        </w:rPr>
        <w:t xml:space="preserve">25-30.433(1) F.A.C., </w:t>
      </w:r>
      <w:r w:rsidR="00C759A0" w:rsidRPr="00C759A0">
        <w:rPr>
          <w:rFonts w:eastAsiaTheme="minorHAnsi" w:cstheme="minorBidi"/>
          <w:szCs w:val="22"/>
        </w:rPr>
        <w:t>further states that the most recent chemical analyses for the water system, outstanding citations, violations, and consent orders on file with the DEP and the county health department, and any DEP and county health department official’s testimony concerning quality of service shall be considered. In addition, any customer testimony, comments, or complaints received by the Commission are also reviewed. The operating condition of the water system is addressed in Issue 2.</w:t>
      </w:r>
    </w:p>
    <w:p w14:paraId="23B89DC5" w14:textId="77777777" w:rsidR="00C759A0" w:rsidRPr="00C759A0" w:rsidRDefault="00C759A0" w:rsidP="00C759A0">
      <w:pPr>
        <w:jc w:val="both"/>
        <w:rPr>
          <w:rFonts w:ascii="Arial" w:eastAsiaTheme="minorHAnsi" w:hAnsi="Arial" w:cs="Arial"/>
          <w:szCs w:val="22"/>
        </w:rPr>
      </w:pPr>
      <w:r w:rsidRPr="00C759A0">
        <w:rPr>
          <w:rFonts w:ascii="Arial" w:eastAsiaTheme="minorHAnsi" w:hAnsi="Arial" w:cs="Arial"/>
          <w:b/>
          <w:szCs w:val="22"/>
        </w:rPr>
        <w:t>Quality of the Utility’s Product</w:t>
      </w:r>
      <w:r w:rsidRPr="00C759A0">
        <w:rPr>
          <w:rFonts w:ascii="Arial" w:eastAsiaTheme="minorHAnsi" w:hAnsi="Arial" w:cs="Arial"/>
          <w:szCs w:val="22"/>
        </w:rPr>
        <w:t xml:space="preserve"> </w:t>
      </w:r>
    </w:p>
    <w:p w14:paraId="7C894E7A" w14:textId="2005B203" w:rsidR="00C759A0" w:rsidRPr="00C759A0" w:rsidRDefault="00C759A0" w:rsidP="00C759A0">
      <w:pPr>
        <w:spacing w:after="240"/>
        <w:jc w:val="both"/>
        <w:rPr>
          <w:rFonts w:eastAsiaTheme="minorHAnsi" w:cstheme="minorBidi"/>
          <w:szCs w:val="22"/>
        </w:rPr>
      </w:pPr>
      <w:r w:rsidRPr="00C759A0">
        <w:rPr>
          <w:rFonts w:eastAsiaTheme="minorHAnsi" w:cstheme="minorBidi"/>
          <w:szCs w:val="22"/>
        </w:rPr>
        <w:t>In evaluation of Citrus’ product quality, staff reviewed the Utility’s compliance with the DEP’s primary and secondary drinking water standards. Primary standards protect public health while secondary standards regulate contaminants that may impact the taste, odor, and color of drinking water. Staff reviewed the DEP’s Safe Drinking Water Program chemical analysis of samples taken on April 11, 2024, at Ellsworth Point, and on April 24, 2024, at Blackwater Heights, and both plants were deemed in compliance with DEP standards. In addition, staff reviewed the most current Disinfection Byproducts testing conducted on July 1, 2024, at the Ellsworth Point water treatment plant (WTP), and on July 26, 2024, at the Blackwater Heights WTP</w:t>
      </w:r>
      <w:r w:rsidR="00934AF7">
        <w:rPr>
          <w:rFonts w:eastAsiaTheme="minorHAnsi" w:cstheme="minorBidi"/>
          <w:szCs w:val="22"/>
        </w:rPr>
        <w:t>,</w:t>
      </w:r>
      <w:r w:rsidRPr="00C759A0">
        <w:rPr>
          <w:rFonts w:eastAsiaTheme="minorHAnsi" w:cstheme="minorBidi"/>
          <w:szCs w:val="22"/>
        </w:rPr>
        <w:t xml:space="preserve"> and the results were in compliance with DEP standards.</w:t>
      </w:r>
    </w:p>
    <w:p w14:paraId="3A949C33" w14:textId="77777777" w:rsidR="00C759A0" w:rsidRPr="00C759A0" w:rsidRDefault="00C759A0" w:rsidP="00C759A0">
      <w:pPr>
        <w:jc w:val="both"/>
        <w:rPr>
          <w:rFonts w:eastAsiaTheme="minorHAnsi" w:cstheme="minorBidi"/>
          <w:szCs w:val="22"/>
        </w:rPr>
      </w:pPr>
      <w:r w:rsidRPr="00C759A0">
        <w:rPr>
          <w:rFonts w:ascii="Arial" w:eastAsiaTheme="minorHAnsi" w:hAnsi="Arial" w:cs="Arial"/>
          <w:b/>
          <w:szCs w:val="22"/>
        </w:rPr>
        <w:t>The Utility’s Attempt to Address Customer Satisfaction</w:t>
      </w:r>
      <w:r w:rsidRPr="00C759A0">
        <w:rPr>
          <w:rFonts w:eastAsiaTheme="minorHAnsi" w:cstheme="minorBidi"/>
          <w:szCs w:val="22"/>
        </w:rPr>
        <w:t xml:space="preserve"> </w:t>
      </w:r>
    </w:p>
    <w:p w14:paraId="7239305C" w14:textId="77777777" w:rsidR="00C759A0" w:rsidRPr="00C759A0" w:rsidRDefault="00C759A0" w:rsidP="00C759A0">
      <w:pPr>
        <w:spacing w:after="240"/>
        <w:jc w:val="both"/>
        <w:rPr>
          <w:rFonts w:eastAsiaTheme="minorHAnsi" w:cstheme="minorBidi"/>
          <w:szCs w:val="22"/>
        </w:rPr>
      </w:pPr>
      <w:r w:rsidRPr="00C759A0">
        <w:rPr>
          <w:rFonts w:eastAsiaTheme="minorHAnsi" w:cstheme="minorBidi"/>
          <w:szCs w:val="22"/>
        </w:rPr>
        <w:t>Staff reviewed the Commission’s Consumer Activity Tracking System records, and discovered that no complaints were recorded during the test year and four years prior for Citrus. There were no complaints filed against the Utility with the DEP during the same timeframe. Citrus reported receiving 38 complaints during this timeframe. Table 1-1 shows the number of complaints, by subject and year, received by the Utility.</w:t>
      </w:r>
    </w:p>
    <w:p w14:paraId="17011F7A" w14:textId="77C75BAC" w:rsidR="00C759A0" w:rsidRPr="00C759A0" w:rsidRDefault="00C759A0" w:rsidP="00C759A0">
      <w:pPr>
        <w:keepNext/>
        <w:jc w:val="center"/>
        <w:rPr>
          <w:rFonts w:ascii="Arial" w:hAnsi="Arial"/>
          <w:b/>
        </w:rPr>
      </w:pPr>
      <w:r w:rsidRPr="00C759A0">
        <w:rPr>
          <w:rFonts w:ascii="Arial" w:hAnsi="Arial"/>
          <w:b/>
        </w:rPr>
        <w:t xml:space="preserve">Table </w:t>
      </w:r>
      <w:r w:rsidRPr="00C759A0">
        <w:rPr>
          <w:rFonts w:ascii="Arial" w:hAnsi="Arial"/>
          <w:b/>
        </w:rPr>
        <w:fldChar w:fldCharType="begin"/>
      </w:r>
      <w:r w:rsidRPr="00C759A0">
        <w:rPr>
          <w:rFonts w:ascii="Arial" w:hAnsi="Arial"/>
          <w:b/>
        </w:rPr>
        <w:instrText xml:space="preserve"> SEQ Issue \c </w:instrText>
      </w:r>
      <w:r w:rsidRPr="00C759A0">
        <w:rPr>
          <w:rFonts w:ascii="Arial" w:hAnsi="Arial"/>
          <w:b/>
        </w:rPr>
        <w:fldChar w:fldCharType="separate"/>
      </w:r>
      <w:r w:rsidR="004A4C46">
        <w:rPr>
          <w:rFonts w:ascii="Arial" w:hAnsi="Arial"/>
          <w:b/>
          <w:noProof/>
        </w:rPr>
        <w:t>1</w:t>
      </w:r>
      <w:r w:rsidRPr="00C759A0">
        <w:rPr>
          <w:rFonts w:ascii="Arial" w:hAnsi="Arial"/>
          <w:b/>
          <w:noProof/>
        </w:rPr>
        <w:fldChar w:fldCharType="end"/>
      </w:r>
      <w:r w:rsidRPr="00C759A0">
        <w:rPr>
          <w:rFonts w:ascii="Arial" w:hAnsi="Arial"/>
          <w:b/>
        </w:rPr>
        <w:t>-1</w:t>
      </w:r>
    </w:p>
    <w:p w14:paraId="21214E15" w14:textId="77777777" w:rsidR="00C759A0" w:rsidRPr="00C759A0" w:rsidRDefault="00C759A0" w:rsidP="00C759A0">
      <w:pPr>
        <w:keepNext/>
        <w:jc w:val="center"/>
        <w:rPr>
          <w:rFonts w:ascii="Arial" w:hAnsi="Arial"/>
          <w:b/>
        </w:rPr>
      </w:pPr>
      <w:r w:rsidRPr="00C759A0">
        <w:rPr>
          <w:rFonts w:ascii="Arial" w:hAnsi="Arial"/>
          <w:b/>
        </w:rPr>
        <w:t>Number of Utility Complaints by Subject</w:t>
      </w:r>
    </w:p>
    <w:tbl>
      <w:tblPr>
        <w:tblStyle w:val="TableGrid2"/>
        <w:tblW w:w="0" w:type="auto"/>
        <w:jc w:val="center"/>
        <w:tblLook w:val="04A0" w:firstRow="1" w:lastRow="0" w:firstColumn="1" w:lastColumn="0" w:noHBand="0" w:noVBand="1"/>
      </w:tblPr>
      <w:tblGrid>
        <w:gridCol w:w="3309"/>
        <w:gridCol w:w="849"/>
        <w:gridCol w:w="849"/>
        <w:gridCol w:w="849"/>
        <w:gridCol w:w="849"/>
        <w:gridCol w:w="849"/>
        <w:gridCol w:w="849"/>
      </w:tblGrid>
      <w:tr w:rsidR="00C759A0" w:rsidRPr="00C759A0" w14:paraId="43E2817A" w14:textId="77777777" w:rsidTr="00C759A0">
        <w:trPr>
          <w:trHeight w:val="255"/>
          <w:jc w:val="center"/>
        </w:trPr>
        <w:tc>
          <w:tcPr>
            <w:tcW w:w="3309" w:type="dxa"/>
          </w:tcPr>
          <w:p w14:paraId="15BD4F67" w14:textId="77777777" w:rsidR="00C759A0" w:rsidRPr="00C759A0" w:rsidRDefault="00C759A0" w:rsidP="00C759A0">
            <w:pPr>
              <w:jc w:val="center"/>
              <w:rPr>
                <w:b/>
                <w:szCs w:val="20"/>
              </w:rPr>
            </w:pPr>
            <w:r w:rsidRPr="00C759A0">
              <w:rPr>
                <w:b/>
                <w:szCs w:val="20"/>
              </w:rPr>
              <w:t>Subject of Complaint</w:t>
            </w:r>
          </w:p>
        </w:tc>
        <w:tc>
          <w:tcPr>
            <w:tcW w:w="849" w:type="dxa"/>
          </w:tcPr>
          <w:p w14:paraId="1A9BD8BE" w14:textId="77777777" w:rsidR="00C759A0" w:rsidRPr="00C759A0" w:rsidRDefault="00C759A0" w:rsidP="00C759A0">
            <w:pPr>
              <w:jc w:val="center"/>
              <w:rPr>
                <w:b/>
                <w:szCs w:val="20"/>
              </w:rPr>
            </w:pPr>
            <w:r w:rsidRPr="00C759A0">
              <w:rPr>
                <w:b/>
                <w:szCs w:val="20"/>
              </w:rPr>
              <w:t>2020</w:t>
            </w:r>
          </w:p>
        </w:tc>
        <w:tc>
          <w:tcPr>
            <w:tcW w:w="849" w:type="dxa"/>
          </w:tcPr>
          <w:p w14:paraId="67D6BEF2" w14:textId="77777777" w:rsidR="00C759A0" w:rsidRPr="00C759A0" w:rsidRDefault="00C759A0" w:rsidP="00C759A0">
            <w:pPr>
              <w:jc w:val="center"/>
              <w:rPr>
                <w:b/>
                <w:szCs w:val="20"/>
              </w:rPr>
            </w:pPr>
            <w:r w:rsidRPr="00C759A0">
              <w:rPr>
                <w:b/>
                <w:szCs w:val="20"/>
              </w:rPr>
              <w:t>2021</w:t>
            </w:r>
          </w:p>
        </w:tc>
        <w:tc>
          <w:tcPr>
            <w:tcW w:w="849" w:type="dxa"/>
          </w:tcPr>
          <w:p w14:paraId="34684685" w14:textId="77777777" w:rsidR="00C759A0" w:rsidRPr="00C759A0" w:rsidRDefault="00C759A0" w:rsidP="00C759A0">
            <w:pPr>
              <w:jc w:val="center"/>
              <w:rPr>
                <w:b/>
                <w:szCs w:val="20"/>
              </w:rPr>
            </w:pPr>
            <w:r w:rsidRPr="00C759A0">
              <w:rPr>
                <w:b/>
                <w:szCs w:val="20"/>
              </w:rPr>
              <w:t>2022</w:t>
            </w:r>
          </w:p>
        </w:tc>
        <w:tc>
          <w:tcPr>
            <w:tcW w:w="849" w:type="dxa"/>
          </w:tcPr>
          <w:p w14:paraId="1F6638C8" w14:textId="77777777" w:rsidR="00C759A0" w:rsidRPr="00C759A0" w:rsidRDefault="00C759A0" w:rsidP="00C759A0">
            <w:pPr>
              <w:jc w:val="center"/>
              <w:rPr>
                <w:b/>
                <w:szCs w:val="20"/>
              </w:rPr>
            </w:pPr>
            <w:r w:rsidRPr="00C759A0">
              <w:rPr>
                <w:b/>
                <w:szCs w:val="20"/>
              </w:rPr>
              <w:t>2023</w:t>
            </w:r>
          </w:p>
        </w:tc>
        <w:tc>
          <w:tcPr>
            <w:tcW w:w="849" w:type="dxa"/>
          </w:tcPr>
          <w:p w14:paraId="2F9D09AE" w14:textId="77777777" w:rsidR="00C759A0" w:rsidRPr="00C759A0" w:rsidRDefault="00C759A0" w:rsidP="00C759A0">
            <w:pPr>
              <w:jc w:val="center"/>
              <w:rPr>
                <w:b/>
                <w:szCs w:val="20"/>
              </w:rPr>
            </w:pPr>
            <w:r w:rsidRPr="00C759A0">
              <w:rPr>
                <w:b/>
                <w:szCs w:val="20"/>
              </w:rPr>
              <w:t>2024</w:t>
            </w:r>
          </w:p>
        </w:tc>
        <w:tc>
          <w:tcPr>
            <w:tcW w:w="849" w:type="dxa"/>
          </w:tcPr>
          <w:p w14:paraId="36891474" w14:textId="77777777" w:rsidR="00C759A0" w:rsidRPr="00C759A0" w:rsidRDefault="00C759A0" w:rsidP="00C759A0">
            <w:pPr>
              <w:jc w:val="center"/>
              <w:rPr>
                <w:b/>
                <w:szCs w:val="20"/>
              </w:rPr>
            </w:pPr>
            <w:r w:rsidRPr="00C759A0">
              <w:rPr>
                <w:b/>
                <w:szCs w:val="20"/>
              </w:rPr>
              <w:t>Total</w:t>
            </w:r>
          </w:p>
        </w:tc>
      </w:tr>
      <w:tr w:rsidR="00C759A0" w:rsidRPr="00C759A0" w14:paraId="0600DD30" w14:textId="77777777" w:rsidTr="00C759A0">
        <w:trPr>
          <w:trHeight w:val="255"/>
          <w:jc w:val="center"/>
        </w:trPr>
        <w:tc>
          <w:tcPr>
            <w:tcW w:w="3309" w:type="dxa"/>
          </w:tcPr>
          <w:p w14:paraId="638E0F44" w14:textId="77777777" w:rsidR="00C759A0" w:rsidRPr="00C759A0" w:rsidRDefault="00C759A0" w:rsidP="00C759A0">
            <w:pPr>
              <w:rPr>
                <w:szCs w:val="20"/>
              </w:rPr>
            </w:pPr>
            <w:r w:rsidRPr="00C759A0">
              <w:rPr>
                <w:szCs w:val="20"/>
              </w:rPr>
              <w:t>Water Service Interruption</w:t>
            </w:r>
          </w:p>
        </w:tc>
        <w:tc>
          <w:tcPr>
            <w:tcW w:w="849" w:type="dxa"/>
          </w:tcPr>
          <w:p w14:paraId="5BEC9DC3" w14:textId="77777777" w:rsidR="00C759A0" w:rsidRPr="00C759A0" w:rsidRDefault="00C759A0" w:rsidP="00C759A0">
            <w:pPr>
              <w:jc w:val="center"/>
              <w:rPr>
                <w:szCs w:val="20"/>
              </w:rPr>
            </w:pPr>
            <w:r w:rsidRPr="00C759A0">
              <w:rPr>
                <w:szCs w:val="20"/>
              </w:rPr>
              <w:t>0</w:t>
            </w:r>
          </w:p>
        </w:tc>
        <w:tc>
          <w:tcPr>
            <w:tcW w:w="849" w:type="dxa"/>
          </w:tcPr>
          <w:p w14:paraId="1F6D178F" w14:textId="77777777" w:rsidR="00C759A0" w:rsidRPr="00C759A0" w:rsidRDefault="00C759A0" w:rsidP="00C759A0">
            <w:pPr>
              <w:jc w:val="center"/>
              <w:rPr>
                <w:szCs w:val="20"/>
              </w:rPr>
            </w:pPr>
            <w:r w:rsidRPr="00C759A0">
              <w:rPr>
                <w:szCs w:val="20"/>
              </w:rPr>
              <w:t>1</w:t>
            </w:r>
          </w:p>
        </w:tc>
        <w:tc>
          <w:tcPr>
            <w:tcW w:w="849" w:type="dxa"/>
          </w:tcPr>
          <w:p w14:paraId="372D9AFF" w14:textId="77777777" w:rsidR="00C759A0" w:rsidRPr="00C759A0" w:rsidRDefault="00C759A0" w:rsidP="00C759A0">
            <w:pPr>
              <w:jc w:val="center"/>
              <w:rPr>
                <w:szCs w:val="20"/>
              </w:rPr>
            </w:pPr>
            <w:r w:rsidRPr="00C759A0">
              <w:rPr>
                <w:szCs w:val="20"/>
              </w:rPr>
              <w:t>9</w:t>
            </w:r>
          </w:p>
        </w:tc>
        <w:tc>
          <w:tcPr>
            <w:tcW w:w="849" w:type="dxa"/>
          </w:tcPr>
          <w:p w14:paraId="6B9FFE81" w14:textId="77777777" w:rsidR="00C759A0" w:rsidRPr="00C759A0" w:rsidRDefault="00C759A0" w:rsidP="00C759A0">
            <w:pPr>
              <w:jc w:val="center"/>
              <w:rPr>
                <w:szCs w:val="20"/>
              </w:rPr>
            </w:pPr>
            <w:r w:rsidRPr="00C759A0">
              <w:rPr>
                <w:szCs w:val="20"/>
              </w:rPr>
              <w:t>4</w:t>
            </w:r>
          </w:p>
        </w:tc>
        <w:tc>
          <w:tcPr>
            <w:tcW w:w="849" w:type="dxa"/>
          </w:tcPr>
          <w:p w14:paraId="73F37AD8" w14:textId="77777777" w:rsidR="00C759A0" w:rsidRPr="00C759A0" w:rsidRDefault="00C759A0" w:rsidP="00C759A0">
            <w:pPr>
              <w:jc w:val="center"/>
              <w:rPr>
                <w:szCs w:val="20"/>
              </w:rPr>
            </w:pPr>
            <w:r w:rsidRPr="00C759A0">
              <w:rPr>
                <w:szCs w:val="20"/>
              </w:rPr>
              <w:t>6</w:t>
            </w:r>
          </w:p>
        </w:tc>
        <w:tc>
          <w:tcPr>
            <w:tcW w:w="849" w:type="dxa"/>
          </w:tcPr>
          <w:p w14:paraId="5EBCA488" w14:textId="77777777" w:rsidR="00C759A0" w:rsidRPr="00C759A0" w:rsidRDefault="00C759A0" w:rsidP="00C759A0">
            <w:pPr>
              <w:jc w:val="center"/>
              <w:rPr>
                <w:szCs w:val="20"/>
              </w:rPr>
            </w:pPr>
            <w:r w:rsidRPr="00C759A0">
              <w:rPr>
                <w:szCs w:val="20"/>
              </w:rPr>
              <w:t>20</w:t>
            </w:r>
          </w:p>
        </w:tc>
      </w:tr>
      <w:tr w:rsidR="00C759A0" w:rsidRPr="00C759A0" w14:paraId="44D31950" w14:textId="77777777" w:rsidTr="00C759A0">
        <w:trPr>
          <w:trHeight w:val="255"/>
          <w:jc w:val="center"/>
        </w:trPr>
        <w:tc>
          <w:tcPr>
            <w:tcW w:w="3309" w:type="dxa"/>
          </w:tcPr>
          <w:p w14:paraId="6A321D80" w14:textId="77777777" w:rsidR="00C759A0" w:rsidRPr="00C759A0" w:rsidRDefault="00C759A0" w:rsidP="00C759A0">
            <w:pPr>
              <w:rPr>
                <w:szCs w:val="20"/>
              </w:rPr>
            </w:pPr>
            <w:r w:rsidRPr="00C759A0">
              <w:rPr>
                <w:szCs w:val="20"/>
              </w:rPr>
              <w:t>Pressure Issue</w:t>
            </w:r>
          </w:p>
        </w:tc>
        <w:tc>
          <w:tcPr>
            <w:tcW w:w="849" w:type="dxa"/>
          </w:tcPr>
          <w:p w14:paraId="1FA2B801" w14:textId="77777777" w:rsidR="00C759A0" w:rsidRPr="00C759A0" w:rsidRDefault="00C759A0" w:rsidP="00C759A0">
            <w:pPr>
              <w:jc w:val="center"/>
              <w:rPr>
                <w:szCs w:val="20"/>
              </w:rPr>
            </w:pPr>
            <w:r w:rsidRPr="00C759A0">
              <w:rPr>
                <w:szCs w:val="20"/>
              </w:rPr>
              <w:t>0</w:t>
            </w:r>
          </w:p>
        </w:tc>
        <w:tc>
          <w:tcPr>
            <w:tcW w:w="849" w:type="dxa"/>
          </w:tcPr>
          <w:p w14:paraId="4079C58C" w14:textId="77777777" w:rsidR="00C759A0" w:rsidRPr="00C759A0" w:rsidRDefault="00C759A0" w:rsidP="00C759A0">
            <w:pPr>
              <w:jc w:val="center"/>
              <w:rPr>
                <w:szCs w:val="20"/>
              </w:rPr>
            </w:pPr>
            <w:r w:rsidRPr="00C759A0">
              <w:rPr>
                <w:szCs w:val="20"/>
              </w:rPr>
              <w:t>3</w:t>
            </w:r>
          </w:p>
        </w:tc>
        <w:tc>
          <w:tcPr>
            <w:tcW w:w="849" w:type="dxa"/>
          </w:tcPr>
          <w:p w14:paraId="1A9C54C4" w14:textId="77777777" w:rsidR="00C759A0" w:rsidRPr="00C759A0" w:rsidRDefault="00C759A0" w:rsidP="00C759A0">
            <w:pPr>
              <w:jc w:val="center"/>
              <w:rPr>
                <w:szCs w:val="20"/>
              </w:rPr>
            </w:pPr>
            <w:r w:rsidRPr="00C759A0">
              <w:rPr>
                <w:szCs w:val="20"/>
              </w:rPr>
              <w:t>3</w:t>
            </w:r>
          </w:p>
        </w:tc>
        <w:tc>
          <w:tcPr>
            <w:tcW w:w="849" w:type="dxa"/>
          </w:tcPr>
          <w:p w14:paraId="7A6CB2EC" w14:textId="77777777" w:rsidR="00C759A0" w:rsidRPr="00C759A0" w:rsidRDefault="00C759A0" w:rsidP="00C759A0">
            <w:pPr>
              <w:jc w:val="center"/>
              <w:rPr>
                <w:szCs w:val="20"/>
              </w:rPr>
            </w:pPr>
            <w:r w:rsidRPr="00C759A0">
              <w:rPr>
                <w:szCs w:val="20"/>
              </w:rPr>
              <w:t>10</w:t>
            </w:r>
          </w:p>
        </w:tc>
        <w:tc>
          <w:tcPr>
            <w:tcW w:w="849" w:type="dxa"/>
          </w:tcPr>
          <w:p w14:paraId="37191221" w14:textId="77777777" w:rsidR="00C759A0" w:rsidRPr="00C759A0" w:rsidRDefault="00C759A0" w:rsidP="00C759A0">
            <w:pPr>
              <w:jc w:val="center"/>
              <w:rPr>
                <w:szCs w:val="20"/>
              </w:rPr>
            </w:pPr>
            <w:r w:rsidRPr="00C759A0">
              <w:rPr>
                <w:szCs w:val="20"/>
              </w:rPr>
              <w:t>0</w:t>
            </w:r>
          </w:p>
        </w:tc>
        <w:tc>
          <w:tcPr>
            <w:tcW w:w="849" w:type="dxa"/>
          </w:tcPr>
          <w:p w14:paraId="57D94258" w14:textId="77777777" w:rsidR="00C759A0" w:rsidRPr="00C759A0" w:rsidRDefault="00C759A0" w:rsidP="00C759A0">
            <w:pPr>
              <w:jc w:val="center"/>
              <w:rPr>
                <w:szCs w:val="20"/>
              </w:rPr>
            </w:pPr>
            <w:r w:rsidRPr="00C759A0">
              <w:rPr>
                <w:szCs w:val="20"/>
              </w:rPr>
              <w:t>16</w:t>
            </w:r>
          </w:p>
        </w:tc>
      </w:tr>
      <w:tr w:rsidR="00C759A0" w:rsidRPr="00C759A0" w14:paraId="6459DB79" w14:textId="77777777" w:rsidTr="00C759A0">
        <w:trPr>
          <w:trHeight w:val="255"/>
          <w:jc w:val="center"/>
        </w:trPr>
        <w:tc>
          <w:tcPr>
            <w:tcW w:w="3309" w:type="dxa"/>
          </w:tcPr>
          <w:p w14:paraId="717EE8C0" w14:textId="77777777" w:rsidR="00C759A0" w:rsidRPr="00C759A0" w:rsidRDefault="00C759A0" w:rsidP="00C759A0">
            <w:pPr>
              <w:rPr>
                <w:szCs w:val="20"/>
              </w:rPr>
            </w:pPr>
            <w:r w:rsidRPr="00C759A0">
              <w:rPr>
                <w:szCs w:val="20"/>
              </w:rPr>
              <w:t>Water Quality</w:t>
            </w:r>
          </w:p>
        </w:tc>
        <w:tc>
          <w:tcPr>
            <w:tcW w:w="849" w:type="dxa"/>
          </w:tcPr>
          <w:p w14:paraId="2CB41406" w14:textId="77777777" w:rsidR="00C759A0" w:rsidRPr="00C759A0" w:rsidRDefault="00C759A0" w:rsidP="00C759A0">
            <w:pPr>
              <w:jc w:val="center"/>
              <w:rPr>
                <w:szCs w:val="20"/>
              </w:rPr>
            </w:pPr>
            <w:r w:rsidRPr="00C759A0">
              <w:rPr>
                <w:szCs w:val="20"/>
              </w:rPr>
              <w:t>0</w:t>
            </w:r>
          </w:p>
        </w:tc>
        <w:tc>
          <w:tcPr>
            <w:tcW w:w="849" w:type="dxa"/>
          </w:tcPr>
          <w:p w14:paraId="1370F0D7" w14:textId="77777777" w:rsidR="00C759A0" w:rsidRPr="00C759A0" w:rsidRDefault="00C759A0" w:rsidP="00C759A0">
            <w:pPr>
              <w:jc w:val="center"/>
              <w:rPr>
                <w:szCs w:val="20"/>
              </w:rPr>
            </w:pPr>
            <w:r w:rsidRPr="00C759A0">
              <w:rPr>
                <w:szCs w:val="20"/>
              </w:rPr>
              <w:t>1</w:t>
            </w:r>
          </w:p>
        </w:tc>
        <w:tc>
          <w:tcPr>
            <w:tcW w:w="849" w:type="dxa"/>
          </w:tcPr>
          <w:p w14:paraId="6ED42698" w14:textId="77777777" w:rsidR="00C759A0" w:rsidRPr="00C759A0" w:rsidRDefault="00C759A0" w:rsidP="00C759A0">
            <w:pPr>
              <w:jc w:val="center"/>
              <w:rPr>
                <w:szCs w:val="20"/>
              </w:rPr>
            </w:pPr>
            <w:r w:rsidRPr="00C759A0">
              <w:rPr>
                <w:szCs w:val="20"/>
              </w:rPr>
              <w:t>0</w:t>
            </w:r>
          </w:p>
        </w:tc>
        <w:tc>
          <w:tcPr>
            <w:tcW w:w="849" w:type="dxa"/>
          </w:tcPr>
          <w:p w14:paraId="5BD981CA" w14:textId="77777777" w:rsidR="00C759A0" w:rsidRPr="00C759A0" w:rsidRDefault="00C759A0" w:rsidP="00C759A0">
            <w:pPr>
              <w:jc w:val="center"/>
              <w:rPr>
                <w:szCs w:val="20"/>
              </w:rPr>
            </w:pPr>
            <w:r w:rsidRPr="00C759A0">
              <w:rPr>
                <w:szCs w:val="20"/>
              </w:rPr>
              <w:t>0</w:t>
            </w:r>
          </w:p>
        </w:tc>
        <w:tc>
          <w:tcPr>
            <w:tcW w:w="849" w:type="dxa"/>
          </w:tcPr>
          <w:p w14:paraId="425503DD" w14:textId="77777777" w:rsidR="00C759A0" w:rsidRPr="00C759A0" w:rsidRDefault="00C759A0" w:rsidP="00C759A0">
            <w:pPr>
              <w:jc w:val="center"/>
              <w:rPr>
                <w:szCs w:val="20"/>
              </w:rPr>
            </w:pPr>
            <w:r w:rsidRPr="00C759A0">
              <w:rPr>
                <w:szCs w:val="20"/>
              </w:rPr>
              <w:t>1</w:t>
            </w:r>
          </w:p>
        </w:tc>
        <w:tc>
          <w:tcPr>
            <w:tcW w:w="849" w:type="dxa"/>
          </w:tcPr>
          <w:p w14:paraId="52821B30" w14:textId="77777777" w:rsidR="00C759A0" w:rsidRPr="00C759A0" w:rsidRDefault="00C759A0" w:rsidP="00C759A0">
            <w:pPr>
              <w:jc w:val="center"/>
              <w:rPr>
                <w:szCs w:val="20"/>
              </w:rPr>
            </w:pPr>
            <w:r w:rsidRPr="00C759A0">
              <w:rPr>
                <w:szCs w:val="20"/>
              </w:rPr>
              <w:t>2</w:t>
            </w:r>
          </w:p>
        </w:tc>
      </w:tr>
      <w:tr w:rsidR="00C759A0" w:rsidRPr="00C759A0" w14:paraId="5F82A00B" w14:textId="77777777" w:rsidTr="00C759A0">
        <w:trPr>
          <w:trHeight w:val="241"/>
          <w:jc w:val="center"/>
        </w:trPr>
        <w:tc>
          <w:tcPr>
            <w:tcW w:w="3309" w:type="dxa"/>
          </w:tcPr>
          <w:p w14:paraId="6645A565" w14:textId="77777777" w:rsidR="00C759A0" w:rsidRPr="00C759A0" w:rsidRDefault="00C759A0" w:rsidP="00293EDB">
            <w:pPr>
              <w:jc w:val="center"/>
              <w:rPr>
                <w:b/>
                <w:szCs w:val="20"/>
              </w:rPr>
            </w:pPr>
            <w:r w:rsidRPr="00C759A0">
              <w:rPr>
                <w:b/>
                <w:szCs w:val="20"/>
              </w:rPr>
              <w:t>Total</w:t>
            </w:r>
          </w:p>
        </w:tc>
        <w:tc>
          <w:tcPr>
            <w:tcW w:w="849" w:type="dxa"/>
          </w:tcPr>
          <w:p w14:paraId="18E6F7E0" w14:textId="77777777" w:rsidR="00C759A0" w:rsidRPr="00C759A0" w:rsidRDefault="00C759A0" w:rsidP="00C759A0">
            <w:pPr>
              <w:jc w:val="center"/>
              <w:rPr>
                <w:szCs w:val="20"/>
              </w:rPr>
            </w:pPr>
            <w:r w:rsidRPr="00C759A0">
              <w:rPr>
                <w:szCs w:val="20"/>
              </w:rPr>
              <w:t>0</w:t>
            </w:r>
          </w:p>
        </w:tc>
        <w:tc>
          <w:tcPr>
            <w:tcW w:w="849" w:type="dxa"/>
          </w:tcPr>
          <w:p w14:paraId="6FBFFA3B" w14:textId="77777777" w:rsidR="00C759A0" w:rsidRPr="00C759A0" w:rsidRDefault="00C759A0" w:rsidP="00C759A0">
            <w:pPr>
              <w:jc w:val="center"/>
              <w:rPr>
                <w:szCs w:val="20"/>
              </w:rPr>
            </w:pPr>
            <w:r w:rsidRPr="00C759A0">
              <w:rPr>
                <w:szCs w:val="20"/>
              </w:rPr>
              <w:t>5</w:t>
            </w:r>
          </w:p>
        </w:tc>
        <w:tc>
          <w:tcPr>
            <w:tcW w:w="849" w:type="dxa"/>
          </w:tcPr>
          <w:p w14:paraId="32EF8991" w14:textId="77777777" w:rsidR="00C759A0" w:rsidRPr="00C759A0" w:rsidRDefault="00C759A0" w:rsidP="00C759A0">
            <w:pPr>
              <w:jc w:val="center"/>
              <w:rPr>
                <w:szCs w:val="20"/>
              </w:rPr>
            </w:pPr>
            <w:r w:rsidRPr="00C759A0">
              <w:rPr>
                <w:szCs w:val="20"/>
              </w:rPr>
              <w:t>12</w:t>
            </w:r>
          </w:p>
        </w:tc>
        <w:tc>
          <w:tcPr>
            <w:tcW w:w="849" w:type="dxa"/>
          </w:tcPr>
          <w:p w14:paraId="2A7D5B51" w14:textId="77777777" w:rsidR="00C759A0" w:rsidRPr="00C759A0" w:rsidRDefault="00C759A0" w:rsidP="00C759A0">
            <w:pPr>
              <w:jc w:val="center"/>
              <w:rPr>
                <w:szCs w:val="20"/>
              </w:rPr>
            </w:pPr>
            <w:r w:rsidRPr="00C759A0">
              <w:rPr>
                <w:szCs w:val="20"/>
              </w:rPr>
              <w:t>14</w:t>
            </w:r>
          </w:p>
        </w:tc>
        <w:tc>
          <w:tcPr>
            <w:tcW w:w="849" w:type="dxa"/>
          </w:tcPr>
          <w:p w14:paraId="2624EB86" w14:textId="77777777" w:rsidR="00C759A0" w:rsidRPr="00C759A0" w:rsidRDefault="00C759A0" w:rsidP="00C759A0">
            <w:pPr>
              <w:jc w:val="center"/>
              <w:rPr>
                <w:szCs w:val="20"/>
              </w:rPr>
            </w:pPr>
            <w:r w:rsidRPr="00C759A0">
              <w:rPr>
                <w:szCs w:val="20"/>
              </w:rPr>
              <w:t>7</w:t>
            </w:r>
          </w:p>
        </w:tc>
        <w:tc>
          <w:tcPr>
            <w:tcW w:w="849" w:type="dxa"/>
          </w:tcPr>
          <w:p w14:paraId="716C36E3" w14:textId="77777777" w:rsidR="00C759A0" w:rsidRPr="00C759A0" w:rsidRDefault="00C759A0" w:rsidP="00C759A0">
            <w:pPr>
              <w:jc w:val="center"/>
              <w:rPr>
                <w:szCs w:val="20"/>
              </w:rPr>
            </w:pPr>
            <w:r w:rsidRPr="00C759A0">
              <w:rPr>
                <w:szCs w:val="20"/>
              </w:rPr>
              <w:t>38</w:t>
            </w:r>
          </w:p>
        </w:tc>
      </w:tr>
    </w:tbl>
    <w:p w14:paraId="3142B052" w14:textId="77777777" w:rsidR="00C759A0" w:rsidRPr="00C759A0" w:rsidRDefault="00C759A0" w:rsidP="00C759A0">
      <w:pPr>
        <w:tabs>
          <w:tab w:val="left" w:pos="2610"/>
        </w:tabs>
        <w:spacing w:after="480"/>
        <w:jc w:val="both"/>
        <w:rPr>
          <w:sz w:val="20"/>
        </w:rPr>
      </w:pPr>
      <w:r w:rsidRPr="00C759A0">
        <w:rPr>
          <w:sz w:val="20"/>
        </w:rPr>
        <w:t xml:space="preserve">          Source:</w:t>
      </w:r>
      <w:r w:rsidRPr="00C759A0">
        <w:rPr>
          <w:sz w:val="20"/>
          <w:szCs w:val="20"/>
        </w:rPr>
        <w:t xml:space="preserve"> Utility responses to staff data requests</w:t>
      </w:r>
      <w:r w:rsidRPr="00C759A0">
        <w:rPr>
          <w:sz w:val="20"/>
        </w:rPr>
        <w:t xml:space="preserve">. </w:t>
      </w:r>
    </w:p>
    <w:p w14:paraId="667309F6" w14:textId="395720FC" w:rsidR="00C759A0" w:rsidRPr="00C759A0" w:rsidRDefault="00C759A0" w:rsidP="00C759A0">
      <w:pPr>
        <w:jc w:val="both"/>
        <w:rPr>
          <w:rFonts w:eastAsiaTheme="minorHAnsi" w:cstheme="minorBidi"/>
          <w:szCs w:val="22"/>
        </w:rPr>
      </w:pPr>
      <w:r w:rsidRPr="00C759A0">
        <w:rPr>
          <w:rFonts w:eastAsiaTheme="minorHAnsi" w:cstheme="minorBidi"/>
          <w:szCs w:val="22"/>
        </w:rPr>
        <w:t xml:space="preserve">Staff investigated the causes for the complaints displayed above. The complaints related to water service interruptions can be attributed to specific instances such as, a tree falling and damaging one of the hydropneumatic tanks, </w:t>
      </w:r>
      <w:r w:rsidR="007D03BF">
        <w:rPr>
          <w:rFonts w:eastAsiaTheme="minorHAnsi" w:cstheme="minorBidi"/>
          <w:szCs w:val="22"/>
        </w:rPr>
        <w:t xml:space="preserve">a </w:t>
      </w:r>
      <w:r w:rsidRPr="00C759A0">
        <w:rPr>
          <w:rFonts w:eastAsiaTheme="minorHAnsi" w:cstheme="minorBidi"/>
          <w:szCs w:val="22"/>
        </w:rPr>
        <w:t>circuit breaker trip due to a bad wire, and Hurricane Helene. The water pressure complaints resulted from broken service lines which have since been repaired by the Utility. There were two water quality complaints from customers experiencing cloudy water. One instance occurred on October 19, 2021, after a main break and another on September 30, 2024, after Hurricane Helene. The cloudiness was caused by air in the service lines and was resolved by flushing. A review of the complaints indicates that they have been resolved. For reference, Citrus serves approximately 154 customers. A virtual customer meeting was held on October 30, 2025, and no customers participated.</w:t>
      </w:r>
    </w:p>
    <w:p w14:paraId="665209D7" w14:textId="77777777" w:rsidR="00C759A0" w:rsidRPr="00C759A0" w:rsidRDefault="00C759A0" w:rsidP="00C759A0">
      <w:pPr>
        <w:jc w:val="both"/>
        <w:rPr>
          <w:rFonts w:eastAsiaTheme="minorHAnsi" w:cstheme="minorBidi"/>
          <w:szCs w:val="22"/>
        </w:rPr>
      </w:pPr>
    </w:p>
    <w:p w14:paraId="74507763" w14:textId="77777777" w:rsidR="00C759A0" w:rsidRPr="00C759A0" w:rsidRDefault="00C759A0" w:rsidP="00C759A0">
      <w:pPr>
        <w:jc w:val="both"/>
        <w:rPr>
          <w:rFonts w:ascii="Arial" w:eastAsiaTheme="minorHAnsi" w:hAnsi="Arial" w:cs="Arial"/>
          <w:b/>
          <w:szCs w:val="22"/>
        </w:rPr>
      </w:pPr>
      <w:r w:rsidRPr="00C759A0">
        <w:rPr>
          <w:rFonts w:ascii="Arial" w:eastAsiaTheme="minorHAnsi" w:hAnsi="Arial" w:cs="Arial"/>
          <w:b/>
          <w:szCs w:val="22"/>
        </w:rPr>
        <w:t>Conclusion</w:t>
      </w:r>
    </w:p>
    <w:p w14:paraId="4E00FB96" w14:textId="29D5C828" w:rsidR="00C759A0" w:rsidRPr="00C759A0" w:rsidRDefault="00C759A0" w:rsidP="00C759A0">
      <w:pPr>
        <w:jc w:val="both"/>
      </w:pPr>
      <w:r w:rsidRPr="00C759A0">
        <w:t>Citrus has been responsive to customer complaints and is in compliance with the DEP standards; therefore, the quality of service</w:t>
      </w:r>
      <w:r w:rsidR="00210F0F">
        <w:t xml:space="preserve"> should</w:t>
      </w:r>
      <w:r w:rsidRPr="00C759A0">
        <w:t xml:space="preserve"> be considered satisfactory.</w:t>
      </w:r>
      <w:r w:rsidR="00210F0F" w:rsidRPr="00C759A0">
        <w:t xml:space="preserve">  </w:t>
      </w:r>
    </w:p>
    <w:p w14:paraId="16C0959E" w14:textId="77777777" w:rsidR="00144C53" w:rsidRDefault="00144C53">
      <w:pPr>
        <w:pStyle w:val="BodyText"/>
      </w:pPr>
    </w:p>
    <w:p w14:paraId="753885FE" w14:textId="77777777" w:rsidR="00E06484" w:rsidRDefault="00E06484" w:rsidP="00E275D8">
      <w:pPr>
        <w:pStyle w:val="BodyText"/>
      </w:pPr>
    </w:p>
    <w:p w14:paraId="147958F0" w14:textId="77777777" w:rsidR="00144C53" w:rsidRDefault="00144C53" w:rsidP="00E275D8">
      <w:pPr>
        <w:pStyle w:val="BodyText"/>
      </w:pPr>
    </w:p>
    <w:p w14:paraId="0E55A5D0" w14:textId="4A707F46" w:rsidR="00144C53" w:rsidRDefault="00144C53">
      <w:pPr>
        <w:pStyle w:val="IssueHeading"/>
        <w:rPr>
          <w:vanish/>
          <w:specVanish/>
        </w:rPr>
      </w:pPr>
      <w:r w:rsidRPr="004C3641">
        <w:rPr>
          <w:b w:val="0"/>
          <w:i w:val="0"/>
        </w:rPr>
        <w:br w:type="page"/>
      </w:r>
      <w:r w:rsidRPr="004C3641">
        <w:t xml:space="preserve">Issue </w:t>
      </w:r>
      <w:fldSimple w:instr=" SEQ Issue \* MERGEFORMAT ">
        <w:r w:rsidR="004A4C46">
          <w:rPr>
            <w:noProof/>
          </w:rPr>
          <w:t>2</w:t>
        </w:r>
      </w:fldSimple>
      <w:r w:rsidRPr="004C3641">
        <w:t>:</w:t>
      </w:r>
      <w:r>
        <w:fldChar w:fldCharType="begin"/>
      </w:r>
      <w:r>
        <w:instrText xml:space="preserve"> TC "</w:instrText>
      </w:r>
      <w:r>
        <w:fldChar w:fldCharType="begin"/>
      </w:r>
      <w:r>
        <w:instrText xml:space="preserve"> SEQ issue \c </w:instrText>
      </w:r>
      <w:r>
        <w:fldChar w:fldCharType="separate"/>
      </w:r>
      <w:bookmarkStart w:id="17" w:name="_Toc225411879"/>
      <w:r w:rsidR="004A4C46">
        <w:rPr>
          <w:noProof/>
        </w:rPr>
        <w:instrText>2</w:instrText>
      </w:r>
      <w:r>
        <w:fldChar w:fldCharType="end"/>
      </w:r>
      <w:r>
        <w:tab/>
        <w:instrText>Infrastructure and Operating Conditions</w:instrText>
      </w:r>
      <w:bookmarkEnd w:id="17"/>
      <w:r>
        <w:instrText xml:space="preserve">" \l 1 </w:instrText>
      </w:r>
      <w:r>
        <w:fldChar w:fldCharType="end"/>
      </w:r>
      <w:r>
        <w:t> </w:t>
      </w:r>
    </w:p>
    <w:p w14:paraId="06C6E000" w14:textId="5F4A8BF0" w:rsidR="00144C53" w:rsidRDefault="00144C53">
      <w:pPr>
        <w:pStyle w:val="BodyText"/>
      </w:pPr>
      <w:r>
        <w:t> </w:t>
      </w:r>
      <w:r w:rsidR="007D03BF">
        <w:t xml:space="preserve">Are </w:t>
      </w:r>
      <w:r>
        <w:t xml:space="preserve">the infrastructure and operating conditions of </w:t>
      </w:r>
      <w:r w:rsidR="00F304E8">
        <w:t>Citrus Waterworks, Inc.</w:t>
      </w:r>
      <w:r>
        <w:t xml:space="preserve"> in compliance with DEP regulations?</w:t>
      </w:r>
    </w:p>
    <w:p w14:paraId="168C25C3" w14:textId="77777777" w:rsidR="00144C53" w:rsidRPr="004C3641" w:rsidRDefault="00144C53">
      <w:pPr>
        <w:pStyle w:val="IssueSubsectionHeading"/>
        <w:rPr>
          <w:vanish/>
          <w:specVanish/>
        </w:rPr>
      </w:pPr>
      <w:r w:rsidRPr="004C3641">
        <w:t>Recommendation: </w:t>
      </w:r>
    </w:p>
    <w:p w14:paraId="19916170" w14:textId="77777777" w:rsidR="00144C53" w:rsidRDefault="00144C53">
      <w:pPr>
        <w:pStyle w:val="BodyText"/>
      </w:pPr>
      <w:r>
        <w:t> </w:t>
      </w:r>
      <w:r w:rsidR="00C759A0" w:rsidRPr="00C759A0">
        <w:t>Yes.  Citrus Waterworks, Inc.’s water system is currently in compliance with the DEP.</w:t>
      </w:r>
      <w:r>
        <w:t xml:space="preserve"> (Lewis)</w:t>
      </w:r>
    </w:p>
    <w:p w14:paraId="7953D6FB" w14:textId="77777777" w:rsidR="00144C53" w:rsidRPr="004C3641" w:rsidRDefault="00144C53">
      <w:pPr>
        <w:pStyle w:val="IssueSubsectionHeading"/>
        <w:rPr>
          <w:vanish/>
          <w:specVanish/>
        </w:rPr>
      </w:pPr>
      <w:r w:rsidRPr="004C3641">
        <w:t>Staff Analysis: </w:t>
      </w:r>
    </w:p>
    <w:p w14:paraId="206B5E76" w14:textId="2BD00953" w:rsidR="00C759A0" w:rsidRPr="00C759A0" w:rsidRDefault="00144C53" w:rsidP="00C759A0">
      <w:pPr>
        <w:spacing w:after="240"/>
        <w:jc w:val="both"/>
        <w:rPr>
          <w:rFonts w:eastAsiaTheme="minorHAnsi" w:cstheme="minorBidi"/>
          <w:szCs w:val="22"/>
        </w:rPr>
      </w:pPr>
      <w:r>
        <w:t> </w:t>
      </w:r>
      <w:r w:rsidR="00C759A0" w:rsidRPr="00C759A0">
        <w:rPr>
          <w:rFonts w:eastAsiaTheme="minorHAnsi" w:cstheme="minorBidi"/>
          <w:szCs w:val="22"/>
        </w:rPr>
        <w:t xml:space="preserve">Rule 25-30.225(2), F.A.C., requires each water </w:t>
      </w:r>
      <w:r w:rsidR="0070453D">
        <w:rPr>
          <w:rFonts w:eastAsiaTheme="minorHAnsi" w:cstheme="minorBidi"/>
          <w:szCs w:val="22"/>
        </w:rPr>
        <w:t>u</w:t>
      </w:r>
      <w:r w:rsidR="00C759A0" w:rsidRPr="00C759A0">
        <w:rPr>
          <w:rFonts w:eastAsiaTheme="minorHAnsi" w:cstheme="minorBidi"/>
          <w:szCs w:val="22"/>
        </w:rPr>
        <w:t xml:space="preserve">tility to maintain and operate its plant and facilities by employing qualified operators in accordance with the rules of the DEP. Rule 25-30.433(2), F.A.C., requires consideration of whether the infrastructure and operating conditions of the plant and facilities are in compliance with Rule 25-30.225, F.A.C. In making this determination, the Commission must consider testimony of the DEP and county health department officials, sanitary surveys for water systems, citations, violations, and consent orders issued to the </w:t>
      </w:r>
      <w:r w:rsidR="00626F31">
        <w:rPr>
          <w:rFonts w:eastAsiaTheme="minorHAnsi" w:cstheme="minorBidi"/>
          <w:szCs w:val="22"/>
        </w:rPr>
        <w:t>Utility</w:t>
      </w:r>
      <w:r w:rsidR="00C759A0" w:rsidRPr="00C759A0">
        <w:rPr>
          <w:rFonts w:eastAsiaTheme="minorHAnsi" w:cstheme="minorBidi"/>
          <w:szCs w:val="22"/>
        </w:rPr>
        <w:t xml:space="preserve">, customer testimony, comments, and complaints, and </w:t>
      </w:r>
      <w:r w:rsidR="00626F31">
        <w:rPr>
          <w:rFonts w:eastAsiaTheme="minorHAnsi" w:cstheme="minorBidi"/>
          <w:szCs w:val="22"/>
        </w:rPr>
        <w:t>Utility</w:t>
      </w:r>
      <w:r w:rsidR="00C759A0" w:rsidRPr="00C759A0">
        <w:rPr>
          <w:rFonts w:eastAsiaTheme="minorHAnsi" w:cstheme="minorBidi"/>
          <w:szCs w:val="22"/>
        </w:rPr>
        <w:t xml:space="preserve"> testimony and responses to the aforementioned items. </w:t>
      </w:r>
    </w:p>
    <w:p w14:paraId="52139155" w14:textId="77777777" w:rsidR="00C759A0" w:rsidRPr="00C759A0" w:rsidRDefault="00C759A0" w:rsidP="00C759A0">
      <w:pPr>
        <w:jc w:val="both"/>
        <w:rPr>
          <w:rFonts w:ascii="Arial" w:eastAsiaTheme="minorHAnsi" w:hAnsi="Arial" w:cs="Arial"/>
          <w:szCs w:val="22"/>
        </w:rPr>
      </w:pPr>
      <w:r w:rsidRPr="00C759A0">
        <w:rPr>
          <w:rFonts w:ascii="Arial" w:eastAsiaTheme="minorHAnsi" w:hAnsi="Arial" w:cs="Arial"/>
          <w:b/>
          <w:szCs w:val="22"/>
        </w:rPr>
        <w:t>Water System Operating Conditions</w:t>
      </w:r>
      <w:r w:rsidRPr="00C759A0">
        <w:rPr>
          <w:rFonts w:ascii="Arial" w:eastAsiaTheme="minorHAnsi" w:hAnsi="Arial" w:cs="Arial"/>
          <w:szCs w:val="22"/>
        </w:rPr>
        <w:t xml:space="preserve"> </w:t>
      </w:r>
    </w:p>
    <w:p w14:paraId="53BB5A1F" w14:textId="35F09360" w:rsidR="00C759A0" w:rsidRPr="00C759A0" w:rsidRDefault="00C759A0" w:rsidP="00C759A0">
      <w:pPr>
        <w:spacing w:after="240"/>
        <w:jc w:val="both"/>
        <w:rPr>
          <w:rFonts w:eastAsiaTheme="minorHAnsi" w:cstheme="minorBidi"/>
          <w:szCs w:val="22"/>
        </w:rPr>
      </w:pPr>
      <w:r w:rsidRPr="00C759A0">
        <w:rPr>
          <w:rFonts w:eastAsiaTheme="minorHAnsi" w:cstheme="minorBidi"/>
          <w:szCs w:val="22"/>
        </w:rPr>
        <w:t>Citrus consists of two separate systems, Blackwater Heights and Ellsworth Point. The Blackwater Heights system has two wells that each have a pumping capacity of 60 gallons per minute (gpm). This system is also served by hydropneumatic tanks with capacities of 1,000 and 2,000 gallons. The Ellsworth Point system has one well with a pumping capacity of 60 gpm along with a hydropneumatic tank with a capacity of 1,400 gallons. Groundwater from the wells is treated through hypochlorination.</w:t>
      </w:r>
    </w:p>
    <w:p w14:paraId="557D34D9" w14:textId="77777777" w:rsidR="00C759A0" w:rsidRPr="00C759A0" w:rsidRDefault="00C759A0" w:rsidP="00C759A0">
      <w:pPr>
        <w:spacing w:after="240"/>
        <w:jc w:val="both"/>
        <w:rPr>
          <w:rFonts w:eastAsiaTheme="minorHAnsi" w:cstheme="minorBidi"/>
          <w:szCs w:val="22"/>
        </w:rPr>
      </w:pPr>
      <w:r w:rsidRPr="00C759A0">
        <w:rPr>
          <w:rFonts w:eastAsiaTheme="minorHAnsi" w:cstheme="minorBidi"/>
          <w:szCs w:val="22"/>
        </w:rPr>
        <w:t>Staff reviewed Citrus’ most recent Sanitary Survey Reports conducted by the DEP to determine the Utility’s overall compliance. Staff reviewed the March 7, 2023, report for the Blackwater Heights system which indicated three deficiencies. These deficiencies were for not having an Operation and Maintenance Manual onsite, a missing screen on tank number one, and the accuracy of the flow meter had not been checked as required. The corrections were made and the plant was deemed in compliance on March 23, 2023. A review of the Report dated May 11, 2023, for the Ellsworth Point system indicated no deficiencies, and the plant was deemed in compliance on May 18, 2023.</w:t>
      </w:r>
    </w:p>
    <w:p w14:paraId="3F613DA7" w14:textId="77777777" w:rsidR="00C759A0" w:rsidRPr="00C759A0" w:rsidRDefault="00C759A0" w:rsidP="00C759A0">
      <w:pPr>
        <w:jc w:val="both"/>
        <w:rPr>
          <w:rFonts w:ascii="Arial" w:eastAsiaTheme="minorHAnsi" w:hAnsi="Arial" w:cs="Arial"/>
          <w:b/>
          <w:szCs w:val="22"/>
        </w:rPr>
      </w:pPr>
      <w:r w:rsidRPr="00C759A0">
        <w:rPr>
          <w:rFonts w:ascii="Arial" w:eastAsiaTheme="minorHAnsi" w:hAnsi="Arial" w:cs="Arial"/>
          <w:b/>
          <w:szCs w:val="22"/>
        </w:rPr>
        <w:t xml:space="preserve">Conclusion </w:t>
      </w:r>
    </w:p>
    <w:p w14:paraId="1086FAD3" w14:textId="77777777" w:rsidR="00C759A0" w:rsidRPr="00C759A0" w:rsidRDefault="00C759A0" w:rsidP="00C759A0">
      <w:pPr>
        <w:jc w:val="both"/>
      </w:pPr>
      <w:r w:rsidRPr="00C759A0">
        <w:t>Citrus Waterworks, Inc.’s water system is in compliance with the DEP.</w:t>
      </w:r>
    </w:p>
    <w:p w14:paraId="25512B40" w14:textId="77777777" w:rsidR="00144C53" w:rsidRDefault="00144C53">
      <w:pPr>
        <w:pStyle w:val="BodyText"/>
      </w:pPr>
    </w:p>
    <w:p w14:paraId="35F4EB60" w14:textId="77777777" w:rsidR="00144C53" w:rsidRDefault="00144C53" w:rsidP="00E275D8">
      <w:pPr>
        <w:pStyle w:val="BodyText"/>
      </w:pPr>
    </w:p>
    <w:p w14:paraId="0FF69366" w14:textId="77777777" w:rsidR="00144C53" w:rsidRDefault="00144C53" w:rsidP="00E275D8">
      <w:pPr>
        <w:pStyle w:val="BodyText"/>
      </w:pPr>
    </w:p>
    <w:p w14:paraId="01817B83" w14:textId="59F0C5FF" w:rsidR="00144C53" w:rsidRDefault="00144C53">
      <w:pPr>
        <w:pStyle w:val="IssueHeading"/>
        <w:rPr>
          <w:vanish/>
          <w:specVanish/>
        </w:rPr>
      </w:pPr>
      <w:r w:rsidRPr="004C3641">
        <w:rPr>
          <w:b w:val="0"/>
          <w:i w:val="0"/>
        </w:rPr>
        <w:br w:type="page"/>
      </w:r>
      <w:r w:rsidRPr="004C3641">
        <w:t xml:space="preserve">Issue </w:t>
      </w:r>
      <w:fldSimple w:instr=" SEQ Issue \* MERGEFORMAT ">
        <w:r w:rsidR="004A4C46">
          <w:rPr>
            <w:noProof/>
          </w:rPr>
          <w:t>3</w:t>
        </w:r>
      </w:fldSimple>
      <w:r w:rsidRPr="004C3641">
        <w:t>:</w:t>
      </w:r>
      <w:r>
        <w:fldChar w:fldCharType="begin"/>
      </w:r>
      <w:r>
        <w:instrText xml:space="preserve"> TC "</w:instrText>
      </w:r>
      <w:r>
        <w:fldChar w:fldCharType="begin"/>
      </w:r>
      <w:r>
        <w:instrText xml:space="preserve"> SEQ issue \c </w:instrText>
      </w:r>
      <w:r>
        <w:fldChar w:fldCharType="separate"/>
      </w:r>
      <w:bookmarkStart w:id="18" w:name="_Toc225411880"/>
      <w:r w:rsidR="004A4C46">
        <w:rPr>
          <w:noProof/>
        </w:rPr>
        <w:instrText>3</w:instrText>
      </w:r>
      <w:r>
        <w:fldChar w:fldCharType="end"/>
      </w:r>
      <w:r>
        <w:tab/>
        <w:instrText>Used and Useful</w:instrText>
      </w:r>
      <w:bookmarkEnd w:id="18"/>
      <w:r>
        <w:instrText xml:space="preserve">" \l 1 </w:instrText>
      </w:r>
      <w:r>
        <w:fldChar w:fldCharType="end"/>
      </w:r>
      <w:r>
        <w:t> </w:t>
      </w:r>
    </w:p>
    <w:p w14:paraId="5F6C00B1" w14:textId="77777777" w:rsidR="00144C53" w:rsidRDefault="00144C53">
      <w:pPr>
        <w:pStyle w:val="BodyText"/>
      </w:pPr>
      <w:r>
        <w:t xml:space="preserve"> What are the used and useful percentages (U&amp;U) of </w:t>
      </w:r>
      <w:r w:rsidR="00F304E8">
        <w:t>Citrus Waterworks, Inc.</w:t>
      </w:r>
      <w:r>
        <w:t xml:space="preserve"> water treatment plant</w:t>
      </w:r>
      <w:r w:rsidR="00210F0F">
        <w:t>s</w:t>
      </w:r>
      <w:r>
        <w:t xml:space="preserve"> (WTP) and water distribution system?</w:t>
      </w:r>
    </w:p>
    <w:p w14:paraId="4D6377AB" w14:textId="77777777" w:rsidR="00144C53" w:rsidRPr="004C3641" w:rsidRDefault="00144C53">
      <w:pPr>
        <w:pStyle w:val="IssueSubsectionHeading"/>
        <w:rPr>
          <w:vanish/>
          <w:specVanish/>
        </w:rPr>
      </w:pPr>
      <w:r w:rsidRPr="004C3641">
        <w:t>Recommendation: </w:t>
      </w:r>
    </w:p>
    <w:p w14:paraId="7BF2B99A" w14:textId="63AEEF5E" w:rsidR="00C759A0" w:rsidRDefault="00144C53" w:rsidP="00223794">
      <w:pPr>
        <w:spacing w:after="240"/>
        <w:jc w:val="both"/>
      </w:pPr>
      <w:r>
        <w:t> </w:t>
      </w:r>
      <w:r w:rsidR="00C759A0" w:rsidRPr="00C759A0">
        <w:t>Citrus Waterworks Inc.’s WTPs and water distribution systems should be considered 100 percent U&amp;U. There is 23.1 percent Excessive Unaccounted for Water (EUW)</w:t>
      </w:r>
      <w:r w:rsidR="0070453D">
        <w:t>.</w:t>
      </w:r>
      <w:r w:rsidR="00C759A0" w:rsidRPr="00C759A0">
        <w:t xml:space="preserve"> </w:t>
      </w:r>
      <w:r w:rsidR="0070453D">
        <w:t>T</w:t>
      </w:r>
      <w:r w:rsidR="00C759A0" w:rsidRPr="00C759A0">
        <w:t>herefore, an adjustment to reduce the operating expenses of purchased power and chemicals should be made.  (Lewis)</w:t>
      </w:r>
    </w:p>
    <w:p w14:paraId="29C74B06" w14:textId="77777777" w:rsidR="00144C53" w:rsidRPr="004C3641" w:rsidRDefault="00144C53">
      <w:pPr>
        <w:pStyle w:val="IssueSubsectionHeading"/>
        <w:rPr>
          <w:vanish/>
          <w:specVanish/>
        </w:rPr>
      </w:pPr>
      <w:r w:rsidRPr="004C3641">
        <w:t>Staff Analysis: </w:t>
      </w:r>
    </w:p>
    <w:p w14:paraId="5D95E53E" w14:textId="77777777" w:rsidR="00C759A0" w:rsidRPr="00C759A0" w:rsidRDefault="00144C53" w:rsidP="00223794">
      <w:pPr>
        <w:spacing w:after="240"/>
        <w:jc w:val="both"/>
        <w:rPr>
          <w:rFonts w:eastAsiaTheme="minorHAnsi" w:cstheme="minorBidi"/>
          <w:sz w:val="23"/>
          <w:szCs w:val="23"/>
        </w:rPr>
      </w:pPr>
      <w:r>
        <w:t> </w:t>
      </w:r>
      <w:r w:rsidR="00C759A0" w:rsidRPr="00C759A0">
        <w:rPr>
          <w:rFonts w:eastAsiaTheme="minorHAnsi" w:cstheme="minorBidi"/>
          <w:szCs w:val="22"/>
        </w:rPr>
        <w:t>As stated in Issue 2, Citrus’ water system consists of two separate systems, Blackwater Heights and Ellsworth Point.  The Blackwater Heights system consists of two wells, each with a pumping capacity of 60 gpm, and two hydropneumatic tanks with capacities of 1,000 and 2,000 gallons. The Ellsworth Point system has one well with a pumping capacity of 60 gpm and one hydropneumatic tank with a capacity of 1,400 gallons. The Utility’s water distribution system is comprised of 3,050 linear feet of 2-inch polyvinyl chloride pipe</w:t>
      </w:r>
      <w:r w:rsidR="00C759A0" w:rsidRPr="00C759A0">
        <w:rPr>
          <w:rFonts w:eastAsiaTheme="minorHAnsi" w:cstheme="minorBidi"/>
          <w:sz w:val="23"/>
          <w:szCs w:val="23"/>
        </w:rPr>
        <w:t xml:space="preserve">. </w:t>
      </w:r>
    </w:p>
    <w:p w14:paraId="5A8860FA" w14:textId="77777777" w:rsidR="00C759A0" w:rsidRPr="00C759A0" w:rsidRDefault="00C759A0" w:rsidP="00C759A0">
      <w:pPr>
        <w:jc w:val="both"/>
        <w:rPr>
          <w:rFonts w:ascii="Arial" w:eastAsiaTheme="minorHAnsi" w:hAnsi="Arial" w:cs="Arial"/>
          <w:b/>
        </w:rPr>
      </w:pPr>
      <w:r w:rsidRPr="00C759A0">
        <w:rPr>
          <w:rFonts w:ascii="Arial" w:eastAsiaTheme="minorHAnsi" w:hAnsi="Arial" w:cs="Arial"/>
          <w:b/>
        </w:rPr>
        <w:t>Used and Useful Percentages</w:t>
      </w:r>
    </w:p>
    <w:p w14:paraId="3CFD2E69" w14:textId="2C19C530" w:rsidR="00C759A0" w:rsidRPr="00223794" w:rsidRDefault="00C759A0" w:rsidP="00223794">
      <w:pPr>
        <w:spacing w:after="240"/>
        <w:jc w:val="both"/>
        <w:rPr>
          <w:rFonts w:eastAsiaTheme="minorHAnsi" w:cstheme="minorBidi"/>
        </w:rPr>
      </w:pPr>
      <w:r w:rsidRPr="00C759A0">
        <w:rPr>
          <w:rFonts w:eastAsiaTheme="minorHAnsi" w:cstheme="minorBidi"/>
        </w:rPr>
        <w:t>Rule 25-30.4325, F.A.C., addresses the method by which the U&amp;U of a water system is determined. Rule 25-30.4325(4), F.A.C</w:t>
      </w:r>
      <w:r w:rsidR="0070453D">
        <w:rPr>
          <w:rFonts w:eastAsiaTheme="minorHAnsi" w:cstheme="minorBidi"/>
        </w:rPr>
        <w:t>.</w:t>
      </w:r>
      <w:r w:rsidRPr="00C759A0">
        <w:rPr>
          <w:rFonts w:eastAsiaTheme="minorHAnsi" w:cstheme="minorBidi"/>
        </w:rPr>
        <w:t>, states that a water treatment system is considered 100 percent U&amp;U if the service territory the system is designed to serve is built out and there is no apparent potential for expansion of the service territory or the system is served by a single well.  Citrus provided data indicating the number of customers served from 2020 to 2024 has ranged from 149 to 157 customers. From staff’s review of the customer billing data, the Utility served 155 customers during the test year. Based on the numbers, customer growth appears to be flat. In addition, both the Blackwater Heights and Ellsworth Point service territories appear to be built out. Therefore, the U&amp;U percentage for the Utility’s Blackwater Heights and Ellsworth Point WTPs and distribution systems should be considered 100 percent. As discussed in the Case Background, this is Citrus’ first SARC before the Commission, and therefore the first time the Commission has set U&amp;U f</w:t>
      </w:r>
      <w:r w:rsidR="00102276">
        <w:rPr>
          <w:rFonts w:eastAsiaTheme="minorHAnsi" w:cstheme="minorBidi"/>
        </w:rPr>
        <w:t>or</w:t>
      </w:r>
      <w:r w:rsidRPr="00C759A0">
        <w:rPr>
          <w:rFonts w:eastAsiaTheme="minorHAnsi" w:cstheme="minorBidi"/>
        </w:rPr>
        <w:t xml:space="preserve"> the Utility. </w:t>
      </w:r>
    </w:p>
    <w:p w14:paraId="57EA58F2" w14:textId="77777777" w:rsidR="00C759A0" w:rsidRPr="00C759A0" w:rsidRDefault="00C759A0" w:rsidP="00C759A0">
      <w:pPr>
        <w:jc w:val="both"/>
        <w:rPr>
          <w:rFonts w:eastAsiaTheme="minorHAnsi" w:cstheme="minorBidi"/>
          <w:sz w:val="23"/>
          <w:szCs w:val="23"/>
        </w:rPr>
      </w:pPr>
      <w:r w:rsidRPr="00C759A0">
        <w:rPr>
          <w:rFonts w:ascii="Arial" w:eastAsiaTheme="minorHAnsi" w:hAnsi="Arial" w:cs="Arial"/>
          <w:b/>
        </w:rPr>
        <w:t>Excessive Unaccounted for Water</w:t>
      </w:r>
    </w:p>
    <w:p w14:paraId="54631DD8" w14:textId="5065C425" w:rsidR="00C759A0" w:rsidRPr="00223794" w:rsidRDefault="00C759A0" w:rsidP="00223794">
      <w:pPr>
        <w:spacing w:after="240"/>
        <w:jc w:val="both"/>
        <w:rPr>
          <w:rFonts w:eastAsiaTheme="minorHAnsi" w:cstheme="minorBidi"/>
        </w:rPr>
      </w:pPr>
      <w:r w:rsidRPr="00C759A0">
        <w:rPr>
          <w:rFonts w:eastAsiaTheme="minorHAnsi" w:cstheme="minorBidi"/>
        </w:rPr>
        <w:t xml:space="preserve">Rule 25-30.4325, F.A.C., provides factors to be considered in determining whether adjustments to operating expenses are necessary for EUW. EUW is defined as “unaccounted for water in excess of 10 percent of the amount produced.” Unaccounted for water is all water produced that is not sold, metered, or accounted for in the records of the </w:t>
      </w:r>
      <w:r w:rsidR="00626F31">
        <w:rPr>
          <w:rFonts w:eastAsiaTheme="minorHAnsi" w:cstheme="minorBidi"/>
        </w:rPr>
        <w:t>Utility</w:t>
      </w:r>
      <w:r w:rsidRPr="00C759A0">
        <w:rPr>
          <w:rFonts w:eastAsiaTheme="minorHAnsi" w:cstheme="minorBidi"/>
        </w:rPr>
        <w:t xml:space="preserve">. </w:t>
      </w:r>
    </w:p>
    <w:p w14:paraId="797CD0D1" w14:textId="77777777" w:rsidR="00223794" w:rsidRPr="00223794" w:rsidRDefault="00C759A0" w:rsidP="00223794">
      <w:pPr>
        <w:spacing w:after="240"/>
        <w:jc w:val="both"/>
        <w:rPr>
          <w:rFonts w:eastAsiaTheme="minorHAnsi" w:cstheme="minorBidi"/>
        </w:rPr>
      </w:pPr>
      <w:r w:rsidRPr="00C759A0">
        <w:rPr>
          <w:rFonts w:eastAsiaTheme="minorHAnsi" w:cstheme="minorBidi"/>
        </w:rPr>
        <w:t>EUW is calculated by subtracting both the gallons sold to customers and the gallons used for other services, such as flushing, from the total gallons pumped and purchased for the test year, and dividing by the sum of gallons pumped and purchased. The amount in excess of 10 percent,</w:t>
      </w:r>
      <w:r w:rsidR="00223794">
        <w:rPr>
          <w:rFonts w:eastAsiaTheme="minorHAnsi" w:cstheme="minorBidi"/>
        </w:rPr>
        <w:t xml:space="preserve"> if any, is the EUW percentage.</w:t>
      </w:r>
    </w:p>
    <w:p w14:paraId="4463CA9A" w14:textId="77777777" w:rsidR="00C759A0" w:rsidRPr="00223794" w:rsidRDefault="00C759A0" w:rsidP="00223794">
      <w:pPr>
        <w:spacing w:after="240"/>
        <w:jc w:val="both"/>
        <w:rPr>
          <w:rFonts w:eastAsiaTheme="minorHAnsi" w:cstheme="minorBidi"/>
        </w:rPr>
      </w:pPr>
      <w:r w:rsidRPr="00C759A0">
        <w:rPr>
          <w:rFonts w:eastAsiaTheme="minorHAnsi" w:cstheme="minorBidi"/>
        </w:rPr>
        <w:t>A review of the Utility’s 2024 monthly operating reports on file with the DEP indicates that Citrus produced 11,339,693 gallons of water during the test year. No water was purchased during the test year. An examination of the Utility’s billing records indicates 7,267,000 gallons of treated water was sold to its customers. Citrus’ 2024 Annual Report on file with the Commission states that the Utility estimated 318,000 gallons were used for line flushing and main breaks. The calculation ([11,339,693 + 0 – 7,267,000 – 318,000] / [11,339,693 + 0]) results in 33.1 percent unaccounted for water. The Commission allows a 10 percent margin; therefore</w:t>
      </w:r>
      <w:r w:rsidR="00626F31">
        <w:rPr>
          <w:rFonts w:eastAsiaTheme="minorHAnsi" w:cstheme="minorBidi"/>
        </w:rPr>
        <w:t>,</w:t>
      </w:r>
      <w:r w:rsidRPr="00C759A0">
        <w:rPr>
          <w:rFonts w:eastAsiaTheme="minorHAnsi" w:cstheme="minorBidi"/>
        </w:rPr>
        <w:t xml:space="preserve"> there is 23.1 percent EUW. The Utility indicated that due to the age of the system, there are many leaks in the mains and services. Also, after the Staff Report was issued, the Utility evaluated the system and several leaks were discovered and repaired. Additionally, the Utility indicated, since purchasing the system, it has spent $18,103 to address leaks. As discussed later in Issue 4, the Utility also replaced older meters, which were incorrectly reading water usage due to their age, which may also mitigate the Utility’s EUW.</w:t>
      </w:r>
      <w:r w:rsidRPr="00C759A0">
        <w:rPr>
          <w:rFonts w:eastAsiaTheme="minorHAnsi" w:cstheme="minorBidi"/>
          <w:vertAlign w:val="superscript"/>
        </w:rPr>
        <w:footnoteReference w:id="5"/>
      </w:r>
      <w:r w:rsidRPr="00C759A0">
        <w:rPr>
          <w:rFonts w:eastAsiaTheme="minorHAnsi" w:cstheme="minorBidi"/>
        </w:rPr>
        <w:t xml:space="preserve"> </w:t>
      </w:r>
    </w:p>
    <w:p w14:paraId="43604658" w14:textId="77777777" w:rsidR="00C759A0" w:rsidRPr="00C759A0" w:rsidRDefault="00C759A0" w:rsidP="00C759A0">
      <w:pPr>
        <w:jc w:val="both"/>
        <w:rPr>
          <w:rFonts w:ascii="Arial" w:eastAsiaTheme="minorHAnsi" w:hAnsi="Arial" w:cs="Arial"/>
          <w:szCs w:val="22"/>
        </w:rPr>
      </w:pPr>
      <w:r w:rsidRPr="00C759A0">
        <w:rPr>
          <w:rFonts w:ascii="Arial" w:eastAsiaTheme="minorHAnsi" w:hAnsi="Arial" w:cs="Arial"/>
          <w:b/>
          <w:szCs w:val="22"/>
        </w:rPr>
        <w:t>Conclusion</w:t>
      </w:r>
      <w:r w:rsidRPr="00C759A0">
        <w:rPr>
          <w:rFonts w:ascii="Arial" w:eastAsiaTheme="minorHAnsi" w:hAnsi="Arial" w:cs="Arial"/>
          <w:szCs w:val="22"/>
        </w:rPr>
        <w:t xml:space="preserve"> </w:t>
      </w:r>
    </w:p>
    <w:p w14:paraId="5F7773FC" w14:textId="69B0476B" w:rsidR="00144C53" w:rsidRDefault="00C759A0" w:rsidP="00E275D8">
      <w:pPr>
        <w:pStyle w:val="BodyText"/>
      </w:pPr>
      <w:r w:rsidRPr="00C759A0">
        <w:t>Citrus</w:t>
      </w:r>
      <w:r w:rsidR="00210F0F">
        <w:t>’</w:t>
      </w:r>
      <w:r w:rsidRPr="00C759A0">
        <w:t xml:space="preserve"> Waterworks Inc.’s WTPs and water distribution systems should be considered 100 percent U&amp;U. There is 23.1 percent EUW</w:t>
      </w:r>
      <w:r w:rsidR="0070453D">
        <w:t>.</w:t>
      </w:r>
      <w:r w:rsidRPr="00C759A0">
        <w:t xml:space="preserve"> </w:t>
      </w:r>
      <w:r w:rsidR="0070453D">
        <w:t>T</w:t>
      </w:r>
      <w:r w:rsidRPr="00C759A0">
        <w:t>herefore</w:t>
      </w:r>
      <w:r w:rsidR="006A75D6">
        <w:t>,</w:t>
      </w:r>
      <w:r w:rsidRPr="00C759A0">
        <w:t xml:space="preserve"> an adjustment to reduce the operating expenses of purchased power and chemicals should be made.</w:t>
      </w:r>
    </w:p>
    <w:p w14:paraId="04A97878" w14:textId="579C9D8B" w:rsidR="00144C53" w:rsidRDefault="00144C53">
      <w:pPr>
        <w:pStyle w:val="IssueHeading"/>
        <w:rPr>
          <w:vanish/>
          <w:specVanish/>
        </w:rPr>
      </w:pPr>
      <w:r w:rsidRPr="004C3641">
        <w:rPr>
          <w:b w:val="0"/>
          <w:i w:val="0"/>
        </w:rPr>
        <w:br w:type="page"/>
      </w:r>
      <w:r w:rsidRPr="004C3641">
        <w:t xml:space="preserve">Issue </w:t>
      </w:r>
      <w:fldSimple w:instr=" SEQ Issue \* MERGEFORMAT ">
        <w:r w:rsidR="004A4C46">
          <w:rPr>
            <w:noProof/>
          </w:rPr>
          <w:t>4</w:t>
        </w:r>
      </w:fldSimple>
      <w:r w:rsidRPr="004C3641">
        <w:t>:</w:t>
      </w:r>
      <w:r>
        <w:fldChar w:fldCharType="begin"/>
      </w:r>
      <w:r>
        <w:instrText xml:space="preserve"> TC "</w:instrText>
      </w:r>
      <w:r>
        <w:fldChar w:fldCharType="begin"/>
      </w:r>
      <w:r>
        <w:instrText xml:space="preserve"> SEQ issue \c </w:instrText>
      </w:r>
      <w:r>
        <w:fldChar w:fldCharType="separate"/>
      </w:r>
      <w:bookmarkStart w:id="19" w:name="_Toc225411881"/>
      <w:r w:rsidR="004A4C46">
        <w:rPr>
          <w:noProof/>
        </w:rPr>
        <w:instrText>4</w:instrText>
      </w:r>
      <w:r>
        <w:fldChar w:fldCharType="end"/>
      </w:r>
      <w:r>
        <w:tab/>
        <w:instrText>Average Test Year Rate Base</w:instrText>
      </w:r>
      <w:bookmarkEnd w:id="19"/>
      <w:r>
        <w:instrText xml:space="preserve">" \l 1 </w:instrText>
      </w:r>
      <w:r>
        <w:fldChar w:fldCharType="end"/>
      </w:r>
      <w:r>
        <w:t> </w:t>
      </w:r>
    </w:p>
    <w:p w14:paraId="747F58F9" w14:textId="77777777" w:rsidR="00144C53" w:rsidRDefault="00144C53">
      <w:pPr>
        <w:pStyle w:val="BodyText"/>
      </w:pPr>
      <w:r>
        <w:t xml:space="preserve"> What is the appropriate average test year rate base for </w:t>
      </w:r>
      <w:r w:rsidR="00F304E8">
        <w:t>Citrus Waterworks, Inc.</w:t>
      </w:r>
      <w:r>
        <w:t>?</w:t>
      </w:r>
    </w:p>
    <w:p w14:paraId="5485504D" w14:textId="77777777" w:rsidR="00144C53" w:rsidRPr="004C3641" w:rsidRDefault="00144C53">
      <w:pPr>
        <w:pStyle w:val="IssueSubsectionHeading"/>
        <w:rPr>
          <w:vanish/>
          <w:specVanish/>
        </w:rPr>
      </w:pPr>
      <w:r w:rsidRPr="004C3641">
        <w:t>Recommendation: </w:t>
      </w:r>
    </w:p>
    <w:p w14:paraId="19667FF4" w14:textId="77777777" w:rsidR="00144C53" w:rsidRDefault="00144C53">
      <w:pPr>
        <w:pStyle w:val="BodyText"/>
      </w:pPr>
      <w:r>
        <w:t> </w:t>
      </w:r>
      <w:r w:rsidR="00F304E8">
        <w:t>The appropriate average test year rate base for Citrus Waterworks, Inc. is $</w:t>
      </w:r>
      <w:r w:rsidR="006D5FAE">
        <w:t>90,147</w:t>
      </w:r>
      <w:r w:rsidR="00F304E8">
        <w:t>.</w:t>
      </w:r>
      <w:r>
        <w:t xml:space="preserve"> (Lenberg)</w:t>
      </w:r>
    </w:p>
    <w:p w14:paraId="0C476F49" w14:textId="77777777" w:rsidR="00144C53" w:rsidRPr="004C3641" w:rsidRDefault="00144C53">
      <w:pPr>
        <w:pStyle w:val="IssueSubsectionHeading"/>
        <w:rPr>
          <w:vanish/>
          <w:specVanish/>
        </w:rPr>
      </w:pPr>
      <w:r w:rsidRPr="004C3641">
        <w:t>Staff Analysis: </w:t>
      </w:r>
    </w:p>
    <w:p w14:paraId="2B850D7A" w14:textId="4DFADEF2" w:rsidR="00144C53" w:rsidRDefault="00144C53">
      <w:pPr>
        <w:pStyle w:val="BodyText"/>
      </w:pPr>
      <w:r>
        <w:t> </w:t>
      </w:r>
      <w:r w:rsidR="00F304E8">
        <w:t xml:space="preserve">The appropriate components of the Utility’s rate base include utility plant in service (UPIS), land and land rights, accumulated depreciation, contributions-in-aid of construction (CIAC), accumulated amortization of CIAC, and working capital. Staff selected the test year ended December 31, 2024, for the </w:t>
      </w:r>
      <w:r w:rsidR="006A75D6">
        <w:t xml:space="preserve">current </w:t>
      </w:r>
      <w:r w:rsidR="00F304E8">
        <w:t>rate case. Commission audit staff determined that the Utility’s books and records are in compliance with the National Association of Regulatory Utility Commissioners’ Uniform System of Accounts (NARUC USOA). A summary of each component and the recommended adjustments are discussed below.</w:t>
      </w:r>
    </w:p>
    <w:p w14:paraId="2A62BF83" w14:textId="77777777" w:rsidR="00F304E8" w:rsidRPr="00851F3F" w:rsidRDefault="00F304E8" w:rsidP="00F304E8">
      <w:pPr>
        <w:rPr>
          <w:rFonts w:ascii="Arial" w:eastAsiaTheme="minorHAnsi" w:hAnsi="Arial" w:cs="Arial"/>
          <w:b/>
          <w:szCs w:val="22"/>
        </w:rPr>
      </w:pPr>
      <w:r w:rsidRPr="00851F3F">
        <w:rPr>
          <w:rFonts w:ascii="Arial" w:eastAsiaTheme="minorHAnsi" w:hAnsi="Arial" w:cs="Arial"/>
          <w:b/>
          <w:szCs w:val="22"/>
        </w:rPr>
        <w:t>Utility Plant in Service</w:t>
      </w:r>
    </w:p>
    <w:p w14:paraId="2959D54A" w14:textId="097F3C6C" w:rsidR="00F304E8" w:rsidRDefault="00F304E8" w:rsidP="00F304E8">
      <w:pPr>
        <w:spacing w:after="200"/>
        <w:jc w:val="both"/>
        <w:rPr>
          <w:rFonts w:eastAsiaTheme="minorHAnsi" w:cstheme="minorBidi"/>
          <w:szCs w:val="22"/>
        </w:rPr>
      </w:pPr>
      <w:r w:rsidRPr="00851F3F">
        <w:rPr>
          <w:rFonts w:eastAsiaTheme="minorHAnsi" w:cstheme="minorBidi"/>
          <w:szCs w:val="22"/>
        </w:rPr>
        <w:t xml:space="preserve">The Utility recorded UPIS of $151,811. Audit staff </w:t>
      </w:r>
      <w:r w:rsidR="00EA141F">
        <w:rPr>
          <w:rFonts w:eastAsiaTheme="minorHAnsi" w:cstheme="minorBidi"/>
          <w:szCs w:val="22"/>
        </w:rPr>
        <w:t>decreased</w:t>
      </w:r>
      <w:r w:rsidRPr="00851F3F">
        <w:rPr>
          <w:rFonts w:eastAsiaTheme="minorHAnsi" w:cstheme="minorBidi"/>
          <w:szCs w:val="22"/>
        </w:rPr>
        <w:t xml:space="preserve"> this amount by $15,744 to reflect UPIS reductions approved by the </w:t>
      </w:r>
      <w:r w:rsidR="007D03BF">
        <w:rPr>
          <w:rFonts w:eastAsiaTheme="minorHAnsi" w:cstheme="minorBidi"/>
          <w:szCs w:val="22"/>
        </w:rPr>
        <w:t>CCWWA</w:t>
      </w:r>
      <w:r w:rsidRPr="00851F3F">
        <w:rPr>
          <w:rFonts w:eastAsiaTheme="minorHAnsi" w:cstheme="minorBidi"/>
          <w:szCs w:val="22"/>
        </w:rPr>
        <w:t xml:space="preserve"> in Final Order No. 24-02 that were not reflected in the Utility’s general ledger</w:t>
      </w:r>
      <w:r>
        <w:rPr>
          <w:rFonts w:eastAsiaTheme="minorHAnsi" w:cstheme="minorBidi"/>
          <w:szCs w:val="22"/>
        </w:rPr>
        <w:t>.</w:t>
      </w:r>
      <w:r w:rsidRPr="00851F3F">
        <w:rPr>
          <w:rFonts w:eastAsiaTheme="minorHAnsi" w:cstheme="minorBidi"/>
          <w:szCs w:val="22"/>
        </w:rPr>
        <w:t xml:space="preserve"> Audit staff </w:t>
      </w:r>
      <w:r>
        <w:rPr>
          <w:rFonts w:eastAsiaTheme="minorHAnsi" w:cstheme="minorBidi"/>
          <w:szCs w:val="22"/>
        </w:rPr>
        <w:t xml:space="preserve">also </w:t>
      </w:r>
      <w:r w:rsidRPr="00851F3F">
        <w:rPr>
          <w:rFonts w:eastAsiaTheme="minorHAnsi" w:cstheme="minorBidi"/>
          <w:szCs w:val="22"/>
        </w:rPr>
        <w:t>made a reduction of $216 to remove two additions that were unsupported</w:t>
      </w:r>
      <w:r>
        <w:rPr>
          <w:rFonts w:eastAsiaTheme="minorHAnsi" w:cstheme="minorBidi"/>
          <w:szCs w:val="22"/>
        </w:rPr>
        <w:t xml:space="preserve"> by the Utility. In a letter from Citrus, the Utility requested a pro forma addition to cover the cost of 43 meter replacements</w:t>
      </w:r>
      <w:r w:rsidR="005A3E06">
        <w:rPr>
          <w:rStyle w:val="FootnoteReference"/>
          <w:rFonts w:eastAsiaTheme="minorHAnsi" w:cstheme="minorBidi"/>
          <w:szCs w:val="22"/>
        </w:rPr>
        <w:footnoteReference w:id="6"/>
      </w:r>
      <w:r>
        <w:rPr>
          <w:rFonts w:eastAsiaTheme="minorHAnsi" w:cstheme="minorBidi"/>
          <w:szCs w:val="22"/>
        </w:rPr>
        <w:t>. Staff increased UPIS by $6,</w:t>
      </w:r>
      <w:r w:rsidR="00626F31">
        <w:rPr>
          <w:rFonts w:eastAsiaTheme="minorHAnsi" w:cstheme="minorBidi"/>
          <w:szCs w:val="22"/>
        </w:rPr>
        <w:t>8</w:t>
      </w:r>
      <w:r>
        <w:rPr>
          <w:rFonts w:eastAsiaTheme="minorHAnsi" w:cstheme="minorBidi"/>
          <w:szCs w:val="22"/>
        </w:rPr>
        <w:t>33 to reflect pro forma place addition</w:t>
      </w:r>
      <w:r w:rsidR="0070453D">
        <w:rPr>
          <w:rFonts w:eastAsiaTheme="minorHAnsi" w:cstheme="minorBidi"/>
          <w:szCs w:val="22"/>
        </w:rPr>
        <w:t>s</w:t>
      </w:r>
      <w:r>
        <w:rPr>
          <w:rFonts w:eastAsiaTheme="minorHAnsi" w:cstheme="minorBidi"/>
          <w:szCs w:val="22"/>
        </w:rPr>
        <w:t>; this amount is offset by retirements of $5,125. Additionally, staff decreased this amount by $956</w:t>
      </w:r>
      <w:r w:rsidRPr="00851F3F">
        <w:rPr>
          <w:rFonts w:eastAsiaTheme="minorHAnsi" w:cstheme="minorBidi"/>
          <w:szCs w:val="22"/>
        </w:rPr>
        <w:t xml:space="preserve"> to reflect an averaging adjustment. Staff’s adjustments to UPIS result in a decrease </w:t>
      </w:r>
      <w:r>
        <w:rPr>
          <w:rFonts w:eastAsiaTheme="minorHAnsi" w:cstheme="minorBidi"/>
          <w:szCs w:val="22"/>
        </w:rPr>
        <w:t>of $15,209</w:t>
      </w:r>
      <w:r w:rsidRPr="00851F3F">
        <w:rPr>
          <w:rFonts w:eastAsiaTheme="minorHAnsi" w:cstheme="minorBidi"/>
          <w:szCs w:val="22"/>
        </w:rPr>
        <w:t>. Therefore, staff</w:t>
      </w:r>
      <w:r>
        <w:rPr>
          <w:rFonts w:eastAsiaTheme="minorHAnsi" w:cstheme="minorBidi"/>
          <w:szCs w:val="22"/>
        </w:rPr>
        <w:t xml:space="preserve"> recommends a UPIS of $13</w:t>
      </w:r>
      <w:r w:rsidR="000E1ED5">
        <w:rPr>
          <w:rFonts w:eastAsiaTheme="minorHAnsi" w:cstheme="minorBidi"/>
          <w:szCs w:val="22"/>
        </w:rPr>
        <w:t>6</w:t>
      </w:r>
      <w:r>
        <w:rPr>
          <w:rFonts w:eastAsiaTheme="minorHAnsi" w:cstheme="minorBidi"/>
          <w:szCs w:val="22"/>
        </w:rPr>
        <w:t>,602</w:t>
      </w:r>
      <w:r w:rsidRPr="00851F3F">
        <w:rPr>
          <w:rFonts w:eastAsiaTheme="minorHAnsi" w:cstheme="minorBidi"/>
          <w:szCs w:val="22"/>
        </w:rPr>
        <w:t>.</w:t>
      </w:r>
      <w:r>
        <w:rPr>
          <w:rFonts w:eastAsiaTheme="minorHAnsi" w:cstheme="minorBidi"/>
          <w:szCs w:val="22"/>
        </w:rPr>
        <w:t xml:space="preserve"> </w:t>
      </w:r>
    </w:p>
    <w:p w14:paraId="76584368" w14:textId="77777777" w:rsidR="0022239B" w:rsidRPr="0022239B" w:rsidRDefault="0022239B" w:rsidP="0022239B">
      <w:pPr>
        <w:jc w:val="both"/>
        <w:outlineLvl w:val="2"/>
        <w:rPr>
          <w:rFonts w:ascii="Arial" w:hAnsi="Arial" w:cs="Arial"/>
          <w:b/>
          <w:bCs/>
          <w:iCs/>
          <w:szCs w:val="28"/>
        </w:rPr>
      </w:pPr>
      <w:r w:rsidRPr="0022239B">
        <w:rPr>
          <w:rFonts w:ascii="Arial" w:hAnsi="Arial" w:cs="Arial"/>
          <w:b/>
          <w:bCs/>
          <w:iCs/>
          <w:szCs w:val="28"/>
        </w:rPr>
        <w:t>Pro Forma Plant Additions</w:t>
      </w:r>
    </w:p>
    <w:p w14:paraId="331EF095" w14:textId="40D4F87C" w:rsidR="0022239B" w:rsidRPr="0022239B" w:rsidRDefault="0022239B" w:rsidP="00223794">
      <w:pPr>
        <w:spacing w:after="240"/>
        <w:jc w:val="both"/>
      </w:pPr>
      <w:r w:rsidRPr="0022239B">
        <w:t>Citrus is requesting recovery of costs to replace 43 residential meters. While the Utility serves 154 customers, Citrus stated that it had replaced 94 meters since 2021 and is requesting recovery of 43 additional meters.</w:t>
      </w:r>
      <w:r w:rsidRPr="0022239B">
        <w:rPr>
          <w:vertAlign w:val="superscript"/>
        </w:rPr>
        <w:footnoteReference w:id="7"/>
      </w:r>
      <w:r w:rsidRPr="0022239B">
        <w:t xml:space="preserve"> The Utility stated that these 43 meters were replaced during the first five months of 2025.  Citrus explained that meters are typically replaced once they have reached the end of their expected service life, registered a certain amount of water, or are not operating properly.</w:t>
      </w:r>
      <w:r w:rsidRPr="0022239B">
        <w:rPr>
          <w:vertAlign w:val="superscript"/>
        </w:rPr>
        <w:footnoteReference w:id="8"/>
      </w:r>
      <w:r w:rsidRPr="0022239B">
        <w:t xml:space="preserve"> Citrus’ reasoning behind the meter replacements is to address the high EUW experienced by the Utility and reduce lost revenue. When meters get older they register slow and eventually become inoperable which causes customer’s bills to not reflect the actual water used. This in turn lowers the amount of revenue received by the </w:t>
      </w:r>
      <w:r w:rsidR="00626F31">
        <w:t>Utility</w:t>
      </w:r>
      <w:r w:rsidRPr="0022239B">
        <w:t>. Further, unaccounted for water will also be reduced since the new meters are now accurately recording actual water usage.</w:t>
      </w:r>
    </w:p>
    <w:p w14:paraId="45004B16" w14:textId="77777777" w:rsidR="0022239B" w:rsidRPr="0022239B" w:rsidRDefault="0022239B" w:rsidP="0022239B">
      <w:pPr>
        <w:spacing w:after="200"/>
        <w:jc w:val="both"/>
      </w:pPr>
      <w:r w:rsidRPr="0022239B">
        <w:t>Citrus also provided invoices totaling to $6,833, which is $159 per meter, including installation.</w:t>
      </w:r>
      <w:r w:rsidRPr="0022239B">
        <w:rPr>
          <w:vertAlign w:val="superscript"/>
        </w:rPr>
        <w:footnoteReference w:id="9"/>
      </w:r>
      <w:r w:rsidRPr="0022239B">
        <w:t xml:space="preserve"> The Utility stated it has a service contract with U.S. Water Services Corporation (USWSC), the operator of the facility, which includes a provision for meter replacements. Staff believes the cost per meter of $159 is reasonable based on previous Commission-approved meter replacements which have ranged from approximately $103 to $206.</w:t>
      </w:r>
      <w:r w:rsidRPr="0022239B">
        <w:rPr>
          <w:vertAlign w:val="superscript"/>
        </w:rPr>
        <w:footnoteReference w:id="10"/>
      </w:r>
      <w:r w:rsidRPr="0022239B">
        <w:t xml:space="preserve"> Based on the above, staff believes this project is reasonable and recommends appr</w:t>
      </w:r>
      <w:r>
        <w:t>oval of this pro forma expense.</w:t>
      </w:r>
    </w:p>
    <w:p w14:paraId="374D655B" w14:textId="77777777" w:rsidR="00F304E8" w:rsidRPr="0074597E" w:rsidRDefault="00F304E8" w:rsidP="00F304E8">
      <w:pPr>
        <w:rPr>
          <w:rFonts w:ascii="Arial" w:eastAsiaTheme="minorHAnsi" w:hAnsi="Arial" w:cs="Arial"/>
          <w:b/>
          <w:szCs w:val="22"/>
        </w:rPr>
      </w:pPr>
      <w:r w:rsidRPr="0074597E">
        <w:rPr>
          <w:rFonts w:ascii="Arial" w:eastAsiaTheme="minorHAnsi" w:hAnsi="Arial" w:cs="Arial"/>
          <w:b/>
          <w:szCs w:val="22"/>
        </w:rPr>
        <w:t>Land and Land Rights</w:t>
      </w:r>
    </w:p>
    <w:p w14:paraId="2F363026" w14:textId="78FF5E89" w:rsidR="00F304E8" w:rsidRPr="007D6FF9" w:rsidRDefault="00F304E8" w:rsidP="00F304E8">
      <w:pPr>
        <w:spacing w:after="200"/>
        <w:jc w:val="both"/>
        <w:rPr>
          <w:rFonts w:eastAsiaTheme="minorHAnsi" w:cstheme="minorBidi"/>
          <w:szCs w:val="22"/>
        </w:rPr>
      </w:pPr>
      <w:r w:rsidRPr="0074597E">
        <w:rPr>
          <w:rFonts w:eastAsiaTheme="minorHAnsi" w:cstheme="minorBidi"/>
          <w:szCs w:val="22"/>
        </w:rPr>
        <w:t>The Utility recorded a test year lan</w:t>
      </w:r>
      <w:r>
        <w:rPr>
          <w:rFonts w:eastAsiaTheme="minorHAnsi" w:cstheme="minorBidi"/>
          <w:szCs w:val="22"/>
        </w:rPr>
        <w:t>d and land rights balance of $2,975</w:t>
      </w:r>
      <w:r w:rsidRPr="0074597E">
        <w:rPr>
          <w:rFonts w:eastAsiaTheme="minorHAnsi" w:cstheme="minorBidi"/>
          <w:szCs w:val="22"/>
        </w:rPr>
        <w:t>. Staff did not make any adjustments to this account and</w:t>
      </w:r>
      <w:r w:rsidR="00281428">
        <w:rPr>
          <w:rFonts w:eastAsiaTheme="minorHAnsi" w:cstheme="minorBidi"/>
          <w:szCs w:val="22"/>
        </w:rPr>
        <w:t>,</w:t>
      </w:r>
      <w:r w:rsidRPr="0074597E">
        <w:rPr>
          <w:rFonts w:eastAsiaTheme="minorHAnsi" w:cstheme="minorBidi"/>
          <w:szCs w:val="22"/>
        </w:rPr>
        <w:t xml:space="preserve"> therefore</w:t>
      </w:r>
      <w:r w:rsidR="00281428">
        <w:rPr>
          <w:rFonts w:eastAsiaTheme="minorHAnsi" w:cstheme="minorBidi"/>
          <w:szCs w:val="22"/>
        </w:rPr>
        <w:t>,</w:t>
      </w:r>
      <w:r w:rsidRPr="0074597E">
        <w:rPr>
          <w:rFonts w:eastAsiaTheme="minorHAnsi" w:cstheme="minorBidi"/>
          <w:szCs w:val="22"/>
        </w:rPr>
        <w:t xml:space="preserve"> recommends a land and land rights balance</w:t>
      </w:r>
      <w:r>
        <w:rPr>
          <w:rFonts w:eastAsiaTheme="minorHAnsi" w:cstheme="minorBidi"/>
          <w:szCs w:val="22"/>
        </w:rPr>
        <w:t xml:space="preserve"> of $2,975</w:t>
      </w:r>
      <w:r w:rsidRPr="0074597E">
        <w:rPr>
          <w:rFonts w:eastAsiaTheme="minorHAnsi" w:cstheme="minorBidi"/>
          <w:szCs w:val="22"/>
        </w:rPr>
        <w:t>.</w:t>
      </w:r>
    </w:p>
    <w:p w14:paraId="4CE1DE59" w14:textId="77777777" w:rsidR="00F304E8" w:rsidRDefault="00F304E8" w:rsidP="00F304E8">
      <w:pPr>
        <w:pStyle w:val="First-LevelSubheading"/>
      </w:pPr>
      <w:r>
        <w:t>Used and Useful</w:t>
      </w:r>
    </w:p>
    <w:p w14:paraId="101BCD2F" w14:textId="77777777" w:rsidR="00F304E8" w:rsidRDefault="00F304E8" w:rsidP="00F304E8">
      <w:pPr>
        <w:pStyle w:val="BodyText"/>
      </w:pPr>
      <w:r>
        <w:t>As discussed in Issue 3, the Utility’s system is considered 100 percent U&amp;U. Therefore, no U&amp;U adjustment is necessary.</w:t>
      </w:r>
    </w:p>
    <w:p w14:paraId="159B372E" w14:textId="77777777" w:rsidR="00F304E8" w:rsidRPr="00851F3F" w:rsidRDefault="00F304E8" w:rsidP="00F304E8">
      <w:pPr>
        <w:pStyle w:val="First-LevelSubheading"/>
      </w:pPr>
      <w:r w:rsidRPr="00851F3F">
        <w:t>Accumulated Depreciation</w:t>
      </w:r>
    </w:p>
    <w:p w14:paraId="7EA08E8A" w14:textId="07D4A9F5" w:rsidR="00144C53" w:rsidRDefault="00F304E8" w:rsidP="00F304E8">
      <w:pPr>
        <w:pStyle w:val="BodyText"/>
      </w:pPr>
      <w:r w:rsidRPr="00851F3F">
        <w:rPr>
          <w:rFonts w:eastAsiaTheme="minorHAnsi" w:cstheme="minorBidi"/>
          <w:szCs w:val="22"/>
        </w:rPr>
        <w:t xml:space="preserve">The Utility recorded accumulated depreciation of $57,783. Audit staff </w:t>
      </w:r>
      <w:r w:rsidR="00EA141F">
        <w:rPr>
          <w:rFonts w:eastAsiaTheme="minorHAnsi" w:cstheme="minorBidi"/>
          <w:szCs w:val="22"/>
        </w:rPr>
        <w:t>decreased</w:t>
      </w:r>
      <w:r w:rsidRPr="00851F3F">
        <w:rPr>
          <w:rFonts w:eastAsiaTheme="minorHAnsi" w:cstheme="minorBidi"/>
          <w:szCs w:val="22"/>
        </w:rPr>
        <w:t xml:space="preserve"> this amount by $</w:t>
      </w:r>
      <w:r w:rsidR="006D5FAE">
        <w:rPr>
          <w:rFonts w:eastAsiaTheme="minorHAnsi" w:cstheme="minorBidi"/>
          <w:szCs w:val="22"/>
        </w:rPr>
        <w:t>3,679</w:t>
      </w:r>
      <w:r w:rsidRPr="00851F3F">
        <w:rPr>
          <w:rFonts w:eastAsiaTheme="minorHAnsi" w:cstheme="minorBidi"/>
          <w:szCs w:val="22"/>
        </w:rPr>
        <w:t xml:space="preserve"> to reflect the balance approved by the </w:t>
      </w:r>
      <w:r w:rsidR="00281428">
        <w:rPr>
          <w:rFonts w:eastAsiaTheme="minorHAnsi" w:cstheme="minorBidi"/>
          <w:szCs w:val="22"/>
        </w:rPr>
        <w:t>CCWA</w:t>
      </w:r>
      <w:r w:rsidRPr="00851F3F">
        <w:rPr>
          <w:rFonts w:eastAsiaTheme="minorHAnsi" w:cstheme="minorBidi"/>
          <w:szCs w:val="22"/>
        </w:rPr>
        <w:t xml:space="preserve"> in Final Order No. 24-02, and recalculated the balance using depreciation rates establ</w:t>
      </w:r>
      <w:r>
        <w:rPr>
          <w:rFonts w:eastAsiaTheme="minorHAnsi" w:cstheme="minorBidi"/>
          <w:szCs w:val="22"/>
        </w:rPr>
        <w:t xml:space="preserve">ished by Rule 25-30.140, F.A.C. Staff further </w:t>
      </w:r>
      <w:r w:rsidR="00EA141F">
        <w:rPr>
          <w:rFonts w:eastAsiaTheme="minorHAnsi" w:cstheme="minorBidi"/>
          <w:szCs w:val="22"/>
        </w:rPr>
        <w:t>decreased</w:t>
      </w:r>
      <w:r>
        <w:rPr>
          <w:rFonts w:eastAsiaTheme="minorHAnsi" w:cstheme="minorBidi"/>
          <w:szCs w:val="22"/>
        </w:rPr>
        <w:t xml:space="preserve"> accumulated depreciation by $5,024 due to pro forma additions and retirements. </w:t>
      </w:r>
      <w:r w:rsidRPr="00851F3F">
        <w:rPr>
          <w:rFonts w:eastAsiaTheme="minorHAnsi" w:cstheme="minorBidi"/>
          <w:szCs w:val="22"/>
        </w:rPr>
        <w:t>Additionally, s</w:t>
      </w:r>
      <w:r>
        <w:rPr>
          <w:rFonts w:eastAsiaTheme="minorHAnsi" w:cstheme="minorBidi"/>
          <w:szCs w:val="22"/>
        </w:rPr>
        <w:t xml:space="preserve">taff </w:t>
      </w:r>
      <w:r w:rsidR="00EA141F">
        <w:rPr>
          <w:rFonts w:eastAsiaTheme="minorHAnsi" w:cstheme="minorBidi"/>
          <w:szCs w:val="22"/>
        </w:rPr>
        <w:t>decreased</w:t>
      </w:r>
      <w:r>
        <w:rPr>
          <w:rFonts w:eastAsiaTheme="minorHAnsi" w:cstheme="minorBidi"/>
          <w:szCs w:val="22"/>
        </w:rPr>
        <w:t xml:space="preserve"> this amount by $2,037</w:t>
      </w:r>
      <w:r w:rsidRPr="00851F3F">
        <w:rPr>
          <w:rFonts w:eastAsiaTheme="minorHAnsi" w:cstheme="minorBidi"/>
          <w:szCs w:val="22"/>
        </w:rPr>
        <w:t xml:space="preserve"> to reflect an averaging adjustment. Staff’s adjustments to accumulated depreciation</w:t>
      </w:r>
      <w:r>
        <w:rPr>
          <w:rFonts w:eastAsiaTheme="minorHAnsi" w:cstheme="minorBidi"/>
          <w:szCs w:val="22"/>
        </w:rPr>
        <w:t xml:space="preserve"> results in a decrease of $10,740</w:t>
      </w:r>
      <w:r w:rsidRPr="00851F3F">
        <w:rPr>
          <w:rFonts w:eastAsiaTheme="minorHAnsi" w:cstheme="minorBidi"/>
          <w:szCs w:val="22"/>
        </w:rPr>
        <w:t>. Therefore, staff recommends an average accumulated</w:t>
      </w:r>
      <w:r>
        <w:rPr>
          <w:rFonts w:eastAsiaTheme="minorHAnsi" w:cstheme="minorBidi"/>
          <w:szCs w:val="22"/>
        </w:rPr>
        <w:t xml:space="preserve"> depreciation balance of $47,043</w:t>
      </w:r>
      <w:r w:rsidRPr="00851F3F">
        <w:rPr>
          <w:rFonts w:eastAsiaTheme="minorHAnsi" w:cstheme="minorBidi"/>
          <w:szCs w:val="22"/>
        </w:rPr>
        <w:t>.</w:t>
      </w:r>
    </w:p>
    <w:p w14:paraId="70893220" w14:textId="77777777" w:rsidR="00F304E8" w:rsidRPr="0074597E" w:rsidRDefault="00F304E8" w:rsidP="00F304E8">
      <w:pPr>
        <w:rPr>
          <w:rFonts w:ascii="Arial" w:eastAsiaTheme="minorHAnsi" w:hAnsi="Arial" w:cs="Arial"/>
          <w:b/>
          <w:szCs w:val="22"/>
        </w:rPr>
      </w:pPr>
      <w:r w:rsidRPr="0074597E">
        <w:rPr>
          <w:rFonts w:ascii="Arial" w:eastAsiaTheme="minorHAnsi" w:hAnsi="Arial" w:cs="Arial"/>
          <w:b/>
          <w:szCs w:val="22"/>
        </w:rPr>
        <w:t>Contributions</w:t>
      </w:r>
      <w:r>
        <w:rPr>
          <w:rFonts w:ascii="Arial" w:eastAsiaTheme="minorHAnsi" w:hAnsi="Arial" w:cs="Arial"/>
          <w:b/>
          <w:szCs w:val="22"/>
        </w:rPr>
        <w:t xml:space="preserve"> I</w:t>
      </w:r>
      <w:r w:rsidRPr="0074597E">
        <w:rPr>
          <w:rFonts w:ascii="Arial" w:eastAsiaTheme="minorHAnsi" w:hAnsi="Arial" w:cs="Arial"/>
          <w:b/>
          <w:szCs w:val="22"/>
        </w:rPr>
        <w:t>n</w:t>
      </w:r>
      <w:r>
        <w:rPr>
          <w:rFonts w:ascii="Arial" w:eastAsiaTheme="minorHAnsi" w:hAnsi="Arial" w:cs="Arial"/>
          <w:b/>
          <w:szCs w:val="22"/>
        </w:rPr>
        <w:t xml:space="preserve"> A</w:t>
      </w:r>
      <w:r w:rsidRPr="0074597E">
        <w:rPr>
          <w:rFonts w:ascii="Arial" w:eastAsiaTheme="minorHAnsi" w:hAnsi="Arial" w:cs="Arial"/>
          <w:b/>
          <w:szCs w:val="22"/>
        </w:rPr>
        <w:t>id of Construction</w:t>
      </w:r>
    </w:p>
    <w:p w14:paraId="5A54E857" w14:textId="3D984993" w:rsidR="006D5FAE" w:rsidRPr="005209D9" w:rsidRDefault="00F304E8" w:rsidP="00F304E8">
      <w:pPr>
        <w:spacing w:after="200"/>
        <w:jc w:val="both"/>
        <w:rPr>
          <w:rFonts w:eastAsiaTheme="minorHAnsi" w:cstheme="minorBidi"/>
          <w:szCs w:val="22"/>
        </w:rPr>
      </w:pPr>
      <w:r>
        <w:rPr>
          <w:rFonts w:eastAsiaTheme="minorHAnsi" w:cstheme="minorBidi"/>
          <w:szCs w:val="22"/>
        </w:rPr>
        <w:t>The Utility recorded CIAC of $25</w:t>
      </w:r>
      <w:r w:rsidRPr="0074597E">
        <w:rPr>
          <w:rFonts w:eastAsiaTheme="minorHAnsi" w:cstheme="minorBidi"/>
          <w:szCs w:val="22"/>
        </w:rPr>
        <w:t>,</w:t>
      </w:r>
      <w:r>
        <w:rPr>
          <w:rFonts w:eastAsiaTheme="minorHAnsi" w:cstheme="minorBidi"/>
          <w:szCs w:val="22"/>
        </w:rPr>
        <w:t>178</w:t>
      </w:r>
      <w:r w:rsidRPr="0074597E">
        <w:rPr>
          <w:rFonts w:eastAsiaTheme="minorHAnsi" w:cstheme="minorBidi"/>
          <w:szCs w:val="22"/>
        </w:rPr>
        <w:t xml:space="preserve">. Staff </w:t>
      </w:r>
      <w:r>
        <w:rPr>
          <w:rFonts w:eastAsiaTheme="minorHAnsi" w:cstheme="minorBidi"/>
          <w:szCs w:val="22"/>
        </w:rPr>
        <w:t xml:space="preserve">decreased this </w:t>
      </w:r>
      <w:r w:rsidR="003F06B1">
        <w:rPr>
          <w:rFonts w:eastAsiaTheme="minorHAnsi" w:cstheme="minorBidi"/>
          <w:szCs w:val="22"/>
        </w:rPr>
        <w:t>amount</w:t>
      </w:r>
      <w:r>
        <w:rPr>
          <w:rFonts w:eastAsiaTheme="minorHAnsi" w:cstheme="minorBidi"/>
          <w:szCs w:val="22"/>
        </w:rPr>
        <w:t xml:space="preserve"> by $433 to reflect an averaging adjustment</w:t>
      </w:r>
      <w:r w:rsidRPr="0074597E">
        <w:rPr>
          <w:rFonts w:eastAsiaTheme="minorHAnsi" w:cstheme="minorBidi"/>
          <w:szCs w:val="22"/>
        </w:rPr>
        <w:t xml:space="preserve"> and</w:t>
      </w:r>
      <w:r w:rsidR="00281428">
        <w:rPr>
          <w:rFonts w:eastAsiaTheme="minorHAnsi" w:cstheme="minorBidi"/>
          <w:szCs w:val="22"/>
        </w:rPr>
        <w:t>,</w:t>
      </w:r>
      <w:r w:rsidRPr="0074597E">
        <w:rPr>
          <w:rFonts w:eastAsiaTheme="minorHAnsi" w:cstheme="minorBidi"/>
          <w:szCs w:val="22"/>
        </w:rPr>
        <w:t xml:space="preserve"> therefore</w:t>
      </w:r>
      <w:r w:rsidR="00281428">
        <w:rPr>
          <w:rFonts w:eastAsiaTheme="minorHAnsi" w:cstheme="minorBidi"/>
          <w:szCs w:val="22"/>
        </w:rPr>
        <w:t>,</w:t>
      </w:r>
      <w:r w:rsidRPr="0074597E">
        <w:rPr>
          <w:rFonts w:eastAsiaTheme="minorHAnsi" w:cstheme="minorBidi"/>
          <w:szCs w:val="22"/>
        </w:rPr>
        <w:t xml:space="preserve"> recommends an average CIAC balance of $24,</w:t>
      </w:r>
      <w:r w:rsidR="00223794">
        <w:rPr>
          <w:rFonts w:eastAsiaTheme="minorHAnsi" w:cstheme="minorBidi"/>
          <w:szCs w:val="22"/>
        </w:rPr>
        <w:t>746.</w:t>
      </w:r>
    </w:p>
    <w:p w14:paraId="06622F0B" w14:textId="77777777" w:rsidR="00F304E8" w:rsidRPr="00851F3F" w:rsidRDefault="00F304E8" w:rsidP="00F304E8">
      <w:pPr>
        <w:rPr>
          <w:rFonts w:ascii="Arial" w:eastAsiaTheme="minorHAnsi" w:hAnsi="Arial" w:cs="Arial"/>
          <w:szCs w:val="22"/>
        </w:rPr>
      </w:pPr>
      <w:r w:rsidRPr="00851F3F">
        <w:rPr>
          <w:rFonts w:ascii="Arial" w:eastAsiaTheme="minorHAnsi" w:hAnsi="Arial" w:cs="Arial"/>
          <w:b/>
          <w:szCs w:val="22"/>
        </w:rPr>
        <w:t>Accumulated Amortization of CIAC</w:t>
      </w:r>
    </w:p>
    <w:p w14:paraId="7FB37FE0" w14:textId="5A2C1FB8" w:rsidR="00F304E8" w:rsidRPr="00FC516A" w:rsidRDefault="00F304E8" w:rsidP="00F304E8">
      <w:pPr>
        <w:pStyle w:val="BodyText"/>
        <w:rPr>
          <w:rFonts w:eastAsiaTheme="minorHAnsi" w:cstheme="minorBidi"/>
          <w:szCs w:val="22"/>
        </w:rPr>
      </w:pPr>
      <w:r w:rsidRPr="00851F3F">
        <w:rPr>
          <w:rFonts w:eastAsiaTheme="minorHAnsi" w:cstheme="minorBidi"/>
          <w:szCs w:val="22"/>
        </w:rPr>
        <w:t xml:space="preserve">The Utility recorded accumulated amortization of CIAC of $17,341. </w:t>
      </w:r>
      <w:r>
        <w:rPr>
          <w:rFonts w:eastAsiaTheme="minorHAnsi" w:cstheme="minorBidi"/>
          <w:szCs w:val="22"/>
        </w:rPr>
        <w:t>Audit staff recalculated this amount using a composite</w:t>
      </w:r>
      <w:r w:rsidR="00281428">
        <w:rPr>
          <w:rFonts w:eastAsiaTheme="minorHAnsi" w:cstheme="minorBidi"/>
          <w:szCs w:val="22"/>
        </w:rPr>
        <w:t>, which</w:t>
      </w:r>
      <w:r>
        <w:rPr>
          <w:rFonts w:eastAsiaTheme="minorHAnsi" w:cstheme="minorBidi"/>
          <w:szCs w:val="22"/>
        </w:rPr>
        <w:t xml:space="preserve"> result</w:t>
      </w:r>
      <w:r w:rsidR="00281428">
        <w:rPr>
          <w:rFonts w:eastAsiaTheme="minorHAnsi" w:cstheme="minorBidi"/>
          <w:szCs w:val="22"/>
        </w:rPr>
        <w:t>ed</w:t>
      </w:r>
      <w:r>
        <w:rPr>
          <w:rFonts w:eastAsiaTheme="minorHAnsi" w:cstheme="minorBidi"/>
          <w:szCs w:val="22"/>
        </w:rPr>
        <w:t xml:space="preserve"> in an increase of $41. </w:t>
      </w:r>
      <w:r w:rsidRPr="00851F3F">
        <w:rPr>
          <w:rFonts w:eastAsiaTheme="minorHAnsi" w:cstheme="minorBidi"/>
          <w:szCs w:val="22"/>
        </w:rPr>
        <w:t>Per Rule 25-30</w:t>
      </w:r>
      <w:r w:rsidR="00281428">
        <w:rPr>
          <w:rFonts w:eastAsiaTheme="minorHAnsi" w:cstheme="minorBidi"/>
          <w:szCs w:val="22"/>
        </w:rPr>
        <w:t>.</w:t>
      </w:r>
      <w:r w:rsidRPr="00851F3F">
        <w:rPr>
          <w:rFonts w:eastAsiaTheme="minorHAnsi" w:cstheme="minorBidi"/>
          <w:szCs w:val="22"/>
        </w:rPr>
        <w:t xml:space="preserve">140(9)(b), F.A.C., the specific depreciation rates of the related plant accounts should be used, </w:t>
      </w:r>
      <w:r w:rsidR="00281428">
        <w:rPr>
          <w:rFonts w:eastAsiaTheme="minorHAnsi" w:cstheme="minorBidi"/>
          <w:szCs w:val="22"/>
        </w:rPr>
        <w:t>with</w:t>
      </w:r>
      <w:r w:rsidRPr="00851F3F">
        <w:rPr>
          <w:rFonts w:eastAsiaTheme="minorHAnsi" w:cstheme="minorBidi"/>
          <w:szCs w:val="22"/>
        </w:rPr>
        <w:t xml:space="preserve"> the use of a composite rate </w:t>
      </w:r>
      <w:r w:rsidR="00281428">
        <w:rPr>
          <w:rFonts w:eastAsiaTheme="minorHAnsi" w:cstheme="minorBidi"/>
          <w:szCs w:val="22"/>
        </w:rPr>
        <w:t xml:space="preserve">reserved for instances </w:t>
      </w:r>
      <w:r w:rsidRPr="00851F3F">
        <w:rPr>
          <w:rFonts w:eastAsiaTheme="minorHAnsi" w:cstheme="minorBidi"/>
          <w:szCs w:val="22"/>
        </w:rPr>
        <w:t>when the specific associa</w:t>
      </w:r>
      <w:r>
        <w:rPr>
          <w:rFonts w:eastAsiaTheme="minorHAnsi" w:cstheme="minorBidi"/>
          <w:szCs w:val="22"/>
        </w:rPr>
        <w:t xml:space="preserve">ted plant accounts are unknown. </w:t>
      </w:r>
      <w:r w:rsidRPr="00851F3F">
        <w:rPr>
          <w:rFonts w:eastAsiaTheme="minorHAnsi" w:cstheme="minorBidi"/>
          <w:szCs w:val="22"/>
        </w:rPr>
        <w:t xml:space="preserve">Additionally, staff </w:t>
      </w:r>
      <w:r w:rsidR="00EA141F">
        <w:rPr>
          <w:rFonts w:eastAsiaTheme="minorHAnsi" w:cstheme="minorBidi"/>
          <w:szCs w:val="22"/>
        </w:rPr>
        <w:t>decreased</w:t>
      </w:r>
      <w:r w:rsidRPr="00851F3F">
        <w:rPr>
          <w:rFonts w:eastAsiaTheme="minorHAnsi" w:cstheme="minorBidi"/>
          <w:szCs w:val="22"/>
        </w:rPr>
        <w:t xml:space="preserve"> this </w:t>
      </w:r>
      <w:r w:rsidR="003F06B1">
        <w:rPr>
          <w:rFonts w:eastAsiaTheme="minorHAnsi" w:cstheme="minorBidi"/>
          <w:szCs w:val="22"/>
        </w:rPr>
        <w:t>amount</w:t>
      </w:r>
      <w:r w:rsidRPr="00851F3F">
        <w:rPr>
          <w:rFonts w:eastAsiaTheme="minorHAnsi" w:cstheme="minorBidi"/>
          <w:szCs w:val="22"/>
        </w:rPr>
        <w:t xml:space="preserve"> by $416 to reflect an averaging adjustment. Staff’s adjustments to accumulated CIAC result in a decrease of $375. Therefore, staff recommends an average accumulated amortization of CIAC balance of $16,966.</w:t>
      </w:r>
    </w:p>
    <w:p w14:paraId="243DAE23" w14:textId="77777777" w:rsidR="00F304E8" w:rsidRPr="0074597E" w:rsidRDefault="00F304E8" w:rsidP="00F304E8">
      <w:pPr>
        <w:rPr>
          <w:rFonts w:ascii="Arial" w:eastAsiaTheme="minorHAnsi" w:hAnsi="Arial" w:cs="Arial"/>
          <w:b/>
          <w:szCs w:val="22"/>
        </w:rPr>
      </w:pPr>
      <w:r w:rsidRPr="0074597E">
        <w:rPr>
          <w:rFonts w:ascii="Arial" w:eastAsiaTheme="minorHAnsi" w:hAnsi="Arial" w:cs="Arial"/>
          <w:b/>
          <w:szCs w:val="22"/>
        </w:rPr>
        <w:t>Working Capital Allowance</w:t>
      </w:r>
    </w:p>
    <w:p w14:paraId="6D4E2EA2" w14:textId="77777777" w:rsidR="00F304E8" w:rsidRDefault="00F304E8" w:rsidP="00F304E8">
      <w:pPr>
        <w:spacing w:after="200"/>
        <w:jc w:val="both"/>
        <w:rPr>
          <w:rFonts w:eastAsiaTheme="minorHAnsi" w:cstheme="minorBidi"/>
          <w:szCs w:val="22"/>
        </w:rPr>
      </w:pPr>
      <w:r w:rsidRPr="0074597E">
        <w:rPr>
          <w:rFonts w:eastAsiaTheme="minorHAnsi" w:cstheme="minorBidi"/>
          <w:szCs w:val="22"/>
        </w:rPr>
        <w:t>Working capital is defined as the short-term investor-supplied funds that are necessary to meet operating expenses. Consistent</w:t>
      </w:r>
      <w:r>
        <w:rPr>
          <w:rFonts w:eastAsiaTheme="minorHAnsi" w:cstheme="minorBidi"/>
          <w:szCs w:val="22"/>
        </w:rPr>
        <w:t xml:space="preserve"> with Rule 25-30.433(2), F.A.C., and Commission practice,</w:t>
      </w:r>
      <w:r w:rsidRPr="0074597E">
        <w:rPr>
          <w:rFonts w:eastAsiaTheme="minorHAnsi" w:cstheme="minorBidi"/>
          <w:szCs w:val="22"/>
        </w:rPr>
        <w:t xml:space="preserve"> staff used the one-eighth</w:t>
      </w:r>
      <w:r>
        <w:rPr>
          <w:rFonts w:eastAsiaTheme="minorHAnsi" w:cstheme="minorBidi"/>
          <w:szCs w:val="22"/>
        </w:rPr>
        <w:t xml:space="preserve"> of</w:t>
      </w:r>
      <w:r w:rsidRPr="0074597E">
        <w:rPr>
          <w:rFonts w:eastAsiaTheme="minorHAnsi" w:cstheme="minorBidi"/>
          <w:szCs w:val="22"/>
        </w:rPr>
        <w:t xml:space="preserve"> operation and maintenance (O&amp;M) expense (less rate case expense) formula for calculating</w:t>
      </w:r>
      <w:r>
        <w:rPr>
          <w:rFonts w:eastAsiaTheme="minorHAnsi" w:cstheme="minorBidi"/>
          <w:szCs w:val="22"/>
        </w:rPr>
        <w:t xml:space="preserve"> the working capital allowance.</w:t>
      </w:r>
      <w:r>
        <w:rPr>
          <w:rStyle w:val="FootnoteReference"/>
          <w:rFonts w:eastAsiaTheme="minorHAnsi" w:cstheme="minorBidi"/>
          <w:szCs w:val="22"/>
        </w:rPr>
        <w:footnoteReference w:id="11"/>
      </w:r>
      <w:r>
        <w:rPr>
          <w:rFonts w:eastAsiaTheme="minorHAnsi" w:cstheme="minorBidi"/>
          <w:szCs w:val="22"/>
        </w:rPr>
        <w:t xml:space="preserve"> As such, staff removed the rate case expense of $675. This resulted in an adjusted O&amp;M expense balance of $</w:t>
      </w:r>
      <w:r w:rsidR="006D5FAE">
        <w:rPr>
          <w:rFonts w:eastAsiaTheme="minorHAnsi" w:cstheme="minorBidi"/>
          <w:szCs w:val="22"/>
        </w:rPr>
        <w:t>43,137</w:t>
      </w:r>
      <w:r>
        <w:rPr>
          <w:rFonts w:eastAsiaTheme="minorHAnsi" w:cstheme="minorBidi"/>
          <w:szCs w:val="22"/>
        </w:rPr>
        <w:t>. Applying this formula, staff recommends a working capital allowance of $</w:t>
      </w:r>
      <w:r w:rsidR="006D5FAE">
        <w:rPr>
          <w:rFonts w:eastAsiaTheme="minorHAnsi" w:cstheme="minorBidi"/>
          <w:szCs w:val="22"/>
        </w:rPr>
        <w:t>5,392</w:t>
      </w:r>
      <w:r>
        <w:rPr>
          <w:rFonts w:eastAsiaTheme="minorHAnsi" w:cstheme="minorBidi"/>
          <w:szCs w:val="22"/>
        </w:rPr>
        <w:t>.</w:t>
      </w:r>
    </w:p>
    <w:p w14:paraId="6B5FE659" w14:textId="77777777" w:rsidR="00F304E8" w:rsidRPr="0074597E" w:rsidRDefault="00F304E8" w:rsidP="00F304E8">
      <w:pPr>
        <w:rPr>
          <w:rFonts w:ascii="Arial" w:eastAsiaTheme="minorHAnsi" w:hAnsi="Arial" w:cs="Arial"/>
          <w:b/>
          <w:szCs w:val="22"/>
        </w:rPr>
      </w:pPr>
      <w:r w:rsidRPr="0074597E">
        <w:rPr>
          <w:rFonts w:ascii="Arial" w:eastAsiaTheme="minorHAnsi" w:hAnsi="Arial" w:cs="Arial"/>
          <w:b/>
          <w:szCs w:val="22"/>
        </w:rPr>
        <w:t>Rate Base Summary</w:t>
      </w:r>
    </w:p>
    <w:p w14:paraId="5914DAF1" w14:textId="77777777" w:rsidR="00144C53" w:rsidRDefault="00F304E8" w:rsidP="00F304E8">
      <w:pPr>
        <w:pStyle w:val="BodyText"/>
      </w:pPr>
      <w:r w:rsidRPr="0074597E">
        <w:rPr>
          <w:rFonts w:eastAsiaTheme="minorHAnsi" w:cstheme="minorBidi"/>
          <w:szCs w:val="22"/>
        </w:rPr>
        <w:t>Based on the foregoing, staff recommends that the appropriate average</w:t>
      </w:r>
      <w:r>
        <w:rPr>
          <w:rFonts w:eastAsiaTheme="minorHAnsi" w:cstheme="minorBidi"/>
          <w:szCs w:val="22"/>
        </w:rPr>
        <w:t xml:space="preserve"> test year rate base is $</w:t>
      </w:r>
      <w:r w:rsidR="006D5FAE">
        <w:rPr>
          <w:rFonts w:eastAsiaTheme="minorHAnsi" w:cstheme="minorBidi"/>
          <w:szCs w:val="22"/>
        </w:rPr>
        <w:t>90,147</w:t>
      </w:r>
      <w:r w:rsidRPr="0074597E">
        <w:rPr>
          <w:rFonts w:eastAsiaTheme="minorHAnsi" w:cstheme="minorBidi"/>
          <w:szCs w:val="22"/>
        </w:rPr>
        <w:t>. Rate base is shown on Schedule No. 1-A. The related adjustments are shown on Schedule No. 1-B.</w:t>
      </w:r>
    </w:p>
    <w:p w14:paraId="10203E13" w14:textId="07E490F7" w:rsidR="00144C53" w:rsidRDefault="00144C53">
      <w:pPr>
        <w:pStyle w:val="IssueHeading"/>
        <w:rPr>
          <w:vanish/>
          <w:specVanish/>
        </w:rPr>
      </w:pPr>
      <w:r w:rsidRPr="004C3641">
        <w:rPr>
          <w:b w:val="0"/>
          <w:i w:val="0"/>
        </w:rPr>
        <w:br w:type="page"/>
      </w:r>
      <w:r w:rsidRPr="004C3641">
        <w:t xml:space="preserve">Issue </w:t>
      </w:r>
      <w:fldSimple w:instr=" SEQ Issue \* MERGEFORMAT ">
        <w:r w:rsidR="004A4C46">
          <w:rPr>
            <w:noProof/>
          </w:rPr>
          <w:t>5</w:t>
        </w:r>
      </w:fldSimple>
      <w:r w:rsidRPr="004C3641">
        <w:t>:</w:t>
      </w:r>
      <w:r>
        <w:fldChar w:fldCharType="begin"/>
      </w:r>
      <w:r>
        <w:instrText xml:space="preserve"> TC "</w:instrText>
      </w:r>
      <w:r>
        <w:fldChar w:fldCharType="begin"/>
      </w:r>
      <w:r>
        <w:instrText xml:space="preserve"> SEQ issue \c </w:instrText>
      </w:r>
      <w:r>
        <w:fldChar w:fldCharType="separate"/>
      </w:r>
      <w:bookmarkStart w:id="20" w:name="_Toc225411882"/>
      <w:r w:rsidR="004A4C46">
        <w:rPr>
          <w:noProof/>
        </w:rPr>
        <w:instrText>5</w:instrText>
      </w:r>
      <w:r>
        <w:fldChar w:fldCharType="end"/>
      </w:r>
      <w:r>
        <w:tab/>
        <w:instrText>Rate of Return</w:instrText>
      </w:r>
      <w:bookmarkEnd w:id="20"/>
      <w:r>
        <w:instrText xml:space="preserve">" \l 1 </w:instrText>
      </w:r>
      <w:r>
        <w:fldChar w:fldCharType="end"/>
      </w:r>
      <w:r>
        <w:t> </w:t>
      </w:r>
    </w:p>
    <w:p w14:paraId="3FFA0F4E" w14:textId="77777777" w:rsidR="00144C53" w:rsidRDefault="00144C53">
      <w:pPr>
        <w:pStyle w:val="BodyText"/>
      </w:pPr>
      <w:r>
        <w:t xml:space="preserve"> What is the appropriate return on equity and overall rate of return for </w:t>
      </w:r>
      <w:r w:rsidR="00F304E8">
        <w:t>Citrus Waterworks, Inc.</w:t>
      </w:r>
      <w:r>
        <w:t xml:space="preserve">? </w:t>
      </w:r>
    </w:p>
    <w:p w14:paraId="772A0A36" w14:textId="77777777" w:rsidR="00144C53" w:rsidRPr="004C3641" w:rsidRDefault="00144C53">
      <w:pPr>
        <w:pStyle w:val="IssueSubsectionHeading"/>
        <w:rPr>
          <w:vanish/>
          <w:specVanish/>
        </w:rPr>
      </w:pPr>
      <w:r w:rsidRPr="004C3641">
        <w:t>Recommendation: </w:t>
      </w:r>
    </w:p>
    <w:p w14:paraId="22D6A285" w14:textId="77777777" w:rsidR="00144C53" w:rsidRDefault="00144C53">
      <w:pPr>
        <w:pStyle w:val="BodyText"/>
      </w:pPr>
      <w:r>
        <w:t> </w:t>
      </w:r>
      <w:r w:rsidR="00F304E8">
        <w:t>The appropriate return on equity (ROE) is 8.51 percent with a range of 7.51 percent to 9.51 percent. The appropriate overall rate of return is 8.41 percent.</w:t>
      </w:r>
      <w:r>
        <w:t xml:space="preserve"> (Lenberg)</w:t>
      </w:r>
    </w:p>
    <w:p w14:paraId="1F25872F" w14:textId="77777777" w:rsidR="00144C53" w:rsidRPr="004C3641" w:rsidRDefault="00144C53">
      <w:pPr>
        <w:pStyle w:val="IssueSubsectionHeading"/>
        <w:rPr>
          <w:vanish/>
          <w:specVanish/>
        </w:rPr>
      </w:pPr>
      <w:r w:rsidRPr="004C3641">
        <w:t>Staff Analysis: </w:t>
      </w:r>
    </w:p>
    <w:p w14:paraId="7DBFD8C2" w14:textId="77777777" w:rsidR="00144C53" w:rsidRDefault="00144C53" w:rsidP="00E275D8">
      <w:pPr>
        <w:pStyle w:val="BodyText"/>
      </w:pPr>
      <w:r>
        <w:t> </w:t>
      </w:r>
      <w:r w:rsidR="00F304E8">
        <w:t>The Utility’s capital structure consists of common equity and customer deposits. The Utility’s capital structure has been reconciled with staff’s recommended rate base. The appropriate ROE is 8.51 percent based on the Commission-approved leverage formula currently in effect.</w:t>
      </w:r>
      <w:r w:rsidR="00F304E8">
        <w:rPr>
          <w:rStyle w:val="FootnoteReference"/>
        </w:rPr>
        <w:footnoteReference w:id="12"/>
      </w:r>
      <w:r w:rsidR="00F304E8">
        <w:t xml:space="preserve"> Staff recommends an ROE of 8.51 percent with a range of 7.51 percent to 9.51 percent, and an overall rate of return of 8.41 percent. The ROE and overall rate of return are shown on Schedule No. 2.</w:t>
      </w:r>
    </w:p>
    <w:p w14:paraId="43EB7DA4" w14:textId="4F2571DC" w:rsidR="00144C53" w:rsidRDefault="00144C53">
      <w:pPr>
        <w:pStyle w:val="IssueHeading"/>
        <w:rPr>
          <w:vanish/>
          <w:specVanish/>
        </w:rPr>
      </w:pPr>
      <w:r w:rsidRPr="004C3641">
        <w:rPr>
          <w:b w:val="0"/>
          <w:i w:val="0"/>
        </w:rPr>
        <w:br w:type="page"/>
      </w:r>
      <w:r w:rsidRPr="004C3641">
        <w:t xml:space="preserve">Issue </w:t>
      </w:r>
      <w:fldSimple w:instr=" SEQ Issue \* MERGEFORMAT ">
        <w:r w:rsidR="004A4C46">
          <w:rPr>
            <w:noProof/>
          </w:rPr>
          <w:t>6</w:t>
        </w:r>
      </w:fldSimple>
      <w:r w:rsidRPr="004C3641">
        <w:t>:</w:t>
      </w:r>
      <w:r>
        <w:fldChar w:fldCharType="begin"/>
      </w:r>
      <w:r>
        <w:instrText xml:space="preserve"> TC "</w:instrText>
      </w:r>
      <w:r>
        <w:fldChar w:fldCharType="begin"/>
      </w:r>
      <w:r>
        <w:instrText xml:space="preserve"> SEQ issue \c </w:instrText>
      </w:r>
      <w:r>
        <w:fldChar w:fldCharType="separate"/>
      </w:r>
      <w:bookmarkStart w:id="21" w:name="_Toc225411883"/>
      <w:r w:rsidR="004A4C46">
        <w:rPr>
          <w:noProof/>
        </w:rPr>
        <w:instrText>6</w:instrText>
      </w:r>
      <w:r>
        <w:fldChar w:fldCharType="end"/>
      </w:r>
      <w:r>
        <w:tab/>
        <w:instrText>Test Year Revenues</w:instrText>
      </w:r>
      <w:bookmarkEnd w:id="21"/>
      <w:r>
        <w:instrText xml:space="preserve">" \l 1 </w:instrText>
      </w:r>
      <w:r>
        <w:fldChar w:fldCharType="end"/>
      </w:r>
      <w:r>
        <w:t> </w:t>
      </w:r>
    </w:p>
    <w:p w14:paraId="3C3FDD76" w14:textId="77777777" w:rsidR="00144C53" w:rsidRDefault="00144C53">
      <w:pPr>
        <w:pStyle w:val="BodyText"/>
      </w:pPr>
      <w:r>
        <w:t xml:space="preserve"> What are the appropriate test year operating revenues for the water system of </w:t>
      </w:r>
      <w:r w:rsidR="00F304E8">
        <w:t>Citrus Waterworks, Inc.</w:t>
      </w:r>
      <w:r>
        <w:t>?</w:t>
      </w:r>
    </w:p>
    <w:p w14:paraId="791FCC62" w14:textId="77777777" w:rsidR="00144C53" w:rsidRPr="004C3641" w:rsidRDefault="00144C53">
      <w:pPr>
        <w:pStyle w:val="IssueSubsectionHeading"/>
        <w:rPr>
          <w:vanish/>
          <w:specVanish/>
        </w:rPr>
      </w:pPr>
      <w:r w:rsidRPr="004C3641">
        <w:t>Recommendation: </w:t>
      </w:r>
    </w:p>
    <w:p w14:paraId="53F0C79B" w14:textId="77777777" w:rsidR="00144C53" w:rsidRDefault="00144C53">
      <w:pPr>
        <w:pStyle w:val="BodyText"/>
      </w:pPr>
      <w:r>
        <w:t> </w:t>
      </w:r>
      <w:r w:rsidR="00B6789A" w:rsidRPr="00B6789A">
        <w:t>The appropriate test year operating revenues are $56,613. (Chambliss)</w:t>
      </w:r>
    </w:p>
    <w:p w14:paraId="572676D3" w14:textId="77777777" w:rsidR="00144C53" w:rsidRPr="004C3641" w:rsidRDefault="00144C53">
      <w:pPr>
        <w:pStyle w:val="IssueSubsectionHeading"/>
        <w:rPr>
          <w:vanish/>
          <w:specVanish/>
        </w:rPr>
      </w:pPr>
      <w:r w:rsidRPr="004C3641">
        <w:t>Staff Analysis: </w:t>
      </w:r>
    </w:p>
    <w:p w14:paraId="79A95D9B" w14:textId="77777777" w:rsidR="00B6789A" w:rsidRDefault="00144C53" w:rsidP="00B6789A">
      <w:pPr>
        <w:pStyle w:val="BodyText"/>
      </w:pPr>
      <w:r>
        <w:t> </w:t>
      </w:r>
      <w:r w:rsidR="00B6789A">
        <w:t>The Utility recorded total test year operating revenues of $53,22</w:t>
      </w:r>
      <w:r w:rsidR="002A11D4">
        <w:t>3</w:t>
      </w:r>
      <w:r w:rsidR="00B6789A">
        <w:t xml:space="preserve"> for water. The water revenues included $50,824 of service revenues and $2,399 of miscellaneous revenues. During the test year, the Utility had rate changes in April 2024 and July 2024 when it was under the jurisdiction of Citrus County. In the months wherein there was a rate change due to prorating bills, the Utility’s billing data indicated two bills per customer. Therefore, staff adjusted the billing data to correct the number of bills during the months of a rate change. To determine the appropriate service revenues, staff applied the adjusted billing determinants to the existing rates. As a result, staff determined services revenues to be $54,250, which is an increase of $3,426 ($54,250 - $50,824).</w:t>
      </w:r>
    </w:p>
    <w:p w14:paraId="71790528" w14:textId="77777777" w:rsidR="00B6789A" w:rsidRDefault="00B6789A" w:rsidP="00B6789A">
      <w:pPr>
        <w:pStyle w:val="BodyText"/>
      </w:pPr>
      <w:r>
        <w:t>Staff made an adjustment to miscellaneous revenues. During the test year, the Utility recorded $2,399 for its miscellaneous revenues. The Utility’s tariff charge for a violation reconnection is $21. However, the Utility billed four customers a violation reconnection charge in the amount of $30 each. Therefore, staff made an adjustment to reduce miscellaneous revenues by $36 [($30 - $21) x 4]. As a result, miscellaneous revenues should be $2,363 ($2,399 - $36).</w:t>
      </w:r>
    </w:p>
    <w:p w14:paraId="4AC7C77E" w14:textId="77777777" w:rsidR="00144C53" w:rsidRDefault="00B6789A" w:rsidP="00E275D8">
      <w:pPr>
        <w:pStyle w:val="BodyText"/>
      </w:pPr>
      <w:r>
        <w:t>Based on the above, the appropriate test year operating revenues for Citrus’ water system are $56,613 ($54,250 + $2,363) for the water system.</w:t>
      </w:r>
    </w:p>
    <w:p w14:paraId="6D3CFF44" w14:textId="6B64A318" w:rsidR="00144C53" w:rsidRDefault="00144C53">
      <w:pPr>
        <w:pStyle w:val="IssueHeading"/>
        <w:rPr>
          <w:vanish/>
          <w:specVanish/>
        </w:rPr>
      </w:pPr>
      <w:r w:rsidRPr="004C3641">
        <w:rPr>
          <w:b w:val="0"/>
          <w:i w:val="0"/>
        </w:rPr>
        <w:br w:type="page"/>
      </w:r>
      <w:r w:rsidRPr="004C3641">
        <w:t xml:space="preserve">Issue </w:t>
      </w:r>
      <w:fldSimple w:instr=" SEQ Issue \* MERGEFORMAT ">
        <w:r w:rsidR="004A4C46">
          <w:rPr>
            <w:noProof/>
          </w:rPr>
          <w:t>7</w:t>
        </w:r>
      </w:fldSimple>
      <w:r w:rsidRPr="004C3641">
        <w:t>:</w:t>
      </w:r>
      <w:r>
        <w:fldChar w:fldCharType="begin"/>
      </w:r>
      <w:r>
        <w:instrText xml:space="preserve"> TC "</w:instrText>
      </w:r>
      <w:r>
        <w:fldChar w:fldCharType="begin"/>
      </w:r>
      <w:r>
        <w:instrText xml:space="preserve"> SEQ issue \c </w:instrText>
      </w:r>
      <w:r>
        <w:fldChar w:fldCharType="separate"/>
      </w:r>
      <w:bookmarkStart w:id="22" w:name="_Toc225411884"/>
      <w:r w:rsidR="004A4C46">
        <w:rPr>
          <w:noProof/>
        </w:rPr>
        <w:instrText>7</w:instrText>
      </w:r>
      <w:r>
        <w:fldChar w:fldCharType="end"/>
      </w:r>
      <w:r>
        <w:tab/>
        <w:instrText>Operating Expenses</w:instrText>
      </w:r>
      <w:bookmarkEnd w:id="22"/>
      <w:r>
        <w:instrText xml:space="preserve">" \l 1 </w:instrText>
      </w:r>
      <w:r>
        <w:fldChar w:fldCharType="end"/>
      </w:r>
      <w:r>
        <w:t> </w:t>
      </w:r>
    </w:p>
    <w:p w14:paraId="5819D361" w14:textId="77777777" w:rsidR="00144C53" w:rsidRDefault="00144C53">
      <w:pPr>
        <w:pStyle w:val="BodyText"/>
      </w:pPr>
      <w:r>
        <w:t xml:space="preserve"> What is the appropriate amount of operating expenses for </w:t>
      </w:r>
      <w:r w:rsidR="00F304E8">
        <w:t>Citrus Waterworks, Inc.</w:t>
      </w:r>
      <w:r>
        <w:t>?</w:t>
      </w:r>
    </w:p>
    <w:p w14:paraId="71CF1DDB" w14:textId="77777777" w:rsidR="00144C53" w:rsidRPr="004C3641" w:rsidRDefault="00144C53">
      <w:pPr>
        <w:pStyle w:val="IssueSubsectionHeading"/>
        <w:rPr>
          <w:vanish/>
          <w:specVanish/>
        </w:rPr>
      </w:pPr>
      <w:r w:rsidRPr="004C3641">
        <w:t>Recommendation: </w:t>
      </w:r>
    </w:p>
    <w:p w14:paraId="31B950CC" w14:textId="77777777" w:rsidR="00144C53" w:rsidRDefault="00144C53">
      <w:pPr>
        <w:pStyle w:val="BodyText"/>
      </w:pPr>
      <w:r>
        <w:t> </w:t>
      </w:r>
      <w:r w:rsidR="00F304E8">
        <w:t>The appropriate amount of operating expense for Citrus Waterworks is $</w:t>
      </w:r>
      <w:r w:rsidR="00EF3D1D">
        <w:t>51,562</w:t>
      </w:r>
      <w:r w:rsidR="00F304E8">
        <w:t>.</w:t>
      </w:r>
      <w:r>
        <w:t xml:space="preserve"> (Lenberg)</w:t>
      </w:r>
    </w:p>
    <w:p w14:paraId="2D5D6DDD" w14:textId="77777777" w:rsidR="00144C53" w:rsidRPr="004C3641" w:rsidRDefault="00144C53">
      <w:pPr>
        <w:pStyle w:val="IssueSubsectionHeading"/>
        <w:rPr>
          <w:vanish/>
          <w:specVanish/>
        </w:rPr>
      </w:pPr>
      <w:r w:rsidRPr="004C3641">
        <w:t>Staff Analysis: </w:t>
      </w:r>
    </w:p>
    <w:p w14:paraId="744C8342" w14:textId="77777777" w:rsidR="00144C53" w:rsidRDefault="00144C53">
      <w:pPr>
        <w:pStyle w:val="BodyText"/>
      </w:pPr>
      <w:r>
        <w:t> </w:t>
      </w:r>
      <w:r w:rsidR="00F304E8">
        <w:t>The Utility recorded operating expense of $55,817. The test year O&amp;M expenses have been reviewed by staff, including invoices and other supporting documentation. Staff has made several adjustments to the Utility’s operating expense as described below.</w:t>
      </w:r>
    </w:p>
    <w:p w14:paraId="36548239" w14:textId="77777777" w:rsidR="00F304E8" w:rsidRPr="00F9709D" w:rsidRDefault="00F304E8" w:rsidP="00223794">
      <w:pPr>
        <w:pStyle w:val="First-LevelSubheading"/>
        <w:spacing w:after="240"/>
      </w:pPr>
      <w:r>
        <w:t>Operation and Maintenance Expenses</w:t>
      </w:r>
    </w:p>
    <w:p w14:paraId="6314994D" w14:textId="77777777" w:rsidR="00F304E8" w:rsidRDefault="00F304E8" w:rsidP="00F304E8">
      <w:pPr>
        <w:pStyle w:val="BodyText"/>
        <w:spacing w:after="0"/>
        <w:ind w:firstLine="720"/>
        <w:rPr>
          <w:rFonts w:ascii="Arial" w:hAnsi="Arial" w:cs="Arial"/>
          <w:b/>
        </w:rPr>
      </w:pPr>
      <w:r>
        <w:rPr>
          <w:rFonts w:ascii="Arial" w:hAnsi="Arial" w:cs="Arial"/>
          <w:b/>
        </w:rPr>
        <w:t>Salaries and Wages – Officers and Directors (603</w:t>
      </w:r>
      <w:r w:rsidRPr="00050142">
        <w:rPr>
          <w:rFonts w:ascii="Arial" w:hAnsi="Arial" w:cs="Arial"/>
          <w:b/>
        </w:rPr>
        <w:t>)</w:t>
      </w:r>
    </w:p>
    <w:p w14:paraId="2849FB96" w14:textId="20BC75F6" w:rsidR="00F304E8" w:rsidRPr="00992CDD" w:rsidRDefault="00F304E8" w:rsidP="00223794">
      <w:pPr>
        <w:spacing w:after="240"/>
        <w:jc w:val="both"/>
      </w:pPr>
      <w:r>
        <w:t xml:space="preserve">The Utility recorded a salaries and wages expense of $2,500. </w:t>
      </w:r>
      <w:r w:rsidR="00626F31">
        <w:t xml:space="preserve">According to </w:t>
      </w:r>
      <w:r>
        <w:t xml:space="preserve">the Utility’s 2024 Annual Report, </w:t>
      </w:r>
      <w:r w:rsidR="00626F31">
        <w:t>this amount represents compensation to</w:t>
      </w:r>
      <w:r>
        <w:t xml:space="preserve"> Citrus’ President</w:t>
      </w:r>
      <w:r w:rsidR="006A75D6">
        <w:t>,</w:t>
      </w:r>
      <w:r w:rsidR="00281428">
        <w:t xml:space="preserve"> </w:t>
      </w:r>
      <w:r w:rsidR="0070453D">
        <w:t xml:space="preserve">who is also </w:t>
      </w:r>
      <w:r w:rsidR="006A75D6">
        <w:t xml:space="preserve">the </w:t>
      </w:r>
      <w:r>
        <w:t>Owner</w:t>
      </w:r>
      <w:r w:rsidR="006A75D6">
        <w:t xml:space="preserve"> of Citrus</w:t>
      </w:r>
      <w:r>
        <w:t xml:space="preserve">. </w:t>
      </w:r>
      <w:r w:rsidR="00281428">
        <w:t>In</w:t>
      </w:r>
      <w:r>
        <w:t xml:space="preserve"> Order No. PSC-2024-0046-PAA-WS, the Commission </w:t>
      </w:r>
      <w:r w:rsidR="00981074">
        <w:t>approved a</w:t>
      </w:r>
      <w:r>
        <w:t xml:space="preserve"> total owner’s salary </w:t>
      </w:r>
      <w:r w:rsidR="00FB37E3">
        <w:t xml:space="preserve">of $159,034 </w:t>
      </w:r>
      <w:r>
        <w:t xml:space="preserve">for all </w:t>
      </w:r>
      <w:r w:rsidR="0070453D">
        <w:t>U.S. Water–</w:t>
      </w:r>
      <w:r w:rsidR="00BC5C58">
        <w:t>affiliated</w:t>
      </w:r>
      <w:r w:rsidR="0070453D">
        <w:t xml:space="preserve"> systems</w:t>
      </w:r>
      <w:r>
        <w:t>. Citrus makes up approximately 1.18 percent of all U.S. Water-affiliated systems; therefore, staff calculated a total owner’s salary for Citrus of $1,8</w:t>
      </w:r>
      <w:r w:rsidR="00A12579">
        <w:t>77</w:t>
      </w:r>
      <w:r>
        <w:t>. Applying the Commission’s 2024 Price Index of 3.24 percent, staff recommends a salaries and wages expense of $1,94</w:t>
      </w:r>
      <w:r w:rsidR="00A12579">
        <w:t>2</w:t>
      </w:r>
      <w:r w:rsidR="00390295">
        <w:t>,</w:t>
      </w:r>
      <w:r>
        <w:t xml:space="preserve"> a decrease of $55</w:t>
      </w:r>
      <w:r w:rsidR="008467F6">
        <w:t>8</w:t>
      </w:r>
      <w:r w:rsidR="00281428">
        <w:t>.</w:t>
      </w:r>
    </w:p>
    <w:p w14:paraId="39457073" w14:textId="77777777" w:rsidR="00F304E8" w:rsidRDefault="00F304E8" w:rsidP="00F304E8">
      <w:pPr>
        <w:pStyle w:val="BodyText"/>
        <w:spacing w:after="0"/>
        <w:rPr>
          <w:rFonts w:ascii="Arial" w:hAnsi="Arial" w:cs="Arial"/>
          <w:b/>
        </w:rPr>
      </w:pPr>
      <w:r w:rsidRPr="00050142">
        <w:rPr>
          <w:rFonts w:ascii="Arial" w:hAnsi="Arial" w:cs="Arial"/>
          <w:b/>
        </w:rPr>
        <w:tab/>
      </w:r>
      <w:r>
        <w:rPr>
          <w:rFonts w:ascii="Arial" w:hAnsi="Arial" w:cs="Arial"/>
          <w:b/>
        </w:rPr>
        <w:t>Purchased Power (6</w:t>
      </w:r>
      <w:r w:rsidRPr="00050142">
        <w:rPr>
          <w:rFonts w:ascii="Arial" w:hAnsi="Arial" w:cs="Arial"/>
          <w:b/>
        </w:rPr>
        <w:t>15)</w:t>
      </w:r>
    </w:p>
    <w:p w14:paraId="37F7C624" w14:textId="77777777" w:rsidR="00F304E8" w:rsidRDefault="00F304E8" w:rsidP="00223794">
      <w:pPr>
        <w:pStyle w:val="BodyText"/>
      </w:pPr>
      <w:r>
        <w:t xml:space="preserve">The Utility recorded purchased power expense of $6,396. Audit staff decreased this </w:t>
      </w:r>
      <w:r w:rsidR="003F06B1">
        <w:t>amount</w:t>
      </w:r>
      <w:r>
        <w:t xml:space="preserve"> by $33 to reflect the removal of an out-of-test-year expense. Additionally, staff decreased this amount by $1,</w:t>
      </w:r>
      <w:r w:rsidR="00C96D9F">
        <w:t>477</w:t>
      </w:r>
      <w:r>
        <w:t xml:space="preserve"> to reflect the 2</w:t>
      </w:r>
      <w:r w:rsidR="00C96D9F">
        <w:t>3.1</w:t>
      </w:r>
      <w:r>
        <w:t xml:space="preserve"> percent EUW discussed in Issue 3. Staff’s adjustments to purchase power expense result in a decrease of $1,</w:t>
      </w:r>
      <w:r w:rsidR="00C96D9F">
        <w:t>510</w:t>
      </w:r>
      <w:r>
        <w:t>. Therefore, staff recommends a pur</w:t>
      </w:r>
      <w:r w:rsidR="00223794">
        <w:t>chased power expense of $4,886.</w:t>
      </w:r>
    </w:p>
    <w:p w14:paraId="37792F2A" w14:textId="77777777" w:rsidR="00F304E8" w:rsidRPr="00E43977" w:rsidRDefault="00F304E8" w:rsidP="00F304E8">
      <w:pPr>
        <w:ind w:firstLine="720"/>
        <w:jc w:val="both"/>
        <w:rPr>
          <w:rFonts w:ascii="Arial" w:eastAsiaTheme="minorHAnsi" w:hAnsi="Arial" w:cs="Arial"/>
          <w:b/>
          <w:szCs w:val="22"/>
        </w:rPr>
      </w:pPr>
      <w:r w:rsidRPr="00E43977">
        <w:rPr>
          <w:rFonts w:ascii="Arial" w:eastAsiaTheme="minorHAnsi" w:hAnsi="Arial" w:cs="Arial"/>
          <w:b/>
          <w:szCs w:val="22"/>
        </w:rPr>
        <w:t>Chemicals (618)</w:t>
      </w:r>
    </w:p>
    <w:p w14:paraId="3F13412A" w14:textId="77777777" w:rsidR="00F304E8" w:rsidRPr="00223794" w:rsidRDefault="00F304E8" w:rsidP="00223794">
      <w:pPr>
        <w:pStyle w:val="BodyText"/>
        <w:rPr>
          <w:rFonts w:eastAsiaTheme="minorHAnsi" w:cstheme="minorBidi"/>
          <w:szCs w:val="22"/>
        </w:rPr>
      </w:pPr>
      <w:r w:rsidRPr="00713025">
        <w:rPr>
          <w:rFonts w:eastAsiaTheme="minorHAnsi" w:cstheme="minorBidi"/>
          <w:szCs w:val="22"/>
        </w:rPr>
        <w:t xml:space="preserve">The Utility recorded </w:t>
      </w:r>
      <w:r>
        <w:rPr>
          <w:rFonts w:eastAsiaTheme="minorHAnsi" w:cstheme="minorBidi"/>
          <w:szCs w:val="22"/>
        </w:rPr>
        <w:t>chemicals expense of $118</w:t>
      </w:r>
      <w:r w:rsidRPr="00713025">
        <w:rPr>
          <w:rFonts w:eastAsiaTheme="minorHAnsi" w:cstheme="minorBidi"/>
          <w:szCs w:val="22"/>
        </w:rPr>
        <w:t xml:space="preserve">. </w:t>
      </w:r>
      <w:r>
        <w:t>St</w:t>
      </w:r>
      <w:r w:rsidR="00664BE3">
        <w:t>aff decreased this amount by $27 to reflect the 23.10</w:t>
      </w:r>
      <w:r>
        <w:t xml:space="preserve"> percent EUW discussed in Issue 3.</w:t>
      </w:r>
      <w:r>
        <w:rPr>
          <w:rFonts w:eastAsiaTheme="minorHAnsi" w:cstheme="minorBidi"/>
          <w:szCs w:val="22"/>
        </w:rPr>
        <w:t xml:space="preserve"> Therefore, staff recom</w:t>
      </w:r>
      <w:r w:rsidR="00664BE3">
        <w:rPr>
          <w:rFonts w:eastAsiaTheme="minorHAnsi" w:cstheme="minorBidi"/>
          <w:szCs w:val="22"/>
        </w:rPr>
        <w:t>mends a chemicals expense of $91</w:t>
      </w:r>
      <w:r>
        <w:rPr>
          <w:rFonts w:eastAsiaTheme="minorHAnsi" w:cstheme="minorBidi"/>
          <w:szCs w:val="22"/>
        </w:rPr>
        <w:t>.</w:t>
      </w:r>
    </w:p>
    <w:p w14:paraId="60B7B91B" w14:textId="77777777" w:rsidR="00F304E8" w:rsidRPr="00E43977" w:rsidRDefault="00F304E8" w:rsidP="00F304E8">
      <w:pPr>
        <w:ind w:firstLine="720"/>
        <w:jc w:val="both"/>
        <w:rPr>
          <w:rFonts w:ascii="Arial" w:eastAsiaTheme="minorHAnsi" w:hAnsi="Arial" w:cs="Arial"/>
          <w:b/>
          <w:szCs w:val="22"/>
        </w:rPr>
      </w:pPr>
      <w:r>
        <w:rPr>
          <w:rFonts w:ascii="Arial" w:eastAsiaTheme="minorHAnsi" w:hAnsi="Arial" w:cs="Arial"/>
          <w:b/>
          <w:szCs w:val="22"/>
        </w:rPr>
        <w:t>Contractual Services - Accounting (632</w:t>
      </w:r>
      <w:r w:rsidRPr="00E43977">
        <w:rPr>
          <w:rFonts w:ascii="Arial" w:eastAsiaTheme="minorHAnsi" w:hAnsi="Arial" w:cs="Arial"/>
          <w:b/>
          <w:szCs w:val="22"/>
        </w:rPr>
        <w:t>)</w:t>
      </w:r>
    </w:p>
    <w:p w14:paraId="03451A47" w14:textId="519FE2BE" w:rsidR="00F304E8" w:rsidRDefault="00F304E8" w:rsidP="00223794">
      <w:pPr>
        <w:pStyle w:val="BodyText"/>
        <w:rPr>
          <w:rFonts w:eastAsiaTheme="minorHAnsi" w:cstheme="minorBidi"/>
          <w:szCs w:val="22"/>
        </w:rPr>
      </w:pPr>
      <w:r w:rsidRPr="00713025">
        <w:rPr>
          <w:rFonts w:eastAsiaTheme="minorHAnsi" w:cstheme="minorBidi"/>
          <w:szCs w:val="22"/>
        </w:rPr>
        <w:t xml:space="preserve">The Utility recorded </w:t>
      </w:r>
      <w:r>
        <w:rPr>
          <w:rFonts w:eastAsiaTheme="minorHAnsi" w:cstheme="minorBidi"/>
          <w:szCs w:val="22"/>
        </w:rPr>
        <w:t>contractual services - accounting expense of $525</w:t>
      </w:r>
      <w:r w:rsidRPr="00713025">
        <w:rPr>
          <w:rFonts w:eastAsiaTheme="minorHAnsi" w:cstheme="minorBidi"/>
          <w:szCs w:val="22"/>
        </w:rPr>
        <w:t xml:space="preserve">. </w:t>
      </w:r>
      <w:r>
        <w:rPr>
          <w:rFonts w:eastAsiaTheme="minorHAnsi" w:cstheme="minorBidi"/>
          <w:szCs w:val="22"/>
        </w:rPr>
        <w:t>Staff made no adjustments to this amount and</w:t>
      </w:r>
      <w:r w:rsidR="009E10BA">
        <w:rPr>
          <w:rFonts w:eastAsiaTheme="minorHAnsi" w:cstheme="minorBidi"/>
          <w:szCs w:val="22"/>
        </w:rPr>
        <w:t>,</w:t>
      </w:r>
      <w:r>
        <w:rPr>
          <w:rFonts w:eastAsiaTheme="minorHAnsi" w:cstheme="minorBidi"/>
          <w:szCs w:val="22"/>
        </w:rPr>
        <w:t xml:space="preserve"> therefore</w:t>
      </w:r>
      <w:r w:rsidR="009E10BA">
        <w:rPr>
          <w:rFonts w:eastAsiaTheme="minorHAnsi" w:cstheme="minorBidi"/>
          <w:szCs w:val="22"/>
        </w:rPr>
        <w:t>,</w:t>
      </w:r>
      <w:r>
        <w:rPr>
          <w:rFonts w:eastAsiaTheme="minorHAnsi" w:cstheme="minorBidi"/>
          <w:szCs w:val="22"/>
        </w:rPr>
        <w:t xml:space="preserve"> recommends a </w:t>
      </w:r>
      <w:r w:rsidR="00E35DB3">
        <w:rPr>
          <w:rFonts w:eastAsiaTheme="minorHAnsi" w:cstheme="minorBidi"/>
          <w:szCs w:val="22"/>
        </w:rPr>
        <w:t>contractual services - accounting</w:t>
      </w:r>
      <w:r>
        <w:rPr>
          <w:rFonts w:eastAsiaTheme="minorHAnsi" w:cstheme="minorBidi"/>
          <w:szCs w:val="22"/>
        </w:rPr>
        <w:t xml:space="preserve"> expense of $525.</w:t>
      </w:r>
    </w:p>
    <w:p w14:paraId="0D0DC4A0" w14:textId="77777777" w:rsidR="00F304E8" w:rsidRPr="00E43977" w:rsidRDefault="00F304E8" w:rsidP="00F304E8">
      <w:pPr>
        <w:ind w:firstLine="720"/>
        <w:jc w:val="both"/>
        <w:rPr>
          <w:rFonts w:ascii="Arial" w:eastAsiaTheme="minorHAnsi" w:hAnsi="Arial" w:cs="Arial"/>
          <w:b/>
          <w:szCs w:val="22"/>
        </w:rPr>
      </w:pPr>
      <w:r>
        <w:rPr>
          <w:rFonts w:ascii="Arial" w:eastAsiaTheme="minorHAnsi" w:hAnsi="Arial" w:cs="Arial"/>
          <w:b/>
          <w:szCs w:val="22"/>
        </w:rPr>
        <w:t>Contractual Services - Legal (633</w:t>
      </w:r>
      <w:r w:rsidRPr="00E43977">
        <w:rPr>
          <w:rFonts w:ascii="Arial" w:eastAsiaTheme="minorHAnsi" w:hAnsi="Arial" w:cs="Arial"/>
          <w:b/>
          <w:szCs w:val="22"/>
        </w:rPr>
        <w:t>)</w:t>
      </w:r>
    </w:p>
    <w:p w14:paraId="643CF5C2" w14:textId="3AA52347" w:rsidR="00F304E8" w:rsidRPr="00223794" w:rsidRDefault="00F304E8" w:rsidP="00223794">
      <w:pPr>
        <w:pStyle w:val="BodyText"/>
        <w:rPr>
          <w:rFonts w:eastAsiaTheme="minorHAnsi" w:cstheme="minorBidi"/>
          <w:szCs w:val="22"/>
        </w:rPr>
      </w:pPr>
      <w:r w:rsidRPr="00713025">
        <w:rPr>
          <w:rFonts w:eastAsiaTheme="minorHAnsi" w:cstheme="minorBidi"/>
          <w:szCs w:val="22"/>
        </w:rPr>
        <w:t xml:space="preserve">The Utility recorded </w:t>
      </w:r>
      <w:r>
        <w:rPr>
          <w:rFonts w:eastAsiaTheme="minorHAnsi" w:cstheme="minorBidi"/>
          <w:szCs w:val="22"/>
        </w:rPr>
        <w:t>contractual services - legal expense of $300</w:t>
      </w:r>
      <w:r w:rsidRPr="00713025">
        <w:rPr>
          <w:rFonts w:eastAsiaTheme="minorHAnsi" w:cstheme="minorBidi"/>
          <w:szCs w:val="22"/>
        </w:rPr>
        <w:t xml:space="preserve">. </w:t>
      </w:r>
      <w:r>
        <w:rPr>
          <w:rFonts w:eastAsiaTheme="minorHAnsi" w:cstheme="minorBidi"/>
          <w:szCs w:val="22"/>
        </w:rPr>
        <w:t>Staff made no adjustments to this amount and</w:t>
      </w:r>
      <w:r w:rsidR="009E10BA">
        <w:rPr>
          <w:rFonts w:eastAsiaTheme="minorHAnsi" w:cstheme="minorBidi"/>
          <w:szCs w:val="22"/>
        </w:rPr>
        <w:t>,</w:t>
      </w:r>
      <w:r>
        <w:rPr>
          <w:rFonts w:eastAsiaTheme="minorHAnsi" w:cstheme="minorBidi"/>
          <w:szCs w:val="22"/>
        </w:rPr>
        <w:t xml:space="preserve"> therefore</w:t>
      </w:r>
      <w:r w:rsidR="009E10BA">
        <w:rPr>
          <w:rFonts w:eastAsiaTheme="minorHAnsi" w:cstheme="minorBidi"/>
          <w:szCs w:val="22"/>
        </w:rPr>
        <w:t>,</w:t>
      </w:r>
      <w:r>
        <w:rPr>
          <w:rFonts w:eastAsiaTheme="minorHAnsi" w:cstheme="minorBidi"/>
          <w:szCs w:val="22"/>
        </w:rPr>
        <w:t xml:space="preserve"> recommends a </w:t>
      </w:r>
      <w:r w:rsidR="00E35DB3">
        <w:rPr>
          <w:rFonts w:eastAsiaTheme="minorHAnsi" w:cstheme="minorBidi"/>
          <w:szCs w:val="22"/>
        </w:rPr>
        <w:t xml:space="preserve">contractual services - legal </w:t>
      </w:r>
      <w:r>
        <w:rPr>
          <w:rFonts w:eastAsiaTheme="minorHAnsi" w:cstheme="minorBidi"/>
          <w:szCs w:val="22"/>
        </w:rPr>
        <w:t>expense of $300.</w:t>
      </w:r>
    </w:p>
    <w:p w14:paraId="11ACF6D3" w14:textId="77777777" w:rsidR="00F304E8" w:rsidRPr="00E43977" w:rsidRDefault="00F304E8" w:rsidP="00F304E8">
      <w:pPr>
        <w:ind w:firstLine="720"/>
        <w:jc w:val="both"/>
        <w:rPr>
          <w:rFonts w:ascii="Arial" w:eastAsiaTheme="minorHAnsi" w:hAnsi="Arial" w:cs="Arial"/>
          <w:b/>
          <w:szCs w:val="22"/>
        </w:rPr>
      </w:pPr>
      <w:r>
        <w:rPr>
          <w:rFonts w:ascii="Arial" w:eastAsiaTheme="minorHAnsi" w:hAnsi="Arial" w:cs="Arial"/>
          <w:b/>
          <w:szCs w:val="22"/>
        </w:rPr>
        <w:t>Contractual Services - Testing (635</w:t>
      </w:r>
      <w:r w:rsidRPr="00E43977">
        <w:rPr>
          <w:rFonts w:ascii="Arial" w:eastAsiaTheme="minorHAnsi" w:hAnsi="Arial" w:cs="Arial"/>
          <w:b/>
          <w:szCs w:val="22"/>
        </w:rPr>
        <w:t>)</w:t>
      </w:r>
    </w:p>
    <w:p w14:paraId="3385C1AA" w14:textId="4EAF1BE2" w:rsidR="00F304E8" w:rsidRDefault="00F304E8" w:rsidP="00223794">
      <w:pPr>
        <w:pStyle w:val="BodyText"/>
        <w:rPr>
          <w:rFonts w:eastAsiaTheme="minorHAnsi" w:cstheme="minorBidi"/>
          <w:szCs w:val="22"/>
        </w:rPr>
      </w:pPr>
      <w:r w:rsidRPr="00713025">
        <w:rPr>
          <w:rFonts w:eastAsiaTheme="minorHAnsi" w:cstheme="minorBidi"/>
          <w:szCs w:val="22"/>
        </w:rPr>
        <w:t xml:space="preserve">The Utility recorded </w:t>
      </w:r>
      <w:r>
        <w:rPr>
          <w:rFonts w:eastAsiaTheme="minorHAnsi" w:cstheme="minorBidi"/>
          <w:szCs w:val="22"/>
        </w:rPr>
        <w:t>contractual services - testing expense of $445</w:t>
      </w:r>
      <w:r w:rsidRPr="00713025">
        <w:rPr>
          <w:rFonts w:eastAsiaTheme="minorHAnsi" w:cstheme="minorBidi"/>
          <w:szCs w:val="22"/>
        </w:rPr>
        <w:t xml:space="preserve">. </w:t>
      </w:r>
      <w:r>
        <w:rPr>
          <w:rFonts w:eastAsiaTheme="minorHAnsi" w:cstheme="minorBidi"/>
          <w:szCs w:val="22"/>
        </w:rPr>
        <w:t>Staff made no adjustments to this amount and</w:t>
      </w:r>
      <w:r w:rsidR="009E10BA">
        <w:rPr>
          <w:rFonts w:eastAsiaTheme="minorHAnsi" w:cstheme="minorBidi"/>
          <w:szCs w:val="22"/>
        </w:rPr>
        <w:t>,</w:t>
      </w:r>
      <w:r>
        <w:rPr>
          <w:rFonts w:eastAsiaTheme="minorHAnsi" w:cstheme="minorBidi"/>
          <w:szCs w:val="22"/>
        </w:rPr>
        <w:t xml:space="preserve"> therefore</w:t>
      </w:r>
      <w:r w:rsidR="009E10BA">
        <w:rPr>
          <w:rFonts w:eastAsiaTheme="minorHAnsi" w:cstheme="minorBidi"/>
          <w:szCs w:val="22"/>
        </w:rPr>
        <w:t>,</w:t>
      </w:r>
      <w:r>
        <w:rPr>
          <w:rFonts w:eastAsiaTheme="minorHAnsi" w:cstheme="minorBidi"/>
          <w:szCs w:val="22"/>
        </w:rPr>
        <w:t xml:space="preserve"> recommends a</w:t>
      </w:r>
      <w:r w:rsidR="00E35DB3" w:rsidRPr="00713025">
        <w:rPr>
          <w:rFonts w:eastAsiaTheme="minorHAnsi" w:cstheme="minorBidi"/>
          <w:szCs w:val="22"/>
        </w:rPr>
        <w:t xml:space="preserve"> </w:t>
      </w:r>
      <w:r w:rsidR="00E35DB3">
        <w:rPr>
          <w:rFonts w:eastAsiaTheme="minorHAnsi" w:cstheme="minorBidi"/>
          <w:szCs w:val="22"/>
        </w:rPr>
        <w:t>contractual services - testing</w:t>
      </w:r>
      <w:r>
        <w:rPr>
          <w:rFonts w:eastAsiaTheme="minorHAnsi" w:cstheme="minorBidi"/>
          <w:szCs w:val="22"/>
        </w:rPr>
        <w:t xml:space="preserve"> expense of $445.</w:t>
      </w:r>
    </w:p>
    <w:p w14:paraId="2D635566" w14:textId="77777777" w:rsidR="00223794" w:rsidRPr="00223794" w:rsidRDefault="00223794" w:rsidP="00223794">
      <w:pPr>
        <w:pStyle w:val="BodyText"/>
        <w:rPr>
          <w:rFonts w:eastAsiaTheme="minorHAnsi" w:cstheme="minorBidi"/>
          <w:szCs w:val="22"/>
        </w:rPr>
      </w:pPr>
    </w:p>
    <w:p w14:paraId="56CFFE33" w14:textId="77777777" w:rsidR="00F304E8" w:rsidRPr="00E43977" w:rsidRDefault="00F304E8" w:rsidP="00F304E8">
      <w:pPr>
        <w:ind w:firstLine="720"/>
        <w:jc w:val="both"/>
        <w:rPr>
          <w:rFonts w:ascii="Arial" w:eastAsiaTheme="minorHAnsi" w:hAnsi="Arial" w:cs="Arial"/>
          <w:b/>
          <w:szCs w:val="22"/>
        </w:rPr>
      </w:pPr>
      <w:r>
        <w:rPr>
          <w:rFonts w:ascii="Arial" w:eastAsiaTheme="minorHAnsi" w:hAnsi="Arial" w:cs="Arial"/>
          <w:b/>
          <w:szCs w:val="22"/>
        </w:rPr>
        <w:t>Contractual Services - Other (636</w:t>
      </w:r>
      <w:r w:rsidRPr="00E43977">
        <w:rPr>
          <w:rFonts w:ascii="Arial" w:eastAsiaTheme="minorHAnsi" w:hAnsi="Arial" w:cs="Arial"/>
          <w:b/>
          <w:szCs w:val="22"/>
        </w:rPr>
        <w:t>)</w:t>
      </w:r>
    </w:p>
    <w:p w14:paraId="0457C3B2" w14:textId="24683898" w:rsidR="00F304E8" w:rsidRPr="00223794" w:rsidRDefault="00F304E8" w:rsidP="00223794">
      <w:pPr>
        <w:pStyle w:val="BodyText"/>
        <w:rPr>
          <w:rFonts w:eastAsiaTheme="minorHAnsi" w:cstheme="minorBidi"/>
          <w:szCs w:val="22"/>
        </w:rPr>
      </w:pPr>
      <w:r w:rsidRPr="00713025">
        <w:rPr>
          <w:rFonts w:eastAsiaTheme="minorHAnsi" w:cstheme="minorBidi"/>
          <w:szCs w:val="22"/>
        </w:rPr>
        <w:t xml:space="preserve">The Utility recorded </w:t>
      </w:r>
      <w:r>
        <w:rPr>
          <w:rFonts w:eastAsiaTheme="minorHAnsi" w:cstheme="minorBidi"/>
          <w:szCs w:val="22"/>
        </w:rPr>
        <w:t>contractual services - other expense of $31,534</w:t>
      </w:r>
      <w:r w:rsidRPr="00713025">
        <w:rPr>
          <w:rFonts w:eastAsiaTheme="minorHAnsi" w:cstheme="minorBidi"/>
          <w:szCs w:val="22"/>
        </w:rPr>
        <w:t xml:space="preserve">. </w:t>
      </w:r>
      <w:r>
        <w:rPr>
          <w:rFonts w:eastAsiaTheme="minorHAnsi" w:cstheme="minorBidi"/>
          <w:szCs w:val="22"/>
        </w:rPr>
        <w:t>Staff made no adjustments to this amount and</w:t>
      </w:r>
      <w:r w:rsidR="009E10BA">
        <w:rPr>
          <w:rFonts w:eastAsiaTheme="minorHAnsi" w:cstheme="minorBidi"/>
          <w:szCs w:val="22"/>
        </w:rPr>
        <w:t>,</w:t>
      </w:r>
      <w:r>
        <w:rPr>
          <w:rFonts w:eastAsiaTheme="minorHAnsi" w:cstheme="minorBidi"/>
          <w:szCs w:val="22"/>
        </w:rPr>
        <w:t xml:space="preserve"> therefore</w:t>
      </w:r>
      <w:r w:rsidR="009E10BA">
        <w:rPr>
          <w:rFonts w:eastAsiaTheme="minorHAnsi" w:cstheme="minorBidi"/>
          <w:szCs w:val="22"/>
        </w:rPr>
        <w:t>,</w:t>
      </w:r>
      <w:r>
        <w:rPr>
          <w:rFonts w:eastAsiaTheme="minorHAnsi" w:cstheme="minorBidi"/>
          <w:szCs w:val="22"/>
        </w:rPr>
        <w:t xml:space="preserve"> recommends a </w:t>
      </w:r>
      <w:r w:rsidR="00E35DB3">
        <w:rPr>
          <w:rFonts w:eastAsiaTheme="minorHAnsi" w:cstheme="minorBidi"/>
          <w:szCs w:val="22"/>
        </w:rPr>
        <w:t>contractual services - other</w:t>
      </w:r>
      <w:r>
        <w:rPr>
          <w:rFonts w:eastAsiaTheme="minorHAnsi" w:cstheme="minorBidi"/>
          <w:szCs w:val="22"/>
        </w:rPr>
        <w:t xml:space="preserve"> expense of $31,534.</w:t>
      </w:r>
    </w:p>
    <w:p w14:paraId="35FB3CFC" w14:textId="77777777" w:rsidR="00F304E8" w:rsidRPr="00713025" w:rsidRDefault="00F304E8" w:rsidP="00F304E8">
      <w:pPr>
        <w:ind w:firstLine="720"/>
        <w:rPr>
          <w:rFonts w:ascii="Arial" w:eastAsiaTheme="minorHAnsi" w:hAnsi="Arial" w:cs="Arial"/>
          <w:b/>
          <w:szCs w:val="22"/>
        </w:rPr>
      </w:pPr>
      <w:r w:rsidRPr="00713025">
        <w:rPr>
          <w:rFonts w:ascii="Arial" w:eastAsiaTheme="minorHAnsi" w:hAnsi="Arial" w:cs="Arial"/>
          <w:b/>
          <w:szCs w:val="22"/>
        </w:rPr>
        <w:t xml:space="preserve">Insurance </w:t>
      </w:r>
      <w:r>
        <w:rPr>
          <w:rFonts w:ascii="Arial" w:eastAsiaTheme="minorHAnsi" w:hAnsi="Arial" w:cs="Arial"/>
          <w:b/>
          <w:szCs w:val="22"/>
        </w:rPr>
        <w:t>Expense (655</w:t>
      </w:r>
      <w:r w:rsidRPr="00713025">
        <w:rPr>
          <w:rFonts w:ascii="Arial" w:eastAsiaTheme="minorHAnsi" w:hAnsi="Arial" w:cs="Arial"/>
          <w:b/>
          <w:szCs w:val="22"/>
        </w:rPr>
        <w:t>)</w:t>
      </w:r>
    </w:p>
    <w:p w14:paraId="025F67AB" w14:textId="77777777" w:rsidR="00F304E8" w:rsidRPr="00BF32CE" w:rsidRDefault="00F304E8" w:rsidP="00223794">
      <w:pPr>
        <w:spacing w:after="240"/>
        <w:jc w:val="both"/>
        <w:rPr>
          <w:rFonts w:eastAsiaTheme="minorHAnsi" w:cstheme="minorBidi"/>
          <w:szCs w:val="22"/>
        </w:rPr>
      </w:pPr>
      <w:r w:rsidRPr="00713025">
        <w:rPr>
          <w:rFonts w:eastAsiaTheme="minorHAnsi" w:cstheme="minorBidi"/>
          <w:szCs w:val="22"/>
        </w:rPr>
        <w:t>The Utility recorded insurance expense of $1,</w:t>
      </w:r>
      <w:r>
        <w:rPr>
          <w:rFonts w:eastAsiaTheme="minorHAnsi" w:cstheme="minorBidi"/>
          <w:szCs w:val="22"/>
        </w:rPr>
        <w:t>677</w:t>
      </w:r>
      <w:r w:rsidRPr="00713025">
        <w:rPr>
          <w:rFonts w:eastAsiaTheme="minorHAnsi" w:cstheme="minorBidi"/>
          <w:szCs w:val="22"/>
        </w:rPr>
        <w:t xml:space="preserve">. Staff </w:t>
      </w:r>
      <w:r>
        <w:rPr>
          <w:rFonts w:eastAsiaTheme="minorHAnsi" w:cstheme="minorBidi"/>
          <w:szCs w:val="22"/>
        </w:rPr>
        <w:t>decreased</w:t>
      </w:r>
      <w:r w:rsidRPr="00713025">
        <w:rPr>
          <w:rFonts w:eastAsiaTheme="minorHAnsi" w:cstheme="minorBidi"/>
          <w:szCs w:val="22"/>
        </w:rPr>
        <w:t xml:space="preserve"> this </w:t>
      </w:r>
      <w:r w:rsidR="003F06B1">
        <w:rPr>
          <w:rFonts w:eastAsiaTheme="minorHAnsi" w:cstheme="minorBidi"/>
          <w:szCs w:val="22"/>
        </w:rPr>
        <w:t>amount</w:t>
      </w:r>
      <w:r w:rsidRPr="00713025">
        <w:rPr>
          <w:rFonts w:eastAsiaTheme="minorHAnsi" w:cstheme="minorBidi"/>
          <w:szCs w:val="22"/>
        </w:rPr>
        <w:t xml:space="preserve"> by $</w:t>
      </w:r>
      <w:r>
        <w:rPr>
          <w:rFonts w:eastAsiaTheme="minorHAnsi" w:cstheme="minorBidi"/>
          <w:szCs w:val="22"/>
        </w:rPr>
        <w:t>12</w:t>
      </w:r>
      <w:r w:rsidRPr="00713025">
        <w:rPr>
          <w:rFonts w:eastAsiaTheme="minorHAnsi" w:cstheme="minorBidi"/>
          <w:szCs w:val="22"/>
        </w:rPr>
        <w:t xml:space="preserve"> to reflect an auditing adjustment based on the current</w:t>
      </w:r>
      <w:r>
        <w:rPr>
          <w:rFonts w:eastAsiaTheme="minorHAnsi" w:cstheme="minorBidi"/>
          <w:szCs w:val="22"/>
        </w:rPr>
        <w:t>ly effective</w:t>
      </w:r>
      <w:r w:rsidRPr="00713025">
        <w:rPr>
          <w:rFonts w:eastAsiaTheme="minorHAnsi" w:cstheme="minorBidi"/>
          <w:szCs w:val="22"/>
        </w:rPr>
        <w:t xml:space="preserve"> insurance policy</w:t>
      </w:r>
      <w:r w:rsidR="00E35DB3">
        <w:rPr>
          <w:rFonts w:eastAsiaTheme="minorHAnsi" w:cstheme="minorBidi"/>
          <w:szCs w:val="22"/>
        </w:rPr>
        <w:t xml:space="preserve">. Therefore, staff recommends an </w:t>
      </w:r>
      <w:r w:rsidRPr="00BF32CE">
        <w:rPr>
          <w:rFonts w:eastAsiaTheme="minorHAnsi" w:cstheme="minorBidi"/>
          <w:szCs w:val="22"/>
        </w:rPr>
        <w:t>insurance expense of $1,665.</w:t>
      </w:r>
    </w:p>
    <w:p w14:paraId="2118AF9D" w14:textId="77777777" w:rsidR="00F304E8" w:rsidRPr="00BF32CE" w:rsidRDefault="00F304E8" w:rsidP="00F304E8">
      <w:pPr>
        <w:ind w:firstLine="720"/>
        <w:rPr>
          <w:rFonts w:ascii="Arial" w:eastAsiaTheme="minorHAnsi" w:hAnsi="Arial" w:cs="Arial"/>
          <w:b/>
          <w:szCs w:val="22"/>
        </w:rPr>
      </w:pPr>
      <w:r w:rsidRPr="00BF32CE">
        <w:rPr>
          <w:rFonts w:ascii="Arial" w:eastAsiaTheme="minorHAnsi" w:hAnsi="Arial" w:cs="Arial"/>
          <w:b/>
          <w:szCs w:val="22"/>
        </w:rPr>
        <w:t>Regulatory Commission Expense (665)</w:t>
      </w:r>
    </w:p>
    <w:p w14:paraId="4B15DF1F" w14:textId="09A6A1DE" w:rsidR="00F304E8" w:rsidRPr="00BF32CE" w:rsidRDefault="00F304E8" w:rsidP="00F304E8">
      <w:pPr>
        <w:pStyle w:val="BodyText"/>
        <w:rPr>
          <w:rFonts w:eastAsiaTheme="minorHAnsi" w:cstheme="minorBidi"/>
          <w:szCs w:val="22"/>
        </w:rPr>
      </w:pPr>
      <w:r w:rsidRPr="00BF32CE">
        <w:rPr>
          <w:rFonts w:eastAsiaTheme="minorHAnsi" w:cstheme="minorBidi"/>
        </w:rPr>
        <w:t>The Utility recorded an annual rate case expense of $125. Audit staff increased this amount by $40 to reflect the annual rate case expense of $165 approved by</w:t>
      </w:r>
      <w:r w:rsidRPr="00BF32CE">
        <w:rPr>
          <w:rFonts w:eastAsiaTheme="minorHAnsi" w:cstheme="minorBidi"/>
          <w:szCs w:val="22"/>
        </w:rPr>
        <w:t xml:space="preserve"> the </w:t>
      </w:r>
      <w:r w:rsidR="009E10BA">
        <w:rPr>
          <w:rFonts w:eastAsiaTheme="minorHAnsi" w:cstheme="minorBidi"/>
          <w:szCs w:val="22"/>
        </w:rPr>
        <w:t>CCWWA</w:t>
      </w:r>
      <w:r w:rsidRPr="00BF32CE">
        <w:rPr>
          <w:rFonts w:eastAsiaTheme="minorHAnsi" w:cstheme="minorBidi"/>
          <w:szCs w:val="22"/>
        </w:rPr>
        <w:t xml:space="preserve"> in Final Order No. 24-02.</w:t>
      </w:r>
    </w:p>
    <w:p w14:paraId="211D84E0" w14:textId="77777777" w:rsidR="00F304E8" w:rsidRPr="00BF32CE" w:rsidRDefault="00F304E8" w:rsidP="00F304E8">
      <w:pPr>
        <w:pStyle w:val="BodyText"/>
      </w:pPr>
      <w:r w:rsidRPr="00BF32CE">
        <w:t>The Utility is required by Rule 25-22.0407, F.A.C., to mail notices of the rate case overview, interim rates, final rates, and four-year rate reduction. Staff ca</w:t>
      </w:r>
      <w:r>
        <w:t>lculated noticing costs to be $5</w:t>
      </w:r>
      <w:r w:rsidR="00664BE3">
        <w:t>41</w:t>
      </w:r>
      <w:r w:rsidRPr="00BF32CE">
        <w:t>. Staff calculated a distance of 215 miles from the Utility to Tallahassee. Based on the 2025 Internal Revenue Service (IRS) business mileage rate of $0.70, staff calculated round trip travel and lodging expense to the Commission Conference of $501.</w:t>
      </w:r>
      <w:r w:rsidRPr="00BF32CE">
        <w:rPr>
          <w:rStyle w:val="FootnoteReference"/>
        </w:rPr>
        <w:footnoteReference w:id="13"/>
      </w:r>
      <w:r w:rsidRPr="00BF32CE">
        <w:t xml:space="preserve"> Additionally, the Utility paid a filing fee of $1,000.</w:t>
      </w:r>
    </w:p>
    <w:p w14:paraId="047F4C56" w14:textId="77777777" w:rsidR="00F304E8" w:rsidRDefault="00F304E8" w:rsidP="00223794">
      <w:pPr>
        <w:spacing w:after="240"/>
        <w:jc w:val="both"/>
      </w:pPr>
      <w:r w:rsidRPr="00BF32CE">
        <w:t>Staff recommends a total rate case expense, consisting of noticing costs, travel, and lodging expenses</w:t>
      </w:r>
      <w:r w:rsidR="00664BE3">
        <w:t>, and filing fee of $2,042,</w:t>
      </w:r>
      <w:r w:rsidRPr="00BF32CE">
        <w:t xml:space="preserve"> which amortized over four years is $510. Therefore, staff recommends an increase of $550 and a total annual rate case expense of $675.</w:t>
      </w:r>
    </w:p>
    <w:p w14:paraId="22A0333F" w14:textId="77777777" w:rsidR="00F304E8" w:rsidRPr="00713025" w:rsidRDefault="00F304E8" w:rsidP="00F304E8">
      <w:pPr>
        <w:rPr>
          <w:rFonts w:ascii="Arial" w:eastAsiaTheme="minorHAnsi" w:hAnsi="Arial" w:cs="Arial"/>
          <w:b/>
        </w:rPr>
      </w:pPr>
      <w:r w:rsidRPr="00713025">
        <w:rPr>
          <w:rFonts w:eastAsiaTheme="minorHAnsi" w:cstheme="minorBidi"/>
        </w:rPr>
        <w:tab/>
      </w:r>
      <w:r w:rsidRPr="00713025">
        <w:rPr>
          <w:rFonts w:ascii="Arial" w:eastAsiaTheme="minorHAnsi" w:hAnsi="Arial" w:cs="Arial"/>
          <w:b/>
        </w:rPr>
        <w:t>Bad Debt Expense (670)</w:t>
      </w:r>
    </w:p>
    <w:p w14:paraId="76DAAD9B" w14:textId="46F7A877" w:rsidR="00F304E8" w:rsidRPr="00223794" w:rsidRDefault="00F304E8" w:rsidP="00223794">
      <w:pPr>
        <w:spacing w:after="240"/>
        <w:jc w:val="both"/>
      </w:pPr>
      <w:r>
        <w:rPr>
          <w:rFonts w:eastAsiaTheme="minorHAnsi" w:cstheme="minorBidi"/>
        </w:rPr>
        <w:t xml:space="preserve">Citrus </w:t>
      </w:r>
      <w:r w:rsidRPr="00713025">
        <w:rPr>
          <w:rFonts w:eastAsiaTheme="minorHAnsi" w:cstheme="minorBidi"/>
        </w:rPr>
        <w:t>recorded a bad debt expense of $</w:t>
      </w:r>
      <w:r>
        <w:rPr>
          <w:rFonts w:eastAsiaTheme="minorHAnsi" w:cstheme="minorBidi"/>
        </w:rPr>
        <w:t>2,040</w:t>
      </w:r>
      <w:r w:rsidRPr="00713025">
        <w:rPr>
          <w:rFonts w:eastAsiaTheme="minorHAnsi" w:cstheme="minorBidi"/>
        </w:rPr>
        <w:t xml:space="preserve"> for the test year.</w:t>
      </w:r>
      <w:r w:rsidRPr="0048701A">
        <w:t xml:space="preserve"> </w:t>
      </w:r>
      <w:r w:rsidRPr="00460498">
        <w:t>Staff notes that it is Commission practice to calculate bad debt expense using a three-year average when the information is available.</w:t>
      </w:r>
      <w:r>
        <w:rPr>
          <w:rStyle w:val="FootnoteReference"/>
        </w:rPr>
        <w:footnoteReference w:id="14"/>
      </w:r>
      <w:r>
        <w:t xml:space="preserve"> In response to staff’s second data request, the Utility provided the bad debt amounts of ($292), $757, and $2,040 for 2022, 2023, and 2024, respectively.</w:t>
      </w:r>
      <w:r>
        <w:rPr>
          <w:rStyle w:val="FootnoteReference"/>
        </w:rPr>
        <w:footnoteReference w:id="15"/>
      </w:r>
      <w:r>
        <w:t xml:space="preserve"> </w:t>
      </w:r>
      <w:r w:rsidR="009E10BA">
        <w:t>Because</w:t>
      </w:r>
      <w:r>
        <w:t xml:space="preserve"> the negative bad debt in 2022 reflects recovery of prior-year write-offs, relying on it would skew the historical three-year average. Therefore, staff calculated a bad debt expense of 1 percent of total revenues, resulting in a bad debt expense of $566, a decrease of $1,474.</w:t>
      </w:r>
      <w:r w:rsidR="00A74343">
        <w:t xml:space="preserve"> The Commission has </w:t>
      </w:r>
      <w:r w:rsidR="002E79D2">
        <w:t>previously</w:t>
      </w:r>
      <w:r w:rsidR="00A74343">
        <w:t xml:space="preserve"> used a percent of revenue as an approximate proxy for bad deb</w:t>
      </w:r>
      <w:r w:rsidR="009E10BA">
        <w:t>t</w:t>
      </w:r>
      <w:r w:rsidR="00A74343">
        <w:t xml:space="preserve"> expense in previous dockets.</w:t>
      </w:r>
      <w:r w:rsidR="007B62AE">
        <w:rPr>
          <w:rStyle w:val="FootnoteReference"/>
        </w:rPr>
        <w:footnoteReference w:id="16"/>
      </w:r>
    </w:p>
    <w:p w14:paraId="3E431C94" w14:textId="77777777" w:rsidR="00F304E8" w:rsidRDefault="00F304E8" w:rsidP="00F304E8">
      <w:pPr>
        <w:pStyle w:val="BodyText"/>
        <w:spacing w:after="0"/>
        <w:ind w:firstLine="720"/>
        <w:rPr>
          <w:rFonts w:ascii="Arial" w:hAnsi="Arial" w:cs="Arial"/>
          <w:b/>
        </w:rPr>
      </w:pPr>
      <w:r>
        <w:rPr>
          <w:rFonts w:ascii="Arial" w:hAnsi="Arial" w:cs="Arial"/>
          <w:b/>
        </w:rPr>
        <w:t>Miscellaneous Expense (67</w:t>
      </w:r>
      <w:r w:rsidRPr="00050142">
        <w:rPr>
          <w:rFonts w:ascii="Arial" w:hAnsi="Arial" w:cs="Arial"/>
          <w:b/>
        </w:rPr>
        <w:t>5)</w:t>
      </w:r>
    </w:p>
    <w:p w14:paraId="2FAC2A9D" w14:textId="77777777" w:rsidR="00F304E8" w:rsidRDefault="00F304E8" w:rsidP="00F304E8">
      <w:pPr>
        <w:spacing w:after="200"/>
        <w:jc w:val="both"/>
      </w:pPr>
      <w:r>
        <w:t>The Utility recorded miscellaneous expense of $2,921. During the test year, the Utility incurred certain non-recurring expenses. Pursuant to Rule 25-30.433(9), F.A.C., staff amortized these expenses over a five-year period. Specifically, the Utility incurred $1,430 for tree trimming and $741 in fees associated with compliance actions related to DEP’s Lead Service Line Inventory (LSLI) requirements. Staff amortized these costs over a five-year period resulting in a total annual expense of $434. This amount represents a reduction of $1,737. Therefore, staff recommends a miscellaneous expense of $1,184.</w:t>
      </w:r>
    </w:p>
    <w:p w14:paraId="7AEBA27F" w14:textId="77777777" w:rsidR="00F304E8" w:rsidRDefault="00F304E8" w:rsidP="00F304E8">
      <w:pPr>
        <w:pStyle w:val="First-LevelSubheading"/>
      </w:pPr>
      <w:r>
        <w:t>Operation and Maintenance Expense Summary</w:t>
      </w:r>
    </w:p>
    <w:p w14:paraId="3CC5DDB2" w14:textId="77777777" w:rsidR="00F304E8" w:rsidRDefault="00F304E8" w:rsidP="00F304E8">
      <w:pPr>
        <w:pStyle w:val="BodyText"/>
      </w:pPr>
      <w:r>
        <w:t>The Utility recorded test year O&amp;M expense of $48,581. Based on the above adjustments, staff recommends O&amp;M expense be decreased by $4,</w:t>
      </w:r>
      <w:r w:rsidR="00073AD7">
        <w:t>769</w:t>
      </w:r>
      <w:r>
        <w:t>. This results in a total O&amp;M expense of $</w:t>
      </w:r>
      <w:r w:rsidR="00664BE3">
        <w:t>43,812</w:t>
      </w:r>
      <w:r>
        <w:t>. Staff’s recommended adjustments to O&amp;M are shown on Schedule No. 3-C.</w:t>
      </w:r>
    </w:p>
    <w:p w14:paraId="0DD6BD60" w14:textId="77777777" w:rsidR="00F304E8" w:rsidRDefault="00F304E8" w:rsidP="00F304E8">
      <w:pPr>
        <w:pStyle w:val="First-LevelSubheading"/>
      </w:pPr>
      <w:r>
        <w:t>Depreciation Expense</w:t>
      </w:r>
    </w:p>
    <w:p w14:paraId="022BB8D6" w14:textId="77777777" w:rsidR="00F304E8" w:rsidRDefault="00F304E8" w:rsidP="00F304E8">
      <w:pPr>
        <w:spacing w:after="200"/>
        <w:jc w:val="both"/>
        <w:rPr>
          <w:rFonts w:eastAsiaTheme="minorHAnsi" w:cstheme="minorBidi"/>
        </w:rPr>
      </w:pPr>
      <w:r w:rsidRPr="00713025">
        <w:rPr>
          <w:rFonts w:eastAsiaTheme="minorHAnsi" w:cstheme="minorBidi"/>
        </w:rPr>
        <w:t>The Utility recorded depreciation expense of $</w:t>
      </w:r>
      <w:r>
        <w:rPr>
          <w:rFonts w:eastAsiaTheme="minorHAnsi" w:cstheme="minorBidi"/>
        </w:rPr>
        <w:t>5</w:t>
      </w:r>
      <w:r w:rsidRPr="00713025">
        <w:rPr>
          <w:rFonts w:eastAsiaTheme="minorHAnsi" w:cstheme="minorBidi"/>
        </w:rPr>
        <w:t>,</w:t>
      </w:r>
      <w:r>
        <w:rPr>
          <w:rFonts w:eastAsiaTheme="minorHAnsi" w:cstheme="minorBidi"/>
        </w:rPr>
        <w:t>142</w:t>
      </w:r>
      <w:r w:rsidRPr="00713025">
        <w:rPr>
          <w:rFonts w:eastAsiaTheme="minorHAnsi" w:cstheme="minorBidi"/>
        </w:rPr>
        <w:t xml:space="preserve">. </w:t>
      </w:r>
      <w:r>
        <w:rPr>
          <w:rFonts w:eastAsiaTheme="minorHAnsi" w:cstheme="minorBidi"/>
        </w:rPr>
        <w:t>Based on the depreciation rates prescribed in Rule 25-30.140, F.A.C., audit s</w:t>
      </w:r>
      <w:r w:rsidR="003F06B1">
        <w:rPr>
          <w:rFonts w:eastAsiaTheme="minorHAnsi" w:cstheme="minorBidi"/>
        </w:rPr>
        <w:t>taff decreased this amount by $4</w:t>
      </w:r>
      <w:r>
        <w:rPr>
          <w:rFonts w:eastAsiaTheme="minorHAnsi" w:cstheme="minorBidi"/>
        </w:rPr>
        <w:t xml:space="preserve">87. </w:t>
      </w:r>
      <w:r w:rsidR="003F06B1">
        <w:rPr>
          <w:rFonts w:eastAsiaTheme="minorHAnsi" w:cstheme="minorBidi"/>
        </w:rPr>
        <w:t xml:space="preserve">Staff increased this amount by $100 to reflect pro forma additions. </w:t>
      </w:r>
      <w:r>
        <w:rPr>
          <w:rFonts w:eastAsiaTheme="minorHAnsi" w:cstheme="minorBidi"/>
        </w:rPr>
        <w:t>Therefore, staff recommends depreciation expense of $4,755.</w:t>
      </w:r>
    </w:p>
    <w:p w14:paraId="625E9C9E" w14:textId="77777777" w:rsidR="00F304E8" w:rsidRDefault="00F304E8" w:rsidP="00F304E8">
      <w:pPr>
        <w:pStyle w:val="First-LevelSubheading"/>
      </w:pPr>
      <w:r>
        <w:t>Amortization of CIAC</w:t>
      </w:r>
    </w:p>
    <w:p w14:paraId="62AB400D" w14:textId="77777777" w:rsidR="00F304E8" w:rsidRPr="00964EB9" w:rsidRDefault="00F304E8" w:rsidP="00F304E8">
      <w:pPr>
        <w:spacing w:after="200"/>
        <w:jc w:val="both"/>
        <w:rPr>
          <w:rFonts w:eastAsiaTheme="minorHAnsi" w:cstheme="minorBidi"/>
        </w:rPr>
      </w:pPr>
      <w:r w:rsidRPr="00713025">
        <w:rPr>
          <w:rFonts w:eastAsiaTheme="minorHAnsi" w:cstheme="minorBidi"/>
        </w:rPr>
        <w:t>The Utility re</w:t>
      </w:r>
      <w:r>
        <w:rPr>
          <w:rFonts w:eastAsiaTheme="minorHAnsi" w:cstheme="minorBidi"/>
        </w:rPr>
        <w:t xml:space="preserve">corded amortization of CIAC expense of $831. </w:t>
      </w:r>
      <w:r w:rsidRPr="00713025">
        <w:rPr>
          <w:rFonts w:eastAsiaTheme="minorHAnsi" w:cstheme="minorBidi"/>
        </w:rPr>
        <w:t xml:space="preserve">Staff </w:t>
      </w:r>
      <w:r w:rsidR="006219D1">
        <w:rPr>
          <w:rFonts w:eastAsiaTheme="minorHAnsi" w:cstheme="minorBidi"/>
        </w:rPr>
        <w:t>decreased</w:t>
      </w:r>
      <w:r w:rsidRPr="00713025">
        <w:rPr>
          <w:rFonts w:eastAsiaTheme="minorHAnsi" w:cstheme="minorBidi"/>
        </w:rPr>
        <w:t xml:space="preserve"> this </w:t>
      </w:r>
      <w:r w:rsidR="003F06B1">
        <w:rPr>
          <w:rFonts w:eastAsiaTheme="minorHAnsi" w:cstheme="minorBidi"/>
        </w:rPr>
        <w:t>amount</w:t>
      </w:r>
      <w:r w:rsidRPr="00713025">
        <w:rPr>
          <w:rFonts w:eastAsiaTheme="minorHAnsi" w:cstheme="minorBidi"/>
        </w:rPr>
        <w:t xml:space="preserve"> by $</w:t>
      </w:r>
      <w:r>
        <w:rPr>
          <w:rFonts w:eastAsiaTheme="minorHAnsi" w:cstheme="minorBidi"/>
        </w:rPr>
        <w:t xml:space="preserve">1 </w:t>
      </w:r>
      <w:r w:rsidRPr="00713025">
        <w:rPr>
          <w:rFonts w:eastAsiaTheme="minorHAnsi" w:cstheme="minorBidi"/>
        </w:rPr>
        <w:t>to reflect an auditing adjustment, and therefore recommends an am</w:t>
      </w:r>
      <w:r>
        <w:rPr>
          <w:rFonts w:eastAsiaTheme="minorHAnsi" w:cstheme="minorBidi"/>
        </w:rPr>
        <w:t>ortization of CIAC of $832.</w:t>
      </w:r>
    </w:p>
    <w:p w14:paraId="5EC51DB8" w14:textId="77777777" w:rsidR="00F304E8" w:rsidRPr="00BF32CE" w:rsidRDefault="00F304E8" w:rsidP="00F304E8">
      <w:pPr>
        <w:pStyle w:val="First-LevelSubheading"/>
      </w:pPr>
      <w:r w:rsidRPr="00BF32CE">
        <w:t>Taxes Other Than Income (TOTI)</w:t>
      </w:r>
    </w:p>
    <w:p w14:paraId="4B12045E" w14:textId="2B584268" w:rsidR="00F304E8" w:rsidRPr="00BF32CE" w:rsidRDefault="00F304E8" w:rsidP="00F304E8">
      <w:pPr>
        <w:pStyle w:val="BodyText"/>
        <w:rPr>
          <w:rFonts w:eastAsiaTheme="minorHAnsi" w:cstheme="minorBidi"/>
        </w:rPr>
      </w:pPr>
      <w:r w:rsidRPr="00BF32CE">
        <w:rPr>
          <w:rFonts w:eastAsiaTheme="minorHAnsi" w:cstheme="minorBidi"/>
        </w:rPr>
        <w:t>The Utility recorded TOTI of $2,925. Audit staff increased tangible tax by $525 to reflect 2024 Real and Tangible Personal Property tax assessment</w:t>
      </w:r>
      <w:r>
        <w:rPr>
          <w:rFonts w:eastAsiaTheme="minorHAnsi" w:cstheme="minorBidi"/>
        </w:rPr>
        <w:t xml:space="preserve">s from Citrus County. </w:t>
      </w:r>
      <w:r w:rsidR="003D20BA">
        <w:rPr>
          <w:rFonts w:eastAsiaTheme="minorHAnsi" w:cstheme="minorBidi"/>
        </w:rPr>
        <w:t xml:space="preserve">Audit staff increased TOTI by $159 to reflect the appropriate RAFs related to the revenue adjustment. </w:t>
      </w:r>
      <w:r>
        <w:rPr>
          <w:rFonts w:eastAsiaTheme="minorHAnsi" w:cstheme="minorBidi"/>
        </w:rPr>
        <w:t>A</w:t>
      </w:r>
      <w:r w:rsidRPr="00BF32CE">
        <w:rPr>
          <w:rFonts w:eastAsiaTheme="minorHAnsi" w:cstheme="minorBidi"/>
        </w:rPr>
        <w:t>udit staff</w:t>
      </w:r>
      <w:r>
        <w:rPr>
          <w:rFonts w:eastAsiaTheme="minorHAnsi" w:cstheme="minorBidi"/>
        </w:rPr>
        <w:t xml:space="preserve"> also</w:t>
      </w:r>
      <w:r w:rsidRPr="00BF32CE">
        <w:rPr>
          <w:rFonts w:eastAsiaTheme="minorHAnsi" w:cstheme="minorBidi"/>
        </w:rPr>
        <w:t xml:space="preserve"> </w:t>
      </w:r>
      <w:r w:rsidR="00EA141F">
        <w:rPr>
          <w:rFonts w:eastAsiaTheme="minorHAnsi" w:cstheme="minorBidi"/>
        </w:rPr>
        <w:t>decreased</w:t>
      </w:r>
      <w:r w:rsidRPr="00BF32CE">
        <w:rPr>
          <w:rFonts w:eastAsiaTheme="minorHAnsi" w:cstheme="minorBidi"/>
        </w:rPr>
        <w:t xml:space="preserve"> property tax by $34 to reflect the maximum early-payment discount of four percent.</w:t>
      </w:r>
      <w:r>
        <w:rPr>
          <w:rFonts w:eastAsiaTheme="minorHAnsi" w:cstheme="minorBidi"/>
        </w:rPr>
        <w:t xml:space="preserve"> Staff increased TOTI by $123 to reflect updated property tax information filed by the Utility.</w:t>
      </w:r>
      <w:r>
        <w:rPr>
          <w:rStyle w:val="FootnoteReference"/>
          <w:rFonts w:eastAsiaTheme="minorHAnsi" w:cstheme="minorBidi"/>
        </w:rPr>
        <w:footnoteReference w:id="17"/>
      </w:r>
      <w:r>
        <w:rPr>
          <w:rFonts w:eastAsiaTheme="minorHAnsi" w:cstheme="minorBidi"/>
        </w:rPr>
        <w:t xml:space="preserve"> Staff further increased TOTI by $21 to reflect property taxes associated with pro forma plant additions.</w:t>
      </w:r>
    </w:p>
    <w:p w14:paraId="0D3E72E7" w14:textId="77777777" w:rsidR="00F304E8" w:rsidRPr="00BF32CE" w:rsidRDefault="00F304E8" w:rsidP="00F304E8">
      <w:pPr>
        <w:pStyle w:val="BodyText"/>
        <w:rPr>
          <w:rFonts w:eastAsiaTheme="minorHAnsi" w:cstheme="minorBidi"/>
        </w:rPr>
      </w:pPr>
      <w:r w:rsidRPr="00BF32CE">
        <w:rPr>
          <w:rFonts w:eastAsiaTheme="minorHAnsi" w:cstheme="minorBidi"/>
        </w:rPr>
        <w:t xml:space="preserve">Based on revenues discussed in Issue 6, TOTI should be </w:t>
      </w:r>
      <w:r w:rsidR="00EF3D1D">
        <w:rPr>
          <w:rFonts w:eastAsiaTheme="minorHAnsi" w:cstheme="minorBidi"/>
        </w:rPr>
        <w:t>decreased by $6</w:t>
      </w:r>
      <w:r w:rsidRPr="00BF32CE">
        <w:rPr>
          <w:rFonts w:eastAsiaTheme="minorHAnsi" w:cstheme="minorBidi"/>
        </w:rPr>
        <w:t xml:space="preserve"> to reflect a regulatory assessment fee (RAF) rate of 4.5 percent applied to the adjustment in revenues.</w:t>
      </w:r>
    </w:p>
    <w:p w14:paraId="2FCAB8D9" w14:textId="77777777" w:rsidR="00F304E8" w:rsidRPr="00713025" w:rsidRDefault="00F304E8" w:rsidP="00F304E8">
      <w:pPr>
        <w:pStyle w:val="BodyText"/>
        <w:rPr>
          <w:rFonts w:eastAsiaTheme="minorHAnsi" w:cstheme="minorBidi"/>
        </w:rPr>
      </w:pPr>
      <w:r w:rsidRPr="00BF32CE">
        <w:rPr>
          <w:rFonts w:eastAsiaTheme="minorHAnsi" w:cstheme="minorBidi"/>
        </w:rPr>
        <w:t xml:space="preserve">As discussed in Issue 9, staff recommends revenues be increased by </w:t>
      </w:r>
      <w:r w:rsidR="00EF3D1D">
        <w:rPr>
          <w:rFonts w:eastAsiaTheme="minorHAnsi" w:cstheme="minorBidi"/>
        </w:rPr>
        <w:t>$2,527</w:t>
      </w:r>
      <w:r w:rsidRPr="00BF32CE">
        <w:rPr>
          <w:rFonts w:eastAsiaTheme="minorHAnsi" w:cstheme="minorBidi"/>
        </w:rPr>
        <w:t xml:space="preserve"> to reflect the increased revenue required to cover expenses and allow an opportunity to earn the recommended rate of return. As a result, </w:t>
      </w:r>
      <w:r w:rsidR="00EF3D1D">
        <w:rPr>
          <w:rFonts w:eastAsiaTheme="minorHAnsi" w:cstheme="minorBidi"/>
        </w:rPr>
        <w:t>TOTI should be increased by $114</w:t>
      </w:r>
      <w:r w:rsidRPr="00BF32CE">
        <w:rPr>
          <w:rFonts w:eastAsiaTheme="minorHAnsi" w:cstheme="minorBidi"/>
        </w:rPr>
        <w:t xml:space="preserve"> to reflect a RAF rate of 4.5 percent of the change in revenues.</w:t>
      </w:r>
      <w:r>
        <w:rPr>
          <w:rFonts w:eastAsiaTheme="minorHAnsi" w:cstheme="minorBidi"/>
        </w:rPr>
        <w:t xml:space="preserve"> </w:t>
      </w:r>
      <w:r w:rsidRPr="00BF32CE">
        <w:rPr>
          <w:rFonts w:eastAsiaTheme="minorHAnsi" w:cstheme="minorBidi"/>
        </w:rPr>
        <w:t>Staff’s adjustments re</w:t>
      </w:r>
      <w:r>
        <w:rPr>
          <w:rFonts w:eastAsiaTheme="minorHAnsi" w:cstheme="minorBidi"/>
        </w:rPr>
        <w:t>sult in a to</w:t>
      </w:r>
      <w:r w:rsidR="00EF3D1D">
        <w:rPr>
          <w:rFonts w:eastAsiaTheme="minorHAnsi" w:cstheme="minorBidi"/>
        </w:rPr>
        <w:t>tal increase of $901</w:t>
      </w:r>
      <w:r w:rsidRPr="00BF32CE">
        <w:rPr>
          <w:rFonts w:eastAsiaTheme="minorHAnsi" w:cstheme="minorBidi"/>
        </w:rPr>
        <w:t>. Therefore, s</w:t>
      </w:r>
      <w:r w:rsidR="00EF3D1D">
        <w:rPr>
          <w:rFonts w:eastAsiaTheme="minorHAnsi" w:cstheme="minorBidi"/>
        </w:rPr>
        <w:t>taff recommends a TOTI of $3,826</w:t>
      </w:r>
      <w:r w:rsidRPr="00BF32CE">
        <w:rPr>
          <w:rFonts w:eastAsiaTheme="minorHAnsi" w:cstheme="minorBidi"/>
        </w:rPr>
        <w:t>.</w:t>
      </w:r>
    </w:p>
    <w:p w14:paraId="0F2227C3" w14:textId="77777777" w:rsidR="00F304E8" w:rsidRDefault="00F304E8" w:rsidP="00F304E8">
      <w:pPr>
        <w:pStyle w:val="First-LevelSubheading"/>
      </w:pPr>
      <w:r>
        <w:t>Operating Expense Summary</w:t>
      </w:r>
    </w:p>
    <w:p w14:paraId="2C5C2FE5" w14:textId="7A1BC06E" w:rsidR="00144C53" w:rsidRDefault="00F304E8" w:rsidP="00F304E8">
      <w:pPr>
        <w:pStyle w:val="BodyText"/>
      </w:pPr>
      <w:r w:rsidRPr="00713025">
        <w:rPr>
          <w:rFonts w:eastAsiaTheme="minorHAnsi" w:cstheme="minorBidi"/>
        </w:rPr>
        <w:t>The Utility record</w:t>
      </w:r>
      <w:r>
        <w:rPr>
          <w:rFonts w:eastAsiaTheme="minorHAnsi" w:cstheme="minorBidi"/>
        </w:rPr>
        <w:t>ed operating expenses of $55,817</w:t>
      </w:r>
      <w:r w:rsidRPr="00713025">
        <w:rPr>
          <w:rFonts w:eastAsiaTheme="minorHAnsi" w:cstheme="minorBidi"/>
        </w:rPr>
        <w:t xml:space="preserve">. The application of staff’s recommended adjustments to the Utility’s recommended operating expense results in </w:t>
      </w:r>
      <w:r>
        <w:rPr>
          <w:rFonts w:eastAsiaTheme="minorHAnsi" w:cstheme="minorBidi"/>
        </w:rPr>
        <w:t>a total operating expense of $</w:t>
      </w:r>
      <w:r w:rsidR="00EF3D1D">
        <w:rPr>
          <w:rFonts w:eastAsiaTheme="minorHAnsi" w:cstheme="minorBidi"/>
        </w:rPr>
        <w:t>51,562</w:t>
      </w:r>
      <w:r w:rsidR="00C22DDE">
        <w:rPr>
          <w:rFonts w:eastAsiaTheme="minorHAnsi" w:cstheme="minorBidi"/>
        </w:rPr>
        <w:t>, which is</w:t>
      </w:r>
      <w:r w:rsidR="00EF3D1D">
        <w:rPr>
          <w:rFonts w:eastAsiaTheme="minorHAnsi" w:cstheme="minorBidi"/>
        </w:rPr>
        <w:t xml:space="preserve"> a decrease of $4,255</w:t>
      </w:r>
      <w:r w:rsidRPr="00713025">
        <w:rPr>
          <w:rFonts w:eastAsiaTheme="minorHAnsi" w:cstheme="minorBidi"/>
        </w:rPr>
        <w:t>. Operating expenses are shown on Schedule No. 3-A, and the related adjustments are shown on Schedule No. 3-B.</w:t>
      </w:r>
    </w:p>
    <w:p w14:paraId="67A625AD" w14:textId="77777777" w:rsidR="00144C53" w:rsidRDefault="00144C53" w:rsidP="00E275D8">
      <w:pPr>
        <w:pStyle w:val="BodyText"/>
      </w:pPr>
    </w:p>
    <w:p w14:paraId="6C00549B" w14:textId="3DEC4532" w:rsidR="00144C53" w:rsidRDefault="00144C53">
      <w:pPr>
        <w:pStyle w:val="IssueHeading"/>
        <w:rPr>
          <w:vanish/>
          <w:specVanish/>
        </w:rPr>
      </w:pPr>
      <w:r w:rsidRPr="004C3641">
        <w:rPr>
          <w:b w:val="0"/>
          <w:i w:val="0"/>
        </w:rPr>
        <w:br w:type="page"/>
      </w:r>
      <w:r w:rsidRPr="004C3641">
        <w:t xml:space="preserve">Issue </w:t>
      </w:r>
      <w:fldSimple w:instr=" SEQ Issue \* MERGEFORMAT ">
        <w:r w:rsidR="004A4C46">
          <w:rPr>
            <w:noProof/>
          </w:rPr>
          <w:t>8</w:t>
        </w:r>
      </w:fldSimple>
      <w:r w:rsidRPr="004C3641">
        <w:t>:</w:t>
      </w:r>
      <w:r>
        <w:fldChar w:fldCharType="begin"/>
      </w:r>
      <w:r>
        <w:instrText xml:space="preserve"> TC "</w:instrText>
      </w:r>
      <w:r>
        <w:fldChar w:fldCharType="begin"/>
      </w:r>
      <w:r>
        <w:instrText xml:space="preserve"> SEQ issue \c </w:instrText>
      </w:r>
      <w:r>
        <w:fldChar w:fldCharType="separate"/>
      </w:r>
      <w:bookmarkStart w:id="23" w:name="_Toc225411885"/>
      <w:r w:rsidR="004A4C46">
        <w:rPr>
          <w:noProof/>
        </w:rPr>
        <w:instrText>8</w:instrText>
      </w:r>
      <w:r>
        <w:fldChar w:fldCharType="end"/>
      </w:r>
      <w:r>
        <w:tab/>
        <w:instrText>Operating Ratio Methodology</w:instrText>
      </w:r>
      <w:bookmarkEnd w:id="23"/>
      <w:r>
        <w:instrText xml:space="preserve">" \l 1 </w:instrText>
      </w:r>
      <w:r>
        <w:fldChar w:fldCharType="end"/>
      </w:r>
      <w:r>
        <w:t> </w:t>
      </w:r>
    </w:p>
    <w:p w14:paraId="63BABAB0" w14:textId="77777777" w:rsidR="00144C53" w:rsidRDefault="00144C53">
      <w:pPr>
        <w:pStyle w:val="BodyText"/>
      </w:pPr>
      <w:r>
        <w:t xml:space="preserve"> Does </w:t>
      </w:r>
      <w:r w:rsidR="00F304E8">
        <w:t>Citrus Waterworks, Inc.</w:t>
      </w:r>
      <w:r>
        <w:t xml:space="preserve"> meet the criteria for application of the operating ratio methodology?</w:t>
      </w:r>
    </w:p>
    <w:p w14:paraId="0D98DFDC" w14:textId="77777777" w:rsidR="00144C53" w:rsidRPr="004C3641" w:rsidRDefault="00144C53">
      <w:pPr>
        <w:pStyle w:val="IssueSubsectionHeading"/>
        <w:rPr>
          <w:vanish/>
          <w:specVanish/>
        </w:rPr>
      </w:pPr>
      <w:r w:rsidRPr="004C3641">
        <w:t>Recommendation: </w:t>
      </w:r>
    </w:p>
    <w:p w14:paraId="3CD0C04E" w14:textId="387CECF3" w:rsidR="00144C53" w:rsidRDefault="00144C53">
      <w:pPr>
        <w:pStyle w:val="BodyText"/>
      </w:pPr>
      <w:r>
        <w:t> </w:t>
      </w:r>
      <w:r w:rsidR="00F304E8">
        <w:t>No</w:t>
      </w:r>
      <w:r w:rsidR="006A75D6">
        <w:t>.</w:t>
      </w:r>
      <w:r w:rsidR="00F304E8">
        <w:t xml:space="preserve"> Citrus does not meet the requirement for application of the operating ratio methodology for calculating the revenue requirement.</w:t>
      </w:r>
      <w:r>
        <w:t xml:space="preserve"> (Lenberg)</w:t>
      </w:r>
    </w:p>
    <w:p w14:paraId="2F6E51D2" w14:textId="77777777" w:rsidR="00144C53" w:rsidRPr="004C3641" w:rsidRDefault="00144C53">
      <w:pPr>
        <w:pStyle w:val="IssueSubsectionHeading"/>
        <w:rPr>
          <w:vanish/>
          <w:specVanish/>
        </w:rPr>
      </w:pPr>
      <w:r w:rsidRPr="004C3641">
        <w:t>Staff Analysis: </w:t>
      </w:r>
    </w:p>
    <w:p w14:paraId="3645A4D4" w14:textId="77777777" w:rsidR="00F304E8" w:rsidRDefault="00144C53" w:rsidP="00F304E8">
      <w:pPr>
        <w:pStyle w:val="BodyText"/>
      </w:pPr>
      <w:r>
        <w:t> </w:t>
      </w:r>
      <w:r w:rsidR="00F304E8">
        <w:t>Rule 25-30.4575(2), F.A.C., indicates that in rate cases processed under Rule 25-30.455, F.A.C., the Commission will use the operating ratio methodology to establish the Utility’s revenue requirement when its rate base is not greater than 125 percent of O&amp;M expenses, less regulatory commission expense, and the use of the operating ratio methodology does not change the Utility’s qualification for a SARC.</w:t>
      </w:r>
    </w:p>
    <w:p w14:paraId="28D1340E" w14:textId="2CADB206" w:rsidR="00144C53" w:rsidRDefault="00F304E8" w:rsidP="00E275D8">
      <w:pPr>
        <w:pStyle w:val="BodyText"/>
      </w:pPr>
      <w:r>
        <w:t>With respect to Citrus, staff has recommended a rate base of $</w:t>
      </w:r>
      <w:r w:rsidR="006D5FAE">
        <w:t>90,147</w:t>
      </w:r>
      <w:r>
        <w:t>. After removal of rate case expense, staff has calculated an adjusted O&amp;M expense of $</w:t>
      </w:r>
      <w:r w:rsidR="006D5FAE">
        <w:t>43,137</w:t>
      </w:r>
      <w:r>
        <w:t>. Based on staff’s preliminary recommended amounts, t</w:t>
      </w:r>
      <w:r w:rsidR="00EF3D1D">
        <w:t>he Utility’s rate base is 208.98</w:t>
      </w:r>
      <w:r>
        <w:t xml:space="preserve"> percent of its adjusted O&amp;M expense. </w:t>
      </w:r>
      <w:r w:rsidR="00887BF0">
        <w:t>Pursuant to</w:t>
      </w:r>
      <w:r>
        <w:t xml:space="preserve"> </w:t>
      </w:r>
      <w:r w:rsidR="00887BF0">
        <w:t>the above analysis</w:t>
      </w:r>
      <w:r>
        <w:t>, the Utility does not qualify for application of the operating ratio methodology.</w:t>
      </w:r>
    </w:p>
    <w:p w14:paraId="7CC6CB28" w14:textId="6B36ED2B" w:rsidR="00144C53" w:rsidRDefault="00144C53">
      <w:pPr>
        <w:pStyle w:val="IssueHeading"/>
        <w:rPr>
          <w:vanish/>
          <w:specVanish/>
        </w:rPr>
      </w:pPr>
      <w:r w:rsidRPr="004C3641">
        <w:rPr>
          <w:b w:val="0"/>
          <w:i w:val="0"/>
        </w:rPr>
        <w:br w:type="page"/>
      </w:r>
      <w:r w:rsidRPr="004C3641">
        <w:t xml:space="preserve">Issue </w:t>
      </w:r>
      <w:fldSimple w:instr=" SEQ Issue \* MERGEFORMAT ">
        <w:r w:rsidR="004A4C46">
          <w:rPr>
            <w:noProof/>
          </w:rPr>
          <w:t>9</w:t>
        </w:r>
      </w:fldSimple>
      <w:r w:rsidRPr="004C3641">
        <w:t>:</w:t>
      </w:r>
      <w:r>
        <w:fldChar w:fldCharType="begin"/>
      </w:r>
      <w:r>
        <w:instrText xml:space="preserve"> TC "</w:instrText>
      </w:r>
      <w:r>
        <w:fldChar w:fldCharType="begin"/>
      </w:r>
      <w:r>
        <w:instrText xml:space="preserve"> SEQ issue \c </w:instrText>
      </w:r>
      <w:r>
        <w:fldChar w:fldCharType="separate"/>
      </w:r>
      <w:bookmarkStart w:id="24" w:name="_Toc225411886"/>
      <w:r w:rsidR="004A4C46">
        <w:rPr>
          <w:noProof/>
        </w:rPr>
        <w:instrText>9</w:instrText>
      </w:r>
      <w:r>
        <w:fldChar w:fldCharType="end"/>
      </w:r>
      <w:r>
        <w:tab/>
        <w:instrText>Appropriate Revenue Requirement</w:instrText>
      </w:r>
      <w:bookmarkEnd w:id="24"/>
      <w:r>
        <w:instrText xml:space="preserve">" \l 1 </w:instrText>
      </w:r>
      <w:r>
        <w:fldChar w:fldCharType="end"/>
      </w:r>
      <w:r>
        <w:t> </w:t>
      </w:r>
    </w:p>
    <w:p w14:paraId="716CC812" w14:textId="77777777" w:rsidR="00144C53" w:rsidRDefault="00144C53">
      <w:pPr>
        <w:pStyle w:val="BodyText"/>
      </w:pPr>
      <w:r>
        <w:t xml:space="preserve"> What is the appropriate revenue requirement for </w:t>
      </w:r>
      <w:r w:rsidR="00F304E8">
        <w:t>Citrus Waterworks, Inc.</w:t>
      </w:r>
      <w:r>
        <w:t>?</w:t>
      </w:r>
    </w:p>
    <w:p w14:paraId="75445532" w14:textId="77777777" w:rsidR="00144C53" w:rsidRPr="004C3641" w:rsidRDefault="00144C53">
      <w:pPr>
        <w:pStyle w:val="IssueSubsectionHeading"/>
        <w:rPr>
          <w:vanish/>
          <w:specVanish/>
        </w:rPr>
      </w:pPr>
      <w:r w:rsidRPr="004C3641">
        <w:t>Recommendation: </w:t>
      </w:r>
    </w:p>
    <w:p w14:paraId="59854657" w14:textId="77777777" w:rsidR="00144C53" w:rsidRDefault="00144C53">
      <w:pPr>
        <w:pStyle w:val="BodyText"/>
      </w:pPr>
      <w:r>
        <w:t> </w:t>
      </w:r>
      <w:r w:rsidR="00F304E8">
        <w:t>The appropriat</w:t>
      </w:r>
      <w:r w:rsidR="00BC61E1">
        <w:t>e revenue requirement is $59,140</w:t>
      </w:r>
      <w:r w:rsidR="00F304E8">
        <w:t>, resultin</w:t>
      </w:r>
      <w:r w:rsidR="00BC61E1">
        <w:t>g in an annual increase of $2,527</w:t>
      </w:r>
      <w:r w:rsidR="00906243">
        <w:t xml:space="preserve"> (4.46</w:t>
      </w:r>
      <w:r w:rsidR="00F304E8">
        <w:t xml:space="preserve"> percent).</w:t>
      </w:r>
      <w:r>
        <w:t xml:space="preserve"> (Lenberg)</w:t>
      </w:r>
    </w:p>
    <w:p w14:paraId="68E85616" w14:textId="77777777" w:rsidR="00144C53" w:rsidRPr="004C3641" w:rsidRDefault="00144C53">
      <w:pPr>
        <w:pStyle w:val="IssueSubsectionHeading"/>
        <w:rPr>
          <w:vanish/>
          <w:specVanish/>
        </w:rPr>
      </w:pPr>
      <w:r w:rsidRPr="004C3641">
        <w:t>Staff Analysis: </w:t>
      </w:r>
    </w:p>
    <w:p w14:paraId="343B8C12" w14:textId="77777777" w:rsidR="00144C53" w:rsidRDefault="00144C53">
      <w:pPr>
        <w:pStyle w:val="BodyText"/>
      </w:pPr>
      <w:r>
        <w:t> </w:t>
      </w:r>
      <w:r w:rsidR="00F304E8">
        <w:t>Citrus should be allo</w:t>
      </w:r>
      <w:r w:rsidR="00BC61E1">
        <w:t>wed an annual increase of $2,527 (4.46</w:t>
      </w:r>
      <w:r w:rsidR="00F304E8">
        <w:t xml:space="preserve"> percent). This should allow the Utility the opportunity to recover expenses and earn an 8.41 percent return on rate base. The calculations for revenue requirement are shown on Table 9-1.</w:t>
      </w:r>
      <w:r w:rsidR="00F304E8">
        <w:rPr>
          <w:rStyle w:val="FootnoteReference"/>
        </w:rPr>
        <w:footnoteReference w:id="18"/>
      </w:r>
    </w:p>
    <w:p w14:paraId="6B794E9A" w14:textId="26D9D2A3" w:rsidR="00F304E8" w:rsidRDefault="00F304E8" w:rsidP="00F304E8">
      <w:pPr>
        <w:pStyle w:val="TableNumber"/>
        <w:keepNext/>
      </w:pPr>
      <w:r>
        <w:t xml:space="preserve">Table </w:t>
      </w:r>
      <w:fldSimple w:instr=" SEQ Issue \c ">
        <w:r w:rsidR="004A4C46">
          <w:rPr>
            <w:noProof/>
          </w:rPr>
          <w:t>9</w:t>
        </w:r>
      </w:fldSimple>
      <w:r>
        <w:t>-1</w:t>
      </w:r>
    </w:p>
    <w:p w14:paraId="27C94F66" w14:textId="77777777" w:rsidR="00F304E8" w:rsidRDefault="00F304E8" w:rsidP="00F304E8">
      <w:pPr>
        <w:pStyle w:val="TableTitle"/>
        <w:keepNext/>
      </w:pPr>
      <w:r>
        <w:t>Revenue Requirement</w:t>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4106"/>
        <w:gridCol w:w="1032"/>
      </w:tblGrid>
      <w:tr w:rsidR="00F304E8" w14:paraId="007CF9E4" w14:textId="77777777" w:rsidTr="006D5FAE">
        <w:trPr>
          <w:jc w:val="center"/>
        </w:trPr>
        <w:tc>
          <w:tcPr>
            <w:tcW w:w="4106" w:type="dxa"/>
          </w:tcPr>
          <w:p w14:paraId="70F7D3CB" w14:textId="77777777" w:rsidR="00F304E8" w:rsidRDefault="00F304E8" w:rsidP="006D5FAE">
            <w:r>
              <w:t>Water Rate Base</w:t>
            </w:r>
          </w:p>
        </w:tc>
        <w:tc>
          <w:tcPr>
            <w:tcW w:w="0" w:type="auto"/>
          </w:tcPr>
          <w:p w14:paraId="6E85077B" w14:textId="77777777" w:rsidR="00F304E8" w:rsidRDefault="00F304E8" w:rsidP="006D5FAE">
            <w:pPr>
              <w:jc w:val="right"/>
            </w:pPr>
            <w:r>
              <w:t>$</w:t>
            </w:r>
            <w:r w:rsidR="006D5FAE">
              <w:t>90,147</w:t>
            </w:r>
          </w:p>
        </w:tc>
      </w:tr>
      <w:tr w:rsidR="00F304E8" w14:paraId="0436EA64" w14:textId="77777777" w:rsidTr="006D5FAE">
        <w:trPr>
          <w:jc w:val="center"/>
        </w:trPr>
        <w:tc>
          <w:tcPr>
            <w:tcW w:w="4106" w:type="dxa"/>
          </w:tcPr>
          <w:p w14:paraId="558B4B36" w14:textId="77777777" w:rsidR="00F304E8" w:rsidRDefault="00F304E8" w:rsidP="006D5FAE">
            <w:r>
              <w:t>Rate of Return</w:t>
            </w:r>
          </w:p>
        </w:tc>
        <w:tc>
          <w:tcPr>
            <w:tcW w:w="0" w:type="auto"/>
          </w:tcPr>
          <w:p w14:paraId="5BD136FA" w14:textId="77777777" w:rsidR="00F304E8" w:rsidRPr="00FA7E42" w:rsidRDefault="00F304E8" w:rsidP="006D5FAE">
            <w:pPr>
              <w:jc w:val="right"/>
              <w:rPr>
                <w:u w:val="single"/>
              </w:rPr>
            </w:pPr>
            <w:r>
              <w:t xml:space="preserve">× </w:t>
            </w:r>
            <w:r w:rsidRPr="00FA7E42">
              <w:rPr>
                <w:u w:val="single"/>
              </w:rPr>
              <w:t>8.</w:t>
            </w:r>
            <w:r>
              <w:rPr>
                <w:u w:val="single"/>
              </w:rPr>
              <w:t>41</w:t>
            </w:r>
            <w:r w:rsidRPr="00FA7E42">
              <w:rPr>
                <w:u w:val="single"/>
              </w:rPr>
              <w:t>%</w:t>
            </w:r>
          </w:p>
        </w:tc>
      </w:tr>
      <w:tr w:rsidR="00F304E8" w14:paraId="3B011158" w14:textId="77777777" w:rsidTr="006D5FAE">
        <w:trPr>
          <w:jc w:val="center"/>
        </w:trPr>
        <w:tc>
          <w:tcPr>
            <w:tcW w:w="4106" w:type="dxa"/>
          </w:tcPr>
          <w:p w14:paraId="49CAC270" w14:textId="77777777" w:rsidR="00F304E8" w:rsidRDefault="00F304E8" w:rsidP="006D5FAE">
            <w:r>
              <w:t>Return on Rate Base</w:t>
            </w:r>
          </w:p>
        </w:tc>
        <w:tc>
          <w:tcPr>
            <w:tcW w:w="0" w:type="auto"/>
          </w:tcPr>
          <w:p w14:paraId="029220CD" w14:textId="77777777" w:rsidR="00F304E8" w:rsidRPr="00FA7E42" w:rsidRDefault="00F304E8" w:rsidP="006D5FAE">
            <w:pPr>
              <w:jc w:val="right"/>
              <w:rPr>
                <w:u w:val="double"/>
              </w:rPr>
            </w:pPr>
            <w:r w:rsidRPr="00FA7E42">
              <w:rPr>
                <w:u w:val="double"/>
              </w:rPr>
              <w:t>$7,</w:t>
            </w:r>
            <w:r w:rsidR="00EF3D1D">
              <w:rPr>
                <w:u w:val="double"/>
              </w:rPr>
              <w:t>578</w:t>
            </w:r>
          </w:p>
        </w:tc>
      </w:tr>
      <w:tr w:rsidR="00F304E8" w14:paraId="7CBA563D" w14:textId="77777777" w:rsidTr="006D5FAE">
        <w:trPr>
          <w:jc w:val="center"/>
        </w:trPr>
        <w:tc>
          <w:tcPr>
            <w:tcW w:w="4106" w:type="dxa"/>
          </w:tcPr>
          <w:p w14:paraId="330331A4" w14:textId="77777777" w:rsidR="00F304E8" w:rsidRDefault="00F304E8" w:rsidP="006D5FAE">
            <w:r>
              <w:t>Water O&amp;M Expense</w:t>
            </w:r>
          </w:p>
        </w:tc>
        <w:tc>
          <w:tcPr>
            <w:tcW w:w="0" w:type="auto"/>
          </w:tcPr>
          <w:p w14:paraId="1C9434CD" w14:textId="77777777" w:rsidR="00F304E8" w:rsidRDefault="00664BE3" w:rsidP="006D5FAE">
            <w:pPr>
              <w:jc w:val="right"/>
            </w:pPr>
            <w:r>
              <w:t>43,812</w:t>
            </w:r>
          </w:p>
        </w:tc>
      </w:tr>
      <w:tr w:rsidR="00F304E8" w14:paraId="329FB41F" w14:textId="77777777" w:rsidTr="006D5FAE">
        <w:trPr>
          <w:jc w:val="center"/>
        </w:trPr>
        <w:tc>
          <w:tcPr>
            <w:tcW w:w="4106" w:type="dxa"/>
          </w:tcPr>
          <w:p w14:paraId="138B6417" w14:textId="77777777" w:rsidR="00F304E8" w:rsidRDefault="00F304E8" w:rsidP="006D5FAE">
            <w:r>
              <w:t>Depreciation Expense</w:t>
            </w:r>
          </w:p>
        </w:tc>
        <w:tc>
          <w:tcPr>
            <w:tcW w:w="0" w:type="auto"/>
          </w:tcPr>
          <w:p w14:paraId="658B78A1" w14:textId="77777777" w:rsidR="00F304E8" w:rsidRDefault="00F304E8" w:rsidP="006D5FAE">
            <w:pPr>
              <w:jc w:val="right"/>
            </w:pPr>
            <w:r>
              <w:t>4,755</w:t>
            </w:r>
          </w:p>
        </w:tc>
      </w:tr>
      <w:tr w:rsidR="00F304E8" w14:paraId="584A02B0" w14:textId="77777777" w:rsidTr="006D5FAE">
        <w:trPr>
          <w:jc w:val="center"/>
        </w:trPr>
        <w:tc>
          <w:tcPr>
            <w:tcW w:w="4106" w:type="dxa"/>
          </w:tcPr>
          <w:p w14:paraId="33CDD7DD" w14:textId="77777777" w:rsidR="00F304E8" w:rsidRDefault="00F304E8" w:rsidP="006D5FAE">
            <w:r>
              <w:t>Amortization of CIAC</w:t>
            </w:r>
          </w:p>
        </w:tc>
        <w:tc>
          <w:tcPr>
            <w:tcW w:w="0" w:type="auto"/>
          </w:tcPr>
          <w:p w14:paraId="7ADF0183" w14:textId="77777777" w:rsidR="00F304E8" w:rsidRDefault="00F304E8" w:rsidP="006D5FAE">
            <w:pPr>
              <w:jc w:val="right"/>
            </w:pPr>
            <w:r>
              <w:t>(832)</w:t>
            </w:r>
          </w:p>
        </w:tc>
      </w:tr>
      <w:tr w:rsidR="00F304E8" w14:paraId="7DC581FF" w14:textId="77777777" w:rsidTr="006D5FAE">
        <w:trPr>
          <w:jc w:val="center"/>
        </w:trPr>
        <w:tc>
          <w:tcPr>
            <w:tcW w:w="4106" w:type="dxa"/>
          </w:tcPr>
          <w:p w14:paraId="2A55FCC5" w14:textId="77777777" w:rsidR="00F304E8" w:rsidRDefault="00F304E8" w:rsidP="006D5FAE">
            <w:r>
              <w:t>Taxes Other Than Income</w:t>
            </w:r>
          </w:p>
        </w:tc>
        <w:tc>
          <w:tcPr>
            <w:tcW w:w="0" w:type="auto"/>
          </w:tcPr>
          <w:p w14:paraId="3FCEDB72" w14:textId="77777777" w:rsidR="00F304E8" w:rsidRPr="00FA7E42" w:rsidRDefault="00F304E8" w:rsidP="006D5FAE">
            <w:pPr>
              <w:jc w:val="right"/>
              <w:rPr>
                <w:u w:val="single"/>
              </w:rPr>
            </w:pPr>
            <w:r>
              <w:rPr>
                <w:u w:val="single"/>
              </w:rPr>
              <w:t>3</w:t>
            </w:r>
            <w:r w:rsidRPr="00FA7E42">
              <w:rPr>
                <w:u w:val="single"/>
              </w:rPr>
              <w:t>,</w:t>
            </w:r>
            <w:r w:rsidR="00EF3D1D">
              <w:rPr>
                <w:u w:val="single"/>
              </w:rPr>
              <w:t>826</w:t>
            </w:r>
          </w:p>
        </w:tc>
      </w:tr>
      <w:tr w:rsidR="00F304E8" w14:paraId="56262502" w14:textId="77777777" w:rsidTr="006D5FAE">
        <w:trPr>
          <w:jc w:val="center"/>
        </w:trPr>
        <w:tc>
          <w:tcPr>
            <w:tcW w:w="4106" w:type="dxa"/>
          </w:tcPr>
          <w:p w14:paraId="1D190ED2" w14:textId="77777777" w:rsidR="00F304E8" w:rsidRDefault="00F304E8" w:rsidP="006D5FAE">
            <w:r>
              <w:t>Revenue Requirement</w:t>
            </w:r>
          </w:p>
        </w:tc>
        <w:tc>
          <w:tcPr>
            <w:tcW w:w="0" w:type="auto"/>
          </w:tcPr>
          <w:p w14:paraId="655A5971" w14:textId="77777777" w:rsidR="00F304E8" w:rsidRPr="00FA7E42" w:rsidRDefault="00F304E8" w:rsidP="006D5FAE">
            <w:pPr>
              <w:jc w:val="right"/>
              <w:rPr>
                <w:u w:val="double"/>
              </w:rPr>
            </w:pPr>
            <w:r w:rsidRPr="00FA7E42">
              <w:rPr>
                <w:u w:val="double"/>
              </w:rPr>
              <w:t>$</w:t>
            </w:r>
            <w:r w:rsidR="00EF3D1D">
              <w:rPr>
                <w:u w:val="double"/>
              </w:rPr>
              <w:t>59,140</w:t>
            </w:r>
          </w:p>
        </w:tc>
      </w:tr>
      <w:tr w:rsidR="00F304E8" w14:paraId="5883B451" w14:textId="77777777" w:rsidTr="006D5FAE">
        <w:trPr>
          <w:jc w:val="center"/>
        </w:trPr>
        <w:tc>
          <w:tcPr>
            <w:tcW w:w="4106" w:type="dxa"/>
          </w:tcPr>
          <w:p w14:paraId="10669938" w14:textId="77777777" w:rsidR="00F304E8" w:rsidRDefault="00F304E8" w:rsidP="006D5FAE">
            <w:r>
              <w:t>Less Test Year Revenues</w:t>
            </w:r>
          </w:p>
        </w:tc>
        <w:tc>
          <w:tcPr>
            <w:tcW w:w="0" w:type="auto"/>
          </w:tcPr>
          <w:p w14:paraId="4B10A481" w14:textId="77777777" w:rsidR="00F304E8" w:rsidRDefault="00F304E8" w:rsidP="006D5FAE">
            <w:pPr>
              <w:jc w:val="right"/>
            </w:pPr>
            <w:r>
              <w:t>$56,613</w:t>
            </w:r>
          </w:p>
        </w:tc>
      </w:tr>
      <w:tr w:rsidR="00F304E8" w14:paraId="71FC822F" w14:textId="77777777" w:rsidTr="006D5FAE">
        <w:trPr>
          <w:jc w:val="center"/>
        </w:trPr>
        <w:tc>
          <w:tcPr>
            <w:tcW w:w="4106" w:type="dxa"/>
          </w:tcPr>
          <w:p w14:paraId="4FA95DE4" w14:textId="77777777" w:rsidR="00F304E8" w:rsidRDefault="00F304E8" w:rsidP="006D5FAE">
            <w:r>
              <w:t>Annual Increase</w:t>
            </w:r>
          </w:p>
        </w:tc>
        <w:tc>
          <w:tcPr>
            <w:tcW w:w="0" w:type="auto"/>
          </w:tcPr>
          <w:p w14:paraId="2F83E532" w14:textId="77777777" w:rsidR="00F304E8" w:rsidRDefault="00EF3D1D" w:rsidP="006D5FAE">
            <w:pPr>
              <w:jc w:val="right"/>
            </w:pPr>
            <w:r>
              <w:t>$2,527</w:t>
            </w:r>
          </w:p>
        </w:tc>
      </w:tr>
      <w:tr w:rsidR="00F304E8" w14:paraId="26DA0E1E" w14:textId="77777777" w:rsidTr="006D5FAE">
        <w:trPr>
          <w:jc w:val="center"/>
        </w:trPr>
        <w:tc>
          <w:tcPr>
            <w:tcW w:w="4106" w:type="dxa"/>
          </w:tcPr>
          <w:p w14:paraId="7F1B28CD" w14:textId="77777777" w:rsidR="00F304E8" w:rsidRDefault="00F304E8" w:rsidP="006D5FAE">
            <w:r>
              <w:t>Percent Increase</w:t>
            </w:r>
          </w:p>
        </w:tc>
        <w:tc>
          <w:tcPr>
            <w:tcW w:w="0" w:type="auto"/>
          </w:tcPr>
          <w:p w14:paraId="4FF937AF" w14:textId="77777777" w:rsidR="00F304E8" w:rsidRDefault="00EF3D1D" w:rsidP="006D5FAE">
            <w:pPr>
              <w:jc w:val="right"/>
            </w:pPr>
            <w:r>
              <w:t>4.46</w:t>
            </w:r>
            <w:r w:rsidR="00F304E8">
              <w:t>%</w:t>
            </w:r>
          </w:p>
        </w:tc>
      </w:tr>
    </w:tbl>
    <w:p w14:paraId="165C4AB3" w14:textId="77777777" w:rsidR="00144C53" w:rsidRPr="00112AC5" w:rsidRDefault="00223794" w:rsidP="00223794">
      <w:pPr>
        <w:pStyle w:val="TableSource"/>
        <w:ind w:left="1440" w:firstLine="720"/>
        <w:rPr>
          <w:sz w:val="20"/>
          <w:szCs w:val="20"/>
        </w:rPr>
      </w:pPr>
      <w:r w:rsidRPr="00112AC5">
        <w:rPr>
          <w:sz w:val="20"/>
          <w:szCs w:val="20"/>
        </w:rPr>
        <w:t>Source: Staff calculations.</w:t>
      </w:r>
    </w:p>
    <w:p w14:paraId="6DAA7889" w14:textId="1AA155E9" w:rsidR="00144C53" w:rsidRDefault="00144C53">
      <w:pPr>
        <w:pStyle w:val="IssueHeading"/>
        <w:rPr>
          <w:vanish/>
          <w:specVanish/>
        </w:rPr>
      </w:pPr>
      <w:r w:rsidRPr="004C3641">
        <w:rPr>
          <w:b w:val="0"/>
          <w:i w:val="0"/>
        </w:rPr>
        <w:br w:type="page"/>
      </w:r>
      <w:r w:rsidRPr="004C3641">
        <w:t xml:space="preserve">Issue </w:t>
      </w:r>
      <w:fldSimple w:instr=" SEQ Issue \* MERGEFORMAT ">
        <w:r w:rsidR="004A4C46">
          <w:rPr>
            <w:noProof/>
          </w:rPr>
          <w:t>10</w:t>
        </w:r>
      </w:fldSimple>
      <w:r w:rsidRPr="004C3641">
        <w:t>:</w:t>
      </w:r>
      <w:r>
        <w:fldChar w:fldCharType="begin"/>
      </w:r>
      <w:r>
        <w:instrText xml:space="preserve"> TC "</w:instrText>
      </w:r>
      <w:r>
        <w:fldChar w:fldCharType="begin"/>
      </w:r>
      <w:r>
        <w:instrText xml:space="preserve"> SEQ issue \c </w:instrText>
      </w:r>
      <w:r>
        <w:fldChar w:fldCharType="separate"/>
      </w:r>
      <w:bookmarkStart w:id="25" w:name="_Toc225411887"/>
      <w:r w:rsidR="004A4C46">
        <w:rPr>
          <w:noProof/>
        </w:rPr>
        <w:instrText>10</w:instrText>
      </w:r>
      <w:r>
        <w:fldChar w:fldCharType="end"/>
      </w:r>
      <w:r>
        <w:tab/>
        <w:instrText>Appropriate Rate Structure</w:instrText>
      </w:r>
      <w:bookmarkEnd w:id="25"/>
      <w:r>
        <w:instrText xml:space="preserve">" \l 1 </w:instrText>
      </w:r>
      <w:r>
        <w:fldChar w:fldCharType="end"/>
      </w:r>
      <w:r>
        <w:t> </w:t>
      </w:r>
    </w:p>
    <w:p w14:paraId="3FDF12DC" w14:textId="77777777" w:rsidR="00144C53" w:rsidRDefault="00144C53">
      <w:pPr>
        <w:pStyle w:val="BodyText"/>
      </w:pPr>
      <w:r>
        <w:t xml:space="preserve"> What are the appropriate rate structure and rates for </w:t>
      </w:r>
      <w:r w:rsidR="00F304E8">
        <w:t>Citrus Waterworks, Inc.</w:t>
      </w:r>
      <w:r>
        <w:t>?</w:t>
      </w:r>
    </w:p>
    <w:p w14:paraId="6BE35BC2" w14:textId="77777777" w:rsidR="00144C53" w:rsidRPr="004C3641" w:rsidRDefault="00144C53">
      <w:pPr>
        <w:pStyle w:val="IssueSubsectionHeading"/>
        <w:rPr>
          <w:vanish/>
          <w:specVanish/>
        </w:rPr>
      </w:pPr>
      <w:r w:rsidRPr="004C3641">
        <w:t>Recommendation: </w:t>
      </w:r>
    </w:p>
    <w:p w14:paraId="0C441984" w14:textId="76D730CF" w:rsidR="00144C53" w:rsidRDefault="00144C53">
      <w:pPr>
        <w:pStyle w:val="BodyText"/>
      </w:pPr>
      <w:r>
        <w:t> </w:t>
      </w:r>
      <w:r w:rsidR="00B6789A">
        <w:t>The recommended rate structure and monthly water rates are shown on Schedule No. 4. The Utility should file revised tariff sheets and a proposed customer notice to reflect the Commission-approved rates. The approved rates should be effective for service rendered on or after the stamped approval date on the tariff sheets pursuant to Rule 25-30.475(1), F.A.C. In addition, the approved rates should not be implemented until staff has approved the proposed customer notice and the notice has been received by the customers. The Utility should provide proof of the date notice was given</w:t>
      </w:r>
      <w:r w:rsidR="00887BF0">
        <w:t xml:space="preserve"> by affidavit</w:t>
      </w:r>
      <w:r w:rsidR="00B6789A">
        <w:t xml:space="preserve"> within 10 days of the date of the notice. (Chambliss)</w:t>
      </w:r>
    </w:p>
    <w:p w14:paraId="2B939021" w14:textId="77777777" w:rsidR="00144C53" w:rsidRPr="004C3641" w:rsidRDefault="00144C53">
      <w:pPr>
        <w:pStyle w:val="IssueSubsectionHeading"/>
        <w:rPr>
          <w:vanish/>
          <w:specVanish/>
        </w:rPr>
      </w:pPr>
      <w:r w:rsidRPr="004C3641">
        <w:t>Staff Analysis: </w:t>
      </w:r>
    </w:p>
    <w:p w14:paraId="570D1E26" w14:textId="1C2F7D35" w:rsidR="00B6789A" w:rsidRDefault="00144C53" w:rsidP="00B6789A">
      <w:pPr>
        <w:pStyle w:val="BodyText"/>
      </w:pPr>
      <w:r>
        <w:t> </w:t>
      </w:r>
      <w:r w:rsidR="00B6789A">
        <w:t>Citrus is located in Citrus County within the Southwest Florida Water Management District. The Utility provides water service to 154 residential customers and one general service customer. A review of the billing data indicates approximately 22 percent of the residential customer bills during the test year had zero gallons. However, the billing data at the 1,000 gallon level reflects approximately 42 percent of the residential customer bills, which indicates a moderate seasonal customer base. The average residential water demand was 3,883 gallons per month during the test period. The average water demand, excluding zero gallons bills</w:t>
      </w:r>
      <w:r w:rsidR="00C27589">
        <w:t>,</w:t>
      </w:r>
      <w:r w:rsidR="00B6789A">
        <w:t xml:space="preserve"> was 5,005 gallons per month. The </w:t>
      </w:r>
      <w:r w:rsidR="00626F31">
        <w:t>Utility</w:t>
      </w:r>
      <w:r w:rsidR="00B6789A">
        <w:t>’s current rate structure for both residential and general service customers consists of a monthly base facility charge (BFC) and uniform gallonage charge.</w:t>
      </w:r>
    </w:p>
    <w:p w14:paraId="2D4A81AE" w14:textId="77777777" w:rsidR="00B6789A" w:rsidRDefault="00B6789A" w:rsidP="00B6789A">
      <w:pPr>
        <w:pStyle w:val="BodyText"/>
      </w:pPr>
      <w:r>
        <w:t>Staff performed an analysis of the Utility’s billing in order to evaluate the appropriate rate structure for the residential water customers. The goal of the evaluation was to select the rate design parameters that: (1) produce the recommended revenue requirement; (2) equitably distribute cost recovery among the Utility’s customers; (3) establish the appropriate discretionary usage threshold for restricting repression; and (4) implement, where appropriate, water conserving rate structures consistent with Commission practice.</w:t>
      </w:r>
    </w:p>
    <w:p w14:paraId="1E5DBCF1" w14:textId="23A5FB72" w:rsidR="00B6789A" w:rsidRDefault="00223794" w:rsidP="00B6789A">
      <w:pPr>
        <w:pStyle w:val="BodyText"/>
      </w:pPr>
      <w:r>
        <w:t>As mentioned in Issue 9</w:t>
      </w:r>
      <w:r w:rsidR="00B6789A">
        <w:t>, staff’s recommended revenue requirement increase is 4.46 percent. Typically, when the revenue requirement is less than 20 percent, staff does an across-the board increase to the existing rates. However, in this case, staff is recommending redesigning the rates because the</w:t>
      </w:r>
      <w:r w:rsidR="00C27589">
        <w:t xml:space="preserve"> Utility serves a</w:t>
      </w:r>
      <w:r w:rsidR="00B6789A">
        <w:t xml:space="preserve"> seasonal customer base and </w:t>
      </w:r>
      <w:r w:rsidR="00C27589">
        <w:t xml:space="preserve">is currently using incorrect </w:t>
      </w:r>
      <w:r w:rsidR="00B6789A">
        <w:t xml:space="preserve">meter equivalents. </w:t>
      </w:r>
    </w:p>
    <w:p w14:paraId="0D261D08" w14:textId="77777777" w:rsidR="00B6789A" w:rsidRDefault="00B6789A" w:rsidP="00B6789A">
      <w:pPr>
        <w:pStyle w:val="BodyText"/>
      </w:pPr>
      <w:r>
        <w:t>Currently, 58 percent of the revenues are recovered through the BFC. Due to the seasonal customer base, staff recommends that 60 percent of the revenue requirement be recovered through the BFC in an effort to maintain sufficient revenue stability. Although the billing analysis indicates a seasonal customer base, there is also some discretionary usage at higher levels of consumption. The average number of people per household is 2.5. Based on the number of people per household, 50 gallons per day per person, and the number of days per month, the discretionary usage threshold should be 4,000 gallons per month. Staff’s review of the billing data indicates that discretionary usage above 4,000 gallons represents approximately 33 percent of the bills, which accounts for approximately 47 percent of water demand. This indicates that there is some high discretionary usage above 4,000 gallons.</w:t>
      </w:r>
    </w:p>
    <w:p w14:paraId="0A346738" w14:textId="77777777" w:rsidR="00B6789A" w:rsidRDefault="00B6789A" w:rsidP="00B6789A">
      <w:pPr>
        <w:pStyle w:val="BodyText"/>
      </w:pPr>
      <w:r>
        <w:t xml:space="preserve">The meter equivalents for Citrus’ rates are not based on the American Water Works Association (AWWA) meter equivalents, which are used by the Commission when designing rates. The meter equivalents assign the demand on a system as well as cost recovery by meter size in terms of equivalent residential connections (ERCs). In comparison to the AWWA meter equivalents, Citrus’ meter equivalents for larger meter sizes are significantly lower than the AWWA. Redesigning rates based on the AWWA meter equivalents distributes the cost recovery to the appropriate meter size. The table below shows a comparison of the AWWA meter equivalents to Citrus’ existing meter equivalents. </w:t>
      </w:r>
    </w:p>
    <w:p w14:paraId="1768825F" w14:textId="77777777" w:rsidR="00B6789A" w:rsidRPr="00B6789A" w:rsidRDefault="00B6789A" w:rsidP="00B6789A">
      <w:pPr>
        <w:jc w:val="center"/>
        <w:rPr>
          <w:rFonts w:ascii="Arial" w:eastAsiaTheme="minorHAnsi" w:hAnsi="Arial" w:cs="Arial"/>
          <w:b/>
          <w:szCs w:val="22"/>
        </w:rPr>
      </w:pPr>
      <w:r>
        <w:rPr>
          <w:rFonts w:ascii="Arial" w:eastAsiaTheme="minorHAnsi" w:hAnsi="Arial" w:cs="Arial"/>
          <w:b/>
          <w:szCs w:val="22"/>
        </w:rPr>
        <w:t>Table 10</w:t>
      </w:r>
      <w:r w:rsidRPr="00B6789A">
        <w:rPr>
          <w:rFonts w:ascii="Arial" w:eastAsiaTheme="minorHAnsi" w:hAnsi="Arial" w:cs="Arial"/>
          <w:b/>
          <w:szCs w:val="22"/>
        </w:rPr>
        <w:t>-1</w:t>
      </w:r>
    </w:p>
    <w:p w14:paraId="1F5E44BD" w14:textId="77777777" w:rsidR="00B6789A" w:rsidRPr="00B6789A" w:rsidRDefault="00B6789A" w:rsidP="00B6789A">
      <w:pPr>
        <w:jc w:val="center"/>
        <w:rPr>
          <w:rFonts w:ascii="Arial" w:eastAsiaTheme="minorHAnsi" w:hAnsi="Arial" w:cs="Arial"/>
          <w:b/>
          <w:szCs w:val="22"/>
        </w:rPr>
      </w:pPr>
      <w:r w:rsidRPr="00B6789A">
        <w:rPr>
          <w:rFonts w:ascii="Arial" w:eastAsiaTheme="minorHAnsi" w:hAnsi="Arial" w:cs="Arial"/>
          <w:b/>
          <w:szCs w:val="22"/>
        </w:rPr>
        <w:t>Comparison of ERCs</w:t>
      </w:r>
    </w:p>
    <w:tbl>
      <w:tblPr>
        <w:tblStyle w:val="TableGrid1"/>
        <w:tblW w:w="0" w:type="auto"/>
        <w:jc w:val="center"/>
        <w:tblLook w:val="04A0" w:firstRow="1" w:lastRow="0" w:firstColumn="1" w:lastColumn="0" w:noHBand="0" w:noVBand="1"/>
      </w:tblPr>
      <w:tblGrid>
        <w:gridCol w:w="3012"/>
        <w:gridCol w:w="3012"/>
        <w:gridCol w:w="3012"/>
      </w:tblGrid>
      <w:tr w:rsidR="00B6789A" w:rsidRPr="00B6789A" w14:paraId="538B77B8" w14:textId="77777777" w:rsidTr="00B6789A">
        <w:trPr>
          <w:trHeight w:val="266"/>
          <w:jc w:val="center"/>
        </w:trPr>
        <w:tc>
          <w:tcPr>
            <w:tcW w:w="3012" w:type="dxa"/>
          </w:tcPr>
          <w:p w14:paraId="7E7FD269" w14:textId="77777777" w:rsidR="00B6789A" w:rsidRPr="00B6789A" w:rsidRDefault="00B6789A" w:rsidP="00B6789A">
            <w:pPr>
              <w:rPr>
                <w:rFonts w:eastAsiaTheme="minorHAnsi" w:cstheme="minorBidi"/>
                <w:szCs w:val="22"/>
              </w:rPr>
            </w:pPr>
            <w:r w:rsidRPr="00B6789A">
              <w:rPr>
                <w:rFonts w:eastAsiaTheme="minorHAnsi" w:cstheme="minorBidi"/>
                <w:szCs w:val="22"/>
              </w:rPr>
              <w:t>Meter Sizes</w:t>
            </w:r>
          </w:p>
        </w:tc>
        <w:tc>
          <w:tcPr>
            <w:tcW w:w="3012" w:type="dxa"/>
          </w:tcPr>
          <w:p w14:paraId="08B7F87D" w14:textId="77777777" w:rsidR="00B6789A" w:rsidRPr="00B6789A" w:rsidRDefault="00B6789A" w:rsidP="00B6789A">
            <w:pPr>
              <w:jc w:val="center"/>
              <w:rPr>
                <w:rFonts w:eastAsiaTheme="minorHAnsi" w:cstheme="minorBidi"/>
                <w:szCs w:val="22"/>
              </w:rPr>
            </w:pPr>
            <w:r w:rsidRPr="00B6789A">
              <w:rPr>
                <w:rFonts w:eastAsiaTheme="minorHAnsi" w:cstheme="minorBidi"/>
                <w:szCs w:val="22"/>
              </w:rPr>
              <w:t>AWWA</w:t>
            </w:r>
          </w:p>
        </w:tc>
        <w:tc>
          <w:tcPr>
            <w:tcW w:w="3012" w:type="dxa"/>
          </w:tcPr>
          <w:p w14:paraId="14C48E15" w14:textId="77777777" w:rsidR="00B6789A" w:rsidRPr="00B6789A" w:rsidRDefault="00B6789A" w:rsidP="00B6789A">
            <w:pPr>
              <w:jc w:val="center"/>
              <w:rPr>
                <w:rFonts w:eastAsiaTheme="minorHAnsi" w:cstheme="minorBidi"/>
                <w:szCs w:val="22"/>
              </w:rPr>
            </w:pPr>
            <w:r w:rsidRPr="00B6789A">
              <w:rPr>
                <w:rFonts w:eastAsiaTheme="minorHAnsi" w:cstheme="minorBidi"/>
                <w:szCs w:val="22"/>
              </w:rPr>
              <w:t>Citrus</w:t>
            </w:r>
          </w:p>
        </w:tc>
      </w:tr>
      <w:tr w:rsidR="00B6789A" w:rsidRPr="00B6789A" w14:paraId="61FEA02C" w14:textId="77777777" w:rsidTr="00B6789A">
        <w:trPr>
          <w:trHeight w:val="257"/>
          <w:jc w:val="center"/>
        </w:trPr>
        <w:tc>
          <w:tcPr>
            <w:tcW w:w="3012" w:type="dxa"/>
          </w:tcPr>
          <w:p w14:paraId="287CC19C" w14:textId="77777777" w:rsidR="00B6789A" w:rsidRPr="00B6789A" w:rsidRDefault="00B6789A" w:rsidP="00B6789A">
            <w:pPr>
              <w:rPr>
                <w:rFonts w:eastAsiaTheme="minorHAnsi" w:cstheme="minorBidi"/>
                <w:szCs w:val="22"/>
              </w:rPr>
            </w:pPr>
            <w:r w:rsidRPr="00B6789A">
              <w:rPr>
                <w:rFonts w:eastAsiaTheme="minorHAnsi" w:cstheme="minorBidi"/>
                <w:szCs w:val="22"/>
              </w:rPr>
              <w:t>5/8” x 3/4”</w:t>
            </w:r>
          </w:p>
        </w:tc>
        <w:tc>
          <w:tcPr>
            <w:tcW w:w="3012" w:type="dxa"/>
          </w:tcPr>
          <w:p w14:paraId="551C4980" w14:textId="77777777" w:rsidR="00B6789A" w:rsidRPr="00B6789A" w:rsidRDefault="00B6789A" w:rsidP="00B6789A">
            <w:pPr>
              <w:jc w:val="center"/>
              <w:rPr>
                <w:rFonts w:eastAsiaTheme="minorHAnsi" w:cstheme="minorBidi"/>
                <w:szCs w:val="22"/>
              </w:rPr>
            </w:pPr>
            <w:r w:rsidRPr="00B6789A">
              <w:rPr>
                <w:rFonts w:eastAsiaTheme="minorHAnsi" w:cstheme="minorBidi"/>
                <w:szCs w:val="22"/>
              </w:rPr>
              <w:t>1</w:t>
            </w:r>
          </w:p>
        </w:tc>
        <w:tc>
          <w:tcPr>
            <w:tcW w:w="3012" w:type="dxa"/>
          </w:tcPr>
          <w:p w14:paraId="393C8672" w14:textId="77777777" w:rsidR="00B6789A" w:rsidRPr="00B6789A" w:rsidRDefault="00B6789A" w:rsidP="00B6789A">
            <w:pPr>
              <w:jc w:val="center"/>
              <w:rPr>
                <w:rFonts w:eastAsiaTheme="minorHAnsi" w:cstheme="minorBidi"/>
                <w:szCs w:val="22"/>
              </w:rPr>
            </w:pPr>
            <w:r w:rsidRPr="00B6789A">
              <w:rPr>
                <w:rFonts w:eastAsiaTheme="minorHAnsi" w:cstheme="minorBidi"/>
                <w:szCs w:val="22"/>
              </w:rPr>
              <w:t>1</w:t>
            </w:r>
          </w:p>
        </w:tc>
      </w:tr>
      <w:tr w:rsidR="00B6789A" w:rsidRPr="00B6789A" w14:paraId="7598B58A" w14:textId="77777777" w:rsidTr="00B6789A">
        <w:trPr>
          <w:trHeight w:val="266"/>
          <w:jc w:val="center"/>
        </w:trPr>
        <w:tc>
          <w:tcPr>
            <w:tcW w:w="3012" w:type="dxa"/>
          </w:tcPr>
          <w:p w14:paraId="0053B33F" w14:textId="77777777" w:rsidR="00B6789A" w:rsidRPr="00B6789A" w:rsidRDefault="00B6789A" w:rsidP="00B6789A">
            <w:pPr>
              <w:rPr>
                <w:rFonts w:eastAsiaTheme="minorHAnsi" w:cstheme="minorBidi"/>
                <w:szCs w:val="22"/>
              </w:rPr>
            </w:pPr>
            <w:r w:rsidRPr="00B6789A">
              <w:rPr>
                <w:rFonts w:eastAsiaTheme="minorHAnsi" w:cstheme="minorBidi"/>
                <w:szCs w:val="22"/>
              </w:rPr>
              <w:t>3/4”</w:t>
            </w:r>
          </w:p>
        </w:tc>
        <w:tc>
          <w:tcPr>
            <w:tcW w:w="3012" w:type="dxa"/>
          </w:tcPr>
          <w:p w14:paraId="261023A6" w14:textId="77777777" w:rsidR="00B6789A" w:rsidRPr="00B6789A" w:rsidRDefault="00B6789A" w:rsidP="00B6789A">
            <w:pPr>
              <w:jc w:val="center"/>
              <w:rPr>
                <w:rFonts w:eastAsiaTheme="minorHAnsi" w:cstheme="minorBidi"/>
                <w:szCs w:val="22"/>
              </w:rPr>
            </w:pPr>
            <w:r w:rsidRPr="00B6789A">
              <w:rPr>
                <w:rFonts w:eastAsiaTheme="minorHAnsi" w:cstheme="minorBidi"/>
                <w:szCs w:val="22"/>
              </w:rPr>
              <w:t>1.5</w:t>
            </w:r>
          </w:p>
        </w:tc>
        <w:tc>
          <w:tcPr>
            <w:tcW w:w="3012" w:type="dxa"/>
          </w:tcPr>
          <w:p w14:paraId="54344DC7" w14:textId="77777777" w:rsidR="00B6789A" w:rsidRPr="00B6789A" w:rsidRDefault="00B6789A" w:rsidP="00B6789A">
            <w:pPr>
              <w:jc w:val="center"/>
              <w:rPr>
                <w:rFonts w:eastAsiaTheme="minorHAnsi" w:cstheme="minorBidi"/>
                <w:szCs w:val="22"/>
              </w:rPr>
            </w:pPr>
            <w:r w:rsidRPr="00B6789A">
              <w:rPr>
                <w:rFonts w:eastAsiaTheme="minorHAnsi" w:cstheme="minorBidi"/>
                <w:szCs w:val="22"/>
              </w:rPr>
              <w:t>1.5</w:t>
            </w:r>
          </w:p>
        </w:tc>
      </w:tr>
      <w:tr w:rsidR="00B6789A" w:rsidRPr="00B6789A" w14:paraId="0B855508" w14:textId="77777777" w:rsidTr="00B6789A">
        <w:trPr>
          <w:trHeight w:val="257"/>
          <w:jc w:val="center"/>
        </w:trPr>
        <w:tc>
          <w:tcPr>
            <w:tcW w:w="3012" w:type="dxa"/>
          </w:tcPr>
          <w:p w14:paraId="7E795EB3" w14:textId="77777777" w:rsidR="00B6789A" w:rsidRPr="00B6789A" w:rsidRDefault="00B6789A" w:rsidP="00B6789A">
            <w:pPr>
              <w:rPr>
                <w:rFonts w:eastAsiaTheme="minorHAnsi" w:cstheme="minorBidi"/>
                <w:szCs w:val="22"/>
              </w:rPr>
            </w:pPr>
            <w:r w:rsidRPr="00B6789A">
              <w:rPr>
                <w:rFonts w:eastAsiaTheme="minorHAnsi" w:cstheme="minorBidi"/>
                <w:szCs w:val="22"/>
              </w:rPr>
              <w:t>1”</w:t>
            </w:r>
          </w:p>
        </w:tc>
        <w:tc>
          <w:tcPr>
            <w:tcW w:w="3012" w:type="dxa"/>
          </w:tcPr>
          <w:p w14:paraId="1132E4B4" w14:textId="77777777" w:rsidR="00B6789A" w:rsidRPr="00B6789A" w:rsidRDefault="00B6789A" w:rsidP="00B6789A">
            <w:pPr>
              <w:jc w:val="center"/>
              <w:rPr>
                <w:rFonts w:eastAsiaTheme="minorHAnsi" w:cstheme="minorBidi"/>
                <w:szCs w:val="22"/>
              </w:rPr>
            </w:pPr>
            <w:r w:rsidRPr="00B6789A">
              <w:rPr>
                <w:rFonts w:eastAsiaTheme="minorHAnsi" w:cstheme="minorBidi"/>
                <w:szCs w:val="22"/>
              </w:rPr>
              <w:t>5</w:t>
            </w:r>
          </w:p>
        </w:tc>
        <w:tc>
          <w:tcPr>
            <w:tcW w:w="3012" w:type="dxa"/>
          </w:tcPr>
          <w:p w14:paraId="687C819D" w14:textId="77777777" w:rsidR="00B6789A" w:rsidRPr="00B6789A" w:rsidRDefault="00B6789A" w:rsidP="00B6789A">
            <w:pPr>
              <w:jc w:val="center"/>
              <w:rPr>
                <w:rFonts w:eastAsiaTheme="minorHAnsi" w:cstheme="minorBidi"/>
                <w:szCs w:val="22"/>
              </w:rPr>
            </w:pPr>
            <w:r w:rsidRPr="00B6789A">
              <w:rPr>
                <w:rFonts w:eastAsiaTheme="minorHAnsi" w:cstheme="minorBidi"/>
                <w:szCs w:val="22"/>
              </w:rPr>
              <w:t>2.5</w:t>
            </w:r>
          </w:p>
        </w:tc>
      </w:tr>
      <w:tr w:rsidR="00B6789A" w:rsidRPr="00B6789A" w14:paraId="5024E798" w14:textId="77777777" w:rsidTr="00B6789A">
        <w:trPr>
          <w:trHeight w:val="266"/>
          <w:jc w:val="center"/>
        </w:trPr>
        <w:tc>
          <w:tcPr>
            <w:tcW w:w="3012" w:type="dxa"/>
          </w:tcPr>
          <w:p w14:paraId="151BC417" w14:textId="77777777" w:rsidR="00B6789A" w:rsidRPr="00B6789A" w:rsidRDefault="00B6789A" w:rsidP="00B6789A">
            <w:pPr>
              <w:rPr>
                <w:rFonts w:eastAsiaTheme="minorHAnsi" w:cstheme="minorBidi"/>
                <w:szCs w:val="22"/>
              </w:rPr>
            </w:pPr>
            <w:r w:rsidRPr="00B6789A">
              <w:rPr>
                <w:rFonts w:eastAsiaTheme="minorHAnsi" w:cstheme="minorBidi"/>
                <w:szCs w:val="22"/>
              </w:rPr>
              <w:t>2”</w:t>
            </w:r>
          </w:p>
        </w:tc>
        <w:tc>
          <w:tcPr>
            <w:tcW w:w="3012" w:type="dxa"/>
          </w:tcPr>
          <w:p w14:paraId="653E51F6" w14:textId="77777777" w:rsidR="00B6789A" w:rsidRPr="00B6789A" w:rsidRDefault="00B6789A" w:rsidP="00B6789A">
            <w:pPr>
              <w:jc w:val="center"/>
              <w:rPr>
                <w:rFonts w:eastAsiaTheme="minorHAnsi" w:cstheme="minorBidi"/>
                <w:szCs w:val="22"/>
              </w:rPr>
            </w:pPr>
            <w:r w:rsidRPr="00B6789A">
              <w:rPr>
                <w:rFonts w:eastAsiaTheme="minorHAnsi" w:cstheme="minorBidi"/>
                <w:szCs w:val="22"/>
              </w:rPr>
              <w:t>8</w:t>
            </w:r>
          </w:p>
        </w:tc>
        <w:tc>
          <w:tcPr>
            <w:tcW w:w="3012" w:type="dxa"/>
          </w:tcPr>
          <w:p w14:paraId="22DB3FA2" w14:textId="77777777" w:rsidR="00B6789A" w:rsidRPr="00B6789A" w:rsidRDefault="00B6789A" w:rsidP="00B6789A">
            <w:pPr>
              <w:jc w:val="center"/>
              <w:rPr>
                <w:rFonts w:eastAsiaTheme="minorHAnsi" w:cstheme="minorBidi"/>
                <w:szCs w:val="22"/>
              </w:rPr>
            </w:pPr>
            <w:r w:rsidRPr="00B6789A">
              <w:rPr>
                <w:rFonts w:eastAsiaTheme="minorHAnsi" w:cstheme="minorBidi"/>
                <w:szCs w:val="22"/>
              </w:rPr>
              <w:t>5</w:t>
            </w:r>
          </w:p>
        </w:tc>
      </w:tr>
      <w:tr w:rsidR="00B6789A" w:rsidRPr="00B6789A" w14:paraId="240D0DD5" w14:textId="77777777" w:rsidTr="00B6789A">
        <w:trPr>
          <w:trHeight w:val="266"/>
          <w:jc w:val="center"/>
        </w:trPr>
        <w:tc>
          <w:tcPr>
            <w:tcW w:w="3012" w:type="dxa"/>
          </w:tcPr>
          <w:p w14:paraId="32D57F79" w14:textId="77777777" w:rsidR="00B6789A" w:rsidRPr="00B6789A" w:rsidRDefault="00B6789A" w:rsidP="00B6789A">
            <w:pPr>
              <w:rPr>
                <w:rFonts w:eastAsiaTheme="minorHAnsi" w:cstheme="minorBidi"/>
                <w:szCs w:val="22"/>
              </w:rPr>
            </w:pPr>
            <w:r w:rsidRPr="00B6789A">
              <w:rPr>
                <w:rFonts w:eastAsiaTheme="minorHAnsi" w:cstheme="minorBidi"/>
                <w:szCs w:val="22"/>
              </w:rPr>
              <w:t>3”</w:t>
            </w:r>
          </w:p>
        </w:tc>
        <w:tc>
          <w:tcPr>
            <w:tcW w:w="3012" w:type="dxa"/>
          </w:tcPr>
          <w:p w14:paraId="438802D9" w14:textId="77777777" w:rsidR="00B6789A" w:rsidRPr="00B6789A" w:rsidRDefault="00B6789A" w:rsidP="00B6789A">
            <w:pPr>
              <w:jc w:val="center"/>
              <w:rPr>
                <w:rFonts w:eastAsiaTheme="minorHAnsi" w:cstheme="minorBidi"/>
                <w:szCs w:val="22"/>
              </w:rPr>
            </w:pPr>
            <w:r w:rsidRPr="00B6789A">
              <w:rPr>
                <w:rFonts w:eastAsiaTheme="minorHAnsi" w:cstheme="minorBidi"/>
                <w:szCs w:val="22"/>
              </w:rPr>
              <w:t>15</w:t>
            </w:r>
          </w:p>
        </w:tc>
        <w:tc>
          <w:tcPr>
            <w:tcW w:w="3012" w:type="dxa"/>
          </w:tcPr>
          <w:p w14:paraId="53E21A05" w14:textId="77777777" w:rsidR="00B6789A" w:rsidRPr="00B6789A" w:rsidRDefault="00B6789A" w:rsidP="00B6789A">
            <w:pPr>
              <w:jc w:val="center"/>
              <w:rPr>
                <w:rFonts w:eastAsiaTheme="minorHAnsi" w:cstheme="minorBidi"/>
                <w:szCs w:val="22"/>
              </w:rPr>
            </w:pPr>
            <w:r w:rsidRPr="00B6789A">
              <w:rPr>
                <w:rFonts w:eastAsiaTheme="minorHAnsi" w:cstheme="minorBidi"/>
                <w:szCs w:val="22"/>
              </w:rPr>
              <w:t>8</w:t>
            </w:r>
          </w:p>
        </w:tc>
      </w:tr>
    </w:tbl>
    <w:p w14:paraId="23D859F4" w14:textId="77777777" w:rsidR="00B6789A" w:rsidRDefault="007B62AE" w:rsidP="00B6789A">
      <w:pPr>
        <w:pStyle w:val="BodyText"/>
      </w:pPr>
      <w:r>
        <w:t xml:space="preserve">   </w:t>
      </w:r>
      <w:r w:rsidR="00B6789A">
        <w:t>Source: Rule 25-30.055, F.A.C. and Citrus’ tariff rates</w:t>
      </w:r>
    </w:p>
    <w:p w14:paraId="3DFFBA9C" w14:textId="77777777" w:rsidR="00B6789A" w:rsidRDefault="00B6789A" w:rsidP="00B6789A">
      <w:pPr>
        <w:pStyle w:val="BodyText"/>
      </w:pPr>
      <w:r>
        <w:t xml:space="preserve">Staff recommends a two-tier inclining block rate structure, which includes separate gallonage charges for non-discretionary and discretionary usage for residential water rates. The rate blocks are: (1) 0 - 4,000 gallons; and (2) all usage in excess of 4,000 gallons per month. Staff’s recommended rate structure will target those customers with higher levels of consumption. General service customers should continue to be billed a BFC and uniform gallonage charge. </w:t>
      </w:r>
    </w:p>
    <w:p w14:paraId="16A6CBC4" w14:textId="77777777" w:rsidR="00B6789A" w:rsidRDefault="00B6789A" w:rsidP="00B6789A">
      <w:pPr>
        <w:pStyle w:val="BodyText"/>
      </w:pPr>
      <w:r>
        <w:t>Based on staff’s recommended revenue increase of 4.5 percent, which excludes miscellaneous revenues, the residential consumption can be expected to decline by 269,000 gallons resulting in an anticipated average residential demand of 3,739 gallons per month. Staff recommends a 3.7 percent reduction in test year residential gallons for ratesetting purposes. As a result, the corresponding reductions for purchase power expense is $236, $4 for chemicals expense, and $11 for RAFs to reflect the anticipated repression, which results in a post repression revenue requirement of $56,526.</w:t>
      </w:r>
    </w:p>
    <w:p w14:paraId="17E3D08F" w14:textId="46E926D8" w:rsidR="00B6789A" w:rsidRDefault="00B6789A" w:rsidP="00B6789A">
      <w:pPr>
        <w:pStyle w:val="BodyText"/>
      </w:pPr>
      <w:r>
        <w:t xml:space="preserve">The recommended rate structure and monthly water rates are shown on Schedule No. 4. The Utility should file revised tariff sheets and a proposed customer notice to reflect the Commission-approved rates. The approved rates should be effective for service rendered on or after the stamped approval date on the tariff sheets pursuant to Rule 25-30.475(1), F.A.C. In addition, the approved rates should not be implemented until staff has approved the proposed customer notice and the notice has been received by the customers. The Utility should provide proof of the date notice was given </w:t>
      </w:r>
      <w:r w:rsidR="00C27589">
        <w:t xml:space="preserve">by affidavit </w:t>
      </w:r>
      <w:r>
        <w:t>within 10 days of the date of the notice.</w:t>
      </w:r>
    </w:p>
    <w:p w14:paraId="19C4B3D3" w14:textId="77777777" w:rsidR="00144C53" w:rsidRDefault="00144C53">
      <w:pPr>
        <w:pStyle w:val="BodyText"/>
      </w:pPr>
    </w:p>
    <w:p w14:paraId="2A337022" w14:textId="77777777" w:rsidR="00144C53" w:rsidRDefault="00144C53" w:rsidP="00E275D8">
      <w:pPr>
        <w:pStyle w:val="BodyText"/>
      </w:pPr>
    </w:p>
    <w:p w14:paraId="126190F6" w14:textId="77777777" w:rsidR="00144C53" w:rsidRDefault="00144C53" w:rsidP="00E275D8">
      <w:pPr>
        <w:pStyle w:val="BodyText"/>
      </w:pPr>
    </w:p>
    <w:p w14:paraId="4402E138" w14:textId="50813943" w:rsidR="00204A35" w:rsidRDefault="00204A35">
      <w:pPr>
        <w:pStyle w:val="IssueHeading"/>
        <w:rPr>
          <w:vanish/>
          <w:specVanish/>
        </w:rPr>
      </w:pPr>
      <w:r w:rsidRPr="004C3641">
        <w:rPr>
          <w:b w:val="0"/>
          <w:i w:val="0"/>
        </w:rPr>
        <w:br w:type="page"/>
      </w:r>
      <w:r w:rsidRPr="004C3641">
        <w:t xml:space="preserve">Issue </w:t>
      </w:r>
      <w:fldSimple w:instr=" SEQ Issue \* MERGEFORMAT ">
        <w:r w:rsidR="004A4C46">
          <w:rPr>
            <w:noProof/>
          </w:rPr>
          <w:t>11</w:t>
        </w:r>
      </w:fldSimple>
      <w:r w:rsidRPr="004C3641">
        <w:t>:</w:t>
      </w:r>
      <w:r>
        <w:fldChar w:fldCharType="begin"/>
      </w:r>
      <w:r>
        <w:instrText xml:space="preserve"> TC "</w:instrText>
      </w:r>
      <w:r>
        <w:fldChar w:fldCharType="begin"/>
      </w:r>
      <w:r>
        <w:instrText xml:space="preserve"> SEQ issue \c </w:instrText>
      </w:r>
      <w:r>
        <w:fldChar w:fldCharType="separate"/>
      </w:r>
      <w:bookmarkStart w:id="26" w:name="_Toc225411888"/>
      <w:r w:rsidR="004A4C46">
        <w:rPr>
          <w:noProof/>
        </w:rPr>
        <w:instrText>11</w:instrText>
      </w:r>
      <w:r>
        <w:fldChar w:fldCharType="end"/>
      </w:r>
      <w:r>
        <w:tab/>
        <w:instrText>Customer Deposits</w:instrText>
      </w:r>
      <w:bookmarkEnd w:id="26"/>
      <w:r>
        <w:instrText xml:space="preserve">" \l 1 </w:instrText>
      </w:r>
      <w:r>
        <w:fldChar w:fldCharType="end"/>
      </w:r>
      <w:r>
        <w:t> </w:t>
      </w:r>
    </w:p>
    <w:p w14:paraId="3D86EF7F" w14:textId="77777777" w:rsidR="00204A35" w:rsidRDefault="00204A35">
      <w:pPr>
        <w:pStyle w:val="BodyText"/>
      </w:pPr>
      <w:r>
        <w:t xml:space="preserve"> What are the appropriate initial customer deposits for </w:t>
      </w:r>
      <w:r w:rsidR="00F304E8">
        <w:t>Citrus Waterworks, Inc.</w:t>
      </w:r>
      <w:r>
        <w:t xml:space="preserve">? </w:t>
      </w:r>
    </w:p>
    <w:p w14:paraId="7C9E9FEB" w14:textId="77777777" w:rsidR="00204A35" w:rsidRPr="004C3641" w:rsidRDefault="00204A35">
      <w:pPr>
        <w:pStyle w:val="IssueSubsectionHeading"/>
        <w:rPr>
          <w:vanish/>
          <w:specVanish/>
        </w:rPr>
      </w:pPr>
      <w:r w:rsidRPr="004C3641">
        <w:t>Recommendation: </w:t>
      </w:r>
    </w:p>
    <w:p w14:paraId="6C69F0D5" w14:textId="77777777" w:rsidR="00204A35" w:rsidRDefault="00204A35">
      <w:pPr>
        <w:pStyle w:val="BodyText"/>
      </w:pPr>
      <w:r>
        <w:t> </w:t>
      </w:r>
      <w:r w:rsidR="00B6789A" w:rsidRPr="00B6789A">
        <w:t>The appropriate initial customer deposit should be $54 for the residential 5/8 inch x 3/4 inch meter size. The initial customer deposit for all other residential meter sizes and all general service meter sizes should be two times the average estimated bill for water. The approved initial customer deposits should be effective for connections made on or after the stamped approval date on the tariff sheets pursuant to Rule 25-30.475, F.A.C. The Utility should be required to collect the approved deposits until authorized to change them by the Commission in a subsequent proceeding.</w:t>
      </w:r>
      <w:r>
        <w:t xml:space="preserve"> (Chambliss)</w:t>
      </w:r>
    </w:p>
    <w:p w14:paraId="3748FBF6" w14:textId="77777777" w:rsidR="00204A35" w:rsidRPr="004C3641" w:rsidRDefault="00204A35">
      <w:pPr>
        <w:pStyle w:val="IssueSubsectionHeading"/>
        <w:rPr>
          <w:vanish/>
          <w:specVanish/>
        </w:rPr>
      </w:pPr>
      <w:r w:rsidRPr="004C3641">
        <w:t>Staff Analysis: </w:t>
      </w:r>
    </w:p>
    <w:p w14:paraId="05F6EB74" w14:textId="77777777" w:rsidR="00B6789A" w:rsidRDefault="00204A35" w:rsidP="00B6789A">
      <w:pPr>
        <w:pStyle w:val="BodyText"/>
      </w:pPr>
      <w:r>
        <w:t> </w:t>
      </w:r>
      <w:r w:rsidR="00B6789A">
        <w:t>Rule 25-30.311, F.A.C., provides the criteria for collecting, administering, and refunding customer deposits. Customer deposits are designed to minimize the exposure of bad debt expense for the Utility and, ultimately, the general body of ratepayers. An initial customer deposit ensures that the cost of providing service is recovered from the cost causer. Historically, the Commission has set initial customer deposits equal to two times the average estimated bill.  Currently, the Utility has an initial customer deposit of $45 for the residential 5/8 inch x 3/4 inch meter size. However, this amount does not cover two months’ average bills based on staff’s recommended rates. The Utility’s anticipated post-repression average monthly residential usage is 3,739 gallons per customer. Therefore, the average residential monthly bill is approximately $27.04 for water service based on staff’s recommended rates.</w:t>
      </w:r>
    </w:p>
    <w:p w14:paraId="6CB387DF" w14:textId="77777777" w:rsidR="00204A35" w:rsidRDefault="00B6789A" w:rsidP="00B6789A">
      <w:pPr>
        <w:pStyle w:val="BodyText"/>
      </w:pPr>
      <w:r>
        <w:t>Staff recommends that the appropriate initial customer deposit should be $54 for the residential 5/8 inch x 3/4 inch meter size. The initial customer deposit for all other residential meter sizes and all general service meter sizes should be two times the average estimated bill for water. The approved initial customer deposits should be effective for connections made on or after the stamped approval date on the tariff sheets pursuant to Rule 25-30.475, F.A.C. The Utility should be required to collect the approved deposits until authorized to change them by the Commission in a subsequent proceeding.</w:t>
      </w:r>
    </w:p>
    <w:p w14:paraId="3E7061D5" w14:textId="77777777" w:rsidR="00144C53" w:rsidRDefault="00144C53" w:rsidP="00E275D8">
      <w:pPr>
        <w:pStyle w:val="BodyText"/>
      </w:pPr>
    </w:p>
    <w:p w14:paraId="786610E7" w14:textId="77777777" w:rsidR="00204A35" w:rsidRDefault="00204A35" w:rsidP="00E275D8">
      <w:pPr>
        <w:pStyle w:val="BodyText"/>
      </w:pPr>
    </w:p>
    <w:p w14:paraId="7EA356AA" w14:textId="77777777" w:rsidR="00B6789A" w:rsidRDefault="00204A35" w:rsidP="00B6789A">
      <w:pPr>
        <w:pStyle w:val="IssueHeading"/>
      </w:pPr>
      <w:r w:rsidRPr="004C3641">
        <w:rPr>
          <w:b w:val="0"/>
          <w:i w:val="0"/>
        </w:rPr>
        <w:br w:type="page"/>
      </w:r>
    </w:p>
    <w:p w14:paraId="5B40B590" w14:textId="72FF0599" w:rsidR="00204A35" w:rsidRDefault="00204A35">
      <w:pPr>
        <w:pStyle w:val="IssueHeading"/>
        <w:rPr>
          <w:vanish/>
          <w:specVanish/>
        </w:rPr>
      </w:pPr>
      <w:r w:rsidRPr="004C3641">
        <w:t xml:space="preserve">Issue </w:t>
      </w:r>
      <w:fldSimple w:instr=" SEQ Issue \* MERGEFORMAT ">
        <w:r w:rsidR="004A4C46">
          <w:rPr>
            <w:noProof/>
          </w:rPr>
          <w:t>12</w:t>
        </w:r>
      </w:fldSimple>
      <w:r w:rsidRPr="004C3641">
        <w:t>:</w:t>
      </w:r>
      <w:r>
        <w:fldChar w:fldCharType="begin"/>
      </w:r>
      <w:r>
        <w:instrText xml:space="preserve"> TC "</w:instrText>
      </w:r>
      <w:r>
        <w:fldChar w:fldCharType="begin"/>
      </w:r>
      <w:r>
        <w:instrText xml:space="preserve"> SEQ issue \c </w:instrText>
      </w:r>
      <w:r>
        <w:fldChar w:fldCharType="separate"/>
      </w:r>
      <w:bookmarkStart w:id="27" w:name="_Toc225411889"/>
      <w:r w:rsidR="004A4C46">
        <w:rPr>
          <w:noProof/>
        </w:rPr>
        <w:instrText>12</w:instrText>
      </w:r>
      <w:r>
        <w:fldChar w:fldCharType="end"/>
      </w:r>
      <w:r>
        <w:tab/>
      </w:r>
      <w:r w:rsidR="009C5552">
        <w:instrText>Four Year Rate Reduction</w:instrText>
      </w:r>
      <w:bookmarkEnd w:id="27"/>
      <w:r>
        <w:instrText xml:space="preserve">" \l 1 </w:instrText>
      </w:r>
      <w:r>
        <w:fldChar w:fldCharType="end"/>
      </w:r>
      <w:r>
        <w:t> </w:t>
      </w:r>
    </w:p>
    <w:p w14:paraId="5C822E40" w14:textId="77777777" w:rsidR="00204A35" w:rsidRDefault="00204A35">
      <w:pPr>
        <w:pStyle w:val="BodyText"/>
      </w:pPr>
      <w:r>
        <w:t xml:space="preserve"> What is the appropriate amount by which rates should be reduce four years after the published effective date to reflect the removal of the amortized rate case expense? </w:t>
      </w:r>
    </w:p>
    <w:p w14:paraId="09353E65" w14:textId="77777777" w:rsidR="00204A35" w:rsidRPr="004C3641" w:rsidRDefault="00204A35">
      <w:pPr>
        <w:pStyle w:val="IssueSubsectionHeading"/>
        <w:rPr>
          <w:vanish/>
          <w:specVanish/>
        </w:rPr>
      </w:pPr>
      <w:r w:rsidRPr="004C3641">
        <w:t>Recommendation: </w:t>
      </w:r>
    </w:p>
    <w:p w14:paraId="5AA766CE" w14:textId="77777777" w:rsidR="00204A35" w:rsidRDefault="00204A35">
      <w:pPr>
        <w:pStyle w:val="BodyText"/>
      </w:pPr>
      <w:r>
        <w:t> </w:t>
      </w:r>
      <w:r w:rsidR="00F304E8" w:rsidRPr="001334BE">
        <w:t xml:space="preserve">The rates should be reduced as shown on Schedule No. 4, to remove rate case expense grossed-up for RAFs and amortized over a four-year period. Pursuant to Section 367.081(8), F.S., the decrease in rates should become effective immediately following the expiration of the rate case expense recovery period. </w:t>
      </w:r>
      <w:r w:rsidR="00F304E8">
        <w:t xml:space="preserve">Citrus </w:t>
      </w:r>
      <w:r w:rsidR="00F304E8" w:rsidRPr="001334BE">
        <w:t>should be required to file revised tariffs and a proposed customer notice setting forth the lower rates and rationale no later than one month prior to the effective date of the new rates. If the Utility files revised tariffs reflecting this reduction in conjunction with a price index or pass-through rate adjustment, separate data should be filed for the price index and/or pass-through increase and the reduction in the rates due to the amortized rate case expense.</w:t>
      </w:r>
      <w:r w:rsidR="00BC61E1">
        <w:t xml:space="preserve"> (</w:t>
      </w:r>
      <w:r w:rsidR="00F304E8">
        <w:t>Lenberg, Chambliss)</w:t>
      </w:r>
    </w:p>
    <w:p w14:paraId="631FDCED" w14:textId="77777777" w:rsidR="00204A35" w:rsidRPr="004C3641" w:rsidRDefault="00204A35">
      <w:pPr>
        <w:pStyle w:val="IssueSubsectionHeading"/>
        <w:rPr>
          <w:vanish/>
          <w:specVanish/>
        </w:rPr>
      </w:pPr>
      <w:r w:rsidRPr="004C3641">
        <w:t>Staff Analysis: </w:t>
      </w:r>
    </w:p>
    <w:p w14:paraId="586B661C" w14:textId="34EBE26F" w:rsidR="00F304E8" w:rsidRPr="005E0684" w:rsidRDefault="00204A35" w:rsidP="00F304E8">
      <w:pPr>
        <w:pStyle w:val="BodyText"/>
      </w:pPr>
      <w:r>
        <w:t> </w:t>
      </w:r>
      <w:r w:rsidR="00F304E8" w:rsidRPr="005E0684">
        <w:t>Section 367.081</w:t>
      </w:r>
      <w:r w:rsidR="00F43954">
        <w:t>(8)</w:t>
      </w:r>
      <w:r w:rsidR="00F304E8" w:rsidRPr="005E0684">
        <w:t>, F.S., requires that the rates be reduced immediately f</w:t>
      </w:r>
      <w:r w:rsidR="00F304E8">
        <w:t>ollowing the expiration of the four</w:t>
      </w:r>
      <w:r w:rsidR="00F304E8" w:rsidRPr="005E0684">
        <w:t>-year period by the amount of the rate case expense previously included in rates. The reduction will reflect the removal of revenue associated with the amo</w:t>
      </w:r>
      <w:r w:rsidR="00F304E8">
        <w:t>rtization of rate case expense</w:t>
      </w:r>
      <w:r w:rsidR="00F304E8" w:rsidRPr="005E0684">
        <w:t xml:space="preserve"> and the gross-up for RAFs. This results in a reduction of $</w:t>
      </w:r>
      <w:r w:rsidR="00F304E8">
        <w:t>535</w:t>
      </w:r>
      <w:r w:rsidR="00F304E8" w:rsidRPr="005E0684">
        <w:t>.</w:t>
      </w:r>
    </w:p>
    <w:p w14:paraId="2B391D3C" w14:textId="77777777" w:rsidR="00204A35" w:rsidRDefault="00F304E8" w:rsidP="00F304E8">
      <w:pPr>
        <w:pStyle w:val="BodyText"/>
      </w:pPr>
      <w:r w:rsidRPr="005E0684">
        <w:t xml:space="preserve">Staff recommends that the rates should be reduced as shown on Schedule No. 4, to remove rate case expense grossed-up for RAFs and amortized over a four-year period. Pursuant to Section 367.081(8), F.S., the decrease in rates should become effective immediately following the expiration of the rate case expense recovery period. </w:t>
      </w:r>
      <w:r>
        <w:t xml:space="preserve">Citrus </w:t>
      </w:r>
      <w:r w:rsidRPr="005E0684">
        <w:t>should be required to file revised tariffs and a proposed customer notice setting forth the lower rates and rationale no later than one month prior to the effective date of the new rates. If the Utility files revised tariffs reflecting this reduction in conjunction with a price index, or pass-through rate adjustment, separate data should be filed for the price index and/or pass-through increase and the reduction in the rates due to the amortized rate case expense.</w:t>
      </w:r>
    </w:p>
    <w:p w14:paraId="49235133" w14:textId="77777777" w:rsidR="00204A35" w:rsidRDefault="00204A35" w:rsidP="00E275D8">
      <w:pPr>
        <w:pStyle w:val="BodyText"/>
      </w:pPr>
    </w:p>
    <w:p w14:paraId="6AEEF987" w14:textId="77777777" w:rsidR="00204A35" w:rsidRDefault="00204A35" w:rsidP="00E275D8">
      <w:pPr>
        <w:pStyle w:val="BodyText"/>
      </w:pPr>
    </w:p>
    <w:p w14:paraId="6CE78E60" w14:textId="5A37D366" w:rsidR="00204A35" w:rsidRDefault="00204A35">
      <w:pPr>
        <w:pStyle w:val="IssueHeading"/>
        <w:rPr>
          <w:vanish/>
          <w:specVanish/>
        </w:rPr>
      </w:pPr>
      <w:r w:rsidRPr="004C3641">
        <w:rPr>
          <w:b w:val="0"/>
          <w:i w:val="0"/>
        </w:rPr>
        <w:br w:type="page"/>
      </w:r>
      <w:r w:rsidRPr="004C3641">
        <w:t xml:space="preserve">Issue </w:t>
      </w:r>
      <w:fldSimple w:instr=" SEQ Issue \* MERGEFORMAT ">
        <w:r w:rsidR="004A4C46">
          <w:rPr>
            <w:noProof/>
          </w:rPr>
          <w:t>13</w:t>
        </w:r>
      </w:fldSimple>
      <w:r w:rsidRPr="004C3641">
        <w:t>:</w:t>
      </w:r>
      <w:r>
        <w:fldChar w:fldCharType="begin"/>
      </w:r>
      <w:r>
        <w:instrText xml:space="preserve"> TC "</w:instrText>
      </w:r>
      <w:r>
        <w:fldChar w:fldCharType="begin"/>
      </w:r>
      <w:r>
        <w:instrText xml:space="preserve"> SEQ issue \c </w:instrText>
      </w:r>
      <w:r>
        <w:fldChar w:fldCharType="separate"/>
      </w:r>
      <w:bookmarkStart w:id="28" w:name="_Toc225411890"/>
      <w:r w:rsidR="004A4C46">
        <w:rPr>
          <w:noProof/>
        </w:rPr>
        <w:instrText>13</w:instrText>
      </w:r>
      <w:r>
        <w:fldChar w:fldCharType="end"/>
      </w:r>
      <w:r>
        <w:tab/>
        <w:instrText>Temporary Rates</w:instrText>
      </w:r>
      <w:bookmarkEnd w:id="28"/>
      <w:r>
        <w:instrText xml:space="preserve">" \l 1 </w:instrText>
      </w:r>
      <w:r>
        <w:fldChar w:fldCharType="end"/>
      </w:r>
      <w:r>
        <w:t> </w:t>
      </w:r>
    </w:p>
    <w:p w14:paraId="0A4DED18" w14:textId="77777777" w:rsidR="00204A35" w:rsidRDefault="00204A35">
      <w:pPr>
        <w:pStyle w:val="BodyText"/>
      </w:pPr>
      <w:r>
        <w:t xml:space="preserve"> Should the recommended rates be approved for </w:t>
      </w:r>
      <w:r w:rsidR="00F304E8">
        <w:t>Citrus Waterworks, Inc.</w:t>
      </w:r>
      <w:r>
        <w:t xml:space="preserve"> on temporary basis, subject to refund with interest, in the event of a protest filed by a party other than the Utility?</w:t>
      </w:r>
    </w:p>
    <w:p w14:paraId="6A8D5AB4" w14:textId="77777777" w:rsidR="00204A35" w:rsidRPr="004C3641" w:rsidRDefault="00204A35">
      <w:pPr>
        <w:pStyle w:val="IssueSubsectionHeading"/>
        <w:rPr>
          <w:vanish/>
          <w:specVanish/>
        </w:rPr>
      </w:pPr>
      <w:r w:rsidRPr="004C3641">
        <w:t>Recommendation: </w:t>
      </w:r>
    </w:p>
    <w:p w14:paraId="4BDD92F1" w14:textId="77777777" w:rsidR="00F304E8" w:rsidRPr="00C9450F" w:rsidRDefault="00204A35" w:rsidP="00F304E8">
      <w:pPr>
        <w:pStyle w:val="BodyText"/>
      </w:pPr>
      <w:r>
        <w:t> </w:t>
      </w:r>
      <w:r w:rsidR="00F304E8" w:rsidRPr="00C9450F">
        <w:t xml:space="preserve">Yes. Pursuant to Section 367.0814(7), F.S., the recommended rates should be approved for the Utility on a temporary basis, subject to refund with interest, in the event of a protest filed by a party other than the </w:t>
      </w:r>
      <w:r w:rsidR="00F304E8">
        <w:t>U</w:t>
      </w:r>
      <w:r w:rsidR="00F304E8" w:rsidRPr="00C9450F">
        <w:t xml:space="preserve">tility. </w:t>
      </w:r>
      <w:r w:rsidR="00F304E8">
        <w:t>Citrus</w:t>
      </w:r>
      <w:r w:rsidR="00F304E8" w:rsidRPr="00C9450F">
        <w:t xml:space="preserve"> should file revised tariff sheets and a proposed customer notice reflecting the Commission-approved rates. The approved rates should be effective for services rendered on or after the stamped approval date on the tariff sheet, pursuant to Rule 25-30.475(1), F.A.C. In addition, the temporary rates should not be implemented until staff has approved the proposed notice, and the notice has been received by the customers. Further, prior to implementing any temporary rates, the Utility should provide appropriate financial security. </w:t>
      </w:r>
    </w:p>
    <w:p w14:paraId="0E5B0271" w14:textId="77777777" w:rsidR="00204A35" w:rsidRDefault="00F304E8" w:rsidP="00F304E8">
      <w:pPr>
        <w:pStyle w:val="BodyText"/>
      </w:pPr>
      <w:r w:rsidRPr="00C9450F">
        <w:t>If the recommended rates are approved on a temporary basis, the rates collected by the Utility should be subject to the refund provisions discussed below in the staff analysis. In addition, after the increased rates are in effect, pursuant to Rule 25-30.360(6), F.A.C., the Utility should file reports with the Commission’s Office of Commission Clerk no later than the 20th of each month indicating both the current monthly and total amount subject to refund at the end of the preceding month. The report filed should also indicate the status of the security being used to guarantee repayment of any potential refund.</w:t>
      </w:r>
      <w:r w:rsidR="00204A35">
        <w:t xml:space="preserve"> (Lenberg)</w:t>
      </w:r>
    </w:p>
    <w:p w14:paraId="54796930" w14:textId="77777777" w:rsidR="00204A35" w:rsidRPr="004C3641" w:rsidRDefault="00204A35">
      <w:pPr>
        <w:pStyle w:val="IssueSubsectionHeading"/>
        <w:rPr>
          <w:vanish/>
          <w:specVanish/>
        </w:rPr>
      </w:pPr>
      <w:r w:rsidRPr="004C3641">
        <w:t>Staff Analysis: </w:t>
      </w:r>
    </w:p>
    <w:p w14:paraId="50C542DC" w14:textId="77777777" w:rsidR="00F304E8" w:rsidRPr="00C9450F" w:rsidRDefault="00204A35" w:rsidP="00F304E8">
      <w:pPr>
        <w:pStyle w:val="BodyText"/>
      </w:pPr>
      <w:r>
        <w:t> </w:t>
      </w:r>
      <w:r w:rsidR="00F304E8" w:rsidRPr="00C9450F">
        <w:t xml:space="preserve">This recommendation proposes an increase in rates. A timely protest might delay a rate increase resulting in an unrecoverable loss of revenue to the Utility. Therefore, pursuant to Section 367.0814(7), F.S., in the event of a protest filed by a party other than the Utility, staff recommends that the proposed rates be approved on a temporary basis. </w:t>
      </w:r>
      <w:r w:rsidR="00F304E8">
        <w:t>Citrus</w:t>
      </w:r>
      <w:r w:rsidR="00F304E8" w:rsidRPr="00C9450F">
        <w:t xml:space="preserve"> should file revised tariff sheets and a proposed customer notice reflecting the Commission-approved rates. The approved rates should be effective for service rendered on or after the stamped approval date on the tariff sheet, pursuant to Rule 25-30.475(1), F.A.C. In addition, the temporary rates should not be implemented until staff has approved the proposed notice, and it has been received by the customers. The additional revenue produced by staff’s recommended rates and collected by the </w:t>
      </w:r>
      <w:r w:rsidR="00F304E8">
        <w:t>U</w:t>
      </w:r>
      <w:r w:rsidR="00F304E8" w:rsidRPr="00C9450F">
        <w:t>tility should be subject to the refund provisions discussed below.</w:t>
      </w:r>
    </w:p>
    <w:p w14:paraId="3AA2C565" w14:textId="77777777" w:rsidR="00F304E8" w:rsidRPr="00C9450F" w:rsidRDefault="00F304E8" w:rsidP="00F304E8">
      <w:pPr>
        <w:pStyle w:val="BodyText"/>
      </w:pPr>
      <w:r>
        <w:t>Citrus</w:t>
      </w:r>
      <w:r w:rsidRPr="00C9450F">
        <w:t xml:space="preserve"> should be authorized to initiate the temporary rates upon staff’s approval of an appropriate security for the potential refund and cost of the proposed customer notice. Security should be in the form of either a bond or letter of credit in the amount of $</w:t>
      </w:r>
      <w:r w:rsidR="008B75B6">
        <w:t>1,72</w:t>
      </w:r>
      <w:r w:rsidR="00FB37E3">
        <w:t>6</w:t>
      </w:r>
      <w:r w:rsidRPr="00C9450F">
        <w:t>. Alternatively, the Utility may establish an escrow agreement with an independent financial institution.</w:t>
      </w:r>
    </w:p>
    <w:p w14:paraId="117B7482" w14:textId="77777777" w:rsidR="00F304E8" w:rsidRPr="00C9450F" w:rsidRDefault="00F304E8" w:rsidP="00F304E8">
      <w:pPr>
        <w:pStyle w:val="BodyText"/>
      </w:pPr>
      <w:r w:rsidRPr="00C9450F">
        <w:t xml:space="preserve">If the </w:t>
      </w:r>
      <w:r>
        <w:t>U</w:t>
      </w:r>
      <w:r w:rsidRPr="00C9450F">
        <w:t>tility chooses a bond for securing the potential refund, the bond should contain wording to the effect that it will be terminated only under the following conditions:</w:t>
      </w:r>
    </w:p>
    <w:p w14:paraId="48315746" w14:textId="77777777" w:rsidR="00F304E8" w:rsidRPr="00C9450F" w:rsidRDefault="00F304E8" w:rsidP="00F304E8">
      <w:pPr>
        <w:pStyle w:val="BodyText"/>
      </w:pPr>
      <w:r w:rsidRPr="00C9450F">
        <w:t>1.</w:t>
      </w:r>
      <w:r w:rsidRPr="00C9450F">
        <w:tab/>
        <w:t>The Commission approves the rate increase; or,</w:t>
      </w:r>
    </w:p>
    <w:p w14:paraId="27EDED2D" w14:textId="77777777" w:rsidR="00F304E8" w:rsidRPr="00C9450F" w:rsidRDefault="00F304E8" w:rsidP="00F304E8">
      <w:pPr>
        <w:pStyle w:val="BodyText"/>
      </w:pPr>
      <w:r w:rsidRPr="00C9450F">
        <w:t>2.</w:t>
      </w:r>
      <w:r w:rsidRPr="00C9450F">
        <w:tab/>
        <w:t>If the Commission denies the increase, the Utility shall refund the amount collected that is attributable to the increase.</w:t>
      </w:r>
    </w:p>
    <w:p w14:paraId="6DB09B88" w14:textId="77777777" w:rsidR="00F304E8" w:rsidRPr="00C9450F" w:rsidRDefault="00F304E8" w:rsidP="00F304E8">
      <w:pPr>
        <w:pStyle w:val="BodyText"/>
      </w:pPr>
      <w:r w:rsidRPr="00C9450F">
        <w:t>If the Utility chooses a letter of credit for securing the potential refund, the letter of credit should contain the following conditions:</w:t>
      </w:r>
    </w:p>
    <w:p w14:paraId="2B4B957C" w14:textId="77777777" w:rsidR="00F304E8" w:rsidRPr="00C9450F" w:rsidRDefault="00F304E8" w:rsidP="00F304E8">
      <w:pPr>
        <w:pStyle w:val="BodyText"/>
        <w:ind w:left="720" w:hanging="720"/>
      </w:pPr>
      <w:r w:rsidRPr="00C9450F">
        <w:t>1.</w:t>
      </w:r>
      <w:r w:rsidRPr="00C9450F">
        <w:tab/>
        <w:t>The letter of credit is irrevocable for the period it is in effect.</w:t>
      </w:r>
    </w:p>
    <w:p w14:paraId="0DB2913D" w14:textId="77777777" w:rsidR="00F304E8" w:rsidRPr="00C9450F" w:rsidRDefault="00F304E8" w:rsidP="00F304E8">
      <w:pPr>
        <w:pStyle w:val="BodyText"/>
        <w:ind w:left="720" w:hanging="720"/>
      </w:pPr>
      <w:r w:rsidRPr="00C9450F">
        <w:t>2.</w:t>
      </w:r>
      <w:r w:rsidRPr="00C9450F">
        <w:tab/>
        <w:t>The letter of credit will be in effect until a final Commission order is rendered, either approving or denying the rate increase.</w:t>
      </w:r>
    </w:p>
    <w:p w14:paraId="167A86D0" w14:textId="77777777" w:rsidR="00F304E8" w:rsidRPr="00C9450F" w:rsidRDefault="00F304E8" w:rsidP="00F304E8">
      <w:pPr>
        <w:pStyle w:val="BodyText"/>
      </w:pPr>
      <w:r w:rsidRPr="00C9450F">
        <w:t>If security is provided through an escrow agreement, the following conditions should be part of the agreement:</w:t>
      </w:r>
    </w:p>
    <w:p w14:paraId="75928F22" w14:textId="77777777" w:rsidR="00F304E8" w:rsidRPr="00C9450F" w:rsidRDefault="00F304E8" w:rsidP="00F304E8">
      <w:pPr>
        <w:pStyle w:val="BodyText"/>
        <w:ind w:left="720" w:hanging="720"/>
      </w:pPr>
      <w:r w:rsidRPr="00C9450F">
        <w:t>1.</w:t>
      </w:r>
      <w:r w:rsidRPr="00C9450F">
        <w:tab/>
        <w:t>The Commission Clerk, or his or her designee, must be a signatory to the escrow agreement.</w:t>
      </w:r>
    </w:p>
    <w:p w14:paraId="128A06B0" w14:textId="77777777" w:rsidR="00F304E8" w:rsidRPr="00C9450F" w:rsidRDefault="00F304E8" w:rsidP="00F304E8">
      <w:pPr>
        <w:pStyle w:val="BodyText"/>
        <w:ind w:left="720" w:hanging="720"/>
      </w:pPr>
      <w:r w:rsidRPr="00C9450F">
        <w:t>2.</w:t>
      </w:r>
      <w:r w:rsidRPr="00C9450F">
        <w:tab/>
        <w:t xml:space="preserve">No monies in the escrow account may be withdrawn by the Utility without the prior written authorization of the Commission Clerk, or his or her designee. </w:t>
      </w:r>
    </w:p>
    <w:p w14:paraId="542F40D0" w14:textId="77777777" w:rsidR="00F304E8" w:rsidRPr="00C9450F" w:rsidRDefault="00F304E8" w:rsidP="00F304E8">
      <w:pPr>
        <w:pStyle w:val="BodyText"/>
        <w:ind w:left="720" w:hanging="720"/>
      </w:pPr>
      <w:r w:rsidRPr="00C9450F">
        <w:t>3.</w:t>
      </w:r>
      <w:r w:rsidRPr="00C9450F">
        <w:tab/>
        <w:t>The escrow account shall be an interest bearing account.</w:t>
      </w:r>
    </w:p>
    <w:p w14:paraId="33D65237" w14:textId="77777777" w:rsidR="00F304E8" w:rsidRPr="00C9450F" w:rsidRDefault="00F304E8" w:rsidP="00F304E8">
      <w:pPr>
        <w:pStyle w:val="BodyText"/>
        <w:ind w:left="720" w:hanging="720"/>
      </w:pPr>
      <w:r w:rsidRPr="00C9450F">
        <w:t>4.</w:t>
      </w:r>
      <w:r w:rsidRPr="00C9450F">
        <w:tab/>
        <w:t>If a refund to the customers is required, all interest earned by the escrow account shall be distributed to the customers.</w:t>
      </w:r>
    </w:p>
    <w:p w14:paraId="401CDBFA" w14:textId="77777777" w:rsidR="00F304E8" w:rsidRPr="00C9450F" w:rsidRDefault="00F304E8" w:rsidP="00F304E8">
      <w:pPr>
        <w:pStyle w:val="BodyText"/>
        <w:ind w:left="720" w:hanging="720"/>
      </w:pPr>
      <w:r w:rsidRPr="00C9450F">
        <w:t>5.</w:t>
      </w:r>
      <w:r w:rsidRPr="00C9450F">
        <w:tab/>
        <w:t>If a refund to the customers is not required, the interest earned by the escrow account shall revert to the Utility.</w:t>
      </w:r>
    </w:p>
    <w:p w14:paraId="2E2FD10D" w14:textId="77777777" w:rsidR="00F304E8" w:rsidRPr="00C9450F" w:rsidRDefault="00F304E8" w:rsidP="00F304E8">
      <w:pPr>
        <w:pStyle w:val="BodyText"/>
        <w:ind w:left="720" w:hanging="720"/>
      </w:pPr>
      <w:r w:rsidRPr="00C9450F">
        <w:t>6.</w:t>
      </w:r>
      <w:r w:rsidRPr="00C9450F">
        <w:tab/>
        <w:t>All information on the escrow account shall be available from the holder of the escrow account to a Commission representative at all times.</w:t>
      </w:r>
    </w:p>
    <w:p w14:paraId="7B73A148" w14:textId="77777777" w:rsidR="00F304E8" w:rsidRPr="00C9450F" w:rsidRDefault="00F304E8" w:rsidP="00F304E8">
      <w:pPr>
        <w:pStyle w:val="BodyText"/>
        <w:ind w:left="720" w:hanging="720"/>
      </w:pPr>
      <w:r w:rsidRPr="00C9450F">
        <w:t>7.</w:t>
      </w:r>
      <w:r w:rsidRPr="00C9450F">
        <w:tab/>
        <w:t>The amount of revenue subject to refund shall be deposited in the escrow account within seven days of receipt.</w:t>
      </w:r>
    </w:p>
    <w:p w14:paraId="1DFF44E3" w14:textId="77777777" w:rsidR="00F304E8" w:rsidRPr="00C9450F" w:rsidRDefault="00F304E8" w:rsidP="00F304E8">
      <w:pPr>
        <w:pStyle w:val="BodyText"/>
        <w:ind w:left="720" w:hanging="720"/>
      </w:pPr>
      <w:r w:rsidRPr="00C9450F">
        <w:t>8.</w:t>
      </w:r>
      <w:r w:rsidRPr="00C9450F">
        <w:tab/>
        <w:t xml:space="preserve">This escrow account is established by the direction of the Florida Public Service Commission for the purpose(s) set forth in its order requiring such account. Pursuant to </w:t>
      </w:r>
      <w:r w:rsidRPr="008F0F14">
        <w:rPr>
          <w:i/>
        </w:rPr>
        <w:t>Cosentino v. Elson</w:t>
      </w:r>
      <w:r w:rsidRPr="00C9450F">
        <w:t>, 263 So. 2d 253 (Fla. 3d DCA 1972), escrow accounts are not subject to garnishments.</w:t>
      </w:r>
    </w:p>
    <w:p w14:paraId="65028A82" w14:textId="77777777" w:rsidR="00F304E8" w:rsidRPr="00C9450F" w:rsidRDefault="00F304E8" w:rsidP="00F304E8">
      <w:pPr>
        <w:pStyle w:val="BodyText"/>
        <w:ind w:left="720" w:hanging="720"/>
      </w:pPr>
      <w:r w:rsidRPr="00C9450F">
        <w:t>9.</w:t>
      </w:r>
      <w:r w:rsidRPr="00C9450F">
        <w:tab/>
        <w:t>The account must specify by whom and on whose behalf such monies were paid.</w:t>
      </w:r>
    </w:p>
    <w:p w14:paraId="2D889976" w14:textId="77777777" w:rsidR="00F304E8" w:rsidRDefault="00F304E8" w:rsidP="00F304E8">
      <w:pPr>
        <w:pStyle w:val="BodyText"/>
      </w:pPr>
      <w:r w:rsidRPr="00C9450F">
        <w:t>In no instance should the maintenance and administrative costs associated with the refund be borne by the customers. These costs are the responsibility of, and should be borne by, the Utility. Irrespective of the form of security chosen by the Utility, an account of all monies received as a result of the rate increase should be maintained by the Utility. If a refund is ultimately required, it should be paid with interest calculated pursuant to Rule 25-30.360(4), F.A.C.</w:t>
      </w:r>
    </w:p>
    <w:p w14:paraId="6C73FD7C" w14:textId="77777777" w:rsidR="00204A35" w:rsidRDefault="00F304E8" w:rsidP="00F304E8">
      <w:pPr>
        <w:pStyle w:val="BodyText"/>
      </w:pPr>
      <w:r w:rsidRPr="00C9450F">
        <w:t>The Utility should maintain a record of the amount of the bond, and the amount of revenues that are subject to refund. In addition, after the increased rates are in effect, pursuant to Rule 25-30.360(6), F.A.C., the Utility should file reports with the Commission Clerk’s office no later than the 20th of every month indicating the monthly and total amount of money subject to refund at the end of the preceding month. The report filed should also indicate the status of the security being used to guarantee repayment of any potential refund.</w:t>
      </w:r>
    </w:p>
    <w:p w14:paraId="38D07209" w14:textId="77777777" w:rsidR="00204A35" w:rsidRDefault="00204A35" w:rsidP="00E275D8">
      <w:pPr>
        <w:pStyle w:val="BodyText"/>
      </w:pPr>
    </w:p>
    <w:p w14:paraId="2FB3A401" w14:textId="77777777" w:rsidR="00204A35" w:rsidRDefault="00204A35" w:rsidP="00E275D8">
      <w:pPr>
        <w:pStyle w:val="BodyText"/>
      </w:pPr>
    </w:p>
    <w:p w14:paraId="19A780F3" w14:textId="2C1685A0" w:rsidR="00204A35" w:rsidRDefault="00204A35">
      <w:pPr>
        <w:pStyle w:val="IssueHeading"/>
        <w:rPr>
          <w:vanish/>
          <w:specVanish/>
        </w:rPr>
      </w:pPr>
      <w:r w:rsidRPr="004C3641">
        <w:rPr>
          <w:b w:val="0"/>
          <w:i w:val="0"/>
        </w:rPr>
        <w:br w:type="page"/>
      </w:r>
      <w:r w:rsidRPr="004C3641">
        <w:t xml:space="preserve">Issue </w:t>
      </w:r>
      <w:fldSimple w:instr=" SEQ Issue \* MERGEFORMAT ">
        <w:r w:rsidR="004A4C46">
          <w:rPr>
            <w:noProof/>
          </w:rPr>
          <w:t>14</w:t>
        </w:r>
      </w:fldSimple>
      <w:r w:rsidRPr="004C3641">
        <w:t>:</w:t>
      </w:r>
      <w:r>
        <w:fldChar w:fldCharType="begin"/>
      </w:r>
      <w:r>
        <w:instrText xml:space="preserve"> TC "</w:instrText>
      </w:r>
      <w:r>
        <w:fldChar w:fldCharType="begin"/>
      </w:r>
      <w:r>
        <w:instrText xml:space="preserve"> SEQ issue \c </w:instrText>
      </w:r>
      <w:r>
        <w:fldChar w:fldCharType="separate"/>
      </w:r>
      <w:bookmarkStart w:id="29" w:name="_Toc225411891"/>
      <w:r w:rsidR="004A4C46">
        <w:rPr>
          <w:noProof/>
        </w:rPr>
        <w:instrText>14</w:instrText>
      </w:r>
      <w:r>
        <w:fldChar w:fldCharType="end"/>
      </w:r>
      <w:r>
        <w:tab/>
        <w:instrText>Adjustment to Books</w:instrText>
      </w:r>
      <w:bookmarkEnd w:id="29"/>
      <w:r>
        <w:instrText xml:space="preserve">" \l 1 </w:instrText>
      </w:r>
      <w:r>
        <w:fldChar w:fldCharType="end"/>
      </w:r>
      <w:r>
        <w:t> </w:t>
      </w:r>
    </w:p>
    <w:p w14:paraId="4A0AA1CD" w14:textId="77777777" w:rsidR="00204A35" w:rsidRDefault="00204A35">
      <w:pPr>
        <w:pStyle w:val="BodyText"/>
      </w:pPr>
      <w:r>
        <w:t xml:space="preserve"> Should </w:t>
      </w:r>
      <w:r w:rsidR="00F304E8">
        <w:t>Citrus Waterworks, Inc.</w:t>
      </w:r>
      <w:r>
        <w:t xml:space="preserve"> be required to notify the Commission within 90 days of an effective order finalizing this docket, that it has adjusted its books for all the applicable NARUC USOA? </w:t>
      </w:r>
    </w:p>
    <w:p w14:paraId="14EDFFCE" w14:textId="77777777" w:rsidR="00204A35" w:rsidRPr="004C3641" w:rsidRDefault="00204A35">
      <w:pPr>
        <w:pStyle w:val="IssueSubsectionHeading"/>
        <w:rPr>
          <w:vanish/>
          <w:specVanish/>
        </w:rPr>
      </w:pPr>
      <w:r w:rsidRPr="004C3641">
        <w:t>Recommendation: </w:t>
      </w:r>
    </w:p>
    <w:p w14:paraId="097B3C82" w14:textId="37F6CA68" w:rsidR="00204A35" w:rsidRDefault="00204A35">
      <w:pPr>
        <w:pStyle w:val="BodyText"/>
      </w:pPr>
      <w:r>
        <w:t> </w:t>
      </w:r>
      <w:r w:rsidR="00F304E8">
        <w:t> </w:t>
      </w:r>
      <w:r w:rsidR="00F304E8" w:rsidRPr="007D3A17">
        <w:t xml:space="preserve">Yes. </w:t>
      </w:r>
      <w:r w:rsidR="00F304E8">
        <w:t>Citrus</w:t>
      </w:r>
      <w:r w:rsidR="00F304E8" w:rsidRPr="007D3A17">
        <w:t xml:space="preserve"> should be required to notify the Commission, in writing, that it has adjusted its books in accordance with the Commission’s decision. The Utility should submit a letter within 90 days of the Commission’s final order in this docket, confirming that the adjustments to all applicable </w:t>
      </w:r>
      <w:r w:rsidR="00F43954">
        <w:t>National Association of Regulatory Utility Commissioners (</w:t>
      </w:r>
      <w:r w:rsidR="00F304E8" w:rsidRPr="007D3A17">
        <w:t>NARUC</w:t>
      </w:r>
      <w:r w:rsidR="00F43954">
        <w:t>) Uniform System of Accounts</w:t>
      </w:r>
      <w:r w:rsidR="00F304E8" w:rsidRPr="007D3A17">
        <w:t xml:space="preserve"> </w:t>
      </w:r>
      <w:r w:rsidR="00F43954">
        <w:t>(</w:t>
      </w:r>
      <w:r w:rsidR="00F304E8" w:rsidRPr="007D3A17">
        <w:t>USOA</w:t>
      </w:r>
      <w:r w:rsidR="00F43954">
        <w:t>)</w:t>
      </w:r>
      <w:r w:rsidR="00F304E8" w:rsidRPr="007D3A17">
        <w:t xml:space="preserve"> primary accounts have been made to the Utility’s books and records. In the event the Utility needs additional time to complete the adjustments, a notice providing good cause should be filed not less than seven days prior to the deadline</w:t>
      </w:r>
      <w:r w:rsidR="00F304E8">
        <w:t xml:space="preserve"> requesting an extension</w:t>
      </w:r>
      <w:r w:rsidR="00F304E8" w:rsidRPr="007D3A17">
        <w:t>. Upon providing a notice of good cause, staff should be given administrative authority to grant an extension of up to 60 days.</w:t>
      </w:r>
      <w:r>
        <w:t xml:space="preserve"> (Lenberg)</w:t>
      </w:r>
    </w:p>
    <w:p w14:paraId="57CD0351" w14:textId="77777777" w:rsidR="00204A35" w:rsidRPr="004C3641" w:rsidRDefault="00204A35">
      <w:pPr>
        <w:pStyle w:val="IssueSubsectionHeading"/>
        <w:rPr>
          <w:vanish/>
          <w:specVanish/>
        </w:rPr>
      </w:pPr>
      <w:r w:rsidRPr="004C3641">
        <w:t>Staff Analysis: </w:t>
      </w:r>
    </w:p>
    <w:p w14:paraId="6F052E30" w14:textId="77777777" w:rsidR="00204A35" w:rsidRDefault="00204A35">
      <w:pPr>
        <w:pStyle w:val="BodyText"/>
      </w:pPr>
      <w:r>
        <w:t> </w:t>
      </w:r>
      <w:r w:rsidR="00F304E8">
        <w:t xml:space="preserve">Citrus </w:t>
      </w:r>
      <w:r w:rsidR="00F304E8" w:rsidRPr="007D3A17">
        <w:t>should be required to notify the Commission, in writing, that it has adjusted its books in accordance with the Commission’s decision. The Utility should submit a letter within 90 days of the Commission’s final order in this docket, confirming that the adjustments to all applicable NARUC USOA primary accounts have been made to the Utility’s books and records. In the event the Utility needs additional time to complete the adjustments, a notice providing good cause should be filed not less than seven days prior to the deadline</w:t>
      </w:r>
      <w:r w:rsidR="00F304E8">
        <w:t xml:space="preserve"> requesting an extension</w:t>
      </w:r>
      <w:r w:rsidR="00F304E8" w:rsidRPr="007D3A17">
        <w:t>. Upon providing a notice of good cause, staff should be given administrative authority to grant an extension of up to 60 days.</w:t>
      </w:r>
    </w:p>
    <w:p w14:paraId="34C9D9A1" w14:textId="77777777" w:rsidR="00204A35" w:rsidRDefault="00204A35" w:rsidP="00E275D8">
      <w:pPr>
        <w:pStyle w:val="BodyText"/>
      </w:pPr>
    </w:p>
    <w:p w14:paraId="3EAEC86F" w14:textId="77777777" w:rsidR="00204A35" w:rsidRDefault="00204A35" w:rsidP="00E275D8">
      <w:pPr>
        <w:pStyle w:val="BodyText"/>
      </w:pPr>
    </w:p>
    <w:p w14:paraId="524C2716" w14:textId="241B1DC4" w:rsidR="00204A35" w:rsidRDefault="00204A35">
      <w:pPr>
        <w:pStyle w:val="IssueHeading"/>
        <w:rPr>
          <w:vanish/>
          <w:specVanish/>
        </w:rPr>
      </w:pPr>
      <w:r w:rsidRPr="004C3641">
        <w:rPr>
          <w:b w:val="0"/>
          <w:i w:val="0"/>
        </w:rPr>
        <w:br w:type="page"/>
      </w:r>
      <w:r w:rsidRPr="004C3641">
        <w:t xml:space="preserve">Issue </w:t>
      </w:r>
      <w:fldSimple w:instr=" SEQ Issue \* MERGEFORMAT ">
        <w:r w:rsidR="004A4C46">
          <w:rPr>
            <w:noProof/>
          </w:rPr>
          <w:t>15</w:t>
        </w:r>
      </w:fldSimple>
      <w:r w:rsidRPr="004C3641">
        <w:t>:</w:t>
      </w:r>
      <w:r>
        <w:fldChar w:fldCharType="begin"/>
      </w:r>
      <w:r>
        <w:instrText xml:space="preserve"> TC "</w:instrText>
      </w:r>
      <w:r>
        <w:fldChar w:fldCharType="begin"/>
      </w:r>
      <w:r>
        <w:instrText xml:space="preserve"> SEQ issue \c </w:instrText>
      </w:r>
      <w:r>
        <w:fldChar w:fldCharType="separate"/>
      </w:r>
      <w:bookmarkStart w:id="30" w:name="_Toc225411892"/>
      <w:r w:rsidR="004A4C46">
        <w:rPr>
          <w:noProof/>
        </w:rPr>
        <w:instrText>15</w:instrText>
      </w:r>
      <w:r>
        <w:fldChar w:fldCharType="end"/>
      </w:r>
      <w:r>
        <w:tab/>
      </w:r>
      <w:r w:rsidR="00C65C8A">
        <w:instrText>Close Docket</w:instrText>
      </w:r>
      <w:bookmarkEnd w:id="30"/>
      <w:r>
        <w:instrText xml:space="preserve">" \l 1 </w:instrText>
      </w:r>
      <w:r>
        <w:fldChar w:fldCharType="end"/>
      </w:r>
      <w:r>
        <w:t> </w:t>
      </w:r>
    </w:p>
    <w:p w14:paraId="4E844BE3" w14:textId="77777777" w:rsidR="00204A35" w:rsidRDefault="00204A35">
      <w:pPr>
        <w:pStyle w:val="BodyText"/>
      </w:pPr>
      <w:r>
        <w:t> Should this docket be closed?</w:t>
      </w:r>
    </w:p>
    <w:p w14:paraId="44601596" w14:textId="77777777" w:rsidR="00204A35" w:rsidRPr="004C3641" w:rsidRDefault="00204A35">
      <w:pPr>
        <w:pStyle w:val="IssueSubsectionHeading"/>
        <w:rPr>
          <w:vanish/>
          <w:specVanish/>
        </w:rPr>
      </w:pPr>
      <w:r w:rsidRPr="004C3641">
        <w:t>Recommendation: </w:t>
      </w:r>
    </w:p>
    <w:p w14:paraId="3528F854" w14:textId="3623CD1C" w:rsidR="00204A35" w:rsidRDefault="00204A35">
      <w:pPr>
        <w:pStyle w:val="BodyText"/>
      </w:pPr>
      <w:r>
        <w:t> </w:t>
      </w:r>
      <w:bookmarkStart w:id="31" w:name="IssueRecommendation"/>
      <w:r w:rsidR="005632E4" w:rsidRPr="005632E4">
        <w:t>No. If no person whose substantial interests are affected by the proposed agency action files a protest within 21 days of the issuance of the proposed agency action order, a consummating order should be issued. The docket should remain open for staff’s verification that the revised tariff sheets and customer notice have been filed by the Utility and approved by staff</w:t>
      </w:r>
      <w:r w:rsidR="00F43954">
        <w:t>, and that the Utility submitted its letter confirming all adjustments to applicable NARUC USOA primary accounts were made</w:t>
      </w:r>
      <w:r w:rsidR="005632E4" w:rsidRPr="005632E4">
        <w:t>. Once these actions are complete, this docket should be closed administratively.</w:t>
      </w:r>
      <w:bookmarkEnd w:id="31"/>
      <w:r>
        <w:t xml:space="preserve"> (Farooqi)</w:t>
      </w:r>
    </w:p>
    <w:p w14:paraId="7FCB8A60" w14:textId="77777777" w:rsidR="00204A35" w:rsidRPr="004C3641" w:rsidRDefault="00204A35">
      <w:pPr>
        <w:pStyle w:val="IssueSubsectionHeading"/>
        <w:rPr>
          <w:vanish/>
          <w:specVanish/>
        </w:rPr>
      </w:pPr>
      <w:r w:rsidRPr="004C3641">
        <w:t>Staff Analysis: </w:t>
      </w:r>
    </w:p>
    <w:p w14:paraId="3E88793D" w14:textId="66457B66" w:rsidR="00204A35" w:rsidRDefault="00204A35">
      <w:pPr>
        <w:pStyle w:val="BodyText"/>
      </w:pPr>
      <w:r>
        <w:t> </w:t>
      </w:r>
      <w:r w:rsidR="005632E4" w:rsidRPr="005632E4">
        <w:t>If no person whose substantial interests are affected by the proposed agency action files a protest within 21 days of the issuance of the proposed agency action order, a consummating order should be issued. The docket should remain open for staff’s verification that the revised tariff sheets and customer notice have been filed by the Utility and approved by staff</w:t>
      </w:r>
      <w:r w:rsidR="00F43954">
        <w:t>, and that the Utility submitted its letter confirming all adjustments to applicable NARUC USOA primary accounts were made</w:t>
      </w:r>
      <w:r w:rsidR="005632E4" w:rsidRPr="005632E4">
        <w:t>. Once these actions are complete, this docket should be closed administratively.</w:t>
      </w:r>
    </w:p>
    <w:p w14:paraId="149FF673" w14:textId="77777777" w:rsidR="00204A35" w:rsidRDefault="00204A35" w:rsidP="00E275D8">
      <w:pPr>
        <w:pStyle w:val="BodyText"/>
      </w:pPr>
    </w:p>
    <w:p w14:paraId="57BE52B9" w14:textId="77777777" w:rsidR="009A623A" w:rsidRDefault="009A623A" w:rsidP="00E275D8">
      <w:pPr>
        <w:pStyle w:val="BodyText"/>
        <w:sectPr w:rsidR="009A623A" w:rsidSect="0068481F">
          <w:headerReference w:type="default" r:id="rId15"/>
          <w:headerReference w:type="first" r:id="rId16"/>
          <w:footerReference w:type="first" r:id="rId17"/>
          <w:pgSz w:w="12240" w:h="15840" w:code="1"/>
          <w:pgMar w:top="1584" w:right="1440" w:bottom="1440" w:left="1440" w:header="720" w:footer="720" w:gutter="0"/>
          <w:cols w:space="720"/>
          <w:formProt w:val="0"/>
          <w:docGrid w:linePitch="360"/>
        </w:sectPr>
      </w:pPr>
    </w:p>
    <w:p w14:paraId="63052C80" w14:textId="5C14A28A" w:rsidR="002A128D" w:rsidRDefault="00DA7A1F">
      <w:r w:rsidRPr="00DA7A1F">
        <w:rPr>
          <w:noProof/>
        </w:rPr>
        <w:drawing>
          <wp:anchor distT="0" distB="0" distL="114300" distR="114300" simplePos="0" relativeHeight="251656192" behindDoc="1" locked="0" layoutInCell="1" allowOverlap="1" wp14:anchorId="0BDE225A" wp14:editId="6145E8AC">
            <wp:simplePos x="0" y="0"/>
            <wp:positionH relativeFrom="margin">
              <wp:posOffset>-667385</wp:posOffset>
            </wp:positionH>
            <wp:positionV relativeFrom="margin">
              <wp:posOffset>-3810</wp:posOffset>
            </wp:positionV>
            <wp:extent cx="7068710" cy="4645846"/>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068710" cy="4645846"/>
                    </a:xfrm>
                    <a:prstGeom prst="rect">
                      <a:avLst/>
                    </a:prstGeom>
                    <a:noFill/>
                    <a:ln>
                      <a:noFill/>
                    </a:ln>
                  </pic:spPr>
                </pic:pic>
              </a:graphicData>
            </a:graphic>
            <wp14:sizeRelH relativeFrom="page">
              <wp14:pctWidth>0</wp14:pctWidth>
            </wp14:sizeRelH>
            <wp14:sizeRelV relativeFrom="page">
              <wp14:pctHeight>0</wp14:pctHeight>
            </wp14:sizeRelV>
          </wp:anchor>
        </w:drawing>
      </w:r>
      <w:r w:rsidR="00283741">
        <w:fldChar w:fldCharType="begin"/>
      </w:r>
      <w:r w:rsidR="00283741">
        <w:instrText xml:space="preserve"> TC "</w:instrText>
      </w:r>
      <w:bookmarkStart w:id="32" w:name="_Toc225411893"/>
      <w:r w:rsidR="00283741">
        <w:tab/>
        <w:instrText>Schedule No. 1-A Water Rate Base</w:instrText>
      </w:r>
      <w:bookmarkEnd w:id="32"/>
      <w:r w:rsidR="00283741">
        <w:instrText xml:space="preserve">" \l 1 </w:instrText>
      </w:r>
      <w:r w:rsidR="00283741">
        <w:fldChar w:fldCharType="end"/>
      </w:r>
    </w:p>
    <w:p w14:paraId="1EAC81D2" w14:textId="489D739C" w:rsidR="00D80BC8" w:rsidRDefault="00D80BC8"/>
    <w:p w14:paraId="5B690376" w14:textId="1DBEB863" w:rsidR="00D80BC8" w:rsidRDefault="00D80BC8"/>
    <w:p w14:paraId="38B46B42" w14:textId="5F4862F8" w:rsidR="00D80BC8" w:rsidRDefault="00D80BC8"/>
    <w:p w14:paraId="7709AAAB" w14:textId="40F9C093" w:rsidR="00D80BC8" w:rsidRDefault="00D80BC8"/>
    <w:p w14:paraId="485D9434" w14:textId="15A54D05" w:rsidR="00D80BC8" w:rsidRDefault="00D80BC8"/>
    <w:p w14:paraId="018871EA" w14:textId="4CA3E454" w:rsidR="00D80BC8" w:rsidRDefault="00D80BC8"/>
    <w:p w14:paraId="467B3DD6" w14:textId="50402288" w:rsidR="00D80BC8" w:rsidRDefault="00D80BC8"/>
    <w:p w14:paraId="4779A834" w14:textId="6A28936C" w:rsidR="00D80BC8" w:rsidRDefault="00D80BC8"/>
    <w:p w14:paraId="31AC79F7" w14:textId="6055ECE6" w:rsidR="00D80BC8" w:rsidRDefault="00D80BC8"/>
    <w:p w14:paraId="5B6E2DC3" w14:textId="1BF17B63" w:rsidR="00D80BC8" w:rsidRDefault="00D80BC8"/>
    <w:p w14:paraId="1A1756A4" w14:textId="6E624242" w:rsidR="00D80BC8" w:rsidRDefault="00D80BC8"/>
    <w:p w14:paraId="4A94E047" w14:textId="6476C7DF" w:rsidR="00D80BC8" w:rsidRDefault="00D80BC8"/>
    <w:p w14:paraId="3BDE9000" w14:textId="30A1C7D7" w:rsidR="00D80BC8" w:rsidRDefault="00D80BC8"/>
    <w:p w14:paraId="497C4E68" w14:textId="0360A107" w:rsidR="00D80BC8" w:rsidRDefault="00D80BC8"/>
    <w:p w14:paraId="2D0E38E6" w14:textId="2FA75B5E" w:rsidR="00D80BC8" w:rsidRDefault="00D80BC8"/>
    <w:p w14:paraId="426902A9" w14:textId="158C1C80" w:rsidR="00D80BC8" w:rsidRDefault="00D80BC8"/>
    <w:p w14:paraId="3B2E13BF" w14:textId="723E8CE7" w:rsidR="00D80BC8" w:rsidRDefault="00D80BC8"/>
    <w:p w14:paraId="64B076E5" w14:textId="3E682428" w:rsidR="00D80BC8" w:rsidRDefault="00D80BC8"/>
    <w:p w14:paraId="3C3FDB36" w14:textId="46E499D7" w:rsidR="00D80BC8" w:rsidRDefault="00D80BC8"/>
    <w:p w14:paraId="4AEEAAB1" w14:textId="15550399" w:rsidR="00D80BC8" w:rsidRDefault="00D80BC8"/>
    <w:p w14:paraId="7977CB29" w14:textId="7246A066" w:rsidR="00D80BC8" w:rsidRDefault="00D80BC8"/>
    <w:p w14:paraId="1A846849" w14:textId="2A85A5C6" w:rsidR="00D80BC8" w:rsidRDefault="00D80BC8"/>
    <w:p w14:paraId="643564EF" w14:textId="042CA75E" w:rsidR="00D80BC8" w:rsidRDefault="00D80BC8"/>
    <w:p w14:paraId="401D7A2B" w14:textId="39ACF79C" w:rsidR="00D80BC8" w:rsidRDefault="00D80BC8"/>
    <w:p w14:paraId="3BA3E4CD" w14:textId="4024019C" w:rsidR="00D80BC8" w:rsidRDefault="00D80BC8"/>
    <w:p w14:paraId="405E8155" w14:textId="3EFF8B09" w:rsidR="00D80BC8" w:rsidRDefault="00D80BC8"/>
    <w:p w14:paraId="6C85B39B" w14:textId="51C41E8B" w:rsidR="00D80BC8" w:rsidRDefault="00D80BC8"/>
    <w:p w14:paraId="6BD4AA96" w14:textId="32CA927C" w:rsidR="00D80BC8" w:rsidRDefault="00D80BC8"/>
    <w:p w14:paraId="206270CC" w14:textId="77777777" w:rsidR="00D80BC8" w:rsidRDefault="00D80BC8">
      <w:pPr>
        <w:sectPr w:rsidR="00D80BC8" w:rsidSect="0068481F">
          <w:headerReference w:type="default" r:id="rId19"/>
          <w:pgSz w:w="12240" w:h="15840" w:code="1"/>
          <w:pgMar w:top="1584" w:right="1440" w:bottom="1440" w:left="1440" w:header="720" w:footer="720" w:gutter="0"/>
          <w:cols w:space="720"/>
          <w:formProt w:val="0"/>
          <w:docGrid w:linePitch="360"/>
        </w:sectPr>
      </w:pPr>
    </w:p>
    <w:p w14:paraId="05F62FEF" w14:textId="77777777" w:rsidR="00D80BC8" w:rsidRDefault="00283741">
      <w:r>
        <w:fldChar w:fldCharType="begin"/>
      </w:r>
      <w:r>
        <w:instrText xml:space="preserve"> TC "</w:instrText>
      </w:r>
      <w:bookmarkStart w:id="33" w:name="_Toc225411894"/>
      <w:r>
        <w:tab/>
        <w:instrText>Schedule No. 1-B Adjustment to Rate Base</w:instrText>
      </w:r>
      <w:bookmarkEnd w:id="33"/>
      <w:r>
        <w:instrText xml:space="preserve">" \l 1 </w:instrText>
      </w:r>
      <w:r>
        <w:fldChar w:fldCharType="end"/>
      </w:r>
    </w:p>
    <w:p w14:paraId="0EC465C9" w14:textId="77777777" w:rsidR="00D80BC8" w:rsidRDefault="00D80BC8"/>
    <w:p w14:paraId="273B0179" w14:textId="77777777" w:rsidR="00D80BC8" w:rsidRDefault="00D80BC8"/>
    <w:p w14:paraId="5597284D" w14:textId="77777777" w:rsidR="00D80BC8" w:rsidRDefault="00D80BC8"/>
    <w:p w14:paraId="700BADEC" w14:textId="1B2A5638" w:rsidR="00D80BC8" w:rsidRDefault="000B016F">
      <w:r w:rsidRPr="000B016F">
        <w:rPr>
          <w:noProof/>
        </w:rPr>
        <w:drawing>
          <wp:anchor distT="0" distB="0" distL="114300" distR="114300" simplePos="0" relativeHeight="251658240" behindDoc="0" locked="0" layoutInCell="1" allowOverlap="1" wp14:anchorId="46D9BD2B" wp14:editId="4113387B">
            <wp:simplePos x="0" y="0"/>
            <wp:positionH relativeFrom="margin">
              <wp:align>center</wp:align>
            </wp:positionH>
            <wp:positionV relativeFrom="margin">
              <wp:align>top</wp:align>
            </wp:positionV>
            <wp:extent cx="7498080" cy="558160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498080" cy="558160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423C82" w14:textId="746924E8" w:rsidR="00D80BC8" w:rsidRDefault="00D80BC8"/>
    <w:p w14:paraId="436A9F1B" w14:textId="22E60979" w:rsidR="00D80BC8" w:rsidRDefault="00D80BC8"/>
    <w:p w14:paraId="63B020B6" w14:textId="2CFF2C65" w:rsidR="00D80BC8" w:rsidRDefault="00D80BC8"/>
    <w:p w14:paraId="37BA9EA0" w14:textId="4421285A" w:rsidR="00D80BC8" w:rsidRDefault="00D80BC8"/>
    <w:p w14:paraId="729C070D" w14:textId="7A2C5856" w:rsidR="00D80BC8" w:rsidRDefault="00D80BC8"/>
    <w:p w14:paraId="437A8014" w14:textId="40A46D12" w:rsidR="00D80BC8" w:rsidRDefault="00D80BC8"/>
    <w:p w14:paraId="6C379E6A" w14:textId="6508CE5A" w:rsidR="00D80BC8" w:rsidRDefault="00D80BC8"/>
    <w:p w14:paraId="63803158" w14:textId="5D13AE11" w:rsidR="00D80BC8" w:rsidRDefault="00D80BC8"/>
    <w:p w14:paraId="62E53B8D" w14:textId="77777777" w:rsidR="00D80BC8" w:rsidRDefault="00D80BC8"/>
    <w:p w14:paraId="6440777E" w14:textId="12FB60E3" w:rsidR="00D80BC8" w:rsidRDefault="00D80BC8"/>
    <w:p w14:paraId="797086FB" w14:textId="6E12E848" w:rsidR="00D80BC8" w:rsidRDefault="00D80BC8"/>
    <w:p w14:paraId="399499F8" w14:textId="77777777" w:rsidR="00D80BC8" w:rsidRDefault="00D80BC8"/>
    <w:p w14:paraId="5E88E299" w14:textId="32239C27" w:rsidR="00D80BC8" w:rsidRDefault="00D80BC8"/>
    <w:p w14:paraId="22F4D112" w14:textId="77777777" w:rsidR="00D80BC8" w:rsidRDefault="00D80BC8"/>
    <w:p w14:paraId="346B0E4C" w14:textId="77777777" w:rsidR="00D80BC8" w:rsidRDefault="00D80BC8"/>
    <w:p w14:paraId="055CE0AD" w14:textId="77777777" w:rsidR="00D80BC8" w:rsidRDefault="00D80BC8"/>
    <w:p w14:paraId="7BA13DA0" w14:textId="77777777" w:rsidR="00D80BC8" w:rsidRDefault="00D80BC8"/>
    <w:p w14:paraId="245F62A8" w14:textId="77777777" w:rsidR="00D80BC8" w:rsidRDefault="00D80BC8"/>
    <w:p w14:paraId="53FAD186" w14:textId="77777777" w:rsidR="00D80BC8" w:rsidRDefault="00D80BC8"/>
    <w:p w14:paraId="256249C1" w14:textId="77777777" w:rsidR="00D80BC8" w:rsidRDefault="00D80BC8"/>
    <w:p w14:paraId="03DE297C" w14:textId="77777777" w:rsidR="00D80BC8" w:rsidRDefault="00D80BC8"/>
    <w:p w14:paraId="12AA83BA" w14:textId="4BD75CB1" w:rsidR="00D80BC8" w:rsidRDefault="00D80BC8"/>
    <w:p w14:paraId="200BD97B" w14:textId="6D948B8F" w:rsidR="00D80BC8" w:rsidRDefault="00D80BC8"/>
    <w:p w14:paraId="76BAEC53" w14:textId="1CD2EC92" w:rsidR="00D80BC8" w:rsidRDefault="00D80BC8"/>
    <w:p w14:paraId="62CA547C" w14:textId="33E35A54" w:rsidR="00D80BC8" w:rsidRDefault="00D80BC8"/>
    <w:p w14:paraId="340D0A4E" w14:textId="6F7E9E5F" w:rsidR="00D80BC8" w:rsidRDefault="00D80BC8"/>
    <w:p w14:paraId="678E9214" w14:textId="18035BF2" w:rsidR="00D80BC8" w:rsidRDefault="00D80BC8"/>
    <w:p w14:paraId="53EB105B" w14:textId="5C47E5EB" w:rsidR="00D80BC8" w:rsidRDefault="00D80BC8"/>
    <w:p w14:paraId="4D4C5CF6" w14:textId="0DC67CE2" w:rsidR="00D80BC8" w:rsidRDefault="00D80BC8"/>
    <w:p w14:paraId="12B192F1" w14:textId="21682A20" w:rsidR="00D80BC8" w:rsidRDefault="00D80BC8"/>
    <w:p w14:paraId="3424C96B" w14:textId="62A74CFC" w:rsidR="00D80BC8" w:rsidRDefault="00D80BC8"/>
    <w:p w14:paraId="4741515D" w14:textId="5F006BB7" w:rsidR="00D80BC8" w:rsidRDefault="00D80BC8"/>
    <w:p w14:paraId="2E31447E" w14:textId="0E2C7300" w:rsidR="00D80BC8" w:rsidRDefault="00D80BC8"/>
    <w:p w14:paraId="5A448D82" w14:textId="471B11ED" w:rsidR="00D80BC8" w:rsidRDefault="00D80BC8"/>
    <w:p w14:paraId="748B9952" w14:textId="6F046360" w:rsidR="00D80BC8" w:rsidRDefault="00D80BC8"/>
    <w:p w14:paraId="166539DC" w14:textId="3FCB7F1F" w:rsidR="00D80BC8" w:rsidRDefault="00D80BC8"/>
    <w:p w14:paraId="7CD894AF" w14:textId="346CA707" w:rsidR="00D80BC8" w:rsidRDefault="00D80BC8"/>
    <w:p w14:paraId="47507881" w14:textId="49FA29AF" w:rsidR="00D80BC8" w:rsidRDefault="00D80BC8"/>
    <w:p w14:paraId="1D1DF7BE" w14:textId="0AFC6D22" w:rsidR="00D80BC8" w:rsidRDefault="00D80BC8"/>
    <w:p w14:paraId="10F36907" w14:textId="7F32A007" w:rsidR="00D80BC8" w:rsidRDefault="00D80BC8"/>
    <w:p w14:paraId="36C0CB9D" w14:textId="4C9C35B5" w:rsidR="00D80BC8" w:rsidRDefault="00D80BC8"/>
    <w:p w14:paraId="18D4F6D7" w14:textId="58610E2D" w:rsidR="004B5122" w:rsidRDefault="004B5122">
      <w:pPr>
        <w:sectPr w:rsidR="004B5122" w:rsidSect="0068481F">
          <w:headerReference w:type="default" r:id="rId21"/>
          <w:pgSz w:w="12240" w:h="15840" w:code="1"/>
          <w:pgMar w:top="1584" w:right="1440" w:bottom="1440" w:left="1440" w:header="720" w:footer="720" w:gutter="0"/>
          <w:cols w:space="720"/>
          <w:formProt w:val="0"/>
          <w:docGrid w:linePitch="360"/>
        </w:sectPr>
      </w:pPr>
    </w:p>
    <w:p w14:paraId="1B01EDDF" w14:textId="7EDF7AA4" w:rsidR="00057961" w:rsidRDefault="00283741">
      <w:r>
        <w:fldChar w:fldCharType="begin"/>
      </w:r>
      <w:r>
        <w:instrText xml:space="preserve"> TC "</w:instrText>
      </w:r>
      <w:bookmarkStart w:id="34" w:name="_Toc221786735"/>
      <w:bookmarkStart w:id="35" w:name="_Toc225411895"/>
      <w:r>
        <w:tab/>
        <w:instrText>Schedule No. 2 Capital Structure</w:instrText>
      </w:r>
      <w:bookmarkEnd w:id="34"/>
      <w:bookmarkEnd w:id="35"/>
      <w:r>
        <w:instrText xml:space="preserve">" \l 1 </w:instrText>
      </w:r>
      <w:r>
        <w:fldChar w:fldCharType="end"/>
      </w:r>
    </w:p>
    <w:p w14:paraId="558CA6C7" w14:textId="5FE73825" w:rsidR="00D80BC8" w:rsidRDefault="00D80BC8"/>
    <w:p w14:paraId="4461DA5A" w14:textId="4D7DF1B7" w:rsidR="00D80BC8" w:rsidRDefault="00D80BC8"/>
    <w:p w14:paraId="73AED065" w14:textId="209379EA" w:rsidR="00D80BC8" w:rsidRDefault="00D80BC8"/>
    <w:p w14:paraId="54B8D7AE" w14:textId="5ECC49AF" w:rsidR="00D80BC8" w:rsidRDefault="00D80BC8"/>
    <w:p w14:paraId="5E339A36" w14:textId="1D8F7BDF" w:rsidR="00D80BC8" w:rsidRDefault="00D80BC8"/>
    <w:p w14:paraId="248FDB47" w14:textId="7E12B18D" w:rsidR="00D80BC8" w:rsidRDefault="00D80BC8"/>
    <w:p w14:paraId="2E327625" w14:textId="21E9E856" w:rsidR="00D80BC8" w:rsidRDefault="00D80BC8"/>
    <w:p w14:paraId="6AC8984E" w14:textId="1736B87C" w:rsidR="00D80BC8" w:rsidRDefault="00455B78">
      <w:r w:rsidRPr="00455B78">
        <w:rPr>
          <w:noProof/>
        </w:rPr>
        <w:drawing>
          <wp:anchor distT="0" distB="0" distL="114300" distR="114300" simplePos="0" relativeHeight="251660288" behindDoc="0" locked="0" layoutInCell="1" allowOverlap="1" wp14:anchorId="61A5D61A" wp14:editId="56A91C54">
            <wp:simplePos x="0" y="0"/>
            <wp:positionH relativeFrom="margin">
              <wp:align>center</wp:align>
            </wp:positionH>
            <wp:positionV relativeFrom="margin">
              <wp:align>top</wp:align>
            </wp:positionV>
            <wp:extent cx="9692640" cy="4106133"/>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692640" cy="410613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14FB27" w14:textId="0D741C24" w:rsidR="00D80BC8" w:rsidRDefault="00D80BC8"/>
    <w:p w14:paraId="3A684800" w14:textId="1E7F22E0" w:rsidR="00D80BC8" w:rsidRDefault="00D80BC8"/>
    <w:p w14:paraId="0E69BB54" w14:textId="0ADF913D" w:rsidR="00D80BC8" w:rsidRDefault="00D80BC8"/>
    <w:p w14:paraId="3DD37ABF" w14:textId="6D2D88CF" w:rsidR="00D80BC8" w:rsidRDefault="00D80BC8"/>
    <w:p w14:paraId="3819490A" w14:textId="48FB1FBA" w:rsidR="00D80BC8" w:rsidRDefault="00D80BC8"/>
    <w:p w14:paraId="61471993" w14:textId="3D23E593" w:rsidR="00D80BC8" w:rsidRDefault="00D80BC8"/>
    <w:p w14:paraId="252B0E1F" w14:textId="464B3089" w:rsidR="00D80BC8" w:rsidRDefault="00D80BC8"/>
    <w:p w14:paraId="4D91D0C9" w14:textId="4D1B82A7" w:rsidR="00D80BC8" w:rsidRDefault="00D80BC8"/>
    <w:p w14:paraId="33700DEC" w14:textId="6B67638F" w:rsidR="00D80BC8" w:rsidRDefault="00D80BC8"/>
    <w:p w14:paraId="78634887" w14:textId="1FC9C6BD" w:rsidR="00D80BC8" w:rsidRDefault="00D80BC8"/>
    <w:p w14:paraId="1AD9F8DC" w14:textId="58411C2D" w:rsidR="00D80BC8" w:rsidRDefault="00D80BC8"/>
    <w:p w14:paraId="54E2DEEF" w14:textId="4BE6390C" w:rsidR="00D80BC8" w:rsidRDefault="00D80BC8"/>
    <w:p w14:paraId="5A2764CA" w14:textId="277B4355" w:rsidR="00D80BC8" w:rsidRDefault="00D80BC8"/>
    <w:p w14:paraId="3ED2EE9E" w14:textId="1AF8760B" w:rsidR="00D80BC8" w:rsidRDefault="00D80BC8"/>
    <w:p w14:paraId="48D5470F" w14:textId="421A54D5" w:rsidR="00D80BC8" w:rsidRDefault="00D80BC8"/>
    <w:p w14:paraId="07353CEF" w14:textId="636A08D8" w:rsidR="00D80BC8" w:rsidRDefault="00D80BC8"/>
    <w:p w14:paraId="75E22853" w14:textId="1E3F00A8" w:rsidR="00D80BC8" w:rsidRDefault="00D80BC8"/>
    <w:p w14:paraId="7208EC0B" w14:textId="591236FF" w:rsidR="00D80BC8" w:rsidRDefault="00D80BC8"/>
    <w:p w14:paraId="2AD4CBB3" w14:textId="14A2DAB9" w:rsidR="00D80BC8" w:rsidRDefault="00D80BC8"/>
    <w:p w14:paraId="46AD98D7" w14:textId="039A88E7" w:rsidR="00D80BC8" w:rsidRDefault="00D80BC8"/>
    <w:p w14:paraId="5A82A875" w14:textId="472B843F" w:rsidR="00D80BC8" w:rsidRDefault="00D80BC8"/>
    <w:p w14:paraId="6B7D3AAD" w14:textId="37433CFE" w:rsidR="00D80BC8" w:rsidRDefault="00D80BC8"/>
    <w:p w14:paraId="29879CF0" w14:textId="736247C0" w:rsidR="00D80BC8" w:rsidRDefault="00D80BC8"/>
    <w:p w14:paraId="1C678604" w14:textId="083B973D" w:rsidR="00D80BC8" w:rsidRDefault="00D80BC8"/>
    <w:p w14:paraId="7125AE5D" w14:textId="77777777" w:rsidR="00D80BC8" w:rsidRDefault="00D80BC8">
      <w:pPr>
        <w:sectPr w:rsidR="00D80BC8" w:rsidSect="000C7A25">
          <w:headerReference w:type="default" r:id="rId23"/>
          <w:type w:val="continuous"/>
          <w:pgSz w:w="15840" w:h="12240" w:orient="landscape" w:code="1"/>
          <w:pgMar w:top="1440" w:right="1584" w:bottom="1440" w:left="1440" w:header="720" w:footer="720" w:gutter="0"/>
          <w:cols w:space="720"/>
          <w:formProt w:val="0"/>
          <w:docGrid w:linePitch="360"/>
        </w:sectPr>
      </w:pPr>
    </w:p>
    <w:p w14:paraId="3D0E58B8" w14:textId="3D31CDBB" w:rsidR="00E16CC7" w:rsidRDefault="00E16CC7"/>
    <w:p w14:paraId="24DBE91A" w14:textId="77777777" w:rsidR="00D80BC8" w:rsidRDefault="00283741" w:rsidP="000C7A25">
      <w:r>
        <w:fldChar w:fldCharType="begin"/>
      </w:r>
      <w:r>
        <w:instrText xml:space="preserve"> TC "</w:instrText>
      </w:r>
      <w:bookmarkStart w:id="36" w:name="_Toc225411896"/>
      <w:r>
        <w:tab/>
        <w:instrText xml:space="preserve">Schedule No. 3-A </w:instrText>
      </w:r>
      <w:r w:rsidR="009C7CEE">
        <w:instrText>Water Operating Income</w:instrText>
      </w:r>
      <w:bookmarkEnd w:id="36"/>
      <w:r>
        <w:instrText xml:space="preserve">" \l 1 </w:instrText>
      </w:r>
      <w:r>
        <w:fldChar w:fldCharType="end"/>
      </w:r>
    </w:p>
    <w:p w14:paraId="38011074" w14:textId="77777777" w:rsidR="00D80BC8" w:rsidRDefault="00D80BC8" w:rsidP="000C7A25"/>
    <w:p w14:paraId="2CE14CC5" w14:textId="77777777" w:rsidR="00D80BC8" w:rsidRDefault="00D80BC8" w:rsidP="000C7A25"/>
    <w:p w14:paraId="76A0DBDE" w14:textId="77777777" w:rsidR="00D80BC8" w:rsidRDefault="00D80BC8" w:rsidP="000C7A25"/>
    <w:p w14:paraId="08F980BC" w14:textId="77777777" w:rsidR="00D80BC8" w:rsidRDefault="00D80BC8" w:rsidP="000C7A25"/>
    <w:p w14:paraId="2C064B38" w14:textId="45AB4919" w:rsidR="00D80BC8" w:rsidRDefault="00455B78" w:rsidP="000C7A25">
      <w:r w:rsidRPr="00455B78">
        <w:rPr>
          <w:noProof/>
        </w:rPr>
        <w:drawing>
          <wp:anchor distT="0" distB="0" distL="114300" distR="114300" simplePos="0" relativeHeight="251662336" behindDoc="0" locked="0" layoutInCell="1" allowOverlap="1" wp14:anchorId="6C9B8EFC" wp14:editId="69FB2D15">
            <wp:simplePos x="0" y="0"/>
            <wp:positionH relativeFrom="margin">
              <wp:align>center</wp:align>
            </wp:positionH>
            <wp:positionV relativeFrom="margin">
              <wp:align>top</wp:align>
            </wp:positionV>
            <wp:extent cx="9326880" cy="55414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326880" cy="5541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EBF3D9" w14:textId="77777777" w:rsidR="00D80BC8" w:rsidRDefault="00D80BC8" w:rsidP="000C7A25"/>
    <w:p w14:paraId="06A83056" w14:textId="77777777" w:rsidR="00D80BC8" w:rsidRDefault="00D80BC8" w:rsidP="000C7A25"/>
    <w:p w14:paraId="01C2D49C" w14:textId="77777777" w:rsidR="00D80BC8" w:rsidRDefault="00D80BC8" w:rsidP="000C7A25"/>
    <w:p w14:paraId="051AE095" w14:textId="77777777" w:rsidR="00D80BC8" w:rsidRDefault="00D80BC8" w:rsidP="000C7A25"/>
    <w:p w14:paraId="727E53E7" w14:textId="77777777" w:rsidR="00D80BC8" w:rsidRDefault="00D80BC8" w:rsidP="000C7A25"/>
    <w:p w14:paraId="49E06377" w14:textId="77777777" w:rsidR="00D80BC8" w:rsidRDefault="00D80BC8" w:rsidP="000C7A25"/>
    <w:p w14:paraId="0A22CEFB" w14:textId="77777777" w:rsidR="00D80BC8" w:rsidRDefault="00D80BC8" w:rsidP="000C7A25"/>
    <w:p w14:paraId="64C6D7B0" w14:textId="77777777" w:rsidR="00D80BC8" w:rsidRDefault="00D80BC8" w:rsidP="000C7A25"/>
    <w:p w14:paraId="6DD4971B" w14:textId="77777777" w:rsidR="00D80BC8" w:rsidRDefault="00D80BC8" w:rsidP="000C7A25"/>
    <w:p w14:paraId="77F5556D" w14:textId="77777777" w:rsidR="00D80BC8" w:rsidRDefault="00D80BC8" w:rsidP="000C7A25"/>
    <w:p w14:paraId="057675E4" w14:textId="77777777" w:rsidR="00D80BC8" w:rsidRDefault="00D80BC8" w:rsidP="000C7A25"/>
    <w:p w14:paraId="7526CE3D" w14:textId="77777777" w:rsidR="00D80BC8" w:rsidRDefault="00D80BC8" w:rsidP="000C7A25"/>
    <w:p w14:paraId="771CE95F" w14:textId="77777777" w:rsidR="00D80BC8" w:rsidRDefault="00D80BC8" w:rsidP="000C7A25"/>
    <w:p w14:paraId="134D4731" w14:textId="77777777" w:rsidR="00D80BC8" w:rsidRDefault="00D80BC8" w:rsidP="000C7A25"/>
    <w:p w14:paraId="05FDE00B" w14:textId="77777777" w:rsidR="00D80BC8" w:rsidRDefault="00D80BC8" w:rsidP="000C7A25"/>
    <w:p w14:paraId="015DDF82" w14:textId="77777777" w:rsidR="00D80BC8" w:rsidRDefault="00D80BC8" w:rsidP="000C7A25"/>
    <w:p w14:paraId="34E96881" w14:textId="77777777" w:rsidR="00D80BC8" w:rsidRDefault="00D80BC8" w:rsidP="000C7A25"/>
    <w:p w14:paraId="427ACC9D" w14:textId="77777777" w:rsidR="00D80BC8" w:rsidRDefault="00D80BC8" w:rsidP="000C7A25"/>
    <w:p w14:paraId="476742B4" w14:textId="77777777" w:rsidR="00D80BC8" w:rsidRDefault="00D80BC8" w:rsidP="000C7A25"/>
    <w:p w14:paraId="4445BDC4" w14:textId="77777777" w:rsidR="00D80BC8" w:rsidRDefault="00D80BC8" w:rsidP="000C7A25"/>
    <w:p w14:paraId="77DB41E6" w14:textId="77777777" w:rsidR="00D80BC8" w:rsidRDefault="00D80BC8" w:rsidP="000C7A25"/>
    <w:p w14:paraId="6D8B00E8" w14:textId="77777777" w:rsidR="00D80BC8" w:rsidRDefault="00D80BC8" w:rsidP="000C7A25"/>
    <w:p w14:paraId="26156995" w14:textId="77777777" w:rsidR="00D80BC8" w:rsidRDefault="00D80BC8" w:rsidP="000C7A25"/>
    <w:p w14:paraId="7DD7D038" w14:textId="77777777" w:rsidR="00D80BC8" w:rsidRDefault="00D80BC8" w:rsidP="000C7A25"/>
    <w:p w14:paraId="72037BCA" w14:textId="77777777" w:rsidR="00D80BC8" w:rsidRDefault="00D80BC8" w:rsidP="000C7A25"/>
    <w:p w14:paraId="2F9ADD3B" w14:textId="74025835" w:rsidR="00E16CC7" w:rsidRPr="000C7A25" w:rsidRDefault="00E16CC7" w:rsidP="000C7A25">
      <w:pPr>
        <w:sectPr w:rsidR="00E16CC7" w:rsidRPr="000C7A25" w:rsidSect="00057961">
          <w:pgSz w:w="15840" w:h="12240" w:orient="landscape" w:code="1"/>
          <w:pgMar w:top="1440" w:right="1584" w:bottom="1440" w:left="1440" w:header="720" w:footer="720" w:gutter="0"/>
          <w:cols w:space="720"/>
          <w:formProt w:val="0"/>
          <w:docGrid w:linePitch="360"/>
        </w:sectPr>
      </w:pPr>
    </w:p>
    <w:p w14:paraId="76FD229F" w14:textId="53F98FF5" w:rsidR="00D80BC8" w:rsidRDefault="00D80BC8"/>
    <w:p w14:paraId="771BF4D5" w14:textId="77777777" w:rsidR="00D80BC8" w:rsidRDefault="009C7CEE">
      <w:r>
        <w:fldChar w:fldCharType="begin"/>
      </w:r>
      <w:r>
        <w:instrText xml:space="preserve"> TC "</w:instrText>
      </w:r>
      <w:bookmarkStart w:id="37" w:name="_Toc225411897"/>
      <w:r>
        <w:tab/>
        <w:instrText>Schedule No. 3-B Adjustments to Operating Income</w:instrText>
      </w:r>
      <w:bookmarkEnd w:id="37"/>
      <w:r>
        <w:instrText xml:space="preserve">" \l 1 </w:instrText>
      </w:r>
      <w:r>
        <w:fldChar w:fldCharType="end"/>
      </w:r>
    </w:p>
    <w:p w14:paraId="5EDF5D6A" w14:textId="77777777" w:rsidR="00D80BC8" w:rsidRDefault="00D80BC8"/>
    <w:p w14:paraId="1ED20D59" w14:textId="77777777" w:rsidR="00D80BC8" w:rsidRDefault="00D80BC8"/>
    <w:p w14:paraId="6FDC8400" w14:textId="77777777" w:rsidR="00D80BC8" w:rsidRDefault="00D80BC8"/>
    <w:p w14:paraId="154580CB" w14:textId="77777777" w:rsidR="00D80BC8" w:rsidRDefault="00D80BC8"/>
    <w:p w14:paraId="15D1BE3F" w14:textId="77777777" w:rsidR="00D80BC8" w:rsidRDefault="00D80BC8"/>
    <w:p w14:paraId="03CB74F6" w14:textId="77777777" w:rsidR="00D80BC8" w:rsidRDefault="00D80BC8"/>
    <w:p w14:paraId="00B800B6" w14:textId="77777777" w:rsidR="00D80BC8" w:rsidRDefault="00D80BC8"/>
    <w:p w14:paraId="4D67790D" w14:textId="77777777" w:rsidR="00D80BC8" w:rsidRDefault="00D80BC8"/>
    <w:p w14:paraId="5D5EA1F9" w14:textId="77777777" w:rsidR="00D80BC8" w:rsidRDefault="00D80BC8"/>
    <w:p w14:paraId="156F9C2C" w14:textId="77777777" w:rsidR="00D80BC8" w:rsidRDefault="00D80BC8"/>
    <w:p w14:paraId="6A1A8171" w14:textId="77777777" w:rsidR="00D80BC8" w:rsidRDefault="00D80BC8"/>
    <w:p w14:paraId="4EF918D1" w14:textId="77777777" w:rsidR="00D80BC8" w:rsidRDefault="00D80BC8"/>
    <w:p w14:paraId="3C7129B6" w14:textId="77777777" w:rsidR="00D80BC8" w:rsidRDefault="00D80BC8"/>
    <w:p w14:paraId="1A3AA432" w14:textId="77777777" w:rsidR="00D80BC8" w:rsidRDefault="00D80BC8"/>
    <w:p w14:paraId="3B26C212" w14:textId="77777777" w:rsidR="00D80BC8" w:rsidRDefault="00D80BC8"/>
    <w:p w14:paraId="07612121" w14:textId="77777777" w:rsidR="00D80BC8" w:rsidRDefault="00D80BC8"/>
    <w:p w14:paraId="6525D0B7" w14:textId="77777777" w:rsidR="00D80BC8" w:rsidRDefault="00D80BC8"/>
    <w:p w14:paraId="66B8953D" w14:textId="77777777" w:rsidR="00D80BC8" w:rsidRDefault="00D80BC8"/>
    <w:p w14:paraId="4E590188" w14:textId="77777777" w:rsidR="00D80BC8" w:rsidRDefault="00D80BC8"/>
    <w:p w14:paraId="6399A4AE" w14:textId="77777777" w:rsidR="00D80BC8" w:rsidRDefault="00D80BC8"/>
    <w:p w14:paraId="5E8D4529" w14:textId="77777777" w:rsidR="00D80BC8" w:rsidRDefault="00D80BC8"/>
    <w:p w14:paraId="2E0C9C32" w14:textId="77777777" w:rsidR="00D80BC8" w:rsidRDefault="00D80BC8"/>
    <w:p w14:paraId="38A0FBF4" w14:textId="77777777" w:rsidR="00D80BC8" w:rsidRDefault="00D80BC8"/>
    <w:p w14:paraId="7BB1E947" w14:textId="77777777" w:rsidR="00D80BC8" w:rsidRDefault="00D80BC8"/>
    <w:p w14:paraId="44FEF344" w14:textId="77777777" w:rsidR="00D80BC8" w:rsidRDefault="00D80BC8"/>
    <w:p w14:paraId="2EB765BF" w14:textId="77777777" w:rsidR="00D80BC8" w:rsidRDefault="00D80BC8"/>
    <w:p w14:paraId="61FCDE05" w14:textId="77777777" w:rsidR="00D80BC8" w:rsidRDefault="00D80BC8"/>
    <w:p w14:paraId="6DFBADCC" w14:textId="0A2223A0" w:rsidR="00D80BC8" w:rsidRDefault="00D80BC8"/>
    <w:p w14:paraId="5ABD5A69" w14:textId="78EBA45F" w:rsidR="00D80BC8" w:rsidRDefault="00D80BC8"/>
    <w:p w14:paraId="030DC627" w14:textId="152E63CA" w:rsidR="00D80BC8" w:rsidRDefault="00D80BC8"/>
    <w:p w14:paraId="2FB6F867" w14:textId="02EF5F04" w:rsidR="00D80BC8" w:rsidRDefault="00D80BC8"/>
    <w:p w14:paraId="42BCE913" w14:textId="00D8F103" w:rsidR="00D80BC8" w:rsidRDefault="00D80BC8"/>
    <w:p w14:paraId="4E731620" w14:textId="77777777" w:rsidR="00D80BC8" w:rsidRDefault="00D80BC8"/>
    <w:p w14:paraId="4243FAC5" w14:textId="77777777" w:rsidR="00D80BC8" w:rsidRDefault="00D80BC8"/>
    <w:p w14:paraId="6E710128" w14:textId="77777777" w:rsidR="00D80BC8" w:rsidRDefault="00D80BC8"/>
    <w:p w14:paraId="364C7104" w14:textId="77777777" w:rsidR="00D80BC8" w:rsidRDefault="00D80BC8"/>
    <w:p w14:paraId="49304679" w14:textId="77777777" w:rsidR="00D80BC8" w:rsidRDefault="00D80BC8"/>
    <w:p w14:paraId="63028246" w14:textId="77777777" w:rsidR="00D80BC8" w:rsidRDefault="00D80BC8"/>
    <w:p w14:paraId="227F8CAB" w14:textId="77777777" w:rsidR="00D80BC8" w:rsidRDefault="00D80BC8"/>
    <w:p w14:paraId="35405D83" w14:textId="309F36E1" w:rsidR="00D80BC8" w:rsidRDefault="00283741">
      <w:r w:rsidRPr="00355539">
        <w:rPr>
          <w:noProof/>
        </w:rPr>
        <w:drawing>
          <wp:anchor distT="0" distB="0" distL="114300" distR="114300" simplePos="0" relativeHeight="251652096" behindDoc="0" locked="0" layoutInCell="1" allowOverlap="1" wp14:anchorId="6C29218F" wp14:editId="6F94519C">
            <wp:simplePos x="0" y="0"/>
            <wp:positionH relativeFrom="margin">
              <wp:align>center</wp:align>
            </wp:positionH>
            <wp:positionV relativeFrom="margin">
              <wp:align>top</wp:align>
            </wp:positionV>
            <wp:extent cx="7349140" cy="7132320"/>
            <wp:effectExtent l="0" t="0" r="444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349140" cy="7132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45D26C" w14:textId="77777777" w:rsidR="00D80BC8" w:rsidRDefault="00D80BC8"/>
    <w:p w14:paraId="5C1DC87F" w14:textId="77777777" w:rsidR="00D80BC8" w:rsidRDefault="00D80BC8"/>
    <w:p w14:paraId="066F4916" w14:textId="2A8DEE09" w:rsidR="00D80BC8" w:rsidRDefault="00D80BC8"/>
    <w:p w14:paraId="21F1A0B8" w14:textId="03405757" w:rsidR="00D80BC8" w:rsidRDefault="00D80BC8"/>
    <w:p w14:paraId="566343C6" w14:textId="68F692A8" w:rsidR="00D80BC8" w:rsidRDefault="00D80BC8"/>
    <w:p w14:paraId="5665361C" w14:textId="09FCE83D" w:rsidR="00D80BC8" w:rsidRDefault="00D80BC8"/>
    <w:p w14:paraId="4666179E" w14:textId="1873689A" w:rsidR="00D80BC8" w:rsidRDefault="00D80BC8"/>
    <w:p w14:paraId="1E80A168" w14:textId="4CC02E82" w:rsidR="00D80BC8" w:rsidRDefault="00D80BC8"/>
    <w:p w14:paraId="03C5139D" w14:textId="2C9DB62F" w:rsidR="00D80BC8" w:rsidRDefault="00D80BC8"/>
    <w:p w14:paraId="3962E997" w14:textId="71435098" w:rsidR="00D80BC8" w:rsidRDefault="00D80BC8"/>
    <w:p w14:paraId="3E77B8ED" w14:textId="215341B7" w:rsidR="00D80BC8" w:rsidRDefault="00D80BC8"/>
    <w:p w14:paraId="120CC773" w14:textId="075DD9BE" w:rsidR="00D80BC8" w:rsidRDefault="00D80BC8"/>
    <w:p w14:paraId="3676FE34" w14:textId="75A3256D" w:rsidR="00D80BC8" w:rsidRDefault="00D80BC8"/>
    <w:p w14:paraId="0EDFB44C" w14:textId="7FE8D558" w:rsidR="00D80BC8" w:rsidRDefault="00D80BC8"/>
    <w:p w14:paraId="224D8B67" w14:textId="342F39AF" w:rsidR="00D80BC8" w:rsidRDefault="00D80BC8"/>
    <w:p w14:paraId="12C4AF77" w14:textId="35BE664C" w:rsidR="00D80BC8" w:rsidRDefault="00D80BC8"/>
    <w:p w14:paraId="64673F75" w14:textId="67A57170" w:rsidR="00D80BC8" w:rsidRDefault="00D80BC8"/>
    <w:p w14:paraId="50FDD4D7" w14:textId="10CEC065" w:rsidR="00D80BC8" w:rsidRDefault="00D80BC8"/>
    <w:p w14:paraId="66B7A959" w14:textId="2A1676DD" w:rsidR="00D80BC8" w:rsidRDefault="00D80BC8"/>
    <w:p w14:paraId="3ADAC9FD" w14:textId="5683C3AD" w:rsidR="00D80BC8" w:rsidRDefault="00D80BC8"/>
    <w:p w14:paraId="17F6A88E" w14:textId="6491EA28" w:rsidR="00D80BC8" w:rsidRDefault="00D80BC8"/>
    <w:p w14:paraId="4CD0E53C" w14:textId="6891C863" w:rsidR="00D80BC8" w:rsidRDefault="00D80BC8"/>
    <w:p w14:paraId="3BC161EC" w14:textId="48A9155E" w:rsidR="00D80BC8" w:rsidRDefault="00D80BC8"/>
    <w:p w14:paraId="19A58C7F" w14:textId="71649699" w:rsidR="00D80BC8" w:rsidRDefault="00D80BC8"/>
    <w:p w14:paraId="3AF271C7" w14:textId="6C979244" w:rsidR="00D80BC8" w:rsidRDefault="00D80BC8"/>
    <w:p w14:paraId="0DD32A93" w14:textId="1A67BB8E" w:rsidR="00D80BC8" w:rsidRDefault="00D80BC8"/>
    <w:p w14:paraId="1892EA24" w14:textId="708B8897" w:rsidR="00D80BC8" w:rsidRDefault="00D80BC8"/>
    <w:p w14:paraId="34040DDB" w14:textId="1322ED47" w:rsidR="00D80BC8" w:rsidRDefault="00D80BC8"/>
    <w:p w14:paraId="3DF56794" w14:textId="7D973FBC" w:rsidR="00D80BC8" w:rsidRDefault="00D80BC8"/>
    <w:p w14:paraId="2E74FD11" w14:textId="5479DAE3" w:rsidR="00D80BC8" w:rsidRDefault="00D80BC8"/>
    <w:p w14:paraId="61CF28BB" w14:textId="0F4488B8" w:rsidR="00D80BC8" w:rsidRDefault="00D80BC8"/>
    <w:p w14:paraId="533DB237" w14:textId="3DB3F244" w:rsidR="00D80BC8" w:rsidRDefault="00D80BC8"/>
    <w:p w14:paraId="3B61FF8F" w14:textId="5AD3D915" w:rsidR="00D80BC8" w:rsidRDefault="00D80BC8"/>
    <w:p w14:paraId="0C3BF045" w14:textId="6E8ABE63" w:rsidR="00D80BC8" w:rsidRDefault="00D80BC8"/>
    <w:p w14:paraId="77D89B3D" w14:textId="71574306" w:rsidR="00D80BC8" w:rsidRDefault="00D80BC8"/>
    <w:p w14:paraId="775CD709" w14:textId="00652898" w:rsidR="00D80BC8" w:rsidRDefault="00D80BC8"/>
    <w:p w14:paraId="43D2ED1E" w14:textId="77777777" w:rsidR="00D80BC8" w:rsidRDefault="00D80BC8"/>
    <w:p w14:paraId="3D96F2F1" w14:textId="77777777" w:rsidR="00D80BC8" w:rsidRDefault="00D80BC8"/>
    <w:p w14:paraId="257D6D95" w14:textId="77777777" w:rsidR="00D80BC8" w:rsidRDefault="00D80BC8"/>
    <w:p w14:paraId="1F49A8FB" w14:textId="77777777" w:rsidR="00D80BC8" w:rsidRDefault="00D80BC8"/>
    <w:p w14:paraId="72155F46" w14:textId="77777777" w:rsidR="00D80BC8" w:rsidRDefault="00D80BC8"/>
    <w:p w14:paraId="53B32327" w14:textId="77777777" w:rsidR="00D80BC8" w:rsidRDefault="00D80BC8"/>
    <w:p w14:paraId="14450931" w14:textId="77777777" w:rsidR="00D80BC8" w:rsidRDefault="00D80BC8"/>
    <w:p w14:paraId="50C716B1" w14:textId="77777777" w:rsidR="00D80BC8" w:rsidRDefault="00D80BC8"/>
    <w:p w14:paraId="77F00041" w14:textId="67ED9CA4" w:rsidR="00D80BC8" w:rsidRDefault="00D80BC8"/>
    <w:p w14:paraId="219F22A3" w14:textId="45598466" w:rsidR="00D80BC8" w:rsidRDefault="00D80BC8"/>
    <w:p w14:paraId="16390C7B" w14:textId="1D21C49E" w:rsidR="00D80BC8" w:rsidRDefault="00D80BC8"/>
    <w:p w14:paraId="33809147" w14:textId="4EFEF911" w:rsidR="00D80BC8" w:rsidRDefault="00D80BC8"/>
    <w:p w14:paraId="26A5E462" w14:textId="77777777" w:rsidR="00D80BC8" w:rsidRDefault="00D80BC8"/>
    <w:p w14:paraId="54411AEF" w14:textId="1DE98E26" w:rsidR="00355539" w:rsidRDefault="00355539"/>
    <w:p w14:paraId="553BB183" w14:textId="7B979EED" w:rsidR="00E16CC7" w:rsidRDefault="000A06DE">
      <w:pPr>
        <w:sectPr w:rsidR="00E16CC7" w:rsidSect="0068481F">
          <w:headerReference w:type="default" r:id="rId26"/>
          <w:pgSz w:w="12240" w:h="15840" w:code="1"/>
          <w:pgMar w:top="1584" w:right="1440" w:bottom="1440" w:left="1440" w:header="720" w:footer="720" w:gutter="0"/>
          <w:cols w:space="720"/>
          <w:formProt w:val="0"/>
          <w:docGrid w:linePitch="360"/>
        </w:sectPr>
      </w:pPr>
      <w:r w:rsidRPr="000A06DE">
        <w:rPr>
          <w:noProof/>
        </w:rPr>
        <w:drawing>
          <wp:anchor distT="0" distB="0" distL="114300" distR="114300" simplePos="0" relativeHeight="251654144" behindDoc="0" locked="0" layoutInCell="1" allowOverlap="1" wp14:anchorId="51F765FE" wp14:editId="23452D78">
            <wp:simplePos x="0" y="0"/>
            <wp:positionH relativeFrom="margin">
              <wp:align>center</wp:align>
            </wp:positionH>
            <wp:positionV relativeFrom="margin">
              <wp:align>top</wp:align>
            </wp:positionV>
            <wp:extent cx="7351776" cy="2332398"/>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351776" cy="233239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847E2B" w14:textId="4A2F4735" w:rsidR="00D80BC8" w:rsidRDefault="00D80BC8">
      <w:r>
        <w:fldChar w:fldCharType="begin"/>
      </w:r>
      <w:r>
        <w:instrText xml:space="preserve"> TC "</w:instrText>
      </w:r>
      <w:bookmarkStart w:id="38" w:name="_Toc225411898"/>
      <w:r>
        <w:tab/>
        <w:instrText>Schedule No. 3-C Analysis of Water O&amp;M Expense</w:instrText>
      </w:r>
      <w:bookmarkEnd w:id="38"/>
      <w:r>
        <w:instrText xml:space="preserve">" \l 1 </w:instrText>
      </w:r>
      <w:r>
        <w:fldChar w:fldCharType="end"/>
      </w:r>
    </w:p>
    <w:p w14:paraId="1010B414" w14:textId="77777777" w:rsidR="00D80BC8" w:rsidRDefault="00D80BC8"/>
    <w:p w14:paraId="72C76928" w14:textId="77777777" w:rsidR="00D80BC8" w:rsidRDefault="00D80BC8"/>
    <w:p w14:paraId="63916F2C" w14:textId="77777777" w:rsidR="00D80BC8" w:rsidRDefault="00D80BC8"/>
    <w:p w14:paraId="200907B8" w14:textId="77777777" w:rsidR="00D80BC8" w:rsidRDefault="00D80BC8"/>
    <w:p w14:paraId="1D50CFCD" w14:textId="77777777" w:rsidR="00D80BC8" w:rsidRDefault="00D80BC8"/>
    <w:p w14:paraId="19E75623" w14:textId="77777777" w:rsidR="00D80BC8" w:rsidRDefault="00D80BC8"/>
    <w:p w14:paraId="5C507636" w14:textId="77777777" w:rsidR="00D80BC8" w:rsidRDefault="00D80BC8"/>
    <w:p w14:paraId="25F7FA22" w14:textId="77777777" w:rsidR="00D80BC8" w:rsidRDefault="00D80BC8"/>
    <w:p w14:paraId="71571C9A" w14:textId="77777777" w:rsidR="00D80BC8" w:rsidRDefault="00D80BC8"/>
    <w:p w14:paraId="6F4F5A18" w14:textId="77777777" w:rsidR="00D80BC8" w:rsidRDefault="00D80BC8"/>
    <w:p w14:paraId="0F626455" w14:textId="77777777" w:rsidR="00D80BC8" w:rsidRDefault="00D80BC8"/>
    <w:p w14:paraId="30931CA6" w14:textId="77777777" w:rsidR="00D80BC8" w:rsidRDefault="00D80BC8"/>
    <w:p w14:paraId="2B4D0220" w14:textId="77777777" w:rsidR="00D80BC8" w:rsidRDefault="00D80BC8"/>
    <w:p w14:paraId="6991435E" w14:textId="77777777" w:rsidR="00D80BC8" w:rsidRDefault="00D80BC8"/>
    <w:p w14:paraId="60E1F32B" w14:textId="77777777" w:rsidR="00D80BC8" w:rsidRDefault="00D80BC8"/>
    <w:p w14:paraId="039708C4" w14:textId="77777777" w:rsidR="00D80BC8" w:rsidRDefault="00D80BC8"/>
    <w:p w14:paraId="53EE3711" w14:textId="77777777" w:rsidR="00D80BC8" w:rsidRDefault="00D80BC8"/>
    <w:p w14:paraId="106DB84B" w14:textId="77777777" w:rsidR="00D80BC8" w:rsidRDefault="00D80BC8"/>
    <w:p w14:paraId="7E8DAF46" w14:textId="77777777" w:rsidR="00D80BC8" w:rsidRDefault="00D80BC8"/>
    <w:p w14:paraId="305E3A83" w14:textId="77777777" w:rsidR="00D80BC8" w:rsidRDefault="00D80BC8"/>
    <w:p w14:paraId="2424F217" w14:textId="73C70EA4" w:rsidR="00D80BC8" w:rsidRDefault="00455B78">
      <w:r w:rsidRPr="00455B78">
        <w:rPr>
          <w:noProof/>
        </w:rPr>
        <w:drawing>
          <wp:anchor distT="0" distB="0" distL="114300" distR="114300" simplePos="0" relativeHeight="251664384" behindDoc="0" locked="0" layoutInCell="1" allowOverlap="1" wp14:anchorId="205E9D87" wp14:editId="3CEF1341">
            <wp:simplePos x="0" y="0"/>
            <wp:positionH relativeFrom="margin">
              <wp:align>center</wp:align>
            </wp:positionH>
            <wp:positionV relativeFrom="margin">
              <wp:align>top</wp:align>
            </wp:positionV>
            <wp:extent cx="7406640" cy="5176818"/>
            <wp:effectExtent l="0" t="0" r="3810"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406640" cy="517681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116932" w14:textId="77777777" w:rsidR="00D80BC8" w:rsidRDefault="00D80BC8"/>
    <w:p w14:paraId="70D80BDB" w14:textId="77777777" w:rsidR="00D80BC8" w:rsidRDefault="00D80BC8"/>
    <w:p w14:paraId="36867E3D" w14:textId="77777777" w:rsidR="00D80BC8" w:rsidRDefault="00D80BC8"/>
    <w:p w14:paraId="5CFE8E59" w14:textId="77777777" w:rsidR="00D80BC8" w:rsidRDefault="00D80BC8"/>
    <w:p w14:paraId="29AFBD7C" w14:textId="77777777" w:rsidR="00D80BC8" w:rsidRDefault="00D80BC8"/>
    <w:p w14:paraId="07058A1E" w14:textId="77777777" w:rsidR="00D80BC8" w:rsidRDefault="00D80BC8"/>
    <w:p w14:paraId="2DDCE53D" w14:textId="77777777" w:rsidR="00D80BC8" w:rsidRDefault="00D80BC8"/>
    <w:p w14:paraId="17DA3872" w14:textId="77777777" w:rsidR="00D80BC8" w:rsidRDefault="00D80BC8"/>
    <w:p w14:paraId="2BD5F53F" w14:textId="77777777" w:rsidR="00D80BC8" w:rsidRDefault="00D80BC8"/>
    <w:p w14:paraId="71C711D7" w14:textId="417451E0" w:rsidR="009C7CEE" w:rsidRDefault="009C7CEE">
      <w:pPr>
        <w:sectPr w:rsidR="009C7CEE" w:rsidSect="0068481F">
          <w:headerReference w:type="default" r:id="rId29"/>
          <w:pgSz w:w="12240" w:h="15840" w:code="1"/>
          <w:pgMar w:top="1584" w:right="1440" w:bottom="1440" w:left="1440" w:header="720" w:footer="720" w:gutter="0"/>
          <w:cols w:space="720"/>
          <w:formProt w:val="0"/>
          <w:docGrid w:linePitch="360"/>
        </w:sectPr>
      </w:pPr>
    </w:p>
    <w:tbl>
      <w:tblPr>
        <w:tblW w:w="10506" w:type="dxa"/>
        <w:jc w:val="center"/>
        <w:tblLook w:val="04A0" w:firstRow="1" w:lastRow="0" w:firstColumn="1" w:lastColumn="0" w:noHBand="0" w:noVBand="1"/>
      </w:tblPr>
      <w:tblGrid>
        <w:gridCol w:w="5000"/>
        <w:gridCol w:w="1620"/>
        <w:gridCol w:w="1872"/>
        <w:gridCol w:w="2014"/>
      </w:tblGrid>
      <w:tr w:rsidR="00143003" w:rsidRPr="00143003" w14:paraId="44893FC8" w14:textId="77777777" w:rsidTr="006E6F02">
        <w:trPr>
          <w:trHeight w:val="249"/>
          <w:jc w:val="center"/>
        </w:trPr>
        <w:tc>
          <w:tcPr>
            <w:tcW w:w="5000" w:type="dxa"/>
            <w:tcBorders>
              <w:top w:val="single" w:sz="8" w:space="0" w:color="000000"/>
              <w:left w:val="single" w:sz="8" w:space="0" w:color="000000"/>
              <w:bottom w:val="nil"/>
              <w:right w:val="nil"/>
            </w:tcBorders>
            <w:shd w:val="clear" w:color="auto" w:fill="auto"/>
            <w:noWrap/>
            <w:vAlign w:val="center"/>
            <w:hideMark/>
          </w:tcPr>
          <w:p w14:paraId="5887802C" w14:textId="3F5F18B5" w:rsidR="00143003" w:rsidRPr="00143003" w:rsidRDefault="003937F8" w:rsidP="00143003">
            <w:pPr>
              <w:rPr>
                <w:b/>
                <w:bCs/>
                <w:color w:val="000000"/>
                <w:sz w:val="20"/>
                <w:szCs w:val="20"/>
              </w:rPr>
            </w:pPr>
            <w:r>
              <w:rPr>
                <w:b/>
                <w:bCs/>
                <w:color w:val="000000"/>
                <w:sz w:val="20"/>
                <w:szCs w:val="20"/>
              </w:rPr>
              <w:t>CITRUS WATERWORKS, INC.</w:t>
            </w:r>
          </w:p>
        </w:tc>
        <w:tc>
          <w:tcPr>
            <w:tcW w:w="1620" w:type="dxa"/>
            <w:tcBorders>
              <w:top w:val="single" w:sz="8" w:space="0" w:color="000000"/>
              <w:left w:val="nil"/>
              <w:bottom w:val="nil"/>
              <w:right w:val="nil"/>
            </w:tcBorders>
            <w:shd w:val="clear" w:color="auto" w:fill="auto"/>
            <w:noWrap/>
            <w:vAlign w:val="center"/>
            <w:hideMark/>
          </w:tcPr>
          <w:p w14:paraId="614CF8DD" w14:textId="77777777" w:rsidR="00143003" w:rsidRPr="00143003" w:rsidRDefault="00143003" w:rsidP="00143003">
            <w:pPr>
              <w:rPr>
                <w:b/>
                <w:bCs/>
                <w:color w:val="000000"/>
                <w:sz w:val="20"/>
                <w:szCs w:val="20"/>
              </w:rPr>
            </w:pPr>
            <w:r w:rsidRPr="00143003">
              <w:rPr>
                <w:b/>
                <w:bCs/>
                <w:color w:val="000000"/>
                <w:sz w:val="20"/>
                <w:szCs w:val="20"/>
              </w:rPr>
              <w:t> </w:t>
            </w:r>
          </w:p>
        </w:tc>
        <w:tc>
          <w:tcPr>
            <w:tcW w:w="1872" w:type="dxa"/>
            <w:tcBorders>
              <w:top w:val="single" w:sz="8" w:space="0" w:color="000000"/>
              <w:left w:val="nil"/>
              <w:bottom w:val="nil"/>
              <w:right w:val="nil"/>
            </w:tcBorders>
            <w:shd w:val="clear" w:color="auto" w:fill="auto"/>
            <w:noWrap/>
            <w:vAlign w:val="center"/>
            <w:hideMark/>
          </w:tcPr>
          <w:p w14:paraId="60F4312A" w14:textId="77777777" w:rsidR="00143003" w:rsidRPr="00143003" w:rsidRDefault="00143003" w:rsidP="00143003">
            <w:pPr>
              <w:rPr>
                <w:b/>
                <w:bCs/>
                <w:color w:val="000000"/>
                <w:sz w:val="20"/>
                <w:szCs w:val="20"/>
              </w:rPr>
            </w:pPr>
            <w:r w:rsidRPr="00143003">
              <w:rPr>
                <w:b/>
                <w:bCs/>
                <w:color w:val="000000"/>
                <w:sz w:val="20"/>
                <w:szCs w:val="20"/>
              </w:rPr>
              <w:t> </w:t>
            </w:r>
          </w:p>
        </w:tc>
        <w:tc>
          <w:tcPr>
            <w:tcW w:w="2014" w:type="dxa"/>
            <w:tcBorders>
              <w:top w:val="single" w:sz="8" w:space="0" w:color="000000"/>
              <w:left w:val="nil"/>
              <w:bottom w:val="nil"/>
              <w:right w:val="single" w:sz="8" w:space="0" w:color="000000"/>
            </w:tcBorders>
            <w:shd w:val="clear" w:color="auto" w:fill="auto"/>
            <w:noWrap/>
            <w:vAlign w:val="center"/>
            <w:hideMark/>
          </w:tcPr>
          <w:p w14:paraId="130F1444" w14:textId="77777777" w:rsidR="00143003" w:rsidRPr="00143003" w:rsidRDefault="00143003" w:rsidP="00143003">
            <w:pPr>
              <w:jc w:val="right"/>
              <w:rPr>
                <w:b/>
                <w:bCs/>
                <w:color w:val="000000"/>
                <w:sz w:val="20"/>
                <w:szCs w:val="20"/>
              </w:rPr>
            </w:pPr>
            <w:r w:rsidRPr="00143003">
              <w:rPr>
                <w:b/>
                <w:bCs/>
                <w:color w:val="000000"/>
                <w:sz w:val="20"/>
                <w:szCs w:val="20"/>
              </w:rPr>
              <w:t>SCHEDULE NO. 4</w:t>
            </w:r>
          </w:p>
        </w:tc>
      </w:tr>
      <w:tr w:rsidR="00143003" w:rsidRPr="00143003" w14:paraId="58219F8F" w14:textId="77777777" w:rsidTr="006E6F02">
        <w:trPr>
          <w:trHeight w:val="258"/>
          <w:jc w:val="center"/>
        </w:trPr>
        <w:tc>
          <w:tcPr>
            <w:tcW w:w="5000" w:type="dxa"/>
            <w:tcBorders>
              <w:top w:val="nil"/>
              <w:left w:val="single" w:sz="8" w:space="0" w:color="000000"/>
              <w:bottom w:val="nil"/>
              <w:right w:val="nil"/>
            </w:tcBorders>
            <w:shd w:val="clear" w:color="auto" w:fill="auto"/>
            <w:noWrap/>
            <w:vAlign w:val="center"/>
            <w:hideMark/>
          </w:tcPr>
          <w:p w14:paraId="6060B5A5" w14:textId="77777777" w:rsidR="00143003" w:rsidRPr="00143003" w:rsidRDefault="00143003" w:rsidP="00143003">
            <w:pPr>
              <w:rPr>
                <w:b/>
                <w:bCs/>
                <w:color w:val="000000"/>
                <w:sz w:val="20"/>
                <w:szCs w:val="20"/>
              </w:rPr>
            </w:pPr>
            <w:r w:rsidRPr="00143003">
              <w:rPr>
                <w:b/>
                <w:bCs/>
                <w:color w:val="000000"/>
                <w:sz w:val="20"/>
                <w:szCs w:val="20"/>
              </w:rPr>
              <w:t>TEST YEAR ENDED DECEMBER 31, 2024</w:t>
            </w:r>
          </w:p>
        </w:tc>
        <w:tc>
          <w:tcPr>
            <w:tcW w:w="1620" w:type="dxa"/>
            <w:tcBorders>
              <w:top w:val="nil"/>
              <w:left w:val="nil"/>
              <w:bottom w:val="nil"/>
              <w:right w:val="nil"/>
            </w:tcBorders>
            <w:shd w:val="clear" w:color="auto" w:fill="auto"/>
            <w:noWrap/>
            <w:vAlign w:val="bottom"/>
            <w:hideMark/>
          </w:tcPr>
          <w:p w14:paraId="79255A8C" w14:textId="77777777" w:rsidR="00143003" w:rsidRPr="00143003" w:rsidRDefault="00143003" w:rsidP="00143003">
            <w:pPr>
              <w:rPr>
                <w:b/>
                <w:bCs/>
                <w:color w:val="000000"/>
                <w:sz w:val="20"/>
                <w:szCs w:val="20"/>
              </w:rPr>
            </w:pPr>
          </w:p>
        </w:tc>
        <w:tc>
          <w:tcPr>
            <w:tcW w:w="3886" w:type="dxa"/>
            <w:gridSpan w:val="2"/>
            <w:tcBorders>
              <w:top w:val="nil"/>
              <w:left w:val="nil"/>
              <w:bottom w:val="nil"/>
              <w:right w:val="single" w:sz="8" w:space="0" w:color="000000"/>
            </w:tcBorders>
            <w:shd w:val="clear" w:color="auto" w:fill="auto"/>
            <w:noWrap/>
            <w:vAlign w:val="center"/>
            <w:hideMark/>
          </w:tcPr>
          <w:p w14:paraId="290FA45F" w14:textId="77777777" w:rsidR="00143003" w:rsidRPr="00143003" w:rsidRDefault="00143003" w:rsidP="00143003">
            <w:pPr>
              <w:jc w:val="right"/>
              <w:rPr>
                <w:b/>
                <w:bCs/>
                <w:color w:val="000000"/>
                <w:sz w:val="20"/>
                <w:szCs w:val="20"/>
              </w:rPr>
            </w:pPr>
            <w:r w:rsidRPr="00143003">
              <w:rPr>
                <w:b/>
                <w:bCs/>
                <w:color w:val="000000"/>
                <w:sz w:val="20"/>
                <w:szCs w:val="20"/>
              </w:rPr>
              <w:t>DOCKET NO. 20250075-WU</w:t>
            </w:r>
          </w:p>
        </w:tc>
      </w:tr>
      <w:tr w:rsidR="00143003" w:rsidRPr="00143003" w14:paraId="17471FCD" w14:textId="77777777" w:rsidTr="006E6F02">
        <w:trPr>
          <w:trHeight w:val="309"/>
          <w:jc w:val="center"/>
        </w:trPr>
        <w:tc>
          <w:tcPr>
            <w:tcW w:w="5000" w:type="dxa"/>
            <w:tcBorders>
              <w:top w:val="nil"/>
              <w:left w:val="single" w:sz="8" w:space="0" w:color="000000"/>
              <w:bottom w:val="single" w:sz="8" w:space="0" w:color="000000"/>
              <w:right w:val="nil"/>
            </w:tcBorders>
            <w:shd w:val="clear" w:color="auto" w:fill="auto"/>
            <w:noWrap/>
            <w:vAlign w:val="center"/>
            <w:hideMark/>
          </w:tcPr>
          <w:p w14:paraId="1CF322FE" w14:textId="77777777" w:rsidR="00143003" w:rsidRPr="00143003" w:rsidRDefault="00143003" w:rsidP="00143003">
            <w:pPr>
              <w:rPr>
                <w:b/>
                <w:bCs/>
                <w:color w:val="000000"/>
                <w:sz w:val="20"/>
                <w:szCs w:val="20"/>
              </w:rPr>
            </w:pPr>
            <w:r w:rsidRPr="00143003">
              <w:rPr>
                <w:b/>
                <w:bCs/>
                <w:color w:val="000000"/>
                <w:sz w:val="20"/>
                <w:szCs w:val="20"/>
              </w:rPr>
              <w:t>MONTHLY WATER RATES</w:t>
            </w:r>
          </w:p>
        </w:tc>
        <w:tc>
          <w:tcPr>
            <w:tcW w:w="1620" w:type="dxa"/>
            <w:tcBorders>
              <w:top w:val="nil"/>
              <w:left w:val="nil"/>
              <w:bottom w:val="single" w:sz="8" w:space="0" w:color="000000"/>
              <w:right w:val="nil"/>
            </w:tcBorders>
            <w:shd w:val="clear" w:color="auto" w:fill="auto"/>
            <w:noWrap/>
            <w:vAlign w:val="bottom"/>
            <w:hideMark/>
          </w:tcPr>
          <w:p w14:paraId="36922F49" w14:textId="77777777" w:rsidR="00143003" w:rsidRPr="00143003" w:rsidRDefault="00143003" w:rsidP="00143003">
            <w:pPr>
              <w:rPr>
                <w:sz w:val="20"/>
                <w:szCs w:val="20"/>
              </w:rPr>
            </w:pPr>
            <w:r w:rsidRPr="00143003">
              <w:rPr>
                <w:sz w:val="20"/>
                <w:szCs w:val="20"/>
              </w:rPr>
              <w:t> </w:t>
            </w:r>
          </w:p>
        </w:tc>
        <w:tc>
          <w:tcPr>
            <w:tcW w:w="1872" w:type="dxa"/>
            <w:tcBorders>
              <w:top w:val="nil"/>
              <w:left w:val="nil"/>
              <w:bottom w:val="single" w:sz="8" w:space="0" w:color="000000"/>
              <w:right w:val="nil"/>
            </w:tcBorders>
            <w:shd w:val="clear" w:color="auto" w:fill="auto"/>
            <w:noWrap/>
            <w:vAlign w:val="bottom"/>
            <w:hideMark/>
          </w:tcPr>
          <w:p w14:paraId="212CC229" w14:textId="77777777" w:rsidR="00143003" w:rsidRPr="00143003" w:rsidRDefault="00143003" w:rsidP="00143003">
            <w:pPr>
              <w:rPr>
                <w:sz w:val="20"/>
                <w:szCs w:val="20"/>
              </w:rPr>
            </w:pPr>
            <w:r w:rsidRPr="00143003">
              <w:rPr>
                <w:sz w:val="20"/>
                <w:szCs w:val="20"/>
              </w:rPr>
              <w:t> </w:t>
            </w:r>
          </w:p>
        </w:tc>
        <w:tc>
          <w:tcPr>
            <w:tcW w:w="2014" w:type="dxa"/>
            <w:tcBorders>
              <w:top w:val="nil"/>
              <w:left w:val="nil"/>
              <w:bottom w:val="single" w:sz="8" w:space="0" w:color="000000"/>
              <w:right w:val="single" w:sz="8" w:space="0" w:color="000000"/>
            </w:tcBorders>
            <w:shd w:val="clear" w:color="auto" w:fill="auto"/>
            <w:noWrap/>
            <w:vAlign w:val="center"/>
            <w:hideMark/>
          </w:tcPr>
          <w:p w14:paraId="4D21730A" w14:textId="77777777" w:rsidR="00143003" w:rsidRPr="00143003" w:rsidRDefault="00143003" w:rsidP="00143003">
            <w:pPr>
              <w:rPr>
                <w:b/>
                <w:bCs/>
                <w:sz w:val="20"/>
                <w:szCs w:val="20"/>
              </w:rPr>
            </w:pPr>
            <w:r w:rsidRPr="00143003">
              <w:rPr>
                <w:b/>
                <w:bCs/>
                <w:sz w:val="20"/>
                <w:szCs w:val="20"/>
              </w:rPr>
              <w:t> </w:t>
            </w:r>
          </w:p>
        </w:tc>
      </w:tr>
      <w:tr w:rsidR="00143003" w:rsidRPr="00143003" w14:paraId="65B386DD" w14:textId="77777777" w:rsidTr="006E6F02">
        <w:trPr>
          <w:trHeight w:val="300"/>
          <w:jc w:val="center"/>
        </w:trPr>
        <w:tc>
          <w:tcPr>
            <w:tcW w:w="5000" w:type="dxa"/>
            <w:tcBorders>
              <w:top w:val="nil"/>
              <w:left w:val="single" w:sz="8" w:space="0" w:color="000000"/>
              <w:bottom w:val="nil"/>
              <w:right w:val="nil"/>
            </w:tcBorders>
            <w:shd w:val="clear" w:color="000000" w:fill="D9D9D9"/>
            <w:noWrap/>
            <w:vAlign w:val="center"/>
            <w:hideMark/>
          </w:tcPr>
          <w:p w14:paraId="1E9BB4CC" w14:textId="77777777" w:rsidR="00143003" w:rsidRPr="00143003" w:rsidRDefault="00143003" w:rsidP="00143003">
            <w:pPr>
              <w:rPr>
                <w:b/>
                <w:bCs/>
                <w:sz w:val="20"/>
                <w:szCs w:val="20"/>
              </w:rPr>
            </w:pPr>
            <w:r w:rsidRPr="00143003">
              <w:rPr>
                <w:b/>
                <w:bCs/>
                <w:sz w:val="20"/>
                <w:szCs w:val="20"/>
              </w:rPr>
              <w:t> </w:t>
            </w:r>
          </w:p>
        </w:tc>
        <w:tc>
          <w:tcPr>
            <w:tcW w:w="1620" w:type="dxa"/>
            <w:tcBorders>
              <w:top w:val="nil"/>
              <w:left w:val="nil"/>
              <w:bottom w:val="nil"/>
              <w:right w:val="nil"/>
            </w:tcBorders>
            <w:shd w:val="clear" w:color="000000" w:fill="D9D9D9"/>
            <w:noWrap/>
            <w:vAlign w:val="center"/>
            <w:hideMark/>
          </w:tcPr>
          <w:p w14:paraId="5673A7DC" w14:textId="77777777" w:rsidR="00143003" w:rsidRPr="00143003" w:rsidRDefault="00143003" w:rsidP="00143003">
            <w:pPr>
              <w:jc w:val="center"/>
              <w:rPr>
                <w:b/>
                <w:bCs/>
                <w:color w:val="000000"/>
                <w:sz w:val="20"/>
                <w:szCs w:val="20"/>
              </w:rPr>
            </w:pPr>
            <w:r w:rsidRPr="00143003">
              <w:rPr>
                <w:b/>
                <w:bCs/>
                <w:color w:val="000000"/>
                <w:sz w:val="20"/>
                <w:szCs w:val="20"/>
              </w:rPr>
              <w:t>UTILITY</w:t>
            </w:r>
          </w:p>
        </w:tc>
        <w:tc>
          <w:tcPr>
            <w:tcW w:w="1872" w:type="dxa"/>
            <w:tcBorders>
              <w:top w:val="nil"/>
              <w:left w:val="nil"/>
              <w:bottom w:val="nil"/>
              <w:right w:val="nil"/>
            </w:tcBorders>
            <w:shd w:val="clear" w:color="000000" w:fill="D9D9D9"/>
            <w:noWrap/>
            <w:vAlign w:val="center"/>
            <w:hideMark/>
          </w:tcPr>
          <w:p w14:paraId="2DFB9424" w14:textId="77777777" w:rsidR="00143003" w:rsidRPr="00143003" w:rsidRDefault="00143003" w:rsidP="00143003">
            <w:pPr>
              <w:jc w:val="center"/>
              <w:rPr>
                <w:b/>
                <w:bCs/>
                <w:color w:val="000000"/>
                <w:sz w:val="20"/>
                <w:szCs w:val="20"/>
              </w:rPr>
            </w:pPr>
            <w:r w:rsidRPr="00143003">
              <w:rPr>
                <w:b/>
                <w:bCs/>
                <w:color w:val="000000"/>
                <w:sz w:val="20"/>
                <w:szCs w:val="20"/>
              </w:rPr>
              <w:t>STAFF</w:t>
            </w:r>
          </w:p>
        </w:tc>
        <w:tc>
          <w:tcPr>
            <w:tcW w:w="2014" w:type="dxa"/>
            <w:tcBorders>
              <w:top w:val="nil"/>
              <w:left w:val="nil"/>
              <w:bottom w:val="nil"/>
              <w:right w:val="single" w:sz="8" w:space="0" w:color="000000"/>
            </w:tcBorders>
            <w:shd w:val="clear" w:color="000000" w:fill="D9D9D9"/>
            <w:noWrap/>
            <w:vAlign w:val="center"/>
            <w:hideMark/>
          </w:tcPr>
          <w:p w14:paraId="276EEE2A" w14:textId="0050E881" w:rsidR="00143003" w:rsidRPr="00143003" w:rsidRDefault="00143003" w:rsidP="00143003">
            <w:pPr>
              <w:jc w:val="center"/>
              <w:rPr>
                <w:b/>
                <w:bCs/>
                <w:color w:val="000000"/>
                <w:sz w:val="20"/>
                <w:szCs w:val="20"/>
              </w:rPr>
            </w:pPr>
            <w:r>
              <w:rPr>
                <w:b/>
                <w:bCs/>
                <w:color w:val="000000"/>
                <w:sz w:val="20"/>
                <w:szCs w:val="20"/>
              </w:rPr>
              <w:t>4-</w:t>
            </w:r>
            <w:r w:rsidRPr="00143003">
              <w:rPr>
                <w:b/>
                <w:bCs/>
                <w:color w:val="000000"/>
                <w:sz w:val="20"/>
                <w:szCs w:val="20"/>
              </w:rPr>
              <w:t>YEAR</w:t>
            </w:r>
          </w:p>
        </w:tc>
      </w:tr>
      <w:tr w:rsidR="00143003" w:rsidRPr="00143003" w14:paraId="52AC5669" w14:textId="77777777" w:rsidTr="006E6F02">
        <w:trPr>
          <w:trHeight w:val="300"/>
          <w:jc w:val="center"/>
        </w:trPr>
        <w:tc>
          <w:tcPr>
            <w:tcW w:w="5000" w:type="dxa"/>
            <w:tcBorders>
              <w:top w:val="nil"/>
              <w:left w:val="single" w:sz="8" w:space="0" w:color="000000"/>
              <w:bottom w:val="nil"/>
              <w:right w:val="nil"/>
            </w:tcBorders>
            <w:shd w:val="clear" w:color="000000" w:fill="D9D9D9"/>
            <w:noWrap/>
            <w:vAlign w:val="bottom"/>
            <w:hideMark/>
          </w:tcPr>
          <w:p w14:paraId="3349C2AC" w14:textId="77777777" w:rsidR="00143003" w:rsidRPr="00143003" w:rsidRDefault="00143003" w:rsidP="00143003">
            <w:pPr>
              <w:rPr>
                <w:sz w:val="20"/>
                <w:szCs w:val="20"/>
              </w:rPr>
            </w:pPr>
            <w:r w:rsidRPr="00143003">
              <w:rPr>
                <w:sz w:val="20"/>
                <w:szCs w:val="20"/>
              </w:rPr>
              <w:t> </w:t>
            </w:r>
          </w:p>
        </w:tc>
        <w:tc>
          <w:tcPr>
            <w:tcW w:w="1620" w:type="dxa"/>
            <w:tcBorders>
              <w:top w:val="nil"/>
              <w:left w:val="nil"/>
              <w:bottom w:val="nil"/>
              <w:right w:val="nil"/>
            </w:tcBorders>
            <w:shd w:val="clear" w:color="000000" w:fill="D9D9D9"/>
            <w:noWrap/>
            <w:vAlign w:val="center"/>
            <w:hideMark/>
          </w:tcPr>
          <w:p w14:paraId="2FBE1A06" w14:textId="77777777" w:rsidR="00143003" w:rsidRPr="00143003" w:rsidRDefault="00143003" w:rsidP="00143003">
            <w:pPr>
              <w:jc w:val="center"/>
              <w:rPr>
                <w:b/>
                <w:bCs/>
                <w:color w:val="000000"/>
                <w:sz w:val="20"/>
                <w:szCs w:val="20"/>
              </w:rPr>
            </w:pPr>
            <w:r w:rsidRPr="00143003">
              <w:rPr>
                <w:b/>
                <w:bCs/>
                <w:color w:val="000000"/>
                <w:sz w:val="20"/>
                <w:szCs w:val="20"/>
              </w:rPr>
              <w:t>CURRENT</w:t>
            </w:r>
          </w:p>
        </w:tc>
        <w:tc>
          <w:tcPr>
            <w:tcW w:w="1872" w:type="dxa"/>
            <w:tcBorders>
              <w:top w:val="nil"/>
              <w:left w:val="nil"/>
              <w:bottom w:val="nil"/>
              <w:right w:val="nil"/>
            </w:tcBorders>
            <w:shd w:val="clear" w:color="000000" w:fill="D9D9D9"/>
            <w:noWrap/>
            <w:vAlign w:val="center"/>
            <w:hideMark/>
          </w:tcPr>
          <w:p w14:paraId="2AF93458" w14:textId="77777777" w:rsidR="00143003" w:rsidRPr="00143003" w:rsidRDefault="00143003" w:rsidP="00143003">
            <w:pPr>
              <w:jc w:val="center"/>
              <w:rPr>
                <w:b/>
                <w:bCs/>
                <w:color w:val="000000"/>
                <w:sz w:val="20"/>
                <w:szCs w:val="20"/>
              </w:rPr>
            </w:pPr>
            <w:r w:rsidRPr="00143003">
              <w:rPr>
                <w:b/>
                <w:bCs/>
                <w:color w:val="000000"/>
                <w:sz w:val="20"/>
                <w:szCs w:val="20"/>
              </w:rPr>
              <w:t>RECOMMENDED</w:t>
            </w:r>
          </w:p>
        </w:tc>
        <w:tc>
          <w:tcPr>
            <w:tcW w:w="2014" w:type="dxa"/>
            <w:tcBorders>
              <w:top w:val="nil"/>
              <w:left w:val="nil"/>
              <w:bottom w:val="nil"/>
              <w:right w:val="single" w:sz="8" w:space="0" w:color="000000"/>
            </w:tcBorders>
            <w:shd w:val="clear" w:color="000000" w:fill="D9D9D9"/>
            <w:noWrap/>
            <w:vAlign w:val="center"/>
            <w:hideMark/>
          </w:tcPr>
          <w:p w14:paraId="3559D77B" w14:textId="77777777" w:rsidR="00143003" w:rsidRPr="00143003" w:rsidRDefault="00143003" w:rsidP="00143003">
            <w:pPr>
              <w:jc w:val="center"/>
              <w:rPr>
                <w:b/>
                <w:bCs/>
                <w:color w:val="000000"/>
                <w:sz w:val="20"/>
                <w:szCs w:val="20"/>
              </w:rPr>
            </w:pPr>
            <w:r w:rsidRPr="00143003">
              <w:rPr>
                <w:b/>
                <w:bCs/>
                <w:color w:val="000000"/>
                <w:sz w:val="20"/>
                <w:szCs w:val="20"/>
              </w:rPr>
              <w:t>RATE</w:t>
            </w:r>
          </w:p>
        </w:tc>
      </w:tr>
      <w:tr w:rsidR="00143003" w:rsidRPr="00143003" w14:paraId="2D36CEEF" w14:textId="77777777" w:rsidTr="006E6F02">
        <w:trPr>
          <w:trHeight w:val="309"/>
          <w:jc w:val="center"/>
        </w:trPr>
        <w:tc>
          <w:tcPr>
            <w:tcW w:w="5000" w:type="dxa"/>
            <w:tcBorders>
              <w:top w:val="nil"/>
              <w:left w:val="single" w:sz="8" w:space="0" w:color="000000"/>
              <w:bottom w:val="single" w:sz="8" w:space="0" w:color="000000"/>
              <w:right w:val="nil"/>
            </w:tcBorders>
            <w:shd w:val="clear" w:color="000000" w:fill="D9D9D9"/>
            <w:noWrap/>
            <w:vAlign w:val="bottom"/>
            <w:hideMark/>
          </w:tcPr>
          <w:p w14:paraId="387BD3FC" w14:textId="77777777" w:rsidR="00143003" w:rsidRPr="00143003" w:rsidRDefault="00143003" w:rsidP="00143003">
            <w:pPr>
              <w:rPr>
                <w:sz w:val="20"/>
                <w:szCs w:val="20"/>
              </w:rPr>
            </w:pPr>
            <w:r w:rsidRPr="00143003">
              <w:rPr>
                <w:sz w:val="20"/>
                <w:szCs w:val="20"/>
              </w:rPr>
              <w:t> </w:t>
            </w:r>
          </w:p>
        </w:tc>
        <w:tc>
          <w:tcPr>
            <w:tcW w:w="1620" w:type="dxa"/>
            <w:tcBorders>
              <w:top w:val="nil"/>
              <w:left w:val="nil"/>
              <w:bottom w:val="single" w:sz="8" w:space="0" w:color="000000"/>
              <w:right w:val="nil"/>
            </w:tcBorders>
            <w:shd w:val="clear" w:color="000000" w:fill="D9D9D9"/>
            <w:noWrap/>
            <w:vAlign w:val="center"/>
            <w:hideMark/>
          </w:tcPr>
          <w:p w14:paraId="01803C39" w14:textId="77777777" w:rsidR="00143003" w:rsidRPr="00143003" w:rsidRDefault="00143003" w:rsidP="00143003">
            <w:pPr>
              <w:jc w:val="center"/>
              <w:rPr>
                <w:b/>
                <w:bCs/>
                <w:color w:val="000000"/>
                <w:sz w:val="20"/>
                <w:szCs w:val="20"/>
              </w:rPr>
            </w:pPr>
            <w:r w:rsidRPr="00143003">
              <w:rPr>
                <w:b/>
                <w:bCs/>
                <w:color w:val="000000"/>
                <w:sz w:val="20"/>
                <w:szCs w:val="20"/>
              </w:rPr>
              <w:t xml:space="preserve">RATES </w:t>
            </w:r>
          </w:p>
        </w:tc>
        <w:tc>
          <w:tcPr>
            <w:tcW w:w="1872" w:type="dxa"/>
            <w:tcBorders>
              <w:top w:val="nil"/>
              <w:left w:val="nil"/>
              <w:bottom w:val="single" w:sz="8" w:space="0" w:color="000000"/>
              <w:right w:val="nil"/>
            </w:tcBorders>
            <w:shd w:val="clear" w:color="000000" w:fill="D9D9D9"/>
            <w:noWrap/>
            <w:vAlign w:val="center"/>
            <w:hideMark/>
          </w:tcPr>
          <w:p w14:paraId="2F9309BC" w14:textId="77777777" w:rsidR="00143003" w:rsidRPr="00143003" w:rsidRDefault="00143003" w:rsidP="00143003">
            <w:pPr>
              <w:jc w:val="center"/>
              <w:rPr>
                <w:b/>
                <w:bCs/>
                <w:color w:val="000000"/>
                <w:sz w:val="20"/>
                <w:szCs w:val="20"/>
              </w:rPr>
            </w:pPr>
            <w:r w:rsidRPr="00143003">
              <w:rPr>
                <w:b/>
                <w:bCs/>
                <w:color w:val="000000"/>
                <w:sz w:val="20"/>
                <w:szCs w:val="20"/>
              </w:rPr>
              <w:t>RATES</w:t>
            </w:r>
          </w:p>
        </w:tc>
        <w:tc>
          <w:tcPr>
            <w:tcW w:w="2014" w:type="dxa"/>
            <w:tcBorders>
              <w:top w:val="nil"/>
              <w:left w:val="nil"/>
              <w:bottom w:val="single" w:sz="8" w:space="0" w:color="000000"/>
              <w:right w:val="single" w:sz="8" w:space="0" w:color="000000"/>
            </w:tcBorders>
            <w:shd w:val="clear" w:color="000000" w:fill="D9D9D9"/>
            <w:noWrap/>
            <w:vAlign w:val="center"/>
            <w:hideMark/>
          </w:tcPr>
          <w:p w14:paraId="36E93F86" w14:textId="77777777" w:rsidR="00143003" w:rsidRPr="00143003" w:rsidRDefault="00143003" w:rsidP="00143003">
            <w:pPr>
              <w:jc w:val="center"/>
              <w:rPr>
                <w:b/>
                <w:bCs/>
                <w:color w:val="000000"/>
                <w:sz w:val="20"/>
                <w:szCs w:val="20"/>
              </w:rPr>
            </w:pPr>
            <w:r w:rsidRPr="00143003">
              <w:rPr>
                <w:b/>
                <w:bCs/>
                <w:color w:val="000000"/>
                <w:sz w:val="20"/>
                <w:szCs w:val="20"/>
              </w:rPr>
              <w:t>REDUCTION</w:t>
            </w:r>
          </w:p>
        </w:tc>
      </w:tr>
      <w:tr w:rsidR="00143003" w:rsidRPr="00143003" w14:paraId="69E8009E" w14:textId="77777777" w:rsidTr="006E6F02">
        <w:trPr>
          <w:trHeight w:val="300"/>
          <w:jc w:val="center"/>
        </w:trPr>
        <w:tc>
          <w:tcPr>
            <w:tcW w:w="5000" w:type="dxa"/>
            <w:tcBorders>
              <w:top w:val="nil"/>
              <w:left w:val="single" w:sz="8" w:space="0" w:color="000000"/>
              <w:bottom w:val="nil"/>
              <w:right w:val="nil"/>
            </w:tcBorders>
            <w:shd w:val="clear" w:color="auto" w:fill="auto"/>
            <w:noWrap/>
            <w:vAlign w:val="bottom"/>
            <w:hideMark/>
          </w:tcPr>
          <w:p w14:paraId="2AAD817D" w14:textId="77777777" w:rsidR="00143003" w:rsidRPr="00143003" w:rsidRDefault="00143003" w:rsidP="00143003">
            <w:pPr>
              <w:rPr>
                <w:sz w:val="20"/>
                <w:szCs w:val="20"/>
              </w:rPr>
            </w:pPr>
            <w:r w:rsidRPr="00143003">
              <w:rPr>
                <w:sz w:val="20"/>
                <w:szCs w:val="20"/>
              </w:rPr>
              <w:t> </w:t>
            </w:r>
          </w:p>
        </w:tc>
        <w:tc>
          <w:tcPr>
            <w:tcW w:w="1620" w:type="dxa"/>
            <w:tcBorders>
              <w:top w:val="nil"/>
              <w:left w:val="nil"/>
              <w:bottom w:val="nil"/>
              <w:right w:val="nil"/>
            </w:tcBorders>
            <w:shd w:val="clear" w:color="auto" w:fill="auto"/>
            <w:noWrap/>
            <w:vAlign w:val="bottom"/>
            <w:hideMark/>
          </w:tcPr>
          <w:p w14:paraId="5D4D6A01" w14:textId="77777777" w:rsidR="00143003" w:rsidRPr="00143003" w:rsidRDefault="00143003" w:rsidP="00143003">
            <w:pPr>
              <w:rPr>
                <w:sz w:val="20"/>
                <w:szCs w:val="20"/>
              </w:rPr>
            </w:pPr>
          </w:p>
        </w:tc>
        <w:tc>
          <w:tcPr>
            <w:tcW w:w="1872" w:type="dxa"/>
            <w:tcBorders>
              <w:top w:val="nil"/>
              <w:left w:val="nil"/>
              <w:bottom w:val="nil"/>
              <w:right w:val="nil"/>
            </w:tcBorders>
            <w:shd w:val="clear" w:color="auto" w:fill="auto"/>
            <w:noWrap/>
            <w:vAlign w:val="bottom"/>
            <w:hideMark/>
          </w:tcPr>
          <w:p w14:paraId="7DE8A125" w14:textId="77777777" w:rsidR="00143003" w:rsidRPr="00143003" w:rsidRDefault="00143003" w:rsidP="00143003">
            <w:pPr>
              <w:rPr>
                <w:sz w:val="20"/>
                <w:szCs w:val="20"/>
              </w:rPr>
            </w:pPr>
          </w:p>
        </w:tc>
        <w:tc>
          <w:tcPr>
            <w:tcW w:w="2014" w:type="dxa"/>
            <w:tcBorders>
              <w:top w:val="nil"/>
              <w:left w:val="nil"/>
              <w:bottom w:val="nil"/>
              <w:right w:val="single" w:sz="8" w:space="0" w:color="000000"/>
            </w:tcBorders>
            <w:shd w:val="clear" w:color="auto" w:fill="auto"/>
            <w:noWrap/>
            <w:vAlign w:val="center"/>
            <w:hideMark/>
          </w:tcPr>
          <w:p w14:paraId="607B0126" w14:textId="77777777" w:rsidR="00143003" w:rsidRPr="00143003" w:rsidRDefault="00143003" w:rsidP="00143003">
            <w:pPr>
              <w:jc w:val="right"/>
              <w:rPr>
                <w:color w:val="000000"/>
                <w:sz w:val="20"/>
                <w:szCs w:val="20"/>
              </w:rPr>
            </w:pPr>
            <w:r w:rsidRPr="00143003">
              <w:rPr>
                <w:color w:val="000000"/>
                <w:sz w:val="20"/>
                <w:szCs w:val="20"/>
              </w:rPr>
              <w:t> </w:t>
            </w:r>
          </w:p>
        </w:tc>
      </w:tr>
      <w:tr w:rsidR="00143003" w:rsidRPr="00143003" w14:paraId="3CE123D2" w14:textId="77777777" w:rsidTr="006E6F02">
        <w:trPr>
          <w:trHeight w:val="300"/>
          <w:jc w:val="center"/>
        </w:trPr>
        <w:tc>
          <w:tcPr>
            <w:tcW w:w="5000" w:type="dxa"/>
            <w:tcBorders>
              <w:top w:val="nil"/>
              <w:left w:val="single" w:sz="8" w:space="0" w:color="000000"/>
              <w:bottom w:val="nil"/>
              <w:right w:val="nil"/>
            </w:tcBorders>
            <w:shd w:val="clear" w:color="auto" w:fill="auto"/>
            <w:noWrap/>
            <w:vAlign w:val="center"/>
            <w:hideMark/>
          </w:tcPr>
          <w:p w14:paraId="046CAA3C" w14:textId="77777777" w:rsidR="00143003" w:rsidRPr="00143003" w:rsidRDefault="00143003" w:rsidP="00143003">
            <w:pPr>
              <w:rPr>
                <w:b/>
                <w:bCs/>
                <w:sz w:val="20"/>
                <w:szCs w:val="20"/>
                <w:u w:val="single"/>
              </w:rPr>
            </w:pPr>
            <w:r w:rsidRPr="00143003">
              <w:rPr>
                <w:b/>
                <w:bCs/>
                <w:sz w:val="20"/>
                <w:szCs w:val="20"/>
                <w:u w:val="single"/>
              </w:rPr>
              <w:t>Residential and General Service</w:t>
            </w:r>
          </w:p>
        </w:tc>
        <w:tc>
          <w:tcPr>
            <w:tcW w:w="1620" w:type="dxa"/>
            <w:tcBorders>
              <w:top w:val="nil"/>
              <w:left w:val="nil"/>
              <w:bottom w:val="nil"/>
              <w:right w:val="nil"/>
            </w:tcBorders>
            <w:shd w:val="clear" w:color="auto" w:fill="auto"/>
            <w:noWrap/>
            <w:vAlign w:val="bottom"/>
            <w:hideMark/>
          </w:tcPr>
          <w:p w14:paraId="57CB6470" w14:textId="77777777" w:rsidR="00143003" w:rsidRPr="00143003" w:rsidRDefault="00143003" w:rsidP="00143003">
            <w:pPr>
              <w:rPr>
                <w:b/>
                <w:bCs/>
                <w:sz w:val="20"/>
                <w:szCs w:val="20"/>
                <w:u w:val="single"/>
              </w:rPr>
            </w:pPr>
          </w:p>
        </w:tc>
        <w:tc>
          <w:tcPr>
            <w:tcW w:w="1872" w:type="dxa"/>
            <w:tcBorders>
              <w:top w:val="nil"/>
              <w:left w:val="nil"/>
              <w:bottom w:val="nil"/>
              <w:right w:val="nil"/>
            </w:tcBorders>
            <w:shd w:val="clear" w:color="auto" w:fill="auto"/>
            <w:noWrap/>
            <w:vAlign w:val="bottom"/>
            <w:hideMark/>
          </w:tcPr>
          <w:p w14:paraId="30D8EFB6" w14:textId="77777777" w:rsidR="00143003" w:rsidRPr="00143003" w:rsidRDefault="00143003" w:rsidP="00143003">
            <w:pPr>
              <w:rPr>
                <w:sz w:val="20"/>
                <w:szCs w:val="20"/>
              </w:rPr>
            </w:pPr>
          </w:p>
        </w:tc>
        <w:tc>
          <w:tcPr>
            <w:tcW w:w="2014" w:type="dxa"/>
            <w:tcBorders>
              <w:top w:val="nil"/>
              <w:left w:val="nil"/>
              <w:bottom w:val="nil"/>
              <w:right w:val="single" w:sz="8" w:space="0" w:color="000000"/>
            </w:tcBorders>
            <w:shd w:val="clear" w:color="auto" w:fill="auto"/>
            <w:noWrap/>
            <w:vAlign w:val="center"/>
            <w:hideMark/>
          </w:tcPr>
          <w:p w14:paraId="0D70D67D" w14:textId="77777777" w:rsidR="00143003" w:rsidRPr="00143003" w:rsidRDefault="00143003" w:rsidP="00143003">
            <w:pPr>
              <w:rPr>
                <w:color w:val="000000"/>
                <w:sz w:val="20"/>
                <w:szCs w:val="20"/>
              </w:rPr>
            </w:pPr>
            <w:r w:rsidRPr="00143003">
              <w:rPr>
                <w:color w:val="000000"/>
                <w:sz w:val="20"/>
                <w:szCs w:val="20"/>
              </w:rPr>
              <w:t> </w:t>
            </w:r>
          </w:p>
        </w:tc>
      </w:tr>
      <w:tr w:rsidR="00143003" w:rsidRPr="00143003" w14:paraId="03BD977B" w14:textId="77777777" w:rsidTr="006E6F02">
        <w:trPr>
          <w:trHeight w:val="300"/>
          <w:jc w:val="center"/>
        </w:trPr>
        <w:tc>
          <w:tcPr>
            <w:tcW w:w="5000" w:type="dxa"/>
            <w:tcBorders>
              <w:top w:val="nil"/>
              <w:left w:val="single" w:sz="8" w:space="0" w:color="000000"/>
              <w:bottom w:val="nil"/>
              <w:right w:val="nil"/>
            </w:tcBorders>
            <w:shd w:val="clear" w:color="auto" w:fill="auto"/>
            <w:noWrap/>
            <w:vAlign w:val="center"/>
            <w:hideMark/>
          </w:tcPr>
          <w:p w14:paraId="242801CA" w14:textId="77777777" w:rsidR="00143003" w:rsidRPr="00143003" w:rsidRDefault="00143003" w:rsidP="00143003">
            <w:pPr>
              <w:rPr>
                <w:sz w:val="20"/>
                <w:szCs w:val="20"/>
              </w:rPr>
            </w:pPr>
            <w:r w:rsidRPr="00143003">
              <w:rPr>
                <w:sz w:val="20"/>
                <w:szCs w:val="20"/>
              </w:rPr>
              <w:t>Base Facility Charge by Meter Size</w:t>
            </w:r>
          </w:p>
        </w:tc>
        <w:tc>
          <w:tcPr>
            <w:tcW w:w="1620" w:type="dxa"/>
            <w:tcBorders>
              <w:top w:val="nil"/>
              <w:left w:val="nil"/>
              <w:bottom w:val="nil"/>
              <w:right w:val="nil"/>
            </w:tcBorders>
            <w:shd w:val="clear" w:color="auto" w:fill="auto"/>
            <w:noWrap/>
            <w:vAlign w:val="bottom"/>
            <w:hideMark/>
          </w:tcPr>
          <w:p w14:paraId="2DD95556" w14:textId="77777777" w:rsidR="00143003" w:rsidRPr="00143003" w:rsidRDefault="00143003" w:rsidP="00143003">
            <w:pPr>
              <w:rPr>
                <w:sz w:val="20"/>
                <w:szCs w:val="20"/>
              </w:rPr>
            </w:pPr>
          </w:p>
        </w:tc>
        <w:tc>
          <w:tcPr>
            <w:tcW w:w="1872" w:type="dxa"/>
            <w:tcBorders>
              <w:top w:val="nil"/>
              <w:left w:val="nil"/>
              <w:bottom w:val="nil"/>
              <w:right w:val="nil"/>
            </w:tcBorders>
            <w:shd w:val="clear" w:color="auto" w:fill="auto"/>
            <w:noWrap/>
            <w:vAlign w:val="bottom"/>
            <w:hideMark/>
          </w:tcPr>
          <w:p w14:paraId="05AB8B81" w14:textId="77777777" w:rsidR="00143003" w:rsidRPr="00143003" w:rsidRDefault="00143003" w:rsidP="00143003">
            <w:pPr>
              <w:rPr>
                <w:sz w:val="20"/>
                <w:szCs w:val="20"/>
              </w:rPr>
            </w:pPr>
          </w:p>
        </w:tc>
        <w:tc>
          <w:tcPr>
            <w:tcW w:w="2014" w:type="dxa"/>
            <w:tcBorders>
              <w:top w:val="nil"/>
              <w:left w:val="nil"/>
              <w:bottom w:val="nil"/>
              <w:right w:val="single" w:sz="8" w:space="0" w:color="000000"/>
            </w:tcBorders>
            <w:shd w:val="clear" w:color="auto" w:fill="auto"/>
            <w:noWrap/>
            <w:vAlign w:val="center"/>
            <w:hideMark/>
          </w:tcPr>
          <w:p w14:paraId="21137D60" w14:textId="77777777" w:rsidR="00143003" w:rsidRPr="00143003" w:rsidRDefault="00143003" w:rsidP="00143003">
            <w:pPr>
              <w:rPr>
                <w:color w:val="000000"/>
                <w:sz w:val="20"/>
                <w:szCs w:val="20"/>
              </w:rPr>
            </w:pPr>
            <w:r w:rsidRPr="00143003">
              <w:rPr>
                <w:color w:val="000000"/>
                <w:sz w:val="20"/>
                <w:szCs w:val="20"/>
              </w:rPr>
              <w:t> </w:t>
            </w:r>
          </w:p>
        </w:tc>
      </w:tr>
      <w:tr w:rsidR="00143003" w:rsidRPr="00143003" w14:paraId="771D1B32" w14:textId="77777777" w:rsidTr="006E6F02">
        <w:trPr>
          <w:trHeight w:val="300"/>
          <w:jc w:val="center"/>
        </w:trPr>
        <w:tc>
          <w:tcPr>
            <w:tcW w:w="5000" w:type="dxa"/>
            <w:tcBorders>
              <w:top w:val="nil"/>
              <w:left w:val="single" w:sz="8" w:space="0" w:color="000000"/>
              <w:bottom w:val="nil"/>
              <w:right w:val="nil"/>
            </w:tcBorders>
            <w:shd w:val="clear" w:color="auto" w:fill="auto"/>
            <w:noWrap/>
            <w:vAlign w:val="center"/>
            <w:hideMark/>
          </w:tcPr>
          <w:p w14:paraId="1B6907BA" w14:textId="77777777" w:rsidR="00143003" w:rsidRPr="00143003" w:rsidRDefault="00143003" w:rsidP="00143003">
            <w:pPr>
              <w:rPr>
                <w:color w:val="000000"/>
                <w:sz w:val="20"/>
                <w:szCs w:val="20"/>
              </w:rPr>
            </w:pPr>
            <w:r w:rsidRPr="00143003">
              <w:rPr>
                <w:color w:val="000000"/>
                <w:sz w:val="20"/>
                <w:szCs w:val="20"/>
              </w:rPr>
              <w:t>5/8" x 3/4"</w:t>
            </w:r>
          </w:p>
        </w:tc>
        <w:tc>
          <w:tcPr>
            <w:tcW w:w="1620" w:type="dxa"/>
            <w:tcBorders>
              <w:top w:val="nil"/>
              <w:left w:val="nil"/>
              <w:bottom w:val="nil"/>
              <w:right w:val="nil"/>
            </w:tcBorders>
            <w:shd w:val="clear" w:color="auto" w:fill="auto"/>
            <w:noWrap/>
            <w:vAlign w:val="center"/>
            <w:hideMark/>
          </w:tcPr>
          <w:p w14:paraId="275A2D55" w14:textId="77777777" w:rsidR="00143003" w:rsidRPr="00143003" w:rsidRDefault="00143003" w:rsidP="00143003">
            <w:pPr>
              <w:jc w:val="right"/>
              <w:rPr>
                <w:color w:val="000000"/>
                <w:sz w:val="20"/>
                <w:szCs w:val="20"/>
              </w:rPr>
            </w:pPr>
            <w:r w:rsidRPr="00143003">
              <w:rPr>
                <w:color w:val="000000"/>
                <w:sz w:val="20"/>
                <w:szCs w:val="20"/>
              </w:rPr>
              <w:t xml:space="preserve">$16.80 </w:t>
            </w:r>
          </w:p>
        </w:tc>
        <w:tc>
          <w:tcPr>
            <w:tcW w:w="1872" w:type="dxa"/>
            <w:tcBorders>
              <w:top w:val="nil"/>
              <w:left w:val="nil"/>
              <w:bottom w:val="nil"/>
              <w:right w:val="nil"/>
            </w:tcBorders>
            <w:shd w:val="clear" w:color="auto" w:fill="auto"/>
            <w:noWrap/>
            <w:vAlign w:val="center"/>
            <w:hideMark/>
          </w:tcPr>
          <w:p w14:paraId="4989E9A6" w14:textId="77777777" w:rsidR="00143003" w:rsidRPr="00143003" w:rsidRDefault="00143003" w:rsidP="00143003">
            <w:pPr>
              <w:jc w:val="right"/>
              <w:rPr>
                <w:color w:val="000000"/>
                <w:sz w:val="20"/>
                <w:szCs w:val="20"/>
              </w:rPr>
            </w:pPr>
            <w:r w:rsidRPr="00143003">
              <w:rPr>
                <w:color w:val="000000"/>
                <w:sz w:val="20"/>
                <w:szCs w:val="20"/>
              </w:rPr>
              <w:t xml:space="preserve">$18.00 </w:t>
            </w:r>
          </w:p>
        </w:tc>
        <w:tc>
          <w:tcPr>
            <w:tcW w:w="2014" w:type="dxa"/>
            <w:tcBorders>
              <w:top w:val="nil"/>
              <w:left w:val="nil"/>
              <w:bottom w:val="nil"/>
              <w:right w:val="single" w:sz="8" w:space="0" w:color="000000"/>
            </w:tcBorders>
            <w:shd w:val="clear" w:color="auto" w:fill="auto"/>
            <w:noWrap/>
            <w:vAlign w:val="center"/>
            <w:hideMark/>
          </w:tcPr>
          <w:p w14:paraId="4AD561FE" w14:textId="77777777" w:rsidR="00143003" w:rsidRPr="00143003" w:rsidRDefault="00143003" w:rsidP="00143003">
            <w:pPr>
              <w:jc w:val="right"/>
              <w:rPr>
                <w:color w:val="000000"/>
                <w:sz w:val="20"/>
                <w:szCs w:val="20"/>
              </w:rPr>
            </w:pPr>
            <w:r w:rsidRPr="00143003">
              <w:rPr>
                <w:color w:val="000000"/>
                <w:sz w:val="20"/>
                <w:szCs w:val="20"/>
              </w:rPr>
              <w:t xml:space="preserve">$0.17 </w:t>
            </w:r>
          </w:p>
        </w:tc>
      </w:tr>
      <w:tr w:rsidR="00143003" w:rsidRPr="00143003" w14:paraId="0A913902" w14:textId="77777777" w:rsidTr="006E6F02">
        <w:trPr>
          <w:trHeight w:val="300"/>
          <w:jc w:val="center"/>
        </w:trPr>
        <w:tc>
          <w:tcPr>
            <w:tcW w:w="5000" w:type="dxa"/>
            <w:tcBorders>
              <w:top w:val="nil"/>
              <w:left w:val="single" w:sz="8" w:space="0" w:color="000000"/>
              <w:bottom w:val="nil"/>
              <w:right w:val="nil"/>
            </w:tcBorders>
            <w:shd w:val="clear" w:color="auto" w:fill="auto"/>
            <w:noWrap/>
            <w:vAlign w:val="center"/>
            <w:hideMark/>
          </w:tcPr>
          <w:p w14:paraId="32A949C5" w14:textId="77777777" w:rsidR="00143003" w:rsidRPr="00143003" w:rsidRDefault="00143003" w:rsidP="00143003">
            <w:pPr>
              <w:rPr>
                <w:color w:val="000000"/>
                <w:sz w:val="20"/>
                <w:szCs w:val="20"/>
              </w:rPr>
            </w:pPr>
            <w:r w:rsidRPr="00143003">
              <w:rPr>
                <w:color w:val="000000"/>
                <w:sz w:val="20"/>
                <w:szCs w:val="20"/>
              </w:rPr>
              <w:t>3/4"</w:t>
            </w:r>
          </w:p>
        </w:tc>
        <w:tc>
          <w:tcPr>
            <w:tcW w:w="1620" w:type="dxa"/>
            <w:tcBorders>
              <w:top w:val="nil"/>
              <w:left w:val="nil"/>
              <w:bottom w:val="nil"/>
              <w:right w:val="nil"/>
            </w:tcBorders>
            <w:shd w:val="clear" w:color="auto" w:fill="auto"/>
            <w:noWrap/>
            <w:vAlign w:val="center"/>
            <w:hideMark/>
          </w:tcPr>
          <w:p w14:paraId="237FE71B" w14:textId="77777777" w:rsidR="00143003" w:rsidRPr="00143003" w:rsidRDefault="00143003" w:rsidP="00143003">
            <w:pPr>
              <w:jc w:val="right"/>
              <w:rPr>
                <w:color w:val="000000"/>
                <w:sz w:val="20"/>
                <w:szCs w:val="20"/>
              </w:rPr>
            </w:pPr>
            <w:r w:rsidRPr="00143003">
              <w:rPr>
                <w:color w:val="000000"/>
                <w:sz w:val="20"/>
                <w:szCs w:val="20"/>
              </w:rPr>
              <w:t xml:space="preserve">$25.12 </w:t>
            </w:r>
          </w:p>
        </w:tc>
        <w:tc>
          <w:tcPr>
            <w:tcW w:w="1872" w:type="dxa"/>
            <w:tcBorders>
              <w:top w:val="nil"/>
              <w:left w:val="nil"/>
              <w:bottom w:val="nil"/>
              <w:right w:val="nil"/>
            </w:tcBorders>
            <w:shd w:val="clear" w:color="auto" w:fill="auto"/>
            <w:noWrap/>
            <w:vAlign w:val="center"/>
            <w:hideMark/>
          </w:tcPr>
          <w:p w14:paraId="7CD1B6CB" w14:textId="77777777" w:rsidR="00143003" w:rsidRPr="00143003" w:rsidRDefault="00143003" w:rsidP="00143003">
            <w:pPr>
              <w:jc w:val="right"/>
              <w:rPr>
                <w:color w:val="000000"/>
                <w:sz w:val="20"/>
                <w:szCs w:val="20"/>
              </w:rPr>
            </w:pPr>
            <w:r w:rsidRPr="00143003">
              <w:rPr>
                <w:color w:val="000000"/>
                <w:sz w:val="20"/>
                <w:szCs w:val="20"/>
              </w:rPr>
              <w:t xml:space="preserve">$27.00 </w:t>
            </w:r>
          </w:p>
        </w:tc>
        <w:tc>
          <w:tcPr>
            <w:tcW w:w="2014" w:type="dxa"/>
            <w:tcBorders>
              <w:top w:val="nil"/>
              <w:left w:val="nil"/>
              <w:bottom w:val="nil"/>
              <w:right w:val="single" w:sz="8" w:space="0" w:color="000000"/>
            </w:tcBorders>
            <w:shd w:val="clear" w:color="auto" w:fill="auto"/>
            <w:noWrap/>
            <w:vAlign w:val="center"/>
            <w:hideMark/>
          </w:tcPr>
          <w:p w14:paraId="145E8E99" w14:textId="77777777" w:rsidR="00143003" w:rsidRPr="00143003" w:rsidRDefault="00143003" w:rsidP="00143003">
            <w:pPr>
              <w:jc w:val="right"/>
              <w:rPr>
                <w:color w:val="000000"/>
                <w:sz w:val="20"/>
                <w:szCs w:val="20"/>
              </w:rPr>
            </w:pPr>
            <w:r w:rsidRPr="00143003">
              <w:rPr>
                <w:color w:val="000000"/>
                <w:sz w:val="20"/>
                <w:szCs w:val="20"/>
              </w:rPr>
              <w:t xml:space="preserve">$0.25 </w:t>
            </w:r>
          </w:p>
        </w:tc>
      </w:tr>
      <w:tr w:rsidR="00143003" w:rsidRPr="00143003" w14:paraId="61F7A4A0" w14:textId="77777777" w:rsidTr="006E6F02">
        <w:trPr>
          <w:trHeight w:val="300"/>
          <w:jc w:val="center"/>
        </w:trPr>
        <w:tc>
          <w:tcPr>
            <w:tcW w:w="5000" w:type="dxa"/>
            <w:tcBorders>
              <w:top w:val="nil"/>
              <w:left w:val="single" w:sz="8" w:space="0" w:color="000000"/>
              <w:bottom w:val="nil"/>
              <w:right w:val="nil"/>
            </w:tcBorders>
            <w:shd w:val="clear" w:color="auto" w:fill="auto"/>
            <w:noWrap/>
            <w:vAlign w:val="center"/>
            <w:hideMark/>
          </w:tcPr>
          <w:p w14:paraId="0044C8C3" w14:textId="77777777" w:rsidR="00143003" w:rsidRPr="00143003" w:rsidRDefault="00143003" w:rsidP="00143003">
            <w:pPr>
              <w:rPr>
                <w:color w:val="000000"/>
                <w:sz w:val="20"/>
                <w:szCs w:val="20"/>
              </w:rPr>
            </w:pPr>
            <w:r w:rsidRPr="00143003">
              <w:rPr>
                <w:color w:val="000000"/>
                <w:sz w:val="20"/>
                <w:szCs w:val="20"/>
              </w:rPr>
              <w:t>1"</w:t>
            </w:r>
          </w:p>
        </w:tc>
        <w:tc>
          <w:tcPr>
            <w:tcW w:w="1620" w:type="dxa"/>
            <w:tcBorders>
              <w:top w:val="nil"/>
              <w:left w:val="nil"/>
              <w:bottom w:val="nil"/>
              <w:right w:val="nil"/>
            </w:tcBorders>
            <w:shd w:val="clear" w:color="auto" w:fill="auto"/>
            <w:noWrap/>
            <w:vAlign w:val="center"/>
            <w:hideMark/>
          </w:tcPr>
          <w:p w14:paraId="69D69BCE" w14:textId="77777777" w:rsidR="00143003" w:rsidRPr="00143003" w:rsidRDefault="00143003" w:rsidP="00143003">
            <w:pPr>
              <w:jc w:val="right"/>
              <w:rPr>
                <w:color w:val="000000"/>
                <w:sz w:val="20"/>
                <w:szCs w:val="20"/>
              </w:rPr>
            </w:pPr>
            <w:r w:rsidRPr="00143003">
              <w:rPr>
                <w:color w:val="000000"/>
                <w:sz w:val="20"/>
                <w:szCs w:val="20"/>
              </w:rPr>
              <w:t xml:space="preserve">$41.94 </w:t>
            </w:r>
          </w:p>
        </w:tc>
        <w:tc>
          <w:tcPr>
            <w:tcW w:w="1872" w:type="dxa"/>
            <w:tcBorders>
              <w:top w:val="nil"/>
              <w:left w:val="nil"/>
              <w:bottom w:val="nil"/>
              <w:right w:val="nil"/>
            </w:tcBorders>
            <w:shd w:val="clear" w:color="auto" w:fill="auto"/>
            <w:noWrap/>
            <w:vAlign w:val="center"/>
            <w:hideMark/>
          </w:tcPr>
          <w:p w14:paraId="69242C2A" w14:textId="77777777" w:rsidR="00143003" w:rsidRPr="00143003" w:rsidRDefault="00143003" w:rsidP="00143003">
            <w:pPr>
              <w:jc w:val="right"/>
              <w:rPr>
                <w:color w:val="000000"/>
                <w:sz w:val="20"/>
                <w:szCs w:val="20"/>
              </w:rPr>
            </w:pPr>
            <w:r w:rsidRPr="00143003">
              <w:rPr>
                <w:color w:val="000000"/>
                <w:sz w:val="20"/>
                <w:szCs w:val="20"/>
              </w:rPr>
              <w:t xml:space="preserve">$45.00 </w:t>
            </w:r>
          </w:p>
        </w:tc>
        <w:tc>
          <w:tcPr>
            <w:tcW w:w="2014" w:type="dxa"/>
            <w:tcBorders>
              <w:top w:val="nil"/>
              <w:left w:val="nil"/>
              <w:bottom w:val="nil"/>
              <w:right w:val="single" w:sz="8" w:space="0" w:color="000000"/>
            </w:tcBorders>
            <w:shd w:val="clear" w:color="auto" w:fill="auto"/>
            <w:noWrap/>
            <w:vAlign w:val="center"/>
            <w:hideMark/>
          </w:tcPr>
          <w:p w14:paraId="2BBF38ED" w14:textId="77777777" w:rsidR="00143003" w:rsidRPr="00143003" w:rsidRDefault="00143003" w:rsidP="00143003">
            <w:pPr>
              <w:jc w:val="right"/>
              <w:rPr>
                <w:color w:val="000000"/>
                <w:sz w:val="20"/>
                <w:szCs w:val="20"/>
              </w:rPr>
            </w:pPr>
            <w:r w:rsidRPr="00143003">
              <w:rPr>
                <w:color w:val="000000"/>
                <w:sz w:val="20"/>
                <w:szCs w:val="20"/>
              </w:rPr>
              <w:t xml:space="preserve">$0.42 </w:t>
            </w:r>
          </w:p>
        </w:tc>
      </w:tr>
      <w:tr w:rsidR="00143003" w:rsidRPr="00143003" w14:paraId="1AB21897" w14:textId="77777777" w:rsidTr="006E6F02">
        <w:trPr>
          <w:trHeight w:val="258"/>
          <w:jc w:val="center"/>
        </w:trPr>
        <w:tc>
          <w:tcPr>
            <w:tcW w:w="5000" w:type="dxa"/>
            <w:tcBorders>
              <w:top w:val="nil"/>
              <w:left w:val="single" w:sz="8" w:space="0" w:color="000000"/>
              <w:bottom w:val="nil"/>
              <w:right w:val="nil"/>
            </w:tcBorders>
            <w:shd w:val="clear" w:color="auto" w:fill="auto"/>
            <w:noWrap/>
            <w:vAlign w:val="center"/>
            <w:hideMark/>
          </w:tcPr>
          <w:p w14:paraId="747387BB" w14:textId="77777777" w:rsidR="00143003" w:rsidRPr="00143003" w:rsidRDefault="00143003" w:rsidP="00143003">
            <w:pPr>
              <w:rPr>
                <w:color w:val="000000"/>
                <w:sz w:val="20"/>
                <w:szCs w:val="20"/>
              </w:rPr>
            </w:pPr>
            <w:r w:rsidRPr="00143003">
              <w:rPr>
                <w:color w:val="000000"/>
                <w:sz w:val="20"/>
                <w:szCs w:val="20"/>
              </w:rPr>
              <w:t>2"</w:t>
            </w:r>
          </w:p>
        </w:tc>
        <w:tc>
          <w:tcPr>
            <w:tcW w:w="1620" w:type="dxa"/>
            <w:tcBorders>
              <w:top w:val="nil"/>
              <w:left w:val="nil"/>
              <w:bottom w:val="nil"/>
              <w:right w:val="nil"/>
            </w:tcBorders>
            <w:shd w:val="clear" w:color="auto" w:fill="auto"/>
            <w:noWrap/>
            <w:vAlign w:val="center"/>
            <w:hideMark/>
          </w:tcPr>
          <w:p w14:paraId="0F2B0992" w14:textId="77777777" w:rsidR="00143003" w:rsidRPr="00143003" w:rsidRDefault="00143003" w:rsidP="00143003">
            <w:pPr>
              <w:jc w:val="right"/>
              <w:rPr>
                <w:color w:val="000000"/>
                <w:sz w:val="20"/>
                <w:szCs w:val="20"/>
              </w:rPr>
            </w:pPr>
            <w:r w:rsidRPr="00143003">
              <w:rPr>
                <w:color w:val="000000"/>
                <w:sz w:val="20"/>
                <w:szCs w:val="20"/>
              </w:rPr>
              <w:t xml:space="preserve">$83.83 </w:t>
            </w:r>
          </w:p>
        </w:tc>
        <w:tc>
          <w:tcPr>
            <w:tcW w:w="1872" w:type="dxa"/>
            <w:tcBorders>
              <w:top w:val="nil"/>
              <w:left w:val="nil"/>
              <w:bottom w:val="nil"/>
              <w:right w:val="nil"/>
            </w:tcBorders>
            <w:shd w:val="clear" w:color="auto" w:fill="auto"/>
            <w:noWrap/>
            <w:vAlign w:val="center"/>
            <w:hideMark/>
          </w:tcPr>
          <w:p w14:paraId="011AEA9A" w14:textId="77777777" w:rsidR="00143003" w:rsidRPr="00143003" w:rsidRDefault="00143003" w:rsidP="00143003">
            <w:pPr>
              <w:jc w:val="right"/>
              <w:rPr>
                <w:color w:val="000000"/>
                <w:sz w:val="20"/>
                <w:szCs w:val="20"/>
              </w:rPr>
            </w:pPr>
            <w:r w:rsidRPr="00143003">
              <w:rPr>
                <w:color w:val="000000"/>
                <w:sz w:val="20"/>
                <w:szCs w:val="20"/>
              </w:rPr>
              <w:t xml:space="preserve">$144.00 </w:t>
            </w:r>
          </w:p>
        </w:tc>
        <w:tc>
          <w:tcPr>
            <w:tcW w:w="2014" w:type="dxa"/>
            <w:tcBorders>
              <w:top w:val="nil"/>
              <w:left w:val="nil"/>
              <w:bottom w:val="nil"/>
              <w:right w:val="single" w:sz="8" w:space="0" w:color="000000"/>
            </w:tcBorders>
            <w:shd w:val="clear" w:color="auto" w:fill="auto"/>
            <w:noWrap/>
            <w:vAlign w:val="center"/>
            <w:hideMark/>
          </w:tcPr>
          <w:p w14:paraId="00A6D125" w14:textId="77777777" w:rsidR="00143003" w:rsidRPr="00143003" w:rsidRDefault="00143003" w:rsidP="00143003">
            <w:pPr>
              <w:jc w:val="right"/>
              <w:rPr>
                <w:color w:val="000000"/>
                <w:sz w:val="20"/>
                <w:szCs w:val="20"/>
              </w:rPr>
            </w:pPr>
            <w:r w:rsidRPr="00143003">
              <w:rPr>
                <w:color w:val="000000"/>
                <w:sz w:val="20"/>
                <w:szCs w:val="20"/>
              </w:rPr>
              <w:t xml:space="preserve">$1.35 </w:t>
            </w:r>
          </w:p>
        </w:tc>
      </w:tr>
      <w:tr w:rsidR="00143003" w:rsidRPr="00143003" w14:paraId="480383A6" w14:textId="77777777" w:rsidTr="006E6F02">
        <w:trPr>
          <w:trHeight w:val="258"/>
          <w:jc w:val="center"/>
        </w:trPr>
        <w:tc>
          <w:tcPr>
            <w:tcW w:w="5000" w:type="dxa"/>
            <w:tcBorders>
              <w:top w:val="nil"/>
              <w:left w:val="single" w:sz="8" w:space="0" w:color="000000"/>
              <w:bottom w:val="nil"/>
              <w:right w:val="nil"/>
            </w:tcBorders>
            <w:shd w:val="clear" w:color="auto" w:fill="auto"/>
            <w:noWrap/>
            <w:vAlign w:val="center"/>
            <w:hideMark/>
          </w:tcPr>
          <w:p w14:paraId="3D6614E9" w14:textId="77777777" w:rsidR="00143003" w:rsidRPr="00143003" w:rsidRDefault="00143003" w:rsidP="00143003">
            <w:pPr>
              <w:rPr>
                <w:color w:val="000000"/>
                <w:sz w:val="20"/>
                <w:szCs w:val="20"/>
              </w:rPr>
            </w:pPr>
            <w:r w:rsidRPr="00143003">
              <w:rPr>
                <w:color w:val="000000"/>
                <w:sz w:val="20"/>
                <w:szCs w:val="20"/>
              </w:rPr>
              <w:t>3"</w:t>
            </w:r>
          </w:p>
        </w:tc>
        <w:tc>
          <w:tcPr>
            <w:tcW w:w="1620" w:type="dxa"/>
            <w:tcBorders>
              <w:top w:val="nil"/>
              <w:left w:val="nil"/>
              <w:bottom w:val="nil"/>
              <w:right w:val="nil"/>
            </w:tcBorders>
            <w:shd w:val="clear" w:color="auto" w:fill="auto"/>
            <w:noWrap/>
            <w:vAlign w:val="center"/>
            <w:hideMark/>
          </w:tcPr>
          <w:p w14:paraId="103CF4BE" w14:textId="77777777" w:rsidR="00143003" w:rsidRPr="00143003" w:rsidRDefault="00143003" w:rsidP="00143003">
            <w:pPr>
              <w:jc w:val="right"/>
              <w:rPr>
                <w:color w:val="000000"/>
                <w:sz w:val="20"/>
                <w:szCs w:val="20"/>
              </w:rPr>
            </w:pPr>
            <w:r w:rsidRPr="00143003">
              <w:rPr>
                <w:color w:val="000000"/>
                <w:sz w:val="20"/>
                <w:szCs w:val="20"/>
              </w:rPr>
              <w:t xml:space="preserve">$134.14 </w:t>
            </w:r>
          </w:p>
        </w:tc>
        <w:tc>
          <w:tcPr>
            <w:tcW w:w="1872" w:type="dxa"/>
            <w:tcBorders>
              <w:top w:val="nil"/>
              <w:left w:val="nil"/>
              <w:bottom w:val="nil"/>
              <w:right w:val="nil"/>
            </w:tcBorders>
            <w:shd w:val="clear" w:color="auto" w:fill="auto"/>
            <w:noWrap/>
            <w:vAlign w:val="center"/>
            <w:hideMark/>
          </w:tcPr>
          <w:p w14:paraId="0D85E0C3" w14:textId="77777777" w:rsidR="00143003" w:rsidRPr="00143003" w:rsidRDefault="00143003" w:rsidP="00143003">
            <w:pPr>
              <w:jc w:val="right"/>
              <w:rPr>
                <w:color w:val="000000"/>
                <w:sz w:val="20"/>
                <w:szCs w:val="20"/>
              </w:rPr>
            </w:pPr>
            <w:r w:rsidRPr="00143003">
              <w:rPr>
                <w:color w:val="000000"/>
                <w:sz w:val="20"/>
                <w:szCs w:val="20"/>
              </w:rPr>
              <w:t xml:space="preserve">$270.00 </w:t>
            </w:r>
          </w:p>
        </w:tc>
        <w:tc>
          <w:tcPr>
            <w:tcW w:w="2014" w:type="dxa"/>
            <w:tcBorders>
              <w:top w:val="nil"/>
              <w:left w:val="nil"/>
              <w:bottom w:val="nil"/>
              <w:right w:val="single" w:sz="8" w:space="0" w:color="000000"/>
            </w:tcBorders>
            <w:shd w:val="clear" w:color="auto" w:fill="auto"/>
            <w:noWrap/>
            <w:vAlign w:val="center"/>
            <w:hideMark/>
          </w:tcPr>
          <w:p w14:paraId="640C541B" w14:textId="77777777" w:rsidR="00143003" w:rsidRPr="00143003" w:rsidRDefault="00143003" w:rsidP="00143003">
            <w:pPr>
              <w:jc w:val="right"/>
              <w:rPr>
                <w:color w:val="000000"/>
                <w:sz w:val="20"/>
                <w:szCs w:val="20"/>
              </w:rPr>
            </w:pPr>
            <w:r w:rsidRPr="00143003">
              <w:rPr>
                <w:color w:val="000000"/>
                <w:sz w:val="20"/>
                <w:szCs w:val="20"/>
              </w:rPr>
              <w:t xml:space="preserve">$2.54 </w:t>
            </w:r>
          </w:p>
        </w:tc>
      </w:tr>
      <w:tr w:rsidR="00143003" w:rsidRPr="00143003" w14:paraId="218E3C18" w14:textId="77777777" w:rsidTr="006E6F02">
        <w:trPr>
          <w:trHeight w:val="258"/>
          <w:jc w:val="center"/>
        </w:trPr>
        <w:tc>
          <w:tcPr>
            <w:tcW w:w="5000" w:type="dxa"/>
            <w:tcBorders>
              <w:top w:val="nil"/>
              <w:left w:val="single" w:sz="8" w:space="0" w:color="000000"/>
              <w:bottom w:val="nil"/>
              <w:right w:val="nil"/>
            </w:tcBorders>
            <w:shd w:val="clear" w:color="auto" w:fill="auto"/>
            <w:noWrap/>
            <w:vAlign w:val="center"/>
            <w:hideMark/>
          </w:tcPr>
          <w:p w14:paraId="49DE4A1A" w14:textId="77777777" w:rsidR="00143003" w:rsidRPr="00143003" w:rsidRDefault="00143003" w:rsidP="00143003">
            <w:pPr>
              <w:rPr>
                <w:color w:val="000000"/>
                <w:sz w:val="20"/>
                <w:szCs w:val="20"/>
              </w:rPr>
            </w:pPr>
            <w:r w:rsidRPr="00143003">
              <w:rPr>
                <w:color w:val="000000"/>
                <w:sz w:val="20"/>
                <w:szCs w:val="20"/>
              </w:rPr>
              <w:t>4"</w:t>
            </w:r>
          </w:p>
        </w:tc>
        <w:tc>
          <w:tcPr>
            <w:tcW w:w="1620" w:type="dxa"/>
            <w:tcBorders>
              <w:top w:val="nil"/>
              <w:left w:val="nil"/>
              <w:bottom w:val="nil"/>
              <w:right w:val="nil"/>
            </w:tcBorders>
            <w:shd w:val="clear" w:color="auto" w:fill="auto"/>
            <w:noWrap/>
            <w:vAlign w:val="center"/>
            <w:hideMark/>
          </w:tcPr>
          <w:p w14:paraId="6FCD9644" w14:textId="77777777" w:rsidR="00143003" w:rsidRPr="00143003" w:rsidRDefault="00143003" w:rsidP="00143003">
            <w:pPr>
              <w:jc w:val="right"/>
              <w:rPr>
                <w:color w:val="000000"/>
                <w:sz w:val="20"/>
                <w:szCs w:val="20"/>
              </w:rPr>
            </w:pPr>
            <w:r w:rsidRPr="00143003">
              <w:rPr>
                <w:color w:val="000000"/>
                <w:sz w:val="20"/>
                <w:szCs w:val="20"/>
              </w:rPr>
              <w:t>N/A</w:t>
            </w:r>
          </w:p>
        </w:tc>
        <w:tc>
          <w:tcPr>
            <w:tcW w:w="1872" w:type="dxa"/>
            <w:tcBorders>
              <w:top w:val="nil"/>
              <w:left w:val="nil"/>
              <w:bottom w:val="nil"/>
              <w:right w:val="nil"/>
            </w:tcBorders>
            <w:shd w:val="clear" w:color="auto" w:fill="auto"/>
            <w:noWrap/>
            <w:vAlign w:val="center"/>
            <w:hideMark/>
          </w:tcPr>
          <w:p w14:paraId="3D0AB234" w14:textId="77777777" w:rsidR="00143003" w:rsidRPr="00143003" w:rsidRDefault="00143003" w:rsidP="00143003">
            <w:pPr>
              <w:jc w:val="right"/>
              <w:rPr>
                <w:color w:val="000000"/>
                <w:sz w:val="20"/>
                <w:szCs w:val="20"/>
              </w:rPr>
            </w:pPr>
            <w:r w:rsidRPr="00143003">
              <w:rPr>
                <w:color w:val="000000"/>
                <w:sz w:val="20"/>
                <w:szCs w:val="20"/>
              </w:rPr>
              <w:t xml:space="preserve">$450.00 </w:t>
            </w:r>
          </w:p>
        </w:tc>
        <w:tc>
          <w:tcPr>
            <w:tcW w:w="2014" w:type="dxa"/>
            <w:tcBorders>
              <w:top w:val="nil"/>
              <w:left w:val="nil"/>
              <w:bottom w:val="nil"/>
              <w:right w:val="single" w:sz="8" w:space="0" w:color="000000"/>
            </w:tcBorders>
            <w:shd w:val="clear" w:color="auto" w:fill="auto"/>
            <w:noWrap/>
            <w:vAlign w:val="center"/>
            <w:hideMark/>
          </w:tcPr>
          <w:p w14:paraId="5E634656" w14:textId="77777777" w:rsidR="00143003" w:rsidRPr="00143003" w:rsidRDefault="00143003" w:rsidP="00143003">
            <w:pPr>
              <w:jc w:val="right"/>
              <w:rPr>
                <w:color w:val="000000"/>
                <w:sz w:val="20"/>
                <w:szCs w:val="20"/>
              </w:rPr>
            </w:pPr>
            <w:r w:rsidRPr="00143003">
              <w:rPr>
                <w:color w:val="000000"/>
                <w:sz w:val="20"/>
                <w:szCs w:val="20"/>
              </w:rPr>
              <w:t xml:space="preserve">$4.23 </w:t>
            </w:r>
          </w:p>
        </w:tc>
      </w:tr>
      <w:tr w:rsidR="00143003" w:rsidRPr="00143003" w14:paraId="25937728" w14:textId="77777777" w:rsidTr="006E6F02">
        <w:trPr>
          <w:trHeight w:val="258"/>
          <w:jc w:val="center"/>
        </w:trPr>
        <w:tc>
          <w:tcPr>
            <w:tcW w:w="5000" w:type="dxa"/>
            <w:tcBorders>
              <w:top w:val="nil"/>
              <w:left w:val="single" w:sz="8" w:space="0" w:color="000000"/>
              <w:bottom w:val="nil"/>
              <w:right w:val="nil"/>
            </w:tcBorders>
            <w:shd w:val="clear" w:color="auto" w:fill="auto"/>
            <w:noWrap/>
            <w:vAlign w:val="center"/>
            <w:hideMark/>
          </w:tcPr>
          <w:p w14:paraId="68A418F1" w14:textId="77777777" w:rsidR="00143003" w:rsidRPr="00143003" w:rsidRDefault="00143003" w:rsidP="00143003">
            <w:pPr>
              <w:rPr>
                <w:color w:val="000000"/>
                <w:sz w:val="20"/>
                <w:szCs w:val="20"/>
              </w:rPr>
            </w:pPr>
            <w:r w:rsidRPr="00143003">
              <w:rPr>
                <w:color w:val="000000"/>
                <w:sz w:val="20"/>
                <w:szCs w:val="20"/>
              </w:rPr>
              <w:t>6"</w:t>
            </w:r>
          </w:p>
        </w:tc>
        <w:tc>
          <w:tcPr>
            <w:tcW w:w="1620" w:type="dxa"/>
            <w:tcBorders>
              <w:top w:val="nil"/>
              <w:left w:val="nil"/>
              <w:bottom w:val="nil"/>
              <w:right w:val="nil"/>
            </w:tcBorders>
            <w:shd w:val="clear" w:color="auto" w:fill="auto"/>
            <w:noWrap/>
            <w:vAlign w:val="center"/>
            <w:hideMark/>
          </w:tcPr>
          <w:p w14:paraId="7A5DC68A" w14:textId="77777777" w:rsidR="00143003" w:rsidRPr="00143003" w:rsidRDefault="00143003" w:rsidP="00143003">
            <w:pPr>
              <w:jc w:val="right"/>
              <w:rPr>
                <w:color w:val="000000"/>
                <w:sz w:val="20"/>
                <w:szCs w:val="20"/>
              </w:rPr>
            </w:pPr>
            <w:r w:rsidRPr="00143003">
              <w:rPr>
                <w:color w:val="000000"/>
                <w:sz w:val="20"/>
                <w:szCs w:val="20"/>
              </w:rPr>
              <w:t>N/A</w:t>
            </w:r>
          </w:p>
        </w:tc>
        <w:tc>
          <w:tcPr>
            <w:tcW w:w="1872" w:type="dxa"/>
            <w:tcBorders>
              <w:top w:val="nil"/>
              <w:left w:val="nil"/>
              <w:bottom w:val="nil"/>
              <w:right w:val="nil"/>
            </w:tcBorders>
            <w:shd w:val="clear" w:color="auto" w:fill="auto"/>
            <w:noWrap/>
            <w:vAlign w:val="center"/>
            <w:hideMark/>
          </w:tcPr>
          <w:p w14:paraId="7A969909" w14:textId="77777777" w:rsidR="00143003" w:rsidRPr="00143003" w:rsidRDefault="00143003" w:rsidP="00143003">
            <w:pPr>
              <w:jc w:val="right"/>
              <w:rPr>
                <w:color w:val="000000"/>
                <w:sz w:val="20"/>
                <w:szCs w:val="20"/>
              </w:rPr>
            </w:pPr>
            <w:r w:rsidRPr="00143003">
              <w:rPr>
                <w:color w:val="000000"/>
                <w:sz w:val="20"/>
                <w:szCs w:val="20"/>
              </w:rPr>
              <w:t xml:space="preserve">$900.00 </w:t>
            </w:r>
          </w:p>
        </w:tc>
        <w:tc>
          <w:tcPr>
            <w:tcW w:w="2014" w:type="dxa"/>
            <w:tcBorders>
              <w:top w:val="nil"/>
              <w:left w:val="nil"/>
              <w:bottom w:val="nil"/>
              <w:right w:val="single" w:sz="8" w:space="0" w:color="000000"/>
            </w:tcBorders>
            <w:shd w:val="clear" w:color="auto" w:fill="auto"/>
            <w:noWrap/>
            <w:vAlign w:val="center"/>
            <w:hideMark/>
          </w:tcPr>
          <w:p w14:paraId="7E79E6AD" w14:textId="77777777" w:rsidR="00143003" w:rsidRPr="00143003" w:rsidRDefault="00143003" w:rsidP="00143003">
            <w:pPr>
              <w:jc w:val="right"/>
              <w:rPr>
                <w:color w:val="000000"/>
                <w:sz w:val="20"/>
                <w:szCs w:val="20"/>
              </w:rPr>
            </w:pPr>
            <w:r w:rsidRPr="00143003">
              <w:rPr>
                <w:color w:val="000000"/>
                <w:sz w:val="20"/>
                <w:szCs w:val="20"/>
              </w:rPr>
              <w:t xml:space="preserve">$8.46 </w:t>
            </w:r>
          </w:p>
        </w:tc>
      </w:tr>
      <w:tr w:rsidR="00143003" w:rsidRPr="00143003" w14:paraId="36F3AC46" w14:textId="77777777" w:rsidTr="006E6F02">
        <w:trPr>
          <w:trHeight w:val="258"/>
          <w:jc w:val="center"/>
        </w:trPr>
        <w:tc>
          <w:tcPr>
            <w:tcW w:w="5000" w:type="dxa"/>
            <w:tcBorders>
              <w:top w:val="nil"/>
              <w:left w:val="single" w:sz="8" w:space="0" w:color="000000"/>
              <w:bottom w:val="nil"/>
              <w:right w:val="nil"/>
            </w:tcBorders>
            <w:shd w:val="clear" w:color="auto" w:fill="auto"/>
            <w:noWrap/>
            <w:vAlign w:val="bottom"/>
            <w:hideMark/>
          </w:tcPr>
          <w:p w14:paraId="254EFA32" w14:textId="77777777" w:rsidR="00143003" w:rsidRPr="00143003" w:rsidRDefault="00143003" w:rsidP="00143003">
            <w:pPr>
              <w:rPr>
                <w:sz w:val="20"/>
                <w:szCs w:val="20"/>
              </w:rPr>
            </w:pPr>
            <w:r w:rsidRPr="00143003">
              <w:rPr>
                <w:sz w:val="20"/>
                <w:szCs w:val="20"/>
              </w:rPr>
              <w:t> </w:t>
            </w:r>
          </w:p>
        </w:tc>
        <w:tc>
          <w:tcPr>
            <w:tcW w:w="1620" w:type="dxa"/>
            <w:tcBorders>
              <w:top w:val="nil"/>
              <w:left w:val="nil"/>
              <w:bottom w:val="nil"/>
              <w:right w:val="nil"/>
            </w:tcBorders>
            <w:shd w:val="clear" w:color="auto" w:fill="auto"/>
            <w:noWrap/>
            <w:vAlign w:val="bottom"/>
            <w:hideMark/>
          </w:tcPr>
          <w:p w14:paraId="61E120A3" w14:textId="77777777" w:rsidR="00143003" w:rsidRPr="00143003" w:rsidRDefault="00143003" w:rsidP="00143003">
            <w:pPr>
              <w:rPr>
                <w:sz w:val="20"/>
                <w:szCs w:val="20"/>
              </w:rPr>
            </w:pPr>
          </w:p>
        </w:tc>
        <w:tc>
          <w:tcPr>
            <w:tcW w:w="1872" w:type="dxa"/>
            <w:tcBorders>
              <w:top w:val="nil"/>
              <w:left w:val="nil"/>
              <w:bottom w:val="nil"/>
              <w:right w:val="nil"/>
            </w:tcBorders>
            <w:shd w:val="clear" w:color="auto" w:fill="auto"/>
            <w:noWrap/>
            <w:vAlign w:val="bottom"/>
            <w:hideMark/>
          </w:tcPr>
          <w:p w14:paraId="14ADEA34" w14:textId="77777777" w:rsidR="00143003" w:rsidRPr="00143003" w:rsidRDefault="00143003" w:rsidP="00143003">
            <w:pPr>
              <w:rPr>
                <w:sz w:val="20"/>
                <w:szCs w:val="20"/>
              </w:rPr>
            </w:pPr>
          </w:p>
        </w:tc>
        <w:tc>
          <w:tcPr>
            <w:tcW w:w="2014" w:type="dxa"/>
            <w:tcBorders>
              <w:top w:val="nil"/>
              <w:left w:val="nil"/>
              <w:bottom w:val="nil"/>
              <w:right w:val="single" w:sz="8" w:space="0" w:color="000000"/>
            </w:tcBorders>
            <w:shd w:val="clear" w:color="auto" w:fill="auto"/>
            <w:noWrap/>
            <w:vAlign w:val="center"/>
            <w:hideMark/>
          </w:tcPr>
          <w:p w14:paraId="6EFE9053" w14:textId="77777777" w:rsidR="00143003" w:rsidRPr="00143003" w:rsidRDefault="00143003" w:rsidP="00143003">
            <w:pPr>
              <w:jc w:val="right"/>
              <w:rPr>
                <w:color w:val="000000"/>
                <w:sz w:val="20"/>
                <w:szCs w:val="20"/>
              </w:rPr>
            </w:pPr>
            <w:r w:rsidRPr="00143003">
              <w:rPr>
                <w:color w:val="000000"/>
                <w:sz w:val="20"/>
                <w:szCs w:val="20"/>
              </w:rPr>
              <w:t> </w:t>
            </w:r>
          </w:p>
        </w:tc>
      </w:tr>
      <w:tr w:rsidR="00143003" w:rsidRPr="00143003" w14:paraId="52B4A9B1" w14:textId="77777777" w:rsidTr="006E6F02">
        <w:trPr>
          <w:trHeight w:val="258"/>
          <w:jc w:val="center"/>
        </w:trPr>
        <w:tc>
          <w:tcPr>
            <w:tcW w:w="5000" w:type="dxa"/>
            <w:tcBorders>
              <w:top w:val="nil"/>
              <w:left w:val="single" w:sz="8" w:space="0" w:color="000000"/>
              <w:bottom w:val="nil"/>
              <w:right w:val="nil"/>
            </w:tcBorders>
            <w:shd w:val="clear" w:color="auto" w:fill="auto"/>
            <w:noWrap/>
            <w:vAlign w:val="center"/>
            <w:hideMark/>
          </w:tcPr>
          <w:p w14:paraId="3D24D777" w14:textId="77777777" w:rsidR="00143003" w:rsidRPr="00143003" w:rsidRDefault="00143003" w:rsidP="00143003">
            <w:pPr>
              <w:rPr>
                <w:color w:val="000000"/>
                <w:sz w:val="20"/>
                <w:szCs w:val="20"/>
              </w:rPr>
            </w:pPr>
            <w:r w:rsidRPr="00143003">
              <w:rPr>
                <w:color w:val="000000"/>
                <w:sz w:val="20"/>
                <w:szCs w:val="20"/>
              </w:rPr>
              <w:t>Charge per 1,000 gallons - Residential and General Service</w:t>
            </w:r>
          </w:p>
        </w:tc>
        <w:tc>
          <w:tcPr>
            <w:tcW w:w="1620" w:type="dxa"/>
            <w:tcBorders>
              <w:top w:val="nil"/>
              <w:left w:val="nil"/>
              <w:bottom w:val="nil"/>
              <w:right w:val="nil"/>
            </w:tcBorders>
            <w:shd w:val="clear" w:color="auto" w:fill="auto"/>
            <w:noWrap/>
            <w:vAlign w:val="center"/>
            <w:hideMark/>
          </w:tcPr>
          <w:p w14:paraId="496AC87F" w14:textId="77777777" w:rsidR="00143003" w:rsidRPr="00143003" w:rsidRDefault="00143003" w:rsidP="00143003">
            <w:pPr>
              <w:jc w:val="right"/>
              <w:rPr>
                <w:color w:val="000000"/>
                <w:sz w:val="20"/>
                <w:szCs w:val="20"/>
              </w:rPr>
            </w:pPr>
            <w:r w:rsidRPr="00143003">
              <w:rPr>
                <w:color w:val="000000"/>
                <w:sz w:val="20"/>
                <w:szCs w:val="20"/>
              </w:rPr>
              <w:t xml:space="preserve">$3.11 </w:t>
            </w:r>
          </w:p>
        </w:tc>
        <w:tc>
          <w:tcPr>
            <w:tcW w:w="1872" w:type="dxa"/>
            <w:tcBorders>
              <w:top w:val="nil"/>
              <w:left w:val="nil"/>
              <w:bottom w:val="nil"/>
              <w:right w:val="nil"/>
            </w:tcBorders>
            <w:shd w:val="clear" w:color="auto" w:fill="auto"/>
            <w:noWrap/>
            <w:vAlign w:val="center"/>
            <w:hideMark/>
          </w:tcPr>
          <w:p w14:paraId="209A88EE" w14:textId="77777777" w:rsidR="00143003" w:rsidRPr="00143003" w:rsidRDefault="00143003" w:rsidP="00143003">
            <w:pPr>
              <w:jc w:val="right"/>
              <w:rPr>
                <w:color w:val="000000"/>
                <w:sz w:val="20"/>
                <w:szCs w:val="20"/>
              </w:rPr>
            </w:pPr>
            <w:r w:rsidRPr="00143003">
              <w:rPr>
                <w:color w:val="000000"/>
                <w:sz w:val="20"/>
                <w:szCs w:val="20"/>
              </w:rPr>
              <w:t>N/A</w:t>
            </w:r>
          </w:p>
        </w:tc>
        <w:tc>
          <w:tcPr>
            <w:tcW w:w="2014" w:type="dxa"/>
            <w:tcBorders>
              <w:top w:val="nil"/>
              <w:left w:val="nil"/>
              <w:bottom w:val="nil"/>
              <w:right w:val="single" w:sz="8" w:space="0" w:color="000000"/>
            </w:tcBorders>
            <w:shd w:val="clear" w:color="auto" w:fill="auto"/>
            <w:noWrap/>
            <w:vAlign w:val="center"/>
            <w:hideMark/>
          </w:tcPr>
          <w:p w14:paraId="6383CF4D" w14:textId="77777777" w:rsidR="00143003" w:rsidRPr="00143003" w:rsidRDefault="00143003" w:rsidP="00143003">
            <w:pPr>
              <w:jc w:val="right"/>
              <w:rPr>
                <w:color w:val="000000"/>
                <w:sz w:val="20"/>
                <w:szCs w:val="20"/>
              </w:rPr>
            </w:pPr>
            <w:r w:rsidRPr="00143003">
              <w:rPr>
                <w:color w:val="000000"/>
                <w:sz w:val="20"/>
                <w:szCs w:val="20"/>
              </w:rPr>
              <w:t> </w:t>
            </w:r>
          </w:p>
        </w:tc>
      </w:tr>
      <w:tr w:rsidR="00143003" w:rsidRPr="00143003" w14:paraId="119C99E2" w14:textId="77777777" w:rsidTr="006E6F02">
        <w:trPr>
          <w:trHeight w:val="258"/>
          <w:jc w:val="center"/>
        </w:trPr>
        <w:tc>
          <w:tcPr>
            <w:tcW w:w="5000" w:type="dxa"/>
            <w:tcBorders>
              <w:top w:val="nil"/>
              <w:left w:val="single" w:sz="8" w:space="0" w:color="000000"/>
              <w:bottom w:val="nil"/>
              <w:right w:val="nil"/>
            </w:tcBorders>
            <w:shd w:val="clear" w:color="auto" w:fill="auto"/>
            <w:noWrap/>
            <w:vAlign w:val="center"/>
            <w:hideMark/>
          </w:tcPr>
          <w:p w14:paraId="77DEDAA4" w14:textId="77777777" w:rsidR="00143003" w:rsidRPr="00143003" w:rsidRDefault="00143003" w:rsidP="00143003">
            <w:pPr>
              <w:rPr>
                <w:color w:val="000000"/>
                <w:sz w:val="20"/>
                <w:szCs w:val="20"/>
              </w:rPr>
            </w:pPr>
            <w:r w:rsidRPr="00143003">
              <w:rPr>
                <w:color w:val="000000"/>
                <w:sz w:val="20"/>
                <w:szCs w:val="20"/>
              </w:rPr>
              <w:t> </w:t>
            </w:r>
          </w:p>
        </w:tc>
        <w:tc>
          <w:tcPr>
            <w:tcW w:w="1620" w:type="dxa"/>
            <w:tcBorders>
              <w:top w:val="nil"/>
              <w:left w:val="nil"/>
              <w:bottom w:val="nil"/>
              <w:right w:val="nil"/>
            </w:tcBorders>
            <w:shd w:val="clear" w:color="auto" w:fill="auto"/>
            <w:noWrap/>
            <w:vAlign w:val="center"/>
            <w:hideMark/>
          </w:tcPr>
          <w:p w14:paraId="3B76C2A2" w14:textId="77777777" w:rsidR="00143003" w:rsidRPr="00143003" w:rsidRDefault="00143003" w:rsidP="00143003">
            <w:pPr>
              <w:rPr>
                <w:color w:val="000000"/>
                <w:sz w:val="20"/>
                <w:szCs w:val="20"/>
              </w:rPr>
            </w:pPr>
          </w:p>
        </w:tc>
        <w:tc>
          <w:tcPr>
            <w:tcW w:w="1872" w:type="dxa"/>
            <w:tcBorders>
              <w:top w:val="nil"/>
              <w:left w:val="nil"/>
              <w:bottom w:val="nil"/>
              <w:right w:val="nil"/>
            </w:tcBorders>
            <w:shd w:val="clear" w:color="auto" w:fill="auto"/>
            <w:noWrap/>
            <w:vAlign w:val="center"/>
            <w:hideMark/>
          </w:tcPr>
          <w:p w14:paraId="5615A0D5" w14:textId="77777777" w:rsidR="00143003" w:rsidRPr="00143003" w:rsidRDefault="00143003" w:rsidP="00143003">
            <w:pPr>
              <w:jc w:val="right"/>
              <w:rPr>
                <w:sz w:val="20"/>
                <w:szCs w:val="20"/>
              </w:rPr>
            </w:pPr>
          </w:p>
        </w:tc>
        <w:tc>
          <w:tcPr>
            <w:tcW w:w="2014" w:type="dxa"/>
            <w:tcBorders>
              <w:top w:val="nil"/>
              <w:left w:val="nil"/>
              <w:bottom w:val="nil"/>
              <w:right w:val="single" w:sz="8" w:space="0" w:color="000000"/>
            </w:tcBorders>
            <w:shd w:val="clear" w:color="auto" w:fill="auto"/>
            <w:noWrap/>
            <w:vAlign w:val="center"/>
            <w:hideMark/>
          </w:tcPr>
          <w:p w14:paraId="16C7FF5F" w14:textId="77777777" w:rsidR="00143003" w:rsidRPr="00143003" w:rsidRDefault="00143003" w:rsidP="00143003">
            <w:pPr>
              <w:jc w:val="right"/>
              <w:rPr>
                <w:color w:val="000000"/>
                <w:sz w:val="20"/>
                <w:szCs w:val="20"/>
              </w:rPr>
            </w:pPr>
            <w:r w:rsidRPr="00143003">
              <w:rPr>
                <w:color w:val="000000"/>
                <w:sz w:val="20"/>
                <w:szCs w:val="20"/>
              </w:rPr>
              <w:t> </w:t>
            </w:r>
          </w:p>
        </w:tc>
      </w:tr>
      <w:tr w:rsidR="00143003" w:rsidRPr="00143003" w14:paraId="50F7E09F" w14:textId="77777777" w:rsidTr="006E6F02">
        <w:trPr>
          <w:trHeight w:val="258"/>
          <w:jc w:val="center"/>
        </w:trPr>
        <w:tc>
          <w:tcPr>
            <w:tcW w:w="5000" w:type="dxa"/>
            <w:tcBorders>
              <w:top w:val="nil"/>
              <w:left w:val="single" w:sz="8" w:space="0" w:color="000000"/>
              <w:bottom w:val="nil"/>
              <w:right w:val="nil"/>
            </w:tcBorders>
            <w:shd w:val="clear" w:color="auto" w:fill="auto"/>
            <w:noWrap/>
            <w:vAlign w:val="center"/>
            <w:hideMark/>
          </w:tcPr>
          <w:p w14:paraId="3FC839AF" w14:textId="77777777" w:rsidR="00143003" w:rsidRPr="00143003" w:rsidRDefault="00143003" w:rsidP="00143003">
            <w:pPr>
              <w:rPr>
                <w:color w:val="000000"/>
                <w:sz w:val="20"/>
                <w:szCs w:val="20"/>
              </w:rPr>
            </w:pPr>
            <w:r w:rsidRPr="00143003">
              <w:rPr>
                <w:color w:val="000000"/>
                <w:sz w:val="20"/>
                <w:szCs w:val="20"/>
              </w:rPr>
              <w:t> </w:t>
            </w:r>
          </w:p>
        </w:tc>
        <w:tc>
          <w:tcPr>
            <w:tcW w:w="1620" w:type="dxa"/>
            <w:tcBorders>
              <w:top w:val="nil"/>
              <w:left w:val="nil"/>
              <w:bottom w:val="nil"/>
              <w:right w:val="nil"/>
            </w:tcBorders>
            <w:shd w:val="clear" w:color="auto" w:fill="auto"/>
            <w:noWrap/>
            <w:vAlign w:val="center"/>
            <w:hideMark/>
          </w:tcPr>
          <w:p w14:paraId="7F59CC75" w14:textId="77777777" w:rsidR="00143003" w:rsidRPr="00143003" w:rsidRDefault="00143003" w:rsidP="00143003">
            <w:pPr>
              <w:rPr>
                <w:color w:val="000000"/>
                <w:sz w:val="20"/>
                <w:szCs w:val="20"/>
              </w:rPr>
            </w:pPr>
          </w:p>
        </w:tc>
        <w:tc>
          <w:tcPr>
            <w:tcW w:w="1872" w:type="dxa"/>
            <w:tcBorders>
              <w:top w:val="nil"/>
              <w:left w:val="nil"/>
              <w:bottom w:val="nil"/>
              <w:right w:val="nil"/>
            </w:tcBorders>
            <w:shd w:val="clear" w:color="auto" w:fill="auto"/>
            <w:noWrap/>
            <w:vAlign w:val="center"/>
            <w:hideMark/>
          </w:tcPr>
          <w:p w14:paraId="33059532" w14:textId="77777777" w:rsidR="00143003" w:rsidRPr="00143003" w:rsidRDefault="00143003" w:rsidP="00143003">
            <w:pPr>
              <w:jc w:val="right"/>
              <w:rPr>
                <w:sz w:val="20"/>
                <w:szCs w:val="20"/>
              </w:rPr>
            </w:pPr>
          </w:p>
        </w:tc>
        <w:tc>
          <w:tcPr>
            <w:tcW w:w="2014" w:type="dxa"/>
            <w:tcBorders>
              <w:top w:val="nil"/>
              <w:left w:val="nil"/>
              <w:bottom w:val="nil"/>
              <w:right w:val="single" w:sz="8" w:space="0" w:color="000000"/>
            </w:tcBorders>
            <w:shd w:val="clear" w:color="auto" w:fill="auto"/>
            <w:noWrap/>
            <w:vAlign w:val="center"/>
            <w:hideMark/>
          </w:tcPr>
          <w:p w14:paraId="78398031" w14:textId="77777777" w:rsidR="00143003" w:rsidRPr="00143003" w:rsidRDefault="00143003" w:rsidP="00143003">
            <w:pPr>
              <w:jc w:val="right"/>
              <w:rPr>
                <w:color w:val="000000"/>
                <w:sz w:val="20"/>
                <w:szCs w:val="20"/>
              </w:rPr>
            </w:pPr>
            <w:r w:rsidRPr="00143003">
              <w:rPr>
                <w:color w:val="000000"/>
                <w:sz w:val="20"/>
                <w:szCs w:val="20"/>
              </w:rPr>
              <w:t> </w:t>
            </w:r>
          </w:p>
        </w:tc>
      </w:tr>
      <w:tr w:rsidR="00143003" w:rsidRPr="00143003" w14:paraId="7A4F66E8" w14:textId="77777777" w:rsidTr="006E6F02">
        <w:trPr>
          <w:trHeight w:val="258"/>
          <w:jc w:val="center"/>
        </w:trPr>
        <w:tc>
          <w:tcPr>
            <w:tcW w:w="5000" w:type="dxa"/>
            <w:tcBorders>
              <w:top w:val="nil"/>
              <w:left w:val="single" w:sz="8" w:space="0" w:color="000000"/>
              <w:bottom w:val="nil"/>
              <w:right w:val="nil"/>
            </w:tcBorders>
            <w:shd w:val="clear" w:color="auto" w:fill="auto"/>
            <w:noWrap/>
            <w:vAlign w:val="center"/>
            <w:hideMark/>
          </w:tcPr>
          <w:p w14:paraId="50710150" w14:textId="77777777" w:rsidR="00143003" w:rsidRPr="00143003" w:rsidRDefault="00143003" w:rsidP="00143003">
            <w:pPr>
              <w:rPr>
                <w:color w:val="000000"/>
                <w:sz w:val="20"/>
                <w:szCs w:val="20"/>
              </w:rPr>
            </w:pPr>
            <w:r w:rsidRPr="00143003">
              <w:rPr>
                <w:color w:val="000000"/>
                <w:sz w:val="20"/>
                <w:szCs w:val="20"/>
              </w:rPr>
              <w:t>Charge per 1,000 gallons - Residential</w:t>
            </w:r>
          </w:p>
        </w:tc>
        <w:tc>
          <w:tcPr>
            <w:tcW w:w="1620" w:type="dxa"/>
            <w:tcBorders>
              <w:top w:val="nil"/>
              <w:left w:val="nil"/>
              <w:bottom w:val="nil"/>
              <w:right w:val="nil"/>
            </w:tcBorders>
            <w:shd w:val="clear" w:color="auto" w:fill="auto"/>
            <w:noWrap/>
            <w:vAlign w:val="center"/>
            <w:hideMark/>
          </w:tcPr>
          <w:p w14:paraId="1A4C33D4" w14:textId="77777777" w:rsidR="00143003" w:rsidRPr="00143003" w:rsidRDefault="00143003" w:rsidP="00143003">
            <w:pPr>
              <w:rPr>
                <w:color w:val="000000"/>
                <w:sz w:val="20"/>
                <w:szCs w:val="20"/>
              </w:rPr>
            </w:pPr>
          </w:p>
        </w:tc>
        <w:tc>
          <w:tcPr>
            <w:tcW w:w="1872" w:type="dxa"/>
            <w:tcBorders>
              <w:top w:val="nil"/>
              <w:left w:val="nil"/>
              <w:bottom w:val="nil"/>
              <w:right w:val="nil"/>
            </w:tcBorders>
            <w:shd w:val="clear" w:color="auto" w:fill="auto"/>
            <w:noWrap/>
            <w:vAlign w:val="center"/>
            <w:hideMark/>
          </w:tcPr>
          <w:p w14:paraId="786D16B7" w14:textId="77777777" w:rsidR="00143003" w:rsidRPr="00143003" w:rsidRDefault="00143003" w:rsidP="00143003">
            <w:pPr>
              <w:jc w:val="right"/>
              <w:rPr>
                <w:sz w:val="20"/>
                <w:szCs w:val="20"/>
              </w:rPr>
            </w:pPr>
          </w:p>
        </w:tc>
        <w:tc>
          <w:tcPr>
            <w:tcW w:w="2014" w:type="dxa"/>
            <w:tcBorders>
              <w:top w:val="nil"/>
              <w:left w:val="nil"/>
              <w:bottom w:val="nil"/>
              <w:right w:val="single" w:sz="8" w:space="0" w:color="000000"/>
            </w:tcBorders>
            <w:shd w:val="clear" w:color="auto" w:fill="auto"/>
            <w:noWrap/>
            <w:vAlign w:val="center"/>
            <w:hideMark/>
          </w:tcPr>
          <w:p w14:paraId="0C0D6E5C" w14:textId="77777777" w:rsidR="00143003" w:rsidRPr="00143003" w:rsidRDefault="00143003" w:rsidP="00143003">
            <w:pPr>
              <w:jc w:val="right"/>
              <w:rPr>
                <w:color w:val="000000"/>
                <w:sz w:val="20"/>
                <w:szCs w:val="20"/>
              </w:rPr>
            </w:pPr>
            <w:r w:rsidRPr="00143003">
              <w:rPr>
                <w:color w:val="000000"/>
                <w:sz w:val="20"/>
                <w:szCs w:val="20"/>
              </w:rPr>
              <w:t> </w:t>
            </w:r>
          </w:p>
        </w:tc>
      </w:tr>
      <w:tr w:rsidR="00143003" w:rsidRPr="00143003" w14:paraId="364D0B4F" w14:textId="77777777" w:rsidTr="006E6F02">
        <w:trPr>
          <w:trHeight w:val="258"/>
          <w:jc w:val="center"/>
        </w:trPr>
        <w:tc>
          <w:tcPr>
            <w:tcW w:w="5000" w:type="dxa"/>
            <w:tcBorders>
              <w:top w:val="nil"/>
              <w:left w:val="single" w:sz="8" w:space="0" w:color="000000"/>
              <w:bottom w:val="nil"/>
              <w:right w:val="nil"/>
            </w:tcBorders>
            <w:shd w:val="clear" w:color="auto" w:fill="auto"/>
            <w:noWrap/>
            <w:vAlign w:val="center"/>
            <w:hideMark/>
          </w:tcPr>
          <w:p w14:paraId="532BC7EB" w14:textId="77777777" w:rsidR="00143003" w:rsidRPr="00143003" w:rsidRDefault="00143003" w:rsidP="00143003">
            <w:pPr>
              <w:rPr>
                <w:color w:val="000000"/>
                <w:sz w:val="20"/>
                <w:szCs w:val="20"/>
              </w:rPr>
            </w:pPr>
            <w:r w:rsidRPr="00143003">
              <w:rPr>
                <w:color w:val="000000"/>
                <w:sz w:val="20"/>
                <w:szCs w:val="20"/>
              </w:rPr>
              <w:t>0 - 4,000 gallons</w:t>
            </w:r>
          </w:p>
        </w:tc>
        <w:tc>
          <w:tcPr>
            <w:tcW w:w="1620" w:type="dxa"/>
            <w:tcBorders>
              <w:top w:val="nil"/>
              <w:left w:val="nil"/>
              <w:bottom w:val="nil"/>
              <w:right w:val="nil"/>
            </w:tcBorders>
            <w:shd w:val="clear" w:color="auto" w:fill="auto"/>
            <w:noWrap/>
            <w:vAlign w:val="center"/>
            <w:hideMark/>
          </w:tcPr>
          <w:p w14:paraId="51A1631A" w14:textId="77777777" w:rsidR="00143003" w:rsidRPr="00143003" w:rsidRDefault="00143003" w:rsidP="00143003">
            <w:pPr>
              <w:jc w:val="right"/>
              <w:rPr>
                <w:color w:val="000000"/>
                <w:sz w:val="20"/>
                <w:szCs w:val="20"/>
              </w:rPr>
            </w:pPr>
            <w:r w:rsidRPr="00143003">
              <w:rPr>
                <w:color w:val="000000"/>
                <w:sz w:val="20"/>
                <w:szCs w:val="20"/>
              </w:rPr>
              <w:t>N/A</w:t>
            </w:r>
          </w:p>
        </w:tc>
        <w:tc>
          <w:tcPr>
            <w:tcW w:w="1872" w:type="dxa"/>
            <w:tcBorders>
              <w:top w:val="nil"/>
              <w:left w:val="nil"/>
              <w:bottom w:val="nil"/>
              <w:right w:val="nil"/>
            </w:tcBorders>
            <w:shd w:val="clear" w:color="auto" w:fill="auto"/>
            <w:noWrap/>
            <w:vAlign w:val="center"/>
            <w:hideMark/>
          </w:tcPr>
          <w:p w14:paraId="3763C964" w14:textId="77777777" w:rsidR="00143003" w:rsidRPr="00143003" w:rsidRDefault="00143003" w:rsidP="00143003">
            <w:pPr>
              <w:jc w:val="right"/>
              <w:rPr>
                <w:color w:val="000000"/>
                <w:sz w:val="20"/>
                <w:szCs w:val="20"/>
              </w:rPr>
            </w:pPr>
            <w:r w:rsidRPr="00143003">
              <w:rPr>
                <w:color w:val="000000"/>
                <w:sz w:val="20"/>
                <w:szCs w:val="20"/>
              </w:rPr>
              <w:t xml:space="preserve">$2.42 </w:t>
            </w:r>
          </w:p>
        </w:tc>
        <w:tc>
          <w:tcPr>
            <w:tcW w:w="2014" w:type="dxa"/>
            <w:tcBorders>
              <w:top w:val="nil"/>
              <w:left w:val="nil"/>
              <w:bottom w:val="nil"/>
              <w:right w:val="single" w:sz="8" w:space="0" w:color="000000"/>
            </w:tcBorders>
            <w:shd w:val="clear" w:color="auto" w:fill="auto"/>
            <w:noWrap/>
            <w:vAlign w:val="center"/>
            <w:hideMark/>
          </w:tcPr>
          <w:p w14:paraId="0A31DF38" w14:textId="77777777" w:rsidR="00143003" w:rsidRPr="00143003" w:rsidRDefault="00143003" w:rsidP="00143003">
            <w:pPr>
              <w:jc w:val="right"/>
              <w:rPr>
                <w:color w:val="000000"/>
                <w:sz w:val="20"/>
                <w:szCs w:val="20"/>
              </w:rPr>
            </w:pPr>
            <w:r w:rsidRPr="00143003">
              <w:rPr>
                <w:color w:val="000000"/>
                <w:sz w:val="20"/>
                <w:szCs w:val="20"/>
              </w:rPr>
              <w:t xml:space="preserve">$0.02 </w:t>
            </w:r>
          </w:p>
        </w:tc>
      </w:tr>
      <w:tr w:rsidR="00143003" w:rsidRPr="00143003" w14:paraId="447BE7C9" w14:textId="77777777" w:rsidTr="006E6F02">
        <w:trPr>
          <w:trHeight w:val="258"/>
          <w:jc w:val="center"/>
        </w:trPr>
        <w:tc>
          <w:tcPr>
            <w:tcW w:w="5000" w:type="dxa"/>
            <w:tcBorders>
              <w:top w:val="nil"/>
              <w:left w:val="single" w:sz="8" w:space="0" w:color="000000"/>
              <w:bottom w:val="nil"/>
              <w:right w:val="nil"/>
            </w:tcBorders>
            <w:shd w:val="clear" w:color="auto" w:fill="auto"/>
            <w:noWrap/>
            <w:vAlign w:val="center"/>
            <w:hideMark/>
          </w:tcPr>
          <w:p w14:paraId="44B7B6BB" w14:textId="77777777" w:rsidR="00143003" w:rsidRPr="00143003" w:rsidRDefault="00143003" w:rsidP="00143003">
            <w:pPr>
              <w:rPr>
                <w:color w:val="000000"/>
                <w:sz w:val="20"/>
                <w:szCs w:val="20"/>
              </w:rPr>
            </w:pPr>
            <w:r w:rsidRPr="00143003">
              <w:rPr>
                <w:color w:val="000000"/>
                <w:sz w:val="20"/>
                <w:szCs w:val="20"/>
              </w:rPr>
              <w:t>Over 4,000 gallons</w:t>
            </w:r>
          </w:p>
        </w:tc>
        <w:tc>
          <w:tcPr>
            <w:tcW w:w="1620" w:type="dxa"/>
            <w:tcBorders>
              <w:top w:val="nil"/>
              <w:left w:val="nil"/>
              <w:bottom w:val="nil"/>
              <w:right w:val="nil"/>
            </w:tcBorders>
            <w:shd w:val="clear" w:color="auto" w:fill="auto"/>
            <w:noWrap/>
            <w:vAlign w:val="center"/>
            <w:hideMark/>
          </w:tcPr>
          <w:p w14:paraId="56EA0663" w14:textId="77777777" w:rsidR="00143003" w:rsidRPr="00143003" w:rsidRDefault="00143003" w:rsidP="00143003">
            <w:pPr>
              <w:jc w:val="right"/>
              <w:rPr>
                <w:color w:val="000000"/>
                <w:sz w:val="20"/>
                <w:szCs w:val="20"/>
              </w:rPr>
            </w:pPr>
            <w:r w:rsidRPr="00143003">
              <w:rPr>
                <w:color w:val="000000"/>
                <w:sz w:val="20"/>
                <w:szCs w:val="20"/>
              </w:rPr>
              <w:t>N/A</w:t>
            </w:r>
          </w:p>
        </w:tc>
        <w:tc>
          <w:tcPr>
            <w:tcW w:w="1872" w:type="dxa"/>
            <w:tcBorders>
              <w:top w:val="nil"/>
              <w:left w:val="nil"/>
              <w:bottom w:val="nil"/>
              <w:right w:val="nil"/>
            </w:tcBorders>
            <w:shd w:val="clear" w:color="auto" w:fill="auto"/>
            <w:noWrap/>
            <w:vAlign w:val="center"/>
            <w:hideMark/>
          </w:tcPr>
          <w:p w14:paraId="6B03F7BA" w14:textId="77777777" w:rsidR="00143003" w:rsidRPr="00143003" w:rsidRDefault="00143003" w:rsidP="00143003">
            <w:pPr>
              <w:jc w:val="right"/>
              <w:rPr>
                <w:color w:val="000000"/>
                <w:sz w:val="20"/>
                <w:szCs w:val="20"/>
              </w:rPr>
            </w:pPr>
            <w:r w:rsidRPr="00143003">
              <w:rPr>
                <w:color w:val="000000"/>
                <w:sz w:val="20"/>
                <w:szCs w:val="20"/>
              </w:rPr>
              <w:t xml:space="preserve">$4.23 </w:t>
            </w:r>
          </w:p>
        </w:tc>
        <w:tc>
          <w:tcPr>
            <w:tcW w:w="2014" w:type="dxa"/>
            <w:tcBorders>
              <w:top w:val="nil"/>
              <w:left w:val="nil"/>
              <w:bottom w:val="nil"/>
              <w:right w:val="single" w:sz="8" w:space="0" w:color="000000"/>
            </w:tcBorders>
            <w:shd w:val="clear" w:color="auto" w:fill="auto"/>
            <w:noWrap/>
            <w:vAlign w:val="center"/>
            <w:hideMark/>
          </w:tcPr>
          <w:p w14:paraId="12438CC4" w14:textId="77777777" w:rsidR="00143003" w:rsidRPr="00143003" w:rsidRDefault="00143003" w:rsidP="00143003">
            <w:pPr>
              <w:jc w:val="right"/>
              <w:rPr>
                <w:color w:val="000000"/>
                <w:sz w:val="20"/>
                <w:szCs w:val="20"/>
              </w:rPr>
            </w:pPr>
            <w:r w:rsidRPr="00143003">
              <w:rPr>
                <w:color w:val="000000"/>
                <w:sz w:val="20"/>
                <w:szCs w:val="20"/>
              </w:rPr>
              <w:t xml:space="preserve">$0.04 </w:t>
            </w:r>
          </w:p>
        </w:tc>
      </w:tr>
      <w:tr w:rsidR="00143003" w:rsidRPr="00143003" w14:paraId="2AE3A8B3" w14:textId="77777777" w:rsidTr="006E6F02">
        <w:trPr>
          <w:trHeight w:val="258"/>
          <w:jc w:val="center"/>
        </w:trPr>
        <w:tc>
          <w:tcPr>
            <w:tcW w:w="5000" w:type="dxa"/>
            <w:tcBorders>
              <w:top w:val="nil"/>
              <w:left w:val="single" w:sz="8" w:space="0" w:color="000000"/>
              <w:bottom w:val="nil"/>
              <w:right w:val="nil"/>
            </w:tcBorders>
            <w:shd w:val="clear" w:color="auto" w:fill="auto"/>
            <w:noWrap/>
            <w:vAlign w:val="center"/>
            <w:hideMark/>
          </w:tcPr>
          <w:p w14:paraId="6077E6C7" w14:textId="77777777" w:rsidR="00143003" w:rsidRPr="00143003" w:rsidRDefault="00143003" w:rsidP="00143003">
            <w:pPr>
              <w:rPr>
                <w:color w:val="000000"/>
                <w:sz w:val="20"/>
                <w:szCs w:val="20"/>
              </w:rPr>
            </w:pPr>
            <w:r w:rsidRPr="00143003">
              <w:rPr>
                <w:color w:val="000000"/>
                <w:sz w:val="20"/>
                <w:szCs w:val="20"/>
              </w:rPr>
              <w:t> </w:t>
            </w:r>
          </w:p>
        </w:tc>
        <w:tc>
          <w:tcPr>
            <w:tcW w:w="1620" w:type="dxa"/>
            <w:tcBorders>
              <w:top w:val="nil"/>
              <w:left w:val="nil"/>
              <w:bottom w:val="nil"/>
              <w:right w:val="nil"/>
            </w:tcBorders>
            <w:shd w:val="clear" w:color="auto" w:fill="auto"/>
            <w:noWrap/>
            <w:vAlign w:val="center"/>
            <w:hideMark/>
          </w:tcPr>
          <w:p w14:paraId="72DD5B8C" w14:textId="77777777" w:rsidR="00143003" w:rsidRPr="00143003" w:rsidRDefault="00143003" w:rsidP="00143003">
            <w:pPr>
              <w:rPr>
                <w:color w:val="000000"/>
                <w:sz w:val="20"/>
                <w:szCs w:val="20"/>
              </w:rPr>
            </w:pPr>
          </w:p>
        </w:tc>
        <w:tc>
          <w:tcPr>
            <w:tcW w:w="1872" w:type="dxa"/>
            <w:tcBorders>
              <w:top w:val="nil"/>
              <w:left w:val="nil"/>
              <w:bottom w:val="nil"/>
              <w:right w:val="nil"/>
            </w:tcBorders>
            <w:shd w:val="clear" w:color="auto" w:fill="auto"/>
            <w:noWrap/>
            <w:vAlign w:val="center"/>
            <w:hideMark/>
          </w:tcPr>
          <w:p w14:paraId="310E0258" w14:textId="77777777" w:rsidR="00143003" w:rsidRPr="00143003" w:rsidRDefault="00143003" w:rsidP="00143003">
            <w:pPr>
              <w:jc w:val="right"/>
              <w:rPr>
                <w:sz w:val="20"/>
                <w:szCs w:val="20"/>
              </w:rPr>
            </w:pPr>
          </w:p>
        </w:tc>
        <w:tc>
          <w:tcPr>
            <w:tcW w:w="2014" w:type="dxa"/>
            <w:tcBorders>
              <w:top w:val="nil"/>
              <w:left w:val="nil"/>
              <w:bottom w:val="nil"/>
              <w:right w:val="single" w:sz="8" w:space="0" w:color="000000"/>
            </w:tcBorders>
            <w:shd w:val="clear" w:color="auto" w:fill="auto"/>
            <w:noWrap/>
            <w:vAlign w:val="center"/>
            <w:hideMark/>
          </w:tcPr>
          <w:p w14:paraId="017CC6CF" w14:textId="77777777" w:rsidR="00143003" w:rsidRPr="00143003" w:rsidRDefault="00143003" w:rsidP="00143003">
            <w:pPr>
              <w:jc w:val="right"/>
              <w:rPr>
                <w:color w:val="000000"/>
                <w:sz w:val="20"/>
                <w:szCs w:val="20"/>
              </w:rPr>
            </w:pPr>
            <w:r w:rsidRPr="00143003">
              <w:rPr>
                <w:color w:val="000000"/>
                <w:sz w:val="20"/>
                <w:szCs w:val="20"/>
              </w:rPr>
              <w:t> </w:t>
            </w:r>
          </w:p>
        </w:tc>
      </w:tr>
      <w:tr w:rsidR="00143003" w:rsidRPr="00143003" w14:paraId="0B4B8995" w14:textId="77777777" w:rsidTr="006E6F02">
        <w:trPr>
          <w:trHeight w:val="258"/>
          <w:jc w:val="center"/>
        </w:trPr>
        <w:tc>
          <w:tcPr>
            <w:tcW w:w="5000" w:type="dxa"/>
            <w:tcBorders>
              <w:top w:val="nil"/>
              <w:left w:val="single" w:sz="8" w:space="0" w:color="000000"/>
              <w:bottom w:val="nil"/>
              <w:right w:val="nil"/>
            </w:tcBorders>
            <w:shd w:val="clear" w:color="auto" w:fill="auto"/>
            <w:noWrap/>
            <w:vAlign w:val="center"/>
            <w:hideMark/>
          </w:tcPr>
          <w:p w14:paraId="7ACBA907" w14:textId="77777777" w:rsidR="00143003" w:rsidRPr="00143003" w:rsidRDefault="00143003" w:rsidP="00143003">
            <w:pPr>
              <w:rPr>
                <w:color w:val="000000"/>
                <w:sz w:val="20"/>
                <w:szCs w:val="20"/>
              </w:rPr>
            </w:pPr>
            <w:r w:rsidRPr="00143003">
              <w:rPr>
                <w:color w:val="000000"/>
                <w:sz w:val="20"/>
                <w:szCs w:val="20"/>
              </w:rPr>
              <w:t> </w:t>
            </w:r>
          </w:p>
        </w:tc>
        <w:tc>
          <w:tcPr>
            <w:tcW w:w="1620" w:type="dxa"/>
            <w:tcBorders>
              <w:top w:val="nil"/>
              <w:left w:val="nil"/>
              <w:bottom w:val="nil"/>
              <w:right w:val="nil"/>
            </w:tcBorders>
            <w:shd w:val="clear" w:color="auto" w:fill="auto"/>
            <w:noWrap/>
            <w:vAlign w:val="center"/>
            <w:hideMark/>
          </w:tcPr>
          <w:p w14:paraId="72205A41" w14:textId="77777777" w:rsidR="00143003" w:rsidRPr="00143003" w:rsidRDefault="00143003" w:rsidP="00143003">
            <w:pPr>
              <w:rPr>
                <w:color w:val="000000"/>
                <w:sz w:val="20"/>
                <w:szCs w:val="20"/>
              </w:rPr>
            </w:pPr>
          </w:p>
        </w:tc>
        <w:tc>
          <w:tcPr>
            <w:tcW w:w="1872" w:type="dxa"/>
            <w:tcBorders>
              <w:top w:val="nil"/>
              <w:left w:val="nil"/>
              <w:bottom w:val="nil"/>
              <w:right w:val="nil"/>
            </w:tcBorders>
            <w:shd w:val="clear" w:color="auto" w:fill="auto"/>
            <w:noWrap/>
            <w:vAlign w:val="center"/>
            <w:hideMark/>
          </w:tcPr>
          <w:p w14:paraId="5E3356A3" w14:textId="77777777" w:rsidR="00143003" w:rsidRPr="00143003" w:rsidRDefault="00143003" w:rsidP="00143003">
            <w:pPr>
              <w:jc w:val="right"/>
              <w:rPr>
                <w:sz w:val="20"/>
                <w:szCs w:val="20"/>
              </w:rPr>
            </w:pPr>
          </w:p>
        </w:tc>
        <w:tc>
          <w:tcPr>
            <w:tcW w:w="2014" w:type="dxa"/>
            <w:tcBorders>
              <w:top w:val="nil"/>
              <w:left w:val="nil"/>
              <w:bottom w:val="nil"/>
              <w:right w:val="single" w:sz="8" w:space="0" w:color="000000"/>
            </w:tcBorders>
            <w:shd w:val="clear" w:color="auto" w:fill="auto"/>
            <w:noWrap/>
            <w:vAlign w:val="center"/>
            <w:hideMark/>
          </w:tcPr>
          <w:p w14:paraId="728FA220" w14:textId="77777777" w:rsidR="00143003" w:rsidRPr="00143003" w:rsidRDefault="00143003" w:rsidP="00143003">
            <w:pPr>
              <w:jc w:val="right"/>
              <w:rPr>
                <w:color w:val="000000"/>
                <w:sz w:val="20"/>
                <w:szCs w:val="20"/>
              </w:rPr>
            </w:pPr>
            <w:r w:rsidRPr="00143003">
              <w:rPr>
                <w:color w:val="000000"/>
                <w:sz w:val="20"/>
                <w:szCs w:val="20"/>
              </w:rPr>
              <w:t> </w:t>
            </w:r>
          </w:p>
        </w:tc>
      </w:tr>
      <w:tr w:rsidR="00143003" w:rsidRPr="00143003" w14:paraId="357A2510" w14:textId="77777777" w:rsidTr="006E6F02">
        <w:trPr>
          <w:trHeight w:val="258"/>
          <w:jc w:val="center"/>
        </w:trPr>
        <w:tc>
          <w:tcPr>
            <w:tcW w:w="5000" w:type="dxa"/>
            <w:tcBorders>
              <w:top w:val="nil"/>
              <w:left w:val="single" w:sz="8" w:space="0" w:color="000000"/>
              <w:bottom w:val="nil"/>
              <w:right w:val="nil"/>
            </w:tcBorders>
            <w:shd w:val="clear" w:color="auto" w:fill="auto"/>
            <w:noWrap/>
            <w:vAlign w:val="center"/>
            <w:hideMark/>
          </w:tcPr>
          <w:p w14:paraId="6BE9D897" w14:textId="77777777" w:rsidR="00143003" w:rsidRPr="00143003" w:rsidRDefault="00143003" w:rsidP="00143003">
            <w:pPr>
              <w:rPr>
                <w:color w:val="000000"/>
                <w:sz w:val="20"/>
                <w:szCs w:val="20"/>
              </w:rPr>
            </w:pPr>
            <w:r w:rsidRPr="00143003">
              <w:rPr>
                <w:color w:val="000000"/>
                <w:sz w:val="20"/>
                <w:szCs w:val="20"/>
              </w:rPr>
              <w:t xml:space="preserve">Charge per 1,000 gallons - General Service </w:t>
            </w:r>
          </w:p>
        </w:tc>
        <w:tc>
          <w:tcPr>
            <w:tcW w:w="1620" w:type="dxa"/>
            <w:tcBorders>
              <w:top w:val="nil"/>
              <w:left w:val="nil"/>
              <w:bottom w:val="nil"/>
              <w:right w:val="nil"/>
            </w:tcBorders>
            <w:shd w:val="clear" w:color="auto" w:fill="auto"/>
            <w:noWrap/>
            <w:vAlign w:val="center"/>
            <w:hideMark/>
          </w:tcPr>
          <w:p w14:paraId="0527134B" w14:textId="77777777" w:rsidR="00143003" w:rsidRPr="00143003" w:rsidRDefault="00143003" w:rsidP="00143003">
            <w:pPr>
              <w:rPr>
                <w:color w:val="000000"/>
                <w:sz w:val="20"/>
                <w:szCs w:val="20"/>
              </w:rPr>
            </w:pPr>
          </w:p>
        </w:tc>
        <w:tc>
          <w:tcPr>
            <w:tcW w:w="1872" w:type="dxa"/>
            <w:tcBorders>
              <w:top w:val="nil"/>
              <w:left w:val="nil"/>
              <w:bottom w:val="nil"/>
              <w:right w:val="nil"/>
            </w:tcBorders>
            <w:shd w:val="clear" w:color="auto" w:fill="auto"/>
            <w:noWrap/>
            <w:vAlign w:val="center"/>
            <w:hideMark/>
          </w:tcPr>
          <w:p w14:paraId="471BD03B" w14:textId="77777777" w:rsidR="00143003" w:rsidRPr="00143003" w:rsidRDefault="00143003" w:rsidP="00143003">
            <w:pPr>
              <w:jc w:val="right"/>
              <w:rPr>
                <w:color w:val="000000"/>
                <w:sz w:val="20"/>
                <w:szCs w:val="20"/>
              </w:rPr>
            </w:pPr>
            <w:r w:rsidRPr="00143003">
              <w:rPr>
                <w:color w:val="000000"/>
                <w:sz w:val="20"/>
                <w:szCs w:val="20"/>
              </w:rPr>
              <w:t xml:space="preserve">$3.23 </w:t>
            </w:r>
          </w:p>
        </w:tc>
        <w:tc>
          <w:tcPr>
            <w:tcW w:w="2014" w:type="dxa"/>
            <w:tcBorders>
              <w:top w:val="nil"/>
              <w:left w:val="nil"/>
              <w:bottom w:val="nil"/>
              <w:right w:val="single" w:sz="8" w:space="0" w:color="000000"/>
            </w:tcBorders>
            <w:shd w:val="clear" w:color="auto" w:fill="auto"/>
            <w:noWrap/>
            <w:vAlign w:val="center"/>
            <w:hideMark/>
          </w:tcPr>
          <w:p w14:paraId="111032D1" w14:textId="77777777" w:rsidR="00143003" w:rsidRPr="00143003" w:rsidRDefault="00143003" w:rsidP="00143003">
            <w:pPr>
              <w:jc w:val="right"/>
              <w:rPr>
                <w:color w:val="000000"/>
                <w:sz w:val="20"/>
                <w:szCs w:val="20"/>
              </w:rPr>
            </w:pPr>
            <w:r w:rsidRPr="00143003">
              <w:rPr>
                <w:color w:val="000000"/>
                <w:sz w:val="20"/>
                <w:szCs w:val="20"/>
              </w:rPr>
              <w:t xml:space="preserve">$0.03 </w:t>
            </w:r>
          </w:p>
        </w:tc>
      </w:tr>
      <w:tr w:rsidR="00143003" w:rsidRPr="00143003" w14:paraId="72312A16" w14:textId="77777777" w:rsidTr="006E6F02">
        <w:trPr>
          <w:trHeight w:val="258"/>
          <w:jc w:val="center"/>
        </w:trPr>
        <w:tc>
          <w:tcPr>
            <w:tcW w:w="5000" w:type="dxa"/>
            <w:tcBorders>
              <w:top w:val="nil"/>
              <w:left w:val="single" w:sz="8" w:space="0" w:color="000000"/>
              <w:bottom w:val="nil"/>
              <w:right w:val="nil"/>
            </w:tcBorders>
            <w:shd w:val="clear" w:color="auto" w:fill="auto"/>
            <w:noWrap/>
            <w:vAlign w:val="center"/>
            <w:hideMark/>
          </w:tcPr>
          <w:p w14:paraId="29ECA5F0" w14:textId="77777777" w:rsidR="00143003" w:rsidRPr="00143003" w:rsidRDefault="00143003" w:rsidP="00143003">
            <w:pPr>
              <w:rPr>
                <w:color w:val="000000"/>
                <w:sz w:val="20"/>
                <w:szCs w:val="20"/>
              </w:rPr>
            </w:pPr>
            <w:r w:rsidRPr="00143003">
              <w:rPr>
                <w:color w:val="000000"/>
                <w:sz w:val="20"/>
                <w:szCs w:val="20"/>
              </w:rPr>
              <w:t> </w:t>
            </w:r>
          </w:p>
        </w:tc>
        <w:tc>
          <w:tcPr>
            <w:tcW w:w="1620" w:type="dxa"/>
            <w:tcBorders>
              <w:top w:val="nil"/>
              <w:left w:val="nil"/>
              <w:bottom w:val="nil"/>
              <w:right w:val="nil"/>
            </w:tcBorders>
            <w:shd w:val="clear" w:color="auto" w:fill="auto"/>
            <w:noWrap/>
            <w:vAlign w:val="center"/>
            <w:hideMark/>
          </w:tcPr>
          <w:p w14:paraId="76A6BAD5" w14:textId="77777777" w:rsidR="00143003" w:rsidRPr="00143003" w:rsidRDefault="00143003" w:rsidP="00143003">
            <w:pPr>
              <w:rPr>
                <w:color w:val="000000"/>
                <w:sz w:val="20"/>
                <w:szCs w:val="20"/>
              </w:rPr>
            </w:pPr>
          </w:p>
        </w:tc>
        <w:tc>
          <w:tcPr>
            <w:tcW w:w="1872" w:type="dxa"/>
            <w:tcBorders>
              <w:top w:val="nil"/>
              <w:left w:val="nil"/>
              <w:bottom w:val="nil"/>
              <w:right w:val="nil"/>
            </w:tcBorders>
            <w:shd w:val="clear" w:color="auto" w:fill="auto"/>
            <w:noWrap/>
            <w:vAlign w:val="center"/>
            <w:hideMark/>
          </w:tcPr>
          <w:p w14:paraId="755A64A1" w14:textId="77777777" w:rsidR="00143003" w:rsidRPr="00143003" w:rsidRDefault="00143003" w:rsidP="00143003">
            <w:pPr>
              <w:jc w:val="right"/>
              <w:rPr>
                <w:sz w:val="20"/>
                <w:szCs w:val="20"/>
              </w:rPr>
            </w:pPr>
          </w:p>
        </w:tc>
        <w:tc>
          <w:tcPr>
            <w:tcW w:w="2014" w:type="dxa"/>
            <w:tcBorders>
              <w:top w:val="nil"/>
              <w:left w:val="nil"/>
              <w:bottom w:val="nil"/>
              <w:right w:val="single" w:sz="8" w:space="0" w:color="000000"/>
            </w:tcBorders>
            <w:shd w:val="clear" w:color="auto" w:fill="auto"/>
            <w:noWrap/>
            <w:vAlign w:val="center"/>
            <w:hideMark/>
          </w:tcPr>
          <w:p w14:paraId="27D35A05" w14:textId="77777777" w:rsidR="00143003" w:rsidRPr="00143003" w:rsidRDefault="00143003" w:rsidP="00143003">
            <w:pPr>
              <w:jc w:val="right"/>
              <w:rPr>
                <w:color w:val="000000"/>
                <w:sz w:val="20"/>
                <w:szCs w:val="20"/>
              </w:rPr>
            </w:pPr>
            <w:r w:rsidRPr="00143003">
              <w:rPr>
                <w:color w:val="000000"/>
                <w:sz w:val="20"/>
                <w:szCs w:val="20"/>
              </w:rPr>
              <w:t> </w:t>
            </w:r>
          </w:p>
        </w:tc>
      </w:tr>
      <w:tr w:rsidR="00143003" w:rsidRPr="00143003" w14:paraId="3061E9DB" w14:textId="77777777" w:rsidTr="006E6F02">
        <w:trPr>
          <w:trHeight w:val="258"/>
          <w:jc w:val="center"/>
        </w:trPr>
        <w:tc>
          <w:tcPr>
            <w:tcW w:w="5000" w:type="dxa"/>
            <w:tcBorders>
              <w:top w:val="nil"/>
              <w:left w:val="single" w:sz="8" w:space="0" w:color="000000"/>
              <w:bottom w:val="nil"/>
              <w:right w:val="nil"/>
            </w:tcBorders>
            <w:shd w:val="clear" w:color="auto" w:fill="auto"/>
            <w:noWrap/>
            <w:vAlign w:val="bottom"/>
            <w:hideMark/>
          </w:tcPr>
          <w:p w14:paraId="632877A4" w14:textId="77777777" w:rsidR="00143003" w:rsidRPr="00143003" w:rsidRDefault="00143003" w:rsidP="00143003">
            <w:pPr>
              <w:rPr>
                <w:sz w:val="20"/>
                <w:szCs w:val="20"/>
              </w:rPr>
            </w:pPr>
            <w:r w:rsidRPr="00143003">
              <w:rPr>
                <w:sz w:val="20"/>
                <w:szCs w:val="20"/>
              </w:rPr>
              <w:t> </w:t>
            </w:r>
          </w:p>
        </w:tc>
        <w:tc>
          <w:tcPr>
            <w:tcW w:w="1620" w:type="dxa"/>
            <w:tcBorders>
              <w:top w:val="nil"/>
              <w:left w:val="nil"/>
              <w:bottom w:val="nil"/>
              <w:right w:val="nil"/>
            </w:tcBorders>
            <w:shd w:val="clear" w:color="auto" w:fill="auto"/>
            <w:noWrap/>
            <w:vAlign w:val="bottom"/>
            <w:hideMark/>
          </w:tcPr>
          <w:p w14:paraId="2282ACEA" w14:textId="77777777" w:rsidR="00143003" w:rsidRPr="00143003" w:rsidRDefault="00143003" w:rsidP="00143003">
            <w:pPr>
              <w:rPr>
                <w:sz w:val="20"/>
                <w:szCs w:val="20"/>
              </w:rPr>
            </w:pPr>
          </w:p>
        </w:tc>
        <w:tc>
          <w:tcPr>
            <w:tcW w:w="1872" w:type="dxa"/>
            <w:tcBorders>
              <w:top w:val="nil"/>
              <w:left w:val="nil"/>
              <w:bottom w:val="nil"/>
              <w:right w:val="nil"/>
            </w:tcBorders>
            <w:shd w:val="clear" w:color="auto" w:fill="auto"/>
            <w:noWrap/>
            <w:vAlign w:val="bottom"/>
            <w:hideMark/>
          </w:tcPr>
          <w:p w14:paraId="0A305AC9" w14:textId="77777777" w:rsidR="00143003" w:rsidRPr="00143003" w:rsidRDefault="00143003" w:rsidP="00143003">
            <w:pPr>
              <w:rPr>
                <w:sz w:val="20"/>
                <w:szCs w:val="20"/>
              </w:rPr>
            </w:pPr>
          </w:p>
        </w:tc>
        <w:tc>
          <w:tcPr>
            <w:tcW w:w="2014" w:type="dxa"/>
            <w:tcBorders>
              <w:top w:val="nil"/>
              <w:left w:val="nil"/>
              <w:bottom w:val="nil"/>
              <w:right w:val="single" w:sz="8" w:space="0" w:color="000000"/>
            </w:tcBorders>
            <w:shd w:val="clear" w:color="auto" w:fill="auto"/>
            <w:noWrap/>
            <w:vAlign w:val="center"/>
            <w:hideMark/>
          </w:tcPr>
          <w:p w14:paraId="7C179952" w14:textId="77777777" w:rsidR="00143003" w:rsidRPr="00143003" w:rsidRDefault="00143003" w:rsidP="00143003">
            <w:pPr>
              <w:jc w:val="right"/>
              <w:rPr>
                <w:color w:val="000000"/>
                <w:sz w:val="20"/>
                <w:szCs w:val="20"/>
              </w:rPr>
            </w:pPr>
            <w:r w:rsidRPr="00143003">
              <w:rPr>
                <w:color w:val="000000"/>
                <w:sz w:val="20"/>
                <w:szCs w:val="20"/>
              </w:rPr>
              <w:t> </w:t>
            </w:r>
          </w:p>
        </w:tc>
      </w:tr>
      <w:tr w:rsidR="00143003" w:rsidRPr="00143003" w14:paraId="1849D397" w14:textId="77777777" w:rsidTr="006E6F02">
        <w:trPr>
          <w:trHeight w:val="258"/>
          <w:jc w:val="center"/>
        </w:trPr>
        <w:tc>
          <w:tcPr>
            <w:tcW w:w="5000" w:type="dxa"/>
            <w:tcBorders>
              <w:top w:val="nil"/>
              <w:left w:val="single" w:sz="8" w:space="0" w:color="000000"/>
              <w:bottom w:val="nil"/>
              <w:right w:val="nil"/>
            </w:tcBorders>
            <w:shd w:val="clear" w:color="auto" w:fill="auto"/>
            <w:noWrap/>
            <w:vAlign w:val="center"/>
            <w:hideMark/>
          </w:tcPr>
          <w:p w14:paraId="37555532" w14:textId="77777777" w:rsidR="00143003" w:rsidRPr="00143003" w:rsidRDefault="00143003" w:rsidP="00143003">
            <w:pPr>
              <w:rPr>
                <w:b/>
                <w:bCs/>
                <w:color w:val="000000"/>
                <w:sz w:val="20"/>
                <w:szCs w:val="20"/>
                <w:u w:val="single"/>
              </w:rPr>
            </w:pPr>
            <w:r w:rsidRPr="00143003">
              <w:rPr>
                <w:b/>
                <w:bCs/>
                <w:color w:val="000000"/>
                <w:sz w:val="20"/>
                <w:szCs w:val="20"/>
                <w:u w:val="single"/>
              </w:rPr>
              <w:t>Typical Residential 5/8" x 3/4" Meter Bill Comparison</w:t>
            </w:r>
          </w:p>
        </w:tc>
        <w:tc>
          <w:tcPr>
            <w:tcW w:w="1620" w:type="dxa"/>
            <w:tcBorders>
              <w:top w:val="nil"/>
              <w:left w:val="nil"/>
              <w:bottom w:val="nil"/>
              <w:right w:val="nil"/>
            </w:tcBorders>
            <w:shd w:val="clear" w:color="auto" w:fill="auto"/>
            <w:noWrap/>
            <w:vAlign w:val="bottom"/>
            <w:hideMark/>
          </w:tcPr>
          <w:p w14:paraId="5FB22273" w14:textId="77777777" w:rsidR="00143003" w:rsidRPr="00143003" w:rsidRDefault="00143003" w:rsidP="00143003">
            <w:pPr>
              <w:rPr>
                <w:b/>
                <w:bCs/>
                <w:color w:val="000000"/>
                <w:sz w:val="20"/>
                <w:szCs w:val="20"/>
                <w:u w:val="single"/>
              </w:rPr>
            </w:pPr>
          </w:p>
        </w:tc>
        <w:tc>
          <w:tcPr>
            <w:tcW w:w="1872" w:type="dxa"/>
            <w:tcBorders>
              <w:top w:val="nil"/>
              <w:left w:val="nil"/>
              <w:bottom w:val="nil"/>
              <w:right w:val="nil"/>
            </w:tcBorders>
            <w:shd w:val="clear" w:color="auto" w:fill="auto"/>
            <w:noWrap/>
            <w:vAlign w:val="bottom"/>
            <w:hideMark/>
          </w:tcPr>
          <w:p w14:paraId="4FE073F6" w14:textId="77777777" w:rsidR="00143003" w:rsidRPr="00143003" w:rsidRDefault="00143003" w:rsidP="00143003">
            <w:pPr>
              <w:rPr>
                <w:sz w:val="20"/>
                <w:szCs w:val="20"/>
              </w:rPr>
            </w:pPr>
          </w:p>
        </w:tc>
        <w:tc>
          <w:tcPr>
            <w:tcW w:w="2014" w:type="dxa"/>
            <w:tcBorders>
              <w:top w:val="nil"/>
              <w:left w:val="nil"/>
              <w:bottom w:val="nil"/>
              <w:right w:val="single" w:sz="8" w:space="0" w:color="000000"/>
            </w:tcBorders>
            <w:shd w:val="clear" w:color="auto" w:fill="auto"/>
            <w:noWrap/>
            <w:vAlign w:val="center"/>
            <w:hideMark/>
          </w:tcPr>
          <w:p w14:paraId="70CD8A91" w14:textId="77777777" w:rsidR="00143003" w:rsidRPr="00143003" w:rsidRDefault="00143003" w:rsidP="00143003">
            <w:pPr>
              <w:jc w:val="right"/>
              <w:rPr>
                <w:color w:val="000000"/>
                <w:sz w:val="20"/>
                <w:szCs w:val="20"/>
              </w:rPr>
            </w:pPr>
            <w:r w:rsidRPr="00143003">
              <w:rPr>
                <w:color w:val="000000"/>
                <w:sz w:val="20"/>
                <w:szCs w:val="20"/>
              </w:rPr>
              <w:t> </w:t>
            </w:r>
          </w:p>
        </w:tc>
      </w:tr>
      <w:tr w:rsidR="00143003" w:rsidRPr="00143003" w14:paraId="4EF91C46" w14:textId="77777777" w:rsidTr="006E6F02">
        <w:trPr>
          <w:trHeight w:val="258"/>
          <w:jc w:val="center"/>
        </w:trPr>
        <w:tc>
          <w:tcPr>
            <w:tcW w:w="5000" w:type="dxa"/>
            <w:tcBorders>
              <w:top w:val="nil"/>
              <w:left w:val="single" w:sz="8" w:space="0" w:color="000000"/>
              <w:bottom w:val="nil"/>
              <w:right w:val="nil"/>
            </w:tcBorders>
            <w:shd w:val="clear" w:color="auto" w:fill="auto"/>
            <w:noWrap/>
            <w:vAlign w:val="center"/>
            <w:hideMark/>
          </w:tcPr>
          <w:p w14:paraId="63470585" w14:textId="77777777" w:rsidR="00143003" w:rsidRPr="00143003" w:rsidRDefault="00143003" w:rsidP="00143003">
            <w:pPr>
              <w:rPr>
                <w:color w:val="000000"/>
                <w:sz w:val="20"/>
                <w:szCs w:val="20"/>
              </w:rPr>
            </w:pPr>
            <w:r w:rsidRPr="00143003">
              <w:rPr>
                <w:color w:val="000000"/>
                <w:sz w:val="20"/>
                <w:szCs w:val="20"/>
              </w:rPr>
              <w:t>4,000 Gallons</w:t>
            </w:r>
          </w:p>
        </w:tc>
        <w:tc>
          <w:tcPr>
            <w:tcW w:w="1620" w:type="dxa"/>
            <w:tcBorders>
              <w:top w:val="nil"/>
              <w:left w:val="nil"/>
              <w:bottom w:val="nil"/>
              <w:right w:val="nil"/>
            </w:tcBorders>
            <w:shd w:val="clear" w:color="auto" w:fill="auto"/>
            <w:noWrap/>
            <w:vAlign w:val="center"/>
            <w:hideMark/>
          </w:tcPr>
          <w:p w14:paraId="36ABABF7" w14:textId="77777777" w:rsidR="00143003" w:rsidRPr="00143003" w:rsidRDefault="00143003" w:rsidP="00143003">
            <w:pPr>
              <w:jc w:val="right"/>
              <w:rPr>
                <w:color w:val="000000"/>
                <w:sz w:val="20"/>
                <w:szCs w:val="20"/>
              </w:rPr>
            </w:pPr>
            <w:r w:rsidRPr="00143003">
              <w:rPr>
                <w:color w:val="000000"/>
                <w:sz w:val="20"/>
                <w:szCs w:val="20"/>
              </w:rPr>
              <w:t xml:space="preserve">$29.24 </w:t>
            </w:r>
          </w:p>
        </w:tc>
        <w:tc>
          <w:tcPr>
            <w:tcW w:w="1872" w:type="dxa"/>
            <w:tcBorders>
              <w:top w:val="nil"/>
              <w:left w:val="nil"/>
              <w:bottom w:val="nil"/>
              <w:right w:val="nil"/>
            </w:tcBorders>
            <w:shd w:val="clear" w:color="auto" w:fill="auto"/>
            <w:noWrap/>
            <w:vAlign w:val="center"/>
            <w:hideMark/>
          </w:tcPr>
          <w:p w14:paraId="72F0E4BD" w14:textId="77777777" w:rsidR="00143003" w:rsidRPr="00143003" w:rsidRDefault="00143003" w:rsidP="00143003">
            <w:pPr>
              <w:jc w:val="right"/>
              <w:rPr>
                <w:color w:val="000000"/>
                <w:sz w:val="20"/>
                <w:szCs w:val="20"/>
              </w:rPr>
            </w:pPr>
            <w:r w:rsidRPr="00143003">
              <w:rPr>
                <w:color w:val="000000"/>
                <w:sz w:val="20"/>
                <w:szCs w:val="20"/>
              </w:rPr>
              <w:t xml:space="preserve">$27.68 </w:t>
            </w:r>
          </w:p>
        </w:tc>
        <w:tc>
          <w:tcPr>
            <w:tcW w:w="2014" w:type="dxa"/>
            <w:tcBorders>
              <w:top w:val="nil"/>
              <w:left w:val="nil"/>
              <w:bottom w:val="nil"/>
              <w:right w:val="single" w:sz="8" w:space="0" w:color="000000"/>
            </w:tcBorders>
            <w:shd w:val="clear" w:color="auto" w:fill="auto"/>
            <w:noWrap/>
            <w:vAlign w:val="center"/>
            <w:hideMark/>
          </w:tcPr>
          <w:p w14:paraId="1E8427D7" w14:textId="77777777" w:rsidR="00143003" w:rsidRPr="00143003" w:rsidRDefault="00143003" w:rsidP="00143003">
            <w:pPr>
              <w:jc w:val="right"/>
              <w:rPr>
                <w:color w:val="000000"/>
                <w:sz w:val="20"/>
                <w:szCs w:val="20"/>
              </w:rPr>
            </w:pPr>
            <w:r w:rsidRPr="00143003">
              <w:rPr>
                <w:color w:val="000000"/>
                <w:sz w:val="20"/>
                <w:szCs w:val="20"/>
              </w:rPr>
              <w:t> </w:t>
            </w:r>
          </w:p>
        </w:tc>
      </w:tr>
      <w:tr w:rsidR="00143003" w:rsidRPr="00143003" w14:paraId="132D25D7" w14:textId="77777777" w:rsidTr="006E6F02">
        <w:trPr>
          <w:trHeight w:val="258"/>
          <w:jc w:val="center"/>
        </w:trPr>
        <w:tc>
          <w:tcPr>
            <w:tcW w:w="5000" w:type="dxa"/>
            <w:tcBorders>
              <w:top w:val="nil"/>
              <w:left w:val="single" w:sz="8" w:space="0" w:color="000000"/>
              <w:bottom w:val="nil"/>
              <w:right w:val="nil"/>
            </w:tcBorders>
            <w:shd w:val="clear" w:color="auto" w:fill="auto"/>
            <w:noWrap/>
            <w:vAlign w:val="center"/>
            <w:hideMark/>
          </w:tcPr>
          <w:p w14:paraId="45BE99F9" w14:textId="77777777" w:rsidR="00143003" w:rsidRPr="00143003" w:rsidRDefault="00143003" w:rsidP="00143003">
            <w:pPr>
              <w:rPr>
                <w:color w:val="000000"/>
                <w:sz w:val="20"/>
                <w:szCs w:val="20"/>
              </w:rPr>
            </w:pPr>
            <w:r w:rsidRPr="00143003">
              <w:rPr>
                <w:color w:val="000000"/>
                <w:sz w:val="20"/>
                <w:szCs w:val="20"/>
              </w:rPr>
              <w:t>8,000 Gallons</w:t>
            </w:r>
          </w:p>
        </w:tc>
        <w:tc>
          <w:tcPr>
            <w:tcW w:w="1620" w:type="dxa"/>
            <w:tcBorders>
              <w:top w:val="nil"/>
              <w:left w:val="nil"/>
              <w:bottom w:val="nil"/>
              <w:right w:val="nil"/>
            </w:tcBorders>
            <w:shd w:val="clear" w:color="auto" w:fill="auto"/>
            <w:noWrap/>
            <w:vAlign w:val="center"/>
            <w:hideMark/>
          </w:tcPr>
          <w:p w14:paraId="3C25B88E" w14:textId="77777777" w:rsidR="00143003" w:rsidRPr="00143003" w:rsidRDefault="00143003" w:rsidP="00143003">
            <w:pPr>
              <w:jc w:val="right"/>
              <w:rPr>
                <w:color w:val="000000"/>
                <w:sz w:val="20"/>
                <w:szCs w:val="20"/>
              </w:rPr>
            </w:pPr>
            <w:r w:rsidRPr="00143003">
              <w:rPr>
                <w:color w:val="000000"/>
                <w:sz w:val="20"/>
                <w:szCs w:val="20"/>
              </w:rPr>
              <w:t xml:space="preserve">$41.68 </w:t>
            </w:r>
          </w:p>
        </w:tc>
        <w:tc>
          <w:tcPr>
            <w:tcW w:w="1872" w:type="dxa"/>
            <w:tcBorders>
              <w:top w:val="nil"/>
              <w:left w:val="nil"/>
              <w:bottom w:val="nil"/>
              <w:right w:val="nil"/>
            </w:tcBorders>
            <w:shd w:val="clear" w:color="auto" w:fill="auto"/>
            <w:noWrap/>
            <w:vAlign w:val="center"/>
            <w:hideMark/>
          </w:tcPr>
          <w:p w14:paraId="0E25E3ED" w14:textId="77777777" w:rsidR="00143003" w:rsidRPr="00143003" w:rsidRDefault="00143003" w:rsidP="00143003">
            <w:pPr>
              <w:jc w:val="right"/>
              <w:rPr>
                <w:color w:val="000000"/>
                <w:sz w:val="20"/>
                <w:szCs w:val="20"/>
              </w:rPr>
            </w:pPr>
            <w:r w:rsidRPr="00143003">
              <w:rPr>
                <w:color w:val="000000"/>
                <w:sz w:val="20"/>
                <w:szCs w:val="20"/>
              </w:rPr>
              <w:t xml:space="preserve">$44.60 </w:t>
            </w:r>
          </w:p>
        </w:tc>
        <w:tc>
          <w:tcPr>
            <w:tcW w:w="2014" w:type="dxa"/>
            <w:tcBorders>
              <w:top w:val="nil"/>
              <w:left w:val="nil"/>
              <w:bottom w:val="nil"/>
              <w:right w:val="single" w:sz="8" w:space="0" w:color="000000"/>
            </w:tcBorders>
            <w:shd w:val="clear" w:color="auto" w:fill="auto"/>
            <w:noWrap/>
            <w:vAlign w:val="center"/>
            <w:hideMark/>
          </w:tcPr>
          <w:p w14:paraId="5EA5A162" w14:textId="77777777" w:rsidR="00143003" w:rsidRPr="00143003" w:rsidRDefault="00143003" w:rsidP="00143003">
            <w:pPr>
              <w:jc w:val="right"/>
              <w:rPr>
                <w:color w:val="000000"/>
                <w:sz w:val="20"/>
                <w:szCs w:val="20"/>
              </w:rPr>
            </w:pPr>
            <w:r w:rsidRPr="00143003">
              <w:rPr>
                <w:color w:val="000000"/>
                <w:sz w:val="20"/>
                <w:szCs w:val="20"/>
              </w:rPr>
              <w:t> </w:t>
            </w:r>
          </w:p>
        </w:tc>
      </w:tr>
      <w:tr w:rsidR="00143003" w:rsidRPr="00143003" w14:paraId="3FF3696B" w14:textId="77777777" w:rsidTr="006E6F02">
        <w:trPr>
          <w:trHeight w:val="258"/>
          <w:jc w:val="center"/>
        </w:trPr>
        <w:tc>
          <w:tcPr>
            <w:tcW w:w="5000" w:type="dxa"/>
            <w:tcBorders>
              <w:top w:val="nil"/>
              <w:left w:val="single" w:sz="8" w:space="0" w:color="000000"/>
              <w:bottom w:val="nil"/>
              <w:right w:val="nil"/>
            </w:tcBorders>
            <w:shd w:val="clear" w:color="auto" w:fill="auto"/>
            <w:noWrap/>
            <w:vAlign w:val="center"/>
            <w:hideMark/>
          </w:tcPr>
          <w:p w14:paraId="46115889" w14:textId="77777777" w:rsidR="00143003" w:rsidRPr="00143003" w:rsidRDefault="00143003" w:rsidP="00143003">
            <w:pPr>
              <w:rPr>
                <w:color w:val="000000"/>
                <w:sz w:val="20"/>
                <w:szCs w:val="20"/>
              </w:rPr>
            </w:pPr>
            <w:r w:rsidRPr="00143003">
              <w:rPr>
                <w:color w:val="000000"/>
                <w:sz w:val="20"/>
                <w:szCs w:val="20"/>
              </w:rPr>
              <w:t>10,000 Gallons</w:t>
            </w:r>
          </w:p>
        </w:tc>
        <w:tc>
          <w:tcPr>
            <w:tcW w:w="1620" w:type="dxa"/>
            <w:tcBorders>
              <w:top w:val="nil"/>
              <w:left w:val="nil"/>
              <w:bottom w:val="nil"/>
              <w:right w:val="nil"/>
            </w:tcBorders>
            <w:shd w:val="clear" w:color="auto" w:fill="auto"/>
            <w:noWrap/>
            <w:vAlign w:val="center"/>
            <w:hideMark/>
          </w:tcPr>
          <w:p w14:paraId="227E58C9" w14:textId="77777777" w:rsidR="00143003" w:rsidRPr="00143003" w:rsidRDefault="00143003" w:rsidP="00143003">
            <w:pPr>
              <w:jc w:val="right"/>
              <w:rPr>
                <w:color w:val="000000"/>
                <w:sz w:val="20"/>
                <w:szCs w:val="20"/>
              </w:rPr>
            </w:pPr>
            <w:r w:rsidRPr="00143003">
              <w:rPr>
                <w:color w:val="000000"/>
                <w:sz w:val="20"/>
                <w:szCs w:val="20"/>
              </w:rPr>
              <w:t xml:space="preserve">$47.90 </w:t>
            </w:r>
          </w:p>
        </w:tc>
        <w:tc>
          <w:tcPr>
            <w:tcW w:w="1872" w:type="dxa"/>
            <w:tcBorders>
              <w:top w:val="nil"/>
              <w:left w:val="nil"/>
              <w:bottom w:val="nil"/>
              <w:right w:val="nil"/>
            </w:tcBorders>
            <w:shd w:val="clear" w:color="auto" w:fill="auto"/>
            <w:noWrap/>
            <w:vAlign w:val="center"/>
            <w:hideMark/>
          </w:tcPr>
          <w:p w14:paraId="6420E8C4" w14:textId="77777777" w:rsidR="00143003" w:rsidRPr="00143003" w:rsidRDefault="00143003" w:rsidP="00143003">
            <w:pPr>
              <w:jc w:val="right"/>
              <w:rPr>
                <w:color w:val="000000"/>
                <w:sz w:val="20"/>
                <w:szCs w:val="20"/>
              </w:rPr>
            </w:pPr>
            <w:r w:rsidRPr="00143003">
              <w:rPr>
                <w:color w:val="000000"/>
                <w:sz w:val="20"/>
                <w:szCs w:val="20"/>
              </w:rPr>
              <w:t xml:space="preserve">$53.06 </w:t>
            </w:r>
          </w:p>
        </w:tc>
        <w:tc>
          <w:tcPr>
            <w:tcW w:w="2014" w:type="dxa"/>
            <w:tcBorders>
              <w:top w:val="nil"/>
              <w:left w:val="nil"/>
              <w:bottom w:val="nil"/>
              <w:right w:val="single" w:sz="8" w:space="0" w:color="000000"/>
            </w:tcBorders>
            <w:shd w:val="clear" w:color="auto" w:fill="auto"/>
            <w:noWrap/>
            <w:vAlign w:val="center"/>
            <w:hideMark/>
          </w:tcPr>
          <w:p w14:paraId="5D8E878F" w14:textId="77777777" w:rsidR="00143003" w:rsidRPr="00143003" w:rsidRDefault="00143003" w:rsidP="00143003">
            <w:pPr>
              <w:jc w:val="right"/>
              <w:rPr>
                <w:color w:val="000000"/>
                <w:sz w:val="20"/>
                <w:szCs w:val="20"/>
              </w:rPr>
            </w:pPr>
            <w:r w:rsidRPr="00143003">
              <w:rPr>
                <w:color w:val="000000"/>
                <w:sz w:val="20"/>
                <w:szCs w:val="20"/>
              </w:rPr>
              <w:t> </w:t>
            </w:r>
          </w:p>
        </w:tc>
      </w:tr>
      <w:tr w:rsidR="00143003" w:rsidRPr="00143003" w14:paraId="28A42985" w14:textId="77777777" w:rsidTr="006E6F02">
        <w:trPr>
          <w:trHeight w:val="258"/>
          <w:jc w:val="center"/>
        </w:trPr>
        <w:tc>
          <w:tcPr>
            <w:tcW w:w="5000" w:type="dxa"/>
            <w:tcBorders>
              <w:top w:val="nil"/>
              <w:left w:val="single" w:sz="8" w:space="0" w:color="000000"/>
              <w:bottom w:val="nil"/>
              <w:right w:val="nil"/>
            </w:tcBorders>
            <w:shd w:val="clear" w:color="auto" w:fill="auto"/>
            <w:noWrap/>
            <w:vAlign w:val="bottom"/>
            <w:hideMark/>
          </w:tcPr>
          <w:p w14:paraId="781FF9FF" w14:textId="77777777" w:rsidR="00143003" w:rsidRPr="00143003" w:rsidRDefault="00143003" w:rsidP="00143003">
            <w:pPr>
              <w:rPr>
                <w:sz w:val="20"/>
                <w:szCs w:val="20"/>
              </w:rPr>
            </w:pPr>
            <w:r w:rsidRPr="00143003">
              <w:rPr>
                <w:sz w:val="20"/>
                <w:szCs w:val="20"/>
              </w:rPr>
              <w:t> </w:t>
            </w:r>
          </w:p>
        </w:tc>
        <w:tc>
          <w:tcPr>
            <w:tcW w:w="1620" w:type="dxa"/>
            <w:tcBorders>
              <w:top w:val="nil"/>
              <w:left w:val="nil"/>
              <w:bottom w:val="nil"/>
              <w:right w:val="nil"/>
            </w:tcBorders>
            <w:shd w:val="clear" w:color="auto" w:fill="auto"/>
            <w:noWrap/>
            <w:vAlign w:val="bottom"/>
            <w:hideMark/>
          </w:tcPr>
          <w:p w14:paraId="7DC69A74" w14:textId="77777777" w:rsidR="00143003" w:rsidRPr="00143003" w:rsidRDefault="00143003" w:rsidP="00143003">
            <w:pPr>
              <w:rPr>
                <w:sz w:val="20"/>
                <w:szCs w:val="20"/>
              </w:rPr>
            </w:pPr>
          </w:p>
        </w:tc>
        <w:tc>
          <w:tcPr>
            <w:tcW w:w="1872" w:type="dxa"/>
            <w:tcBorders>
              <w:top w:val="nil"/>
              <w:left w:val="nil"/>
              <w:bottom w:val="nil"/>
              <w:right w:val="nil"/>
            </w:tcBorders>
            <w:shd w:val="clear" w:color="auto" w:fill="auto"/>
            <w:noWrap/>
            <w:vAlign w:val="bottom"/>
            <w:hideMark/>
          </w:tcPr>
          <w:p w14:paraId="472046DB" w14:textId="77777777" w:rsidR="00143003" w:rsidRPr="00143003" w:rsidRDefault="00143003" w:rsidP="00143003">
            <w:pPr>
              <w:rPr>
                <w:sz w:val="20"/>
                <w:szCs w:val="20"/>
              </w:rPr>
            </w:pPr>
          </w:p>
        </w:tc>
        <w:tc>
          <w:tcPr>
            <w:tcW w:w="2014" w:type="dxa"/>
            <w:tcBorders>
              <w:top w:val="nil"/>
              <w:left w:val="nil"/>
              <w:bottom w:val="nil"/>
              <w:right w:val="single" w:sz="8" w:space="0" w:color="000000"/>
            </w:tcBorders>
            <w:shd w:val="clear" w:color="auto" w:fill="auto"/>
            <w:noWrap/>
            <w:vAlign w:val="center"/>
            <w:hideMark/>
          </w:tcPr>
          <w:p w14:paraId="3C4B1CFF" w14:textId="77777777" w:rsidR="00143003" w:rsidRPr="00143003" w:rsidRDefault="00143003" w:rsidP="00143003">
            <w:pPr>
              <w:jc w:val="right"/>
              <w:rPr>
                <w:color w:val="000000"/>
                <w:sz w:val="20"/>
                <w:szCs w:val="20"/>
              </w:rPr>
            </w:pPr>
            <w:r w:rsidRPr="00143003">
              <w:rPr>
                <w:color w:val="000000"/>
                <w:sz w:val="20"/>
                <w:szCs w:val="20"/>
              </w:rPr>
              <w:t> </w:t>
            </w:r>
          </w:p>
        </w:tc>
      </w:tr>
      <w:tr w:rsidR="00143003" w:rsidRPr="00143003" w14:paraId="21AD6A9F" w14:textId="77777777" w:rsidTr="006E6F02">
        <w:trPr>
          <w:trHeight w:val="266"/>
          <w:jc w:val="center"/>
        </w:trPr>
        <w:tc>
          <w:tcPr>
            <w:tcW w:w="5000" w:type="dxa"/>
            <w:tcBorders>
              <w:top w:val="nil"/>
              <w:left w:val="single" w:sz="8" w:space="0" w:color="000000"/>
              <w:bottom w:val="single" w:sz="8" w:space="0" w:color="000000"/>
              <w:right w:val="nil"/>
            </w:tcBorders>
            <w:shd w:val="clear" w:color="auto" w:fill="auto"/>
            <w:noWrap/>
            <w:vAlign w:val="bottom"/>
            <w:hideMark/>
          </w:tcPr>
          <w:p w14:paraId="3CD9A6B6" w14:textId="77777777" w:rsidR="00143003" w:rsidRPr="00143003" w:rsidRDefault="00143003" w:rsidP="00143003">
            <w:pPr>
              <w:rPr>
                <w:sz w:val="20"/>
                <w:szCs w:val="20"/>
              </w:rPr>
            </w:pPr>
            <w:r w:rsidRPr="00143003">
              <w:rPr>
                <w:sz w:val="20"/>
                <w:szCs w:val="20"/>
              </w:rPr>
              <w:t> </w:t>
            </w:r>
          </w:p>
        </w:tc>
        <w:tc>
          <w:tcPr>
            <w:tcW w:w="1620" w:type="dxa"/>
            <w:tcBorders>
              <w:top w:val="nil"/>
              <w:left w:val="nil"/>
              <w:bottom w:val="single" w:sz="8" w:space="0" w:color="000000"/>
              <w:right w:val="nil"/>
            </w:tcBorders>
            <w:shd w:val="clear" w:color="auto" w:fill="auto"/>
            <w:noWrap/>
            <w:vAlign w:val="bottom"/>
            <w:hideMark/>
          </w:tcPr>
          <w:p w14:paraId="04DD7454" w14:textId="77777777" w:rsidR="00143003" w:rsidRPr="00143003" w:rsidRDefault="00143003" w:rsidP="00143003">
            <w:pPr>
              <w:rPr>
                <w:sz w:val="20"/>
                <w:szCs w:val="20"/>
              </w:rPr>
            </w:pPr>
            <w:r w:rsidRPr="00143003">
              <w:rPr>
                <w:sz w:val="20"/>
                <w:szCs w:val="20"/>
              </w:rPr>
              <w:t> </w:t>
            </w:r>
          </w:p>
        </w:tc>
        <w:tc>
          <w:tcPr>
            <w:tcW w:w="1872" w:type="dxa"/>
            <w:tcBorders>
              <w:top w:val="nil"/>
              <w:left w:val="nil"/>
              <w:bottom w:val="single" w:sz="8" w:space="0" w:color="000000"/>
              <w:right w:val="nil"/>
            </w:tcBorders>
            <w:shd w:val="clear" w:color="auto" w:fill="auto"/>
            <w:noWrap/>
            <w:vAlign w:val="bottom"/>
            <w:hideMark/>
          </w:tcPr>
          <w:p w14:paraId="3EC476AF" w14:textId="77777777" w:rsidR="00143003" w:rsidRPr="00143003" w:rsidRDefault="00143003" w:rsidP="00143003">
            <w:pPr>
              <w:rPr>
                <w:sz w:val="20"/>
                <w:szCs w:val="20"/>
              </w:rPr>
            </w:pPr>
            <w:r w:rsidRPr="00143003">
              <w:rPr>
                <w:sz w:val="20"/>
                <w:szCs w:val="20"/>
              </w:rPr>
              <w:t> </w:t>
            </w:r>
          </w:p>
        </w:tc>
        <w:tc>
          <w:tcPr>
            <w:tcW w:w="2014" w:type="dxa"/>
            <w:tcBorders>
              <w:top w:val="nil"/>
              <w:left w:val="nil"/>
              <w:bottom w:val="single" w:sz="8" w:space="0" w:color="000000"/>
              <w:right w:val="single" w:sz="8" w:space="0" w:color="000000"/>
            </w:tcBorders>
            <w:shd w:val="clear" w:color="auto" w:fill="auto"/>
            <w:noWrap/>
            <w:vAlign w:val="center"/>
            <w:hideMark/>
          </w:tcPr>
          <w:p w14:paraId="1209EBF2" w14:textId="77777777" w:rsidR="00143003" w:rsidRPr="00143003" w:rsidRDefault="00143003" w:rsidP="00143003">
            <w:pPr>
              <w:jc w:val="right"/>
              <w:rPr>
                <w:color w:val="000000"/>
                <w:sz w:val="20"/>
                <w:szCs w:val="20"/>
              </w:rPr>
            </w:pPr>
            <w:r w:rsidRPr="00143003">
              <w:rPr>
                <w:color w:val="000000"/>
                <w:sz w:val="20"/>
                <w:szCs w:val="20"/>
              </w:rPr>
              <w:t> </w:t>
            </w:r>
          </w:p>
        </w:tc>
      </w:tr>
    </w:tbl>
    <w:p w14:paraId="64F792BD" w14:textId="46AD3C0D" w:rsidR="00A9564F" w:rsidRDefault="00D80BC8">
      <w:r>
        <w:fldChar w:fldCharType="begin"/>
      </w:r>
      <w:r>
        <w:instrText xml:space="preserve"> TC "</w:instrText>
      </w:r>
      <w:bookmarkStart w:id="39" w:name="_Toc225411899"/>
      <w:r>
        <w:tab/>
        <w:instrText>Schedule No. 4 Monthly Water Rates</w:instrText>
      </w:r>
      <w:bookmarkEnd w:id="39"/>
      <w:r>
        <w:instrText xml:space="preserve">" \l 1 </w:instrText>
      </w:r>
      <w:r>
        <w:fldChar w:fldCharType="end"/>
      </w:r>
    </w:p>
    <w:p w14:paraId="6979BD34" w14:textId="5756F57D" w:rsidR="00D80BC8" w:rsidRDefault="00D80BC8"/>
    <w:p w14:paraId="463E8B58" w14:textId="680F8AB2" w:rsidR="002A128D" w:rsidRPr="002A128D" w:rsidRDefault="002A128D" w:rsidP="00D80BC8"/>
    <w:sectPr w:rsidR="002A128D" w:rsidRPr="002A128D" w:rsidSect="0068481F">
      <w:headerReference w:type="default" r:id="rId30"/>
      <w:footerReference w:type="default" r:id="rId31"/>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7EC3ED" w14:textId="77777777" w:rsidR="006E6F02" w:rsidRDefault="006E6F02">
      <w:r>
        <w:separator/>
      </w:r>
    </w:p>
  </w:endnote>
  <w:endnote w:type="continuationSeparator" w:id="0">
    <w:p w14:paraId="0976D63F" w14:textId="77777777" w:rsidR="006E6F02" w:rsidRDefault="006E6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63F71" w14:textId="77777777" w:rsidR="004A4C46" w:rsidRDefault="004A4C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6FDAB" w14:textId="5087E918" w:rsidR="006E6F02" w:rsidRDefault="006E6F02" w:rsidP="004B5122">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313E87">
      <w:rPr>
        <w:rStyle w:val="PageNumber"/>
        <w:noProof/>
      </w:rPr>
      <w:t>2</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C6F26" w14:textId="77777777" w:rsidR="004A4C46" w:rsidRDefault="004A4C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3BC99" w14:textId="77777777" w:rsidR="006E6F02" w:rsidRDefault="006E6F0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343E2" w14:textId="4C4C4C2A" w:rsidR="006E6F02" w:rsidRDefault="006E6F02" w:rsidP="004B5122">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313E87">
      <w:rPr>
        <w:rStyle w:val="PageNumber"/>
        <w:noProof/>
      </w:rPr>
      <w:t>35</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3E43BF" w14:textId="77777777" w:rsidR="006E6F02" w:rsidRDefault="006E6F02">
      <w:r>
        <w:separator/>
      </w:r>
    </w:p>
  </w:footnote>
  <w:footnote w:type="continuationSeparator" w:id="0">
    <w:p w14:paraId="53F84679" w14:textId="77777777" w:rsidR="006E6F02" w:rsidRDefault="006E6F02">
      <w:r>
        <w:continuationSeparator/>
      </w:r>
    </w:p>
  </w:footnote>
  <w:footnote w:id="1">
    <w:p w14:paraId="3E23EC3D" w14:textId="77777777" w:rsidR="006E6F02" w:rsidRDefault="006E6F02" w:rsidP="001D3E46">
      <w:pPr>
        <w:pStyle w:val="FootnoteText"/>
      </w:pPr>
      <w:r>
        <w:rPr>
          <w:rStyle w:val="FootnoteReference"/>
        </w:rPr>
        <w:footnoteRef/>
      </w:r>
      <w:r>
        <w:t xml:space="preserve"> Order No. PSC-2025-0041-PAA-WU, issued on February 6, 2025, in Docket No. 20240111-WU, </w:t>
      </w:r>
      <w:r>
        <w:rPr>
          <w:i/>
        </w:rPr>
        <w:t xml:space="preserve">In re: </w:t>
      </w:r>
      <w:r w:rsidRPr="002D0B4B">
        <w:rPr>
          <w:i/>
        </w:rPr>
        <w:t>Application for grandfather certificate to operate water utility in Citrus County, by Citrus Waterworks, Inc.</w:t>
      </w:r>
    </w:p>
  </w:footnote>
  <w:footnote w:id="2">
    <w:p w14:paraId="032ABB6D" w14:textId="77777777" w:rsidR="006E6F02" w:rsidRDefault="006E6F02">
      <w:pPr>
        <w:pStyle w:val="FootnoteText"/>
      </w:pPr>
      <w:r>
        <w:rPr>
          <w:rStyle w:val="FootnoteReference"/>
        </w:rPr>
        <w:footnoteRef/>
      </w:r>
      <w:r>
        <w:t xml:space="preserve"> Document No. 08211-2024, filed August 02, 2024, in Docket No. 20240111-WU.</w:t>
      </w:r>
    </w:p>
  </w:footnote>
  <w:footnote w:id="3">
    <w:p w14:paraId="19650138" w14:textId="77777777" w:rsidR="006E6F02" w:rsidRDefault="006E6F02" w:rsidP="001D3E46">
      <w:pPr>
        <w:pStyle w:val="FootnoteText"/>
      </w:pPr>
      <w:r>
        <w:rPr>
          <w:rStyle w:val="FootnoteReference"/>
        </w:rPr>
        <w:footnoteRef/>
      </w:r>
      <w:r>
        <w:t xml:space="preserve"> Document No. 03257-2025, filed April 30, 2025, in Docket No. 20250075-WU.</w:t>
      </w:r>
    </w:p>
  </w:footnote>
  <w:footnote w:id="4">
    <w:p w14:paraId="52EC72CC" w14:textId="40F41F9D" w:rsidR="006E6F02" w:rsidRDefault="006E6F02">
      <w:pPr>
        <w:pStyle w:val="FootnoteText"/>
      </w:pPr>
      <w:r>
        <w:rPr>
          <w:rStyle w:val="FootnoteReference"/>
        </w:rPr>
        <w:footnoteRef/>
      </w:r>
      <w:r>
        <w:t xml:space="preserve"> Docket No. 20250140-WU.</w:t>
      </w:r>
    </w:p>
  </w:footnote>
  <w:footnote w:id="5">
    <w:p w14:paraId="53FCE874" w14:textId="77777777" w:rsidR="006E6F02" w:rsidRDefault="006E6F02" w:rsidP="00C759A0">
      <w:pPr>
        <w:pStyle w:val="FootnoteText"/>
      </w:pPr>
      <w:r>
        <w:rPr>
          <w:rStyle w:val="FootnoteReference"/>
        </w:rPr>
        <w:footnoteRef/>
      </w:r>
      <w:r>
        <w:t xml:space="preserve"> Document No. 14366-2025, filed October 8, 2025, in Docket No. 20250075-WU.</w:t>
      </w:r>
    </w:p>
  </w:footnote>
  <w:footnote w:id="6">
    <w:p w14:paraId="286E9D02" w14:textId="77777777" w:rsidR="006E6F02" w:rsidRDefault="006E6F02">
      <w:pPr>
        <w:pStyle w:val="FootnoteText"/>
      </w:pPr>
      <w:r>
        <w:rPr>
          <w:rStyle w:val="FootnoteReference"/>
        </w:rPr>
        <w:footnoteRef/>
      </w:r>
      <w:r>
        <w:t xml:space="preserve"> Document Number 04245-2025, filed June 5, 2025, in Docket No. 20250075-WU.</w:t>
      </w:r>
    </w:p>
  </w:footnote>
  <w:footnote w:id="7">
    <w:p w14:paraId="368A1AA9" w14:textId="77777777" w:rsidR="006E6F02" w:rsidRDefault="006E6F02" w:rsidP="0022239B">
      <w:pPr>
        <w:pStyle w:val="FootnoteText"/>
      </w:pPr>
      <w:r>
        <w:rPr>
          <w:rStyle w:val="FootnoteReference"/>
        </w:rPr>
        <w:footnoteRef/>
      </w:r>
      <w:r>
        <w:t xml:space="preserve"> Document Number 04245-2025, filed June 5, 2025, in Docket No. 20250075-WU.</w:t>
      </w:r>
    </w:p>
  </w:footnote>
  <w:footnote w:id="8">
    <w:p w14:paraId="6B2DA36D" w14:textId="77777777" w:rsidR="006E6F02" w:rsidRDefault="006E6F02" w:rsidP="0022239B">
      <w:pPr>
        <w:pStyle w:val="FootnoteText"/>
      </w:pPr>
      <w:r>
        <w:rPr>
          <w:rStyle w:val="FootnoteReference"/>
        </w:rPr>
        <w:footnoteRef/>
      </w:r>
      <w:r>
        <w:t xml:space="preserve"> Document Number 14366-2025, filed October 8, 2025, in Docket No. 20250075-WU.</w:t>
      </w:r>
    </w:p>
  </w:footnote>
  <w:footnote w:id="9">
    <w:p w14:paraId="50E38B3A" w14:textId="77777777" w:rsidR="006E6F02" w:rsidRDefault="006E6F02" w:rsidP="0022239B">
      <w:pPr>
        <w:pStyle w:val="FootnoteText"/>
      </w:pPr>
      <w:r>
        <w:rPr>
          <w:rStyle w:val="FootnoteReference"/>
        </w:rPr>
        <w:footnoteRef/>
      </w:r>
      <w:r>
        <w:t xml:space="preserve"> Document Number 04245-2025, filed June 5, 2025, in Docket No. 20250075-WU.</w:t>
      </w:r>
    </w:p>
  </w:footnote>
  <w:footnote w:id="10">
    <w:p w14:paraId="44610903" w14:textId="77777777" w:rsidR="006E6F02" w:rsidRPr="00472130" w:rsidRDefault="006E6F02" w:rsidP="0022239B">
      <w:pPr>
        <w:pStyle w:val="FootnoteText"/>
      </w:pPr>
      <w:r>
        <w:rPr>
          <w:rStyle w:val="FootnoteReference"/>
        </w:rPr>
        <w:footnoteRef/>
      </w:r>
      <w:r>
        <w:t xml:space="preserve"> Order No. PSC-16-0537-PAA-WU, issued November 23, 2016, in Docket No. 20150181-WU, </w:t>
      </w:r>
      <w:r>
        <w:rPr>
          <w:i/>
        </w:rPr>
        <w:t xml:space="preserve">In re: </w:t>
      </w:r>
      <w:r w:rsidRPr="00472130">
        <w:rPr>
          <w:i/>
        </w:rPr>
        <w:t>Application for staff-assisted rate case in Duval County</w:t>
      </w:r>
      <w:r>
        <w:rPr>
          <w:i/>
        </w:rPr>
        <w:t xml:space="preserve"> by Neighborhood Utilities, Inc.;</w:t>
      </w:r>
      <w:r>
        <w:t xml:space="preserve"> Order No. PSC-2021-0107-PAA-WU, issued March 19, 2021, in Docket No. 20200168-WU, </w:t>
      </w:r>
      <w:r w:rsidRPr="00472130">
        <w:rPr>
          <w:i/>
        </w:rPr>
        <w:t>In re: Application for staff-assisted rate case in Polk County, and request for interim rate increase, by McLeod Gardens Utilities, LLC.</w:t>
      </w:r>
    </w:p>
  </w:footnote>
  <w:footnote w:id="11">
    <w:p w14:paraId="59A382DE" w14:textId="77777777" w:rsidR="006E6F02" w:rsidRPr="00050142" w:rsidRDefault="006E6F02" w:rsidP="0016308C">
      <w:pPr>
        <w:pStyle w:val="FootnoteText"/>
        <w:rPr>
          <w:i/>
        </w:rPr>
      </w:pPr>
      <w:r>
        <w:rPr>
          <w:rStyle w:val="FootnoteReference"/>
        </w:rPr>
        <w:footnoteRef/>
      </w:r>
      <w:r>
        <w:t xml:space="preserve"> </w:t>
      </w:r>
      <w:r w:rsidRPr="00050142">
        <w:t xml:space="preserve">Order No. PSC-2025-0284-PAA-SU, issued July 22, 2025, in Docket No. 20240105-SU, </w:t>
      </w:r>
      <w:r w:rsidRPr="00050142">
        <w:rPr>
          <w:i/>
        </w:rPr>
        <w:t>In re: Application for</w:t>
      </w:r>
    </w:p>
    <w:p w14:paraId="70E06320" w14:textId="77777777" w:rsidR="006E6F02" w:rsidRPr="00AE3E8D" w:rsidRDefault="006E6F02" w:rsidP="0016308C">
      <w:pPr>
        <w:pStyle w:val="FootnoteText"/>
      </w:pPr>
      <w:r>
        <w:rPr>
          <w:i/>
        </w:rPr>
        <w:t>staf</w:t>
      </w:r>
      <w:r w:rsidRPr="00050142">
        <w:rPr>
          <w:i/>
        </w:rPr>
        <w:t>f-assisted rate case in Polk County, by West Lakeland Wastewater, LLC</w:t>
      </w:r>
      <w:r>
        <w:rPr>
          <w:i/>
        </w:rPr>
        <w:t>;</w:t>
      </w:r>
      <w:r w:rsidRPr="00050142">
        <w:rPr>
          <w:i/>
        </w:rPr>
        <w:t xml:space="preserve"> </w:t>
      </w:r>
      <w:r w:rsidRPr="00AE3E8D">
        <w:t>Order No. PSC-2025-0285-PAA-WU,</w:t>
      </w:r>
    </w:p>
    <w:p w14:paraId="6B47B2B7" w14:textId="77777777" w:rsidR="006E6F02" w:rsidRPr="00050142" w:rsidRDefault="006E6F02" w:rsidP="0016308C">
      <w:pPr>
        <w:pStyle w:val="FootnoteText"/>
        <w:rPr>
          <w:i/>
        </w:rPr>
      </w:pPr>
      <w:r w:rsidRPr="00AE3E8D">
        <w:t>issued July 22, 2025, in Docket No. 20240119-WU</w:t>
      </w:r>
      <w:r w:rsidRPr="00050142">
        <w:rPr>
          <w:i/>
        </w:rPr>
        <w:t xml:space="preserve">, In re: Application for </w:t>
      </w:r>
      <w:r>
        <w:rPr>
          <w:i/>
        </w:rPr>
        <w:t>staff</w:t>
      </w:r>
      <w:r w:rsidRPr="00050142">
        <w:rPr>
          <w:i/>
        </w:rPr>
        <w:t>-assisted rate case in Polk County, by</w:t>
      </w:r>
    </w:p>
    <w:p w14:paraId="38A00C7E" w14:textId="77777777" w:rsidR="006E6F02" w:rsidRPr="00050142" w:rsidRDefault="006E6F02" w:rsidP="0016308C">
      <w:pPr>
        <w:pStyle w:val="FootnoteText"/>
        <w:rPr>
          <w:i/>
        </w:rPr>
      </w:pPr>
      <w:r w:rsidRPr="00050142">
        <w:rPr>
          <w:i/>
        </w:rPr>
        <w:t>Alturas Water, LLC.</w:t>
      </w:r>
    </w:p>
  </w:footnote>
  <w:footnote w:id="12">
    <w:p w14:paraId="6F0C1AE8" w14:textId="77777777" w:rsidR="006E6F02" w:rsidRDefault="006E6F02" w:rsidP="00F304E8">
      <w:pPr>
        <w:pStyle w:val="FootnoteText"/>
      </w:pPr>
      <w:r>
        <w:rPr>
          <w:rStyle w:val="FootnoteReference"/>
        </w:rPr>
        <w:footnoteRef/>
      </w:r>
      <w:r>
        <w:t xml:space="preserve"> Order No. PSC-2025-0213-PAA-WS, issued on June 18, 2025, in Docket No. 20250006-WS; </w:t>
      </w:r>
      <w:r w:rsidRPr="007C0137">
        <w:rPr>
          <w:i/>
        </w:rPr>
        <w:t>In re: Water and wastewater industry annual reestablishment of authorized range of return on common equity for water and wastewater utilities pursuant to Section 367.081(4)(</w:t>
      </w:r>
      <w:r>
        <w:rPr>
          <w:i/>
        </w:rPr>
        <w:t>f</w:t>
      </w:r>
      <w:r w:rsidRPr="007C0137">
        <w:rPr>
          <w:i/>
        </w:rPr>
        <w:t>), F.S.</w:t>
      </w:r>
    </w:p>
  </w:footnote>
  <w:footnote w:id="13">
    <w:p w14:paraId="3E712E04" w14:textId="3F51B501" w:rsidR="006E6F02" w:rsidRDefault="006E6F02" w:rsidP="00F304E8">
      <w:pPr>
        <w:pStyle w:val="FootnoteText"/>
      </w:pPr>
      <w:r>
        <w:rPr>
          <w:rStyle w:val="FootnoteReference"/>
        </w:rPr>
        <w:footnoteRef/>
      </w:r>
      <w:r>
        <w:t xml:space="preserve"> </w:t>
      </w:r>
      <w:hyperlink r:id="rId1" w:history="1">
        <w:r w:rsidRPr="003E4679">
          <w:rPr>
            <w:rStyle w:val="Hyperlink"/>
          </w:rPr>
          <w:t>https://www.irs.gov/tax-professionals/standard-mileage-rates</w:t>
        </w:r>
      </w:hyperlink>
    </w:p>
  </w:footnote>
  <w:footnote w:id="14">
    <w:p w14:paraId="16FF337C" w14:textId="77777777" w:rsidR="006E6F02" w:rsidRDefault="006E6F02" w:rsidP="00F304E8">
      <w:pPr>
        <w:pStyle w:val="FootnoteText"/>
      </w:pPr>
      <w:r>
        <w:rPr>
          <w:rStyle w:val="FootnoteReference"/>
        </w:rPr>
        <w:footnoteRef/>
      </w:r>
      <w:r>
        <w:rPr>
          <w:i/>
        </w:rPr>
        <w:t xml:space="preserve"> </w:t>
      </w:r>
      <w:r>
        <w:t xml:space="preserve">Order No. PSC-2025-0285-PAA-WU, issued July 22, 2025, in Docket No. 20240119-WU, </w:t>
      </w:r>
      <w:r>
        <w:rPr>
          <w:i/>
        </w:rPr>
        <w:t>In re: Application for staff-assisted rate case in Polk County, by Alturas Water, LLC.</w:t>
      </w:r>
    </w:p>
  </w:footnote>
  <w:footnote w:id="15">
    <w:p w14:paraId="5766E254" w14:textId="77777777" w:rsidR="006E6F02" w:rsidRDefault="006E6F02" w:rsidP="00F304E8">
      <w:pPr>
        <w:pStyle w:val="FootnoteText"/>
      </w:pPr>
      <w:r>
        <w:rPr>
          <w:rStyle w:val="FootnoteReference"/>
        </w:rPr>
        <w:footnoteRef/>
      </w:r>
      <w:r>
        <w:t xml:space="preserve"> Document No. 08585-2025, filed on September 2, 2025, in Docket No. 20250075-WU.</w:t>
      </w:r>
    </w:p>
  </w:footnote>
  <w:footnote w:id="16">
    <w:p w14:paraId="210598E5" w14:textId="77777777" w:rsidR="006E6F02" w:rsidRDefault="006E6F02">
      <w:pPr>
        <w:pStyle w:val="FootnoteText"/>
      </w:pPr>
      <w:r>
        <w:rPr>
          <w:rStyle w:val="FootnoteReference"/>
        </w:rPr>
        <w:footnoteRef/>
      </w:r>
      <w:r>
        <w:t xml:space="preserve"> Order No. </w:t>
      </w:r>
      <w:r w:rsidRPr="007B62AE">
        <w:t>PSC-2022-0435-PAA-WU</w:t>
      </w:r>
      <w:r>
        <w:t xml:space="preserve">, issued </w:t>
      </w:r>
      <w:r w:rsidRPr="007B62AE">
        <w:t>December 22, 2022</w:t>
      </w:r>
      <w:r>
        <w:t xml:space="preserve">, in Docket No. </w:t>
      </w:r>
      <w:r w:rsidRPr="001B669F">
        <w:t>20220026-WU</w:t>
      </w:r>
      <w:r>
        <w:t xml:space="preserve">, </w:t>
      </w:r>
      <w:r w:rsidRPr="007B62AE">
        <w:rPr>
          <w:i/>
        </w:rPr>
        <w:t>Application for staff-assisted rate case in Marion County, and request for interim rate increase, by Leighton Estates Utilities, LLC.</w:t>
      </w:r>
    </w:p>
  </w:footnote>
  <w:footnote w:id="17">
    <w:p w14:paraId="6EC73DA4" w14:textId="77777777" w:rsidR="006E6F02" w:rsidRDefault="006E6F02" w:rsidP="00F304E8">
      <w:pPr>
        <w:pStyle w:val="FootnoteText"/>
      </w:pPr>
      <w:r>
        <w:rPr>
          <w:rStyle w:val="FootnoteReference"/>
        </w:rPr>
        <w:footnoteRef/>
      </w:r>
      <w:r>
        <w:t xml:space="preserve"> Document No. 14972-2025, filed November 7, 2025, in Docket No. 20250075-WU.</w:t>
      </w:r>
    </w:p>
  </w:footnote>
  <w:footnote w:id="18">
    <w:p w14:paraId="6C949C1C" w14:textId="77777777" w:rsidR="006E6F02" w:rsidRDefault="006E6F02" w:rsidP="00F304E8">
      <w:pPr>
        <w:pStyle w:val="FootnoteText"/>
      </w:pPr>
      <w:r>
        <w:rPr>
          <w:rStyle w:val="FootnoteReference"/>
        </w:rPr>
        <w:footnoteRef/>
      </w:r>
      <w:r>
        <w:t xml:space="preserve"> Staff notes calculations may not sum due to rounding.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DA42C" w14:textId="77777777" w:rsidR="004A4C46" w:rsidRDefault="004A4C4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673B7" w14:textId="4BC6FA54" w:rsidR="006E6F02" w:rsidRDefault="006E6F02" w:rsidP="00220732">
    <w:pPr>
      <w:pStyle w:val="Header"/>
      <w:tabs>
        <w:tab w:val="clear" w:pos="4320"/>
        <w:tab w:val="clear" w:pos="8640"/>
        <w:tab w:val="right" w:pos="9360"/>
      </w:tabs>
    </w:pPr>
    <w:r>
      <w:fldChar w:fldCharType="begin"/>
    </w:r>
    <w:r>
      <w:instrText xml:space="preserve"> REF DocketLabel</w:instrText>
    </w:r>
    <w:r>
      <w:fldChar w:fldCharType="separate"/>
    </w:r>
    <w:r w:rsidR="004A4C46">
      <w:t>Docket No.</w:t>
    </w:r>
    <w:r>
      <w:fldChar w:fldCharType="end"/>
    </w:r>
    <w:r>
      <w:t xml:space="preserve"> </w:t>
    </w:r>
    <w:r>
      <w:fldChar w:fldCharType="begin"/>
    </w:r>
    <w:r>
      <w:instrText xml:space="preserve"> REF DocketList</w:instrText>
    </w:r>
    <w:r>
      <w:fldChar w:fldCharType="separate"/>
    </w:r>
    <w:r w:rsidR="004A4C46">
      <w:t>20250075-WU</w:t>
    </w:r>
    <w:r>
      <w:fldChar w:fldCharType="end"/>
    </w:r>
    <w:r>
      <w:tab/>
      <w:t>Schedule No. 3-C</w:t>
    </w:r>
  </w:p>
  <w:p w14:paraId="4B201851" w14:textId="6CC4119B" w:rsidR="006E6F02" w:rsidRDefault="006E6F02">
    <w:pPr>
      <w:pStyle w:val="Header"/>
    </w:pPr>
    <w:r>
      <w:t xml:space="preserve">Date: </w:t>
    </w:r>
    <w:fldSimple w:instr=" REF FilingDate ">
      <w:r w:rsidR="004A4C46">
        <w:t>March 26, 202</w:t>
      </w:r>
    </w:fldSimple>
    <w:r>
      <w:t>6</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9C550" w14:textId="1C791A2D" w:rsidR="000B6C3D" w:rsidRDefault="000B6C3D" w:rsidP="000B6C3D">
    <w:pPr>
      <w:pStyle w:val="Header"/>
      <w:tabs>
        <w:tab w:val="clear" w:pos="4320"/>
        <w:tab w:val="clear" w:pos="8640"/>
        <w:tab w:val="right" w:pos="9360"/>
      </w:tabs>
    </w:pPr>
    <w:r>
      <w:fldChar w:fldCharType="begin"/>
    </w:r>
    <w:r>
      <w:instrText xml:space="preserve"> REF DocketLabel</w:instrText>
    </w:r>
    <w:r>
      <w:fldChar w:fldCharType="separate"/>
    </w:r>
    <w:r w:rsidR="004A4C46">
      <w:t>Docket No.</w:t>
    </w:r>
    <w:r>
      <w:fldChar w:fldCharType="end"/>
    </w:r>
    <w:r>
      <w:t xml:space="preserve"> </w:t>
    </w:r>
    <w:r>
      <w:fldChar w:fldCharType="begin"/>
    </w:r>
    <w:r>
      <w:instrText xml:space="preserve"> REF DocketList</w:instrText>
    </w:r>
    <w:r>
      <w:fldChar w:fldCharType="separate"/>
    </w:r>
    <w:r w:rsidR="004A4C46">
      <w:t>20250075-WU</w:t>
    </w:r>
    <w:r>
      <w:fldChar w:fldCharType="end"/>
    </w:r>
    <w:r>
      <w:tab/>
      <w:t>Schedule No. 4</w:t>
    </w:r>
  </w:p>
  <w:p w14:paraId="3533722B" w14:textId="248CB90C" w:rsidR="000B6C3D" w:rsidRDefault="000B6C3D" w:rsidP="000B6C3D">
    <w:pPr>
      <w:pStyle w:val="Header"/>
    </w:pPr>
    <w:r>
      <w:t xml:space="preserve">Date: </w:t>
    </w:r>
    <w:fldSimple w:instr=" REF FilingDate ">
      <w:r w:rsidR="004A4C46">
        <w:t>March 26, 202</w:t>
      </w:r>
    </w:fldSimple>
    <w:r>
      <w:t>6</w:t>
    </w:r>
  </w:p>
  <w:p w14:paraId="60B7D597" w14:textId="3EFEDEF4" w:rsidR="006E6F02" w:rsidRDefault="006E6F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11200" w14:textId="77777777" w:rsidR="006E6F02" w:rsidRDefault="006E6F02" w:rsidP="00220732">
    <w:pPr>
      <w:pStyle w:val="Header"/>
      <w:tabs>
        <w:tab w:val="clear" w:pos="4320"/>
        <w:tab w:val="clear" w:pos="8640"/>
        <w:tab w:val="right" w:pos="9360"/>
      </w:tabs>
    </w:pPr>
    <w:bookmarkStart w:id="13" w:name="DocketLabel"/>
    <w:r>
      <w:t>Docket No.</w:t>
    </w:r>
    <w:bookmarkEnd w:id="13"/>
    <w:r>
      <w:t xml:space="preserve"> </w:t>
    </w:r>
    <w:bookmarkStart w:id="14" w:name="DocketList"/>
    <w:r>
      <w:t>20250075-WU</w:t>
    </w:r>
    <w:bookmarkEnd w:id="14"/>
  </w:p>
  <w:p w14:paraId="7C7C6E1A" w14:textId="5D1C52D3" w:rsidR="006E6F02" w:rsidRDefault="006E6F02">
    <w:pPr>
      <w:pStyle w:val="Header"/>
    </w:pPr>
    <w:r>
      <w:t xml:space="preserve">Date: </w:t>
    </w:r>
    <w:fldSimple w:instr=" REF FilingDate ">
      <w:r w:rsidR="004A4C46">
        <w:t>March 26, 202</w:t>
      </w:r>
    </w:fldSimple>
    <w:r>
      <w:t>6</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16205" w14:textId="77777777" w:rsidR="004A4C46" w:rsidRDefault="004A4C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9AE97" w14:textId="53011D8F" w:rsidR="006E6F02" w:rsidRDefault="006E6F02" w:rsidP="00220732">
    <w:pPr>
      <w:pStyle w:val="Header"/>
      <w:tabs>
        <w:tab w:val="clear" w:pos="4320"/>
        <w:tab w:val="clear" w:pos="8640"/>
        <w:tab w:val="right" w:pos="9360"/>
      </w:tabs>
    </w:pPr>
    <w:r>
      <w:fldChar w:fldCharType="begin"/>
    </w:r>
    <w:r>
      <w:instrText xml:space="preserve"> REF DocketLabel</w:instrText>
    </w:r>
    <w:r>
      <w:fldChar w:fldCharType="separate"/>
    </w:r>
    <w:r w:rsidR="004A4C46">
      <w:t>Docket No.</w:t>
    </w:r>
    <w:r>
      <w:fldChar w:fldCharType="end"/>
    </w:r>
    <w:r>
      <w:t xml:space="preserve"> </w:t>
    </w:r>
    <w:r>
      <w:fldChar w:fldCharType="begin"/>
    </w:r>
    <w:r>
      <w:instrText xml:space="preserve"> REF DocketList</w:instrText>
    </w:r>
    <w:r>
      <w:fldChar w:fldCharType="separate"/>
    </w:r>
    <w:r w:rsidR="004A4C46">
      <w:t>20250075-WU</w:t>
    </w:r>
    <w:r>
      <w:fldChar w:fldCharType="end"/>
    </w:r>
    <w:r>
      <w:tab/>
      <w:t xml:space="preserve">Issue </w:t>
    </w:r>
    <w:fldSimple w:instr=" Seq Issue \c \* Arabic ">
      <w:r w:rsidR="00313E87">
        <w:rPr>
          <w:noProof/>
        </w:rPr>
        <w:t>11</w:t>
      </w:r>
    </w:fldSimple>
  </w:p>
  <w:p w14:paraId="652BB783" w14:textId="47404BAF" w:rsidR="006E6F02" w:rsidRDefault="006E6F02">
    <w:pPr>
      <w:pStyle w:val="Header"/>
    </w:pPr>
    <w:r>
      <w:t xml:space="preserve">Date: </w:t>
    </w:r>
    <w:fldSimple w:instr=" REF FilingDate ">
      <w:r w:rsidR="004A4C46">
        <w:t>March 26, 202</w:t>
      </w:r>
    </w:fldSimple>
    <w:r>
      <w:t>6</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B56B0" w14:textId="77777777" w:rsidR="006E6F02" w:rsidRDefault="006E6F0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237AE" w14:textId="632B4B84" w:rsidR="006E6F02" w:rsidRDefault="006E6F02" w:rsidP="00220732">
    <w:pPr>
      <w:pStyle w:val="Header"/>
      <w:tabs>
        <w:tab w:val="clear" w:pos="4320"/>
        <w:tab w:val="clear" w:pos="8640"/>
        <w:tab w:val="right" w:pos="9360"/>
      </w:tabs>
    </w:pPr>
    <w:r>
      <w:fldChar w:fldCharType="begin"/>
    </w:r>
    <w:r>
      <w:instrText xml:space="preserve"> REF DocketLabel</w:instrText>
    </w:r>
    <w:r>
      <w:fldChar w:fldCharType="separate"/>
    </w:r>
    <w:r w:rsidR="004A4C46">
      <w:t>Docket No.</w:t>
    </w:r>
    <w:r>
      <w:fldChar w:fldCharType="end"/>
    </w:r>
    <w:r>
      <w:t xml:space="preserve"> </w:t>
    </w:r>
    <w:r>
      <w:fldChar w:fldCharType="begin"/>
    </w:r>
    <w:r>
      <w:instrText xml:space="preserve"> REF DocketList</w:instrText>
    </w:r>
    <w:r>
      <w:fldChar w:fldCharType="separate"/>
    </w:r>
    <w:r w:rsidR="004A4C46">
      <w:t>20250075-WU</w:t>
    </w:r>
    <w:r>
      <w:fldChar w:fldCharType="end"/>
    </w:r>
    <w:r>
      <w:tab/>
      <w:t>Schedule No. 1-A</w:t>
    </w:r>
  </w:p>
  <w:p w14:paraId="2B9F1203" w14:textId="6EDBF6C0" w:rsidR="006E6F02" w:rsidRDefault="006E6F02">
    <w:pPr>
      <w:pStyle w:val="Header"/>
    </w:pPr>
    <w:r>
      <w:t xml:space="preserve">Date: </w:t>
    </w:r>
    <w:fldSimple w:instr=" REF FilingDate ">
      <w:r w:rsidR="004A4C46">
        <w:t>March 26, 202</w:t>
      </w:r>
    </w:fldSimple>
    <w:r>
      <w:t>6</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7DABA" w14:textId="576E2C93" w:rsidR="006E6F02" w:rsidRDefault="006E6F02" w:rsidP="00220732">
    <w:pPr>
      <w:pStyle w:val="Header"/>
      <w:tabs>
        <w:tab w:val="clear" w:pos="4320"/>
        <w:tab w:val="clear" w:pos="8640"/>
        <w:tab w:val="right" w:pos="9360"/>
      </w:tabs>
    </w:pPr>
    <w:r>
      <w:fldChar w:fldCharType="begin"/>
    </w:r>
    <w:r>
      <w:instrText xml:space="preserve"> REF DocketLabel</w:instrText>
    </w:r>
    <w:r>
      <w:fldChar w:fldCharType="separate"/>
    </w:r>
    <w:r w:rsidR="004A4C46">
      <w:t>Docket No.</w:t>
    </w:r>
    <w:r>
      <w:fldChar w:fldCharType="end"/>
    </w:r>
    <w:r>
      <w:t xml:space="preserve"> </w:t>
    </w:r>
    <w:r>
      <w:fldChar w:fldCharType="begin"/>
    </w:r>
    <w:r>
      <w:instrText xml:space="preserve"> REF DocketList</w:instrText>
    </w:r>
    <w:r>
      <w:fldChar w:fldCharType="separate"/>
    </w:r>
    <w:r w:rsidR="004A4C46">
      <w:t>20250075-WU</w:t>
    </w:r>
    <w:r>
      <w:fldChar w:fldCharType="end"/>
    </w:r>
    <w:r>
      <w:tab/>
      <w:t>Schedule No. 1-B</w:t>
    </w:r>
  </w:p>
  <w:p w14:paraId="597EC74B" w14:textId="39753AC6" w:rsidR="006E6F02" w:rsidRDefault="006E6F02">
    <w:pPr>
      <w:pStyle w:val="Header"/>
    </w:pPr>
    <w:r>
      <w:t xml:space="preserve">Date: </w:t>
    </w:r>
    <w:fldSimple w:instr=" REF FilingDate ">
      <w:r w:rsidR="004A4C46">
        <w:t>March 26, 202</w:t>
      </w:r>
    </w:fldSimple>
    <w:r>
      <w:t>6</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77259" w14:textId="4A8A8A8E" w:rsidR="006E6F02" w:rsidRDefault="006E6F02" w:rsidP="00220732">
    <w:pPr>
      <w:pStyle w:val="Header"/>
      <w:tabs>
        <w:tab w:val="clear" w:pos="4320"/>
        <w:tab w:val="clear" w:pos="8640"/>
        <w:tab w:val="right" w:pos="9360"/>
      </w:tabs>
    </w:pPr>
    <w:r>
      <w:fldChar w:fldCharType="begin"/>
    </w:r>
    <w:r>
      <w:instrText xml:space="preserve"> REF DocketLabel</w:instrText>
    </w:r>
    <w:r>
      <w:fldChar w:fldCharType="separate"/>
    </w:r>
    <w:r w:rsidR="004A4C46">
      <w:t>Docket No.</w:t>
    </w:r>
    <w:r>
      <w:fldChar w:fldCharType="end"/>
    </w:r>
    <w:r>
      <w:t xml:space="preserve"> </w:t>
    </w:r>
    <w:r>
      <w:fldChar w:fldCharType="begin"/>
    </w:r>
    <w:r>
      <w:instrText xml:space="preserve"> REF DocketList</w:instrText>
    </w:r>
    <w:r>
      <w:fldChar w:fldCharType="separate"/>
    </w:r>
    <w:r w:rsidR="004A4C46">
      <w:t>20250075-WU</w:t>
    </w:r>
    <w:r>
      <w:fldChar w:fldCharType="end"/>
    </w:r>
    <w:r>
      <w:tab/>
    </w:r>
    <w:r>
      <w:tab/>
    </w:r>
    <w:r>
      <w:tab/>
      <w:t>Schedule No. 3-A</w:t>
    </w:r>
  </w:p>
  <w:p w14:paraId="484A9AFF" w14:textId="2EF496C7" w:rsidR="006E6F02" w:rsidRDefault="006E6F02">
    <w:pPr>
      <w:pStyle w:val="Header"/>
    </w:pPr>
    <w:r>
      <w:t xml:space="preserve">Date: </w:t>
    </w:r>
    <w:fldSimple w:instr=" REF FilingDate ">
      <w:r w:rsidR="004A4C46">
        <w:t>March 26, 202</w:t>
      </w:r>
    </w:fldSimple>
    <w:r>
      <w:t>6</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4A238" w14:textId="2D34A3EF" w:rsidR="006E6F02" w:rsidRDefault="006E6F02" w:rsidP="00220732">
    <w:pPr>
      <w:pStyle w:val="Header"/>
      <w:tabs>
        <w:tab w:val="clear" w:pos="4320"/>
        <w:tab w:val="clear" w:pos="8640"/>
        <w:tab w:val="right" w:pos="9360"/>
      </w:tabs>
    </w:pPr>
    <w:r>
      <w:fldChar w:fldCharType="begin"/>
    </w:r>
    <w:r>
      <w:instrText xml:space="preserve"> REF DocketLabel</w:instrText>
    </w:r>
    <w:r>
      <w:fldChar w:fldCharType="separate"/>
    </w:r>
    <w:r w:rsidR="004A4C46">
      <w:t>Docket No.</w:t>
    </w:r>
    <w:r>
      <w:fldChar w:fldCharType="end"/>
    </w:r>
    <w:r>
      <w:t xml:space="preserve"> </w:t>
    </w:r>
    <w:r>
      <w:fldChar w:fldCharType="begin"/>
    </w:r>
    <w:r>
      <w:instrText xml:space="preserve"> REF DocketList</w:instrText>
    </w:r>
    <w:r>
      <w:fldChar w:fldCharType="separate"/>
    </w:r>
    <w:r w:rsidR="004A4C46">
      <w:t>20250075-WU</w:t>
    </w:r>
    <w:r>
      <w:fldChar w:fldCharType="end"/>
    </w:r>
    <w:r>
      <w:tab/>
      <w:t>Schedule No. 3-B</w:t>
    </w:r>
  </w:p>
  <w:p w14:paraId="4EA010B0" w14:textId="2E31081B" w:rsidR="006E6F02" w:rsidRDefault="006E6F02">
    <w:pPr>
      <w:pStyle w:val="Header"/>
    </w:pPr>
    <w:r>
      <w:t xml:space="preserve">Date: </w:t>
    </w:r>
    <w:fldSimple w:instr=" REF FilingDate ">
      <w:r w:rsidR="004A4C46">
        <w:t>March 26, 202</w:t>
      </w:r>
    </w:fldSimple>
    <w:r>
      <w:t>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915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DoubleSpaceTOC" w:val="False"/>
    <w:docVar w:name="NumberOfIssues" w:val="0"/>
    <w:docVar w:name="StaffInToC" w:val="True"/>
  </w:docVars>
  <w:rsids>
    <w:rsidRoot w:val="00AE2B72"/>
    <w:rsid w:val="000043D5"/>
    <w:rsid w:val="00004727"/>
    <w:rsid w:val="00006170"/>
    <w:rsid w:val="0001083A"/>
    <w:rsid w:val="00010E37"/>
    <w:rsid w:val="000172DA"/>
    <w:rsid w:val="00022008"/>
    <w:rsid w:val="00022337"/>
    <w:rsid w:val="000226C3"/>
    <w:rsid w:val="00023A0E"/>
    <w:rsid w:val="000247C5"/>
    <w:rsid w:val="000277C2"/>
    <w:rsid w:val="00030FEA"/>
    <w:rsid w:val="00033BA0"/>
    <w:rsid w:val="00034BCD"/>
    <w:rsid w:val="00035B48"/>
    <w:rsid w:val="00036CE2"/>
    <w:rsid w:val="000437FE"/>
    <w:rsid w:val="000513BE"/>
    <w:rsid w:val="00051573"/>
    <w:rsid w:val="000517B4"/>
    <w:rsid w:val="0005451B"/>
    <w:rsid w:val="00057961"/>
    <w:rsid w:val="00065A06"/>
    <w:rsid w:val="000666F3"/>
    <w:rsid w:val="00066C79"/>
    <w:rsid w:val="00070DCB"/>
    <w:rsid w:val="00072C25"/>
    <w:rsid w:val="00072CCA"/>
    <w:rsid w:val="00073120"/>
    <w:rsid w:val="00073AD7"/>
    <w:rsid w:val="000747F6"/>
    <w:rsid w:val="000764D0"/>
    <w:rsid w:val="000828D3"/>
    <w:rsid w:val="00087A0E"/>
    <w:rsid w:val="00090DB4"/>
    <w:rsid w:val="00097804"/>
    <w:rsid w:val="000A06DE"/>
    <w:rsid w:val="000A2B57"/>
    <w:rsid w:val="000A418B"/>
    <w:rsid w:val="000B016F"/>
    <w:rsid w:val="000B0ACE"/>
    <w:rsid w:val="000B6C3D"/>
    <w:rsid w:val="000C4431"/>
    <w:rsid w:val="000C5435"/>
    <w:rsid w:val="000C6607"/>
    <w:rsid w:val="000C7834"/>
    <w:rsid w:val="000C7A25"/>
    <w:rsid w:val="000D1C06"/>
    <w:rsid w:val="000D3043"/>
    <w:rsid w:val="000D4319"/>
    <w:rsid w:val="000D4831"/>
    <w:rsid w:val="000E1ED5"/>
    <w:rsid w:val="000E24FA"/>
    <w:rsid w:val="000E338A"/>
    <w:rsid w:val="000E3697"/>
    <w:rsid w:val="000E4392"/>
    <w:rsid w:val="000E5DCB"/>
    <w:rsid w:val="000E620E"/>
    <w:rsid w:val="000E705A"/>
    <w:rsid w:val="000F1967"/>
    <w:rsid w:val="000F244D"/>
    <w:rsid w:val="000F374A"/>
    <w:rsid w:val="000F4DAF"/>
    <w:rsid w:val="000F53C1"/>
    <w:rsid w:val="000F675B"/>
    <w:rsid w:val="00102276"/>
    <w:rsid w:val="00105BA1"/>
    <w:rsid w:val="001066FE"/>
    <w:rsid w:val="001076AF"/>
    <w:rsid w:val="001109F6"/>
    <w:rsid w:val="00112AC5"/>
    <w:rsid w:val="001131E2"/>
    <w:rsid w:val="00114609"/>
    <w:rsid w:val="00116C6B"/>
    <w:rsid w:val="00117C8C"/>
    <w:rsid w:val="001239F0"/>
    <w:rsid w:val="00124402"/>
    <w:rsid w:val="00124C38"/>
    <w:rsid w:val="00124E2E"/>
    <w:rsid w:val="0012508A"/>
    <w:rsid w:val="00125ED4"/>
    <w:rsid w:val="00127E1E"/>
    <w:rsid w:val="001303BF"/>
    <w:rsid w:val="001305E9"/>
    <w:rsid w:val="001307AF"/>
    <w:rsid w:val="0013347E"/>
    <w:rsid w:val="00135687"/>
    <w:rsid w:val="00136BD1"/>
    <w:rsid w:val="00143003"/>
    <w:rsid w:val="001439D1"/>
    <w:rsid w:val="00144C53"/>
    <w:rsid w:val="00146B5D"/>
    <w:rsid w:val="00150ECE"/>
    <w:rsid w:val="0015506E"/>
    <w:rsid w:val="00157CCC"/>
    <w:rsid w:val="00160658"/>
    <w:rsid w:val="00163031"/>
    <w:rsid w:val="0016308C"/>
    <w:rsid w:val="001654C4"/>
    <w:rsid w:val="0016701C"/>
    <w:rsid w:val="00171A90"/>
    <w:rsid w:val="001750F1"/>
    <w:rsid w:val="00180254"/>
    <w:rsid w:val="00181660"/>
    <w:rsid w:val="0018217B"/>
    <w:rsid w:val="00191E1F"/>
    <w:rsid w:val="00191EE8"/>
    <w:rsid w:val="00192943"/>
    <w:rsid w:val="00193BAF"/>
    <w:rsid w:val="00194791"/>
    <w:rsid w:val="00196B5C"/>
    <w:rsid w:val="001A0985"/>
    <w:rsid w:val="001A206F"/>
    <w:rsid w:val="001A3099"/>
    <w:rsid w:val="001A5C63"/>
    <w:rsid w:val="001A7406"/>
    <w:rsid w:val="001A7AE4"/>
    <w:rsid w:val="001B1EDC"/>
    <w:rsid w:val="001B2C25"/>
    <w:rsid w:val="001B4053"/>
    <w:rsid w:val="001B4FEE"/>
    <w:rsid w:val="001B51C5"/>
    <w:rsid w:val="001B672A"/>
    <w:rsid w:val="001B6F3F"/>
    <w:rsid w:val="001C13F4"/>
    <w:rsid w:val="001C52B5"/>
    <w:rsid w:val="001D0528"/>
    <w:rsid w:val="001D06D7"/>
    <w:rsid w:val="001D0D3E"/>
    <w:rsid w:val="001D2817"/>
    <w:rsid w:val="001D2899"/>
    <w:rsid w:val="001D3E46"/>
    <w:rsid w:val="001E14A3"/>
    <w:rsid w:val="001E390F"/>
    <w:rsid w:val="001E7FF4"/>
    <w:rsid w:val="001F2245"/>
    <w:rsid w:val="001F2C63"/>
    <w:rsid w:val="001F4631"/>
    <w:rsid w:val="001F48C7"/>
    <w:rsid w:val="001F6DA1"/>
    <w:rsid w:val="00200178"/>
    <w:rsid w:val="00204200"/>
    <w:rsid w:val="002044E6"/>
    <w:rsid w:val="00204A35"/>
    <w:rsid w:val="00205C82"/>
    <w:rsid w:val="00205DC2"/>
    <w:rsid w:val="00205F43"/>
    <w:rsid w:val="00210F0F"/>
    <w:rsid w:val="00212B17"/>
    <w:rsid w:val="002163B6"/>
    <w:rsid w:val="00217215"/>
    <w:rsid w:val="00220732"/>
    <w:rsid w:val="0022121F"/>
    <w:rsid w:val="00221D32"/>
    <w:rsid w:val="0022239B"/>
    <w:rsid w:val="00222AC1"/>
    <w:rsid w:val="00223794"/>
    <w:rsid w:val="00225C3F"/>
    <w:rsid w:val="0022653C"/>
    <w:rsid w:val="00226ED6"/>
    <w:rsid w:val="00241DFC"/>
    <w:rsid w:val="00252263"/>
    <w:rsid w:val="00263127"/>
    <w:rsid w:val="00263D44"/>
    <w:rsid w:val="00264A26"/>
    <w:rsid w:val="002702AD"/>
    <w:rsid w:val="00275A7B"/>
    <w:rsid w:val="00281428"/>
    <w:rsid w:val="00281EB4"/>
    <w:rsid w:val="00283741"/>
    <w:rsid w:val="00292D82"/>
    <w:rsid w:val="00293EDB"/>
    <w:rsid w:val="00293EE7"/>
    <w:rsid w:val="002963CB"/>
    <w:rsid w:val="002A11D4"/>
    <w:rsid w:val="002A128D"/>
    <w:rsid w:val="002A228B"/>
    <w:rsid w:val="002A7CEC"/>
    <w:rsid w:val="002B2DAC"/>
    <w:rsid w:val="002B4A01"/>
    <w:rsid w:val="002C291B"/>
    <w:rsid w:val="002C2AB8"/>
    <w:rsid w:val="002C3C93"/>
    <w:rsid w:val="002C4EF8"/>
    <w:rsid w:val="002C746A"/>
    <w:rsid w:val="002C7E4E"/>
    <w:rsid w:val="002D05BF"/>
    <w:rsid w:val="002D226D"/>
    <w:rsid w:val="002D58BD"/>
    <w:rsid w:val="002D6123"/>
    <w:rsid w:val="002D74E3"/>
    <w:rsid w:val="002E79D2"/>
    <w:rsid w:val="002F6030"/>
    <w:rsid w:val="002F7EFF"/>
    <w:rsid w:val="003001AC"/>
    <w:rsid w:val="003014EB"/>
    <w:rsid w:val="00301C88"/>
    <w:rsid w:val="003037E1"/>
    <w:rsid w:val="00307E51"/>
    <w:rsid w:val="003103EC"/>
    <w:rsid w:val="00312132"/>
    <w:rsid w:val="003130BA"/>
    <w:rsid w:val="00313E87"/>
    <w:rsid w:val="003144EF"/>
    <w:rsid w:val="0031480E"/>
    <w:rsid w:val="00316877"/>
    <w:rsid w:val="00322F74"/>
    <w:rsid w:val="00325E15"/>
    <w:rsid w:val="00331C0A"/>
    <w:rsid w:val="00335116"/>
    <w:rsid w:val="003361F3"/>
    <w:rsid w:val="00340073"/>
    <w:rsid w:val="003411D8"/>
    <w:rsid w:val="0034192C"/>
    <w:rsid w:val="003445B0"/>
    <w:rsid w:val="00353B66"/>
    <w:rsid w:val="00355539"/>
    <w:rsid w:val="00355934"/>
    <w:rsid w:val="003571F8"/>
    <w:rsid w:val="00357928"/>
    <w:rsid w:val="0036010E"/>
    <w:rsid w:val="003632FD"/>
    <w:rsid w:val="00364421"/>
    <w:rsid w:val="00370F78"/>
    <w:rsid w:val="00371425"/>
    <w:rsid w:val="00372805"/>
    <w:rsid w:val="00373180"/>
    <w:rsid w:val="00375AB9"/>
    <w:rsid w:val="0037691E"/>
    <w:rsid w:val="003821A0"/>
    <w:rsid w:val="00385B04"/>
    <w:rsid w:val="003864CF"/>
    <w:rsid w:val="00390295"/>
    <w:rsid w:val="003923EF"/>
    <w:rsid w:val="003937F8"/>
    <w:rsid w:val="003948AE"/>
    <w:rsid w:val="003A08C0"/>
    <w:rsid w:val="003A22A6"/>
    <w:rsid w:val="003A3147"/>
    <w:rsid w:val="003A32EB"/>
    <w:rsid w:val="003A5494"/>
    <w:rsid w:val="003B2510"/>
    <w:rsid w:val="003B4355"/>
    <w:rsid w:val="003B5D0A"/>
    <w:rsid w:val="003C2CC4"/>
    <w:rsid w:val="003C3710"/>
    <w:rsid w:val="003C42A3"/>
    <w:rsid w:val="003C48F7"/>
    <w:rsid w:val="003D188A"/>
    <w:rsid w:val="003D20BA"/>
    <w:rsid w:val="003D21FC"/>
    <w:rsid w:val="003E0463"/>
    <w:rsid w:val="003E0EFC"/>
    <w:rsid w:val="003E4A2B"/>
    <w:rsid w:val="003E5BDD"/>
    <w:rsid w:val="003E6FE9"/>
    <w:rsid w:val="003E76C2"/>
    <w:rsid w:val="003F06B1"/>
    <w:rsid w:val="003F1367"/>
    <w:rsid w:val="003F1679"/>
    <w:rsid w:val="003F21EB"/>
    <w:rsid w:val="003F4A35"/>
    <w:rsid w:val="003F5F03"/>
    <w:rsid w:val="003F7FDD"/>
    <w:rsid w:val="00400E4A"/>
    <w:rsid w:val="00402101"/>
    <w:rsid w:val="00402481"/>
    <w:rsid w:val="00402978"/>
    <w:rsid w:val="00402E47"/>
    <w:rsid w:val="004042B4"/>
    <w:rsid w:val="00410DC4"/>
    <w:rsid w:val="00412DAE"/>
    <w:rsid w:val="0041302D"/>
    <w:rsid w:val="0041464A"/>
    <w:rsid w:val="004242E6"/>
    <w:rsid w:val="00426557"/>
    <w:rsid w:val="00427B35"/>
    <w:rsid w:val="00427E95"/>
    <w:rsid w:val="00431598"/>
    <w:rsid w:val="004319AD"/>
    <w:rsid w:val="0044002B"/>
    <w:rsid w:val="004426B8"/>
    <w:rsid w:val="00444432"/>
    <w:rsid w:val="00447D5C"/>
    <w:rsid w:val="00450202"/>
    <w:rsid w:val="004502B2"/>
    <w:rsid w:val="004524A0"/>
    <w:rsid w:val="0045431C"/>
    <w:rsid w:val="00455499"/>
    <w:rsid w:val="00455B78"/>
    <w:rsid w:val="00457010"/>
    <w:rsid w:val="004649A7"/>
    <w:rsid w:val="00466221"/>
    <w:rsid w:val="00467DBC"/>
    <w:rsid w:val="004707A1"/>
    <w:rsid w:val="00471860"/>
    <w:rsid w:val="00471DFE"/>
    <w:rsid w:val="00477026"/>
    <w:rsid w:val="00477730"/>
    <w:rsid w:val="00477E66"/>
    <w:rsid w:val="00481647"/>
    <w:rsid w:val="004A0B58"/>
    <w:rsid w:val="004A4C46"/>
    <w:rsid w:val="004A744D"/>
    <w:rsid w:val="004B5122"/>
    <w:rsid w:val="004B60BD"/>
    <w:rsid w:val="004B68E0"/>
    <w:rsid w:val="004C3150"/>
    <w:rsid w:val="004C3641"/>
    <w:rsid w:val="004C3873"/>
    <w:rsid w:val="004C4390"/>
    <w:rsid w:val="004C4AF7"/>
    <w:rsid w:val="004C5250"/>
    <w:rsid w:val="004C58E9"/>
    <w:rsid w:val="004C7501"/>
    <w:rsid w:val="004D020C"/>
    <w:rsid w:val="004D2881"/>
    <w:rsid w:val="004D2D7D"/>
    <w:rsid w:val="004D385F"/>
    <w:rsid w:val="004D5B39"/>
    <w:rsid w:val="004D7976"/>
    <w:rsid w:val="004D7B7D"/>
    <w:rsid w:val="004E08AC"/>
    <w:rsid w:val="004E0CEA"/>
    <w:rsid w:val="004E330D"/>
    <w:rsid w:val="004E4985"/>
    <w:rsid w:val="004E5147"/>
    <w:rsid w:val="004E69B5"/>
    <w:rsid w:val="004E6ADE"/>
    <w:rsid w:val="004E76EC"/>
    <w:rsid w:val="004F50D1"/>
    <w:rsid w:val="004F5C43"/>
    <w:rsid w:val="00501C08"/>
    <w:rsid w:val="005050A2"/>
    <w:rsid w:val="00506030"/>
    <w:rsid w:val="0050652D"/>
    <w:rsid w:val="00506C03"/>
    <w:rsid w:val="00511A11"/>
    <w:rsid w:val="00514587"/>
    <w:rsid w:val="00516496"/>
    <w:rsid w:val="00522E7D"/>
    <w:rsid w:val="00523B11"/>
    <w:rsid w:val="0052455B"/>
    <w:rsid w:val="0052559F"/>
    <w:rsid w:val="0052572A"/>
    <w:rsid w:val="00526C3F"/>
    <w:rsid w:val="0053141E"/>
    <w:rsid w:val="00532DFB"/>
    <w:rsid w:val="005356D5"/>
    <w:rsid w:val="00543CB3"/>
    <w:rsid w:val="005442E4"/>
    <w:rsid w:val="00547652"/>
    <w:rsid w:val="0055529B"/>
    <w:rsid w:val="00556C79"/>
    <w:rsid w:val="00560FF0"/>
    <w:rsid w:val="005614BD"/>
    <w:rsid w:val="00562997"/>
    <w:rsid w:val="005632E4"/>
    <w:rsid w:val="0057154F"/>
    <w:rsid w:val="00571CDD"/>
    <w:rsid w:val="00580F69"/>
    <w:rsid w:val="0058131B"/>
    <w:rsid w:val="00581CA3"/>
    <w:rsid w:val="00585031"/>
    <w:rsid w:val="00586E8B"/>
    <w:rsid w:val="00587090"/>
    <w:rsid w:val="00587A44"/>
    <w:rsid w:val="00587D27"/>
    <w:rsid w:val="00597730"/>
    <w:rsid w:val="005977EC"/>
    <w:rsid w:val="00597DE7"/>
    <w:rsid w:val="005A0D50"/>
    <w:rsid w:val="005A1CD3"/>
    <w:rsid w:val="005A3E06"/>
    <w:rsid w:val="005A4AA2"/>
    <w:rsid w:val="005A5994"/>
    <w:rsid w:val="005B34B6"/>
    <w:rsid w:val="005B5BC3"/>
    <w:rsid w:val="005B606A"/>
    <w:rsid w:val="005B6C8F"/>
    <w:rsid w:val="005B6EC3"/>
    <w:rsid w:val="005B794A"/>
    <w:rsid w:val="005C17D7"/>
    <w:rsid w:val="005C33CE"/>
    <w:rsid w:val="005C51D5"/>
    <w:rsid w:val="005C6C4A"/>
    <w:rsid w:val="005D0F74"/>
    <w:rsid w:val="005D2E7D"/>
    <w:rsid w:val="005D4A8F"/>
    <w:rsid w:val="005D561B"/>
    <w:rsid w:val="005D578F"/>
    <w:rsid w:val="005D5ECF"/>
    <w:rsid w:val="005F468D"/>
    <w:rsid w:val="005F5556"/>
    <w:rsid w:val="005F69A3"/>
    <w:rsid w:val="00604CC7"/>
    <w:rsid w:val="00613441"/>
    <w:rsid w:val="00615423"/>
    <w:rsid w:val="006165B2"/>
    <w:rsid w:val="00617276"/>
    <w:rsid w:val="00617C0F"/>
    <w:rsid w:val="006219D1"/>
    <w:rsid w:val="00621BE1"/>
    <w:rsid w:val="0062527B"/>
    <w:rsid w:val="00625D97"/>
    <w:rsid w:val="00625F1C"/>
    <w:rsid w:val="0062658E"/>
    <w:rsid w:val="00626F31"/>
    <w:rsid w:val="006279E1"/>
    <w:rsid w:val="00630CEB"/>
    <w:rsid w:val="00632264"/>
    <w:rsid w:val="006355F2"/>
    <w:rsid w:val="006470BC"/>
    <w:rsid w:val="00650003"/>
    <w:rsid w:val="006554D3"/>
    <w:rsid w:val="006603F4"/>
    <w:rsid w:val="00661708"/>
    <w:rsid w:val="0066252B"/>
    <w:rsid w:val="00664798"/>
    <w:rsid w:val="00664BE3"/>
    <w:rsid w:val="00665BE9"/>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A75D6"/>
    <w:rsid w:val="006B09C4"/>
    <w:rsid w:val="006B3947"/>
    <w:rsid w:val="006B4293"/>
    <w:rsid w:val="006B624F"/>
    <w:rsid w:val="006B6B43"/>
    <w:rsid w:val="006C0C95"/>
    <w:rsid w:val="006C31E3"/>
    <w:rsid w:val="006D18D3"/>
    <w:rsid w:val="006D1EE9"/>
    <w:rsid w:val="006D339D"/>
    <w:rsid w:val="006D3BD1"/>
    <w:rsid w:val="006D5FAE"/>
    <w:rsid w:val="006E010E"/>
    <w:rsid w:val="006E08CB"/>
    <w:rsid w:val="006E2439"/>
    <w:rsid w:val="006E4F0C"/>
    <w:rsid w:val="006E598D"/>
    <w:rsid w:val="006E5DC4"/>
    <w:rsid w:val="006E6EB7"/>
    <w:rsid w:val="006E6F02"/>
    <w:rsid w:val="006F3615"/>
    <w:rsid w:val="006F416E"/>
    <w:rsid w:val="0070131E"/>
    <w:rsid w:val="0070437D"/>
    <w:rsid w:val="0070453D"/>
    <w:rsid w:val="00704CF1"/>
    <w:rsid w:val="00705B04"/>
    <w:rsid w:val="0071040E"/>
    <w:rsid w:val="00714D9A"/>
    <w:rsid w:val="00717820"/>
    <w:rsid w:val="00717EE9"/>
    <w:rsid w:val="00724992"/>
    <w:rsid w:val="00724F64"/>
    <w:rsid w:val="00727F90"/>
    <w:rsid w:val="00734820"/>
    <w:rsid w:val="007349DC"/>
    <w:rsid w:val="0074365E"/>
    <w:rsid w:val="007445EE"/>
    <w:rsid w:val="00744B55"/>
    <w:rsid w:val="007515FD"/>
    <w:rsid w:val="00753857"/>
    <w:rsid w:val="00753AB2"/>
    <w:rsid w:val="0075564C"/>
    <w:rsid w:val="00760D80"/>
    <w:rsid w:val="00761CB4"/>
    <w:rsid w:val="00762DC0"/>
    <w:rsid w:val="007750F9"/>
    <w:rsid w:val="00780C09"/>
    <w:rsid w:val="00780DDF"/>
    <w:rsid w:val="007834E9"/>
    <w:rsid w:val="00787DBC"/>
    <w:rsid w:val="0079019A"/>
    <w:rsid w:val="00791E60"/>
    <w:rsid w:val="00792935"/>
    <w:rsid w:val="007A04A1"/>
    <w:rsid w:val="007A1840"/>
    <w:rsid w:val="007A41DD"/>
    <w:rsid w:val="007B255C"/>
    <w:rsid w:val="007B62AE"/>
    <w:rsid w:val="007B730C"/>
    <w:rsid w:val="007C0528"/>
    <w:rsid w:val="007C08EA"/>
    <w:rsid w:val="007C3D38"/>
    <w:rsid w:val="007D03BF"/>
    <w:rsid w:val="007D0F35"/>
    <w:rsid w:val="007D1783"/>
    <w:rsid w:val="007D4546"/>
    <w:rsid w:val="007D4FEB"/>
    <w:rsid w:val="007D6146"/>
    <w:rsid w:val="007E0CE7"/>
    <w:rsid w:val="007E4E33"/>
    <w:rsid w:val="007E5041"/>
    <w:rsid w:val="007E6DAF"/>
    <w:rsid w:val="007F1193"/>
    <w:rsid w:val="007F417F"/>
    <w:rsid w:val="007F7644"/>
    <w:rsid w:val="008042BD"/>
    <w:rsid w:val="00804E17"/>
    <w:rsid w:val="008050B3"/>
    <w:rsid w:val="00816624"/>
    <w:rsid w:val="00821918"/>
    <w:rsid w:val="0082195C"/>
    <w:rsid w:val="00822427"/>
    <w:rsid w:val="00822562"/>
    <w:rsid w:val="00823663"/>
    <w:rsid w:val="00823664"/>
    <w:rsid w:val="00825CBF"/>
    <w:rsid w:val="00826833"/>
    <w:rsid w:val="00830245"/>
    <w:rsid w:val="008305B7"/>
    <w:rsid w:val="00832DDC"/>
    <w:rsid w:val="0084198D"/>
    <w:rsid w:val="008426B0"/>
    <w:rsid w:val="008431BB"/>
    <w:rsid w:val="00845E34"/>
    <w:rsid w:val="008467F6"/>
    <w:rsid w:val="0084689F"/>
    <w:rsid w:val="00850BAC"/>
    <w:rsid w:val="00854A3E"/>
    <w:rsid w:val="00855D08"/>
    <w:rsid w:val="008618A4"/>
    <w:rsid w:val="00865C53"/>
    <w:rsid w:val="008731AB"/>
    <w:rsid w:val="00874344"/>
    <w:rsid w:val="0087505D"/>
    <w:rsid w:val="00877703"/>
    <w:rsid w:val="00882155"/>
    <w:rsid w:val="0088233B"/>
    <w:rsid w:val="008850CB"/>
    <w:rsid w:val="0088599E"/>
    <w:rsid w:val="00885AFC"/>
    <w:rsid w:val="00886C37"/>
    <w:rsid w:val="00887BF0"/>
    <w:rsid w:val="008910E3"/>
    <w:rsid w:val="008915FC"/>
    <w:rsid w:val="00892D99"/>
    <w:rsid w:val="00893315"/>
    <w:rsid w:val="00894C09"/>
    <w:rsid w:val="00897B29"/>
    <w:rsid w:val="008A475C"/>
    <w:rsid w:val="008B5C68"/>
    <w:rsid w:val="008B62AE"/>
    <w:rsid w:val="008B75B6"/>
    <w:rsid w:val="008C0236"/>
    <w:rsid w:val="008C04B5"/>
    <w:rsid w:val="008C14FA"/>
    <w:rsid w:val="008C300E"/>
    <w:rsid w:val="008C7514"/>
    <w:rsid w:val="008C7B0B"/>
    <w:rsid w:val="008D4057"/>
    <w:rsid w:val="008E1F19"/>
    <w:rsid w:val="008F2262"/>
    <w:rsid w:val="008F487C"/>
    <w:rsid w:val="008F4D2B"/>
    <w:rsid w:val="008F5B91"/>
    <w:rsid w:val="008F6D9C"/>
    <w:rsid w:val="008F7736"/>
    <w:rsid w:val="008F7F88"/>
    <w:rsid w:val="0090019E"/>
    <w:rsid w:val="00900435"/>
    <w:rsid w:val="00901026"/>
    <w:rsid w:val="00901086"/>
    <w:rsid w:val="00901C8A"/>
    <w:rsid w:val="00902F66"/>
    <w:rsid w:val="00903C72"/>
    <w:rsid w:val="00904F3B"/>
    <w:rsid w:val="00905886"/>
    <w:rsid w:val="00906243"/>
    <w:rsid w:val="009070D6"/>
    <w:rsid w:val="0090739D"/>
    <w:rsid w:val="009076C6"/>
    <w:rsid w:val="0091019E"/>
    <w:rsid w:val="009106F1"/>
    <w:rsid w:val="00912404"/>
    <w:rsid w:val="009145D6"/>
    <w:rsid w:val="00915541"/>
    <w:rsid w:val="00920E64"/>
    <w:rsid w:val="00921ED3"/>
    <w:rsid w:val="00922002"/>
    <w:rsid w:val="009225CB"/>
    <w:rsid w:val="00924020"/>
    <w:rsid w:val="00924BF4"/>
    <w:rsid w:val="0092668C"/>
    <w:rsid w:val="009271A7"/>
    <w:rsid w:val="0092762F"/>
    <w:rsid w:val="00927CD1"/>
    <w:rsid w:val="00934AF7"/>
    <w:rsid w:val="0093658B"/>
    <w:rsid w:val="009429FF"/>
    <w:rsid w:val="009434F5"/>
    <w:rsid w:val="009444D1"/>
    <w:rsid w:val="00945BD6"/>
    <w:rsid w:val="009479FB"/>
    <w:rsid w:val="00951C45"/>
    <w:rsid w:val="00951DD8"/>
    <w:rsid w:val="0096053F"/>
    <w:rsid w:val="009656F2"/>
    <w:rsid w:val="00965895"/>
    <w:rsid w:val="00966A08"/>
    <w:rsid w:val="009701B7"/>
    <w:rsid w:val="00971207"/>
    <w:rsid w:val="00972FDC"/>
    <w:rsid w:val="00975CB4"/>
    <w:rsid w:val="00981074"/>
    <w:rsid w:val="009830E2"/>
    <w:rsid w:val="00985D3D"/>
    <w:rsid w:val="009863B0"/>
    <w:rsid w:val="00987DE1"/>
    <w:rsid w:val="00990571"/>
    <w:rsid w:val="00991905"/>
    <w:rsid w:val="009926B2"/>
    <w:rsid w:val="00995D3F"/>
    <w:rsid w:val="0099673A"/>
    <w:rsid w:val="009A3291"/>
    <w:rsid w:val="009A3330"/>
    <w:rsid w:val="009A5485"/>
    <w:rsid w:val="009A548F"/>
    <w:rsid w:val="009A623A"/>
    <w:rsid w:val="009A7C96"/>
    <w:rsid w:val="009B483E"/>
    <w:rsid w:val="009B4FDA"/>
    <w:rsid w:val="009B61BF"/>
    <w:rsid w:val="009B7911"/>
    <w:rsid w:val="009C3253"/>
    <w:rsid w:val="009C3DB9"/>
    <w:rsid w:val="009C5552"/>
    <w:rsid w:val="009C5968"/>
    <w:rsid w:val="009C7CEE"/>
    <w:rsid w:val="009D0436"/>
    <w:rsid w:val="009D46E5"/>
    <w:rsid w:val="009D568A"/>
    <w:rsid w:val="009D6C66"/>
    <w:rsid w:val="009E10BA"/>
    <w:rsid w:val="009E7956"/>
    <w:rsid w:val="009F04EC"/>
    <w:rsid w:val="009F2A7C"/>
    <w:rsid w:val="009F3B36"/>
    <w:rsid w:val="009F576E"/>
    <w:rsid w:val="009F6728"/>
    <w:rsid w:val="00A01475"/>
    <w:rsid w:val="00A019B9"/>
    <w:rsid w:val="00A0312E"/>
    <w:rsid w:val="00A03157"/>
    <w:rsid w:val="00A11756"/>
    <w:rsid w:val="00A12497"/>
    <w:rsid w:val="00A12508"/>
    <w:rsid w:val="00A12579"/>
    <w:rsid w:val="00A1282B"/>
    <w:rsid w:val="00A13A27"/>
    <w:rsid w:val="00A13CFE"/>
    <w:rsid w:val="00A15B7C"/>
    <w:rsid w:val="00A175B6"/>
    <w:rsid w:val="00A21835"/>
    <w:rsid w:val="00A2374B"/>
    <w:rsid w:val="00A23AAB"/>
    <w:rsid w:val="00A23D95"/>
    <w:rsid w:val="00A27D6E"/>
    <w:rsid w:val="00A328EC"/>
    <w:rsid w:val="00A33A51"/>
    <w:rsid w:val="00A36D23"/>
    <w:rsid w:val="00A40112"/>
    <w:rsid w:val="00A41CA6"/>
    <w:rsid w:val="00A431ED"/>
    <w:rsid w:val="00A45A6F"/>
    <w:rsid w:val="00A467C6"/>
    <w:rsid w:val="00A47927"/>
    <w:rsid w:val="00A47FCD"/>
    <w:rsid w:val="00A47FFC"/>
    <w:rsid w:val="00A50A83"/>
    <w:rsid w:val="00A52C51"/>
    <w:rsid w:val="00A5442F"/>
    <w:rsid w:val="00A54FF9"/>
    <w:rsid w:val="00A56765"/>
    <w:rsid w:val="00A675AC"/>
    <w:rsid w:val="00A7097D"/>
    <w:rsid w:val="00A74343"/>
    <w:rsid w:val="00A7581F"/>
    <w:rsid w:val="00A81274"/>
    <w:rsid w:val="00A81A0F"/>
    <w:rsid w:val="00A84207"/>
    <w:rsid w:val="00A86ACA"/>
    <w:rsid w:val="00A90058"/>
    <w:rsid w:val="00A92439"/>
    <w:rsid w:val="00A92FB1"/>
    <w:rsid w:val="00A9564F"/>
    <w:rsid w:val="00A95980"/>
    <w:rsid w:val="00A95A0C"/>
    <w:rsid w:val="00AA2765"/>
    <w:rsid w:val="00AA77B5"/>
    <w:rsid w:val="00AB1022"/>
    <w:rsid w:val="00AB6C5D"/>
    <w:rsid w:val="00AC3401"/>
    <w:rsid w:val="00AC3BF3"/>
    <w:rsid w:val="00AC51A7"/>
    <w:rsid w:val="00AC603B"/>
    <w:rsid w:val="00AD0E89"/>
    <w:rsid w:val="00AD1D87"/>
    <w:rsid w:val="00AD444B"/>
    <w:rsid w:val="00AD5614"/>
    <w:rsid w:val="00AD6C78"/>
    <w:rsid w:val="00AE03F0"/>
    <w:rsid w:val="00AE252E"/>
    <w:rsid w:val="00AE2B72"/>
    <w:rsid w:val="00AE2EAB"/>
    <w:rsid w:val="00AE3E8D"/>
    <w:rsid w:val="00AE5D90"/>
    <w:rsid w:val="00AF13D0"/>
    <w:rsid w:val="00AF3D9B"/>
    <w:rsid w:val="00AF5E0E"/>
    <w:rsid w:val="00AF5F89"/>
    <w:rsid w:val="00AF6FB4"/>
    <w:rsid w:val="00AF73CB"/>
    <w:rsid w:val="00B002D6"/>
    <w:rsid w:val="00B01887"/>
    <w:rsid w:val="00B02EF0"/>
    <w:rsid w:val="00B03379"/>
    <w:rsid w:val="00B03FA5"/>
    <w:rsid w:val="00B04110"/>
    <w:rsid w:val="00B05B51"/>
    <w:rsid w:val="00B14E5A"/>
    <w:rsid w:val="00B15370"/>
    <w:rsid w:val="00B16DA4"/>
    <w:rsid w:val="00B17BEB"/>
    <w:rsid w:val="00B21A3C"/>
    <w:rsid w:val="00B223C0"/>
    <w:rsid w:val="00B234ED"/>
    <w:rsid w:val="00B249B2"/>
    <w:rsid w:val="00B24BEC"/>
    <w:rsid w:val="00B25CA3"/>
    <w:rsid w:val="00B2765A"/>
    <w:rsid w:val="00B27DEB"/>
    <w:rsid w:val="00B3109A"/>
    <w:rsid w:val="00B32844"/>
    <w:rsid w:val="00B32D37"/>
    <w:rsid w:val="00B33603"/>
    <w:rsid w:val="00B41AA8"/>
    <w:rsid w:val="00B42B45"/>
    <w:rsid w:val="00B5116B"/>
    <w:rsid w:val="00B516ED"/>
    <w:rsid w:val="00B565DA"/>
    <w:rsid w:val="00B57A6A"/>
    <w:rsid w:val="00B62D0D"/>
    <w:rsid w:val="00B6789A"/>
    <w:rsid w:val="00B732BD"/>
    <w:rsid w:val="00B760F1"/>
    <w:rsid w:val="00B7669E"/>
    <w:rsid w:val="00B76EBB"/>
    <w:rsid w:val="00B77DA1"/>
    <w:rsid w:val="00B77F98"/>
    <w:rsid w:val="00B822A0"/>
    <w:rsid w:val="00B82F85"/>
    <w:rsid w:val="00B858AE"/>
    <w:rsid w:val="00B85964"/>
    <w:rsid w:val="00B86A42"/>
    <w:rsid w:val="00B90644"/>
    <w:rsid w:val="00B93DC1"/>
    <w:rsid w:val="00B943F3"/>
    <w:rsid w:val="00B95EF7"/>
    <w:rsid w:val="00B96250"/>
    <w:rsid w:val="00BA0D55"/>
    <w:rsid w:val="00BA37B3"/>
    <w:rsid w:val="00BA4CC6"/>
    <w:rsid w:val="00BA7F46"/>
    <w:rsid w:val="00BB0F1D"/>
    <w:rsid w:val="00BB1556"/>
    <w:rsid w:val="00BB1628"/>
    <w:rsid w:val="00BB2EA5"/>
    <w:rsid w:val="00BB3493"/>
    <w:rsid w:val="00BB6E4C"/>
    <w:rsid w:val="00BB7468"/>
    <w:rsid w:val="00BC0514"/>
    <w:rsid w:val="00BC188A"/>
    <w:rsid w:val="00BC3B87"/>
    <w:rsid w:val="00BC402E"/>
    <w:rsid w:val="00BC5C58"/>
    <w:rsid w:val="00BC61E1"/>
    <w:rsid w:val="00BC70C6"/>
    <w:rsid w:val="00BD0F48"/>
    <w:rsid w:val="00BD14E5"/>
    <w:rsid w:val="00BE0E50"/>
    <w:rsid w:val="00BE6DDB"/>
    <w:rsid w:val="00BE6FDA"/>
    <w:rsid w:val="00BF03E0"/>
    <w:rsid w:val="00BF2367"/>
    <w:rsid w:val="00BF5010"/>
    <w:rsid w:val="00C0180A"/>
    <w:rsid w:val="00C03009"/>
    <w:rsid w:val="00C03D5F"/>
    <w:rsid w:val="00C13791"/>
    <w:rsid w:val="00C210BD"/>
    <w:rsid w:val="00C22DDE"/>
    <w:rsid w:val="00C2575A"/>
    <w:rsid w:val="00C27589"/>
    <w:rsid w:val="00C30E59"/>
    <w:rsid w:val="00C31BB3"/>
    <w:rsid w:val="00C36977"/>
    <w:rsid w:val="00C46628"/>
    <w:rsid w:val="00C467DA"/>
    <w:rsid w:val="00C46BC4"/>
    <w:rsid w:val="00C477D9"/>
    <w:rsid w:val="00C50ADA"/>
    <w:rsid w:val="00C530DF"/>
    <w:rsid w:val="00C56DFB"/>
    <w:rsid w:val="00C57869"/>
    <w:rsid w:val="00C6097E"/>
    <w:rsid w:val="00C60BA3"/>
    <w:rsid w:val="00C623F7"/>
    <w:rsid w:val="00C6297D"/>
    <w:rsid w:val="00C62A81"/>
    <w:rsid w:val="00C65C8A"/>
    <w:rsid w:val="00C67CD7"/>
    <w:rsid w:val="00C71E00"/>
    <w:rsid w:val="00C759A0"/>
    <w:rsid w:val="00C75BC5"/>
    <w:rsid w:val="00C768CF"/>
    <w:rsid w:val="00C81670"/>
    <w:rsid w:val="00C81773"/>
    <w:rsid w:val="00C82861"/>
    <w:rsid w:val="00C8396C"/>
    <w:rsid w:val="00C8564E"/>
    <w:rsid w:val="00C86896"/>
    <w:rsid w:val="00C87200"/>
    <w:rsid w:val="00C907A8"/>
    <w:rsid w:val="00C91670"/>
    <w:rsid w:val="00C93211"/>
    <w:rsid w:val="00C93DB8"/>
    <w:rsid w:val="00C942EC"/>
    <w:rsid w:val="00C96047"/>
    <w:rsid w:val="00C96711"/>
    <w:rsid w:val="00C96C9E"/>
    <w:rsid w:val="00C96D9F"/>
    <w:rsid w:val="00C9768E"/>
    <w:rsid w:val="00C979D0"/>
    <w:rsid w:val="00CA0818"/>
    <w:rsid w:val="00CA15C8"/>
    <w:rsid w:val="00CA2C8F"/>
    <w:rsid w:val="00CA30DA"/>
    <w:rsid w:val="00CA3A24"/>
    <w:rsid w:val="00CB16BF"/>
    <w:rsid w:val="00CB1777"/>
    <w:rsid w:val="00CB33E9"/>
    <w:rsid w:val="00CB3F73"/>
    <w:rsid w:val="00CC10A9"/>
    <w:rsid w:val="00CD0655"/>
    <w:rsid w:val="00CD0660"/>
    <w:rsid w:val="00CD67A8"/>
    <w:rsid w:val="00CE017A"/>
    <w:rsid w:val="00CE2BF8"/>
    <w:rsid w:val="00CE484E"/>
    <w:rsid w:val="00CE4D20"/>
    <w:rsid w:val="00CE5FC7"/>
    <w:rsid w:val="00CE656F"/>
    <w:rsid w:val="00CE6A0B"/>
    <w:rsid w:val="00CF036F"/>
    <w:rsid w:val="00CF0DA8"/>
    <w:rsid w:val="00CF2E25"/>
    <w:rsid w:val="00CF4453"/>
    <w:rsid w:val="00CF5589"/>
    <w:rsid w:val="00CF5D94"/>
    <w:rsid w:val="00CF7E0F"/>
    <w:rsid w:val="00D00893"/>
    <w:rsid w:val="00D034D7"/>
    <w:rsid w:val="00D04BE4"/>
    <w:rsid w:val="00D06FC7"/>
    <w:rsid w:val="00D12565"/>
    <w:rsid w:val="00D140C1"/>
    <w:rsid w:val="00D14127"/>
    <w:rsid w:val="00D211DE"/>
    <w:rsid w:val="00D479AE"/>
    <w:rsid w:val="00D50FCD"/>
    <w:rsid w:val="00D533E3"/>
    <w:rsid w:val="00D60B16"/>
    <w:rsid w:val="00D60F02"/>
    <w:rsid w:val="00D64A0B"/>
    <w:rsid w:val="00D66E49"/>
    <w:rsid w:val="00D70D71"/>
    <w:rsid w:val="00D72F74"/>
    <w:rsid w:val="00D749BA"/>
    <w:rsid w:val="00D80BC8"/>
    <w:rsid w:val="00D81563"/>
    <w:rsid w:val="00D837C1"/>
    <w:rsid w:val="00D84063"/>
    <w:rsid w:val="00D85907"/>
    <w:rsid w:val="00D860AC"/>
    <w:rsid w:val="00D9073E"/>
    <w:rsid w:val="00D9221D"/>
    <w:rsid w:val="00D9253C"/>
    <w:rsid w:val="00D946F0"/>
    <w:rsid w:val="00D958DF"/>
    <w:rsid w:val="00D96DA1"/>
    <w:rsid w:val="00DA51E7"/>
    <w:rsid w:val="00DA6C25"/>
    <w:rsid w:val="00DA7720"/>
    <w:rsid w:val="00DA7A1F"/>
    <w:rsid w:val="00DB0260"/>
    <w:rsid w:val="00DB1C78"/>
    <w:rsid w:val="00DB4F42"/>
    <w:rsid w:val="00DB7D96"/>
    <w:rsid w:val="00DC23FE"/>
    <w:rsid w:val="00DC59E6"/>
    <w:rsid w:val="00DD150B"/>
    <w:rsid w:val="00DD3356"/>
    <w:rsid w:val="00DD5025"/>
    <w:rsid w:val="00DD5464"/>
    <w:rsid w:val="00DD6F85"/>
    <w:rsid w:val="00DD748A"/>
    <w:rsid w:val="00DE254E"/>
    <w:rsid w:val="00DE32C0"/>
    <w:rsid w:val="00DE52C0"/>
    <w:rsid w:val="00DE76A7"/>
    <w:rsid w:val="00DE7772"/>
    <w:rsid w:val="00DF1510"/>
    <w:rsid w:val="00E00CBA"/>
    <w:rsid w:val="00E02F1F"/>
    <w:rsid w:val="00E05454"/>
    <w:rsid w:val="00E06484"/>
    <w:rsid w:val="00E06B24"/>
    <w:rsid w:val="00E07880"/>
    <w:rsid w:val="00E16CC7"/>
    <w:rsid w:val="00E20A7D"/>
    <w:rsid w:val="00E20ED5"/>
    <w:rsid w:val="00E23FE4"/>
    <w:rsid w:val="00E275D8"/>
    <w:rsid w:val="00E30F6A"/>
    <w:rsid w:val="00E3117C"/>
    <w:rsid w:val="00E31288"/>
    <w:rsid w:val="00E3191F"/>
    <w:rsid w:val="00E34307"/>
    <w:rsid w:val="00E34511"/>
    <w:rsid w:val="00E35DB3"/>
    <w:rsid w:val="00E3635B"/>
    <w:rsid w:val="00E375C3"/>
    <w:rsid w:val="00E375CA"/>
    <w:rsid w:val="00E41A54"/>
    <w:rsid w:val="00E41C4B"/>
    <w:rsid w:val="00E42B46"/>
    <w:rsid w:val="00E52E29"/>
    <w:rsid w:val="00E5364F"/>
    <w:rsid w:val="00E53CDE"/>
    <w:rsid w:val="00E567E8"/>
    <w:rsid w:val="00E63766"/>
    <w:rsid w:val="00E64679"/>
    <w:rsid w:val="00E65EBC"/>
    <w:rsid w:val="00E6602E"/>
    <w:rsid w:val="00E677FE"/>
    <w:rsid w:val="00E73432"/>
    <w:rsid w:val="00E76BF8"/>
    <w:rsid w:val="00E77B0C"/>
    <w:rsid w:val="00E77FB8"/>
    <w:rsid w:val="00E838B0"/>
    <w:rsid w:val="00E85756"/>
    <w:rsid w:val="00E86A7C"/>
    <w:rsid w:val="00E878E1"/>
    <w:rsid w:val="00E87F2C"/>
    <w:rsid w:val="00E95278"/>
    <w:rsid w:val="00E96085"/>
    <w:rsid w:val="00E96A42"/>
    <w:rsid w:val="00EA141F"/>
    <w:rsid w:val="00EA2273"/>
    <w:rsid w:val="00EA7C3C"/>
    <w:rsid w:val="00EB2DB3"/>
    <w:rsid w:val="00EB305F"/>
    <w:rsid w:val="00EC3EF2"/>
    <w:rsid w:val="00EC3FBB"/>
    <w:rsid w:val="00EC6B7A"/>
    <w:rsid w:val="00EC718C"/>
    <w:rsid w:val="00ED3A87"/>
    <w:rsid w:val="00ED5B67"/>
    <w:rsid w:val="00EE0595"/>
    <w:rsid w:val="00EE1A5C"/>
    <w:rsid w:val="00EE5F5A"/>
    <w:rsid w:val="00EF22FB"/>
    <w:rsid w:val="00EF237C"/>
    <w:rsid w:val="00EF264C"/>
    <w:rsid w:val="00EF3D1D"/>
    <w:rsid w:val="00EF3FEE"/>
    <w:rsid w:val="00EF6A70"/>
    <w:rsid w:val="00EF6B41"/>
    <w:rsid w:val="00F04B59"/>
    <w:rsid w:val="00F057D7"/>
    <w:rsid w:val="00F07B69"/>
    <w:rsid w:val="00F11741"/>
    <w:rsid w:val="00F117B0"/>
    <w:rsid w:val="00F12B1C"/>
    <w:rsid w:val="00F13B1B"/>
    <w:rsid w:val="00F13CF8"/>
    <w:rsid w:val="00F15855"/>
    <w:rsid w:val="00F200B2"/>
    <w:rsid w:val="00F2171B"/>
    <w:rsid w:val="00F227DC"/>
    <w:rsid w:val="00F263B9"/>
    <w:rsid w:val="00F304E8"/>
    <w:rsid w:val="00F30701"/>
    <w:rsid w:val="00F32978"/>
    <w:rsid w:val="00F43954"/>
    <w:rsid w:val="00F441A3"/>
    <w:rsid w:val="00F45CB2"/>
    <w:rsid w:val="00F511F3"/>
    <w:rsid w:val="00F544C0"/>
    <w:rsid w:val="00F55332"/>
    <w:rsid w:val="00F5591C"/>
    <w:rsid w:val="00F6156E"/>
    <w:rsid w:val="00F618D5"/>
    <w:rsid w:val="00F6504A"/>
    <w:rsid w:val="00F65519"/>
    <w:rsid w:val="00F66D9F"/>
    <w:rsid w:val="00F713C0"/>
    <w:rsid w:val="00F75DDC"/>
    <w:rsid w:val="00F75E24"/>
    <w:rsid w:val="00F7792F"/>
    <w:rsid w:val="00F842AA"/>
    <w:rsid w:val="00F8476F"/>
    <w:rsid w:val="00F853E1"/>
    <w:rsid w:val="00F85604"/>
    <w:rsid w:val="00F91280"/>
    <w:rsid w:val="00F9246D"/>
    <w:rsid w:val="00F93809"/>
    <w:rsid w:val="00F94B7A"/>
    <w:rsid w:val="00FA17AC"/>
    <w:rsid w:val="00FA32DE"/>
    <w:rsid w:val="00FA3382"/>
    <w:rsid w:val="00FA49AD"/>
    <w:rsid w:val="00FA59CD"/>
    <w:rsid w:val="00FB0CDC"/>
    <w:rsid w:val="00FB1740"/>
    <w:rsid w:val="00FB37E3"/>
    <w:rsid w:val="00FB4235"/>
    <w:rsid w:val="00FB61C8"/>
    <w:rsid w:val="00FC1A44"/>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326705EF"/>
  <w15:docId w15:val="{3699460E-09E8-4FF0-AAB1-A8333BF6C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qForma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unhideWhenUsed/>
    <w:rsid w:val="000F1967"/>
    <w:rPr>
      <w:vertAlign w:val="superscript"/>
    </w:rPr>
  </w:style>
  <w:style w:type="character" w:customStyle="1" w:styleId="FootnoteTextChar">
    <w:name w:val="Footnote Text Char"/>
    <w:basedOn w:val="DefaultParagraphFont"/>
    <w:link w:val="FootnoteText"/>
    <w:uiPriority w:val="99"/>
    <w:rsid w:val="000F1967"/>
  </w:style>
  <w:style w:type="table" w:customStyle="1" w:styleId="TableGrid2">
    <w:name w:val="Table Grid2"/>
    <w:basedOn w:val="TableNormal"/>
    <w:next w:val="TableGrid"/>
    <w:uiPriority w:val="59"/>
    <w:rsid w:val="00C759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67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AE5D90"/>
    <w:rPr>
      <w:sz w:val="16"/>
      <w:szCs w:val="16"/>
    </w:rPr>
  </w:style>
  <w:style w:type="paragraph" w:styleId="Revision">
    <w:name w:val="Revision"/>
    <w:hidden/>
    <w:uiPriority w:val="99"/>
    <w:semiHidden/>
    <w:rsid w:val="00210F0F"/>
    <w:rPr>
      <w:sz w:val="24"/>
      <w:szCs w:val="24"/>
    </w:rPr>
  </w:style>
  <w:style w:type="character" w:styleId="FollowedHyperlink">
    <w:name w:val="FollowedHyperlink"/>
    <w:basedOn w:val="DefaultParagraphFont"/>
    <w:semiHidden/>
    <w:unhideWhenUsed/>
    <w:rsid w:val="002A128D"/>
    <w:rPr>
      <w:color w:val="800080" w:themeColor="followedHyperlink"/>
      <w:u w:val="single"/>
    </w:rPr>
  </w:style>
  <w:style w:type="character" w:customStyle="1" w:styleId="HeaderChar">
    <w:name w:val="Header Char"/>
    <w:basedOn w:val="DefaultParagraphFont"/>
    <w:link w:val="Header"/>
    <w:rsid w:val="000B6C3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emf"/><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6.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3.emf"/><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5.e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image" Target="media/image8.emf"/><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emf"/><Relationship Id="rId27" Type="http://schemas.openxmlformats.org/officeDocument/2006/relationships/image" Target="media/image7.emf"/><Relationship Id="rId30" Type="http://schemas.openxmlformats.org/officeDocument/2006/relationships/header" Target="header11.xml"/></Relationships>
</file>

<file path=word/_rels/footnotes.xml.rels><?xml version="1.0" encoding="UTF-8" standalone="yes"?>
<Relationships xmlns="http://schemas.openxmlformats.org/package/2006/relationships"><Relationship Id="rId1" Type="http://schemas.openxmlformats.org/officeDocument/2006/relationships/hyperlink" Target="https://www.irs.gov/tax-professionals/standard-mileage-rat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125A9-117D-44A9-924A-E6888957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35</Pages>
  <Words>7962</Words>
  <Characters>47257</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55109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Garret Kelley</dc:creator>
  <cp:lastModifiedBy>Lauren Garcia</cp:lastModifiedBy>
  <cp:revision>2</cp:revision>
  <cp:lastPrinted>2026-02-02T18:10:00Z</cp:lastPrinted>
  <dcterms:created xsi:type="dcterms:W3CDTF">2026-03-26T14:05:00Z</dcterms:created>
  <dcterms:modified xsi:type="dcterms:W3CDTF">2026-03-26T14:05:00Z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20250075-WU</vt:lpwstr>
  </property>
  <property fmtid="{D5CDD505-2E9C-101B-9397-08002B2CF9AE}" pid="3" name="MasterDocument">
    <vt:bool>false</vt:bool>
  </property>
</Properties>
</file>