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87FC3">
            <w:pPr>
              <w:pStyle w:val="MemoHeading"/>
            </w:pPr>
            <w:bookmarkStart w:id="1" w:name="FilingDate"/>
            <w:r>
              <w:t>October 20,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87FC3" w:rsidRDefault="00987FC3">
            <w:pPr>
              <w:pStyle w:val="MemoHeading"/>
            </w:pPr>
            <w:bookmarkStart w:id="2" w:name="From"/>
            <w:r>
              <w:t xml:space="preserve">Division of Economics (Kunkler, Draper, </w:t>
            </w:r>
            <w:r w:rsidR="00B4092B">
              <w:t>Hampson</w:t>
            </w:r>
            <w:r>
              <w:t>)</w:t>
            </w:r>
          </w:p>
          <w:p w:rsidR="00987FC3" w:rsidRDefault="00987FC3">
            <w:pPr>
              <w:pStyle w:val="MemoHeading"/>
            </w:pPr>
            <w:r>
              <w:t>Division of Accounting and Finance (Gatlin, Norris)</w:t>
            </w:r>
          </w:p>
          <w:p w:rsidR="007C0528" w:rsidRDefault="00987FC3">
            <w:pPr>
              <w:pStyle w:val="MemoHeading"/>
            </w:pPr>
            <w:r>
              <w:t>Office of the General Counsel (Dose,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87FC3">
            <w:pPr>
              <w:pStyle w:val="MemoHeadingRe"/>
            </w:pPr>
            <w:bookmarkStart w:id="3" w:name="Re"/>
            <w:r>
              <w:t>Docket No. 20220161-EI – Petition to adjust clean energy transition mechanism to reflect revised authorized return on equity,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87FC3" w:rsidP="0037069C">
            <w:pPr>
              <w:pStyle w:val="MemoHeading"/>
            </w:pPr>
            <w:bookmarkStart w:id="4" w:name="AgendaDate"/>
            <w:r>
              <w:t>11/01/22</w:t>
            </w:r>
            <w:bookmarkEnd w:id="4"/>
            <w:r w:rsidR="007C0528">
              <w:t xml:space="preserve"> – </w:t>
            </w:r>
            <w:bookmarkStart w:id="5" w:name="PermittedStatus"/>
            <w:r>
              <w:t xml:space="preserve">Regular Agenda – </w:t>
            </w:r>
            <w:r w:rsidR="0037069C">
              <w:t xml:space="preserve">Tariff Filing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87FC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87FC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23E7A">
            <w:pPr>
              <w:pStyle w:val="MemoHeading"/>
            </w:pPr>
            <w:bookmarkStart w:id="9" w:name="CriticalDates"/>
            <w:r>
              <w:t>11/15</w:t>
            </w:r>
            <w:r w:rsidR="00987FC3">
              <w:t>/22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87FC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A62C0" w:rsidRDefault="00EA62C0" w:rsidP="00B0240E">
      <w:pPr>
        <w:pStyle w:val="BodyText"/>
      </w:pPr>
      <w:r>
        <w:t>On September 16, 2022, Tampa Electric Company (TECO or Company) filed a petition to adjust the Clean Energy Transition Mechanism (CETM) revenue requirement established in Paragraph 5 of the 2021 Stipulation and Settlement Agreement (2021 Agreement). The Commission previously approved the 2021 Agreement in Order No. PSC-2021-0423-S-EI.</w:t>
      </w:r>
      <w:r>
        <w:rPr>
          <w:rStyle w:val="FootnoteReference"/>
        </w:rPr>
        <w:footnoteReference w:id="1"/>
      </w:r>
      <w:r>
        <w:t xml:space="preserve"> Paragraph 5 of the 2021 Agreement provides </w:t>
      </w:r>
      <w:r w:rsidRPr="005535D1">
        <w:t>for initial CETM charges, or rates, to recover an annual revenue requirement of $68,550,000,</w:t>
      </w:r>
      <w:r>
        <w:t xml:space="preserve"> effective January 1, 2022. Per the 2021 Agreement, the CETM is a </w:t>
      </w:r>
      <w:proofErr w:type="spellStart"/>
      <w:r>
        <w:t>levelized</w:t>
      </w:r>
      <w:proofErr w:type="spellEnd"/>
      <w:r>
        <w:t xml:space="preserve"> annual recovery amount that extends through 2036, and is subject to periodic factor updates (every three years) as well as adjustments to account for all rate of return adjustments (i.e. resets to the Company’s mid-point return on equity) and corporate income tax rate changes. </w:t>
      </w:r>
    </w:p>
    <w:p w:rsidR="00EA62C0" w:rsidRDefault="00EA62C0" w:rsidP="00B0240E">
      <w:pPr>
        <w:pStyle w:val="BodyText"/>
      </w:pPr>
      <w:r>
        <w:lastRenderedPageBreak/>
        <w:t xml:space="preserve">The CETM is made up of two cost categories. The first category includes Big Bend Units One, Two, and </w:t>
      </w:r>
      <w:proofErr w:type="gramStart"/>
      <w:r>
        <w:t>Three</w:t>
      </w:r>
      <w:proofErr w:type="gramEnd"/>
      <w:r>
        <w:t xml:space="preserve"> retirements, as well as the Company’s dismantlement reserve deficiency for the Big Bend Assets. The second category includes costs associated with Automated Meter Reading (AMR) meter retirements. All such costs were identified in testimony and minimum filing requirements (MFRs) in Docket No. 20210034-EI. </w:t>
      </w:r>
    </w:p>
    <w:p w:rsidR="00EA62C0" w:rsidRDefault="00EA62C0" w:rsidP="00B0240E">
      <w:pPr>
        <w:pStyle w:val="BodyText"/>
      </w:pPr>
      <w:r>
        <w:t xml:space="preserve">In the instant petition, TECO requests that the Commission increase the CETM to $69,168,529, and approve revised customer rates resulting from this change effective January 1, 2023.  Such rates are reflected in the proposed revisions to the Company’s tariff page submitted with its Petition, and included as Attachment A to the recommendation.  Consistent with Subparagraph 5(f) of the 2021 Agreement, TECO seeks this increase in order to reflect TECO’s Revised Authorized Return on Equity (ROE) </w:t>
      </w:r>
      <w:r w:rsidR="008824BB">
        <w:t xml:space="preserve">mid-point </w:t>
      </w:r>
      <w:r>
        <w:t>of 10.20 percent effective July 1, 2022, as approved in Order No. PSC-2022-0322-FOF-EI.</w:t>
      </w:r>
      <w:r>
        <w:rPr>
          <w:rStyle w:val="FootnoteReference"/>
        </w:rPr>
        <w:footnoteReference w:id="2"/>
      </w:r>
      <w:r>
        <w:t xml:space="preserve">  </w:t>
      </w:r>
    </w:p>
    <w:p w:rsidR="00EA62C0" w:rsidRDefault="00EA62C0" w:rsidP="00B0240E">
      <w:pPr>
        <w:pStyle w:val="BodyText"/>
      </w:pPr>
      <w:r>
        <w:t>The Commission has jurisdiction over this matter pursuant to Section</w:t>
      </w:r>
      <w:r w:rsidR="009B6A5A">
        <w:t xml:space="preserve">s </w:t>
      </w:r>
      <w:r w:rsidR="000343A8">
        <w:t xml:space="preserve">366.06 </w:t>
      </w:r>
      <w:r w:rsidR="009B6A5A" w:rsidRPr="009B6A5A">
        <w:t>and</w:t>
      </w:r>
      <w:r>
        <w:t xml:space="preserve"> 366.076, Florida Statutes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87FC3" w:rsidRDefault="00987FC3">
      <w:pPr>
        <w:pStyle w:val="IssueHeading"/>
        <w:rPr>
          <w:vanish/>
          <w:specVanish/>
        </w:rPr>
      </w:pPr>
      <w:r w:rsidRPr="004C3641">
        <w:t xml:space="preserve">Issue </w:t>
      </w:r>
      <w:r w:rsidR="00841324">
        <w:fldChar w:fldCharType="begin"/>
      </w:r>
      <w:r w:rsidR="00841324">
        <w:instrText xml:space="preserve"> SEQ Issue \* MERGEFORMAT </w:instrText>
      </w:r>
      <w:r w:rsidR="00841324">
        <w:fldChar w:fldCharType="separate"/>
      </w:r>
      <w:r w:rsidR="000020D2">
        <w:rPr>
          <w:noProof/>
        </w:rPr>
        <w:t>1</w:t>
      </w:r>
      <w:r w:rsidR="008413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020D2">
        <w:rPr>
          <w:noProof/>
        </w:rPr>
        <w:instrText>1</w:instrText>
      </w:r>
      <w:r>
        <w:fldChar w:fldCharType="end"/>
      </w:r>
      <w:r>
        <w:tab/>
        <w:instrText xml:space="preserve">(Norris, Gatlin)" \l 1 </w:instrText>
      </w:r>
      <w:r>
        <w:fldChar w:fldCharType="end"/>
      </w:r>
      <w:r>
        <w:t> </w:t>
      </w:r>
    </w:p>
    <w:p w:rsidR="00987FC3" w:rsidRDefault="00987FC3">
      <w:pPr>
        <w:pStyle w:val="BodyText"/>
      </w:pPr>
      <w:r>
        <w:t> Should the Commission approve the updated Clean Energy Transmission Mechanism (CETM) amount of $69,168,529?</w:t>
      </w:r>
    </w:p>
    <w:p w:rsidR="00987FC3" w:rsidRPr="004C3641" w:rsidRDefault="00987FC3">
      <w:pPr>
        <w:pStyle w:val="IssueSubsectionHeading"/>
        <w:rPr>
          <w:vanish/>
          <w:specVanish/>
        </w:rPr>
      </w:pPr>
      <w:r w:rsidRPr="004C3641">
        <w:t>Recommendation: </w:t>
      </w:r>
    </w:p>
    <w:p w:rsidR="00987FC3" w:rsidRDefault="00987FC3">
      <w:pPr>
        <w:pStyle w:val="BodyText"/>
      </w:pPr>
      <w:r>
        <w:t> </w:t>
      </w:r>
      <w:r w:rsidR="00E23E7A" w:rsidRPr="00CA6184">
        <w:t>Yes, the updated 2023 CETM amount of $69,168,529 should be approved</w:t>
      </w:r>
      <w:r w:rsidR="00E23E7A">
        <w:t xml:space="preserve">. </w:t>
      </w:r>
      <w:r>
        <w:t xml:space="preserve"> (Norris, Gatlin)</w:t>
      </w:r>
    </w:p>
    <w:p w:rsidR="00987FC3" w:rsidRPr="004C3641" w:rsidRDefault="00987FC3">
      <w:pPr>
        <w:pStyle w:val="IssueSubsectionHeading"/>
        <w:rPr>
          <w:vanish/>
          <w:specVanish/>
        </w:rPr>
      </w:pPr>
      <w:r w:rsidRPr="004C3641">
        <w:t>Staff Analysis: </w:t>
      </w:r>
    </w:p>
    <w:p w:rsidR="00E23E7A" w:rsidRDefault="00987FC3" w:rsidP="00E23E7A">
      <w:pPr>
        <w:pStyle w:val="BodyText"/>
      </w:pPr>
      <w:r>
        <w:t> </w:t>
      </w:r>
      <w:r w:rsidR="00E23E7A">
        <w:t>S</w:t>
      </w:r>
      <w:r w:rsidR="00E23E7A" w:rsidRPr="00CA6184">
        <w:t xml:space="preserve">ubparagraphs 5(a) and 5(c) of the 2021 </w:t>
      </w:r>
      <w:r w:rsidR="00E23E7A">
        <w:t>A</w:t>
      </w:r>
      <w:r w:rsidR="00E23E7A" w:rsidRPr="00CA6184">
        <w:t>greement provide</w:t>
      </w:r>
      <w:r w:rsidR="00E23E7A">
        <w:t>d that TECO</w:t>
      </w:r>
      <w:r w:rsidR="00E23E7A" w:rsidRPr="00CA6184">
        <w:t xml:space="preserve"> transfer retiring AMR assets and certain retiring Big Bend assets into regulatory asset accounts and recover the costs of those assets from customers using a </w:t>
      </w:r>
      <w:proofErr w:type="spellStart"/>
      <w:r w:rsidR="00E23E7A" w:rsidRPr="00CA6184">
        <w:t>levelized</w:t>
      </w:r>
      <w:proofErr w:type="spellEnd"/>
      <w:r w:rsidR="00E23E7A" w:rsidRPr="00CA6184">
        <w:t xml:space="preserve"> CETM tariff with a revenue requirement of $68,550,000 effective with the first</w:t>
      </w:r>
      <w:r w:rsidR="00E23E7A">
        <w:t xml:space="preserve"> billing cycle in January 2022.</w:t>
      </w:r>
      <w:r w:rsidR="00E23E7A">
        <w:rPr>
          <w:rStyle w:val="FootnoteReference"/>
        </w:rPr>
        <w:footnoteReference w:id="3"/>
      </w:r>
      <w:r w:rsidR="00E23E7A" w:rsidRPr="00CA6184">
        <w:t xml:space="preserve"> TECO is required to update CETM factors periodically beginning i</w:t>
      </w:r>
      <w:r w:rsidR="00E23E7A">
        <w:t>n 2024 and every three years</w:t>
      </w:r>
      <w:r w:rsidR="00E23E7A" w:rsidRPr="00CA6184">
        <w:t xml:space="preserve"> thereafter until the 15-year CETM period expires as stated in subparagraph 5(d). However, in subparagraph 5(f)</w:t>
      </w:r>
      <w:r w:rsidR="00E23E7A">
        <w:t>,</w:t>
      </w:r>
      <w:r w:rsidR="00E23E7A" w:rsidRPr="00CA6184">
        <w:t xml:space="preserve"> TECO is required to adjust </w:t>
      </w:r>
      <w:r w:rsidR="00E23E7A">
        <w:t>CETM factors to reflect changes to the C</w:t>
      </w:r>
      <w:r w:rsidR="00E23E7A" w:rsidRPr="00CA6184">
        <w:t xml:space="preserve">ompany’s updated overall rate of return, including, but not limited to, operation of the </w:t>
      </w:r>
      <w:r w:rsidR="00E23E7A">
        <w:t xml:space="preserve">ROE </w:t>
      </w:r>
      <w:r w:rsidR="00E23E7A" w:rsidRPr="00CA6184">
        <w:t>Trigger</w:t>
      </w:r>
      <w:r w:rsidR="00E23E7A">
        <w:t xml:space="preserve"> mechanism.</w:t>
      </w:r>
    </w:p>
    <w:p w:rsidR="00987FC3" w:rsidRDefault="00E23E7A" w:rsidP="00E23E7A">
      <w:pPr>
        <w:pStyle w:val="BodyText"/>
      </w:pPr>
      <w:r w:rsidRPr="00CA6184">
        <w:t xml:space="preserve">As memorialized in Order No. PSC-2022-0322-FOF-EI, the Commission approved TECO’s petition to implement the ROE </w:t>
      </w:r>
      <w:r>
        <w:t>T</w:t>
      </w:r>
      <w:r w:rsidRPr="00CA6184">
        <w:t xml:space="preserve">rigger provisions of subparagraph 2(b) of the 2021 </w:t>
      </w:r>
      <w:r>
        <w:t>A</w:t>
      </w:r>
      <w:r w:rsidRPr="00CA6184">
        <w:t>greement following an evidenti</w:t>
      </w:r>
      <w:r>
        <w:t>ary hearing on August 16, 2022.</w:t>
      </w:r>
      <w:r>
        <w:rPr>
          <w:rStyle w:val="FootnoteReference"/>
        </w:rPr>
        <w:footnoteReference w:id="4"/>
      </w:r>
      <w:r w:rsidR="0052298D">
        <w:t xml:space="preserve"> </w:t>
      </w:r>
      <w:r w:rsidRPr="00CA6184">
        <w:t>As a result, the Company’s authorized ROE mid</w:t>
      </w:r>
      <w:r w:rsidR="007A588C">
        <w:t>-</w:t>
      </w:r>
      <w:r w:rsidRPr="00CA6184">
        <w:t>point was increased by 25 basis points from 9.95 percent to 10.20 percent, effective as of July 1, 2022, for all regulatory purposes. In its petition to implement the 2023 CETM, TECO provided a calculation adjusting the CETM revenue requirement amount to $69,168,529 to reflect the Company’s 10.20 percent authorized ROE mid-point. Staff reviewed the Company’s calculation</w:t>
      </w:r>
      <w:r>
        <w:t>s</w:t>
      </w:r>
      <w:r w:rsidRPr="00CA6184">
        <w:t xml:space="preserve"> and recommends the updated amount be approved</w:t>
      </w:r>
      <w:r>
        <w:t>.</w:t>
      </w:r>
    </w:p>
    <w:p w:rsidR="00987FC3" w:rsidRDefault="00987FC3">
      <w:pPr>
        <w:pStyle w:val="IssueHeading"/>
        <w:rPr>
          <w:vanish/>
          <w:specVanish/>
        </w:rPr>
      </w:pPr>
      <w:r w:rsidRPr="004C3641">
        <w:rPr>
          <w:b w:val="0"/>
          <w:i w:val="0"/>
        </w:rPr>
        <w:br w:type="page"/>
      </w:r>
      <w:r w:rsidRPr="004C3641">
        <w:lastRenderedPageBreak/>
        <w:t xml:space="preserve">Issue </w:t>
      </w:r>
      <w:r w:rsidR="00841324">
        <w:fldChar w:fldCharType="begin"/>
      </w:r>
      <w:r w:rsidR="00841324">
        <w:instrText xml:space="preserve"> SEQ Issue \* MERGEFORMAT </w:instrText>
      </w:r>
      <w:r w:rsidR="00841324">
        <w:fldChar w:fldCharType="separate"/>
      </w:r>
      <w:r w:rsidR="000020D2">
        <w:rPr>
          <w:noProof/>
        </w:rPr>
        <w:t>2</w:t>
      </w:r>
      <w:r w:rsidR="008413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020D2">
        <w:rPr>
          <w:noProof/>
        </w:rPr>
        <w:instrText>2</w:instrText>
      </w:r>
      <w:r>
        <w:fldChar w:fldCharType="end"/>
      </w:r>
      <w:r>
        <w:tab/>
        <w:instrText xml:space="preserve">(Hampson, Kunkler)" \l 1 </w:instrText>
      </w:r>
      <w:r>
        <w:fldChar w:fldCharType="end"/>
      </w:r>
      <w:r>
        <w:t> </w:t>
      </w:r>
    </w:p>
    <w:p w:rsidR="00987FC3" w:rsidRDefault="00987FC3">
      <w:pPr>
        <w:pStyle w:val="BodyText"/>
      </w:pPr>
      <w:r>
        <w:t xml:space="preserve"> Should the Commission approve TECO's </w:t>
      </w:r>
      <w:r w:rsidR="00CE657B">
        <w:t>revised</w:t>
      </w:r>
      <w:r>
        <w:t xml:space="preserve"> CETM rates and tariff, effective with the first billing cycle of January 2023?</w:t>
      </w:r>
    </w:p>
    <w:p w:rsidR="00987FC3" w:rsidRPr="004C3641" w:rsidRDefault="00987FC3">
      <w:pPr>
        <w:pStyle w:val="IssueSubsectionHeading"/>
        <w:rPr>
          <w:vanish/>
          <w:specVanish/>
        </w:rPr>
      </w:pPr>
      <w:r w:rsidRPr="004C3641">
        <w:t>Recommendation: </w:t>
      </w:r>
    </w:p>
    <w:p w:rsidR="00D074D8" w:rsidRDefault="00987FC3">
      <w:pPr>
        <w:pStyle w:val="BodyText"/>
      </w:pPr>
      <w:r>
        <w:t> </w:t>
      </w:r>
      <w:r w:rsidR="00C24E1D">
        <w:t xml:space="preserve">Yes, the Commission should approve TECO’s </w:t>
      </w:r>
      <w:r w:rsidR="00CE657B">
        <w:t>revised</w:t>
      </w:r>
      <w:r w:rsidR="00C24E1D">
        <w:t xml:space="preserve"> CETM rates and tariff, </w:t>
      </w:r>
      <w:r w:rsidR="00D074D8">
        <w:t xml:space="preserve">as shown in Attachment A to the recommendation, </w:t>
      </w:r>
      <w:r w:rsidR="00C24E1D">
        <w:t xml:space="preserve">effective with the first billing cycle of January 2023. </w:t>
      </w:r>
      <w:r>
        <w:t>(</w:t>
      </w:r>
      <w:r w:rsidR="00CE657B">
        <w:t xml:space="preserve">Draper, </w:t>
      </w:r>
      <w:r>
        <w:t>Hampson, Kunkler)</w:t>
      </w:r>
    </w:p>
    <w:p w:rsidR="00987FC3" w:rsidRPr="004C3641" w:rsidRDefault="00987FC3">
      <w:pPr>
        <w:pStyle w:val="IssueSubsectionHeading"/>
        <w:rPr>
          <w:vanish/>
          <w:specVanish/>
        </w:rPr>
      </w:pPr>
      <w:r w:rsidRPr="004C3641">
        <w:t>Staff Analysis: </w:t>
      </w:r>
    </w:p>
    <w:p w:rsidR="00C50A3A" w:rsidRDefault="00987FC3" w:rsidP="001721E8">
      <w:pPr>
        <w:pStyle w:val="BodyText"/>
      </w:pPr>
      <w:r>
        <w:t> </w:t>
      </w:r>
      <w:r w:rsidR="00D36D86">
        <w:t xml:space="preserve">TECO’s petition included proposed Fourth Revised Tariff Sheet No. 6.025 (Exhibits 5 and 6 to the petition), the allocation of the updated CETM amount of $69.17 million to the rate classes, (Exhibit 3 to the petition), and the updated CETM factor calculations (Exhibit 4 to the petition). </w:t>
      </w:r>
    </w:p>
    <w:p w:rsidR="00C0065D" w:rsidRDefault="00C0065D" w:rsidP="001721E8">
      <w:pPr>
        <w:pStyle w:val="BodyText"/>
      </w:pPr>
      <w:r>
        <w:t xml:space="preserve">As required by the 2021 Agreement, the allocations of the updated CETM amount to the rate classes are the same used in the initial CETM calculations. Accordingly, each rate class receives an increase in the allocated CETM revenue requirement. However, the residential CETM </w:t>
      </w:r>
      <w:r w:rsidR="00CE657B">
        <w:t>rate</w:t>
      </w:r>
      <w:r>
        <w:t xml:space="preserve"> decreases from 0.441 cents per kilowatt-hour (kWh) to 0.430 cents per kWh. </w:t>
      </w:r>
      <w:r w:rsidR="00CE657B">
        <w:t>Actual revenues collected from the residential rate class exceeded projected revenues when the CETM rate w</w:t>
      </w:r>
      <w:r w:rsidR="00A70622">
        <w:t>as</w:t>
      </w:r>
      <w:r w:rsidR="00CE657B">
        <w:t xml:space="preserve"> first calculated, requiring a downward adjustment to the residential CETM rate.</w:t>
      </w:r>
    </w:p>
    <w:p w:rsidR="00C24E1D" w:rsidRDefault="00C24E1D" w:rsidP="001721E8">
      <w:pPr>
        <w:pStyle w:val="BodyText"/>
      </w:pPr>
      <w:r>
        <w:t xml:space="preserve">Staff confirmed that the billing determinants used </w:t>
      </w:r>
      <w:r w:rsidR="00C50A3A">
        <w:t>to</w:t>
      </w:r>
      <w:r>
        <w:t xml:space="preserve"> calculat</w:t>
      </w:r>
      <w:r w:rsidR="00C50A3A">
        <w:t>e</w:t>
      </w:r>
      <w:r>
        <w:t xml:space="preserve"> the proposed CETM</w:t>
      </w:r>
      <w:r w:rsidR="00D36D86">
        <w:t xml:space="preserve"> factors</w:t>
      </w:r>
      <w:r>
        <w:t xml:space="preserve"> are consistent with the billing determinants in TECO’s most recent </w:t>
      </w:r>
      <w:r w:rsidR="005126A8">
        <w:t>Energy Conservation Cost Recovery Clause (</w:t>
      </w:r>
      <w:r>
        <w:t>ECCR</w:t>
      </w:r>
      <w:r w:rsidR="005126A8">
        <w:t>)</w:t>
      </w:r>
      <w:r>
        <w:t xml:space="preserve"> filing, and </w:t>
      </w:r>
      <w:r w:rsidR="005126A8">
        <w:t xml:space="preserve">are </w:t>
      </w:r>
      <w:r>
        <w:t xml:space="preserve">in compliance with the </w:t>
      </w:r>
      <w:r w:rsidR="005126A8">
        <w:t>2021 Se</w:t>
      </w:r>
      <w:r>
        <w:t xml:space="preserve">ttlement </w:t>
      </w:r>
      <w:r w:rsidR="005126A8">
        <w:t>A</w:t>
      </w:r>
      <w:r>
        <w:t xml:space="preserve">greement. </w:t>
      </w:r>
      <w:r w:rsidR="00C50A3A">
        <w:t>TECO’s most current ECCR</w:t>
      </w:r>
      <w:r w:rsidR="00D074D8">
        <w:t xml:space="preserve"> filing</w:t>
      </w:r>
      <w:r w:rsidR="00C50A3A">
        <w:t xml:space="preserve">, </w:t>
      </w:r>
      <w:r w:rsidR="00A70622">
        <w:t xml:space="preserve">in </w:t>
      </w:r>
      <w:r w:rsidR="00C50A3A">
        <w:t>Docket No. 20220002-EI, was filed on August 5, 2022.</w:t>
      </w:r>
      <w:r w:rsidR="00C50A3A">
        <w:rPr>
          <w:rStyle w:val="FootnoteReference"/>
        </w:rPr>
        <w:footnoteReference w:id="5"/>
      </w:r>
    </w:p>
    <w:p w:rsidR="00D931A2" w:rsidRDefault="00D36D86" w:rsidP="001721E8">
      <w:pPr>
        <w:pStyle w:val="BodyText"/>
      </w:pPr>
      <w:r>
        <w:t xml:space="preserve">Staff has reviewed </w:t>
      </w:r>
      <w:r w:rsidR="00CE657B">
        <w:t>TECO</w:t>
      </w:r>
      <w:r>
        <w:t xml:space="preserve">’s tariff sheets and supporting documentation. The calculations are accurate. The Commission should approve </w:t>
      </w:r>
      <w:r w:rsidR="00CE657B">
        <w:t>TECO</w:t>
      </w:r>
      <w:r>
        <w:t xml:space="preserve">’s revised </w:t>
      </w:r>
      <w:r w:rsidR="00CE657B">
        <w:t xml:space="preserve">CETM rates and tariff, </w:t>
      </w:r>
      <w:r w:rsidR="00D074D8">
        <w:t xml:space="preserve">as shown in Attachment A to the recommendation, </w:t>
      </w:r>
      <w:r w:rsidR="00CE657B">
        <w:t>effective with the first billing cycle of January 2023.</w:t>
      </w:r>
    </w:p>
    <w:p w:rsidR="00987FC3" w:rsidRDefault="00CE657B" w:rsidP="001721E8">
      <w:pPr>
        <w:pStyle w:val="BodyText"/>
        <w:rPr>
          <w:vanish/>
          <w:specVanish/>
        </w:rPr>
      </w:pPr>
      <w:r>
        <w:t xml:space="preserve"> </w:t>
      </w:r>
      <w:r w:rsidR="00987FC3" w:rsidRPr="004C3641">
        <w:br w:type="page"/>
      </w:r>
      <w:r w:rsidR="00987FC3" w:rsidRPr="00E23E7A">
        <w:rPr>
          <w:rFonts w:ascii="Arial" w:hAnsi="Arial" w:cs="Arial"/>
          <w:b/>
          <w:bCs/>
          <w:i/>
          <w:iCs/>
          <w:szCs w:val="28"/>
        </w:rPr>
        <w:lastRenderedPageBreak/>
        <w:t xml:space="preserve">Issue </w:t>
      </w:r>
      <w:r w:rsidR="0078567D" w:rsidRPr="00E23E7A">
        <w:rPr>
          <w:rFonts w:ascii="Arial" w:hAnsi="Arial" w:cs="Arial"/>
          <w:b/>
          <w:bCs/>
          <w:i/>
          <w:iCs/>
          <w:szCs w:val="28"/>
        </w:rPr>
        <w:fldChar w:fldCharType="begin"/>
      </w:r>
      <w:r w:rsidR="0078567D" w:rsidRPr="00E23E7A">
        <w:rPr>
          <w:rFonts w:ascii="Arial" w:hAnsi="Arial" w:cs="Arial"/>
          <w:b/>
          <w:bCs/>
          <w:i/>
          <w:iCs/>
          <w:szCs w:val="28"/>
        </w:rPr>
        <w:instrText xml:space="preserve"> SEQ Issue \* MERGEFORMAT </w:instrText>
      </w:r>
      <w:r w:rsidR="0078567D" w:rsidRPr="00E23E7A">
        <w:rPr>
          <w:rFonts w:ascii="Arial" w:hAnsi="Arial" w:cs="Arial"/>
          <w:b/>
          <w:bCs/>
          <w:i/>
          <w:iCs/>
          <w:szCs w:val="28"/>
        </w:rPr>
        <w:fldChar w:fldCharType="separate"/>
      </w:r>
      <w:r w:rsidR="000020D2">
        <w:rPr>
          <w:rFonts w:ascii="Arial" w:hAnsi="Arial" w:cs="Arial"/>
          <w:b/>
          <w:bCs/>
          <w:i/>
          <w:iCs/>
          <w:noProof/>
          <w:szCs w:val="28"/>
        </w:rPr>
        <w:t>3</w:t>
      </w:r>
      <w:r w:rsidR="0078567D" w:rsidRPr="00E23E7A">
        <w:rPr>
          <w:rFonts w:ascii="Arial" w:hAnsi="Arial" w:cs="Arial"/>
          <w:b/>
          <w:bCs/>
          <w:i/>
          <w:iCs/>
          <w:szCs w:val="28"/>
        </w:rPr>
        <w:fldChar w:fldCharType="end"/>
      </w:r>
      <w:r w:rsidR="00987FC3" w:rsidRPr="004C3641">
        <w:t>:</w:t>
      </w:r>
      <w:r w:rsidR="00987FC3">
        <w:fldChar w:fldCharType="begin"/>
      </w:r>
      <w:r w:rsidR="00987FC3">
        <w:instrText xml:space="preserve"> TC "</w:instrText>
      </w:r>
      <w:r w:rsidR="00987FC3">
        <w:fldChar w:fldCharType="begin"/>
      </w:r>
      <w:r w:rsidR="00987FC3">
        <w:instrText xml:space="preserve"> SEQ issue \c </w:instrText>
      </w:r>
      <w:r w:rsidR="00987FC3">
        <w:fldChar w:fldCharType="separate"/>
      </w:r>
      <w:r w:rsidR="000020D2">
        <w:rPr>
          <w:noProof/>
        </w:rPr>
        <w:instrText>3</w:instrText>
      </w:r>
      <w:r w:rsidR="00987FC3">
        <w:fldChar w:fldCharType="end"/>
      </w:r>
      <w:r w:rsidR="00987FC3">
        <w:tab/>
        <w:instrText xml:space="preserve">(Crawford, Dose)" \l 1 </w:instrText>
      </w:r>
      <w:r w:rsidR="00987FC3">
        <w:fldChar w:fldCharType="end"/>
      </w:r>
      <w:r w:rsidR="00987FC3">
        <w:t> </w:t>
      </w:r>
    </w:p>
    <w:p w:rsidR="00987FC3" w:rsidRDefault="00987FC3">
      <w:pPr>
        <w:pStyle w:val="BodyText"/>
      </w:pPr>
      <w:r>
        <w:t> Should this docket be closed?</w:t>
      </w:r>
    </w:p>
    <w:p w:rsidR="00987FC3" w:rsidRPr="004C3641" w:rsidRDefault="00987FC3">
      <w:pPr>
        <w:pStyle w:val="IssueSubsectionHeading"/>
        <w:rPr>
          <w:vanish/>
          <w:specVanish/>
        </w:rPr>
      </w:pPr>
      <w:r w:rsidRPr="004C3641">
        <w:t>Recommendation: </w:t>
      </w:r>
    </w:p>
    <w:p w:rsidR="00987FC3" w:rsidRDefault="00E23E7A">
      <w:pPr>
        <w:pStyle w:val="BodyText"/>
      </w:pPr>
      <w:r>
        <w:t xml:space="preserve"> </w:t>
      </w:r>
      <w:r w:rsidRPr="00E23E7A">
        <w:t>If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rPr>
          <w:color w:val="1F497D"/>
        </w:rPr>
        <w:t xml:space="preserve"> </w:t>
      </w:r>
      <w:r w:rsidR="00987FC3">
        <w:t>(Dose)</w:t>
      </w:r>
    </w:p>
    <w:p w:rsidR="00987FC3" w:rsidRPr="004C3641" w:rsidRDefault="00987FC3">
      <w:pPr>
        <w:pStyle w:val="IssueSubsectionHeading"/>
        <w:rPr>
          <w:vanish/>
          <w:specVanish/>
        </w:rPr>
      </w:pPr>
      <w:r w:rsidRPr="004C3641">
        <w:t>Staff Analysis: </w:t>
      </w:r>
    </w:p>
    <w:p w:rsidR="00987FC3" w:rsidRDefault="00987FC3">
      <w:pPr>
        <w:pStyle w:val="BodyText"/>
      </w:pPr>
      <w:r>
        <w:t> </w:t>
      </w:r>
      <w:r w:rsidR="00E23E7A" w:rsidRPr="00E23E7A">
        <w:t>If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CC2DEE" w:rsidRDefault="00CC2DEE" w:rsidP="00E275D8">
      <w:pPr>
        <w:pStyle w:val="BodyText"/>
        <w:sectPr w:rsidR="00CC2DEE"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E06484" w:rsidRDefault="004B6EF1" w:rsidP="00E275D8">
      <w:pPr>
        <w:pStyle w:val="BodyText"/>
      </w:pPr>
      <w:r>
        <w:rPr>
          <w:noProof/>
        </w:rPr>
        <w:lastRenderedPageBreak/>
        <w:drawing>
          <wp:inline distT="0" distB="0" distL="0" distR="0">
            <wp:extent cx="5943600" cy="769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ff.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7696200"/>
                    </a:xfrm>
                    <a:prstGeom prst="rect">
                      <a:avLst/>
                    </a:prstGeom>
                  </pic:spPr>
                </pic:pic>
              </a:graphicData>
            </a:graphic>
          </wp:inline>
        </w:drawing>
      </w:r>
    </w:p>
    <w:sectPr w:rsidR="00E06484"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460" w:rsidRDefault="003F5460">
      <w:r>
        <w:separator/>
      </w:r>
    </w:p>
  </w:endnote>
  <w:endnote w:type="continuationSeparator" w:id="0">
    <w:p w:rsidR="003F5460" w:rsidRDefault="003F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537EF">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460" w:rsidRDefault="003F5460">
      <w:r>
        <w:separator/>
      </w:r>
    </w:p>
  </w:footnote>
  <w:footnote w:type="continuationSeparator" w:id="0">
    <w:p w:rsidR="003F5460" w:rsidRDefault="003F5460">
      <w:r>
        <w:continuationSeparator/>
      </w:r>
    </w:p>
  </w:footnote>
  <w:footnote w:id="1">
    <w:p w:rsidR="00EA62C0" w:rsidRPr="00923015" w:rsidRDefault="00EA62C0" w:rsidP="00EA62C0">
      <w:pPr>
        <w:pStyle w:val="FootnoteText"/>
        <w:rPr>
          <w:i/>
        </w:rPr>
      </w:pPr>
      <w:r>
        <w:rPr>
          <w:rStyle w:val="FootnoteReference"/>
        </w:rPr>
        <w:footnoteRef/>
      </w:r>
      <w:r>
        <w:t xml:space="preserve">Order No. PSC-2021-0423-S-EI, issued November 10, 2021, in Docket No. 20210034-EI, </w:t>
      </w:r>
      <w:r w:rsidRPr="00923015">
        <w:rPr>
          <w:i/>
        </w:rPr>
        <w:t>In re: Petition for rate increase by Tampa Electric Company.</w:t>
      </w:r>
    </w:p>
  </w:footnote>
  <w:footnote w:id="2">
    <w:p w:rsidR="00EA62C0" w:rsidRPr="0015439E" w:rsidRDefault="00EA62C0" w:rsidP="00EA62C0">
      <w:pPr>
        <w:pStyle w:val="FootnoteText"/>
        <w:rPr>
          <w:i/>
        </w:rPr>
      </w:pPr>
      <w:r>
        <w:rPr>
          <w:rStyle w:val="FootnoteReference"/>
        </w:rPr>
        <w:footnoteRef/>
      </w:r>
      <w:r>
        <w:t xml:space="preserve">Order No. PSC-2022-0322-FOF-EI, issued September 12, 2022, in Docket No. 20220122-EI, </w:t>
      </w:r>
      <w:r w:rsidRPr="0015439E">
        <w:rPr>
          <w:i/>
        </w:rPr>
        <w:t>In re</w:t>
      </w:r>
      <w:r>
        <w:rPr>
          <w:i/>
        </w:rPr>
        <w:t>:</w:t>
      </w:r>
      <w:r w:rsidRPr="0015439E">
        <w:rPr>
          <w:i/>
        </w:rPr>
        <w:t xml:space="preserve"> Petition for limited proceeding rate increase to implement return on equity provisions in 2021 agreement, by Tampa Electric Company.</w:t>
      </w:r>
    </w:p>
  </w:footnote>
  <w:footnote w:id="3">
    <w:p w:rsidR="00E23E7A" w:rsidRDefault="00E23E7A" w:rsidP="00E23E7A">
      <w:pPr>
        <w:pStyle w:val="FootnoteText"/>
      </w:pPr>
      <w:r>
        <w:rPr>
          <w:rStyle w:val="FootnoteReference"/>
        </w:rPr>
        <w:footnoteRef/>
      </w:r>
      <w:r w:rsidRPr="00CA6184">
        <w:t>Order No. PSC-2021-0423-S-EI</w:t>
      </w:r>
      <w:r>
        <w:t>.</w:t>
      </w:r>
    </w:p>
  </w:footnote>
  <w:footnote w:id="4">
    <w:p w:rsidR="00E23E7A" w:rsidRDefault="00E23E7A" w:rsidP="00E23E7A">
      <w:pPr>
        <w:pStyle w:val="FootnoteText"/>
      </w:pPr>
      <w:r>
        <w:rPr>
          <w:rStyle w:val="FootnoteReference"/>
        </w:rPr>
        <w:footnoteRef/>
      </w:r>
      <w:r w:rsidRPr="00CA6184">
        <w:t xml:space="preserve">Order No. PSC-2022-0322-FOF-EI, issued September 12, 2022, in Docket No. 20220122-EI, </w:t>
      </w:r>
      <w:r w:rsidRPr="00CA6184">
        <w:rPr>
          <w:i/>
        </w:rPr>
        <w:t>In re: Petition for limited proceeding rate increase to implement return on equity provisions in 2021 agreement, by Tampa Electric Company</w:t>
      </w:r>
      <w:r>
        <w:t>.</w:t>
      </w:r>
    </w:p>
  </w:footnote>
  <w:footnote w:id="5">
    <w:p w:rsidR="00C50A3A" w:rsidRPr="00F7161D" w:rsidRDefault="00C50A3A" w:rsidP="00C50A3A">
      <w:pPr>
        <w:pStyle w:val="FootnoteText"/>
      </w:pPr>
      <w:r>
        <w:rPr>
          <w:rStyle w:val="FootnoteReference"/>
        </w:rPr>
        <w:footnoteRef/>
      </w:r>
      <w:r>
        <w:t xml:space="preserve">Document No. 05237-2022, filed August 5, 2022, in Docket No. 20220002-EI, </w:t>
      </w:r>
      <w:r w:rsidRPr="00E964AD">
        <w:rPr>
          <w:i/>
        </w:rPr>
        <w:t xml:space="preserve">In </w:t>
      </w:r>
      <w:r>
        <w:rPr>
          <w:i/>
        </w:rPr>
        <w:t>r</w:t>
      </w:r>
      <w:r w:rsidRPr="00E964AD">
        <w:rPr>
          <w:i/>
        </w:rPr>
        <w:t>e:</w:t>
      </w:r>
      <w:r w:rsidRPr="00C333B6">
        <w:rPr>
          <w:i/>
        </w:rPr>
        <w:t xml:space="preserve"> </w:t>
      </w:r>
      <w:r w:rsidRPr="00F7161D">
        <w:rPr>
          <w:i/>
        </w:rPr>
        <w:t>Energy Conservation Cost Recovery Clause</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987FC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20220161-EI</w:t>
    </w:r>
    <w:bookmarkEnd w:id="15"/>
  </w:p>
  <w:p w:rsidR="00BC402E" w:rsidRDefault="00BC402E">
    <w:pPr>
      <w:pStyle w:val="Header"/>
    </w:pPr>
    <w:r>
      <w:t xml:space="preserve">Date: </w:t>
    </w:r>
    <w:r w:rsidR="00841324">
      <w:fldChar w:fldCharType="begin"/>
    </w:r>
    <w:r w:rsidR="00841324">
      <w:instrText xml:space="preserve"> REF FilingDate </w:instrText>
    </w:r>
    <w:r w:rsidR="00841324">
      <w:fldChar w:fldCharType="separate"/>
    </w:r>
    <w:r w:rsidR="000020D2">
      <w:t>October 20, 2022</w:t>
    </w:r>
    <w:r w:rsidR="0084132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020D2">
      <w:t>Docket No.</w:t>
    </w:r>
    <w:r>
      <w:fldChar w:fldCharType="end"/>
    </w:r>
    <w:r>
      <w:t xml:space="preserve"> </w:t>
    </w:r>
    <w:r>
      <w:fldChar w:fldCharType="begin"/>
    </w:r>
    <w:r>
      <w:instrText xml:space="preserve"> REF DocketList</w:instrText>
    </w:r>
    <w:r>
      <w:fldChar w:fldCharType="separate"/>
    </w:r>
    <w:r w:rsidR="000020D2">
      <w:t>20220161-EI</w:t>
    </w:r>
    <w:r>
      <w:fldChar w:fldCharType="end"/>
    </w:r>
    <w:r>
      <w:tab/>
      <w:t xml:space="preserve">Issue </w:t>
    </w:r>
    <w:fldSimple w:instr=" Seq Issue \c \* Arabic ">
      <w:r w:rsidR="003537EF">
        <w:rPr>
          <w:noProof/>
        </w:rPr>
        <w:t>3</w:t>
      </w:r>
    </w:fldSimple>
  </w:p>
  <w:p w:rsidR="00BC402E" w:rsidRDefault="00BC402E">
    <w:pPr>
      <w:pStyle w:val="Header"/>
    </w:pPr>
    <w:r>
      <w:t xml:space="preserve">Date: </w:t>
    </w:r>
    <w:r w:rsidR="00841324">
      <w:fldChar w:fldCharType="begin"/>
    </w:r>
    <w:r w:rsidR="00841324">
      <w:instrText xml:space="preserve"> REF FilingDate </w:instrText>
    </w:r>
    <w:r w:rsidR="00841324">
      <w:fldChar w:fldCharType="separate"/>
    </w:r>
    <w:r w:rsidR="000020D2">
      <w:t>October 20, 2022</w:t>
    </w:r>
    <w:r w:rsidR="0084132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EE" w:rsidRDefault="00CC2DEE" w:rsidP="00220732">
    <w:pPr>
      <w:pStyle w:val="Header"/>
      <w:tabs>
        <w:tab w:val="clear" w:pos="4320"/>
        <w:tab w:val="clear" w:pos="8640"/>
        <w:tab w:val="right" w:pos="9360"/>
      </w:tabs>
    </w:pPr>
    <w:r>
      <w:fldChar w:fldCharType="begin"/>
    </w:r>
    <w:r>
      <w:instrText xml:space="preserve"> REF DocketLabel</w:instrText>
    </w:r>
    <w:r>
      <w:fldChar w:fldCharType="separate"/>
    </w:r>
    <w:r w:rsidR="000020D2">
      <w:t>Docket No.</w:t>
    </w:r>
    <w:r>
      <w:fldChar w:fldCharType="end"/>
    </w:r>
    <w:r>
      <w:t xml:space="preserve"> </w:t>
    </w:r>
    <w:r>
      <w:fldChar w:fldCharType="begin"/>
    </w:r>
    <w:r>
      <w:instrText xml:space="preserve"> REF DocketList</w:instrText>
    </w:r>
    <w:r>
      <w:fldChar w:fldCharType="separate"/>
    </w:r>
    <w:r w:rsidR="000020D2">
      <w:t>20220161-EI</w:t>
    </w:r>
    <w:r>
      <w:fldChar w:fldCharType="end"/>
    </w:r>
    <w:r>
      <w:tab/>
    </w:r>
    <w:r w:rsidR="00E16BE5">
      <w:t>Attachment A</w:t>
    </w:r>
  </w:p>
  <w:p w:rsidR="00CC2DEE" w:rsidRDefault="00CC2DEE" w:rsidP="00CC2DEE">
    <w:pPr>
      <w:pStyle w:val="Header"/>
      <w:tabs>
        <w:tab w:val="clear" w:pos="8640"/>
        <w:tab w:val="right" w:pos="9360"/>
      </w:tabs>
    </w:pPr>
    <w:r>
      <w:t xml:space="preserve">Date: </w:t>
    </w:r>
    <w:fldSimple w:instr=" REF FilingDate ">
      <w:r w:rsidR="000020D2">
        <w:t>October 20, 2022</w:t>
      </w:r>
    </w:fldSimple>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87FC3"/>
    <w:rsid w:val="000020D2"/>
    <w:rsid w:val="000043D5"/>
    <w:rsid w:val="00006170"/>
    <w:rsid w:val="00010E37"/>
    <w:rsid w:val="000172DA"/>
    <w:rsid w:val="00022337"/>
    <w:rsid w:val="00023A0E"/>
    <w:rsid w:val="000247C5"/>
    <w:rsid w:val="000277C2"/>
    <w:rsid w:val="000343A8"/>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3ED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55E9A"/>
    <w:rsid w:val="00163031"/>
    <w:rsid w:val="001654C4"/>
    <w:rsid w:val="00171A90"/>
    <w:rsid w:val="001721E8"/>
    <w:rsid w:val="00180254"/>
    <w:rsid w:val="0018610A"/>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0BDF"/>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82390"/>
    <w:rsid w:val="00292D82"/>
    <w:rsid w:val="00293EE7"/>
    <w:rsid w:val="002963CB"/>
    <w:rsid w:val="002B2DAC"/>
    <w:rsid w:val="002B4A01"/>
    <w:rsid w:val="002C291B"/>
    <w:rsid w:val="002C746A"/>
    <w:rsid w:val="002C7E4E"/>
    <w:rsid w:val="002D226D"/>
    <w:rsid w:val="002D74E3"/>
    <w:rsid w:val="002E2436"/>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7EF"/>
    <w:rsid w:val="00353B66"/>
    <w:rsid w:val="00355934"/>
    <w:rsid w:val="00357928"/>
    <w:rsid w:val="003632FD"/>
    <w:rsid w:val="0037069C"/>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460"/>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B6EF1"/>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26A8"/>
    <w:rsid w:val="00516496"/>
    <w:rsid w:val="0052298D"/>
    <w:rsid w:val="00522E7D"/>
    <w:rsid w:val="00522EEA"/>
    <w:rsid w:val="00523B11"/>
    <w:rsid w:val="0052455B"/>
    <w:rsid w:val="0052572A"/>
    <w:rsid w:val="00525D07"/>
    <w:rsid w:val="00532DFB"/>
    <w:rsid w:val="00543CB3"/>
    <w:rsid w:val="005442E4"/>
    <w:rsid w:val="00547652"/>
    <w:rsid w:val="005535D1"/>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0D6E"/>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567D"/>
    <w:rsid w:val="00787DBC"/>
    <w:rsid w:val="0079019A"/>
    <w:rsid w:val="00792935"/>
    <w:rsid w:val="007A04A1"/>
    <w:rsid w:val="007A1840"/>
    <w:rsid w:val="007A588C"/>
    <w:rsid w:val="007B730C"/>
    <w:rsid w:val="007C0528"/>
    <w:rsid w:val="007C08EA"/>
    <w:rsid w:val="007C3D38"/>
    <w:rsid w:val="007D0F35"/>
    <w:rsid w:val="007D4546"/>
    <w:rsid w:val="007D4FEB"/>
    <w:rsid w:val="007D6146"/>
    <w:rsid w:val="007E08CB"/>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3774"/>
    <w:rsid w:val="00845E34"/>
    <w:rsid w:val="00850BAC"/>
    <w:rsid w:val="00854A3E"/>
    <w:rsid w:val="00855D08"/>
    <w:rsid w:val="008618A4"/>
    <w:rsid w:val="008731AB"/>
    <w:rsid w:val="00874344"/>
    <w:rsid w:val="0087505D"/>
    <w:rsid w:val="00877703"/>
    <w:rsid w:val="00882155"/>
    <w:rsid w:val="0088233B"/>
    <w:rsid w:val="008824B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87FC3"/>
    <w:rsid w:val="00990571"/>
    <w:rsid w:val="00991905"/>
    <w:rsid w:val="009926B2"/>
    <w:rsid w:val="0099673A"/>
    <w:rsid w:val="009A3291"/>
    <w:rsid w:val="009A3330"/>
    <w:rsid w:val="009A548F"/>
    <w:rsid w:val="009A7C96"/>
    <w:rsid w:val="009B61BF"/>
    <w:rsid w:val="009B6A5A"/>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622"/>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40E"/>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092B"/>
    <w:rsid w:val="00B41AA8"/>
    <w:rsid w:val="00B42B45"/>
    <w:rsid w:val="00B516ED"/>
    <w:rsid w:val="00B565DA"/>
    <w:rsid w:val="00B57A6A"/>
    <w:rsid w:val="00B62D0D"/>
    <w:rsid w:val="00B63E4A"/>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065D"/>
    <w:rsid w:val="00C03009"/>
    <w:rsid w:val="00C03D5F"/>
    <w:rsid w:val="00C13791"/>
    <w:rsid w:val="00C210BD"/>
    <w:rsid w:val="00C24E1D"/>
    <w:rsid w:val="00C2575A"/>
    <w:rsid w:val="00C31BB3"/>
    <w:rsid w:val="00C36977"/>
    <w:rsid w:val="00C46628"/>
    <w:rsid w:val="00C467DA"/>
    <w:rsid w:val="00C477D9"/>
    <w:rsid w:val="00C50A3A"/>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2DEE"/>
    <w:rsid w:val="00CD0655"/>
    <w:rsid w:val="00CE2BF8"/>
    <w:rsid w:val="00CE484E"/>
    <w:rsid w:val="00CE4D20"/>
    <w:rsid w:val="00CE656F"/>
    <w:rsid w:val="00CE657B"/>
    <w:rsid w:val="00CF0DA8"/>
    <w:rsid w:val="00CF2E25"/>
    <w:rsid w:val="00CF4453"/>
    <w:rsid w:val="00CF5589"/>
    <w:rsid w:val="00CF5D94"/>
    <w:rsid w:val="00CF7E0F"/>
    <w:rsid w:val="00D00893"/>
    <w:rsid w:val="00D034D7"/>
    <w:rsid w:val="00D04BE4"/>
    <w:rsid w:val="00D06FC7"/>
    <w:rsid w:val="00D074D8"/>
    <w:rsid w:val="00D12565"/>
    <w:rsid w:val="00D140C1"/>
    <w:rsid w:val="00D14127"/>
    <w:rsid w:val="00D36D86"/>
    <w:rsid w:val="00D479AE"/>
    <w:rsid w:val="00D50FCD"/>
    <w:rsid w:val="00D533E3"/>
    <w:rsid w:val="00D60B16"/>
    <w:rsid w:val="00D60F02"/>
    <w:rsid w:val="00D66E49"/>
    <w:rsid w:val="00D66ED2"/>
    <w:rsid w:val="00D70D71"/>
    <w:rsid w:val="00D72F74"/>
    <w:rsid w:val="00D81563"/>
    <w:rsid w:val="00D837C1"/>
    <w:rsid w:val="00D84FF8"/>
    <w:rsid w:val="00D85907"/>
    <w:rsid w:val="00D860AC"/>
    <w:rsid w:val="00D9073E"/>
    <w:rsid w:val="00D9221D"/>
    <w:rsid w:val="00D9253C"/>
    <w:rsid w:val="00D931A2"/>
    <w:rsid w:val="00D93F3F"/>
    <w:rsid w:val="00D958DF"/>
    <w:rsid w:val="00D96DA1"/>
    <w:rsid w:val="00DA51E7"/>
    <w:rsid w:val="00DB0260"/>
    <w:rsid w:val="00DB1C78"/>
    <w:rsid w:val="00DB7D96"/>
    <w:rsid w:val="00DC23FE"/>
    <w:rsid w:val="00DC59E6"/>
    <w:rsid w:val="00DD150B"/>
    <w:rsid w:val="00DD3356"/>
    <w:rsid w:val="00DD5025"/>
    <w:rsid w:val="00DD5464"/>
    <w:rsid w:val="00DD6F85"/>
    <w:rsid w:val="00DE1531"/>
    <w:rsid w:val="00DE254E"/>
    <w:rsid w:val="00DE32C0"/>
    <w:rsid w:val="00DE76A7"/>
    <w:rsid w:val="00DF1510"/>
    <w:rsid w:val="00DF1EBA"/>
    <w:rsid w:val="00E02F1F"/>
    <w:rsid w:val="00E05454"/>
    <w:rsid w:val="00E06484"/>
    <w:rsid w:val="00E06B24"/>
    <w:rsid w:val="00E16BE5"/>
    <w:rsid w:val="00E20A7D"/>
    <w:rsid w:val="00E23E7A"/>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62C0"/>
    <w:rsid w:val="00EA7C3C"/>
    <w:rsid w:val="00EB2DB3"/>
    <w:rsid w:val="00EC3FBB"/>
    <w:rsid w:val="00EC6B7A"/>
    <w:rsid w:val="00ED3A87"/>
    <w:rsid w:val="00ED5B67"/>
    <w:rsid w:val="00ED67C0"/>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46866"/>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F8606BD-8222-4EF8-83DB-E8351C77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987FC3"/>
  </w:style>
  <w:style w:type="character" w:styleId="FootnoteReference">
    <w:name w:val="footnote reference"/>
    <w:basedOn w:val="DefaultParagraphFont"/>
    <w:semiHidden/>
    <w:unhideWhenUsed/>
    <w:rsid w:val="00987FC3"/>
    <w:rPr>
      <w:vertAlign w:val="superscript"/>
    </w:rPr>
  </w:style>
  <w:style w:type="character" w:styleId="CommentReference">
    <w:name w:val="annotation reference"/>
    <w:basedOn w:val="DefaultParagraphFont"/>
    <w:semiHidden/>
    <w:unhideWhenUsed/>
    <w:rsid w:val="00A706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1035</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Andrew Kunkler</dc:creator>
  <cp:lastModifiedBy>Andrea Mick</cp:lastModifiedBy>
  <cp:revision>2</cp:revision>
  <cp:lastPrinted>2004-01-27T20:32:00Z</cp:lastPrinted>
  <dcterms:created xsi:type="dcterms:W3CDTF">2022-10-20T13:20:00Z</dcterms:created>
  <dcterms:modified xsi:type="dcterms:W3CDTF">2022-10-20T13:20:00Z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20220161-EI</vt:lpwstr>
  </property>
  <property fmtid="{D5CDD505-2E9C-101B-9397-08002B2CF9AE}" pid="3" name="MasterDocument">
    <vt:bool>false</vt:bool>
  </property>
</Properties>
</file>