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3CEB" w:rsidP="00093CEB">
      <w:pPr>
        <w:pStyle w:val="OrderHeading"/>
      </w:pPr>
      <w:bookmarkStart w:id="0" w:name="_GoBack"/>
      <w:bookmarkEnd w:id="0"/>
      <w:r>
        <w:t>BEFORE THE FLORIDA PUBLIC SERVICE COMMISSION</w:t>
      </w:r>
    </w:p>
    <w:p w:rsidR="00093CEB" w:rsidRDefault="00093CEB" w:rsidP="00093CEB">
      <w:pPr>
        <w:pStyle w:val="OrderHeading"/>
      </w:pPr>
    </w:p>
    <w:p w:rsidR="00093CEB" w:rsidRDefault="00093CEB" w:rsidP="00093C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3CEB" w:rsidRPr="00C63FCF" w:rsidTr="00C63FCF">
        <w:trPr>
          <w:trHeight w:val="828"/>
        </w:trPr>
        <w:tc>
          <w:tcPr>
            <w:tcW w:w="4788" w:type="dxa"/>
            <w:tcBorders>
              <w:bottom w:val="single" w:sz="8" w:space="0" w:color="auto"/>
              <w:right w:val="double" w:sz="6" w:space="0" w:color="auto"/>
            </w:tcBorders>
            <w:shd w:val="clear" w:color="auto" w:fill="auto"/>
          </w:tcPr>
          <w:p w:rsidR="00093CEB" w:rsidRDefault="00093CEB" w:rsidP="00C63FCF">
            <w:pPr>
              <w:pStyle w:val="OrderBody"/>
              <w:tabs>
                <w:tab w:val="center" w:pos="4320"/>
                <w:tab w:val="right" w:pos="8640"/>
              </w:tabs>
              <w:jc w:val="left"/>
            </w:pPr>
            <w:r>
              <w:t xml:space="preserve">In re: </w:t>
            </w:r>
            <w:bookmarkStart w:id="1" w:name="SSInRe"/>
            <w:bookmarkEnd w:id="1"/>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093CEB" w:rsidRDefault="00093CEB" w:rsidP="00093CEB">
            <w:pPr>
              <w:pStyle w:val="OrderBody"/>
            </w:pPr>
            <w:r>
              <w:t xml:space="preserve">DOCKET NO. </w:t>
            </w:r>
            <w:bookmarkStart w:id="2" w:name="SSDocketNo"/>
            <w:bookmarkEnd w:id="2"/>
            <w:r>
              <w:t>140226-</w:t>
            </w:r>
            <w:proofErr w:type="spellStart"/>
            <w:r>
              <w:t>EI</w:t>
            </w:r>
            <w:proofErr w:type="spellEnd"/>
          </w:p>
          <w:p w:rsidR="00093CEB" w:rsidRDefault="00093CEB" w:rsidP="00C63FCF">
            <w:pPr>
              <w:pStyle w:val="OrderBody"/>
              <w:tabs>
                <w:tab w:val="center" w:pos="4320"/>
                <w:tab w:val="right" w:pos="8640"/>
              </w:tabs>
              <w:jc w:val="left"/>
            </w:pPr>
            <w:r>
              <w:t xml:space="preserve">ORDER NO. </w:t>
            </w:r>
            <w:bookmarkStart w:id="3" w:name="OrderNo0201"/>
            <w:proofErr w:type="spellStart"/>
            <w:r w:rsidR="0055218F">
              <w:t>PSC</w:t>
            </w:r>
            <w:proofErr w:type="spellEnd"/>
            <w:r w:rsidR="0055218F">
              <w:t>-15-0201-</w:t>
            </w:r>
            <w:proofErr w:type="spellStart"/>
            <w:r w:rsidR="0055218F">
              <w:t>PCO</w:t>
            </w:r>
            <w:proofErr w:type="spellEnd"/>
            <w:r w:rsidR="0055218F">
              <w:t>-</w:t>
            </w:r>
            <w:proofErr w:type="spellStart"/>
            <w:r w:rsidR="0055218F">
              <w:t>EI</w:t>
            </w:r>
            <w:bookmarkEnd w:id="3"/>
            <w:proofErr w:type="spellEnd"/>
          </w:p>
          <w:p w:rsidR="00093CEB" w:rsidRDefault="00093CEB" w:rsidP="00C63FCF">
            <w:pPr>
              <w:pStyle w:val="OrderBody"/>
              <w:tabs>
                <w:tab w:val="center" w:pos="4320"/>
                <w:tab w:val="right" w:pos="8640"/>
              </w:tabs>
              <w:jc w:val="left"/>
            </w:pPr>
            <w:r>
              <w:t xml:space="preserve">ISSUED: </w:t>
            </w:r>
            <w:r w:rsidR="0055218F">
              <w:t>May 19, 2015</w:t>
            </w:r>
          </w:p>
        </w:tc>
      </w:tr>
    </w:tbl>
    <w:p w:rsidR="00093CEB" w:rsidRDefault="00093CEB" w:rsidP="00093CEB"/>
    <w:p w:rsidR="00093CEB" w:rsidRDefault="00093CEB" w:rsidP="00093CEB"/>
    <w:p w:rsidR="00093CEB" w:rsidRPr="00826D5E" w:rsidRDefault="00093CEB" w:rsidP="00093CEB">
      <w:pPr>
        <w:jc w:val="center"/>
      </w:pPr>
      <w:bookmarkStart w:id="4" w:name="Commissioners"/>
      <w:bookmarkEnd w:id="4"/>
      <w:r w:rsidRPr="00826D5E">
        <w:rPr>
          <w:u w:val="single"/>
        </w:rPr>
        <w:t>ORDER GRANTING INTERVENTION</w:t>
      </w:r>
    </w:p>
    <w:p w:rsidR="00093CEB" w:rsidRPr="00826D5E" w:rsidRDefault="00093CEB" w:rsidP="00093CEB"/>
    <w:p w:rsidR="004A2401" w:rsidRDefault="00093CEB" w:rsidP="00093CEB">
      <w:pPr>
        <w:jc w:val="both"/>
      </w:pPr>
      <w:r w:rsidRPr="00826D5E">
        <w:tab/>
      </w:r>
    </w:p>
    <w:p w:rsidR="004A2401" w:rsidRPr="009957E0" w:rsidRDefault="004A2401" w:rsidP="004A2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roofErr w:type="gramStart"/>
      <w:r>
        <w:t>On November 25, 2014, pursuant to Order No.</w:t>
      </w:r>
      <w:proofErr w:type="gramEnd"/>
      <w:r>
        <w:t xml:space="preserve"> </w:t>
      </w:r>
      <w:proofErr w:type="spellStart"/>
      <w:r>
        <w:t>PSC</w:t>
      </w:r>
      <w:proofErr w:type="spellEnd"/>
      <w:r>
        <w:t>-14-0583-PHO-</w:t>
      </w:r>
      <w:proofErr w:type="spellStart"/>
      <w:r>
        <w:t>EG</w:t>
      </w:r>
      <w:proofErr w:type="spellEnd"/>
      <w:r>
        <w:t>, issued October 15, 2014, in Docket No. 140002-</w:t>
      </w:r>
      <w:proofErr w:type="spellStart"/>
      <w:r>
        <w:t>EG</w:t>
      </w:r>
      <w:proofErr w:type="spellEnd"/>
      <w:r>
        <w:t>, the Commission opened this docket to address issues raised by Wal-Mart Stores East, LP and Sam’s East, Inc. (Wal-Mart) and Florida Industrial Power Users Group (</w:t>
      </w:r>
      <w:proofErr w:type="spellStart"/>
      <w:r>
        <w:t>FIPUG</w:t>
      </w:r>
      <w:proofErr w:type="spellEnd"/>
      <w:r>
        <w:t xml:space="preserve">).  </w:t>
      </w:r>
      <w:proofErr w:type="gramStart"/>
      <w:r>
        <w:t>The Order Establishing Procedure, Order No.</w:t>
      </w:r>
      <w:proofErr w:type="gramEnd"/>
      <w:r>
        <w:t xml:space="preserve"> </w:t>
      </w:r>
      <w:proofErr w:type="spellStart"/>
      <w:r w:rsidRPr="004A2401">
        <w:t>PSC</w:t>
      </w:r>
      <w:proofErr w:type="spellEnd"/>
      <w:r w:rsidRPr="004A2401">
        <w:t>-15-0149-</w:t>
      </w:r>
      <w:proofErr w:type="spellStart"/>
      <w:r w:rsidRPr="004A2401">
        <w:t>PCO</w:t>
      </w:r>
      <w:proofErr w:type="spellEnd"/>
      <w:r w:rsidRPr="004A2401">
        <w:t>-</w:t>
      </w:r>
      <w:proofErr w:type="spellStart"/>
      <w:r w:rsidRPr="004A2401">
        <w:t>EI</w:t>
      </w:r>
      <w:proofErr w:type="spellEnd"/>
      <w:r w:rsidR="00464155">
        <w:t xml:space="preserve"> </w:t>
      </w:r>
      <w:r>
        <w:t>issued on April 1, 2015, established a prehearing conference for July 7, 2015, and an administrative hearing has been set for July 22-23, 2015.</w:t>
      </w:r>
    </w:p>
    <w:p w:rsidR="004A2401" w:rsidRDefault="004A2401" w:rsidP="00093CEB">
      <w:pPr>
        <w:jc w:val="both"/>
      </w:pPr>
    </w:p>
    <w:p w:rsidR="004A2401" w:rsidRPr="004A2401" w:rsidRDefault="004A2401" w:rsidP="00093CEB">
      <w:pPr>
        <w:jc w:val="both"/>
        <w:rPr>
          <w:u w:val="single"/>
        </w:rPr>
      </w:pPr>
      <w:r w:rsidRPr="004A2401">
        <w:rPr>
          <w:u w:val="single"/>
        </w:rPr>
        <w:t>Petition for Intervention</w:t>
      </w:r>
    </w:p>
    <w:p w:rsidR="004A2401" w:rsidRDefault="004A2401" w:rsidP="00093CEB">
      <w:pPr>
        <w:jc w:val="both"/>
      </w:pPr>
    </w:p>
    <w:p w:rsidR="00093CEB" w:rsidRPr="00093CEB" w:rsidRDefault="00093CEB" w:rsidP="004A2401">
      <w:pPr>
        <w:ind w:firstLine="720"/>
        <w:jc w:val="both"/>
      </w:pPr>
      <w:r w:rsidRPr="00826D5E">
        <w:t xml:space="preserve">By petition, dated </w:t>
      </w:r>
      <w:r w:rsidR="00C406B6">
        <w:t>April 10, 2015, Southern Alliance for Clean Energy (</w:t>
      </w:r>
      <w:proofErr w:type="spellStart"/>
      <w:r w:rsidR="00C406B6">
        <w:t>SACE</w:t>
      </w:r>
      <w:proofErr w:type="spellEnd"/>
      <w:r w:rsidR="00C406B6">
        <w:t xml:space="preserve">) </w:t>
      </w:r>
      <w:r w:rsidRPr="00093CEB">
        <w:t xml:space="preserve">has requested permission to intervene in this proceeding.  </w:t>
      </w:r>
      <w:proofErr w:type="spellStart"/>
      <w:r w:rsidR="00C406B6">
        <w:t>SACE</w:t>
      </w:r>
      <w:proofErr w:type="spellEnd"/>
      <w:r w:rsidR="00C406B6">
        <w:t xml:space="preserve"> is a non-profit clean energy corporation organized under the laws of the state of Tennessee</w:t>
      </w:r>
      <w:r w:rsidR="00464155">
        <w:t xml:space="preserve"> and authorized to conduct operations in the State of Florida</w:t>
      </w:r>
      <w:r w:rsidR="00C406B6">
        <w:t xml:space="preserve">.  </w:t>
      </w:r>
      <w:proofErr w:type="spellStart"/>
      <w:r w:rsidR="00C406B6">
        <w:t>SACE</w:t>
      </w:r>
      <w:proofErr w:type="spellEnd"/>
      <w:r w:rsidRPr="00093CEB">
        <w:t xml:space="preserve"> states </w:t>
      </w:r>
      <w:r w:rsidR="00AE3B0F" w:rsidRPr="00093CEB">
        <w:t xml:space="preserve">that </w:t>
      </w:r>
      <w:r w:rsidR="00AE3B0F">
        <w:t>there</w:t>
      </w:r>
      <w:r w:rsidR="00C406B6">
        <w:t xml:space="preserve"> are 247 </w:t>
      </w:r>
      <w:proofErr w:type="spellStart"/>
      <w:r w:rsidR="00C406B6">
        <w:t>SACE</w:t>
      </w:r>
      <w:proofErr w:type="spellEnd"/>
      <w:r w:rsidR="00C406B6">
        <w:t xml:space="preserve"> </w:t>
      </w:r>
      <w:r w:rsidR="00AE3B0F">
        <w:t>members</w:t>
      </w:r>
      <w:r w:rsidR="00C406B6">
        <w:t xml:space="preserve"> residing in Florida</w:t>
      </w:r>
      <w:r w:rsidR="00AE3B0F">
        <w:t xml:space="preserve"> </w:t>
      </w:r>
      <w:r w:rsidR="00F52574">
        <w:t>who</w:t>
      </w:r>
      <w:r w:rsidR="00AE3B0F">
        <w:t xml:space="preserve"> are dedicated to promoting responsible energy choices that achieve clean, safe, and healthy communities.</w:t>
      </w:r>
      <w:r w:rsidR="00C406B6">
        <w:t xml:space="preserve"> </w:t>
      </w:r>
      <w:r w:rsidR="00AE3B0F">
        <w:t xml:space="preserve"> </w:t>
      </w:r>
      <w:proofErr w:type="spellStart"/>
      <w:r w:rsidR="00C406B6">
        <w:t>SACE</w:t>
      </w:r>
      <w:proofErr w:type="spellEnd"/>
      <w:r w:rsidR="00C406B6">
        <w:t xml:space="preserve"> asserts that its mission is to advocate for energy plans, policies and systems that best serve the environmental, public health and economic interest of communities in the </w:t>
      </w:r>
      <w:r w:rsidR="00AE3B0F">
        <w:t>Southeast</w:t>
      </w:r>
      <w:r w:rsidR="00C406B6">
        <w:t xml:space="preserve">, including Florida. </w:t>
      </w:r>
      <w:r w:rsidR="004B4AEF">
        <w:t xml:space="preserve"> </w:t>
      </w:r>
    </w:p>
    <w:p w:rsidR="00093CEB" w:rsidRDefault="00093CEB" w:rsidP="00093CEB">
      <w:pPr>
        <w:jc w:val="both"/>
      </w:pPr>
    </w:p>
    <w:p w:rsidR="004B4AEF" w:rsidRPr="004B4AEF" w:rsidRDefault="004B4AEF" w:rsidP="00093CEB">
      <w:pPr>
        <w:jc w:val="both"/>
        <w:rPr>
          <w:u w:val="single"/>
        </w:rPr>
      </w:pPr>
      <w:r w:rsidRPr="004B4AEF">
        <w:rPr>
          <w:u w:val="single"/>
        </w:rPr>
        <w:t>Standards for Intervention</w:t>
      </w:r>
    </w:p>
    <w:p w:rsidR="004B4AEF" w:rsidRPr="00093CEB" w:rsidRDefault="004B4AEF" w:rsidP="00093CEB">
      <w:pPr>
        <w:jc w:val="both"/>
      </w:pPr>
    </w:p>
    <w:p w:rsidR="004B4AEF" w:rsidRDefault="004B4AEF" w:rsidP="004B4AEF">
      <w:pPr>
        <w:ind w:firstLine="720"/>
        <w:jc w:val="both"/>
      </w:pPr>
      <w:r>
        <w:t xml:space="preserve">Pursuant to Rule 25-22.039, </w:t>
      </w:r>
      <w:proofErr w:type="spellStart"/>
      <w:r>
        <w:t>F.A.C</w:t>
      </w:r>
      <w:proofErr w:type="spellEnd"/>
      <w:r>
        <w:t xml:space="preserve">., persons, other than the original parties to a pending proceeding, who have a substantial interest in the proceeding, and who desire to become parties may petition for leave to intervene.  Petitions for leave to intervene must be filed at least five days before the evidentiary hearing, must conform with Rule 28-106.201(2), </w:t>
      </w:r>
      <w:proofErr w:type="spellStart"/>
      <w:r>
        <w:t>F.A.C</w:t>
      </w:r>
      <w:proofErr w:type="spellEnd"/>
      <w:r>
        <w:t xml:space="preserve">.,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affected by the proceeding.  </w:t>
      </w:r>
      <w:proofErr w:type="spellStart"/>
      <w:r>
        <w:t>Intervenors</w:t>
      </w:r>
      <w:proofErr w:type="spellEnd"/>
      <w:r>
        <w:t xml:space="preserve"> take the case as they find it.</w:t>
      </w:r>
    </w:p>
    <w:p w:rsidR="004B4AEF" w:rsidRDefault="004B4AEF" w:rsidP="004B4AEF">
      <w:pPr>
        <w:ind w:firstLine="720"/>
        <w:jc w:val="both"/>
      </w:pPr>
    </w:p>
    <w:p w:rsidR="009316E1" w:rsidRDefault="004B4AEF" w:rsidP="004B4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To have standing, the </w:t>
      </w:r>
      <w:proofErr w:type="spellStart"/>
      <w:r>
        <w:t>intervenor</w:t>
      </w:r>
      <w:proofErr w:type="spellEnd"/>
      <w:r>
        <w:t xml:space="preserve"> must meet the two-prong standing test set forth in </w:t>
      </w:r>
      <w:proofErr w:type="spellStart"/>
      <w:r w:rsidRPr="004B4AEF">
        <w:rPr>
          <w:u w:val="single"/>
        </w:rPr>
        <w:t>Agrico</w:t>
      </w:r>
      <w:proofErr w:type="spellEnd"/>
      <w:r w:rsidRPr="004B4AEF">
        <w:rPr>
          <w:u w:val="single"/>
        </w:rPr>
        <w:t xml:space="preserve"> Chemical Company v. Department of </w:t>
      </w:r>
      <w:r w:rsidR="00AE3B0F" w:rsidRPr="004B4AEF">
        <w:rPr>
          <w:u w:val="single"/>
        </w:rPr>
        <w:t>Environmental</w:t>
      </w:r>
      <w:r w:rsidRPr="004B4AEF">
        <w:rPr>
          <w:u w:val="single"/>
        </w:rPr>
        <w:t xml:space="preserve"> Regulation</w:t>
      </w:r>
      <w:r>
        <w:t xml:space="preserve">, 406 </w:t>
      </w:r>
      <w:proofErr w:type="gramStart"/>
      <w:r>
        <w:t>So</w:t>
      </w:r>
      <w:proofErr w:type="gramEnd"/>
      <w:r>
        <w:t>.</w:t>
      </w:r>
      <w:r w:rsidR="00464155">
        <w:t xml:space="preserve"> </w:t>
      </w:r>
      <w:proofErr w:type="spellStart"/>
      <w:proofErr w:type="gramStart"/>
      <w:r>
        <w:t>2d</w:t>
      </w:r>
      <w:proofErr w:type="spellEnd"/>
      <w:r>
        <w:t xml:space="preserve"> 478, 472 </w:t>
      </w:r>
      <w:r w:rsidR="00464155">
        <w:t xml:space="preserve">(Fla. 2nd </w:t>
      </w:r>
      <w:proofErr w:type="spellStart"/>
      <w:r>
        <w:t>DCA</w:t>
      </w:r>
      <w:proofErr w:type="spellEnd"/>
      <w:r>
        <w:t xml:space="preserve"> 1981).</w:t>
      </w:r>
      <w:proofErr w:type="gramEnd"/>
      <w:r>
        <w:t xml:space="preserve"> The </w:t>
      </w:r>
      <w:proofErr w:type="spellStart"/>
      <w:r>
        <w:t>intervenor</w:t>
      </w:r>
      <w:proofErr w:type="spellEnd"/>
      <w:r>
        <w:t xml:space="preserve"> must show (1) that he will suffer injury in fact which is of </w:t>
      </w:r>
      <w:r w:rsidR="00AE3B0F">
        <w:t>sufficient</w:t>
      </w:r>
      <w:r>
        <w:t xml:space="preserve"> immediacy to entitle him to a Section 120.57, </w:t>
      </w:r>
      <w:proofErr w:type="spellStart"/>
      <w:r>
        <w:t>F.S</w:t>
      </w:r>
      <w:proofErr w:type="spellEnd"/>
      <w:r>
        <w:t>. hearing</w:t>
      </w:r>
      <w:r w:rsidR="00464155">
        <w:t>,</w:t>
      </w:r>
      <w:r>
        <w:t xml:space="preserve"> and (2) that this </w:t>
      </w:r>
      <w:r w:rsidR="00AE3B0F">
        <w:t>substantial</w:t>
      </w:r>
      <w:r>
        <w:t xml:space="preserve"> </w:t>
      </w:r>
      <w:r w:rsidR="00AE3B0F">
        <w:lastRenderedPageBreak/>
        <w:t>injury</w:t>
      </w:r>
      <w:r>
        <w:t xml:space="preserve"> is a type or nature which the proceeding is designed to protect.  The first aspect of the test deals with the degree of injury.  The second aspect deals with the nature of the injury.  The “injury in fact must be both real and immediate and not speculative or conjectural. </w:t>
      </w:r>
      <w:r w:rsidR="00C73A93">
        <w:t xml:space="preserve"> </w:t>
      </w:r>
      <w:r w:rsidRPr="00C73A93">
        <w:rPr>
          <w:u w:val="single"/>
        </w:rPr>
        <w:t xml:space="preserve">International </w:t>
      </w:r>
      <w:r w:rsidRPr="004B4AEF">
        <w:rPr>
          <w:u w:val="single"/>
        </w:rPr>
        <w:t>Jai-Alai Players Assn. v. Florida Pari-Mutuel Commission</w:t>
      </w:r>
      <w:r>
        <w:t xml:space="preserve">, 561 So. </w:t>
      </w:r>
      <w:proofErr w:type="spellStart"/>
      <w:proofErr w:type="gramStart"/>
      <w:r>
        <w:t>2d</w:t>
      </w:r>
      <w:proofErr w:type="spellEnd"/>
      <w:r>
        <w:t xml:space="preserve"> 1224, 1225-26 (Fla. </w:t>
      </w:r>
      <w:r w:rsidR="00464155">
        <w:t>3rd</w:t>
      </w:r>
      <w:r>
        <w:t xml:space="preserve"> </w:t>
      </w:r>
      <w:proofErr w:type="spellStart"/>
      <w:r>
        <w:t>DCA</w:t>
      </w:r>
      <w:proofErr w:type="spellEnd"/>
      <w:r>
        <w:t xml:space="preserve"> 1990).</w:t>
      </w:r>
      <w:proofErr w:type="gramEnd"/>
      <w:r>
        <w:t xml:space="preserve">  See also </w:t>
      </w:r>
      <w:r w:rsidRPr="00F64FE2">
        <w:rPr>
          <w:u w:val="single"/>
        </w:rPr>
        <w:t xml:space="preserve">Village </w:t>
      </w:r>
      <w:r w:rsidR="009316E1" w:rsidRPr="00F64FE2">
        <w:rPr>
          <w:u w:val="single"/>
        </w:rPr>
        <w:t>Home Assn. v. State Dept. of Business Regulation</w:t>
      </w:r>
      <w:r w:rsidR="009316E1">
        <w:t xml:space="preserve">, 506 </w:t>
      </w:r>
      <w:proofErr w:type="gramStart"/>
      <w:r w:rsidR="009316E1">
        <w:t>So</w:t>
      </w:r>
      <w:proofErr w:type="gramEnd"/>
      <w:r w:rsidR="009316E1">
        <w:t>.</w:t>
      </w:r>
      <w:r w:rsidR="00464155">
        <w:t xml:space="preserve"> </w:t>
      </w:r>
      <w:proofErr w:type="spellStart"/>
      <w:r w:rsidR="009316E1">
        <w:t>2d</w:t>
      </w:r>
      <w:proofErr w:type="spellEnd"/>
      <w:r w:rsidR="009316E1">
        <w:t xml:space="preserve"> 426, 434 (Fla. </w:t>
      </w:r>
      <w:r w:rsidR="00464155">
        <w:t>1st</w:t>
      </w:r>
      <w:r w:rsidR="009316E1">
        <w:t xml:space="preserve"> </w:t>
      </w:r>
      <w:proofErr w:type="spellStart"/>
      <w:r w:rsidR="009316E1">
        <w:t>DCA</w:t>
      </w:r>
      <w:proofErr w:type="spellEnd"/>
      <w:r w:rsidR="009316E1">
        <w:t xml:space="preserve"> 1987), rev. </w:t>
      </w:r>
      <w:proofErr w:type="gramStart"/>
      <w:r w:rsidR="009316E1">
        <w:t>den</w:t>
      </w:r>
      <w:proofErr w:type="gramEnd"/>
      <w:r w:rsidR="009316E1">
        <w:t xml:space="preserve">., 513 </w:t>
      </w:r>
      <w:proofErr w:type="spellStart"/>
      <w:r w:rsidR="009316E1">
        <w:t>So.2d</w:t>
      </w:r>
      <w:proofErr w:type="spellEnd"/>
      <w:r w:rsidR="009316E1">
        <w:t xml:space="preserve"> 1063 (Fla. 1987) (speculation on the possible occurrence of injurious events is to remote). </w:t>
      </w:r>
    </w:p>
    <w:p w:rsidR="009316E1" w:rsidRDefault="009316E1" w:rsidP="004B4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B4AEF" w:rsidRDefault="00C73A93" w:rsidP="004B4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64155">
        <w:t xml:space="preserve">Further, the test for associational standing was established </w:t>
      </w:r>
      <w:r w:rsidR="004B4AEF">
        <w:t xml:space="preserve">in </w:t>
      </w:r>
      <w:r w:rsidR="004B4AEF">
        <w:rPr>
          <w:u w:val="single"/>
        </w:rPr>
        <w:t>Florida Home Builders v. Dept. of Labor and Employment Security</w:t>
      </w:r>
      <w:r w:rsidR="004B4AEF">
        <w:t xml:space="preserve">, 412 </w:t>
      </w:r>
      <w:proofErr w:type="gramStart"/>
      <w:r w:rsidR="004B4AEF">
        <w:t>So</w:t>
      </w:r>
      <w:proofErr w:type="gramEnd"/>
      <w:r w:rsidR="004B4AEF">
        <w:t xml:space="preserve">. </w:t>
      </w:r>
      <w:proofErr w:type="spellStart"/>
      <w:r w:rsidR="004B4AEF">
        <w:t>2d</w:t>
      </w:r>
      <w:proofErr w:type="spellEnd"/>
      <w:r w:rsidR="004B4AEF">
        <w:t xml:space="preserve"> 351 (Fla. 1982), and extended to Section 120.57(1), </w:t>
      </w:r>
      <w:proofErr w:type="spellStart"/>
      <w:r w:rsidR="004B4AEF">
        <w:t>F.S</w:t>
      </w:r>
      <w:proofErr w:type="spellEnd"/>
      <w:r w:rsidR="004B4AEF">
        <w:t xml:space="preserve">., hearings by </w:t>
      </w:r>
      <w:r w:rsidR="004B4AEF">
        <w:rPr>
          <w:u w:val="single"/>
        </w:rPr>
        <w:t>Farmworker Rights Organization, Inc. v. Dept. of Health and Rehabilitative Services</w:t>
      </w:r>
      <w:r w:rsidR="004B4AEF">
        <w:t xml:space="preserve">, 417 So. </w:t>
      </w:r>
      <w:proofErr w:type="spellStart"/>
      <w:proofErr w:type="gramStart"/>
      <w:r w:rsidR="004B4AEF">
        <w:t>2d</w:t>
      </w:r>
      <w:proofErr w:type="spellEnd"/>
      <w:r w:rsidR="004B4AEF">
        <w:t xml:space="preserve"> 753 (Fla. 1st </w:t>
      </w:r>
      <w:proofErr w:type="spellStart"/>
      <w:r w:rsidR="004B4AEF">
        <w:t>DCA</w:t>
      </w:r>
      <w:proofErr w:type="spellEnd"/>
      <w:r w:rsidR="004B4AEF">
        <w:t xml:space="preserve"> 1982).</w:t>
      </w:r>
      <w:proofErr w:type="gramEnd"/>
      <w:r w:rsidR="004B4AEF">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proofErr w:type="gramStart"/>
      <w:r w:rsidR="004B4AEF" w:rsidRPr="00BB282A">
        <w:rPr>
          <w:u w:val="single"/>
        </w:rPr>
        <w:t>Florida Home Builders</w:t>
      </w:r>
      <w:r w:rsidR="004B4AEF">
        <w:t xml:space="preserve"> at 353.</w:t>
      </w:r>
      <w:proofErr w:type="gramEnd"/>
      <w:r w:rsidR="004B4AEF">
        <w:t xml:space="preserve"> </w:t>
      </w:r>
    </w:p>
    <w:p w:rsidR="004B4AEF" w:rsidRPr="00EF02FA" w:rsidRDefault="004B4AEF" w:rsidP="004B4AEF">
      <w:pPr>
        <w:ind w:firstLine="720"/>
        <w:jc w:val="both"/>
      </w:pPr>
    </w:p>
    <w:p w:rsidR="004B4AEF" w:rsidRPr="00EF02FA" w:rsidRDefault="004B4AEF" w:rsidP="004B4AEF">
      <w:pPr>
        <w:jc w:val="both"/>
        <w:rPr>
          <w:u w:val="single"/>
        </w:rPr>
      </w:pPr>
      <w:r w:rsidRPr="00EF02FA">
        <w:rPr>
          <w:u w:val="single"/>
        </w:rPr>
        <w:t xml:space="preserve">Analysis &amp; Ruling </w:t>
      </w:r>
    </w:p>
    <w:p w:rsidR="004B4AEF" w:rsidRPr="00EF02FA" w:rsidRDefault="004B4AEF" w:rsidP="004B4AEF">
      <w:pPr>
        <w:jc w:val="both"/>
      </w:pPr>
    </w:p>
    <w:p w:rsidR="00AE3B0F" w:rsidRDefault="004B4AEF" w:rsidP="004B4AEF">
      <w:pPr>
        <w:jc w:val="both"/>
      </w:pPr>
      <w:r w:rsidRPr="00EF02FA">
        <w:tab/>
      </w:r>
      <w:r w:rsidR="009316E1">
        <w:t xml:space="preserve">It appears that </w:t>
      </w:r>
      <w:proofErr w:type="spellStart"/>
      <w:r w:rsidR="009316E1">
        <w:t>SACE</w:t>
      </w:r>
      <w:proofErr w:type="spellEnd"/>
      <w:r w:rsidR="009316E1">
        <w:t xml:space="preserve"> meets the two-prong test set forth in </w:t>
      </w:r>
      <w:proofErr w:type="spellStart"/>
      <w:r w:rsidR="009316E1" w:rsidRPr="00464155">
        <w:rPr>
          <w:u w:val="single"/>
        </w:rPr>
        <w:t>Agrico</w:t>
      </w:r>
      <w:proofErr w:type="spellEnd"/>
      <w:r w:rsidR="009316E1">
        <w:t xml:space="preserve">, 406 </w:t>
      </w:r>
      <w:proofErr w:type="gramStart"/>
      <w:r w:rsidR="009316E1">
        <w:t>So</w:t>
      </w:r>
      <w:proofErr w:type="gramEnd"/>
      <w:r w:rsidR="009316E1">
        <w:t>.</w:t>
      </w:r>
      <w:r w:rsidR="00464155">
        <w:t xml:space="preserve"> </w:t>
      </w:r>
      <w:proofErr w:type="spellStart"/>
      <w:proofErr w:type="gramStart"/>
      <w:r w:rsidR="009316E1">
        <w:t>2d</w:t>
      </w:r>
      <w:proofErr w:type="spellEnd"/>
      <w:r w:rsidR="009316E1">
        <w:t xml:space="preserve"> at 482.</w:t>
      </w:r>
      <w:proofErr w:type="gramEnd"/>
      <w:r w:rsidR="009316E1">
        <w:t xml:space="preserve">  </w:t>
      </w:r>
      <w:proofErr w:type="spellStart"/>
      <w:r w:rsidR="009316E1">
        <w:t>SACE</w:t>
      </w:r>
      <w:proofErr w:type="spellEnd"/>
      <w:r w:rsidR="009316E1">
        <w:t xml:space="preserve"> </w:t>
      </w:r>
      <w:r w:rsidR="00AE3B0F">
        <w:t xml:space="preserve">has a substantial number of </w:t>
      </w:r>
      <w:proofErr w:type="spellStart"/>
      <w:r w:rsidR="00AE3B0F">
        <w:t>SACE’s</w:t>
      </w:r>
      <w:proofErr w:type="spellEnd"/>
      <w:r w:rsidR="00AE3B0F">
        <w:t xml:space="preserve"> Florida members who reside in the service territories of Florida Power &amp; Light Company (104 members), Duke Energy Florida, Inc. (39 members), Tampa Electric Company (19 members), Gulf Power Company (17 members) and the Florida Public Utilities Company (5 members).  </w:t>
      </w:r>
      <w:r w:rsidR="009316E1">
        <w:t xml:space="preserve">In addition, the Commission’s </w:t>
      </w:r>
      <w:r w:rsidR="00AE3B0F">
        <w:t>decision</w:t>
      </w:r>
      <w:r w:rsidR="009316E1">
        <w:t xml:space="preserve"> will affect </w:t>
      </w:r>
      <w:r w:rsidR="00464155">
        <w:t xml:space="preserve">its </w:t>
      </w:r>
      <w:r w:rsidR="009316E1">
        <w:t>policy on e</w:t>
      </w:r>
      <w:r w:rsidR="00AE3B0F">
        <w:t xml:space="preserve">nergy efficiency as a resource </w:t>
      </w:r>
      <w:r w:rsidR="009316E1">
        <w:t>and may affect other resou</w:t>
      </w:r>
      <w:r w:rsidR="00156067">
        <w:t>r</w:t>
      </w:r>
      <w:r w:rsidR="009316E1">
        <w:t xml:space="preserve">ce </w:t>
      </w:r>
      <w:r w:rsidR="00156067">
        <w:t>decision</w:t>
      </w:r>
      <w:r w:rsidR="00AE3B0F">
        <w:t>s</w:t>
      </w:r>
      <w:r w:rsidR="009316E1">
        <w:t xml:space="preserve"> that will affect the </w:t>
      </w:r>
      <w:proofErr w:type="spellStart"/>
      <w:r w:rsidR="009316E1">
        <w:t>SACE</w:t>
      </w:r>
      <w:proofErr w:type="spellEnd"/>
      <w:r w:rsidR="009316E1">
        <w:t xml:space="preserve"> members located in </w:t>
      </w:r>
      <w:r w:rsidR="00AE3B0F">
        <w:t>the utilities’</w:t>
      </w:r>
      <w:r w:rsidR="009316E1">
        <w:t xml:space="preserve"> service territories now and in the future.  </w:t>
      </w:r>
    </w:p>
    <w:p w:rsidR="00AE3B0F" w:rsidRDefault="00AE3B0F" w:rsidP="004B4AEF">
      <w:pPr>
        <w:jc w:val="both"/>
      </w:pPr>
    </w:p>
    <w:p w:rsidR="004B4AEF" w:rsidRPr="00826D5E" w:rsidRDefault="009316E1" w:rsidP="00AE3B0F">
      <w:pPr>
        <w:ind w:firstLine="720"/>
        <w:jc w:val="both"/>
      </w:pPr>
      <w:r>
        <w:t>I</w:t>
      </w:r>
      <w:r w:rsidR="004B4AEF" w:rsidRPr="00EF02FA">
        <w:t xml:space="preserve">t </w:t>
      </w:r>
      <w:r>
        <w:t xml:space="preserve">further </w:t>
      </w:r>
      <w:r w:rsidR="004B4AEF" w:rsidRPr="00EF02FA">
        <w:t xml:space="preserve">appears that </w:t>
      </w:r>
      <w:proofErr w:type="spellStart"/>
      <w:r w:rsidR="004B4AEF">
        <w:t>SACE</w:t>
      </w:r>
      <w:proofErr w:type="spellEnd"/>
      <w:r w:rsidR="004B4AEF" w:rsidRPr="00EF02FA">
        <w:t xml:space="preserve"> satisfies the three-prong associational standing test established in </w:t>
      </w:r>
      <w:r w:rsidR="004B4AEF" w:rsidRPr="00EF02FA">
        <w:rPr>
          <w:u w:val="single"/>
        </w:rPr>
        <w:t>Florida Home Builders</w:t>
      </w:r>
      <w:r w:rsidR="004B4AEF">
        <w:t xml:space="preserve">.  </w:t>
      </w:r>
      <w:r w:rsidR="004B4AEF" w:rsidRPr="00EF02FA">
        <w:t xml:space="preserve">With respect to the first prong of the </w:t>
      </w:r>
      <w:r w:rsidR="004B4AEF" w:rsidRPr="00EF02FA">
        <w:rPr>
          <w:u w:val="single"/>
        </w:rPr>
        <w:t>Florida Home Builders</w:t>
      </w:r>
      <w:r w:rsidR="004B4AEF" w:rsidRPr="00EF02FA">
        <w:t xml:space="preserve"> associational standing test, </w:t>
      </w:r>
      <w:proofErr w:type="spellStart"/>
      <w:r w:rsidR="004B4AEF">
        <w:t>SACE</w:t>
      </w:r>
      <w:proofErr w:type="spellEnd"/>
      <w:r w:rsidR="004B4AEF">
        <w:t xml:space="preserve">, </w:t>
      </w:r>
      <w:r w:rsidR="004B4AEF" w:rsidRPr="00EF02FA">
        <w:t>on behalf of its affected</w:t>
      </w:r>
      <w:r w:rsidR="004B4AEF" w:rsidRPr="004A2401">
        <w:t xml:space="preserve"> members, asserts that many of its members will be directly affected by the Commission’s decisions on </w:t>
      </w:r>
      <w:r w:rsidR="004A2401" w:rsidRPr="004A2401">
        <w:t xml:space="preserve">energy </w:t>
      </w:r>
      <w:r w:rsidR="00AE3B0F">
        <w:t>efficiency</w:t>
      </w:r>
      <w:r w:rsidR="004A2401" w:rsidRPr="004A2401">
        <w:t xml:space="preserve"> as a resource in meeting demand.</w:t>
      </w:r>
      <w:r w:rsidR="004B4AEF" w:rsidRPr="004A2401">
        <w:t xml:space="preserve">  </w:t>
      </w:r>
      <w:proofErr w:type="spellStart"/>
      <w:r w:rsidR="004B4AEF" w:rsidRPr="004A2401">
        <w:t>SACE</w:t>
      </w:r>
      <w:proofErr w:type="spellEnd"/>
      <w:r w:rsidR="004B4AEF" w:rsidRPr="004A2401">
        <w:t xml:space="preserve"> contends that its mission and the pecuniary interests of its members will be directly affected by the Commission’s decisions in this proceeding.  </w:t>
      </w:r>
      <w:proofErr w:type="spellStart"/>
      <w:proofErr w:type="gramStart"/>
      <w:r w:rsidR="004B4AEF" w:rsidRPr="004A2401">
        <w:t>SACE</w:t>
      </w:r>
      <w:proofErr w:type="spellEnd"/>
      <w:r w:rsidR="004B4AEF" w:rsidRPr="004A2401">
        <w:t xml:space="preserve"> further states that it has an interest in ensuring that </w:t>
      </w:r>
      <w:r w:rsidR="00484F19" w:rsidRPr="004A2401">
        <w:t>energy ef</w:t>
      </w:r>
      <w:r w:rsidR="00464155">
        <w:t>ficiency policy is not</w:t>
      </w:r>
      <w:r w:rsidR="00484F19" w:rsidRPr="004A2401">
        <w:t xml:space="preserve"> further eroded </w:t>
      </w:r>
      <w:r w:rsidR="00464155">
        <w:t>in Florida through an “opt-out” of</w:t>
      </w:r>
      <w:r w:rsidR="00464155" w:rsidRPr="00464155">
        <w:t xml:space="preserve"> cost recovery for investor-owned electric utility energy efficiency programs</w:t>
      </w:r>
      <w:r w:rsidR="00464155">
        <w:t>.</w:t>
      </w:r>
      <w:proofErr w:type="gramEnd"/>
      <w:r w:rsidR="004B4AEF" w:rsidRPr="004A2401">
        <w:t xml:space="preserve">  </w:t>
      </w:r>
      <w:r w:rsidR="004B4AEF" w:rsidRPr="004A2401">
        <w:rPr>
          <w:szCs w:val="32"/>
        </w:rPr>
        <w:t xml:space="preserve">With respect </w:t>
      </w:r>
      <w:r w:rsidR="004B4AEF" w:rsidRPr="00EF02FA">
        <w:rPr>
          <w:szCs w:val="32"/>
        </w:rPr>
        <w:t xml:space="preserve">to the second prong of the associational standing test, </w:t>
      </w:r>
      <w:r w:rsidR="004B4AEF" w:rsidRPr="00EF02FA">
        <w:t xml:space="preserve">the subject matter of the proceeding is clearly within </w:t>
      </w:r>
      <w:proofErr w:type="spellStart"/>
      <w:r w:rsidR="004B4AEF">
        <w:t>SACE</w:t>
      </w:r>
      <w:r w:rsidR="004B4AEF" w:rsidRPr="00EF02FA">
        <w:t>’s</w:t>
      </w:r>
      <w:proofErr w:type="spellEnd"/>
      <w:r w:rsidR="004B4AEF" w:rsidRPr="00EF02FA">
        <w:t xml:space="preserve"> general scope of interest and activity</w:t>
      </w:r>
      <w:r w:rsidR="004B4AEF">
        <w:t xml:space="preserve"> because </w:t>
      </w:r>
      <w:proofErr w:type="spellStart"/>
      <w:r w:rsidR="004B4AEF">
        <w:t>SACE</w:t>
      </w:r>
      <w:proofErr w:type="spellEnd"/>
      <w:r w:rsidR="004B4AEF">
        <w:t xml:space="preserve"> represents its members and their environmental and conservation concerns</w:t>
      </w:r>
      <w:r w:rsidR="004B4AEF" w:rsidRPr="00EF02FA">
        <w:t xml:space="preserve">. </w:t>
      </w:r>
      <w:r w:rsidR="004B4AEF">
        <w:t xml:space="preserve"> </w:t>
      </w:r>
      <w:r w:rsidR="00464155">
        <w:t xml:space="preserve">Thus, it satisfies the second prong of the associational standing test established in </w:t>
      </w:r>
      <w:r w:rsidR="00464155" w:rsidRPr="00464155">
        <w:rPr>
          <w:u w:val="single"/>
        </w:rPr>
        <w:t>Florida Home Builders</w:t>
      </w:r>
      <w:r w:rsidR="00464155">
        <w:t xml:space="preserve">. </w:t>
      </w:r>
      <w:r w:rsidR="004B4AEF" w:rsidRPr="00EF02FA">
        <w:t xml:space="preserve">As for the third prong of the associational standing test, </w:t>
      </w:r>
      <w:proofErr w:type="spellStart"/>
      <w:r w:rsidR="004B4AEF">
        <w:t>SACE</w:t>
      </w:r>
      <w:proofErr w:type="spellEnd"/>
      <w:r w:rsidR="004B4AEF" w:rsidRPr="00EF02FA">
        <w:t xml:space="preserve"> is seeking intervention in this docket in order to represent the interests of its members in this proceeding.  Based on the foregoing analysis, </w:t>
      </w:r>
      <w:proofErr w:type="spellStart"/>
      <w:r w:rsidR="004B4AEF">
        <w:t>SACE</w:t>
      </w:r>
      <w:r w:rsidR="004B4AEF" w:rsidRPr="00EF02FA">
        <w:t>’s</w:t>
      </w:r>
      <w:proofErr w:type="spellEnd"/>
      <w:r w:rsidR="004B4AEF" w:rsidRPr="00EF02FA">
        <w:t xml:space="preserve"> standing in this proceeding has been established. </w:t>
      </w:r>
      <w:r w:rsidR="004B4AEF">
        <w:t xml:space="preserve">Pursuant to Rule 25-22.039, </w:t>
      </w:r>
      <w:proofErr w:type="spellStart"/>
      <w:r w:rsidR="004B4AEF">
        <w:t>F.A.C</w:t>
      </w:r>
      <w:proofErr w:type="spellEnd"/>
      <w:r w:rsidR="004B4AEF">
        <w:t xml:space="preserve">., </w:t>
      </w:r>
      <w:proofErr w:type="spellStart"/>
      <w:r w:rsidR="004B4AEF">
        <w:t>SACE</w:t>
      </w:r>
      <w:proofErr w:type="spellEnd"/>
      <w:r w:rsidR="004B4AEF">
        <w:t xml:space="preserve"> takes the case as it finds it.</w:t>
      </w:r>
      <w:r w:rsidR="004B4AEF" w:rsidRPr="00826D5E">
        <w:t xml:space="preserve">  </w:t>
      </w:r>
    </w:p>
    <w:p w:rsidR="00093CEB" w:rsidRPr="00093CEB" w:rsidRDefault="00093CEB" w:rsidP="00093CEB">
      <w:pPr>
        <w:jc w:val="both"/>
      </w:pPr>
    </w:p>
    <w:p w:rsidR="00093CEB" w:rsidRPr="00093CEB" w:rsidRDefault="00093CEB" w:rsidP="00093CEB">
      <w:pPr>
        <w:jc w:val="both"/>
      </w:pPr>
      <w:r w:rsidRPr="00093CEB">
        <w:lastRenderedPageBreak/>
        <w:tab/>
        <w:t>Therefore, it is</w:t>
      </w:r>
    </w:p>
    <w:p w:rsidR="00093CEB" w:rsidRPr="00093CEB" w:rsidRDefault="00093CEB" w:rsidP="00093CEB">
      <w:pPr>
        <w:jc w:val="both"/>
      </w:pPr>
    </w:p>
    <w:p w:rsidR="00093CEB" w:rsidRPr="00093CEB" w:rsidRDefault="00093CEB" w:rsidP="00093CEB">
      <w:pPr>
        <w:jc w:val="both"/>
      </w:pPr>
      <w:r w:rsidRPr="00093CEB">
        <w:tab/>
      </w:r>
      <w:proofErr w:type="gramStart"/>
      <w:r w:rsidRPr="00093CEB">
        <w:t xml:space="preserve">ORDERED by </w:t>
      </w:r>
      <w:r w:rsidR="00C73A93">
        <w:t xml:space="preserve">Chairman Art Graham, as Prehearing Officer, </w:t>
      </w:r>
      <w:r w:rsidR="00AE3B0F">
        <w:t>that</w:t>
      </w:r>
      <w:r w:rsidRPr="00093CEB">
        <w:t xml:space="preserve"> the Petition to Intervene filed by </w:t>
      </w:r>
      <w:r w:rsidR="004B4AEF">
        <w:t>Southern Alliance for Clean Energy</w:t>
      </w:r>
      <w:r w:rsidRPr="00093CEB">
        <w:t xml:space="preserve"> is hereby granted.</w:t>
      </w:r>
      <w:proofErr w:type="gramEnd"/>
      <w:r w:rsidRPr="00093CEB">
        <w:t xml:space="preserve">  It is further</w:t>
      </w:r>
    </w:p>
    <w:p w:rsidR="00093CEB" w:rsidRPr="00093CEB" w:rsidRDefault="00093CEB" w:rsidP="00093CEB">
      <w:pPr>
        <w:jc w:val="both"/>
      </w:pPr>
    </w:p>
    <w:p w:rsidR="00093CEB" w:rsidRPr="00093CEB" w:rsidRDefault="00093CEB" w:rsidP="00093CEB">
      <w:pPr>
        <w:jc w:val="both"/>
      </w:pPr>
      <w:r w:rsidRPr="00093CEB">
        <w:tab/>
        <w:t>ORDERED that all parties to this proceeding shall furnish copies of all testimony, exhibits, pleadings and other documents which may hereinafter be filed in this proceeding, to:</w:t>
      </w:r>
    </w:p>
    <w:p w:rsidR="00093CEB" w:rsidRPr="00093CEB" w:rsidRDefault="00093CEB" w:rsidP="00093CEB"/>
    <w:tbl>
      <w:tblPr>
        <w:tblW w:w="0" w:type="auto"/>
        <w:tblLayout w:type="fixed"/>
        <w:tblCellMar>
          <w:left w:w="129" w:type="dxa"/>
          <w:right w:w="129" w:type="dxa"/>
        </w:tblCellMar>
        <w:tblLook w:val="0000" w:firstRow="0" w:lastRow="0" w:firstColumn="0" w:lastColumn="0" w:noHBand="0" w:noVBand="0"/>
      </w:tblPr>
      <w:tblGrid>
        <w:gridCol w:w="4682"/>
        <w:gridCol w:w="4682"/>
      </w:tblGrid>
      <w:tr w:rsidR="00093CEB" w:rsidRPr="00093CEB" w:rsidTr="00F52574">
        <w:trPr>
          <w:cantSplit/>
          <w:trHeight w:val="771"/>
        </w:trPr>
        <w:tc>
          <w:tcPr>
            <w:tcW w:w="4682" w:type="dxa"/>
            <w:tcBorders>
              <w:top w:val="nil"/>
              <w:left w:val="nil"/>
              <w:bottom w:val="nil"/>
              <w:right w:val="nil"/>
            </w:tcBorders>
          </w:tcPr>
          <w:p w:rsidR="00F52574" w:rsidRDefault="004B4AEF" w:rsidP="004B4AEF">
            <w:pPr>
              <w:autoSpaceDE w:val="0"/>
              <w:autoSpaceDN w:val="0"/>
              <w:adjustRightInd w:val="0"/>
            </w:pPr>
            <w:r w:rsidRPr="00AE3B0F">
              <w:t xml:space="preserve">George </w:t>
            </w:r>
            <w:proofErr w:type="spellStart"/>
            <w:r w:rsidRPr="00AE3B0F">
              <w:t>Cavros</w:t>
            </w:r>
            <w:proofErr w:type="spellEnd"/>
          </w:p>
          <w:p w:rsidR="004B4AEF" w:rsidRPr="00AE3B0F" w:rsidRDefault="004B4AEF" w:rsidP="004B4AEF">
            <w:pPr>
              <w:autoSpaceDE w:val="0"/>
              <w:autoSpaceDN w:val="0"/>
              <w:adjustRightInd w:val="0"/>
            </w:pPr>
            <w:r w:rsidRPr="00AE3B0F">
              <w:t>Southern Alliance for Clean Energy</w:t>
            </w:r>
          </w:p>
          <w:p w:rsidR="004B4AEF" w:rsidRPr="00AE3B0F" w:rsidRDefault="004B4AEF" w:rsidP="004B4AEF">
            <w:pPr>
              <w:autoSpaceDE w:val="0"/>
              <w:autoSpaceDN w:val="0"/>
              <w:adjustRightInd w:val="0"/>
            </w:pPr>
            <w:r w:rsidRPr="00AE3B0F">
              <w:t>120 E. Oakland Park Blvd., Suite 105</w:t>
            </w:r>
          </w:p>
          <w:p w:rsidR="004B4AEF" w:rsidRDefault="004B4AEF" w:rsidP="004B4AEF">
            <w:pPr>
              <w:autoSpaceDE w:val="0"/>
              <w:autoSpaceDN w:val="0"/>
              <w:adjustRightInd w:val="0"/>
            </w:pPr>
            <w:r w:rsidRPr="00AE3B0F">
              <w:t>Fort Lauderdale, FL 33334</w:t>
            </w:r>
          </w:p>
          <w:p w:rsidR="00AE3B0F" w:rsidRDefault="00AE3B0F" w:rsidP="00AE3B0F">
            <w:pPr>
              <w:autoSpaceDE w:val="0"/>
              <w:autoSpaceDN w:val="0"/>
              <w:adjustRightInd w:val="0"/>
            </w:pPr>
            <w:r>
              <w:t xml:space="preserve">e-mail: </w:t>
            </w:r>
            <w:hyperlink r:id="rId7" w:history="1">
              <w:proofErr w:type="spellStart"/>
              <w:r w:rsidRPr="00664DBB">
                <w:rPr>
                  <w:rStyle w:val="Hyperlink"/>
                </w:rPr>
                <w:t>george@cavros-law.com</w:t>
              </w:r>
              <w:proofErr w:type="spellEnd"/>
            </w:hyperlink>
          </w:p>
          <w:p w:rsidR="004B4AEF" w:rsidRPr="00AE3B0F" w:rsidRDefault="004B4AEF" w:rsidP="004B4AEF">
            <w:pPr>
              <w:autoSpaceDE w:val="0"/>
              <w:autoSpaceDN w:val="0"/>
              <w:adjustRightInd w:val="0"/>
            </w:pPr>
            <w:r w:rsidRPr="00AE3B0F">
              <w:t>(954) 295-5714 (</w:t>
            </w:r>
            <w:proofErr w:type="spellStart"/>
            <w:r w:rsidRPr="00AE3B0F">
              <w:t>tel</w:t>
            </w:r>
            <w:proofErr w:type="spellEnd"/>
            <w:r w:rsidRPr="00AE3B0F">
              <w:t>)</w:t>
            </w:r>
          </w:p>
          <w:p w:rsidR="00093CEB" w:rsidRPr="00AE3B0F" w:rsidRDefault="004B4AEF" w:rsidP="004B4AEF">
            <w:r w:rsidRPr="00AE3B0F">
              <w:t>(866) 924-2824 (fax)</w:t>
            </w:r>
          </w:p>
        </w:tc>
        <w:tc>
          <w:tcPr>
            <w:tcW w:w="4682" w:type="dxa"/>
            <w:tcBorders>
              <w:top w:val="nil"/>
              <w:left w:val="nil"/>
              <w:bottom w:val="nil"/>
              <w:right w:val="nil"/>
            </w:tcBorders>
          </w:tcPr>
          <w:p w:rsidR="00093CEB" w:rsidRPr="00093CEB" w:rsidRDefault="00093CEB" w:rsidP="00113C5E"/>
        </w:tc>
      </w:tr>
      <w:tr w:rsidR="00093CEB" w:rsidRPr="00826D5E" w:rsidTr="00F52574">
        <w:trPr>
          <w:cantSplit/>
          <w:trHeight w:val="225"/>
        </w:trPr>
        <w:tc>
          <w:tcPr>
            <w:tcW w:w="4682" w:type="dxa"/>
            <w:tcBorders>
              <w:top w:val="nil"/>
              <w:left w:val="nil"/>
              <w:bottom w:val="nil"/>
              <w:right w:val="nil"/>
            </w:tcBorders>
          </w:tcPr>
          <w:p w:rsidR="00093CEB" w:rsidRPr="00773B99" w:rsidRDefault="00093CEB" w:rsidP="00773B99">
            <w:pPr>
              <w:jc w:val="right"/>
            </w:pPr>
          </w:p>
        </w:tc>
        <w:tc>
          <w:tcPr>
            <w:tcW w:w="4682" w:type="dxa"/>
            <w:tcBorders>
              <w:top w:val="nil"/>
              <w:left w:val="nil"/>
              <w:bottom w:val="nil"/>
              <w:right w:val="nil"/>
            </w:tcBorders>
          </w:tcPr>
          <w:p w:rsidR="00093CEB" w:rsidRPr="00826D5E" w:rsidRDefault="00093CEB" w:rsidP="00113C5E"/>
        </w:tc>
      </w:tr>
    </w:tbl>
    <w:p w:rsidR="00773B99" w:rsidRDefault="00773B99" w:rsidP="0055218F">
      <w:pPr>
        <w:pStyle w:val="OrderBody"/>
        <w:keepNext/>
        <w:keepLines/>
        <w:ind w:firstLine="720"/>
      </w:pPr>
      <w:r>
        <w:t xml:space="preserve">By ORDER of Chairman Art Graham, as Prehearing Officer, this </w:t>
      </w:r>
      <w:bookmarkStart w:id="5" w:name="replaceDate"/>
      <w:bookmarkEnd w:id="5"/>
      <w:r w:rsidR="0055218F">
        <w:rPr>
          <w:u w:val="single"/>
        </w:rPr>
        <w:t>19th</w:t>
      </w:r>
      <w:r w:rsidR="0055218F">
        <w:t xml:space="preserve"> day of </w:t>
      </w:r>
      <w:r w:rsidR="0055218F">
        <w:rPr>
          <w:u w:val="single"/>
        </w:rPr>
        <w:t>May</w:t>
      </w:r>
      <w:r w:rsidR="0055218F">
        <w:t xml:space="preserve">, </w:t>
      </w:r>
      <w:proofErr w:type="gramStart"/>
      <w:r w:rsidR="0055218F">
        <w:rPr>
          <w:u w:val="single"/>
        </w:rPr>
        <w:t>2015</w:t>
      </w:r>
      <w:proofErr w:type="gramEnd"/>
      <w:r w:rsidR="0055218F">
        <w:t>.</w:t>
      </w:r>
    </w:p>
    <w:p w:rsidR="0055218F" w:rsidRPr="0055218F" w:rsidRDefault="0055218F" w:rsidP="0055218F">
      <w:pPr>
        <w:pStyle w:val="OrderBody"/>
        <w:keepNext/>
        <w:keepLines/>
        <w:ind w:firstLine="720"/>
      </w:pPr>
    </w:p>
    <w:p w:rsidR="00773B99" w:rsidRDefault="00773B99" w:rsidP="00773B99">
      <w:pPr>
        <w:pStyle w:val="OrderBody"/>
        <w:keepNext/>
        <w:keepLines/>
      </w:pPr>
    </w:p>
    <w:p w:rsidR="00773B99" w:rsidRDefault="00773B99" w:rsidP="00773B99">
      <w:pPr>
        <w:pStyle w:val="OrderBody"/>
        <w:keepNext/>
        <w:keepLines/>
      </w:pPr>
    </w:p>
    <w:p w:rsidR="00773B99" w:rsidRDefault="00773B99" w:rsidP="00773B9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73B99" w:rsidTr="00773B99">
        <w:tc>
          <w:tcPr>
            <w:tcW w:w="720" w:type="dxa"/>
            <w:shd w:val="clear" w:color="auto" w:fill="auto"/>
          </w:tcPr>
          <w:p w:rsidR="00773B99" w:rsidRDefault="00773B99" w:rsidP="00773B99">
            <w:pPr>
              <w:pStyle w:val="OrderBody"/>
              <w:keepNext/>
              <w:keepLines/>
            </w:pPr>
            <w:bookmarkStart w:id="6" w:name="bkmrkSignature" w:colFirst="0" w:colLast="0"/>
          </w:p>
        </w:tc>
        <w:tc>
          <w:tcPr>
            <w:tcW w:w="4320" w:type="dxa"/>
            <w:tcBorders>
              <w:bottom w:val="single" w:sz="4" w:space="0" w:color="auto"/>
            </w:tcBorders>
            <w:shd w:val="clear" w:color="auto" w:fill="auto"/>
          </w:tcPr>
          <w:p w:rsidR="00773B99" w:rsidRDefault="0055218F" w:rsidP="00773B99">
            <w:pPr>
              <w:pStyle w:val="OrderBody"/>
              <w:keepNext/>
              <w:keepLines/>
            </w:pPr>
            <w:r>
              <w:t>/s/ Art Graham</w:t>
            </w:r>
          </w:p>
        </w:tc>
      </w:tr>
      <w:bookmarkEnd w:id="6"/>
      <w:tr w:rsidR="00773B99" w:rsidTr="00773B99">
        <w:tc>
          <w:tcPr>
            <w:tcW w:w="720" w:type="dxa"/>
            <w:shd w:val="clear" w:color="auto" w:fill="auto"/>
          </w:tcPr>
          <w:p w:rsidR="00773B99" w:rsidRDefault="00773B99" w:rsidP="00773B99">
            <w:pPr>
              <w:pStyle w:val="OrderBody"/>
              <w:keepNext/>
              <w:keepLines/>
            </w:pPr>
          </w:p>
        </w:tc>
        <w:tc>
          <w:tcPr>
            <w:tcW w:w="4320" w:type="dxa"/>
            <w:tcBorders>
              <w:top w:val="single" w:sz="4" w:space="0" w:color="auto"/>
            </w:tcBorders>
            <w:shd w:val="clear" w:color="auto" w:fill="auto"/>
          </w:tcPr>
          <w:p w:rsidR="00773B99" w:rsidRDefault="00773B99" w:rsidP="00773B99">
            <w:pPr>
              <w:pStyle w:val="OrderBody"/>
              <w:keepNext/>
              <w:keepLines/>
            </w:pPr>
            <w:r>
              <w:t>ART GRAHAM</w:t>
            </w:r>
          </w:p>
          <w:p w:rsidR="00773B99" w:rsidRDefault="00773B99" w:rsidP="00773B99">
            <w:pPr>
              <w:pStyle w:val="OrderBody"/>
              <w:keepNext/>
              <w:keepLines/>
            </w:pPr>
            <w:r>
              <w:t>Chairman and Prehearing Officer</w:t>
            </w:r>
          </w:p>
        </w:tc>
      </w:tr>
    </w:tbl>
    <w:p w:rsidR="00773B99" w:rsidRDefault="00773B99" w:rsidP="00773B99">
      <w:pPr>
        <w:pStyle w:val="OrderSigInfo"/>
        <w:keepNext/>
        <w:keepLines/>
      </w:pPr>
      <w:r>
        <w:t>Florida Public Service Commission</w:t>
      </w:r>
    </w:p>
    <w:p w:rsidR="00773B99" w:rsidRDefault="00773B99" w:rsidP="00773B99">
      <w:pPr>
        <w:pStyle w:val="OrderSigInfo"/>
        <w:keepNext/>
        <w:keepLines/>
      </w:pPr>
      <w:r>
        <w:t>2540 Shumard Oak Boulevard</w:t>
      </w:r>
    </w:p>
    <w:p w:rsidR="00773B99" w:rsidRDefault="00773B99" w:rsidP="00773B99">
      <w:pPr>
        <w:pStyle w:val="OrderSigInfo"/>
        <w:keepNext/>
        <w:keepLines/>
      </w:pPr>
      <w:r>
        <w:t>Tallahassee, Florida  32399</w:t>
      </w:r>
    </w:p>
    <w:p w:rsidR="00773B99" w:rsidRDefault="00773B99" w:rsidP="00773B99">
      <w:pPr>
        <w:pStyle w:val="OrderSigInfo"/>
        <w:keepNext/>
        <w:keepLines/>
      </w:pPr>
      <w:r>
        <w:t>(850) 413</w:t>
      </w:r>
      <w:r>
        <w:noBreakHyphen/>
        <w:t>6770</w:t>
      </w:r>
    </w:p>
    <w:p w:rsidR="00773B99" w:rsidRDefault="00773B99" w:rsidP="00773B99">
      <w:pPr>
        <w:pStyle w:val="OrderSigInfo"/>
        <w:keepNext/>
        <w:keepLines/>
      </w:pPr>
      <w:proofErr w:type="spellStart"/>
      <w:r>
        <w:t>www.floridapsc.com</w:t>
      </w:r>
      <w:proofErr w:type="spellEnd"/>
    </w:p>
    <w:p w:rsidR="00773B99" w:rsidRDefault="00773B99" w:rsidP="00773B99">
      <w:pPr>
        <w:pStyle w:val="OrderSigInfo"/>
        <w:keepNext/>
        <w:keepLines/>
      </w:pPr>
    </w:p>
    <w:p w:rsidR="00773B99" w:rsidRDefault="00773B99" w:rsidP="00773B99">
      <w:pPr>
        <w:pStyle w:val="OrderSigInfo"/>
        <w:keepNext/>
        <w:keepLines/>
      </w:pPr>
      <w:r>
        <w:t>Copies furnished:  A copy of this document is provided to the parties of record at the time of issuance and, if applicable, interested persons.</w:t>
      </w:r>
    </w:p>
    <w:p w:rsidR="00093CEB" w:rsidRDefault="00093CEB" w:rsidP="00093CEB">
      <w:pPr>
        <w:keepNext/>
        <w:keepLines/>
      </w:pPr>
    </w:p>
    <w:p w:rsidR="00773B99" w:rsidRDefault="00773B99" w:rsidP="00093CEB">
      <w:pPr>
        <w:keepNext/>
        <w:keepLines/>
      </w:pPr>
    </w:p>
    <w:p w:rsidR="00773B99" w:rsidRDefault="00773B99" w:rsidP="00093CEB">
      <w:pPr>
        <w:keepNext/>
        <w:keepLines/>
      </w:pPr>
    </w:p>
    <w:p w:rsidR="00093CEB" w:rsidRDefault="00093CEB" w:rsidP="00093CEB">
      <w:pPr>
        <w:keepNext/>
        <w:keepLines/>
      </w:pPr>
      <w:proofErr w:type="spellStart"/>
      <w:r>
        <w:t>TLT</w:t>
      </w:r>
      <w:proofErr w:type="spellEnd"/>
    </w:p>
    <w:p w:rsidR="00093CEB" w:rsidRDefault="00093CEB" w:rsidP="00093CEB"/>
    <w:p w:rsidR="0033002C" w:rsidRDefault="0033002C" w:rsidP="00093CEB"/>
    <w:p w:rsidR="0033002C" w:rsidRDefault="0033002C" w:rsidP="00093CEB"/>
    <w:p w:rsidR="0033002C" w:rsidRDefault="0033002C" w:rsidP="00093CEB"/>
    <w:p w:rsidR="0033002C" w:rsidRDefault="0033002C" w:rsidP="00093CEB"/>
    <w:p w:rsidR="0033002C" w:rsidRDefault="0033002C" w:rsidP="00093CEB"/>
    <w:p w:rsidR="0055218F" w:rsidRDefault="0055218F" w:rsidP="00093CEB"/>
    <w:p w:rsidR="00093CEB" w:rsidRDefault="00093CEB" w:rsidP="00093CEB"/>
    <w:p w:rsidR="00093CEB" w:rsidRDefault="00093CEB" w:rsidP="00093CEB">
      <w:pPr>
        <w:pStyle w:val="CenterUnderline"/>
      </w:pPr>
      <w:r>
        <w:lastRenderedPageBreak/>
        <w:t>NOTICE OF FURTHER PROCEEDINGS OR JUDICIAL REVIEW</w:t>
      </w:r>
    </w:p>
    <w:p w:rsidR="00093CEB" w:rsidRDefault="00093CEB" w:rsidP="00093CEB">
      <w:pPr>
        <w:pStyle w:val="CenterUnderline"/>
        <w:rPr>
          <w:u w:val="none"/>
        </w:rPr>
      </w:pPr>
    </w:p>
    <w:p w:rsidR="00093CEB" w:rsidRDefault="00093CEB" w:rsidP="00093C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3CEB" w:rsidRDefault="00093CEB" w:rsidP="00093CEB">
      <w:pPr>
        <w:pStyle w:val="OrderBody"/>
      </w:pPr>
    </w:p>
    <w:p w:rsidR="00093CEB" w:rsidRDefault="00093CEB" w:rsidP="00093CEB">
      <w:pPr>
        <w:pStyle w:val="OrderBody"/>
      </w:pPr>
      <w:r>
        <w:tab/>
        <w:t>Mediation may be available on a case-by-case basis.  If mediation is conducted, it does not affect a substantially interested person's right to a hearing.</w:t>
      </w:r>
    </w:p>
    <w:p w:rsidR="00093CEB" w:rsidRDefault="00093CEB" w:rsidP="00093CEB">
      <w:pPr>
        <w:pStyle w:val="OrderBody"/>
      </w:pPr>
    </w:p>
    <w:p w:rsidR="00093CEB" w:rsidRDefault="00093CEB" w:rsidP="00093CE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EB" w:rsidRDefault="00093CEB">
      <w:r>
        <w:separator/>
      </w:r>
    </w:p>
  </w:endnote>
  <w:endnote w:type="continuationSeparator" w:id="0">
    <w:p w:rsidR="00093CEB" w:rsidRDefault="0009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EB" w:rsidRDefault="00093CEB">
      <w:r>
        <w:separator/>
      </w:r>
    </w:p>
  </w:footnote>
  <w:footnote w:type="continuationSeparator" w:id="0">
    <w:p w:rsidR="00093CEB" w:rsidRDefault="00093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5218F">
      <w:fldChar w:fldCharType="begin"/>
    </w:r>
    <w:r w:rsidR="0055218F">
      <w:instrText xml:space="preserve"> REF OrderNo0201 </w:instrText>
    </w:r>
    <w:r w:rsidR="0055218F">
      <w:fldChar w:fldCharType="separate"/>
    </w:r>
    <w:proofErr w:type="spellStart"/>
    <w:r w:rsidR="00EA76AB">
      <w:t>PSC</w:t>
    </w:r>
    <w:proofErr w:type="spellEnd"/>
    <w:r w:rsidR="00EA76AB">
      <w:t>-15-0201-</w:t>
    </w:r>
    <w:proofErr w:type="spellStart"/>
    <w:r w:rsidR="00EA76AB">
      <w:t>PCO</w:t>
    </w:r>
    <w:proofErr w:type="spellEnd"/>
    <w:r w:rsidR="00EA76AB">
      <w:t>-</w:t>
    </w:r>
    <w:proofErr w:type="spellStart"/>
    <w:r w:rsidR="00EA76AB">
      <w:t>EI</w:t>
    </w:r>
    <w:proofErr w:type="spellEnd"/>
    <w:r w:rsidR="0055218F">
      <w:fldChar w:fldCharType="end"/>
    </w:r>
  </w:p>
  <w:p w:rsidR="00FA6EFD" w:rsidRDefault="00093CEB">
    <w:pPr>
      <w:pStyle w:val="OrderHeader"/>
    </w:pPr>
    <w:bookmarkStart w:id="7" w:name="HeaderDocketNo"/>
    <w:bookmarkEnd w:id="7"/>
    <w:r>
      <w:t>DOCKET NO. 140226-</w:t>
    </w:r>
    <w:proofErr w:type="spellStart"/>
    <w:r>
      <w:t>EI</w:t>
    </w:r>
    <w:proofErr w:type="spellEnd"/>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76A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6-EI"/>
  </w:docVars>
  <w:rsids>
    <w:rsidRoot w:val="00093CEB"/>
    <w:rsid w:val="000022B8"/>
    <w:rsid w:val="00053AB9"/>
    <w:rsid w:val="00056229"/>
    <w:rsid w:val="00065FC2"/>
    <w:rsid w:val="00090AFC"/>
    <w:rsid w:val="00093CEB"/>
    <w:rsid w:val="000D06E8"/>
    <w:rsid w:val="000D663D"/>
    <w:rsid w:val="000E344D"/>
    <w:rsid w:val="000F3B2C"/>
    <w:rsid w:val="000F7BE3"/>
    <w:rsid w:val="00116AD3"/>
    <w:rsid w:val="00126593"/>
    <w:rsid w:val="00142A96"/>
    <w:rsid w:val="00156067"/>
    <w:rsid w:val="00187E32"/>
    <w:rsid w:val="00194E81"/>
    <w:rsid w:val="001A33C9"/>
    <w:rsid w:val="001D008A"/>
    <w:rsid w:val="002002ED"/>
    <w:rsid w:val="0022721A"/>
    <w:rsid w:val="00230BB9"/>
    <w:rsid w:val="002A11AC"/>
    <w:rsid w:val="002A6F30"/>
    <w:rsid w:val="002D7D15"/>
    <w:rsid w:val="00303FDE"/>
    <w:rsid w:val="003140E8"/>
    <w:rsid w:val="003231C7"/>
    <w:rsid w:val="0033002C"/>
    <w:rsid w:val="00331ED0"/>
    <w:rsid w:val="0035495B"/>
    <w:rsid w:val="003744F5"/>
    <w:rsid w:val="00390DD8"/>
    <w:rsid w:val="00394DC6"/>
    <w:rsid w:val="00397C3E"/>
    <w:rsid w:val="003D4CCA"/>
    <w:rsid w:val="003D6416"/>
    <w:rsid w:val="003E1D48"/>
    <w:rsid w:val="00457DC7"/>
    <w:rsid w:val="00464155"/>
    <w:rsid w:val="00472BCC"/>
    <w:rsid w:val="00484F19"/>
    <w:rsid w:val="004A2401"/>
    <w:rsid w:val="004A25CD"/>
    <w:rsid w:val="004A26CC"/>
    <w:rsid w:val="004B2108"/>
    <w:rsid w:val="004B3A2B"/>
    <w:rsid w:val="004B4AEF"/>
    <w:rsid w:val="004D2D1B"/>
    <w:rsid w:val="004F2DDE"/>
    <w:rsid w:val="0050097F"/>
    <w:rsid w:val="00514B1F"/>
    <w:rsid w:val="0055218F"/>
    <w:rsid w:val="00556A10"/>
    <w:rsid w:val="005963C2"/>
    <w:rsid w:val="005B45F7"/>
    <w:rsid w:val="005B63EA"/>
    <w:rsid w:val="00660774"/>
    <w:rsid w:val="00665CC7"/>
    <w:rsid w:val="006A0BF3"/>
    <w:rsid w:val="006B0DA6"/>
    <w:rsid w:val="006C547E"/>
    <w:rsid w:val="00704C5D"/>
    <w:rsid w:val="00733B6B"/>
    <w:rsid w:val="0076170F"/>
    <w:rsid w:val="0076669C"/>
    <w:rsid w:val="00773B99"/>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16E1"/>
    <w:rsid w:val="00994100"/>
    <w:rsid w:val="009D4C29"/>
    <w:rsid w:val="00A62DAB"/>
    <w:rsid w:val="00A726A6"/>
    <w:rsid w:val="00A97535"/>
    <w:rsid w:val="00AA73F1"/>
    <w:rsid w:val="00AB0E1A"/>
    <w:rsid w:val="00AB1A30"/>
    <w:rsid w:val="00AD1ED3"/>
    <w:rsid w:val="00AE3B0F"/>
    <w:rsid w:val="00B0777D"/>
    <w:rsid w:val="00B4057A"/>
    <w:rsid w:val="00B40894"/>
    <w:rsid w:val="00B45E75"/>
    <w:rsid w:val="00B50876"/>
    <w:rsid w:val="00B55EE5"/>
    <w:rsid w:val="00B73DE6"/>
    <w:rsid w:val="00B86EF0"/>
    <w:rsid w:val="00B97900"/>
    <w:rsid w:val="00BA44A8"/>
    <w:rsid w:val="00BF6691"/>
    <w:rsid w:val="00C028FC"/>
    <w:rsid w:val="00C406B6"/>
    <w:rsid w:val="00C66692"/>
    <w:rsid w:val="00C73A93"/>
    <w:rsid w:val="00C91123"/>
    <w:rsid w:val="00CA71FF"/>
    <w:rsid w:val="00CB5276"/>
    <w:rsid w:val="00CB68D7"/>
    <w:rsid w:val="00CC7E68"/>
    <w:rsid w:val="00CD7132"/>
    <w:rsid w:val="00D30B48"/>
    <w:rsid w:val="00D46FAA"/>
    <w:rsid w:val="00D57BB2"/>
    <w:rsid w:val="00D765A5"/>
    <w:rsid w:val="00D8560E"/>
    <w:rsid w:val="00D8758F"/>
    <w:rsid w:val="00DC1D94"/>
    <w:rsid w:val="00DE057F"/>
    <w:rsid w:val="00DE2082"/>
    <w:rsid w:val="00DE2289"/>
    <w:rsid w:val="00E04410"/>
    <w:rsid w:val="00E11351"/>
    <w:rsid w:val="00EA172C"/>
    <w:rsid w:val="00EA259B"/>
    <w:rsid w:val="00EA35A3"/>
    <w:rsid w:val="00EA3E6A"/>
    <w:rsid w:val="00EA76AB"/>
    <w:rsid w:val="00EB18EF"/>
    <w:rsid w:val="00EE17DF"/>
    <w:rsid w:val="00EF4621"/>
    <w:rsid w:val="00F277B6"/>
    <w:rsid w:val="00F52574"/>
    <w:rsid w:val="00F54380"/>
    <w:rsid w:val="00F54B47"/>
    <w:rsid w:val="00F64FE2"/>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A2401"/>
  </w:style>
  <w:style w:type="character" w:styleId="Hyperlink">
    <w:name w:val="Hyperlink"/>
    <w:rsid w:val="00AE3B0F"/>
    <w:rPr>
      <w:color w:val="0000FF"/>
      <w:u w:val="single"/>
    </w:rPr>
  </w:style>
  <w:style w:type="paragraph" w:styleId="BalloonText">
    <w:name w:val="Balloon Text"/>
    <w:basedOn w:val="Normal"/>
    <w:link w:val="BalloonTextChar"/>
    <w:rsid w:val="000D663D"/>
    <w:rPr>
      <w:rFonts w:ascii="Tahoma" w:hAnsi="Tahoma" w:cs="Tahoma"/>
      <w:sz w:val="16"/>
      <w:szCs w:val="16"/>
    </w:rPr>
  </w:style>
  <w:style w:type="character" w:customStyle="1" w:styleId="BalloonTextChar">
    <w:name w:val="Balloon Text Char"/>
    <w:basedOn w:val="DefaultParagraphFont"/>
    <w:link w:val="BalloonText"/>
    <w:rsid w:val="000D6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A2401"/>
  </w:style>
  <w:style w:type="character" w:styleId="Hyperlink">
    <w:name w:val="Hyperlink"/>
    <w:rsid w:val="00AE3B0F"/>
    <w:rPr>
      <w:color w:val="0000FF"/>
      <w:u w:val="single"/>
    </w:rPr>
  </w:style>
  <w:style w:type="paragraph" w:styleId="BalloonText">
    <w:name w:val="Balloon Text"/>
    <w:basedOn w:val="Normal"/>
    <w:link w:val="BalloonTextChar"/>
    <w:rsid w:val="000D663D"/>
    <w:rPr>
      <w:rFonts w:ascii="Tahoma" w:hAnsi="Tahoma" w:cs="Tahoma"/>
      <w:sz w:val="16"/>
      <w:szCs w:val="16"/>
    </w:rPr>
  </w:style>
  <w:style w:type="character" w:customStyle="1" w:styleId="BalloonTextChar">
    <w:name w:val="Balloon Text Char"/>
    <w:basedOn w:val="DefaultParagraphFont"/>
    <w:link w:val="BalloonText"/>
    <w:rsid w:val="000D6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e@cavros-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123</TotalTime>
  <Pages>4</Pages>
  <Words>1346</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Crystal Card</cp:lastModifiedBy>
  <cp:revision>11</cp:revision>
  <cp:lastPrinted>2015-05-19T13:26:00Z</cp:lastPrinted>
  <dcterms:created xsi:type="dcterms:W3CDTF">2015-04-13T16:53:00Z</dcterms:created>
  <dcterms:modified xsi:type="dcterms:W3CDTF">2015-05-19T13:26:00Z</dcterms:modified>
</cp:coreProperties>
</file>