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F04ACF" w:rsidP="007333DA">
      <w:pPr>
        <w:pStyle w:val="OrderHeading"/>
      </w:pPr>
      <w:r>
        <w:t>BEFORE THE FLORIDA PUBLIC SERVICE COMMISSION</w:t>
      </w:r>
    </w:p>
    <w:p w:rsidR="00F04ACF" w:rsidRDefault="00F04ACF" w:rsidP="007333DA">
      <w:pPr>
        <w:pStyle w:val="OrderHeading"/>
      </w:pPr>
    </w:p>
    <w:p w:rsidR="00F04ACF" w:rsidRDefault="00F04ACF" w:rsidP="007333DA">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F04ACF" w:rsidRPr="00C63FCF" w:rsidTr="00C63FCF">
        <w:trPr>
          <w:trHeight w:val="828"/>
        </w:trPr>
        <w:tc>
          <w:tcPr>
            <w:tcW w:w="4788" w:type="dxa"/>
            <w:tcBorders>
              <w:bottom w:val="single" w:sz="8" w:space="0" w:color="auto"/>
              <w:right w:val="double" w:sz="6" w:space="0" w:color="auto"/>
            </w:tcBorders>
            <w:shd w:val="clear" w:color="auto" w:fill="auto"/>
          </w:tcPr>
          <w:p w:rsidR="00F04ACF" w:rsidRDefault="00F04ACF" w:rsidP="007333DA">
            <w:pPr>
              <w:pStyle w:val="OrderBody"/>
              <w:tabs>
                <w:tab w:val="center" w:pos="4320"/>
                <w:tab w:val="right" w:pos="8640"/>
              </w:tabs>
              <w:jc w:val="left"/>
            </w:pPr>
            <w:r>
              <w:t xml:space="preserve">In re: </w:t>
            </w:r>
            <w:bookmarkStart w:id="0" w:name="SSInRe"/>
            <w:bookmarkEnd w:id="0"/>
            <w:r>
              <w:t>Petition for approval of standard offer for purchase of firm capacity and energy from renewable energy facilities and approval of tariff schedule REF-1, by Gulf Power Company.</w:t>
            </w:r>
          </w:p>
        </w:tc>
        <w:tc>
          <w:tcPr>
            <w:tcW w:w="4788" w:type="dxa"/>
            <w:tcBorders>
              <w:left w:val="double" w:sz="6" w:space="0" w:color="auto"/>
            </w:tcBorders>
            <w:shd w:val="clear" w:color="auto" w:fill="auto"/>
          </w:tcPr>
          <w:p w:rsidR="00F04ACF" w:rsidRDefault="00F04ACF" w:rsidP="007333DA">
            <w:pPr>
              <w:pStyle w:val="OrderBody"/>
            </w:pPr>
            <w:r>
              <w:t xml:space="preserve">DOCKET NO. </w:t>
            </w:r>
            <w:bookmarkStart w:id="1" w:name="SSDocketNo"/>
            <w:bookmarkEnd w:id="1"/>
            <w:r>
              <w:t>150101-EQ</w:t>
            </w:r>
          </w:p>
          <w:p w:rsidR="00F04ACF" w:rsidRDefault="00F04ACF" w:rsidP="007333DA">
            <w:pPr>
              <w:pStyle w:val="OrderBody"/>
              <w:tabs>
                <w:tab w:val="center" w:pos="4320"/>
                <w:tab w:val="right" w:pos="8640"/>
              </w:tabs>
              <w:jc w:val="left"/>
            </w:pPr>
            <w:r>
              <w:t xml:space="preserve">ORDER NO. </w:t>
            </w:r>
            <w:bookmarkStart w:id="2" w:name="OrderNo0303"/>
            <w:r w:rsidR="00310290">
              <w:t>PSC-15-0303-PAA-EQ</w:t>
            </w:r>
            <w:bookmarkEnd w:id="2"/>
          </w:p>
          <w:p w:rsidR="00F04ACF" w:rsidRDefault="00F04ACF" w:rsidP="007333DA">
            <w:pPr>
              <w:pStyle w:val="OrderBody"/>
              <w:tabs>
                <w:tab w:val="center" w:pos="4320"/>
                <w:tab w:val="right" w:pos="8640"/>
              </w:tabs>
              <w:jc w:val="left"/>
            </w:pPr>
            <w:r>
              <w:t xml:space="preserve">ISSUED: </w:t>
            </w:r>
            <w:r w:rsidR="00310290">
              <w:t>July 28, 2015</w:t>
            </w:r>
          </w:p>
        </w:tc>
      </w:tr>
    </w:tbl>
    <w:p w:rsidR="00F04ACF" w:rsidRDefault="00F04ACF" w:rsidP="007333DA"/>
    <w:p w:rsidR="00F04ACF" w:rsidRDefault="00F04ACF" w:rsidP="007333DA"/>
    <w:p w:rsidR="00F04ACF" w:rsidRPr="00E46E1F" w:rsidRDefault="00F04ACF" w:rsidP="007333DA">
      <w:pPr>
        <w:ind w:firstLine="720"/>
        <w:jc w:val="both"/>
      </w:pPr>
      <w:bookmarkStart w:id="3" w:name="Commissioners"/>
      <w:bookmarkEnd w:id="3"/>
      <w:r w:rsidRPr="00E46E1F">
        <w:t>The following Commissioners participated in the disposition of this matter:</w:t>
      </w:r>
    </w:p>
    <w:p w:rsidR="00F04ACF" w:rsidRPr="00E46E1F" w:rsidRDefault="00F04ACF" w:rsidP="007333DA"/>
    <w:p w:rsidR="00F04ACF" w:rsidRDefault="00F04ACF" w:rsidP="007333DA">
      <w:pPr>
        <w:jc w:val="center"/>
      </w:pPr>
      <w:r>
        <w:t>ART GRAHAM</w:t>
      </w:r>
      <w:r w:rsidRPr="00E46E1F">
        <w:t>, Chairman</w:t>
      </w:r>
    </w:p>
    <w:p w:rsidR="00F04ACF" w:rsidRPr="00E46E1F" w:rsidRDefault="00F04ACF" w:rsidP="007333DA">
      <w:pPr>
        <w:jc w:val="center"/>
      </w:pPr>
      <w:r w:rsidRPr="00E46E1F">
        <w:t>LISA POLAK EDGAR</w:t>
      </w:r>
    </w:p>
    <w:p w:rsidR="00F04ACF" w:rsidRDefault="00F04ACF" w:rsidP="007333DA">
      <w:pPr>
        <w:jc w:val="center"/>
      </w:pPr>
      <w:r>
        <w:t>RONALD A. BRISÉ</w:t>
      </w:r>
    </w:p>
    <w:p w:rsidR="00F04ACF" w:rsidRDefault="00F04ACF" w:rsidP="007333DA">
      <w:pPr>
        <w:jc w:val="center"/>
      </w:pPr>
      <w:r>
        <w:t>JULIE I. BROWN</w:t>
      </w:r>
    </w:p>
    <w:p w:rsidR="00F04ACF" w:rsidRDefault="00F04ACF" w:rsidP="007333DA">
      <w:pPr>
        <w:jc w:val="center"/>
      </w:pPr>
      <w:r>
        <w:t>JIMMY PATRONIS</w:t>
      </w:r>
    </w:p>
    <w:p w:rsidR="00F04ACF" w:rsidRDefault="00F04ACF" w:rsidP="007333DA">
      <w:pPr>
        <w:pStyle w:val="OrderBody"/>
      </w:pPr>
    </w:p>
    <w:p w:rsidR="00F04ACF" w:rsidRDefault="00F04ACF" w:rsidP="007333DA">
      <w:pPr>
        <w:pStyle w:val="OrderBody"/>
      </w:pPr>
    </w:p>
    <w:bookmarkStart w:id="4" w:name="OrderText"/>
    <w:bookmarkEnd w:id="4"/>
    <w:p w:rsidR="007333DA" w:rsidRDefault="00865656" w:rsidP="007333DA">
      <w:pPr>
        <w:pStyle w:val="OrderBody"/>
        <w:jc w:val="center"/>
        <w:rPr>
          <w:u w:val="single"/>
        </w:rPr>
      </w:pPr>
      <w:r w:rsidRPr="003E4B2D">
        <w:rPr>
          <w:lang w:val="en-CA"/>
        </w:rPr>
        <w:fldChar w:fldCharType="begin"/>
      </w:r>
      <w:r w:rsidR="00F04ACF" w:rsidRPr="003E4B2D">
        <w:rPr>
          <w:lang w:val="en-CA"/>
        </w:rPr>
        <w:instrText xml:space="preserve"> SEQ CHAPTER \h \r 1</w:instrText>
      </w:r>
      <w:r w:rsidRPr="003E4B2D">
        <w:fldChar w:fldCharType="end"/>
      </w:r>
      <w:r w:rsidR="00F04ACF" w:rsidRPr="003E4B2D">
        <w:rPr>
          <w:u w:val="single"/>
        </w:rPr>
        <w:t>NOTICE OF PROPOSED AGENCY ACTION</w:t>
      </w:r>
      <w:r w:rsidR="007333DA">
        <w:rPr>
          <w:u w:val="single"/>
        </w:rPr>
        <w:t xml:space="preserve"> </w:t>
      </w:r>
      <w:r w:rsidR="00F04ACF" w:rsidRPr="003E4B2D">
        <w:rPr>
          <w:u w:val="single"/>
        </w:rPr>
        <w:t>ORDER</w:t>
      </w:r>
      <w:bookmarkStart w:id="5" w:name="OrderTitle"/>
    </w:p>
    <w:p w:rsidR="00F04ACF" w:rsidRPr="003E4B2D" w:rsidRDefault="00F04ACF" w:rsidP="007333DA">
      <w:pPr>
        <w:pStyle w:val="OrderBody"/>
        <w:jc w:val="center"/>
        <w:rPr>
          <w:u w:val="single"/>
        </w:rPr>
      </w:pPr>
      <w:r>
        <w:rPr>
          <w:u w:val="single"/>
        </w:rPr>
        <w:t xml:space="preserve"> </w:t>
      </w:r>
      <w:bookmarkEnd w:id="5"/>
      <w:r w:rsidR="007333DA">
        <w:rPr>
          <w:u w:val="single"/>
        </w:rPr>
        <w:t>APPROVING STANDARD OFFER CONTRACT AND RATE SCHEDULE</w:t>
      </w:r>
    </w:p>
    <w:p w:rsidR="00F04ACF" w:rsidRPr="003E4B2D" w:rsidRDefault="00F04ACF" w:rsidP="007333DA">
      <w:pPr>
        <w:pStyle w:val="OrderBody"/>
      </w:pPr>
    </w:p>
    <w:p w:rsidR="00F04ACF" w:rsidRPr="003E4B2D" w:rsidRDefault="00F04ACF" w:rsidP="007333DA">
      <w:pPr>
        <w:pStyle w:val="OrderBody"/>
      </w:pPr>
    </w:p>
    <w:p w:rsidR="00F04ACF" w:rsidRPr="003E4B2D" w:rsidRDefault="00F04ACF" w:rsidP="007333DA">
      <w:pPr>
        <w:pStyle w:val="OrderBody"/>
      </w:pPr>
      <w:r w:rsidRPr="003E4B2D">
        <w:t>BY THE COMMISSION:</w:t>
      </w:r>
    </w:p>
    <w:p w:rsidR="00F04ACF" w:rsidRPr="003E4B2D" w:rsidRDefault="00F04ACF" w:rsidP="007333DA">
      <w:pPr>
        <w:pStyle w:val="OrderBody"/>
      </w:pPr>
    </w:p>
    <w:p w:rsidR="00F04ACF" w:rsidRDefault="00F04ACF" w:rsidP="007333DA">
      <w:pPr>
        <w:pStyle w:val="OrderBody"/>
      </w:pPr>
      <w:r w:rsidRPr="003E4B2D">
        <w:tab/>
        <w:t>NOTICE is hereby given by the Florida Public Service Commission that the action discussed herein is preliminary in nature and will become final unless a person whose interests are substantially affected files a petition for a formal proceeding, pursuant to Rule 25-22.029, Florida Administrative Code</w:t>
      </w:r>
      <w:r w:rsidR="007333DA">
        <w:t xml:space="preserve"> (F.A.C.)</w:t>
      </w:r>
      <w:r w:rsidRPr="003E4B2D">
        <w:t>.</w:t>
      </w:r>
    </w:p>
    <w:p w:rsidR="00CB5276" w:rsidRDefault="00CB5276" w:rsidP="007333DA"/>
    <w:p w:rsidR="00F04ACF" w:rsidRPr="007333DA" w:rsidRDefault="00F04ACF" w:rsidP="007333DA">
      <w:pPr>
        <w:keepNext/>
        <w:jc w:val="center"/>
        <w:outlineLvl w:val="0"/>
        <w:rPr>
          <w:b/>
          <w:bCs/>
          <w:kern w:val="32"/>
          <w:szCs w:val="32"/>
          <w:u w:val="single"/>
        </w:rPr>
      </w:pPr>
      <w:bookmarkStart w:id="6" w:name="CaseBackground"/>
      <w:r w:rsidRPr="007333DA">
        <w:rPr>
          <w:b/>
          <w:bCs/>
          <w:kern w:val="32"/>
          <w:szCs w:val="32"/>
          <w:u w:val="single"/>
        </w:rPr>
        <w:t>Case Background</w:t>
      </w:r>
      <w:r w:rsidR="00865656" w:rsidRPr="007333DA">
        <w:rPr>
          <w:b/>
          <w:bCs/>
          <w:kern w:val="32"/>
          <w:szCs w:val="32"/>
          <w:u w:val="single"/>
        </w:rPr>
        <w:fldChar w:fldCharType="begin"/>
      </w:r>
      <w:r w:rsidRPr="007333DA">
        <w:rPr>
          <w:b/>
          <w:bCs/>
          <w:kern w:val="32"/>
          <w:szCs w:val="32"/>
          <w:u w:val="single"/>
        </w:rPr>
        <w:instrText xml:space="preserve"> TC  "</w:instrText>
      </w:r>
      <w:r w:rsidRPr="007333DA">
        <w:rPr>
          <w:b/>
          <w:bCs/>
          <w:kern w:val="32"/>
          <w:szCs w:val="32"/>
          <w:u w:val="single"/>
        </w:rPr>
        <w:tab/>
      </w:r>
      <w:bookmarkStart w:id="7" w:name="_Toc94516455"/>
      <w:r w:rsidRPr="007333DA">
        <w:rPr>
          <w:b/>
          <w:bCs/>
          <w:kern w:val="32"/>
          <w:szCs w:val="32"/>
          <w:u w:val="single"/>
        </w:rPr>
        <w:instrText>Case Background</w:instrText>
      </w:r>
      <w:bookmarkEnd w:id="7"/>
      <w:r w:rsidRPr="007333DA">
        <w:rPr>
          <w:b/>
          <w:bCs/>
          <w:kern w:val="32"/>
          <w:szCs w:val="32"/>
          <w:u w:val="single"/>
        </w:rPr>
        <w:instrText xml:space="preserve">" \l 1 </w:instrText>
      </w:r>
      <w:r w:rsidR="00865656" w:rsidRPr="007333DA">
        <w:rPr>
          <w:b/>
          <w:bCs/>
          <w:kern w:val="32"/>
          <w:szCs w:val="32"/>
          <w:u w:val="single"/>
        </w:rPr>
        <w:fldChar w:fldCharType="end"/>
      </w:r>
    </w:p>
    <w:p w:rsidR="007333DA" w:rsidRDefault="007333DA" w:rsidP="007333DA">
      <w:pPr>
        <w:ind w:firstLine="720"/>
        <w:jc w:val="both"/>
      </w:pPr>
    </w:p>
    <w:p w:rsidR="007333DA" w:rsidRDefault="007333DA" w:rsidP="007333DA">
      <w:pPr>
        <w:ind w:firstLine="720"/>
        <w:jc w:val="both"/>
      </w:pPr>
      <w:r w:rsidRPr="00F04ACF">
        <w:t>On April 1, 2015, Gulf Power Company (Gulf) filed a petition for approval of its standard offer contract and associated rate schedule REF-1 based on its 2015 Ten-Year Site Plan.</w:t>
      </w:r>
      <w:r>
        <w:t xml:space="preserve">  </w:t>
      </w:r>
      <w:r w:rsidR="00F04ACF" w:rsidRPr="00F04ACF">
        <w:t xml:space="preserve">Section 366.91(3), Florida Statutes (F.S.) requires that each investor-owned utility (IOU) continuously offers to purchase capacity and energy from renewable energy generators. Commission Rules 25-17.200 through 25-17.310, F.A.C., implement the statute and require each IOU to file with </w:t>
      </w:r>
      <w:r w:rsidR="00AB3BBB">
        <w:t>us</w:t>
      </w:r>
      <w:r>
        <w:t>,</w:t>
      </w:r>
      <w:r w:rsidR="00F04ACF" w:rsidRPr="00F04ACF">
        <w:t xml:space="preserve"> by April 1 of each year, a standard offer contract </w:t>
      </w:r>
      <w:r>
        <w:t xml:space="preserve">to purchase the capacity and energy from renewable generators, with estimated payments </w:t>
      </w:r>
      <w:r w:rsidR="00F04ACF" w:rsidRPr="00F04ACF">
        <w:t>based on the next avoidable fossil</w:t>
      </w:r>
      <w:r>
        <w:t>-</w:t>
      </w:r>
      <w:r w:rsidR="00F04ACF" w:rsidRPr="00F04ACF">
        <w:t xml:space="preserve">fueled generating unit of each technology type identified in the utility’s current Ten-Year Site Plan. </w:t>
      </w:r>
      <w:bookmarkEnd w:id="6"/>
    </w:p>
    <w:p w:rsidR="007333DA" w:rsidRDefault="007333DA" w:rsidP="007333DA">
      <w:pPr>
        <w:ind w:firstLine="720"/>
        <w:jc w:val="both"/>
      </w:pPr>
    </w:p>
    <w:p w:rsidR="00F04ACF" w:rsidRDefault="007333DA" w:rsidP="007333DA">
      <w:pPr>
        <w:ind w:firstLine="720"/>
        <w:jc w:val="both"/>
      </w:pPr>
      <w:r>
        <w:t>We have</w:t>
      </w:r>
      <w:r w:rsidR="00F04ACF" w:rsidRPr="00F04ACF">
        <w:t xml:space="preserve"> jurisdiction pursuant to Sections 366.04 through 366.06 and 366.91, F.S.</w:t>
      </w:r>
    </w:p>
    <w:p w:rsidR="007333DA" w:rsidRDefault="007333DA">
      <w:r>
        <w:br w:type="page"/>
      </w:r>
    </w:p>
    <w:p w:rsidR="007333DA" w:rsidRDefault="007333DA" w:rsidP="007333DA">
      <w:pPr>
        <w:jc w:val="both"/>
      </w:pPr>
    </w:p>
    <w:p w:rsidR="00F04ACF" w:rsidRPr="007333DA" w:rsidRDefault="007333DA" w:rsidP="007333DA">
      <w:pPr>
        <w:keepNext/>
        <w:jc w:val="center"/>
        <w:outlineLvl w:val="0"/>
        <w:rPr>
          <w:b/>
          <w:bCs/>
          <w:kern w:val="32"/>
          <w:szCs w:val="32"/>
          <w:u w:val="single"/>
        </w:rPr>
      </w:pPr>
      <w:bookmarkStart w:id="8" w:name="DiscussionOfIssues"/>
      <w:r w:rsidRPr="007333DA">
        <w:rPr>
          <w:b/>
          <w:bCs/>
          <w:kern w:val="32"/>
          <w:szCs w:val="32"/>
          <w:u w:val="single"/>
        </w:rPr>
        <w:t>Analysis</w:t>
      </w:r>
    </w:p>
    <w:bookmarkEnd w:id="8"/>
    <w:p w:rsidR="007333DA" w:rsidRDefault="007333DA" w:rsidP="007333DA">
      <w:pPr>
        <w:jc w:val="both"/>
        <w:rPr>
          <w:rFonts w:ascii="Arial" w:hAnsi="Arial" w:cs="Arial"/>
          <w:b/>
          <w:bCs/>
          <w:i/>
          <w:kern w:val="32"/>
          <w:szCs w:val="32"/>
        </w:rPr>
      </w:pPr>
    </w:p>
    <w:p w:rsidR="00F04ACF" w:rsidRPr="00F04ACF" w:rsidRDefault="00F04ACF" w:rsidP="007333DA">
      <w:pPr>
        <w:ind w:firstLine="720"/>
        <w:jc w:val="both"/>
      </w:pPr>
      <w:r w:rsidRPr="00F04ACF">
        <w:t xml:space="preserve">Rule 25-17.250, F.A.C., requires that </w:t>
      </w:r>
      <w:r w:rsidR="007333DA">
        <w:t>Gulf, an IOU, continuously make</w:t>
      </w:r>
      <w:r w:rsidRPr="00F04ACF">
        <w:t xml:space="preserve"> available a standard offer contract for the purchase of firm capacity and energy from renewable generating facilities (RF) and small qualifying facilities (QF) with design capacities of 100 kilowatts (kW) or less. Pursuant to Rule 25-17.250(1) and (3), F.A.C., the standard offer contract must provide a term of at least 10 years, and the payment terms must be based on the utility’s next avoidable fossil-fueled generating unit identified in its most recent Ten-Year Site Plan or, if no avoided unit is identified, its next avoidable planned purchase. </w:t>
      </w:r>
      <w:r w:rsidR="007333DA">
        <w:t xml:space="preserve"> </w:t>
      </w:r>
      <w:r w:rsidRPr="00F04ACF">
        <w:t>Gulf has identified a natural gas-fired facility consisting of four combustion turbine (CT) units totaling 866 MW, as its next planned fossil-fueled generating unit in its 2015 Ten-Year Site Plan. The projected in-service date of this facility is June 1, 2023.</w:t>
      </w:r>
    </w:p>
    <w:p w:rsidR="007333DA" w:rsidRDefault="007333DA" w:rsidP="007333DA">
      <w:pPr>
        <w:jc w:val="both"/>
      </w:pPr>
    </w:p>
    <w:p w:rsidR="00B64EBD" w:rsidRDefault="007333DA" w:rsidP="00B64EBD">
      <w:pPr>
        <w:jc w:val="both"/>
        <w:outlineLvl w:val="0"/>
        <w:rPr>
          <w:bCs/>
          <w:kern w:val="32"/>
          <w:szCs w:val="32"/>
        </w:rPr>
      </w:pPr>
      <w:r>
        <w:tab/>
      </w:r>
      <w:r w:rsidR="00AB3BBB">
        <w:t>As stated above, o</w:t>
      </w:r>
      <w:r w:rsidRPr="00F04ACF">
        <w:t>n April 1, 2015, Gulf filed a petition for approval of its standard offer contract and associated rate schedule REF-1 based on its 2015 Ten-Year Site Plan.</w:t>
      </w:r>
      <w:r w:rsidR="00B64EBD">
        <w:t xml:space="preserve"> </w:t>
      </w:r>
      <w:r w:rsidR="00B64EBD" w:rsidRPr="00F04ACF">
        <w:rPr>
          <w:bCs/>
          <w:kern w:val="32"/>
          <w:szCs w:val="32"/>
        </w:rPr>
        <w:t>Notable revisions include</w:t>
      </w:r>
      <w:r w:rsidR="00B64EBD">
        <w:rPr>
          <w:bCs/>
          <w:kern w:val="32"/>
          <w:szCs w:val="32"/>
        </w:rPr>
        <w:t>d</w:t>
      </w:r>
      <w:r w:rsidR="00B64EBD" w:rsidRPr="00F04ACF">
        <w:rPr>
          <w:bCs/>
          <w:kern w:val="32"/>
          <w:szCs w:val="32"/>
        </w:rPr>
        <w:t xml:space="preserve"> an updated example of monthly capacity payments, updates to calendar dates, as-available energy costs, and estimated fuel costs</w:t>
      </w:r>
      <w:r w:rsidR="00B64EBD">
        <w:rPr>
          <w:bCs/>
          <w:kern w:val="32"/>
          <w:szCs w:val="32"/>
        </w:rPr>
        <w:t xml:space="preserve">.  </w:t>
      </w:r>
      <w:r w:rsidR="00E17A2F" w:rsidRPr="00F04ACF">
        <w:rPr>
          <w:bCs/>
          <w:kern w:val="32"/>
          <w:szCs w:val="32"/>
        </w:rPr>
        <w:t xml:space="preserve">The type-and-strike format versions of </w:t>
      </w:r>
      <w:r w:rsidR="00E17A2F">
        <w:rPr>
          <w:bCs/>
          <w:kern w:val="32"/>
          <w:szCs w:val="32"/>
        </w:rPr>
        <w:t>Gulf’s</w:t>
      </w:r>
      <w:r w:rsidR="00E17A2F" w:rsidRPr="00F04ACF">
        <w:rPr>
          <w:bCs/>
          <w:kern w:val="32"/>
          <w:szCs w:val="32"/>
        </w:rPr>
        <w:t xml:space="preserve"> revised standard offer contract and associated rate schedule REF-1 are included as Attachment A to this </w:t>
      </w:r>
      <w:r w:rsidR="00E17A2F">
        <w:rPr>
          <w:bCs/>
          <w:kern w:val="32"/>
          <w:szCs w:val="32"/>
        </w:rPr>
        <w:t>Order</w:t>
      </w:r>
      <w:r w:rsidR="00E17A2F" w:rsidRPr="00F04ACF">
        <w:rPr>
          <w:bCs/>
          <w:kern w:val="32"/>
          <w:szCs w:val="32"/>
        </w:rPr>
        <w:t>.</w:t>
      </w:r>
    </w:p>
    <w:p w:rsidR="00E17A2F" w:rsidRPr="00F04ACF" w:rsidRDefault="00E17A2F" w:rsidP="00B64EBD">
      <w:pPr>
        <w:jc w:val="both"/>
        <w:outlineLvl w:val="0"/>
        <w:rPr>
          <w:bCs/>
          <w:kern w:val="32"/>
          <w:szCs w:val="32"/>
        </w:rPr>
      </w:pPr>
    </w:p>
    <w:p w:rsidR="00F04ACF" w:rsidRPr="00F04ACF" w:rsidRDefault="00B64EBD" w:rsidP="007333DA">
      <w:pPr>
        <w:ind w:firstLine="720"/>
        <w:jc w:val="both"/>
      </w:pPr>
      <w:r>
        <w:t>A</w:t>
      </w:r>
      <w:r w:rsidR="00F04ACF" w:rsidRPr="00F04ACF">
        <w:t xml:space="preserve"> RF/QF operator may elect to make no commitment as to the quantity or timing of its deliveries to Gulf, and to have a committed capacity of zero (0) MW. Under such a scenario, the energy is delivered on an as-available basis and the operator receives only an energy payment. Alternatively, the RF/QF operator may elect to commit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w:t>
      </w:r>
      <w:r w:rsidR="00B54E7A">
        <w:t xml:space="preserve">often </w:t>
      </w:r>
      <w:r w:rsidR="00F04ACF" w:rsidRPr="00F04ACF">
        <w:t xml:space="preserve">serve as a starting point for negotiation of contract terms by providing payment information to </w:t>
      </w:r>
      <w:r>
        <w:t>the</w:t>
      </w:r>
      <w:r w:rsidR="00F04ACF" w:rsidRPr="00F04ACF">
        <w:t xml:space="preserve"> RF/QF operator, in a situation where one or both parties desire particular contract terms </w:t>
      </w:r>
      <w:r>
        <w:t xml:space="preserve">different from </w:t>
      </w:r>
      <w:r w:rsidR="00F04ACF" w:rsidRPr="00F04ACF">
        <w:t xml:space="preserve">those </w:t>
      </w:r>
      <w:r>
        <w:t>set out</w:t>
      </w:r>
      <w:r w:rsidR="00F04ACF" w:rsidRPr="00F04ACF">
        <w:t xml:space="preserve"> in the standard offer</w:t>
      </w:r>
      <w:r>
        <w:t xml:space="preserve"> contract</w:t>
      </w:r>
      <w:r w:rsidR="00F04ACF" w:rsidRPr="00F04ACF">
        <w:t>.</w:t>
      </w:r>
    </w:p>
    <w:p w:rsidR="007333DA" w:rsidRDefault="007333DA" w:rsidP="007333DA">
      <w:pPr>
        <w:jc w:val="both"/>
      </w:pPr>
    </w:p>
    <w:p w:rsidR="00F04ACF" w:rsidRPr="00F04ACF" w:rsidRDefault="00F04ACF" w:rsidP="007333DA">
      <w:pPr>
        <w:ind w:firstLine="720"/>
        <w:jc w:val="both"/>
      </w:pPr>
      <w:r w:rsidRPr="00F04ACF">
        <w:t xml:space="preserve">In order to promote renewable generation, </w:t>
      </w:r>
      <w:r w:rsidR="00B64EBD">
        <w:t>we</w:t>
      </w:r>
      <w:r w:rsidRPr="00F04ACF">
        <w:t xml:space="preserve"> require the IOU</w:t>
      </w:r>
      <w:r w:rsidR="00B64EBD">
        <w:t>s, such as Gulf,</w:t>
      </w:r>
      <w:r w:rsidRPr="00F04ACF">
        <w:t xml:space="preserve"> to offer multiple options for capacity payments, including the options to receive early or levelized payments. If the RF/QF operator elects to receive capacity payments under the normal or lev</w:t>
      </w:r>
      <w:r w:rsidR="00B64EBD">
        <w:t>elized contract options, it would</w:t>
      </w:r>
      <w:r w:rsidRPr="00F04ACF">
        <w:t xml:space="preserve"> receive as-available energy payments only until the in-service date of the avoided unit (in this case June 1, 2023), and</w:t>
      </w:r>
      <w:r w:rsidR="00B64EBD">
        <w:t>,</w:t>
      </w:r>
      <w:r w:rsidRPr="00F04ACF">
        <w:t xml:space="preserve"> thereafter</w:t>
      </w:r>
      <w:r w:rsidR="00B64EBD">
        <w:t>, would</w:t>
      </w:r>
      <w:r w:rsidRPr="00F04ACF">
        <w:t xml:space="preserve"> begin </w:t>
      </w:r>
      <w:r w:rsidR="00B64EBD">
        <w:t xml:space="preserve">to </w:t>
      </w:r>
      <w:r w:rsidRPr="00F04ACF">
        <w:t>receiv</w:t>
      </w:r>
      <w:r w:rsidR="00B64EBD">
        <w:t>e</w:t>
      </w:r>
      <w:r w:rsidRPr="00F04ACF">
        <w:t xml:space="preserve"> capacity payments in addition to the energy payments. If either the early or early levelized option is selected, then the </w:t>
      </w:r>
      <w:r w:rsidR="00B64EBD">
        <w:t xml:space="preserve">RF/QF </w:t>
      </w:r>
      <w:r w:rsidRPr="00F04ACF">
        <w:t>operator w</w:t>
      </w:r>
      <w:r w:rsidR="00B64EBD">
        <w:t>ould</w:t>
      </w:r>
      <w:r w:rsidRPr="00F04ACF">
        <w:t xml:space="preserve"> begin </w:t>
      </w:r>
      <w:r w:rsidR="00B64EBD">
        <w:t xml:space="preserve">to </w:t>
      </w:r>
      <w:r w:rsidRPr="00F04ACF">
        <w:t>receiv</w:t>
      </w:r>
      <w:r w:rsidR="00B64EBD">
        <w:t>e</w:t>
      </w:r>
      <w:r w:rsidRPr="00F04ACF">
        <w:t xml:space="preserve"> capacity payments earlier than the in-service date of the avoided unit. </w:t>
      </w:r>
      <w:r w:rsidR="00B64EBD">
        <w:t>P</w:t>
      </w:r>
      <w:r w:rsidRPr="00F04ACF">
        <w:t>ayments made under the early capacity payments options</w:t>
      </w:r>
      <w:r w:rsidR="00B64EBD">
        <w:t>, however,</w:t>
      </w:r>
      <w:r w:rsidRPr="00F04ACF">
        <w:t xml:space="preserve"> tend to be lower in the later years of the contract term because the net present value (NPV) of the total payments must remain equal for all contract options.</w:t>
      </w:r>
    </w:p>
    <w:p w:rsidR="007333DA" w:rsidRDefault="007333DA" w:rsidP="007333DA">
      <w:pPr>
        <w:jc w:val="both"/>
      </w:pPr>
    </w:p>
    <w:p w:rsidR="00E17A2F" w:rsidRDefault="00E17A2F">
      <w:r>
        <w:br w:type="page"/>
      </w:r>
    </w:p>
    <w:p w:rsidR="00F04ACF" w:rsidRPr="00F04ACF" w:rsidRDefault="00F04ACF" w:rsidP="007333DA">
      <w:pPr>
        <w:ind w:firstLine="720"/>
        <w:jc w:val="both"/>
      </w:pPr>
      <w:r w:rsidRPr="00F04ACF">
        <w:lastRenderedPageBreak/>
        <w:t xml:space="preserve">Table 1 </w:t>
      </w:r>
      <w:r w:rsidR="00B64EBD">
        <w:t xml:space="preserve">below </w:t>
      </w:r>
      <w:r w:rsidRPr="00F04ACF">
        <w:t>estimates the annual payments for each payment option available under the revised standard offer contract to a</w:t>
      </w:r>
      <w:r w:rsidR="00B64EBD">
        <w:t xml:space="preserve"> RF/QF</w:t>
      </w:r>
      <w:r w:rsidRPr="00F04ACF">
        <w:t xml:space="preserve"> operator with a 50 MW facility</w:t>
      </w:r>
      <w:r w:rsidR="00B64EBD">
        <w:t xml:space="preserve"> and an in-service date of June 1, 2023, and</w:t>
      </w:r>
      <w:r w:rsidRPr="00F04ACF">
        <w:t xml:space="preserve"> operating at a capacity factor of 95 percent, which is the minimum capacity factor required </w:t>
      </w:r>
      <w:r w:rsidR="00B64EBD">
        <w:t>to qualify for full capacity payments under the contract</w:t>
      </w:r>
      <w:r w:rsidRPr="00F04ACF">
        <w:t>. Normal and levelized capacity payments</w:t>
      </w:r>
      <w:r w:rsidR="00B64EBD">
        <w:t xml:space="preserve"> would</w:t>
      </w:r>
      <w:r w:rsidRPr="00F04ACF">
        <w:t xml:space="preserve"> begin in 2023, reflecting the projected in-service date of the avoided unit (June 1, 2023).</w:t>
      </w:r>
    </w:p>
    <w:p w:rsidR="00F04ACF" w:rsidRPr="00F04ACF" w:rsidRDefault="00F04ACF" w:rsidP="007333DA">
      <w:pPr>
        <w:jc w:val="both"/>
      </w:pPr>
    </w:p>
    <w:p w:rsidR="00F04ACF" w:rsidRPr="00B54E7A" w:rsidRDefault="00F04ACF" w:rsidP="007333DA">
      <w:pPr>
        <w:jc w:val="center"/>
        <w:rPr>
          <w:b/>
        </w:rPr>
      </w:pPr>
      <w:r w:rsidRPr="00B54E7A">
        <w:rPr>
          <w:b/>
        </w:rPr>
        <w:t>Table 1 – Estimated Annual Payments to a 50 MW Renewable Facility</w:t>
      </w:r>
    </w:p>
    <w:p w:rsidR="00F04ACF" w:rsidRPr="00B54E7A" w:rsidRDefault="00F04ACF" w:rsidP="007333DA">
      <w:pPr>
        <w:jc w:val="center"/>
        <w:rPr>
          <w:b/>
        </w:rPr>
      </w:pPr>
      <w:r w:rsidRPr="00B54E7A">
        <w:rPr>
          <w:b/>
        </w:rPr>
        <w:t>(95% Capacity Factor)</w:t>
      </w:r>
    </w:p>
    <w:p w:rsidR="00B64EBD" w:rsidRPr="00F04ACF" w:rsidRDefault="00B64EBD" w:rsidP="007333DA">
      <w:pPr>
        <w:jc w:val="center"/>
        <w:rPr>
          <w:b/>
          <w:sz w:val="20"/>
          <w:szCs w:val="20"/>
        </w:rPr>
      </w:pPr>
    </w:p>
    <w:tbl>
      <w:tblPr>
        <w:tblStyle w:val="TableGrid"/>
        <w:tblW w:w="9558" w:type="dxa"/>
        <w:jc w:val="center"/>
        <w:tblLayout w:type="fixed"/>
        <w:tblLook w:val="04A0" w:firstRow="1" w:lastRow="0" w:firstColumn="1" w:lastColumn="0" w:noHBand="0" w:noVBand="1"/>
      </w:tblPr>
      <w:tblGrid>
        <w:gridCol w:w="1593"/>
        <w:gridCol w:w="1593"/>
        <w:gridCol w:w="1593"/>
        <w:gridCol w:w="1593"/>
        <w:gridCol w:w="1593"/>
        <w:gridCol w:w="1593"/>
      </w:tblGrid>
      <w:tr w:rsidR="00F04ACF" w:rsidRPr="00F04ACF" w:rsidTr="00B930F2">
        <w:trPr>
          <w:cantSplit/>
          <w:jc w:val="center"/>
        </w:trPr>
        <w:tc>
          <w:tcPr>
            <w:tcW w:w="1593" w:type="dxa"/>
            <w:vMerge w:val="restart"/>
            <w:shd w:val="clear" w:color="auto" w:fill="FBD4B4"/>
            <w:vAlign w:val="bottom"/>
          </w:tcPr>
          <w:p w:rsidR="00F04ACF" w:rsidRPr="00F04ACF" w:rsidRDefault="00F04ACF" w:rsidP="00B930F2">
            <w:pPr>
              <w:jc w:val="center"/>
            </w:pPr>
            <w:r w:rsidRPr="00F04ACF">
              <w:t>Year</w:t>
            </w:r>
          </w:p>
        </w:tc>
        <w:tc>
          <w:tcPr>
            <w:tcW w:w="1593" w:type="dxa"/>
            <w:vMerge w:val="restart"/>
            <w:shd w:val="clear" w:color="auto" w:fill="FBD4B4"/>
            <w:vAlign w:val="bottom"/>
          </w:tcPr>
          <w:p w:rsidR="00F04ACF" w:rsidRPr="00F04ACF" w:rsidRDefault="00F04ACF" w:rsidP="00B930F2">
            <w:pPr>
              <w:jc w:val="center"/>
            </w:pPr>
            <w:r w:rsidRPr="00F04ACF">
              <w:t>Energy Payment</w:t>
            </w:r>
          </w:p>
        </w:tc>
        <w:tc>
          <w:tcPr>
            <w:tcW w:w="6372" w:type="dxa"/>
            <w:gridSpan w:val="4"/>
            <w:shd w:val="clear" w:color="auto" w:fill="FBD4B4"/>
            <w:vAlign w:val="bottom"/>
          </w:tcPr>
          <w:p w:rsidR="00F04ACF" w:rsidRPr="00F04ACF" w:rsidRDefault="00F04ACF" w:rsidP="00B930F2">
            <w:pPr>
              <w:jc w:val="center"/>
            </w:pPr>
            <w:r w:rsidRPr="00F04ACF">
              <w:t>Capacity Payment (By Type)</w:t>
            </w:r>
          </w:p>
        </w:tc>
      </w:tr>
      <w:tr w:rsidR="00F04ACF" w:rsidRPr="00F04ACF" w:rsidTr="00B930F2">
        <w:trPr>
          <w:cantSplit/>
          <w:trHeight w:hRule="exact" w:val="720"/>
          <w:jc w:val="center"/>
        </w:trPr>
        <w:tc>
          <w:tcPr>
            <w:tcW w:w="1593" w:type="dxa"/>
            <w:vMerge/>
            <w:shd w:val="clear" w:color="auto" w:fill="FBD4B4"/>
            <w:vAlign w:val="bottom"/>
          </w:tcPr>
          <w:p w:rsidR="00F04ACF" w:rsidRPr="00F04ACF" w:rsidRDefault="00F04ACF" w:rsidP="00B930F2">
            <w:pPr>
              <w:jc w:val="center"/>
            </w:pPr>
          </w:p>
        </w:tc>
        <w:tc>
          <w:tcPr>
            <w:tcW w:w="1593" w:type="dxa"/>
            <w:vMerge/>
            <w:shd w:val="clear" w:color="auto" w:fill="FBD4B4"/>
            <w:vAlign w:val="bottom"/>
          </w:tcPr>
          <w:p w:rsidR="00F04ACF" w:rsidRPr="00F04ACF" w:rsidRDefault="00F04ACF" w:rsidP="00B930F2">
            <w:pPr>
              <w:jc w:val="center"/>
            </w:pPr>
          </w:p>
        </w:tc>
        <w:tc>
          <w:tcPr>
            <w:tcW w:w="1593" w:type="dxa"/>
            <w:shd w:val="clear" w:color="auto" w:fill="FBD4B4"/>
            <w:vAlign w:val="bottom"/>
          </w:tcPr>
          <w:p w:rsidR="00F04ACF" w:rsidRPr="00F04ACF" w:rsidRDefault="00F04ACF" w:rsidP="00B930F2">
            <w:pPr>
              <w:jc w:val="center"/>
            </w:pPr>
            <w:r w:rsidRPr="00F04ACF">
              <w:t>Normal</w:t>
            </w:r>
          </w:p>
        </w:tc>
        <w:tc>
          <w:tcPr>
            <w:tcW w:w="1593" w:type="dxa"/>
            <w:shd w:val="clear" w:color="auto" w:fill="FBD4B4"/>
            <w:vAlign w:val="bottom"/>
          </w:tcPr>
          <w:p w:rsidR="00F04ACF" w:rsidRPr="00F04ACF" w:rsidRDefault="00F04ACF" w:rsidP="00B930F2">
            <w:pPr>
              <w:jc w:val="center"/>
            </w:pPr>
            <w:r w:rsidRPr="00F04ACF">
              <w:t>Levelized</w:t>
            </w:r>
          </w:p>
        </w:tc>
        <w:tc>
          <w:tcPr>
            <w:tcW w:w="1593" w:type="dxa"/>
            <w:shd w:val="clear" w:color="auto" w:fill="FBD4B4"/>
            <w:vAlign w:val="bottom"/>
          </w:tcPr>
          <w:p w:rsidR="00F04ACF" w:rsidRPr="00F04ACF" w:rsidRDefault="00F04ACF" w:rsidP="00B930F2">
            <w:pPr>
              <w:jc w:val="center"/>
            </w:pPr>
            <w:r w:rsidRPr="00F04ACF">
              <w:t>Early</w:t>
            </w:r>
          </w:p>
        </w:tc>
        <w:tc>
          <w:tcPr>
            <w:tcW w:w="1593" w:type="dxa"/>
            <w:shd w:val="clear" w:color="auto" w:fill="FBD4B4"/>
            <w:vAlign w:val="bottom"/>
          </w:tcPr>
          <w:p w:rsidR="00F04ACF" w:rsidRPr="00F04ACF" w:rsidRDefault="00F04ACF" w:rsidP="00B930F2">
            <w:pPr>
              <w:jc w:val="center"/>
            </w:pPr>
            <w:r w:rsidRPr="00F04ACF">
              <w:t>Early Levelized</w:t>
            </w:r>
          </w:p>
        </w:tc>
      </w:tr>
      <w:tr w:rsidR="00F04ACF" w:rsidRPr="00F04ACF" w:rsidTr="00B930F2">
        <w:trPr>
          <w:cantSplit/>
          <w:trHeight w:hRule="exact" w:val="360"/>
          <w:jc w:val="center"/>
        </w:trPr>
        <w:tc>
          <w:tcPr>
            <w:tcW w:w="1593" w:type="dxa"/>
            <w:vMerge/>
            <w:tcBorders>
              <w:bottom w:val="single" w:sz="4" w:space="0" w:color="auto"/>
            </w:tcBorders>
            <w:shd w:val="clear" w:color="auto" w:fill="FBD4B4"/>
            <w:vAlign w:val="bottom"/>
          </w:tcPr>
          <w:p w:rsidR="00F04ACF" w:rsidRPr="00F04ACF" w:rsidRDefault="00F04ACF" w:rsidP="00B930F2">
            <w:pPr>
              <w:jc w:val="center"/>
            </w:pPr>
          </w:p>
        </w:tc>
        <w:tc>
          <w:tcPr>
            <w:tcW w:w="1593" w:type="dxa"/>
            <w:shd w:val="clear" w:color="auto" w:fill="FBD4B4"/>
            <w:vAlign w:val="bottom"/>
          </w:tcPr>
          <w:p w:rsidR="00F04ACF" w:rsidRPr="00F04ACF" w:rsidRDefault="00F04ACF" w:rsidP="00B930F2">
            <w:pPr>
              <w:jc w:val="center"/>
            </w:pPr>
            <w:r w:rsidRPr="00F04ACF">
              <w:t>$(000)</w:t>
            </w:r>
          </w:p>
        </w:tc>
        <w:tc>
          <w:tcPr>
            <w:tcW w:w="1593" w:type="dxa"/>
            <w:shd w:val="clear" w:color="auto" w:fill="FBD4B4"/>
            <w:vAlign w:val="bottom"/>
          </w:tcPr>
          <w:p w:rsidR="00F04ACF" w:rsidRPr="00F04ACF" w:rsidRDefault="00F04ACF" w:rsidP="00B930F2">
            <w:pPr>
              <w:jc w:val="center"/>
            </w:pPr>
            <w:r w:rsidRPr="00F04ACF">
              <w:t>$(000)</w:t>
            </w:r>
          </w:p>
        </w:tc>
        <w:tc>
          <w:tcPr>
            <w:tcW w:w="1593" w:type="dxa"/>
            <w:shd w:val="clear" w:color="auto" w:fill="FBD4B4"/>
            <w:vAlign w:val="bottom"/>
          </w:tcPr>
          <w:p w:rsidR="00F04ACF" w:rsidRPr="00F04ACF" w:rsidRDefault="00F04ACF" w:rsidP="00B930F2">
            <w:pPr>
              <w:jc w:val="center"/>
            </w:pPr>
            <w:r w:rsidRPr="00F04ACF">
              <w:t>$(000)</w:t>
            </w:r>
          </w:p>
        </w:tc>
        <w:tc>
          <w:tcPr>
            <w:tcW w:w="1593" w:type="dxa"/>
            <w:shd w:val="clear" w:color="auto" w:fill="FBD4B4"/>
            <w:vAlign w:val="bottom"/>
          </w:tcPr>
          <w:p w:rsidR="00F04ACF" w:rsidRPr="00F04ACF" w:rsidRDefault="00F04ACF" w:rsidP="00B930F2">
            <w:pPr>
              <w:jc w:val="center"/>
            </w:pPr>
            <w:r w:rsidRPr="00F04ACF">
              <w:t>$(000)</w:t>
            </w:r>
          </w:p>
        </w:tc>
        <w:tc>
          <w:tcPr>
            <w:tcW w:w="1593" w:type="dxa"/>
            <w:shd w:val="clear" w:color="auto" w:fill="FBD4B4"/>
            <w:vAlign w:val="bottom"/>
          </w:tcPr>
          <w:p w:rsidR="00F04ACF" w:rsidRPr="00F04ACF" w:rsidRDefault="00F04ACF" w:rsidP="00B930F2">
            <w:pPr>
              <w:jc w:val="center"/>
            </w:pPr>
            <w:r w:rsidRPr="00F04ACF">
              <w:t>$(000)</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pPr>
            <w:r w:rsidRPr="00F04ACF">
              <w:t>2016</w:t>
            </w:r>
          </w:p>
        </w:tc>
        <w:tc>
          <w:tcPr>
            <w:tcW w:w="1593" w:type="dxa"/>
            <w:vAlign w:val="bottom"/>
          </w:tcPr>
          <w:p w:rsidR="00F04ACF" w:rsidRPr="00F04ACF" w:rsidRDefault="00F04ACF" w:rsidP="00B930F2">
            <w:pPr>
              <w:jc w:val="center"/>
            </w:pPr>
            <w:r w:rsidRPr="00F04ACF">
              <w:t>13,024</w:t>
            </w:r>
          </w:p>
        </w:tc>
        <w:tc>
          <w:tcPr>
            <w:tcW w:w="1593" w:type="dxa"/>
            <w:vAlign w:val="bottom"/>
          </w:tcPr>
          <w:p w:rsidR="00F04ACF" w:rsidRPr="00F04ACF" w:rsidRDefault="00F04ACF" w:rsidP="00B930F2">
            <w:pPr>
              <w:jc w:val="center"/>
            </w:pPr>
            <w:r w:rsidRPr="00F04ACF">
              <w:t>-</w:t>
            </w:r>
          </w:p>
        </w:tc>
        <w:tc>
          <w:tcPr>
            <w:tcW w:w="1593" w:type="dxa"/>
            <w:vAlign w:val="bottom"/>
          </w:tcPr>
          <w:p w:rsidR="00F04ACF" w:rsidRPr="00F04ACF" w:rsidRDefault="00F04ACF" w:rsidP="00B930F2">
            <w:pPr>
              <w:jc w:val="center"/>
            </w:pPr>
          </w:p>
        </w:tc>
        <w:tc>
          <w:tcPr>
            <w:tcW w:w="1593" w:type="dxa"/>
            <w:vAlign w:val="bottom"/>
          </w:tcPr>
          <w:p w:rsidR="00F04ACF" w:rsidRPr="00F04ACF" w:rsidRDefault="00F04ACF" w:rsidP="00B930F2">
            <w:pPr>
              <w:jc w:val="center"/>
            </w:pPr>
            <w:r w:rsidRPr="00F04ACF">
              <w:t>1,223</w:t>
            </w:r>
          </w:p>
        </w:tc>
        <w:tc>
          <w:tcPr>
            <w:tcW w:w="1593" w:type="dxa"/>
            <w:vAlign w:val="bottom"/>
          </w:tcPr>
          <w:p w:rsidR="00F04ACF" w:rsidRPr="00F04ACF" w:rsidRDefault="00F04ACF" w:rsidP="00B930F2">
            <w:pPr>
              <w:jc w:val="center"/>
            </w:pPr>
            <w:r w:rsidRPr="00F04ACF">
              <w:t>1,418</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pPr>
            <w:r w:rsidRPr="00F04ACF">
              <w:t>2017</w:t>
            </w:r>
          </w:p>
        </w:tc>
        <w:tc>
          <w:tcPr>
            <w:tcW w:w="1593" w:type="dxa"/>
            <w:vAlign w:val="bottom"/>
          </w:tcPr>
          <w:p w:rsidR="00F04ACF" w:rsidRPr="00F04ACF" w:rsidRDefault="00F04ACF" w:rsidP="00B930F2">
            <w:pPr>
              <w:jc w:val="center"/>
            </w:pPr>
            <w:r w:rsidRPr="00F04ACF">
              <w:t>14,337</w:t>
            </w:r>
          </w:p>
        </w:tc>
        <w:tc>
          <w:tcPr>
            <w:tcW w:w="1593" w:type="dxa"/>
            <w:vAlign w:val="bottom"/>
          </w:tcPr>
          <w:p w:rsidR="00F04ACF" w:rsidRPr="00F04ACF" w:rsidRDefault="00F04ACF" w:rsidP="00B930F2">
            <w:pPr>
              <w:jc w:val="center"/>
            </w:pPr>
            <w:r w:rsidRPr="00F04ACF">
              <w:t>-</w:t>
            </w:r>
          </w:p>
        </w:tc>
        <w:tc>
          <w:tcPr>
            <w:tcW w:w="1593" w:type="dxa"/>
            <w:vAlign w:val="bottom"/>
          </w:tcPr>
          <w:p w:rsidR="00F04ACF" w:rsidRPr="00F04ACF" w:rsidRDefault="00F04ACF" w:rsidP="00B930F2">
            <w:pPr>
              <w:jc w:val="center"/>
            </w:pPr>
          </w:p>
        </w:tc>
        <w:tc>
          <w:tcPr>
            <w:tcW w:w="1593" w:type="dxa"/>
            <w:vAlign w:val="bottom"/>
          </w:tcPr>
          <w:p w:rsidR="00F04ACF" w:rsidRPr="00F04ACF" w:rsidRDefault="00F04ACF" w:rsidP="00B930F2">
            <w:pPr>
              <w:jc w:val="center"/>
            </w:pPr>
            <w:r w:rsidRPr="00F04ACF">
              <w:t>1,254</w:t>
            </w:r>
          </w:p>
        </w:tc>
        <w:tc>
          <w:tcPr>
            <w:tcW w:w="1593" w:type="dxa"/>
            <w:vAlign w:val="bottom"/>
          </w:tcPr>
          <w:p w:rsidR="00F04ACF" w:rsidRPr="00F04ACF" w:rsidRDefault="00F04ACF" w:rsidP="00B930F2">
            <w:pPr>
              <w:jc w:val="center"/>
            </w:pPr>
            <w:r w:rsidRPr="00F04ACF">
              <w:t>1,425</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pPr>
            <w:r w:rsidRPr="00F04ACF">
              <w:t>2018</w:t>
            </w:r>
          </w:p>
        </w:tc>
        <w:tc>
          <w:tcPr>
            <w:tcW w:w="1593" w:type="dxa"/>
            <w:vAlign w:val="bottom"/>
          </w:tcPr>
          <w:p w:rsidR="00F04ACF" w:rsidRPr="00F04ACF" w:rsidRDefault="00F04ACF" w:rsidP="00B930F2">
            <w:pPr>
              <w:jc w:val="center"/>
            </w:pPr>
            <w:r w:rsidRPr="00F04ACF">
              <w:t>15,062</w:t>
            </w:r>
          </w:p>
        </w:tc>
        <w:tc>
          <w:tcPr>
            <w:tcW w:w="1593" w:type="dxa"/>
            <w:vAlign w:val="bottom"/>
          </w:tcPr>
          <w:p w:rsidR="00F04ACF" w:rsidRPr="00F04ACF" w:rsidRDefault="00F04ACF" w:rsidP="00B930F2">
            <w:pPr>
              <w:jc w:val="center"/>
            </w:pPr>
            <w:r w:rsidRPr="00F04ACF">
              <w:t>-</w:t>
            </w:r>
          </w:p>
        </w:tc>
        <w:tc>
          <w:tcPr>
            <w:tcW w:w="1593" w:type="dxa"/>
            <w:vAlign w:val="bottom"/>
          </w:tcPr>
          <w:p w:rsidR="00F04ACF" w:rsidRPr="00F04ACF" w:rsidRDefault="00F04ACF" w:rsidP="00B930F2">
            <w:pPr>
              <w:jc w:val="center"/>
            </w:pPr>
          </w:p>
        </w:tc>
        <w:tc>
          <w:tcPr>
            <w:tcW w:w="1593" w:type="dxa"/>
            <w:vAlign w:val="bottom"/>
          </w:tcPr>
          <w:p w:rsidR="00F04ACF" w:rsidRPr="00F04ACF" w:rsidRDefault="00F04ACF" w:rsidP="00B930F2">
            <w:pPr>
              <w:jc w:val="center"/>
            </w:pPr>
            <w:r w:rsidRPr="00F04ACF">
              <w:t>1,285</w:t>
            </w:r>
          </w:p>
        </w:tc>
        <w:tc>
          <w:tcPr>
            <w:tcW w:w="1593" w:type="dxa"/>
            <w:vAlign w:val="bottom"/>
          </w:tcPr>
          <w:p w:rsidR="00F04ACF" w:rsidRPr="00F04ACF" w:rsidRDefault="00F04ACF" w:rsidP="00B930F2">
            <w:pPr>
              <w:jc w:val="center"/>
            </w:pPr>
            <w:r w:rsidRPr="00F04ACF">
              <w:t>1,434</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pPr>
            <w:r w:rsidRPr="00F04ACF">
              <w:t>2019</w:t>
            </w:r>
          </w:p>
        </w:tc>
        <w:tc>
          <w:tcPr>
            <w:tcW w:w="1593" w:type="dxa"/>
            <w:vAlign w:val="bottom"/>
          </w:tcPr>
          <w:p w:rsidR="00F04ACF" w:rsidRPr="00F04ACF" w:rsidRDefault="00F04ACF" w:rsidP="00B930F2">
            <w:pPr>
              <w:jc w:val="center"/>
            </w:pPr>
            <w:r w:rsidRPr="00F04ACF">
              <w:t>16,115</w:t>
            </w:r>
          </w:p>
        </w:tc>
        <w:tc>
          <w:tcPr>
            <w:tcW w:w="1593" w:type="dxa"/>
            <w:vAlign w:val="bottom"/>
          </w:tcPr>
          <w:p w:rsidR="00F04ACF" w:rsidRPr="00F04ACF" w:rsidRDefault="00F04ACF" w:rsidP="00B930F2">
            <w:pPr>
              <w:jc w:val="center"/>
            </w:pPr>
            <w:r w:rsidRPr="00F04ACF">
              <w:t>-</w:t>
            </w:r>
          </w:p>
        </w:tc>
        <w:tc>
          <w:tcPr>
            <w:tcW w:w="1593" w:type="dxa"/>
            <w:vAlign w:val="bottom"/>
          </w:tcPr>
          <w:p w:rsidR="00F04ACF" w:rsidRPr="00F04ACF" w:rsidRDefault="00F04ACF" w:rsidP="00B930F2">
            <w:pPr>
              <w:jc w:val="center"/>
            </w:pPr>
          </w:p>
        </w:tc>
        <w:tc>
          <w:tcPr>
            <w:tcW w:w="1593" w:type="dxa"/>
            <w:vAlign w:val="bottom"/>
          </w:tcPr>
          <w:p w:rsidR="00F04ACF" w:rsidRPr="00F04ACF" w:rsidRDefault="00F04ACF" w:rsidP="00B930F2">
            <w:pPr>
              <w:jc w:val="center"/>
            </w:pPr>
            <w:r w:rsidRPr="00F04ACF">
              <w:t>1,318</w:t>
            </w:r>
          </w:p>
        </w:tc>
        <w:tc>
          <w:tcPr>
            <w:tcW w:w="1593" w:type="dxa"/>
            <w:vAlign w:val="bottom"/>
          </w:tcPr>
          <w:p w:rsidR="00F04ACF" w:rsidRPr="00F04ACF" w:rsidRDefault="00F04ACF" w:rsidP="00B930F2">
            <w:pPr>
              <w:jc w:val="center"/>
            </w:pPr>
            <w:r w:rsidRPr="00F04ACF">
              <w:t>1,442</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pPr>
            <w:r w:rsidRPr="00F04ACF">
              <w:t>2020</w:t>
            </w:r>
          </w:p>
        </w:tc>
        <w:tc>
          <w:tcPr>
            <w:tcW w:w="1593" w:type="dxa"/>
            <w:vAlign w:val="bottom"/>
          </w:tcPr>
          <w:p w:rsidR="00F04ACF" w:rsidRPr="00F04ACF" w:rsidRDefault="00F04ACF" w:rsidP="00B930F2">
            <w:pPr>
              <w:jc w:val="center"/>
            </w:pPr>
            <w:r w:rsidRPr="00F04ACF">
              <w:t>16,911</w:t>
            </w:r>
          </w:p>
        </w:tc>
        <w:tc>
          <w:tcPr>
            <w:tcW w:w="1593" w:type="dxa"/>
            <w:vAlign w:val="bottom"/>
          </w:tcPr>
          <w:p w:rsidR="00F04ACF" w:rsidRPr="00F04ACF" w:rsidRDefault="00F04ACF" w:rsidP="00B930F2">
            <w:pPr>
              <w:jc w:val="center"/>
            </w:pPr>
            <w:r w:rsidRPr="00F04ACF">
              <w:t>-</w:t>
            </w:r>
          </w:p>
        </w:tc>
        <w:tc>
          <w:tcPr>
            <w:tcW w:w="1593" w:type="dxa"/>
            <w:vAlign w:val="bottom"/>
          </w:tcPr>
          <w:p w:rsidR="00F04ACF" w:rsidRPr="00F04ACF" w:rsidRDefault="00F04ACF" w:rsidP="00B930F2">
            <w:pPr>
              <w:jc w:val="center"/>
            </w:pPr>
          </w:p>
        </w:tc>
        <w:tc>
          <w:tcPr>
            <w:tcW w:w="1593" w:type="dxa"/>
            <w:vAlign w:val="bottom"/>
          </w:tcPr>
          <w:p w:rsidR="00F04ACF" w:rsidRPr="00F04ACF" w:rsidRDefault="00F04ACF" w:rsidP="00B930F2">
            <w:pPr>
              <w:jc w:val="center"/>
            </w:pPr>
            <w:r w:rsidRPr="00F04ACF">
              <w:t>1,351</w:t>
            </w:r>
          </w:p>
        </w:tc>
        <w:tc>
          <w:tcPr>
            <w:tcW w:w="1593" w:type="dxa"/>
            <w:vAlign w:val="bottom"/>
          </w:tcPr>
          <w:p w:rsidR="00F04ACF" w:rsidRPr="00F04ACF" w:rsidRDefault="00F04ACF" w:rsidP="00B930F2">
            <w:pPr>
              <w:jc w:val="center"/>
            </w:pPr>
            <w:r w:rsidRPr="00F04ACF">
              <w:t>1,451</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pPr>
            <w:r w:rsidRPr="00F04ACF">
              <w:t>2021</w:t>
            </w:r>
          </w:p>
        </w:tc>
        <w:tc>
          <w:tcPr>
            <w:tcW w:w="1593" w:type="dxa"/>
            <w:vAlign w:val="bottom"/>
          </w:tcPr>
          <w:p w:rsidR="00F04ACF" w:rsidRPr="00F04ACF" w:rsidRDefault="00F04ACF" w:rsidP="00B930F2">
            <w:pPr>
              <w:jc w:val="center"/>
            </w:pPr>
            <w:r w:rsidRPr="00F04ACF">
              <w:t>17,774</w:t>
            </w:r>
          </w:p>
        </w:tc>
        <w:tc>
          <w:tcPr>
            <w:tcW w:w="1593" w:type="dxa"/>
            <w:vAlign w:val="bottom"/>
          </w:tcPr>
          <w:p w:rsidR="00F04ACF" w:rsidRPr="00F04ACF" w:rsidRDefault="00F04ACF" w:rsidP="00B930F2">
            <w:pPr>
              <w:jc w:val="center"/>
            </w:pPr>
            <w:r w:rsidRPr="00F04ACF">
              <w:t>-</w:t>
            </w:r>
          </w:p>
        </w:tc>
        <w:tc>
          <w:tcPr>
            <w:tcW w:w="1593" w:type="dxa"/>
            <w:vAlign w:val="bottom"/>
          </w:tcPr>
          <w:p w:rsidR="00F04ACF" w:rsidRPr="00F04ACF" w:rsidRDefault="00F04ACF" w:rsidP="00B930F2">
            <w:pPr>
              <w:jc w:val="center"/>
            </w:pPr>
          </w:p>
        </w:tc>
        <w:tc>
          <w:tcPr>
            <w:tcW w:w="1593" w:type="dxa"/>
            <w:vAlign w:val="bottom"/>
          </w:tcPr>
          <w:p w:rsidR="00F04ACF" w:rsidRPr="00F04ACF" w:rsidRDefault="00F04ACF" w:rsidP="00B930F2">
            <w:pPr>
              <w:jc w:val="center"/>
            </w:pPr>
            <w:r w:rsidRPr="00F04ACF">
              <w:t>1,385</w:t>
            </w:r>
          </w:p>
        </w:tc>
        <w:tc>
          <w:tcPr>
            <w:tcW w:w="1593" w:type="dxa"/>
            <w:vAlign w:val="bottom"/>
          </w:tcPr>
          <w:p w:rsidR="00F04ACF" w:rsidRPr="00F04ACF" w:rsidRDefault="00F04ACF" w:rsidP="00B930F2">
            <w:pPr>
              <w:jc w:val="center"/>
            </w:pPr>
            <w:r w:rsidRPr="00F04ACF">
              <w:t>1,459</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pPr>
            <w:r w:rsidRPr="00F04ACF">
              <w:t>2022</w:t>
            </w:r>
          </w:p>
        </w:tc>
        <w:tc>
          <w:tcPr>
            <w:tcW w:w="1593" w:type="dxa"/>
            <w:vAlign w:val="bottom"/>
          </w:tcPr>
          <w:p w:rsidR="00F04ACF" w:rsidRPr="00F04ACF" w:rsidRDefault="00F04ACF" w:rsidP="00B930F2">
            <w:pPr>
              <w:jc w:val="center"/>
            </w:pPr>
            <w:r w:rsidRPr="00F04ACF">
              <w:t>18,472</w:t>
            </w:r>
          </w:p>
        </w:tc>
        <w:tc>
          <w:tcPr>
            <w:tcW w:w="1593" w:type="dxa"/>
            <w:vAlign w:val="bottom"/>
          </w:tcPr>
          <w:p w:rsidR="00F04ACF" w:rsidRPr="00F04ACF" w:rsidRDefault="00F04ACF" w:rsidP="00B930F2">
            <w:pPr>
              <w:jc w:val="center"/>
            </w:pPr>
            <w:r w:rsidRPr="00F04ACF">
              <w:t>-</w:t>
            </w:r>
          </w:p>
        </w:tc>
        <w:tc>
          <w:tcPr>
            <w:tcW w:w="1593" w:type="dxa"/>
            <w:vAlign w:val="bottom"/>
          </w:tcPr>
          <w:p w:rsidR="00F04ACF" w:rsidRPr="00F04ACF" w:rsidRDefault="00F04ACF" w:rsidP="00B930F2">
            <w:pPr>
              <w:jc w:val="center"/>
            </w:pPr>
          </w:p>
        </w:tc>
        <w:tc>
          <w:tcPr>
            <w:tcW w:w="1593" w:type="dxa"/>
            <w:vAlign w:val="bottom"/>
          </w:tcPr>
          <w:p w:rsidR="00F04ACF" w:rsidRPr="00F04ACF" w:rsidRDefault="00F04ACF" w:rsidP="00B930F2">
            <w:pPr>
              <w:jc w:val="center"/>
            </w:pPr>
            <w:r w:rsidRPr="00F04ACF">
              <w:t>1,420</w:t>
            </w:r>
          </w:p>
        </w:tc>
        <w:tc>
          <w:tcPr>
            <w:tcW w:w="1593" w:type="dxa"/>
            <w:vAlign w:val="bottom"/>
          </w:tcPr>
          <w:p w:rsidR="00F04ACF" w:rsidRPr="00F04ACF" w:rsidRDefault="00F04ACF" w:rsidP="00B930F2">
            <w:pPr>
              <w:jc w:val="center"/>
            </w:pPr>
            <w:r w:rsidRPr="00F04ACF">
              <w:t>1,468</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pPr>
            <w:r w:rsidRPr="00F04ACF">
              <w:t>2023</w:t>
            </w:r>
          </w:p>
        </w:tc>
        <w:tc>
          <w:tcPr>
            <w:tcW w:w="1593" w:type="dxa"/>
            <w:vAlign w:val="bottom"/>
          </w:tcPr>
          <w:p w:rsidR="00F04ACF" w:rsidRPr="00F04ACF" w:rsidRDefault="00F04ACF" w:rsidP="00B930F2">
            <w:pPr>
              <w:jc w:val="center"/>
            </w:pPr>
            <w:r w:rsidRPr="00F04ACF">
              <w:t>19,761</w:t>
            </w:r>
          </w:p>
        </w:tc>
        <w:tc>
          <w:tcPr>
            <w:tcW w:w="1593" w:type="dxa"/>
            <w:vAlign w:val="bottom"/>
          </w:tcPr>
          <w:p w:rsidR="00F04ACF" w:rsidRPr="00F04ACF" w:rsidRDefault="00F04ACF" w:rsidP="00B930F2">
            <w:pPr>
              <w:jc w:val="center"/>
            </w:pPr>
            <w:r w:rsidRPr="00F04ACF">
              <w:t>1,599</w:t>
            </w:r>
          </w:p>
        </w:tc>
        <w:tc>
          <w:tcPr>
            <w:tcW w:w="1593" w:type="dxa"/>
            <w:vAlign w:val="bottom"/>
          </w:tcPr>
          <w:p w:rsidR="00F04ACF" w:rsidRPr="00F04ACF" w:rsidRDefault="00F04ACF" w:rsidP="00B930F2">
            <w:pPr>
              <w:jc w:val="center"/>
            </w:pPr>
            <w:r w:rsidRPr="00F04ACF">
              <w:t>1,767</w:t>
            </w:r>
          </w:p>
        </w:tc>
        <w:tc>
          <w:tcPr>
            <w:tcW w:w="1593" w:type="dxa"/>
            <w:vAlign w:val="bottom"/>
          </w:tcPr>
          <w:p w:rsidR="00F04ACF" w:rsidRPr="00F04ACF" w:rsidRDefault="00F04ACF" w:rsidP="00B930F2">
            <w:pPr>
              <w:jc w:val="center"/>
            </w:pPr>
            <w:r w:rsidRPr="00F04ACF">
              <w:t>1,456</w:t>
            </w:r>
          </w:p>
        </w:tc>
        <w:tc>
          <w:tcPr>
            <w:tcW w:w="1593" w:type="dxa"/>
            <w:vAlign w:val="bottom"/>
          </w:tcPr>
          <w:p w:rsidR="00F04ACF" w:rsidRPr="00F04ACF" w:rsidRDefault="00F04ACF" w:rsidP="00B930F2">
            <w:pPr>
              <w:jc w:val="center"/>
            </w:pPr>
            <w:r w:rsidRPr="00F04ACF">
              <w:t>1,478</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pPr>
            <w:r w:rsidRPr="00F04ACF">
              <w:t>2024</w:t>
            </w:r>
          </w:p>
        </w:tc>
        <w:tc>
          <w:tcPr>
            <w:tcW w:w="1593" w:type="dxa"/>
            <w:vAlign w:val="bottom"/>
          </w:tcPr>
          <w:p w:rsidR="00F04ACF" w:rsidRPr="00F04ACF" w:rsidRDefault="00F04ACF" w:rsidP="00B930F2">
            <w:pPr>
              <w:jc w:val="center"/>
            </w:pPr>
            <w:r w:rsidRPr="00F04ACF">
              <w:t>21,113</w:t>
            </w:r>
          </w:p>
        </w:tc>
        <w:tc>
          <w:tcPr>
            <w:tcW w:w="1593" w:type="dxa"/>
            <w:vAlign w:val="bottom"/>
          </w:tcPr>
          <w:p w:rsidR="00F04ACF" w:rsidRPr="00F04ACF" w:rsidRDefault="00F04ACF" w:rsidP="00B930F2">
            <w:pPr>
              <w:jc w:val="center"/>
            </w:pPr>
            <w:r w:rsidRPr="00F04ACF">
              <w:t>2,795</w:t>
            </w:r>
          </w:p>
        </w:tc>
        <w:tc>
          <w:tcPr>
            <w:tcW w:w="1593" w:type="dxa"/>
            <w:vAlign w:val="bottom"/>
          </w:tcPr>
          <w:p w:rsidR="00F04ACF" w:rsidRPr="00F04ACF" w:rsidRDefault="00F04ACF" w:rsidP="00B930F2">
            <w:pPr>
              <w:jc w:val="center"/>
            </w:pPr>
            <w:r w:rsidRPr="00F04ACF">
              <w:t>3,043</w:t>
            </w:r>
          </w:p>
        </w:tc>
        <w:tc>
          <w:tcPr>
            <w:tcW w:w="1593" w:type="dxa"/>
            <w:vAlign w:val="bottom"/>
          </w:tcPr>
          <w:p w:rsidR="00F04ACF" w:rsidRPr="00F04ACF" w:rsidRDefault="00F04ACF" w:rsidP="00B930F2">
            <w:pPr>
              <w:jc w:val="center"/>
            </w:pPr>
            <w:r w:rsidRPr="00F04ACF">
              <w:t>1,493</w:t>
            </w:r>
          </w:p>
        </w:tc>
        <w:tc>
          <w:tcPr>
            <w:tcW w:w="1593" w:type="dxa"/>
            <w:vAlign w:val="bottom"/>
          </w:tcPr>
          <w:p w:rsidR="00F04ACF" w:rsidRPr="00F04ACF" w:rsidRDefault="00F04ACF" w:rsidP="00B930F2">
            <w:pPr>
              <w:jc w:val="center"/>
            </w:pPr>
            <w:r w:rsidRPr="00F04ACF">
              <w:t>1,487</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pPr>
            <w:r w:rsidRPr="00F04ACF">
              <w:t>2025</w:t>
            </w:r>
          </w:p>
        </w:tc>
        <w:tc>
          <w:tcPr>
            <w:tcW w:w="1593" w:type="dxa"/>
            <w:vAlign w:val="bottom"/>
          </w:tcPr>
          <w:p w:rsidR="00F04ACF" w:rsidRPr="00F04ACF" w:rsidRDefault="00F04ACF" w:rsidP="00B930F2">
            <w:pPr>
              <w:jc w:val="center"/>
            </w:pPr>
            <w:r w:rsidRPr="00F04ACF">
              <w:t>22,052</w:t>
            </w:r>
          </w:p>
        </w:tc>
        <w:tc>
          <w:tcPr>
            <w:tcW w:w="1593" w:type="dxa"/>
            <w:vAlign w:val="bottom"/>
          </w:tcPr>
          <w:p w:rsidR="00F04ACF" w:rsidRPr="00F04ACF" w:rsidRDefault="00F04ACF" w:rsidP="00B930F2">
            <w:pPr>
              <w:jc w:val="center"/>
            </w:pPr>
            <w:r w:rsidRPr="00F04ACF">
              <w:t>2,866</w:t>
            </w:r>
          </w:p>
        </w:tc>
        <w:tc>
          <w:tcPr>
            <w:tcW w:w="1593" w:type="dxa"/>
            <w:vAlign w:val="bottom"/>
          </w:tcPr>
          <w:p w:rsidR="00F04ACF" w:rsidRPr="00F04ACF" w:rsidRDefault="00F04ACF" w:rsidP="00B930F2">
            <w:pPr>
              <w:jc w:val="center"/>
            </w:pPr>
            <w:r w:rsidRPr="00F04ACF">
              <w:t>3,061</w:t>
            </w:r>
          </w:p>
        </w:tc>
        <w:tc>
          <w:tcPr>
            <w:tcW w:w="1593" w:type="dxa"/>
            <w:vAlign w:val="bottom"/>
          </w:tcPr>
          <w:p w:rsidR="00F04ACF" w:rsidRPr="00F04ACF" w:rsidRDefault="00F04ACF" w:rsidP="00B930F2">
            <w:pPr>
              <w:jc w:val="center"/>
            </w:pPr>
            <w:r w:rsidRPr="00F04ACF">
              <w:t>1,531</w:t>
            </w:r>
          </w:p>
        </w:tc>
        <w:tc>
          <w:tcPr>
            <w:tcW w:w="1593" w:type="dxa"/>
            <w:vAlign w:val="bottom"/>
          </w:tcPr>
          <w:p w:rsidR="00F04ACF" w:rsidRPr="00F04ACF" w:rsidRDefault="00F04ACF" w:rsidP="00B930F2">
            <w:pPr>
              <w:jc w:val="center"/>
            </w:pPr>
            <w:r w:rsidRPr="00F04ACF">
              <w:t>1,497</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pPr>
            <w:r w:rsidRPr="00F04ACF">
              <w:t>2026</w:t>
            </w:r>
          </w:p>
        </w:tc>
        <w:tc>
          <w:tcPr>
            <w:tcW w:w="1593" w:type="dxa"/>
            <w:vAlign w:val="bottom"/>
          </w:tcPr>
          <w:p w:rsidR="00F04ACF" w:rsidRPr="00F04ACF" w:rsidRDefault="00F04ACF" w:rsidP="00B930F2">
            <w:pPr>
              <w:jc w:val="center"/>
            </w:pPr>
            <w:r w:rsidRPr="00F04ACF">
              <w:t>23,447</w:t>
            </w:r>
          </w:p>
        </w:tc>
        <w:tc>
          <w:tcPr>
            <w:tcW w:w="1593" w:type="dxa"/>
            <w:vAlign w:val="bottom"/>
          </w:tcPr>
          <w:p w:rsidR="00F04ACF" w:rsidRPr="00F04ACF" w:rsidRDefault="00F04ACF" w:rsidP="00B930F2">
            <w:pPr>
              <w:jc w:val="center"/>
            </w:pPr>
            <w:r w:rsidRPr="00F04ACF">
              <w:t>2,939</w:t>
            </w:r>
          </w:p>
        </w:tc>
        <w:tc>
          <w:tcPr>
            <w:tcW w:w="1593" w:type="dxa"/>
            <w:vAlign w:val="bottom"/>
          </w:tcPr>
          <w:p w:rsidR="00F04ACF" w:rsidRPr="00F04ACF" w:rsidRDefault="00F04ACF" w:rsidP="00B930F2">
            <w:pPr>
              <w:jc w:val="center"/>
            </w:pPr>
            <w:r w:rsidRPr="00F04ACF">
              <w:t>3,080</w:t>
            </w:r>
          </w:p>
        </w:tc>
        <w:tc>
          <w:tcPr>
            <w:tcW w:w="1593" w:type="dxa"/>
            <w:vAlign w:val="bottom"/>
          </w:tcPr>
          <w:p w:rsidR="00F04ACF" w:rsidRPr="00F04ACF" w:rsidRDefault="00F04ACF" w:rsidP="00B930F2">
            <w:pPr>
              <w:jc w:val="center"/>
            </w:pPr>
            <w:r w:rsidRPr="00F04ACF">
              <w:t>1,570</w:t>
            </w:r>
          </w:p>
        </w:tc>
        <w:tc>
          <w:tcPr>
            <w:tcW w:w="1593" w:type="dxa"/>
            <w:vAlign w:val="bottom"/>
          </w:tcPr>
          <w:p w:rsidR="00F04ACF" w:rsidRPr="00F04ACF" w:rsidRDefault="00F04ACF" w:rsidP="00B930F2">
            <w:pPr>
              <w:jc w:val="center"/>
            </w:pPr>
            <w:r w:rsidRPr="00F04ACF">
              <w:t>1,507</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pPr>
            <w:r w:rsidRPr="00F04ACF">
              <w:t>2027</w:t>
            </w:r>
          </w:p>
        </w:tc>
        <w:tc>
          <w:tcPr>
            <w:tcW w:w="1593" w:type="dxa"/>
            <w:vAlign w:val="bottom"/>
          </w:tcPr>
          <w:p w:rsidR="00F04ACF" w:rsidRPr="00F04ACF" w:rsidRDefault="00F04ACF" w:rsidP="00B930F2">
            <w:pPr>
              <w:jc w:val="center"/>
            </w:pPr>
            <w:r w:rsidRPr="00F04ACF">
              <w:t>24,456</w:t>
            </w:r>
          </w:p>
        </w:tc>
        <w:tc>
          <w:tcPr>
            <w:tcW w:w="1593" w:type="dxa"/>
            <w:vAlign w:val="bottom"/>
          </w:tcPr>
          <w:p w:rsidR="00F04ACF" w:rsidRPr="00F04ACF" w:rsidRDefault="00F04ACF" w:rsidP="00B930F2">
            <w:pPr>
              <w:jc w:val="center"/>
            </w:pPr>
            <w:r w:rsidRPr="00F04ACF">
              <w:t>3,013</w:t>
            </w:r>
          </w:p>
        </w:tc>
        <w:tc>
          <w:tcPr>
            <w:tcW w:w="1593" w:type="dxa"/>
            <w:vAlign w:val="bottom"/>
          </w:tcPr>
          <w:p w:rsidR="00F04ACF" w:rsidRPr="00F04ACF" w:rsidRDefault="00F04ACF" w:rsidP="00B930F2">
            <w:pPr>
              <w:jc w:val="center"/>
            </w:pPr>
            <w:r w:rsidRPr="00F04ACF">
              <w:t>3,099</w:t>
            </w:r>
          </w:p>
        </w:tc>
        <w:tc>
          <w:tcPr>
            <w:tcW w:w="1593" w:type="dxa"/>
            <w:vAlign w:val="bottom"/>
          </w:tcPr>
          <w:p w:rsidR="00F04ACF" w:rsidRPr="00F04ACF" w:rsidRDefault="00F04ACF" w:rsidP="00B930F2">
            <w:pPr>
              <w:jc w:val="center"/>
            </w:pPr>
            <w:r w:rsidRPr="00F04ACF">
              <w:t>1,609</w:t>
            </w:r>
          </w:p>
        </w:tc>
        <w:tc>
          <w:tcPr>
            <w:tcW w:w="1593" w:type="dxa"/>
            <w:vAlign w:val="bottom"/>
          </w:tcPr>
          <w:p w:rsidR="00F04ACF" w:rsidRPr="00F04ACF" w:rsidRDefault="00F04ACF" w:rsidP="00B930F2">
            <w:pPr>
              <w:jc w:val="center"/>
            </w:pPr>
            <w:r w:rsidRPr="00F04ACF">
              <w:t>1,517</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pPr>
            <w:r w:rsidRPr="00F04ACF">
              <w:t>2028</w:t>
            </w:r>
          </w:p>
        </w:tc>
        <w:tc>
          <w:tcPr>
            <w:tcW w:w="1593" w:type="dxa"/>
            <w:vAlign w:val="bottom"/>
          </w:tcPr>
          <w:p w:rsidR="00F04ACF" w:rsidRPr="00F04ACF" w:rsidRDefault="00F04ACF" w:rsidP="00B930F2">
            <w:pPr>
              <w:jc w:val="center"/>
            </w:pPr>
            <w:r w:rsidRPr="00F04ACF">
              <w:t>25,781</w:t>
            </w:r>
          </w:p>
        </w:tc>
        <w:tc>
          <w:tcPr>
            <w:tcW w:w="1593" w:type="dxa"/>
            <w:vAlign w:val="bottom"/>
          </w:tcPr>
          <w:p w:rsidR="00F04ACF" w:rsidRPr="00F04ACF" w:rsidRDefault="00F04ACF" w:rsidP="00B930F2">
            <w:pPr>
              <w:jc w:val="center"/>
            </w:pPr>
            <w:r w:rsidRPr="00F04ACF">
              <w:t>3,089</w:t>
            </w:r>
          </w:p>
        </w:tc>
        <w:tc>
          <w:tcPr>
            <w:tcW w:w="1593" w:type="dxa"/>
            <w:vAlign w:val="bottom"/>
          </w:tcPr>
          <w:p w:rsidR="00F04ACF" w:rsidRPr="00F04ACF" w:rsidRDefault="00F04ACF" w:rsidP="00B930F2">
            <w:pPr>
              <w:jc w:val="center"/>
            </w:pPr>
            <w:r w:rsidRPr="00F04ACF">
              <w:t>3,119</w:t>
            </w:r>
          </w:p>
        </w:tc>
        <w:tc>
          <w:tcPr>
            <w:tcW w:w="1593" w:type="dxa"/>
            <w:vAlign w:val="bottom"/>
          </w:tcPr>
          <w:p w:rsidR="00F04ACF" w:rsidRPr="00F04ACF" w:rsidRDefault="00F04ACF" w:rsidP="00B930F2">
            <w:pPr>
              <w:jc w:val="center"/>
            </w:pPr>
            <w:r w:rsidRPr="00F04ACF">
              <w:t>1,650</w:t>
            </w:r>
          </w:p>
        </w:tc>
        <w:tc>
          <w:tcPr>
            <w:tcW w:w="1593" w:type="dxa"/>
            <w:vAlign w:val="bottom"/>
          </w:tcPr>
          <w:p w:rsidR="00F04ACF" w:rsidRPr="00F04ACF" w:rsidRDefault="00F04ACF" w:rsidP="00B930F2">
            <w:pPr>
              <w:jc w:val="center"/>
            </w:pPr>
            <w:r w:rsidRPr="00F04ACF">
              <w:t>1,527</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pPr>
            <w:r w:rsidRPr="00F04ACF">
              <w:t>2029</w:t>
            </w:r>
          </w:p>
        </w:tc>
        <w:tc>
          <w:tcPr>
            <w:tcW w:w="1593" w:type="dxa"/>
            <w:vAlign w:val="bottom"/>
          </w:tcPr>
          <w:p w:rsidR="00F04ACF" w:rsidRPr="00F04ACF" w:rsidRDefault="00F04ACF" w:rsidP="00B930F2">
            <w:pPr>
              <w:jc w:val="center"/>
            </w:pPr>
            <w:r w:rsidRPr="00F04ACF">
              <w:t>27,034</w:t>
            </w:r>
          </w:p>
        </w:tc>
        <w:tc>
          <w:tcPr>
            <w:tcW w:w="1593" w:type="dxa"/>
            <w:vAlign w:val="bottom"/>
          </w:tcPr>
          <w:p w:rsidR="00F04ACF" w:rsidRPr="00F04ACF" w:rsidRDefault="00F04ACF" w:rsidP="00B930F2">
            <w:pPr>
              <w:jc w:val="center"/>
            </w:pPr>
            <w:r w:rsidRPr="00F04ACF">
              <w:t>3,167</w:t>
            </w:r>
          </w:p>
        </w:tc>
        <w:tc>
          <w:tcPr>
            <w:tcW w:w="1593" w:type="dxa"/>
            <w:vAlign w:val="bottom"/>
          </w:tcPr>
          <w:p w:rsidR="00F04ACF" w:rsidRPr="00F04ACF" w:rsidRDefault="00F04ACF" w:rsidP="00B930F2">
            <w:pPr>
              <w:jc w:val="center"/>
            </w:pPr>
            <w:r w:rsidRPr="00F04ACF">
              <w:t>3,139</w:t>
            </w:r>
          </w:p>
        </w:tc>
        <w:tc>
          <w:tcPr>
            <w:tcW w:w="1593" w:type="dxa"/>
            <w:vAlign w:val="bottom"/>
          </w:tcPr>
          <w:p w:rsidR="00F04ACF" w:rsidRPr="00F04ACF" w:rsidRDefault="00F04ACF" w:rsidP="00B930F2">
            <w:pPr>
              <w:jc w:val="center"/>
            </w:pPr>
            <w:r w:rsidRPr="00F04ACF">
              <w:t>1,692</w:t>
            </w:r>
          </w:p>
        </w:tc>
        <w:tc>
          <w:tcPr>
            <w:tcW w:w="1593" w:type="dxa"/>
            <w:vAlign w:val="bottom"/>
          </w:tcPr>
          <w:p w:rsidR="00F04ACF" w:rsidRPr="00F04ACF" w:rsidRDefault="00F04ACF" w:rsidP="00B930F2">
            <w:pPr>
              <w:jc w:val="center"/>
            </w:pPr>
            <w:r w:rsidRPr="00F04ACF">
              <w:t>1,538</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pPr>
            <w:r w:rsidRPr="00F04ACF">
              <w:t>2030</w:t>
            </w:r>
          </w:p>
        </w:tc>
        <w:tc>
          <w:tcPr>
            <w:tcW w:w="1593" w:type="dxa"/>
            <w:vAlign w:val="bottom"/>
          </w:tcPr>
          <w:p w:rsidR="00F04ACF" w:rsidRPr="00F04ACF" w:rsidRDefault="00F04ACF" w:rsidP="00B930F2">
            <w:pPr>
              <w:jc w:val="center"/>
            </w:pPr>
            <w:r w:rsidRPr="00F04ACF">
              <w:t>28,674</w:t>
            </w:r>
          </w:p>
        </w:tc>
        <w:tc>
          <w:tcPr>
            <w:tcW w:w="1593" w:type="dxa"/>
            <w:vAlign w:val="bottom"/>
          </w:tcPr>
          <w:p w:rsidR="00F04ACF" w:rsidRPr="00F04ACF" w:rsidRDefault="00F04ACF" w:rsidP="00B930F2">
            <w:pPr>
              <w:jc w:val="center"/>
            </w:pPr>
            <w:r w:rsidRPr="00F04ACF">
              <w:t>3,247</w:t>
            </w:r>
          </w:p>
        </w:tc>
        <w:tc>
          <w:tcPr>
            <w:tcW w:w="1593" w:type="dxa"/>
            <w:vAlign w:val="bottom"/>
          </w:tcPr>
          <w:p w:rsidR="00F04ACF" w:rsidRPr="00F04ACF" w:rsidRDefault="00F04ACF" w:rsidP="00B930F2">
            <w:pPr>
              <w:jc w:val="center"/>
            </w:pPr>
            <w:r w:rsidRPr="00F04ACF">
              <w:t>3,160</w:t>
            </w:r>
          </w:p>
        </w:tc>
        <w:tc>
          <w:tcPr>
            <w:tcW w:w="1593" w:type="dxa"/>
            <w:vAlign w:val="bottom"/>
          </w:tcPr>
          <w:p w:rsidR="00F04ACF" w:rsidRPr="00F04ACF" w:rsidRDefault="00F04ACF" w:rsidP="00B930F2">
            <w:pPr>
              <w:jc w:val="center"/>
            </w:pPr>
            <w:r w:rsidRPr="00F04ACF">
              <w:t>1,735</w:t>
            </w:r>
          </w:p>
        </w:tc>
        <w:tc>
          <w:tcPr>
            <w:tcW w:w="1593" w:type="dxa"/>
            <w:vAlign w:val="bottom"/>
          </w:tcPr>
          <w:p w:rsidR="00F04ACF" w:rsidRPr="00F04ACF" w:rsidRDefault="00F04ACF" w:rsidP="00B930F2">
            <w:pPr>
              <w:jc w:val="center"/>
            </w:pPr>
            <w:r w:rsidRPr="00F04ACF">
              <w:t>1,549</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pPr>
            <w:r w:rsidRPr="00F04ACF">
              <w:t>2031</w:t>
            </w:r>
          </w:p>
        </w:tc>
        <w:tc>
          <w:tcPr>
            <w:tcW w:w="1593" w:type="dxa"/>
            <w:vAlign w:val="bottom"/>
          </w:tcPr>
          <w:p w:rsidR="00F04ACF" w:rsidRPr="00F04ACF" w:rsidRDefault="00F04ACF" w:rsidP="00B930F2">
            <w:pPr>
              <w:jc w:val="center"/>
            </w:pPr>
            <w:r w:rsidRPr="00F04ACF">
              <w:t>30,188</w:t>
            </w:r>
          </w:p>
        </w:tc>
        <w:tc>
          <w:tcPr>
            <w:tcW w:w="1593" w:type="dxa"/>
            <w:vAlign w:val="bottom"/>
          </w:tcPr>
          <w:p w:rsidR="00F04ACF" w:rsidRPr="00F04ACF" w:rsidRDefault="00F04ACF" w:rsidP="00B930F2">
            <w:pPr>
              <w:jc w:val="center"/>
            </w:pPr>
            <w:r w:rsidRPr="00F04ACF">
              <w:t>3,330</w:t>
            </w:r>
          </w:p>
        </w:tc>
        <w:tc>
          <w:tcPr>
            <w:tcW w:w="1593" w:type="dxa"/>
            <w:vAlign w:val="bottom"/>
          </w:tcPr>
          <w:p w:rsidR="00F04ACF" w:rsidRPr="00F04ACF" w:rsidRDefault="00F04ACF" w:rsidP="00B930F2">
            <w:pPr>
              <w:jc w:val="center"/>
            </w:pPr>
            <w:r w:rsidRPr="00F04ACF">
              <w:t>3,182</w:t>
            </w:r>
          </w:p>
        </w:tc>
        <w:tc>
          <w:tcPr>
            <w:tcW w:w="1593" w:type="dxa"/>
            <w:vAlign w:val="bottom"/>
          </w:tcPr>
          <w:p w:rsidR="00F04ACF" w:rsidRPr="00F04ACF" w:rsidRDefault="00F04ACF" w:rsidP="00B930F2">
            <w:pPr>
              <w:jc w:val="center"/>
            </w:pPr>
            <w:r w:rsidRPr="00F04ACF">
              <w:t>1,778</w:t>
            </w:r>
          </w:p>
        </w:tc>
        <w:tc>
          <w:tcPr>
            <w:tcW w:w="1593" w:type="dxa"/>
            <w:vAlign w:val="bottom"/>
          </w:tcPr>
          <w:p w:rsidR="00F04ACF" w:rsidRPr="00F04ACF" w:rsidRDefault="00F04ACF" w:rsidP="00B930F2">
            <w:pPr>
              <w:jc w:val="center"/>
            </w:pPr>
            <w:r w:rsidRPr="00F04ACF">
              <w:t>1,561</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pPr>
            <w:r w:rsidRPr="00F04ACF">
              <w:t>2032</w:t>
            </w:r>
          </w:p>
        </w:tc>
        <w:tc>
          <w:tcPr>
            <w:tcW w:w="1593" w:type="dxa"/>
            <w:vAlign w:val="bottom"/>
          </w:tcPr>
          <w:p w:rsidR="00F04ACF" w:rsidRPr="00F04ACF" w:rsidRDefault="00F04ACF" w:rsidP="00B930F2">
            <w:pPr>
              <w:jc w:val="center"/>
            </w:pPr>
            <w:r w:rsidRPr="00F04ACF">
              <w:t>31,469</w:t>
            </w:r>
          </w:p>
        </w:tc>
        <w:tc>
          <w:tcPr>
            <w:tcW w:w="1593" w:type="dxa"/>
            <w:vAlign w:val="bottom"/>
          </w:tcPr>
          <w:p w:rsidR="00F04ACF" w:rsidRPr="00F04ACF" w:rsidRDefault="00F04ACF" w:rsidP="00B930F2">
            <w:pPr>
              <w:jc w:val="center"/>
            </w:pPr>
            <w:r w:rsidRPr="00F04ACF">
              <w:t>3,414</w:t>
            </w:r>
          </w:p>
        </w:tc>
        <w:tc>
          <w:tcPr>
            <w:tcW w:w="1593" w:type="dxa"/>
            <w:vAlign w:val="bottom"/>
          </w:tcPr>
          <w:p w:rsidR="00F04ACF" w:rsidRPr="00F04ACF" w:rsidRDefault="00F04ACF" w:rsidP="00B930F2">
            <w:pPr>
              <w:jc w:val="center"/>
            </w:pPr>
            <w:r w:rsidRPr="00F04ACF">
              <w:t>3,203</w:t>
            </w:r>
          </w:p>
        </w:tc>
        <w:tc>
          <w:tcPr>
            <w:tcW w:w="1593" w:type="dxa"/>
            <w:vAlign w:val="bottom"/>
          </w:tcPr>
          <w:p w:rsidR="00F04ACF" w:rsidRPr="00F04ACF" w:rsidRDefault="00F04ACF" w:rsidP="00B930F2">
            <w:pPr>
              <w:jc w:val="center"/>
            </w:pPr>
            <w:r w:rsidRPr="00F04ACF">
              <w:t>1,823</w:t>
            </w:r>
          </w:p>
        </w:tc>
        <w:tc>
          <w:tcPr>
            <w:tcW w:w="1593" w:type="dxa"/>
            <w:vAlign w:val="bottom"/>
          </w:tcPr>
          <w:p w:rsidR="00F04ACF" w:rsidRPr="00F04ACF" w:rsidRDefault="00F04ACF" w:rsidP="00B930F2">
            <w:pPr>
              <w:jc w:val="center"/>
            </w:pPr>
            <w:r w:rsidRPr="00F04ACF">
              <w:t>1,572</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pPr>
            <w:r w:rsidRPr="00F04ACF">
              <w:t>2033</w:t>
            </w:r>
          </w:p>
        </w:tc>
        <w:tc>
          <w:tcPr>
            <w:tcW w:w="1593" w:type="dxa"/>
            <w:vAlign w:val="bottom"/>
          </w:tcPr>
          <w:p w:rsidR="00F04ACF" w:rsidRPr="00F04ACF" w:rsidRDefault="00F04ACF" w:rsidP="00B930F2">
            <w:pPr>
              <w:jc w:val="center"/>
            </w:pPr>
            <w:r w:rsidRPr="00F04ACF">
              <w:t>32,943</w:t>
            </w:r>
          </w:p>
        </w:tc>
        <w:tc>
          <w:tcPr>
            <w:tcW w:w="1593" w:type="dxa"/>
            <w:vAlign w:val="bottom"/>
          </w:tcPr>
          <w:p w:rsidR="00F04ACF" w:rsidRPr="00F04ACF" w:rsidRDefault="00F04ACF" w:rsidP="00B930F2">
            <w:pPr>
              <w:jc w:val="center"/>
            </w:pPr>
            <w:r w:rsidRPr="00F04ACF">
              <w:t>3,500</w:t>
            </w:r>
          </w:p>
        </w:tc>
        <w:tc>
          <w:tcPr>
            <w:tcW w:w="1593" w:type="dxa"/>
            <w:vAlign w:val="bottom"/>
          </w:tcPr>
          <w:p w:rsidR="00F04ACF" w:rsidRPr="00F04ACF" w:rsidRDefault="00F04ACF" w:rsidP="00B930F2">
            <w:pPr>
              <w:jc w:val="center"/>
            </w:pPr>
            <w:r w:rsidRPr="00F04ACF">
              <w:t>3,226</w:t>
            </w:r>
          </w:p>
        </w:tc>
        <w:tc>
          <w:tcPr>
            <w:tcW w:w="1593" w:type="dxa"/>
            <w:vAlign w:val="bottom"/>
          </w:tcPr>
          <w:p w:rsidR="00F04ACF" w:rsidRPr="00F04ACF" w:rsidRDefault="00F04ACF" w:rsidP="00B930F2">
            <w:pPr>
              <w:jc w:val="center"/>
            </w:pPr>
            <w:r w:rsidRPr="00F04ACF">
              <w:t>1,869</w:t>
            </w:r>
          </w:p>
        </w:tc>
        <w:tc>
          <w:tcPr>
            <w:tcW w:w="1593" w:type="dxa"/>
            <w:vAlign w:val="bottom"/>
          </w:tcPr>
          <w:p w:rsidR="00F04ACF" w:rsidRPr="00F04ACF" w:rsidRDefault="00F04ACF" w:rsidP="00B930F2">
            <w:pPr>
              <w:jc w:val="center"/>
            </w:pPr>
            <w:r w:rsidRPr="00F04ACF">
              <w:t>1,584</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pPr>
            <w:r w:rsidRPr="00F04ACF">
              <w:t>2034</w:t>
            </w:r>
          </w:p>
        </w:tc>
        <w:tc>
          <w:tcPr>
            <w:tcW w:w="1593" w:type="dxa"/>
            <w:vAlign w:val="bottom"/>
          </w:tcPr>
          <w:p w:rsidR="00F04ACF" w:rsidRPr="00F04ACF" w:rsidRDefault="00F04ACF" w:rsidP="00B930F2">
            <w:pPr>
              <w:jc w:val="center"/>
            </w:pPr>
            <w:r w:rsidRPr="00F04ACF">
              <w:t>34,938</w:t>
            </w:r>
          </w:p>
        </w:tc>
        <w:tc>
          <w:tcPr>
            <w:tcW w:w="1593" w:type="dxa"/>
            <w:vAlign w:val="bottom"/>
          </w:tcPr>
          <w:p w:rsidR="00F04ACF" w:rsidRPr="00F04ACF" w:rsidRDefault="00F04ACF" w:rsidP="00B930F2">
            <w:pPr>
              <w:jc w:val="center"/>
            </w:pPr>
            <w:r w:rsidRPr="00F04ACF">
              <w:t>3,589</w:t>
            </w:r>
          </w:p>
        </w:tc>
        <w:tc>
          <w:tcPr>
            <w:tcW w:w="1593" w:type="dxa"/>
            <w:vAlign w:val="bottom"/>
          </w:tcPr>
          <w:p w:rsidR="00F04ACF" w:rsidRPr="00F04ACF" w:rsidRDefault="00F04ACF" w:rsidP="00B930F2">
            <w:pPr>
              <w:jc w:val="center"/>
            </w:pPr>
            <w:r w:rsidRPr="00F04ACF">
              <w:t>3,249</w:t>
            </w:r>
          </w:p>
        </w:tc>
        <w:tc>
          <w:tcPr>
            <w:tcW w:w="1593" w:type="dxa"/>
            <w:vAlign w:val="bottom"/>
          </w:tcPr>
          <w:p w:rsidR="00F04ACF" w:rsidRPr="00F04ACF" w:rsidRDefault="00F04ACF" w:rsidP="00B930F2">
            <w:pPr>
              <w:jc w:val="center"/>
            </w:pPr>
            <w:r w:rsidRPr="00F04ACF">
              <w:t>1,917</w:t>
            </w:r>
          </w:p>
        </w:tc>
        <w:tc>
          <w:tcPr>
            <w:tcW w:w="1593" w:type="dxa"/>
            <w:vAlign w:val="bottom"/>
          </w:tcPr>
          <w:p w:rsidR="00F04ACF" w:rsidRPr="00F04ACF" w:rsidRDefault="00F04ACF" w:rsidP="00B930F2">
            <w:pPr>
              <w:jc w:val="center"/>
            </w:pPr>
            <w:r w:rsidRPr="00F04ACF">
              <w:t>1,596</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pPr>
            <w:r w:rsidRPr="00F04ACF">
              <w:t>2035</w:t>
            </w:r>
          </w:p>
        </w:tc>
        <w:tc>
          <w:tcPr>
            <w:tcW w:w="1593" w:type="dxa"/>
            <w:vAlign w:val="bottom"/>
          </w:tcPr>
          <w:p w:rsidR="00F04ACF" w:rsidRPr="00F04ACF" w:rsidRDefault="00F04ACF" w:rsidP="00B930F2">
            <w:pPr>
              <w:jc w:val="center"/>
            </w:pPr>
            <w:r w:rsidRPr="00F04ACF">
              <w:t>36,046</w:t>
            </w:r>
          </w:p>
        </w:tc>
        <w:tc>
          <w:tcPr>
            <w:tcW w:w="1593" w:type="dxa"/>
            <w:vAlign w:val="bottom"/>
          </w:tcPr>
          <w:p w:rsidR="00F04ACF" w:rsidRPr="00F04ACF" w:rsidRDefault="00F04ACF" w:rsidP="00B930F2">
            <w:pPr>
              <w:jc w:val="center"/>
            </w:pPr>
            <w:r w:rsidRPr="00F04ACF">
              <w:t>3,679</w:t>
            </w:r>
          </w:p>
        </w:tc>
        <w:tc>
          <w:tcPr>
            <w:tcW w:w="1593" w:type="dxa"/>
            <w:vAlign w:val="bottom"/>
          </w:tcPr>
          <w:p w:rsidR="00F04ACF" w:rsidRPr="00F04ACF" w:rsidRDefault="00F04ACF" w:rsidP="00B930F2">
            <w:pPr>
              <w:jc w:val="center"/>
            </w:pPr>
            <w:r w:rsidRPr="00F04ACF">
              <w:t>3,272</w:t>
            </w:r>
          </w:p>
        </w:tc>
        <w:tc>
          <w:tcPr>
            <w:tcW w:w="1593" w:type="dxa"/>
            <w:vAlign w:val="bottom"/>
          </w:tcPr>
          <w:p w:rsidR="00F04ACF" w:rsidRPr="00F04ACF" w:rsidRDefault="00F04ACF" w:rsidP="00B930F2">
            <w:pPr>
              <w:jc w:val="center"/>
            </w:pPr>
            <w:r w:rsidRPr="00F04ACF">
              <w:t>1,965</w:t>
            </w:r>
          </w:p>
        </w:tc>
        <w:tc>
          <w:tcPr>
            <w:tcW w:w="1593" w:type="dxa"/>
            <w:vAlign w:val="bottom"/>
          </w:tcPr>
          <w:p w:rsidR="00F04ACF" w:rsidRPr="00F04ACF" w:rsidRDefault="00F04ACF" w:rsidP="00B930F2">
            <w:pPr>
              <w:jc w:val="center"/>
            </w:pPr>
            <w:r w:rsidRPr="00F04ACF">
              <w:t>1,609</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F04ACF" w:rsidP="00B930F2">
            <w:pPr>
              <w:jc w:val="center"/>
              <w:rPr>
                <w:b/>
              </w:rPr>
            </w:pPr>
            <w:r w:rsidRPr="00F04ACF">
              <w:rPr>
                <w:b/>
              </w:rPr>
              <w:t>Total</w:t>
            </w:r>
          </w:p>
        </w:tc>
        <w:tc>
          <w:tcPr>
            <w:tcW w:w="1593" w:type="dxa"/>
            <w:vAlign w:val="bottom"/>
          </w:tcPr>
          <w:p w:rsidR="00F04ACF" w:rsidRPr="00F04ACF" w:rsidRDefault="00F04ACF" w:rsidP="00B930F2">
            <w:pPr>
              <w:jc w:val="center"/>
            </w:pPr>
            <w:r w:rsidRPr="00F04ACF">
              <w:t>469,599</w:t>
            </w:r>
          </w:p>
        </w:tc>
        <w:tc>
          <w:tcPr>
            <w:tcW w:w="1593" w:type="dxa"/>
            <w:vAlign w:val="bottom"/>
          </w:tcPr>
          <w:p w:rsidR="00F04ACF" w:rsidRPr="00F04ACF" w:rsidRDefault="00F04ACF" w:rsidP="00B930F2">
            <w:pPr>
              <w:jc w:val="center"/>
            </w:pPr>
            <w:r w:rsidRPr="00F04ACF">
              <w:t>40,227</w:t>
            </w:r>
          </w:p>
        </w:tc>
        <w:tc>
          <w:tcPr>
            <w:tcW w:w="1593" w:type="dxa"/>
            <w:vAlign w:val="bottom"/>
          </w:tcPr>
          <w:p w:rsidR="00F04ACF" w:rsidRPr="00F04ACF" w:rsidRDefault="00F04ACF" w:rsidP="00B930F2">
            <w:pPr>
              <w:jc w:val="center"/>
            </w:pPr>
            <w:r w:rsidRPr="00F04ACF">
              <w:t>39,600</w:t>
            </w:r>
          </w:p>
        </w:tc>
        <w:tc>
          <w:tcPr>
            <w:tcW w:w="1593" w:type="dxa"/>
            <w:vAlign w:val="bottom"/>
          </w:tcPr>
          <w:p w:rsidR="00F04ACF" w:rsidRPr="00F04ACF" w:rsidRDefault="00F04ACF" w:rsidP="00B930F2">
            <w:pPr>
              <w:jc w:val="center"/>
            </w:pPr>
            <w:r w:rsidRPr="00F04ACF">
              <w:t>31,324</w:t>
            </w:r>
          </w:p>
        </w:tc>
        <w:tc>
          <w:tcPr>
            <w:tcW w:w="1593" w:type="dxa"/>
            <w:vAlign w:val="bottom"/>
          </w:tcPr>
          <w:p w:rsidR="00F04ACF" w:rsidRPr="00F04ACF" w:rsidRDefault="00F04ACF" w:rsidP="00B930F2">
            <w:pPr>
              <w:jc w:val="center"/>
            </w:pPr>
            <w:r w:rsidRPr="00F04ACF">
              <w:t>30,119</w:t>
            </w:r>
          </w:p>
        </w:tc>
      </w:tr>
      <w:tr w:rsidR="00F04ACF" w:rsidRPr="00F04ACF" w:rsidTr="00B930F2">
        <w:trPr>
          <w:cantSplit/>
          <w:trHeight w:hRule="exact" w:val="360"/>
          <w:jc w:val="center"/>
        </w:trPr>
        <w:tc>
          <w:tcPr>
            <w:tcW w:w="1593" w:type="dxa"/>
            <w:shd w:val="clear" w:color="auto" w:fill="FBD4B4"/>
            <w:vAlign w:val="bottom"/>
          </w:tcPr>
          <w:p w:rsidR="00F04ACF" w:rsidRPr="00F04ACF" w:rsidRDefault="00B54E7A" w:rsidP="00B930F2">
            <w:pPr>
              <w:jc w:val="center"/>
              <w:rPr>
                <w:b/>
              </w:rPr>
            </w:pPr>
            <w:r>
              <w:rPr>
                <w:b/>
              </w:rPr>
              <w:t>NPV (2016</w:t>
            </w:r>
            <w:r w:rsidR="00F04ACF" w:rsidRPr="00F04ACF">
              <w:rPr>
                <w:b/>
              </w:rPr>
              <w:t>)</w:t>
            </w:r>
          </w:p>
        </w:tc>
        <w:tc>
          <w:tcPr>
            <w:tcW w:w="1593" w:type="dxa"/>
            <w:vAlign w:val="bottom"/>
          </w:tcPr>
          <w:p w:rsidR="00F04ACF" w:rsidRPr="00F04ACF" w:rsidRDefault="00F04ACF" w:rsidP="00B930F2">
            <w:pPr>
              <w:jc w:val="center"/>
            </w:pPr>
            <w:r w:rsidRPr="00F04ACF">
              <w:t>227,276</w:t>
            </w:r>
          </w:p>
        </w:tc>
        <w:tc>
          <w:tcPr>
            <w:tcW w:w="1593" w:type="dxa"/>
            <w:vAlign w:val="bottom"/>
          </w:tcPr>
          <w:p w:rsidR="00F04ACF" w:rsidRPr="00F04ACF" w:rsidRDefault="00F04ACF" w:rsidP="00B930F2">
            <w:pPr>
              <w:jc w:val="center"/>
            </w:pPr>
            <w:r w:rsidRPr="00F04ACF">
              <w:t>16,081</w:t>
            </w:r>
          </w:p>
        </w:tc>
        <w:tc>
          <w:tcPr>
            <w:tcW w:w="1593" w:type="dxa"/>
            <w:vAlign w:val="bottom"/>
          </w:tcPr>
          <w:p w:rsidR="00F04ACF" w:rsidRPr="00F04ACF" w:rsidRDefault="00F04ACF" w:rsidP="00B930F2">
            <w:pPr>
              <w:jc w:val="center"/>
            </w:pPr>
            <w:r w:rsidRPr="00F04ACF">
              <w:t>16,081</w:t>
            </w:r>
          </w:p>
        </w:tc>
        <w:tc>
          <w:tcPr>
            <w:tcW w:w="1593" w:type="dxa"/>
            <w:vAlign w:val="bottom"/>
          </w:tcPr>
          <w:p w:rsidR="00F04ACF" w:rsidRPr="00F04ACF" w:rsidRDefault="00F04ACF" w:rsidP="00B930F2">
            <w:pPr>
              <w:jc w:val="center"/>
            </w:pPr>
            <w:r w:rsidRPr="00F04ACF">
              <w:t>16,081</w:t>
            </w:r>
          </w:p>
        </w:tc>
        <w:tc>
          <w:tcPr>
            <w:tcW w:w="1593" w:type="dxa"/>
            <w:vAlign w:val="bottom"/>
          </w:tcPr>
          <w:p w:rsidR="00F04ACF" w:rsidRPr="00F04ACF" w:rsidRDefault="00F04ACF" w:rsidP="00B930F2">
            <w:pPr>
              <w:jc w:val="center"/>
            </w:pPr>
            <w:r w:rsidRPr="00F04ACF">
              <w:t>16,081</w:t>
            </w:r>
          </w:p>
        </w:tc>
      </w:tr>
    </w:tbl>
    <w:p w:rsidR="00F04ACF" w:rsidRPr="00F04ACF" w:rsidRDefault="00F04ACF" w:rsidP="007333DA">
      <w:pPr>
        <w:jc w:val="both"/>
        <w:outlineLvl w:val="0"/>
        <w:rPr>
          <w:rFonts w:ascii="Arial" w:hAnsi="Arial" w:cs="Arial"/>
          <w:bCs/>
          <w:kern w:val="32"/>
          <w:szCs w:val="32"/>
        </w:rPr>
      </w:pPr>
    </w:p>
    <w:p w:rsidR="00E17A2F" w:rsidRDefault="00E17A2F">
      <w:pPr>
        <w:rPr>
          <w:b/>
          <w:u w:val="single"/>
        </w:rPr>
      </w:pPr>
      <w:r>
        <w:rPr>
          <w:b/>
          <w:u w:val="single"/>
        </w:rPr>
        <w:br w:type="page"/>
      </w:r>
    </w:p>
    <w:p w:rsidR="00B64EBD" w:rsidRDefault="00B64EBD">
      <w:pPr>
        <w:rPr>
          <w:b/>
          <w:u w:val="single"/>
        </w:rPr>
      </w:pPr>
    </w:p>
    <w:p w:rsidR="00F04ACF" w:rsidRPr="00F04ACF" w:rsidRDefault="00F04ACF" w:rsidP="00E17A2F">
      <w:pPr>
        <w:ind w:firstLine="720"/>
        <w:jc w:val="both"/>
        <w:outlineLvl w:val="0"/>
      </w:pPr>
      <w:r w:rsidRPr="00F04ACF">
        <w:t>The provisions of Gulf’s revised standard offer contract and associated rate schedule</w:t>
      </w:r>
      <w:r w:rsidR="00095150">
        <w:t xml:space="preserve"> REF-1</w:t>
      </w:r>
      <w:r w:rsidRPr="00F04ACF">
        <w:t xml:space="preserve">, as filed on April 1, 2015, </w:t>
      </w:r>
      <w:r w:rsidR="00095150">
        <w:t xml:space="preserve">appear to </w:t>
      </w:r>
      <w:r w:rsidRPr="00F04ACF">
        <w:t>conform to all requirements of Rules 25-17.200 through 25-17.310, F.A.C. The revised standard offer contract provides flexibility in the arrangements for payments so that a developer of renewable generation m</w:t>
      </w:r>
      <w:r w:rsidR="00095150">
        <w:t>a</w:t>
      </w:r>
      <w:r w:rsidRPr="00F04ACF">
        <w:t xml:space="preserve">y select the payment stream best suited to its financial needs. </w:t>
      </w:r>
      <w:r w:rsidR="00E17A2F">
        <w:t>In addition, a</w:t>
      </w:r>
      <w:r w:rsidR="00E17A2F">
        <w:rPr>
          <w:bCs/>
          <w:kern w:val="32"/>
          <w:szCs w:val="32"/>
        </w:rPr>
        <w:t>ll</w:t>
      </w:r>
      <w:r w:rsidR="00E17A2F" w:rsidRPr="00F04ACF">
        <w:rPr>
          <w:bCs/>
          <w:kern w:val="32"/>
          <w:szCs w:val="32"/>
        </w:rPr>
        <w:t xml:space="preserve"> of the changes made to </w:t>
      </w:r>
      <w:r w:rsidR="00E17A2F">
        <w:rPr>
          <w:bCs/>
          <w:kern w:val="32"/>
          <w:szCs w:val="32"/>
        </w:rPr>
        <w:t>the</w:t>
      </w:r>
      <w:r w:rsidR="00E17A2F" w:rsidRPr="00F04ACF">
        <w:rPr>
          <w:bCs/>
          <w:kern w:val="32"/>
          <w:szCs w:val="32"/>
        </w:rPr>
        <w:t xml:space="preserve"> tariff sheets</w:t>
      </w:r>
      <w:r w:rsidR="00E17A2F">
        <w:rPr>
          <w:bCs/>
          <w:kern w:val="32"/>
          <w:szCs w:val="32"/>
        </w:rPr>
        <w:t>,</w:t>
      </w:r>
      <w:r w:rsidR="00E17A2F" w:rsidRPr="00F04ACF">
        <w:rPr>
          <w:bCs/>
          <w:kern w:val="32"/>
          <w:szCs w:val="32"/>
        </w:rPr>
        <w:t xml:space="preserve"> </w:t>
      </w:r>
      <w:r w:rsidR="00E17A2F">
        <w:rPr>
          <w:bCs/>
          <w:kern w:val="32"/>
          <w:szCs w:val="32"/>
        </w:rPr>
        <w:t>as well as the economic and financial assumptions used in the contract, appear to be</w:t>
      </w:r>
      <w:r w:rsidR="00E17A2F" w:rsidRPr="00F04ACF">
        <w:rPr>
          <w:bCs/>
          <w:kern w:val="32"/>
          <w:szCs w:val="32"/>
        </w:rPr>
        <w:t xml:space="preserve"> consistent with </w:t>
      </w:r>
      <w:r w:rsidR="00E17A2F">
        <w:rPr>
          <w:bCs/>
          <w:kern w:val="32"/>
          <w:szCs w:val="32"/>
        </w:rPr>
        <w:t>Gulf’s</w:t>
      </w:r>
      <w:r w:rsidR="00E17A2F" w:rsidRPr="00F04ACF">
        <w:rPr>
          <w:bCs/>
          <w:kern w:val="32"/>
          <w:szCs w:val="32"/>
        </w:rPr>
        <w:t xml:space="preserve"> updated avoided unit. </w:t>
      </w:r>
      <w:r w:rsidR="00E17A2F">
        <w:rPr>
          <w:bCs/>
          <w:kern w:val="32"/>
          <w:szCs w:val="32"/>
        </w:rPr>
        <w:t xml:space="preserve">  </w:t>
      </w:r>
      <w:r w:rsidR="00095150">
        <w:t>Therefore, we find it appropriate to approve</w:t>
      </w:r>
      <w:r w:rsidRPr="00F04ACF">
        <w:t xml:space="preserve"> Gulf’s revised standard offer contract and related rate schedule REF-1 as filed.</w:t>
      </w:r>
    </w:p>
    <w:p w:rsidR="00F04ACF" w:rsidRDefault="00F04ACF" w:rsidP="007333DA">
      <w:pPr>
        <w:jc w:val="both"/>
        <w:outlineLvl w:val="0"/>
        <w:rPr>
          <w:rFonts w:ascii="Arial" w:hAnsi="Arial" w:cs="Arial"/>
          <w:bCs/>
          <w:kern w:val="32"/>
          <w:szCs w:val="32"/>
        </w:rPr>
      </w:pPr>
    </w:p>
    <w:p w:rsidR="009A5723" w:rsidRDefault="009A5723" w:rsidP="007333DA">
      <w:pPr>
        <w:jc w:val="both"/>
        <w:outlineLvl w:val="0"/>
        <w:rPr>
          <w:rFonts w:ascii="Arial" w:hAnsi="Arial" w:cs="Arial"/>
          <w:bCs/>
          <w:kern w:val="32"/>
          <w:szCs w:val="32"/>
        </w:rPr>
      </w:pPr>
    </w:p>
    <w:p w:rsidR="00095150" w:rsidRDefault="00095150" w:rsidP="00095150">
      <w:pPr>
        <w:jc w:val="center"/>
        <w:outlineLvl w:val="0"/>
        <w:rPr>
          <w:b/>
          <w:u w:val="single"/>
        </w:rPr>
      </w:pPr>
      <w:r w:rsidRPr="00B64EBD">
        <w:rPr>
          <w:b/>
          <w:u w:val="single"/>
        </w:rPr>
        <w:t>Decision</w:t>
      </w:r>
    </w:p>
    <w:p w:rsidR="00095150" w:rsidRDefault="00095150" w:rsidP="007333DA">
      <w:pPr>
        <w:jc w:val="both"/>
        <w:outlineLvl w:val="0"/>
        <w:rPr>
          <w:rFonts w:ascii="Arial" w:hAnsi="Arial" w:cs="Arial"/>
          <w:bCs/>
          <w:kern w:val="32"/>
          <w:szCs w:val="32"/>
        </w:rPr>
      </w:pPr>
    </w:p>
    <w:p w:rsidR="00095150" w:rsidRPr="00F04ACF" w:rsidRDefault="00095150" w:rsidP="00095150">
      <w:pPr>
        <w:ind w:firstLine="720"/>
        <w:jc w:val="both"/>
      </w:pPr>
      <w:r w:rsidRPr="00F04ACF">
        <w:t>The provisions of Gulf’s revised standard offer contract and associated rate schedule</w:t>
      </w:r>
      <w:r>
        <w:t xml:space="preserve"> REF-1</w:t>
      </w:r>
      <w:r w:rsidRPr="00F04ACF">
        <w:t xml:space="preserve">, as filed on April 1, 2015, conform to all requirements of Rules 25-17.200 through 25-17.310, F.A.C. </w:t>
      </w:r>
      <w:r>
        <w:t xml:space="preserve"> Gulf’s </w:t>
      </w:r>
      <w:r w:rsidRPr="00F04ACF">
        <w:t>revised standard offer contract provides flexibility in the arrangements for payments so that a developer of renewable generation m</w:t>
      </w:r>
      <w:r>
        <w:t>a</w:t>
      </w:r>
      <w:r w:rsidRPr="00F04ACF">
        <w:t xml:space="preserve">y select the payment stream best suited to its financial needs. </w:t>
      </w:r>
      <w:r>
        <w:t>Therefore, we approve</w:t>
      </w:r>
      <w:r w:rsidRPr="00F04ACF">
        <w:t xml:space="preserve"> Gulf’s revised standard offer contract and related rate schedule REF-1</w:t>
      </w:r>
      <w:r>
        <w:t>,</w:t>
      </w:r>
      <w:r w:rsidRPr="00F04ACF">
        <w:t xml:space="preserve"> as filed</w:t>
      </w:r>
      <w:r>
        <w:t xml:space="preserve"> on April 1, 2015, and incorporated herein as Attachment A</w:t>
      </w:r>
      <w:r w:rsidRPr="00F04ACF">
        <w:t>.</w:t>
      </w:r>
    </w:p>
    <w:p w:rsidR="00095150" w:rsidRDefault="00095150" w:rsidP="007333DA">
      <w:pPr>
        <w:jc w:val="both"/>
        <w:outlineLvl w:val="0"/>
        <w:rPr>
          <w:rFonts w:ascii="Arial" w:hAnsi="Arial" w:cs="Arial"/>
          <w:bCs/>
          <w:kern w:val="32"/>
          <w:szCs w:val="32"/>
        </w:rPr>
      </w:pPr>
    </w:p>
    <w:p w:rsidR="00F04ACF" w:rsidRDefault="00F04ACF" w:rsidP="00095150">
      <w:pPr>
        <w:ind w:firstLine="720"/>
        <w:jc w:val="both"/>
      </w:pPr>
      <w:r w:rsidRPr="00F04ACF">
        <w:t xml:space="preserve">Potential signatories should be aware that, if a timely protest is filed, Gulf’s standard offer contract may subsequently be revised. </w:t>
      </w:r>
    </w:p>
    <w:p w:rsidR="00095150" w:rsidRDefault="00095150" w:rsidP="007976DC">
      <w:pPr>
        <w:jc w:val="both"/>
      </w:pPr>
    </w:p>
    <w:p w:rsidR="007976DC" w:rsidRDefault="007976DC" w:rsidP="007976DC">
      <w:pPr>
        <w:jc w:val="both"/>
      </w:pPr>
    </w:p>
    <w:p w:rsidR="00F04ACF" w:rsidRDefault="00F04ACF" w:rsidP="007333DA">
      <w:pPr>
        <w:pStyle w:val="OrderBody"/>
      </w:pPr>
      <w:r>
        <w:tab/>
        <w:t>Based on the foregoing, it is</w:t>
      </w:r>
    </w:p>
    <w:p w:rsidR="00F04ACF" w:rsidRDefault="00F04ACF" w:rsidP="007333DA">
      <w:pPr>
        <w:pStyle w:val="OrderBody"/>
      </w:pPr>
    </w:p>
    <w:p w:rsidR="00095150" w:rsidRDefault="00F04ACF" w:rsidP="00095150">
      <w:pPr>
        <w:pStyle w:val="OrderBody"/>
      </w:pPr>
      <w:r>
        <w:tab/>
        <w:t>ORDERED by the Florida Public Service Commission that</w:t>
      </w:r>
      <w:r w:rsidR="00095150">
        <w:t xml:space="preserve"> Gulf Power Company’s revised </w:t>
      </w:r>
      <w:r w:rsidR="00095150" w:rsidRPr="004E7D36">
        <w:t>standard offer contract</w:t>
      </w:r>
      <w:r w:rsidR="00095150">
        <w:t xml:space="preserve"> and related rate schedule REF-1 are hereby approved, effective</w:t>
      </w:r>
      <w:r w:rsidR="00E26FDE">
        <w:t xml:space="preserve">  the date of this Order</w:t>
      </w:r>
      <w:r w:rsidR="00095150">
        <w:t>.  It is further</w:t>
      </w:r>
    </w:p>
    <w:p w:rsidR="00095150" w:rsidRDefault="00095150" w:rsidP="00095150">
      <w:pPr>
        <w:pStyle w:val="OrderBody"/>
      </w:pPr>
    </w:p>
    <w:p w:rsidR="00095150" w:rsidRDefault="00095150" w:rsidP="00095150">
      <w:pPr>
        <w:ind w:firstLine="720"/>
        <w:jc w:val="both"/>
      </w:pPr>
      <w:r>
        <w:t>ORDERED that the provisions of this Order, issued as proposed agency action, shall become final and effective upon the issuance of a Consummating Order unless an appropriate petition, in the form provided by Rule 28-106.201, F.A.C., is received by the Office of Commission Clerk, 2540 Shumard Oak Boulevard, Tallahassee, Florida 32399-0850, by the close of business on the date set forth in the “Notice of Further Proceedings” attached hereto.  It is further</w:t>
      </w:r>
    </w:p>
    <w:p w:rsidR="00095150" w:rsidRDefault="00095150" w:rsidP="00095150">
      <w:pPr>
        <w:pStyle w:val="OrderBody"/>
      </w:pPr>
    </w:p>
    <w:p w:rsidR="00095150" w:rsidRPr="003038D7" w:rsidRDefault="00095150" w:rsidP="00095150">
      <w:pPr>
        <w:ind w:firstLine="720"/>
        <w:jc w:val="both"/>
      </w:pPr>
      <w:r>
        <w:t>ORDERED that p</w:t>
      </w:r>
      <w:r w:rsidRPr="003038D7">
        <w:t xml:space="preserve">otential signatories </w:t>
      </w:r>
      <w:r>
        <w:t>shall</w:t>
      </w:r>
      <w:r w:rsidRPr="003038D7">
        <w:t xml:space="preserve"> be aware that, if a timely protest is filed, </w:t>
      </w:r>
      <w:r>
        <w:t>Gulf Power Company</w:t>
      </w:r>
      <w:r w:rsidRPr="003038D7">
        <w:t xml:space="preserve">’s standard offer contract may subsequently be revised. </w:t>
      </w:r>
      <w:r>
        <w:t>It is further</w:t>
      </w:r>
      <w:r w:rsidRPr="003038D7">
        <w:t xml:space="preserve"> </w:t>
      </w:r>
    </w:p>
    <w:p w:rsidR="00095150" w:rsidRDefault="00095150" w:rsidP="00095150">
      <w:pPr>
        <w:pStyle w:val="OrderBody"/>
      </w:pPr>
    </w:p>
    <w:p w:rsidR="009A5723" w:rsidRDefault="009A5723">
      <w:r>
        <w:br w:type="page"/>
      </w:r>
    </w:p>
    <w:p w:rsidR="009A5723" w:rsidRDefault="009A5723" w:rsidP="00095150">
      <w:pPr>
        <w:pStyle w:val="OrderBody"/>
        <w:ind w:firstLine="720"/>
      </w:pPr>
    </w:p>
    <w:p w:rsidR="009A5723" w:rsidRDefault="009A5723" w:rsidP="00095150">
      <w:pPr>
        <w:pStyle w:val="OrderBody"/>
        <w:ind w:firstLine="720"/>
      </w:pPr>
    </w:p>
    <w:p w:rsidR="00095150" w:rsidRDefault="00095150" w:rsidP="00095150">
      <w:pPr>
        <w:pStyle w:val="OrderBody"/>
        <w:ind w:firstLine="720"/>
      </w:pPr>
      <w:r>
        <w:t xml:space="preserve">ORDERED that, if no timely protest is filed and this Order becomes final, then this docket shall be closed upon the issuance of a Consummating Order.  </w:t>
      </w:r>
    </w:p>
    <w:p w:rsidR="00095150" w:rsidRDefault="00095150" w:rsidP="00095150">
      <w:pPr>
        <w:pStyle w:val="OrderBody"/>
        <w:ind w:firstLine="720"/>
      </w:pPr>
    </w:p>
    <w:p w:rsidR="007976DC" w:rsidRDefault="007976DC" w:rsidP="00095150">
      <w:pPr>
        <w:pStyle w:val="OrderBody"/>
        <w:ind w:firstLine="720"/>
      </w:pPr>
    </w:p>
    <w:p w:rsidR="00F04ACF" w:rsidRDefault="00F04ACF" w:rsidP="007333DA">
      <w:pPr>
        <w:pStyle w:val="OrderBody"/>
        <w:keepNext/>
        <w:keepLines/>
      </w:pPr>
      <w:r>
        <w:tab/>
        <w:t xml:space="preserve">By ORDER of the Florida Public Service Commission this </w:t>
      </w:r>
      <w:bookmarkStart w:id="9" w:name="replaceDate"/>
      <w:bookmarkEnd w:id="9"/>
      <w:r w:rsidR="00310290">
        <w:rPr>
          <w:u w:val="single"/>
        </w:rPr>
        <w:t>28th</w:t>
      </w:r>
      <w:r w:rsidR="00310290">
        <w:t xml:space="preserve"> day of </w:t>
      </w:r>
      <w:r w:rsidR="00310290">
        <w:rPr>
          <w:u w:val="single"/>
        </w:rPr>
        <w:t>July</w:t>
      </w:r>
      <w:r w:rsidR="00310290">
        <w:t xml:space="preserve">, </w:t>
      </w:r>
      <w:r w:rsidR="00310290">
        <w:rPr>
          <w:u w:val="single"/>
        </w:rPr>
        <w:t>2015</w:t>
      </w:r>
      <w:r w:rsidR="00310290">
        <w:t>.</w:t>
      </w:r>
    </w:p>
    <w:p w:rsidR="00310290" w:rsidRPr="00310290" w:rsidRDefault="00310290" w:rsidP="007333DA">
      <w:pPr>
        <w:pStyle w:val="OrderBody"/>
        <w:keepNext/>
        <w:keepLines/>
      </w:pPr>
    </w:p>
    <w:p w:rsidR="007976DC" w:rsidRDefault="007976DC" w:rsidP="007333DA">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F04ACF" w:rsidTr="00F04ACF">
        <w:tc>
          <w:tcPr>
            <w:tcW w:w="720" w:type="dxa"/>
            <w:shd w:val="clear" w:color="auto" w:fill="auto"/>
          </w:tcPr>
          <w:p w:rsidR="00F04ACF" w:rsidRDefault="00F04ACF" w:rsidP="007333DA">
            <w:pPr>
              <w:pStyle w:val="OrderBody"/>
              <w:keepNext/>
              <w:keepLines/>
            </w:pPr>
            <w:bookmarkStart w:id="10" w:name="bkmrkSignature" w:colFirst="0" w:colLast="0"/>
          </w:p>
        </w:tc>
        <w:tc>
          <w:tcPr>
            <w:tcW w:w="4320" w:type="dxa"/>
            <w:tcBorders>
              <w:bottom w:val="single" w:sz="4" w:space="0" w:color="auto"/>
            </w:tcBorders>
            <w:shd w:val="clear" w:color="auto" w:fill="auto"/>
          </w:tcPr>
          <w:p w:rsidR="00F04ACF" w:rsidRDefault="00310290" w:rsidP="007333DA">
            <w:pPr>
              <w:pStyle w:val="OrderBody"/>
              <w:keepNext/>
              <w:keepLines/>
            </w:pPr>
            <w:r>
              <w:t>/s/ Hong Wang</w:t>
            </w:r>
            <w:bookmarkStart w:id="11" w:name="_GoBack"/>
            <w:bookmarkEnd w:id="11"/>
          </w:p>
        </w:tc>
      </w:tr>
      <w:bookmarkEnd w:id="10"/>
      <w:tr w:rsidR="00F04ACF" w:rsidTr="00F04ACF">
        <w:tc>
          <w:tcPr>
            <w:tcW w:w="720" w:type="dxa"/>
            <w:shd w:val="clear" w:color="auto" w:fill="auto"/>
          </w:tcPr>
          <w:p w:rsidR="00F04ACF" w:rsidRDefault="00F04ACF" w:rsidP="007333DA">
            <w:pPr>
              <w:pStyle w:val="OrderBody"/>
              <w:keepNext/>
              <w:keepLines/>
            </w:pPr>
          </w:p>
        </w:tc>
        <w:tc>
          <w:tcPr>
            <w:tcW w:w="4320" w:type="dxa"/>
            <w:tcBorders>
              <w:top w:val="single" w:sz="4" w:space="0" w:color="auto"/>
            </w:tcBorders>
            <w:shd w:val="clear" w:color="auto" w:fill="auto"/>
          </w:tcPr>
          <w:p w:rsidR="00310290" w:rsidRDefault="00310290" w:rsidP="007333DA">
            <w:pPr>
              <w:pStyle w:val="OrderBody"/>
              <w:keepNext/>
              <w:keepLines/>
            </w:pPr>
            <w:r>
              <w:t>HONG WANG</w:t>
            </w:r>
          </w:p>
          <w:p w:rsidR="00F04ACF" w:rsidRDefault="00310290" w:rsidP="007333DA">
            <w:pPr>
              <w:pStyle w:val="OrderBody"/>
              <w:keepNext/>
              <w:keepLines/>
            </w:pPr>
            <w:r>
              <w:t>Chief Deputy Commission Clerk</w:t>
            </w:r>
          </w:p>
        </w:tc>
      </w:tr>
    </w:tbl>
    <w:p w:rsidR="00F04ACF" w:rsidRDefault="00F04ACF" w:rsidP="007333DA">
      <w:pPr>
        <w:pStyle w:val="OrderSigInfo"/>
        <w:keepNext/>
        <w:keepLines/>
      </w:pPr>
      <w:r>
        <w:t>Florida Public Service Commission</w:t>
      </w:r>
    </w:p>
    <w:p w:rsidR="00F04ACF" w:rsidRDefault="00F04ACF" w:rsidP="007333DA">
      <w:pPr>
        <w:pStyle w:val="OrderSigInfo"/>
        <w:keepNext/>
        <w:keepLines/>
      </w:pPr>
      <w:r>
        <w:t>2540 Shumard Oak Boulevard</w:t>
      </w:r>
    </w:p>
    <w:p w:rsidR="00F04ACF" w:rsidRDefault="00F04ACF" w:rsidP="007333DA">
      <w:pPr>
        <w:pStyle w:val="OrderSigInfo"/>
        <w:keepNext/>
        <w:keepLines/>
      </w:pPr>
      <w:r>
        <w:t>Tallahassee, Florida  32399</w:t>
      </w:r>
    </w:p>
    <w:p w:rsidR="00F04ACF" w:rsidRDefault="00F04ACF" w:rsidP="007333DA">
      <w:pPr>
        <w:pStyle w:val="OrderSigInfo"/>
        <w:keepNext/>
        <w:keepLines/>
      </w:pPr>
      <w:r>
        <w:t>(850) 413</w:t>
      </w:r>
      <w:r>
        <w:noBreakHyphen/>
        <w:t>6770</w:t>
      </w:r>
    </w:p>
    <w:p w:rsidR="00F04ACF" w:rsidRDefault="00F04ACF" w:rsidP="007333DA">
      <w:pPr>
        <w:pStyle w:val="OrderSigInfo"/>
        <w:keepNext/>
        <w:keepLines/>
      </w:pPr>
      <w:r>
        <w:t>www.floridapsc.com</w:t>
      </w:r>
    </w:p>
    <w:p w:rsidR="00F04ACF" w:rsidRDefault="00F04ACF" w:rsidP="007333DA">
      <w:pPr>
        <w:pStyle w:val="OrderSigInfo"/>
        <w:keepNext/>
        <w:keepLines/>
      </w:pPr>
    </w:p>
    <w:p w:rsidR="00F04ACF" w:rsidRDefault="00F04ACF" w:rsidP="007333DA">
      <w:pPr>
        <w:pStyle w:val="OrderSigInfo"/>
        <w:keepNext/>
        <w:keepLines/>
      </w:pPr>
      <w:r>
        <w:t>Copies furnished:  A copy of this document is provided to the parties of record at the time of issuance and, if applicable, interested persons.</w:t>
      </w:r>
    </w:p>
    <w:p w:rsidR="00F04ACF" w:rsidRDefault="00F04ACF" w:rsidP="007333DA">
      <w:pPr>
        <w:pStyle w:val="OrderBody"/>
        <w:keepNext/>
        <w:keepLines/>
      </w:pPr>
    </w:p>
    <w:p w:rsidR="00F04ACF" w:rsidRDefault="00F04ACF" w:rsidP="007333DA">
      <w:pPr>
        <w:pStyle w:val="OrderBody"/>
        <w:keepNext/>
        <w:keepLines/>
      </w:pPr>
    </w:p>
    <w:p w:rsidR="00F04ACF" w:rsidRDefault="00F04ACF" w:rsidP="007333DA">
      <w:pPr>
        <w:pStyle w:val="OrderBody"/>
        <w:keepNext/>
        <w:keepLines/>
      </w:pPr>
      <w:r>
        <w:t>KFC</w:t>
      </w:r>
    </w:p>
    <w:p w:rsidR="00F04ACF" w:rsidRDefault="00F04ACF" w:rsidP="007333DA">
      <w:pPr>
        <w:pStyle w:val="OrderBody"/>
      </w:pPr>
    </w:p>
    <w:p w:rsidR="007976DC" w:rsidRDefault="007976DC">
      <w:pPr>
        <w:rPr>
          <w:u w:val="single"/>
        </w:rPr>
      </w:pPr>
      <w:r>
        <w:br w:type="page"/>
      </w:r>
    </w:p>
    <w:p w:rsidR="00F04ACF" w:rsidRDefault="00F04ACF" w:rsidP="007333DA">
      <w:pPr>
        <w:pStyle w:val="CenterUnderline"/>
      </w:pPr>
      <w:r>
        <w:lastRenderedPageBreak/>
        <w:t>NOTICE OF FURTHER PROCEEDINGS OR JUDICIAL REVIEW</w:t>
      </w:r>
    </w:p>
    <w:p w:rsidR="00F04ACF" w:rsidRDefault="00F04ACF" w:rsidP="007333DA">
      <w:pPr>
        <w:pStyle w:val="CenterUnderline"/>
        <w:rPr>
          <w:u w:val="none"/>
        </w:rPr>
      </w:pPr>
    </w:p>
    <w:p w:rsidR="00F04ACF" w:rsidRDefault="00F04ACF" w:rsidP="007333DA">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F04ACF" w:rsidRDefault="00F04ACF" w:rsidP="007333DA">
      <w:pPr>
        <w:pStyle w:val="OrderBody"/>
      </w:pPr>
    </w:p>
    <w:p w:rsidR="00F04ACF" w:rsidRDefault="00F04ACF" w:rsidP="007333DA">
      <w:pPr>
        <w:pStyle w:val="OrderBody"/>
      </w:pPr>
      <w:r>
        <w:tab/>
        <w:t>Mediation may be available on a case-by-case basis.  If mediation is conducted, it does not affect a substantially interested person's right to a hearing.</w:t>
      </w:r>
    </w:p>
    <w:p w:rsidR="00F04ACF" w:rsidRDefault="00F04ACF" w:rsidP="007333DA">
      <w:pPr>
        <w:pStyle w:val="OrderBody"/>
      </w:pPr>
    </w:p>
    <w:p w:rsidR="00F04ACF" w:rsidRDefault="00F04ACF" w:rsidP="007333DA">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310290">
        <w:rPr>
          <w:u w:val="single"/>
        </w:rPr>
        <w:t>August 18, 2015</w:t>
      </w:r>
      <w:r>
        <w:t>.</w:t>
      </w:r>
    </w:p>
    <w:p w:rsidR="00F04ACF" w:rsidRDefault="00F04ACF" w:rsidP="007333DA">
      <w:pPr>
        <w:pStyle w:val="OrderBody"/>
      </w:pPr>
    </w:p>
    <w:p w:rsidR="00F04ACF" w:rsidRDefault="00F04ACF" w:rsidP="007333DA">
      <w:pPr>
        <w:pStyle w:val="OrderBody"/>
      </w:pPr>
      <w:r>
        <w:tab/>
        <w:t>In the absence of such a petition, this order shall become final and effective upon the issuance of a Consummating Order.</w:t>
      </w:r>
    </w:p>
    <w:p w:rsidR="00F04ACF" w:rsidRDefault="00F04ACF" w:rsidP="007333DA">
      <w:pPr>
        <w:pStyle w:val="OrderBody"/>
      </w:pPr>
    </w:p>
    <w:p w:rsidR="00F04ACF" w:rsidRDefault="00F04ACF" w:rsidP="007333DA">
      <w:pPr>
        <w:pStyle w:val="OrderBody"/>
      </w:pPr>
      <w:r>
        <w:tab/>
        <w:t>Any objection or protest filed in this/these docket(s) before the issuance date of this order is considered abandoned unless it satisfies the foregoing conditions and is renewed within the specified protest period.</w:t>
      </w:r>
    </w:p>
    <w:p w:rsidR="00F04ACF" w:rsidRDefault="00F04ACF" w:rsidP="00F04ACF">
      <w:pPr>
        <w:pStyle w:val="OrderBody"/>
      </w:pPr>
    </w:p>
    <w:p w:rsidR="00F04ACF" w:rsidRDefault="00F04ACF" w:rsidP="00F04ACF">
      <w:pPr>
        <w:pStyle w:val="OrderBody"/>
        <w:sectPr w:rsidR="00F04ACF">
          <w:headerReference w:type="default" r:id="rId8"/>
          <w:footerReference w:type="first" r:id="rId9"/>
          <w:pgSz w:w="12240" w:h="15840" w:code="1"/>
          <w:pgMar w:top="1440" w:right="1440" w:bottom="1440" w:left="1440" w:header="720" w:footer="720" w:gutter="0"/>
          <w:cols w:space="720"/>
          <w:titlePg/>
          <w:docGrid w:linePitch="360"/>
        </w:sectPr>
      </w:pPr>
    </w:p>
    <w:p w:rsidR="00F04ACF" w:rsidRDefault="007E3E55" w:rsidP="00F04ACF">
      <w:pPr>
        <w:pStyle w:val="OrderBody"/>
        <w:rPr>
          <w:noProof/>
        </w:rPr>
        <w:sectPr w:rsidR="00F04ACF">
          <w:headerReference w:type="first" r:id="rId10"/>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3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4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4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4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4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5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5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5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5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5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6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rPr>
          <w:noProof/>
        </w:rPr>
        <w:sectPr w:rsidR="00F04ACF">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6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E3E55" w:rsidRDefault="007E3E55" w:rsidP="00F04ACF">
      <w:pPr>
        <w:pStyle w:val="OrderBody"/>
        <w:rPr>
          <w:noProof/>
        </w:rPr>
        <w:sectPr w:rsidR="007E3E55">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6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E3E55" w:rsidRDefault="007E3E55" w:rsidP="00F04ACF">
      <w:pPr>
        <w:pStyle w:val="OrderBody"/>
        <w:rPr>
          <w:noProof/>
        </w:rPr>
        <w:sectPr w:rsidR="007E3E55">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6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04ACF" w:rsidRDefault="007E3E55" w:rsidP="00F04ACF">
      <w:pPr>
        <w:pStyle w:val="OrderBody"/>
      </w:pPr>
      <w:r>
        <w:rPr>
          <w:noProof/>
        </w:rPr>
        <w:lastRenderedPageBreak/>
        <w:drawing>
          <wp:inline distT="0" distB="0" distL="0" distR="0">
            <wp:extent cx="5943600" cy="7696200"/>
            <wp:effectExtent l="0" t="0" r="0" b="0"/>
            <wp:docPr id="6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sectPr w:rsidR="00F04ACF" w:rsidSect="00865656">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4ACF" w:rsidRDefault="00F04ACF">
      <w:r>
        <w:separator/>
      </w:r>
    </w:p>
  </w:endnote>
  <w:endnote w:type="continuationSeparator" w:id="0">
    <w:p w:rsidR="00F04ACF" w:rsidRDefault="00F04A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4ACF" w:rsidRDefault="00F04ACF">
      <w:r>
        <w:separator/>
      </w:r>
    </w:p>
  </w:footnote>
  <w:footnote w:type="continuationSeparator" w:id="0">
    <w:p w:rsidR="00F04ACF" w:rsidRDefault="00F04AC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OrderHeader"/>
    </w:pPr>
    <w:r>
      <w:t xml:space="preserve">ORDER NO. </w:t>
    </w:r>
    <w:fldSimple w:instr=" REF OrderNo0303 ">
      <w:r w:rsidR="00310290">
        <w:t>PSC-15-0303-PAA-EQ</w:t>
      </w:r>
    </w:fldSimple>
  </w:p>
  <w:p w:rsidR="00FA6EFD" w:rsidRDefault="00F04ACF">
    <w:pPr>
      <w:pStyle w:val="OrderHeader"/>
    </w:pPr>
    <w:bookmarkStart w:id="12" w:name="HeaderDocketNo"/>
    <w:bookmarkEnd w:id="12"/>
    <w:r>
      <w:t>DOCKET NO. 150101-EQ</w:t>
    </w:r>
  </w:p>
  <w:p w:rsidR="00FA6EFD" w:rsidRDefault="00FA6EFD">
    <w:pPr>
      <w:pStyle w:val="OrderHeader"/>
      <w:rPr>
        <w:rStyle w:val="PageNumber"/>
      </w:rPr>
    </w:pPr>
    <w:r>
      <w:t xml:space="preserve">PAGE </w:t>
    </w:r>
    <w:r w:rsidR="00865656">
      <w:rPr>
        <w:rStyle w:val="PageNumber"/>
      </w:rPr>
      <w:fldChar w:fldCharType="begin"/>
    </w:r>
    <w:r>
      <w:rPr>
        <w:rStyle w:val="PageNumber"/>
      </w:rPr>
      <w:instrText xml:space="preserve"> PAGE </w:instrText>
    </w:r>
    <w:r w:rsidR="00865656">
      <w:rPr>
        <w:rStyle w:val="PageNumber"/>
      </w:rPr>
      <w:fldChar w:fldCharType="separate"/>
    </w:r>
    <w:r w:rsidR="00310290">
      <w:rPr>
        <w:rStyle w:val="PageNumber"/>
        <w:noProof/>
      </w:rPr>
      <w:t>5</w:t>
    </w:r>
    <w:r w:rsidR="00865656">
      <w:rPr>
        <w:rStyle w:val="PageNumber"/>
      </w:rPr>
      <w:fldChar w:fldCharType="end"/>
    </w:r>
  </w:p>
  <w:p w:rsidR="00FA6EFD" w:rsidRDefault="00FA6EFD">
    <w:pPr>
      <w:pStyle w:val="Order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4ACF" w:rsidRDefault="00F04ACF" w:rsidP="00F04ACF">
    <w:pPr>
      <w:pStyle w:val="OrderHeader"/>
    </w:pPr>
    <w:r>
      <w:t xml:space="preserve">ORDER NO. </w:t>
    </w:r>
    <w:r w:rsidR="00310290">
      <w:t>PSC-15-0303-PAA-EQ</w:t>
    </w:r>
    <w:r>
      <w:tab/>
    </w:r>
    <w:r>
      <w:tab/>
      <w:t>ATTACHMENT A</w:t>
    </w:r>
  </w:p>
  <w:p w:rsidR="00F04ACF" w:rsidRDefault="00F04ACF" w:rsidP="00F04ACF">
    <w:pPr>
      <w:pStyle w:val="OrderHeader"/>
    </w:pPr>
    <w:r>
      <w:t>DOCKET NO. 150101-EQ</w:t>
    </w:r>
  </w:p>
  <w:p w:rsidR="00F04ACF" w:rsidRDefault="00F04ACF" w:rsidP="00F04ACF">
    <w:pPr>
      <w:pStyle w:val="OrderHeader"/>
      <w:rPr>
        <w:rStyle w:val="PageNumber"/>
      </w:rPr>
    </w:pPr>
    <w:r>
      <w:t xml:space="preserve">PAGE </w:t>
    </w:r>
    <w:r w:rsidR="00865656">
      <w:rPr>
        <w:rStyle w:val="PageNumber"/>
      </w:rPr>
      <w:fldChar w:fldCharType="begin"/>
    </w:r>
    <w:r>
      <w:rPr>
        <w:rStyle w:val="PageNumber"/>
      </w:rPr>
      <w:instrText xml:space="preserve"> PAGE </w:instrText>
    </w:r>
    <w:r w:rsidR="00865656">
      <w:rPr>
        <w:rStyle w:val="PageNumber"/>
      </w:rPr>
      <w:fldChar w:fldCharType="separate"/>
    </w:r>
    <w:r w:rsidR="00310290">
      <w:rPr>
        <w:rStyle w:val="PageNumber"/>
        <w:noProof/>
      </w:rPr>
      <w:t>41</w:t>
    </w:r>
    <w:r w:rsidR="00865656">
      <w:rPr>
        <w:rStyle w:val="PageNumber"/>
      </w:rPr>
      <w:fldChar w:fldCharType="end"/>
    </w:r>
  </w:p>
  <w:p w:rsidR="00F04ACF" w:rsidRDefault="00F04ACF">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BE1EC170-EA76-470D-BB59-A4BF6144E0C2}"/>
    <w:docVar w:name="dgnword-eventsink" w:val="19458032"/>
    <w:docVar w:name="Dockets" w:val="150101-EQ"/>
  </w:docVars>
  <w:rsids>
    <w:rsidRoot w:val="00F04ACF"/>
    <w:rsid w:val="000022B8"/>
    <w:rsid w:val="00053AB9"/>
    <w:rsid w:val="00056229"/>
    <w:rsid w:val="00065FC2"/>
    <w:rsid w:val="00090AFC"/>
    <w:rsid w:val="00095150"/>
    <w:rsid w:val="000D06E8"/>
    <w:rsid w:val="000E2276"/>
    <w:rsid w:val="000E344D"/>
    <w:rsid w:val="000F3B2C"/>
    <w:rsid w:val="000F7BE3"/>
    <w:rsid w:val="00116AD3"/>
    <w:rsid w:val="00126593"/>
    <w:rsid w:val="00142A96"/>
    <w:rsid w:val="00177921"/>
    <w:rsid w:val="00187E32"/>
    <w:rsid w:val="00194E81"/>
    <w:rsid w:val="001A33C9"/>
    <w:rsid w:val="001D008A"/>
    <w:rsid w:val="002002ED"/>
    <w:rsid w:val="0022721A"/>
    <w:rsid w:val="00230BB9"/>
    <w:rsid w:val="002A11AC"/>
    <w:rsid w:val="002A6F30"/>
    <w:rsid w:val="002D7D15"/>
    <w:rsid w:val="00303FDE"/>
    <w:rsid w:val="00310290"/>
    <w:rsid w:val="003140E8"/>
    <w:rsid w:val="003231C7"/>
    <w:rsid w:val="00331ED0"/>
    <w:rsid w:val="0035495B"/>
    <w:rsid w:val="003744F5"/>
    <w:rsid w:val="00390DD8"/>
    <w:rsid w:val="00394DC6"/>
    <w:rsid w:val="00397C3E"/>
    <w:rsid w:val="003D4CCA"/>
    <w:rsid w:val="003D6416"/>
    <w:rsid w:val="003E1D48"/>
    <w:rsid w:val="00457DC7"/>
    <w:rsid w:val="00472BCC"/>
    <w:rsid w:val="004A25CD"/>
    <w:rsid w:val="004A26CC"/>
    <w:rsid w:val="004B2108"/>
    <w:rsid w:val="004B3A2B"/>
    <w:rsid w:val="004D2D1B"/>
    <w:rsid w:val="004F2DDE"/>
    <w:rsid w:val="0050097F"/>
    <w:rsid w:val="00514B1F"/>
    <w:rsid w:val="00556A10"/>
    <w:rsid w:val="005963C2"/>
    <w:rsid w:val="005B45F7"/>
    <w:rsid w:val="005B63EA"/>
    <w:rsid w:val="00660774"/>
    <w:rsid w:val="00665CC7"/>
    <w:rsid w:val="006A0BF3"/>
    <w:rsid w:val="006B0DA6"/>
    <w:rsid w:val="006C547E"/>
    <w:rsid w:val="00704C5D"/>
    <w:rsid w:val="007333DA"/>
    <w:rsid w:val="00733B6B"/>
    <w:rsid w:val="0076170F"/>
    <w:rsid w:val="0076669C"/>
    <w:rsid w:val="007865E9"/>
    <w:rsid w:val="00792383"/>
    <w:rsid w:val="007976DC"/>
    <w:rsid w:val="007D3D20"/>
    <w:rsid w:val="007E3AFD"/>
    <w:rsid w:val="007E3E55"/>
    <w:rsid w:val="00804E7A"/>
    <w:rsid w:val="00805FBB"/>
    <w:rsid w:val="008169A4"/>
    <w:rsid w:val="008278FE"/>
    <w:rsid w:val="00832598"/>
    <w:rsid w:val="0083397E"/>
    <w:rsid w:val="0083534B"/>
    <w:rsid w:val="00863A66"/>
    <w:rsid w:val="00865656"/>
    <w:rsid w:val="00874429"/>
    <w:rsid w:val="00883D9A"/>
    <w:rsid w:val="008919EF"/>
    <w:rsid w:val="008C6A5B"/>
    <w:rsid w:val="008C7682"/>
    <w:rsid w:val="008E26A5"/>
    <w:rsid w:val="008E42D2"/>
    <w:rsid w:val="009040EE"/>
    <w:rsid w:val="009057FD"/>
    <w:rsid w:val="00922A7F"/>
    <w:rsid w:val="00923A5E"/>
    <w:rsid w:val="00994100"/>
    <w:rsid w:val="009A5723"/>
    <w:rsid w:val="009D4C29"/>
    <w:rsid w:val="00A3754A"/>
    <w:rsid w:val="00A62DAB"/>
    <w:rsid w:val="00A726A6"/>
    <w:rsid w:val="00A97535"/>
    <w:rsid w:val="00AA73F1"/>
    <w:rsid w:val="00AB0E1A"/>
    <w:rsid w:val="00AB1A30"/>
    <w:rsid w:val="00AB3BBB"/>
    <w:rsid w:val="00AD1ED3"/>
    <w:rsid w:val="00B0777D"/>
    <w:rsid w:val="00B4057A"/>
    <w:rsid w:val="00B40894"/>
    <w:rsid w:val="00B45E75"/>
    <w:rsid w:val="00B50876"/>
    <w:rsid w:val="00B54E7A"/>
    <w:rsid w:val="00B55EE5"/>
    <w:rsid w:val="00B64EBD"/>
    <w:rsid w:val="00B73DE6"/>
    <w:rsid w:val="00B86EF0"/>
    <w:rsid w:val="00B930F2"/>
    <w:rsid w:val="00B97900"/>
    <w:rsid w:val="00BA44A8"/>
    <w:rsid w:val="00BF6691"/>
    <w:rsid w:val="00C028FC"/>
    <w:rsid w:val="00C3605C"/>
    <w:rsid w:val="00C66692"/>
    <w:rsid w:val="00C91123"/>
    <w:rsid w:val="00CA71FF"/>
    <w:rsid w:val="00CB5276"/>
    <w:rsid w:val="00CB68D7"/>
    <w:rsid w:val="00CC7E68"/>
    <w:rsid w:val="00CD7132"/>
    <w:rsid w:val="00D128E4"/>
    <w:rsid w:val="00D30B48"/>
    <w:rsid w:val="00D46FAA"/>
    <w:rsid w:val="00D57BB2"/>
    <w:rsid w:val="00D8560E"/>
    <w:rsid w:val="00D8758F"/>
    <w:rsid w:val="00DC1D94"/>
    <w:rsid w:val="00DE057F"/>
    <w:rsid w:val="00DE2082"/>
    <w:rsid w:val="00DE2289"/>
    <w:rsid w:val="00E04410"/>
    <w:rsid w:val="00E11351"/>
    <w:rsid w:val="00E17A2F"/>
    <w:rsid w:val="00E26FDE"/>
    <w:rsid w:val="00EA172C"/>
    <w:rsid w:val="00EA259B"/>
    <w:rsid w:val="00EA35A3"/>
    <w:rsid w:val="00EA3E6A"/>
    <w:rsid w:val="00EB18EF"/>
    <w:rsid w:val="00EE17DF"/>
    <w:rsid w:val="00EF4621"/>
    <w:rsid w:val="00F04ACF"/>
    <w:rsid w:val="00F277B6"/>
    <w:rsid w:val="00F54380"/>
    <w:rsid w:val="00F54B47"/>
    <w:rsid w:val="00FA6EFD"/>
    <w:rsid w:val="00FB74EA"/>
    <w:rsid w:val="00FD2C9E"/>
    <w:rsid w:val="00FD4786"/>
    <w:rsid w:val="00FD616C"/>
    <w:rsid w:val="00FF0A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erChar">
    <w:name w:val="Footer Char"/>
    <w:link w:val="Footer"/>
    <w:rsid w:val="00F04ACF"/>
    <w:rPr>
      <w:sz w:val="24"/>
      <w:szCs w:val="24"/>
    </w:rPr>
  </w:style>
  <w:style w:type="paragraph" w:styleId="BalloonText">
    <w:name w:val="Balloon Text"/>
    <w:basedOn w:val="Normal"/>
    <w:link w:val="BalloonTextChar"/>
    <w:rsid w:val="007333DA"/>
    <w:rPr>
      <w:rFonts w:ascii="Tahoma" w:hAnsi="Tahoma" w:cs="Tahoma"/>
      <w:sz w:val="16"/>
      <w:szCs w:val="16"/>
    </w:rPr>
  </w:style>
  <w:style w:type="character" w:customStyle="1" w:styleId="BalloonTextChar">
    <w:name w:val="Balloon Text Char"/>
    <w:basedOn w:val="DefaultParagraphFont"/>
    <w:link w:val="BalloonText"/>
    <w:rsid w:val="007333D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erChar">
    <w:name w:val="Footer Char"/>
    <w:link w:val="Footer"/>
    <w:rsid w:val="00F04ACF"/>
    <w:rPr>
      <w:sz w:val="24"/>
      <w:szCs w:val="24"/>
    </w:rPr>
  </w:style>
  <w:style w:type="paragraph" w:styleId="BalloonText">
    <w:name w:val="Balloon Text"/>
    <w:basedOn w:val="Normal"/>
    <w:link w:val="BalloonTextChar"/>
    <w:rsid w:val="007333DA"/>
    <w:rPr>
      <w:rFonts w:ascii="Tahoma" w:hAnsi="Tahoma" w:cs="Tahoma"/>
      <w:sz w:val="16"/>
      <w:szCs w:val="16"/>
    </w:rPr>
  </w:style>
  <w:style w:type="character" w:customStyle="1" w:styleId="BalloonTextChar">
    <w:name w:val="Balloon Text Char"/>
    <w:basedOn w:val="DefaultParagraphFont"/>
    <w:link w:val="BalloonText"/>
    <w:rsid w:val="007333D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microsoft.com/office/2007/relationships/stylesWithEffects" Target="stylesWithEffect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Graham,%20Edgar,%20Bris&#233;,%20Brown%20and%20Patroni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3B65EF-E0EB-46F1-A19F-ADFA5FF638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Graham, Edgar, Brisé, Brown and Patronis.dot</Template>
  <TotalTime>8</TotalTime>
  <Pages>41</Pages>
  <Words>1655</Words>
  <Characters>9167</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Florida Public Service Commission</Company>
  <LinksUpToDate>false</LinksUpToDate>
  <CharactersWithSpaces>10801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Diamond Lynn</dc:creator>
  <cp:lastModifiedBy>Christoper Cooney</cp:lastModifiedBy>
  <cp:revision>4</cp:revision>
  <cp:lastPrinted>2015-07-28T13:51:00Z</cp:lastPrinted>
  <dcterms:created xsi:type="dcterms:W3CDTF">2015-07-27T13:04:00Z</dcterms:created>
  <dcterms:modified xsi:type="dcterms:W3CDTF">2015-07-28T13:52:00Z</dcterms:modified>
</cp:coreProperties>
</file>