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560E3" w:rsidP="00683F7F">
      <w:pPr>
        <w:pStyle w:val="OrderHeading"/>
      </w:pPr>
      <w:r>
        <w:t xml:space="preserve"> </w:t>
      </w:r>
      <w:r w:rsidR="00683F7F">
        <w:t>BEFORE THE FLORIDA PUBLIC SERVICE COMMISSION</w:t>
      </w:r>
    </w:p>
    <w:p w:rsidR="00683F7F" w:rsidRDefault="00683F7F" w:rsidP="00683F7F">
      <w:pPr>
        <w:pStyle w:val="OrderHeading"/>
      </w:pPr>
    </w:p>
    <w:p w:rsidR="00683F7F" w:rsidRDefault="00683F7F" w:rsidP="00683F7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3F7F" w:rsidRPr="00C63FCF" w:rsidTr="00C560E3">
        <w:trPr>
          <w:trHeight w:val="828"/>
        </w:trPr>
        <w:tc>
          <w:tcPr>
            <w:tcW w:w="4788" w:type="dxa"/>
            <w:tcBorders>
              <w:bottom w:val="single" w:sz="8" w:space="0" w:color="auto"/>
              <w:right w:val="double" w:sz="6" w:space="0" w:color="auto"/>
            </w:tcBorders>
            <w:shd w:val="clear" w:color="auto" w:fill="auto"/>
          </w:tcPr>
          <w:p w:rsidR="00683F7F" w:rsidRDefault="00683F7F" w:rsidP="00C560E3">
            <w:pPr>
              <w:pStyle w:val="OrderBody"/>
              <w:tabs>
                <w:tab w:val="center" w:pos="4320"/>
                <w:tab w:val="right" w:pos="8640"/>
              </w:tabs>
              <w:jc w:val="left"/>
            </w:pPr>
            <w:r>
              <w:t xml:space="preserve">In re: </w:t>
            </w:r>
            <w:bookmarkStart w:id="0" w:name="SSInRe"/>
            <w:bookmarkEnd w:id="0"/>
            <w:r>
              <w:t>Petition for approval of Florida Power &amp; Light Company's demand-side management plan and request to cancel closed on call tariff sheets.</w:t>
            </w:r>
          </w:p>
        </w:tc>
        <w:tc>
          <w:tcPr>
            <w:tcW w:w="4788" w:type="dxa"/>
            <w:tcBorders>
              <w:left w:val="double" w:sz="6" w:space="0" w:color="auto"/>
            </w:tcBorders>
            <w:shd w:val="clear" w:color="auto" w:fill="auto"/>
          </w:tcPr>
          <w:p w:rsidR="00683F7F" w:rsidRDefault="00683F7F" w:rsidP="00683F7F">
            <w:pPr>
              <w:pStyle w:val="OrderBody"/>
            </w:pPr>
            <w:r>
              <w:t xml:space="preserve">DOCKET NO. </w:t>
            </w:r>
            <w:bookmarkStart w:id="1" w:name="SSDocketNo"/>
            <w:bookmarkEnd w:id="1"/>
            <w:r>
              <w:t>150085-EG</w:t>
            </w:r>
          </w:p>
          <w:p w:rsidR="00683F7F" w:rsidRDefault="00683F7F" w:rsidP="00C560E3">
            <w:pPr>
              <w:pStyle w:val="OrderBody"/>
              <w:tabs>
                <w:tab w:val="center" w:pos="4320"/>
                <w:tab w:val="right" w:pos="8640"/>
              </w:tabs>
              <w:jc w:val="left"/>
            </w:pPr>
            <w:r>
              <w:t xml:space="preserve">ORDER NO. </w:t>
            </w:r>
            <w:bookmarkStart w:id="2" w:name="OrderNo0331"/>
            <w:r w:rsidR="000C54A5">
              <w:t>PSC-15-0331-PAA-EG</w:t>
            </w:r>
            <w:bookmarkEnd w:id="2"/>
          </w:p>
          <w:p w:rsidR="00683F7F" w:rsidRDefault="00683F7F" w:rsidP="00C560E3">
            <w:pPr>
              <w:pStyle w:val="OrderBody"/>
              <w:tabs>
                <w:tab w:val="center" w:pos="4320"/>
                <w:tab w:val="right" w:pos="8640"/>
              </w:tabs>
              <w:jc w:val="left"/>
            </w:pPr>
            <w:r>
              <w:t xml:space="preserve">ISSUED: </w:t>
            </w:r>
            <w:r w:rsidR="000C54A5">
              <w:t>August 19, 2015</w:t>
            </w:r>
          </w:p>
        </w:tc>
      </w:tr>
    </w:tbl>
    <w:p w:rsidR="00683F7F" w:rsidRDefault="00683F7F" w:rsidP="00683F7F"/>
    <w:p w:rsidR="00683F7F" w:rsidRDefault="00683F7F" w:rsidP="00683F7F"/>
    <w:p w:rsidR="00683F7F" w:rsidRPr="00E46E1F" w:rsidRDefault="00683F7F">
      <w:pPr>
        <w:ind w:firstLine="720"/>
        <w:jc w:val="both"/>
      </w:pPr>
      <w:bookmarkStart w:id="3" w:name="Commissioners"/>
      <w:bookmarkEnd w:id="3"/>
      <w:r w:rsidRPr="00E46E1F">
        <w:t>The following Commissioners participated in the disposition of this matter:</w:t>
      </w:r>
    </w:p>
    <w:p w:rsidR="00683F7F" w:rsidRPr="00E46E1F" w:rsidRDefault="00683F7F"/>
    <w:p w:rsidR="00683F7F" w:rsidRDefault="00683F7F">
      <w:pPr>
        <w:jc w:val="center"/>
      </w:pPr>
      <w:r>
        <w:t>ART GRAHAM</w:t>
      </w:r>
      <w:r w:rsidRPr="00E46E1F">
        <w:t>, Chairman</w:t>
      </w:r>
    </w:p>
    <w:p w:rsidR="00683F7F" w:rsidRPr="00E46E1F" w:rsidRDefault="00683F7F">
      <w:pPr>
        <w:jc w:val="center"/>
      </w:pPr>
      <w:r w:rsidRPr="00E46E1F">
        <w:t>LISA POLAK EDGAR</w:t>
      </w:r>
    </w:p>
    <w:p w:rsidR="00683F7F" w:rsidRDefault="00683F7F">
      <w:pPr>
        <w:jc w:val="center"/>
      </w:pPr>
      <w:r>
        <w:t>RONALD A. BRISÉ</w:t>
      </w:r>
    </w:p>
    <w:p w:rsidR="00683F7F" w:rsidRDefault="00683F7F">
      <w:pPr>
        <w:jc w:val="center"/>
      </w:pPr>
      <w:r>
        <w:t>JULIE I. BROWN</w:t>
      </w:r>
    </w:p>
    <w:p w:rsidR="00683F7F" w:rsidRDefault="00683F7F">
      <w:pPr>
        <w:jc w:val="center"/>
      </w:pPr>
      <w:r>
        <w:t>JIMMY PATRONIS</w:t>
      </w:r>
    </w:p>
    <w:p w:rsidR="00CB5276" w:rsidRDefault="00CB5276">
      <w:pPr>
        <w:pStyle w:val="OrderBody"/>
      </w:pPr>
    </w:p>
    <w:p w:rsidR="00683F7F" w:rsidRDefault="00683F7F" w:rsidP="00683F7F">
      <w:pPr>
        <w:pStyle w:val="OrderBody"/>
      </w:pPr>
    </w:p>
    <w:p w:rsidR="00683F7F" w:rsidRDefault="00683F7F" w:rsidP="00683F7F">
      <w:pPr>
        <w:pStyle w:val="OrderBody"/>
      </w:pPr>
    </w:p>
    <w:bookmarkStart w:id="4" w:name="OrderText"/>
    <w:bookmarkEnd w:id="4"/>
    <w:p w:rsidR="00683F7F" w:rsidRPr="003E4B2D" w:rsidRDefault="00683F7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683F7F" w:rsidRPr="003E4B2D" w:rsidRDefault="00683F7F">
      <w:pPr>
        <w:pStyle w:val="OrderBody"/>
        <w:jc w:val="center"/>
        <w:rPr>
          <w:u w:val="single"/>
        </w:rPr>
      </w:pPr>
      <w:r w:rsidRPr="003E4B2D">
        <w:rPr>
          <w:u w:val="single"/>
        </w:rPr>
        <w:t>ORDER</w:t>
      </w:r>
      <w:bookmarkStart w:id="5" w:name="OrderTitle"/>
      <w:r w:rsidR="00C560E3">
        <w:rPr>
          <w:u w:val="single"/>
        </w:rPr>
        <w:t xml:space="preserve"> </w:t>
      </w:r>
      <w:r w:rsidR="008F3621">
        <w:rPr>
          <w:u w:val="single"/>
        </w:rPr>
        <w:t>APPROVING FLORIDA POWER &amp; LIGHT COMPANY’S DEMAND-SIDE MANAGEMENT PLA</w:t>
      </w:r>
      <w:bookmarkEnd w:id="5"/>
      <w:r w:rsidR="00827769">
        <w:rPr>
          <w:u w:val="single"/>
        </w:rPr>
        <w:t>N AND ORDER APPROVING CANCELLATION OF TARIFF</w:t>
      </w:r>
    </w:p>
    <w:p w:rsidR="00683F7F" w:rsidRPr="003E4B2D" w:rsidRDefault="00683F7F">
      <w:pPr>
        <w:pStyle w:val="OrderBody"/>
      </w:pPr>
    </w:p>
    <w:p w:rsidR="00683F7F" w:rsidRPr="003E4B2D" w:rsidRDefault="00683F7F">
      <w:pPr>
        <w:pStyle w:val="OrderBody"/>
      </w:pPr>
    </w:p>
    <w:p w:rsidR="00683F7F" w:rsidRPr="003E4B2D" w:rsidRDefault="00683F7F">
      <w:pPr>
        <w:pStyle w:val="OrderBody"/>
      </w:pPr>
      <w:r w:rsidRPr="003E4B2D">
        <w:t>BY THE COMMISSION:</w:t>
      </w:r>
    </w:p>
    <w:p w:rsidR="00683F7F" w:rsidRPr="003E4B2D" w:rsidRDefault="00683F7F">
      <w:pPr>
        <w:pStyle w:val="OrderBody"/>
      </w:pPr>
    </w:p>
    <w:p w:rsidR="00683F7F" w:rsidRDefault="00683F7F">
      <w:pPr>
        <w:pStyle w:val="OrderBody"/>
      </w:pPr>
      <w:r w:rsidRPr="003E4B2D">
        <w:tab/>
        <w:t>NOTICE is hereby given by the Florida Public Service Commission t</w:t>
      </w:r>
      <w:r w:rsidR="004138D4">
        <w:t>hat the action discussed herein</w:t>
      </w:r>
      <w:r w:rsidR="00827769">
        <w:t xml:space="preserve"> </w:t>
      </w:r>
      <w:r w:rsidRPr="003E4B2D">
        <w:t xml:space="preserve">is preliminary in nature and will become final unless a person whose interests are substantially affected files a petition for a formal proceeding, pursuant to Rule 25-22.029, </w:t>
      </w:r>
      <w:r w:rsidR="00C76125" w:rsidRPr="003E4B2D">
        <w:t>Florida Administrative Code</w:t>
      </w:r>
      <w:r w:rsidR="00C76125">
        <w:t xml:space="preserve"> (F.A.C.).</w:t>
      </w:r>
    </w:p>
    <w:p w:rsidR="00CB5276" w:rsidRDefault="00CB5276" w:rsidP="00683F7F"/>
    <w:p w:rsidR="00683F7F" w:rsidRPr="008F3621" w:rsidRDefault="00683F7F" w:rsidP="00683F7F">
      <w:pPr>
        <w:keepNext/>
        <w:spacing w:after="240"/>
        <w:jc w:val="center"/>
        <w:outlineLvl w:val="0"/>
        <w:rPr>
          <w:b/>
          <w:bCs/>
          <w:kern w:val="32"/>
          <w:szCs w:val="32"/>
          <w:u w:val="single"/>
        </w:rPr>
      </w:pPr>
      <w:bookmarkStart w:id="6" w:name="CaseBackground"/>
      <w:r w:rsidRPr="008F3621">
        <w:rPr>
          <w:b/>
          <w:bCs/>
          <w:kern w:val="32"/>
          <w:szCs w:val="32"/>
          <w:u w:val="single"/>
        </w:rPr>
        <w:t>Background</w:t>
      </w:r>
      <w:r w:rsidRPr="008F3621">
        <w:rPr>
          <w:b/>
          <w:bCs/>
          <w:kern w:val="32"/>
          <w:szCs w:val="32"/>
          <w:u w:val="single"/>
        </w:rPr>
        <w:fldChar w:fldCharType="begin"/>
      </w:r>
      <w:r w:rsidRPr="008F3621">
        <w:rPr>
          <w:b/>
          <w:bCs/>
          <w:kern w:val="32"/>
          <w:szCs w:val="32"/>
          <w:u w:val="single"/>
        </w:rPr>
        <w:instrText xml:space="preserve"> TC  "</w:instrText>
      </w:r>
      <w:r w:rsidRPr="008F3621">
        <w:rPr>
          <w:b/>
          <w:bCs/>
          <w:kern w:val="32"/>
          <w:szCs w:val="32"/>
          <w:u w:val="single"/>
        </w:rPr>
        <w:tab/>
      </w:r>
      <w:bookmarkStart w:id="7" w:name="_Toc94516455"/>
      <w:r w:rsidRPr="008F3621">
        <w:rPr>
          <w:b/>
          <w:bCs/>
          <w:kern w:val="32"/>
          <w:szCs w:val="32"/>
          <w:u w:val="single"/>
        </w:rPr>
        <w:instrText>Case Background</w:instrText>
      </w:r>
      <w:bookmarkEnd w:id="7"/>
      <w:r w:rsidRPr="008F3621">
        <w:rPr>
          <w:b/>
          <w:bCs/>
          <w:kern w:val="32"/>
          <w:szCs w:val="32"/>
          <w:u w:val="single"/>
        </w:rPr>
        <w:instrText xml:space="preserve">" \l 1 </w:instrText>
      </w:r>
      <w:r w:rsidRPr="008F3621">
        <w:rPr>
          <w:b/>
          <w:bCs/>
          <w:kern w:val="32"/>
          <w:szCs w:val="32"/>
          <w:u w:val="single"/>
        </w:rPr>
        <w:fldChar w:fldCharType="end"/>
      </w:r>
    </w:p>
    <w:p w:rsidR="00683F7F" w:rsidRPr="00683F7F" w:rsidRDefault="00683F7F" w:rsidP="008F3621">
      <w:pPr>
        <w:spacing w:after="240"/>
        <w:ind w:firstLine="720"/>
        <w:jc w:val="both"/>
      </w:pPr>
      <w:r w:rsidRPr="00683F7F">
        <w:t xml:space="preserve">By Order No. PSC-14-0696-FOF-EU, </w:t>
      </w:r>
      <w:r w:rsidR="008F3621">
        <w:t>we</w:t>
      </w:r>
      <w:r w:rsidRPr="00683F7F">
        <w:t xml:space="preserve"> established annual numeric demand-side management (DSM) goals for Florida Power &amp; Light Company (FPL) for the period 2015 through 2024.</w:t>
      </w:r>
      <w:r w:rsidRPr="00683F7F">
        <w:rPr>
          <w:vertAlign w:val="superscript"/>
        </w:rPr>
        <w:footnoteReference w:id="1"/>
      </w:r>
      <w:r w:rsidRPr="00683F7F">
        <w:t xml:space="preserve"> The DSM goals were established for both FPL’s residential and commercial/industrial customer classes for three categories: summer peak demand, winter peak demand, and annual energy consumption.</w:t>
      </w:r>
    </w:p>
    <w:p w:rsidR="00683F7F" w:rsidRPr="00683F7F" w:rsidRDefault="00683F7F" w:rsidP="008F3621">
      <w:pPr>
        <w:spacing w:after="240"/>
        <w:ind w:firstLine="720"/>
        <w:jc w:val="both"/>
      </w:pPr>
      <w:r w:rsidRPr="00683F7F">
        <w:t xml:space="preserve">Rule 25-17.0021(4), </w:t>
      </w:r>
      <w:r w:rsidR="00C76125">
        <w:t>F.A.C.</w:t>
      </w:r>
      <w:r w:rsidRPr="00683F7F">
        <w:t xml:space="preserve">, requires a utility to file DSM programs </w:t>
      </w:r>
      <w:r w:rsidR="008F3621">
        <w:t>our</w:t>
      </w:r>
      <w:r w:rsidRPr="00683F7F">
        <w:t xml:space="preserve"> approval no later than 90 days from when goals are established. On March 16, 2015, FPL filed a petition requesting approval of its DSM Plan. As part of this filing, FPL provided a cost-effectiveness analysis of the proposed programs pursuant to Rule 25-17.008, F.A.C.</w:t>
      </w:r>
    </w:p>
    <w:p w:rsidR="00683F7F" w:rsidRPr="00683F7F" w:rsidRDefault="00683F7F" w:rsidP="008F3621">
      <w:pPr>
        <w:spacing w:after="240"/>
        <w:ind w:firstLine="720"/>
        <w:jc w:val="both"/>
      </w:pPr>
      <w:r w:rsidRPr="00683F7F">
        <w:lastRenderedPageBreak/>
        <w:t>In addition to its DSM Plan, FPL also filed a request to cancel its rate schedule RSL, the Residential Load Management Program (also known as the “On Call” Program). This rate schedule has been closed to new participants since April 1, 2003, pursuant to Order No. PSC-03-0322-TRF-EG.</w:t>
      </w:r>
      <w:r w:rsidRPr="00683F7F">
        <w:rPr>
          <w:vertAlign w:val="superscript"/>
        </w:rPr>
        <w:footnoteReference w:id="2"/>
      </w:r>
      <w:r w:rsidRPr="00683F7F">
        <w:t xml:space="preserve"> FPL’s petition proposes transferring customers from the closed RSL rate class to its open Residential Load Control Program, rate schedule RLP.</w:t>
      </w:r>
    </w:p>
    <w:p w:rsidR="00683F7F" w:rsidRPr="00683F7F" w:rsidRDefault="00683F7F" w:rsidP="008F3621">
      <w:pPr>
        <w:spacing w:after="240"/>
        <w:ind w:firstLine="720"/>
        <w:jc w:val="both"/>
      </w:pPr>
      <w:r w:rsidRPr="00683F7F">
        <w:t>On May 7, 2015, the Southern Alliance for Clean Energy (SACE) petitioned to intervene.</w:t>
      </w:r>
    </w:p>
    <w:p w:rsidR="00683F7F" w:rsidRPr="00683F7F" w:rsidRDefault="008F3621" w:rsidP="008F3621">
      <w:pPr>
        <w:spacing w:after="240"/>
        <w:ind w:firstLine="720"/>
        <w:jc w:val="both"/>
      </w:pPr>
      <w:r>
        <w:t>We have</w:t>
      </w:r>
      <w:r w:rsidR="00683F7F" w:rsidRPr="00683F7F">
        <w:t xml:space="preserve"> jurisdiction over this matter pursuant to Sections 366.80 through 366.83 and 403.519, Florida Statutes (F.S.), collectively known as the Florida Energy Efficiency and Conservation Act (FEECA).</w:t>
      </w:r>
    </w:p>
    <w:p w:rsidR="00683F7F" w:rsidRPr="00683F7F" w:rsidRDefault="00683F7F" w:rsidP="00683F7F"/>
    <w:bookmarkEnd w:id="6"/>
    <w:p w:rsidR="008F3621" w:rsidRPr="008F3621" w:rsidRDefault="00C76125" w:rsidP="008F3621">
      <w:pPr>
        <w:keepNext/>
        <w:spacing w:after="240"/>
        <w:jc w:val="center"/>
        <w:outlineLvl w:val="0"/>
        <w:rPr>
          <w:b/>
          <w:bCs/>
          <w:kern w:val="32"/>
          <w:szCs w:val="32"/>
          <w:u w:val="single"/>
        </w:rPr>
      </w:pPr>
      <w:r>
        <w:rPr>
          <w:b/>
          <w:bCs/>
          <w:kern w:val="32"/>
          <w:szCs w:val="32"/>
          <w:u w:val="single"/>
        </w:rPr>
        <w:t>Decision</w:t>
      </w:r>
    </w:p>
    <w:p w:rsidR="00683F7F" w:rsidRPr="00683F7F" w:rsidRDefault="008F3621" w:rsidP="004A2EE0">
      <w:pPr>
        <w:spacing w:after="240"/>
        <w:jc w:val="both"/>
      </w:pPr>
      <w:r>
        <w:rPr>
          <w:rFonts w:ascii="Arial" w:hAnsi="Arial" w:cs="Arial"/>
          <w:b/>
          <w:bCs/>
          <w:i/>
          <w:iCs/>
          <w:szCs w:val="28"/>
        </w:rPr>
        <w:tab/>
      </w:r>
      <w:r w:rsidR="004A2EE0">
        <w:t>`</w:t>
      </w:r>
      <w:r w:rsidR="00683F7F" w:rsidRPr="00683F7F">
        <w:t>The criteria used to review the appropriateness of DSM programs are: (1) whether the program advances the policy objectives of FEECA and its implementing rules; (2) whether the program is directly monitorable and yields measurable results; and (3) whether the program is cost-effective.</w:t>
      </w:r>
      <w:r w:rsidR="00683F7F" w:rsidRPr="00683F7F">
        <w:rPr>
          <w:vertAlign w:val="superscript"/>
        </w:rPr>
        <w:footnoteReference w:id="3"/>
      </w:r>
      <w:r w:rsidR="00683F7F" w:rsidRPr="00683F7F">
        <w:t xml:space="preserve"> </w:t>
      </w:r>
    </w:p>
    <w:p w:rsidR="00683F7F" w:rsidRDefault="00683F7F" w:rsidP="00683F7F">
      <w:pPr>
        <w:jc w:val="both"/>
        <w:outlineLvl w:val="2"/>
        <w:rPr>
          <w:b/>
          <w:bCs/>
          <w:iCs/>
          <w:szCs w:val="28"/>
        </w:rPr>
      </w:pPr>
      <w:r w:rsidRPr="004A2EE0">
        <w:rPr>
          <w:b/>
          <w:bCs/>
          <w:iCs/>
          <w:szCs w:val="28"/>
        </w:rPr>
        <w:t>Description of DSM Plan</w:t>
      </w:r>
    </w:p>
    <w:p w:rsidR="004A2EE0" w:rsidRPr="004A2EE0" w:rsidRDefault="004A2EE0" w:rsidP="00683F7F">
      <w:pPr>
        <w:jc w:val="both"/>
        <w:outlineLvl w:val="2"/>
        <w:rPr>
          <w:b/>
          <w:bCs/>
          <w:iCs/>
          <w:szCs w:val="28"/>
        </w:rPr>
      </w:pPr>
    </w:p>
    <w:p w:rsidR="00683F7F" w:rsidRPr="00683F7F" w:rsidRDefault="00683F7F" w:rsidP="004A2EE0">
      <w:pPr>
        <w:spacing w:after="240"/>
        <w:ind w:firstLine="720"/>
        <w:jc w:val="both"/>
      </w:pPr>
      <w:r w:rsidRPr="00683F7F">
        <w:t>FPL’s DSM Plan consists of 22 programs. A complete list of the programs and a brief description of each can be found in Attachment A</w:t>
      </w:r>
      <w:r w:rsidR="00C76125">
        <w:t xml:space="preserve"> of this Order</w:t>
      </w:r>
      <w:r w:rsidRPr="00683F7F">
        <w:t>. Of the 22 programs, six are residential, seven commercial/industrial, two other programs (for research and development and qualifying facilities), and seven pilot programs.</w:t>
      </w:r>
    </w:p>
    <w:p w:rsidR="00683F7F" w:rsidRPr="00683F7F" w:rsidRDefault="00683F7F" w:rsidP="004A2EE0">
      <w:pPr>
        <w:spacing w:after="240"/>
        <w:ind w:firstLine="720"/>
        <w:jc w:val="both"/>
      </w:pPr>
      <w:r w:rsidRPr="00683F7F">
        <w:t>FPL has proposed to continue all of its existing programs, but modify five programs to reflect changes in rebate levels or measures offered, as illustrated in Table 1-1 below. FPL is also proposing to cancel its closed Residential On Call tariff, the precursor program for the Residential Load Management program.</w:t>
      </w:r>
    </w:p>
    <w:p w:rsidR="00683F7F" w:rsidRPr="00DB35D5" w:rsidRDefault="00683F7F" w:rsidP="00683F7F">
      <w:pPr>
        <w:keepNext/>
        <w:spacing w:before="480"/>
        <w:jc w:val="center"/>
        <w:rPr>
          <w:b/>
        </w:rPr>
      </w:pPr>
      <w:r w:rsidRPr="00DB35D5">
        <w:rPr>
          <w:b/>
        </w:rPr>
        <w:lastRenderedPageBreak/>
        <w:t xml:space="preserve">Table </w:t>
      </w:r>
      <w:r w:rsidR="00C76125">
        <w:rPr>
          <w:b/>
        </w:rPr>
        <w:t>1-1</w:t>
      </w:r>
    </w:p>
    <w:p w:rsidR="00683F7F" w:rsidRPr="00DB35D5" w:rsidRDefault="00683F7F" w:rsidP="00683F7F">
      <w:pPr>
        <w:keepNext/>
        <w:jc w:val="center"/>
        <w:rPr>
          <w:b/>
        </w:rPr>
      </w:pPr>
      <w:r w:rsidRPr="00DB35D5">
        <w:rPr>
          <w:b/>
        </w:rPr>
        <w:t>FPL DSM Plan Program Listing</w:t>
      </w:r>
    </w:p>
    <w:tbl>
      <w:tblPr>
        <w:tblStyle w:val="TableGrid"/>
        <w:tblW w:w="9576" w:type="dxa"/>
        <w:tblLook w:val="04A0" w:firstRow="1" w:lastRow="0" w:firstColumn="1" w:lastColumn="0" w:noHBand="0" w:noVBand="1"/>
      </w:tblPr>
      <w:tblGrid>
        <w:gridCol w:w="5886"/>
        <w:gridCol w:w="1230"/>
        <w:gridCol w:w="1230"/>
        <w:gridCol w:w="1230"/>
      </w:tblGrid>
      <w:tr w:rsidR="00683F7F" w:rsidRPr="00683F7F" w:rsidTr="00C560E3">
        <w:tc>
          <w:tcPr>
            <w:tcW w:w="5886" w:type="dxa"/>
            <w:vMerge w:val="restart"/>
            <w:vAlign w:val="center"/>
          </w:tcPr>
          <w:p w:rsidR="00683F7F" w:rsidRPr="00683F7F" w:rsidRDefault="00683F7F" w:rsidP="00683F7F">
            <w:pPr>
              <w:keepNext/>
              <w:jc w:val="center"/>
              <w:rPr>
                <w:b/>
              </w:rPr>
            </w:pPr>
            <w:r w:rsidRPr="00683F7F">
              <w:rPr>
                <w:b/>
              </w:rPr>
              <w:t>Program Name</w:t>
            </w:r>
          </w:p>
        </w:tc>
        <w:tc>
          <w:tcPr>
            <w:tcW w:w="3690" w:type="dxa"/>
            <w:gridSpan w:val="3"/>
            <w:vAlign w:val="center"/>
          </w:tcPr>
          <w:p w:rsidR="00683F7F" w:rsidRPr="00683F7F" w:rsidRDefault="00683F7F" w:rsidP="00683F7F">
            <w:pPr>
              <w:keepNext/>
              <w:jc w:val="center"/>
              <w:rPr>
                <w:b/>
              </w:rPr>
            </w:pPr>
            <w:r w:rsidRPr="00683F7F">
              <w:rPr>
                <w:b/>
              </w:rPr>
              <w:t>Program Status</w:t>
            </w:r>
          </w:p>
        </w:tc>
      </w:tr>
      <w:tr w:rsidR="00683F7F" w:rsidRPr="00683F7F" w:rsidTr="00C560E3">
        <w:tc>
          <w:tcPr>
            <w:tcW w:w="5886" w:type="dxa"/>
            <w:vMerge/>
            <w:vAlign w:val="center"/>
          </w:tcPr>
          <w:p w:rsidR="00683F7F" w:rsidRPr="00683F7F" w:rsidRDefault="00683F7F" w:rsidP="00683F7F">
            <w:pPr>
              <w:keepNext/>
              <w:jc w:val="center"/>
              <w:rPr>
                <w:b/>
              </w:rPr>
            </w:pPr>
          </w:p>
        </w:tc>
        <w:tc>
          <w:tcPr>
            <w:tcW w:w="1230" w:type="dxa"/>
            <w:vAlign w:val="center"/>
          </w:tcPr>
          <w:p w:rsidR="00683F7F" w:rsidRPr="00683F7F" w:rsidRDefault="00683F7F" w:rsidP="00683F7F">
            <w:pPr>
              <w:keepNext/>
              <w:jc w:val="center"/>
              <w:rPr>
                <w:b/>
              </w:rPr>
            </w:pPr>
            <w:r w:rsidRPr="00683F7F">
              <w:rPr>
                <w:b/>
              </w:rPr>
              <w:t>Existing</w:t>
            </w:r>
          </w:p>
        </w:tc>
        <w:tc>
          <w:tcPr>
            <w:tcW w:w="1230" w:type="dxa"/>
            <w:vAlign w:val="center"/>
          </w:tcPr>
          <w:p w:rsidR="00683F7F" w:rsidRPr="00683F7F" w:rsidRDefault="00683F7F" w:rsidP="00683F7F">
            <w:pPr>
              <w:keepNext/>
              <w:jc w:val="center"/>
              <w:rPr>
                <w:b/>
              </w:rPr>
            </w:pPr>
            <w:r w:rsidRPr="00683F7F">
              <w:rPr>
                <w:b/>
              </w:rPr>
              <w:t>Modified</w:t>
            </w:r>
          </w:p>
        </w:tc>
        <w:tc>
          <w:tcPr>
            <w:tcW w:w="1230" w:type="dxa"/>
            <w:vAlign w:val="center"/>
          </w:tcPr>
          <w:p w:rsidR="00683F7F" w:rsidRPr="00683F7F" w:rsidRDefault="00683F7F" w:rsidP="00683F7F">
            <w:pPr>
              <w:keepNext/>
              <w:jc w:val="center"/>
              <w:rPr>
                <w:b/>
              </w:rPr>
            </w:pPr>
            <w:r w:rsidRPr="00683F7F">
              <w:rPr>
                <w:b/>
              </w:rPr>
              <w:t>New</w:t>
            </w:r>
          </w:p>
        </w:tc>
      </w:tr>
      <w:tr w:rsidR="00683F7F" w:rsidRPr="00683F7F" w:rsidTr="00C560E3">
        <w:tc>
          <w:tcPr>
            <w:tcW w:w="9576" w:type="dxa"/>
            <w:gridSpan w:val="4"/>
          </w:tcPr>
          <w:p w:rsidR="00683F7F" w:rsidRPr="00683F7F" w:rsidRDefault="00683F7F" w:rsidP="00683F7F">
            <w:pPr>
              <w:keepNext/>
              <w:jc w:val="center"/>
              <w:rPr>
                <w:b/>
              </w:rPr>
            </w:pPr>
            <w:r w:rsidRPr="00683F7F">
              <w:rPr>
                <w:b/>
              </w:rPr>
              <w:t>Residential Programs</w:t>
            </w:r>
          </w:p>
        </w:tc>
      </w:tr>
      <w:tr w:rsidR="00683F7F" w:rsidRPr="00683F7F" w:rsidTr="00C560E3">
        <w:tc>
          <w:tcPr>
            <w:tcW w:w="5886" w:type="dxa"/>
          </w:tcPr>
          <w:p w:rsidR="00683F7F" w:rsidRPr="00683F7F" w:rsidRDefault="00683F7F" w:rsidP="00683F7F">
            <w:pPr>
              <w:keepNext/>
            </w:pPr>
            <w:r w:rsidRPr="00683F7F">
              <w:t>Residential Energy Survey</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c>
          <w:tcPr>
            <w:tcW w:w="1230" w:type="dxa"/>
          </w:tcPr>
          <w:p w:rsidR="00683F7F" w:rsidRPr="00683F7F" w:rsidRDefault="00683F7F" w:rsidP="00683F7F">
            <w:pPr>
              <w:keepNext/>
              <w:jc w:val="center"/>
            </w:pPr>
          </w:p>
        </w:tc>
      </w:tr>
      <w:tr w:rsidR="00683F7F" w:rsidRPr="00683F7F" w:rsidTr="00C560E3">
        <w:tc>
          <w:tcPr>
            <w:tcW w:w="5886" w:type="dxa"/>
            <w:vAlign w:val="bottom"/>
          </w:tcPr>
          <w:p w:rsidR="00683F7F" w:rsidRPr="00683F7F" w:rsidRDefault="00683F7F" w:rsidP="00683F7F">
            <w:pPr>
              <w:keepNext/>
            </w:pPr>
            <w:r w:rsidRPr="00683F7F">
              <w:t>Residential Load Management (On Call)</w:t>
            </w:r>
            <w:r w:rsidRPr="00683F7F">
              <w:rPr>
                <w:vertAlign w:val="superscript"/>
              </w:rPr>
              <w:footnoteReference w:id="4"/>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c>
          <w:tcPr>
            <w:tcW w:w="1230" w:type="dxa"/>
          </w:tcPr>
          <w:p w:rsidR="00683F7F" w:rsidRPr="00683F7F" w:rsidRDefault="00683F7F" w:rsidP="00683F7F">
            <w:pPr>
              <w:keepNext/>
              <w:jc w:val="center"/>
            </w:pPr>
          </w:p>
        </w:tc>
      </w:tr>
      <w:tr w:rsidR="00683F7F" w:rsidRPr="00683F7F" w:rsidTr="00C560E3">
        <w:tc>
          <w:tcPr>
            <w:tcW w:w="5886" w:type="dxa"/>
            <w:vAlign w:val="bottom"/>
          </w:tcPr>
          <w:p w:rsidR="00683F7F" w:rsidRPr="00683F7F" w:rsidRDefault="00683F7F" w:rsidP="00683F7F">
            <w:pPr>
              <w:keepNext/>
            </w:pPr>
            <w:r w:rsidRPr="00683F7F">
              <w:t>Residential Air Conditioning</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r>
      <w:tr w:rsidR="00683F7F" w:rsidRPr="00683F7F" w:rsidTr="00C560E3">
        <w:tc>
          <w:tcPr>
            <w:tcW w:w="5886" w:type="dxa"/>
            <w:vAlign w:val="bottom"/>
          </w:tcPr>
          <w:p w:rsidR="00683F7F" w:rsidRPr="00683F7F" w:rsidRDefault="00683F7F" w:rsidP="00683F7F">
            <w:pPr>
              <w:keepNext/>
            </w:pPr>
            <w:r w:rsidRPr="00683F7F">
              <w:t>Residential New Construction (BuildSmart)</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c>
          <w:tcPr>
            <w:tcW w:w="1230" w:type="dxa"/>
          </w:tcPr>
          <w:p w:rsidR="00683F7F" w:rsidRPr="00683F7F" w:rsidRDefault="00683F7F" w:rsidP="00683F7F">
            <w:pPr>
              <w:keepNext/>
              <w:jc w:val="center"/>
            </w:pPr>
          </w:p>
        </w:tc>
      </w:tr>
      <w:tr w:rsidR="00683F7F" w:rsidRPr="00683F7F" w:rsidTr="00C560E3">
        <w:tc>
          <w:tcPr>
            <w:tcW w:w="5886" w:type="dxa"/>
            <w:vAlign w:val="bottom"/>
          </w:tcPr>
          <w:p w:rsidR="00683F7F" w:rsidRPr="00683F7F" w:rsidRDefault="00683F7F" w:rsidP="00683F7F">
            <w:pPr>
              <w:keepNext/>
            </w:pPr>
            <w:r w:rsidRPr="00683F7F">
              <w:t>Residential Ceiling Insulation</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r>
      <w:tr w:rsidR="00683F7F" w:rsidRPr="00683F7F" w:rsidTr="00C560E3">
        <w:tc>
          <w:tcPr>
            <w:tcW w:w="5886" w:type="dxa"/>
            <w:vAlign w:val="bottom"/>
          </w:tcPr>
          <w:p w:rsidR="00683F7F" w:rsidRPr="00683F7F" w:rsidRDefault="00683F7F" w:rsidP="00683F7F">
            <w:pPr>
              <w:keepNext/>
            </w:pPr>
            <w:r w:rsidRPr="00683F7F">
              <w:t>Residential Low Income</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r>
      <w:tr w:rsidR="00683F7F" w:rsidRPr="00683F7F" w:rsidTr="00C560E3">
        <w:tc>
          <w:tcPr>
            <w:tcW w:w="9576" w:type="dxa"/>
            <w:gridSpan w:val="4"/>
          </w:tcPr>
          <w:p w:rsidR="00683F7F" w:rsidRPr="00683F7F" w:rsidRDefault="00683F7F" w:rsidP="00683F7F">
            <w:pPr>
              <w:keepNext/>
              <w:jc w:val="center"/>
              <w:rPr>
                <w:b/>
              </w:rPr>
            </w:pPr>
            <w:r w:rsidRPr="00683F7F">
              <w:rPr>
                <w:b/>
              </w:rPr>
              <w:t>Commercial/Industrial Programs</w:t>
            </w:r>
          </w:p>
        </w:tc>
      </w:tr>
      <w:tr w:rsidR="00683F7F" w:rsidRPr="00683F7F" w:rsidTr="00C560E3">
        <w:tc>
          <w:tcPr>
            <w:tcW w:w="5886" w:type="dxa"/>
          </w:tcPr>
          <w:p w:rsidR="00683F7F" w:rsidRPr="00683F7F" w:rsidRDefault="00683F7F" w:rsidP="00683F7F">
            <w:pPr>
              <w:keepNext/>
            </w:pPr>
            <w:r w:rsidRPr="00683F7F">
              <w:t>Business Energy Evaluation</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c>
          <w:tcPr>
            <w:tcW w:w="1230" w:type="dxa"/>
          </w:tcPr>
          <w:p w:rsidR="00683F7F" w:rsidRPr="00683F7F" w:rsidRDefault="00683F7F" w:rsidP="00683F7F">
            <w:pPr>
              <w:keepNext/>
              <w:jc w:val="center"/>
            </w:pPr>
          </w:p>
        </w:tc>
      </w:tr>
      <w:tr w:rsidR="00683F7F" w:rsidRPr="00683F7F" w:rsidTr="00C560E3">
        <w:tc>
          <w:tcPr>
            <w:tcW w:w="5886" w:type="dxa"/>
          </w:tcPr>
          <w:p w:rsidR="00683F7F" w:rsidRPr="00683F7F" w:rsidRDefault="00683F7F" w:rsidP="00683F7F">
            <w:pPr>
              <w:keepNext/>
            </w:pPr>
            <w:r w:rsidRPr="00683F7F">
              <w:t>Business On Call</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c>
          <w:tcPr>
            <w:tcW w:w="1230" w:type="dxa"/>
          </w:tcPr>
          <w:p w:rsidR="00683F7F" w:rsidRPr="00683F7F" w:rsidRDefault="00683F7F" w:rsidP="00683F7F">
            <w:pPr>
              <w:keepNext/>
              <w:jc w:val="center"/>
            </w:pPr>
          </w:p>
        </w:tc>
      </w:tr>
      <w:tr w:rsidR="00683F7F" w:rsidRPr="00683F7F" w:rsidTr="00C560E3">
        <w:tc>
          <w:tcPr>
            <w:tcW w:w="5886" w:type="dxa"/>
          </w:tcPr>
          <w:p w:rsidR="00683F7F" w:rsidRPr="00683F7F" w:rsidRDefault="00683F7F" w:rsidP="00683F7F">
            <w:pPr>
              <w:keepNext/>
            </w:pPr>
            <w:r w:rsidRPr="00683F7F">
              <w:t>Commercial/Industrial Demand Reduction</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c>
          <w:tcPr>
            <w:tcW w:w="1230" w:type="dxa"/>
          </w:tcPr>
          <w:p w:rsidR="00683F7F" w:rsidRPr="00683F7F" w:rsidRDefault="00683F7F" w:rsidP="00683F7F">
            <w:pPr>
              <w:keepNext/>
              <w:jc w:val="center"/>
            </w:pPr>
          </w:p>
        </w:tc>
      </w:tr>
      <w:tr w:rsidR="00683F7F" w:rsidRPr="00683F7F" w:rsidTr="00C560E3">
        <w:tc>
          <w:tcPr>
            <w:tcW w:w="5886" w:type="dxa"/>
          </w:tcPr>
          <w:p w:rsidR="00683F7F" w:rsidRPr="00683F7F" w:rsidRDefault="00683F7F" w:rsidP="00683F7F">
            <w:pPr>
              <w:keepNext/>
            </w:pPr>
            <w:r w:rsidRPr="00683F7F">
              <w:t>Commercial/Industrial Load Control</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c>
          <w:tcPr>
            <w:tcW w:w="1230" w:type="dxa"/>
          </w:tcPr>
          <w:p w:rsidR="00683F7F" w:rsidRPr="00683F7F" w:rsidRDefault="00683F7F" w:rsidP="00683F7F">
            <w:pPr>
              <w:keepNext/>
              <w:jc w:val="center"/>
            </w:pPr>
          </w:p>
        </w:tc>
      </w:tr>
      <w:tr w:rsidR="00683F7F" w:rsidRPr="00683F7F" w:rsidTr="00C560E3">
        <w:tc>
          <w:tcPr>
            <w:tcW w:w="5886" w:type="dxa"/>
          </w:tcPr>
          <w:p w:rsidR="00683F7F" w:rsidRPr="00683F7F" w:rsidRDefault="00683F7F" w:rsidP="00683F7F">
            <w:pPr>
              <w:keepNext/>
            </w:pPr>
            <w:r w:rsidRPr="00683F7F">
              <w:t>Business Heating, Ventilating, &amp; Air Conditioning (HVAC)</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r>
      <w:tr w:rsidR="00683F7F" w:rsidRPr="00683F7F" w:rsidTr="00C560E3">
        <w:tc>
          <w:tcPr>
            <w:tcW w:w="5886" w:type="dxa"/>
          </w:tcPr>
          <w:p w:rsidR="00683F7F" w:rsidRPr="00683F7F" w:rsidRDefault="00683F7F" w:rsidP="00683F7F">
            <w:pPr>
              <w:keepNext/>
            </w:pPr>
            <w:r w:rsidRPr="00683F7F">
              <w:t>Business Lighting</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r>
      <w:tr w:rsidR="00683F7F" w:rsidRPr="00683F7F" w:rsidTr="00C560E3">
        <w:tc>
          <w:tcPr>
            <w:tcW w:w="5886" w:type="dxa"/>
          </w:tcPr>
          <w:p w:rsidR="00683F7F" w:rsidRPr="00683F7F" w:rsidRDefault="00683F7F" w:rsidP="00683F7F">
            <w:pPr>
              <w:keepNext/>
            </w:pPr>
            <w:r w:rsidRPr="00683F7F">
              <w:t>Business Custom Incentive</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c>
          <w:tcPr>
            <w:tcW w:w="1230" w:type="dxa"/>
          </w:tcPr>
          <w:p w:rsidR="00683F7F" w:rsidRPr="00683F7F" w:rsidRDefault="00683F7F" w:rsidP="00683F7F">
            <w:pPr>
              <w:keepNext/>
              <w:jc w:val="center"/>
            </w:pPr>
          </w:p>
        </w:tc>
      </w:tr>
      <w:tr w:rsidR="00683F7F" w:rsidRPr="00683F7F" w:rsidTr="00C560E3">
        <w:tc>
          <w:tcPr>
            <w:tcW w:w="9576" w:type="dxa"/>
            <w:gridSpan w:val="4"/>
          </w:tcPr>
          <w:p w:rsidR="00683F7F" w:rsidRPr="00683F7F" w:rsidRDefault="00683F7F" w:rsidP="00683F7F">
            <w:pPr>
              <w:keepNext/>
              <w:jc w:val="center"/>
              <w:rPr>
                <w:b/>
              </w:rPr>
            </w:pPr>
            <w:r w:rsidRPr="00683F7F">
              <w:rPr>
                <w:b/>
              </w:rPr>
              <w:t>Other Programs</w:t>
            </w:r>
          </w:p>
        </w:tc>
      </w:tr>
      <w:tr w:rsidR="00683F7F" w:rsidRPr="00683F7F" w:rsidTr="00C560E3">
        <w:tc>
          <w:tcPr>
            <w:tcW w:w="5886" w:type="dxa"/>
          </w:tcPr>
          <w:p w:rsidR="00683F7F" w:rsidRPr="00683F7F" w:rsidRDefault="00683F7F" w:rsidP="00683F7F">
            <w:pPr>
              <w:keepNext/>
            </w:pPr>
            <w:r w:rsidRPr="00683F7F">
              <w:t>Cogeneration &amp; Small Power Production</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c>
          <w:tcPr>
            <w:tcW w:w="1230" w:type="dxa"/>
          </w:tcPr>
          <w:p w:rsidR="00683F7F" w:rsidRPr="00683F7F" w:rsidRDefault="00683F7F" w:rsidP="00683F7F">
            <w:pPr>
              <w:keepNext/>
              <w:jc w:val="center"/>
            </w:pPr>
          </w:p>
        </w:tc>
      </w:tr>
      <w:tr w:rsidR="00683F7F" w:rsidRPr="00683F7F" w:rsidTr="00C560E3">
        <w:tc>
          <w:tcPr>
            <w:tcW w:w="5886" w:type="dxa"/>
          </w:tcPr>
          <w:p w:rsidR="00683F7F" w:rsidRPr="00683F7F" w:rsidRDefault="00683F7F" w:rsidP="00683F7F">
            <w:pPr>
              <w:keepNext/>
            </w:pPr>
            <w:r w:rsidRPr="00683F7F">
              <w:t>Conservation Research &amp; Development</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c>
          <w:tcPr>
            <w:tcW w:w="1230" w:type="dxa"/>
          </w:tcPr>
          <w:p w:rsidR="00683F7F" w:rsidRPr="00683F7F" w:rsidRDefault="00683F7F" w:rsidP="00683F7F">
            <w:pPr>
              <w:keepNext/>
              <w:jc w:val="center"/>
            </w:pPr>
          </w:p>
        </w:tc>
      </w:tr>
      <w:tr w:rsidR="00683F7F" w:rsidRPr="00683F7F" w:rsidTr="00C560E3">
        <w:tc>
          <w:tcPr>
            <w:tcW w:w="9576" w:type="dxa"/>
            <w:gridSpan w:val="4"/>
          </w:tcPr>
          <w:p w:rsidR="00683F7F" w:rsidRPr="00683F7F" w:rsidRDefault="00683F7F" w:rsidP="00683F7F">
            <w:pPr>
              <w:keepNext/>
              <w:jc w:val="center"/>
              <w:rPr>
                <w:b/>
              </w:rPr>
            </w:pPr>
            <w:r w:rsidRPr="00683F7F">
              <w:rPr>
                <w:b/>
              </w:rPr>
              <w:t>Pilot Programs</w:t>
            </w:r>
            <w:r w:rsidRPr="00683F7F">
              <w:rPr>
                <w:b/>
                <w:vertAlign w:val="superscript"/>
              </w:rPr>
              <w:footnoteReference w:id="5"/>
            </w:r>
          </w:p>
        </w:tc>
      </w:tr>
      <w:tr w:rsidR="00683F7F" w:rsidRPr="00683F7F" w:rsidTr="00C560E3">
        <w:tc>
          <w:tcPr>
            <w:tcW w:w="5886" w:type="dxa"/>
          </w:tcPr>
          <w:p w:rsidR="00683F7F" w:rsidRPr="00683F7F" w:rsidRDefault="00683F7F" w:rsidP="00683F7F">
            <w:pPr>
              <w:keepNext/>
            </w:pPr>
            <w:r w:rsidRPr="00683F7F">
              <w:t>Residential Photovoltaic</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c>
          <w:tcPr>
            <w:tcW w:w="1230" w:type="dxa"/>
          </w:tcPr>
          <w:p w:rsidR="00683F7F" w:rsidRPr="00683F7F" w:rsidRDefault="00683F7F" w:rsidP="00683F7F">
            <w:pPr>
              <w:keepNext/>
              <w:jc w:val="center"/>
            </w:pPr>
          </w:p>
        </w:tc>
      </w:tr>
      <w:tr w:rsidR="00683F7F" w:rsidRPr="00683F7F" w:rsidTr="00C560E3">
        <w:tc>
          <w:tcPr>
            <w:tcW w:w="5886" w:type="dxa"/>
          </w:tcPr>
          <w:p w:rsidR="00683F7F" w:rsidRPr="00683F7F" w:rsidRDefault="00683F7F" w:rsidP="00683F7F">
            <w:pPr>
              <w:keepNext/>
            </w:pPr>
            <w:r w:rsidRPr="00683F7F">
              <w:t>Business Photovoltaic</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c>
          <w:tcPr>
            <w:tcW w:w="1230" w:type="dxa"/>
          </w:tcPr>
          <w:p w:rsidR="00683F7F" w:rsidRPr="00683F7F" w:rsidRDefault="00683F7F" w:rsidP="00683F7F">
            <w:pPr>
              <w:keepNext/>
              <w:jc w:val="center"/>
            </w:pPr>
          </w:p>
        </w:tc>
      </w:tr>
      <w:tr w:rsidR="00683F7F" w:rsidRPr="00683F7F" w:rsidTr="00C560E3">
        <w:tc>
          <w:tcPr>
            <w:tcW w:w="5886" w:type="dxa"/>
          </w:tcPr>
          <w:p w:rsidR="00683F7F" w:rsidRPr="00683F7F" w:rsidRDefault="00683F7F" w:rsidP="00683F7F">
            <w:pPr>
              <w:keepNext/>
            </w:pPr>
            <w:r w:rsidRPr="00683F7F">
              <w:t>Business Photovoltaic for Schools</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c>
          <w:tcPr>
            <w:tcW w:w="1230" w:type="dxa"/>
          </w:tcPr>
          <w:p w:rsidR="00683F7F" w:rsidRPr="00683F7F" w:rsidRDefault="00683F7F" w:rsidP="00683F7F">
            <w:pPr>
              <w:keepNext/>
              <w:jc w:val="center"/>
            </w:pPr>
          </w:p>
        </w:tc>
      </w:tr>
      <w:tr w:rsidR="00683F7F" w:rsidRPr="00683F7F" w:rsidTr="00C560E3">
        <w:tc>
          <w:tcPr>
            <w:tcW w:w="5886" w:type="dxa"/>
          </w:tcPr>
          <w:p w:rsidR="00683F7F" w:rsidRPr="00683F7F" w:rsidRDefault="00683F7F" w:rsidP="00683F7F">
            <w:pPr>
              <w:keepNext/>
            </w:pPr>
            <w:r w:rsidRPr="00683F7F">
              <w:t>Residential Solar Water Heating</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c>
          <w:tcPr>
            <w:tcW w:w="1230" w:type="dxa"/>
          </w:tcPr>
          <w:p w:rsidR="00683F7F" w:rsidRPr="00683F7F" w:rsidRDefault="00683F7F" w:rsidP="00683F7F">
            <w:pPr>
              <w:keepNext/>
              <w:jc w:val="center"/>
            </w:pPr>
          </w:p>
        </w:tc>
      </w:tr>
      <w:tr w:rsidR="00683F7F" w:rsidRPr="00683F7F" w:rsidTr="00C560E3">
        <w:tc>
          <w:tcPr>
            <w:tcW w:w="5886" w:type="dxa"/>
          </w:tcPr>
          <w:p w:rsidR="00683F7F" w:rsidRPr="00683F7F" w:rsidRDefault="00683F7F" w:rsidP="00683F7F">
            <w:pPr>
              <w:keepNext/>
            </w:pPr>
            <w:r w:rsidRPr="00683F7F">
              <w:t>Residential Solar Water Heating for Low Income</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c>
          <w:tcPr>
            <w:tcW w:w="1230" w:type="dxa"/>
          </w:tcPr>
          <w:p w:rsidR="00683F7F" w:rsidRPr="00683F7F" w:rsidRDefault="00683F7F" w:rsidP="00683F7F">
            <w:pPr>
              <w:keepNext/>
              <w:jc w:val="center"/>
            </w:pPr>
          </w:p>
        </w:tc>
      </w:tr>
      <w:tr w:rsidR="00683F7F" w:rsidRPr="00683F7F" w:rsidTr="00C560E3">
        <w:tc>
          <w:tcPr>
            <w:tcW w:w="5886" w:type="dxa"/>
          </w:tcPr>
          <w:p w:rsidR="00683F7F" w:rsidRPr="00683F7F" w:rsidRDefault="00683F7F" w:rsidP="00683F7F">
            <w:pPr>
              <w:keepNext/>
            </w:pPr>
            <w:r w:rsidRPr="00683F7F">
              <w:t>Business Solar Water Heating</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c>
          <w:tcPr>
            <w:tcW w:w="1230" w:type="dxa"/>
          </w:tcPr>
          <w:p w:rsidR="00683F7F" w:rsidRPr="00683F7F" w:rsidRDefault="00683F7F" w:rsidP="00683F7F">
            <w:pPr>
              <w:keepNext/>
              <w:jc w:val="center"/>
            </w:pPr>
          </w:p>
        </w:tc>
      </w:tr>
      <w:tr w:rsidR="00683F7F" w:rsidRPr="00683F7F" w:rsidTr="00C560E3">
        <w:tc>
          <w:tcPr>
            <w:tcW w:w="5886" w:type="dxa"/>
          </w:tcPr>
          <w:p w:rsidR="00683F7F" w:rsidRPr="00683F7F" w:rsidRDefault="00683F7F" w:rsidP="00683F7F">
            <w:pPr>
              <w:keepNext/>
            </w:pPr>
            <w:r w:rsidRPr="00683F7F">
              <w:t>Renewable Research &amp; Demonstration</w:t>
            </w:r>
          </w:p>
        </w:tc>
        <w:tc>
          <w:tcPr>
            <w:tcW w:w="1230" w:type="dxa"/>
          </w:tcPr>
          <w:p w:rsidR="00683F7F" w:rsidRPr="00683F7F" w:rsidRDefault="00683F7F" w:rsidP="00683F7F">
            <w:pPr>
              <w:keepNext/>
              <w:jc w:val="center"/>
            </w:pPr>
            <w:r w:rsidRPr="00683F7F">
              <w:t>X</w:t>
            </w:r>
          </w:p>
        </w:tc>
        <w:tc>
          <w:tcPr>
            <w:tcW w:w="1230" w:type="dxa"/>
          </w:tcPr>
          <w:p w:rsidR="00683F7F" w:rsidRPr="00683F7F" w:rsidRDefault="00683F7F" w:rsidP="00683F7F">
            <w:pPr>
              <w:keepNext/>
              <w:jc w:val="center"/>
            </w:pPr>
          </w:p>
        </w:tc>
        <w:tc>
          <w:tcPr>
            <w:tcW w:w="1230" w:type="dxa"/>
          </w:tcPr>
          <w:p w:rsidR="00683F7F" w:rsidRPr="00683F7F" w:rsidRDefault="00683F7F" w:rsidP="00683F7F">
            <w:pPr>
              <w:keepNext/>
              <w:jc w:val="center"/>
            </w:pPr>
          </w:p>
        </w:tc>
      </w:tr>
    </w:tbl>
    <w:p w:rsidR="00683F7F" w:rsidRPr="00683F7F" w:rsidRDefault="00683F7F" w:rsidP="00683F7F">
      <w:pPr>
        <w:spacing w:after="480"/>
        <w:jc w:val="both"/>
      </w:pPr>
      <w:r w:rsidRPr="00683F7F">
        <w:t>Source: FPL DSM Plan Filing</w:t>
      </w:r>
    </w:p>
    <w:p w:rsidR="00683F7F" w:rsidRPr="00683F7F" w:rsidRDefault="00683F7F" w:rsidP="001D0F1A">
      <w:pPr>
        <w:spacing w:after="240"/>
        <w:ind w:firstLine="720"/>
        <w:jc w:val="both"/>
      </w:pPr>
      <w:r w:rsidRPr="00683F7F">
        <w:t xml:space="preserve">Of FPL’s proposed continuation of six residential programs, three are modified. The Residential Air Conditioning program features lower rebates and would only be provided for units with a SEER greater than recent federal energy efficiency minimum requirements. Also, some residential building classifications, such as multi-family, and mobile homes, are no longer eligible to participate. The Residential Building Envelope program would be more limited in scope and renamed the Residential Ceiling Insulation program, eliminating measures associated </w:t>
      </w:r>
      <w:r w:rsidRPr="00683F7F">
        <w:lastRenderedPageBreak/>
        <w:t>with reflective roofs. Moreover, the Residential Low Income program would be expanded, including additional measures reducing water usage and duct system repair, while discontinuing room air conditioner replacements.</w:t>
      </w:r>
    </w:p>
    <w:p w:rsidR="00683F7F" w:rsidRPr="00683F7F" w:rsidRDefault="00683F7F" w:rsidP="00DB35D5">
      <w:pPr>
        <w:spacing w:after="240"/>
        <w:ind w:firstLine="720"/>
        <w:jc w:val="both"/>
      </w:pPr>
      <w:r w:rsidRPr="00683F7F">
        <w:t>For FPL’s commercial/industrial programs, the Business Heating, Ventilation, and Air Conditioning (HVAC) program would discontinue its rebates for electronically controlled motors, while the Business Lighting Program would add an LED lighting measure. Rebate levels for both programs would be revised to reflect the current cost-effectiveness analysis.</w:t>
      </w:r>
    </w:p>
    <w:p w:rsidR="00683F7F" w:rsidRDefault="00683F7F" w:rsidP="00DB35D5">
      <w:pPr>
        <w:jc w:val="both"/>
        <w:outlineLvl w:val="3"/>
        <w:rPr>
          <w:b/>
          <w:bCs/>
          <w:i/>
          <w:iCs/>
          <w:szCs w:val="28"/>
        </w:rPr>
      </w:pPr>
      <w:r w:rsidRPr="00DB35D5">
        <w:rPr>
          <w:b/>
          <w:bCs/>
          <w:i/>
          <w:iCs/>
          <w:szCs w:val="28"/>
        </w:rPr>
        <w:t>Audit Programs</w:t>
      </w:r>
    </w:p>
    <w:p w:rsidR="00DB35D5" w:rsidRPr="00DB35D5" w:rsidRDefault="00DB35D5" w:rsidP="00DB35D5">
      <w:pPr>
        <w:jc w:val="both"/>
        <w:outlineLvl w:val="3"/>
        <w:rPr>
          <w:b/>
          <w:bCs/>
          <w:i/>
          <w:iCs/>
          <w:szCs w:val="28"/>
        </w:rPr>
      </w:pPr>
    </w:p>
    <w:p w:rsidR="00683F7F" w:rsidRPr="00683F7F" w:rsidRDefault="00683F7F" w:rsidP="00DB35D5">
      <w:pPr>
        <w:spacing w:after="240"/>
        <w:ind w:firstLine="720"/>
        <w:jc w:val="both"/>
      </w:pPr>
      <w:r w:rsidRPr="00683F7F">
        <w:t>In accordance with Rule 25-17.003, F.A.C., FPL will continue to offer energy audits for each sector, residential and commercial/industrial. The Residential Energy Survey and Business Energy Evaluation programs have no savings attributed to them, but are generally required for participation in other DSM programs. Both audit programs are free to the participant, and potentially identify ways for participants to reduce bills through free or low cost measures.</w:t>
      </w:r>
    </w:p>
    <w:p w:rsidR="00683F7F" w:rsidRDefault="00683F7F" w:rsidP="00DB35D5">
      <w:pPr>
        <w:jc w:val="both"/>
        <w:outlineLvl w:val="3"/>
        <w:rPr>
          <w:b/>
          <w:bCs/>
          <w:i/>
          <w:iCs/>
          <w:szCs w:val="28"/>
        </w:rPr>
      </w:pPr>
      <w:r w:rsidRPr="00DB35D5">
        <w:rPr>
          <w:b/>
          <w:bCs/>
          <w:i/>
          <w:iCs/>
          <w:szCs w:val="28"/>
        </w:rPr>
        <w:t>Comparison of DSM Plans to Goals</w:t>
      </w:r>
    </w:p>
    <w:p w:rsidR="00DB35D5" w:rsidRPr="00DB35D5" w:rsidRDefault="00DB35D5" w:rsidP="00DB35D5">
      <w:pPr>
        <w:jc w:val="both"/>
        <w:outlineLvl w:val="3"/>
        <w:rPr>
          <w:b/>
          <w:bCs/>
          <w:i/>
          <w:iCs/>
          <w:szCs w:val="28"/>
        </w:rPr>
      </w:pPr>
    </w:p>
    <w:p w:rsidR="00683F7F" w:rsidRPr="00683F7F" w:rsidRDefault="00683F7F" w:rsidP="00DB35D5">
      <w:pPr>
        <w:spacing w:after="240"/>
        <w:ind w:firstLine="720"/>
        <w:jc w:val="both"/>
      </w:pPr>
      <w:r w:rsidRPr="00683F7F">
        <w:t>Based upon FPL’s filings</w:t>
      </w:r>
      <w:r w:rsidR="00C76125">
        <w:t>, we find that FPL’s</w:t>
      </w:r>
      <w:r w:rsidRPr="00683F7F">
        <w:t xml:space="preserve"> DSM Plan meets or exceeds each of the established goals. The company’s Proposed DSM Plan’s projected savings for each goal and </w:t>
      </w:r>
      <w:r w:rsidR="00DB35D5">
        <w:t>our</w:t>
      </w:r>
      <w:r w:rsidRPr="00683F7F">
        <w:t xml:space="preserve"> established goals are summarized in Table 1-2 and Table 1-3 below.</w:t>
      </w:r>
    </w:p>
    <w:p w:rsidR="00683F7F" w:rsidRPr="00DB35D5" w:rsidRDefault="00683F7F" w:rsidP="00683F7F">
      <w:pPr>
        <w:keepNext/>
        <w:spacing w:before="480"/>
        <w:jc w:val="center"/>
        <w:rPr>
          <w:b/>
        </w:rPr>
      </w:pPr>
      <w:r w:rsidRPr="00DB35D5">
        <w:rPr>
          <w:b/>
        </w:rPr>
        <w:t xml:space="preserve">Table </w:t>
      </w:r>
      <w:r w:rsidR="00447E61">
        <w:rPr>
          <w:b/>
        </w:rPr>
        <w:t>1-2</w:t>
      </w:r>
    </w:p>
    <w:p w:rsidR="00683F7F" w:rsidRPr="00DB35D5" w:rsidRDefault="00683F7F" w:rsidP="00683F7F">
      <w:pPr>
        <w:keepNext/>
        <w:jc w:val="center"/>
        <w:rPr>
          <w:b/>
        </w:rPr>
      </w:pPr>
      <w:r w:rsidRPr="00DB35D5">
        <w:rPr>
          <w:b/>
        </w:rPr>
        <w:t>FPL Residential Sector Goals vs. DSM Plan</w:t>
      </w:r>
    </w:p>
    <w:tbl>
      <w:tblPr>
        <w:tblStyle w:val="TableGrid"/>
        <w:tblW w:w="0" w:type="auto"/>
        <w:jc w:val="center"/>
        <w:tblLook w:val="04A0" w:firstRow="1" w:lastRow="0" w:firstColumn="1" w:lastColumn="0" w:noHBand="0" w:noVBand="1"/>
      </w:tblPr>
      <w:tblGrid>
        <w:gridCol w:w="939"/>
        <w:gridCol w:w="1272"/>
        <w:gridCol w:w="867"/>
        <w:gridCol w:w="919"/>
        <w:gridCol w:w="917"/>
        <w:gridCol w:w="920"/>
        <w:gridCol w:w="918"/>
      </w:tblGrid>
      <w:tr w:rsidR="00683F7F" w:rsidRPr="00683F7F" w:rsidTr="00C560E3">
        <w:trPr>
          <w:jc w:val="center"/>
        </w:trPr>
        <w:tc>
          <w:tcPr>
            <w:tcW w:w="939" w:type="dxa"/>
            <w:vMerge w:val="restart"/>
            <w:vAlign w:val="center"/>
          </w:tcPr>
          <w:p w:rsidR="00683F7F" w:rsidRPr="00683F7F" w:rsidRDefault="00683F7F" w:rsidP="00683F7F">
            <w:pPr>
              <w:keepNext/>
              <w:jc w:val="center"/>
              <w:rPr>
                <w:b/>
              </w:rPr>
            </w:pPr>
            <w:r w:rsidRPr="00683F7F">
              <w:rPr>
                <w:b/>
              </w:rPr>
              <w:t>Year</w:t>
            </w:r>
          </w:p>
        </w:tc>
        <w:tc>
          <w:tcPr>
            <w:tcW w:w="2139" w:type="dxa"/>
            <w:gridSpan w:val="2"/>
            <w:vAlign w:val="center"/>
          </w:tcPr>
          <w:p w:rsidR="00683F7F" w:rsidRPr="00683F7F" w:rsidRDefault="00683F7F" w:rsidP="00683F7F">
            <w:pPr>
              <w:keepNext/>
              <w:jc w:val="center"/>
              <w:rPr>
                <w:b/>
              </w:rPr>
            </w:pPr>
            <w:r w:rsidRPr="00683F7F">
              <w:rPr>
                <w:b/>
              </w:rPr>
              <w:t>Summer (MW)</w:t>
            </w:r>
          </w:p>
        </w:tc>
        <w:tc>
          <w:tcPr>
            <w:tcW w:w="1836" w:type="dxa"/>
            <w:gridSpan w:val="2"/>
            <w:vAlign w:val="center"/>
          </w:tcPr>
          <w:p w:rsidR="00683F7F" w:rsidRPr="00683F7F" w:rsidRDefault="00683F7F" w:rsidP="00683F7F">
            <w:pPr>
              <w:keepNext/>
              <w:jc w:val="center"/>
              <w:rPr>
                <w:b/>
              </w:rPr>
            </w:pPr>
            <w:r w:rsidRPr="00683F7F">
              <w:rPr>
                <w:b/>
              </w:rPr>
              <w:t>Winter (MW)</w:t>
            </w:r>
          </w:p>
        </w:tc>
        <w:tc>
          <w:tcPr>
            <w:tcW w:w="1838" w:type="dxa"/>
            <w:gridSpan w:val="2"/>
            <w:vAlign w:val="center"/>
          </w:tcPr>
          <w:p w:rsidR="00683F7F" w:rsidRPr="00683F7F" w:rsidRDefault="00683F7F" w:rsidP="00683F7F">
            <w:pPr>
              <w:keepNext/>
              <w:jc w:val="center"/>
              <w:rPr>
                <w:b/>
              </w:rPr>
            </w:pPr>
            <w:r w:rsidRPr="00683F7F">
              <w:rPr>
                <w:b/>
              </w:rPr>
              <w:t>Annual Energy (GWh)</w:t>
            </w:r>
          </w:p>
        </w:tc>
      </w:tr>
      <w:tr w:rsidR="00683F7F" w:rsidRPr="00683F7F" w:rsidTr="00C560E3">
        <w:trPr>
          <w:jc w:val="center"/>
        </w:trPr>
        <w:tc>
          <w:tcPr>
            <w:tcW w:w="939" w:type="dxa"/>
            <w:vMerge/>
            <w:vAlign w:val="center"/>
          </w:tcPr>
          <w:p w:rsidR="00683F7F" w:rsidRPr="00683F7F" w:rsidRDefault="00683F7F" w:rsidP="00683F7F">
            <w:pPr>
              <w:keepNext/>
              <w:jc w:val="center"/>
            </w:pPr>
          </w:p>
        </w:tc>
        <w:tc>
          <w:tcPr>
            <w:tcW w:w="1272" w:type="dxa"/>
            <w:vAlign w:val="center"/>
          </w:tcPr>
          <w:p w:rsidR="00683F7F" w:rsidRPr="00683F7F" w:rsidRDefault="00683F7F" w:rsidP="00683F7F">
            <w:pPr>
              <w:keepNext/>
              <w:jc w:val="center"/>
              <w:rPr>
                <w:rFonts w:cs="Calibri"/>
                <w:b/>
              </w:rPr>
            </w:pPr>
            <w:r w:rsidRPr="00683F7F">
              <w:rPr>
                <w:rFonts w:cs="Calibri"/>
                <w:b/>
              </w:rPr>
              <w:t>Goal</w:t>
            </w:r>
          </w:p>
        </w:tc>
        <w:tc>
          <w:tcPr>
            <w:tcW w:w="867" w:type="dxa"/>
            <w:vAlign w:val="center"/>
          </w:tcPr>
          <w:p w:rsidR="00683F7F" w:rsidRPr="00683F7F" w:rsidRDefault="00683F7F" w:rsidP="00683F7F">
            <w:pPr>
              <w:keepNext/>
              <w:jc w:val="center"/>
              <w:rPr>
                <w:rFonts w:cs="Calibri"/>
                <w:b/>
              </w:rPr>
            </w:pPr>
            <w:r w:rsidRPr="00683F7F">
              <w:rPr>
                <w:rFonts w:cs="Calibri"/>
                <w:b/>
              </w:rPr>
              <w:t>DSM</w:t>
            </w:r>
          </w:p>
          <w:p w:rsidR="00683F7F" w:rsidRPr="00683F7F" w:rsidRDefault="00683F7F" w:rsidP="00683F7F">
            <w:pPr>
              <w:keepNext/>
              <w:jc w:val="center"/>
              <w:rPr>
                <w:rFonts w:cs="Calibri"/>
                <w:b/>
              </w:rPr>
            </w:pPr>
            <w:r w:rsidRPr="00683F7F">
              <w:rPr>
                <w:rFonts w:cs="Calibri"/>
                <w:b/>
              </w:rPr>
              <w:t>Plan</w:t>
            </w:r>
          </w:p>
        </w:tc>
        <w:tc>
          <w:tcPr>
            <w:tcW w:w="919" w:type="dxa"/>
            <w:vAlign w:val="center"/>
          </w:tcPr>
          <w:p w:rsidR="00683F7F" w:rsidRPr="00683F7F" w:rsidRDefault="00683F7F" w:rsidP="00683F7F">
            <w:pPr>
              <w:keepNext/>
              <w:jc w:val="center"/>
              <w:rPr>
                <w:rFonts w:cs="Calibri"/>
                <w:b/>
              </w:rPr>
            </w:pPr>
            <w:r w:rsidRPr="00683F7F">
              <w:rPr>
                <w:rFonts w:cs="Calibri"/>
                <w:b/>
              </w:rPr>
              <w:t>Goal</w:t>
            </w:r>
          </w:p>
        </w:tc>
        <w:tc>
          <w:tcPr>
            <w:tcW w:w="917" w:type="dxa"/>
            <w:vAlign w:val="center"/>
          </w:tcPr>
          <w:p w:rsidR="00683F7F" w:rsidRPr="00683F7F" w:rsidRDefault="00683F7F" w:rsidP="00683F7F">
            <w:pPr>
              <w:keepNext/>
              <w:jc w:val="center"/>
              <w:rPr>
                <w:rFonts w:cs="Calibri"/>
                <w:b/>
              </w:rPr>
            </w:pPr>
            <w:r w:rsidRPr="00683F7F">
              <w:rPr>
                <w:rFonts w:cs="Calibri"/>
                <w:b/>
              </w:rPr>
              <w:t>DSM</w:t>
            </w:r>
          </w:p>
          <w:p w:rsidR="00683F7F" w:rsidRPr="00683F7F" w:rsidRDefault="00683F7F" w:rsidP="00683F7F">
            <w:pPr>
              <w:keepNext/>
              <w:jc w:val="center"/>
              <w:rPr>
                <w:rFonts w:cs="Calibri"/>
                <w:b/>
              </w:rPr>
            </w:pPr>
            <w:r w:rsidRPr="00683F7F">
              <w:rPr>
                <w:rFonts w:cs="Calibri"/>
                <w:b/>
              </w:rPr>
              <w:t>Plan</w:t>
            </w:r>
          </w:p>
        </w:tc>
        <w:tc>
          <w:tcPr>
            <w:tcW w:w="920" w:type="dxa"/>
            <w:vAlign w:val="center"/>
          </w:tcPr>
          <w:p w:rsidR="00683F7F" w:rsidRPr="00683F7F" w:rsidRDefault="00683F7F" w:rsidP="00683F7F">
            <w:pPr>
              <w:keepNext/>
              <w:jc w:val="center"/>
              <w:rPr>
                <w:rFonts w:cs="Calibri"/>
                <w:b/>
              </w:rPr>
            </w:pPr>
            <w:r w:rsidRPr="00683F7F">
              <w:rPr>
                <w:rFonts w:cs="Calibri"/>
                <w:b/>
              </w:rPr>
              <w:t>Goal</w:t>
            </w:r>
          </w:p>
        </w:tc>
        <w:tc>
          <w:tcPr>
            <w:tcW w:w="918" w:type="dxa"/>
            <w:vAlign w:val="center"/>
          </w:tcPr>
          <w:p w:rsidR="00683F7F" w:rsidRPr="00683F7F" w:rsidRDefault="00683F7F" w:rsidP="00683F7F">
            <w:pPr>
              <w:keepNext/>
              <w:jc w:val="center"/>
              <w:rPr>
                <w:rFonts w:cs="Calibri"/>
                <w:b/>
              </w:rPr>
            </w:pPr>
            <w:r w:rsidRPr="00683F7F">
              <w:rPr>
                <w:rFonts w:cs="Calibri"/>
                <w:b/>
              </w:rPr>
              <w:t>DSM</w:t>
            </w:r>
          </w:p>
          <w:p w:rsidR="00683F7F" w:rsidRPr="00683F7F" w:rsidRDefault="00683F7F" w:rsidP="00683F7F">
            <w:pPr>
              <w:keepNext/>
              <w:jc w:val="center"/>
              <w:rPr>
                <w:rFonts w:cs="Calibri"/>
                <w:b/>
              </w:rPr>
            </w:pPr>
            <w:r w:rsidRPr="00683F7F">
              <w:rPr>
                <w:rFonts w:cs="Calibri"/>
                <w:b/>
              </w:rPr>
              <w:t>Plan</w:t>
            </w:r>
          </w:p>
        </w:tc>
      </w:tr>
      <w:tr w:rsidR="00683F7F" w:rsidRPr="00683F7F" w:rsidTr="00C560E3">
        <w:trPr>
          <w:jc w:val="center"/>
        </w:trPr>
        <w:tc>
          <w:tcPr>
            <w:tcW w:w="939" w:type="dxa"/>
          </w:tcPr>
          <w:p w:rsidR="00683F7F" w:rsidRPr="00683F7F" w:rsidRDefault="00683F7F" w:rsidP="00683F7F">
            <w:pPr>
              <w:keepNext/>
              <w:rPr>
                <w:b/>
              </w:rPr>
            </w:pPr>
            <w:r w:rsidRPr="00683F7F">
              <w:rPr>
                <w:b/>
              </w:rPr>
              <w:t>2015</w:t>
            </w:r>
          </w:p>
        </w:tc>
        <w:tc>
          <w:tcPr>
            <w:tcW w:w="1272" w:type="dxa"/>
          </w:tcPr>
          <w:p w:rsidR="00683F7F" w:rsidRPr="00683F7F" w:rsidRDefault="00683F7F" w:rsidP="00683F7F">
            <w:pPr>
              <w:keepNext/>
              <w:jc w:val="right"/>
            </w:pPr>
            <w:r w:rsidRPr="00683F7F">
              <w:t xml:space="preserve">25.3 </w:t>
            </w:r>
          </w:p>
        </w:tc>
        <w:tc>
          <w:tcPr>
            <w:tcW w:w="867" w:type="dxa"/>
          </w:tcPr>
          <w:p w:rsidR="00683F7F" w:rsidRPr="00683F7F" w:rsidRDefault="00683F7F" w:rsidP="00683F7F">
            <w:pPr>
              <w:keepNext/>
              <w:jc w:val="right"/>
            </w:pPr>
            <w:r w:rsidRPr="00683F7F">
              <w:t xml:space="preserve">25.4 </w:t>
            </w:r>
          </w:p>
        </w:tc>
        <w:tc>
          <w:tcPr>
            <w:tcW w:w="919" w:type="dxa"/>
          </w:tcPr>
          <w:p w:rsidR="00683F7F" w:rsidRPr="00683F7F" w:rsidRDefault="00683F7F" w:rsidP="00683F7F">
            <w:pPr>
              <w:keepNext/>
              <w:jc w:val="right"/>
            </w:pPr>
            <w:r w:rsidRPr="00683F7F">
              <w:t xml:space="preserve">15.6 </w:t>
            </w:r>
          </w:p>
        </w:tc>
        <w:tc>
          <w:tcPr>
            <w:tcW w:w="917" w:type="dxa"/>
          </w:tcPr>
          <w:p w:rsidR="00683F7F" w:rsidRPr="00683F7F" w:rsidRDefault="00683F7F" w:rsidP="00683F7F">
            <w:pPr>
              <w:keepNext/>
              <w:jc w:val="right"/>
            </w:pPr>
            <w:r w:rsidRPr="00683F7F">
              <w:t xml:space="preserve">15.6 </w:t>
            </w:r>
          </w:p>
        </w:tc>
        <w:tc>
          <w:tcPr>
            <w:tcW w:w="920" w:type="dxa"/>
          </w:tcPr>
          <w:p w:rsidR="00683F7F" w:rsidRPr="00683F7F" w:rsidRDefault="00683F7F" w:rsidP="00683F7F">
            <w:pPr>
              <w:keepNext/>
              <w:jc w:val="right"/>
            </w:pPr>
            <w:r w:rsidRPr="00683F7F">
              <w:t xml:space="preserve">21.6 </w:t>
            </w:r>
          </w:p>
        </w:tc>
        <w:tc>
          <w:tcPr>
            <w:tcW w:w="918" w:type="dxa"/>
          </w:tcPr>
          <w:p w:rsidR="00683F7F" w:rsidRPr="00683F7F" w:rsidRDefault="00683F7F" w:rsidP="00683F7F">
            <w:pPr>
              <w:keepNext/>
              <w:jc w:val="right"/>
            </w:pPr>
            <w:r w:rsidRPr="00683F7F">
              <w:t xml:space="preserve">23.8 </w:t>
            </w:r>
          </w:p>
        </w:tc>
      </w:tr>
      <w:tr w:rsidR="00683F7F" w:rsidRPr="00683F7F" w:rsidTr="00C560E3">
        <w:trPr>
          <w:jc w:val="center"/>
        </w:trPr>
        <w:tc>
          <w:tcPr>
            <w:tcW w:w="939" w:type="dxa"/>
          </w:tcPr>
          <w:p w:rsidR="00683F7F" w:rsidRPr="00683F7F" w:rsidRDefault="00683F7F" w:rsidP="00683F7F">
            <w:pPr>
              <w:keepNext/>
              <w:rPr>
                <w:b/>
              </w:rPr>
            </w:pPr>
            <w:r w:rsidRPr="00683F7F">
              <w:rPr>
                <w:b/>
              </w:rPr>
              <w:t>2016</w:t>
            </w:r>
          </w:p>
        </w:tc>
        <w:tc>
          <w:tcPr>
            <w:tcW w:w="1272" w:type="dxa"/>
          </w:tcPr>
          <w:p w:rsidR="00683F7F" w:rsidRPr="00683F7F" w:rsidRDefault="00683F7F" w:rsidP="00683F7F">
            <w:pPr>
              <w:keepNext/>
              <w:jc w:val="right"/>
            </w:pPr>
            <w:r w:rsidRPr="00683F7F">
              <w:t xml:space="preserve">25.6 </w:t>
            </w:r>
          </w:p>
        </w:tc>
        <w:tc>
          <w:tcPr>
            <w:tcW w:w="867" w:type="dxa"/>
          </w:tcPr>
          <w:p w:rsidR="00683F7F" w:rsidRPr="00683F7F" w:rsidRDefault="00683F7F" w:rsidP="00683F7F">
            <w:pPr>
              <w:keepNext/>
              <w:jc w:val="right"/>
            </w:pPr>
            <w:r w:rsidRPr="00683F7F">
              <w:t xml:space="preserve">25.9 </w:t>
            </w:r>
          </w:p>
        </w:tc>
        <w:tc>
          <w:tcPr>
            <w:tcW w:w="919" w:type="dxa"/>
          </w:tcPr>
          <w:p w:rsidR="00683F7F" w:rsidRPr="00683F7F" w:rsidRDefault="00683F7F" w:rsidP="00683F7F">
            <w:pPr>
              <w:keepNext/>
              <w:jc w:val="right"/>
            </w:pPr>
            <w:r w:rsidRPr="00683F7F">
              <w:t xml:space="preserve">15.8 </w:t>
            </w:r>
          </w:p>
        </w:tc>
        <w:tc>
          <w:tcPr>
            <w:tcW w:w="917" w:type="dxa"/>
          </w:tcPr>
          <w:p w:rsidR="00683F7F" w:rsidRPr="00683F7F" w:rsidRDefault="00683F7F" w:rsidP="00683F7F">
            <w:pPr>
              <w:keepNext/>
              <w:jc w:val="right"/>
            </w:pPr>
            <w:r w:rsidRPr="00683F7F">
              <w:t xml:space="preserve">15.9 </w:t>
            </w:r>
          </w:p>
        </w:tc>
        <w:tc>
          <w:tcPr>
            <w:tcW w:w="920" w:type="dxa"/>
          </w:tcPr>
          <w:p w:rsidR="00683F7F" w:rsidRPr="00683F7F" w:rsidRDefault="00683F7F" w:rsidP="00683F7F">
            <w:pPr>
              <w:keepNext/>
              <w:jc w:val="right"/>
            </w:pPr>
            <w:r w:rsidRPr="00683F7F">
              <w:t xml:space="preserve">22.2 </w:t>
            </w:r>
          </w:p>
        </w:tc>
        <w:tc>
          <w:tcPr>
            <w:tcW w:w="918" w:type="dxa"/>
          </w:tcPr>
          <w:p w:rsidR="00683F7F" w:rsidRPr="00683F7F" w:rsidRDefault="00683F7F" w:rsidP="00683F7F">
            <w:pPr>
              <w:keepNext/>
              <w:jc w:val="right"/>
            </w:pPr>
            <w:r w:rsidRPr="00683F7F">
              <w:t xml:space="preserve">22.2 </w:t>
            </w:r>
          </w:p>
        </w:tc>
      </w:tr>
      <w:tr w:rsidR="00683F7F" w:rsidRPr="00683F7F" w:rsidTr="00C560E3">
        <w:trPr>
          <w:jc w:val="center"/>
        </w:trPr>
        <w:tc>
          <w:tcPr>
            <w:tcW w:w="939" w:type="dxa"/>
          </w:tcPr>
          <w:p w:rsidR="00683F7F" w:rsidRPr="00683F7F" w:rsidRDefault="00683F7F" w:rsidP="00683F7F">
            <w:pPr>
              <w:keepNext/>
              <w:rPr>
                <w:b/>
              </w:rPr>
            </w:pPr>
            <w:r w:rsidRPr="00683F7F">
              <w:rPr>
                <w:b/>
              </w:rPr>
              <w:t>2017</w:t>
            </w:r>
          </w:p>
        </w:tc>
        <w:tc>
          <w:tcPr>
            <w:tcW w:w="1272" w:type="dxa"/>
          </w:tcPr>
          <w:p w:rsidR="00683F7F" w:rsidRPr="00683F7F" w:rsidRDefault="00683F7F" w:rsidP="00683F7F">
            <w:pPr>
              <w:keepNext/>
              <w:jc w:val="right"/>
            </w:pPr>
            <w:r w:rsidRPr="00683F7F">
              <w:t xml:space="preserve">25.9 </w:t>
            </w:r>
          </w:p>
        </w:tc>
        <w:tc>
          <w:tcPr>
            <w:tcW w:w="867" w:type="dxa"/>
          </w:tcPr>
          <w:p w:rsidR="00683F7F" w:rsidRPr="00683F7F" w:rsidRDefault="00683F7F" w:rsidP="00683F7F">
            <w:pPr>
              <w:keepNext/>
              <w:jc w:val="right"/>
            </w:pPr>
            <w:r w:rsidRPr="00683F7F">
              <w:t xml:space="preserve">26.2 </w:t>
            </w:r>
          </w:p>
        </w:tc>
        <w:tc>
          <w:tcPr>
            <w:tcW w:w="919" w:type="dxa"/>
          </w:tcPr>
          <w:p w:rsidR="00683F7F" w:rsidRPr="00683F7F" w:rsidRDefault="00683F7F" w:rsidP="00683F7F">
            <w:pPr>
              <w:keepNext/>
              <w:jc w:val="right"/>
            </w:pPr>
            <w:r w:rsidRPr="00683F7F">
              <w:t xml:space="preserve">16.0 </w:t>
            </w:r>
          </w:p>
        </w:tc>
        <w:tc>
          <w:tcPr>
            <w:tcW w:w="917" w:type="dxa"/>
          </w:tcPr>
          <w:p w:rsidR="00683F7F" w:rsidRPr="00683F7F" w:rsidRDefault="00683F7F" w:rsidP="00683F7F">
            <w:pPr>
              <w:keepNext/>
              <w:jc w:val="right"/>
            </w:pPr>
            <w:r w:rsidRPr="00683F7F">
              <w:t xml:space="preserve">16.1 </w:t>
            </w:r>
          </w:p>
        </w:tc>
        <w:tc>
          <w:tcPr>
            <w:tcW w:w="920" w:type="dxa"/>
          </w:tcPr>
          <w:p w:rsidR="00683F7F" w:rsidRPr="00683F7F" w:rsidRDefault="00683F7F" w:rsidP="00683F7F">
            <w:pPr>
              <w:keepNext/>
              <w:jc w:val="right"/>
            </w:pPr>
            <w:r w:rsidRPr="00683F7F">
              <w:t xml:space="preserve">22.8 </w:t>
            </w:r>
          </w:p>
        </w:tc>
        <w:tc>
          <w:tcPr>
            <w:tcW w:w="918" w:type="dxa"/>
          </w:tcPr>
          <w:p w:rsidR="00683F7F" w:rsidRPr="00683F7F" w:rsidRDefault="00683F7F" w:rsidP="00683F7F">
            <w:pPr>
              <w:keepNext/>
              <w:jc w:val="right"/>
            </w:pPr>
            <w:r w:rsidRPr="00683F7F">
              <w:t xml:space="preserve">22.8 </w:t>
            </w:r>
          </w:p>
        </w:tc>
      </w:tr>
      <w:tr w:rsidR="00683F7F" w:rsidRPr="00683F7F" w:rsidTr="00C560E3">
        <w:trPr>
          <w:jc w:val="center"/>
        </w:trPr>
        <w:tc>
          <w:tcPr>
            <w:tcW w:w="939" w:type="dxa"/>
          </w:tcPr>
          <w:p w:rsidR="00683F7F" w:rsidRPr="00683F7F" w:rsidRDefault="00683F7F" w:rsidP="00683F7F">
            <w:pPr>
              <w:keepNext/>
              <w:rPr>
                <w:b/>
              </w:rPr>
            </w:pPr>
            <w:r w:rsidRPr="00683F7F">
              <w:rPr>
                <w:b/>
              </w:rPr>
              <w:t>2018</w:t>
            </w:r>
          </w:p>
        </w:tc>
        <w:tc>
          <w:tcPr>
            <w:tcW w:w="1272" w:type="dxa"/>
          </w:tcPr>
          <w:p w:rsidR="00683F7F" w:rsidRPr="00683F7F" w:rsidRDefault="00683F7F" w:rsidP="00683F7F">
            <w:pPr>
              <w:keepNext/>
              <w:jc w:val="right"/>
            </w:pPr>
            <w:r w:rsidRPr="00683F7F">
              <w:t xml:space="preserve">26.2 </w:t>
            </w:r>
          </w:p>
        </w:tc>
        <w:tc>
          <w:tcPr>
            <w:tcW w:w="867" w:type="dxa"/>
          </w:tcPr>
          <w:p w:rsidR="00683F7F" w:rsidRPr="00683F7F" w:rsidRDefault="00683F7F" w:rsidP="00683F7F">
            <w:pPr>
              <w:keepNext/>
              <w:jc w:val="right"/>
            </w:pPr>
            <w:r w:rsidRPr="00683F7F">
              <w:t xml:space="preserve">26.6 </w:t>
            </w:r>
          </w:p>
        </w:tc>
        <w:tc>
          <w:tcPr>
            <w:tcW w:w="919" w:type="dxa"/>
          </w:tcPr>
          <w:p w:rsidR="00683F7F" w:rsidRPr="00683F7F" w:rsidRDefault="00683F7F" w:rsidP="00683F7F">
            <w:pPr>
              <w:keepNext/>
              <w:jc w:val="right"/>
            </w:pPr>
            <w:r w:rsidRPr="00683F7F">
              <w:t xml:space="preserve">16.2 </w:t>
            </w:r>
          </w:p>
        </w:tc>
        <w:tc>
          <w:tcPr>
            <w:tcW w:w="917" w:type="dxa"/>
          </w:tcPr>
          <w:p w:rsidR="00683F7F" w:rsidRPr="00683F7F" w:rsidRDefault="00683F7F" w:rsidP="00683F7F">
            <w:pPr>
              <w:keepNext/>
              <w:jc w:val="right"/>
            </w:pPr>
            <w:r w:rsidRPr="00683F7F">
              <w:t xml:space="preserve">16.3 </w:t>
            </w:r>
          </w:p>
        </w:tc>
        <w:tc>
          <w:tcPr>
            <w:tcW w:w="920" w:type="dxa"/>
          </w:tcPr>
          <w:p w:rsidR="00683F7F" w:rsidRPr="00683F7F" w:rsidRDefault="00683F7F" w:rsidP="00683F7F">
            <w:pPr>
              <w:keepNext/>
              <w:jc w:val="right"/>
            </w:pPr>
            <w:r w:rsidRPr="00683F7F">
              <w:t xml:space="preserve">23.5 </w:t>
            </w:r>
          </w:p>
        </w:tc>
        <w:tc>
          <w:tcPr>
            <w:tcW w:w="918" w:type="dxa"/>
          </w:tcPr>
          <w:p w:rsidR="00683F7F" w:rsidRPr="00683F7F" w:rsidRDefault="00683F7F" w:rsidP="00683F7F">
            <w:pPr>
              <w:keepNext/>
              <w:jc w:val="right"/>
            </w:pPr>
            <w:r w:rsidRPr="00683F7F">
              <w:t xml:space="preserve">23.5 </w:t>
            </w:r>
          </w:p>
        </w:tc>
      </w:tr>
      <w:tr w:rsidR="00683F7F" w:rsidRPr="00683F7F" w:rsidTr="00C560E3">
        <w:trPr>
          <w:jc w:val="center"/>
        </w:trPr>
        <w:tc>
          <w:tcPr>
            <w:tcW w:w="939" w:type="dxa"/>
          </w:tcPr>
          <w:p w:rsidR="00683F7F" w:rsidRPr="00683F7F" w:rsidRDefault="00683F7F" w:rsidP="00683F7F">
            <w:pPr>
              <w:keepNext/>
              <w:rPr>
                <w:b/>
              </w:rPr>
            </w:pPr>
            <w:r w:rsidRPr="00683F7F">
              <w:rPr>
                <w:b/>
              </w:rPr>
              <w:t>2019</w:t>
            </w:r>
          </w:p>
        </w:tc>
        <w:tc>
          <w:tcPr>
            <w:tcW w:w="1272" w:type="dxa"/>
          </w:tcPr>
          <w:p w:rsidR="00683F7F" w:rsidRPr="00683F7F" w:rsidRDefault="00683F7F" w:rsidP="00683F7F">
            <w:pPr>
              <w:keepNext/>
              <w:jc w:val="right"/>
            </w:pPr>
            <w:r w:rsidRPr="00683F7F">
              <w:t xml:space="preserve">26.5 </w:t>
            </w:r>
          </w:p>
        </w:tc>
        <w:tc>
          <w:tcPr>
            <w:tcW w:w="867" w:type="dxa"/>
          </w:tcPr>
          <w:p w:rsidR="00683F7F" w:rsidRPr="00683F7F" w:rsidRDefault="00683F7F" w:rsidP="00683F7F">
            <w:pPr>
              <w:keepNext/>
              <w:jc w:val="right"/>
            </w:pPr>
            <w:r w:rsidRPr="00683F7F">
              <w:t xml:space="preserve">27.0 </w:t>
            </w:r>
          </w:p>
        </w:tc>
        <w:tc>
          <w:tcPr>
            <w:tcW w:w="919" w:type="dxa"/>
          </w:tcPr>
          <w:p w:rsidR="00683F7F" w:rsidRPr="00683F7F" w:rsidRDefault="00683F7F" w:rsidP="00683F7F">
            <w:pPr>
              <w:keepNext/>
              <w:jc w:val="right"/>
            </w:pPr>
            <w:r w:rsidRPr="00683F7F">
              <w:t xml:space="preserve">16.4 </w:t>
            </w:r>
          </w:p>
        </w:tc>
        <w:tc>
          <w:tcPr>
            <w:tcW w:w="917" w:type="dxa"/>
          </w:tcPr>
          <w:p w:rsidR="00683F7F" w:rsidRPr="00683F7F" w:rsidRDefault="00683F7F" w:rsidP="00683F7F">
            <w:pPr>
              <w:keepNext/>
              <w:jc w:val="right"/>
            </w:pPr>
            <w:r w:rsidRPr="00683F7F">
              <w:t xml:space="preserve">16.5 </w:t>
            </w:r>
          </w:p>
        </w:tc>
        <w:tc>
          <w:tcPr>
            <w:tcW w:w="920" w:type="dxa"/>
          </w:tcPr>
          <w:p w:rsidR="00683F7F" w:rsidRPr="00683F7F" w:rsidRDefault="00683F7F" w:rsidP="00683F7F">
            <w:pPr>
              <w:keepNext/>
              <w:jc w:val="right"/>
            </w:pPr>
            <w:r w:rsidRPr="00683F7F">
              <w:t xml:space="preserve">24.2 </w:t>
            </w:r>
          </w:p>
        </w:tc>
        <w:tc>
          <w:tcPr>
            <w:tcW w:w="918" w:type="dxa"/>
          </w:tcPr>
          <w:p w:rsidR="00683F7F" w:rsidRPr="00683F7F" w:rsidRDefault="00683F7F" w:rsidP="00683F7F">
            <w:pPr>
              <w:keepNext/>
              <w:jc w:val="right"/>
            </w:pPr>
            <w:r w:rsidRPr="00683F7F">
              <w:t xml:space="preserve">24.2 </w:t>
            </w:r>
          </w:p>
        </w:tc>
      </w:tr>
      <w:tr w:rsidR="00683F7F" w:rsidRPr="00683F7F" w:rsidTr="00C560E3">
        <w:trPr>
          <w:jc w:val="center"/>
        </w:trPr>
        <w:tc>
          <w:tcPr>
            <w:tcW w:w="939" w:type="dxa"/>
          </w:tcPr>
          <w:p w:rsidR="00683F7F" w:rsidRPr="00683F7F" w:rsidRDefault="00683F7F" w:rsidP="00683F7F">
            <w:pPr>
              <w:keepNext/>
              <w:rPr>
                <w:b/>
              </w:rPr>
            </w:pPr>
            <w:r w:rsidRPr="00683F7F">
              <w:rPr>
                <w:b/>
              </w:rPr>
              <w:t>2020</w:t>
            </w:r>
          </w:p>
        </w:tc>
        <w:tc>
          <w:tcPr>
            <w:tcW w:w="1272" w:type="dxa"/>
          </w:tcPr>
          <w:p w:rsidR="00683F7F" w:rsidRPr="00683F7F" w:rsidRDefault="00683F7F" w:rsidP="00683F7F">
            <w:pPr>
              <w:keepNext/>
              <w:jc w:val="right"/>
            </w:pPr>
            <w:r w:rsidRPr="00683F7F">
              <w:t xml:space="preserve">26.9 </w:t>
            </w:r>
          </w:p>
        </w:tc>
        <w:tc>
          <w:tcPr>
            <w:tcW w:w="867" w:type="dxa"/>
          </w:tcPr>
          <w:p w:rsidR="00683F7F" w:rsidRPr="00683F7F" w:rsidRDefault="00683F7F" w:rsidP="00683F7F">
            <w:pPr>
              <w:keepNext/>
              <w:jc w:val="right"/>
            </w:pPr>
            <w:r w:rsidRPr="00683F7F">
              <w:t xml:space="preserve">27.5 </w:t>
            </w:r>
          </w:p>
        </w:tc>
        <w:tc>
          <w:tcPr>
            <w:tcW w:w="919" w:type="dxa"/>
          </w:tcPr>
          <w:p w:rsidR="00683F7F" w:rsidRPr="00683F7F" w:rsidRDefault="00683F7F" w:rsidP="00683F7F">
            <w:pPr>
              <w:keepNext/>
              <w:jc w:val="right"/>
            </w:pPr>
            <w:r w:rsidRPr="00683F7F">
              <w:t xml:space="preserve">16.7 </w:t>
            </w:r>
          </w:p>
        </w:tc>
        <w:tc>
          <w:tcPr>
            <w:tcW w:w="917" w:type="dxa"/>
          </w:tcPr>
          <w:p w:rsidR="00683F7F" w:rsidRPr="00683F7F" w:rsidRDefault="00683F7F" w:rsidP="00683F7F">
            <w:pPr>
              <w:keepNext/>
              <w:jc w:val="right"/>
            </w:pPr>
            <w:r w:rsidRPr="00683F7F">
              <w:t xml:space="preserve">16.7 </w:t>
            </w:r>
          </w:p>
        </w:tc>
        <w:tc>
          <w:tcPr>
            <w:tcW w:w="920" w:type="dxa"/>
          </w:tcPr>
          <w:p w:rsidR="00683F7F" w:rsidRPr="00683F7F" w:rsidRDefault="00683F7F" w:rsidP="00683F7F">
            <w:pPr>
              <w:keepNext/>
              <w:jc w:val="right"/>
            </w:pPr>
            <w:r w:rsidRPr="00683F7F">
              <w:t xml:space="preserve">25.0 </w:t>
            </w:r>
          </w:p>
        </w:tc>
        <w:tc>
          <w:tcPr>
            <w:tcW w:w="918" w:type="dxa"/>
          </w:tcPr>
          <w:p w:rsidR="00683F7F" w:rsidRPr="00683F7F" w:rsidRDefault="00683F7F" w:rsidP="00683F7F">
            <w:pPr>
              <w:keepNext/>
              <w:jc w:val="right"/>
            </w:pPr>
            <w:r w:rsidRPr="00683F7F">
              <w:t xml:space="preserve">25.0 </w:t>
            </w:r>
          </w:p>
        </w:tc>
      </w:tr>
      <w:tr w:rsidR="00683F7F" w:rsidRPr="00683F7F" w:rsidTr="00C560E3">
        <w:trPr>
          <w:jc w:val="center"/>
        </w:trPr>
        <w:tc>
          <w:tcPr>
            <w:tcW w:w="939" w:type="dxa"/>
          </w:tcPr>
          <w:p w:rsidR="00683F7F" w:rsidRPr="00683F7F" w:rsidRDefault="00683F7F" w:rsidP="00683F7F">
            <w:pPr>
              <w:keepNext/>
              <w:rPr>
                <w:b/>
              </w:rPr>
            </w:pPr>
            <w:r w:rsidRPr="00683F7F">
              <w:rPr>
                <w:b/>
              </w:rPr>
              <w:t>2021</w:t>
            </w:r>
          </w:p>
        </w:tc>
        <w:tc>
          <w:tcPr>
            <w:tcW w:w="1272" w:type="dxa"/>
          </w:tcPr>
          <w:p w:rsidR="00683F7F" w:rsidRPr="00683F7F" w:rsidRDefault="00683F7F" w:rsidP="00683F7F">
            <w:pPr>
              <w:keepNext/>
              <w:jc w:val="right"/>
            </w:pPr>
            <w:r w:rsidRPr="00683F7F">
              <w:t xml:space="preserve">27.3 </w:t>
            </w:r>
          </w:p>
        </w:tc>
        <w:tc>
          <w:tcPr>
            <w:tcW w:w="867" w:type="dxa"/>
          </w:tcPr>
          <w:p w:rsidR="00683F7F" w:rsidRPr="00683F7F" w:rsidRDefault="00683F7F" w:rsidP="00683F7F">
            <w:pPr>
              <w:keepNext/>
              <w:jc w:val="right"/>
            </w:pPr>
            <w:r w:rsidRPr="00683F7F">
              <w:t xml:space="preserve">27.9 </w:t>
            </w:r>
          </w:p>
        </w:tc>
        <w:tc>
          <w:tcPr>
            <w:tcW w:w="919" w:type="dxa"/>
          </w:tcPr>
          <w:p w:rsidR="00683F7F" w:rsidRPr="00683F7F" w:rsidRDefault="00683F7F" w:rsidP="00683F7F">
            <w:pPr>
              <w:keepNext/>
              <w:jc w:val="right"/>
            </w:pPr>
            <w:r w:rsidRPr="00683F7F">
              <w:t xml:space="preserve">16.9 </w:t>
            </w:r>
          </w:p>
        </w:tc>
        <w:tc>
          <w:tcPr>
            <w:tcW w:w="917" w:type="dxa"/>
          </w:tcPr>
          <w:p w:rsidR="00683F7F" w:rsidRPr="00683F7F" w:rsidRDefault="00683F7F" w:rsidP="00683F7F">
            <w:pPr>
              <w:keepNext/>
              <w:jc w:val="right"/>
            </w:pPr>
            <w:r w:rsidRPr="00683F7F">
              <w:t xml:space="preserve">16.9 </w:t>
            </w:r>
          </w:p>
        </w:tc>
        <w:tc>
          <w:tcPr>
            <w:tcW w:w="920" w:type="dxa"/>
          </w:tcPr>
          <w:p w:rsidR="00683F7F" w:rsidRPr="00683F7F" w:rsidRDefault="00683F7F" w:rsidP="00683F7F">
            <w:pPr>
              <w:keepNext/>
              <w:jc w:val="right"/>
            </w:pPr>
            <w:r w:rsidRPr="00683F7F">
              <w:t xml:space="preserve">25.7 </w:t>
            </w:r>
          </w:p>
        </w:tc>
        <w:tc>
          <w:tcPr>
            <w:tcW w:w="918" w:type="dxa"/>
          </w:tcPr>
          <w:p w:rsidR="00683F7F" w:rsidRPr="00683F7F" w:rsidRDefault="00683F7F" w:rsidP="00683F7F">
            <w:pPr>
              <w:keepNext/>
              <w:jc w:val="right"/>
            </w:pPr>
            <w:r w:rsidRPr="00683F7F">
              <w:t xml:space="preserve">25.7 </w:t>
            </w:r>
          </w:p>
        </w:tc>
      </w:tr>
      <w:tr w:rsidR="00683F7F" w:rsidRPr="00683F7F" w:rsidTr="00C560E3">
        <w:trPr>
          <w:jc w:val="center"/>
        </w:trPr>
        <w:tc>
          <w:tcPr>
            <w:tcW w:w="939" w:type="dxa"/>
          </w:tcPr>
          <w:p w:rsidR="00683F7F" w:rsidRPr="00683F7F" w:rsidRDefault="00683F7F" w:rsidP="00683F7F">
            <w:pPr>
              <w:keepNext/>
              <w:rPr>
                <w:b/>
              </w:rPr>
            </w:pPr>
            <w:r w:rsidRPr="00683F7F">
              <w:rPr>
                <w:b/>
              </w:rPr>
              <w:t>2022</w:t>
            </w:r>
          </w:p>
        </w:tc>
        <w:tc>
          <w:tcPr>
            <w:tcW w:w="1272" w:type="dxa"/>
          </w:tcPr>
          <w:p w:rsidR="00683F7F" w:rsidRPr="00683F7F" w:rsidRDefault="00683F7F" w:rsidP="00683F7F">
            <w:pPr>
              <w:keepNext/>
              <w:jc w:val="right"/>
            </w:pPr>
            <w:r w:rsidRPr="00683F7F">
              <w:t xml:space="preserve">27.6 </w:t>
            </w:r>
          </w:p>
        </w:tc>
        <w:tc>
          <w:tcPr>
            <w:tcW w:w="867" w:type="dxa"/>
          </w:tcPr>
          <w:p w:rsidR="00683F7F" w:rsidRPr="00683F7F" w:rsidRDefault="00683F7F" w:rsidP="00683F7F">
            <w:pPr>
              <w:keepNext/>
              <w:jc w:val="right"/>
            </w:pPr>
            <w:r w:rsidRPr="00683F7F">
              <w:t xml:space="preserve">28.3 </w:t>
            </w:r>
          </w:p>
        </w:tc>
        <w:tc>
          <w:tcPr>
            <w:tcW w:w="919" w:type="dxa"/>
          </w:tcPr>
          <w:p w:rsidR="00683F7F" w:rsidRPr="00683F7F" w:rsidRDefault="00683F7F" w:rsidP="00683F7F">
            <w:pPr>
              <w:keepNext/>
              <w:jc w:val="right"/>
            </w:pPr>
            <w:r w:rsidRPr="00683F7F">
              <w:t xml:space="preserve">17.2 </w:t>
            </w:r>
          </w:p>
        </w:tc>
        <w:tc>
          <w:tcPr>
            <w:tcW w:w="917" w:type="dxa"/>
          </w:tcPr>
          <w:p w:rsidR="00683F7F" w:rsidRPr="00683F7F" w:rsidRDefault="00683F7F" w:rsidP="00683F7F">
            <w:pPr>
              <w:keepNext/>
              <w:jc w:val="right"/>
            </w:pPr>
            <w:r w:rsidRPr="00683F7F">
              <w:t xml:space="preserve">17.2 </w:t>
            </w:r>
          </w:p>
        </w:tc>
        <w:tc>
          <w:tcPr>
            <w:tcW w:w="920" w:type="dxa"/>
          </w:tcPr>
          <w:p w:rsidR="00683F7F" w:rsidRPr="00683F7F" w:rsidRDefault="00683F7F" w:rsidP="00683F7F">
            <w:pPr>
              <w:keepNext/>
              <w:jc w:val="right"/>
            </w:pPr>
            <w:r w:rsidRPr="00683F7F">
              <w:t xml:space="preserve">26.5 </w:t>
            </w:r>
          </w:p>
        </w:tc>
        <w:tc>
          <w:tcPr>
            <w:tcW w:w="918" w:type="dxa"/>
          </w:tcPr>
          <w:p w:rsidR="00683F7F" w:rsidRPr="00683F7F" w:rsidRDefault="00683F7F" w:rsidP="00683F7F">
            <w:pPr>
              <w:keepNext/>
              <w:jc w:val="right"/>
            </w:pPr>
            <w:r w:rsidRPr="00683F7F">
              <w:t xml:space="preserve">26.5 </w:t>
            </w:r>
          </w:p>
        </w:tc>
      </w:tr>
      <w:tr w:rsidR="00683F7F" w:rsidRPr="00683F7F" w:rsidTr="00C560E3">
        <w:trPr>
          <w:jc w:val="center"/>
        </w:trPr>
        <w:tc>
          <w:tcPr>
            <w:tcW w:w="939" w:type="dxa"/>
          </w:tcPr>
          <w:p w:rsidR="00683F7F" w:rsidRPr="00683F7F" w:rsidRDefault="00683F7F" w:rsidP="00683F7F">
            <w:pPr>
              <w:keepNext/>
              <w:rPr>
                <w:b/>
              </w:rPr>
            </w:pPr>
            <w:r w:rsidRPr="00683F7F">
              <w:rPr>
                <w:b/>
              </w:rPr>
              <w:t>2023</w:t>
            </w:r>
          </w:p>
        </w:tc>
        <w:tc>
          <w:tcPr>
            <w:tcW w:w="1272" w:type="dxa"/>
          </w:tcPr>
          <w:p w:rsidR="00683F7F" w:rsidRPr="00683F7F" w:rsidRDefault="00683F7F" w:rsidP="00683F7F">
            <w:pPr>
              <w:keepNext/>
              <w:jc w:val="right"/>
            </w:pPr>
            <w:r w:rsidRPr="00683F7F">
              <w:t xml:space="preserve">28.0 </w:t>
            </w:r>
          </w:p>
        </w:tc>
        <w:tc>
          <w:tcPr>
            <w:tcW w:w="867" w:type="dxa"/>
          </w:tcPr>
          <w:p w:rsidR="00683F7F" w:rsidRPr="00683F7F" w:rsidRDefault="00683F7F" w:rsidP="00683F7F">
            <w:pPr>
              <w:keepNext/>
              <w:jc w:val="right"/>
            </w:pPr>
            <w:r w:rsidRPr="00683F7F">
              <w:t xml:space="preserve">28.9 </w:t>
            </w:r>
          </w:p>
        </w:tc>
        <w:tc>
          <w:tcPr>
            <w:tcW w:w="919" w:type="dxa"/>
          </w:tcPr>
          <w:p w:rsidR="00683F7F" w:rsidRPr="00683F7F" w:rsidRDefault="00683F7F" w:rsidP="00683F7F">
            <w:pPr>
              <w:keepNext/>
              <w:jc w:val="right"/>
            </w:pPr>
            <w:r w:rsidRPr="00683F7F">
              <w:t xml:space="preserve">17.5 </w:t>
            </w:r>
          </w:p>
        </w:tc>
        <w:tc>
          <w:tcPr>
            <w:tcW w:w="917" w:type="dxa"/>
          </w:tcPr>
          <w:p w:rsidR="00683F7F" w:rsidRPr="00683F7F" w:rsidRDefault="00683F7F" w:rsidP="00683F7F">
            <w:pPr>
              <w:keepNext/>
              <w:jc w:val="right"/>
            </w:pPr>
            <w:r w:rsidRPr="00683F7F">
              <w:t xml:space="preserve">17.5 </w:t>
            </w:r>
          </w:p>
        </w:tc>
        <w:tc>
          <w:tcPr>
            <w:tcW w:w="920" w:type="dxa"/>
          </w:tcPr>
          <w:p w:rsidR="00683F7F" w:rsidRPr="00683F7F" w:rsidRDefault="00683F7F" w:rsidP="00683F7F">
            <w:pPr>
              <w:keepNext/>
              <w:jc w:val="right"/>
            </w:pPr>
            <w:r w:rsidRPr="00683F7F">
              <w:t xml:space="preserve">27.4 </w:t>
            </w:r>
          </w:p>
        </w:tc>
        <w:tc>
          <w:tcPr>
            <w:tcW w:w="918" w:type="dxa"/>
          </w:tcPr>
          <w:p w:rsidR="00683F7F" w:rsidRPr="00683F7F" w:rsidRDefault="00683F7F" w:rsidP="00683F7F">
            <w:pPr>
              <w:keepNext/>
              <w:jc w:val="right"/>
            </w:pPr>
            <w:r w:rsidRPr="00683F7F">
              <w:t xml:space="preserve">27.4 </w:t>
            </w:r>
          </w:p>
        </w:tc>
      </w:tr>
      <w:tr w:rsidR="00683F7F" w:rsidRPr="00683F7F" w:rsidTr="00C560E3">
        <w:trPr>
          <w:jc w:val="center"/>
        </w:trPr>
        <w:tc>
          <w:tcPr>
            <w:tcW w:w="939" w:type="dxa"/>
          </w:tcPr>
          <w:p w:rsidR="00683F7F" w:rsidRPr="00683F7F" w:rsidRDefault="00683F7F" w:rsidP="00683F7F">
            <w:pPr>
              <w:keepNext/>
              <w:rPr>
                <w:b/>
              </w:rPr>
            </w:pPr>
            <w:r w:rsidRPr="00683F7F">
              <w:rPr>
                <w:b/>
              </w:rPr>
              <w:t>2024</w:t>
            </w:r>
          </w:p>
        </w:tc>
        <w:tc>
          <w:tcPr>
            <w:tcW w:w="1272" w:type="dxa"/>
          </w:tcPr>
          <w:p w:rsidR="00683F7F" w:rsidRPr="00683F7F" w:rsidRDefault="00683F7F" w:rsidP="00683F7F">
            <w:pPr>
              <w:keepNext/>
              <w:jc w:val="right"/>
            </w:pPr>
            <w:r w:rsidRPr="00683F7F">
              <w:t xml:space="preserve">28.5 </w:t>
            </w:r>
          </w:p>
        </w:tc>
        <w:tc>
          <w:tcPr>
            <w:tcW w:w="867" w:type="dxa"/>
          </w:tcPr>
          <w:p w:rsidR="00683F7F" w:rsidRPr="00683F7F" w:rsidRDefault="00683F7F" w:rsidP="00683F7F">
            <w:pPr>
              <w:keepNext/>
              <w:jc w:val="right"/>
            </w:pPr>
            <w:r w:rsidRPr="00683F7F">
              <w:t xml:space="preserve">29.4 </w:t>
            </w:r>
          </w:p>
        </w:tc>
        <w:tc>
          <w:tcPr>
            <w:tcW w:w="919" w:type="dxa"/>
          </w:tcPr>
          <w:p w:rsidR="00683F7F" w:rsidRPr="00683F7F" w:rsidRDefault="00683F7F" w:rsidP="00683F7F">
            <w:pPr>
              <w:keepNext/>
              <w:jc w:val="right"/>
            </w:pPr>
            <w:r w:rsidRPr="00683F7F">
              <w:t xml:space="preserve">17.8 </w:t>
            </w:r>
          </w:p>
        </w:tc>
        <w:tc>
          <w:tcPr>
            <w:tcW w:w="917" w:type="dxa"/>
          </w:tcPr>
          <w:p w:rsidR="00683F7F" w:rsidRPr="00683F7F" w:rsidRDefault="00683F7F" w:rsidP="00683F7F">
            <w:pPr>
              <w:keepNext/>
              <w:jc w:val="right"/>
            </w:pPr>
            <w:r w:rsidRPr="00683F7F">
              <w:t xml:space="preserve">17.8 </w:t>
            </w:r>
          </w:p>
        </w:tc>
        <w:tc>
          <w:tcPr>
            <w:tcW w:w="920" w:type="dxa"/>
          </w:tcPr>
          <w:p w:rsidR="00683F7F" w:rsidRPr="00683F7F" w:rsidRDefault="00683F7F" w:rsidP="00683F7F">
            <w:pPr>
              <w:keepNext/>
              <w:jc w:val="right"/>
            </w:pPr>
            <w:r w:rsidRPr="00683F7F">
              <w:t xml:space="preserve">28.3 </w:t>
            </w:r>
          </w:p>
        </w:tc>
        <w:tc>
          <w:tcPr>
            <w:tcW w:w="918" w:type="dxa"/>
          </w:tcPr>
          <w:p w:rsidR="00683F7F" w:rsidRPr="00683F7F" w:rsidRDefault="00683F7F" w:rsidP="00683F7F">
            <w:pPr>
              <w:keepNext/>
              <w:jc w:val="right"/>
            </w:pPr>
            <w:r w:rsidRPr="00683F7F">
              <w:t xml:space="preserve">28.3 </w:t>
            </w:r>
          </w:p>
        </w:tc>
      </w:tr>
      <w:tr w:rsidR="00683F7F" w:rsidRPr="00683F7F" w:rsidTr="00C560E3">
        <w:trPr>
          <w:jc w:val="center"/>
        </w:trPr>
        <w:tc>
          <w:tcPr>
            <w:tcW w:w="939" w:type="dxa"/>
          </w:tcPr>
          <w:p w:rsidR="00683F7F" w:rsidRPr="00683F7F" w:rsidRDefault="00683F7F" w:rsidP="00683F7F">
            <w:pPr>
              <w:keepNext/>
              <w:rPr>
                <w:b/>
              </w:rPr>
            </w:pPr>
            <w:r w:rsidRPr="00683F7F">
              <w:rPr>
                <w:b/>
              </w:rPr>
              <w:t>Total</w:t>
            </w:r>
            <w:r w:rsidRPr="00683F7F">
              <w:rPr>
                <w:b/>
                <w:vertAlign w:val="superscript"/>
              </w:rPr>
              <w:footnoteReference w:id="6"/>
            </w:r>
          </w:p>
        </w:tc>
        <w:tc>
          <w:tcPr>
            <w:tcW w:w="1272" w:type="dxa"/>
          </w:tcPr>
          <w:p w:rsidR="00683F7F" w:rsidRPr="00683F7F" w:rsidRDefault="00683F7F" w:rsidP="00683F7F">
            <w:pPr>
              <w:keepNext/>
              <w:jc w:val="right"/>
              <w:rPr>
                <w:b/>
              </w:rPr>
            </w:pPr>
            <w:r w:rsidRPr="00683F7F">
              <w:rPr>
                <w:b/>
              </w:rPr>
              <w:t xml:space="preserve">267.8 </w:t>
            </w:r>
          </w:p>
        </w:tc>
        <w:tc>
          <w:tcPr>
            <w:tcW w:w="867" w:type="dxa"/>
          </w:tcPr>
          <w:p w:rsidR="00683F7F" w:rsidRPr="00683F7F" w:rsidRDefault="00683F7F" w:rsidP="00683F7F">
            <w:pPr>
              <w:keepNext/>
              <w:jc w:val="right"/>
              <w:rPr>
                <w:b/>
              </w:rPr>
            </w:pPr>
            <w:r w:rsidRPr="00683F7F">
              <w:rPr>
                <w:b/>
              </w:rPr>
              <w:t xml:space="preserve">273.2 </w:t>
            </w:r>
          </w:p>
        </w:tc>
        <w:tc>
          <w:tcPr>
            <w:tcW w:w="919" w:type="dxa"/>
          </w:tcPr>
          <w:p w:rsidR="00683F7F" w:rsidRPr="00683F7F" w:rsidRDefault="00683F7F" w:rsidP="00683F7F">
            <w:pPr>
              <w:keepNext/>
              <w:jc w:val="right"/>
              <w:rPr>
                <w:b/>
              </w:rPr>
            </w:pPr>
            <w:r w:rsidRPr="00683F7F">
              <w:rPr>
                <w:b/>
              </w:rPr>
              <w:t xml:space="preserve">166.0 </w:t>
            </w:r>
          </w:p>
        </w:tc>
        <w:tc>
          <w:tcPr>
            <w:tcW w:w="917" w:type="dxa"/>
          </w:tcPr>
          <w:p w:rsidR="00683F7F" w:rsidRPr="00683F7F" w:rsidRDefault="00683F7F" w:rsidP="00683F7F">
            <w:pPr>
              <w:keepNext/>
              <w:jc w:val="right"/>
              <w:rPr>
                <w:b/>
              </w:rPr>
            </w:pPr>
            <w:r w:rsidRPr="00683F7F">
              <w:rPr>
                <w:b/>
              </w:rPr>
              <w:t xml:space="preserve">166.5 </w:t>
            </w:r>
          </w:p>
        </w:tc>
        <w:tc>
          <w:tcPr>
            <w:tcW w:w="920" w:type="dxa"/>
          </w:tcPr>
          <w:p w:rsidR="00683F7F" w:rsidRPr="00683F7F" w:rsidRDefault="00683F7F" w:rsidP="00683F7F">
            <w:pPr>
              <w:keepNext/>
              <w:jc w:val="right"/>
              <w:rPr>
                <w:b/>
              </w:rPr>
            </w:pPr>
            <w:r w:rsidRPr="00683F7F">
              <w:rPr>
                <w:b/>
              </w:rPr>
              <w:t xml:space="preserve">247.2 </w:t>
            </w:r>
          </w:p>
        </w:tc>
        <w:tc>
          <w:tcPr>
            <w:tcW w:w="918" w:type="dxa"/>
          </w:tcPr>
          <w:p w:rsidR="00683F7F" w:rsidRPr="00683F7F" w:rsidRDefault="00683F7F" w:rsidP="00683F7F">
            <w:pPr>
              <w:keepNext/>
              <w:jc w:val="right"/>
              <w:rPr>
                <w:b/>
              </w:rPr>
            </w:pPr>
            <w:r w:rsidRPr="00683F7F">
              <w:rPr>
                <w:b/>
              </w:rPr>
              <w:t xml:space="preserve">249.5 </w:t>
            </w:r>
          </w:p>
        </w:tc>
      </w:tr>
    </w:tbl>
    <w:p w:rsidR="00683F7F" w:rsidRPr="00683F7F" w:rsidRDefault="00683F7F" w:rsidP="00683F7F">
      <w:pPr>
        <w:spacing w:after="480"/>
        <w:ind w:left="1350"/>
        <w:jc w:val="both"/>
      </w:pPr>
      <w:r w:rsidRPr="00683F7F">
        <w:t>Source: FPSC Order No. PSC-14-0632-FOF-EG, FPL’s DSM Plan Filing</w:t>
      </w:r>
    </w:p>
    <w:p w:rsidR="00683F7F" w:rsidRPr="00447E61" w:rsidRDefault="00683F7F" w:rsidP="00683F7F">
      <w:pPr>
        <w:keepNext/>
        <w:spacing w:before="480"/>
        <w:jc w:val="center"/>
        <w:rPr>
          <w:b/>
        </w:rPr>
      </w:pPr>
      <w:r w:rsidRPr="00447E61">
        <w:rPr>
          <w:b/>
        </w:rPr>
        <w:lastRenderedPageBreak/>
        <w:t xml:space="preserve">Table </w:t>
      </w:r>
      <w:r w:rsidR="00447E61">
        <w:rPr>
          <w:b/>
        </w:rPr>
        <w:t>1-3</w:t>
      </w:r>
    </w:p>
    <w:p w:rsidR="00683F7F" w:rsidRPr="00447E61" w:rsidRDefault="00683F7F" w:rsidP="00683F7F">
      <w:pPr>
        <w:keepNext/>
        <w:jc w:val="center"/>
        <w:rPr>
          <w:b/>
        </w:rPr>
      </w:pPr>
      <w:r w:rsidRPr="00447E61">
        <w:rPr>
          <w:b/>
        </w:rPr>
        <w:t>FPL Commercial/Industrial Sector Goals vs. DSM Plan</w:t>
      </w:r>
    </w:p>
    <w:tbl>
      <w:tblPr>
        <w:tblStyle w:val="TableGrid"/>
        <w:tblW w:w="0" w:type="auto"/>
        <w:jc w:val="center"/>
        <w:tblLook w:val="04A0" w:firstRow="1" w:lastRow="0" w:firstColumn="1" w:lastColumn="0" w:noHBand="0" w:noVBand="1"/>
      </w:tblPr>
      <w:tblGrid>
        <w:gridCol w:w="939"/>
        <w:gridCol w:w="1272"/>
        <w:gridCol w:w="867"/>
        <w:gridCol w:w="919"/>
        <w:gridCol w:w="917"/>
        <w:gridCol w:w="920"/>
        <w:gridCol w:w="918"/>
      </w:tblGrid>
      <w:tr w:rsidR="00683F7F" w:rsidRPr="00683F7F" w:rsidTr="00C560E3">
        <w:trPr>
          <w:jc w:val="center"/>
        </w:trPr>
        <w:tc>
          <w:tcPr>
            <w:tcW w:w="939" w:type="dxa"/>
            <w:vMerge w:val="restart"/>
            <w:vAlign w:val="center"/>
          </w:tcPr>
          <w:p w:rsidR="00683F7F" w:rsidRPr="00683F7F" w:rsidRDefault="00683F7F" w:rsidP="00683F7F">
            <w:pPr>
              <w:keepNext/>
              <w:jc w:val="center"/>
              <w:rPr>
                <w:b/>
              </w:rPr>
            </w:pPr>
            <w:r w:rsidRPr="00683F7F">
              <w:rPr>
                <w:b/>
              </w:rPr>
              <w:t>Year</w:t>
            </w:r>
          </w:p>
        </w:tc>
        <w:tc>
          <w:tcPr>
            <w:tcW w:w="2139" w:type="dxa"/>
            <w:gridSpan w:val="2"/>
            <w:vAlign w:val="center"/>
          </w:tcPr>
          <w:p w:rsidR="00683F7F" w:rsidRPr="00683F7F" w:rsidRDefault="00683F7F" w:rsidP="00683F7F">
            <w:pPr>
              <w:keepNext/>
              <w:jc w:val="center"/>
              <w:rPr>
                <w:b/>
              </w:rPr>
            </w:pPr>
            <w:r w:rsidRPr="00683F7F">
              <w:rPr>
                <w:b/>
              </w:rPr>
              <w:t>Summer (MW)</w:t>
            </w:r>
          </w:p>
        </w:tc>
        <w:tc>
          <w:tcPr>
            <w:tcW w:w="1836" w:type="dxa"/>
            <w:gridSpan w:val="2"/>
            <w:vAlign w:val="center"/>
          </w:tcPr>
          <w:p w:rsidR="00683F7F" w:rsidRPr="00683F7F" w:rsidRDefault="00683F7F" w:rsidP="00683F7F">
            <w:pPr>
              <w:keepNext/>
              <w:jc w:val="center"/>
              <w:rPr>
                <w:b/>
              </w:rPr>
            </w:pPr>
            <w:r w:rsidRPr="00683F7F">
              <w:rPr>
                <w:b/>
              </w:rPr>
              <w:t>Winter (MW)</w:t>
            </w:r>
          </w:p>
        </w:tc>
        <w:tc>
          <w:tcPr>
            <w:tcW w:w="1838" w:type="dxa"/>
            <w:gridSpan w:val="2"/>
            <w:vAlign w:val="center"/>
          </w:tcPr>
          <w:p w:rsidR="00683F7F" w:rsidRPr="00683F7F" w:rsidRDefault="00683F7F" w:rsidP="00683F7F">
            <w:pPr>
              <w:keepNext/>
              <w:jc w:val="center"/>
              <w:rPr>
                <w:b/>
              </w:rPr>
            </w:pPr>
            <w:r w:rsidRPr="00683F7F">
              <w:rPr>
                <w:b/>
              </w:rPr>
              <w:t>Annual Energy (GWh)</w:t>
            </w:r>
          </w:p>
        </w:tc>
      </w:tr>
      <w:tr w:rsidR="00683F7F" w:rsidRPr="00683F7F" w:rsidTr="00C560E3">
        <w:trPr>
          <w:jc w:val="center"/>
        </w:trPr>
        <w:tc>
          <w:tcPr>
            <w:tcW w:w="939" w:type="dxa"/>
            <w:vMerge/>
            <w:vAlign w:val="center"/>
          </w:tcPr>
          <w:p w:rsidR="00683F7F" w:rsidRPr="00683F7F" w:rsidRDefault="00683F7F" w:rsidP="00683F7F">
            <w:pPr>
              <w:keepNext/>
              <w:jc w:val="center"/>
            </w:pPr>
          </w:p>
        </w:tc>
        <w:tc>
          <w:tcPr>
            <w:tcW w:w="1272" w:type="dxa"/>
            <w:vAlign w:val="center"/>
          </w:tcPr>
          <w:p w:rsidR="00683F7F" w:rsidRPr="00683F7F" w:rsidRDefault="00683F7F" w:rsidP="00683F7F">
            <w:pPr>
              <w:keepNext/>
              <w:jc w:val="center"/>
              <w:rPr>
                <w:rFonts w:cs="Calibri"/>
                <w:b/>
              </w:rPr>
            </w:pPr>
            <w:r w:rsidRPr="00683F7F">
              <w:rPr>
                <w:rFonts w:cs="Calibri"/>
                <w:b/>
              </w:rPr>
              <w:t>Goal</w:t>
            </w:r>
          </w:p>
        </w:tc>
        <w:tc>
          <w:tcPr>
            <w:tcW w:w="867" w:type="dxa"/>
            <w:vAlign w:val="center"/>
          </w:tcPr>
          <w:p w:rsidR="00683F7F" w:rsidRPr="00683F7F" w:rsidRDefault="00683F7F" w:rsidP="00683F7F">
            <w:pPr>
              <w:keepNext/>
              <w:jc w:val="center"/>
              <w:rPr>
                <w:rFonts w:cs="Calibri"/>
                <w:b/>
              </w:rPr>
            </w:pPr>
            <w:r w:rsidRPr="00683F7F">
              <w:rPr>
                <w:rFonts w:cs="Calibri"/>
                <w:b/>
              </w:rPr>
              <w:t>DSM</w:t>
            </w:r>
          </w:p>
          <w:p w:rsidR="00683F7F" w:rsidRPr="00683F7F" w:rsidRDefault="00683F7F" w:rsidP="00683F7F">
            <w:pPr>
              <w:keepNext/>
              <w:jc w:val="center"/>
              <w:rPr>
                <w:rFonts w:cs="Calibri"/>
                <w:b/>
              </w:rPr>
            </w:pPr>
            <w:r w:rsidRPr="00683F7F">
              <w:rPr>
                <w:rFonts w:cs="Calibri"/>
                <w:b/>
              </w:rPr>
              <w:t>Plan</w:t>
            </w:r>
          </w:p>
        </w:tc>
        <w:tc>
          <w:tcPr>
            <w:tcW w:w="919" w:type="dxa"/>
            <w:vAlign w:val="center"/>
          </w:tcPr>
          <w:p w:rsidR="00683F7F" w:rsidRPr="00683F7F" w:rsidRDefault="00683F7F" w:rsidP="00683F7F">
            <w:pPr>
              <w:keepNext/>
              <w:jc w:val="center"/>
              <w:rPr>
                <w:rFonts w:cs="Calibri"/>
                <w:b/>
              </w:rPr>
            </w:pPr>
            <w:r w:rsidRPr="00683F7F">
              <w:rPr>
                <w:rFonts w:cs="Calibri"/>
                <w:b/>
              </w:rPr>
              <w:t>Goal</w:t>
            </w:r>
          </w:p>
        </w:tc>
        <w:tc>
          <w:tcPr>
            <w:tcW w:w="917" w:type="dxa"/>
            <w:vAlign w:val="center"/>
          </w:tcPr>
          <w:p w:rsidR="00683F7F" w:rsidRPr="00683F7F" w:rsidRDefault="00683F7F" w:rsidP="00683F7F">
            <w:pPr>
              <w:keepNext/>
              <w:jc w:val="center"/>
              <w:rPr>
                <w:rFonts w:cs="Calibri"/>
                <w:b/>
              </w:rPr>
            </w:pPr>
            <w:r w:rsidRPr="00683F7F">
              <w:rPr>
                <w:rFonts w:cs="Calibri"/>
                <w:b/>
              </w:rPr>
              <w:t>DSM</w:t>
            </w:r>
          </w:p>
          <w:p w:rsidR="00683F7F" w:rsidRPr="00683F7F" w:rsidRDefault="00683F7F" w:rsidP="00683F7F">
            <w:pPr>
              <w:keepNext/>
              <w:jc w:val="center"/>
              <w:rPr>
                <w:rFonts w:cs="Calibri"/>
                <w:b/>
              </w:rPr>
            </w:pPr>
            <w:r w:rsidRPr="00683F7F">
              <w:rPr>
                <w:rFonts w:cs="Calibri"/>
                <w:b/>
              </w:rPr>
              <w:t>Plan</w:t>
            </w:r>
          </w:p>
        </w:tc>
        <w:tc>
          <w:tcPr>
            <w:tcW w:w="920" w:type="dxa"/>
            <w:vAlign w:val="center"/>
          </w:tcPr>
          <w:p w:rsidR="00683F7F" w:rsidRPr="00683F7F" w:rsidRDefault="00683F7F" w:rsidP="00683F7F">
            <w:pPr>
              <w:keepNext/>
              <w:jc w:val="center"/>
              <w:rPr>
                <w:rFonts w:cs="Calibri"/>
                <w:b/>
              </w:rPr>
            </w:pPr>
            <w:r w:rsidRPr="00683F7F">
              <w:rPr>
                <w:rFonts w:cs="Calibri"/>
                <w:b/>
              </w:rPr>
              <w:t>Goal</w:t>
            </w:r>
          </w:p>
        </w:tc>
        <w:tc>
          <w:tcPr>
            <w:tcW w:w="918" w:type="dxa"/>
            <w:vAlign w:val="center"/>
          </w:tcPr>
          <w:p w:rsidR="00683F7F" w:rsidRPr="00683F7F" w:rsidRDefault="00683F7F" w:rsidP="00683F7F">
            <w:pPr>
              <w:keepNext/>
              <w:jc w:val="center"/>
              <w:rPr>
                <w:rFonts w:cs="Calibri"/>
                <w:b/>
              </w:rPr>
            </w:pPr>
            <w:r w:rsidRPr="00683F7F">
              <w:rPr>
                <w:rFonts w:cs="Calibri"/>
                <w:b/>
              </w:rPr>
              <w:t>DSM</w:t>
            </w:r>
          </w:p>
          <w:p w:rsidR="00683F7F" w:rsidRPr="00683F7F" w:rsidRDefault="00683F7F" w:rsidP="00683F7F">
            <w:pPr>
              <w:keepNext/>
              <w:jc w:val="center"/>
              <w:rPr>
                <w:rFonts w:cs="Calibri"/>
                <w:b/>
              </w:rPr>
            </w:pPr>
            <w:r w:rsidRPr="00683F7F">
              <w:rPr>
                <w:rFonts w:cs="Calibri"/>
                <w:b/>
              </w:rPr>
              <w:t>Plan</w:t>
            </w:r>
          </w:p>
        </w:tc>
      </w:tr>
      <w:tr w:rsidR="00683F7F" w:rsidRPr="00683F7F" w:rsidTr="00C560E3">
        <w:trPr>
          <w:jc w:val="center"/>
        </w:trPr>
        <w:tc>
          <w:tcPr>
            <w:tcW w:w="939" w:type="dxa"/>
          </w:tcPr>
          <w:p w:rsidR="00683F7F" w:rsidRPr="00683F7F" w:rsidRDefault="00683F7F" w:rsidP="00683F7F">
            <w:pPr>
              <w:keepNext/>
              <w:rPr>
                <w:b/>
              </w:rPr>
            </w:pPr>
            <w:r w:rsidRPr="00683F7F">
              <w:rPr>
                <w:b/>
              </w:rPr>
              <w:t>2015</w:t>
            </w:r>
          </w:p>
        </w:tc>
        <w:tc>
          <w:tcPr>
            <w:tcW w:w="1272" w:type="dxa"/>
          </w:tcPr>
          <w:p w:rsidR="00683F7F" w:rsidRPr="00683F7F" w:rsidRDefault="00683F7F" w:rsidP="00683F7F">
            <w:pPr>
              <w:keepNext/>
              <w:jc w:val="right"/>
            </w:pPr>
            <w:r w:rsidRPr="00683F7F">
              <w:t xml:space="preserve">22.8 </w:t>
            </w:r>
          </w:p>
        </w:tc>
        <w:tc>
          <w:tcPr>
            <w:tcW w:w="867" w:type="dxa"/>
          </w:tcPr>
          <w:p w:rsidR="00683F7F" w:rsidRPr="00683F7F" w:rsidRDefault="00683F7F" w:rsidP="00683F7F">
            <w:pPr>
              <w:keepNext/>
              <w:jc w:val="right"/>
            </w:pPr>
            <w:r w:rsidRPr="00683F7F">
              <w:t xml:space="preserve">22.8 </w:t>
            </w:r>
          </w:p>
        </w:tc>
        <w:tc>
          <w:tcPr>
            <w:tcW w:w="919" w:type="dxa"/>
          </w:tcPr>
          <w:p w:rsidR="00683F7F" w:rsidRPr="00683F7F" w:rsidRDefault="00683F7F" w:rsidP="00683F7F">
            <w:pPr>
              <w:keepNext/>
              <w:jc w:val="right"/>
            </w:pPr>
            <w:r w:rsidRPr="00683F7F">
              <w:t xml:space="preserve">13.6 </w:t>
            </w:r>
          </w:p>
        </w:tc>
        <w:tc>
          <w:tcPr>
            <w:tcW w:w="917" w:type="dxa"/>
          </w:tcPr>
          <w:p w:rsidR="00683F7F" w:rsidRPr="00683F7F" w:rsidRDefault="00683F7F" w:rsidP="00683F7F">
            <w:pPr>
              <w:keepNext/>
              <w:jc w:val="right"/>
            </w:pPr>
            <w:r w:rsidRPr="00683F7F">
              <w:t xml:space="preserve">13.6 </w:t>
            </w:r>
          </w:p>
        </w:tc>
        <w:tc>
          <w:tcPr>
            <w:tcW w:w="920" w:type="dxa"/>
          </w:tcPr>
          <w:p w:rsidR="00683F7F" w:rsidRPr="00683F7F" w:rsidRDefault="00683F7F" w:rsidP="00683F7F">
            <w:pPr>
              <w:keepNext/>
              <w:jc w:val="right"/>
            </w:pPr>
            <w:r w:rsidRPr="00683F7F">
              <w:t xml:space="preserve">19.6 </w:t>
            </w:r>
          </w:p>
        </w:tc>
        <w:tc>
          <w:tcPr>
            <w:tcW w:w="918" w:type="dxa"/>
          </w:tcPr>
          <w:p w:rsidR="00683F7F" w:rsidRPr="00683F7F" w:rsidRDefault="00683F7F" w:rsidP="00683F7F">
            <w:pPr>
              <w:keepNext/>
              <w:jc w:val="right"/>
            </w:pPr>
            <w:r w:rsidRPr="00683F7F">
              <w:t xml:space="preserve">19.6 </w:t>
            </w:r>
          </w:p>
        </w:tc>
      </w:tr>
      <w:tr w:rsidR="00683F7F" w:rsidRPr="00683F7F" w:rsidTr="00C560E3">
        <w:trPr>
          <w:jc w:val="center"/>
        </w:trPr>
        <w:tc>
          <w:tcPr>
            <w:tcW w:w="939" w:type="dxa"/>
          </w:tcPr>
          <w:p w:rsidR="00683F7F" w:rsidRPr="00683F7F" w:rsidRDefault="00683F7F" w:rsidP="00683F7F">
            <w:pPr>
              <w:keepNext/>
              <w:rPr>
                <w:b/>
              </w:rPr>
            </w:pPr>
            <w:r w:rsidRPr="00683F7F">
              <w:rPr>
                <w:b/>
              </w:rPr>
              <w:t>2016</w:t>
            </w:r>
          </w:p>
        </w:tc>
        <w:tc>
          <w:tcPr>
            <w:tcW w:w="1272" w:type="dxa"/>
          </w:tcPr>
          <w:p w:rsidR="00683F7F" w:rsidRPr="00683F7F" w:rsidRDefault="00683F7F" w:rsidP="00683F7F">
            <w:pPr>
              <w:keepNext/>
              <w:jc w:val="right"/>
            </w:pPr>
            <w:r w:rsidRPr="00683F7F">
              <w:t xml:space="preserve">24.0 </w:t>
            </w:r>
          </w:p>
        </w:tc>
        <w:tc>
          <w:tcPr>
            <w:tcW w:w="867" w:type="dxa"/>
          </w:tcPr>
          <w:p w:rsidR="00683F7F" w:rsidRPr="00683F7F" w:rsidRDefault="00683F7F" w:rsidP="00683F7F">
            <w:pPr>
              <w:keepNext/>
              <w:jc w:val="right"/>
            </w:pPr>
            <w:r w:rsidRPr="00683F7F">
              <w:t xml:space="preserve">24.0 </w:t>
            </w:r>
          </w:p>
        </w:tc>
        <w:tc>
          <w:tcPr>
            <w:tcW w:w="919" w:type="dxa"/>
          </w:tcPr>
          <w:p w:rsidR="00683F7F" w:rsidRPr="00683F7F" w:rsidRDefault="00683F7F" w:rsidP="00683F7F">
            <w:pPr>
              <w:keepNext/>
              <w:jc w:val="right"/>
            </w:pPr>
            <w:r w:rsidRPr="00683F7F">
              <w:t xml:space="preserve">14.3 </w:t>
            </w:r>
          </w:p>
        </w:tc>
        <w:tc>
          <w:tcPr>
            <w:tcW w:w="917" w:type="dxa"/>
          </w:tcPr>
          <w:p w:rsidR="00683F7F" w:rsidRPr="00683F7F" w:rsidRDefault="00683F7F" w:rsidP="00683F7F">
            <w:pPr>
              <w:keepNext/>
              <w:jc w:val="right"/>
            </w:pPr>
            <w:r w:rsidRPr="00683F7F">
              <w:t xml:space="preserve">14.3 </w:t>
            </w:r>
          </w:p>
        </w:tc>
        <w:tc>
          <w:tcPr>
            <w:tcW w:w="920" w:type="dxa"/>
          </w:tcPr>
          <w:p w:rsidR="00683F7F" w:rsidRPr="00683F7F" w:rsidRDefault="00683F7F" w:rsidP="00683F7F">
            <w:pPr>
              <w:keepNext/>
              <w:jc w:val="right"/>
            </w:pPr>
            <w:r w:rsidRPr="00683F7F">
              <w:t xml:space="preserve">23.4 </w:t>
            </w:r>
          </w:p>
        </w:tc>
        <w:tc>
          <w:tcPr>
            <w:tcW w:w="918" w:type="dxa"/>
          </w:tcPr>
          <w:p w:rsidR="00683F7F" w:rsidRPr="00683F7F" w:rsidRDefault="00683F7F" w:rsidP="00683F7F">
            <w:pPr>
              <w:keepNext/>
              <w:jc w:val="right"/>
            </w:pPr>
            <w:r w:rsidRPr="00683F7F">
              <w:t xml:space="preserve">23.4 </w:t>
            </w:r>
          </w:p>
        </w:tc>
      </w:tr>
      <w:tr w:rsidR="00683F7F" w:rsidRPr="00683F7F" w:rsidTr="00C560E3">
        <w:trPr>
          <w:jc w:val="center"/>
        </w:trPr>
        <w:tc>
          <w:tcPr>
            <w:tcW w:w="939" w:type="dxa"/>
          </w:tcPr>
          <w:p w:rsidR="00683F7F" w:rsidRPr="00683F7F" w:rsidRDefault="00683F7F" w:rsidP="00683F7F">
            <w:pPr>
              <w:keepNext/>
              <w:rPr>
                <w:b/>
              </w:rPr>
            </w:pPr>
            <w:r w:rsidRPr="00683F7F">
              <w:rPr>
                <w:b/>
              </w:rPr>
              <w:t>2017</w:t>
            </w:r>
          </w:p>
        </w:tc>
        <w:tc>
          <w:tcPr>
            <w:tcW w:w="1272" w:type="dxa"/>
          </w:tcPr>
          <w:p w:rsidR="00683F7F" w:rsidRPr="00683F7F" w:rsidRDefault="00683F7F" w:rsidP="00683F7F">
            <w:pPr>
              <w:keepNext/>
              <w:jc w:val="right"/>
            </w:pPr>
            <w:r w:rsidRPr="00683F7F">
              <w:t xml:space="preserve">24.9 </w:t>
            </w:r>
          </w:p>
        </w:tc>
        <w:tc>
          <w:tcPr>
            <w:tcW w:w="867" w:type="dxa"/>
          </w:tcPr>
          <w:p w:rsidR="00683F7F" w:rsidRPr="00683F7F" w:rsidRDefault="00683F7F" w:rsidP="00683F7F">
            <w:pPr>
              <w:keepNext/>
              <w:jc w:val="right"/>
            </w:pPr>
            <w:r w:rsidRPr="00683F7F">
              <w:t xml:space="preserve">24.9 </w:t>
            </w:r>
          </w:p>
        </w:tc>
        <w:tc>
          <w:tcPr>
            <w:tcW w:w="919" w:type="dxa"/>
          </w:tcPr>
          <w:p w:rsidR="00683F7F" w:rsidRPr="00683F7F" w:rsidRDefault="00683F7F" w:rsidP="00683F7F">
            <w:pPr>
              <w:keepNext/>
              <w:jc w:val="right"/>
            </w:pPr>
            <w:r w:rsidRPr="00683F7F">
              <w:t xml:space="preserve">14.9 </w:t>
            </w:r>
          </w:p>
        </w:tc>
        <w:tc>
          <w:tcPr>
            <w:tcW w:w="917" w:type="dxa"/>
          </w:tcPr>
          <w:p w:rsidR="00683F7F" w:rsidRPr="00683F7F" w:rsidRDefault="00683F7F" w:rsidP="00683F7F">
            <w:pPr>
              <w:keepNext/>
              <w:jc w:val="right"/>
            </w:pPr>
            <w:r w:rsidRPr="00683F7F">
              <w:t xml:space="preserve">14.9 </w:t>
            </w:r>
          </w:p>
        </w:tc>
        <w:tc>
          <w:tcPr>
            <w:tcW w:w="920" w:type="dxa"/>
          </w:tcPr>
          <w:p w:rsidR="00683F7F" w:rsidRPr="00683F7F" w:rsidRDefault="00683F7F" w:rsidP="00683F7F">
            <w:pPr>
              <w:keepNext/>
              <w:jc w:val="right"/>
            </w:pPr>
            <w:r w:rsidRPr="00683F7F">
              <w:t xml:space="preserve">24.7 </w:t>
            </w:r>
          </w:p>
        </w:tc>
        <w:tc>
          <w:tcPr>
            <w:tcW w:w="918" w:type="dxa"/>
          </w:tcPr>
          <w:p w:rsidR="00683F7F" w:rsidRPr="00683F7F" w:rsidRDefault="00683F7F" w:rsidP="00683F7F">
            <w:pPr>
              <w:keepNext/>
              <w:jc w:val="right"/>
            </w:pPr>
            <w:r w:rsidRPr="00683F7F">
              <w:t xml:space="preserve">24.7 </w:t>
            </w:r>
          </w:p>
        </w:tc>
      </w:tr>
      <w:tr w:rsidR="00683F7F" w:rsidRPr="00683F7F" w:rsidTr="00C560E3">
        <w:trPr>
          <w:jc w:val="center"/>
        </w:trPr>
        <w:tc>
          <w:tcPr>
            <w:tcW w:w="939" w:type="dxa"/>
          </w:tcPr>
          <w:p w:rsidR="00683F7F" w:rsidRPr="00683F7F" w:rsidRDefault="00683F7F" w:rsidP="00683F7F">
            <w:pPr>
              <w:keepNext/>
              <w:rPr>
                <w:b/>
              </w:rPr>
            </w:pPr>
            <w:r w:rsidRPr="00683F7F">
              <w:rPr>
                <w:b/>
              </w:rPr>
              <w:t>2018</w:t>
            </w:r>
          </w:p>
        </w:tc>
        <w:tc>
          <w:tcPr>
            <w:tcW w:w="1272" w:type="dxa"/>
          </w:tcPr>
          <w:p w:rsidR="00683F7F" w:rsidRPr="00683F7F" w:rsidRDefault="00683F7F" w:rsidP="00683F7F">
            <w:pPr>
              <w:keepNext/>
              <w:jc w:val="right"/>
            </w:pPr>
            <w:r w:rsidRPr="00683F7F">
              <w:t xml:space="preserve">25.3 </w:t>
            </w:r>
          </w:p>
        </w:tc>
        <w:tc>
          <w:tcPr>
            <w:tcW w:w="867" w:type="dxa"/>
          </w:tcPr>
          <w:p w:rsidR="00683F7F" w:rsidRPr="00683F7F" w:rsidRDefault="00683F7F" w:rsidP="00683F7F">
            <w:pPr>
              <w:keepNext/>
              <w:jc w:val="right"/>
            </w:pPr>
            <w:r w:rsidRPr="00683F7F">
              <w:t xml:space="preserve">25.3 </w:t>
            </w:r>
          </w:p>
        </w:tc>
        <w:tc>
          <w:tcPr>
            <w:tcW w:w="919" w:type="dxa"/>
          </w:tcPr>
          <w:p w:rsidR="00683F7F" w:rsidRPr="00683F7F" w:rsidRDefault="00683F7F" w:rsidP="00683F7F">
            <w:pPr>
              <w:keepNext/>
              <w:jc w:val="right"/>
            </w:pPr>
            <w:r w:rsidRPr="00683F7F">
              <w:t xml:space="preserve">15.3 </w:t>
            </w:r>
          </w:p>
        </w:tc>
        <w:tc>
          <w:tcPr>
            <w:tcW w:w="917" w:type="dxa"/>
          </w:tcPr>
          <w:p w:rsidR="00683F7F" w:rsidRPr="00683F7F" w:rsidRDefault="00683F7F" w:rsidP="00683F7F">
            <w:pPr>
              <w:keepNext/>
              <w:jc w:val="right"/>
            </w:pPr>
            <w:r w:rsidRPr="00683F7F">
              <w:t xml:space="preserve">15.3 </w:t>
            </w:r>
          </w:p>
        </w:tc>
        <w:tc>
          <w:tcPr>
            <w:tcW w:w="920" w:type="dxa"/>
          </w:tcPr>
          <w:p w:rsidR="00683F7F" w:rsidRPr="00683F7F" w:rsidRDefault="00683F7F" w:rsidP="00683F7F">
            <w:pPr>
              <w:keepNext/>
              <w:jc w:val="right"/>
            </w:pPr>
            <w:r w:rsidRPr="00683F7F">
              <w:t xml:space="preserve">26.0 </w:t>
            </w:r>
          </w:p>
        </w:tc>
        <w:tc>
          <w:tcPr>
            <w:tcW w:w="918" w:type="dxa"/>
          </w:tcPr>
          <w:p w:rsidR="00683F7F" w:rsidRPr="00683F7F" w:rsidRDefault="00683F7F" w:rsidP="00683F7F">
            <w:pPr>
              <w:keepNext/>
              <w:jc w:val="right"/>
            </w:pPr>
            <w:r w:rsidRPr="00683F7F">
              <w:t xml:space="preserve">26.0 </w:t>
            </w:r>
          </w:p>
        </w:tc>
      </w:tr>
      <w:tr w:rsidR="00683F7F" w:rsidRPr="00683F7F" w:rsidTr="00C560E3">
        <w:trPr>
          <w:jc w:val="center"/>
        </w:trPr>
        <w:tc>
          <w:tcPr>
            <w:tcW w:w="939" w:type="dxa"/>
          </w:tcPr>
          <w:p w:rsidR="00683F7F" w:rsidRPr="00683F7F" w:rsidRDefault="00683F7F" w:rsidP="00683F7F">
            <w:pPr>
              <w:keepNext/>
              <w:rPr>
                <w:b/>
              </w:rPr>
            </w:pPr>
            <w:r w:rsidRPr="00683F7F">
              <w:rPr>
                <w:b/>
              </w:rPr>
              <w:t>2019</w:t>
            </w:r>
          </w:p>
        </w:tc>
        <w:tc>
          <w:tcPr>
            <w:tcW w:w="1272" w:type="dxa"/>
          </w:tcPr>
          <w:p w:rsidR="00683F7F" w:rsidRPr="00683F7F" w:rsidRDefault="00683F7F" w:rsidP="00683F7F">
            <w:pPr>
              <w:keepNext/>
              <w:jc w:val="right"/>
            </w:pPr>
            <w:r w:rsidRPr="00683F7F">
              <w:t xml:space="preserve">25.8 </w:t>
            </w:r>
          </w:p>
        </w:tc>
        <w:tc>
          <w:tcPr>
            <w:tcW w:w="867" w:type="dxa"/>
          </w:tcPr>
          <w:p w:rsidR="00683F7F" w:rsidRPr="00683F7F" w:rsidRDefault="00683F7F" w:rsidP="00683F7F">
            <w:pPr>
              <w:keepNext/>
              <w:jc w:val="right"/>
            </w:pPr>
            <w:r w:rsidRPr="00683F7F">
              <w:t xml:space="preserve">25.8 </w:t>
            </w:r>
          </w:p>
        </w:tc>
        <w:tc>
          <w:tcPr>
            <w:tcW w:w="919" w:type="dxa"/>
          </w:tcPr>
          <w:p w:rsidR="00683F7F" w:rsidRPr="00683F7F" w:rsidRDefault="00683F7F" w:rsidP="00683F7F">
            <w:pPr>
              <w:keepNext/>
              <w:jc w:val="right"/>
            </w:pPr>
            <w:r w:rsidRPr="00683F7F">
              <w:t xml:space="preserve">15.7 </w:t>
            </w:r>
          </w:p>
        </w:tc>
        <w:tc>
          <w:tcPr>
            <w:tcW w:w="917" w:type="dxa"/>
          </w:tcPr>
          <w:p w:rsidR="00683F7F" w:rsidRPr="00683F7F" w:rsidRDefault="00683F7F" w:rsidP="00683F7F">
            <w:pPr>
              <w:keepNext/>
              <w:jc w:val="right"/>
            </w:pPr>
            <w:r w:rsidRPr="00683F7F">
              <w:t xml:space="preserve">15.7 </w:t>
            </w:r>
          </w:p>
        </w:tc>
        <w:tc>
          <w:tcPr>
            <w:tcW w:w="920" w:type="dxa"/>
          </w:tcPr>
          <w:p w:rsidR="00683F7F" w:rsidRPr="00683F7F" w:rsidRDefault="00683F7F" w:rsidP="00683F7F">
            <w:pPr>
              <w:keepNext/>
              <w:jc w:val="right"/>
            </w:pPr>
            <w:r w:rsidRPr="00683F7F">
              <w:t xml:space="preserve">27.3 </w:t>
            </w:r>
          </w:p>
        </w:tc>
        <w:tc>
          <w:tcPr>
            <w:tcW w:w="918" w:type="dxa"/>
          </w:tcPr>
          <w:p w:rsidR="00683F7F" w:rsidRPr="00683F7F" w:rsidRDefault="00683F7F" w:rsidP="00683F7F">
            <w:pPr>
              <w:keepNext/>
              <w:jc w:val="right"/>
            </w:pPr>
            <w:r w:rsidRPr="00683F7F">
              <w:t xml:space="preserve">27.3 </w:t>
            </w:r>
          </w:p>
        </w:tc>
      </w:tr>
      <w:tr w:rsidR="00683F7F" w:rsidRPr="00683F7F" w:rsidTr="00C560E3">
        <w:trPr>
          <w:jc w:val="center"/>
        </w:trPr>
        <w:tc>
          <w:tcPr>
            <w:tcW w:w="939" w:type="dxa"/>
          </w:tcPr>
          <w:p w:rsidR="00683F7F" w:rsidRPr="00683F7F" w:rsidRDefault="00683F7F" w:rsidP="00683F7F">
            <w:pPr>
              <w:keepNext/>
              <w:rPr>
                <w:b/>
              </w:rPr>
            </w:pPr>
            <w:r w:rsidRPr="00683F7F">
              <w:rPr>
                <w:b/>
              </w:rPr>
              <w:t>2020</w:t>
            </w:r>
          </w:p>
        </w:tc>
        <w:tc>
          <w:tcPr>
            <w:tcW w:w="1272" w:type="dxa"/>
          </w:tcPr>
          <w:p w:rsidR="00683F7F" w:rsidRPr="00683F7F" w:rsidRDefault="00683F7F" w:rsidP="00683F7F">
            <w:pPr>
              <w:keepNext/>
              <w:jc w:val="right"/>
            </w:pPr>
            <w:r w:rsidRPr="00683F7F">
              <w:t xml:space="preserve">26.2 </w:t>
            </w:r>
          </w:p>
        </w:tc>
        <w:tc>
          <w:tcPr>
            <w:tcW w:w="867" w:type="dxa"/>
          </w:tcPr>
          <w:p w:rsidR="00683F7F" w:rsidRPr="00683F7F" w:rsidRDefault="00683F7F" w:rsidP="00683F7F">
            <w:pPr>
              <w:keepNext/>
              <w:jc w:val="right"/>
            </w:pPr>
            <w:r w:rsidRPr="00683F7F">
              <w:t xml:space="preserve">26.2 </w:t>
            </w:r>
          </w:p>
        </w:tc>
        <w:tc>
          <w:tcPr>
            <w:tcW w:w="919" w:type="dxa"/>
          </w:tcPr>
          <w:p w:rsidR="00683F7F" w:rsidRPr="00683F7F" w:rsidRDefault="00683F7F" w:rsidP="00683F7F">
            <w:pPr>
              <w:keepNext/>
              <w:jc w:val="right"/>
            </w:pPr>
            <w:r w:rsidRPr="00683F7F">
              <w:t xml:space="preserve">16.1 </w:t>
            </w:r>
          </w:p>
        </w:tc>
        <w:tc>
          <w:tcPr>
            <w:tcW w:w="917" w:type="dxa"/>
          </w:tcPr>
          <w:p w:rsidR="00683F7F" w:rsidRPr="00683F7F" w:rsidRDefault="00683F7F" w:rsidP="00683F7F">
            <w:pPr>
              <w:keepNext/>
              <w:jc w:val="right"/>
            </w:pPr>
            <w:r w:rsidRPr="00683F7F">
              <w:t xml:space="preserve">16.1 </w:t>
            </w:r>
          </w:p>
        </w:tc>
        <w:tc>
          <w:tcPr>
            <w:tcW w:w="920" w:type="dxa"/>
          </w:tcPr>
          <w:p w:rsidR="00683F7F" w:rsidRPr="00683F7F" w:rsidRDefault="00683F7F" w:rsidP="00683F7F">
            <w:pPr>
              <w:keepNext/>
              <w:jc w:val="right"/>
            </w:pPr>
            <w:r w:rsidRPr="00683F7F">
              <w:t xml:space="preserve">28.7 </w:t>
            </w:r>
          </w:p>
        </w:tc>
        <w:tc>
          <w:tcPr>
            <w:tcW w:w="918" w:type="dxa"/>
          </w:tcPr>
          <w:p w:rsidR="00683F7F" w:rsidRPr="00683F7F" w:rsidRDefault="00683F7F" w:rsidP="00683F7F">
            <w:pPr>
              <w:keepNext/>
              <w:jc w:val="right"/>
            </w:pPr>
            <w:r w:rsidRPr="00683F7F">
              <w:t xml:space="preserve">28.7 </w:t>
            </w:r>
          </w:p>
        </w:tc>
      </w:tr>
      <w:tr w:rsidR="00683F7F" w:rsidRPr="00683F7F" w:rsidTr="00C560E3">
        <w:trPr>
          <w:jc w:val="center"/>
        </w:trPr>
        <w:tc>
          <w:tcPr>
            <w:tcW w:w="939" w:type="dxa"/>
          </w:tcPr>
          <w:p w:rsidR="00683F7F" w:rsidRPr="00683F7F" w:rsidRDefault="00683F7F" w:rsidP="00683F7F">
            <w:pPr>
              <w:keepNext/>
              <w:rPr>
                <w:b/>
              </w:rPr>
            </w:pPr>
            <w:r w:rsidRPr="00683F7F">
              <w:rPr>
                <w:b/>
              </w:rPr>
              <w:t>2021</w:t>
            </w:r>
          </w:p>
        </w:tc>
        <w:tc>
          <w:tcPr>
            <w:tcW w:w="1272" w:type="dxa"/>
          </w:tcPr>
          <w:p w:rsidR="00683F7F" w:rsidRPr="00683F7F" w:rsidRDefault="00683F7F" w:rsidP="00683F7F">
            <w:pPr>
              <w:keepNext/>
              <w:jc w:val="right"/>
            </w:pPr>
            <w:r w:rsidRPr="00683F7F">
              <w:t xml:space="preserve">26.6 </w:t>
            </w:r>
          </w:p>
        </w:tc>
        <w:tc>
          <w:tcPr>
            <w:tcW w:w="867" w:type="dxa"/>
          </w:tcPr>
          <w:p w:rsidR="00683F7F" w:rsidRPr="00683F7F" w:rsidRDefault="00683F7F" w:rsidP="00683F7F">
            <w:pPr>
              <w:keepNext/>
              <w:jc w:val="right"/>
            </w:pPr>
            <w:r w:rsidRPr="00683F7F">
              <w:t xml:space="preserve">26.6 </w:t>
            </w:r>
          </w:p>
        </w:tc>
        <w:tc>
          <w:tcPr>
            <w:tcW w:w="919" w:type="dxa"/>
          </w:tcPr>
          <w:p w:rsidR="00683F7F" w:rsidRPr="00683F7F" w:rsidRDefault="00683F7F" w:rsidP="00683F7F">
            <w:pPr>
              <w:keepNext/>
              <w:jc w:val="right"/>
            </w:pPr>
            <w:r w:rsidRPr="00683F7F">
              <w:t xml:space="preserve">16.5 </w:t>
            </w:r>
          </w:p>
        </w:tc>
        <w:tc>
          <w:tcPr>
            <w:tcW w:w="917" w:type="dxa"/>
          </w:tcPr>
          <w:p w:rsidR="00683F7F" w:rsidRPr="00683F7F" w:rsidRDefault="00683F7F" w:rsidP="00683F7F">
            <w:pPr>
              <w:keepNext/>
              <w:jc w:val="right"/>
            </w:pPr>
            <w:r w:rsidRPr="00683F7F">
              <w:t xml:space="preserve">16.5 </w:t>
            </w:r>
          </w:p>
        </w:tc>
        <w:tc>
          <w:tcPr>
            <w:tcW w:w="920" w:type="dxa"/>
          </w:tcPr>
          <w:p w:rsidR="00683F7F" w:rsidRPr="00683F7F" w:rsidRDefault="00683F7F" w:rsidP="00683F7F">
            <w:pPr>
              <w:keepNext/>
              <w:jc w:val="right"/>
            </w:pPr>
            <w:r w:rsidRPr="00683F7F">
              <w:t xml:space="preserve">30.1 </w:t>
            </w:r>
          </w:p>
        </w:tc>
        <w:tc>
          <w:tcPr>
            <w:tcW w:w="918" w:type="dxa"/>
          </w:tcPr>
          <w:p w:rsidR="00683F7F" w:rsidRPr="00683F7F" w:rsidRDefault="00683F7F" w:rsidP="00683F7F">
            <w:pPr>
              <w:keepNext/>
              <w:jc w:val="right"/>
            </w:pPr>
            <w:r w:rsidRPr="00683F7F">
              <w:t xml:space="preserve">30.1 </w:t>
            </w:r>
          </w:p>
        </w:tc>
      </w:tr>
      <w:tr w:rsidR="00683F7F" w:rsidRPr="00683F7F" w:rsidTr="00C560E3">
        <w:trPr>
          <w:jc w:val="center"/>
        </w:trPr>
        <w:tc>
          <w:tcPr>
            <w:tcW w:w="939" w:type="dxa"/>
          </w:tcPr>
          <w:p w:rsidR="00683F7F" w:rsidRPr="00683F7F" w:rsidRDefault="00683F7F" w:rsidP="00683F7F">
            <w:pPr>
              <w:keepNext/>
              <w:rPr>
                <w:b/>
              </w:rPr>
            </w:pPr>
            <w:r w:rsidRPr="00683F7F">
              <w:rPr>
                <w:b/>
              </w:rPr>
              <w:t>2022</w:t>
            </w:r>
          </w:p>
        </w:tc>
        <w:tc>
          <w:tcPr>
            <w:tcW w:w="1272" w:type="dxa"/>
          </w:tcPr>
          <w:p w:rsidR="00683F7F" w:rsidRPr="00683F7F" w:rsidRDefault="00683F7F" w:rsidP="00683F7F">
            <w:pPr>
              <w:keepNext/>
              <w:jc w:val="right"/>
            </w:pPr>
            <w:r w:rsidRPr="00683F7F">
              <w:t xml:space="preserve">27.1 </w:t>
            </w:r>
          </w:p>
        </w:tc>
        <w:tc>
          <w:tcPr>
            <w:tcW w:w="867" w:type="dxa"/>
          </w:tcPr>
          <w:p w:rsidR="00683F7F" w:rsidRPr="00683F7F" w:rsidRDefault="00683F7F" w:rsidP="00683F7F">
            <w:pPr>
              <w:keepNext/>
              <w:jc w:val="right"/>
            </w:pPr>
            <w:r w:rsidRPr="00683F7F">
              <w:t xml:space="preserve">27.1 </w:t>
            </w:r>
          </w:p>
        </w:tc>
        <w:tc>
          <w:tcPr>
            <w:tcW w:w="919" w:type="dxa"/>
          </w:tcPr>
          <w:p w:rsidR="00683F7F" w:rsidRPr="00683F7F" w:rsidRDefault="00683F7F" w:rsidP="00683F7F">
            <w:pPr>
              <w:keepNext/>
              <w:jc w:val="right"/>
            </w:pPr>
            <w:r w:rsidRPr="00683F7F">
              <w:t xml:space="preserve">16.9 </w:t>
            </w:r>
          </w:p>
        </w:tc>
        <w:tc>
          <w:tcPr>
            <w:tcW w:w="917" w:type="dxa"/>
          </w:tcPr>
          <w:p w:rsidR="00683F7F" w:rsidRPr="00683F7F" w:rsidRDefault="00683F7F" w:rsidP="00683F7F">
            <w:pPr>
              <w:keepNext/>
              <w:jc w:val="right"/>
            </w:pPr>
            <w:r w:rsidRPr="00683F7F">
              <w:t xml:space="preserve">16.9 </w:t>
            </w:r>
          </w:p>
        </w:tc>
        <w:tc>
          <w:tcPr>
            <w:tcW w:w="920" w:type="dxa"/>
          </w:tcPr>
          <w:p w:rsidR="00683F7F" w:rsidRPr="00683F7F" w:rsidRDefault="00683F7F" w:rsidP="00683F7F">
            <w:pPr>
              <w:keepNext/>
              <w:jc w:val="right"/>
            </w:pPr>
            <w:r w:rsidRPr="00683F7F">
              <w:t xml:space="preserve">31.6 </w:t>
            </w:r>
          </w:p>
        </w:tc>
        <w:tc>
          <w:tcPr>
            <w:tcW w:w="918" w:type="dxa"/>
          </w:tcPr>
          <w:p w:rsidR="00683F7F" w:rsidRPr="00683F7F" w:rsidRDefault="00683F7F" w:rsidP="00683F7F">
            <w:pPr>
              <w:keepNext/>
              <w:jc w:val="right"/>
            </w:pPr>
            <w:r w:rsidRPr="00683F7F">
              <w:t xml:space="preserve">31.6 </w:t>
            </w:r>
          </w:p>
        </w:tc>
      </w:tr>
      <w:tr w:rsidR="00683F7F" w:rsidRPr="00683F7F" w:rsidTr="00C560E3">
        <w:trPr>
          <w:jc w:val="center"/>
        </w:trPr>
        <w:tc>
          <w:tcPr>
            <w:tcW w:w="939" w:type="dxa"/>
          </w:tcPr>
          <w:p w:rsidR="00683F7F" w:rsidRPr="00683F7F" w:rsidRDefault="00683F7F" w:rsidP="00683F7F">
            <w:pPr>
              <w:keepNext/>
              <w:rPr>
                <w:b/>
              </w:rPr>
            </w:pPr>
            <w:r w:rsidRPr="00683F7F">
              <w:rPr>
                <w:b/>
              </w:rPr>
              <w:t>2023</w:t>
            </w:r>
          </w:p>
        </w:tc>
        <w:tc>
          <w:tcPr>
            <w:tcW w:w="1272" w:type="dxa"/>
          </w:tcPr>
          <w:p w:rsidR="00683F7F" w:rsidRPr="00683F7F" w:rsidRDefault="00683F7F" w:rsidP="00683F7F">
            <w:pPr>
              <w:keepNext/>
              <w:jc w:val="right"/>
            </w:pPr>
            <w:r w:rsidRPr="00683F7F">
              <w:t xml:space="preserve">27.5 </w:t>
            </w:r>
          </w:p>
        </w:tc>
        <w:tc>
          <w:tcPr>
            <w:tcW w:w="867" w:type="dxa"/>
          </w:tcPr>
          <w:p w:rsidR="00683F7F" w:rsidRPr="00683F7F" w:rsidRDefault="00683F7F" w:rsidP="00683F7F">
            <w:pPr>
              <w:keepNext/>
              <w:jc w:val="right"/>
            </w:pPr>
            <w:r w:rsidRPr="00683F7F">
              <w:t xml:space="preserve">27.5 </w:t>
            </w:r>
          </w:p>
        </w:tc>
        <w:tc>
          <w:tcPr>
            <w:tcW w:w="919" w:type="dxa"/>
          </w:tcPr>
          <w:p w:rsidR="00683F7F" w:rsidRPr="00683F7F" w:rsidRDefault="00683F7F" w:rsidP="00683F7F">
            <w:pPr>
              <w:keepNext/>
              <w:jc w:val="right"/>
            </w:pPr>
            <w:r w:rsidRPr="00683F7F">
              <w:t xml:space="preserve">17.3 </w:t>
            </w:r>
          </w:p>
        </w:tc>
        <w:tc>
          <w:tcPr>
            <w:tcW w:w="917" w:type="dxa"/>
          </w:tcPr>
          <w:p w:rsidR="00683F7F" w:rsidRPr="00683F7F" w:rsidRDefault="00683F7F" w:rsidP="00683F7F">
            <w:pPr>
              <w:keepNext/>
              <w:jc w:val="right"/>
            </w:pPr>
            <w:r w:rsidRPr="00683F7F">
              <w:t xml:space="preserve">17.3 </w:t>
            </w:r>
          </w:p>
        </w:tc>
        <w:tc>
          <w:tcPr>
            <w:tcW w:w="920" w:type="dxa"/>
          </w:tcPr>
          <w:p w:rsidR="00683F7F" w:rsidRPr="00683F7F" w:rsidRDefault="00683F7F" w:rsidP="00683F7F">
            <w:pPr>
              <w:keepNext/>
              <w:jc w:val="right"/>
            </w:pPr>
            <w:r w:rsidRPr="00683F7F">
              <w:t xml:space="preserve">33.1 </w:t>
            </w:r>
          </w:p>
        </w:tc>
        <w:tc>
          <w:tcPr>
            <w:tcW w:w="918" w:type="dxa"/>
          </w:tcPr>
          <w:p w:rsidR="00683F7F" w:rsidRPr="00683F7F" w:rsidRDefault="00683F7F" w:rsidP="00683F7F">
            <w:pPr>
              <w:keepNext/>
              <w:jc w:val="right"/>
            </w:pPr>
            <w:r w:rsidRPr="00683F7F">
              <w:t xml:space="preserve">33.1 </w:t>
            </w:r>
          </w:p>
        </w:tc>
      </w:tr>
      <w:tr w:rsidR="00683F7F" w:rsidRPr="00683F7F" w:rsidTr="00C560E3">
        <w:trPr>
          <w:jc w:val="center"/>
        </w:trPr>
        <w:tc>
          <w:tcPr>
            <w:tcW w:w="939" w:type="dxa"/>
          </w:tcPr>
          <w:p w:rsidR="00683F7F" w:rsidRPr="00683F7F" w:rsidRDefault="00683F7F" w:rsidP="00683F7F">
            <w:pPr>
              <w:keepNext/>
              <w:rPr>
                <w:b/>
              </w:rPr>
            </w:pPr>
            <w:r w:rsidRPr="00683F7F">
              <w:rPr>
                <w:b/>
              </w:rPr>
              <w:t>2024</w:t>
            </w:r>
          </w:p>
        </w:tc>
        <w:tc>
          <w:tcPr>
            <w:tcW w:w="1272" w:type="dxa"/>
          </w:tcPr>
          <w:p w:rsidR="00683F7F" w:rsidRPr="00683F7F" w:rsidRDefault="00683F7F" w:rsidP="00683F7F">
            <w:pPr>
              <w:keepNext/>
              <w:jc w:val="right"/>
            </w:pPr>
            <w:r w:rsidRPr="00683F7F">
              <w:t xml:space="preserve">28.0 </w:t>
            </w:r>
          </w:p>
        </w:tc>
        <w:tc>
          <w:tcPr>
            <w:tcW w:w="867" w:type="dxa"/>
          </w:tcPr>
          <w:p w:rsidR="00683F7F" w:rsidRPr="00683F7F" w:rsidRDefault="00683F7F" w:rsidP="00683F7F">
            <w:pPr>
              <w:keepNext/>
              <w:jc w:val="right"/>
            </w:pPr>
            <w:r w:rsidRPr="00683F7F">
              <w:t xml:space="preserve">28.0 </w:t>
            </w:r>
          </w:p>
        </w:tc>
        <w:tc>
          <w:tcPr>
            <w:tcW w:w="919" w:type="dxa"/>
          </w:tcPr>
          <w:p w:rsidR="00683F7F" w:rsidRPr="00683F7F" w:rsidRDefault="00683F7F" w:rsidP="00683F7F">
            <w:pPr>
              <w:keepNext/>
              <w:jc w:val="right"/>
            </w:pPr>
            <w:r w:rsidRPr="00683F7F">
              <w:t xml:space="preserve">17.7 </w:t>
            </w:r>
          </w:p>
        </w:tc>
        <w:tc>
          <w:tcPr>
            <w:tcW w:w="917" w:type="dxa"/>
          </w:tcPr>
          <w:p w:rsidR="00683F7F" w:rsidRPr="00683F7F" w:rsidRDefault="00683F7F" w:rsidP="00683F7F">
            <w:pPr>
              <w:keepNext/>
              <w:jc w:val="right"/>
            </w:pPr>
            <w:r w:rsidRPr="00683F7F">
              <w:t xml:space="preserve">17.7 </w:t>
            </w:r>
          </w:p>
        </w:tc>
        <w:tc>
          <w:tcPr>
            <w:tcW w:w="920" w:type="dxa"/>
          </w:tcPr>
          <w:p w:rsidR="00683F7F" w:rsidRPr="00683F7F" w:rsidRDefault="00683F7F" w:rsidP="00683F7F">
            <w:pPr>
              <w:keepNext/>
              <w:jc w:val="right"/>
            </w:pPr>
            <w:r w:rsidRPr="00683F7F">
              <w:t xml:space="preserve">34.7 </w:t>
            </w:r>
          </w:p>
        </w:tc>
        <w:tc>
          <w:tcPr>
            <w:tcW w:w="918" w:type="dxa"/>
          </w:tcPr>
          <w:p w:rsidR="00683F7F" w:rsidRPr="00683F7F" w:rsidRDefault="00683F7F" w:rsidP="00683F7F">
            <w:pPr>
              <w:keepNext/>
              <w:jc w:val="right"/>
            </w:pPr>
            <w:r w:rsidRPr="00683F7F">
              <w:t xml:space="preserve">34.7 </w:t>
            </w:r>
          </w:p>
        </w:tc>
      </w:tr>
      <w:tr w:rsidR="00683F7F" w:rsidRPr="00683F7F" w:rsidTr="00C560E3">
        <w:trPr>
          <w:jc w:val="center"/>
        </w:trPr>
        <w:tc>
          <w:tcPr>
            <w:tcW w:w="939" w:type="dxa"/>
          </w:tcPr>
          <w:p w:rsidR="00683F7F" w:rsidRPr="00683F7F" w:rsidRDefault="00683F7F" w:rsidP="00683F7F">
            <w:pPr>
              <w:keepNext/>
              <w:rPr>
                <w:b/>
              </w:rPr>
            </w:pPr>
            <w:r w:rsidRPr="00683F7F">
              <w:rPr>
                <w:b/>
              </w:rPr>
              <w:t>Total</w:t>
            </w:r>
            <w:r w:rsidRPr="00683F7F">
              <w:rPr>
                <w:b/>
                <w:vertAlign w:val="superscript"/>
              </w:rPr>
              <w:footnoteReference w:id="7"/>
            </w:r>
          </w:p>
        </w:tc>
        <w:tc>
          <w:tcPr>
            <w:tcW w:w="1272" w:type="dxa"/>
          </w:tcPr>
          <w:p w:rsidR="00683F7F" w:rsidRPr="00683F7F" w:rsidRDefault="00683F7F" w:rsidP="00683F7F">
            <w:pPr>
              <w:keepNext/>
              <w:jc w:val="right"/>
              <w:rPr>
                <w:b/>
              </w:rPr>
            </w:pPr>
            <w:r w:rsidRPr="00683F7F">
              <w:rPr>
                <w:b/>
              </w:rPr>
              <w:t xml:space="preserve">258.3 </w:t>
            </w:r>
          </w:p>
        </w:tc>
        <w:tc>
          <w:tcPr>
            <w:tcW w:w="867" w:type="dxa"/>
          </w:tcPr>
          <w:p w:rsidR="00683F7F" w:rsidRPr="00683F7F" w:rsidRDefault="00683F7F" w:rsidP="00683F7F">
            <w:pPr>
              <w:keepNext/>
              <w:jc w:val="right"/>
              <w:rPr>
                <w:b/>
              </w:rPr>
            </w:pPr>
            <w:r w:rsidRPr="00683F7F">
              <w:rPr>
                <w:b/>
              </w:rPr>
              <w:t xml:space="preserve">258.2 </w:t>
            </w:r>
          </w:p>
        </w:tc>
        <w:tc>
          <w:tcPr>
            <w:tcW w:w="919" w:type="dxa"/>
          </w:tcPr>
          <w:p w:rsidR="00683F7F" w:rsidRPr="00683F7F" w:rsidRDefault="00683F7F" w:rsidP="00683F7F">
            <w:pPr>
              <w:keepNext/>
              <w:jc w:val="right"/>
              <w:rPr>
                <w:b/>
              </w:rPr>
            </w:pPr>
            <w:r w:rsidRPr="00683F7F">
              <w:rPr>
                <w:b/>
              </w:rPr>
              <w:t xml:space="preserve">158.2 </w:t>
            </w:r>
          </w:p>
        </w:tc>
        <w:tc>
          <w:tcPr>
            <w:tcW w:w="917" w:type="dxa"/>
          </w:tcPr>
          <w:p w:rsidR="00683F7F" w:rsidRPr="00683F7F" w:rsidRDefault="00683F7F" w:rsidP="00683F7F">
            <w:pPr>
              <w:keepNext/>
              <w:jc w:val="right"/>
              <w:rPr>
                <w:b/>
              </w:rPr>
            </w:pPr>
            <w:r w:rsidRPr="00683F7F">
              <w:rPr>
                <w:b/>
              </w:rPr>
              <w:t xml:space="preserve">158.3 </w:t>
            </w:r>
          </w:p>
        </w:tc>
        <w:tc>
          <w:tcPr>
            <w:tcW w:w="920" w:type="dxa"/>
          </w:tcPr>
          <w:p w:rsidR="00683F7F" w:rsidRPr="00683F7F" w:rsidRDefault="00683F7F" w:rsidP="00683F7F">
            <w:pPr>
              <w:keepNext/>
              <w:jc w:val="right"/>
              <w:rPr>
                <w:b/>
              </w:rPr>
            </w:pPr>
            <w:r w:rsidRPr="00683F7F">
              <w:rPr>
                <w:b/>
              </w:rPr>
              <w:t xml:space="preserve">279.1 </w:t>
            </w:r>
          </w:p>
        </w:tc>
        <w:tc>
          <w:tcPr>
            <w:tcW w:w="918" w:type="dxa"/>
          </w:tcPr>
          <w:p w:rsidR="00683F7F" w:rsidRPr="00683F7F" w:rsidRDefault="00683F7F" w:rsidP="00683F7F">
            <w:pPr>
              <w:keepNext/>
              <w:jc w:val="right"/>
              <w:rPr>
                <w:b/>
              </w:rPr>
            </w:pPr>
            <w:r w:rsidRPr="00683F7F">
              <w:rPr>
                <w:b/>
              </w:rPr>
              <w:t xml:space="preserve">279.2 </w:t>
            </w:r>
          </w:p>
        </w:tc>
      </w:tr>
    </w:tbl>
    <w:p w:rsidR="00683F7F" w:rsidRPr="00683F7F" w:rsidRDefault="00683F7F" w:rsidP="00683F7F">
      <w:pPr>
        <w:spacing w:after="480"/>
        <w:jc w:val="center"/>
      </w:pPr>
      <w:r w:rsidRPr="00683F7F">
        <w:t>Source: FPSC Order No. PSC-14-0632-FOF-EG, FPL’s DSM Plan Filing</w:t>
      </w:r>
    </w:p>
    <w:p w:rsidR="00683F7F" w:rsidRPr="00683F7F" w:rsidRDefault="00683F7F" w:rsidP="00DB35D5">
      <w:pPr>
        <w:spacing w:after="240"/>
        <w:ind w:firstLine="720"/>
        <w:jc w:val="both"/>
      </w:pPr>
      <w:r w:rsidRPr="00683F7F">
        <w:t>A majority of FPL’s residential seasonal peak demand goals are met through the Residential Load Management (On Call) program, while annual energy goals are primarily met through the Residential Air Conditioning program. For commercial/industrial goals, the Business Heating Ventilating, and Air Conditioning program is the single largest in all three goal categories. However, in terms of total expenditures, the largest programs are Residential Load Management (On Call) and Commercial/Industrial Load Control, due to rebates to participants from previous goal periods. Program costs for these two programs account for approximately 55 percent of FPL’s total ECCR costs.</w:t>
      </w:r>
    </w:p>
    <w:p w:rsidR="00683F7F" w:rsidRPr="00683F7F" w:rsidRDefault="00683F7F" w:rsidP="00DB35D5">
      <w:pPr>
        <w:spacing w:after="240"/>
        <w:ind w:firstLine="720"/>
        <w:jc w:val="both"/>
      </w:pPr>
      <w:r w:rsidRPr="00683F7F">
        <w:t xml:space="preserve">The values presented above are projections based upon participation rates which may or may not occur. FPL will be responsible for monitoring actual participation rates and seeking </w:t>
      </w:r>
      <w:r w:rsidR="00DB35D5">
        <w:t xml:space="preserve">our </w:t>
      </w:r>
      <w:r w:rsidRPr="00683F7F">
        <w:t xml:space="preserve">action if necessary to modify, add, or remove programs. If FPL is unable to meet </w:t>
      </w:r>
      <w:r w:rsidR="00DB35D5">
        <w:t xml:space="preserve">our </w:t>
      </w:r>
      <w:r w:rsidRPr="00683F7F">
        <w:t>goals, the company may be subject to appropriate action by</w:t>
      </w:r>
      <w:r w:rsidR="00DB35D5">
        <w:t xml:space="preserve"> us</w:t>
      </w:r>
      <w:r w:rsidRPr="00683F7F">
        <w:t>, up to and including financial penalties.</w:t>
      </w:r>
    </w:p>
    <w:p w:rsidR="00683F7F" w:rsidRPr="00683F7F" w:rsidRDefault="00683F7F" w:rsidP="00DB35D5">
      <w:pPr>
        <w:spacing w:after="240"/>
        <w:ind w:firstLine="720"/>
        <w:jc w:val="both"/>
      </w:pPr>
      <w:r w:rsidRPr="00683F7F">
        <w:t xml:space="preserve">Section 366.82(10), F.S., requires that </w:t>
      </w:r>
      <w:r w:rsidR="00DB35D5">
        <w:t>we</w:t>
      </w:r>
      <w:r w:rsidRPr="00683F7F">
        <w:t xml:space="preserve"> provide an annual report (FEECA Report) to the Governor and Legislature concerning the progress of each FEECA utility towards meeting its established goals. Rule 25-17.0021(5), F.A.C., requires that FPL submit an annual report that summarizes the achieved results of its DSM Plan no la</w:t>
      </w:r>
      <w:r w:rsidR="00DB35D5">
        <w:t>ter than March 1 of each year. Our s</w:t>
      </w:r>
      <w:r w:rsidRPr="00683F7F">
        <w:t>taff will continue to monitor and report the actual amount of FPL’s DSM savings each year, on an annual and cumulative basis, as part of the FEECA Report.</w:t>
      </w:r>
    </w:p>
    <w:p w:rsidR="00683F7F" w:rsidRDefault="00683F7F" w:rsidP="00683F7F">
      <w:pPr>
        <w:keepNext/>
        <w:jc w:val="both"/>
        <w:outlineLvl w:val="2"/>
        <w:rPr>
          <w:b/>
          <w:bCs/>
          <w:iCs/>
          <w:szCs w:val="28"/>
        </w:rPr>
      </w:pPr>
      <w:r w:rsidRPr="00DB35D5">
        <w:rPr>
          <w:b/>
          <w:bCs/>
          <w:iCs/>
          <w:szCs w:val="28"/>
        </w:rPr>
        <w:lastRenderedPageBreak/>
        <w:t>Cost-Effectiveness Review</w:t>
      </w:r>
    </w:p>
    <w:p w:rsidR="00DB35D5" w:rsidRPr="00DB35D5" w:rsidRDefault="00DB35D5" w:rsidP="00683F7F">
      <w:pPr>
        <w:keepNext/>
        <w:jc w:val="both"/>
        <w:outlineLvl w:val="2"/>
        <w:rPr>
          <w:b/>
          <w:bCs/>
          <w:iCs/>
          <w:szCs w:val="28"/>
        </w:rPr>
      </w:pPr>
    </w:p>
    <w:p w:rsidR="00683F7F" w:rsidRPr="00683F7F" w:rsidRDefault="00683F7F" w:rsidP="00DB35D5">
      <w:pPr>
        <w:spacing w:after="240"/>
        <w:ind w:firstLine="720"/>
        <w:jc w:val="both"/>
      </w:pPr>
      <w:r w:rsidRPr="00683F7F">
        <w:t>Pursuant to Rule 25-17.008, F.A.C., FPL provided a cost-effectiveness analysis of the proposed programs using the RIM test, the Total Resource Cost (TRC) test, and the Particip</w:t>
      </w:r>
      <w:r w:rsidR="00DB35D5">
        <w:t>ants test. While</w:t>
      </w:r>
      <w:r w:rsidRPr="00683F7F">
        <w:t xml:space="preserve"> in Order No. PSC-14-0696-FOF-EU</w:t>
      </w:r>
      <w:r w:rsidR="00DB35D5">
        <w:t>, we</w:t>
      </w:r>
      <w:r w:rsidRPr="00683F7F">
        <w:t xml:space="preserve"> established goals based on the RIM test, </w:t>
      </w:r>
      <w:r w:rsidR="00DB35D5">
        <w:t xml:space="preserve">our </w:t>
      </w:r>
      <w:r w:rsidRPr="00683F7F">
        <w:t>staff reviewed the result</w:t>
      </w:r>
      <w:r w:rsidR="00DB35D5">
        <w:t xml:space="preserve">s for each test. We address </w:t>
      </w:r>
      <w:r w:rsidRPr="00683F7F">
        <w:t>the assumptions associated with FPL’s avoided costs and program savings below.</w:t>
      </w:r>
    </w:p>
    <w:p w:rsidR="00683F7F" w:rsidRDefault="00683F7F" w:rsidP="00DB35D5">
      <w:pPr>
        <w:jc w:val="both"/>
        <w:outlineLvl w:val="3"/>
        <w:rPr>
          <w:b/>
          <w:bCs/>
          <w:i/>
          <w:iCs/>
          <w:szCs w:val="28"/>
        </w:rPr>
      </w:pPr>
      <w:r w:rsidRPr="00DB35D5">
        <w:rPr>
          <w:b/>
          <w:bCs/>
          <w:i/>
          <w:iCs/>
          <w:szCs w:val="28"/>
        </w:rPr>
        <w:t>Avoided Cost</w:t>
      </w:r>
    </w:p>
    <w:p w:rsidR="00DB35D5" w:rsidRPr="00DB35D5" w:rsidRDefault="00DB35D5" w:rsidP="00DB35D5">
      <w:pPr>
        <w:jc w:val="both"/>
        <w:outlineLvl w:val="3"/>
        <w:rPr>
          <w:b/>
          <w:bCs/>
          <w:i/>
          <w:iCs/>
          <w:szCs w:val="28"/>
        </w:rPr>
      </w:pPr>
    </w:p>
    <w:p w:rsidR="00683F7F" w:rsidRPr="00683F7F" w:rsidRDefault="00683F7F" w:rsidP="00DB35D5">
      <w:pPr>
        <w:spacing w:after="240"/>
        <w:ind w:firstLine="720"/>
        <w:jc w:val="both"/>
      </w:pPr>
      <w:r w:rsidRPr="00683F7F">
        <w:t>FPL used a natural gas-fired combined cycle unit with an in-service date of 2019 for its avoided unit in calculating the economic benefit of its DSM programs. Savings associated with avoiding or deferring generation, transmission, distribution, operations &amp; maintenance expenses (fixed and variable), line losses, and fuel were considered in determining the avoided costs for the each program. FPL’s avoided unit is consistent with its filings in the goal-setting proceeding.</w:t>
      </w:r>
      <w:r w:rsidRPr="00683F7F">
        <w:rPr>
          <w:vertAlign w:val="superscript"/>
        </w:rPr>
        <w:footnoteReference w:id="8"/>
      </w:r>
    </w:p>
    <w:p w:rsidR="00683F7F" w:rsidRDefault="00683F7F" w:rsidP="00DB35D5">
      <w:pPr>
        <w:jc w:val="both"/>
        <w:outlineLvl w:val="3"/>
        <w:rPr>
          <w:b/>
          <w:bCs/>
          <w:i/>
          <w:iCs/>
          <w:szCs w:val="28"/>
        </w:rPr>
      </w:pPr>
      <w:r w:rsidRPr="00DB35D5">
        <w:rPr>
          <w:b/>
          <w:bCs/>
          <w:i/>
          <w:iCs/>
          <w:szCs w:val="28"/>
        </w:rPr>
        <w:t>Program Savings</w:t>
      </w:r>
    </w:p>
    <w:p w:rsidR="00DB35D5" w:rsidRPr="00DB35D5" w:rsidRDefault="00DB35D5" w:rsidP="00DB35D5">
      <w:pPr>
        <w:jc w:val="both"/>
        <w:outlineLvl w:val="3"/>
        <w:rPr>
          <w:b/>
          <w:bCs/>
          <w:i/>
          <w:iCs/>
          <w:szCs w:val="28"/>
        </w:rPr>
      </w:pPr>
    </w:p>
    <w:p w:rsidR="00683F7F" w:rsidRPr="00683F7F" w:rsidRDefault="00683F7F" w:rsidP="00683F7F">
      <w:pPr>
        <w:spacing w:after="240"/>
        <w:jc w:val="both"/>
      </w:pPr>
      <w:r w:rsidRPr="00683F7F">
        <w:t>Seasonal peak demand and annual energy savings for FPL’s programs were also reviewed. FPL estimates and measures savings by using a program with a combination of methodologies, including, engineering, modeling analyses, and actual performance of systems depending upon the program type. FPL states that it utilized the same seasonal peak demand and energy savings for all measures during the goal-setting proceeding in Docket No. 130199-EI. In accordance with Rule 25-17.003(10), F.A.C., FPL plans to conduct inspections of at least 10 percent of program installations to verify that the installations were performed and the installations meet quality standards.</w:t>
      </w:r>
    </w:p>
    <w:p w:rsidR="00683F7F" w:rsidRDefault="00683F7F" w:rsidP="00DB35D5">
      <w:pPr>
        <w:jc w:val="both"/>
        <w:outlineLvl w:val="3"/>
        <w:rPr>
          <w:b/>
          <w:bCs/>
          <w:i/>
          <w:iCs/>
          <w:szCs w:val="28"/>
        </w:rPr>
      </w:pPr>
      <w:r w:rsidRPr="00DB35D5">
        <w:rPr>
          <w:b/>
          <w:bCs/>
          <w:i/>
          <w:iCs/>
          <w:szCs w:val="28"/>
        </w:rPr>
        <w:t>Cost-Effectiveness Test Results</w:t>
      </w:r>
    </w:p>
    <w:p w:rsidR="00DB35D5" w:rsidRPr="00DB35D5" w:rsidRDefault="00DB35D5" w:rsidP="00DB35D5">
      <w:pPr>
        <w:jc w:val="both"/>
        <w:outlineLvl w:val="3"/>
        <w:rPr>
          <w:b/>
          <w:bCs/>
          <w:i/>
          <w:iCs/>
          <w:szCs w:val="28"/>
        </w:rPr>
      </w:pPr>
    </w:p>
    <w:p w:rsidR="00683F7F" w:rsidRPr="00683F7F" w:rsidRDefault="00683F7F" w:rsidP="00DB35D5">
      <w:pPr>
        <w:spacing w:after="240"/>
        <w:ind w:firstLine="720"/>
        <w:jc w:val="both"/>
      </w:pPr>
      <w:r w:rsidRPr="00683F7F">
        <w:t>All of FPL’s proposed programs with allocated demand and energy savings pass both the RIM and Participants tests, with the exception of one residential program. These tests consist of the benefits divided by the costs, as defined by Rule 25-17.008, F.A.C., so that programs are determined to be cost-effective if the result of the test is a ratio greater than 1.00. The only program in FPL’s DSM Plan to fail the RIM test is the Residential Low Income program, which targets eligible low income ratepayers for assistance with weatherization, air conditioning, and water heating. The program does however pass the TRC test, and complies with the requirements established in Order No. PSC-14-0696-FOF-EU</w:t>
      </w:r>
      <w:r w:rsidRPr="00683F7F">
        <w:rPr>
          <w:sz w:val="18"/>
          <w:szCs w:val="18"/>
        </w:rPr>
        <w:t xml:space="preserve"> </w:t>
      </w:r>
      <w:r w:rsidRPr="00683F7F">
        <w:t>to assist and educate low-income customers. The only program in FPL’s DSM Plan to fail the TRC test is Residential Air Conditioning, but the program passes both the RIM and Participants tests. Overall, FPL’s DSM Plan passes the RIM test on a combined basis and therefore the DSM plan is considered cost-effective. The cost-effectiveness test results for each program are provided in Table 1-4 below.</w:t>
      </w:r>
    </w:p>
    <w:p w:rsidR="00683F7F" w:rsidRPr="00DB35D5" w:rsidRDefault="00683F7F" w:rsidP="00683F7F">
      <w:pPr>
        <w:keepNext/>
        <w:spacing w:before="480"/>
        <w:jc w:val="center"/>
        <w:rPr>
          <w:b/>
        </w:rPr>
      </w:pPr>
      <w:r w:rsidRPr="00DB35D5">
        <w:rPr>
          <w:b/>
        </w:rPr>
        <w:lastRenderedPageBreak/>
        <w:t xml:space="preserve">Table </w:t>
      </w:r>
      <w:r w:rsidRPr="00DB35D5">
        <w:rPr>
          <w:b/>
        </w:rPr>
        <w:fldChar w:fldCharType="begin"/>
      </w:r>
      <w:r w:rsidRPr="00DB35D5">
        <w:rPr>
          <w:b/>
        </w:rPr>
        <w:instrText xml:space="preserve"> SEQ Issue \c </w:instrText>
      </w:r>
      <w:r w:rsidRPr="00DB35D5">
        <w:rPr>
          <w:b/>
        </w:rPr>
        <w:fldChar w:fldCharType="separate"/>
      </w:r>
      <w:r w:rsidR="000C54A5">
        <w:rPr>
          <w:b/>
          <w:noProof/>
        </w:rPr>
        <w:t>0</w:t>
      </w:r>
      <w:r w:rsidRPr="00DB35D5">
        <w:rPr>
          <w:b/>
          <w:noProof/>
        </w:rPr>
        <w:fldChar w:fldCharType="end"/>
      </w:r>
      <w:r w:rsidRPr="00DB35D5">
        <w:rPr>
          <w:b/>
        </w:rPr>
        <w:t>-4</w:t>
      </w:r>
    </w:p>
    <w:p w:rsidR="00683F7F" w:rsidRPr="00DB35D5" w:rsidRDefault="00683F7F" w:rsidP="00683F7F">
      <w:pPr>
        <w:keepNext/>
        <w:jc w:val="center"/>
        <w:rPr>
          <w:b/>
        </w:rPr>
      </w:pPr>
      <w:r w:rsidRPr="00DB35D5">
        <w:rPr>
          <w:b/>
        </w:rPr>
        <w:t>FPL Cost-Effectiveness Test Results by Program</w:t>
      </w:r>
    </w:p>
    <w:tbl>
      <w:tblPr>
        <w:tblStyle w:val="TableGrid"/>
        <w:tblW w:w="0" w:type="auto"/>
        <w:jc w:val="center"/>
        <w:tblLook w:val="04A0" w:firstRow="1" w:lastRow="0" w:firstColumn="1" w:lastColumn="0" w:noHBand="0" w:noVBand="1"/>
      </w:tblPr>
      <w:tblGrid>
        <w:gridCol w:w="4482"/>
        <w:gridCol w:w="1330"/>
        <w:gridCol w:w="1343"/>
        <w:gridCol w:w="1599"/>
      </w:tblGrid>
      <w:tr w:rsidR="00683F7F" w:rsidRPr="00683F7F" w:rsidTr="00C560E3">
        <w:trPr>
          <w:jc w:val="center"/>
        </w:trPr>
        <w:tc>
          <w:tcPr>
            <w:tcW w:w="4482" w:type="dxa"/>
            <w:shd w:val="clear" w:color="auto" w:fill="auto"/>
            <w:vAlign w:val="center"/>
          </w:tcPr>
          <w:p w:rsidR="00683F7F" w:rsidRPr="00683F7F" w:rsidRDefault="00683F7F" w:rsidP="00683F7F">
            <w:pPr>
              <w:keepNext/>
              <w:jc w:val="center"/>
              <w:rPr>
                <w:b/>
              </w:rPr>
            </w:pPr>
            <w:r w:rsidRPr="00683F7F">
              <w:rPr>
                <w:b/>
              </w:rPr>
              <w:t>Program Name</w:t>
            </w:r>
          </w:p>
        </w:tc>
        <w:tc>
          <w:tcPr>
            <w:tcW w:w="1330" w:type="dxa"/>
            <w:shd w:val="clear" w:color="auto" w:fill="auto"/>
            <w:vAlign w:val="center"/>
          </w:tcPr>
          <w:p w:rsidR="00683F7F" w:rsidRPr="00683F7F" w:rsidRDefault="00683F7F" w:rsidP="00683F7F">
            <w:pPr>
              <w:keepNext/>
              <w:jc w:val="center"/>
              <w:rPr>
                <w:b/>
              </w:rPr>
            </w:pPr>
            <w:r w:rsidRPr="00683F7F">
              <w:rPr>
                <w:b/>
              </w:rPr>
              <w:t>RIM Test</w:t>
            </w:r>
          </w:p>
        </w:tc>
        <w:tc>
          <w:tcPr>
            <w:tcW w:w="1343" w:type="dxa"/>
            <w:shd w:val="clear" w:color="auto" w:fill="auto"/>
            <w:vAlign w:val="center"/>
          </w:tcPr>
          <w:p w:rsidR="00683F7F" w:rsidRPr="00683F7F" w:rsidRDefault="00683F7F" w:rsidP="00683F7F">
            <w:pPr>
              <w:keepNext/>
              <w:jc w:val="center"/>
              <w:rPr>
                <w:b/>
              </w:rPr>
            </w:pPr>
            <w:r w:rsidRPr="00683F7F">
              <w:rPr>
                <w:b/>
              </w:rPr>
              <w:t>TRC Test</w:t>
            </w:r>
          </w:p>
        </w:tc>
        <w:tc>
          <w:tcPr>
            <w:tcW w:w="1599" w:type="dxa"/>
            <w:shd w:val="clear" w:color="auto" w:fill="auto"/>
            <w:vAlign w:val="center"/>
          </w:tcPr>
          <w:p w:rsidR="00683F7F" w:rsidRPr="00683F7F" w:rsidRDefault="00683F7F" w:rsidP="00683F7F">
            <w:pPr>
              <w:keepNext/>
              <w:jc w:val="center"/>
              <w:rPr>
                <w:b/>
              </w:rPr>
            </w:pPr>
            <w:r w:rsidRPr="00683F7F">
              <w:rPr>
                <w:b/>
              </w:rPr>
              <w:t>Participants</w:t>
            </w:r>
          </w:p>
          <w:p w:rsidR="00683F7F" w:rsidRPr="00683F7F" w:rsidRDefault="00683F7F" w:rsidP="00683F7F">
            <w:pPr>
              <w:keepNext/>
              <w:jc w:val="center"/>
              <w:rPr>
                <w:b/>
              </w:rPr>
            </w:pPr>
            <w:r w:rsidRPr="00683F7F">
              <w:rPr>
                <w:b/>
              </w:rPr>
              <w:t>Test</w:t>
            </w:r>
          </w:p>
        </w:tc>
      </w:tr>
      <w:tr w:rsidR="00683F7F" w:rsidRPr="00683F7F" w:rsidTr="00C560E3">
        <w:trPr>
          <w:jc w:val="center"/>
        </w:trPr>
        <w:tc>
          <w:tcPr>
            <w:tcW w:w="8754" w:type="dxa"/>
            <w:gridSpan w:val="4"/>
            <w:shd w:val="clear" w:color="auto" w:fill="auto"/>
          </w:tcPr>
          <w:p w:rsidR="00683F7F" w:rsidRPr="00683F7F" w:rsidRDefault="00683F7F" w:rsidP="00683F7F">
            <w:pPr>
              <w:keepNext/>
              <w:jc w:val="center"/>
              <w:rPr>
                <w:b/>
              </w:rPr>
            </w:pPr>
            <w:r w:rsidRPr="00683F7F">
              <w:rPr>
                <w:b/>
              </w:rPr>
              <w:t>Residential Programs</w:t>
            </w:r>
          </w:p>
        </w:tc>
      </w:tr>
      <w:tr w:rsidR="00683F7F" w:rsidRPr="00683F7F" w:rsidTr="00C560E3">
        <w:trPr>
          <w:jc w:val="center"/>
        </w:trPr>
        <w:tc>
          <w:tcPr>
            <w:tcW w:w="4482" w:type="dxa"/>
            <w:shd w:val="clear" w:color="auto" w:fill="auto"/>
            <w:vAlign w:val="bottom"/>
          </w:tcPr>
          <w:p w:rsidR="00683F7F" w:rsidRPr="00683F7F" w:rsidRDefault="00683F7F" w:rsidP="00683F7F">
            <w:pPr>
              <w:keepNext/>
            </w:pPr>
            <w:r w:rsidRPr="00683F7F">
              <w:t>Residential Load Management (On Call)</w:t>
            </w:r>
          </w:p>
        </w:tc>
        <w:tc>
          <w:tcPr>
            <w:tcW w:w="1330" w:type="dxa"/>
            <w:shd w:val="clear" w:color="auto" w:fill="auto"/>
          </w:tcPr>
          <w:p w:rsidR="00683F7F" w:rsidRPr="00683F7F" w:rsidRDefault="00683F7F" w:rsidP="00683F7F">
            <w:pPr>
              <w:keepNext/>
              <w:jc w:val="right"/>
            </w:pPr>
            <w:r w:rsidRPr="00683F7F">
              <w:t xml:space="preserve"> 2.34 </w:t>
            </w:r>
          </w:p>
        </w:tc>
        <w:tc>
          <w:tcPr>
            <w:tcW w:w="1343" w:type="dxa"/>
            <w:shd w:val="clear" w:color="auto" w:fill="auto"/>
          </w:tcPr>
          <w:p w:rsidR="00683F7F" w:rsidRPr="00683F7F" w:rsidRDefault="00683F7F" w:rsidP="00683F7F">
            <w:pPr>
              <w:keepNext/>
              <w:jc w:val="right"/>
            </w:pPr>
            <w:r w:rsidRPr="00683F7F">
              <w:t xml:space="preserve"> 5.62 </w:t>
            </w:r>
          </w:p>
        </w:tc>
        <w:tc>
          <w:tcPr>
            <w:tcW w:w="1599" w:type="dxa"/>
            <w:shd w:val="clear" w:color="auto" w:fill="auto"/>
          </w:tcPr>
          <w:p w:rsidR="00683F7F" w:rsidRPr="00683F7F" w:rsidRDefault="00683F7F" w:rsidP="00683F7F">
            <w:pPr>
              <w:keepNext/>
              <w:jc w:val="right"/>
            </w:pPr>
            <w:r w:rsidRPr="00683F7F">
              <w:t xml:space="preserve"> Infinite </w:t>
            </w:r>
          </w:p>
        </w:tc>
      </w:tr>
      <w:tr w:rsidR="00683F7F" w:rsidRPr="00683F7F" w:rsidTr="00C560E3">
        <w:trPr>
          <w:jc w:val="center"/>
        </w:trPr>
        <w:tc>
          <w:tcPr>
            <w:tcW w:w="4482" w:type="dxa"/>
            <w:shd w:val="clear" w:color="auto" w:fill="auto"/>
            <w:vAlign w:val="bottom"/>
          </w:tcPr>
          <w:p w:rsidR="00683F7F" w:rsidRPr="00683F7F" w:rsidRDefault="00683F7F" w:rsidP="00683F7F">
            <w:pPr>
              <w:keepNext/>
            </w:pPr>
            <w:r w:rsidRPr="00683F7F">
              <w:t>Residential Air Conditioning</w:t>
            </w:r>
          </w:p>
        </w:tc>
        <w:tc>
          <w:tcPr>
            <w:tcW w:w="1330" w:type="dxa"/>
            <w:shd w:val="clear" w:color="auto" w:fill="auto"/>
          </w:tcPr>
          <w:p w:rsidR="00683F7F" w:rsidRPr="00683F7F" w:rsidRDefault="00683F7F" w:rsidP="00683F7F">
            <w:pPr>
              <w:keepNext/>
              <w:jc w:val="right"/>
            </w:pPr>
            <w:r w:rsidRPr="00683F7F">
              <w:t xml:space="preserve"> 1.01 </w:t>
            </w:r>
          </w:p>
        </w:tc>
        <w:tc>
          <w:tcPr>
            <w:tcW w:w="1343" w:type="dxa"/>
            <w:shd w:val="clear" w:color="auto" w:fill="auto"/>
          </w:tcPr>
          <w:p w:rsidR="00683F7F" w:rsidRPr="00683F7F" w:rsidRDefault="00683F7F" w:rsidP="00683F7F">
            <w:pPr>
              <w:keepNext/>
              <w:jc w:val="right"/>
            </w:pPr>
            <w:r w:rsidRPr="00683F7F">
              <w:t xml:space="preserve"> 0.83 </w:t>
            </w:r>
          </w:p>
        </w:tc>
        <w:tc>
          <w:tcPr>
            <w:tcW w:w="1599" w:type="dxa"/>
            <w:shd w:val="clear" w:color="auto" w:fill="auto"/>
          </w:tcPr>
          <w:p w:rsidR="00683F7F" w:rsidRPr="00683F7F" w:rsidRDefault="00683F7F" w:rsidP="00683F7F">
            <w:pPr>
              <w:keepNext/>
              <w:jc w:val="right"/>
            </w:pPr>
            <w:r w:rsidRPr="00683F7F">
              <w:t xml:space="preserve"> 1.01 </w:t>
            </w:r>
          </w:p>
        </w:tc>
      </w:tr>
      <w:tr w:rsidR="00683F7F" w:rsidRPr="00683F7F" w:rsidTr="00C560E3">
        <w:trPr>
          <w:jc w:val="center"/>
        </w:trPr>
        <w:tc>
          <w:tcPr>
            <w:tcW w:w="4482" w:type="dxa"/>
            <w:shd w:val="clear" w:color="auto" w:fill="auto"/>
            <w:vAlign w:val="bottom"/>
          </w:tcPr>
          <w:p w:rsidR="00683F7F" w:rsidRPr="00683F7F" w:rsidRDefault="00683F7F" w:rsidP="00683F7F">
            <w:pPr>
              <w:keepNext/>
            </w:pPr>
            <w:r w:rsidRPr="00683F7F">
              <w:t>Residential New Construction (BuildSmart)</w:t>
            </w:r>
          </w:p>
        </w:tc>
        <w:tc>
          <w:tcPr>
            <w:tcW w:w="1330" w:type="dxa"/>
            <w:shd w:val="clear" w:color="auto" w:fill="auto"/>
          </w:tcPr>
          <w:p w:rsidR="00683F7F" w:rsidRPr="00683F7F" w:rsidRDefault="00683F7F" w:rsidP="00683F7F">
            <w:pPr>
              <w:keepNext/>
              <w:jc w:val="right"/>
            </w:pPr>
            <w:r w:rsidRPr="00683F7F">
              <w:t xml:space="preserve"> 1.03 </w:t>
            </w:r>
          </w:p>
        </w:tc>
        <w:tc>
          <w:tcPr>
            <w:tcW w:w="1343" w:type="dxa"/>
            <w:shd w:val="clear" w:color="auto" w:fill="auto"/>
          </w:tcPr>
          <w:p w:rsidR="00683F7F" w:rsidRPr="00683F7F" w:rsidRDefault="00683F7F" w:rsidP="00683F7F">
            <w:pPr>
              <w:keepNext/>
              <w:jc w:val="right"/>
            </w:pPr>
            <w:r w:rsidRPr="00683F7F">
              <w:t xml:space="preserve"> 1.70 </w:t>
            </w:r>
          </w:p>
        </w:tc>
        <w:tc>
          <w:tcPr>
            <w:tcW w:w="1599" w:type="dxa"/>
            <w:shd w:val="clear" w:color="auto" w:fill="auto"/>
          </w:tcPr>
          <w:p w:rsidR="00683F7F" w:rsidRPr="00683F7F" w:rsidRDefault="00683F7F" w:rsidP="00683F7F">
            <w:pPr>
              <w:keepNext/>
              <w:jc w:val="right"/>
            </w:pPr>
            <w:r w:rsidRPr="00683F7F">
              <w:t xml:space="preserve"> 2.13 </w:t>
            </w:r>
          </w:p>
        </w:tc>
      </w:tr>
      <w:tr w:rsidR="00683F7F" w:rsidRPr="00683F7F" w:rsidTr="00C560E3">
        <w:trPr>
          <w:jc w:val="center"/>
        </w:trPr>
        <w:tc>
          <w:tcPr>
            <w:tcW w:w="4482" w:type="dxa"/>
            <w:shd w:val="clear" w:color="auto" w:fill="auto"/>
            <w:vAlign w:val="bottom"/>
          </w:tcPr>
          <w:p w:rsidR="00683F7F" w:rsidRPr="00683F7F" w:rsidRDefault="00683F7F" w:rsidP="00683F7F">
            <w:pPr>
              <w:keepNext/>
            </w:pPr>
            <w:r w:rsidRPr="00683F7F">
              <w:t>Residential Ceiling Insulation</w:t>
            </w:r>
          </w:p>
        </w:tc>
        <w:tc>
          <w:tcPr>
            <w:tcW w:w="1330" w:type="dxa"/>
            <w:shd w:val="clear" w:color="auto" w:fill="auto"/>
          </w:tcPr>
          <w:p w:rsidR="00683F7F" w:rsidRPr="00683F7F" w:rsidRDefault="00683F7F" w:rsidP="00683F7F">
            <w:pPr>
              <w:keepNext/>
              <w:jc w:val="right"/>
            </w:pPr>
            <w:r w:rsidRPr="00683F7F">
              <w:t xml:space="preserve"> 1.02 </w:t>
            </w:r>
          </w:p>
        </w:tc>
        <w:tc>
          <w:tcPr>
            <w:tcW w:w="1343" w:type="dxa"/>
            <w:shd w:val="clear" w:color="auto" w:fill="auto"/>
          </w:tcPr>
          <w:p w:rsidR="00683F7F" w:rsidRPr="00683F7F" w:rsidRDefault="00683F7F" w:rsidP="00683F7F">
            <w:pPr>
              <w:keepNext/>
              <w:jc w:val="right"/>
            </w:pPr>
            <w:r w:rsidRPr="00683F7F">
              <w:t xml:space="preserve"> 2.19 </w:t>
            </w:r>
          </w:p>
        </w:tc>
        <w:tc>
          <w:tcPr>
            <w:tcW w:w="1599" w:type="dxa"/>
            <w:shd w:val="clear" w:color="auto" w:fill="auto"/>
          </w:tcPr>
          <w:p w:rsidR="00683F7F" w:rsidRPr="00683F7F" w:rsidRDefault="00683F7F" w:rsidP="00683F7F">
            <w:pPr>
              <w:keepNext/>
              <w:jc w:val="right"/>
            </w:pPr>
            <w:r w:rsidRPr="00683F7F">
              <w:t xml:space="preserve"> 2.83 </w:t>
            </w:r>
          </w:p>
        </w:tc>
      </w:tr>
      <w:tr w:rsidR="00683F7F" w:rsidRPr="00683F7F" w:rsidTr="00C560E3">
        <w:trPr>
          <w:jc w:val="center"/>
        </w:trPr>
        <w:tc>
          <w:tcPr>
            <w:tcW w:w="4482" w:type="dxa"/>
            <w:shd w:val="clear" w:color="auto" w:fill="auto"/>
            <w:vAlign w:val="bottom"/>
          </w:tcPr>
          <w:p w:rsidR="00683F7F" w:rsidRPr="00683F7F" w:rsidRDefault="00683F7F" w:rsidP="00683F7F">
            <w:pPr>
              <w:keepNext/>
            </w:pPr>
            <w:r w:rsidRPr="00683F7F">
              <w:t>Residential Low Income</w:t>
            </w:r>
          </w:p>
        </w:tc>
        <w:tc>
          <w:tcPr>
            <w:tcW w:w="1330" w:type="dxa"/>
            <w:shd w:val="clear" w:color="auto" w:fill="auto"/>
          </w:tcPr>
          <w:p w:rsidR="00683F7F" w:rsidRPr="00683F7F" w:rsidRDefault="00683F7F" w:rsidP="00683F7F">
            <w:pPr>
              <w:keepNext/>
              <w:jc w:val="right"/>
            </w:pPr>
            <w:r w:rsidRPr="00683F7F">
              <w:t xml:space="preserve"> 0.86 </w:t>
            </w:r>
          </w:p>
        </w:tc>
        <w:tc>
          <w:tcPr>
            <w:tcW w:w="1343" w:type="dxa"/>
            <w:shd w:val="clear" w:color="auto" w:fill="auto"/>
          </w:tcPr>
          <w:p w:rsidR="00683F7F" w:rsidRPr="00683F7F" w:rsidRDefault="00683F7F" w:rsidP="00683F7F">
            <w:pPr>
              <w:keepNext/>
              <w:jc w:val="right"/>
            </w:pPr>
            <w:r w:rsidRPr="00683F7F">
              <w:t xml:space="preserve"> 2.78 </w:t>
            </w:r>
          </w:p>
        </w:tc>
        <w:tc>
          <w:tcPr>
            <w:tcW w:w="1599" w:type="dxa"/>
            <w:shd w:val="clear" w:color="auto" w:fill="auto"/>
          </w:tcPr>
          <w:p w:rsidR="00683F7F" w:rsidRPr="00683F7F" w:rsidRDefault="00683F7F" w:rsidP="00683F7F">
            <w:pPr>
              <w:keepNext/>
              <w:jc w:val="right"/>
            </w:pPr>
            <w:r w:rsidRPr="00683F7F">
              <w:t xml:space="preserve"> Infinite </w:t>
            </w:r>
          </w:p>
        </w:tc>
      </w:tr>
      <w:tr w:rsidR="00683F7F" w:rsidRPr="00683F7F" w:rsidTr="00C560E3">
        <w:trPr>
          <w:jc w:val="center"/>
        </w:trPr>
        <w:tc>
          <w:tcPr>
            <w:tcW w:w="8754" w:type="dxa"/>
            <w:gridSpan w:val="4"/>
            <w:shd w:val="clear" w:color="auto" w:fill="auto"/>
          </w:tcPr>
          <w:p w:rsidR="00683F7F" w:rsidRPr="00683F7F" w:rsidRDefault="00683F7F" w:rsidP="00683F7F">
            <w:pPr>
              <w:keepNext/>
              <w:jc w:val="center"/>
              <w:rPr>
                <w:b/>
              </w:rPr>
            </w:pPr>
            <w:r w:rsidRPr="00683F7F">
              <w:rPr>
                <w:b/>
              </w:rPr>
              <w:t>Commercial/Industrial Programs</w:t>
            </w:r>
          </w:p>
        </w:tc>
      </w:tr>
      <w:tr w:rsidR="00683F7F" w:rsidRPr="00683F7F" w:rsidTr="00C560E3">
        <w:trPr>
          <w:jc w:val="center"/>
        </w:trPr>
        <w:tc>
          <w:tcPr>
            <w:tcW w:w="4482" w:type="dxa"/>
            <w:shd w:val="clear" w:color="auto" w:fill="auto"/>
          </w:tcPr>
          <w:p w:rsidR="00683F7F" w:rsidRPr="00683F7F" w:rsidRDefault="00683F7F" w:rsidP="00683F7F">
            <w:pPr>
              <w:keepNext/>
            </w:pPr>
            <w:r w:rsidRPr="00683F7F">
              <w:t>Business On Call</w:t>
            </w:r>
          </w:p>
        </w:tc>
        <w:tc>
          <w:tcPr>
            <w:tcW w:w="1330" w:type="dxa"/>
            <w:shd w:val="clear" w:color="auto" w:fill="auto"/>
          </w:tcPr>
          <w:p w:rsidR="00683F7F" w:rsidRPr="00683F7F" w:rsidRDefault="00683F7F" w:rsidP="00683F7F">
            <w:pPr>
              <w:keepNext/>
              <w:jc w:val="right"/>
            </w:pPr>
            <w:r w:rsidRPr="00683F7F">
              <w:t xml:space="preserve"> 2.72 </w:t>
            </w:r>
          </w:p>
        </w:tc>
        <w:tc>
          <w:tcPr>
            <w:tcW w:w="1343" w:type="dxa"/>
            <w:shd w:val="clear" w:color="auto" w:fill="auto"/>
          </w:tcPr>
          <w:p w:rsidR="00683F7F" w:rsidRPr="00683F7F" w:rsidRDefault="00683F7F" w:rsidP="00683F7F">
            <w:pPr>
              <w:keepNext/>
              <w:jc w:val="right"/>
            </w:pPr>
            <w:r w:rsidRPr="00683F7F">
              <w:t xml:space="preserve"> 8.16 </w:t>
            </w:r>
          </w:p>
        </w:tc>
        <w:tc>
          <w:tcPr>
            <w:tcW w:w="1599" w:type="dxa"/>
            <w:shd w:val="clear" w:color="auto" w:fill="auto"/>
          </w:tcPr>
          <w:p w:rsidR="00683F7F" w:rsidRPr="00683F7F" w:rsidRDefault="00683F7F" w:rsidP="00683F7F">
            <w:pPr>
              <w:keepNext/>
              <w:jc w:val="right"/>
            </w:pPr>
            <w:r w:rsidRPr="00683F7F">
              <w:t xml:space="preserve"> Infinite </w:t>
            </w:r>
          </w:p>
        </w:tc>
      </w:tr>
      <w:tr w:rsidR="00683F7F" w:rsidRPr="00683F7F" w:rsidTr="00C560E3">
        <w:trPr>
          <w:jc w:val="center"/>
        </w:trPr>
        <w:tc>
          <w:tcPr>
            <w:tcW w:w="4482" w:type="dxa"/>
            <w:shd w:val="clear" w:color="auto" w:fill="auto"/>
          </w:tcPr>
          <w:p w:rsidR="00683F7F" w:rsidRPr="00683F7F" w:rsidRDefault="00683F7F" w:rsidP="00683F7F">
            <w:pPr>
              <w:keepNext/>
            </w:pPr>
            <w:r w:rsidRPr="00683F7F">
              <w:t>Commercial/Industrial Demand Reduction</w:t>
            </w:r>
          </w:p>
        </w:tc>
        <w:tc>
          <w:tcPr>
            <w:tcW w:w="1330" w:type="dxa"/>
            <w:shd w:val="clear" w:color="auto" w:fill="auto"/>
          </w:tcPr>
          <w:p w:rsidR="00683F7F" w:rsidRPr="00683F7F" w:rsidRDefault="00683F7F" w:rsidP="00683F7F">
            <w:pPr>
              <w:keepNext/>
              <w:jc w:val="right"/>
            </w:pPr>
            <w:r w:rsidRPr="00683F7F">
              <w:t xml:space="preserve"> 1.62 </w:t>
            </w:r>
          </w:p>
        </w:tc>
        <w:tc>
          <w:tcPr>
            <w:tcW w:w="1343" w:type="dxa"/>
            <w:shd w:val="clear" w:color="auto" w:fill="auto"/>
          </w:tcPr>
          <w:p w:rsidR="00683F7F" w:rsidRPr="00683F7F" w:rsidRDefault="00683F7F" w:rsidP="00683F7F">
            <w:pPr>
              <w:keepNext/>
              <w:jc w:val="right"/>
            </w:pPr>
            <w:r w:rsidRPr="00683F7F">
              <w:t xml:space="preserve"> 88.30 </w:t>
            </w:r>
          </w:p>
        </w:tc>
        <w:tc>
          <w:tcPr>
            <w:tcW w:w="1599" w:type="dxa"/>
            <w:shd w:val="clear" w:color="auto" w:fill="auto"/>
          </w:tcPr>
          <w:p w:rsidR="00683F7F" w:rsidRPr="00683F7F" w:rsidRDefault="00683F7F" w:rsidP="00683F7F">
            <w:pPr>
              <w:keepNext/>
              <w:jc w:val="right"/>
            </w:pPr>
            <w:r w:rsidRPr="00683F7F">
              <w:t xml:space="preserve"> Infinite </w:t>
            </w:r>
          </w:p>
        </w:tc>
      </w:tr>
      <w:tr w:rsidR="00683F7F" w:rsidRPr="00683F7F" w:rsidTr="00C560E3">
        <w:trPr>
          <w:jc w:val="center"/>
        </w:trPr>
        <w:tc>
          <w:tcPr>
            <w:tcW w:w="4482" w:type="dxa"/>
            <w:shd w:val="clear" w:color="auto" w:fill="auto"/>
          </w:tcPr>
          <w:p w:rsidR="00683F7F" w:rsidRPr="00683F7F" w:rsidRDefault="00683F7F" w:rsidP="00683F7F">
            <w:pPr>
              <w:keepNext/>
            </w:pPr>
            <w:r w:rsidRPr="00683F7F">
              <w:t>Business Heating, Ventilating, &amp; Air Conditioning (HVAC)</w:t>
            </w:r>
          </w:p>
        </w:tc>
        <w:tc>
          <w:tcPr>
            <w:tcW w:w="1330" w:type="dxa"/>
            <w:shd w:val="clear" w:color="auto" w:fill="auto"/>
          </w:tcPr>
          <w:p w:rsidR="00683F7F" w:rsidRPr="00683F7F" w:rsidRDefault="00683F7F" w:rsidP="00683F7F">
            <w:pPr>
              <w:keepNext/>
              <w:jc w:val="right"/>
            </w:pPr>
            <w:r w:rsidRPr="00683F7F">
              <w:t xml:space="preserve"> 1.03 </w:t>
            </w:r>
          </w:p>
        </w:tc>
        <w:tc>
          <w:tcPr>
            <w:tcW w:w="1343" w:type="dxa"/>
            <w:shd w:val="clear" w:color="auto" w:fill="auto"/>
          </w:tcPr>
          <w:p w:rsidR="00683F7F" w:rsidRPr="00683F7F" w:rsidRDefault="00683F7F" w:rsidP="00683F7F">
            <w:pPr>
              <w:keepNext/>
              <w:jc w:val="right"/>
            </w:pPr>
            <w:r w:rsidRPr="00683F7F">
              <w:t xml:space="preserve"> 1.69 </w:t>
            </w:r>
          </w:p>
        </w:tc>
        <w:tc>
          <w:tcPr>
            <w:tcW w:w="1599" w:type="dxa"/>
            <w:shd w:val="clear" w:color="auto" w:fill="auto"/>
          </w:tcPr>
          <w:p w:rsidR="00683F7F" w:rsidRPr="00683F7F" w:rsidRDefault="00683F7F" w:rsidP="00683F7F">
            <w:pPr>
              <w:keepNext/>
              <w:jc w:val="right"/>
            </w:pPr>
            <w:r w:rsidRPr="00683F7F">
              <w:t xml:space="preserve"> 1.80 </w:t>
            </w:r>
          </w:p>
        </w:tc>
      </w:tr>
      <w:tr w:rsidR="00683F7F" w:rsidRPr="00683F7F" w:rsidTr="00C560E3">
        <w:trPr>
          <w:jc w:val="center"/>
        </w:trPr>
        <w:tc>
          <w:tcPr>
            <w:tcW w:w="4482" w:type="dxa"/>
            <w:shd w:val="clear" w:color="auto" w:fill="auto"/>
          </w:tcPr>
          <w:p w:rsidR="00683F7F" w:rsidRPr="00683F7F" w:rsidRDefault="00683F7F" w:rsidP="00683F7F">
            <w:pPr>
              <w:keepNext/>
            </w:pPr>
            <w:r w:rsidRPr="00683F7F">
              <w:t>Business Lighting</w:t>
            </w:r>
          </w:p>
        </w:tc>
        <w:tc>
          <w:tcPr>
            <w:tcW w:w="1330" w:type="dxa"/>
            <w:shd w:val="clear" w:color="auto" w:fill="auto"/>
          </w:tcPr>
          <w:p w:rsidR="00683F7F" w:rsidRPr="00683F7F" w:rsidRDefault="00683F7F" w:rsidP="00683F7F">
            <w:pPr>
              <w:keepNext/>
              <w:jc w:val="right"/>
            </w:pPr>
            <w:r w:rsidRPr="00683F7F">
              <w:t xml:space="preserve"> 1.02 </w:t>
            </w:r>
          </w:p>
        </w:tc>
        <w:tc>
          <w:tcPr>
            <w:tcW w:w="1343" w:type="dxa"/>
            <w:shd w:val="clear" w:color="auto" w:fill="auto"/>
          </w:tcPr>
          <w:p w:rsidR="00683F7F" w:rsidRPr="00683F7F" w:rsidRDefault="00683F7F" w:rsidP="00683F7F">
            <w:pPr>
              <w:keepNext/>
              <w:jc w:val="right"/>
            </w:pPr>
            <w:r w:rsidRPr="00683F7F">
              <w:t xml:space="preserve"> 3.54 </w:t>
            </w:r>
          </w:p>
        </w:tc>
        <w:tc>
          <w:tcPr>
            <w:tcW w:w="1599" w:type="dxa"/>
            <w:shd w:val="clear" w:color="auto" w:fill="auto"/>
          </w:tcPr>
          <w:p w:rsidR="00683F7F" w:rsidRPr="00683F7F" w:rsidRDefault="00683F7F" w:rsidP="00683F7F">
            <w:pPr>
              <w:keepNext/>
              <w:jc w:val="right"/>
            </w:pPr>
            <w:r w:rsidRPr="00683F7F">
              <w:t xml:space="preserve"> 4.06 </w:t>
            </w:r>
          </w:p>
        </w:tc>
      </w:tr>
    </w:tbl>
    <w:p w:rsidR="00683F7F" w:rsidRPr="00683F7F" w:rsidRDefault="00683F7F" w:rsidP="00683F7F">
      <w:pPr>
        <w:spacing w:after="480"/>
        <w:jc w:val="both"/>
      </w:pPr>
      <w:r w:rsidRPr="00683F7F">
        <w:t xml:space="preserve">     Source: FPL’s DSM Plan Filing</w:t>
      </w:r>
    </w:p>
    <w:p w:rsidR="00683F7F" w:rsidRPr="00683F7F" w:rsidRDefault="00683F7F" w:rsidP="00DB35D5">
      <w:pPr>
        <w:spacing w:after="240"/>
        <w:ind w:firstLine="720"/>
        <w:jc w:val="both"/>
      </w:pPr>
      <w:r w:rsidRPr="00683F7F">
        <w:t xml:space="preserve">To perform the calculations in Table 1-4 above, FPL estimated the administrative costs for implementing the proposed programs, and added it as a cost to the relevant tests. These administrative costs are not final. Moreover, </w:t>
      </w:r>
      <w:r w:rsidR="00DB35D5">
        <w:t>our</w:t>
      </w:r>
      <w:r w:rsidRPr="00683F7F">
        <w:t xml:space="preserve"> acceptance of these test values </w:t>
      </w:r>
      <w:r w:rsidR="007C102B">
        <w:t>shall</w:t>
      </w:r>
      <w:r w:rsidRPr="00683F7F">
        <w:t xml:space="preserve"> not signify that these values are reasonable for cost recovery purposes. FPL sh</w:t>
      </w:r>
      <w:r w:rsidR="00FB58ED">
        <w:t>all</w:t>
      </w:r>
      <w:r w:rsidRPr="00683F7F">
        <w:t xml:space="preserve"> continue to explore ways to reduce the administrative costs associated with implementing its DSM Plan. FPL must demonstrate that the administrative costs associated with implementing its DSM programs are reasonable and prudent as part of its annual cost recovery filings in the ECCR clause proceeding. </w:t>
      </w:r>
    </w:p>
    <w:p w:rsidR="00683F7F" w:rsidRDefault="00683F7F" w:rsidP="00683F7F">
      <w:pPr>
        <w:jc w:val="both"/>
        <w:outlineLvl w:val="2"/>
        <w:rPr>
          <w:b/>
          <w:bCs/>
          <w:iCs/>
          <w:szCs w:val="28"/>
        </w:rPr>
      </w:pPr>
      <w:r w:rsidRPr="00DB35D5">
        <w:rPr>
          <w:b/>
          <w:bCs/>
          <w:iCs/>
          <w:szCs w:val="28"/>
        </w:rPr>
        <w:t>Rate Impact</w:t>
      </w:r>
    </w:p>
    <w:p w:rsidR="00DB35D5" w:rsidRPr="00DB35D5" w:rsidRDefault="00DB35D5" w:rsidP="00683F7F">
      <w:pPr>
        <w:jc w:val="both"/>
        <w:outlineLvl w:val="2"/>
        <w:rPr>
          <w:b/>
          <w:bCs/>
          <w:iCs/>
          <w:szCs w:val="28"/>
        </w:rPr>
      </w:pPr>
    </w:p>
    <w:p w:rsidR="00683F7F" w:rsidRPr="00683F7F" w:rsidRDefault="00683F7F" w:rsidP="00DB35D5">
      <w:pPr>
        <w:spacing w:after="240"/>
        <w:ind w:firstLine="720"/>
        <w:jc w:val="both"/>
      </w:pPr>
      <w:r w:rsidRPr="00683F7F">
        <w:t xml:space="preserve">If approved, the cost to implement FPL’s DSM Plan programs </w:t>
      </w:r>
      <w:r w:rsidR="007C102B">
        <w:t>will</w:t>
      </w:r>
      <w:r w:rsidRPr="00683F7F">
        <w:t xml:space="preserve"> flow through to the ratepayers through the ECCR clause proceeding. In this annual docket, FPL would file for recovery of incentives, equipment and administrative costs. The ECCR clause represents a monthly bill impact to customers as part of the non-fuel cost of energy and/or demand charges on their bill.</w:t>
      </w:r>
    </w:p>
    <w:p w:rsidR="00683F7F" w:rsidRPr="00683F7F" w:rsidRDefault="00683F7F" w:rsidP="00DB35D5">
      <w:pPr>
        <w:spacing w:after="240"/>
        <w:ind w:firstLine="720"/>
        <w:jc w:val="both"/>
      </w:pPr>
      <w:r w:rsidRPr="00683F7F">
        <w:t>Much like investments in generation, transmission, and distribution, investments in energy efficiency have an immediate rate impact, but produce savings over time. In addition to one time rebates and equipment costs, some programs have continued expenses from monthly bill credits for the duration of participation. FPL has several such programs, with demand response accounting for approximately 70 percent of ECCR clause expenditures over the next 10 years.</w:t>
      </w:r>
    </w:p>
    <w:p w:rsidR="00683F7F" w:rsidRPr="00683F7F" w:rsidRDefault="00683F7F" w:rsidP="00DB35D5">
      <w:pPr>
        <w:spacing w:after="240"/>
        <w:ind w:firstLine="720"/>
        <w:jc w:val="both"/>
      </w:pPr>
      <w:r w:rsidRPr="00683F7F">
        <w:t xml:space="preserve">Overall, the ECCR impact of FPL’s DSM Plan is a small portion of a customer’s bill, and is anticipated to decrease over the ten-year period compared to 2014. Table 1-5 below is an estimate of the monthly bill impact of the ECCR clause on a typical residential and </w:t>
      </w:r>
      <w:r w:rsidRPr="00683F7F">
        <w:lastRenderedPageBreak/>
        <w:t>commercial/industrial customer over a ten-year period. The estimated ECCR factors are based upon the participation rates and administrative costs used in the cost-effectiveness analysis discussed above, and are not final.</w:t>
      </w:r>
    </w:p>
    <w:p w:rsidR="00683F7F" w:rsidRPr="00DB35D5" w:rsidRDefault="00683F7F" w:rsidP="00683F7F">
      <w:pPr>
        <w:keepNext/>
        <w:spacing w:before="480"/>
        <w:jc w:val="center"/>
        <w:rPr>
          <w:b/>
        </w:rPr>
      </w:pPr>
      <w:r w:rsidRPr="00DB35D5">
        <w:rPr>
          <w:b/>
        </w:rPr>
        <w:t xml:space="preserve">Table </w:t>
      </w:r>
      <w:r w:rsidR="007C102B">
        <w:rPr>
          <w:b/>
        </w:rPr>
        <w:t>1-5</w:t>
      </w:r>
    </w:p>
    <w:p w:rsidR="00683F7F" w:rsidRPr="00DB35D5" w:rsidRDefault="00683F7F" w:rsidP="00683F7F">
      <w:pPr>
        <w:keepNext/>
        <w:jc w:val="center"/>
        <w:rPr>
          <w:b/>
        </w:rPr>
      </w:pPr>
      <w:r w:rsidRPr="00DB35D5">
        <w:rPr>
          <w:b/>
        </w:rPr>
        <w:t>FPL Estimated Monthly Bill Impact of Proposed DSM Plan</w:t>
      </w:r>
    </w:p>
    <w:tbl>
      <w:tblPr>
        <w:tblStyle w:val="TableGrid"/>
        <w:tblW w:w="7807" w:type="dxa"/>
        <w:jc w:val="center"/>
        <w:tblLook w:val="04A0" w:firstRow="1" w:lastRow="0" w:firstColumn="1" w:lastColumn="0" w:noHBand="0" w:noVBand="1"/>
      </w:tblPr>
      <w:tblGrid>
        <w:gridCol w:w="803"/>
        <w:gridCol w:w="1596"/>
        <w:gridCol w:w="1596"/>
        <w:gridCol w:w="2216"/>
        <w:gridCol w:w="1596"/>
      </w:tblGrid>
      <w:tr w:rsidR="00683F7F" w:rsidRPr="00683F7F" w:rsidTr="00C560E3">
        <w:trPr>
          <w:jc w:val="center"/>
        </w:trPr>
        <w:tc>
          <w:tcPr>
            <w:tcW w:w="803" w:type="dxa"/>
            <w:vMerge w:val="restart"/>
            <w:vAlign w:val="center"/>
          </w:tcPr>
          <w:p w:rsidR="00683F7F" w:rsidRPr="00683F7F" w:rsidRDefault="00683F7F" w:rsidP="00683F7F">
            <w:pPr>
              <w:keepNext/>
              <w:jc w:val="center"/>
              <w:rPr>
                <w:b/>
              </w:rPr>
            </w:pPr>
            <w:r w:rsidRPr="00683F7F">
              <w:rPr>
                <w:b/>
              </w:rPr>
              <w:t>Year</w:t>
            </w:r>
          </w:p>
        </w:tc>
        <w:tc>
          <w:tcPr>
            <w:tcW w:w="3192" w:type="dxa"/>
            <w:gridSpan w:val="2"/>
            <w:vAlign w:val="center"/>
          </w:tcPr>
          <w:p w:rsidR="00683F7F" w:rsidRPr="00683F7F" w:rsidRDefault="00683F7F" w:rsidP="00683F7F">
            <w:pPr>
              <w:keepNext/>
              <w:jc w:val="center"/>
              <w:rPr>
                <w:b/>
              </w:rPr>
            </w:pPr>
            <w:r w:rsidRPr="00683F7F">
              <w:rPr>
                <w:b/>
              </w:rPr>
              <w:t>Residential Customer</w:t>
            </w:r>
          </w:p>
          <w:p w:rsidR="00683F7F" w:rsidRPr="00683F7F" w:rsidRDefault="00683F7F" w:rsidP="00683F7F">
            <w:pPr>
              <w:keepNext/>
              <w:jc w:val="center"/>
              <w:rPr>
                <w:b/>
              </w:rPr>
            </w:pPr>
            <w:r w:rsidRPr="00683F7F">
              <w:rPr>
                <w:b/>
              </w:rPr>
              <w:t>(1200 kWh/mo)</w:t>
            </w:r>
          </w:p>
        </w:tc>
        <w:tc>
          <w:tcPr>
            <w:tcW w:w="3812" w:type="dxa"/>
            <w:gridSpan w:val="2"/>
            <w:vAlign w:val="center"/>
          </w:tcPr>
          <w:p w:rsidR="00683F7F" w:rsidRPr="00683F7F" w:rsidRDefault="00683F7F" w:rsidP="00683F7F">
            <w:pPr>
              <w:keepNext/>
              <w:jc w:val="center"/>
              <w:rPr>
                <w:b/>
              </w:rPr>
            </w:pPr>
            <w:r w:rsidRPr="00683F7F">
              <w:rPr>
                <w:b/>
              </w:rPr>
              <w:t>Commercial/Industrial Customer</w:t>
            </w:r>
          </w:p>
          <w:p w:rsidR="00683F7F" w:rsidRPr="00683F7F" w:rsidRDefault="00683F7F" w:rsidP="00683F7F">
            <w:pPr>
              <w:keepNext/>
              <w:jc w:val="center"/>
              <w:rPr>
                <w:b/>
              </w:rPr>
            </w:pPr>
            <w:r w:rsidRPr="00683F7F">
              <w:rPr>
                <w:b/>
              </w:rPr>
              <w:t>(400,000 kWh/mo, 1000 kW)</w:t>
            </w:r>
          </w:p>
        </w:tc>
      </w:tr>
      <w:tr w:rsidR="00683F7F" w:rsidRPr="00683F7F" w:rsidTr="00C560E3">
        <w:trPr>
          <w:jc w:val="center"/>
        </w:trPr>
        <w:tc>
          <w:tcPr>
            <w:tcW w:w="803" w:type="dxa"/>
            <w:vMerge/>
            <w:vAlign w:val="center"/>
          </w:tcPr>
          <w:p w:rsidR="00683F7F" w:rsidRPr="00683F7F" w:rsidRDefault="00683F7F" w:rsidP="00683F7F">
            <w:pPr>
              <w:keepNext/>
              <w:jc w:val="center"/>
              <w:rPr>
                <w:b/>
              </w:rPr>
            </w:pPr>
          </w:p>
        </w:tc>
        <w:tc>
          <w:tcPr>
            <w:tcW w:w="1596" w:type="dxa"/>
            <w:vAlign w:val="center"/>
          </w:tcPr>
          <w:p w:rsidR="00683F7F" w:rsidRPr="00683F7F" w:rsidRDefault="00683F7F" w:rsidP="00683F7F">
            <w:pPr>
              <w:keepNext/>
              <w:jc w:val="center"/>
              <w:rPr>
                <w:b/>
              </w:rPr>
            </w:pPr>
            <w:r w:rsidRPr="00683F7F">
              <w:rPr>
                <w:b/>
              </w:rPr>
              <w:t>Bill Impact</w:t>
            </w:r>
          </w:p>
          <w:p w:rsidR="00683F7F" w:rsidRPr="00683F7F" w:rsidRDefault="00683F7F" w:rsidP="00683F7F">
            <w:pPr>
              <w:keepNext/>
              <w:jc w:val="center"/>
              <w:rPr>
                <w:b/>
              </w:rPr>
            </w:pPr>
            <w:r w:rsidRPr="00683F7F">
              <w:rPr>
                <w:b/>
              </w:rPr>
              <w:t>($/mo)</w:t>
            </w:r>
          </w:p>
        </w:tc>
        <w:tc>
          <w:tcPr>
            <w:tcW w:w="1596" w:type="dxa"/>
            <w:vAlign w:val="center"/>
          </w:tcPr>
          <w:p w:rsidR="00683F7F" w:rsidRPr="00683F7F" w:rsidRDefault="00683F7F" w:rsidP="00683F7F">
            <w:pPr>
              <w:keepNext/>
              <w:jc w:val="center"/>
              <w:rPr>
                <w:b/>
              </w:rPr>
            </w:pPr>
            <w:r w:rsidRPr="00683F7F">
              <w:rPr>
                <w:b/>
              </w:rPr>
              <w:t>Savings From 2014</w:t>
            </w:r>
          </w:p>
        </w:tc>
        <w:tc>
          <w:tcPr>
            <w:tcW w:w="2216" w:type="dxa"/>
            <w:vAlign w:val="center"/>
          </w:tcPr>
          <w:p w:rsidR="00683F7F" w:rsidRPr="00683F7F" w:rsidRDefault="00683F7F" w:rsidP="00683F7F">
            <w:pPr>
              <w:keepNext/>
              <w:jc w:val="center"/>
              <w:rPr>
                <w:b/>
              </w:rPr>
            </w:pPr>
            <w:r w:rsidRPr="00683F7F">
              <w:rPr>
                <w:b/>
              </w:rPr>
              <w:t>Bill Impact</w:t>
            </w:r>
          </w:p>
          <w:p w:rsidR="00683F7F" w:rsidRPr="00683F7F" w:rsidRDefault="00683F7F" w:rsidP="00683F7F">
            <w:pPr>
              <w:keepNext/>
              <w:jc w:val="center"/>
              <w:rPr>
                <w:b/>
              </w:rPr>
            </w:pPr>
            <w:r w:rsidRPr="00683F7F">
              <w:rPr>
                <w:b/>
              </w:rPr>
              <w:t>($/mo)</w:t>
            </w:r>
          </w:p>
        </w:tc>
        <w:tc>
          <w:tcPr>
            <w:tcW w:w="1596" w:type="dxa"/>
            <w:vAlign w:val="center"/>
          </w:tcPr>
          <w:p w:rsidR="00683F7F" w:rsidRPr="00683F7F" w:rsidRDefault="00683F7F" w:rsidP="00683F7F">
            <w:pPr>
              <w:keepNext/>
              <w:jc w:val="center"/>
              <w:rPr>
                <w:b/>
              </w:rPr>
            </w:pPr>
            <w:r w:rsidRPr="00683F7F">
              <w:rPr>
                <w:b/>
              </w:rPr>
              <w:t>Savings</w:t>
            </w:r>
          </w:p>
          <w:p w:rsidR="00683F7F" w:rsidRPr="00683F7F" w:rsidRDefault="00683F7F" w:rsidP="00683F7F">
            <w:pPr>
              <w:keepNext/>
              <w:jc w:val="center"/>
              <w:rPr>
                <w:b/>
              </w:rPr>
            </w:pPr>
            <w:r w:rsidRPr="00683F7F">
              <w:rPr>
                <w:b/>
              </w:rPr>
              <w:t>From 2014</w:t>
            </w:r>
          </w:p>
        </w:tc>
      </w:tr>
      <w:tr w:rsidR="00683F7F" w:rsidRPr="00683F7F" w:rsidTr="00C560E3">
        <w:trPr>
          <w:jc w:val="center"/>
        </w:trPr>
        <w:tc>
          <w:tcPr>
            <w:tcW w:w="803" w:type="dxa"/>
          </w:tcPr>
          <w:p w:rsidR="00683F7F" w:rsidRPr="00683F7F" w:rsidRDefault="00683F7F" w:rsidP="00683F7F">
            <w:pPr>
              <w:keepNext/>
              <w:rPr>
                <w:b/>
              </w:rPr>
            </w:pPr>
            <w:r w:rsidRPr="00683F7F">
              <w:rPr>
                <w:b/>
              </w:rPr>
              <w:t>2014</w:t>
            </w:r>
          </w:p>
        </w:tc>
        <w:tc>
          <w:tcPr>
            <w:tcW w:w="1596" w:type="dxa"/>
          </w:tcPr>
          <w:p w:rsidR="00683F7F" w:rsidRPr="00683F7F" w:rsidRDefault="00683F7F" w:rsidP="00683F7F">
            <w:pPr>
              <w:keepNext/>
              <w:jc w:val="right"/>
            </w:pPr>
            <w:r w:rsidRPr="00683F7F">
              <w:t>$4.04</w:t>
            </w:r>
          </w:p>
        </w:tc>
        <w:tc>
          <w:tcPr>
            <w:tcW w:w="1596" w:type="dxa"/>
          </w:tcPr>
          <w:p w:rsidR="00683F7F" w:rsidRPr="00683F7F" w:rsidRDefault="00683F7F" w:rsidP="00683F7F">
            <w:pPr>
              <w:keepNext/>
              <w:jc w:val="right"/>
            </w:pPr>
            <w:r w:rsidRPr="00683F7F">
              <w:t>n/a</w:t>
            </w:r>
          </w:p>
        </w:tc>
        <w:tc>
          <w:tcPr>
            <w:tcW w:w="2216" w:type="dxa"/>
          </w:tcPr>
          <w:p w:rsidR="00683F7F" w:rsidRPr="00683F7F" w:rsidRDefault="00683F7F" w:rsidP="00683F7F">
            <w:pPr>
              <w:keepNext/>
              <w:jc w:val="right"/>
            </w:pPr>
            <w:r w:rsidRPr="00683F7F">
              <w:t>$1,190.00</w:t>
            </w:r>
          </w:p>
        </w:tc>
        <w:tc>
          <w:tcPr>
            <w:tcW w:w="1596" w:type="dxa"/>
          </w:tcPr>
          <w:p w:rsidR="00683F7F" w:rsidRPr="00683F7F" w:rsidRDefault="00683F7F" w:rsidP="00683F7F">
            <w:pPr>
              <w:keepNext/>
              <w:jc w:val="right"/>
            </w:pPr>
            <w:r w:rsidRPr="00683F7F">
              <w:t>n/a</w:t>
            </w:r>
          </w:p>
        </w:tc>
      </w:tr>
      <w:tr w:rsidR="00683F7F" w:rsidRPr="00683F7F" w:rsidTr="00C560E3">
        <w:trPr>
          <w:jc w:val="center"/>
        </w:trPr>
        <w:tc>
          <w:tcPr>
            <w:tcW w:w="803" w:type="dxa"/>
          </w:tcPr>
          <w:p w:rsidR="00683F7F" w:rsidRPr="00683F7F" w:rsidRDefault="00683F7F" w:rsidP="00683F7F">
            <w:pPr>
              <w:keepNext/>
              <w:rPr>
                <w:b/>
              </w:rPr>
            </w:pPr>
            <w:r w:rsidRPr="00683F7F">
              <w:rPr>
                <w:b/>
              </w:rPr>
              <w:t>2015</w:t>
            </w:r>
          </w:p>
        </w:tc>
        <w:tc>
          <w:tcPr>
            <w:tcW w:w="1596" w:type="dxa"/>
          </w:tcPr>
          <w:p w:rsidR="00683F7F" w:rsidRPr="00683F7F" w:rsidRDefault="00683F7F" w:rsidP="00683F7F">
            <w:pPr>
              <w:keepNext/>
              <w:jc w:val="right"/>
            </w:pPr>
            <w:r w:rsidRPr="00683F7F">
              <w:t>$2.40</w:t>
            </w:r>
          </w:p>
        </w:tc>
        <w:tc>
          <w:tcPr>
            <w:tcW w:w="1596" w:type="dxa"/>
          </w:tcPr>
          <w:p w:rsidR="00683F7F" w:rsidRPr="00683F7F" w:rsidRDefault="00683F7F" w:rsidP="00683F7F">
            <w:pPr>
              <w:keepNext/>
              <w:jc w:val="right"/>
            </w:pPr>
            <w:r w:rsidRPr="00683F7F">
              <w:t>$1.64</w:t>
            </w:r>
          </w:p>
        </w:tc>
        <w:tc>
          <w:tcPr>
            <w:tcW w:w="2216" w:type="dxa"/>
          </w:tcPr>
          <w:p w:rsidR="00683F7F" w:rsidRPr="00683F7F" w:rsidRDefault="00683F7F" w:rsidP="00683F7F">
            <w:pPr>
              <w:keepNext/>
              <w:jc w:val="right"/>
            </w:pPr>
            <w:r w:rsidRPr="00683F7F">
              <w:t>$720.00</w:t>
            </w:r>
          </w:p>
        </w:tc>
        <w:tc>
          <w:tcPr>
            <w:tcW w:w="1596" w:type="dxa"/>
          </w:tcPr>
          <w:p w:rsidR="00683F7F" w:rsidRPr="00683F7F" w:rsidRDefault="00683F7F" w:rsidP="00683F7F">
            <w:pPr>
              <w:keepNext/>
              <w:jc w:val="right"/>
            </w:pPr>
            <w:r w:rsidRPr="00683F7F">
              <w:t>$470.00</w:t>
            </w:r>
          </w:p>
        </w:tc>
      </w:tr>
      <w:tr w:rsidR="00683F7F" w:rsidRPr="00683F7F" w:rsidTr="00C560E3">
        <w:trPr>
          <w:jc w:val="center"/>
        </w:trPr>
        <w:tc>
          <w:tcPr>
            <w:tcW w:w="803" w:type="dxa"/>
          </w:tcPr>
          <w:p w:rsidR="00683F7F" w:rsidRPr="00683F7F" w:rsidRDefault="00683F7F" w:rsidP="00683F7F">
            <w:pPr>
              <w:keepNext/>
              <w:rPr>
                <w:b/>
              </w:rPr>
            </w:pPr>
            <w:r w:rsidRPr="00683F7F">
              <w:rPr>
                <w:b/>
              </w:rPr>
              <w:t>2016</w:t>
            </w:r>
          </w:p>
        </w:tc>
        <w:tc>
          <w:tcPr>
            <w:tcW w:w="1596" w:type="dxa"/>
          </w:tcPr>
          <w:p w:rsidR="00683F7F" w:rsidRPr="00683F7F" w:rsidRDefault="00683F7F" w:rsidP="00683F7F">
            <w:pPr>
              <w:keepNext/>
              <w:jc w:val="right"/>
            </w:pPr>
            <w:r w:rsidRPr="00683F7F">
              <w:t>$1.85</w:t>
            </w:r>
          </w:p>
        </w:tc>
        <w:tc>
          <w:tcPr>
            <w:tcW w:w="1596" w:type="dxa"/>
          </w:tcPr>
          <w:p w:rsidR="00683F7F" w:rsidRPr="00683F7F" w:rsidRDefault="00683F7F" w:rsidP="00683F7F">
            <w:pPr>
              <w:keepNext/>
              <w:jc w:val="right"/>
            </w:pPr>
            <w:r w:rsidRPr="00683F7F">
              <w:t>$2.19</w:t>
            </w:r>
          </w:p>
        </w:tc>
        <w:tc>
          <w:tcPr>
            <w:tcW w:w="2216" w:type="dxa"/>
          </w:tcPr>
          <w:p w:rsidR="00683F7F" w:rsidRPr="00683F7F" w:rsidRDefault="00683F7F" w:rsidP="00683F7F">
            <w:pPr>
              <w:keepNext/>
              <w:jc w:val="right"/>
            </w:pPr>
            <w:r w:rsidRPr="00683F7F">
              <w:t>$594.83</w:t>
            </w:r>
          </w:p>
        </w:tc>
        <w:tc>
          <w:tcPr>
            <w:tcW w:w="1596" w:type="dxa"/>
          </w:tcPr>
          <w:p w:rsidR="00683F7F" w:rsidRPr="00683F7F" w:rsidRDefault="00683F7F" w:rsidP="00683F7F">
            <w:pPr>
              <w:keepNext/>
              <w:jc w:val="right"/>
            </w:pPr>
            <w:r w:rsidRPr="00683F7F">
              <w:t>$595.17</w:t>
            </w:r>
          </w:p>
        </w:tc>
      </w:tr>
      <w:tr w:rsidR="00683F7F" w:rsidRPr="00683F7F" w:rsidTr="00C560E3">
        <w:trPr>
          <w:jc w:val="center"/>
        </w:trPr>
        <w:tc>
          <w:tcPr>
            <w:tcW w:w="803" w:type="dxa"/>
          </w:tcPr>
          <w:p w:rsidR="00683F7F" w:rsidRPr="00683F7F" w:rsidRDefault="00683F7F" w:rsidP="00683F7F">
            <w:pPr>
              <w:keepNext/>
              <w:rPr>
                <w:b/>
              </w:rPr>
            </w:pPr>
            <w:r w:rsidRPr="00683F7F">
              <w:rPr>
                <w:b/>
              </w:rPr>
              <w:t>2017</w:t>
            </w:r>
          </w:p>
        </w:tc>
        <w:tc>
          <w:tcPr>
            <w:tcW w:w="1596" w:type="dxa"/>
          </w:tcPr>
          <w:p w:rsidR="00683F7F" w:rsidRPr="00683F7F" w:rsidRDefault="00683F7F" w:rsidP="00683F7F">
            <w:pPr>
              <w:keepNext/>
              <w:jc w:val="right"/>
            </w:pPr>
            <w:r w:rsidRPr="00683F7F">
              <w:t>$1.84</w:t>
            </w:r>
          </w:p>
        </w:tc>
        <w:tc>
          <w:tcPr>
            <w:tcW w:w="1596" w:type="dxa"/>
          </w:tcPr>
          <w:p w:rsidR="00683F7F" w:rsidRPr="00683F7F" w:rsidRDefault="00683F7F" w:rsidP="00683F7F">
            <w:pPr>
              <w:keepNext/>
              <w:jc w:val="right"/>
            </w:pPr>
            <w:r w:rsidRPr="00683F7F">
              <w:t>$2.20</w:t>
            </w:r>
          </w:p>
        </w:tc>
        <w:tc>
          <w:tcPr>
            <w:tcW w:w="2216" w:type="dxa"/>
          </w:tcPr>
          <w:p w:rsidR="00683F7F" w:rsidRPr="00683F7F" w:rsidRDefault="00683F7F" w:rsidP="00683F7F">
            <w:pPr>
              <w:keepNext/>
              <w:jc w:val="right"/>
            </w:pPr>
            <w:r w:rsidRPr="00683F7F">
              <w:t>$598.99</w:t>
            </w:r>
          </w:p>
        </w:tc>
        <w:tc>
          <w:tcPr>
            <w:tcW w:w="1596" w:type="dxa"/>
          </w:tcPr>
          <w:p w:rsidR="00683F7F" w:rsidRPr="00683F7F" w:rsidRDefault="00683F7F" w:rsidP="00683F7F">
            <w:pPr>
              <w:keepNext/>
              <w:jc w:val="right"/>
            </w:pPr>
            <w:r w:rsidRPr="00683F7F">
              <w:t>$591.01</w:t>
            </w:r>
          </w:p>
        </w:tc>
      </w:tr>
      <w:tr w:rsidR="00683F7F" w:rsidRPr="00683F7F" w:rsidTr="00C560E3">
        <w:trPr>
          <w:jc w:val="center"/>
        </w:trPr>
        <w:tc>
          <w:tcPr>
            <w:tcW w:w="803" w:type="dxa"/>
          </w:tcPr>
          <w:p w:rsidR="00683F7F" w:rsidRPr="00683F7F" w:rsidRDefault="00683F7F" w:rsidP="00683F7F">
            <w:pPr>
              <w:keepNext/>
              <w:rPr>
                <w:b/>
              </w:rPr>
            </w:pPr>
            <w:r w:rsidRPr="00683F7F">
              <w:rPr>
                <w:b/>
              </w:rPr>
              <w:t>2018</w:t>
            </w:r>
          </w:p>
        </w:tc>
        <w:tc>
          <w:tcPr>
            <w:tcW w:w="1596" w:type="dxa"/>
          </w:tcPr>
          <w:p w:rsidR="00683F7F" w:rsidRPr="00683F7F" w:rsidRDefault="00683F7F" w:rsidP="00683F7F">
            <w:pPr>
              <w:keepNext/>
              <w:jc w:val="right"/>
            </w:pPr>
            <w:r w:rsidRPr="00683F7F">
              <w:t>$1.82</w:t>
            </w:r>
          </w:p>
        </w:tc>
        <w:tc>
          <w:tcPr>
            <w:tcW w:w="1596" w:type="dxa"/>
          </w:tcPr>
          <w:p w:rsidR="00683F7F" w:rsidRPr="00683F7F" w:rsidRDefault="00683F7F" w:rsidP="00683F7F">
            <w:pPr>
              <w:keepNext/>
              <w:jc w:val="right"/>
            </w:pPr>
            <w:r w:rsidRPr="00683F7F">
              <w:t>$2.22</w:t>
            </w:r>
          </w:p>
        </w:tc>
        <w:tc>
          <w:tcPr>
            <w:tcW w:w="2216" w:type="dxa"/>
          </w:tcPr>
          <w:p w:rsidR="00683F7F" w:rsidRPr="00683F7F" w:rsidRDefault="00683F7F" w:rsidP="00683F7F">
            <w:pPr>
              <w:keepNext/>
              <w:jc w:val="right"/>
            </w:pPr>
            <w:r w:rsidRPr="00683F7F">
              <w:t>$598.70</w:t>
            </w:r>
          </w:p>
        </w:tc>
        <w:tc>
          <w:tcPr>
            <w:tcW w:w="1596" w:type="dxa"/>
          </w:tcPr>
          <w:p w:rsidR="00683F7F" w:rsidRPr="00683F7F" w:rsidRDefault="00683F7F" w:rsidP="00683F7F">
            <w:pPr>
              <w:keepNext/>
              <w:jc w:val="right"/>
            </w:pPr>
            <w:r w:rsidRPr="00683F7F">
              <w:t>$591.30</w:t>
            </w:r>
          </w:p>
        </w:tc>
      </w:tr>
      <w:tr w:rsidR="00683F7F" w:rsidRPr="00683F7F" w:rsidTr="00C560E3">
        <w:trPr>
          <w:jc w:val="center"/>
        </w:trPr>
        <w:tc>
          <w:tcPr>
            <w:tcW w:w="803" w:type="dxa"/>
          </w:tcPr>
          <w:p w:rsidR="00683F7F" w:rsidRPr="00683F7F" w:rsidRDefault="00683F7F" w:rsidP="00683F7F">
            <w:pPr>
              <w:keepNext/>
              <w:rPr>
                <w:b/>
              </w:rPr>
            </w:pPr>
            <w:r w:rsidRPr="00683F7F">
              <w:rPr>
                <w:b/>
              </w:rPr>
              <w:t>2019</w:t>
            </w:r>
          </w:p>
        </w:tc>
        <w:tc>
          <w:tcPr>
            <w:tcW w:w="1596" w:type="dxa"/>
          </w:tcPr>
          <w:p w:rsidR="00683F7F" w:rsidRPr="00683F7F" w:rsidRDefault="00683F7F" w:rsidP="00683F7F">
            <w:pPr>
              <w:keepNext/>
              <w:jc w:val="right"/>
            </w:pPr>
            <w:r w:rsidRPr="00683F7F">
              <w:t>$1.80</w:t>
            </w:r>
          </w:p>
        </w:tc>
        <w:tc>
          <w:tcPr>
            <w:tcW w:w="1596" w:type="dxa"/>
          </w:tcPr>
          <w:p w:rsidR="00683F7F" w:rsidRPr="00683F7F" w:rsidRDefault="00683F7F" w:rsidP="00683F7F">
            <w:pPr>
              <w:keepNext/>
              <w:jc w:val="right"/>
            </w:pPr>
            <w:r w:rsidRPr="00683F7F">
              <w:t>$2.24</w:t>
            </w:r>
          </w:p>
        </w:tc>
        <w:tc>
          <w:tcPr>
            <w:tcW w:w="2216" w:type="dxa"/>
          </w:tcPr>
          <w:p w:rsidR="00683F7F" w:rsidRPr="00683F7F" w:rsidRDefault="00683F7F" w:rsidP="00683F7F">
            <w:pPr>
              <w:keepNext/>
              <w:jc w:val="right"/>
            </w:pPr>
            <w:r w:rsidRPr="00683F7F">
              <w:t>$599.45</w:t>
            </w:r>
          </w:p>
        </w:tc>
        <w:tc>
          <w:tcPr>
            <w:tcW w:w="1596" w:type="dxa"/>
          </w:tcPr>
          <w:p w:rsidR="00683F7F" w:rsidRPr="00683F7F" w:rsidRDefault="00683F7F" w:rsidP="00683F7F">
            <w:pPr>
              <w:keepNext/>
              <w:jc w:val="right"/>
            </w:pPr>
            <w:r w:rsidRPr="00683F7F">
              <w:t>$590.55</w:t>
            </w:r>
          </w:p>
        </w:tc>
      </w:tr>
      <w:tr w:rsidR="00683F7F" w:rsidRPr="00683F7F" w:rsidTr="00C560E3">
        <w:trPr>
          <w:jc w:val="center"/>
        </w:trPr>
        <w:tc>
          <w:tcPr>
            <w:tcW w:w="803" w:type="dxa"/>
          </w:tcPr>
          <w:p w:rsidR="00683F7F" w:rsidRPr="00683F7F" w:rsidRDefault="00683F7F" w:rsidP="00683F7F">
            <w:pPr>
              <w:keepNext/>
              <w:rPr>
                <w:b/>
              </w:rPr>
            </w:pPr>
            <w:r w:rsidRPr="00683F7F">
              <w:rPr>
                <w:b/>
              </w:rPr>
              <w:t>2020</w:t>
            </w:r>
          </w:p>
        </w:tc>
        <w:tc>
          <w:tcPr>
            <w:tcW w:w="1596" w:type="dxa"/>
          </w:tcPr>
          <w:p w:rsidR="00683F7F" w:rsidRPr="00683F7F" w:rsidRDefault="00683F7F" w:rsidP="00683F7F">
            <w:pPr>
              <w:keepNext/>
              <w:jc w:val="right"/>
            </w:pPr>
            <w:r w:rsidRPr="00683F7F">
              <w:t>$1.78</w:t>
            </w:r>
          </w:p>
        </w:tc>
        <w:tc>
          <w:tcPr>
            <w:tcW w:w="1596" w:type="dxa"/>
          </w:tcPr>
          <w:p w:rsidR="00683F7F" w:rsidRPr="00683F7F" w:rsidRDefault="00683F7F" w:rsidP="00683F7F">
            <w:pPr>
              <w:keepNext/>
              <w:jc w:val="right"/>
            </w:pPr>
            <w:r w:rsidRPr="00683F7F">
              <w:t>$2.26</w:t>
            </w:r>
          </w:p>
        </w:tc>
        <w:tc>
          <w:tcPr>
            <w:tcW w:w="2216" w:type="dxa"/>
          </w:tcPr>
          <w:p w:rsidR="00683F7F" w:rsidRPr="00683F7F" w:rsidRDefault="00683F7F" w:rsidP="00683F7F">
            <w:pPr>
              <w:keepNext/>
              <w:jc w:val="right"/>
            </w:pPr>
            <w:r w:rsidRPr="00683F7F">
              <w:t>$599.46</w:t>
            </w:r>
          </w:p>
        </w:tc>
        <w:tc>
          <w:tcPr>
            <w:tcW w:w="1596" w:type="dxa"/>
          </w:tcPr>
          <w:p w:rsidR="00683F7F" w:rsidRPr="00683F7F" w:rsidRDefault="00683F7F" w:rsidP="00683F7F">
            <w:pPr>
              <w:keepNext/>
              <w:jc w:val="right"/>
            </w:pPr>
            <w:r w:rsidRPr="00683F7F">
              <w:t>$590.54</w:t>
            </w:r>
          </w:p>
        </w:tc>
      </w:tr>
      <w:tr w:rsidR="00683F7F" w:rsidRPr="00683F7F" w:rsidTr="00C560E3">
        <w:trPr>
          <w:jc w:val="center"/>
        </w:trPr>
        <w:tc>
          <w:tcPr>
            <w:tcW w:w="803" w:type="dxa"/>
          </w:tcPr>
          <w:p w:rsidR="00683F7F" w:rsidRPr="00683F7F" w:rsidRDefault="00683F7F" w:rsidP="00683F7F">
            <w:pPr>
              <w:keepNext/>
              <w:rPr>
                <w:b/>
              </w:rPr>
            </w:pPr>
            <w:r w:rsidRPr="00683F7F">
              <w:rPr>
                <w:b/>
              </w:rPr>
              <w:t>2021</w:t>
            </w:r>
          </w:p>
        </w:tc>
        <w:tc>
          <w:tcPr>
            <w:tcW w:w="1596" w:type="dxa"/>
          </w:tcPr>
          <w:p w:rsidR="00683F7F" w:rsidRPr="00683F7F" w:rsidRDefault="00683F7F" w:rsidP="00683F7F">
            <w:pPr>
              <w:keepNext/>
              <w:jc w:val="right"/>
            </w:pPr>
            <w:r w:rsidRPr="00683F7F">
              <w:t>$1.77</w:t>
            </w:r>
          </w:p>
        </w:tc>
        <w:tc>
          <w:tcPr>
            <w:tcW w:w="1596" w:type="dxa"/>
          </w:tcPr>
          <w:p w:rsidR="00683F7F" w:rsidRPr="00683F7F" w:rsidRDefault="00683F7F" w:rsidP="00683F7F">
            <w:pPr>
              <w:keepNext/>
              <w:jc w:val="right"/>
            </w:pPr>
            <w:r w:rsidRPr="00683F7F">
              <w:t>$2.27</w:t>
            </w:r>
          </w:p>
        </w:tc>
        <w:tc>
          <w:tcPr>
            <w:tcW w:w="2216" w:type="dxa"/>
          </w:tcPr>
          <w:p w:rsidR="00683F7F" w:rsidRPr="00683F7F" w:rsidRDefault="00683F7F" w:rsidP="00683F7F">
            <w:pPr>
              <w:keepNext/>
              <w:jc w:val="right"/>
            </w:pPr>
            <w:r w:rsidRPr="00683F7F">
              <w:t>$605.42</w:t>
            </w:r>
          </w:p>
        </w:tc>
        <w:tc>
          <w:tcPr>
            <w:tcW w:w="1596" w:type="dxa"/>
          </w:tcPr>
          <w:p w:rsidR="00683F7F" w:rsidRPr="00683F7F" w:rsidRDefault="00683F7F" w:rsidP="00683F7F">
            <w:pPr>
              <w:keepNext/>
              <w:jc w:val="right"/>
            </w:pPr>
            <w:r w:rsidRPr="00683F7F">
              <w:t>$584.58</w:t>
            </w:r>
          </w:p>
        </w:tc>
      </w:tr>
      <w:tr w:rsidR="00683F7F" w:rsidRPr="00683F7F" w:rsidTr="00C560E3">
        <w:trPr>
          <w:jc w:val="center"/>
        </w:trPr>
        <w:tc>
          <w:tcPr>
            <w:tcW w:w="803" w:type="dxa"/>
          </w:tcPr>
          <w:p w:rsidR="00683F7F" w:rsidRPr="00683F7F" w:rsidRDefault="00683F7F" w:rsidP="00683F7F">
            <w:pPr>
              <w:keepNext/>
              <w:rPr>
                <w:b/>
              </w:rPr>
            </w:pPr>
            <w:r w:rsidRPr="00683F7F">
              <w:rPr>
                <w:b/>
              </w:rPr>
              <w:t>2022</w:t>
            </w:r>
          </w:p>
        </w:tc>
        <w:tc>
          <w:tcPr>
            <w:tcW w:w="1596" w:type="dxa"/>
          </w:tcPr>
          <w:p w:rsidR="00683F7F" w:rsidRPr="00683F7F" w:rsidRDefault="00683F7F" w:rsidP="00683F7F">
            <w:pPr>
              <w:keepNext/>
              <w:jc w:val="right"/>
            </w:pPr>
            <w:r w:rsidRPr="00683F7F">
              <w:t>$1.77</w:t>
            </w:r>
          </w:p>
        </w:tc>
        <w:tc>
          <w:tcPr>
            <w:tcW w:w="1596" w:type="dxa"/>
          </w:tcPr>
          <w:p w:rsidR="00683F7F" w:rsidRPr="00683F7F" w:rsidRDefault="00683F7F" w:rsidP="00683F7F">
            <w:pPr>
              <w:keepNext/>
              <w:jc w:val="right"/>
            </w:pPr>
            <w:r w:rsidRPr="00683F7F">
              <w:t>$2.27</w:t>
            </w:r>
          </w:p>
        </w:tc>
        <w:tc>
          <w:tcPr>
            <w:tcW w:w="2216" w:type="dxa"/>
          </w:tcPr>
          <w:p w:rsidR="00683F7F" w:rsidRPr="00683F7F" w:rsidRDefault="00683F7F" w:rsidP="00683F7F">
            <w:pPr>
              <w:keepNext/>
              <w:jc w:val="right"/>
            </w:pPr>
            <w:r w:rsidRPr="00683F7F">
              <w:t>$610.34</w:t>
            </w:r>
          </w:p>
        </w:tc>
        <w:tc>
          <w:tcPr>
            <w:tcW w:w="1596" w:type="dxa"/>
          </w:tcPr>
          <w:p w:rsidR="00683F7F" w:rsidRPr="00683F7F" w:rsidRDefault="00683F7F" w:rsidP="00683F7F">
            <w:pPr>
              <w:keepNext/>
              <w:jc w:val="right"/>
            </w:pPr>
            <w:r w:rsidRPr="00683F7F">
              <w:t>$579.66</w:t>
            </w:r>
          </w:p>
        </w:tc>
      </w:tr>
      <w:tr w:rsidR="00683F7F" w:rsidRPr="00683F7F" w:rsidTr="00C560E3">
        <w:trPr>
          <w:jc w:val="center"/>
        </w:trPr>
        <w:tc>
          <w:tcPr>
            <w:tcW w:w="803" w:type="dxa"/>
          </w:tcPr>
          <w:p w:rsidR="00683F7F" w:rsidRPr="00683F7F" w:rsidRDefault="00683F7F" w:rsidP="00683F7F">
            <w:pPr>
              <w:keepNext/>
              <w:rPr>
                <w:b/>
              </w:rPr>
            </w:pPr>
            <w:r w:rsidRPr="00683F7F">
              <w:rPr>
                <w:b/>
              </w:rPr>
              <w:t>2023</w:t>
            </w:r>
          </w:p>
        </w:tc>
        <w:tc>
          <w:tcPr>
            <w:tcW w:w="1596" w:type="dxa"/>
          </w:tcPr>
          <w:p w:rsidR="00683F7F" w:rsidRPr="00683F7F" w:rsidRDefault="00683F7F" w:rsidP="00683F7F">
            <w:pPr>
              <w:keepNext/>
              <w:jc w:val="right"/>
            </w:pPr>
            <w:r w:rsidRPr="00683F7F">
              <w:t>$1.77</w:t>
            </w:r>
          </w:p>
        </w:tc>
        <w:tc>
          <w:tcPr>
            <w:tcW w:w="1596" w:type="dxa"/>
          </w:tcPr>
          <w:p w:rsidR="00683F7F" w:rsidRPr="00683F7F" w:rsidRDefault="00683F7F" w:rsidP="00683F7F">
            <w:pPr>
              <w:keepNext/>
              <w:jc w:val="right"/>
            </w:pPr>
            <w:r w:rsidRPr="00683F7F">
              <w:t>$2.27</w:t>
            </w:r>
          </w:p>
        </w:tc>
        <w:tc>
          <w:tcPr>
            <w:tcW w:w="2216" w:type="dxa"/>
          </w:tcPr>
          <w:p w:rsidR="00683F7F" w:rsidRPr="00683F7F" w:rsidRDefault="00683F7F" w:rsidP="00683F7F">
            <w:pPr>
              <w:keepNext/>
              <w:jc w:val="right"/>
            </w:pPr>
            <w:r w:rsidRPr="00683F7F">
              <w:t>$615.42</w:t>
            </w:r>
          </w:p>
        </w:tc>
        <w:tc>
          <w:tcPr>
            <w:tcW w:w="1596" w:type="dxa"/>
          </w:tcPr>
          <w:p w:rsidR="00683F7F" w:rsidRPr="00683F7F" w:rsidRDefault="00683F7F" w:rsidP="00683F7F">
            <w:pPr>
              <w:keepNext/>
              <w:jc w:val="right"/>
            </w:pPr>
            <w:r w:rsidRPr="00683F7F">
              <w:t>$574.58</w:t>
            </w:r>
          </w:p>
        </w:tc>
      </w:tr>
      <w:tr w:rsidR="00683F7F" w:rsidRPr="00683F7F" w:rsidTr="00C560E3">
        <w:trPr>
          <w:jc w:val="center"/>
        </w:trPr>
        <w:tc>
          <w:tcPr>
            <w:tcW w:w="803" w:type="dxa"/>
          </w:tcPr>
          <w:p w:rsidR="00683F7F" w:rsidRPr="00683F7F" w:rsidRDefault="00683F7F" w:rsidP="00683F7F">
            <w:pPr>
              <w:keepNext/>
              <w:rPr>
                <w:b/>
              </w:rPr>
            </w:pPr>
            <w:r w:rsidRPr="00683F7F">
              <w:rPr>
                <w:b/>
              </w:rPr>
              <w:t>2024</w:t>
            </w:r>
          </w:p>
        </w:tc>
        <w:tc>
          <w:tcPr>
            <w:tcW w:w="1596" w:type="dxa"/>
          </w:tcPr>
          <w:p w:rsidR="00683F7F" w:rsidRPr="00683F7F" w:rsidRDefault="00683F7F" w:rsidP="00683F7F">
            <w:pPr>
              <w:keepNext/>
              <w:jc w:val="right"/>
            </w:pPr>
            <w:r w:rsidRPr="00683F7F">
              <w:t>$1.77</w:t>
            </w:r>
          </w:p>
        </w:tc>
        <w:tc>
          <w:tcPr>
            <w:tcW w:w="1596" w:type="dxa"/>
          </w:tcPr>
          <w:p w:rsidR="00683F7F" w:rsidRPr="00683F7F" w:rsidRDefault="00683F7F" w:rsidP="00683F7F">
            <w:pPr>
              <w:keepNext/>
              <w:jc w:val="right"/>
            </w:pPr>
            <w:r w:rsidRPr="00683F7F">
              <w:t>$2.27</w:t>
            </w:r>
          </w:p>
        </w:tc>
        <w:tc>
          <w:tcPr>
            <w:tcW w:w="2216" w:type="dxa"/>
          </w:tcPr>
          <w:p w:rsidR="00683F7F" w:rsidRPr="00683F7F" w:rsidRDefault="00683F7F" w:rsidP="00683F7F">
            <w:pPr>
              <w:keepNext/>
              <w:jc w:val="right"/>
            </w:pPr>
            <w:r w:rsidRPr="00683F7F">
              <w:t>$618.81</w:t>
            </w:r>
          </w:p>
        </w:tc>
        <w:tc>
          <w:tcPr>
            <w:tcW w:w="1596" w:type="dxa"/>
          </w:tcPr>
          <w:p w:rsidR="00683F7F" w:rsidRPr="00683F7F" w:rsidRDefault="00683F7F" w:rsidP="00683F7F">
            <w:pPr>
              <w:keepNext/>
              <w:jc w:val="right"/>
            </w:pPr>
            <w:r w:rsidRPr="00683F7F">
              <w:t>$571.19</w:t>
            </w:r>
          </w:p>
        </w:tc>
      </w:tr>
    </w:tbl>
    <w:p w:rsidR="00683F7F" w:rsidRPr="00683F7F" w:rsidRDefault="00683F7F" w:rsidP="00683F7F">
      <w:pPr>
        <w:spacing w:after="480"/>
        <w:jc w:val="both"/>
      </w:pPr>
      <w:r w:rsidRPr="00683F7F">
        <w:t xml:space="preserve">             Source: FPL response to staff’s first data request</w:t>
      </w:r>
    </w:p>
    <w:p w:rsidR="00683F7F" w:rsidRPr="00683F7F" w:rsidRDefault="00683F7F" w:rsidP="00DB35D5">
      <w:pPr>
        <w:spacing w:after="240"/>
        <w:ind w:firstLine="720"/>
        <w:jc w:val="both"/>
      </w:pPr>
      <w:r w:rsidRPr="00683F7F">
        <w:t>FPL’s DSM Plan includes a variety of programs that would allow participation by a wide spectrum of customer groups, including low-income, residential, and commercial/industrial customers. By participating in a DSM program, customers sh</w:t>
      </w:r>
      <w:r w:rsidR="00FB58ED">
        <w:t>all</w:t>
      </w:r>
      <w:r w:rsidRPr="00683F7F">
        <w:t xml:space="preserve"> be able to reduce their bills, potentially eliminating the additional cost associated with FPL’s DSM Plan. In addition, since </w:t>
      </w:r>
      <w:r w:rsidR="00DB35D5">
        <w:t>we</w:t>
      </w:r>
      <w:r w:rsidRPr="00683F7F">
        <w:t xml:space="preserve"> approved goals based on the RIM test, which considers the impact of lost revenues, even customers who do not participate in a DSM program should see a benefit of lower rates.</w:t>
      </w:r>
    </w:p>
    <w:p w:rsidR="00683F7F" w:rsidRDefault="00683F7F" w:rsidP="00683F7F">
      <w:pPr>
        <w:jc w:val="both"/>
        <w:outlineLvl w:val="2"/>
        <w:rPr>
          <w:b/>
          <w:bCs/>
          <w:iCs/>
          <w:szCs w:val="28"/>
        </w:rPr>
      </w:pPr>
      <w:r w:rsidRPr="00DB35D5">
        <w:rPr>
          <w:b/>
          <w:bCs/>
          <w:iCs/>
          <w:szCs w:val="28"/>
        </w:rPr>
        <w:t>Other Concerns</w:t>
      </w:r>
    </w:p>
    <w:p w:rsidR="00DB35D5" w:rsidRPr="00DB35D5" w:rsidRDefault="00DB35D5" w:rsidP="00683F7F">
      <w:pPr>
        <w:jc w:val="both"/>
        <w:outlineLvl w:val="2"/>
        <w:rPr>
          <w:b/>
          <w:bCs/>
          <w:iCs/>
          <w:szCs w:val="28"/>
        </w:rPr>
      </w:pPr>
    </w:p>
    <w:p w:rsidR="00683F7F" w:rsidRPr="00683F7F" w:rsidRDefault="00683F7F" w:rsidP="00DB35D5">
      <w:pPr>
        <w:spacing w:after="240"/>
        <w:ind w:firstLine="720"/>
        <w:jc w:val="both"/>
      </w:pPr>
      <w:r w:rsidRPr="00683F7F">
        <w:t xml:space="preserve">On May 7, 2015, the Southern Alliance for Clean Energy (SACE) petitioned to intervene in this proceeding. In its Petition for Intervention, SACE posed three disputed issues: 1) do the company’s DSM programs meet the requirements of </w:t>
      </w:r>
      <w:r w:rsidR="00DB35D5">
        <w:t>our</w:t>
      </w:r>
      <w:r w:rsidRPr="00683F7F">
        <w:t xml:space="preserve"> goal-setting order, 2) are the company’s DSM programs designed in the most efficient way to maximize customer energy savings, and 3) is the company’s evaluation, measurement and verification process adequate to capture empirical data on so called free-ridership. </w:t>
      </w:r>
    </w:p>
    <w:p w:rsidR="00683F7F" w:rsidRPr="00683F7F" w:rsidRDefault="00683F7F" w:rsidP="007C102B">
      <w:pPr>
        <w:spacing w:after="240"/>
        <w:ind w:firstLine="720"/>
        <w:jc w:val="both"/>
      </w:pPr>
      <w:r w:rsidRPr="00683F7F">
        <w:t xml:space="preserve">With regard to SACE’s first disputed issue and as discussed above, the projected demand and energy savings from FPL’s DSM Plan appears to meet the goals established by </w:t>
      </w:r>
      <w:r w:rsidR="00FB58ED">
        <w:t xml:space="preserve">us in </w:t>
      </w:r>
      <w:r w:rsidRPr="00683F7F">
        <w:t xml:space="preserve">Order No. PSC-14-0696-FOF-EU. Addressing SACE’s second disputed issue, SACE’s issue only addresses energy savings, and not seasonal peak demand. DSM programs should not focus solely </w:t>
      </w:r>
      <w:r w:rsidRPr="00683F7F">
        <w:lastRenderedPageBreak/>
        <w:t>on maximizing energy savings. Rather, programs should be a method for delivering the annual goals for seasonal peak demand and energy savings in a cost-effective manner, in order to decrease fuel consumption and to avoid or defer the construction of additional generating, transmission, and distribution facilities. As noted above, it is FPL’s burden to demonstrate that the administrative costs associated with implementing its DSM programs are reasonable and prudent in its annual cost recovery filings in the ECCR clause.</w:t>
      </w:r>
    </w:p>
    <w:p w:rsidR="00683F7F" w:rsidRPr="00683F7F" w:rsidRDefault="00683F7F" w:rsidP="00DB35D5">
      <w:pPr>
        <w:spacing w:after="240"/>
        <w:ind w:firstLine="720"/>
        <w:jc w:val="both"/>
      </w:pPr>
      <w:r w:rsidRPr="00683F7F">
        <w:t xml:space="preserve">SACE’s third disputed issue addresses the methodology used to determine free-ridership. In the goal-setting proceeding, </w:t>
      </w:r>
      <w:r w:rsidR="00DB35D5">
        <w:t>we</w:t>
      </w:r>
      <w:r w:rsidRPr="00683F7F">
        <w:t xml:space="preserve"> established a two-year payback methodology to account for free riders, but that educational and low income programs, including those with measures with a less than two year payback, were encouraged. In its Order establishing DSM goals, </w:t>
      </w:r>
      <w:r w:rsidR="00DB35D5">
        <w:t>we</w:t>
      </w:r>
      <w:r w:rsidRPr="00683F7F">
        <w:t xml:space="preserve"> stated:</w:t>
      </w:r>
    </w:p>
    <w:p w:rsidR="00683F7F" w:rsidRPr="00683F7F" w:rsidRDefault="00683F7F" w:rsidP="00683F7F">
      <w:pPr>
        <w:spacing w:after="240"/>
        <w:ind w:left="720" w:right="720"/>
        <w:jc w:val="both"/>
      </w:pPr>
      <w:r w:rsidRPr="00683F7F">
        <w:t>In response to Rule 25-17.0021(3), F.A.C., and Order No. PSC-13-0386-PCO-EU, the FEECA utilities filed a base case with a two-year payback to account for free riders. We approved goals based on a two-year payback criterion to identify free riders since 1994 and we find it appropriate to continue this policy. Each utility should continue to broadly educate all customer groups on energy efficiency opportunities. When the FEECA utilities file their DSM implementation plans, each plan should address how the utilities will assist and educate their low income customers, specifically with respect to the measures with a two-year or less payback.</w:t>
      </w:r>
      <w:r w:rsidRPr="00683F7F">
        <w:rPr>
          <w:vertAlign w:val="superscript"/>
        </w:rPr>
        <w:footnoteReference w:id="9"/>
      </w:r>
    </w:p>
    <w:p w:rsidR="00683F7F" w:rsidRPr="00683F7F" w:rsidRDefault="00683F7F" w:rsidP="00683F7F">
      <w:pPr>
        <w:spacing w:after="240"/>
        <w:jc w:val="both"/>
      </w:pPr>
      <w:r w:rsidRPr="00683F7F">
        <w:t>FPL has incorporated the two-year payback methodology into the design of its DSM Plan, and only includes savings from measures with a less than two-year payback in its residential low-income program.</w:t>
      </w:r>
    </w:p>
    <w:p w:rsidR="005F447C" w:rsidRPr="007C7BAB" w:rsidRDefault="00683F7F" w:rsidP="007C7BAB">
      <w:pPr>
        <w:spacing w:after="240"/>
        <w:ind w:firstLine="720"/>
        <w:jc w:val="both"/>
      </w:pPr>
      <w:r w:rsidRPr="00683F7F">
        <w:t>SACE’s disputed issue focuses on the collection of additional data associated with FPL’s DSM Plan regarding the adoption rates of measures in order to determine free ridership. This data collection, typically done through surveys sent to customers, would result in additional administrative cost with no additional seasonal peak demand or annual energy savings.</w:t>
      </w:r>
    </w:p>
    <w:p w:rsidR="00683F7F" w:rsidRPr="00683F7F" w:rsidRDefault="00683F7F" w:rsidP="005F447C">
      <w:pPr>
        <w:spacing w:after="240"/>
        <w:ind w:firstLine="720"/>
        <w:jc w:val="both"/>
      </w:pPr>
      <w:r w:rsidRPr="00683F7F">
        <w:t>FPL’s DSM Plan is cost-effective based upon the Rate Impact Measure (RIM) test and results in a net decrease in ratepayers’ monthly rates. FPL’s DSM Plan is projected to meet or exceed the annual nu</w:t>
      </w:r>
      <w:r w:rsidR="005F447C">
        <w:t xml:space="preserve">meric conservation goals set </w:t>
      </w:r>
      <w:r w:rsidRPr="00683F7F">
        <w:t>in Order No. PSC-14-0696-FOF-EU.</w:t>
      </w:r>
    </w:p>
    <w:p w:rsidR="00683F7F" w:rsidRPr="00683F7F" w:rsidRDefault="005F447C" w:rsidP="007C7BAB">
      <w:pPr>
        <w:spacing w:after="240"/>
        <w:ind w:firstLine="720"/>
        <w:jc w:val="both"/>
      </w:pPr>
      <w:r>
        <w:t>We</w:t>
      </w:r>
      <w:r w:rsidR="00683F7F" w:rsidRPr="00683F7F">
        <w:t xml:space="preserve"> approve the programs contained in FPL’s DSM Plan. In addition, FPL </w:t>
      </w:r>
      <w:r>
        <w:t>shall</w:t>
      </w:r>
      <w:r w:rsidR="00683F7F" w:rsidRPr="00683F7F">
        <w:t xml:space="preserve"> file for cost recovery of the programs in the Energy Conservation Cost Recovery (ECCR) clause proceeding. FPL, however, must still demonstrate that its expenditures to implement these programs are reasonable and prudent in order to recover the expenditures through the ECCR clause. </w:t>
      </w:r>
      <w:r>
        <w:t xml:space="preserve">We find </w:t>
      </w:r>
      <w:r w:rsidR="00683F7F" w:rsidRPr="00683F7F">
        <w:t>FPL may not discontinue its DSM programs or change its programs’ rebate levels without seeking</w:t>
      </w:r>
      <w:r>
        <w:t xml:space="preserve"> our</w:t>
      </w:r>
      <w:r w:rsidR="00683F7F" w:rsidRPr="00683F7F">
        <w:t xml:space="preserve"> formal approval.</w:t>
      </w:r>
    </w:p>
    <w:p w:rsidR="00683F7F" w:rsidRPr="00683F7F" w:rsidRDefault="00683F7F" w:rsidP="007C7BAB">
      <w:pPr>
        <w:spacing w:after="240"/>
        <w:ind w:firstLine="720"/>
        <w:jc w:val="both"/>
        <w:rPr>
          <w:rFonts w:ascii="Arial" w:hAnsi="Arial" w:cs="Arial"/>
          <w:b/>
          <w:bCs/>
          <w:i/>
          <w:kern w:val="32"/>
          <w:szCs w:val="32"/>
          <w:u w:val="single"/>
        </w:rPr>
      </w:pPr>
      <w:r w:rsidRPr="00683F7F">
        <w:lastRenderedPageBreak/>
        <w:t xml:space="preserve">Finally, FPL </w:t>
      </w:r>
      <w:r w:rsidR="005F447C">
        <w:t xml:space="preserve">shall </w:t>
      </w:r>
      <w:r w:rsidRPr="00683F7F">
        <w:t xml:space="preserve">file its administrative program standards for all programs within 30 days of the Consummating Order in this docket and </w:t>
      </w:r>
      <w:r w:rsidR="005F447C">
        <w:t>we</w:t>
      </w:r>
      <w:r w:rsidRPr="00683F7F">
        <w:t xml:space="preserve"> grant</w:t>
      </w:r>
      <w:r w:rsidR="005F447C">
        <w:t xml:space="preserve"> our</w:t>
      </w:r>
      <w:r w:rsidRPr="00683F7F">
        <w:t xml:space="preserve"> staff administrative authority to review and approve these standards.</w:t>
      </w:r>
    </w:p>
    <w:p w:rsidR="001D5089" w:rsidRDefault="001D5089" w:rsidP="00683F7F">
      <w:pPr>
        <w:rPr>
          <w:b/>
          <w:u w:val="single"/>
        </w:rPr>
      </w:pPr>
      <w:r w:rsidRPr="001D5089">
        <w:rPr>
          <w:b/>
          <w:u w:val="single"/>
        </w:rPr>
        <w:t>Cancellation of Closed Residential On Call Tariff Sheets</w:t>
      </w:r>
    </w:p>
    <w:p w:rsidR="007C7BAB" w:rsidRPr="007C7BAB" w:rsidRDefault="007C7BAB" w:rsidP="00683F7F">
      <w:pPr>
        <w:rPr>
          <w:u w:val="single"/>
        </w:rPr>
      </w:pPr>
      <w:r w:rsidRPr="007C7BAB">
        <w:rPr>
          <w:u w:val="single"/>
        </w:rPr>
        <w:t>(Final Agency Action)</w:t>
      </w:r>
    </w:p>
    <w:p w:rsidR="001D5089" w:rsidRDefault="001D5089" w:rsidP="00683F7F">
      <w:pPr>
        <w:rPr>
          <w:rFonts w:ascii="Arial" w:hAnsi="Arial" w:cs="Arial"/>
          <w:b/>
          <w:i/>
        </w:rPr>
      </w:pPr>
    </w:p>
    <w:p w:rsidR="00683F7F" w:rsidRPr="00683F7F" w:rsidRDefault="00683F7F" w:rsidP="001D5089">
      <w:pPr>
        <w:spacing w:after="240"/>
        <w:ind w:firstLine="720"/>
        <w:jc w:val="both"/>
      </w:pPr>
      <w:r w:rsidRPr="00683F7F">
        <w:t>FPL currently offers two similar residential load control tariffs: the Residential On Call tariff and the Residential Load Control tariff. By Order No. PSC-03-0322-TRF-EG</w:t>
      </w:r>
      <w:r w:rsidRPr="00683F7F">
        <w:rPr>
          <w:vertAlign w:val="superscript"/>
        </w:rPr>
        <w:footnoteReference w:id="10"/>
      </w:r>
      <w:r w:rsidRPr="00683F7F">
        <w:t xml:space="preserve"> issued March 6, 2003, </w:t>
      </w:r>
      <w:r w:rsidR="001D5089">
        <w:t>we</w:t>
      </w:r>
      <w:r w:rsidRPr="00683F7F">
        <w:t xml:space="preserve"> closed the Residential On Call tariff to new participants and approved FPL’s proposed Residential Load Control Pilot Project. The primary purpose of the Residential Load Control Pilot was to measure customer response to reduced incentives. </w:t>
      </w:r>
      <w:r w:rsidR="001D5089">
        <w:t>We</w:t>
      </w:r>
      <w:r w:rsidRPr="00683F7F">
        <w:t xml:space="preserve"> approved the Residential Load Control Pilot as an energy efficiency program in 2007.</w:t>
      </w:r>
      <w:r w:rsidRPr="00683F7F">
        <w:rPr>
          <w:vertAlign w:val="superscript"/>
        </w:rPr>
        <w:footnoteReference w:id="11"/>
      </w:r>
    </w:p>
    <w:p w:rsidR="00683F7F" w:rsidRPr="00683F7F" w:rsidRDefault="00683F7F" w:rsidP="001D5089">
      <w:pPr>
        <w:spacing w:after="240"/>
        <w:ind w:firstLine="720"/>
        <w:jc w:val="both"/>
      </w:pPr>
      <w:r w:rsidRPr="00683F7F">
        <w:t>As of March 31, 2015, there were 250,725 participants remaining in FPL’s closed Residential On Call tariff. FPL believes the number of customers on the closed Residential On Call tariff will continue to decline due to attrition from its peak of approximately 703,000 participants. As of March 31, 2015, there were 559,305 participants in FPL’s open Residential Load Control tariff. Both tariffs provide a monthly bill credit to residential customers in exchange for permission to interrupt the power to the following appliances: central electric air conditioning, electric space heating, electric water heaters, and swimming pool pumps. The only difference between the closed and open tariffs is the bill credit for two of the appliance control options: central air conditioning cycling and electric water heating. Table 2-1 below displays the monthly bill credits residential customers receive for each appliance under the two load management programs.</w:t>
      </w:r>
    </w:p>
    <w:p w:rsidR="00683F7F" w:rsidRPr="001D5089" w:rsidRDefault="00683F7F" w:rsidP="00683F7F">
      <w:pPr>
        <w:keepNext/>
        <w:spacing w:before="480"/>
        <w:jc w:val="center"/>
        <w:rPr>
          <w:b/>
        </w:rPr>
      </w:pPr>
      <w:r w:rsidRPr="001D5089">
        <w:rPr>
          <w:b/>
        </w:rPr>
        <w:lastRenderedPageBreak/>
        <w:t xml:space="preserve">Table </w:t>
      </w:r>
      <w:r w:rsidR="007C7BAB">
        <w:rPr>
          <w:b/>
        </w:rPr>
        <w:t>2-1</w:t>
      </w:r>
    </w:p>
    <w:p w:rsidR="00683F7F" w:rsidRPr="001D5089" w:rsidRDefault="00683F7F" w:rsidP="00683F7F">
      <w:pPr>
        <w:keepNext/>
        <w:jc w:val="center"/>
        <w:rPr>
          <w:b/>
        </w:rPr>
      </w:pPr>
      <w:r w:rsidRPr="001D5089">
        <w:rPr>
          <w:b/>
        </w:rPr>
        <w:t>FPL’s Load Management Tariffs</w:t>
      </w:r>
    </w:p>
    <w:tbl>
      <w:tblPr>
        <w:tblStyle w:val="TableGrid"/>
        <w:tblW w:w="8720" w:type="dxa"/>
        <w:jc w:val="center"/>
        <w:tblLook w:val="04A0" w:firstRow="1" w:lastRow="0" w:firstColumn="1" w:lastColumn="0" w:noHBand="0" w:noVBand="1"/>
      </w:tblPr>
      <w:tblGrid>
        <w:gridCol w:w="3484"/>
        <w:gridCol w:w="876"/>
        <w:gridCol w:w="3484"/>
        <w:gridCol w:w="876"/>
      </w:tblGrid>
      <w:tr w:rsidR="00683F7F" w:rsidRPr="00683F7F" w:rsidTr="00C560E3">
        <w:trPr>
          <w:trHeight w:val="432"/>
          <w:jc w:val="center"/>
        </w:trPr>
        <w:tc>
          <w:tcPr>
            <w:tcW w:w="4360" w:type="dxa"/>
            <w:gridSpan w:val="2"/>
            <w:vAlign w:val="center"/>
          </w:tcPr>
          <w:p w:rsidR="00683F7F" w:rsidRPr="00683F7F" w:rsidRDefault="00683F7F" w:rsidP="00683F7F">
            <w:pPr>
              <w:keepNext/>
              <w:jc w:val="center"/>
              <w:rPr>
                <w:b/>
                <w:bCs/>
                <w:color w:val="000000"/>
                <w:sz w:val="22"/>
                <w:szCs w:val="22"/>
              </w:rPr>
            </w:pPr>
            <w:r w:rsidRPr="00683F7F">
              <w:rPr>
                <w:b/>
                <w:bCs/>
                <w:color w:val="000000"/>
                <w:sz w:val="22"/>
                <w:szCs w:val="22"/>
              </w:rPr>
              <w:t>Closed Residential On Call</w:t>
            </w:r>
          </w:p>
        </w:tc>
        <w:tc>
          <w:tcPr>
            <w:tcW w:w="4360" w:type="dxa"/>
            <w:gridSpan w:val="2"/>
            <w:vAlign w:val="center"/>
          </w:tcPr>
          <w:p w:rsidR="00683F7F" w:rsidRPr="00683F7F" w:rsidRDefault="00683F7F" w:rsidP="00683F7F">
            <w:pPr>
              <w:keepNext/>
              <w:jc w:val="center"/>
              <w:rPr>
                <w:b/>
                <w:bCs/>
                <w:color w:val="000000"/>
                <w:sz w:val="22"/>
                <w:szCs w:val="22"/>
              </w:rPr>
            </w:pPr>
            <w:r w:rsidRPr="00683F7F">
              <w:rPr>
                <w:b/>
                <w:bCs/>
                <w:color w:val="000000"/>
                <w:sz w:val="22"/>
                <w:szCs w:val="22"/>
              </w:rPr>
              <w:t>Residential Load Control</w:t>
            </w:r>
          </w:p>
        </w:tc>
      </w:tr>
      <w:tr w:rsidR="00683F7F" w:rsidRPr="00683F7F" w:rsidTr="00C560E3">
        <w:trPr>
          <w:trHeight w:val="432"/>
          <w:jc w:val="center"/>
        </w:trPr>
        <w:tc>
          <w:tcPr>
            <w:tcW w:w="3484" w:type="dxa"/>
            <w:vAlign w:val="center"/>
          </w:tcPr>
          <w:p w:rsidR="00683F7F" w:rsidRPr="00683F7F" w:rsidRDefault="00683F7F" w:rsidP="00683F7F">
            <w:pPr>
              <w:keepNext/>
              <w:jc w:val="center"/>
              <w:rPr>
                <w:b/>
                <w:color w:val="000000"/>
                <w:sz w:val="22"/>
                <w:szCs w:val="22"/>
              </w:rPr>
            </w:pPr>
            <w:r w:rsidRPr="00683F7F">
              <w:rPr>
                <w:b/>
                <w:color w:val="000000"/>
                <w:sz w:val="22"/>
                <w:szCs w:val="22"/>
              </w:rPr>
              <w:t>Device (Option)</w:t>
            </w:r>
          </w:p>
        </w:tc>
        <w:tc>
          <w:tcPr>
            <w:tcW w:w="876" w:type="dxa"/>
            <w:vAlign w:val="center"/>
          </w:tcPr>
          <w:p w:rsidR="00683F7F" w:rsidRPr="00683F7F" w:rsidRDefault="00683F7F" w:rsidP="00683F7F">
            <w:pPr>
              <w:keepNext/>
              <w:jc w:val="center"/>
              <w:rPr>
                <w:b/>
                <w:color w:val="000000"/>
                <w:sz w:val="22"/>
                <w:szCs w:val="22"/>
              </w:rPr>
            </w:pPr>
            <w:r w:rsidRPr="00683F7F">
              <w:rPr>
                <w:b/>
                <w:color w:val="000000"/>
                <w:sz w:val="22"/>
                <w:szCs w:val="22"/>
              </w:rPr>
              <w:t>Credit</w:t>
            </w:r>
          </w:p>
        </w:tc>
        <w:tc>
          <w:tcPr>
            <w:tcW w:w="3484" w:type="dxa"/>
            <w:vAlign w:val="center"/>
          </w:tcPr>
          <w:p w:rsidR="00683F7F" w:rsidRPr="00683F7F" w:rsidRDefault="00683F7F" w:rsidP="00683F7F">
            <w:pPr>
              <w:keepNext/>
              <w:jc w:val="center"/>
              <w:rPr>
                <w:b/>
                <w:color w:val="000000"/>
                <w:sz w:val="22"/>
                <w:szCs w:val="22"/>
              </w:rPr>
            </w:pPr>
            <w:r w:rsidRPr="00683F7F">
              <w:rPr>
                <w:b/>
                <w:color w:val="000000"/>
                <w:sz w:val="22"/>
                <w:szCs w:val="22"/>
              </w:rPr>
              <w:t>Device (Option)</w:t>
            </w:r>
          </w:p>
        </w:tc>
        <w:tc>
          <w:tcPr>
            <w:tcW w:w="876" w:type="dxa"/>
            <w:vAlign w:val="center"/>
          </w:tcPr>
          <w:p w:rsidR="00683F7F" w:rsidRPr="00683F7F" w:rsidRDefault="00683F7F" w:rsidP="00683F7F">
            <w:pPr>
              <w:keepNext/>
              <w:jc w:val="center"/>
              <w:rPr>
                <w:b/>
                <w:color w:val="000000"/>
                <w:sz w:val="22"/>
                <w:szCs w:val="22"/>
              </w:rPr>
            </w:pPr>
            <w:r w:rsidRPr="00683F7F">
              <w:rPr>
                <w:b/>
                <w:color w:val="000000"/>
                <w:sz w:val="22"/>
                <w:szCs w:val="22"/>
              </w:rPr>
              <w:t>Credit</w:t>
            </w:r>
          </w:p>
        </w:tc>
      </w:tr>
      <w:tr w:rsidR="00683F7F" w:rsidRPr="00683F7F" w:rsidTr="00C560E3">
        <w:trPr>
          <w:trHeight w:val="576"/>
          <w:jc w:val="center"/>
        </w:trPr>
        <w:tc>
          <w:tcPr>
            <w:tcW w:w="3484" w:type="dxa"/>
            <w:vAlign w:val="center"/>
          </w:tcPr>
          <w:p w:rsidR="00683F7F" w:rsidRPr="00683F7F" w:rsidRDefault="00683F7F" w:rsidP="00683F7F">
            <w:pPr>
              <w:keepNext/>
              <w:rPr>
                <w:color w:val="000000"/>
                <w:sz w:val="22"/>
                <w:szCs w:val="22"/>
              </w:rPr>
            </w:pPr>
            <w:r w:rsidRPr="00683F7F">
              <w:rPr>
                <w:color w:val="000000"/>
                <w:sz w:val="22"/>
                <w:szCs w:val="22"/>
              </w:rPr>
              <w:t>Conventional Electric Water Heater</w:t>
            </w:r>
          </w:p>
        </w:tc>
        <w:tc>
          <w:tcPr>
            <w:tcW w:w="876" w:type="dxa"/>
            <w:vAlign w:val="center"/>
          </w:tcPr>
          <w:p w:rsidR="00683F7F" w:rsidRPr="00683F7F" w:rsidRDefault="00683F7F" w:rsidP="00683F7F">
            <w:pPr>
              <w:keepNext/>
              <w:jc w:val="right"/>
              <w:rPr>
                <w:color w:val="000000"/>
                <w:sz w:val="22"/>
                <w:szCs w:val="22"/>
              </w:rPr>
            </w:pPr>
            <w:r w:rsidRPr="00683F7F">
              <w:rPr>
                <w:color w:val="000000"/>
                <w:sz w:val="22"/>
                <w:szCs w:val="22"/>
              </w:rPr>
              <w:t>$3.50</w:t>
            </w:r>
          </w:p>
        </w:tc>
        <w:tc>
          <w:tcPr>
            <w:tcW w:w="3484" w:type="dxa"/>
            <w:vAlign w:val="center"/>
          </w:tcPr>
          <w:p w:rsidR="00683F7F" w:rsidRPr="00683F7F" w:rsidRDefault="00683F7F" w:rsidP="00683F7F">
            <w:pPr>
              <w:keepNext/>
              <w:rPr>
                <w:color w:val="000000"/>
                <w:sz w:val="22"/>
                <w:szCs w:val="22"/>
              </w:rPr>
            </w:pPr>
            <w:r w:rsidRPr="00683F7F">
              <w:rPr>
                <w:color w:val="000000"/>
                <w:sz w:val="22"/>
                <w:szCs w:val="22"/>
              </w:rPr>
              <w:t>Conventional Electric Water Heater</w:t>
            </w:r>
          </w:p>
        </w:tc>
        <w:tc>
          <w:tcPr>
            <w:tcW w:w="876" w:type="dxa"/>
            <w:vAlign w:val="center"/>
          </w:tcPr>
          <w:p w:rsidR="00683F7F" w:rsidRPr="00683F7F" w:rsidRDefault="00683F7F" w:rsidP="00683F7F">
            <w:pPr>
              <w:keepNext/>
              <w:jc w:val="right"/>
              <w:rPr>
                <w:color w:val="000000"/>
                <w:sz w:val="22"/>
                <w:szCs w:val="22"/>
              </w:rPr>
            </w:pPr>
            <w:r w:rsidRPr="00683F7F">
              <w:rPr>
                <w:color w:val="000000"/>
                <w:sz w:val="22"/>
                <w:szCs w:val="22"/>
              </w:rPr>
              <w:t>$1.50</w:t>
            </w:r>
          </w:p>
        </w:tc>
      </w:tr>
      <w:tr w:rsidR="00683F7F" w:rsidRPr="00683F7F" w:rsidTr="00C560E3">
        <w:trPr>
          <w:trHeight w:val="576"/>
          <w:jc w:val="center"/>
        </w:trPr>
        <w:tc>
          <w:tcPr>
            <w:tcW w:w="3484" w:type="dxa"/>
            <w:vAlign w:val="center"/>
          </w:tcPr>
          <w:p w:rsidR="00683F7F" w:rsidRPr="00683F7F" w:rsidRDefault="00683F7F" w:rsidP="00683F7F">
            <w:pPr>
              <w:keepNext/>
              <w:rPr>
                <w:color w:val="000000"/>
                <w:sz w:val="22"/>
                <w:szCs w:val="22"/>
              </w:rPr>
            </w:pPr>
            <w:r w:rsidRPr="00683F7F">
              <w:rPr>
                <w:color w:val="000000"/>
                <w:sz w:val="22"/>
                <w:szCs w:val="22"/>
              </w:rPr>
              <w:t>Central Electric Air Conditioning</w:t>
            </w:r>
          </w:p>
          <w:p w:rsidR="00683F7F" w:rsidRPr="00683F7F" w:rsidRDefault="00683F7F" w:rsidP="00683F7F">
            <w:pPr>
              <w:keepNext/>
              <w:rPr>
                <w:color w:val="000000"/>
                <w:sz w:val="22"/>
                <w:szCs w:val="22"/>
              </w:rPr>
            </w:pPr>
            <w:r w:rsidRPr="00683F7F">
              <w:rPr>
                <w:color w:val="000000"/>
                <w:sz w:val="22"/>
                <w:szCs w:val="22"/>
              </w:rPr>
              <w:t>(Option C)</w:t>
            </w:r>
          </w:p>
        </w:tc>
        <w:tc>
          <w:tcPr>
            <w:tcW w:w="876" w:type="dxa"/>
            <w:vAlign w:val="center"/>
          </w:tcPr>
          <w:p w:rsidR="00683F7F" w:rsidRPr="00683F7F" w:rsidRDefault="00683F7F" w:rsidP="00683F7F">
            <w:pPr>
              <w:keepNext/>
              <w:jc w:val="right"/>
              <w:rPr>
                <w:color w:val="000000"/>
                <w:sz w:val="22"/>
                <w:szCs w:val="22"/>
              </w:rPr>
            </w:pPr>
            <w:r w:rsidRPr="00683F7F">
              <w:rPr>
                <w:color w:val="000000"/>
                <w:sz w:val="22"/>
                <w:szCs w:val="22"/>
              </w:rPr>
              <w:t>$6.00</w:t>
            </w:r>
          </w:p>
        </w:tc>
        <w:tc>
          <w:tcPr>
            <w:tcW w:w="3484" w:type="dxa"/>
            <w:vAlign w:val="center"/>
          </w:tcPr>
          <w:p w:rsidR="00683F7F" w:rsidRPr="00683F7F" w:rsidRDefault="00683F7F" w:rsidP="00683F7F">
            <w:pPr>
              <w:keepNext/>
              <w:rPr>
                <w:color w:val="000000"/>
                <w:sz w:val="22"/>
                <w:szCs w:val="22"/>
              </w:rPr>
            </w:pPr>
            <w:r w:rsidRPr="00683F7F">
              <w:rPr>
                <w:color w:val="000000"/>
                <w:sz w:val="22"/>
                <w:szCs w:val="22"/>
              </w:rPr>
              <w:t>Central Electric Air Conditioning</w:t>
            </w:r>
          </w:p>
          <w:p w:rsidR="00683F7F" w:rsidRPr="00683F7F" w:rsidRDefault="00683F7F" w:rsidP="00683F7F">
            <w:pPr>
              <w:keepNext/>
              <w:rPr>
                <w:color w:val="000000"/>
                <w:sz w:val="22"/>
                <w:szCs w:val="22"/>
              </w:rPr>
            </w:pPr>
            <w:r w:rsidRPr="00683F7F">
              <w:rPr>
                <w:color w:val="000000"/>
                <w:sz w:val="22"/>
                <w:szCs w:val="22"/>
              </w:rPr>
              <w:t>(Option C)</w:t>
            </w:r>
          </w:p>
        </w:tc>
        <w:tc>
          <w:tcPr>
            <w:tcW w:w="876" w:type="dxa"/>
            <w:vAlign w:val="center"/>
          </w:tcPr>
          <w:p w:rsidR="00683F7F" w:rsidRPr="00683F7F" w:rsidRDefault="00683F7F" w:rsidP="00683F7F">
            <w:pPr>
              <w:keepNext/>
              <w:jc w:val="right"/>
              <w:rPr>
                <w:color w:val="000000"/>
                <w:sz w:val="22"/>
                <w:szCs w:val="22"/>
              </w:rPr>
            </w:pPr>
            <w:r w:rsidRPr="00683F7F">
              <w:rPr>
                <w:color w:val="000000"/>
                <w:sz w:val="22"/>
                <w:szCs w:val="22"/>
              </w:rPr>
              <w:t>$3.00</w:t>
            </w:r>
          </w:p>
        </w:tc>
      </w:tr>
      <w:tr w:rsidR="00683F7F" w:rsidRPr="00683F7F" w:rsidTr="00C560E3">
        <w:trPr>
          <w:trHeight w:val="576"/>
          <w:jc w:val="center"/>
        </w:trPr>
        <w:tc>
          <w:tcPr>
            <w:tcW w:w="3484" w:type="dxa"/>
            <w:vAlign w:val="center"/>
          </w:tcPr>
          <w:p w:rsidR="00683F7F" w:rsidRPr="00683F7F" w:rsidRDefault="00683F7F" w:rsidP="00683F7F">
            <w:pPr>
              <w:keepNext/>
              <w:rPr>
                <w:color w:val="000000"/>
                <w:sz w:val="22"/>
                <w:szCs w:val="22"/>
              </w:rPr>
            </w:pPr>
            <w:r w:rsidRPr="00683F7F">
              <w:rPr>
                <w:color w:val="000000"/>
                <w:sz w:val="22"/>
                <w:szCs w:val="22"/>
              </w:rPr>
              <w:t>Central Electric Air Conditioning</w:t>
            </w:r>
          </w:p>
          <w:p w:rsidR="00683F7F" w:rsidRPr="00683F7F" w:rsidRDefault="00683F7F" w:rsidP="00683F7F">
            <w:pPr>
              <w:keepNext/>
              <w:rPr>
                <w:color w:val="000000"/>
                <w:sz w:val="22"/>
                <w:szCs w:val="22"/>
              </w:rPr>
            </w:pPr>
            <w:r w:rsidRPr="00683F7F">
              <w:rPr>
                <w:color w:val="000000"/>
                <w:sz w:val="22"/>
                <w:szCs w:val="22"/>
              </w:rPr>
              <w:t>(Option S)</w:t>
            </w:r>
          </w:p>
        </w:tc>
        <w:tc>
          <w:tcPr>
            <w:tcW w:w="876" w:type="dxa"/>
            <w:vAlign w:val="center"/>
          </w:tcPr>
          <w:p w:rsidR="00683F7F" w:rsidRPr="00683F7F" w:rsidRDefault="00683F7F" w:rsidP="00683F7F">
            <w:pPr>
              <w:keepNext/>
              <w:jc w:val="right"/>
              <w:rPr>
                <w:color w:val="000000"/>
                <w:sz w:val="22"/>
                <w:szCs w:val="22"/>
              </w:rPr>
            </w:pPr>
            <w:r w:rsidRPr="00683F7F">
              <w:rPr>
                <w:color w:val="000000"/>
                <w:sz w:val="22"/>
                <w:szCs w:val="22"/>
              </w:rPr>
              <w:t>$9.00</w:t>
            </w:r>
          </w:p>
        </w:tc>
        <w:tc>
          <w:tcPr>
            <w:tcW w:w="3484" w:type="dxa"/>
            <w:vAlign w:val="center"/>
          </w:tcPr>
          <w:p w:rsidR="00683F7F" w:rsidRPr="00683F7F" w:rsidRDefault="00683F7F" w:rsidP="00683F7F">
            <w:pPr>
              <w:keepNext/>
              <w:rPr>
                <w:color w:val="000000"/>
                <w:sz w:val="22"/>
                <w:szCs w:val="22"/>
              </w:rPr>
            </w:pPr>
            <w:r w:rsidRPr="00683F7F">
              <w:rPr>
                <w:color w:val="000000"/>
                <w:sz w:val="22"/>
                <w:szCs w:val="22"/>
              </w:rPr>
              <w:t>Central Electric Air Conditioning</w:t>
            </w:r>
          </w:p>
          <w:p w:rsidR="00683F7F" w:rsidRPr="00683F7F" w:rsidRDefault="00683F7F" w:rsidP="00683F7F">
            <w:pPr>
              <w:keepNext/>
              <w:rPr>
                <w:color w:val="000000"/>
                <w:sz w:val="22"/>
                <w:szCs w:val="22"/>
              </w:rPr>
            </w:pPr>
            <w:r w:rsidRPr="00683F7F">
              <w:rPr>
                <w:color w:val="000000"/>
                <w:sz w:val="22"/>
                <w:szCs w:val="22"/>
              </w:rPr>
              <w:t>(Option S)</w:t>
            </w:r>
          </w:p>
        </w:tc>
        <w:tc>
          <w:tcPr>
            <w:tcW w:w="876" w:type="dxa"/>
            <w:vAlign w:val="center"/>
          </w:tcPr>
          <w:p w:rsidR="00683F7F" w:rsidRPr="00683F7F" w:rsidRDefault="00683F7F" w:rsidP="00683F7F">
            <w:pPr>
              <w:keepNext/>
              <w:jc w:val="right"/>
              <w:rPr>
                <w:color w:val="000000"/>
                <w:sz w:val="22"/>
                <w:szCs w:val="22"/>
              </w:rPr>
            </w:pPr>
            <w:r w:rsidRPr="00683F7F">
              <w:rPr>
                <w:color w:val="000000"/>
                <w:sz w:val="22"/>
                <w:szCs w:val="22"/>
              </w:rPr>
              <w:t>$9.00</w:t>
            </w:r>
          </w:p>
        </w:tc>
      </w:tr>
      <w:tr w:rsidR="00683F7F" w:rsidRPr="00683F7F" w:rsidTr="00C560E3">
        <w:trPr>
          <w:trHeight w:val="576"/>
          <w:jc w:val="center"/>
        </w:trPr>
        <w:tc>
          <w:tcPr>
            <w:tcW w:w="3484" w:type="dxa"/>
            <w:vAlign w:val="center"/>
          </w:tcPr>
          <w:p w:rsidR="00683F7F" w:rsidRPr="00683F7F" w:rsidRDefault="00683F7F" w:rsidP="00683F7F">
            <w:pPr>
              <w:keepNext/>
              <w:rPr>
                <w:color w:val="000000"/>
                <w:sz w:val="22"/>
                <w:szCs w:val="22"/>
              </w:rPr>
            </w:pPr>
            <w:r w:rsidRPr="00683F7F">
              <w:rPr>
                <w:color w:val="000000"/>
                <w:sz w:val="22"/>
                <w:szCs w:val="22"/>
              </w:rPr>
              <w:t>Swimming Pool Pump</w:t>
            </w:r>
          </w:p>
        </w:tc>
        <w:tc>
          <w:tcPr>
            <w:tcW w:w="876" w:type="dxa"/>
            <w:vAlign w:val="center"/>
          </w:tcPr>
          <w:p w:rsidR="00683F7F" w:rsidRPr="00683F7F" w:rsidRDefault="00683F7F" w:rsidP="00683F7F">
            <w:pPr>
              <w:keepNext/>
              <w:jc w:val="right"/>
              <w:rPr>
                <w:color w:val="000000"/>
                <w:sz w:val="22"/>
                <w:szCs w:val="22"/>
              </w:rPr>
            </w:pPr>
            <w:r w:rsidRPr="00683F7F">
              <w:rPr>
                <w:color w:val="000000"/>
                <w:sz w:val="22"/>
                <w:szCs w:val="22"/>
              </w:rPr>
              <w:t>$3.00</w:t>
            </w:r>
          </w:p>
        </w:tc>
        <w:tc>
          <w:tcPr>
            <w:tcW w:w="3484" w:type="dxa"/>
            <w:vAlign w:val="center"/>
          </w:tcPr>
          <w:p w:rsidR="00683F7F" w:rsidRPr="00683F7F" w:rsidRDefault="00683F7F" w:rsidP="00683F7F">
            <w:pPr>
              <w:keepNext/>
              <w:rPr>
                <w:color w:val="000000"/>
                <w:sz w:val="22"/>
                <w:szCs w:val="22"/>
              </w:rPr>
            </w:pPr>
            <w:r w:rsidRPr="00683F7F">
              <w:rPr>
                <w:color w:val="000000"/>
                <w:sz w:val="22"/>
                <w:szCs w:val="22"/>
              </w:rPr>
              <w:t>Swimming Pool Pump</w:t>
            </w:r>
          </w:p>
        </w:tc>
        <w:tc>
          <w:tcPr>
            <w:tcW w:w="876" w:type="dxa"/>
            <w:vAlign w:val="center"/>
          </w:tcPr>
          <w:p w:rsidR="00683F7F" w:rsidRPr="00683F7F" w:rsidRDefault="00683F7F" w:rsidP="00683F7F">
            <w:pPr>
              <w:keepNext/>
              <w:jc w:val="right"/>
              <w:rPr>
                <w:color w:val="000000"/>
                <w:sz w:val="22"/>
                <w:szCs w:val="22"/>
              </w:rPr>
            </w:pPr>
            <w:r w:rsidRPr="00683F7F">
              <w:rPr>
                <w:color w:val="000000"/>
                <w:sz w:val="22"/>
                <w:szCs w:val="22"/>
              </w:rPr>
              <w:t>$3.00</w:t>
            </w:r>
          </w:p>
        </w:tc>
      </w:tr>
      <w:tr w:rsidR="00683F7F" w:rsidRPr="00683F7F" w:rsidTr="00C560E3">
        <w:trPr>
          <w:trHeight w:val="576"/>
          <w:jc w:val="center"/>
        </w:trPr>
        <w:tc>
          <w:tcPr>
            <w:tcW w:w="3484" w:type="dxa"/>
            <w:vAlign w:val="center"/>
          </w:tcPr>
          <w:p w:rsidR="00683F7F" w:rsidRPr="00683F7F" w:rsidRDefault="00683F7F" w:rsidP="00683F7F">
            <w:pPr>
              <w:keepNext/>
              <w:rPr>
                <w:color w:val="000000"/>
                <w:sz w:val="22"/>
                <w:szCs w:val="22"/>
              </w:rPr>
            </w:pPr>
            <w:r w:rsidRPr="00683F7F">
              <w:rPr>
                <w:color w:val="000000"/>
                <w:sz w:val="22"/>
                <w:szCs w:val="22"/>
              </w:rPr>
              <w:t>Central Electric Space Heating</w:t>
            </w:r>
          </w:p>
          <w:p w:rsidR="00683F7F" w:rsidRPr="00683F7F" w:rsidRDefault="00683F7F" w:rsidP="00683F7F">
            <w:pPr>
              <w:keepNext/>
              <w:rPr>
                <w:color w:val="000000"/>
                <w:sz w:val="22"/>
                <w:szCs w:val="22"/>
              </w:rPr>
            </w:pPr>
            <w:r w:rsidRPr="00683F7F">
              <w:rPr>
                <w:color w:val="000000"/>
                <w:sz w:val="22"/>
                <w:szCs w:val="22"/>
              </w:rPr>
              <w:t>(Option C)</w:t>
            </w:r>
          </w:p>
        </w:tc>
        <w:tc>
          <w:tcPr>
            <w:tcW w:w="876" w:type="dxa"/>
            <w:vAlign w:val="center"/>
          </w:tcPr>
          <w:p w:rsidR="00683F7F" w:rsidRPr="00683F7F" w:rsidRDefault="00683F7F" w:rsidP="00683F7F">
            <w:pPr>
              <w:keepNext/>
              <w:jc w:val="right"/>
              <w:rPr>
                <w:color w:val="000000"/>
                <w:sz w:val="22"/>
                <w:szCs w:val="22"/>
              </w:rPr>
            </w:pPr>
            <w:r w:rsidRPr="00683F7F">
              <w:rPr>
                <w:color w:val="000000"/>
                <w:sz w:val="22"/>
                <w:szCs w:val="22"/>
              </w:rPr>
              <w:t>$2.00</w:t>
            </w:r>
          </w:p>
        </w:tc>
        <w:tc>
          <w:tcPr>
            <w:tcW w:w="3484" w:type="dxa"/>
            <w:vAlign w:val="center"/>
          </w:tcPr>
          <w:p w:rsidR="00683F7F" w:rsidRPr="00683F7F" w:rsidRDefault="00683F7F" w:rsidP="00683F7F">
            <w:pPr>
              <w:keepNext/>
              <w:rPr>
                <w:color w:val="000000"/>
                <w:sz w:val="22"/>
                <w:szCs w:val="22"/>
              </w:rPr>
            </w:pPr>
            <w:r w:rsidRPr="00683F7F">
              <w:rPr>
                <w:color w:val="000000"/>
                <w:sz w:val="22"/>
                <w:szCs w:val="22"/>
              </w:rPr>
              <w:t>Central Electric Space Heating</w:t>
            </w:r>
          </w:p>
          <w:p w:rsidR="00683F7F" w:rsidRPr="00683F7F" w:rsidRDefault="00683F7F" w:rsidP="00683F7F">
            <w:pPr>
              <w:keepNext/>
              <w:rPr>
                <w:color w:val="000000"/>
                <w:sz w:val="22"/>
                <w:szCs w:val="22"/>
              </w:rPr>
            </w:pPr>
            <w:r w:rsidRPr="00683F7F">
              <w:rPr>
                <w:color w:val="000000"/>
                <w:sz w:val="22"/>
                <w:szCs w:val="22"/>
              </w:rPr>
              <w:t>(Option C)</w:t>
            </w:r>
          </w:p>
        </w:tc>
        <w:tc>
          <w:tcPr>
            <w:tcW w:w="876" w:type="dxa"/>
            <w:vAlign w:val="center"/>
          </w:tcPr>
          <w:p w:rsidR="00683F7F" w:rsidRPr="00683F7F" w:rsidRDefault="00683F7F" w:rsidP="00683F7F">
            <w:pPr>
              <w:keepNext/>
              <w:jc w:val="right"/>
              <w:rPr>
                <w:color w:val="000000"/>
                <w:sz w:val="22"/>
                <w:szCs w:val="22"/>
              </w:rPr>
            </w:pPr>
            <w:r w:rsidRPr="00683F7F">
              <w:rPr>
                <w:color w:val="000000"/>
                <w:sz w:val="22"/>
                <w:szCs w:val="22"/>
              </w:rPr>
              <w:t>$2.00</w:t>
            </w:r>
          </w:p>
        </w:tc>
      </w:tr>
      <w:tr w:rsidR="00683F7F" w:rsidRPr="00683F7F" w:rsidTr="00C560E3">
        <w:trPr>
          <w:trHeight w:val="576"/>
          <w:jc w:val="center"/>
        </w:trPr>
        <w:tc>
          <w:tcPr>
            <w:tcW w:w="3484" w:type="dxa"/>
            <w:vAlign w:val="center"/>
          </w:tcPr>
          <w:p w:rsidR="00683F7F" w:rsidRPr="00683F7F" w:rsidRDefault="00683F7F" w:rsidP="00683F7F">
            <w:pPr>
              <w:keepNext/>
              <w:rPr>
                <w:color w:val="000000"/>
                <w:sz w:val="22"/>
                <w:szCs w:val="22"/>
              </w:rPr>
            </w:pPr>
            <w:r w:rsidRPr="00683F7F">
              <w:rPr>
                <w:color w:val="000000"/>
                <w:sz w:val="22"/>
                <w:szCs w:val="22"/>
              </w:rPr>
              <w:t>Central Electric Space Heating</w:t>
            </w:r>
          </w:p>
          <w:p w:rsidR="00683F7F" w:rsidRPr="00683F7F" w:rsidRDefault="00683F7F" w:rsidP="00683F7F">
            <w:pPr>
              <w:keepNext/>
              <w:rPr>
                <w:color w:val="000000"/>
                <w:sz w:val="22"/>
                <w:szCs w:val="22"/>
              </w:rPr>
            </w:pPr>
            <w:r w:rsidRPr="00683F7F">
              <w:rPr>
                <w:color w:val="000000"/>
                <w:sz w:val="22"/>
                <w:szCs w:val="22"/>
              </w:rPr>
              <w:t>(Option S)</w:t>
            </w:r>
          </w:p>
        </w:tc>
        <w:tc>
          <w:tcPr>
            <w:tcW w:w="876" w:type="dxa"/>
            <w:vAlign w:val="center"/>
          </w:tcPr>
          <w:p w:rsidR="00683F7F" w:rsidRPr="00683F7F" w:rsidRDefault="00683F7F" w:rsidP="00683F7F">
            <w:pPr>
              <w:keepNext/>
              <w:jc w:val="right"/>
              <w:rPr>
                <w:color w:val="000000"/>
                <w:sz w:val="22"/>
                <w:szCs w:val="22"/>
              </w:rPr>
            </w:pPr>
            <w:r w:rsidRPr="00683F7F">
              <w:rPr>
                <w:color w:val="000000"/>
                <w:sz w:val="22"/>
                <w:szCs w:val="22"/>
              </w:rPr>
              <w:t>$4.00</w:t>
            </w:r>
          </w:p>
        </w:tc>
        <w:tc>
          <w:tcPr>
            <w:tcW w:w="3484" w:type="dxa"/>
            <w:vAlign w:val="center"/>
          </w:tcPr>
          <w:p w:rsidR="00683F7F" w:rsidRPr="00683F7F" w:rsidRDefault="00683F7F" w:rsidP="00683F7F">
            <w:pPr>
              <w:keepNext/>
              <w:rPr>
                <w:color w:val="000000"/>
                <w:sz w:val="22"/>
                <w:szCs w:val="22"/>
              </w:rPr>
            </w:pPr>
            <w:r w:rsidRPr="00683F7F">
              <w:rPr>
                <w:color w:val="000000"/>
                <w:sz w:val="22"/>
                <w:szCs w:val="22"/>
              </w:rPr>
              <w:t>Central Electric Space Heating</w:t>
            </w:r>
          </w:p>
          <w:p w:rsidR="00683F7F" w:rsidRPr="00683F7F" w:rsidRDefault="00683F7F" w:rsidP="00683F7F">
            <w:pPr>
              <w:keepNext/>
              <w:rPr>
                <w:color w:val="000000"/>
                <w:sz w:val="22"/>
                <w:szCs w:val="22"/>
              </w:rPr>
            </w:pPr>
            <w:r w:rsidRPr="00683F7F">
              <w:rPr>
                <w:color w:val="000000"/>
                <w:sz w:val="22"/>
                <w:szCs w:val="22"/>
              </w:rPr>
              <w:t>(Option S)</w:t>
            </w:r>
          </w:p>
        </w:tc>
        <w:tc>
          <w:tcPr>
            <w:tcW w:w="876" w:type="dxa"/>
            <w:vAlign w:val="center"/>
          </w:tcPr>
          <w:p w:rsidR="00683F7F" w:rsidRPr="00683F7F" w:rsidRDefault="00683F7F" w:rsidP="00683F7F">
            <w:pPr>
              <w:keepNext/>
              <w:jc w:val="right"/>
              <w:rPr>
                <w:color w:val="000000"/>
                <w:sz w:val="22"/>
                <w:szCs w:val="22"/>
              </w:rPr>
            </w:pPr>
            <w:r w:rsidRPr="00683F7F">
              <w:rPr>
                <w:color w:val="000000"/>
                <w:sz w:val="22"/>
                <w:szCs w:val="22"/>
              </w:rPr>
              <w:t>$4.00</w:t>
            </w:r>
          </w:p>
        </w:tc>
      </w:tr>
    </w:tbl>
    <w:p w:rsidR="00683F7F" w:rsidRPr="00683F7F" w:rsidRDefault="00683F7F" w:rsidP="00683F7F">
      <w:pPr>
        <w:spacing w:after="480"/>
        <w:jc w:val="both"/>
      </w:pPr>
      <w:r w:rsidRPr="00683F7F">
        <w:t xml:space="preserve">     Source: FPL’s RSL and RLP rate schedules </w:t>
      </w:r>
    </w:p>
    <w:p w:rsidR="00683F7F" w:rsidRPr="00683F7F" w:rsidRDefault="00683F7F" w:rsidP="001D5089">
      <w:pPr>
        <w:spacing w:after="240"/>
        <w:ind w:firstLine="720"/>
        <w:jc w:val="both"/>
      </w:pPr>
      <w:r w:rsidRPr="00683F7F">
        <w:t>Of the approximately 250,000 participants, FPL’s proposal will affect the monthly bill credit amount for participants that have selected either of the two appliance control options, conventional electric water heater and central electric air conditioning (Option C). Of these two, FPL states that 131,396 customers receive bill credits for both options, while 72,770 receive credits for the central electric air conditioning (Option C) only, and 36,048 receive credits for the conventional electric water heater only. Currently participants in the closed Residential On Call tariff receive a monthly bill credit of $3.50 under the conventional electric water heater option. Under FPL’s proposal, those customers would see a decrease in the monthly bill credit for this appliance to $1.50. Under the central air conditioning option (Option C), participants would experience a decrease in the monthly bill credit from $6.00 to $3.00 in the Residential Load Control tariff.</w:t>
      </w:r>
    </w:p>
    <w:p w:rsidR="00683F7F" w:rsidRPr="00683F7F" w:rsidRDefault="00683F7F" w:rsidP="001D5089">
      <w:pPr>
        <w:spacing w:after="240"/>
        <w:ind w:firstLine="720"/>
        <w:jc w:val="both"/>
      </w:pPr>
      <w:r w:rsidRPr="00683F7F">
        <w:t xml:space="preserve">FPL states that it is not proposing to change any of the current monthly bill credit amounts for the appliance options in the open Residential Load Control tariff. Instead, FPL asserts that it is because of fairness reasons that the company has proposed to migrate existing customers in its closed Residential On Call tariff to the open Residential Load Control tariff. As part of discovery, </w:t>
      </w:r>
      <w:r w:rsidR="007C7BAB">
        <w:t>we</w:t>
      </w:r>
      <w:r w:rsidRPr="00683F7F">
        <w:t xml:space="preserve"> asked if the closed Residential On-Call program is cost-effective. FPL provided an analysis illustrating that the closed Residential On Call tariff is currently cost-effective. Allowing FPL to cancel its closed Residential On Call tariff will address a pricing disparity between the two groups of participating customers in FPL’s closed Residential On Call tariff and Residential Load Control tariff. FPL also believes that the change will not cause a significant drop in participants in Residential Load Control.</w:t>
      </w:r>
    </w:p>
    <w:p w:rsidR="009F3F8A" w:rsidRPr="007C7BAB" w:rsidRDefault="00683F7F" w:rsidP="007C7BAB">
      <w:pPr>
        <w:spacing w:after="240"/>
        <w:ind w:firstLine="720"/>
        <w:jc w:val="both"/>
      </w:pPr>
      <w:r w:rsidRPr="00683F7F">
        <w:t>As part of</w:t>
      </w:r>
      <w:r w:rsidR="001D5089">
        <w:t xml:space="preserve"> our</w:t>
      </w:r>
      <w:r w:rsidRPr="00683F7F">
        <w:t xml:space="preserve"> data requests, </w:t>
      </w:r>
      <w:r w:rsidR="001D5089">
        <w:t xml:space="preserve">we </w:t>
      </w:r>
      <w:r w:rsidRPr="00683F7F">
        <w:t xml:space="preserve">asked the company if the proposal were to be approved, what procedures were in place to notify participating customers in the closed Residential On Call </w:t>
      </w:r>
      <w:r w:rsidRPr="00683F7F">
        <w:lastRenderedPageBreak/>
        <w:t xml:space="preserve">tariff that they would be shifted to the open Residential Load Control program. The company states that once </w:t>
      </w:r>
      <w:r w:rsidR="001D5089">
        <w:t>our</w:t>
      </w:r>
      <w:r w:rsidRPr="00683F7F">
        <w:t xml:space="preserve"> approval of the tariff is final, FPL will send a letter to all customers on the closed Residential On Call tariff explaining the transition from the closed Residential On Call tariff to the open Residential Load Control tariff. The letter will be sent at least 30 days in advance of the date when the newly-approved credit will be reflected on the customer’s bill. However, if a participant in the closed Residential On Call tariff does not wish to continue to participate in the Residential Load Control tariff, he/she can request to cease participating in the program without any penalties. </w:t>
      </w:r>
      <w:r w:rsidR="009F3F8A">
        <w:t xml:space="preserve">We </w:t>
      </w:r>
      <w:r w:rsidRPr="00683F7F">
        <w:t>grant permission for</w:t>
      </w:r>
      <w:r w:rsidR="009F3F8A">
        <w:t xml:space="preserve"> our</w:t>
      </w:r>
      <w:r w:rsidRPr="00683F7F">
        <w:t xml:space="preserve"> staff to administratively approve the notifications that FPL will submit to its customers regarding the tariffs.</w:t>
      </w:r>
    </w:p>
    <w:p w:rsidR="00683F7F" w:rsidRPr="00683F7F" w:rsidRDefault="009F3F8A" w:rsidP="009F3F8A">
      <w:pPr>
        <w:spacing w:after="240"/>
        <w:ind w:firstLine="720"/>
        <w:jc w:val="both"/>
      </w:pPr>
      <w:r>
        <w:t>We find it appropriate to</w:t>
      </w:r>
      <w:r w:rsidR="00683F7F" w:rsidRPr="00683F7F">
        <w:t xml:space="preserve"> allow FPL to cancel its closed residential On Call Tariff Sheets. FPL expects to save approximately $8.3 million annually due to lower bill credits being provided to certain participants in the closed Residential On Call tariff that would be shifted to the Residential load control tariff. FPL also expects to experience administrative savings from reduced system and reporting requirements associated with the closed tariff. FPL does not expect significant reductions in participation due to the requested change. Therefore, the general body of ratepayers will continue to experience the benefits from residential load control, while the costs recovered by FPL through the Energy Conservation Cost Recovery clause are expected to be reduced.</w:t>
      </w:r>
    </w:p>
    <w:p w:rsidR="00CB5276" w:rsidRDefault="00CB5276"/>
    <w:p w:rsidR="00683F7F" w:rsidRDefault="00683F7F" w:rsidP="00683F7F">
      <w:pPr>
        <w:pStyle w:val="OrderBody"/>
      </w:pPr>
      <w:r>
        <w:tab/>
        <w:t>Based on the foregoing, it is</w:t>
      </w:r>
    </w:p>
    <w:p w:rsidR="00683F7F" w:rsidRDefault="00683F7F" w:rsidP="00683F7F">
      <w:pPr>
        <w:pStyle w:val="OrderBody"/>
      </w:pPr>
    </w:p>
    <w:p w:rsidR="005F447C" w:rsidRDefault="00683F7F" w:rsidP="005F447C">
      <w:pPr>
        <w:pStyle w:val="OrderBody"/>
      </w:pPr>
      <w:r>
        <w:tab/>
      </w:r>
      <w:r w:rsidR="005F447C" w:rsidRPr="00DB268E">
        <w:t>ORDERED by the Florida Public Service Commission that</w:t>
      </w:r>
      <w:r w:rsidR="005F447C">
        <w:t xml:space="preserve"> </w:t>
      </w:r>
      <w:r w:rsidR="005F447C" w:rsidRPr="00683F7F">
        <w:t>Florida Power &amp; Light C</w:t>
      </w:r>
      <w:r w:rsidR="005F447C">
        <w:t xml:space="preserve">ompany’s programs in its </w:t>
      </w:r>
      <w:r w:rsidR="005F447C" w:rsidRPr="00DB268E">
        <w:t>DSM Plan</w:t>
      </w:r>
      <w:r w:rsidR="005F447C">
        <w:t xml:space="preserve"> are hereby appr</w:t>
      </w:r>
      <w:r w:rsidR="00FB58ED">
        <w:t>oved</w:t>
      </w:r>
      <w:r w:rsidR="005F447C">
        <w:t>.  It is further,</w:t>
      </w:r>
    </w:p>
    <w:p w:rsidR="005F447C" w:rsidRDefault="005F447C" w:rsidP="005F447C">
      <w:pPr>
        <w:pStyle w:val="OrderBody"/>
      </w:pPr>
    </w:p>
    <w:p w:rsidR="005F447C" w:rsidRDefault="005F447C" w:rsidP="005F447C">
      <w:pPr>
        <w:pStyle w:val="OrderBody"/>
      </w:pPr>
      <w:r>
        <w:tab/>
        <w:t xml:space="preserve">ORDERED that </w:t>
      </w:r>
      <w:r w:rsidRPr="00683F7F">
        <w:t xml:space="preserve">Florida Power &amp; Light Company </w:t>
      </w:r>
      <w:r>
        <w:t xml:space="preserve">shall be permitted </w:t>
      </w:r>
      <w:r w:rsidRPr="00DB268E">
        <w:t xml:space="preserve">to recover the expenditures </w:t>
      </w:r>
      <w:r>
        <w:t>of its DSM</w:t>
      </w:r>
      <w:r w:rsidRPr="00DB268E">
        <w:t xml:space="preserve"> programs through the Energy Conservation Cost Recovery (ECCR) clause proceeding</w:t>
      </w:r>
      <w:r>
        <w:t>, upon demonstrating that the expenditures to implement the</w:t>
      </w:r>
      <w:r w:rsidRPr="00DB268E">
        <w:t xml:space="preserve"> programs are reasonable and prudent. </w:t>
      </w:r>
      <w:r>
        <w:t>It is further,</w:t>
      </w:r>
    </w:p>
    <w:p w:rsidR="005F447C" w:rsidRDefault="005F447C" w:rsidP="005F447C">
      <w:pPr>
        <w:pStyle w:val="OrderBody"/>
      </w:pPr>
    </w:p>
    <w:p w:rsidR="005F447C" w:rsidRDefault="005F447C" w:rsidP="005F447C">
      <w:pPr>
        <w:pStyle w:val="OrderBody"/>
        <w:ind w:firstLine="720"/>
      </w:pPr>
      <w:r>
        <w:t xml:space="preserve">ORDERED that </w:t>
      </w:r>
      <w:r w:rsidRPr="00683F7F">
        <w:t xml:space="preserve">Florida Power &amp; Light Company </w:t>
      </w:r>
      <w:r w:rsidRPr="00DB268E">
        <w:t>may not discontinue its DSM programs or change its programs’ rebate levels without Commission approval.</w:t>
      </w:r>
      <w:r>
        <w:t xml:space="preserve">  It is further,</w:t>
      </w:r>
    </w:p>
    <w:p w:rsidR="005F447C" w:rsidRDefault="005F447C" w:rsidP="005F447C">
      <w:pPr>
        <w:pStyle w:val="OrderBody"/>
        <w:ind w:firstLine="720"/>
      </w:pPr>
    </w:p>
    <w:p w:rsidR="005F447C" w:rsidRDefault="005F447C" w:rsidP="005F447C">
      <w:r>
        <w:br w:type="page"/>
      </w:r>
    </w:p>
    <w:p w:rsidR="005F447C" w:rsidRDefault="005F447C" w:rsidP="005F447C">
      <w:pPr>
        <w:pStyle w:val="OrderBody"/>
        <w:ind w:firstLine="720"/>
      </w:pPr>
      <w:bookmarkStart w:id="8" w:name="_GoBack"/>
      <w:bookmarkEnd w:id="8"/>
    </w:p>
    <w:p w:rsidR="005F447C" w:rsidRDefault="005F447C" w:rsidP="005F447C">
      <w:pPr>
        <w:ind w:firstLine="720"/>
        <w:jc w:val="both"/>
      </w:pPr>
      <w:r>
        <w:t>ORDERED that the provis</w:t>
      </w:r>
      <w:r w:rsidR="009F3F8A">
        <w:t>ions of this Order</w:t>
      </w:r>
      <w:r>
        <w:t>,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9F3F8A" w:rsidRDefault="009F3F8A" w:rsidP="005F447C">
      <w:pPr>
        <w:ind w:firstLine="720"/>
        <w:jc w:val="both"/>
      </w:pPr>
    </w:p>
    <w:p w:rsidR="009F3F8A" w:rsidRDefault="009F3F8A" w:rsidP="005F447C">
      <w:pPr>
        <w:ind w:firstLine="720"/>
        <w:jc w:val="both"/>
      </w:pPr>
      <w:r>
        <w:t xml:space="preserve">ORDERED that </w:t>
      </w:r>
      <w:r w:rsidRPr="00683F7F">
        <w:t xml:space="preserve">the </w:t>
      </w:r>
      <w:r>
        <w:t xml:space="preserve">closed Residential On Call </w:t>
      </w:r>
      <w:r w:rsidRPr="00683F7F">
        <w:t xml:space="preserve">tariff </w:t>
      </w:r>
      <w:r>
        <w:t>shall</w:t>
      </w:r>
      <w:r w:rsidRPr="00683F7F">
        <w:t xml:space="preserve"> be cancelled effective as of the date of the Commission’s vote. If a protest is filed within 21 days of the issuance of the PAA Order, the tariff </w:t>
      </w:r>
      <w:r>
        <w:t>shall</w:t>
      </w:r>
      <w:r w:rsidRPr="00683F7F">
        <w:t xml:space="preserve"> remain in effect subject to refund pending resolution of the protest.  </w:t>
      </w:r>
    </w:p>
    <w:p w:rsidR="005F447C" w:rsidRPr="007A3EBB" w:rsidRDefault="005F447C" w:rsidP="005F447C">
      <w:pPr>
        <w:pStyle w:val="OrderBody"/>
      </w:pPr>
    </w:p>
    <w:p w:rsidR="005F447C" w:rsidRPr="007A3EBB" w:rsidRDefault="005F447C" w:rsidP="005F447C">
      <w:pPr>
        <w:ind w:firstLine="720"/>
        <w:jc w:val="both"/>
      </w:pPr>
      <w:r w:rsidRPr="007A3EBB">
        <w:t>ORDERED that, if a protest</w:t>
      </w:r>
      <w:r w:rsidR="009F3F8A">
        <w:t xml:space="preserve"> on the DSM plans</w:t>
      </w:r>
      <w:r w:rsidRPr="007A3EBB">
        <w:t xml:space="preserve"> is filed within 21 days of the issuance of this PAA Order, then </w:t>
      </w:r>
      <w:r w:rsidRPr="00683F7F">
        <w:t>Florida Power &amp; Light C</w:t>
      </w:r>
      <w:r>
        <w:t xml:space="preserve">ompany’s </w:t>
      </w:r>
      <w:r w:rsidRPr="007A3EBB">
        <w:t>programs shall not be implemented until after the resolution of the protest.  It is further,</w:t>
      </w:r>
    </w:p>
    <w:p w:rsidR="005F447C" w:rsidRPr="007A3EBB" w:rsidRDefault="005F447C" w:rsidP="005F447C">
      <w:pPr>
        <w:ind w:firstLine="720"/>
        <w:jc w:val="both"/>
      </w:pPr>
    </w:p>
    <w:p w:rsidR="005F447C" w:rsidRDefault="005F447C" w:rsidP="005F447C">
      <w:pPr>
        <w:pStyle w:val="OrderBody"/>
        <w:ind w:firstLine="720"/>
      </w:pPr>
      <w:r w:rsidRPr="007A3EBB">
        <w:t xml:space="preserve">ORDERED that </w:t>
      </w:r>
      <w:r w:rsidRPr="00683F7F">
        <w:t xml:space="preserve">Florida Power &amp; Light Company </w:t>
      </w:r>
      <w:r w:rsidRPr="007A3EBB">
        <w:t>shall file its administrative program standards for all programs within 30 days of a Consummating Order being issued in this docket and that Commission staff is granted administrative authority to review and approve these standards.  It is further,</w:t>
      </w:r>
    </w:p>
    <w:p w:rsidR="005F447C" w:rsidRPr="007A3EBB" w:rsidRDefault="005F447C" w:rsidP="009F3F8A">
      <w:pPr>
        <w:pStyle w:val="OrderBody"/>
      </w:pPr>
    </w:p>
    <w:p w:rsidR="005F447C" w:rsidRDefault="005F447C" w:rsidP="005F447C">
      <w:pPr>
        <w:pStyle w:val="OrderBody"/>
        <w:ind w:firstLine="720"/>
      </w:pPr>
      <w:r w:rsidRPr="007A3EBB">
        <w:t xml:space="preserve">ORDERED that, if no timely protest is filed and this Order becomes final, then the docket shall be administratively closed upon Commission staff’s approval of </w:t>
      </w:r>
      <w:r w:rsidRPr="00683F7F">
        <w:t>Florida Power &amp; Light C</w:t>
      </w:r>
      <w:r>
        <w:t xml:space="preserve">ompany’s </w:t>
      </w:r>
      <w:r w:rsidRPr="007A3EBB">
        <w:t xml:space="preserve">program standards. </w:t>
      </w:r>
      <w:r>
        <w:t xml:space="preserve"> </w:t>
      </w:r>
    </w:p>
    <w:p w:rsidR="00FB58ED" w:rsidRDefault="00FB58ED" w:rsidP="005F447C">
      <w:pPr>
        <w:pStyle w:val="OrderBody"/>
        <w:ind w:firstLine="720"/>
      </w:pPr>
    </w:p>
    <w:p w:rsidR="00FB58ED" w:rsidRPr="007A3EBB" w:rsidRDefault="00FB58ED" w:rsidP="00FB58ED">
      <w:pPr>
        <w:pStyle w:val="OrderBody"/>
        <w:ind w:firstLine="720"/>
      </w:pPr>
      <w:r>
        <w:t>ORDERED that</w:t>
      </w:r>
      <w:r w:rsidRPr="00683F7F">
        <w:t xml:space="preserve"> </w:t>
      </w:r>
      <w:r>
        <w:t>Commission staff may</w:t>
      </w:r>
      <w:r w:rsidRPr="00683F7F">
        <w:t xml:space="preserve"> administratively approve the notifications that FPL will submit to its customers affected by the change in tariffs.</w:t>
      </w:r>
    </w:p>
    <w:p w:rsidR="00FB58ED" w:rsidRDefault="00FB58ED" w:rsidP="005F447C">
      <w:pPr>
        <w:pStyle w:val="OrderBody"/>
        <w:ind w:firstLine="720"/>
      </w:pPr>
    </w:p>
    <w:p w:rsidR="00683F7F" w:rsidRDefault="00683F7F" w:rsidP="00683F7F">
      <w:pPr>
        <w:pStyle w:val="OrderBody"/>
      </w:pPr>
    </w:p>
    <w:p w:rsidR="00683F7F" w:rsidRDefault="00683F7F" w:rsidP="00683F7F">
      <w:pPr>
        <w:pStyle w:val="OrderBody"/>
        <w:keepNext/>
        <w:keepLines/>
      </w:pPr>
      <w:r>
        <w:lastRenderedPageBreak/>
        <w:tab/>
        <w:t xml:space="preserve">By ORDER of the Florida Public Service Commission this </w:t>
      </w:r>
      <w:bookmarkStart w:id="9" w:name="replaceDate"/>
      <w:bookmarkEnd w:id="9"/>
      <w:r w:rsidR="000C54A5">
        <w:rPr>
          <w:u w:val="single"/>
        </w:rPr>
        <w:t>19th</w:t>
      </w:r>
      <w:r w:rsidR="000C54A5">
        <w:t xml:space="preserve"> day of </w:t>
      </w:r>
      <w:r w:rsidR="000C54A5">
        <w:rPr>
          <w:u w:val="single"/>
        </w:rPr>
        <w:t>August</w:t>
      </w:r>
      <w:r w:rsidR="000C54A5">
        <w:t xml:space="preserve">, </w:t>
      </w:r>
      <w:r w:rsidR="000C54A5">
        <w:rPr>
          <w:u w:val="single"/>
        </w:rPr>
        <w:t>2015</w:t>
      </w:r>
      <w:r w:rsidR="000C54A5">
        <w:t>.</w:t>
      </w:r>
    </w:p>
    <w:p w:rsidR="000C54A5" w:rsidRPr="000C54A5" w:rsidRDefault="000C54A5" w:rsidP="00683F7F">
      <w:pPr>
        <w:pStyle w:val="OrderBody"/>
        <w:keepNext/>
        <w:keepLines/>
      </w:pPr>
    </w:p>
    <w:p w:rsidR="00683F7F" w:rsidRDefault="00683F7F" w:rsidP="00683F7F">
      <w:pPr>
        <w:pStyle w:val="OrderBody"/>
        <w:keepNext/>
        <w:keepLines/>
      </w:pPr>
    </w:p>
    <w:p w:rsidR="00683F7F" w:rsidRDefault="00683F7F" w:rsidP="00683F7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83F7F" w:rsidTr="00683F7F">
        <w:tc>
          <w:tcPr>
            <w:tcW w:w="720" w:type="dxa"/>
            <w:shd w:val="clear" w:color="auto" w:fill="auto"/>
          </w:tcPr>
          <w:p w:rsidR="00683F7F" w:rsidRDefault="00683F7F" w:rsidP="00683F7F">
            <w:pPr>
              <w:pStyle w:val="OrderBody"/>
              <w:keepNext/>
              <w:keepLines/>
            </w:pPr>
            <w:bookmarkStart w:id="10" w:name="bkmrkSignature" w:colFirst="0" w:colLast="0"/>
          </w:p>
        </w:tc>
        <w:tc>
          <w:tcPr>
            <w:tcW w:w="4320" w:type="dxa"/>
            <w:tcBorders>
              <w:bottom w:val="single" w:sz="4" w:space="0" w:color="auto"/>
            </w:tcBorders>
            <w:shd w:val="clear" w:color="auto" w:fill="auto"/>
          </w:tcPr>
          <w:p w:rsidR="00683F7F" w:rsidRDefault="00683F7F" w:rsidP="00683F7F">
            <w:pPr>
              <w:pStyle w:val="OrderBody"/>
              <w:keepNext/>
              <w:keepLines/>
            </w:pPr>
          </w:p>
        </w:tc>
      </w:tr>
      <w:bookmarkEnd w:id="10"/>
      <w:tr w:rsidR="00683F7F" w:rsidTr="00683F7F">
        <w:tc>
          <w:tcPr>
            <w:tcW w:w="720" w:type="dxa"/>
            <w:shd w:val="clear" w:color="auto" w:fill="auto"/>
          </w:tcPr>
          <w:p w:rsidR="00683F7F" w:rsidRDefault="00683F7F" w:rsidP="00683F7F">
            <w:pPr>
              <w:pStyle w:val="OrderBody"/>
              <w:keepNext/>
              <w:keepLines/>
            </w:pPr>
          </w:p>
        </w:tc>
        <w:tc>
          <w:tcPr>
            <w:tcW w:w="4320" w:type="dxa"/>
            <w:tcBorders>
              <w:top w:val="single" w:sz="4" w:space="0" w:color="auto"/>
            </w:tcBorders>
            <w:shd w:val="clear" w:color="auto" w:fill="auto"/>
          </w:tcPr>
          <w:p w:rsidR="00683F7F" w:rsidRDefault="00683F7F" w:rsidP="00683F7F">
            <w:pPr>
              <w:pStyle w:val="OrderBody"/>
              <w:keepNext/>
              <w:keepLines/>
            </w:pPr>
            <w:r>
              <w:t>CARLOTTA S. STAUFFER</w:t>
            </w:r>
          </w:p>
          <w:p w:rsidR="00683F7F" w:rsidRDefault="00683F7F" w:rsidP="00683F7F">
            <w:pPr>
              <w:pStyle w:val="OrderBody"/>
              <w:keepNext/>
              <w:keepLines/>
            </w:pPr>
            <w:r>
              <w:t>Commission Clerk</w:t>
            </w:r>
          </w:p>
        </w:tc>
      </w:tr>
    </w:tbl>
    <w:p w:rsidR="00683F7F" w:rsidRDefault="00683F7F" w:rsidP="00683F7F">
      <w:pPr>
        <w:pStyle w:val="OrderSigInfo"/>
        <w:keepNext/>
        <w:keepLines/>
      </w:pPr>
      <w:r>
        <w:t>Florida Public Service Commission</w:t>
      </w:r>
    </w:p>
    <w:p w:rsidR="00683F7F" w:rsidRDefault="00683F7F" w:rsidP="00683F7F">
      <w:pPr>
        <w:pStyle w:val="OrderSigInfo"/>
        <w:keepNext/>
        <w:keepLines/>
      </w:pPr>
      <w:r>
        <w:t>2540 Shumard Oak Boulevard</w:t>
      </w:r>
    </w:p>
    <w:p w:rsidR="00683F7F" w:rsidRDefault="00683F7F" w:rsidP="00683F7F">
      <w:pPr>
        <w:pStyle w:val="OrderSigInfo"/>
        <w:keepNext/>
        <w:keepLines/>
      </w:pPr>
      <w:r>
        <w:t>Tallahassee, Florida  32399</w:t>
      </w:r>
    </w:p>
    <w:p w:rsidR="00683F7F" w:rsidRDefault="00683F7F" w:rsidP="00683F7F">
      <w:pPr>
        <w:pStyle w:val="OrderSigInfo"/>
        <w:keepNext/>
        <w:keepLines/>
      </w:pPr>
      <w:r>
        <w:t>(850) 413</w:t>
      </w:r>
      <w:r>
        <w:noBreakHyphen/>
        <w:t>6770</w:t>
      </w:r>
    </w:p>
    <w:p w:rsidR="00683F7F" w:rsidRDefault="00683F7F" w:rsidP="00683F7F">
      <w:pPr>
        <w:pStyle w:val="OrderSigInfo"/>
        <w:keepNext/>
        <w:keepLines/>
      </w:pPr>
      <w:r>
        <w:t>www.floridapsc.com</w:t>
      </w:r>
    </w:p>
    <w:p w:rsidR="00683F7F" w:rsidRDefault="00683F7F" w:rsidP="00683F7F">
      <w:pPr>
        <w:pStyle w:val="OrderSigInfo"/>
        <w:keepNext/>
        <w:keepLines/>
      </w:pPr>
    </w:p>
    <w:p w:rsidR="00683F7F" w:rsidRDefault="00683F7F" w:rsidP="00683F7F">
      <w:pPr>
        <w:pStyle w:val="OrderSigInfo"/>
        <w:keepNext/>
        <w:keepLines/>
      </w:pPr>
      <w:r>
        <w:t>Copies furnished:  A copy of this document is provided to the parties of record at the time of issuance and, if applicable, interested persons.</w:t>
      </w:r>
    </w:p>
    <w:p w:rsidR="00683F7F" w:rsidRDefault="00683F7F" w:rsidP="00683F7F">
      <w:pPr>
        <w:pStyle w:val="OrderBody"/>
        <w:keepNext/>
        <w:keepLines/>
      </w:pPr>
    </w:p>
    <w:p w:rsidR="00683F7F" w:rsidRDefault="00683F7F" w:rsidP="00683F7F">
      <w:pPr>
        <w:pStyle w:val="OrderBody"/>
        <w:keepNext/>
        <w:keepLines/>
      </w:pPr>
    </w:p>
    <w:p w:rsidR="00683F7F" w:rsidRDefault="00683F7F" w:rsidP="00683F7F">
      <w:pPr>
        <w:pStyle w:val="OrderBody"/>
        <w:keepNext/>
        <w:keepLines/>
      </w:pPr>
      <w:r>
        <w:t>TLT</w:t>
      </w:r>
    </w:p>
    <w:p w:rsidR="00683F7F" w:rsidRDefault="00683F7F" w:rsidP="00683F7F">
      <w:pPr>
        <w:pStyle w:val="OrderBody"/>
      </w:pPr>
    </w:p>
    <w:p w:rsidR="00683F7F" w:rsidRDefault="00683F7F" w:rsidP="000C54A5">
      <w:pPr>
        <w:pStyle w:val="CenterUnderline"/>
      </w:pPr>
      <w:r>
        <w:t>NOTICE OF FURTHER PROCEEDINGS OR JUDICIAL REVIEW</w:t>
      </w:r>
    </w:p>
    <w:p w:rsidR="00683F7F" w:rsidRDefault="00683F7F" w:rsidP="00683F7F">
      <w:pPr>
        <w:pStyle w:val="CenterUnderline"/>
        <w:rPr>
          <w:u w:val="none"/>
        </w:rPr>
      </w:pPr>
    </w:p>
    <w:p w:rsidR="00827769" w:rsidRDefault="00683F7F" w:rsidP="00827769">
      <w:pPr>
        <w:pStyle w:val="OrderBody"/>
      </w:pPr>
      <w:r>
        <w:tab/>
      </w:r>
      <w:r w:rsidR="00827769">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27769" w:rsidRDefault="00827769" w:rsidP="00827769">
      <w:pPr>
        <w:pStyle w:val="OrderBody"/>
      </w:pPr>
    </w:p>
    <w:p w:rsidR="00827769" w:rsidRDefault="00827769" w:rsidP="00827769">
      <w:pPr>
        <w:pStyle w:val="OrderBody"/>
      </w:pPr>
      <w:r>
        <w:tab/>
        <w:t>Mediation may be available on a case-by-case basis.  If mediation is conducted, it does not affect a substantially interested person's right to a hearing.</w:t>
      </w:r>
    </w:p>
    <w:p w:rsidR="00827769" w:rsidRDefault="00827769" w:rsidP="00827769">
      <w:pPr>
        <w:pStyle w:val="OrderBody"/>
      </w:pPr>
    </w:p>
    <w:p w:rsidR="00827769" w:rsidRDefault="00827769" w:rsidP="00827769">
      <w:pPr>
        <w:pStyle w:val="OrderBody"/>
      </w:pPr>
      <w:r>
        <w:tab/>
        <w:t xml:space="preserve">The action proposed herein is preliminary in nature. The Commission's decision on the tariff is interim in nature and will become final unless protested by a person whose substantial nterested are affected by the proposed action.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C54A5">
        <w:rPr>
          <w:u w:val="single"/>
        </w:rPr>
        <w:t>September 9, 2015</w:t>
      </w:r>
      <w:r>
        <w:t>.</w:t>
      </w:r>
    </w:p>
    <w:p w:rsidR="00827769" w:rsidRDefault="00827769" w:rsidP="00827769">
      <w:pPr>
        <w:pStyle w:val="OrderBody"/>
      </w:pPr>
    </w:p>
    <w:p w:rsidR="00827769" w:rsidRDefault="00827769" w:rsidP="00827769">
      <w:pPr>
        <w:pStyle w:val="OrderBody"/>
      </w:pPr>
      <w:r>
        <w:tab/>
        <w:t>In the absence of such a petition, this order shall become final and effective upon the issuance of a Consummating Order.</w:t>
      </w:r>
    </w:p>
    <w:p w:rsidR="00827769" w:rsidRDefault="00827769" w:rsidP="00827769">
      <w:pPr>
        <w:pStyle w:val="OrderBody"/>
      </w:pPr>
    </w:p>
    <w:p w:rsidR="00827769" w:rsidRDefault="00827769" w:rsidP="00827769">
      <w:pPr>
        <w:pStyle w:val="OrderBody"/>
      </w:pPr>
      <w:r>
        <w:tab/>
        <w:t>Any objection or protest filed in this/these docket(s) before the issuance date of this order is considered abandoned unless it satisfies the foregoing conditions and is renewed within the specified protest period.</w:t>
      </w:r>
    </w:p>
    <w:p w:rsidR="00683F7F" w:rsidRDefault="00683F7F" w:rsidP="00827769">
      <w:pPr>
        <w:pStyle w:val="OrderBody"/>
        <w:sectPr w:rsidR="00683F7F">
          <w:headerReference w:type="default" r:id="rId8"/>
          <w:footerReference w:type="first" r:id="rId9"/>
          <w:pgSz w:w="12240" w:h="15840" w:code="1"/>
          <w:pgMar w:top="1440" w:right="1440" w:bottom="1440" w:left="1440" w:header="720" w:footer="720" w:gutter="0"/>
          <w:cols w:space="720"/>
          <w:titlePg/>
          <w:docGrid w:linePitch="360"/>
        </w:sectPr>
      </w:pPr>
    </w:p>
    <w:p w:rsidR="00683F7F" w:rsidRPr="00683F7F" w:rsidRDefault="00683F7F" w:rsidP="000C54A5">
      <w:pPr>
        <w:spacing w:after="240"/>
        <w:jc w:val="center"/>
        <w:rPr>
          <w:rFonts w:ascii="Arial" w:hAnsi="Arial"/>
          <w:b/>
        </w:rPr>
      </w:pPr>
      <w:r w:rsidRPr="00683F7F">
        <w:rPr>
          <w:rFonts w:ascii="Arial" w:hAnsi="Arial"/>
          <w:b/>
        </w:rPr>
        <w:lastRenderedPageBreak/>
        <w:t>Florida Power &amp; Light Company (FPL) - 2015 DSM Program List</w:t>
      </w:r>
    </w:p>
    <w:p w:rsidR="00683F7F" w:rsidRPr="00683F7F" w:rsidRDefault="00683F7F" w:rsidP="00683F7F">
      <w:pPr>
        <w:rPr>
          <w:rFonts w:ascii="Arial" w:hAnsi="Arial"/>
          <w:b/>
        </w:rPr>
      </w:pPr>
      <w:r w:rsidRPr="00683F7F">
        <w:rPr>
          <w:rFonts w:ascii="Arial" w:hAnsi="Arial"/>
          <w:b/>
        </w:rPr>
        <w:t>Residential Programs</w:t>
      </w:r>
    </w:p>
    <w:p w:rsidR="00683F7F" w:rsidRPr="00683F7F" w:rsidRDefault="00683F7F" w:rsidP="00683F7F">
      <w:pPr>
        <w:rPr>
          <w:rFonts w:ascii="Arial" w:hAnsi="Arial"/>
          <w:b/>
          <w:u w:val="single"/>
        </w:rPr>
      </w:pPr>
    </w:p>
    <w:p w:rsidR="00683F7F" w:rsidRPr="00683F7F" w:rsidRDefault="00683F7F" w:rsidP="00683F7F">
      <w:pPr>
        <w:ind w:firstLine="720"/>
        <w:rPr>
          <w:rFonts w:ascii="Arial" w:hAnsi="Arial"/>
          <w:b/>
          <w:i/>
        </w:rPr>
      </w:pPr>
      <w:r w:rsidRPr="00683F7F">
        <w:rPr>
          <w:rFonts w:ascii="Arial" w:hAnsi="Arial"/>
          <w:b/>
          <w:i/>
        </w:rPr>
        <w:t>Residential Energy Survey</w:t>
      </w:r>
    </w:p>
    <w:p w:rsidR="00683F7F" w:rsidRPr="00683F7F" w:rsidRDefault="00683F7F" w:rsidP="00683F7F">
      <w:pPr>
        <w:autoSpaceDE w:val="0"/>
        <w:autoSpaceDN w:val="0"/>
        <w:adjustRightInd w:val="0"/>
        <w:jc w:val="both"/>
      </w:pPr>
      <w:r w:rsidRPr="00683F7F">
        <w:t>This program educates customers on energy efficiency and encourages them to participate in applicable FPL DSM programs and/or implement other recommended actions not included as part of FPL’s Residential programs. Surveys are delivered through three channels: (1) Home Energy Survey (HES), which is a walk-through performed by an FPL representative in the customer’s home; (2) Online Home Energy Survey (OHES), which is performed by the customer using FPL’s online application; and (3) Phone Energy Survey (PES), which is performed by an FPL representative with information provided by the customer over the phone.</w:t>
      </w:r>
    </w:p>
    <w:p w:rsidR="00683F7F" w:rsidRPr="00683F7F" w:rsidRDefault="00683F7F" w:rsidP="00683F7F">
      <w:pPr>
        <w:spacing w:before="240"/>
        <w:ind w:firstLine="720"/>
        <w:rPr>
          <w:rFonts w:ascii="Arial" w:hAnsi="Arial"/>
          <w:b/>
          <w:i/>
        </w:rPr>
      </w:pPr>
      <w:r w:rsidRPr="00683F7F">
        <w:rPr>
          <w:rFonts w:ascii="Arial" w:hAnsi="Arial"/>
          <w:b/>
          <w:i/>
        </w:rPr>
        <w:t>Residential Load Management (On Call)</w:t>
      </w:r>
    </w:p>
    <w:p w:rsidR="00683F7F" w:rsidRPr="00683F7F" w:rsidRDefault="00683F7F" w:rsidP="00683F7F">
      <w:pPr>
        <w:autoSpaceDE w:val="0"/>
        <w:autoSpaceDN w:val="0"/>
        <w:adjustRightInd w:val="0"/>
        <w:jc w:val="both"/>
      </w:pPr>
      <w:r w:rsidRPr="00683F7F">
        <w:t>This program allows FPL to turn off customers’ appliances for varying time periods during system emergencies, consistent with the applicable tariff. FPL-installed equipment is connected to eligible customer-selected end-use equipment (i.e., central air conditioning, central electric heating, electric water heaters, and pool pumps), allowing FPL to control these loads.</w:t>
      </w:r>
    </w:p>
    <w:p w:rsidR="00683F7F" w:rsidRPr="00683F7F" w:rsidRDefault="00683F7F" w:rsidP="00683F7F">
      <w:pPr>
        <w:autoSpaceDE w:val="0"/>
        <w:autoSpaceDN w:val="0"/>
        <w:adjustRightInd w:val="0"/>
        <w:ind w:left="720"/>
        <w:contextualSpacing/>
        <w:rPr>
          <w:rFonts w:eastAsia="Calibri"/>
        </w:rPr>
      </w:pPr>
      <w:r w:rsidRPr="00683F7F">
        <w:rPr>
          <w:rFonts w:ascii="Calibri" w:eastAsia="Calibri" w:hAnsi="Calibri"/>
        </w:rPr>
        <w:t xml:space="preserve">• </w:t>
      </w:r>
      <w:r w:rsidRPr="00683F7F">
        <w:rPr>
          <w:rFonts w:eastAsia="Calibri"/>
        </w:rPr>
        <w:t>Monthly bill credit varies by time of year, frequency of interruption allowed, and device.</w:t>
      </w:r>
    </w:p>
    <w:tbl>
      <w:tblPr>
        <w:tblStyle w:val="TableGrid"/>
        <w:tblW w:w="0" w:type="auto"/>
        <w:tblInd w:w="720" w:type="dxa"/>
        <w:tblLook w:val="04A0" w:firstRow="1" w:lastRow="0" w:firstColumn="1" w:lastColumn="0" w:noHBand="0" w:noVBand="1"/>
      </w:tblPr>
      <w:tblGrid>
        <w:gridCol w:w="4542"/>
        <w:gridCol w:w="2309"/>
        <w:gridCol w:w="1226"/>
      </w:tblGrid>
      <w:tr w:rsidR="00683F7F" w:rsidRPr="00683F7F" w:rsidTr="00C560E3">
        <w:tc>
          <w:tcPr>
            <w:tcW w:w="4542" w:type="dxa"/>
            <w:tcBorders>
              <w:top w:val="single" w:sz="4" w:space="0" w:color="auto"/>
              <w:left w:val="single" w:sz="4" w:space="0" w:color="auto"/>
              <w:bottom w:val="single" w:sz="4" w:space="0" w:color="auto"/>
              <w:right w:val="single" w:sz="4" w:space="0" w:color="auto"/>
            </w:tcBorders>
            <w:vAlign w:val="center"/>
            <w:hideMark/>
          </w:tcPr>
          <w:p w:rsidR="00683F7F" w:rsidRPr="00683F7F" w:rsidRDefault="00683F7F" w:rsidP="00683F7F">
            <w:pPr>
              <w:autoSpaceDE w:val="0"/>
              <w:autoSpaceDN w:val="0"/>
              <w:adjustRightInd w:val="0"/>
              <w:contextualSpacing/>
              <w:jc w:val="center"/>
              <w:rPr>
                <w:rFonts w:eastAsia="Calibri"/>
                <w:b/>
              </w:rPr>
            </w:pPr>
            <w:r w:rsidRPr="00683F7F">
              <w:rPr>
                <w:rFonts w:eastAsia="Calibri"/>
                <w:b/>
              </w:rPr>
              <w:t>Device (Option)</w:t>
            </w:r>
          </w:p>
        </w:tc>
        <w:tc>
          <w:tcPr>
            <w:tcW w:w="2309" w:type="dxa"/>
            <w:tcBorders>
              <w:top w:val="single" w:sz="4" w:space="0" w:color="auto"/>
              <w:left w:val="single" w:sz="4" w:space="0" w:color="auto"/>
              <w:bottom w:val="single" w:sz="4" w:space="0" w:color="auto"/>
              <w:right w:val="single" w:sz="4" w:space="0" w:color="auto"/>
            </w:tcBorders>
            <w:vAlign w:val="center"/>
            <w:hideMark/>
          </w:tcPr>
          <w:p w:rsidR="00683F7F" w:rsidRPr="00683F7F" w:rsidRDefault="00683F7F" w:rsidP="00683F7F">
            <w:pPr>
              <w:autoSpaceDE w:val="0"/>
              <w:autoSpaceDN w:val="0"/>
              <w:adjustRightInd w:val="0"/>
              <w:contextualSpacing/>
              <w:jc w:val="center"/>
              <w:rPr>
                <w:rFonts w:eastAsia="Calibri"/>
                <w:b/>
              </w:rPr>
            </w:pPr>
            <w:r w:rsidRPr="00683F7F">
              <w:rPr>
                <w:rFonts w:eastAsia="Calibri"/>
                <w:b/>
              </w:rPr>
              <w:t>Applicable</w:t>
            </w:r>
          </w:p>
          <w:p w:rsidR="00683F7F" w:rsidRPr="00683F7F" w:rsidRDefault="00683F7F" w:rsidP="00683F7F">
            <w:pPr>
              <w:autoSpaceDE w:val="0"/>
              <w:autoSpaceDN w:val="0"/>
              <w:adjustRightInd w:val="0"/>
              <w:contextualSpacing/>
              <w:jc w:val="center"/>
              <w:rPr>
                <w:rFonts w:eastAsia="Calibri"/>
                <w:b/>
              </w:rPr>
            </w:pPr>
            <w:r w:rsidRPr="00683F7F">
              <w:rPr>
                <w:rFonts w:eastAsia="Calibri"/>
                <w:b/>
              </w:rPr>
              <w:t>Months</w:t>
            </w:r>
          </w:p>
        </w:tc>
        <w:tc>
          <w:tcPr>
            <w:tcW w:w="1226" w:type="dxa"/>
            <w:tcBorders>
              <w:top w:val="single" w:sz="4" w:space="0" w:color="auto"/>
              <w:left w:val="single" w:sz="4" w:space="0" w:color="auto"/>
              <w:bottom w:val="single" w:sz="4" w:space="0" w:color="auto"/>
              <w:right w:val="single" w:sz="4" w:space="0" w:color="auto"/>
            </w:tcBorders>
            <w:vAlign w:val="center"/>
            <w:hideMark/>
          </w:tcPr>
          <w:p w:rsidR="00683F7F" w:rsidRPr="00683F7F" w:rsidRDefault="00683F7F" w:rsidP="00683F7F">
            <w:pPr>
              <w:autoSpaceDE w:val="0"/>
              <w:autoSpaceDN w:val="0"/>
              <w:adjustRightInd w:val="0"/>
              <w:contextualSpacing/>
              <w:jc w:val="center"/>
              <w:rPr>
                <w:rFonts w:eastAsia="Calibri"/>
                <w:b/>
              </w:rPr>
            </w:pPr>
            <w:r w:rsidRPr="00683F7F">
              <w:rPr>
                <w:rFonts w:eastAsia="Calibri"/>
                <w:b/>
              </w:rPr>
              <w:t>Monthly</w:t>
            </w:r>
          </w:p>
          <w:p w:rsidR="00683F7F" w:rsidRPr="00683F7F" w:rsidRDefault="00683F7F" w:rsidP="00683F7F">
            <w:pPr>
              <w:autoSpaceDE w:val="0"/>
              <w:autoSpaceDN w:val="0"/>
              <w:adjustRightInd w:val="0"/>
              <w:contextualSpacing/>
              <w:jc w:val="center"/>
              <w:rPr>
                <w:rFonts w:eastAsia="Calibri"/>
                <w:b/>
              </w:rPr>
            </w:pPr>
            <w:r w:rsidRPr="00683F7F">
              <w:rPr>
                <w:rFonts w:eastAsia="Calibri"/>
                <w:b/>
              </w:rPr>
              <w:t>Credit</w:t>
            </w:r>
          </w:p>
        </w:tc>
      </w:tr>
      <w:tr w:rsidR="00683F7F" w:rsidRPr="00683F7F" w:rsidTr="00C560E3">
        <w:tc>
          <w:tcPr>
            <w:tcW w:w="4542"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rPr>
                <w:rFonts w:eastAsia="Calibri"/>
              </w:rPr>
            </w:pPr>
            <w:r w:rsidRPr="00683F7F">
              <w:rPr>
                <w:rFonts w:eastAsia="Calibri"/>
              </w:rPr>
              <w:t>Conventional Electric Water Heater</w:t>
            </w:r>
          </w:p>
        </w:tc>
        <w:tc>
          <w:tcPr>
            <w:tcW w:w="2309"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rPr>
                <w:rFonts w:eastAsia="Calibri"/>
              </w:rPr>
            </w:pPr>
            <w:r w:rsidRPr="00683F7F">
              <w:rPr>
                <w:rFonts w:eastAsia="Calibri"/>
              </w:rPr>
              <w:t>January – December</w:t>
            </w:r>
          </w:p>
        </w:tc>
        <w:tc>
          <w:tcPr>
            <w:tcW w:w="122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jc w:val="right"/>
              <w:rPr>
                <w:rFonts w:eastAsia="Calibri"/>
              </w:rPr>
            </w:pPr>
            <w:r w:rsidRPr="00683F7F">
              <w:rPr>
                <w:rFonts w:eastAsia="Calibri"/>
              </w:rPr>
              <w:t>$1.50</w:t>
            </w:r>
          </w:p>
        </w:tc>
      </w:tr>
      <w:tr w:rsidR="00683F7F" w:rsidRPr="00683F7F" w:rsidTr="00C560E3">
        <w:tc>
          <w:tcPr>
            <w:tcW w:w="4542"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rPr>
                <w:rFonts w:eastAsia="Calibri"/>
              </w:rPr>
            </w:pPr>
            <w:r w:rsidRPr="00683F7F">
              <w:rPr>
                <w:rFonts w:eastAsia="Calibri"/>
              </w:rPr>
              <w:t>Central Electric Air Conditioner (Option C)</w:t>
            </w:r>
          </w:p>
        </w:tc>
        <w:tc>
          <w:tcPr>
            <w:tcW w:w="2309"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rPr>
                <w:rFonts w:eastAsia="Calibri"/>
              </w:rPr>
            </w:pPr>
            <w:r w:rsidRPr="00683F7F">
              <w:rPr>
                <w:rFonts w:eastAsia="Calibri"/>
              </w:rPr>
              <w:t>April - October</w:t>
            </w:r>
          </w:p>
        </w:tc>
        <w:tc>
          <w:tcPr>
            <w:tcW w:w="122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jc w:val="right"/>
              <w:rPr>
                <w:rFonts w:eastAsia="Calibri"/>
              </w:rPr>
            </w:pPr>
            <w:r w:rsidRPr="00683F7F">
              <w:rPr>
                <w:rFonts w:eastAsia="Calibri"/>
              </w:rPr>
              <w:t>$3.00</w:t>
            </w:r>
          </w:p>
        </w:tc>
      </w:tr>
      <w:tr w:rsidR="00683F7F" w:rsidRPr="00683F7F" w:rsidTr="00C560E3">
        <w:tc>
          <w:tcPr>
            <w:tcW w:w="4542"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rPr>
                <w:rFonts w:eastAsia="Calibri"/>
              </w:rPr>
            </w:pPr>
            <w:r w:rsidRPr="00683F7F">
              <w:rPr>
                <w:rFonts w:eastAsia="Calibri"/>
              </w:rPr>
              <w:t>Central Electric Air Conditioner (Option S)</w:t>
            </w:r>
          </w:p>
        </w:tc>
        <w:tc>
          <w:tcPr>
            <w:tcW w:w="2309"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rPr>
                <w:rFonts w:eastAsia="Calibri"/>
              </w:rPr>
            </w:pPr>
            <w:r w:rsidRPr="00683F7F">
              <w:rPr>
                <w:rFonts w:eastAsia="Calibri"/>
              </w:rPr>
              <w:t>April - October</w:t>
            </w:r>
          </w:p>
        </w:tc>
        <w:tc>
          <w:tcPr>
            <w:tcW w:w="122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jc w:val="right"/>
              <w:rPr>
                <w:rFonts w:eastAsia="Calibri"/>
              </w:rPr>
            </w:pPr>
            <w:r w:rsidRPr="00683F7F">
              <w:rPr>
                <w:rFonts w:eastAsia="Calibri"/>
              </w:rPr>
              <w:t>$9.00</w:t>
            </w:r>
          </w:p>
        </w:tc>
      </w:tr>
      <w:tr w:rsidR="00683F7F" w:rsidRPr="00683F7F" w:rsidTr="00C560E3">
        <w:tc>
          <w:tcPr>
            <w:tcW w:w="4542"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rPr>
                <w:rFonts w:eastAsia="Calibri"/>
              </w:rPr>
            </w:pPr>
            <w:r w:rsidRPr="00683F7F">
              <w:rPr>
                <w:rFonts w:eastAsia="Calibri"/>
              </w:rPr>
              <w:t>Swimming Pool Pump</w:t>
            </w:r>
          </w:p>
        </w:tc>
        <w:tc>
          <w:tcPr>
            <w:tcW w:w="2309"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rPr>
                <w:rFonts w:eastAsia="Calibri"/>
              </w:rPr>
            </w:pPr>
            <w:r w:rsidRPr="00683F7F">
              <w:rPr>
                <w:rFonts w:eastAsia="Calibri"/>
              </w:rPr>
              <w:t>January – December</w:t>
            </w:r>
          </w:p>
        </w:tc>
        <w:tc>
          <w:tcPr>
            <w:tcW w:w="122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jc w:val="right"/>
              <w:rPr>
                <w:rFonts w:eastAsia="Calibri"/>
              </w:rPr>
            </w:pPr>
            <w:r w:rsidRPr="00683F7F">
              <w:rPr>
                <w:rFonts w:eastAsia="Calibri"/>
              </w:rPr>
              <w:t>$3.00</w:t>
            </w:r>
          </w:p>
        </w:tc>
      </w:tr>
      <w:tr w:rsidR="00683F7F" w:rsidRPr="00683F7F" w:rsidTr="00C560E3">
        <w:tc>
          <w:tcPr>
            <w:tcW w:w="4542"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rPr>
                <w:rFonts w:eastAsia="Calibri"/>
              </w:rPr>
            </w:pPr>
            <w:r w:rsidRPr="00683F7F">
              <w:rPr>
                <w:rFonts w:eastAsia="Calibri"/>
              </w:rPr>
              <w:t>Central Electric Space Heating (Option C)</w:t>
            </w:r>
          </w:p>
        </w:tc>
        <w:tc>
          <w:tcPr>
            <w:tcW w:w="2309"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rPr>
                <w:rFonts w:eastAsia="Calibri"/>
              </w:rPr>
            </w:pPr>
            <w:r w:rsidRPr="00683F7F">
              <w:rPr>
                <w:rFonts w:eastAsia="Calibri"/>
              </w:rPr>
              <w:t>November – March</w:t>
            </w:r>
          </w:p>
        </w:tc>
        <w:tc>
          <w:tcPr>
            <w:tcW w:w="122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jc w:val="right"/>
              <w:rPr>
                <w:rFonts w:eastAsia="Calibri"/>
              </w:rPr>
            </w:pPr>
            <w:r w:rsidRPr="00683F7F">
              <w:rPr>
                <w:rFonts w:eastAsia="Calibri"/>
              </w:rPr>
              <w:t>$2.00</w:t>
            </w:r>
          </w:p>
        </w:tc>
      </w:tr>
      <w:tr w:rsidR="00683F7F" w:rsidRPr="00683F7F" w:rsidTr="00C560E3">
        <w:tc>
          <w:tcPr>
            <w:tcW w:w="4542"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rPr>
                <w:rFonts w:eastAsia="Calibri"/>
              </w:rPr>
            </w:pPr>
            <w:r w:rsidRPr="00683F7F">
              <w:rPr>
                <w:rFonts w:eastAsia="Calibri"/>
              </w:rPr>
              <w:t>Central Electric Space Heating (Option S)</w:t>
            </w:r>
          </w:p>
        </w:tc>
        <w:tc>
          <w:tcPr>
            <w:tcW w:w="2309"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rPr>
                <w:rFonts w:eastAsia="Calibri"/>
              </w:rPr>
            </w:pPr>
            <w:r w:rsidRPr="00683F7F">
              <w:rPr>
                <w:rFonts w:eastAsia="Calibri"/>
              </w:rPr>
              <w:t>November – March</w:t>
            </w:r>
          </w:p>
        </w:tc>
        <w:tc>
          <w:tcPr>
            <w:tcW w:w="122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autoSpaceDE w:val="0"/>
              <w:autoSpaceDN w:val="0"/>
              <w:adjustRightInd w:val="0"/>
              <w:contextualSpacing/>
              <w:jc w:val="right"/>
              <w:rPr>
                <w:rFonts w:eastAsia="Calibri"/>
              </w:rPr>
            </w:pPr>
            <w:r w:rsidRPr="00683F7F">
              <w:rPr>
                <w:rFonts w:eastAsia="Calibri"/>
              </w:rPr>
              <w:t>$4.00</w:t>
            </w:r>
          </w:p>
        </w:tc>
      </w:tr>
    </w:tbl>
    <w:p w:rsidR="00683F7F" w:rsidRPr="00683F7F" w:rsidRDefault="00683F7F" w:rsidP="00683F7F">
      <w:pPr>
        <w:autoSpaceDE w:val="0"/>
        <w:autoSpaceDN w:val="0"/>
        <w:adjustRightInd w:val="0"/>
        <w:ind w:left="720"/>
        <w:contextualSpacing/>
        <w:rPr>
          <w:rFonts w:eastAsia="Calibri"/>
          <w:highlight w:val="yellow"/>
        </w:rPr>
      </w:pPr>
    </w:p>
    <w:p w:rsidR="00683F7F" w:rsidRPr="00683F7F" w:rsidRDefault="00683F7F" w:rsidP="00683F7F">
      <w:pPr>
        <w:spacing w:before="240"/>
        <w:ind w:firstLine="720"/>
        <w:jc w:val="both"/>
        <w:rPr>
          <w:rFonts w:ascii="Arial" w:hAnsi="Arial"/>
          <w:b/>
          <w:i/>
        </w:rPr>
      </w:pPr>
      <w:r w:rsidRPr="00683F7F">
        <w:rPr>
          <w:rFonts w:ascii="Arial" w:hAnsi="Arial"/>
          <w:b/>
          <w:i/>
        </w:rPr>
        <w:t>Residential Air Conditioning</w:t>
      </w:r>
    </w:p>
    <w:p w:rsidR="00683F7F" w:rsidRPr="00683F7F" w:rsidRDefault="00683F7F" w:rsidP="00683F7F">
      <w:pPr>
        <w:jc w:val="both"/>
      </w:pPr>
      <w:r w:rsidRPr="00683F7F">
        <w:t>This program encourages customers to install high-efficiency central air conditioning systems. The program targets single family detached homes and provides rebates to replace existing systems.</w:t>
      </w:r>
    </w:p>
    <w:p w:rsidR="00683F7F" w:rsidRPr="00683F7F" w:rsidRDefault="00683F7F" w:rsidP="00683F7F">
      <w:pPr>
        <w:spacing w:after="240"/>
        <w:ind w:left="720"/>
        <w:contextualSpacing/>
        <w:jc w:val="both"/>
        <w:rPr>
          <w:rFonts w:eastAsia="Calibri"/>
        </w:rPr>
      </w:pPr>
      <w:r w:rsidRPr="00683F7F">
        <w:rPr>
          <w:rFonts w:ascii="Calibri" w:eastAsia="Calibri" w:hAnsi="Calibri"/>
        </w:rPr>
        <w:t xml:space="preserve">• </w:t>
      </w:r>
      <w:r w:rsidRPr="00683F7F">
        <w:rPr>
          <w:rFonts w:eastAsia="Calibri"/>
        </w:rPr>
        <w:t>Average rebate of $208 per participant.</w:t>
      </w:r>
    </w:p>
    <w:p w:rsidR="00683F7F" w:rsidRPr="00683F7F" w:rsidRDefault="00683F7F" w:rsidP="00683F7F">
      <w:pPr>
        <w:spacing w:before="240"/>
        <w:ind w:firstLine="720"/>
        <w:jc w:val="both"/>
        <w:rPr>
          <w:rFonts w:ascii="Arial" w:hAnsi="Arial"/>
          <w:b/>
          <w:i/>
        </w:rPr>
      </w:pPr>
      <w:r w:rsidRPr="00683F7F">
        <w:rPr>
          <w:rFonts w:ascii="Arial" w:hAnsi="Arial"/>
          <w:b/>
          <w:i/>
        </w:rPr>
        <w:t>Residential New Construction (BuildSmart)</w:t>
      </w:r>
    </w:p>
    <w:p w:rsidR="00683F7F" w:rsidRPr="00683F7F" w:rsidRDefault="00683F7F" w:rsidP="00683F7F">
      <w:pPr>
        <w:autoSpaceDE w:val="0"/>
        <w:autoSpaceDN w:val="0"/>
        <w:adjustRightInd w:val="0"/>
        <w:jc w:val="both"/>
      </w:pPr>
      <w:r w:rsidRPr="00683F7F">
        <w:t>This program encourages builders and developers to design and construct new homes in a manner that moves towards ENERGY STAR® qualifications. The program targets single family homes and the rebate is available to builders, developers, and owner-builders.</w:t>
      </w:r>
    </w:p>
    <w:p w:rsidR="00683F7F" w:rsidRDefault="00683F7F" w:rsidP="00683F7F">
      <w:pPr>
        <w:spacing w:after="240"/>
        <w:ind w:left="720"/>
        <w:contextualSpacing/>
        <w:jc w:val="both"/>
        <w:rPr>
          <w:rFonts w:eastAsia="Calibri"/>
        </w:rPr>
      </w:pPr>
      <w:r w:rsidRPr="00683F7F">
        <w:rPr>
          <w:rFonts w:ascii="Calibri" w:eastAsia="Calibri" w:hAnsi="Calibri"/>
        </w:rPr>
        <w:t xml:space="preserve">• </w:t>
      </w:r>
      <w:r w:rsidRPr="00683F7F">
        <w:rPr>
          <w:rFonts w:eastAsia="Calibri"/>
        </w:rPr>
        <w:t>Average rebate of $894 per participant.</w:t>
      </w:r>
    </w:p>
    <w:p w:rsidR="00683F7F" w:rsidRPr="00683F7F" w:rsidRDefault="00683F7F" w:rsidP="00683F7F">
      <w:pPr>
        <w:spacing w:after="240"/>
        <w:ind w:left="720"/>
        <w:contextualSpacing/>
        <w:jc w:val="both"/>
        <w:rPr>
          <w:rFonts w:ascii="Arial" w:eastAsia="Calibri" w:hAnsi="Arial"/>
          <w:b/>
          <w:i/>
        </w:rPr>
      </w:pPr>
      <w:r w:rsidRPr="00683F7F">
        <w:rPr>
          <w:rFonts w:ascii="Arial" w:eastAsia="Calibri" w:hAnsi="Arial"/>
          <w:b/>
          <w:i/>
        </w:rPr>
        <w:br w:type="page"/>
      </w:r>
    </w:p>
    <w:p w:rsidR="00683F7F" w:rsidRPr="00683F7F" w:rsidRDefault="00683F7F" w:rsidP="00683F7F">
      <w:pPr>
        <w:spacing w:before="240"/>
        <w:ind w:firstLine="360"/>
        <w:jc w:val="both"/>
        <w:rPr>
          <w:rFonts w:ascii="Arial" w:hAnsi="Arial"/>
          <w:b/>
          <w:i/>
        </w:rPr>
      </w:pPr>
      <w:r w:rsidRPr="00683F7F">
        <w:rPr>
          <w:rFonts w:ascii="Arial" w:hAnsi="Arial"/>
          <w:b/>
          <w:i/>
        </w:rPr>
        <w:lastRenderedPageBreak/>
        <w:tab/>
        <w:t>Residential Ceiling Insulation</w:t>
      </w:r>
    </w:p>
    <w:p w:rsidR="00683F7F" w:rsidRPr="00683F7F" w:rsidRDefault="00683F7F" w:rsidP="00683F7F">
      <w:pPr>
        <w:jc w:val="both"/>
      </w:pPr>
      <w:r w:rsidRPr="00683F7F">
        <w:t>This program encourages customers to improve the building envelope’s thermal efficiency. The program targets older homes that have been determined to have less than current code insulation and central air conditioning.</w:t>
      </w:r>
    </w:p>
    <w:p w:rsidR="00683F7F" w:rsidRDefault="00683F7F" w:rsidP="00683F7F">
      <w:pPr>
        <w:spacing w:after="240"/>
        <w:ind w:left="720"/>
        <w:contextualSpacing/>
        <w:jc w:val="both"/>
        <w:rPr>
          <w:rFonts w:eastAsia="Calibri"/>
        </w:rPr>
      </w:pPr>
      <w:r w:rsidRPr="00683F7F">
        <w:rPr>
          <w:rFonts w:ascii="Calibri" w:eastAsia="Calibri" w:hAnsi="Calibri"/>
        </w:rPr>
        <w:t xml:space="preserve">• </w:t>
      </w:r>
      <w:r w:rsidRPr="00683F7F">
        <w:rPr>
          <w:rFonts w:eastAsia="Calibri"/>
        </w:rPr>
        <w:t>Average rebate of $220 per participant.</w:t>
      </w:r>
    </w:p>
    <w:p w:rsidR="00683F7F" w:rsidRPr="00683F7F" w:rsidRDefault="00683F7F" w:rsidP="00683F7F">
      <w:pPr>
        <w:spacing w:after="240"/>
        <w:ind w:left="720"/>
        <w:contextualSpacing/>
        <w:jc w:val="both"/>
        <w:rPr>
          <w:rFonts w:eastAsia="Calibri"/>
        </w:rPr>
      </w:pPr>
    </w:p>
    <w:p w:rsidR="00683F7F" w:rsidRPr="00683F7F" w:rsidRDefault="00683F7F" w:rsidP="00683F7F">
      <w:pPr>
        <w:spacing w:before="240"/>
        <w:ind w:firstLine="720"/>
        <w:rPr>
          <w:rFonts w:ascii="Arial" w:hAnsi="Arial"/>
          <w:b/>
          <w:i/>
        </w:rPr>
      </w:pPr>
      <w:r w:rsidRPr="00683F7F">
        <w:rPr>
          <w:rFonts w:ascii="Arial" w:hAnsi="Arial"/>
          <w:b/>
          <w:i/>
        </w:rPr>
        <w:t>Residential Low Income</w:t>
      </w:r>
    </w:p>
    <w:p w:rsidR="00683F7F" w:rsidRPr="00683F7F" w:rsidRDefault="00683F7F" w:rsidP="00683F7F">
      <w:pPr>
        <w:jc w:val="both"/>
      </w:pPr>
      <w:r w:rsidRPr="00683F7F">
        <w:t>This program is targeted to assist low income customers. Delivery will be provided through two channels. First, is through state Weatherization Assistance Provider (WAP) agencies to which FPL will provide rebates for certain energy measures as part of the total assistance they provide to their selected low income customers. Second, is through FPL conducting Energy Retrofits in selected neighborhoods. FPL Energy Retrofits will include promotional events followed by concentrated installations of DSM measures. FPL will conduct an Energy Survey for each customer and install, as appropriate, measures which address the main areas of energy use: weatherization (caulking, weather stripping and door sweeps); air conditioning (duct testing and repair, air conditioning unit maintenance and outdoor unit coil cleaning); and water heating (low flow showerheads, faucet aerators and pipe wrap).</w:t>
      </w:r>
    </w:p>
    <w:p w:rsidR="00683F7F" w:rsidRPr="00683F7F" w:rsidRDefault="00683F7F" w:rsidP="00683F7F">
      <w:pPr>
        <w:ind w:left="720"/>
        <w:contextualSpacing/>
        <w:rPr>
          <w:rFonts w:eastAsia="Calibri"/>
        </w:rPr>
      </w:pPr>
      <w:r w:rsidRPr="00683F7F">
        <w:rPr>
          <w:rFonts w:ascii="Calibri" w:eastAsia="Calibri" w:hAnsi="Calibri"/>
        </w:rPr>
        <w:t xml:space="preserve">• </w:t>
      </w:r>
      <w:r w:rsidRPr="00683F7F">
        <w:rPr>
          <w:rFonts w:eastAsia="Calibri"/>
        </w:rPr>
        <w:t>Rebate varies by measure, and are paid to the WAP agency or its designee</w:t>
      </w:r>
    </w:p>
    <w:tbl>
      <w:tblPr>
        <w:tblStyle w:val="TableGrid"/>
        <w:tblW w:w="0" w:type="auto"/>
        <w:tblInd w:w="720" w:type="dxa"/>
        <w:tblLook w:val="04A0" w:firstRow="1" w:lastRow="0" w:firstColumn="1" w:lastColumn="0" w:noHBand="0" w:noVBand="1"/>
      </w:tblPr>
      <w:tblGrid>
        <w:gridCol w:w="1983"/>
        <w:gridCol w:w="2576"/>
        <w:gridCol w:w="1056"/>
      </w:tblGrid>
      <w:tr w:rsidR="00683F7F" w:rsidRPr="00683F7F" w:rsidTr="00C560E3">
        <w:tc>
          <w:tcPr>
            <w:tcW w:w="1983" w:type="dxa"/>
            <w:tcBorders>
              <w:top w:val="single" w:sz="4" w:space="0" w:color="auto"/>
              <w:left w:val="single" w:sz="4" w:space="0" w:color="auto"/>
              <w:bottom w:val="single" w:sz="4" w:space="0" w:color="auto"/>
              <w:right w:val="single" w:sz="4" w:space="0" w:color="auto"/>
            </w:tcBorders>
            <w:vAlign w:val="center"/>
            <w:hideMark/>
          </w:tcPr>
          <w:p w:rsidR="00683F7F" w:rsidRPr="00683F7F" w:rsidRDefault="00683F7F" w:rsidP="00683F7F">
            <w:pPr>
              <w:contextualSpacing/>
              <w:jc w:val="center"/>
              <w:rPr>
                <w:rFonts w:eastAsia="Calibri"/>
                <w:b/>
              </w:rPr>
            </w:pPr>
            <w:r w:rsidRPr="00683F7F">
              <w:rPr>
                <w:rFonts w:eastAsia="Calibri"/>
                <w:b/>
              </w:rPr>
              <w:t>Category</w:t>
            </w:r>
          </w:p>
        </w:tc>
        <w:tc>
          <w:tcPr>
            <w:tcW w:w="2576" w:type="dxa"/>
            <w:tcBorders>
              <w:top w:val="single" w:sz="4" w:space="0" w:color="auto"/>
              <w:left w:val="single" w:sz="4" w:space="0" w:color="auto"/>
              <w:bottom w:val="single" w:sz="4" w:space="0" w:color="auto"/>
              <w:right w:val="single" w:sz="4" w:space="0" w:color="auto"/>
            </w:tcBorders>
            <w:vAlign w:val="center"/>
            <w:hideMark/>
          </w:tcPr>
          <w:p w:rsidR="00683F7F" w:rsidRPr="00683F7F" w:rsidRDefault="00683F7F" w:rsidP="00683F7F">
            <w:pPr>
              <w:contextualSpacing/>
              <w:jc w:val="center"/>
              <w:rPr>
                <w:rFonts w:eastAsia="Calibri"/>
                <w:b/>
              </w:rPr>
            </w:pPr>
            <w:r w:rsidRPr="00683F7F">
              <w:rPr>
                <w:rFonts w:eastAsia="Calibri"/>
                <w:b/>
              </w:rPr>
              <w:t>Measure</w:t>
            </w:r>
          </w:p>
        </w:tc>
        <w:tc>
          <w:tcPr>
            <w:tcW w:w="1056" w:type="dxa"/>
            <w:tcBorders>
              <w:top w:val="single" w:sz="4" w:space="0" w:color="auto"/>
              <w:left w:val="single" w:sz="4" w:space="0" w:color="auto"/>
              <w:bottom w:val="single" w:sz="4" w:space="0" w:color="auto"/>
              <w:right w:val="single" w:sz="4" w:space="0" w:color="auto"/>
            </w:tcBorders>
            <w:vAlign w:val="center"/>
            <w:hideMark/>
          </w:tcPr>
          <w:p w:rsidR="00683F7F" w:rsidRPr="00683F7F" w:rsidRDefault="00683F7F" w:rsidP="00683F7F">
            <w:pPr>
              <w:contextualSpacing/>
              <w:jc w:val="center"/>
              <w:rPr>
                <w:rFonts w:eastAsia="Calibri"/>
                <w:b/>
              </w:rPr>
            </w:pPr>
            <w:r w:rsidRPr="00683F7F">
              <w:rPr>
                <w:rFonts w:eastAsia="Calibri"/>
                <w:b/>
              </w:rPr>
              <w:t>Rebate</w:t>
            </w:r>
          </w:p>
        </w:tc>
      </w:tr>
      <w:tr w:rsidR="00683F7F" w:rsidRPr="00683F7F" w:rsidTr="00C560E3">
        <w:tc>
          <w:tcPr>
            <w:tcW w:w="1983" w:type="dxa"/>
            <w:tcBorders>
              <w:top w:val="single" w:sz="4" w:space="0" w:color="auto"/>
              <w:left w:val="single" w:sz="4" w:space="0" w:color="auto"/>
              <w:bottom w:val="single" w:sz="4" w:space="0" w:color="auto"/>
              <w:right w:val="single" w:sz="4" w:space="0" w:color="auto"/>
            </w:tcBorders>
            <w:vAlign w:val="center"/>
            <w:hideMark/>
          </w:tcPr>
          <w:p w:rsidR="00683F7F" w:rsidRPr="00683F7F" w:rsidRDefault="00683F7F" w:rsidP="00683F7F">
            <w:pPr>
              <w:contextualSpacing/>
              <w:rPr>
                <w:rFonts w:eastAsia="Calibri"/>
              </w:rPr>
            </w:pPr>
            <w:r w:rsidRPr="00683F7F">
              <w:rPr>
                <w:rFonts w:eastAsia="Calibri"/>
              </w:rPr>
              <w:t>Weatherization</w:t>
            </w:r>
          </w:p>
        </w:tc>
        <w:tc>
          <w:tcPr>
            <w:tcW w:w="257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rPr>
                <w:rFonts w:eastAsia="Calibri"/>
              </w:rPr>
            </w:pPr>
            <w:r w:rsidRPr="00683F7F">
              <w:rPr>
                <w:rFonts w:eastAsia="Calibri"/>
              </w:rPr>
              <w:t>Weatherization</w:t>
            </w:r>
          </w:p>
        </w:tc>
        <w:tc>
          <w:tcPr>
            <w:tcW w:w="105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right"/>
              <w:rPr>
                <w:rFonts w:eastAsia="Calibri"/>
              </w:rPr>
            </w:pPr>
            <w:r w:rsidRPr="00683F7F">
              <w:rPr>
                <w:rFonts w:eastAsia="Calibri"/>
              </w:rPr>
              <w:t>$90</w:t>
            </w:r>
          </w:p>
        </w:tc>
      </w:tr>
      <w:tr w:rsidR="00683F7F" w:rsidRPr="00683F7F" w:rsidTr="00C560E3">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683F7F" w:rsidRPr="00683F7F" w:rsidRDefault="00683F7F" w:rsidP="00683F7F">
            <w:pPr>
              <w:contextualSpacing/>
              <w:rPr>
                <w:rFonts w:eastAsia="Calibri"/>
              </w:rPr>
            </w:pPr>
            <w:r w:rsidRPr="00683F7F">
              <w:rPr>
                <w:rFonts w:eastAsia="Calibri"/>
              </w:rPr>
              <w:t>Air Conditioning</w:t>
            </w:r>
          </w:p>
        </w:tc>
        <w:tc>
          <w:tcPr>
            <w:tcW w:w="257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rPr>
                <w:rFonts w:eastAsia="Calibri"/>
              </w:rPr>
            </w:pPr>
            <w:r w:rsidRPr="00683F7F">
              <w:rPr>
                <w:rFonts w:eastAsia="Calibri"/>
              </w:rPr>
              <w:t>Duct Testing &amp; Repair</w:t>
            </w:r>
          </w:p>
        </w:tc>
        <w:tc>
          <w:tcPr>
            <w:tcW w:w="105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right"/>
              <w:rPr>
                <w:rFonts w:eastAsia="Calibri"/>
              </w:rPr>
            </w:pPr>
            <w:r w:rsidRPr="00683F7F">
              <w:rPr>
                <w:rFonts w:eastAsia="Calibri"/>
              </w:rPr>
              <w:t>$60</w:t>
            </w:r>
          </w:p>
        </w:tc>
      </w:tr>
      <w:tr w:rsidR="00683F7F" w:rsidRPr="00683F7F" w:rsidTr="00C560E3">
        <w:tc>
          <w:tcPr>
            <w:tcW w:w="0" w:type="auto"/>
            <w:vMerge/>
            <w:tcBorders>
              <w:top w:val="single" w:sz="4" w:space="0" w:color="auto"/>
              <w:left w:val="single" w:sz="4" w:space="0" w:color="auto"/>
              <w:bottom w:val="single" w:sz="4" w:space="0" w:color="auto"/>
              <w:right w:val="single" w:sz="4" w:space="0" w:color="auto"/>
            </w:tcBorders>
            <w:vAlign w:val="center"/>
            <w:hideMark/>
          </w:tcPr>
          <w:p w:rsidR="00683F7F" w:rsidRPr="00683F7F" w:rsidRDefault="00683F7F" w:rsidP="00683F7F"/>
        </w:tc>
        <w:tc>
          <w:tcPr>
            <w:tcW w:w="257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rPr>
                <w:rFonts w:eastAsia="Calibri"/>
              </w:rPr>
            </w:pPr>
            <w:r w:rsidRPr="00683F7F">
              <w:rPr>
                <w:rFonts w:eastAsia="Calibri"/>
              </w:rPr>
              <w:t>Unit Maintenance</w:t>
            </w:r>
          </w:p>
        </w:tc>
        <w:tc>
          <w:tcPr>
            <w:tcW w:w="105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right"/>
              <w:rPr>
                <w:rFonts w:eastAsia="Calibri"/>
              </w:rPr>
            </w:pPr>
            <w:r w:rsidRPr="00683F7F">
              <w:rPr>
                <w:rFonts w:eastAsia="Calibri"/>
              </w:rPr>
              <w:t>$80</w:t>
            </w:r>
          </w:p>
        </w:tc>
      </w:tr>
      <w:tr w:rsidR="00683F7F" w:rsidRPr="00683F7F" w:rsidTr="00C560E3">
        <w:tc>
          <w:tcPr>
            <w:tcW w:w="0" w:type="auto"/>
            <w:vMerge/>
            <w:tcBorders>
              <w:top w:val="single" w:sz="4" w:space="0" w:color="auto"/>
              <w:left w:val="single" w:sz="4" w:space="0" w:color="auto"/>
              <w:bottom w:val="single" w:sz="4" w:space="0" w:color="auto"/>
              <w:right w:val="single" w:sz="4" w:space="0" w:color="auto"/>
            </w:tcBorders>
            <w:vAlign w:val="center"/>
            <w:hideMark/>
          </w:tcPr>
          <w:p w:rsidR="00683F7F" w:rsidRPr="00683F7F" w:rsidRDefault="00683F7F" w:rsidP="00683F7F"/>
        </w:tc>
        <w:tc>
          <w:tcPr>
            <w:tcW w:w="257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rPr>
                <w:rFonts w:eastAsia="Calibri"/>
              </w:rPr>
            </w:pPr>
            <w:r w:rsidRPr="00683F7F">
              <w:rPr>
                <w:rFonts w:eastAsia="Calibri"/>
              </w:rPr>
              <w:t>Outdoor Coil Cleaning</w:t>
            </w:r>
          </w:p>
        </w:tc>
        <w:tc>
          <w:tcPr>
            <w:tcW w:w="105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right"/>
              <w:rPr>
                <w:rFonts w:eastAsia="Calibri"/>
              </w:rPr>
            </w:pPr>
            <w:r w:rsidRPr="00683F7F">
              <w:rPr>
                <w:rFonts w:eastAsia="Calibri"/>
              </w:rPr>
              <w:t>$60</w:t>
            </w:r>
          </w:p>
        </w:tc>
      </w:tr>
      <w:tr w:rsidR="00683F7F" w:rsidRPr="00683F7F" w:rsidTr="00C560E3">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683F7F" w:rsidRPr="00683F7F" w:rsidRDefault="00683F7F" w:rsidP="00683F7F">
            <w:pPr>
              <w:contextualSpacing/>
              <w:rPr>
                <w:rFonts w:eastAsia="Calibri"/>
              </w:rPr>
            </w:pPr>
            <w:r w:rsidRPr="00683F7F">
              <w:rPr>
                <w:rFonts w:eastAsia="Calibri"/>
              </w:rPr>
              <w:t>Water Heating</w:t>
            </w:r>
          </w:p>
        </w:tc>
        <w:tc>
          <w:tcPr>
            <w:tcW w:w="257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rPr>
                <w:rFonts w:eastAsia="Calibri"/>
              </w:rPr>
            </w:pPr>
            <w:r w:rsidRPr="00683F7F">
              <w:rPr>
                <w:rFonts w:eastAsia="Calibri"/>
              </w:rPr>
              <w:t>Low Flow Showerhead</w:t>
            </w:r>
          </w:p>
        </w:tc>
        <w:tc>
          <w:tcPr>
            <w:tcW w:w="105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right"/>
              <w:rPr>
                <w:rFonts w:eastAsia="Calibri"/>
              </w:rPr>
            </w:pPr>
            <w:r w:rsidRPr="00683F7F">
              <w:rPr>
                <w:rFonts w:eastAsia="Calibri"/>
              </w:rPr>
              <w:t>$30</w:t>
            </w:r>
          </w:p>
        </w:tc>
      </w:tr>
      <w:tr w:rsidR="00683F7F" w:rsidRPr="00683F7F" w:rsidTr="00C560E3">
        <w:tc>
          <w:tcPr>
            <w:tcW w:w="0" w:type="auto"/>
            <w:vMerge/>
            <w:tcBorders>
              <w:top w:val="single" w:sz="4" w:space="0" w:color="auto"/>
              <w:left w:val="single" w:sz="4" w:space="0" w:color="auto"/>
              <w:bottom w:val="single" w:sz="4" w:space="0" w:color="auto"/>
              <w:right w:val="single" w:sz="4" w:space="0" w:color="auto"/>
            </w:tcBorders>
            <w:vAlign w:val="center"/>
            <w:hideMark/>
          </w:tcPr>
          <w:p w:rsidR="00683F7F" w:rsidRPr="00683F7F" w:rsidRDefault="00683F7F" w:rsidP="00683F7F"/>
        </w:tc>
        <w:tc>
          <w:tcPr>
            <w:tcW w:w="257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rPr>
                <w:rFonts w:eastAsia="Calibri"/>
              </w:rPr>
            </w:pPr>
            <w:r w:rsidRPr="00683F7F">
              <w:rPr>
                <w:rFonts w:eastAsia="Calibri"/>
              </w:rPr>
              <w:t>Faucet Aerator</w:t>
            </w:r>
          </w:p>
        </w:tc>
        <w:tc>
          <w:tcPr>
            <w:tcW w:w="105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right"/>
              <w:rPr>
                <w:rFonts w:eastAsia="Calibri"/>
              </w:rPr>
            </w:pPr>
            <w:r w:rsidRPr="00683F7F">
              <w:rPr>
                <w:rFonts w:eastAsia="Calibri"/>
              </w:rPr>
              <w:t>$10</w:t>
            </w:r>
          </w:p>
        </w:tc>
      </w:tr>
      <w:tr w:rsidR="00683F7F" w:rsidRPr="00683F7F" w:rsidTr="00C560E3">
        <w:tc>
          <w:tcPr>
            <w:tcW w:w="0" w:type="auto"/>
            <w:vMerge/>
            <w:tcBorders>
              <w:top w:val="single" w:sz="4" w:space="0" w:color="auto"/>
              <w:left w:val="single" w:sz="4" w:space="0" w:color="auto"/>
              <w:bottom w:val="single" w:sz="4" w:space="0" w:color="auto"/>
              <w:right w:val="single" w:sz="4" w:space="0" w:color="auto"/>
            </w:tcBorders>
            <w:vAlign w:val="center"/>
            <w:hideMark/>
          </w:tcPr>
          <w:p w:rsidR="00683F7F" w:rsidRPr="00683F7F" w:rsidRDefault="00683F7F" w:rsidP="00683F7F"/>
        </w:tc>
        <w:tc>
          <w:tcPr>
            <w:tcW w:w="257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rPr>
                <w:rFonts w:eastAsia="Calibri"/>
              </w:rPr>
            </w:pPr>
            <w:r w:rsidRPr="00683F7F">
              <w:rPr>
                <w:rFonts w:eastAsia="Calibri"/>
              </w:rPr>
              <w:t>Pipe Wrap</w:t>
            </w:r>
          </w:p>
        </w:tc>
        <w:tc>
          <w:tcPr>
            <w:tcW w:w="105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right"/>
              <w:rPr>
                <w:rFonts w:eastAsia="Calibri"/>
              </w:rPr>
            </w:pPr>
            <w:r w:rsidRPr="00683F7F">
              <w:rPr>
                <w:rFonts w:eastAsia="Calibri"/>
              </w:rPr>
              <w:t>$40</w:t>
            </w:r>
          </w:p>
        </w:tc>
      </w:tr>
    </w:tbl>
    <w:p w:rsidR="00683F7F" w:rsidRPr="00683F7F" w:rsidRDefault="00683F7F" w:rsidP="00683F7F">
      <w:pPr>
        <w:rPr>
          <w:b/>
          <w:u w:val="single"/>
        </w:rPr>
      </w:pPr>
    </w:p>
    <w:p w:rsidR="00683F7F" w:rsidRPr="00683F7F" w:rsidRDefault="00683F7F" w:rsidP="00683F7F">
      <w:pPr>
        <w:spacing w:after="240"/>
        <w:rPr>
          <w:rFonts w:ascii="Arial" w:hAnsi="Arial"/>
          <w:b/>
        </w:rPr>
      </w:pPr>
      <w:r w:rsidRPr="00683F7F">
        <w:rPr>
          <w:rFonts w:ascii="Arial" w:hAnsi="Arial"/>
          <w:b/>
        </w:rPr>
        <w:t>Commercial/Industrial Programs:</w:t>
      </w:r>
    </w:p>
    <w:p w:rsidR="00683F7F" w:rsidRPr="00683F7F" w:rsidRDefault="00683F7F" w:rsidP="00683F7F">
      <w:pPr>
        <w:spacing w:before="240"/>
        <w:ind w:firstLine="720"/>
        <w:jc w:val="both"/>
        <w:rPr>
          <w:rFonts w:ascii="Arial" w:hAnsi="Arial"/>
          <w:b/>
          <w:i/>
        </w:rPr>
      </w:pPr>
      <w:r w:rsidRPr="00683F7F">
        <w:rPr>
          <w:rFonts w:ascii="Arial" w:hAnsi="Arial"/>
          <w:b/>
          <w:i/>
        </w:rPr>
        <w:t>Business Energy Evaluation (BEE)</w:t>
      </w:r>
    </w:p>
    <w:p w:rsidR="00683F7F" w:rsidRPr="00683F7F" w:rsidRDefault="00683F7F" w:rsidP="00683F7F">
      <w:pPr>
        <w:jc w:val="both"/>
      </w:pPr>
      <w:r w:rsidRPr="00683F7F">
        <w:t xml:space="preserve">This program educates customers on energy efficiency and encourages them to participate in applicable FPL DSM programs and/or implement other recommended actions not included as part of FPL’s Business programs. There are two delivery channels for the BEE: (1) the Field BEE, which is performed by an FPL representative at the customer’s facility; and (2) the Online BEE, which is performed by the customer using FPL’s online application. </w:t>
      </w:r>
    </w:p>
    <w:p w:rsidR="00683F7F" w:rsidRPr="00683F7F" w:rsidRDefault="00683F7F" w:rsidP="00683F7F">
      <w:pPr>
        <w:spacing w:before="240"/>
        <w:ind w:firstLine="720"/>
        <w:jc w:val="both"/>
        <w:rPr>
          <w:rFonts w:ascii="Arial" w:hAnsi="Arial"/>
          <w:b/>
          <w:i/>
        </w:rPr>
      </w:pPr>
      <w:r w:rsidRPr="00683F7F">
        <w:rPr>
          <w:rFonts w:ascii="Arial" w:hAnsi="Arial"/>
          <w:b/>
          <w:i/>
        </w:rPr>
        <w:t>Business On Call</w:t>
      </w:r>
    </w:p>
    <w:p w:rsidR="00683F7F" w:rsidRPr="00683F7F" w:rsidRDefault="00683F7F" w:rsidP="00683F7F">
      <w:pPr>
        <w:jc w:val="both"/>
      </w:pPr>
      <w:r w:rsidRPr="00683F7F">
        <w:t xml:space="preserve">This program allows FPL to turn off customers’ direct expansion (DX) central electric air conditioning units for varying time periods during system emergencies, consistent with the applicable tariff. FPL-installed equipment is connected to the customer’s DX units allowing FPL to control this load. </w:t>
      </w:r>
    </w:p>
    <w:p w:rsidR="00683F7F" w:rsidRPr="00683F7F" w:rsidRDefault="00683F7F" w:rsidP="00683F7F">
      <w:pPr>
        <w:spacing w:after="240"/>
        <w:ind w:left="720"/>
        <w:contextualSpacing/>
        <w:jc w:val="both"/>
        <w:rPr>
          <w:rFonts w:eastAsia="Calibri"/>
        </w:rPr>
      </w:pPr>
      <w:r w:rsidRPr="00683F7F">
        <w:rPr>
          <w:rFonts w:ascii="Calibri" w:eastAsia="Calibri" w:hAnsi="Calibri"/>
        </w:rPr>
        <w:t xml:space="preserve">• </w:t>
      </w:r>
      <w:r w:rsidRPr="00683F7F">
        <w:rPr>
          <w:rFonts w:eastAsia="Calibri"/>
        </w:rPr>
        <w:t>Monthly Credit of $2 per ton of central electric air conditioning capacity during April through October.</w:t>
      </w:r>
    </w:p>
    <w:p w:rsidR="00683F7F" w:rsidRPr="00683F7F" w:rsidRDefault="00683F7F" w:rsidP="00683F7F">
      <w:pPr>
        <w:rPr>
          <w:rFonts w:ascii="Arial" w:hAnsi="Arial"/>
          <w:b/>
          <w:i/>
        </w:rPr>
      </w:pPr>
      <w:r w:rsidRPr="00683F7F">
        <w:rPr>
          <w:rFonts w:ascii="Arial" w:hAnsi="Arial"/>
          <w:b/>
          <w:i/>
        </w:rPr>
        <w:br w:type="page"/>
      </w:r>
    </w:p>
    <w:p w:rsidR="00683F7F" w:rsidRPr="00683F7F" w:rsidRDefault="00683F7F" w:rsidP="00683F7F">
      <w:pPr>
        <w:spacing w:before="240"/>
        <w:ind w:firstLine="720"/>
        <w:jc w:val="both"/>
        <w:rPr>
          <w:rFonts w:ascii="Arial" w:hAnsi="Arial"/>
          <w:b/>
          <w:i/>
        </w:rPr>
      </w:pPr>
      <w:r w:rsidRPr="00683F7F">
        <w:rPr>
          <w:rFonts w:ascii="Arial" w:hAnsi="Arial"/>
          <w:b/>
          <w:i/>
        </w:rPr>
        <w:lastRenderedPageBreak/>
        <w:t>Commercial/Industrial Demand Reduction (CDR)</w:t>
      </w:r>
    </w:p>
    <w:p w:rsidR="00683F7F" w:rsidRPr="00683F7F" w:rsidRDefault="00683F7F" w:rsidP="00683F7F">
      <w:pPr>
        <w:jc w:val="both"/>
      </w:pPr>
      <w:r w:rsidRPr="00683F7F">
        <w:t xml:space="preserve">This program allows FPL to control customer-established loads of 200 kW or greater during system emergencies, consistent with the applicable tariff. Load control equipment is installed at the customer’s facility to allow FPL to control customer loads. </w:t>
      </w:r>
    </w:p>
    <w:p w:rsidR="00683F7F" w:rsidRPr="00683F7F" w:rsidRDefault="00683F7F" w:rsidP="00683F7F">
      <w:pPr>
        <w:spacing w:after="240"/>
        <w:ind w:left="720"/>
        <w:contextualSpacing/>
        <w:jc w:val="both"/>
        <w:rPr>
          <w:rFonts w:eastAsia="Calibri"/>
        </w:rPr>
      </w:pPr>
      <w:r w:rsidRPr="00683F7F">
        <w:rPr>
          <w:rFonts w:ascii="Calibri" w:eastAsia="Calibri" w:hAnsi="Calibri"/>
        </w:rPr>
        <w:t xml:space="preserve">• </w:t>
      </w:r>
      <w:r w:rsidRPr="00683F7F">
        <w:rPr>
          <w:rFonts w:eastAsia="Calibri"/>
        </w:rPr>
        <w:t>Monthly Credit of $7.89 per kW.</w:t>
      </w:r>
    </w:p>
    <w:p w:rsidR="00683F7F" w:rsidRPr="00683F7F" w:rsidRDefault="00683F7F" w:rsidP="00683F7F">
      <w:pPr>
        <w:spacing w:before="240"/>
        <w:ind w:firstLine="720"/>
        <w:jc w:val="both"/>
        <w:rPr>
          <w:rFonts w:ascii="Arial" w:hAnsi="Arial"/>
          <w:b/>
          <w:i/>
        </w:rPr>
      </w:pPr>
      <w:r w:rsidRPr="00683F7F">
        <w:rPr>
          <w:rFonts w:ascii="Arial" w:hAnsi="Arial"/>
          <w:b/>
          <w:i/>
        </w:rPr>
        <w:t>Commercial/Industrial Load Control (CILC)</w:t>
      </w:r>
    </w:p>
    <w:p w:rsidR="00683F7F" w:rsidRPr="00683F7F" w:rsidRDefault="00683F7F" w:rsidP="00683F7F">
      <w:pPr>
        <w:ind w:firstLine="720"/>
        <w:jc w:val="both"/>
        <w:rPr>
          <w:rFonts w:ascii="Arial" w:hAnsi="Arial"/>
          <w:b/>
          <w:i/>
        </w:rPr>
      </w:pPr>
      <w:r w:rsidRPr="00683F7F">
        <w:rPr>
          <w:rFonts w:ascii="Arial" w:hAnsi="Arial"/>
          <w:b/>
          <w:i/>
        </w:rPr>
        <w:t>Closed to New Participants</w:t>
      </w:r>
    </w:p>
    <w:p w:rsidR="00683F7F" w:rsidRPr="00683F7F" w:rsidRDefault="00683F7F" w:rsidP="00683F7F">
      <w:pPr>
        <w:jc w:val="both"/>
      </w:pPr>
      <w:r w:rsidRPr="00683F7F">
        <w:t>This program allows FPL to control customer-established loads of 200 kW or greater during system emergencies, consistent with the applicable tariff. Load control equipment is installed at the customer’s facility to allow FPL to control customer loads. Incentive provided by reduced base rate for electric service.</w:t>
      </w:r>
    </w:p>
    <w:p w:rsidR="00683F7F" w:rsidRPr="00683F7F" w:rsidRDefault="00683F7F" w:rsidP="00683F7F">
      <w:pPr>
        <w:spacing w:before="240"/>
        <w:ind w:firstLine="720"/>
        <w:jc w:val="both"/>
        <w:rPr>
          <w:rFonts w:ascii="Arial" w:hAnsi="Arial"/>
          <w:b/>
          <w:i/>
        </w:rPr>
      </w:pPr>
      <w:r w:rsidRPr="00683F7F">
        <w:rPr>
          <w:rFonts w:ascii="Arial" w:hAnsi="Arial"/>
          <w:b/>
          <w:i/>
        </w:rPr>
        <w:t>Business Heating, Ventilating &amp; Air Conditioning (HVAC)</w:t>
      </w:r>
    </w:p>
    <w:p w:rsidR="00683F7F" w:rsidRPr="00683F7F" w:rsidRDefault="00683F7F" w:rsidP="00683F7F">
      <w:pPr>
        <w:jc w:val="both"/>
      </w:pPr>
      <w:r w:rsidRPr="00683F7F">
        <w:t xml:space="preserve">This program encourages customers to install high-efficiency HVAC systems. The primary types of eligible HVAC systems include: chillers; thermal energy storage (TES); split/packaged DX; demand control ventilation (“DCV”); and energy recovery ventilation (ERV). </w:t>
      </w:r>
    </w:p>
    <w:p w:rsidR="00683F7F" w:rsidRPr="00683F7F" w:rsidRDefault="00683F7F" w:rsidP="00683F7F">
      <w:pPr>
        <w:numPr>
          <w:ilvl w:val="0"/>
          <w:numId w:val="12"/>
        </w:numPr>
        <w:contextualSpacing/>
        <w:jc w:val="both"/>
        <w:rPr>
          <w:rFonts w:eastAsia="Calibri"/>
        </w:rPr>
      </w:pPr>
      <w:r w:rsidRPr="00683F7F">
        <w:rPr>
          <w:rFonts w:eastAsia="Calibri"/>
        </w:rPr>
        <w:t>Rebate varies by measure</w:t>
      </w:r>
    </w:p>
    <w:tbl>
      <w:tblPr>
        <w:tblStyle w:val="TableGrid"/>
        <w:tblW w:w="0" w:type="auto"/>
        <w:tblInd w:w="720" w:type="dxa"/>
        <w:tblLook w:val="04A0" w:firstRow="1" w:lastRow="0" w:firstColumn="1" w:lastColumn="0" w:noHBand="0" w:noVBand="1"/>
      </w:tblPr>
      <w:tblGrid>
        <w:gridCol w:w="1229"/>
        <w:gridCol w:w="1803"/>
      </w:tblGrid>
      <w:tr w:rsidR="00683F7F" w:rsidRPr="00683F7F" w:rsidTr="00C560E3">
        <w:tc>
          <w:tcPr>
            <w:tcW w:w="1229" w:type="dxa"/>
            <w:tcBorders>
              <w:top w:val="single" w:sz="4" w:space="0" w:color="auto"/>
              <w:left w:val="single" w:sz="4" w:space="0" w:color="auto"/>
              <w:bottom w:val="single" w:sz="4" w:space="0" w:color="auto"/>
              <w:right w:val="single" w:sz="4" w:space="0" w:color="auto"/>
            </w:tcBorders>
            <w:vAlign w:val="center"/>
            <w:hideMark/>
          </w:tcPr>
          <w:p w:rsidR="00683F7F" w:rsidRPr="00683F7F" w:rsidRDefault="00683F7F" w:rsidP="00683F7F">
            <w:pPr>
              <w:contextualSpacing/>
              <w:jc w:val="center"/>
              <w:rPr>
                <w:rFonts w:eastAsia="Calibri"/>
                <w:b/>
              </w:rPr>
            </w:pPr>
            <w:r w:rsidRPr="00683F7F">
              <w:rPr>
                <w:rFonts w:eastAsia="Calibri"/>
                <w:b/>
              </w:rPr>
              <w:t>Measure</w:t>
            </w:r>
          </w:p>
        </w:tc>
        <w:tc>
          <w:tcPr>
            <w:tcW w:w="1803" w:type="dxa"/>
            <w:tcBorders>
              <w:top w:val="single" w:sz="4" w:space="0" w:color="auto"/>
              <w:left w:val="single" w:sz="4" w:space="0" w:color="auto"/>
              <w:bottom w:val="single" w:sz="4" w:space="0" w:color="auto"/>
              <w:right w:val="single" w:sz="4" w:space="0" w:color="auto"/>
            </w:tcBorders>
            <w:vAlign w:val="center"/>
            <w:hideMark/>
          </w:tcPr>
          <w:p w:rsidR="00683F7F" w:rsidRPr="00683F7F" w:rsidRDefault="00683F7F" w:rsidP="00683F7F">
            <w:pPr>
              <w:contextualSpacing/>
              <w:jc w:val="center"/>
              <w:rPr>
                <w:rFonts w:eastAsia="Calibri"/>
                <w:b/>
              </w:rPr>
            </w:pPr>
            <w:r w:rsidRPr="00683F7F">
              <w:rPr>
                <w:rFonts w:eastAsia="Calibri"/>
                <w:b/>
              </w:rPr>
              <w:t>Rebate</w:t>
            </w:r>
          </w:p>
          <w:p w:rsidR="00683F7F" w:rsidRPr="00683F7F" w:rsidRDefault="00683F7F" w:rsidP="00683F7F">
            <w:pPr>
              <w:contextualSpacing/>
              <w:jc w:val="center"/>
              <w:rPr>
                <w:rFonts w:eastAsia="Calibri"/>
                <w:b/>
              </w:rPr>
            </w:pPr>
            <w:r w:rsidRPr="00683F7F">
              <w:rPr>
                <w:rFonts w:eastAsia="Calibri"/>
                <w:b/>
              </w:rPr>
              <w:t>(per Sum kW)</w:t>
            </w:r>
          </w:p>
        </w:tc>
      </w:tr>
      <w:tr w:rsidR="00683F7F" w:rsidRPr="00683F7F" w:rsidTr="00C560E3">
        <w:tc>
          <w:tcPr>
            <w:tcW w:w="1229"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both"/>
              <w:rPr>
                <w:rFonts w:eastAsia="Calibri"/>
              </w:rPr>
            </w:pPr>
            <w:r w:rsidRPr="00683F7F">
              <w:rPr>
                <w:rFonts w:eastAsia="Calibri"/>
              </w:rPr>
              <w:t>Chillers</w:t>
            </w:r>
          </w:p>
        </w:tc>
        <w:tc>
          <w:tcPr>
            <w:tcW w:w="1803"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right"/>
              <w:rPr>
                <w:rFonts w:eastAsia="Calibri"/>
              </w:rPr>
            </w:pPr>
            <w:r w:rsidRPr="00683F7F">
              <w:rPr>
                <w:rFonts w:eastAsia="Calibri"/>
              </w:rPr>
              <w:t>$210</w:t>
            </w:r>
          </w:p>
        </w:tc>
      </w:tr>
      <w:tr w:rsidR="00683F7F" w:rsidRPr="00683F7F" w:rsidTr="00C560E3">
        <w:tc>
          <w:tcPr>
            <w:tcW w:w="1229"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both"/>
              <w:rPr>
                <w:rFonts w:eastAsia="Calibri"/>
              </w:rPr>
            </w:pPr>
            <w:r w:rsidRPr="00683F7F">
              <w:rPr>
                <w:rFonts w:eastAsia="Calibri"/>
              </w:rPr>
              <w:t>TES</w:t>
            </w:r>
          </w:p>
        </w:tc>
        <w:tc>
          <w:tcPr>
            <w:tcW w:w="1803"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right"/>
              <w:rPr>
                <w:rFonts w:eastAsia="Calibri"/>
              </w:rPr>
            </w:pPr>
            <w:r w:rsidRPr="00683F7F">
              <w:rPr>
                <w:rFonts w:eastAsia="Calibri"/>
              </w:rPr>
              <w:t>$600</w:t>
            </w:r>
          </w:p>
        </w:tc>
      </w:tr>
      <w:tr w:rsidR="00683F7F" w:rsidRPr="00683F7F" w:rsidTr="00C560E3">
        <w:tc>
          <w:tcPr>
            <w:tcW w:w="1229"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both"/>
              <w:rPr>
                <w:rFonts w:eastAsia="Calibri"/>
              </w:rPr>
            </w:pPr>
            <w:r w:rsidRPr="00683F7F">
              <w:rPr>
                <w:rFonts w:eastAsia="Calibri"/>
              </w:rPr>
              <w:t>DX</w:t>
            </w:r>
          </w:p>
        </w:tc>
        <w:tc>
          <w:tcPr>
            <w:tcW w:w="1803"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right"/>
              <w:rPr>
                <w:rFonts w:eastAsia="Calibri"/>
              </w:rPr>
            </w:pPr>
            <w:r w:rsidRPr="00683F7F">
              <w:rPr>
                <w:rFonts w:eastAsia="Calibri"/>
              </w:rPr>
              <w:t>$180</w:t>
            </w:r>
          </w:p>
        </w:tc>
      </w:tr>
      <w:tr w:rsidR="00683F7F" w:rsidRPr="00683F7F" w:rsidTr="00C560E3">
        <w:tc>
          <w:tcPr>
            <w:tcW w:w="1229"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both"/>
              <w:rPr>
                <w:rFonts w:eastAsia="Calibri"/>
              </w:rPr>
            </w:pPr>
            <w:r w:rsidRPr="00683F7F">
              <w:rPr>
                <w:rFonts w:eastAsia="Calibri"/>
              </w:rPr>
              <w:t>DCV</w:t>
            </w:r>
          </w:p>
        </w:tc>
        <w:tc>
          <w:tcPr>
            <w:tcW w:w="1803"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right"/>
              <w:rPr>
                <w:rFonts w:eastAsia="Calibri"/>
              </w:rPr>
            </w:pPr>
            <w:r w:rsidRPr="00683F7F">
              <w:rPr>
                <w:rFonts w:eastAsia="Calibri"/>
              </w:rPr>
              <w:t>$2,010</w:t>
            </w:r>
          </w:p>
        </w:tc>
      </w:tr>
      <w:tr w:rsidR="00683F7F" w:rsidRPr="00683F7F" w:rsidTr="00C560E3">
        <w:tc>
          <w:tcPr>
            <w:tcW w:w="1229"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both"/>
              <w:rPr>
                <w:rFonts w:eastAsia="Calibri"/>
              </w:rPr>
            </w:pPr>
            <w:r w:rsidRPr="00683F7F">
              <w:rPr>
                <w:rFonts w:eastAsia="Calibri"/>
              </w:rPr>
              <w:t>ERC</w:t>
            </w:r>
          </w:p>
        </w:tc>
        <w:tc>
          <w:tcPr>
            <w:tcW w:w="1803"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right"/>
              <w:rPr>
                <w:rFonts w:eastAsia="Calibri"/>
              </w:rPr>
            </w:pPr>
            <w:r w:rsidRPr="00683F7F">
              <w:rPr>
                <w:rFonts w:eastAsia="Calibri"/>
              </w:rPr>
              <w:t>$1,270</w:t>
            </w:r>
          </w:p>
        </w:tc>
      </w:tr>
    </w:tbl>
    <w:p w:rsidR="00683F7F" w:rsidRPr="00683F7F" w:rsidRDefault="00683F7F" w:rsidP="00683F7F">
      <w:pPr>
        <w:ind w:firstLine="720"/>
        <w:jc w:val="both"/>
        <w:rPr>
          <w:rFonts w:ascii="Arial" w:hAnsi="Arial"/>
          <w:b/>
          <w:i/>
        </w:rPr>
      </w:pPr>
    </w:p>
    <w:p w:rsidR="00683F7F" w:rsidRPr="00683F7F" w:rsidRDefault="00683F7F" w:rsidP="00683F7F">
      <w:pPr>
        <w:ind w:firstLine="720"/>
        <w:jc w:val="both"/>
        <w:rPr>
          <w:rFonts w:ascii="Arial" w:hAnsi="Arial"/>
          <w:b/>
          <w:i/>
        </w:rPr>
      </w:pPr>
      <w:r w:rsidRPr="00683F7F">
        <w:rPr>
          <w:rFonts w:ascii="Arial" w:hAnsi="Arial"/>
          <w:b/>
          <w:i/>
        </w:rPr>
        <w:t>Business Lighting</w:t>
      </w:r>
    </w:p>
    <w:p w:rsidR="00683F7F" w:rsidRPr="00683F7F" w:rsidRDefault="00683F7F" w:rsidP="00683F7F">
      <w:pPr>
        <w:jc w:val="both"/>
      </w:pPr>
      <w:r w:rsidRPr="00683F7F">
        <w:t xml:space="preserve">This program encourages customers to install high-efficiency lighting systems. The primary types of eligible lighting systems include: compact fluorescent lights (“CFL”); pulse-start metal halides (PSMH); premium linear fluorescents with high-efficiency electronic ballasts; and high bay light-emitting diodes (LED). </w:t>
      </w:r>
    </w:p>
    <w:p w:rsidR="00683F7F" w:rsidRPr="00683F7F" w:rsidRDefault="00683F7F" w:rsidP="00683F7F">
      <w:pPr>
        <w:numPr>
          <w:ilvl w:val="0"/>
          <w:numId w:val="12"/>
        </w:numPr>
        <w:contextualSpacing/>
        <w:jc w:val="both"/>
        <w:rPr>
          <w:rFonts w:eastAsia="Calibri"/>
        </w:rPr>
      </w:pPr>
      <w:r w:rsidRPr="00683F7F">
        <w:rPr>
          <w:rFonts w:eastAsia="Calibri"/>
        </w:rPr>
        <w:t>Rebate varies by measure</w:t>
      </w:r>
    </w:p>
    <w:tbl>
      <w:tblPr>
        <w:tblStyle w:val="TableGrid"/>
        <w:tblW w:w="0" w:type="auto"/>
        <w:tblInd w:w="720" w:type="dxa"/>
        <w:tblLook w:val="04A0" w:firstRow="1" w:lastRow="0" w:firstColumn="1" w:lastColumn="0" w:noHBand="0" w:noVBand="1"/>
      </w:tblPr>
      <w:tblGrid>
        <w:gridCol w:w="3176"/>
        <w:gridCol w:w="1803"/>
      </w:tblGrid>
      <w:tr w:rsidR="00683F7F" w:rsidRPr="00683F7F" w:rsidTr="00C560E3">
        <w:tc>
          <w:tcPr>
            <w:tcW w:w="3176" w:type="dxa"/>
            <w:tcBorders>
              <w:top w:val="single" w:sz="4" w:space="0" w:color="auto"/>
              <w:left w:val="single" w:sz="4" w:space="0" w:color="auto"/>
              <w:bottom w:val="single" w:sz="4" w:space="0" w:color="auto"/>
              <w:right w:val="single" w:sz="4" w:space="0" w:color="auto"/>
            </w:tcBorders>
            <w:vAlign w:val="center"/>
            <w:hideMark/>
          </w:tcPr>
          <w:p w:rsidR="00683F7F" w:rsidRPr="00683F7F" w:rsidRDefault="00683F7F" w:rsidP="00683F7F">
            <w:pPr>
              <w:contextualSpacing/>
              <w:jc w:val="center"/>
              <w:rPr>
                <w:rFonts w:eastAsia="Calibri"/>
                <w:b/>
              </w:rPr>
            </w:pPr>
            <w:r w:rsidRPr="00683F7F">
              <w:rPr>
                <w:rFonts w:eastAsia="Calibri"/>
                <w:b/>
              </w:rPr>
              <w:t>Measure</w:t>
            </w:r>
          </w:p>
        </w:tc>
        <w:tc>
          <w:tcPr>
            <w:tcW w:w="1803" w:type="dxa"/>
            <w:tcBorders>
              <w:top w:val="single" w:sz="4" w:space="0" w:color="auto"/>
              <w:left w:val="single" w:sz="4" w:space="0" w:color="auto"/>
              <w:bottom w:val="single" w:sz="4" w:space="0" w:color="auto"/>
              <w:right w:val="single" w:sz="4" w:space="0" w:color="auto"/>
            </w:tcBorders>
            <w:vAlign w:val="center"/>
            <w:hideMark/>
          </w:tcPr>
          <w:p w:rsidR="00683F7F" w:rsidRPr="00683F7F" w:rsidRDefault="00683F7F" w:rsidP="00683F7F">
            <w:pPr>
              <w:contextualSpacing/>
              <w:jc w:val="center"/>
              <w:rPr>
                <w:rFonts w:eastAsia="Calibri"/>
                <w:b/>
              </w:rPr>
            </w:pPr>
            <w:r w:rsidRPr="00683F7F">
              <w:rPr>
                <w:rFonts w:eastAsia="Calibri"/>
                <w:b/>
              </w:rPr>
              <w:t>Rebate</w:t>
            </w:r>
          </w:p>
          <w:p w:rsidR="00683F7F" w:rsidRPr="00683F7F" w:rsidRDefault="00683F7F" w:rsidP="00683F7F">
            <w:pPr>
              <w:contextualSpacing/>
              <w:jc w:val="center"/>
              <w:rPr>
                <w:rFonts w:eastAsia="Calibri"/>
                <w:b/>
              </w:rPr>
            </w:pPr>
            <w:r w:rsidRPr="00683F7F">
              <w:rPr>
                <w:rFonts w:eastAsia="Calibri"/>
                <w:b/>
              </w:rPr>
              <w:t>(per Sum kW)</w:t>
            </w:r>
          </w:p>
        </w:tc>
      </w:tr>
      <w:tr w:rsidR="00683F7F" w:rsidRPr="00683F7F" w:rsidTr="00C560E3">
        <w:tc>
          <w:tcPr>
            <w:tcW w:w="317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both"/>
              <w:rPr>
                <w:rFonts w:eastAsia="Calibri"/>
              </w:rPr>
            </w:pPr>
            <w:r w:rsidRPr="00683F7F">
              <w:rPr>
                <w:rFonts w:eastAsia="Calibri"/>
              </w:rPr>
              <w:t>CFL</w:t>
            </w:r>
          </w:p>
        </w:tc>
        <w:tc>
          <w:tcPr>
            <w:tcW w:w="1803"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right"/>
              <w:rPr>
                <w:rFonts w:eastAsia="Calibri"/>
              </w:rPr>
            </w:pPr>
            <w:r w:rsidRPr="00683F7F">
              <w:rPr>
                <w:rFonts w:eastAsia="Calibri"/>
              </w:rPr>
              <w:t>$70</w:t>
            </w:r>
          </w:p>
        </w:tc>
      </w:tr>
      <w:tr w:rsidR="00683F7F" w:rsidRPr="00683F7F" w:rsidTr="00C560E3">
        <w:tc>
          <w:tcPr>
            <w:tcW w:w="317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both"/>
              <w:rPr>
                <w:rFonts w:eastAsia="Calibri"/>
              </w:rPr>
            </w:pPr>
            <w:r w:rsidRPr="00683F7F">
              <w:rPr>
                <w:rFonts w:eastAsia="Calibri"/>
              </w:rPr>
              <w:t>PSMH</w:t>
            </w:r>
          </w:p>
        </w:tc>
        <w:tc>
          <w:tcPr>
            <w:tcW w:w="1803"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right"/>
              <w:rPr>
                <w:rFonts w:eastAsia="Calibri"/>
              </w:rPr>
            </w:pPr>
            <w:r w:rsidRPr="00683F7F">
              <w:rPr>
                <w:rFonts w:eastAsia="Calibri"/>
              </w:rPr>
              <w:t>$185</w:t>
            </w:r>
          </w:p>
        </w:tc>
      </w:tr>
      <w:tr w:rsidR="00683F7F" w:rsidRPr="00683F7F" w:rsidTr="00C560E3">
        <w:tc>
          <w:tcPr>
            <w:tcW w:w="317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both"/>
              <w:rPr>
                <w:rFonts w:eastAsia="Calibri"/>
              </w:rPr>
            </w:pPr>
            <w:r w:rsidRPr="00683F7F">
              <w:rPr>
                <w:rFonts w:eastAsia="Calibri"/>
              </w:rPr>
              <w:t>Premium Linear Fluorescents</w:t>
            </w:r>
          </w:p>
        </w:tc>
        <w:tc>
          <w:tcPr>
            <w:tcW w:w="1803"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right"/>
              <w:rPr>
                <w:rFonts w:eastAsia="Calibri"/>
              </w:rPr>
            </w:pPr>
            <w:r w:rsidRPr="00683F7F">
              <w:rPr>
                <w:rFonts w:eastAsia="Calibri"/>
              </w:rPr>
              <w:t>$65</w:t>
            </w:r>
          </w:p>
        </w:tc>
      </w:tr>
      <w:tr w:rsidR="00683F7F" w:rsidRPr="00683F7F" w:rsidTr="00C560E3">
        <w:tc>
          <w:tcPr>
            <w:tcW w:w="3176"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both"/>
              <w:rPr>
                <w:rFonts w:eastAsia="Calibri"/>
              </w:rPr>
            </w:pPr>
            <w:r w:rsidRPr="00683F7F">
              <w:rPr>
                <w:rFonts w:eastAsia="Calibri"/>
              </w:rPr>
              <w:t>High Bay LED</w:t>
            </w:r>
          </w:p>
        </w:tc>
        <w:tc>
          <w:tcPr>
            <w:tcW w:w="1803" w:type="dxa"/>
            <w:tcBorders>
              <w:top w:val="single" w:sz="4" w:space="0" w:color="auto"/>
              <w:left w:val="single" w:sz="4" w:space="0" w:color="auto"/>
              <w:bottom w:val="single" w:sz="4" w:space="0" w:color="auto"/>
              <w:right w:val="single" w:sz="4" w:space="0" w:color="auto"/>
            </w:tcBorders>
            <w:hideMark/>
          </w:tcPr>
          <w:p w:rsidR="00683F7F" w:rsidRPr="00683F7F" w:rsidRDefault="00683F7F" w:rsidP="00683F7F">
            <w:pPr>
              <w:contextualSpacing/>
              <w:jc w:val="right"/>
              <w:rPr>
                <w:rFonts w:eastAsia="Calibri"/>
              </w:rPr>
            </w:pPr>
            <w:r w:rsidRPr="00683F7F">
              <w:rPr>
                <w:rFonts w:eastAsia="Calibri"/>
              </w:rPr>
              <w:t>$95</w:t>
            </w:r>
          </w:p>
        </w:tc>
      </w:tr>
    </w:tbl>
    <w:p w:rsidR="00683F7F" w:rsidRPr="00683F7F" w:rsidRDefault="00683F7F" w:rsidP="00683F7F">
      <w:pPr>
        <w:spacing w:before="240"/>
        <w:ind w:firstLine="720"/>
        <w:jc w:val="both"/>
        <w:rPr>
          <w:rFonts w:ascii="Arial" w:hAnsi="Arial"/>
          <w:b/>
          <w:i/>
        </w:rPr>
      </w:pPr>
      <w:r w:rsidRPr="00683F7F">
        <w:rPr>
          <w:rFonts w:ascii="Arial" w:hAnsi="Arial"/>
          <w:b/>
          <w:i/>
        </w:rPr>
        <w:t>Business Custom Incentive</w:t>
      </w:r>
    </w:p>
    <w:p w:rsidR="00683F7F" w:rsidRPr="00683F7F" w:rsidRDefault="00683F7F" w:rsidP="00683F7F">
      <w:pPr>
        <w:jc w:val="both"/>
      </w:pPr>
      <w:r w:rsidRPr="00683F7F">
        <w:t xml:space="preserve">This program encourages customers to install unique high-efficiency technologies not covered by other FPL DSM programs. The primary types of customized technologies include, but are not limited to, process controls, efficient machinery, and other measures unique to particular industrial processes or business applications. </w:t>
      </w:r>
    </w:p>
    <w:p w:rsidR="00683F7F" w:rsidRDefault="00683F7F" w:rsidP="00683F7F">
      <w:pPr>
        <w:spacing w:after="240"/>
        <w:ind w:left="720"/>
        <w:contextualSpacing/>
        <w:jc w:val="both"/>
        <w:rPr>
          <w:rFonts w:eastAsia="Calibri"/>
        </w:rPr>
      </w:pPr>
      <w:r w:rsidRPr="00683F7F">
        <w:rPr>
          <w:rFonts w:ascii="Calibri" w:eastAsia="Calibri" w:hAnsi="Calibri"/>
        </w:rPr>
        <w:t xml:space="preserve">• </w:t>
      </w:r>
      <w:r w:rsidRPr="00683F7F">
        <w:rPr>
          <w:rFonts w:eastAsia="Calibri"/>
        </w:rPr>
        <w:t>Rebate determined on a project specific basis, but must pass RIM and Participants test with a payback period of no less than two years.</w:t>
      </w:r>
    </w:p>
    <w:p w:rsidR="00683F7F" w:rsidRPr="00683F7F" w:rsidRDefault="00683F7F" w:rsidP="00683F7F">
      <w:pPr>
        <w:spacing w:after="240"/>
        <w:ind w:left="720"/>
        <w:contextualSpacing/>
        <w:jc w:val="both"/>
        <w:rPr>
          <w:rFonts w:ascii="Calibri" w:eastAsia="Calibri" w:hAnsi="Calibri"/>
          <w:b/>
          <w:u w:val="single"/>
        </w:rPr>
      </w:pPr>
    </w:p>
    <w:p w:rsidR="00683F7F" w:rsidRPr="00683F7F" w:rsidRDefault="00683F7F" w:rsidP="00683F7F">
      <w:pPr>
        <w:spacing w:after="240"/>
        <w:rPr>
          <w:rFonts w:ascii="Arial" w:hAnsi="Arial"/>
          <w:b/>
        </w:rPr>
      </w:pPr>
      <w:r w:rsidRPr="00683F7F">
        <w:rPr>
          <w:rFonts w:ascii="Arial" w:hAnsi="Arial"/>
          <w:b/>
        </w:rPr>
        <w:t>Other Programs:</w:t>
      </w:r>
    </w:p>
    <w:p w:rsidR="00683F7F" w:rsidRPr="00683F7F" w:rsidRDefault="00683F7F" w:rsidP="00683F7F">
      <w:pPr>
        <w:spacing w:before="240"/>
        <w:ind w:firstLine="720"/>
        <w:jc w:val="both"/>
        <w:rPr>
          <w:rFonts w:ascii="Arial" w:hAnsi="Arial"/>
          <w:b/>
          <w:i/>
        </w:rPr>
      </w:pPr>
      <w:r w:rsidRPr="00683F7F">
        <w:rPr>
          <w:rFonts w:ascii="Arial" w:hAnsi="Arial"/>
          <w:b/>
          <w:i/>
        </w:rPr>
        <w:t>Conservation Research and Development (CRD)</w:t>
      </w:r>
    </w:p>
    <w:p w:rsidR="00683F7F" w:rsidRPr="00683F7F" w:rsidRDefault="00683F7F" w:rsidP="00683F7F">
      <w:pPr>
        <w:jc w:val="both"/>
      </w:pPr>
      <w:r w:rsidRPr="00683F7F">
        <w:t>This program identifies and scientifically evaluates the energy and demand savings and customer economic performance under FPL’s climate conditions of emerging energy efficiency and demand response technologies and practices. FPL typically collaborates with Florida-based universities, utilities, the U.S. Department of Energy, and other independent research organizations to conduct joint studies to maximize the use of research funds. CRD projects are conducted in laboratory and field settings. For weather sensitive technologies, testing incorporates the climate conditions unique to FPL’s service area to obtain accurate savings estimates. All results are weather normalized and weighted for FPL’s regional population distribution. FPL plans to continue the CRD program through December 31, 2020 which coincides with the year in which the next DSM Plan is expected to be approved. Expenditures for the six-year period of 2015-2020 will not exceed $1,500,000.</w:t>
      </w:r>
    </w:p>
    <w:p w:rsidR="00683F7F" w:rsidRPr="00683F7F" w:rsidRDefault="00683F7F" w:rsidP="00683F7F">
      <w:pPr>
        <w:spacing w:before="240"/>
        <w:ind w:firstLine="720"/>
        <w:jc w:val="both"/>
        <w:rPr>
          <w:rFonts w:ascii="Arial" w:hAnsi="Arial"/>
          <w:b/>
          <w:i/>
        </w:rPr>
      </w:pPr>
      <w:r w:rsidRPr="00683F7F">
        <w:rPr>
          <w:rFonts w:ascii="Arial" w:hAnsi="Arial"/>
          <w:b/>
          <w:i/>
        </w:rPr>
        <w:t>Cogeneration &amp; Small Power Production</w:t>
      </w:r>
    </w:p>
    <w:p w:rsidR="00683F7F" w:rsidRPr="00683F7F" w:rsidRDefault="00683F7F" w:rsidP="00683F7F">
      <w:pPr>
        <w:spacing w:after="240"/>
        <w:jc w:val="both"/>
      </w:pPr>
      <w:r w:rsidRPr="00683F7F">
        <w:t>This program was established to recover the administrative costs through the Energy Conservation Cost Recovery (ECCR) clause for executing FPL’s obligations to facilities defined as Qualifying Facilities (QF) under the Public Utility Regulatory Policies Act of 1978 (PURPA) and PSC rules. Such costs are associated with interconnection; installation, inspection, calibration and maintenance of meters; administration of power billing and accounting processes; PSC reporting; contract negotiation; contract administration, including legal expenses resulting from litigation; facility verifications and audits; communications; operating coordination; and problem resolution. This program does not include the costs associated with FPL payments for firm capacity and energy and for as-available energy made to QFs pursuant to FPL’s tariff which are recoverable by FPL through the PSC’s periodic review of its fuel and purchased power costs.</w:t>
      </w:r>
    </w:p>
    <w:p w:rsidR="00683F7F" w:rsidRPr="00683F7F" w:rsidRDefault="00683F7F" w:rsidP="00683F7F">
      <w:pPr>
        <w:ind w:firstLine="720"/>
        <w:jc w:val="both"/>
        <w:rPr>
          <w:rFonts w:ascii="Arial" w:hAnsi="Arial"/>
          <w:b/>
          <w:i/>
        </w:rPr>
      </w:pPr>
      <w:r w:rsidRPr="00683F7F">
        <w:rPr>
          <w:rFonts w:ascii="Arial" w:hAnsi="Arial"/>
          <w:b/>
          <w:i/>
        </w:rPr>
        <w:t>Solar Pilot Programs</w:t>
      </w:r>
    </w:p>
    <w:p w:rsidR="00683F7F" w:rsidRPr="00683F7F" w:rsidRDefault="00683F7F" w:rsidP="00683F7F">
      <w:pPr>
        <w:jc w:val="both"/>
        <w:rPr>
          <w:color w:val="000000"/>
        </w:rPr>
      </w:pPr>
      <w:r w:rsidRPr="00683F7F">
        <w:rPr>
          <w:color w:val="000000"/>
        </w:rPr>
        <w:t>These programs are part of a five year pilot program approved by the Commission in FPSC Order No. PSC-11-0079-PAA-EG. The first four years of the five year pilot were completed under the 2010 DSM Plan. The programs described below are offered only during 2015, the last year of the five year pilot.</w:t>
      </w:r>
    </w:p>
    <w:p w:rsidR="00683F7F" w:rsidRPr="00683F7F" w:rsidRDefault="00683F7F" w:rsidP="00683F7F">
      <w:pPr>
        <w:spacing w:before="240"/>
        <w:ind w:firstLine="720"/>
        <w:jc w:val="both"/>
        <w:rPr>
          <w:rFonts w:ascii="Arial" w:hAnsi="Arial"/>
          <w:b/>
          <w:i/>
        </w:rPr>
      </w:pPr>
      <w:r w:rsidRPr="00683F7F">
        <w:rPr>
          <w:rFonts w:ascii="Arial" w:hAnsi="Arial"/>
          <w:b/>
          <w:i/>
        </w:rPr>
        <w:t>Residential Photovoltaic Pilot</w:t>
      </w:r>
    </w:p>
    <w:p w:rsidR="00683F7F" w:rsidRPr="00683F7F" w:rsidRDefault="00683F7F" w:rsidP="00683F7F">
      <w:pPr>
        <w:jc w:val="both"/>
      </w:pPr>
      <w:r w:rsidRPr="00683F7F">
        <w:t xml:space="preserve">This pilot encourages residential customers to install photovoltaic (PV) systems. The primary components of eligible PV systems are: panels; mounting hardware; electric inverter; cabling; a disconnect device for systems greater than 10 kWDC; and optional backup battery systems. </w:t>
      </w:r>
    </w:p>
    <w:p w:rsidR="00683F7F" w:rsidRDefault="00683F7F" w:rsidP="00683F7F">
      <w:pPr>
        <w:spacing w:after="240"/>
        <w:ind w:left="720"/>
        <w:contextualSpacing/>
        <w:jc w:val="both"/>
        <w:rPr>
          <w:rFonts w:eastAsia="Calibri"/>
        </w:rPr>
      </w:pPr>
      <w:r w:rsidRPr="00683F7F">
        <w:rPr>
          <w:rFonts w:ascii="Calibri" w:eastAsia="Calibri" w:hAnsi="Calibri"/>
        </w:rPr>
        <w:t xml:space="preserve">• </w:t>
      </w:r>
      <w:r w:rsidRPr="00683F7F">
        <w:rPr>
          <w:rFonts w:eastAsia="Calibri"/>
        </w:rPr>
        <w:t>$2.00 per WDC installed, with a maximum incentive of $20,000.</w:t>
      </w:r>
    </w:p>
    <w:p w:rsidR="00683F7F" w:rsidRPr="00683F7F" w:rsidRDefault="00683F7F" w:rsidP="00683F7F">
      <w:pPr>
        <w:spacing w:after="240"/>
        <w:ind w:left="720"/>
        <w:contextualSpacing/>
        <w:jc w:val="both"/>
        <w:rPr>
          <w:rFonts w:eastAsia="Calibri"/>
        </w:rPr>
      </w:pPr>
    </w:p>
    <w:p w:rsidR="00683F7F" w:rsidRPr="00683F7F" w:rsidRDefault="00683F7F" w:rsidP="00683F7F">
      <w:pPr>
        <w:spacing w:before="240"/>
        <w:ind w:firstLine="720"/>
        <w:jc w:val="both"/>
        <w:rPr>
          <w:rFonts w:ascii="Arial" w:hAnsi="Arial"/>
          <w:b/>
          <w:i/>
        </w:rPr>
      </w:pPr>
      <w:r w:rsidRPr="00683F7F">
        <w:rPr>
          <w:rFonts w:ascii="Arial" w:hAnsi="Arial"/>
          <w:b/>
          <w:i/>
        </w:rPr>
        <w:t>Business Photovoltaic Pilot</w:t>
      </w:r>
    </w:p>
    <w:p w:rsidR="00683F7F" w:rsidRPr="00683F7F" w:rsidRDefault="00683F7F" w:rsidP="00683F7F">
      <w:pPr>
        <w:jc w:val="both"/>
      </w:pPr>
      <w:r w:rsidRPr="00683F7F">
        <w:t xml:space="preserve">This pilot encourages business customers to install PV systems. The primary components of eligible PV systems are: panels; mounting hardware; electric inverter; cabling; a disconnect device for systems greater than 10 kWDC; and optional backup battery systems. </w:t>
      </w:r>
    </w:p>
    <w:p w:rsidR="00683F7F" w:rsidRPr="00683F7F" w:rsidRDefault="00683F7F" w:rsidP="00683F7F">
      <w:pPr>
        <w:spacing w:after="240"/>
        <w:ind w:left="720"/>
        <w:contextualSpacing/>
        <w:jc w:val="both"/>
        <w:rPr>
          <w:rFonts w:eastAsia="Calibri"/>
        </w:rPr>
      </w:pPr>
      <w:r w:rsidRPr="00683F7F">
        <w:rPr>
          <w:rFonts w:ascii="Calibri" w:eastAsia="Calibri" w:hAnsi="Calibri"/>
        </w:rPr>
        <w:t xml:space="preserve">• </w:t>
      </w:r>
      <w:r w:rsidRPr="00683F7F">
        <w:rPr>
          <w:rFonts w:eastAsia="Calibri"/>
        </w:rPr>
        <w:t>$2.00 per WDC installed up to 10 kWDC.</w:t>
      </w:r>
    </w:p>
    <w:p w:rsidR="00683F7F" w:rsidRPr="00683F7F" w:rsidRDefault="00683F7F" w:rsidP="00683F7F">
      <w:pPr>
        <w:spacing w:after="240"/>
        <w:ind w:left="720"/>
        <w:contextualSpacing/>
        <w:jc w:val="both"/>
        <w:rPr>
          <w:rFonts w:eastAsia="Calibri"/>
        </w:rPr>
      </w:pPr>
      <w:r w:rsidRPr="00683F7F">
        <w:rPr>
          <w:rFonts w:ascii="Calibri" w:eastAsia="Calibri" w:hAnsi="Calibri"/>
        </w:rPr>
        <w:lastRenderedPageBreak/>
        <w:t xml:space="preserve">• </w:t>
      </w:r>
      <w:r w:rsidRPr="00683F7F">
        <w:rPr>
          <w:rFonts w:eastAsia="Calibri"/>
        </w:rPr>
        <w:t>$1.50 per WDC installed above 10 kWDC but below 25 kWDC.</w:t>
      </w:r>
    </w:p>
    <w:p w:rsidR="00683F7F" w:rsidRDefault="00683F7F" w:rsidP="00683F7F">
      <w:pPr>
        <w:spacing w:after="240"/>
        <w:ind w:left="720"/>
        <w:contextualSpacing/>
        <w:jc w:val="both"/>
        <w:rPr>
          <w:rFonts w:eastAsia="Calibri"/>
        </w:rPr>
      </w:pPr>
      <w:r w:rsidRPr="00683F7F">
        <w:rPr>
          <w:rFonts w:ascii="Calibri" w:eastAsia="Calibri" w:hAnsi="Calibri"/>
        </w:rPr>
        <w:t xml:space="preserve">• </w:t>
      </w:r>
      <w:r w:rsidRPr="00683F7F">
        <w:rPr>
          <w:rFonts w:eastAsia="Calibri"/>
        </w:rPr>
        <w:t>$1.00 per WDC installed above 25 kWDC with a maximum incentive of $50,000.</w:t>
      </w:r>
    </w:p>
    <w:p w:rsidR="00683F7F" w:rsidRPr="00683F7F" w:rsidRDefault="00683F7F" w:rsidP="00683F7F">
      <w:pPr>
        <w:spacing w:after="240"/>
        <w:ind w:left="720"/>
        <w:contextualSpacing/>
        <w:jc w:val="both"/>
        <w:rPr>
          <w:rFonts w:eastAsia="Calibri"/>
        </w:rPr>
      </w:pPr>
    </w:p>
    <w:p w:rsidR="00683F7F" w:rsidRPr="00683F7F" w:rsidRDefault="00683F7F" w:rsidP="00683F7F">
      <w:pPr>
        <w:spacing w:before="240"/>
        <w:ind w:firstLine="720"/>
        <w:jc w:val="both"/>
        <w:rPr>
          <w:rFonts w:ascii="Arial" w:hAnsi="Arial"/>
          <w:b/>
          <w:i/>
        </w:rPr>
      </w:pPr>
      <w:r w:rsidRPr="00683F7F">
        <w:rPr>
          <w:rFonts w:ascii="Arial" w:hAnsi="Arial"/>
          <w:b/>
          <w:i/>
        </w:rPr>
        <w:t>Business Photovoltaic for Schools Pilot</w:t>
      </w:r>
    </w:p>
    <w:p w:rsidR="00683F7F" w:rsidRPr="00683F7F" w:rsidRDefault="00683F7F" w:rsidP="00683F7F">
      <w:pPr>
        <w:jc w:val="both"/>
      </w:pPr>
      <w:r w:rsidRPr="00683F7F">
        <w:t xml:space="preserve">This pilot installs PV systems at public schools with accompanying educational materials for children to demonstrate the practical application of PV. The primary components of these systems are: panels; mounting hardware; electric inverter; cabling; controls; and sensors. FPL will also provide: classroom educational materials; system monitoring and comparison tools; and training for teachers and facility personnel. </w:t>
      </w:r>
    </w:p>
    <w:p w:rsidR="00683F7F" w:rsidRPr="00683F7F" w:rsidRDefault="00683F7F" w:rsidP="00683F7F">
      <w:pPr>
        <w:ind w:left="720"/>
        <w:contextualSpacing/>
        <w:jc w:val="both"/>
        <w:rPr>
          <w:rFonts w:eastAsia="Calibri"/>
        </w:rPr>
      </w:pPr>
      <w:r w:rsidRPr="00683F7F">
        <w:rPr>
          <w:rFonts w:ascii="Calibri" w:eastAsia="Calibri" w:hAnsi="Calibri"/>
        </w:rPr>
        <w:t xml:space="preserve">• </w:t>
      </w:r>
      <w:r w:rsidRPr="00683F7F">
        <w:rPr>
          <w:rFonts w:eastAsia="Calibri"/>
        </w:rPr>
        <w:t>Installed PV system provided for free to participating school.</w:t>
      </w:r>
    </w:p>
    <w:p w:rsidR="00683F7F" w:rsidRPr="00683F7F" w:rsidRDefault="00683F7F" w:rsidP="00683F7F">
      <w:pPr>
        <w:spacing w:before="240"/>
        <w:ind w:firstLine="720"/>
        <w:jc w:val="both"/>
        <w:rPr>
          <w:rFonts w:ascii="Arial" w:hAnsi="Arial"/>
          <w:b/>
          <w:i/>
        </w:rPr>
      </w:pPr>
      <w:r w:rsidRPr="00683F7F">
        <w:rPr>
          <w:rFonts w:ascii="Arial" w:hAnsi="Arial"/>
          <w:b/>
          <w:i/>
        </w:rPr>
        <w:t>Residential Solar Water Heating Pilot</w:t>
      </w:r>
    </w:p>
    <w:p w:rsidR="00683F7F" w:rsidRPr="00683F7F" w:rsidRDefault="00683F7F" w:rsidP="00683F7F">
      <w:pPr>
        <w:jc w:val="both"/>
      </w:pPr>
      <w:r w:rsidRPr="00683F7F">
        <w:t xml:space="preserve">This pilot encourages residential customers to install solar water heating systems. The primary components of an eligible solar water heating system are: a solar collector, mounting hardware, a water retention tank, associated plumbing, controls, and sensors. </w:t>
      </w:r>
    </w:p>
    <w:p w:rsidR="00683F7F" w:rsidRDefault="00683F7F" w:rsidP="00683F7F">
      <w:pPr>
        <w:spacing w:after="240"/>
        <w:ind w:left="720"/>
        <w:contextualSpacing/>
        <w:jc w:val="both"/>
        <w:rPr>
          <w:rFonts w:eastAsia="Calibri"/>
        </w:rPr>
      </w:pPr>
      <w:r w:rsidRPr="00683F7F">
        <w:rPr>
          <w:rFonts w:ascii="Calibri" w:eastAsia="Calibri" w:hAnsi="Calibri"/>
        </w:rPr>
        <w:t xml:space="preserve">• </w:t>
      </w:r>
      <w:r w:rsidRPr="00683F7F">
        <w:rPr>
          <w:rFonts w:eastAsia="Calibri"/>
        </w:rPr>
        <w:t>$1,000 per participant.</w:t>
      </w:r>
    </w:p>
    <w:p w:rsidR="00683F7F" w:rsidRPr="00683F7F" w:rsidRDefault="00683F7F" w:rsidP="00683F7F">
      <w:pPr>
        <w:spacing w:after="240"/>
        <w:ind w:left="720"/>
        <w:contextualSpacing/>
        <w:jc w:val="both"/>
        <w:rPr>
          <w:rFonts w:eastAsia="Calibri"/>
        </w:rPr>
      </w:pPr>
    </w:p>
    <w:p w:rsidR="00683F7F" w:rsidRPr="00683F7F" w:rsidRDefault="00683F7F" w:rsidP="00683F7F">
      <w:pPr>
        <w:spacing w:before="240"/>
        <w:ind w:firstLine="720"/>
        <w:jc w:val="both"/>
        <w:rPr>
          <w:rFonts w:ascii="Arial" w:hAnsi="Arial"/>
          <w:b/>
          <w:i/>
        </w:rPr>
      </w:pPr>
      <w:r w:rsidRPr="00683F7F">
        <w:rPr>
          <w:rFonts w:ascii="Arial" w:hAnsi="Arial"/>
          <w:b/>
          <w:i/>
        </w:rPr>
        <w:t>Residential Solar Water Heating (Low Income New Construction) Pilot</w:t>
      </w:r>
    </w:p>
    <w:p w:rsidR="00683F7F" w:rsidRPr="00683F7F" w:rsidRDefault="00683F7F" w:rsidP="00683F7F">
      <w:pPr>
        <w:jc w:val="both"/>
      </w:pPr>
      <w:r w:rsidRPr="00683F7F">
        <w:t xml:space="preserve">This pilot encourages installation of solar water heating systems in low income housing. The primary components of an eligible solar water heating system are: a solar collector, mounting hardware, a water retention tank, associated plumbing, controls, and sensors. </w:t>
      </w:r>
    </w:p>
    <w:p w:rsidR="00683F7F" w:rsidRPr="00683F7F" w:rsidRDefault="00683F7F" w:rsidP="00683F7F">
      <w:pPr>
        <w:ind w:left="720"/>
        <w:contextualSpacing/>
        <w:jc w:val="both"/>
        <w:rPr>
          <w:rFonts w:eastAsia="Calibri"/>
        </w:rPr>
      </w:pPr>
      <w:r w:rsidRPr="00683F7F">
        <w:rPr>
          <w:rFonts w:ascii="Calibri" w:eastAsia="Calibri" w:hAnsi="Calibri"/>
        </w:rPr>
        <w:t xml:space="preserve">• </w:t>
      </w:r>
      <w:r w:rsidRPr="00683F7F">
        <w:rPr>
          <w:rFonts w:eastAsia="Calibri"/>
        </w:rPr>
        <w:t>Installed solar water heating system provided for free to participant.</w:t>
      </w:r>
    </w:p>
    <w:p w:rsidR="00683F7F" w:rsidRPr="00683F7F" w:rsidRDefault="00683F7F" w:rsidP="00683F7F">
      <w:pPr>
        <w:spacing w:before="240"/>
        <w:ind w:firstLine="720"/>
        <w:jc w:val="both"/>
        <w:rPr>
          <w:rFonts w:ascii="Arial" w:hAnsi="Arial"/>
          <w:b/>
          <w:i/>
        </w:rPr>
      </w:pPr>
      <w:r w:rsidRPr="00683F7F">
        <w:rPr>
          <w:rFonts w:ascii="Arial" w:hAnsi="Arial"/>
          <w:b/>
          <w:i/>
        </w:rPr>
        <w:t>Business Solar Water Heating Pilot</w:t>
      </w:r>
    </w:p>
    <w:p w:rsidR="00683F7F" w:rsidRPr="00683F7F" w:rsidRDefault="00683F7F" w:rsidP="00683F7F">
      <w:pPr>
        <w:jc w:val="both"/>
      </w:pPr>
      <w:r w:rsidRPr="00683F7F">
        <w:t xml:space="preserve">This pilot encourages business customers to install solar water heating systems. The primary components of an eligible solar water heating system are: a solar collector, mounting hardware, a water retention tank, associated plumbing, controls, and sensors. </w:t>
      </w:r>
    </w:p>
    <w:p w:rsidR="00683F7F" w:rsidRDefault="00683F7F" w:rsidP="00683F7F">
      <w:pPr>
        <w:spacing w:after="240"/>
        <w:ind w:left="720"/>
        <w:contextualSpacing/>
        <w:jc w:val="both"/>
        <w:rPr>
          <w:rFonts w:eastAsia="Calibri"/>
        </w:rPr>
      </w:pPr>
      <w:r w:rsidRPr="00683F7F">
        <w:rPr>
          <w:rFonts w:ascii="Calibri" w:eastAsia="Calibri" w:hAnsi="Calibri"/>
        </w:rPr>
        <w:t xml:space="preserve">• </w:t>
      </w:r>
      <w:r w:rsidRPr="00683F7F">
        <w:rPr>
          <w:rFonts w:eastAsia="Calibri"/>
        </w:rPr>
        <w:t>$30 per 1,000 BTU/day maximum rated output with a maximum incentive of $50,000.</w:t>
      </w:r>
    </w:p>
    <w:p w:rsidR="00683F7F" w:rsidRPr="00683F7F" w:rsidRDefault="00683F7F" w:rsidP="00683F7F">
      <w:pPr>
        <w:spacing w:after="240"/>
        <w:ind w:left="720"/>
        <w:contextualSpacing/>
        <w:jc w:val="both"/>
        <w:rPr>
          <w:rFonts w:eastAsia="Calibri"/>
        </w:rPr>
      </w:pPr>
    </w:p>
    <w:p w:rsidR="00683F7F" w:rsidRPr="00683F7F" w:rsidRDefault="00683F7F" w:rsidP="00683F7F">
      <w:pPr>
        <w:spacing w:before="240"/>
        <w:ind w:firstLine="720"/>
        <w:jc w:val="both"/>
        <w:rPr>
          <w:rFonts w:ascii="Arial" w:hAnsi="Arial"/>
          <w:b/>
          <w:i/>
        </w:rPr>
      </w:pPr>
      <w:r w:rsidRPr="00683F7F">
        <w:rPr>
          <w:rFonts w:ascii="Arial" w:hAnsi="Arial"/>
          <w:b/>
          <w:i/>
        </w:rPr>
        <w:t>Renewable Research and Demonstration Pilot</w:t>
      </w:r>
    </w:p>
    <w:p w:rsidR="00683F7F" w:rsidRPr="00683F7F" w:rsidRDefault="00683F7F" w:rsidP="00683F7F">
      <w:pPr>
        <w:spacing w:after="240"/>
        <w:jc w:val="both"/>
      </w:pPr>
      <w:r w:rsidRPr="00683F7F">
        <w:t>This pilot involves three activities: (1) conducting demonstration projects at public non-profit and government facilities to increase public, governmental and contractor awareness of renewables; (2) evaluating emerging renewable technologies (e.g., PV-power pool pumps) to understand and quantify the effectiveness and their applications; and (3) educational grants for universities and technical centers to host contractor training classes and seminars. For 2015, FPL’s focus will be on demonstration projects. FPL identifies appropriate public non-profit or governmental facilities which can host the installation of PV systems with accompanying instructional displays and educational materials. Examples of installations FPL has completed are the Museum of Discovery and Science in Fort Lauderdale, the Kennedy Space Center Visitor Center in Cape Canaveral, and the Imaginarium Science Museum in Fort Myers. The placement of these systems, along with associated monitoring equipment to encourage interaction, serves as a working demonstration for those visiting the host facility.</w:t>
      </w:r>
    </w:p>
    <w:p w:rsidR="00683F7F" w:rsidRPr="00683F7F" w:rsidRDefault="00683F7F" w:rsidP="00683F7F">
      <w:pPr>
        <w:pStyle w:val="OrderBody"/>
      </w:pPr>
    </w:p>
    <w:sectPr w:rsidR="00683F7F" w:rsidRPr="00683F7F" w:rsidSect="00C560E3">
      <w:headerReference w:type="default" r:id="rId1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769" w:rsidRDefault="00827769">
      <w:r>
        <w:separator/>
      </w:r>
    </w:p>
  </w:endnote>
  <w:endnote w:type="continuationSeparator" w:id="0">
    <w:p w:rsidR="00827769" w:rsidRDefault="0082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69" w:rsidRDefault="00827769">
    <w:pPr>
      <w:pStyle w:val="Footer"/>
    </w:pPr>
  </w:p>
  <w:p w:rsidR="00827769" w:rsidRDefault="00827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769" w:rsidRDefault="00827769">
      <w:r>
        <w:separator/>
      </w:r>
    </w:p>
  </w:footnote>
  <w:footnote w:type="continuationSeparator" w:id="0">
    <w:p w:rsidR="00827769" w:rsidRDefault="00827769">
      <w:r>
        <w:continuationSeparator/>
      </w:r>
    </w:p>
  </w:footnote>
  <w:footnote w:id="1">
    <w:p w:rsidR="00827769" w:rsidRDefault="00827769" w:rsidP="00683F7F">
      <w:pPr>
        <w:pStyle w:val="FootnoteText"/>
      </w:pPr>
      <w:r w:rsidRPr="005F4FF7">
        <w:rPr>
          <w:rStyle w:val="FootnoteReference"/>
        </w:rPr>
        <w:footnoteRef/>
      </w:r>
      <w:r w:rsidRPr="005F4FF7">
        <w:t xml:space="preserve"> FPSC Order No</w:t>
      </w:r>
      <w:r>
        <w:t xml:space="preserve">. </w:t>
      </w:r>
      <w:r w:rsidRPr="005F4FF7">
        <w:t>PSC-14-0696-FOF-EU, issued December 16, 2014</w:t>
      </w:r>
      <w:r>
        <w:t xml:space="preserve">, in </w:t>
      </w:r>
      <w:r w:rsidRPr="005F4FF7">
        <w:t xml:space="preserve">Docket No. 130199-EI, </w:t>
      </w:r>
      <w:r w:rsidRPr="00C76125">
        <w:rPr>
          <w:u w:val="single"/>
        </w:rPr>
        <w:t>In re: Commission review of numeric conservation goals (Florida Power &amp; Light Company)</w:t>
      </w:r>
      <w:r w:rsidRPr="005F4FF7">
        <w:t>.</w:t>
      </w:r>
    </w:p>
  </w:footnote>
  <w:footnote w:id="2">
    <w:p w:rsidR="00827769" w:rsidRDefault="00827769" w:rsidP="00683F7F">
      <w:pPr>
        <w:pStyle w:val="FootnoteText"/>
      </w:pPr>
      <w:r w:rsidRPr="005F4FF7">
        <w:rPr>
          <w:rStyle w:val="FootnoteReference"/>
        </w:rPr>
        <w:footnoteRef/>
      </w:r>
      <w:r w:rsidRPr="005F4FF7">
        <w:t xml:space="preserve"> FPSC Order No</w:t>
      </w:r>
      <w:r>
        <w:t>. PS</w:t>
      </w:r>
      <w:r w:rsidRPr="005F4FF7">
        <w:t>C-03-0322-TRF-EG, issued March 6, 2003</w:t>
      </w:r>
      <w:r>
        <w:t xml:space="preserve">, in </w:t>
      </w:r>
      <w:r w:rsidRPr="005F4FF7">
        <w:t xml:space="preserve">Docket No. 030051-EG, </w:t>
      </w:r>
      <w:r w:rsidRPr="00C76125">
        <w:rPr>
          <w:u w:val="single"/>
        </w:rPr>
        <w:t>In re: Petition for modification of residential on-call program and for approval of residential load control pilot project by Florida Power &amp; Light Company</w:t>
      </w:r>
      <w:r w:rsidRPr="005F4FF7">
        <w:t>.</w:t>
      </w:r>
    </w:p>
  </w:footnote>
  <w:footnote w:id="3">
    <w:p w:rsidR="00827769" w:rsidRDefault="00827769" w:rsidP="00683F7F">
      <w:pPr>
        <w:pStyle w:val="FootnoteText"/>
      </w:pPr>
      <w:r>
        <w:rPr>
          <w:rStyle w:val="FootnoteReference"/>
        </w:rPr>
        <w:footnoteRef/>
      </w:r>
      <w:r>
        <w:t xml:space="preserve"> </w:t>
      </w:r>
      <w:r w:rsidRPr="005F4FF7">
        <w:t>FPSC Order No</w:t>
      </w:r>
      <w:r>
        <w:t>. 22176</w:t>
      </w:r>
      <w:r w:rsidRPr="005F4FF7">
        <w:t>,</w:t>
      </w:r>
      <w:r>
        <w:t xml:space="preserve"> </w:t>
      </w:r>
      <w:r w:rsidRPr="005F4FF7">
        <w:t xml:space="preserve">issued </w:t>
      </w:r>
      <w:r>
        <w:t>November 14, 1989, in</w:t>
      </w:r>
      <w:r w:rsidRPr="005F4FF7">
        <w:t xml:space="preserve"> Docket No. </w:t>
      </w:r>
      <w:r>
        <w:t>890737-PU</w:t>
      </w:r>
      <w:r w:rsidRPr="005F4FF7">
        <w:t xml:space="preserve">, </w:t>
      </w:r>
      <w:r w:rsidRPr="00C76125">
        <w:rPr>
          <w:u w:val="single"/>
        </w:rPr>
        <w:t>In re: Implementation of Section 366.80-.85, Florida Statutes, Conservation Activities of Electric and Natural Gas Utilities</w:t>
      </w:r>
      <w:r>
        <w:t>.</w:t>
      </w:r>
    </w:p>
  </w:footnote>
  <w:footnote w:id="4">
    <w:p w:rsidR="00827769" w:rsidRDefault="00827769" w:rsidP="00683F7F">
      <w:pPr>
        <w:pStyle w:val="FootnoteText"/>
      </w:pPr>
      <w:r>
        <w:rPr>
          <w:rStyle w:val="FootnoteReference"/>
        </w:rPr>
        <w:footnoteRef/>
      </w:r>
      <w:r>
        <w:t xml:space="preserve"> The Residential Load Management (On Call) program refers to the open Residential Load Control tariff, rate schedule RLP, and not the Residential On Call tariff.</w:t>
      </w:r>
    </w:p>
  </w:footnote>
  <w:footnote w:id="5">
    <w:p w:rsidR="00827769" w:rsidRDefault="00827769" w:rsidP="00683F7F">
      <w:pPr>
        <w:pStyle w:val="FootnoteText"/>
      </w:pPr>
      <w:r>
        <w:rPr>
          <w:rStyle w:val="FootnoteReference"/>
        </w:rPr>
        <w:footnoteRef/>
      </w:r>
      <w:r>
        <w:t xml:space="preserve"> FPL’s Pilot Programs are set to expire on December 31, 2015, </w:t>
      </w:r>
      <w:r w:rsidRPr="005F4FF7">
        <w:t xml:space="preserve">pursuant to </w:t>
      </w:r>
      <w:r>
        <w:t xml:space="preserve">FPSC </w:t>
      </w:r>
      <w:r w:rsidRPr="005F4FF7">
        <w:t>Order No.</w:t>
      </w:r>
      <w:r>
        <w:t xml:space="preserve"> PSC-14-0632-FOF-EG,</w:t>
      </w:r>
      <w:r w:rsidRPr="00C76125">
        <w:t xml:space="preserve"> </w:t>
      </w:r>
      <w:r>
        <w:t xml:space="preserve">issued on October 31, 2014, in Docket No. 14002-EG, </w:t>
      </w:r>
      <w:r w:rsidRPr="001702EA">
        <w:rPr>
          <w:u w:val="single"/>
        </w:rPr>
        <w:t>In re: Energy conservation cost recovery clause</w:t>
      </w:r>
      <w:r>
        <w:rPr>
          <w:u w:val="single"/>
        </w:rPr>
        <w:t>.</w:t>
      </w:r>
    </w:p>
  </w:footnote>
  <w:footnote w:id="6">
    <w:p w:rsidR="00827769" w:rsidRDefault="00827769" w:rsidP="00683F7F">
      <w:pPr>
        <w:pStyle w:val="FootnoteText"/>
      </w:pPr>
      <w:r>
        <w:rPr>
          <w:rStyle w:val="FootnoteReference"/>
        </w:rPr>
        <w:footnoteRef/>
      </w:r>
      <w:r>
        <w:t xml:space="preserve"> Totals may not equal due to rounding.</w:t>
      </w:r>
    </w:p>
  </w:footnote>
  <w:footnote w:id="7">
    <w:p w:rsidR="00827769" w:rsidRDefault="00827769" w:rsidP="00683F7F">
      <w:pPr>
        <w:pStyle w:val="FootnoteText"/>
      </w:pPr>
      <w:r>
        <w:rPr>
          <w:rStyle w:val="FootnoteReference"/>
        </w:rPr>
        <w:footnoteRef/>
      </w:r>
      <w:r>
        <w:t xml:space="preserve"> Totals may not equal due to rounding.</w:t>
      </w:r>
    </w:p>
  </w:footnote>
  <w:footnote w:id="8">
    <w:p w:rsidR="00827769" w:rsidRDefault="00827769" w:rsidP="00683F7F">
      <w:pPr>
        <w:pStyle w:val="FootnoteText"/>
      </w:pPr>
      <w:r>
        <w:rPr>
          <w:rStyle w:val="FootnoteReference"/>
        </w:rPr>
        <w:footnoteRef/>
      </w:r>
      <w:r>
        <w:t xml:space="preserve"> </w:t>
      </w:r>
      <w:r w:rsidRPr="005F4FF7">
        <w:t>FPSC</w:t>
      </w:r>
      <w:r>
        <w:t xml:space="preserve"> </w:t>
      </w:r>
      <w:r w:rsidRPr="005F4FF7">
        <w:t>Order No</w:t>
      </w:r>
      <w:r>
        <w:t xml:space="preserve">. </w:t>
      </w:r>
      <w:r w:rsidRPr="005F4FF7">
        <w:t xml:space="preserve">PSC-14-0696-FOF-EU, </w:t>
      </w:r>
      <w:r>
        <w:t xml:space="preserve">issued December 16, 2014, in </w:t>
      </w:r>
      <w:r w:rsidRPr="005F4FF7">
        <w:t>Docket No. 130</w:t>
      </w:r>
      <w:r>
        <w:t>199</w:t>
      </w:r>
      <w:r w:rsidRPr="005F4FF7">
        <w:t xml:space="preserve">-EI, </w:t>
      </w:r>
      <w:r w:rsidRPr="007C102B">
        <w:rPr>
          <w:u w:val="single"/>
        </w:rPr>
        <w:t>In re: Commission review of numeric conservation goals (Florida Power &amp; Light Company)</w:t>
      </w:r>
      <w:r w:rsidRPr="005F4FF7">
        <w:t>.</w:t>
      </w:r>
    </w:p>
  </w:footnote>
  <w:footnote w:id="9">
    <w:p w:rsidR="00827769" w:rsidRDefault="00827769" w:rsidP="00683F7F">
      <w:pPr>
        <w:pStyle w:val="FootnoteText"/>
      </w:pPr>
      <w:r>
        <w:rPr>
          <w:rStyle w:val="FootnoteReference"/>
        </w:rPr>
        <w:footnoteRef/>
      </w:r>
      <w:r>
        <w:t xml:space="preserve"> </w:t>
      </w:r>
      <w:r w:rsidRPr="005F4FF7">
        <w:t>FPSC</w:t>
      </w:r>
      <w:r>
        <w:t xml:space="preserve"> </w:t>
      </w:r>
      <w:r w:rsidRPr="005F4FF7">
        <w:t>Order No</w:t>
      </w:r>
      <w:r>
        <w:t xml:space="preserve">. </w:t>
      </w:r>
      <w:r w:rsidRPr="005F4FF7">
        <w:t xml:space="preserve">PSC-14-0696-FOF-EU, </w:t>
      </w:r>
      <w:r>
        <w:t xml:space="preserve">issued December 16, 2014, in </w:t>
      </w:r>
      <w:r w:rsidRPr="005F4FF7">
        <w:t>Docket No. 130</w:t>
      </w:r>
      <w:r>
        <w:t>199</w:t>
      </w:r>
      <w:r w:rsidRPr="005F4FF7">
        <w:t xml:space="preserve">-EI, </w:t>
      </w:r>
      <w:r w:rsidRPr="007C102B">
        <w:rPr>
          <w:u w:val="single"/>
        </w:rPr>
        <w:t>In re: Commission review of numeric conservation goals (Florida Power &amp; Light Company)</w:t>
      </w:r>
      <w:r>
        <w:t>, p. 27.</w:t>
      </w:r>
    </w:p>
  </w:footnote>
  <w:footnote w:id="10">
    <w:p w:rsidR="00827769" w:rsidRPr="007C7BAB" w:rsidRDefault="00827769" w:rsidP="00683F7F">
      <w:pPr>
        <w:pStyle w:val="FootnoteText"/>
        <w:rPr>
          <w:u w:val="single"/>
        </w:rPr>
      </w:pPr>
      <w:r>
        <w:rPr>
          <w:rStyle w:val="FootnoteReference"/>
        </w:rPr>
        <w:footnoteRef/>
      </w:r>
      <w:r>
        <w:t xml:space="preserve"> FPSC Order No. </w:t>
      </w:r>
      <w:r w:rsidRPr="008F0DBA">
        <w:t>PSC-03-0322-TRF-EG</w:t>
      </w:r>
      <w:r>
        <w:t xml:space="preserve">, </w:t>
      </w:r>
      <w:r w:rsidRPr="008F0DBA">
        <w:t>issued March 6, 2003</w:t>
      </w:r>
      <w:r>
        <w:t>, in Docket N</w:t>
      </w:r>
      <w:r w:rsidRPr="008F0DBA">
        <w:t xml:space="preserve">o. 030051-EG, </w:t>
      </w:r>
      <w:r w:rsidRPr="007C7BAB">
        <w:rPr>
          <w:u w:val="single"/>
        </w:rPr>
        <w:t>In re: Petition for modification of Residential On Call Program and for approval of Residential Load Control Pilot Project by Florida Power and Light Company.</w:t>
      </w:r>
    </w:p>
  </w:footnote>
  <w:footnote w:id="11">
    <w:p w:rsidR="00827769" w:rsidRDefault="00827769" w:rsidP="00683F7F">
      <w:pPr>
        <w:pStyle w:val="FootnoteText"/>
      </w:pPr>
      <w:r>
        <w:rPr>
          <w:rStyle w:val="FootnoteReference"/>
        </w:rPr>
        <w:footnoteRef/>
      </w:r>
      <w:r>
        <w:t xml:space="preserve"> FPSC Order No. PSC-07-0720-TRF-EG, issued September 4, 2007, in Docket No. 070350-EG, </w:t>
      </w:r>
      <w:r w:rsidRPr="007C7BAB">
        <w:rPr>
          <w:u w:val="single"/>
        </w:rPr>
        <w:t>In re: Petition for approval of residential load control program by Florida Power &amp; Light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69" w:rsidRDefault="00827769">
    <w:pPr>
      <w:pStyle w:val="OrderHeader"/>
    </w:pPr>
    <w:r>
      <w:t xml:space="preserve">ORDER NO. </w:t>
    </w:r>
    <w:fldSimple w:instr=" REF OrderNo0331 ">
      <w:r w:rsidR="000C54A5">
        <w:t>PSC-15-0331-PAA-EG</w:t>
      </w:r>
    </w:fldSimple>
  </w:p>
  <w:p w:rsidR="00827769" w:rsidRDefault="00827769">
    <w:pPr>
      <w:pStyle w:val="OrderHeader"/>
    </w:pPr>
    <w:bookmarkStart w:id="11" w:name="HeaderDocketNo"/>
    <w:bookmarkEnd w:id="11"/>
    <w:r>
      <w:t>DOCKET NO. 150085-EG</w:t>
    </w:r>
  </w:p>
  <w:p w:rsidR="00827769" w:rsidRDefault="0082776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54A5">
      <w:rPr>
        <w:rStyle w:val="PageNumber"/>
        <w:noProof/>
      </w:rPr>
      <w:t>2</w:t>
    </w:r>
    <w:r>
      <w:rPr>
        <w:rStyle w:val="PageNumber"/>
      </w:rPr>
      <w:fldChar w:fldCharType="end"/>
    </w:r>
  </w:p>
  <w:p w:rsidR="00827769" w:rsidRDefault="00827769">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69" w:rsidRDefault="00827769" w:rsidP="00683F7F">
    <w:pPr>
      <w:pStyle w:val="OrderHeader"/>
    </w:pPr>
    <w:r>
      <w:t xml:space="preserve">ORDER NO. </w:t>
    </w:r>
    <w:r w:rsidR="000C54A5">
      <w:fldChar w:fldCharType="begin"/>
    </w:r>
    <w:r w:rsidR="000C54A5">
      <w:instrText xml:space="preserve"> REF OrderNo0331 </w:instrText>
    </w:r>
    <w:r w:rsidR="000C54A5">
      <w:fldChar w:fldCharType="separate"/>
    </w:r>
    <w:r w:rsidR="000C54A5">
      <w:t>PSC-15-0331-PAA-EG</w:t>
    </w:r>
    <w:r w:rsidR="000C54A5">
      <w:fldChar w:fldCharType="end"/>
    </w:r>
    <w:r>
      <w:tab/>
    </w:r>
    <w:r>
      <w:tab/>
      <w:t>ATTACHMENT A</w:t>
    </w:r>
  </w:p>
  <w:p w:rsidR="00827769" w:rsidRDefault="00827769" w:rsidP="00683F7F">
    <w:pPr>
      <w:pStyle w:val="OrderHeader"/>
    </w:pPr>
    <w:r>
      <w:t>DOCKET NO. 150085-EG</w:t>
    </w:r>
  </w:p>
  <w:p w:rsidR="00827769" w:rsidRDefault="00827769" w:rsidP="00683F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54A5">
      <w:rPr>
        <w:rStyle w:val="PageNumber"/>
        <w:noProof/>
      </w:rPr>
      <w:t>19</w:t>
    </w:r>
    <w:r>
      <w:rPr>
        <w:rStyle w:val="PageNumber"/>
      </w:rPr>
      <w:fldChar w:fldCharType="end"/>
    </w:r>
  </w:p>
  <w:p w:rsidR="00827769" w:rsidRDefault="00827769">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2796634"/>
    <w:multiLevelType w:val="hybridMultilevel"/>
    <w:tmpl w:val="568CB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A015EFC"/>
    <w:multiLevelType w:val="hybridMultilevel"/>
    <w:tmpl w:val="7650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91F1C"/>
    <w:multiLevelType w:val="hybridMultilevel"/>
    <w:tmpl w:val="69848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85-EG"/>
  </w:docVars>
  <w:rsids>
    <w:rsidRoot w:val="00683F7F"/>
    <w:rsid w:val="000022B8"/>
    <w:rsid w:val="00053AB9"/>
    <w:rsid w:val="00056229"/>
    <w:rsid w:val="00065FC2"/>
    <w:rsid w:val="00090AFC"/>
    <w:rsid w:val="000C54A5"/>
    <w:rsid w:val="000D06E8"/>
    <w:rsid w:val="000E344D"/>
    <w:rsid w:val="000F3B2C"/>
    <w:rsid w:val="000F7BE3"/>
    <w:rsid w:val="00116AD3"/>
    <w:rsid w:val="00126593"/>
    <w:rsid w:val="00142A96"/>
    <w:rsid w:val="00187E32"/>
    <w:rsid w:val="00194E81"/>
    <w:rsid w:val="001A33C9"/>
    <w:rsid w:val="001D008A"/>
    <w:rsid w:val="001D0F1A"/>
    <w:rsid w:val="001D5089"/>
    <w:rsid w:val="002002ED"/>
    <w:rsid w:val="0022721A"/>
    <w:rsid w:val="00230BB9"/>
    <w:rsid w:val="002A11AC"/>
    <w:rsid w:val="002A6F30"/>
    <w:rsid w:val="002D7D15"/>
    <w:rsid w:val="00303FDE"/>
    <w:rsid w:val="003140E8"/>
    <w:rsid w:val="003231C7"/>
    <w:rsid w:val="00331ED0"/>
    <w:rsid w:val="0035495B"/>
    <w:rsid w:val="003744F5"/>
    <w:rsid w:val="00390DD8"/>
    <w:rsid w:val="003917C5"/>
    <w:rsid w:val="00394DC6"/>
    <w:rsid w:val="00397C3E"/>
    <w:rsid w:val="003D4CCA"/>
    <w:rsid w:val="003D6416"/>
    <w:rsid w:val="003D7F27"/>
    <w:rsid w:val="003E1D48"/>
    <w:rsid w:val="004138D4"/>
    <w:rsid w:val="00447E61"/>
    <w:rsid w:val="00457DC7"/>
    <w:rsid w:val="00472BCC"/>
    <w:rsid w:val="004A25CD"/>
    <w:rsid w:val="004A26CC"/>
    <w:rsid w:val="004A2EE0"/>
    <w:rsid w:val="004B2108"/>
    <w:rsid w:val="004B3A2B"/>
    <w:rsid w:val="004D2D1B"/>
    <w:rsid w:val="004F2DDE"/>
    <w:rsid w:val="0050097F"/>
    <w:rsid w:val="00514B1F"/>
    <w:rsid w:val="00556A10"/>
    <w:rsid w:val="005963C2"/>
    <w:rsid w:val="005A27B0"/>
    <w:rsid w:val="005B45F7"/>
    <w:rsid w:val="005B63EA"/>
    <w:rsid w:val="005F447C"/>
    <w:rsid w:val="00660774"/>
    <w:rsid w:val="00665CC7"/>
    <w:rsid w:val="00683F7F"/>
    <w:rsid w:val="006A0BF3"/>
    <w:rsid w:val="006B0DA6"/>
    <w:rsid w:val="006C547E"/>
    <w:rsid w:val="00704C5D"/>
    <w:rsid w:val="00733B6B"/>
    <w:rsid w:val="0076170F"/>
    <w:rsid w:val="0076669C"/>
    <w:rsid w:val="007865E9"/>
    <w:rsid w:val="00792383"/>
    <w:rsid w:val="007C102B"/>
    <w:rsid w:val="007C7BAB"/>
    <w:rsid w:val="007D3D20"/>
    <w:rsid w:val="007E3AFD"/>
    <w:rsid w:val="00804E7A"/>
    <w:rsid w:val="00805FBB"/>
    <w:rsid w:val="008169A4"/>
    <w:rsid w:val="00827769"/>
    <w:rsid w:val="008278FE"/>
    <w:rsid w:val="00832598"/>
    <w:rsid w:val="0083397E"/>
    <w:rsid w:val="0083534B"/>
    <w:rsid w:val="00863A66"/>
    <w:rsid w:val="00874429"/>
    <w:rsid w:val="00883D9A"/>
    <w:rsid w:val="008919EF"/>
    <w:rsid w:val="008C6A5B"/>
    <w:rsid w:val="008E26A5"/>
    <w:rsid w:val="008E42D2"/>
    <w:rsid w:val="008F3621"/>
    <w:rsid w:val="009040EE"/>
    <w:rsid w:val="009057FD"/>
    <w:rsid w:val="00922A7F"/>
    <w:rsid w:val="00923A5E"/>
    <w:rsid w:val="009658D8"/>
    <w:rsid w:val="00994100"/>
    <w:rsid w:val="009B3566"/>
    <w:rsid w:val="009D4C29"/>
    <w:rsid w:val="009F3F8A"/>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3977"/>
    <w:rsid w:val="00B86EF0"/>
    <w:rsid w:val="00B97900"/>
    <w:rsid w:val="00BA44A8"/>
    <w:rsid w:val="00BF6691"/>
    <w:rsid w:val="00C028FC"/>
    <w:rsid w:val="00C560E3"/>
    <w:rsid w:val="00C66692"/>
    <w:rsid w:val="00C76125"/>
    <w:rsid w:val="00C91123"/>
    <w:rsid w:val="00CA71FF"/>
    <w:rsid w:val="00CB5276"/>
    <w:rsid w:val="00CB68D7"/>
    <w:rsid w:val="00CC7E68"/>
    <w:rsid w:val="00CD7132"/>
    <w:rsid w:val="00D30B48"/>
    <w:rsid w:val="00D46FAA"/>
    <w:rsid w:val="00D57BB2"/>
    <w:rsid w:val="00D8560E"/>
    <w:rsid w:val="00D8758F"/>
    <w:rsid w:val="00DB35D5"/>
    <w:rsid w:val="00DC1D94"/>
    <w:rsid w:val="00DE057F"/>
    <w:rsid w:val="00DE2082"/>
    <w:rsid w:val="00DE2289"/>
    <w:rsid w:val="00E04410"/>
    <w:rsid w:val="00E11351"/>
    <w:rsid w:val="00E365F9"/>
    <w:rsid w:val="00EA172C"/>
    <w:rsid w:val="00EA259B"/>
    <w:rsid w:val="00EA35A3"/>
    <w:rsid w:val="00EA3E6A"/>
    <w:rsid w:val="00EB18EF"/>
    <w:rsid w:val="00EE17DF"/>
    <w:rsid w:val="00EF4621"/>
    <w:rsid w:val="00F277B6"/>
    <w:rsid w:val="00F54380"/>
    <w:rsid w:val="00F54B47"/>
    <w:rsid w:val="00FA1370"/>
    <w:rsid w:val="00FA6EFD"/>
    <w:rsid w:val="00FB58E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683F7F"/>
    <w:pPr>
      <w:spacing w:before="120"/>
      <w:ind w:left="1008" w:hanging="1008"/>
      <w:jc w:val="both"/>
    </w:pPr>
  </w:style>
  <w:style w:type="paragraph" w:customStyle="1" w:styleId="MastHeadPSC">
    <w:name w:val="MastHead PSC"/>
    <w:basedOn w:val="Normal"/>
    <w:next w:val="Normal"/>
    <w:rsid w:val="00683F7F"/>
    <w:pPr>
      <w:jc w:val="center"/>
    </w:pPr>
    <w:rPr>
      <w:b/>
      <w:sz w:val="48"/>
      <w:szCs w:val="48"/>
    </w:rPr>
  </w:style>
  <w:style w:type="paragraph" w:customStyle="1" w:styleId="MastHeadMemorandum">
    <w:name w:val="MastHead Memorandum"/>
    <w:basedOn w:val="Normal"/>
    <w:next w:val="Normal"/>
    <w:rsid w:val="00683F7F"/>
    <w:pPr>
      <w:jc w:val="center"/>
    </w:pPr>
    <w:rPr>
      <w:b/>
      <w:sz w:val="28"/>
      <w:szCs w:val="28"/>
    </w:rPr>
  </w:style>
  <w:style w:type="paragraph" w:customStyle="1" w:styleId="MastHeadAddress">
    <w:name w:val="MastHead Address"/>
    <w:basedOn w:val="Normal"/>
    <w:next w:val="Normal"/>
    <w:rsid w:val="00683F7F"/>
    <w:pPr>
      <w:spacing w:after="200"/>
      <w:jc w:val="center"/>
    </w:pPr>
    <w:rPr>
      <w:b/>
      <w:smallCaps/>
      <w:sz w:val="20"/>
      <w:szCs w:val="20"/>
    </w:rPr>
  </w:style>
  <w:style w:type="paragraph" w:customStyle="1" w:styleId="MastHeadState">
    <w:name w:val="MastHead State"/>
    <w:basedOn w:val="Normal"/>
    <w:next w:val="Normal"/>
    <w:rsid w:val="00683F7F"/>
    <w:pPr>
      <w:jc w:val="center"/>
    </w:pPr>
    <w:rPr>
      <w:b/>
      <w:sz w:val="28"/>
      <w:szCs w:val="28"/>
    </w:rPr>
  </w:style>
  <w:style w:type="paragraph" w:customStyle="1" w:styleId="MemoHeading">
    <w:name w:val="Memo Heading"/>
    <w:basedOn w:val="Normal"/>
    <w:next w:val="Normal"/>
    <w:rsid w:val="00683F7F"/>
    <w:pPr>
      <w:jc w:val="both"/>
    </w:pPr>
  </w:style>
  <w:style w:type="paragraph" w:customStyle="1" w:styleId="BlockText5">
    <w:name w:val="Block Text .5&quot;"/>
    <w:basedOn w:val="Normal"/>
    <w:rsid w:val="00683F7F"/>
    <w:pPr>
      <w:spacing w:after="120"/>
      <w:ind w:left="720" w:right="720"/>
    </w:pPr>
  </w:style>
  <w:style w:type="paragraph" w:customStyle="1" w:styleId="BlockText1">
    <w:name w:val="Block Text 1&quot;"/>
    <w:basedOn w:val="Normal"/>
    <w:rsid w:val="00683F7F"/>
    <w:pPr>
      <w:spacing w:after="120"/>
      <w:ind w:left="1440" w:right="1440"/>
    </w:pPr>
  </w:style>
  <w:style w:type="paragraph" w:customStyle="1" w:styleId="BlockText15">
    <w:name w:val="Block Text 1.5&quot;"/>
    <w:basedOn w:val="Normal"/>
    <w:rsid w:val="00683F7F"/>
    <w:pPr>
      <w:spacing w:after="120"/>
      <w:ind w:left="2160" w:right="2160"/>
    </w:pPr>
  </w:style>
  <w:style w:type="paragraph" w:customStyle="1" w:styleId="IssueHeading">
    <w:name w:val="Issue Heading"/>
    <w:basedOn w:val="Heading1"/>
    <w:next w:val="BodyText"/>
    <w:link w:val="IssueHeadingChar"/>
    <w:rsid w:val="00683F7F"/>
    <w:pPr>
      <w:keepNext w:val="0"/>
    </w:pPr>
    <w:rPr>
      <w:rFonts w:ascii="Arial" w:hAnsi="Arial"/>
    </w:rPr>
  </w:style>
  <w:style w:type="character" w:customStyle="1" w:styleId="IssueHeadingChar">
    <w:name w:val="Issue Heading Char"/>
    <w:link w:val="IssueHeading"/>
    <w:rsid w:val="00683F7F"/>
    <w:rPr>
      <w:rFonts w:ascii="Arial" w:hAnsi="Arial" w:cs="Arial"/>
      <w:bCs/>
      <w:kern w:val="32"/>
      <w:sz w:val="24"/>
      <w:szCs w:val="32"/>
    </w:rPr>
  </w:style>
  <w:style w:type="paragraph" w:customStyle="1" w:styleId="MemoHeadingRe">
    <w:name w:val="Memo Heading Re"/>
    <w:basedOn w:val="MemoHeading"/>
    <w:rsid w:val="00683F7F"/>
    <w:pPr>
      <w:tabs>
        <w:tab w:val="left" w:pos="2520"/>
        <w:tab w:val="left" w:pos="2736"/>
      </w:tabs>
    </w:pPr>
  </w:style>
  <w:style w:type="paragraph" w:styleId="TOC1">
    <w:name w:val="toc 1"/>
    <w:basedOn w:val="Normal"/>
    <w:next w:val="Normal"/>
    <w:rsid w:val="00683F7F"/>
    <w:pPr>
      <w:tabs>
        <w:tab w:val="left" w:pos="864"/>
        <w:tab w:val="right" w:leader="dot" w:pos="9360"/>
      </w:tabs>
      <w:ind w:left="864" w:right="360" w:hanging="864"/>
    </w:pPr>
  </w:style>
  <w:style w:type="character" w:styleId="Hyperlink">
    <w:name w:val="Hyperlink"/>
    <w:rsid w:val="00683F7F"/>
    <w:rPr>
      <w:color w:val="0000FF"/>
      <w:u w:val="single"/>
    </w:rPr>
  </w:style>
  <w:style w:type="paragraph" w:customStyle="1" w:styleId="RecommendationMajorSectionHeading">
    <w:name w:val="Recommendation Major Section Heading"/>
    <w:basedOn w:val="Heading1"/>
    <w:next w:val="BodyText"/>
    <w:rsid w:val="00683F7F"/>
    <w:pPr>
      <w:jc w:val="center"/>
    </w:pPr>
    <w:rPr>
      <w:rFonts w:ascii="Arial" w:hAnsi="Arial"/>
      <w:b/>
    </w:rPr>
  </w:style>
  <w:style w:type="paragraph" w:customStyle="1" w:styleId="IssueSubsectionHeading">
    <w:name w:val="Issue Subsection Heading"/>
    <w:basedOn w:val="Heading2"/>
    <w:next w:val="BodyText"/>
    <w:link w:val="IssueSubsectionHeadingChar"/>
    <w:rsid w:val="00683F7F"/>
    <w:pPr>
      <w:keepNext w:val="0"/>
    </w:pPr>
    <w:rPr>
      <w:rFonts w:ascii="Arial" w:hAnsi="Arial"/>
    </w:rPr>
  </w:style>
  <w:style w:type="character" w:customStyle="1" w:styleId="IssueSubsectionHeadingChar">
    <w:name w:val="Issue Subsection Heading Char"/>
    <w:link w:val="IssueSubsectionHeading"/>
    <w:rsid w:val="00683F7F"/>
    <w:rPr>
      <w:rFonts w:ascii="Arial" w:hAnsi="Arial" w:cs="Arial"/>
      <w:bCs/>
      <w:iCs/>
      <w:sz w:val="24"/>
      <w:szCs w:val="28"/>
    </w:rPr>
  </w:style>
  <w:style w:type="paragraph" w:customStyle="1" w:styleId="RecommendationHeading">
    <w:name w:val="Recommendation Heading"/>
    <w:basedOn w:val="Heading1"/>
    <w:next w:val="BodyText"/>
    <w:rsid w:val="00683F7F"/>
    <w:pPr>
      <w:keepNext w:val="0"/>
      <w:jc w:val="center"/>
    </w:pPr>
    <w:rPr>
      <w:b/>
      <w:u w:val="single"/>
    </w:rPr>
  </w:style>
  <w:style w:type="paragraph" w:customStyle="1" w:styleId="DiscussionofIssues">
    <w:name w:val="Discussion of Issues"/>
    <w:basedOn w:val="RecommendationMajorSectionHeading"/>
    <w:next w:val="BodyText"/>
    <w:rsid w:val="00683F7F"/>
    <w:pPr>
      <w:spacing w:after="0"/>
    </w:pPr>
  </w:style>
  <w:style w:type="paragraph" w:customStyle="1" w:styleId="TOCColumnHeadings">
    <w:name w:val="TOC Column Headings"/>
    <w:basedOn w:val="Normal"/>
    <w:rsid w:val="00683F7F"/>
    <w:pPr>
      <w:tabs>
        <w:tab w:val="left" w:pos="864"/>
        <w:tab w:val="right" w:pos="9360"/>
      </w:tabs>
    </w:pPr>
    <w:rPr>
      <w:u w:val="words"/>
    </w:rPr>
  </w:style>
  <w:style w:type="table" w:customStyle="1" w:styleId="TableMasthead">
    <w:name w:val="Table Masthead"/>
    <w:basedOn w:val="TableGrid"/>
    <w:rsid w:val="00683F7F"/>
    <w:tblPr/>
  </w:style>
  <w:style w:type="paragraph" w:customStyle="1" w:styleId="StyleHeading1BoldUnderline">
    <w:name w:val="Style Heading 1 + Bold Underline"/>
    <w:basedOn w:val="Heading1"/>
    <w:link w:val="StyleHeading1BoldUnderlineChar"/>
    <w:rsid w:val="00683F7F"/>
    <w:pPr>
      <w:keepNext w:val="0"/>
      <w:spacing w:before="240"/>
    </w:pPr>
    <w:rPr>
      <w:b/>
      <w:u w:val="single"/>
    </w:rPr>
  </w:style>
  <w:style w:type="character" w:customStyle="1" w:styleId="StyleHeading1BoldUnderlineChar">
    <w:name w:val="Style Heading 1 + Bold Underline Char"/>
    <w:link w:val="StyleHeading1BoldUnderline"/>
    <w:rsid w:val="00683F7F"/>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683F7F"/>
    <w:pPr>
      <w:jc w:val="left"/>
    </w:pPr>
  </w:style>
  <w:style w:type="paragraph" w:styleId="TOC3">
    <w:name w:val="toc 3"/>
    <w:basedOn w:val="TOC2"/>
    <w:next w:val="Normal"/>
    <w:rsid w:val="00683F7F"/>
    <w:pPr>
      <w:tabs>
        <w:tab w:val="clear" w:pos="1152"/>
        <w:tab w:val="left" w:pos="1584"/>
      </w:tabs>
      <w:ind w:left="1584" w:hanging="432"/>
    </w:pPr>
  </w:style>
  <w:style w:type="paragraph" w:styleId="TOC2">
    <w:name w:val="toc 2"/>
    <w:basedOn w:val="TOC1"/>
    <w:next w:val="Normal"/>
    <w:rsid w:val="00683F7F"/>
    <w:pPr>
      <w:tabs>
        <w:tab w:val="clear" w:pos="864"/>
        <w:tab w:val="left" w:pos="1152"/>
      </w:tabs>
      <w:ind w:left="1152" w:hanging="288"/>
    </w:pPr>
  </w:style>
  <w:style w:type="paragraph" w:styleId="DocumentMap">
    <w:name w:val="Document Map"/>
    <w:basedOn w:val="Normal"/>
    <w:link w:val="DocumentMapChar"/>
    <w:rsid w:val="00683F7F"/>
    <w:pPr>
      <w:shd w:val="clear" w:color="auto" w:fill="000080"/>
    </w:pPr>
    <w:rPr>
      <w:rFonts w:ascii="Tahoma" w:hAnsi="Tahoma" w:cs="Tahoma"/>
    </w:rPr>
  </w:style>
  <w:style w:type="character" w:customStyle="1" w:styleId="DocumentMapChar">
    <w:name w:val="Document Map Char"/>
    <w:basedOn w:val="DefaultParagraphFont"/>
    <w:link w:val="DocumentMap"/>
    <w:rsid w:val="00683F7F"/>
    <w:rPr>
      <w:rFonts w:ascii="Tahoma" w:hAnsi="Tahoma" w:cs="Tahoma"/>
      <w:sz w:val="24"/>
      <w:szCs w:val="24"/>
      <w:shd w:val="clear" w:color="auto" w:fill="000080"/>
    </w:rPr>
  </w:style>
  <w:style w:type="paragraph" w:styleId="BalloonText">
    <w:name w:val="Balloon Text"/>
    <w:basedOn w:val="Normal"/>
    <w:link w:val="BalloonTextChar"/>
    <w:rsid w:val="00683F7F"/>
    <w:rPr>
      <w:rFonts w:ascii="Tahoma" w:hAnsi="Tahoma" w:cs="Tahoma"/>
      <w:sz w:val="16"/>
      <w:szCs w:val="16"/>
    </w:rPr>
  </w:style>
  <w:style w:type="character" w:customStyle="1" w:styleId="BalloonTextChar">
    <w:name w:val="Balloon Text Char"/>
    <w:basedOn w:val="DefaultParagraphFont"/>
    <w:link w:val="BalloonText"/>
    <w:rsid w:val="00683F7F"/>
    <w:rPr>
      <w:rFonts w:ascii="Tahoma" w:hAnsi="Tahoma" w:cs="Tahoma"/>
      <w:sz w:val="16"/>
      <w:szCs w:val="16"/>
    </w:rPr>
  </w:style>
  <w:style w:type="paragraph" w:styleId="BlockText">
    <w:name w:val="Block Text"/>
    <w:basedOn w:val="Normal"/>
    <w:rsid w:val="00683F7F"/>
    <w:pPr>
      <w:spacing w:after="120"/>
      <w:ind w:left="1440" w:right="1440"/>
    </w:pPr>
  </w:style>
  <w:style w:type="paragraph" w:styleId="BodyText2">
    <w:name w:val="Body Text 2"/>
    <w:basedOn w:val="Normal"/>
    <w:link w:val="BodyText2Char"/>
    <w:rsid w:val="00683F7F"/>
    <w:pPr>
      <w:spacing w:after="120" w:line="480" w:lineRule="auto"/>
    </w:pPr>
  </w:style>
  <w:style w:type="character" w:customStyle="1" w:styleId="BodyText2Char">
    <w:name w:val="Body Text 2 Char"/>
    <w:basedOn w:val="DefaultParagraphFont"/>
    <w:link w:val="BodyText2"/>
    <w:rsid w:val="00683F7F"/>
    <w:rPr>
      <w:sz w:val="24"/>
      <w:szCs w:val="24"/>
    </w:rPr>
  </w:style>
  <w:style w:type="paragraph" w:styleId="BodyText3">
    <w:name w:val="Body Text 3"/>
    <w:basedOn w:val="Normal"/>
    <w:link w:val="BodyText3Char"/>
    <w:rsid w:val="00683F7F"/>
    <w:pPr>
      <w:spacing w:after="120"/>
    </w:pPr>
    <w:rPr>
      <w:sz w:val="16"/>
      <w:szCs w:val="16"/>
    </w:rPr>
  </w:style>
  <w:style w:type="character" w:customStyle="1" w:styleId="BodyText3Char">
    <w:name w:val="Body Text 3 Char"/>
    <w:basedOn w:val="DefaultParagraphFont"/>
    <w:link w:val="BodyText3"/>
    <w:rsid w:val="00683F7F"/>
    <w:rPr>
      <w:sz w:val="16"/>
      <w:szCs w:val="16"/>
    </w:rPr>
  </w:style>
  <w:style w:type="paragraph" w:styleId="BodyTextFirstIndent">
    <w:name w:val="Body Text First Indent"/>
    <w:basedOn w:val="BodyText"/>
    <w:link w:val="BodyTextFirstIndentChar"/>
    <w:rsid w:val="00683F7F"/>
    <w:pPr>
      <w:ind w:firstLine="210"/>
    </w:pPr>
  </w:style>
  <w:style w:type="character" w:customStyle="1" w:styleId="BodyTextFirstIndentChar">
    <w:name w:val="Body Text First Indent Char"/>
    <w:basedOn w:val="BodyTextChar"/>
    <w:link w:val="BodyTextFirstIndent"/>
    <w:rsid w:val="00683F7F"/>
    <w:rPr>
      <w:sz w:val="24"/>
      <w:szCs w:val="24"/>
    </w:rPr>
  </w:style>
  <w:style w:type="paragraph" w:styleId="BodyTextIndent">
    <w:name w:val="Body Text Indent"/>
    <w:basedOn w:val="Normal"/>
    <w:link w:val="BodyTextIndentChar"/>
    <w:rsid w:val="00683F7F"/>
    <w:pPr>
      <w:spacing w:after="120"/>
      <w:ind w:left="360"/>
    </w:pPr>
  </w:style>
  <w:style w:type="character" w:customStyle="1" w:styleId="BodyTextIndentChar">
    <w:name w:val="Body Text Indent Char"/>
    <w:basedOn w:val="DefaultParagraphFont"/>
    <w:link w:val="BodyTextIndent"/>
    <w:rsid w:val="00683F7F"/>
    <w:rPr>
      <w:sz w:val="24"/>
      <w:szCs w:val="24"/>
    </w:rPr>
  </w:style>
  <w:style w:type="paragraph" w:styleId="BodyTextFirstIndent2">
    <w:name w:val="Body Text First Indent 2"/>
    <w:basedOn w:val="BodyTextIndent"/>
    <w:link w:val="BodyTextFirstIndent2Char"/>
    <w:rsid w:val="00683F7F"/>
    <w:pPr>
      <w:ind w:firstLine="210"/>
    </w:pPr>
  </w:style>
  <w:style w:type="character" w:customStyle="1" w:styleId="BodyTextFirstIndent2Char">
    <w:name w:val="Body Text First Indent 2 Char"/>
    <w:basedOn w:val="BodyTextIndentChar"/>
    <w:link w:val="BodyTextFirstIndent2"/>
    <w:rsid w:val="00683F7F"/>
    <w:rPr>
      <w:sz w:val="24"/>
      <w:szCs w:val="24"/>
    </w:rPr>
  </w:style>
  <w:style w:type="paragraph" w:styleId="BodyTextIndent2">
    <w:name w:val="Body Text Indent 2"/>
    <w:basedOn w:val="Normal"/>
    <w:link w:val="BodyTextIndent2Char"/>
    <w:rsid w:val="00683F7F"/>
    <w:pPr>
      <w:spacing w:after="120" w:line="480" w:lineRule="auto"/>
      <w:ind w:left="360"/>
    </w:pPr>
  </w:style>
  <w:style w:type="character" w:customStyle="1" w:styleId="BodyTextIndent2Char">
    <w:name w:val="Body Text Indent 2 Char"/>
    <w:basedOn w:val="DefaultParagraphFont"/>
    <w:link w:val="BodyTextIndent2"/>
    <w:rsid w:val="00683F7F"/>
    <w:rPr>
      <w:sz w:val="24"/>
      <w:szCs w:val="24"/>
    </w:rPr>
  </w:style>
  <w:style w:type="paragraph" w:styleId="BodyTextIndent3">
    <w:name w:val="Body Text Indent 3"/>
    <w:basedOn w:val="Normal"/>
    <w:link w:val="BodyTextIndent3Char"/>
    <w:rsid w:val="00683F7F"/>
    <w:pPr>
      <w:spacing w:after="120"/>
      <w:ind w:left="360"/>
    </w:pPr>
    <w:rPr>
      <w:sz w:val="16"/>
      <w:szCs w:val="16"/>
    </w:rPr>
  </w:style>
  <w:style w:type="character" w:customStyle="1" w:styleId="BodyTextIndent3Char">
    <w:name w:val="Body Text Indent 3 Char"/>
    <w:basedOn w:val="DefaultParagraphFont"/>
    <w:link w:val="BodyTextIndent3"/>
    <w:rsid w:val="00683F7F"/>
    <w:rPr>
      <w:sz w:val="16"/>
      <w:szCs w:val="16"/>
    </w:rPr>
  </w:style>
  <w:style w:type="paragraph" w:styleId="Caption">
    <w:name w:val="caption"/>
    <w:basedOn w:val="Normal"/>
    <w:next w:val="Normal"/>
    <w:qFormat/>
    <w:rsid w:val="00683F7F"/>
    <w:pPr>
      <w:spacing w:before="120" w:after="120"/>
    </w:pPr>
    <w:rPr>
      <w:b/>
      <w:bCs/>
      <w:sz w:val="20"/>
      <w:szCs w:val="20"/>
    </w:rPr>
  </w:style>
  <w:style w:type="paragraph" w:styleId="Closing">
    <w:name w:val="Closing"/>
    <w:basedOn w:val="Normal"/>
    <w:link w:val="ClosingChar"/>
    <w:rsid w:val="00683F7F"/>
    <w:pPr>
      <w:ind w:left="4320"/>
    </w:pPr>
  </w:style>
  <w:style w:type="character" w:customStyle="1" w:styleId="ClosingChar">
    <w:name w:val="Closing Char"/>
    <w:basedOn w:val="DefaultParagraphFont"/>
    <w:link w:val="Closing"/>
    <w:rsid w:val="00683F7F"/>
    <w:rPr>
      <w:sz w:val="24"/>
      <w:szCs w:val="24"/>
    </w:rPr>
  </w:style>
  <w:style w:type="paragraph" w:styleId="CommentText">
    <w:name w:val="annotation text"/>
    <w:basedOn w:val="Normal"/>
    <w:link w:val="CommentTextChar"/>
    <w:rsid w:val="00683F7F"/>
    <w:rPr>
      <w:sz w:val="20"/>
      <w:szCs w:val="20"/>
    </w:rPr>
  </w:style>
  <w:style w:type="character" w:customStyle="1" w:styleId="CommentTextChar">
    <w:name w:val="Comment Text Char"/>
    <w:basedOn w:val="DefaultParagraphFont"/>
    <w:link w:val="CommentText"/>
    <w:rsid w:val="00683F7F"/>
  </w:style>
  <w:style w:type="paragraph" w:styleId="CommentSubject">
    <w:name w:val="annotation subject"/>
    <w:basedOn w:val="CommentText"/>
    <w:next w:val="CommentText"/>
    <w:link w:val="CommentSubjectChar"/>
    <w:rsid w:val="00683F7F"/>
    <w:rPr>
      <w:b/>
      <w:bCs/>
    </w:rPr>
  </w:style>
  <w:style w:type="character" w:customStyle="1" w:styleId="CommentSubjectChar">
    <w:name w:val="Comment Subject Char"/>
    <w:basedOn w:val="CommentTextChar"/>
    <w:link w:val="CommentSubject"/>
    <w:rsid w:val="00683F7F"/>
    <w:rPr>
      <w:b/>
      <w:bCs/>
    </w:rPr>
  </w:style>
  <w:style w:type="paragraph" w:styleId="Date">
    <w:name w:val="Date"/>
    <w:basedOn w:val="Normal"/>
    <w:next w:val="Normal"/>
    <w:link w:val="DateChar"/>
    <w:rsid w:val="00683F7F"/>
  </w:style>
  <w:style w:type="character" w:customStyle="1" w:styleId="DateChar">
    <w:name w:val="Date Char"/>
    <w:basedOn w:val="DefaultParagraphFont"/>
    <w:link w:val="Date"/>
    <w:rsid w:val="00683F7F"/>
    <w:rPr>
      <w:sz w:val="24"/>
      <w:szCs w:val="24"/>
    </w:rPr>
  </w:style>
  <w:style w:type="paragraph" w:styleId="E-mailSignature">
    <w:name w:val="E-mail Signature"/>
    <w:basedOn w:val="Normal"/>
    <w:link w:val="E-mailSignatureChar"/>
    <w:rsid w:val="00683F7F"/>
  </w:style>
  <w:style w:type="character" w:customStyle="1" w:styleId="E-mailSignatureChar">
    <w:name w:val="E-mail Signature Char"/>
    <w:basedOn w:val="DefaultParagraphFont"/>
    <w:link w:val="E-mailSignature"/>
    <w:rsid w:val="00683F7F"/>
    <w:rPr>
      <w:sz w:val="24"/>
      <w:szCs w:val="24"/>
    </w:rPr>
  </w:style>
  <w:style w:type="paragraph" w:styleId="EndnoteText">
    <w:name w:val="endnote text"/>
    <w:basedOn w:val="Normal"/>
    <w:link w:val="EndnoteTextChar"/>
    <w:rsid w:val="00683F7F"/>
    <w:rPr>
      <w:sz w:val="20"/>
      <w:szCs w:val="20"/>
    </w:rPr>
  </w:style>
  <w:style w:type="character" w:customStyle="1" w:styleId="EndnoteTextChar">
    <w:name w:val="Endnote Text Char"/>
    <w:basedOn w:val="DefaultParagraphFont"/>
    <w:link w:val="EndnoteText"/>
    <w:rsid w:val="00683F7F"/>
  </w:style>
  <w:style w:type="paragraph" w:styleId="EnvelopeAddress">
    <w:name w:val="envelope address"/>
    <w:basedOn w:val="Normal"/>
    <w:rsid w:val="00683F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83F7F"/>
    <w:rPr>
      <w:rFonts w:ascii="Arial" w:hAnsi="Arial" w:cs="Arial"/>
      <w:sz w:val="20"/>
      <w:szCs w:val="20"/>
    </w:rPr>
  </w:style>
  <w:style w:type="paragraph" w:styleId="HTMLAddress">
    <w:name w:val="HTML Address"/>
    <w:basedOn w:val="Normal"/>
    <w:link w:val="HTMLAddressChar"/>
    <w:rsid w:val="00683F7F"/>
    <w:rPr>
      <w:i/>
      <w:iCs/>
    </w:rPr>
  </w:style>
  <w:style w:type="character" w:customStyle="1" w:styleId="HTMLAddressChar">
    <w:name w:val="HTML Address Char"/>
    <w:basedOn w:val="DefaultParagraphFont"/>
    <w:link w:val="HTMLAddress"/>
    <w:rsid w:val="00683F7F"/>
    <w:rPr>
      <w:i/>
      <w:iCs/>
      <w:sz w:val="24"/>
      <w:szCs w:val="24"/>
    </w:rPr>
  </w:style>
  <w:style w:type="paragraph" w:styleId="HTMLPreformatted">
    <w:name w:val="HTML Preformatted"/>
    <w:basedOn w:val="Normal"/>
    <w:link w:val="HTMLPreformattedChar"/>
    <w:rsid w:val="00683F7F"/>
    <w:rPr>
      <w:rFonts w:ascii="Courier New" w:hAnsi="Courier New" w:cs="Courier New"/>
      <w:sz w:val="20"/>
      <w:szCs w:val="20"/>
    </w:rPr>
  </w:style>
  <w:style w:type="character" w:customStyle="1" w:styleId="HTMLPreformattedChar">
    <w:name w:val="HTML Preformatted Char"/>
    <w:basedOn w:val="DefaultParagraphFont"/>
    <w:link w:val="HTMLPreformatted"/>
    <w:rsid w:val="00683F7F"/>
    <w:rPr>
      <w:rFonts w:ascii="Courier New" w:hAnsi="Courier New" w:cs="Courier New"/>
    </w:rPr>
  </w:style>
  <w:style w:type="paragraph" w:styleId="Index1">
    <w:name w:val="index 1"/>
    <w:basedOn w:val="Normal"/>
    <w:next w:val="Normal"/>
    <w:autoRedefine/>
    <w:rsid w:val="00683F7F"/>
    <w:pPr>
      <w:ind w:left="240" w:hanging="240"/>
    </w:pPr>
  </w:style>
  <w:style w:type="paragraph" w:styleId="Index2">
    <w:name w:val="index 2"/>
    <w:basedOn w:val="Normal"/>
    <w:next w:val="Normal"/>
    <w:autoRedefine/>
    <w:rsid w:val="00683F7F"/>
    <w:pPr>
      <w:ind w:left="480" w:hanging="240"/>
    </w:pPr>
  </w:style>
  <w:style w:type="paragraph" w:styleId="Index3">
    <w:name w:val="index 3"/>
    <w:basedOn w:val="Normal"/>
    <w:next w:val="Normal"/>
    <w:autoRedefine/>
    <w:rsid w:val="00683F7F"/>
    <w:pPr>
      <w:ind w:left="720" w:hanging="240"/>
    </w:pPr>
  </w:style>
  <w:style w:type="paragraph" w:styleId="Index4">
    <w:name w:val="index 4"/>
    <w:basedOn w:val="Normal"/>
    <w:next w:val="Normal"/>
    <w:autoRedefine/>
    <w:rsid w:val="00683F7F"/>
    <w:pPr>
      <w:ind w:left="960" w:hanging="240"/>
    </w:pPr>
  </w:style>
  <w:style w:type="paragraph" w:styleId="Index5">
    <w:name w:val="index 5"/>
    <w:basedOn w:val="Normal"/>
    <w:next w:val="Normal"/>
    <w:autoRedefine/>
    <w:rsid w:val="00683F7F"/>
    <w:pPr>
      <w:ind w:left="1200" w:hanging="240"/>
    </w:pPr>
  </w:style>
  <w:style w:type="paragraph" w:styleId="Index6">
    <w:name w:val="index 6"/>
    <w:basedOn w:val="Normal"/>
    <w:next w:val="Normal"/>
    <w:autoRedefine/>
    <w:rsid w:val="00683F7F"/>
    <w:pPr>
      <w:ind w:left="1440" w:hanging="240"/>
    </w:pPr>
  </w:style>
  <w:style w:type="paragraph" w:styleId="Index7">
    <w:name w:val="index 7"/>
    <w:basedOn w:val="Normal"/>
    <w:next w:val="Normal"/>
    <w:autoRedefine/>
    <w:rsid w:val="00683F7F"/>
    <w:pPr>
      <w:ind w:left="1680" w:hanging="240"/>
    </w:pPr>
  </w:style>
  <w:style w:type="paragraph" w:styleId="Index8">
    <w:name w:val="index 8"/>
    <w:basedOn w:val="Normal"/>
    <w:next w:val="Normal"/>
    <w:autoRedefine/>
    <w:rsid w:val="00683F7F"/>
    <w:pPr>
      <w:ind w:left="1920" w:hanging="240"/>
    </w:pPr>
  </w:style>
  <w:style w:type="paragraph" w:styleId="Index9">
    <w:name w:val="index 9"/>
    <w:basedOn w:val="Normal"/>
    <w:next w:val="Normal"/>
    <w:autoRedefine/>
    <w:rsid w:val="00683F7F"/>
    <w:pPr>
      <w:ind w:left="2160" w:hanging="240"/>
    </w:pPr>
  </w:style>
  <w:style w:type="paragraph" w:styleId="IndexHeading">
    <w:name w:val="index heading"/>
    <w:basedOn w:val="Normal"/>
    <w:next w:val="Index1"/>
    <w:rsid w:val="00683F7F"/>
    <w:rPr>
      <w:rFonts w:ascii="Arial" w:hAnsi="Arial" w:cs="Arial"/>
      <w:b/>
      <w:bCs/>
    </w:rPr>
  </w:style>
  <w:style w:type="paragraph" w:styleId="List">
    <w:name w:val="List"/>
    <w:basedOn w:val="Normal"/>
    <w:rsid w:val="00683F7F"/>
    <w:pPr>
      <w:ind w:left="360" w:hanging="360"/>
    </w:pPr>
  </w:style>
  <w:style w:type="paragraph" w:styleId="List2">
    <w:name w:val="List 2"/>
    <w:basedOn w:val="Normal"/>
    <w:rsid w:val="00683F7F"/>
    <w:pPr>
      <w:ind w:left="720" w:hanging="360"/>
    </w:pPr>
  </w:style>
  <w:style w:type="paragraph" w:styleId="List3">
    <w:name w:val="List 3"/>
    <w:basedOn w:val="Normal"/>
    <w:rsid w:val="00683F7F"/>
    <w:pPr>
      <w:ind w:left="1080" w:hanging="360"/>
    </w:pPr>
  </w:style>
  <w:style w:type="paragraph" w:styleId="List4">
    <w:name w:val="List 4"/>
    <w:basedOn w:val="Normal"/>
    <w:rsid w:val="00683F7F"/>
    <w:pPr>
      <w:ind w:left="1440" w:hanging="360"/>
    </w:pPr>
  </w:style>
  <w:style w:type="paragraph" w:styleId="List5">
    <w:name w:val="List 5"/>
    <w:basedOn w:val="Normal"/>
    <w:rsid w:val="00683F7F"/>
    <w:pPr>
      <w:ind w:left="1800" w:hanging="360"/>
    </w:pPr>
  </w:style>
  <w:style w:type="paragraph" w:styleId="ListBullet">
    <w:name w:val="List Bullet"/>
    <w:basedOn w:val="Normal"/>
    <w:autoRedefine/>
    <w:rsid w:val="00683F7F"/>
    <w:pPr>
      <w:tabs>
        <w:tab w:val="num" w:pos="360"/>
      </w:tabs>
      <w:ind w:left="360" w:hanging="360"/>
    </w:pPr>
  </w:style>
  <w:style w:type="paragraph" w:styleId="ListBullet2">
    <w:name w:val="List Bullet 2"/>
    <w:basedOn w:val="Normal"/>
    <w:autoRedefine/>
    <w:rsid w:val="00683F7F"/>
    <w:pPr>
      <w:tabs>
        <w:tab w:val="num" w:pos="720"/>
      </w:tabs>
      <w:ind w:left="720" w:hanging="360"/>
    </w:pPr>
  </w:style>
  <w:style w:type="paragraph" w:styleId="ListBullet3">
    <w:name w:val="List Bullet 3"/>
    <w:basedOn w:val="Normal"/>
    <w:autoRedefine/>
    <w:rsid w:val="00683F7F"/>
    <w:pPr>
      <w:tabs>
        <w:tab w:val="num" w:pos="1080"/>
      </w:tabs>
      <w:ind w:left="1080" w:hanging="360"/>
    </w:pPr>
  </w:style>
  <w:style w:type="paragraph" w:styleId="ListBullet4">
    <w:name w:val="List Bullet 4"/>
    <w:basedOn w:val="Normal"/>
    <w:autoRedefine/>
    <w:rsid w:val="00683F7F"/>
    <w:pPr>
      <w:tabs>
        <w:tab w:val="num" w:pos="1440"/>
      </w:tabs>
      <w:ind w:left="1440" w:hanging="360"/>
    </w:pPr>
  </w:style>
  <w:style w:type="paragraph" w:styleId="ListBullet5">
    <w:name w:val="List Bullet 5"/>
    <w:basedOn w:val="Normal"/>
    <w:autoRedefine/>
    <w:rsid w:val="00683F7F"/>
    <w:pPr>
      <w:tabs>
        <w:tab w:val="num" w:pos="1800"/>
      </w:tabs>
      <w:ind w:left="1800" w:hanging="360"/>
    </w:pPr>
  </w:style>
  <w:style w:type="paragraph" w:styleId="ListContinue">
    <w:name w:val="List Continue"/>
    <w:basedOn w:val="Normal"/>
    <w:rsid w:val="00683F7F"/>
    <w:pPr>
      <w:spacing w:after="120"/>
      <w:ind w:left="360"/>
    </w:pPr>
  </w:style>
  <w:style w:type="paragraph" w:styleId="ListContinue2">
    <w:name w:val="List Continue 2"/>
    <w:basedOn w:val="Normal"/>
    <w:rsid w:val="00683F7F"/>
    <w:pPr>
      <w:spacing w:after="120"/>
      <w:ind w:left="720"/>
    </w:pPr>
  </w:style>
  <w:style w:type="paragraph" w:styleId="ListContinue3">
    <w:name w:val="List Continue 3"/>
    <w:basedOn w:val="Normal"/>
    <w:rsid w:val="00683F7F"/>
    <w:pPr>
      <w:spacing w:after="120"/>
      <w:ind w:left="1080"/>
    </w:pPr>
  </w:style>
  <w:style w:type="paragraph" w:styleId="ListContinue4">
    <w:name w:val="List Continue 4"/>
    <w:basedOn w:val="Normal"/>
    <w:rsid w:val="00683F7F"/>
    <w:pPr>
      <w:spacing w:after="120"/>
      <w:ind w:left="1440"/>
    </w:pPr>
  </w:style>
  <w:style w:type="paragraph" w:styleId="ListContinue5">
    <w:name w:val="List Continue 5"/>
    <w:basedOn w:val="Normal"/>
    <w:rsid w:val="00683F7F"/>
    <w:pPr>
      <w:spacing w:after="120"/>
      <w:ind w:left="1800"/>
    </w:pPr>
  </w:style>
  <w:style w:type="paragraph" w:styleId="ListNumber">
    <w:name w:val="List Number"/>
    <w:basedOn w:val="Normal"/>
    <w:rsid w:val="00683F7F"/>
    <w:pPr>
      <w:tabs>
        <w:tab w:val="num" w:pos="360"/>
      </w:tabs>
      <w:ind w:left="360" w:hanging="360"/>
    </w:pPr>
  </w:style>
  <w:style w:type="paragraph" w:styleId="ListNumber2">
    <w:name w:val="List Number 2"/>
    <w:basedOn w:val="Normal"/>
    <w:rsid w:val="00683F7F"/>
    <w:pPr>
      <w:tabs>
        <w:tab w:val="num" w:pos="720"/>
      </w:tabs>
      <w:ind w:left="720" w:hanging="360"/>
    </w:pPr>
  </w:style>
  <w:style w:type="paragraph" w:styleId="ListNumber3">
    <w:name w:val="List Number 3"/>
    <w:basedOn w:val="Normal"/>
    <w:rsid w:val="00683F7F"/>
    <w:pPr>
      <w:tabs>
        <w:tab w:val="num" w:pos="1080"/>
      </w:tabs>
      <w:ind w:left="1080" w:hanging="360"/>
    </w:pPr>
  </w:style>
  <w:style w:type="paragraph" w:styleId="ListNumber4">
    <w:name w:val="List Number 4"/>
    <w:basedOn w:val="Normal"/>
    <w:rsid w:val="00683F7F"/>
    <w:pPr>
      <w:tabs>
        <w:tab w:val="num" w:pos="1440"/>
      </w:tabs>
      <w:ind w:left="1440" w:hanging="360"/>
    </w:pPr>
  </w:style>
  <w:style w:type="paragraph" w:styleId="ListNumber5">
    <w:name w:val="List Number 5"/>
    <w:basedOn w:val="Normal"/>
    <w:rsid w:val="00683F7F"/>
    <w:pPr>
      <w:tabs>
        <w:tab w:val="num" w:pos="1800"/>
      </w:tabs>
      <w:ind w:left="1800" w:hanging="360"/>
    </w:pPr>
  </w:style>
  <w:style w:type="paragraph" w:styleId="MacroText">
    <w:name w:val="macro"/>
    <w:link w:val="MacroTextChar"/>
    <w:rsid w:val="00683F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83F7F"/>
    <w:rPr>
      <w:rFonts w:ascii="Courier New" w:hAnsi="Courier New" w:cs="Courier New"/>
    </w:rPr>
  </w:style>
  <w:style w:type="paragraph" w:styleId="MessageHeader">
    <w:name w:val="Message Header"/>
    <w:basedOn w:val="Normal"/>
    <w:link w:val="MessageHeaderChar"/>
    <w:rsid w:val="00683F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683F7F"/>
    <w:rPr>
      <w:rFonts w:ascii="Arial" w:hAnsi="Arial" w:cs="Arial"/>
      <w:sz w:val="24"/>
      <w:szCs w:val="24"/>
      <w:shd w:val="pct20" w:color="auto" w:fill="auto"/>
    </w:rPr>
  </w:style>
  <w:style w:type="paragraph" w:styleId="NormalWeb">
    <w:name w:val="Normal (Web)"/>
    <w:basedOn w:val="Normal"/>
    <w:rsid w:val="00683F7F"/>
  </w:style>
  <w:style w:type="paragraph" w:styleId="NormalIndent">
    <w:name w:val="Normal Indent"/>
    <w:basedOn w:val="Normal"/>
    <w:rsid w:val="00683F7F"/>
    <w:pPr>
      <w:ind w:left="720"/>
    </w:pPr>
  </w:style>
  <w:style w:type="paragraph" w:styleId="NoteHeading">
    <w:name w:val="Note Heading"/>
    <w:basedOn w:val="Normal"/>
    <w:next w:val="Normal"/>
    <w:link w:val="NoteHeadingChar"/>
    <w:rsid w:val="00683F7F"/>
  </w:style>
  <w:style w:type="character" w:customStyle="1" w:styleId="NoteHeadingChar">
    <w:name w:val="Note Heading Char"/>
    <w:basedOn w:val="DefaultParagraphFont"/>
    <w:link w:val="NoteHeading"/>
    <w:rsid w:val="00683F7F"/>
    <w:rPr>
      <w:sz w:val="24"/>
      <w:szCs w:val="24"/>
    </w:rPr>
  </w:style>
  <w:style w:type="paragraph" w:styleId="PlainText">
    <w:name w:val="Plain Text"/>
    <w:basedOn w:val="Normal"/>
    <w:link w:val="PlainTextChar"/>
    <w:rsid w:val="00683F7F"/>
    <w:rPr>
      <w:rFonts w:ascii="Courier New" w:hAnsi="Courier New" w:cs="Courier New"/>
      <w:sz w:val="20"/>
      <w:szCs w:val="20"/>
    </w:rPr>
  </w:style>
  <w:style w:type="character" w:customStyle="1" w:styleId="PlainTextChar">
    <w:name w:val="Plain Text Char"/>
    <w:basedOn w:val="DefaultParagraphFont"/>
    <w:link w:val="PlainText"/>
    <w:rsid w:val="00683F7F"/>
    <w:rPr>
      <w:rFonts w:ascii="Courier New" w:hAnsi="Courier New" w:cs="Courier New"/>
    </w:rPr>
  </w:style>
  <w:style w:type="paragraph" w:styleId="Salutation">
    <w:name w:val="Salutation"/>
    <w:basedOn w:val="Normal"/>
    <w:next w:val="Normal"/>
    <w:link w:val="SalutationChar"/>
    <w:rsid w:val="00683F7F"/>
  </w:style>
  <w:style w:type="character" w:customStyle="1" w:styleId="SalutationChar">
    <w:name w:val="Salutation Char"/>
    <w:basedOn w:val="DefaultParagraphFont"/>
    <w:link w:val="Salutation"/>
    <w:rsid w:val="00683F7F"/>
    <w:rPr>
      <w:sz w:val="24"/>
      <w:szCs w:val="24"/>
    </w:rPr>
  </w:style>
  <w:style w:type="paragraph" w:styleId="Signature">
    <w:name w:val="Signature"/>
    <w:basedOn w:val="Normal"/>
    <w:link w:val="SignatureChar"/>
    <w:rsid w:val="00683F7F"/>
    <w:pPr>
      <w:ind w:left="4320"/>
    </w:pPr>
  </w:style>
  <w:style w:type="character" w:customStyle="1" w:styleId="SignatureChar">
    <w:name w:val="Signature Char"/>
    <w:basedOn w:val="DefaultParagraphFont"/>
    <w:link w:val="Signature"/>
    <w:rsid w:val="00683F7F"/>
    <w:rPr>
      <w:sz w:val="24"/>
      <w:szCs w:val="24"/>
    </w:rPr>
  </w:style>
  <w:style w:type="paragraph" w:styleId="Subtitle">
    <w:name w:val="Subtitle"/>
    <w:basedOn w:val="Normal"/>
    <w:link w:val="SubtitleChar"/>
    <w:qFormat/>
    <w:rsid w:val="00683F7F"/>
    <w:pPr>
      <w:spacing w:after="60"/>
      <w:jc w:val="center"/>
      <w:outlineLvl w:val="1"/>
    </w:pPr>
    <w:rPr>
      <w:rFonts w:ascii="Arial" w:hAnsi="Arial" w:cs="Arial"/>
    </w:rPr>
  </w:style>
  <w:style w:type="character" w:customStyle="1" w:styleId="SubtitleChar">
    <w:name w:val="Subtitle Char"/>
    <w:basedOn w:val="DefaultParagraphFont"/>
    <w:link w:val="Subtitle"/>
    <w:rsid w:val="00683F7F"/>
    <w:rPr>
      <w:rFonts w:ascii="Arial" w:hAnsi="Arial" w:cs="Arial"/>
      <w:sz w:val="24"/>
      <w:szCs w:val="24"/>
    </w:rPr>
  </w:style>
  <w:style w:type="paragraph" w:styleId="TableofAuthorities">
    <w:name w:val="table of authorities"/>
    <w:basedOn w:val="Normal"/>
    <w:next w:val="Normal"/>
    <w:rsid w:val="00683F7F"/>
    <w:pPr>
      <w:ind w:left="240" w:hanging="240"/>
    </w:pPr>
  </w:style>
  <w:style w:type="paragraph" w:styleId="TableofFigures">
    <w:name w:val="table of figures"/>
    <w:basedOn w:val="Normal"/>
    <w:next w:val="Normal"/>
    <w:rsid w:val="00683F7F"/>
    <w:pPr>
      <w:ind w:left="480" w:hanging="480"/>
    </w:pPr>
  </w:style>
  <w:style w:type="paragraph" w:styleId="Title">
    <w:name w:val="Title"/>
    <w:basedOn w:val="Normal"/>
    <w:link w:val="TitleChar"/>
    <w:qFormat/>
    <w:rsid w:val="00683F7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683F7F"/>
    <w:rPr>
      <w:rFonts w:ascii="Arial" w:hAnsi="Arial" w:cs="Arial"/>
      <w:b/>
      <w:bCs/>
      <w:kern w:val="28"/>
      <w:sz w:val="32"/>
      <w:szCs w:val="32"/>
    </w:rPr>
  </w:style>
  <w:style w:type="paragraph" w:styleId="TOAHeading">
    <w:name w:val="toa heading"/>
    <w:basedOn w:val="Normal"/>
    <w:next w:val="Normal"/>
    <w:rsid w:val="00683F7F"/>
    <w:pPr>
      <w:spacing w:before="120"/>
    </w:pPr>
    <w:rPr>
      <w:rFonts w:ascii="Arial" w:hAnsi="Arial" w:cs="Arial"/>
      <w:b/>
      <w:bCs/>
    </w:rPr>
  </w:style>
  <w:style w:type="paragraph" w:styleId="TOC4">
    <w:name w:val="toc 4"/>
    <w:basedOn w:val="Normal"/>
    <w:next w:val="Normal"/>
    <w:autoRedefine/>
    <w:rsid w:val="00683F7F"/>
    <w:pPr>
      <w:ind w:left="720"/>
    </w:pPr>
  </w:style>
  <w:style w:type="paragraph" w:styleId="TOC5">
    <w:name w:val="toc 5"/>
    <w:basedOn w:val="Normal"/>
    <w:next w:val="Normal"/>
    <w:autoRedefine/>
    <w:rsid w:val="00683F7F"/>
    <w:pPr>
      <w:ind w:left="960"/>
    </w:pPr>
  </w:style>
  <w:style w:type="paragraph" w:styleId="TOC6">
    <w:name w:val="toc 6"/>
    <w:basedOn w:val="Normal"/>
    <w:next w:val="Normal"/>
    <w:autoRedefine/>
    <w:rsid w:val="00683F7F"/>
    <w:pPr>
      <w:ind w:left="1200"/>
    </w:pPr>
  </w:style>
  <w:style w:type="paragraph" w:styleId="TOC9">
    <w:name w:val="toc 9"/>
    <w:basedOn w:val="TOC1"/>
    <w:next w:val="Normal"/>
    <w:autoRedefine/>
    <w:rsid w:val="00683F7F"/>
    <w:pPr>
      <w:ind w:left="1728"/>
    </w:pPr>
    <w:rPr>
      <w:u w:val="single"/>
    </w:rPr>
  </w:style>
  <w:style w:type="paragraph" w:customStyle="1" w:styleId="MemoHeadingLabel">
    <w:name w:val="Memo Heading Label"/>
    <w:basedOn w:val="MemoHeading"/>
    <w:qFormat/>
    <w:rsid w:val="00683F7F"/>
    <w:rPr>
      <w:rFonts w:ascii="Arial" w:hAnsi="Arial"/>
      <w:b/>
    </w:rPr>
  </w:style>
  <w:style w:type="paragraph" w:customStyle="1" w:styleId="First-LevelSubheading">
    <w:name w:val="First-Level Subheading"/>
    <w:basedOn w:val="IssueSubsectionHeading"/>
    <w:next w:val="BodyText"/>
    <w:qFormat/>
    <w:rsid w:val="00683F7F"/>
    <w:pPr>
      <w:spacing w:after="0"/>
      <w:outlineLvl w:val="2"/>
    </w:pPr>
    <w:rPr>
      <w:b/>
    </w:rPr>
  </w:style>
  <w:style w:type="paragraph" w:customStyle="1" w:styleId="Second-LevelSubheading">
    <w:name w:val="Second-Level Subheading"/>
    <w:basedOn w:val="First-LevelSubheading"/>
    <w:next w:val="BodyText"/>
    <w:qFormat/>
    <w:rsid w:val="00683F7F"/>
    <w:pPr>
      <w:ind w:left="720"/>
      <w:outlineLvl w:val="3"/>
    </w:pPr>
    <w:rPr>
      <w:i/>
    </w:rPr>
  </w:style>
  <w:style w:type="paragraph" w:customStyle="1" w:styleId="TableNumber">
    <w:name w:val="Table Number"/>
    <w:basedOn w:val="BodyText"/>
    <w:next w:val="BodyText"/>
    <w:qFormat/>
    <w:rsid w:val="00683F7F"/>
    <w:pPr>
      <w:spacing w:before="480" w:after="0"/>
      <w:jc w:val="center"/>
    </w:pPr>
    <w:rPr>
      <w:rFonts w:ascii="Arial" w:hAnsi="Arial"/>
      <w:b/>
    </w:rPr>
  </w:style>
  <w:style w:type="paragraph" w:customStyle="1" w:styleId="TableTitle">
    <w:name w:val="Table Title"/>
    <w:basedOn w:val="BodyText"/>
    <w:next w:val="BodyText"/>
    <w:qFormat/>
    <w:rsid w:val="00683F7F"/>
    <w:pPr>
      <w:spacing w:after="0"/>
      <w:jc w:val="center"/>
    </w:pPr>
    <w:rPr>
      <w:rFonts w:ascii="Arial" w:hAnsi="Arial"/>
      <w:b/>
    </w:rPr>
  </w:style>
  <w:style w:type="paragraph" w:customStyle="1" w:styleId="TableSource">
    <w:name w:val="Table Source"/>
    <w:basedOn w:val="BodyText"/>
    <w:next w:val="BodyText"/>
    <w:qFormat/>
    <w:rsid w:val="00683F7F"/>
    <w:pPr>
      <w:spacing w:after="480"/>
      <w:jc w:val="both"/>
    </w:pPr>
  </w:style>
  <w:style w:type="paragraph" w:styleId="ListParagraph">
    <w:name w:val="List Paragraph"/>
    <w:basedOn w:val="Normal"/>
    <w:uiPriority w:val="34"/>
    <w:qFormat/>
    <w:rsid w:val="00683F7F"/>
    <w:pPr>
      <w:ind w:left="720"/>
      <w:contextualSpacing/>
    </w:pPr>
    <w:rPr>
      <w:rFonts w:ascii="Calibri" w:eastAsia="Calibri" w:hAnsi="Calibri"/>
    </w:rPr>
  </w:style>
  <w:style w:type="numbering" w:styleId="111111">
    <w:name w:val="Outline List 2"/>
    <w:basedOn w:val="NoList"/>
    <w:rsid w:val="00683F7F"/>
    <w:pPr>
      <w:numPr>
        <w:numId w:val="14"/>
      </w:numPr>
    </w:pPr>
  </w:style>
  <w:style w:type="character" w:customStyle="1" w:styleId="FootnoteTextChar">
    <w:name w:val="Footnote Text Char"/>
    <w:link w:val="FootnoteText"/>
    <w:uiPriority w:val="99"/>
    <w:rsid w:val="00683F7F"/>
  </w:style>
  <w:style w:type="character" w:customStyle="1" w:styleId="FooterChar">
    <w:name w:val="Footer Char"/>
    <w:basedOn w:val="DefaultParagraphFont"/>
    <w:link w:val="Footer"/>
    <w:rsid w:val="004138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683F7F"/>
    <w:pPr>
      <w:spacing w:before="120"/>
      <w:ind w:left="1008" w:hanging="1008"/>
      <w:jc w:val="both"/>
    </w:pPr>
  </w:style>
  <w:style w:type="paragraph" w:customStyle="1" w:styleId="MastHeadPSC">
    <w:name w:val="MastHead PSC"/>
    <w:basedOn w:val="Normal"/>
    <w:next w:val="Normal"/>
    <w:rsid w:val="00683F7F"/>
    <w:pPr>
      <w:jc w:val="center"/>
    </w:pPr>
    <w:rPr>
      <w:b/>
      <w:sz w:val="48"/>
      <w:szCs w:val="48"/>
    </w:rPr>
  </w:style>
  <w:style w:type="paragraph" w:customStyle="1" w:styleId="MastHeadMemorandum">
    <w:name w:val="MastHead Memorandum"/>
    <w:basedOn w:val="Normal"/>
    <w:next w:val="Normal"/>
    <w:rsid w:val="00683F7F"/>
    <w:pPr>
      <w:jc w:val="center"/>
    </w:pPr>
    <w:rPr>
      <w:b/>
      <w:sz w:val="28"/>
      <w:szCs w:val="28"/>
    </w:rPr>
  </w:style>
  <w:style w:type="paragraph" w:customStyle="1" w:styleId="MastHeadAddress">
    <w:name w:val="MastHead Address"/>
    <w:basedOn w:val="Normal"/>
    <w:next w:val="Normal"/>
    <w:rsid w:val="00683F7F"/>
    <w:pPr>
      <w:spacing w:after="200"/>
      <w:jc w:val="center"/>
    </w:pPr>
    <w:rPr>
      <w:b/>
      <w:smallCaps/>
      <w:sz w:val="20"/>
      <w:szCs w:val="20"/>
    </w:rPr>
  </w:style>
  <w:style w:type="paragraph" w:customStyle="1" w:styleId="MastHeadState">
    <w:name w:val="MastHead State"/>
    <w:basedOn w:val="Normal"/>
    <w:next w:val="Normal"/>
    <w:rsid w:val="00683F7F"/>
    <w:pPr>
      <w:jc w:val="center"/>
    </w:pPr>
    <w:rPr>
      <w:b/>
      <w:sz w:val="28"/>
      <w:szCs w:val="28"/>
    </w:rPr>
  </w:style>
  <w:style w:type="paragraph" w:customStyle="1" w:styleId="MemoHeading">
    <w:name w:val="Memo Heading"/>
    <w:basedOn w:val="Normal"/>
    <w:next w:val="Normal"/>
    <w:rsid w:val="00683F7F"/>
    <w:pPr>
      <w:jc w:val="both"/>
    </w:pPr>
  </w:style>
  <w:style w:type="paragraph" w:customStyle="1" w:styleId="BlockText5">
    <w:name w:val="Block Text .5&quot;"/>
    <w:basedOn w:val="Normal"/>
    <w:rsid w:val="00683F7F"/>
    <w:pPr>
      <w:spacing w:after="120"/>
      <w:ind w:left="720" w:right="720"/>
    </w:pPr>
  </w:style>
  <w:style w:type="paragraph" w:customStyle="1" w:styleId="BlockText1">
    <w:name w:val="Block Text 1&quot;"/>
    <w:basedOn w:val="Normal"/>
    <w:rsid w:val="00683F7F"/>
    <w:pPr>
      <w:spacing w:after="120"/>
      <w:ind w:left="1440" w:right="1440"/>
    </w:pPr>
  </w:style>
  <w:style w:type="paragraph" w:customStyle="1" w:styleId="BlockText15">
    <w:name w:val="Block Text 1.5&quot;"/>
    <w:basedOn w:val="Normal"/>
    <w:rsid w:val="00683F7F"/>
    <w:pPr>
      <w:spacing w:after="120"/>
      <w:ind w:left="2160" w:right="2160"/>
    </w:pPr>
  </w:style>
  <w:style w:type="paragraph" w:customStyle="1" w:styleId="IssueHeading">
    <w:name w:val="Issue Heading"/>
    <w:basedOn w:val="Heading1"/>
    <w:next w:val="BodyText"/>
    <w:link w:val="IssueHeadingChar"/>
    <w:rsid w:val="00683F7F"/>
    <w:pPr>
      <w:keepNext w:val="0"/>
    </w:pPr>
    <w:rPr>
      <w:rFonts w:ascii="Arial" w:hAnsi="Arial"/>
    </w:rPr>
  </w:style>
  <w:style w:type="character" w:customStyle="1" w:styleId="IssueHeadingChar">
    <w:name w:val="Issue Heading Char"/>
    <w:link w:val="IssueHeading"/>
    <w:rsid w:val="00683F7F"/>
    <w:rPr>
      <w:rFonts w:ascii="Arial" w:hAnsi="Arial" w:cs="Arial"/>
      <w:bCs/>
      <w:kern w:val="32"/>
      <w:sz w:val="24"/>
      <w:szCs w:val="32"/>
    </w:rPr>
  </w:style>
  <w:style w:type="paragraph" w:customStyle="1" w:styleId="MemoHeadingRe">
    <w:name w:val="Memo Heading Re"/>
    <w:basedOn w:val="MemoHeading"/>
    <w:rsid w:val="00683F7F"/>
    <w:pPr>
      <w:tabs>
        <w:tab w:val="left" w:pos="2520"/>
        <w:tab w:val="left" w:pos="2736"/>
      </w:tabs>
    </w:pPr>
  </w:style>
  <w:style w:type="paragraph" w:styleId="TOC1">
    <w:name w:val="toc 1"/>
    <w:basedOn w:val="Normal"/>
    <w:next w:val="Normal"/>
    <w:rsid w:val="00683F7F"/>
    <w:pPr>
      <w:tabs>
        <w:tab w:val="left" w:pos="864"/>
        <w:tab w:val="right" w:leader="dot" w:pos="9360"/>
      </w:tabs>
      <w:ind w:left="864" w:right="360" w:hanging="864"/>
    </w:pPr>
  </w:style>
  <w:style w:type="character" w:styleId="Hyperlink">
    <w:name w:val="Hyperlink"/>
    <w:rsid w:val="00683F7F"/>
    <w:rPr>
      <w:color w:val="0000FF"/>
      <w:u w:val="single"/>
    </w:rPr>
  </w:style>
  <w:style w:type="paragraph" w:customStyle="1" w:styleId="RecommendationMajorSectionHeading">
    <w:name w:val="Recommendation Major Section Heading"/>
    <w:basedOn w:val="Heading1"/>
    <w:next w:val="BodyText"/>
    <w:rsid w:val="00683F7F"/>
    <w:pPr>
      <w:jc w:val="center"/>
    </w:pPr>
    <w:rPr>
      <w:rFonts w:ascii="Arial" w:hAnsi="Arial"/>
      <w:b/>
    </w:rPr>
  </w:style>
  <w:style w:type="paragraph" w:customStyle="1" w:styleId="IssueSubsectionHeading">
    <w:name w:val="Issue Subsection Heading"/>
    <w:basedOn w:val="Heading2"/>
    <w:next w:val="BodyText"/>
    <w:link w:val="IssueSubsectionHeadingChar"/>
    <w:rsid w:val="00683F7F"/>
    <w:pPr>
      <w:keepNext w:val="0"/>
    </w:pPr>
    <w:rPr>
      <w:rFonts w:ascii="Arial" w:hAnsi="Arial"/>
    </w:rPr>
  </w:style>
  <w:style w:type="character" w:customStyle="1" w:styleId="IssueSubsectionHeadingChar">
    <w:name w:val="Issue Subsection Heading Char"/>
    <w:link w:val="IssueSubsectionHeading"/>
    <w:rsid w:val="00683F7F"/>
    <w:rPr>
      <w:rFonts w:ascii="Arial" w:hAnsi="Arial" w:cs="Arial"/>
      <w:bCs/>
      <w:iCs/>
      <w:sz w:val="24"/>
      <w:szCs w:val="28"/>
    </w:rPr>
  </w:style>
  <w:style w:type="paragraph" w:customStyle="1" w:styleId="RecommendationHeading">
    <w:name w:val="Recommendation Heading"/>
    <w:basedOn w:val="Heading1"/>
    <w:next w:val="BodyText"/>
    <w:rsid w:val="00683F7F"/>
    <w:pPr>
      <w:keepNext w:val="0"/>
      <w:jc w:val="center"/>
    </w:pPr>
    <w:rPr>
      <w:b/>
      <w:u w:val="single"/>
    </w:rPr>
  </w:style>
  <w:style w:type="paragraph" w:customStyle="1" w:styleId="DiscussionofIssues">
    <w:name w:val="Discussion of Issues"/>
    <w:basedOn w:val="RecommendationMajorSectionHeading"/>
    <w:next w:val="BodyText"/>
    <w:rsid w:val="00683F7F"/>
    <w:pPr>
      <w:spacing w:after="0"/>
    </w:pPr>
  </w:style>
  <w:style w:type="paragraph" w:customStyle="1" w:styleId="TOCColumnHeadings">
    <w:name w:val="TOC Column Headings"/>
    <w:basedOn w:val="Normal"/>
    <w:rsid w:val="00683F7F"/>
    <w:pPr>
      <w:tabs>
        <w:tab w:val="left" w:pos="864"/>
        <w:tab w:val="right" w:pos="9360"/>
      </w:tabs>
    </w:pPr>
    <w:rPr>
      <w:u w:val="words"/>
    </w:rPr>
  </w:style>
  <w:style w:type="table" w:customStyle="1" w:styleId="TableMasthead">
    <w:name w:val="Table Masthead"/>
    <w:basedOn w:val="TableGrid"/>
    <w:rsid w:val="00683F7F"/>
    <w:tblPr/>
  </w:style>
  <w:style w:type="paragraph" w:customStyle="1" w:styleId="StyleHeading1BoldUnderline">
    <w:name w:val="Style Heading 1 + Bold Underline"/>
    <w:basedOn w:val="Heading1"/>
    <w:link w:val="StyleHeading1BoldUnderlineChar"/>
    <w:rsid w:val="00683F7F"/>
    <w:pPr>
      <w:keepNext w:val="0"/>
      <w:spacing w:before="240"/>
    </w:pPr>
    <w:rPr>
      <w:b/>
      <w:u w:val="single"/>
    </w:rPr>
  </w:style>
  <w:style w:type="character" w:customStyle="1" w:styleId="StyleHeading1BoldUnderlineChar">
    <w:name w:val="Style Heading 1 + Bold Underline Char"/>
    <w:link w:val="StyleHeading1BoldUnderline"/>
    <w:rsid w:val="00683F7F"/>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683F7F"/>
    <w:pPr>
      <w:jc w:val="left"/>
    </w:pPr>
  </w:style>
  <w:style w:type="paragraph" w:styleId="TOC3">
    <w:name w:val="toc 3"/>
    <w:basedOn w:val="TOC2"/>
    <w:next w:val="Normal"/>
    <w:rsid w:val="00683F7F"/>
    <w:pPr>
      <w:tabs>
        <w:tab w:val="clear" w:pos="1152"/>
        <w:tab w:val="left" w:pos="1584"/>
      </w:tabs>
      <w:ind w:left="1584" w:hanging="432"/>
    </w:pPr>
  </w:style>
  <w:style w:type="paragraph" w:styleId="TOC2">
    <w:name w:val="toc 2"/>
    <w:basedOn w:val="TOC1"/>
    <w:next w:val="Normal"/>
    <w:rsid w:val="00683F7F"/>
    <w:pPr>
      <w:tabs>
        <w:tab w:val="clear" w:pos="864"/>
        <w:tab w:val="left" w:pos="1152"/>
      </w:tabs>
      <w:ind w:left="1152" w:hanging="288"/>
    </w:pPr>
  </w:style>
  <w:style w:type="paragraph" w:styleId="DocumentMap">
    <w:name w:val="Document Map"/>
    <w:basedOn w:val="Normal"/>
    <w:link w:val="DocumentMapChar"/>
    <w:rsid w:val="00683F7F"/>
    <w:pPr>
      <w:shd w:val="clear" w:color="auto" w:fill="000080"/>
    </w:pPr>
    <w:rPr>
      <w:rFonts w:ascii="Tahoma" w:hAnsi="Tahoma" w:cs="Tahoma"/>
    </w:rPr>
  </w:style>
  <w:style w:type="character" w:customStyle="1" w:styleId="DocumentMapChar">
    <w:name w:val="Document Map Char"/>
    <w:basedOn w:val="DefaultParagraphFont"/>
    <w:link w:val="DocumentMap"/>
    <w:rsid w:val="00683F7F"/>
    <w:rPr>
      <w:rFonts w:ascii="Tahoma" w:hAnsi="Tahoma" w:cs="Tahoma"/>
      <w:sz w:val="24"/>
      <w:szCs w:val="24"/>
      <w:shd w:val="clear" w:color="auto" w:fill="000080"/>
    </w:rPr>
  </w:style>
  <w:style w:type="paragraph" w:styleId="BalloonText">
    <w:name w:val="Balloon Text"/>
    <w:basedOn w:val="Normal"/>
    <w:link w:val="BalloonTextChar"/>
    <w:rsid w:val="00683F7F"/>
    <w:rPr>
      <w:rFonts w:ascii="Tahoma" w:hAnsi="Tahoma" w:cs="Tahoma"/>
      <w:sz w:val="16"/>
      <w:szCs w:val="16"/>
    </w:rPr>
  </w:style>
  <w:style w:type="character" w:customStyle="1" w:styleId="BalloonTextChar">
    <w:name w:val="Balloon Text Char"/>
    <w:basedOn w:val="DefaultParagraphFont"/>
    <w:link w:val="BalloonText"/>
    <w:rsid w:val="00683F7F"/>
    <w:rPr>
      <w:rFonts w:ascii="Tahoma" w:hAnsi="Tahoma" w:cs="Tahoma"/>
      <w:sz w:val="16"/>
      <w:szCs w:val="16"/>
    </w:rPr>
  </w:style>
  <w:style w:type="paragraph" w:styleId="BlockText">
    <w:name w:val="Block Text"/>
    <w:basedOn w:val="Normal"/>
    <w:rsid w:val="00683F7F"/>
    <w:pPr>
      <w:spacing w:after="120"/>
      <w:ind w:left="1440" w:right="1440"/>
    </w:pPr>
  </w:style>
  <w:style w:type="paragraph" w:styleId="BodyText2">
    <w:name w:val="Body Text 2"/>
    <w:basedOn w:val="Normal"/>
    <w:link w:val="BodyText2Char"/>
    <w:rsid w:val="00683F7F"/>
    <w:pPr>
      <w:spacing w:after="120" w:line="480" w:lineRule="auto"/>
    </w:pPr>
  </w:style>
  <w:style w:type="character" w:customStyle="1" w:styleId="BodyText2Char">
    <w:name w:val="Body Text 2 Char"/>
    <w:basedOn w:val="DefaultParagraphFont"/>
    <w:link w:val="BodyText2"/>
    <w:rsid w:val="00683F7F"/>
    <w:rPr>
      <w:sz w:val="24"/>
      <w:szCs w:val="24"/>
    </w:rPr>
  </w:style>
  <w:style w:type="paragraph" w:styleId="BodyText3">
    <w:name w:val="Body Text 3"/>
    <w:basedOn w:val="Normal"/>
    <w:link w:val="BodyText3Char"/>
    <w:rsid w:val="00683F7F"/>
    <w:pPr>
      <w:spacing w:after="120"/>
    </w:pPr>
    <w:rPr>
      <w:sz w:val="16"/>
      <w:szCs w:val="16"/>
    </w:rPr>
  </w:style>
  <w:style w:type="character" w:customStyle="1" w:styleId="BodyText3Char">
    <w:name w:val="Body Text 3 Char"/>
    <w:basedOn w:val="DefaultParagraphFont"/>
    <w:link w:val="BodyText3"/>
    <w:rsid w:val="00683F7F"/>
    <w:rPr>
      <w:sz w:val="16"/>
      <w:szCs w:val="16"/>
    </w:rPr>
  </w:style>
  <w:style w:type="paragraph" w:styleId="BodyTextFirstIndent">
    <w:name w:val="Body Text First Indent"/>
    <w:basedOn w:val="BodyText"/>
    <w:link w:val="BodyTextFirstIndentChar"/>
    <w:rsid w:val="00683F7F"/>
    <w:pPr>
      <w:ind w:firstLine="210"/>
    </w:pPr>
  </w:style>
  <w:style w:type="character" w:customStyle="1" w:styleId="BodyTextFirstIndentChar">
    <w:name w:val="Body Text First Indent Char"/>
    <w:basedOn w:val="BodyTextChar"/>
    <w:link w:val="BodyTextFirstIndent"/>
    <w:rsid w:val="00683F7F"/>
    <w:rPr>
      <w:sz w:val="24"/>
      <w:szCs w:val="24"/>
    </w:rPr>
  </w:style>
  <w:style w:type="paragraph" w:styleId="BodyTextIndent">
    <w:name w:val="Body Text Indent"/>
    <w:basedOn w:val="Normal"/>
    <w:link w:val="BodyTextIndentChar"/>
    <w:rsid w:val="00683F7F"/>
    <w:pPr>
      <w:spacing w:after="120"/>
      <w:ind w:left="360"/>
    </w:pPr>
  </w:style>
  <w:style w:type="character" w:customStyle="1" w:styleId="BodyTextIndentChar">
    <w:name w:val="Body Text Indent Char"/>
    <w:basedOn w:val="DefaultParagraphFont"/>
    <w:link w:val="BodyTextIndent"/>
    <w:rsid w:val="00683F7F"/>
    <w:rPr>
      <w:sz w:val="24"/>
      <w:szCs w:val="24"/>
    </w:rPr>
  </w:style>
  <w:style w:type="paragraph" w:styleId="BodyTextFirstIndent2">
    <w:name w:val="Body Text First Indent 2"/>
    <w:basedOn w:val="BodyTextIndent"/>
    <w:link w:val="BodyTextFirstIndent2Char"/>
    <w:rsid w:val="00683F7F"/>
    <w:pPr>
      <w:ind w:firstLine="210"/>
    </w:pPr>
  </w:style>
  <w:style w:type="character" w:customStyle="1" w:styleId="BodyTextFirstIndent2Char">
    <w:name w:val="Body Text First Indent 2 Char"/>
    <w:basedOn w:val="BodyTextIndentChar"/>
    <w:link w:val="BodyTextFirstIndent2"/>
    <w:rsid w:val="00683F7F"/>
    <w:rPr>
      <w:sz w:val="24"/>
      <w:szCs w:val="24"/>
    </w:rPr>
  </w:style>
  <w:style w:type="paragraph" w:styleId="BodyTextIndent2">
    <w:name w:val="Body Text Indent 2"/>
    <w:basedOn w:val="Normal"/>
    <w:link w:val="BodyTextIndent2Char"/>
    <w:rsid w:val="00683F7F"/>
    <w:pPr>
      <w:spacing w:after="120" w:line="480" w:lineRule="auto"/>
      <w:ind w:left="360"/>
    </w:pPr>
  </w:style>
  <w:style w:type="character" w:customStyle="1" w:styleId="BodyTextIndent2Char">
    <w:name w:val="Body Text Indent 2 Char"/>
    <w:basedOn w:val="DefaultParagraphFont"/>
    <w:link w:val="BodyTextIndent2"/>
    <w:rsid w:val="00683F7F"/>
    <w:rPr>
      <w:sz w:val="24"/>
      <w:szCs w:val="24"/>
    </w:rPr>
  </w:style>
  <w:style w:type="paragraph" w:styleId="BodyTextIndent3">
    <w:name w:val="Body Text Indent 3"/>
    <w:basedOn w:val="Normal"/>
    <w:link w:val="BodyTextIndent3Char"/>
    <w:rsid w:val="00683F7F"/>
    <w:pPr>
      <w:spacing w:after="120"/>
      <w:ind w:left="360"/>
    </w:pPr>
    <w:rPr>
      <w:sz w:val="16"/>
      <w:szCs w:val="16"/>
    </w:rPr>
  </w:style>
  <w:style w:type="character" w:customStyle="1" w:styleId="BodyTextIndent3Char">
    <w:name w:val="Body Text Indent 3 Char"/>
    <w:basedOn w:val="DefaultParagraphFont"/>
    <w:link w:val="BodyTextIndent3"/>
    <w:rsid w:val="00683F7F"/>
    <w:rPr>
      <w:sz w:val="16"/>
      <w:szCs w:val="16"/>
    </w:rPr>
  </w:style>
  <w:style w:type="paragraph" w:styleId="Caption">
    <w:name w:val="caption"/>
    <w:basedOn w:val="Normal"/>
    <w:next w:val="Normal"/>
    <w:qFormat/>
    <w:rsid w:val="00683F7F"/>
    <w:pPr>
      <w:spacing w:before="120" w:after="120"/>
    </w:pPr>
    <w:rPr>
      <w:b/>
      <w:bCs/>
      <w:sz w:val="20"/>
      <w:szCs w:val="20"/>
    </w:rPr>
  </w:style>
  <w:style w:type="paragraph" w:styleId="Closing">
    <w:name w:val="Closing"/>
    <w:basedOn w:val="Normal"/>
    <w:link w:val="ClosingChar"/>
    <w:rsid w:val="00683F7F"/>
    <w:pPr>
      <w:ind w:left="4320"/>
    </w:pPr>
  </w:style>
  <w:style w:type="character" w:customStyle="1" w:styleId="ClosingChar">
    <w:name w:val="Closing Char"/>
    <w:basedOn w:val="DefaultParagraphFont"/>
    <w:link w:val="Closing"/>
    <w:rsid w:val="00683F7F"/>
    <w:rPr>
      <w:sz w:val="24"/>
      <w:szCs w:val="24"/>
    </w:rPr>
  </w:style>
  <w:style w:type="paragraph" w:styleId="CommentText">
    <w:name w:val="annotation text"/>
    <w:basedOn w:val="Normal"/>
    <w:link w:val="CommentTextChar"/>
    <w:rsid w:val="00683F7F"/>
    <w:rPr>
      <w:sz w:val="20"/>
      <w:szCs w:val="20"/>
    </w:rPr>
  </w:style>
  <w:style w:type="character" w:customStyle="1" w:styleId="CommentTextChar">
    <w:name w:val="Comment Text Char"/>
    <w:basedOn w:val="DefaultParagraphFont"/>
    <w:link w:val="CommentText"/>
    <w:rsid w:val="00683F7F"/>
  </w:style>
  <w:style w:type="paragraph" w:styleId="CommentSubject">
    <w:name w:val="annotation subject"/>
    <w:basedOn w:val="CommentText"/>
    <w:next w:val="CommentText"/>
    <w:link w:val="CommentSubjectChar"/>
    <w:rsid w:val="00683F7F"/>
    <w:rPr>
      <w:b/>
      <w:bCs/>
    </w:rPr>
  </w:style>
  <w:style w:type="character" w:customStyle="1" w:styleId="CommentSubjectChar">
    <w:name w:val="Comment Subject Char"/>
    <w:basedOn w:val="CommentTextChar"/>
    <w:link w:val="CommentSubject"/>
    <w:rsid w:val="00683F7F"/>
    <w:rPr>
      <w:b/>
      <w:bCs/>
    </w:rPr>
  </w:style>
  <w:style w:type="paragraph" w:styleId="Date">
    <w:name w:val="Date"/>
    <w:basedOn w:val="Normal"/>
    <w:next w:val="Normal"/>
    <w:link w:val="DateChar"/>
    <w:rsid w:val="00683F7F"/>
  </w:style>
  <w:style w:type="character" w:customStyle="1" w:styleId="DateChar">
    <w:name w:val="Date Char"/>
    <w:basedOn w:val="DefaultParagraphFont"/>
    <w:link w:val="Date"/>
    <w:rsid w:val="00683F7F"/>
    <w:rPr>
      <w:sz w:val="24"/>
      <w:szCs w:val="24"/>
    </w:rPr>
  </w:style>
  <w:style w:type="paragraph" w:styleId="E-mailSignature">
    <w:name w:val="E-mail Signature"/>
    <w:basedOn w:val="Normal"/>
    <w:link w:val="E-mailSignatureChar"/>
    <w:rsid w:val="00683F7F"/>
  </w:style>
  <w:style w:type="character" w:customStyle="1" w:styleId="E-mailSignatureChar">
    <w:name w:val="E-mail Signature Char"/>
    <w:basedOn w:val="DefaultParagraphFont"/>
    <w:link w:val="E-mailSignature"/>
    <w:rsid w:val="00683F7F"/>
    <w:rPr>
      <w:sz w:val="24"/>
      <w:szCs w:val="24"/>
    </w:rPr>
  </w:style>
  <w:style w:type="paragraph" w:styleId="EndnoteText">
    <w:name w:val="endnote text"/>
    <w:basedOn w:val="Normal"/>
    <w:link w:val="EndnoteTextChar"/>
    <w:rsid w:val="00683F7F"/>
    <w:rPr>
      <w:sz w:val="20"/>
      <w:szCs w:val="20"/>
    </w:rPr>
  </w:style>
  <w:style w:type="character" w:customStyle="1" w:styleId="EndnoteTextChar">
    <w:name w:val="Endnote Text Char"/>
    <w:basedOn w:val="DefaultParagraphFont"/>
    <w:link w:val="EndnoteText"/>
    <w:rsid w:val="00683F7F"/>
  </w:style>
  <w:style w:type="paragraph" w:styleId="EnvelopeAddress">
    <w:name w:val="envelope address"/>
    <w:basedOn w:val="Normal"/>
    <w:rsid w:val="00683F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83F7F"/>
    <w:rPr>
      <w:rFonts w:ascii="Arial" w:hAnsi="Arial" w:cs="Arial"/>
      <w:sz w:val="20"/>
      <w:szCs w:val="20"/>
    </w:rPr>
  </w:style>
  <w:style w:type="paragraph" w:styleId="HTMLAddress">
    <w:name w:val="HTML Address"/>
    <w:basedOn w:val="Normal"/>
    <w:link w:val="HTMLAddressChar"/>
    <w:rsid w:val="00683F7F"/>
    <w:rPr>
      <w:i/>
      <w:iCs/>
    </w:rPr>
  </w:style>
  <w:style w:type="character" w:customStyle="1" w:styleId="HTMLAddressChar">
    <w:name w:val="HTML Address Char"/>
    <w:basedOn w:val="DefaultParagraphFont"/>
    <w:link w:val="HTMLAddress"/>
    <w:rsid w:val="00683F7F"/>
    <w:rPr>
      <w:i/>
      <w:iCs/>
      <w:sz w:val="24"/>
      <w:szCs w:val="24"/>
    </w:rPr>
  </w:style>
  <w:style w:type="paragraph" w:styleId="HTMLPreformatted">
    <w:name w:val="HTML Preformatted"/>
    <w:basedOn w:val="Normal"/>
    <w:link w:val="HTMLPreformattedChar"/>
    <w:rsid w:val="00683F7F"/>
    <w:rPr>
      <w:rFonts w:ascii="Courier New" w:hAnsi="Courier New" w:cs="Courier New"/>
      <w:sz w:val="20"/>
      <w:szCs w:val="20"/>
    </w:rPr>
  </w:style>
  <w:style w:type="character" w:customStyle="1" w:styleId="HTMLPreformattedChar">
    <w:name w:val="HTML Preformatted Char"/>
    <w:basedOn w:val="DefaultParagraphFont"/>
    <w:link w:val="HTMLPreformatted"/>
    <w:rsid w:val="00683F7F"/>
    <w:rPr>
      <w:rFonts w:ascii="Courier New" w:hAnsi="Courier New" w:cs="Courier New"/>
    </w:rPr>
  </w:style>
  <w:style w:type="paragraph" w:styleId="Index1">
    <w:name w:val="index 1"/>
    <w:basedOn w:val="Normal"/>
    <w:next w:val="Normal"/>
    <w:autoRedefine/>
    <w:rsid w:val="00683F7F"/>
    <w:pPr>
      <w:ind w:left="240" w:hanging="240"/>
    </w:pPr>
  </w:style>
  <w:style w:type="paragraph" w:styleId="Index2">
    <w:name w:val="index 2"/>
    <w:basedOn w:val="Normal"/>
    <w:next w:val="Normal"/>
    <w:autoRedefine/>
    <w:rsid w:val="00683F7F"/>
    <w:pPr>
      <w:ind w:left="480" w:hanging="240"/>
    </w:pPr>
  </w:style>
  <w:style w:type="paragraph" w:styleId="Index3">
    <w:name w:val="index 3"/>
    <w:basedOn w:val="Normal"/>
    <w:next w:val="Normal"/>
    <w:autoRedefine/>
    <w:rsid w:val="00683F7F"/>
    <w:pPr>
      <w:ind w:left="720" w:hanging="240"/>
    </w:pPr>
  </w:style>
  <w:style w:type="paragraph" w:styleId="Index4">
    <w:name w:val="index 4"/>
    <w:basedOn w:val="Normal"/>
    <w:next w:val="Normal"/>
    <w:autoRedefine/>
    <w:rsid w:val="00683F7F"/>
    <w:pPr>
      <w:ind w:left="960" w:hanging="240"/>
    </w:pPr>
  </w:style>
  <w:style w:type="paragraph" w:styleId="Index5">
    <w:name w:val="index 5"/>
    <w:basedOn w:val="Normal"/>
    <w:next w:val="Normal"/>
    <w:autoRedefine/>
    <w:rsid w:val="00683F7F"/>
    <w:pPr>
      <w:ind w:left="1200" w:hanging="240"/>
    </w:pPr>
  </w:style>
  <w:style w:type="paragraph" w:styleId="Index6">
    <w:name w:val="index 6"/>
    <w:basedOn w:val="Normal"/>
    <w:next w:val="Normal"/>
    <w:autoRedefine/>
    <w:rsid w:val="00683F7F"/>
    <w:pPr>
      <w:ind w:left="1440" w:hanging="240"/>
    </w:pPr>
  </w:style>
  <w:style w:type="paragraph" w:styleId="Index7">
    <w:name w:val="index 7"/>
    <w:basedOn w:val="Normal"/>
    <w:next w:val="Normal"/>
    <w:autoRedefine/>
    <w:rsid w:val="00683F7F"/>
    <w:pPr>
      <w:ind w:left="1680" w:hanging="240"/>
    </w:pPr>
  </w:style>
  <w:style w:type="paragraph" w:styleId="Index8">
    <w:name w:val="index 8"/>
    <w:basedOn w:val="Normal"/>
    <w:next w:val="Normal"/>
    <w:autoRedefine/>
    <w:rsid w:val="00683F7F"/>
    <w:pPr>
      <w:ind w:left="1920" w:hanging="240"/>
    </w:pPr>
  </w:style>
  <w:style w:type="paragraph" w:styleId="Index9">
    <w:name w:val="index 9"/>
    <w:basedOn w:val="Normal"/>
    <w:next w:val="Normal"/>
    <w:autoRedefine/>
    <w:rsid w:val="00683F7F"/>
    <w:pPr>
      <w:ind w:left="2160" w:hanging="240"/>
    </w:pPr>
  </w:style>
  <w:style w:type="paragraph" w:styleId="IndexHeading">
    <w:name w:val="index heading"/>
    <w:basedOn w:val="Normal"/>
    <w:next w:val="Index1"/>
    <w:rsid w:val="00683F7F"/>
    <w:rPr>
      <w:rFonts w:ascii="Arial" w:hAnsi="Arial" w:cs="Arial"/>
      <w:b/>
      <w:bCs/>
    </w:rPr>
  </w:style>
  <w:style w:type="paragraph" w:styleId="List">
    <w:name w:val="List"/>
    <w:basedOn w:val="Normal"/>
    <w:rsid w:val="00683F7F"/>
    <w:pPr>
      <w:ind w:left="360" w:hanging="360"/>
    </w:pPr>
  </w:style>
  <w:style w:type="paragraph" w:styleId="List2">
    <w:name w:val="List 2"/>
    <w:basedOn w:val="Normal"/>
    <w:rsid w:val="00683F7F"/>
    <w:pPr>
      <w:ind w:left="720" w:hanging="360"/>
    </w:pPr>
  </w:style>
  <w:style w:type="paragraph" w:styleId="List3">
    <w:name w:val="List 3"/>
    <w:basedOn w:val="Normal"/>
    <w:rsid w:val="00683F7F"/>
    <w:pPr>
      <w:ind w:left="1080" w:hanging="360"/>
    </w:pPr>
  </w:style>
  <w:style w:type="paragraph" w:styleId="List4">
    <w:name w:val="List 4"/>
    <w:basedOn w:val="Normal"/>
    <w:rsid w:val="00683F7F"/>
    <w:pPr>
      <w:ind w:left="1440" w:hanging="360"/>
    </w:pPr>
  </w:style>
  <w:style w:type="paragraph" w:styleId="List5">
    <w:name w:val="List 5"/>
    <w:basedOn w:val="Normal"/>
    <w:rsid w:val="00683F7F"/>
    <w:pPr>
      <w:ind w:left="1800" w:hanging="360"/>
    </w:pPr>
  </w:style>
  <w:style w:type="paragraph" w:styleId="ListBullet">
    <w:name w:val="List Bullet"/>
    <w:basedOn w:val="Normal"/>
    <w:autoRedefine/>
    <w:rsid w:val="00683F7F"/>
    <w:pPr>
      <w:tabs>
        <w:tab w:val="num" w:pos="360"/>
      </w:tabs>
      <w:ind w:left="360" w:hanging="360"/>
    </w:pPr>
  </w:style>
  <w:style w:type="paragraph" w:styleId="ListBullet2">
    <w:name w:val="List Bullet 2"/>
    <w:basedOn w:val="Normal"/>
    <w:autoRedefine/>
    <w:rsid w:val="00683F7F"/>
    <w:pPr>
      <w:tabs>
        <w:tab w:val="num" w:pos="720"/>
      </w:tabs>
      <w:ind w:left="720" w:hanging="360"/>
    </w:pPr>
  </w:style>
  <w:style w:type="paragraph" w:styleId="ListBullet3">
    <w:name w:val="List Bullet 3"/>
    <w:basedOn w:val="Normal"/>
    <w:autoRedefine/>
    <w:rsid w:val="00683F7F"/>
    <w:pPr>
      <w:tabs>
        <w:tab w:val="num" w:pos="1080"/>
      </w:tabs>
      <w:ind w:left="1080" w:hanging="360"/>
    </w:pPr>
  </w:style>
  <w:style w:type="paragraph" w:styleId="ListBullet4">
    <w:name w:val="List Bullet 4"/>
    <w:basedOn w:val="Normal"/>
    <w:autoRedefine/>
    <w:rsid w:val="00683F7F"/>
    <w:pPr>
      <w:tabs>
        <w:tab w:val="num" w:pos="1440"/>
      </w:tabs>
      <w:ind w:left="1440" w:hanging="360"/>
    </w:pPr>
  </w:style>
  <w:style w:type="paragraph" w:styleId="ListBullet5">
    <w:name w:val="List Bullet 5"/>
    <w:basedOn w:val="Normal"/>
    <w:autoRedefine/>
    <w:rsid w:val="00683F7F"/>
    <w:pPr>
      <w:tabs>
        <w:tab w:val="num" w:pos="1800"/>
      </w:tabs>
      <w:ind w:left="1800" w:hanging="360"/>
    </w:pPr>
  </w:style>
  <w:style w:type="paragraph" w:styleId="ListContinue">
    <w:name w:val="List Continue"/>
    <w:basedOn w:val="Normal"/>
    <w:rsid w:val="00683F7F"/>
    <w:pPr>
      <w:spacing w:after="120"/>
      <w:ind w:left="360"/>
    </w:pPr>
  </w:style>
  <w:style w:type="paragraph" w:styleId="ListContinue2">
    <w:name w:val="List Continue 2"/>
    <w:basedOn w:val="Normal"/>
    <w:rsid w:val="00683F7F"/>
    <w:pPr>
      <w:spacing w:after="120"/>
      <w:ind w:left="720"/>
    </w:pPr>
  </w:style>
  <w:style w:type="paragraph" w:styleId="ListContinue3">
    <w:name w:val="List Continue 3"/>
    <w:basedOn w:val="Normal"/>
    <w:rsid w:val="00683F7F"/>
    <w:pPr>
      <w:spacing w:after="120"/>
      <w:ind w:left="1080"/>
    </w:pPr>
  </w:style>
  <w:style w:type="paragraph" w:styleId="ListContinue4">
    <w:name w:val="List Continue 4"/>
    <w:basedOn w:val="Normal"/>
    <w:rsid w:val="00683F7F"/>
    <w:pPr>
      <w:spacing w:after="120"/>
      <w:ind w:left="1440"/>
    </w:pPr>
  </w:style>
  <w:style w:type="paragraph" w:styleId="ListContinue5">
    <w:name w:val="List Continue 5"/>
    <w:basedOn w:val="Normal"/>
    <w:rsid w:val="00683F7F"/>
    <w:pPr>
      <w:spacing w:after="120"/>
      <w:ind w:left="1800"/>
    </w:pPr>
  </w:style>
  <w:style w:type="paragraph" w:styleId="ListNumber">
    <w:name w:val="List Number"/>
    <w:basedOn w:val="Normal"/>
    <w:rsid w:val="00683F7F"/>
    <w:pPr>
      <w:tabs>
        <w:tab w:val="num" w:pos="360"/>
      </w:tabs>
      <w:ind w:left="360" w:hanging="360"/>
    </w:pPr>
  </w:style>
  <w:style w:type="paragraph" w:styleId="ListNumber2">
    <w:name w:val="List Number 2"/>
    <w:basedOn w:val="Normal"/>
    <w:rsid w:val="00683F7F"/>
    <w:pPr>
      <w:tabs>
        <w:tab w:val="num" w:pos="720"/>
      </w:tabs>
      <w:ind w:left="720" w:hanging="360"/>
    </w:pPr>
  </w:style>
  <w:style w:type="paragraph" w:styleId="ListNumber3">
    <w:name w:val="List Number 3"/>
    <w:basedOn w:val="Normal"/>
    <w:rsid w:val="00683F7F"/>
    <w:pPr>
      <w:tabs>
        <w:tab w:val="num" w:pos="1080"/>
      </w:tabs>
      <w:ind w:left="1080" w:hanging="360"/>
    </w:pPr>
  </w:style>
  <w:style w:type="paragraph" w:styleId="ListNumber4">
    <w:name w:val="List Number 4"/>
    <w:basedOn w:val="Normal"/>
    <w:rsid w:val="00683F7F"/>
    <w:pPr>
      <w:tabs>
        <w:tab w:val="num" w:pos="1440"/>
      </w:tabs>
      <w:ind w:left="1440" w:hanging="360"/>
    </w:pPr>
  </w:style>
  <w:style w:type="paragraph" w:styleId="ListNumber5">
    <w:name w:val="List Number 5"/>
    <w:basedOn w:val="Normal"/>
    <w:rsid w:val="00683F7F"/>
    <w:pPr>
      <w:tabs>
        <w:tab w:val="num" w:pos="1800"/>
      </w:tabs>
      <w:ind w:left="1800" w:hanging="360"/>
    </w:pPr>
  </w:style>
  <w:style w:type="paragraph" w:styleId="MacroText">
    <w:name w:val="macro"/>
    <w:link w:val="MacroTextChar"/>
    <w:rsid w:val="00683F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83F7F"/>
    <w:rPr>
      <w:rFonts w:ascii="Courier New" w:hAnsi="Courier New" w:cs="Courier New"/>
    </w:rPr>
  </w:style>
  <w:style w:type="paragraph" w:styleId="MessageHeader">
    <w:name w:val="Message Header"/>
    <w:basedOn w:val="Normal"/>
    <w:link w:val="MessageHeaderChar"/>
    <w:rsid w:val="00683F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683F7F"/>
    <w:rPr>
      <w:rFonts w:ascii="Arial" w:hAnsi="Arial" w:cs="Arial"/>
      <w:sz w:val="24"/>
      <w:szCs w:val="24"/>
      <w:shd w:val="pct20" w:color="auto" w:fill="auto"/>
    </w:rPr>
  </w:style>
  <w:style w:type="paragraph" w:styleId="NormalWeb">
    <w:name w:val="Normal (Web)"/>
    <w:basedOn w:val="Normal"/>
    <w:rsid w:val="00683F7F"/>
  </w:style>
  <w:style w:type="paragraph" w:styleId="NormalIndent">
    <w:name w:val="Normal Indent"/>
    <w:basedOn w:val="Normal"/>
    <w:rsid w:val="00683F7F"/>
    <w:pPr>
      <w:ind w:left="720"/>
    </w:pPr>
  </w:style>
  <w:style w:type="paragraph" w:styleId="NoteHeading">
    <w:name w:val="Note Heading"/>
    <w:basedOn w:val="Normal"/>
    <w:next w:val="Normal"/>
    <w:link w:val="NoteHeadingChar"/>
    <w:rsid w:val="00683F7F"/>
  </w:style>
  <w:style w:type="character" w:customStyle="1" w:styleId="NoteHeadingChar">
    <w:name w:val="Note Heading Char"/>
    <w:basedOn w:val="DefaultParagraphFont"/>
    <w:link w:val="NoteHeading"/>
    <w:rsid w:val="00683F7F"/>
    <w:rPr>
      <w:sz w:val="24"/>
      <w:szCs w:val="24"/>
    </w:rPr>
  </w:style>
  <w:style w:type="paragraph" w:styleId="PlainText">
    <w:name w:val="Plain Text"/>
    <w:basedOn w:val="Normal"/>
    <w:link w:val="PlainTextChar"/>
    <w:rsid w:val="00683F7F"/>
    <w:rPr>
      <w:rFonts w:ascii="Courier New" w:hAnsi="Courier New" w:cs="Courier New"/>
      <w:sz w:val="20"/>
      <w:szCs w:val="20"/>
    </w:rPr>
  </w:style>
  <w:style w:type="character" w:customStyle="1" w:styleId="PlainTextChar">
    <w:name w:val="Plain Text Char"/>
    <w:basedOn w:val="DefaultParagraphFont"/>
    <w:link w:val="PlainText"/>
    <w:rsid w:val="00683F7F"/>
    <w:rPr>
      <w:rFonts w:ascii="Courier New" w:hAnsi="Courier New" w:cs="Courier New"/>
    </w:rPr>
  </w:style>
  <w:style w:type="paragraph" w:styleId="Salutation">
    <w:name w:val="Salutation"/>
    <w:basedOn w:val="Normal"/>
    <w:next w:val="Normal"/>
    <w:link w:val="SalutationChar"/>
    <w:rsid w:val="00683F7F"/>
  </w:style>
  <w:style w:type="character" w:customStyle="1" w:styleId="SalutationChar">
    <w:name w:val="Salutation Char"/>
    <w:basedOn w:val="DefaultParagraphFont"/>
    <w:link w:val="Salutation"/>
    <w:rsid w:val="00683F7F"/>
    <w:rPr>
      <w:sz w:val="24"/>
      <w:szCs w:val="24"/>
    </w:rPr>
  </w:style>
  <w:style w:type="paragraph" w:styleId="Signature">
    <w:name w:val="Signature"/>
    <w:basedOn w:val="Normal"/>
    <w:link w:val="SignatureChar"/>
    <w:rsid w:val="00683F7F"/>
    <w:pPr>
      <w:ind w:left="4320"/>
    </w:pPr>
  </w:style>
  <w:style w:type="character" w:customStyle="1" w:styleId="SignatureChar">
    <w:name w:val="Signature Char"/>
    <w:basedOn w:val="DefaultParagraphFont"/>
    <w:link w:val="Signature"/>
    <w:rsid w:val="00683F7F"/>
    <w:rPr>
      <w:sz w:val="24"/>
      <w:szCs w:val="24"/>
    </w:rPr>
  </w:style>
  <w:style w:type="paragraph" w:styleId="Subtitle">
    <w:name w:val="Subtitle"/>
    <w:basedOn w:val="Normal"/>
    <w:link w:val="SubtitleChar"/>
    <w:qFormat/>
    <w:rsid w:val="00683F7F"/>
    <w:pPr>
      <w:spacing w:after="60"/>
      <w:jc w:val="center"/>
      <w:outlineLvl w:val="1"/>
    </w:pPr>
    <w:rPr>
      <w:rFonts w:ascii="Arial" w:hAnsi="Arial" w:cs="Arial"/>
    </w:rPr>
  </w:style>
  <w:style w:type="character" w:customStyle="1" w:styleId="SubtitleChar">
    <w:name w:val="Subtitle Char"/>
    <w:basedOn w:val="DefaultParagraphFont"/>
    <w:link w:val="Subtitle"/>
    <w:rsid w:val="00683F7F"/>
    <w:rPr>
      <w:rFonts w:ascii="Arial" w:hAnsi="Arial" w:cs="Arial"/>
      <w:sz w:val="24"/>
      <w:szCs w:val="24"/>
    </w:rPr>
  </w:style>
  <w:style w:type="paragraph" w:styleId="TableofAuthorities">
    <w:name w:val="table of authorities"/>
    <w:basedOn w:val="Normal"/>
    <w:next w:val="Normal"/>
    <w:rsid w:val="00683F7F"/>
    <w:pPr>
      <w:ind w:left="240" w:hanging="240"/>
    </w:pPr>
  </w:style>
  <w:style w:type="paragraph" w:styleId="TableofFigures">
    <w:name w:val="table of figures"/>
    <w:basedOn w:val="Normal"/>
    <w:next w:val="Normal"/>
    <w:rsid w:val="00683F7F"/>
    <w:pPr>
      <w:ind w:left="480" w:hanging="480"/>
    </w:pPr>
  </w:style>
  <w:style w:type="paragraph" w:styleId="Title">
    <w:name w:val="Title"/>
    <w:basedOn w:val="Normal"/>
    <w:link w:val="TitleChar"/>
    <w:qFormat/>
    <w:rsid w:val="00683F7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683F7F"/>
    <w:rPr>
      <w:rFonts w:ascii="Arial" w:hAnsi="Arial" w:cs="Arial"/>
      <w:b/>
      <w:bCs/>
      <w:kern w:val="28"/>
      <w:sz w:val="32"/>
      <w:szCs w:val="32"/>
    </w:rPr>
  </w:style>
  <w:style w:type="paragraph" w:styleId="TOAHeading">
    <w:name w:val="toa heading"/>
    <w:basedOn w:val="Normal"/>
    <w:next w:val="Normal"/>
    <w:rsid w:val="00683F7F"/>
    <w:pPr>
      <w:spacing w:before="120"/>
    </w:pPr>
    <w:rPr>
      <w:rFonts w:ascii="Arial" w:hAnsi="Arial" w:cs="Arial"/>
      <w:b/>
      <w:bCs/>
    </w:rPr>
  </w:style>
  <w:style w:type="paragraph" w:styleId="TOC4">
    <w:name w:val="toc 4"/>
    <w:basedOn w:val="Normal"/>
    <w:next w:val="Normal"/>
    <w:autoRedefine/>
    <w:rsid w:val="00683F7F"/>
    <w:pPr>
      <w:ind w:left="720"/>
    </w:pPr>
  </w:style>
  <w:style w:type="paragraph" w:styleId="TOC5">
    <w:name w:val="toc 5"/>
    <w:basedOn w:val="Normal"/>
    <w:next w:val="Normal"/>
    <w:autoRedefine/>
    <w:rsid w:val="00683F7F"/>
    <w:pPr>
      <w:ind w:left="960"/>
    </w:pPr>
  </w:style>
  <w:style w:type="paragraph" w:styleId="TOC6">
    <w:name w:val="toc 6"/>
    <w:basedOn w:val="Normal"/>
    <w:next w:val="Normal"/>
    <w:autoRedefine/>
    <w:rsid w:val="00683F7F"/>
    <w:pPr>
      <w:ind w:left="1200"/>
    </w:pPr>
  </w:style>
  <w:style w:type="paragraph" w:styleId="TOC9">
    <w:name w:val="toc 9"/>
    <w:basedOn w:val="TOC1"/>
    <w:next w:val="Normal"/>
    <w:autoRedefine/>
    <w:rsid w:val="00683F7F"/>
    <w:pPr>
      <w:ind w:left="1728"/>
    </w:pPr>
    <w:rPr>
      <w:u w:val="single"/>
    </w:rPr>
  </w:style>
  <w:style w:type="paragraph" w:customStyle="1" w:styleId="MemoHeadingLabel">
    <w:name w:val="Memo Heading Label"/>
    <w:basedOn w:val="MemoHeading"/>
    <w:qFormat/>
    <w:rsid w:val="00683F7F"/>
    <w:rPr>
      <w:rFonts w:ascii="Arial" w:hAnsi="Arial"/>
      <w:b/>
    </w:rPr>
  </w:style>
  <w:style w:type="paragraph" w:customStyle="1" w:styleId="First-LevelSubheading">
    <w:name w:val="First-Level Subheading"/>
    <w:basedOn w:val="IssueSubsectionHeading"/>
    <w:next w:val="BodyText"/>
    <w:qFormat/>
    <w:rsid w:val="00683F7F"/>
    <w:pPr>
      <w:spacing w:after="0"/>
      <w:outlineLvl w:val="2"/>
    </w:pPr>
    <w:rPr>
      <w:b/>
    </w:rPr>
  </w:style>
  <w:style w:type="paragraph" w:customStyle="1" w:styleId="Second-LevelSubheading">
    <w:name w:val="Second-Level Subheading"/>
    <w:basedOn w:val="First-LevelSubheading"/>
    <w:next w:val="BodyText"/>
    <w:qFormat/>
    <w:rsid w:val="00683F7F"/>
    <w:pPr>
      <w:ind w:left="720"/>
      <w:outlineLvl w:val="3"/>
    </w:pPr>
    <w:rPr>
      <w:i/>
    </w:rPr>
  </w:style>
  <w:style w:type="paragraph" w:customStyle="1" w:styleId="TableNumber">
    <w:name w:val="Table Number"/>
    <w:basedOn w:val="BodyText"/>
    <w:next w:val="BodyText"/>
    <w:qFormat/>
    <w:rsid w:val="00683F7F"/>
    <w:pPr>
      <w:spacing w:before="480" w:after="0"/>
      <w:jc w:val="center"/>
    </w:pPr>
    <w:rPr>
      <w:rFonts w:ascii="Arial" w:hAnsi="Arial"/>
      <w:b/>
    </w:rPr>
  </w:style>
  <w:style w:type="paragraph" w:customStyle="1" w:styleId="TableTitle">
    <w:name w:val="Table Title"/>
    <w:basedOn w:val="BodyText"/>
    <w:next w:val="BodyText"/>
    <w:qFormat/>
    <w:rsid w:val="00683F7F"/>
    <w:pPr>
      <w:spacing w:after="0"/>
      <w:jc w:val="center"/>
    </w:pPr>
    <w:rPr>
      <w:rFonts w:ascii="Arial" w:hAnsi="Arial"/>
      <w:b/>
    </w:rPr>
  </w:style>
  <w:style w:type="paragraph" w:customStyle="1" w:styleId="TableSource">
    <w:name w:val="Table Source"/>
    <w:basedOn w:val="BodyText"/>
    <w:next w:val="BodyText"/>
    <w:qFormat/>
    <w:rsid w:val="00683F7F"/>
    <w:pPr>
      <w:spacing w:after="480"/>
      <w:jc w:val="both"/>
    </w:pPr>
  </w:style>
  <w:style w:type="paragraph" w:styleId="ListParagraph">
    <w:name w:val="List Paragraph"/>
    <w:basedOn w:val="Normal"/>
    <w:uiPriority w:val="34"/>
    <w:qFormat/>
    <w:rsid w:val="00683F7F"/>
    <w:pPr>
      <w:ind w:left="720"/>
      <w:contextualSpacing/>
    </w:pPr>
    <w:rPr>
      <w:rFonts w:ascii="Calibri" w:eastAsia="Calibri" w:hAnsi="Calibri"/>
    </w:rPr>
  </w:style>
  <w:style w:type="numbering" w:styleId="111111">
    <w:name w:val="Outline List 2"/>
    <w:basedOn w:val="NoList"/>
    <w:rsid w:val="00683F7F"/>
    <w:pPr>
      <w:numPr>
        <w:numId w:val="14"/>
      </w:numPr>
    </w:pPr>
  </w:style>
  <w:style w:type="character" w:customStyle="1" w:styleId="FootnoteTextChar">
    <w:name w:val="Footnote Text Char"/>
    <w:link w:val="FootnoteText"/>
    <w:uiPriority w:val="99"/>
    <w:rsid w:val="00683F7F"/>
  </w:style>
  <w:style w:type="character" w:customStyle="1" w:styleId="FooterChar">
    <w:name w:val="Footer Char"/>
    <w:basedOn w:val="DefaultParagraphFont"/>
    <w:link w:val="Footer"/>
    <w:rsid w:val="004138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1570</TotalTime>
  <Pages>19</Pages>
  <Words>6305</Words>
  <Characters>36417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9</cp:revision>
  <cp:lastPrinted>2015-08-19T16:50:00Z</cp:lastPrinted>
  <dcterms:created xsi:type="dcterms:W3CDTF">2015-07-21T16:40:00Z</dcterms:created>
  <dcterms:modified xsi:type="dcterms:W3CDTF">2015-08-19T16:50:00Z</dcterms:modified>
</cp:coreProperties>
</file>