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92A46" w:rsidP="00292A46">
      <w:pPr>
        <w:pStyle w:val="OrderHeading"/>
      </w:pPr>
      <w:r>
        <w:t>BEFORE THE FLORIDA PUBLIC SERVICE COMMISSION</w:t>
      </w:r>
    </w:p>
    <w:p w:rsidR="00292A46" w:rsidRDefault="00292A46" w:rsidP="00292A4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2A46" w:rsidRPr="00C63FCF" w:rsidTr="00C63FCF">
        <w:trPr>
          <w:trHeight w:val="828"/>
        </w:trPr>
        <w:tc>
          <w:tcPr>
            <w:tcW w:w="4788" w:type="dxa"/>
            <w:tcBorders>
              <w:bottom w:val="single" w:sz="8" w:space="0" w:color="auto"/>
              <w:right w:val="double" w:sz="6" w:space="0" w:color="auto"/>
            </w:tcBorders>
            <w:shd w:val="clear" w:color="auto" w:fill="auto"/>
          </w:tcPr>
          <w:p w:rsidR="00292A46" w:rsidRDefault="00292A46" w:rsidP="00C63FCF">
            <w:pPr>
              <w:pStyle w:val="OrderBody"/>
              <w:tabs>
                <w:tab w:val="center" w:pos="4320"/>
                <w:tab w:val="right" w:pos="8640"/>
              </w:tabs>
              <w:jc w:val="left"/>
            </w:pPr>
            <w:r>
              <w:t xml:space="preserve">In re: </w:t>
            </w:r>
            <w:bookmarkStart w:id="0" w:name="SSInRe"/>
            <w:bookmarkEnd w:id="0"/>
            <w:r>
              <w:t>Petition for determination of need for Okeechobee Clean Energy Center Unit 1, by Florida Power &amp; Light Company.</w:t>
            </w:r>
          </w:p>
        </w:tc>
        <w:tc>
          <w:tcPr>
            <w:tcW w:w="4788" w:type="dxa"/>
            <w:tcBorders>
              <w:left w:val="double" w:sz="6" w:space="0" w:color="auto"/>
            </w:tcBorders>
            <w:shd w:val="clear" w:color="auto" w:fill="auto"/>
          </w:tcPr>
          <w:p w:rsidR="00292A46" w:rsidRDefault="00292A46" w:rsidP="00292A46">
            <w:pPr>
              <w:pStyle w:val="OrderBody"/>
            </w:pPr>
            <w:r>
              <w:t xml:space="preserve">DOCKET NO. </w:t>
            </w:r>
            <w:bookmarkStart w:id="1" w:name="SSDocketNo"/>
            <w:bookmarkEnd w:id="1"/>
            <w:r>
              <w:t>150196-EI</w:t>
            </w:r>
          </w:p>
          <w:p w:rsidR="00292A46" w:rsidRDefault="00292A46" w:rsidP="00C63FCF">
            <w:pPr>
              <w:pStyle w:val="OrderBody"/>
              <w:tabs>
                <w:tab w:val="center" w:pos="4320"/>
                <w:tab w:val="right" w:pos="8640"/>
              </w:tabs>
              <w:jc w:val="left"/>
            </w:pPr>
            <w:r>
              <w:t xml:space="preserve">ORDER NO. </w:t>
            </w:r>
            <w:bookmarkStart w:id="2" w:name="OrderNo0394"/>
            <w:r w:rsidR="00637F96">
              <w:t>PSC-15-0394-PCO-EI</w:t>
            </w:r>
            <w:bookmarkEnd w:id="2"/>
          </w:p>
          <w:p w:rsidR="00292A46" w:rsidRDefault="00292A46" w:rsidP="00C63FCF">
            <w:pPr>
              <w:pStyle w:val="OrderBody"/>
              <w:tabs>
                <w:tab w:val="center" w:pos="4320"/>
                <w:tab w:val="right" w:pos="8640"/>
              </w:tabs>
              <w:jc w:val="left"/>
            </w:pPr>
            <w:r>
              <w:t xml:space="preserve">ISSUED: </w:t>
            </w:r>
            <w:r w:rsidR="00637F96">
              <w:t>September 16, 2015</w:t>
            </w:r>
          </w:p>
        </w:tc>
      </w:tr>
    </w:tbl>
    <w:p w:rsidR="00292A46" w:rsidRDefault="00292A46" w:rsidP="00292A46"/>
    <w:p w:rsidR="00292A46" w:rsidRDefault="00292A46" w:rsidP="00292A46"/>
    <w:p w:rsidR="00CB5276" w:rsidRDefault="00292A46" w:rsidP="00292A46">
      <w:pPr>
        <w:pStyle w:val="CenterUnderline"/>
      </w:pPr>
      <w:bookmarkStart w:id="3" w:name="Commissioners"/>
      <w:bookmarkEnd w:id="3"/>
      <w:r>
        <w:t>ORDER</w:t>
      </w:r>
      <w:bookmarkStart w:id="4" w:name="OrderTitle"/>
      <w:r>
        <w:t xml:space="preserve"> ESTABLISHING PROCEDURE </w:t>
      </w:r>
      <w:bookmarkEnd w:id="4"/>
    </w:p>
    <w:p w:rsidR="00CB5276" w:rsidRDefault="00CB5276">
      <w:pPr>
        <w:pStyle w:val="OrderBody"/>
      </w:pPr>
      <w:bookmarkStart w:id="5" w:name="OrderText"/>
      <w:bookmarkEnd w:id="5"/>
    </w:p>
    <w:p w:rsidR="004C3762" w:rsidRDefault="004C3762">
      <w:pPr>
        <w:pStyle w:val="OrderBody"/>
      </w:pPr>
    </w:p>
    <w:p w:rsidR="00292A46" w:rsidRP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292A46">
        <w:rPr>
          <w:b/>
          <w:bCs/>
          <w:u w:val="single"/>
        </w:rPr>
        <w:t>Case Background</w:t>
      </w:r>
    </w:p>
    <w:p w:rsidR="00292A46" w:rsidRP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92A46" w:rsidRPr="007230AC" w:rsidRDefault="00292A46" w:rsidP="00494F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r>
      <w:r w:rsidR="007230AC">
        <w:t>O</w:t>
      </w:r>
      <w:r w:rsidR="00381808">
        <w:t xml:space="preserve">n September 3, 2015, Florida Power &amp; Light (FPL) filed a Petition and supporting testimony </w:t>
      </w:r>
      <w:r w:rsidR="00196CA2">
        <w:t xml:space="preserve">to Determine Need </w:t>
      </w:r>
      <w:r w:rsidR="00381808">
        <w:t>for the construction of a combined cycle generating unit</w:t>
      </w:r>
      <w:r w:rsidR="00196CA2">
        <w:t xml:space="preserve"> </w:t>
      </w:r>
      <w:r w:rsidR="00381808">
        <w:t>in Okeechobee County,</w:t>
      </w:r>
      <w:r w:rsidR="00196CA2">
        <w:t xml:space="preserve"> together with the associated facilities, including transmission lines and substation facilities,</w:t>
      </w:r>
      <w:r w:rsidR="00381808">
        <w:t xml:space="preserve"> </w:t>
      </w:r>
      <w:r w:rsidR="00196CA2">
        <w:t>pursuant to Sections 366.04 and 403.519, Florida Statutes (F.S.), and Rules 25-22.080, 25-22.081, 25-22.082, and 28-106.201, Florida Administrative Code (F.A.C.).</w:t>
      </w:r>
      <w:r w:rsidR="00381808">
        <w:t xml:space="preserve">  On September </w:t>
      </w:r>
      <w:r w:rsidR="00133D67" w:rsidRPr="00133D67">
        <w:t>11</w:t>
      </w:r>
      <w:r w:rsidR="00381808">
        <w:t>, 2015, the Commission issued a Notice of Commencement of Proceedings pursuant to Rule 25-22.080(3), F.A.C. Th</w:t>
      </w:r>
      <w:r w:rsidR="00494F86">
        <w:t>is</w:t>
      </w:r>
      <w:r w:rsidR="00381808">
        <w:t xml:space="preserve"> matter is scheduled for a formal administrative hearing beginning on December 1, 2015.</w:t>
      </w:r>
    </w:p>
    <w:p w:rsidR="00292A46" w:rsidRP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92A46" w:rsidRP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p>
    <w:p w:rsid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r>
    </w:p>
    <w:p w:rsidR="004C3762" w:rsidRPr="00292A46" w:rsidRDefault="004C3762"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292A46" w:rsidRP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rPr>
          <w:b/>
          <w:bCs/>
        </w:rPr>
        <w:t>II.</w:t>
      </w:r>
      <w:r w:rsidRPr="00292A46">
        <w:rPr>
          <w:b/>
          <w:bCs/>
        </w:rPr>
        <w:tab/>
      </w:r>
      <w:r w:rsidRPr="00292A46">
        <w:rPr>
          <w:b/>
          <w:bCs/>
          <w:u w:val="single"/>
        </w:rPr>
        <w:t>General Filing Procedures</w:t>
      </w:r>
    </w:p>
    <w:p w:rsidR="00292A46" w:rsidRP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Filings pertaining to this docket should identify the assigned docket number.  Filing may be accomplished electronically as provided in the Commission’s Electronic Filing Requirements, posted on its Web site www.floridapsc.com under the Clerk’s Office menu, or by submitting the original document and the appropriate number of copies, as provided by Rule 25-22.028, F.A.C., to the Office of Commission Clerk via mail, hand delivery, or courier service addressed to:</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 xml:space="preserve">Office of Commission Clerk </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Florida Public Service Commission</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2540 Shumard Oak Boulevard</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Tallahassee, Florida  32399-0850</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 xml:space="preserve">The Commission strongly encourages Web based electronic filing, which is available from FPSC’s Home Page under the Clerk’s Office menu and Web Based Electronic Filing.  This application accepts documents in Adobe PDF format only. The e-mail attachment method of e-filing remains available until further notice and is subject to certain filing restrictions listed on the Clerk’s Electronic Filing Requirements link.  The filing party is responsible for ensuring that no information protected by privacy or confidentiality laws is contained in any document that </w:t>
      </w:r>
      <w:r w:rsidRPr="00292A46">
        <w:lastRenderedPageBreak/>
        <w:t>would be posted to FPSC’s Web site in the regular course of business.   To the extent possible, an electronic copy of all filings shall be provided to parties and staff in Microsoft Word format and all schedules shall be provided in Microsoft Excel format with formulas intact and unlocked.</w:t>
      </w:r>
    </w:p>
    <w:p w:rsid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C3762" w:rsidRPr="00292A46" w:rsidRDefault="004C3762"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Default="00A7173D"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A7173D">
        <w:rPr>
          <w:b/>
        </w:rPr>
        <w:t>III.</w:t>
      </w:r>
      <w:r>
        <w:tab/>
      </w:r>
      <w:r>
        <w:rPr>
          <w:b/>
          <w:u w:val="single"/>
        </w:rPr>
        <w:t>Notice and Public Information</w:t>
      </w:r>
    </w:p>
    <w:p w:rsidR="00A7173D" w:rsidRDefault="00A7173D"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p>
    <w:p w:rsidR="00A7173D" w:rsidRPr="00A7173D" w:rsidRDefault="00A7173D"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to the </w:t>
      </w:r>
      <w:r w:rsidR="001404C9">
        <w:t>N</w:t>
      </w:r>
      <w:r>
        <w:t xml:space="preserve">otice of </w:t>
      </w:r>
      <w:r w:rsidR="001404C9">
        <w:t>C</w:t>
      </w:r>
      <w:r>
        <w:t xml:space="preserve">ommencement of </w:t>
      </w:r>
      <w:r w:rsidR="001404C9">
        <w:t>P</w:t>
      </w:r>
      <w:r>
        <w:t>roceedings and the usual notice the Commission issues for administrative hearings, Section 403.519(2), F.S., provides that FPL shall publish a notice of the proceeding in a newspaper of general circulation in each county in which the proposed electrical power plant will be located at least 21 days prior to the scheduled date for the proceeding.</w:t>
      </w:r>
    </w:p>
    <w:p w:rsidR="009C0FEA" w:rsidRDefault="009C0FEA"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C3762" w:rsidRPr="00292A46" w:rsidRDefault="004C3762"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rPr>
          <w:b/>
        </w:rPr>
        <w:t>I</w:t>
      </w:r>
      <w:r w:rsidR="00A7173D">
        <w:rPr>
          <w:b/>
        </w:rPr>
        <w:t>V</w:t>
      </w:r>
      <w:r w:rsidRPr="00292A46">
        <w:rPr>
          <w:b/>
        </w:rPr>
        <w:t>.</w:t>
      </w:r>
      <w:r w:rsidRPr="00292A46">
        <w:rPr>
          <w:b/>
        </w:rPr>
        <w:tab/>
      </w:r>
      <w:r w:rsidRPr="00292A46">
        <w:rPr>
          <w:b/>
          <w:u w:val="single"/>
        </w:rPr>
        <w:t>Tentative List of Issues</w:t>
      </w:r>
    </w:p>
    <w:p w:rsidR="00292A46" w:rsidRP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292A46" w:rsidRP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A list of the issues identified thus far in this proceeding is attached hereto as Appendix A.  The scope of this proceeding will be based upon these issues as well as other issues raised by the parties up to</w:t>
      </w:r>
      <w:r w:rsidR="001404C9">
        <w:t>,</w:t>
      </w:r>
      <w:r w:rsidRPr="00292A46">
        <w:t xml:space="preserve"> and during the Prehearing Conference, unless modified by the Commission.</w:t>
      </w:r>
    </w:p>
    <w:p w:rsid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4C3762" w:rsidRPr="00292A46" w:rsidRDefault="004C3762"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292A46" w:rsidRP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92A46">
        <w:rPr>
          <w:b/>
        </w:rPr>
        <w:t>V.</w:t>
      </w:r>
      <w:r w:rsidRPr="00292A46">
        <w:rPr>
          <w:b/>
        </w:rPr>
        <w:tab/>
      </w:r>
      <w:r w:rsidRPr="00292A46">
        <w:rPr>
          <w:b/>
          <w:u w:val="single"/>
        </w:rPr>
        <w:t>Prefiled Testimony and Exhibits</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 xml:space="preserve">Each party shall file all testimony and exhibits that it intends to sponsor, pursuant to the schedule set forth in Section </w:t>
      </w:r>
      <w:r w:rsidR="00CD0DDB" w:rsidRPr="00CD0DDB">
        <w:t>X</w:t>
      </w:r>
      <w:r w:rsidRPr="00292A46">
        <w:t xml:space="preserve"> of this Order.  Testimony and exhibits may be filed electronically using the Web based electronic filing method.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292A46">
          <w:t>5:00 p.m.</w:t>
        </w:r>
      </w:smartTag>
      <w:r w:rsidRPr="00292A46">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292A46" w:rsidRPr="00292A46" w:rsidRDefault="00292A46" w:rsidP="004C37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292A46" w:rsidRPr="00292A46" w:rsidRDefault="00292A46" w:rsidP="004C37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ab/>
        <w:t>Each exhibit sponsored by a witness in support of his or her prefiled testimony shall be:</w:t>
      </w:r>
    </w:p>
    <w:p w:rsidR="00292A46" w:rsidRPr="00292A46" w:rsidRDefault="00292A46" w:rsidP="004C37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92A46" w:rsidRPr="00292A46" w:rsidRDefault="00292A46" w:rsidP="004C376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Attached to that witness’ testimony when filed;</w:t>
      </w:r>
    </w:p>
    <w:p w:rsidR="00292A46" w:rsidRPr="00292A46" w:rsidRDefault="00292A46" w:rsidP="004C376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If filing paper copies, on three-holed paper, unbound, and without tabs;</w:t>
      </w:r>
    </w:p>
    <w:p w:rsidR="004C3762" w:rsidRDefault="00292A46" w:rsidP="004C376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Sequentially numbered beginning with 1 (any exhibits attached to subsequently filed testimony of the same witness shall continue the sequential numbering system);</w:t>
      </w:r>
    </w:p>
    <w:p w:rsidR="00292A46" w:rsidRPr="00292A46" w:rsidRDefault="00292A46" w:rsidP="004C3762"/>
    <w:p w:rsidR="00292A46" w:rsidRPr="00292A46" w:rsidRDefault="00292A46" w:rsidP="004C376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Identified in the upper right-hand corner of each page by the docket number, a brief title, and the witness’ initials followed by the exhibit’s number; and</w:t>
      </w:r>
    </w:p>
    <w:p w:rsidR="00292A46" w:rsidRPr="00292A46" w:rsidRDefault="00292A46" w:rsidP="004C376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Paginated by showing in the upper right-hand corner of each page the page number followed by the total number of pages in the exhibit.</w:t>
      </w:r>
    </w:p>
    <w:p w:rsidR="00292A46" w:rsidRPr="00292A46" w:rsidRDefault="00292A46" w:rsidP="004C37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92A46" w:rsidRPr="00292A46" w:rsidRDefault="00292A46" w:rsidP="004C37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ab/>
        <w:t>An example of the information to appear in the upper right-hand corner of the exhibit is as follows:</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92A46">
        <w:tab/>
      </w:r>
      <w:r w:rsidRPr="00292A46">
        <w:tab/>
        <w:t>Docket No. 012345-EI</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92A46">
        <w:tab/>
      </w:r>
      <w:r w:rsidRPr="00292A46">
        <w:tab/>
        <w:t xml:space="preserve">Foreign Coal Shipments to </w:t>
      </w:r>
      <w:smartTag w:uri="urn:schemas-microsoft-com:office:smarttags" w:element="place">
        <w:smartTag w:uri="urn:schemas-microsoft-com:office:smarttags" w:element="Street">
          <w:smartTag w:uri="urn:schemas-microsoft-com:office:smarttags" w:element="PlaceType">
            <w:r w:rsidRPr="00292A46">
              <w:t>Port</w:t>
            </w:r>
          </w:smartTag>
          <w:r w:rsidRPr="00292A46">
            <w:t xml:space="preserve"> of </w:t>
          </w:r>
          <w:smartTag w:uri="urn:schemas-microsoft-com:office:smarttags" w:element="PlaceName">
            <w:r w:rsidRPr="00292A46">
              <w:t>Tampa</w:t>
            </w:r>
          </w:smartTag>
        </w:smartTag>
      </w:smartTag>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92A46">
        <w:tab/>
      </w:r>
      <w:r w:rsidRPr="00292A46">
        <w:tab/>
        <w:t>Exhibit BLW-1, Page 1 of 2</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After an opportunity for opposing parties to object to introduction of the exhibits and to cross-examine the witness sponsoring them, exhibits may be offered into evidence at the hearing.</w:t>
      </w:r>
    </w:p>
    <w:p w:rsidR="00A7173D" w:rsidRDefault="00A7173D"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4C3762" w:rsidRDefault="004C3762"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292A46" w:rsidRPr="00292A46" w:rsidRDefault="009C0FEA"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A7173D">
        <w:rPr>
          <w:b/>
        </w:rPr>
        <w:t>I</w:t>
      </w:r>
      <w:r>
        <w:rPr>
          <w:b/>
        </w:rPr>
        <w:t>.</w:t>
      </w:r>
      <w:r w:rsidR="00292A46" w:rsidRPr="00292A46">
        <w:rPr>
          <w:b/>
        </w:rPr>
        <w:tab/>
      </w:r>
      <w:r w:rsidR="00292A46" w:rsidRPr="00292A46">
        <w:rPr>
          <w:b/>
          <w:u w:val="single"/>
        </w:rPr>
        <w:t>Discovery Procedures</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A.</w:t>
      </w:r>
      <w:r w:rsidRPr="00292A46">
        <w:tab/>
      </w:r>
      <w:r w:rsidRPr="00292A46">
        <w:rPr>
          <w:u w:val="single"/>
        </w:rPr>
        <w:t>General Requirements</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Discovery shall be conducted in accordance with the provisions of Chapter 120, F.S., and the</w:t>
      </w:r>
      <w:r w:rsidR="00944557">
        <w:t xml:space="preserve"> relevant provisions of Chapter 366, F.S., </w:t>
      </w:r>
      <w:r w:rsidRPr="00292A46">
        <w:t>Rules 25-22, 25-40, and 28-106, F.A.C., and the Florida Rules of Civil Procedure (as applicable), as modified herein or as may be subsequently modified by the Prehearing Officer.</w:t>
      </w:r>
    </w:p>
    <w:p w:rsidR="00292A46" w:rsidRPr="00292A46" w:rsidRDefault="00292A46" w:rsidP="004C3762">
      <w:pPr>
        <w:jc w:val="both"/>
        <w:rPr>
          <w:rFonts w:cs="Courier New"/>
        </w:rPr>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Unless subsequently modified by the Prehearing Officer, the following shall apply:</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jc w:val="both"/>
      </w:pPr>
    </w:p>
    <w:p w:rsidR="00292A46" w:rsidRPr="00292A46" w:rsidRDefault="00292A46" w:rsidP="004C37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 xml:space="preserve">Discovery shall be completed by </w:t>
      </w:r>
      <w:r w:rsidR="00F72B6D" w:rsidRPr="00414C65">
        <w:t>November 16, 2015.</w:t>
      </w:r>
    </w:p>
    <w:p w:rsidR="00292A46" w:rsidRPr="00292A46" w:rsidRDefault="00292A46" w:rsidP="004C37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292A46" w:rsidRPr="00292A46" w:rsidRDefault="00292A46" w:rsidP="004C37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Sets of interrogatories, requests for admissions, requests for production of documents, or other forms of discovery shall be numbered sequentially in order to facilitate identification.</w:t>
      </w:r>
    </w:p>
    <w:p w:rsidR="00292A46" w:rsidRPr="00292A46" w:rsidRDefault="00292A46" w:rsidP="004C37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Within each set, discovery requests shall be numbered sequentially, and any discovery requests in subsequent sets shall continue the sequential numbering system.</w:t>
      </w:r>
    </w:p>
    <w:p w:rsidR="004C3762" w:rsidRDefault="004C3762">
      <w:r>
        <w:br w:type="page"/>
      </w:r>
    </w:p>
    <w:p w:rsidR="00292A46" w:rsidRPr="00292A46" w:rsidRDefault="00292A46" w:rsidP="004C37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lastRenderedPageBreak/>
        <w:t xml:space="preserve">For discovery responses made prior to the filing of the utility’s rebuttal testimony, discovery responses shall be served within </w:t>
      </w:r>
      <w:r w:rsidR="00F72B6D">
        <w:t>2</w:t>
      </w:r>
      <w:r w:rsidRPr="00292A46">
        <w:t>0 calendar days (inclusive of mailing) of receipt of the discovery request.  For discovery requests related to matters addressed in the utility’s rebuttal testimony, discovery responses shall be served within</w:t>
      </w:r>
      <w:r w:rsidRPr="00292A46">
        <w:rPr>
          <w:b/>
        </w:rPr>
        <w:t xml:space="preserve"> </w:t>
      </w:r>
      <w:r w:rsidR="00F72B6D" w:rsidRPr="00F72B6D">
        <w:t>14</w:t>
      </w:r>
      <w:r w:rsidRPr="00292A46">
        <w:t xml:space="preserve"> days of receipt of the discovery request.</w:t>
      </w:r>
    </w:p>
    <w:p w:rsidR="00292A46" w:rsidRPr="00292A46" w:rsidRDefault="00292A46" w:rsidP="004C37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292A46" w:rsidRPr="00292A46" w:rsidRDefault="00292A46" w:rsidP="004C37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292A46">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292A46">
              <w:t>Tallahassee</w:t>
            </w:r>
          </w:smartTag>
        </w:smartTag>
      </w:smartTag>
      <w:r w:rsidRPr="00292A46">
        <w:t xml:space="preserve"> office unless otherwise agreed.</w:t>
      </w:r>
    </w:p>
    <w:p w:rsidR="00292A46" w:rsidRPr="00317D84" w:rsidRDefault="00292A46" w:rsidP="004C37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17D84">
        <w:t xml:space="preserve">Parties shall file in the Commission Clerk’s Office a </w:t>
      </w:r>
      <w:r w:rsidR="00414C65">
        <w:t>N</w:t>
      </w:r>
      <w:r w:rsidRPr="00317D84">
        <w:t xml:space="preserve">otice of </w:t>
      </w:r>
      <w:r w:rsidR="00414C65">
        <w:t>S</w:t>
      </w:r>
      <w:r w:rsidRPr="00317D84">
        <w:t xml:space="preserve">ervice of any interrogatories or request for production of documents propounded in this docket, giving the date of service and the name of the party to whom the discovery was directed.  </w:t>
      </w:r>
    </w:p>
    <w:p w:rsidR="00CD0DDB" w:rsidRDefault="00CD0DDB"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C3762" w:rsidRPr="00292A46" w:rsidRDefault="004C3762"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Unless subsequently modified by the Prehearing Officer, the following shall apply:</w:t>
      </w:r>
    </w:p>
    <w:p w:rsidR="00292A46" w:rsidRPr="007C4C50" w:rsidRDefault="00292A46" w:rsidP="004C3762">
      <w:pPr>
        <w:jc w:val="both"/>
      </w:pPr>
    </w:p>
    <w:p w:rsidR="00292A46" w:rsidRPr="007C4C50" w:rsidRDefault="00292A46" w:rsidP="004C376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C4C50">
        <w:t>Interrogatories, including all subparts, shall be limited to</w:t>
      </w:r>
      <w:r w:rsidR="007C4C50" w:rsidRPr="007C4C50">
        <w:t xml:space="preserve"> 200.</w:t>
      </w:r>
    </w:p>
    <w:p w:rsidR="00292A46" w:rsidRPr="007C4C50" w:rsidRDefault="00292A46" w:rsidP="004C376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C4C50">
        <w:t xml:space="preserve">Requests for production of documents, including all subparts, shall be limited to </w:t>
      </w:r>
      <w:r w:rsidR="007C4C50" w:rsidRPr="007C4C50">
        <w:t>200.</w:t>
      </w:r>
    </w:p>
    <w:p w:rsidR="00292A46" w:rsidRPr="007C4C50" w:rsidRDefault="00292A46" w:rsidP="004C376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C4C50">
        <w:t>Requests for admissions, including all subparts, shall be limited to</w:t>
      </w:r>
      <w:r w:rsidR="007C4C50" w:rsidRPr="007C4C50">
        <w:t xml:space="preserve"> 100.</w:t>
      </w:r>
    </w:p>
    <w:p w:rsidR="00292A46" w:rsidRPr="00292A46" w:rsidRDefault="00292A46" w:rsidP="004C37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92A46" w:rsidRPr="00292A46" w:rsidRDefault="00292A46" w:rsidP="004C3762">
      <w:pPr>
        <w:ind w:firstLine="720"/>
        <w:jc w:val="both"/>
        <w:rPr>
          <w:rFonts w:cs="Courier New"/>
        </w:rPr>
      </w:pPr>
      <w:r w:rsidRPr="00292A46">
        <w:rPr>
          <w:rFonts w:cs="Courier New"/>
        </w:rPr>
        <w:t>When a discovery request is served</w:t>
      </w:r>
      <w:r w:rsidR="00F72B6D" w:rsidRPr="00CD0DDB">
        <w:rPr>
          <w:rFonts w:cs="Courier New"/>
        </w:rPr>
        <w:t xml:space="preserve"> prior to the filing of the utility’s rebuttal testimony</w:t>
      </w:r>
      <w:r w:rsidRPr="00CD0DDB">
        <w:rPr>
          <w:rFonts w:cs="Courier New"/>
        </w:rPr>
        <w:t xml:space="preserve"> and the respondent intends to seek clarification of any portion of the discovery request, the respondent shall request such clarification within </w:t>
      </w:r>
      <w:r w:rsidR="00F72B6D" w:rsidRPr="00414C65">
        <w:rPr>
          <w:rFonts w:cs="Courier New"/>
        </w:rPr>
        <w:t>7</w:t>
      </w:r>
      <w:r w:rsidR="00F72B6D" w:rsidRPr="00414C65">
        <w:rPr>
          <w:rFonts w:cs="Courier New"/>
          <w:i/>
        </w:rPr>
        <w:t xml:space="preserve"> </w:t>
      </w:r>
      <w:r w:rsidRPr="00414C65">
        <w:rPr>
          <w:rFonts w:cs="Courier New"/>
        </w:rPr>
        <w:t xml:space="preserve">days of service of the discovery request.  </w:t>
      </w:r>
      <w:r w:rsidR="00CD0DDB" w:rsidRPr="00414C65">
        <w:rPr>
          <w:rFonts w:cs="Courier New"/>
        </w:rPr>
        <w:t>Further, any request for clarification regarding discovery requests regarding issues addressed in the utility’s rebuttal testimony shall be made within 5 days</w:t>
      </w:r>
      <w:r w:rsidR="00CD0DDB" w:rsidRPr="00CD0DDB">
        <w:rPr>
          <w:rFonts w:cs="Courier New"/>
        </w:rPr>
        <w:t xml:space="preserve"> of service of the discovery request. </w:t>
      </w:r>
      <w:r w:rsidR="00F72B6D" w:rsidRPr="00F72B6D">
        <w:rPr>
          <w:rFonts w:cs="Courier New"/>
        </w:rPr>
        <w:t>These</w:t>
      </w:r>
      <w:r w:rsidRPr="00F72B6D">
        <w:rPr>
          <w:rFonts w:cs="Courier New"/>
        </w:rPr>
        <w:t xml:space="preserve"> procedure</w:t>
      </w:r>
      <w:r w:rsidR="00F72B6D" w:rsidRPr="00F72B6D">
        <w:rPr>
          <w:rFonts w:cs="Courier New"/>
        </w:rPr>
        <w:t>s</w:t>
      </w:r>
      <w:r w:rsidRPr="00F72B6D">
        <w:rPr>
          <w:rFonts w:cs="Courier New"/>
        </w:rPr>
        <w:t xml:space="preserve"> are</w:t>
      </w:r>
      <w:r w:rsidRPr="00292A46">
        <w:rPr>
          <w:rFonts w:cs="Courier New"/>
        </w:rPr>
        <w:t xml:space="preserve"> intended to reduce delay in resolving discovery disputes.</w:t>
      </w:r>
    </w:p>
    <w:p w:rsidR="00292A46" w:rsidRPr="00292A46" w:rsidRDefault="00292A46" w:rsidP="004C37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92A46" w:rsidRPr="00292A46" w:rsidRDefault="00292A46" w:rsidP="004C37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ab/>
        <w:t>B.</w:t>
      </w:r>
      <w:r w:rsidRPr="00292A46">
        <w:tab/>
      </w:r>
      <w:r w:rsidRPr="00292A46">
        <w:rPr>
          <w:u w:val="single"/>
        </w:rPr>
        <w:t>Confidential Information Provided Pursuant to Discovery</w:t>
      </w:r>
      <w:r w:rsidRPr="00292A46">
        <w:tab/>
      </w:r>
    </w:p>
    <w:p w:rsidR="00292A46" w:rsidRPr="00292A46" w:rsidRDefault="00292A46" w:rsidP="004C37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 xml:space="preserve">Any information provided to the Commission staff pursuant to a discovery request by the staff or any other person and for which proprietary confidential business information status is requested pursuant to Section </w:t>
      </w:r>
      <w:r w:rsidR="00944557" w:rsidRPr="00944557">
        <w:t>366.093</w:t>
      </w:r>
      <w:r w:rsidRPr="00292A46">
        <w:t xml:space="preserve">, F.S., and Rule 25-22.006, F.A.C., shall be treated by the Commission as confidential.  The information shall be exempt from Section 119.07(1), </w:t>
      </w:r>
      <w:smartTag w:uri="urn:schemas:contacts" w:element="GivenName">
        <w:r w:rsidRPr="00292A46">
          <w:t>F.S.</w:t>
        </w:r>
      </w:smartTag>
      <w:r w:rsidRPr="00292A46">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944557" w:rsidRPr="00944557">
        <w:lastRenderedPageBreak/>
        <w:t>366.093(4)</w:t>
      </w:r>
      <w:r w:rsidRPr="00292A46">
        <w:t>, F.S.  The Commission may determine that continued possession of the information is necessary for the Commission to conduct its business.</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4C3762" w:rsidRDefault="004C3762"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92A46">
        <w:rPr>
          <w:b/>
          <w:bCs/>
        </w:rPr>
        <w:t>VI</w:t>
      </w:r>
      <w:r w:rsidR="00A7173D">
        <w:rPr>
          <w:b/>
          <w:bCs/>
        </w:rPr>
        <w:t>I</w:t>
      </w:r>
      <w:r w:rsidRPr="00292A46">
        <w:rPr>
          <w:b/>
          <w:bCs/>
        </w:rPr>
        <w:t>.</w:t>
      </w:r>
      <w:r w:rsidRPr="00292A46">
        <w:tab/>
      </w:r>
      <w:r w:rsidRPr="00292A46">
        <w:rPr>
          <w:b/>
          <w:bCs/>
          <w:u w:val="single"/>
        </w:rPr>
        <w:t>Prehearing Procedures</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92A46">
        <w:tab/>
        <w:t>A.</w:t>
      </w:r>
      <w:r w:rsidRPr="00292A46">
        <w:tab/>
      </w:r>
      <w:r w:rsidRPr="00292A46">
        <w:rPr>
          <w:u w:val="single"/>
        </w:rPr>
        <w:t>Prehearing Statements</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92A46">
        <w:tab/>
        <w:t xml:space="preserve">All parties in this docket and the Commission staff shall file a prehearing statement pursuant to the schedule set forth in Section </w:t>
      </w:r>
      <w:r w:rsidR="00CD0DDB" w:rsidRPr="00CD0DDB">
        <w:t>X</w:t>
      </w:r>
      <w:r w:rsidRPr="00292A46">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Each party’s prehearing statement shall set forth the following information in the sequence listed below:</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92A46">
        <w:t>(1)</w:t>
      </w:r>
      <w:r w:rsidRPr="00292A46">
        <w:tab/>
        <w:t>The name of all known witnesses whose testimony has been prefiled or who may be called by the party, along with subject matter of each such witness’ testimony;</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92A46">
        <w:t>(2)</w:t>
      </w:r>
      <w:r w:rsidRPr="00292A46">
        <w:tab/>
        <w:t>A description of all prefiled exhibits and other exhibits that may be used by the party in presenting its direct case (including individual components of a composite exhibit) and the witness sponsoring each;</w:t>
      </w:r>
    </w:p>
    <w:p w:rsidR="004C3762" w:rsidRDefault="004C3762">
      <w:r>
        <w:br w:type="page"/>
      </w:r>
    </w:p>
    <w:p w:rsidR="004C3762" w:rsidRDefault="004C3762"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292A46">
        <w:t>(3)</w:t>
      </w:r>
      <w:r w:rsidRPr="00292A46">
        <w:tab/>
        <w:t>A statement of the party’s basic position in the proceeding;</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92A46">
        <w:t>(4)</w:t>
      </w:r>
      <w:r w:rsidRPr="00292A46">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92A46">
        <w:t>(5)</w:t>
      </w:r>
      <w:r w:rsidRPr="00292A46">
        <w:tab/>
        <w:t>A statement of issues to which the parties have stipulated;</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92A46">
        <w:t>(6)</w:t>
      </w:r>
      <w:r w:rsidRPr="00292A46">
        <w:tab/>
        <w:t>A statement of all pending motions or other matters the party seeks action upon;</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92A46">
        <w:t>(7)</w:t>
      </w:r>
      <w:r w:rsidRPr="00292A46">
        <w:tab/>
        <w:t>A statement identifying the party’s pending requests or claims for confidentiality;</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92A46">
        <w:t>(8)</w:t>
      </w:r>
      <w:r w:rsidRPr="00292A46">
        <w:tab/>
        <w:t>Any objections to a witness’ qualifications as an expert.  Failure to identify such objection will result in restriction of a party’s ability to conduct voir dire absent a showing of good cause at the time the witness is offered for cross-examination at hearing; and</w:t>
      </w:r>
    </w:p>
    <w:p w:rsidR="00292A46" w:rsidRPr="00292A46" w:rsidRDefault="00292A46" w:rsidP="004C3762">
      <w:pPr>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92A46">
        <w:t>(9)</w:t>
      </w:r>
      <w:r w:rsidRPr="00292A46">
        <w:tab/>
        <w:t>A statement as to any requirement set forth in this order that cannot be complied with, and the reasons therefore.</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92A46">
        <w:tab/>
        <w:t>B.</w:t>
      </w:r>
      <w:r w:rsidRPr="00292A46">
        <w:tab/>
      </w:r>
      <w:r w:rsidRPr="00292A46">
        <w:rPr>
          <w:u w:val="single"/>
        </w:rPr>
        <w:t>Attendance at Prehearing Conference</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 xml:space="preserve">Pursuant to Rule 28-106.209, F.A.C., a Prehearing Conference will be held </w:t>
      </w:r>
      <w:r w:rsidR="00647EDB">
        <w:t>November 17, 2015</w:t>
      </w:r>
      <w:r w:rsidRPr="00292A46">
        <w:t xml:space="preserve">, at the </w:t>
      </w:r>
      <w:smartTag w:uri="urn:schemas-microsoft-com:office:smarttags" w:element="PlaceName">
        <w:r w:rsidRPr="00292A46">
          <w:t>Betty</w:t>
        </w:r>
      </w:smartTag>
      <w:r w:rsidRPr="00292A46">
        <w:t xml:space="preserve"> </w:t>
      </w:r>
      <w:smartTag w:uri="urn:schemas-microsoft-com:office:smarttags" w:element="PlaceName">
        <w:r w:rsidRPr="00292A46">
          <w:t>Easley</w:t>
        </w:r>
      </w:smartTag>
      <w:r w:rsidRPr="00292A46">
        <w:t xml:space="preserve"> </w:t>
      </w:r>
      <w:smartTag w:uri="urn:schemas-microsoft-com:office:smarttags" w:element="PlaceName">
        <w:r w:rsidRPr="00292A46">
          <w:t>Conference</w:t>
        </w:r>
      </w:smartTag>
      <w:r w:rsidRPr="00292A46">
        <w:t xml:space="preserve"> </w:t>
      </w:r>
      <w:smartTag w:uri="urn:schemas-microsoft-com:office:smarttags" w:element="PlaceType">
        <w:r w:rsidRPr="00292A46">
          <w:t>Center</w:t>
        </w:r>
      </w:smartTag>
      <w:r w:rsidRPr="00292A46">
        <w:t xml:space="preserve">, 4075 Esplanade Way, </w:t>
      </w:r>
      <w:smartTag w:uri="urn:schemas-microsoft-com:office:smarttags" w:element="City">
        <w:r w:rsidRPr="00292A46">
          <w:t>Tallahassee</w:t>
        </w:r>
      </w:smartTag>
      <w:r w:rsidRPr="00292A46">
        <w:t xml:space="preserve">, </w:t>
      </w:r>
      <w:smartTag w:uri="urn:schemas-microsoft-com:office:smarttags" w:element="State">
        <w:smartTag w:uri="urn:schemas-microsoft-com:office:smarttags" w:element="place">
          <w:r w:rsidRPr="00292A46">
            <w:t>Florida</w:t>
          </w:r>
        </w:smartTag>
      </w:smartTag>
      <w:r w:rsidRPr="00292A46">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C.</w:t>
      </w:r>
      <w:r w:rsidRPr="00292A46">
        <w:tab/>
      </w:r>
      <w:r w:rsidRPr="00292A46">
        <w:rPr>
          <w:u w:val="single"/>
        </w:rPr>
        <w:t>Waiver of Issues</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292A46" w:rsidRPr="00292A46" w:rsidRDefault="00292A46" w:rsidP="004C3762">
      <w:pPr>
        <w:jc w:val="both"/>
      </w:pPr>
    </w:p>
    <w:p w:rsidR="00292A46" w:rsidRPr="00292A46" w:rsidRDefault="00292A46" w:rsidP="004C376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Whether the party was unable to identify the issue because of the complexity of the matter;</w:t>
      </w:r>
    </w:p>
    <w:p w:rsidR="00292A46" w:rsidRPr="00292A46" w:rsidRDefault="00292A46" w:rsidP="004C376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Whether discovery or other prehearing procedures were not adequate to fully develop the issue;</w:t>
      </w:r>
    </w:p>
    <w:p w:rsidR="004C3762" w:rsidRDefault="004C3762">
      <w:r>
        <w:br w:type="page"/>
      </w:r>
    </w:p>
    <w:p w:rsidR="004C3762" w:rsidRDefault="004C3762" w:rsidP="004C37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jc w:val="both"/>
      </w:pPr>
    </w:p>
    <w:p w:rsidR="00292A46" w:rsidRPr="00292A46" w:rsidRDefault="00292A46" w:rsidP="004C376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 xml:space="preserve">Whether due diligence was exercised to obtain facts touching on the issue; </w:t>
      </w:r>
    </w:p>
    <w:p w:rsidR="00292A46" w:rsidRPr="00292A46" w:rsidRDefault="00292A46" w:rsidP="004C376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Whether information obtained subsequent to the Prehearing Conference was not previously available to enable the party to identify the issue; and</w:t>
      </w:r>
    </w:p>
    <w:p w:rsidR="00292A46" w:rsidRPr="00292A46" w:rsidRDefault="00292A46" w:rsidP="004C376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Whether introduction of the issue would not be to the prejudice or surprise of any party.</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Specific reference shall be made to the information received and how it enabled the party to identify the issue.</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When an issue and position have been properly identified, any party may adopt that issue and position in its post-hearing statement.  Commission staff may take “no position at this time” or a similar position on any issue without having to make the showing described above.</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rPr>
          <w:u w:val="single"/>
        </w:rPr>
        <w:t>Motions to Strike Prefiled Testimony and Exhibits</w:t>
      </w:r>
    </w:p>
    <w:p w:rsidR="00292A46" w:rsidRP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rPr>
          <w:u w:val="single"/>
        </w:rPr>
        <w:t>Demonstrative Exhibits</w:t>
      </w:r>
    </w:p>
    <w:p w:rsidR="00292A46" w:rsidRP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If a party wishes to use a demonstrative exhibit or other demonstrative tools at hearing, such materials must be identified by the time of the Prehearing Conference.</w:t>
      </w:r>
    </w:p>
    <w:p w:rsidR="00292A46" w:rsidRP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92A46">
        <w:tab/>
        <w:t>F.</w:t>
      </w:r>
      <w:r w:rsidRPr="00292A46">
        <w:tab/>
      </w:r>
      <w:r w:rsidRPr="00292A46">
        <w:rPr>
          <w:u w:val="single"/>
        </w:rPr>
        <w:t>Official Recognition</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Parties seeking official recognition of materials pursuant to Section 120.569(2)(i), F.S., shall notify all other parties and staff in writing no later than</w:t>
      </w:r>
      <w:r w:rsidR="00944557" w:rsidRPr="00944557">
        <w:t xml:space="preserve"> two business days</w:t>
      </w:r>
      <w:r w:rsidRPr="00944557">
        <w:t xml:space="preserve"> </w:t>
      </w:r>
      <w:r w:rsidRPr="00292A46">
        <w:t>prior to the first scheduled hearing date.  Such notification shall identify all materials for which the party seeks official recognition, and to the extent such materials may not be readily available to all parties, such materials shall be provided along with the notification.</w:t>
      </w:r>
    </w:p>
    <w:p w:rsidR="004C3762" w:rsidRDefault="004C3762">
      <w:r>
        <w:br w:type="page"/>
      </w:r>
    </w:p>
    <w:p w:rsidR="00292A46" w:rsidRPr="00292A46" w:rsidRDefault="00292A46" w:rsidP="004C3762"/>
    <w:p w:rsidR="00292A46" w:rsidRPr="00292A46" w:rsidRDefault="00292A46" w:rsidP="004C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92A46">
        <w:tab/>
      </w:r>
      <w:r w:rsidRPr="007C4C50">
        <w:t>G.</w:t>
      </w:r>
      <w:r w:rsidRPr="007C4C50">
        <w:tab/>
      </w:r>
      <w:r w:rsidRPr="007C4C50">
        <w:rPr>
          <w:u w:val="single"/>
        </w:rPr>
        <w:t>Use of Depositions at Hearing</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jc w:val="both"/>
      </w:pPr>
      <w:r w:rsidRPr="00292A46">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7C4C50">
        <w:t>deadline for filing Intervenor Testim</w:t>
      </w:r>
      <w:r w:rsidRPr="00292A46">
        <w:t xml:space="preserve">ony in this docket as set forth in Section </w:t>
      </w:r>
      <w:r w:rsidR="00CD0DDB">
        <w:t>X</w:t>
      </w:r>
      <w:r w:rsidRPr="00292A46">
        <w:t xml:space="preserve"> of this Order.  The Notice shall include the following information for each deposition:</w:t>
      </w:r>
    </w:p>
    <w:p w:rsidR="00292A46" w:rsidRPr="00292A46" w:rsidRDefault="00292A46" w:rsidP="004C3762">
      <w:pPr>
        <w:ind w:left="1080"/>
        <w:contextualSpacing/>
        <w:jc w:val="both"/>
      </w:pPr>
    </w:p>
    <w:p w:rsidR="00292A46" w:rsidRPr="00292A46" w:rsidRDefault="00292A46" w:rsidP="004C3762">
      <w:pPr>
        <w:numPr>
          <w:ilvl w:val="0"/>
          <w:numId w:val="8"/>
        </w:numPr>
        <w:contextualSpacing/>
        <w:jc w:val="both"/>
      </w:pPr>
      <w:r w:rsidRPr="00292A46">
        <w:t>Name of witness deposed;</w:t>
      </w:r>
    </w:p>
    <w:p w:rsidR="00292A46" w:rsidRPr="00292A46" w:rsidRDefault="00292A46" w:rsidP="004C3762">
      <w:pPr>
        <w:numPr>
          <w:ilvl w:val="0"/>
          <w:numId w:val="8"/>
        </w:numPr>
        <w:contextualSpacing/>
        <w:jc w:val="both"/>
      </w:pPr>
      <w:r w:rsidRPr="00292A46">
        <w:t>Date deposition was taken; and</w:t>
      </w:r>
    </w:p>
    <w:p w:rsidR="00292A46" w:rsidRPr="00292A46" w:rsidRDefault="00292A46" w:rsidP="004C3762">
      <w:pPr>
        <w:numPr>
          <w:ilvl w:val="0"/>
          <w:numId w:val="8"/>
        </w:numPr>
        <w:contextualSpacing/>
        <w:jc w:val="both"/>
      </w:pPr>
      <w:r w:rsidRPr="00292A46">
        <w:t xml:space="preserve">Page and line numbers of each deposition the party seeks to introduce. </w:t>
      </w:r>
    </w:p>
    <w:p w:rsidR="00292A46" w:rsidRPr="00292A46" w:rsidRDefault="00292A46" w:rsidP="004C3762"/>
    <w:p w:rsidR="00292A46" w:rsidRPr="00292A46" w:rsidRDefault="00292A46" w:rsidP="004C3762">
      <w:pPr>
        <w:ind w:firstLine="720"/>
        <w:jc w:val="both"/>
      </w:pPr>
      <w:r w:rsidRPr="00292A46">
        <w:t xml:space="preserve">Objection(s) to the entry into the record of a deposition or portion thereof at hearing for purposes other than impeachment must be made in writing </w:t>
      </w:r>
      <w:r w:rsidRPr="00292A46">
        <w:rPr>
          <w:u w:val="single"/>
        </w:rPr>
        <w:t>prior to the start of the prehearing conference</w:t>
      </w:r>
      <w:r w:rsidRPr="00292A46">
        <w:t xml:space="preserve"> for determination by the Prehearing Officer.</w:t>
      </w:r>
    </w:p>
    <w:p w:rsidR="00292A46" w:rsidRPr="00292A46" w:rsidRDefault="00292A46" w:rsidP="004C3762">
      <w:pPr>
        <w:ind w:firstLine="720"/>
        <w:jc w:val="both"/>
      </w:pPr>
    </w:p>
    <w:p w:rsidR="00292A46" w:rsidRPr="00292A46" w:rsidRDefault="00292A46" w:rsidP="004C3762">
      <w:pPr>
        <w:ind w:firstLine="720"/>
        <w:jc w:val="both"/>
      </w:pPr>
      <w:r w:rsidRPr="00292A46">
        <w:t>A Notice of Intent to Use Deposition filed after the deadline for filing Intervenor Testimony has passed shall be considered untimely, absent just cause shown.  A motion to allow the late filing of a Notice of Intent to Use Deposition must be filed and served on all parties no later tha</w:t>
      </w:r>
      <w:r w:rsidRPr="005871F5">
        <w:t>n</w:t>
      </w:r>
      <w:r w:rsidR="005871F5" w:rsidRPr="005871F5">
        <w:t xml:space="preserve"> 2 days </w:t>
      </w:r>
      <w:r w:rsidRPr="005871F5">
        <w:t>pr</w:t>
      </w:r>
      <w:r w:rsidRPr="00292A46">
        <w:t xml:space="preserve">ior to the prehearing conference for determination of just cause by the Prehearing Officer.  If the motion is granted, the filing of supplemental rebuttal testimony shall be allowed by a date certain prior to hearing.  </w:t>
      </w:r>
    </w:p>
    <w:p w:rsidR="00292A46" w:rsidRDefault="00292A46" w:rsidP="004C3762"/>
    <w:p w:rsidR="004C3762" w:rsidRPr="00292A46" w:rsidRDefault="004C3762" w:rsidP="004C3762"/>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rPr>
          <w:b/>
          <w:bCs/>
        </w:rPr>
        <w:t>VI</w:t>
      </w:r>
      <w:r w:rsidR="00A7173D">
        <w:rPr>
          <w:b/>
          <w:bCs/>
        </w:rPr>
        <w:t>I</w:t>
      </w:r>
      <w:r w:rsidRPr="00292A46">
        <w:rPr>
          <w:b/>
          <w:bCs/>
        </w:rPr>
        <w:t>I.</w:t>
      </w:r>
      <w:r w:rsidRPr="00292A46">
        <w:rPr>
          <w:b/>
          <w:bCs/>
        </w:rPr>
        <w:tab/>
      </w:r>
      <w:r w:rsidRPr="00292A46">
        <w:rPr>
          <w:b/>
          <w:bCs/>
          <w:u w:val="single"/>
        </w:rPr>
        <w:t>Hearing Procedures</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A.</w:t>
      </w:r>
      <w:r w:rsidRPr="00292A46">
        <w:tab/>
      </w:r>
      <w:r w:rsidRPr="00292A46">
        <w:rPr>
          <w:u w:val="single"/>
        </w:rPr>
        <w:t>Attendance at Hearing</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 xml:space="preserve">Likewise, all witnesses are expected to be present at the hearing unless excused by the Presiding Officer upon the staff attorney’s confirmation prior to the hearing date of the following: </w:t>
      </w:r>
    </w:p>
    <w:p w:rsidR="00292A46" w:rsidRPr="00292A46" w:rsidRDefault="00292A46" w:rsidP="004C3762">
      <w:pPr>
        <w:jc w:val="both"/>
      </w:pPr>
    </w:p>
    <w:p w:rsidR="00292A46" w:rsidRPr="00292A46" w:rsidRDefault="00292A46" w:rsidP="004C376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All parties agree that the witness will not be needed for cross examination.</w:t>
      </w:r>
    </w:p>
    <w:p w:rsidR="00292A46" w:rsidRPr="00292A46" w:rsidRDefault="00292A46" w:rsidP="004C376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92A46">
        <w:t>All Commissioners assigned to the panel do not have questions for the witness.</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In the event a witness is excused in this manner, his or her testimony may be entered into the record as though read following the Commission’s approval of the proposed stipulation of that witness’ testimony.</w:t>
      </w:r>
    </w:p>
    <w:p w:rsidR="004C3762" w:rsidRDefault="004C3762">
      <w:r>
        <w:br w:type="page"/>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B.</w:t>
      </w:r>
      <w:r w:rsidRPr="00292A46">
        <w:tab/>
      </w:r>
      <w:r w:rsidRPr="00292A46">
        <w:rPr>
          <w:u w:val="single"/>
        </w:rPr>
        <w:t>Cross-Examination</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C.</w:t>
      </w:r>
      <w:r w:rsidRPr="00292A46">
        <w:tab/>
      </w:r>
      <w:r w:rsidRPr="00292A46">
        <w:rPr>
          <w:u w:val="single"/>
        </w:rPr>
        <w:t>Use of Confidential Information at Hearing</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 xml:space="preserve">It is the policy of this Commission that all Commission hearings be open to the public at all times.  The Commission also recognizes its obligation pursuant to Section </w:t>
      </w:r>
      <w:r w:rsidR="00944557" w:rsidRPr="00944557">
        <w:t>366.093</w:t>
      </w:r>
      <w:r w:rsidRPr="00292A46">
        <w:t xml:space="preserve">, </w:t>
      </w:r>
      <w:smartTag w:uri="urn:schemas:contacts" w:element="GivenName">
        <w:r w:rsidRPr="00292A46">
          <w:t>F.S.</w:t>
        </w:r>
      </w:smartTag>
      <w:r w:rsidRPr="00292A46">
        <w:t xml:space="preserve">, to protect proprietary confidential business information from disclosure outside the proceeding.  Therefore, any party wishing to use any proprietary confidential business information, as that term is defined in Section </w:t>
      </w:r>
      <w:r w:rsidR="00944557">
        <w:t>366.093</w:t>
      </w:r>
      <w:r w:rsidRPr="00292A46">
        <w:t xml:space="preserve">, </w:t>
      </w:r>
      <w:smartTag w:uri="urn:schemas:contacts" w:element="GivenName">
        <w:r w:rsidRPr="00292A46">
          <w:t>F.S.</w:t>
        </w:r>
      </w:smartTag>
      <w:r w:rsidRPr="00292A46">
        <w:t>, at the hearing shall adhere to the following:</w:t>
      </w:r>
    </w:p>
    <w:p w:rsidR="00292A46" w:rsidRPr="00292A46" w:rsidRDefault="00292A46" w:rsidP="004C3762">
      <w:pPr>
        <w:jc w:val="both"/>
      </w:pPr>
    </w:p>
    <w:p w:rsidR="00292A46" w:rsidRPr="00292A46" w:rsidRDefault="00292A46" w:rsidP="004C3762">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292A46">
        <w:t>When confidential information is used in the hearing,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292A46">
        <w:t>Counsel and witnesses are cautioned to avoid verbalizing confidential information in such a way that would compromise confidentiality.  Therefore, confidential information should be presented by written exhibit when reasonably possible.</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647EDB" w:rsidRDefault="00647EDB"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C3762" w:rsidRDefault="004C3762"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C3762" w:rsidRDefault="004C3762">
      <w:pPr>
        <w:rPr>
          <w:b/>
          <w:bCs/>
        </w:rPr>
      </w:pPr>
      <w:r>
        <w:rPr>
          <w:b/>
          <w:bCs/>
        </w:rPr>
        <w:br w:type="page"/>
      </w:r>
    </w:p>
    <w:p w:rsidR="004C3762" w:rsidRDefault="004C3762"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292A46" w:rsidRPr="00292A46" w:rsidRDefault="00A7173D"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IX</w:t>
      </w:r>
      <w:r w:rsidR="00292A46" w:rsidRPr="00292A46">
        <w:rPr>
          <w:b/>
          <w:bCs/>
        </w:rPr>
        <w:t>.</w:t>
      </w:r>
      <w:r w:rsidR="00292A46" w:rsidRPr="00292A46">
        <w:rPr>
          <w:b/>
          <w:bCs/>
        </w:rPr>
        <w:tab/>
      </w:r>
      <w:r w:rsidR="00292A46" w:rsidRPr="00292A46">
        <w:rPr>
          <w:b/>
          <w:bCs/>
          <w:u w:val="single"/>
        </w:rPr>
        <w:t>Post-Hearing Procedures</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 xml:space="preserve">If the Commission (or assigned panel) does not render a bench decision at the hearing, it may allow each party to file a post-hearing statement of issues and positions pursuant to the schedule set forth in Section </w:t>
      </w:r>
      <w:r w:rsidR="00647EDB" w:rsidRPr="00647EDB">
        <w:t>X</w:t>
      </w:r>
      <w:r w:rsidRPr="00292A46">
        <w:t xml:space="preserve"> of this Order.  In such event, a summary of each position of no more than</w:t>
      </w:r>
      <w:r w:rsidRPr="00414C65">
        <w:t xml:space="preserve"> 50 words</w:t>
      </w:r>
      <w:r w:rsidRPr="00292A46">
        <w:t>, set off with asterisks, shall be included in that statement.  If a party’s position has not changed since the issuance of the prehearing order, the post-hearing statement may simply restate the prehearing position.  However, the position must be reduced to no more than 50 words.  If a post-hearing statement is required and a party fails to file in conformance with the rule, that party shall have waived all issues and may be dismissed from the proceeding.</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 xml:space="preserve">Pursuant to Rule 28-106.215, F.A.C., a party’s proposed findings of fact and conclusions of law, if any, statement of issues and positions, and brief, shall together total no more than </w:t>
      </w:r>
      <w:r w:rsidR="007C4C50">
        <w:t xml:space="preserve">40 </w:t>
      </w:r>
      <w:r w:rsidRPr="00292A46">
        <w:t xml:space="preserve">pages and shall be filed at the same time, unless modified by the Presiding Officer. </w:t>
      </w:r>
      <w:r w:rsidR="004C3762">
        <w:tab/>
      </w:r>
    </w:p>
    <w:p w:rsidR="00A7173D" w:rsidRDefault="00A7173D"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C3762" w:rsidRDefault="004C3762"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rPr>
          <w:b/>
          <w:bCs/>
        </w:rPr>
        <w:t>X.</w:t>
      </w:r>
      <w:r w:rsidRPr="00292A46">
        <w:rPr>
          <w:b/>
          <w:bCs/>
        </w:rPr>
        <w:tab/>
      </w:r>
      <w:r w:rsidRPr="00292A46">
        <w:rPr>
          <w:b/>
          <w:bCs/>
          <w:u w:val="single"/>
        </w:rPr>
        <w:t>Controlling Dates</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The following dates have been established to govern the key activities of this case:</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540"/>
        <w:gridCol w:w="5400"/>
        <w:gridCol w:w="3420"/>
      </w:tblGrid>
      <w:tr w:rsidR="00292A46" w:rsidRPr="00292A46" w:rsidTr="004F7326">
        <w:trPr>
          <w:cantSplit/>
        </w:trPr>
        <w:tc>
          <w:tcPr>
            <w:tcW w:w="540" w:type="dxa"/>
            <w:tcBorders>
              <w:top w:val="nil"/>
              <w:left w:val="nil"/>
              <w:bottom w:val="nil"/>
              <w:right w:val="nil"/>
            </w:tcBorders>
          </w:tcPr>
          <w:p w:rsidR="00292A46" w:rsidRPr="00292A46" w:rsidRDefault="00292A46" w:rsidP="004C3762">
            <w:pPr>
              <w:numPr>
                <w:ilvl w:val="12"/>
                <w:numId w:val="0"/>
              </w:numPr>
              <w:tabs>
                <w:tab w:val="left" w:pos="0"/>
              </w:tabs>
              <w:spacing w:before="120" w:after="120"/>
              <w:jc w:val="both"/>
            </w:pPr>
            <w:r w:rsidRPr="00292A46">
              <w:t>(1)</w:t>
            </w:r>
          </w:p>
        </w:tc>
        <w:tc>
          <w:tcPr>
            <w:tcW w:w="5400" w:type="dxa"/>
            <w:tcBorders>
              <w:top w:val="nil"/>
              <w:left w:val="nil"/>
              <w:bottom w:val="nil"/>
              <w:right w:val="nil"/>
            </w:tcBorders>
          </w:tcPr>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s>
              <w:spacing w:before="120" w:after="120"/>
              <w:jc w:val="both"/>
            </w:pPr>
            <w:r w:rsidRPr="00292A46">
              <w:t>Utility’s</w:t>
            </w:r>
            <w:r w:rsidRPr="00292A46">
              <w:rPr>
                <w:b/>
                <w:i/>
              </w:rPr>
              <w:t xml:space="preserve"> </w:t>
            </w:r>
            <w:r w:rsidRPr="00292A46">
              <w:t>testimony and exhibits</w:t>
            </w:r>
          </w:p>
        </w:tc>
        <w:tc>
          <w:tcPr>
            <w:tcW w:w="3420" w:type="dxa"/>
            <w:tcBorders>
              <w:top w:val="nil"/>
              <w:left w:val="nil"/>
              <w:bottom w:val="nil"/>
              <w:right w:val="nil"/>
            </w:tcBorders>
          </w:tcPr>
          <w:p w:rsidR="00292A46" w:rsidRPr="00292A46" w:rsidRDefault="00647EDB" w:rsidP="004C3762">
            <w:pPr>
              <w:numPr>
                <w:ilvl w:val="12"/>
                <w:numId w:val="0"/>
              </w:numPr>
              <w:tabs>
                <w:tab w:val="left" w:pos="0"/>
                <w:tab w:val="left" w:pos="720"/>
                <w:tab w:val="left" w:pos="1440"/>
                <w:tab w:val="left" w:pos="2160"/>
                <w:tab w:val="left" w:pos="2880"/>
              </w:tabs>
              <w:spacing w:before="120" w:after="120"/>
              <w:jc w:val="right"/>
            </w:pPr>
            <w:r>
              <w:t>September 3, 2015</w:t>
            </w:r>
          </w:p>
        </w:tc>
      </w:tr>
      <w:tr w:rsidR="00292A46" w:rsidRPr="00292A46" w:rsidTr="004F7326">
        <w:trPr>
          <w:cantSplit/>
        </w:trPr>
        <w:tc>
          <w:tcPr>
            <w:tcW w:w="540" w:type="dxa"/>
            <w:tcBorders>
              <w:top w:val="nil"/>
              <w:left w:val="nil"/>
              <w:bottom w:val="nil"/>
              <w:right w:val="nil"/>
            </w:tcBorders>
          </w:tcPr>
          <w:p w:rsidR="00292A46" w:rsidRPr="00292A46" w:rsidRDefault="00292A46" w:rsidP="004C3762">
            <w:pPr>
              <w:numPr>
                <w:ilvl w:val="12"/>
                <w:numId w:val="0"/>
              </w:numPr>
              <w:tabs>
                <w:tab w:val="left" w:pos="0"/>
              </w:tabs>
              <w:spacing w:before="120" w:after="120"/>
              <w:jc w:val="both"/>
            </w:pPr>
            <w:r w:rsidRPr="00292A46">
              <w:t>(2)</w:t>
            </w:r>
          </w:p>
        </w:tc>
        <w:tc>
          <w:tcPr>
            <w:tcW w:w="5400" w:type="dxa"/>
            <w:tcBorders>
              <w:top w:val="nil"/>
              <w:left w:val="nil"/>
              <w:bottom w:val="nil"/>
              <w:right w:val="nil"/>
            </w:tcBorders>
          </w:tcPr>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s>
              <w:spacing w:before="120" w:after="120"/>
              <w:jc w:val="both"/>
            </w:pPr>
            <w:r w:rsidRPr="00292A46">
              <w:t>Intervenors’ testimony and exhibits</w:t>
            </w:r>
          </w:p>
        </w:tc>
        <w:tc>
          <w:tcPr>
            <w:tcW w:w="3420" w:type="dxa"/>
            <w:tcBorders>
              <w:top w:val="nil"/>
              <w:left w:val="nil"/>
              <w:bottom w:val="nil"/>
              <w:right w:val="nil"/>
            </w:tcBorders>
          </w:tcPr>
          <w:p w:rsidR="00292A46" w:rsidRPr="00292A46" w:rsidRDefault="00647EDB" w:rsidP="004C3762">
            <w:pPr>
              <w:numPr>
                <w:ilvl w:val="12"/>
                <w:numId w:val="0"/>
              </w:numPr>
              <w:tabs>
                <w:tab w:val="left" w:pos="0"/>
                <w:tab w:val="left" w:pos="720"/>
                <w:tab w:val="left" w:pos="1440"/>
                <w:tab w:val="left" w:pos="2160"/>
                <w:tab w:val="left" w:pos="2880"/>
              </w:tabs>
              <w:spacing w:before="120" w:after="120"/>
              <w:jc w:val="right"/>
            </w:pPr>
            <w:r>
              <w:t>October 14, 2015</w:t>
            </w:r>
          </w:p>
        </w:tc>
      </w:tr>
      <w:tr w:rsidR="00292A46" w:rsidRPr="00292A46" w:rsidTr="004F7326">
        <w:trPr>
          <w:cantSplit/>
        </w:trPr>
        <w:tc>
          <w:tcPr>
            <w:tcW w:w="540" w:type="dxa"/>
            <w:tcBorders>
              <w:top w:val="nil"/>
              <w:left w:val="nil"/>
              <w:bottom w:val="nil"/>
              <w:right w:val="nil"/>
            </w:tcBorders>
          </w:tcPr>
          <w:p w:rsidR="00292A46" w:rsidRPr="00292A46" w:rsidRDefault="00292A46" w:rsidP="004C3762">
            <w:pPr>
              <w:numPr>
                <w:ilvl w:val="12"/>
                <w:numId w:val="0"/>
              </w:numPr>
              <w:tabs>
                <w:tab w:val="left" w:pos="0"/>
              </w:tabs>
              <w:spacing w:before="120" w:after="120"/>
              <w:jc w:val="both"/>
            </w:pPr>
            <w:r w:rsidRPr="00292A46">
              <w:t>(3)</w:t>
            </w:r>
          </w:p>
        </w:tc>
        <w:tc>
          <w:tcPr>
            <w:tcW w:w="5400" w:type="dxa"/>
            <w:tcBorders>
              <w:top w:val="nil"/>
              <w:left w:val="nil"/>
              <w:bottom w:val="nil"/>
              <w:right w:val="nil"/>
            </w:tcBorders>
          </w:tcPr>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s>
              <w:spacing w:before="120" w:after="120"/>
              <w:jc w:val="both"/>
            </w:pPr>
            <w:r w:rsidRPr="00292A46">
              <w:t>Staff’s testimony and exhibits, if any</w:t>
            </w:r>
          </w:p>
        </w:tc>
        <w:tc>
          <w:tcPr>
            <w:tcW w:w="3420" w:type="dxa"/>
            <w:tcBorders>
              <w:top w:val="nil"/>
              <w:left w:val="nil"/>
              <w:bottom w:val="nil"/>
              <w:right w:val="nil"/>
            </w:tcBorders>
          </w:tcPr>
          <w:p w:rsidR="00292A46" w:rsidRPr="00292A46" w:rsidRDefault="00647EDB" w:rsidP="004C3762">
            <w:pPr>
              <w:numPr>
                <w:ilvl w:val="12"/>
                <w:numId w:val="0"/>
              </w:numPr>
              <w:tabs>
                <w:tab w:val="left" w:pos="0"/>
                <w:tab w:val="left" w:pos="720"/>
                <w:tab w:val="left" w:pos="1440"/>
                <w:tab w:val="left" w:pos="2160"/>
                <w:tab w:val="left" w:pos="2880"/>
              </w:tabs>
              <w:spacing w:before="120" w:after="120"/>
              <w:jc w:val="right"/>
            </w:pPr>
            <w:r>
              <w:t>October 14, 2015</w:t>
            </w:r>
          </w:p>
        </w:tc>
      </w:tr>
      <w:tr w:rsidR="00292A46" w:rsidRPr="00292A46" w:rsidTr="004F7326">
        <w:trPr>
          <w:cantSplit/>
        </w:trPr>
        <w:tc>
          <w:tcPr>
            <w:tcW w:w="540" w:type="dxa"/>
            <w:tcBorders>
              <w:top w:val="nil"/>
              <w:left w:val="nil"/>
              <w:bottom w:val="nil"/>
              <w:right w:val="nil"/>
            </w:tcBorders>
          </w:tcPr>
          <w:p w:rsidR="00292A46" w:rsidRPr="00292A46" w:rsidRDefault="00292A46" w:rsidP="004C3762">
            <w:pPr>
              <w:numPr>
                <w:ilvl w:val="12"/>
                <w:numId w:val="0"/>
              </w:numPr>
              <w:tabs>
                <w:tab w:val="left" w:pos="0"/>
              </w:tabs>
              <w:spacing w:before="120" w:after="120"/>
              <w:jc w:val="both"/>
            </w:pPr>
            <w:r w:rsidRPr="00292A46">
              <w:t>(4)</w:t>
            </w:r>
          </w:p>
        </w:tc>
        <w:tc>
          <w:tcPr>
            <w:tcW w:w="5400" w:type="dxa"/>
            <w:tcBorders>
              <w:top w:val="nil"/>
              <w:left w:val="nil"/>
              <w:bottom w:val="nil"/>
              <w:right w:val="nil"/>
            </w:tcBorders>
          </w:tcPr>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s>
              <w:spacing w:before="120" w:after="120"/>
              <w:jc w:val="both"/>
            </w:pPr>
            <w:r w:rsidRPr="00292A46">
              <w:t xml:space="preserve">Rebuttal testimony and exhibits </w:t>
            </w:r>
          </w:p>
        </w:tc>
        <w:tc>
          <w:tcPr>
            <w:tcW w:w="3420" w:type="dxa"/>
            <w:tcBorders>
              <w:top w:val="nil"/>
              <w:left w:val="nil"/>
              <w:bottom w:val="nil"/>
              <w:right w:val="nil"/>
            </w:tcBorders>
          </w:tcPr>
          <w:p w:rsidR="00292A46" w:rsidRPr="00292A46" w:rsidRDefault="00647EDB" w:rsidP="004C3762">
            <w:pPr>
              <w:numPr>
                <w:ilvl w:val="12"/>
                <w:numId w:val="0"/>
              </w:numPr>
              <w:tabs>
                <w:tab w:val="left" w:pos="0"/>
                <w:tab w:val="left" w:pos="720"/>
                <w:tab w:val="left" w:pos="1440"/>
                <w:tab w:val="left" w:pos="2160"/>
                <w:tab w:val="left" w:pos="2880"/>
              </w:tabs>
              <w:spacing w:before="120" w:after="120"/>
              <w:jc w:val="right"/>
            </w:pPr>
            <w:r>
              <w:t>October 26, 2015</w:t>
            </w:r>
          </w:p>
        </w:tc>
      </w:tr>
      <w:tr w:rsidR="00292A46" w:rsidRPr="00292A46" w:rsidTr="004F7326">
        <w:trPr>
          <w:cantSplit/>
        </w:trPr>
        <w:tc>
          <w:tcPr>
            <w:tcW w:w="540" w:type="dxa"/>
            <w:tcBorders>
              <w:top w:val="nil"/>
              <w:left w:val="nil"/>
              <w:bottom w:val="nil"/>
              <w:right w:val="nil"/>
            </w:tcBorders>
          </w:tcPr>
          <w:p w:rsidR="00292A46" w:rsidRPr="00292A46" w:rsidRDefault="00292A46" w:rsidP="004C3762">
            <w:pPr>
              <w:numPr>
                <w:ilvl w:val="12"/>
                <w:numId w:val="0"/>
              </w:numPr>
              <w:tabs>
                <w:tab w:val="left" w:pos="0"/>
              </w:tabs>
              <w:spacing w:before="120" w:after="120"/>
              <w:jc w:val="both"/>
            </w:pPr>
            <w:r w:rsidRPr="00292A46">
              <w:t>(5)</w:t>
            </w:r>
          </w:p>
        </w:tc>
        <w:tc>
          <w:tcPr>
            <w:tcW w:w="5400" w:type="dxa"/>
            <w:tcBorders>
              <w:top w:val="nil"/>
              <w:left w:val="nil"/>
              <w:bottom w:val="nil"/>
              <w:right w:val="nil"/>
            </w:tcBorders>
          </w:tcPr>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s>
              <w:spacing w:before="120" w:after="120"/>
              <w:jc w:val="both"/>
            </w:pPr>
            <w:r w:rsidRPr="00292A46">
              <w:t>Prehearing Statements</w:t>
            </w:r>
          </w:p>
        </w:tc>
        <w:tc>
          <w:tcPr>
            <w:tcW w:w="3420" w:type="dxa"/>
            <w:tcBorders>
              <w:top w:val="nil"/>
              <w:left w:val="nil"/>
              <w:bottom w:val="nil"/>
              <w:right w:val="nil"/>
            </w:tcBorders>
          </w:tcPr>
          <w:p w:rsidR="00292A46" w:rsidRPr="00292A46" w:rsidRDefault="00647EDB" w:rsidP="004C3762">
            <w:pPr>
              <w:numPr>
                <w:ilvl w:val="12"/>
                <w:numId w:val="0"/>
              </w:numPr>
              <w:tabs>
                <w:tab w:val="left" w:pos="0"/>
                <w:tab w:val="left" w:pos="720"/>
                <w:tab w:val="left" w:pos="1440"/>
                <w:tab w:val="left" w:pos="2160"/>
                <w:tab w:val="left" w:pos="2880"/>
              </w:tabs>
              <w:spacing w:before="120" w:after="120"/>
              <w:jc w:val="right"/>
            </w:pPr>
            <w:r>
              <w:t>November 3, 2015</w:t>
            </w:r>
          </w:p>
        </w:tc>
      </w:tr>
      <w:tr w:rsidR="00292A46" w:rsidRPr="00292A46" w:rsidTr="004F7326">
        <w:trPr>
          <w:cantSplit/>
        </w:trPr>
        <w:tc>
          <w:tcPr>
            <w:tcW w:w="540" w:type="dxa"/>
            <w:tcBorders>
              <w:top w:val="nil"/>
              <w:left w:val="nil"/>
              <w:bottom w:val="nil"/>
              <w:right w:val="nil"/>
            </w:tcBorders>
          </w:tcPr>
          <w:p w:rsidR="00292A46" w:rsidRPr="00292A46" w:rsidRDefault="00292A46" w:rsidP="004C3762">
            <w:pPr>
              <w:numPr>
                <w:ilvl w:val="12"/>
                <w:numId w:val="0"/>
              </w:numPr>
              <w:tabs>
                <w:tab w:val="left" w:pos="0"/>
              </w:tabs>
              <w:spacing w:before="120" w:after="120"/>
              <w:jc w:val="both"/>
            </w:pPr>
            <w:r w:rsidRPr="00292A46">
              <w:t>(6)</w:t>
            </w:r>
          </w:p>
        </w:tc>
        <w:tc>
          <w:tcPr>
            <w:tcW w:w="5400" w:type="dxa"/>
            <w:tcBorders>
              <w:top w:val="nil"/>
              <w:left w:val="nil"/>
              <w:bottom w:val="nil"/>
              <w:right w:val="nil"/>
            </w:tcBorders>
          </w:tcPr>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s>
              <w:spacing w:before="120" w:after="120"/>
              <w:jc w:val="both"/>
            </w:pPr>
            <w:r w:rsidRPr="00292A46">
              <w:t>Prehearing Conference</w:t>
            </w:r>
          </w:p>
        </w:tc>
        <w:tc>
          <w:tcPr>
            <w:tcW w:w="3420" w:type="dxa"/>
            <w:tcBorders>
              <w:top w:val="nil"/>
              <w:left w:val="nil"/>
              <w:bottom w:val="nil"/>
              <w:right w:val="nil"/>
            </w:tcBorders>
          </w:tcPr>
          <w:p w:rsidR="00292A46" w:rsidRPr="00292A46" w:rsidRDefault="00647EDB" w:rsidP="004C3762">
            <w:pPr>
              <w:numPr>
                <w:ilvl w:val="12"/>
                <w:numId w:val="0"/>
              </w:numPr>
              <w:tabs>
                <w:tab w:val="left" w:pos="0"/>
                <w:tab w:val="left" w:pos="720"/>
                <w:tab w:val="left" w:pos="1440"/>
                <w:tab w:val="left" w:pos="2160"/>
                <w:tab w:val="left" w:pos="2880"/>
              </w:tabs>
              <w:spacing w:before="120" w:after="120"/>
              <w:jc w:val="right"/>
            </w:pPr>
            <w:r>
              <w:t>November 17, 2015</w:t>
            </w:r>
          </w:p>
        </w:tc>
      </w:tr>
      <w:tr w:rsidR="00292A46" w:rsidRPr="00292A46" w:rsidTr="004F7326">
        <w:trPr>
          <w:cantSplit/>
        </w:trPr>
        <w:tc>
          <w:tcPr>
            <w:tcW w:w="540" w:type="dxa"/>
            <w:tcBorders>
              <w:top w:val="nil"/>
              <w:left w:val="nil"/>
              <w:bottom w:val="nil"/>
              <w:right w:val="nil"/>
            </w:tcBorders>
          </w:tcPr>
          <w:p w:rsidR="00292A46" w:rsidRPr="00292A46" w:rsidRDefault="00292A46" w:rsidP="004C3762">
            <w:pPr>
              <w:numPr>
                <w:ilvl w:val="12"/>
                <w:numId w:val="0"/>
              </w:numPr>
              <w:tabs>
                <w:tab w:val="left" w:pos="0"/>
              </w:tabs>
              <w:spacing w:before="120" w:after="120"/>
              <w:jc w:val="both"/>
            </w:pPr>
            <w:r w:rsidRPr="00292A46">
              <w:t>(7)</w:t>
            </w:r>
          </w:p>
        </w:tc>
        <w:tc>
          <w:tcPr>
            <w:tcW w:w="5400" w:type="dxa"/>
            <w:tcBorders>
              <w:top w:val="nil"/>
              <w:left w:val="nil"/>
              <w:bottom w:val="nil"/>
              <w:right w:val="nil"/>
            </w:tcBorders>
          </w:tcPr>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s>
              <w:spacing w:before="120" w:after="120"/>
              <w:jc w:val="both"/>
            </w:pPr>
            <w:r w:rsidRPr="00292A46">
              <w:t>Discovery deadline</w:t>
            </w:r>
          </w:p>
        </w:tc>
        <w:tc>
          <w:tcPr>
            <w:tcW w:w="3420" w:type="dxa"/>
            <w:tcBorders>
              <w:top w:val="nil"/>
              <w:left w:val="nil"/>
              <w:bottom w:val="nil"/>
              <w:right w:val="nil"/>
            </w:tcBorders>
          </w:tcPr>
          <w:p w:rsidR="00647EDB" w:rsidRPr="00292A46" w:rsidRDefault="00647EDB" w:rsidP="004C3762">
            <w:pPr>
              <w:numPr>
                <w:ilvl w:val="12"/>
                <w:numId w:val="0"/>
              </w:numPr>
              <w:tabs>
                <w:tab w:val="left" w:pos="0"/>
                <w:tab w:val="left" w:pos="720"/>
                <w:tab w:val="left" w:pos="1440"/>
                <w:tab w:val="left" w:pos="2160"/>
                <w:tab w:val="left" w:pos="2880"/>
              </w:tabs>
              <w:spacing w:before="120" w:after="120"/>
              <w:jc w:val="right"/>
            </w:pPr>
            <w:r>
              <w:t>November 16, 2015</w:t>
            </w:r>
          </w:p>
        </w:tc>
      </w:tr>
      <w:tr w:rsidR="00292A46" w:rsidRPr="00292A46" w:rsidTr="004F7326">
        <w:trPr>
          <w:cantSplit/>
          <w:trHeight w:val="454"/>
        </w:trPr>
        <w:tc>
          <w:tcPr>
            <w:tcW w:w="540" w:type="dxa"/>
            <w:tcBorders>
              <w:top w:val="nil"/>
              <w:left w:val="nil"/>
              <w:bottom w:val="nil"/>
              <w:right w:val="nil"/>
            </w:tcBorders>
          </w:tcPr>
          <w:p w:rsidR="00292A46" w:rsidRPr="00292A46" w:rsidRDefault="00292A46" w:rsidP="004C3762">
            <w:pPr>
              <w:numPr>
                <w:ilvl w:val="12"/>
                <w:numId w:val="0"/>
              </w:numPr>
              <w:tabs>
                <w:tab w:val="left" w:pos="0"/>
              </w:tabs>
              <w:spacing w:before="120" w:after="120"/>
              <w:jc w:val="both"/>
            </w:pPr>
            <w:r w:rsidRPr="00292A46">
              <w:t>(8)</w:t>
            </w:r>
          </w:p>
        </w:tc>
        <w:tc>
          <w:tcPr>
            <w:tcW w:w="5400" w:type="dxa"/>
            <w:tcBorders>
              <w:top w:val="nil"/>
              <w:left w:val="nil"/>
              <w:bottom w:val="nil"/>
              <w:right w:val="nil"/>
            </w:tcBorders>
          </w:tcPr>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s>
              <w:spacing w:before="120" w:after="120"/>
              <w:jc w:val="both"/>
            </w:pPr>
            <w:r w:rsidRPr="00292A46">
              <w:t>Hearing</w:t>
            </w:r>
          </w:p>
        </w:tc>
        <w:tc>
          <w:tcPr>
            <w:tcW w:w="3420" w:type="dxa"/>
            <w:tcBorders>
              <w:top w:val="nil"/>
              <w:left w:val="nil"/>
              <w:bottom w:val="nil"/>
              <w:right w:val="nil"/>
            </w:tcBorders>
          </w:tcPr>
          <w:p w:rsidR="00292A46" w:rsidRPr="00292A46" w:rsidRDefault="00647EDB" w:rsidP="004C3762">
            <w:pPr>
              <w:numPr>
                <w:ilvl w:val="12"/>
                <w:numId w:val="0"/>
              </w:numPr>
              <w:tabs>
                <w:tab w:val="left" w:pos="0"/>
                <w:tab w:val="left" w:pos="720"/>
                <w:tab w:val="left" w:pos="1440"/>
                <w:tab w:val="left" w:pos="2160"/>
                <w:tab w:val="left" w:pos="2880"/>
              </w:tabs>
              <w:spacing w:before="120" w:after="120"/>
              <w:jc w:val="right"/>
            </w:pPr>
            <w:r>
              <w:t>December 1-2, 2015</w:t>
            </w:r>
          </w:p>
        </w:tc>
      </w:tr>
      <w:tr w:rsidR="00292A46" w:rsidRPr="00292A46" w:rsidTr="004F7326">
        <w:trPr>
          <w:cantSplit/>
        </w:trPr>
        <w:tc>
          <w:tcPr>
            <w:tcW w:w="540" w:type="dxa"/>
            <w:tcBorders>
              <w:top w:val="nil"/>
              <w:left w:val="nil"/>
              <w:bottom w:val="nil"/>
              <w:right w:val="nil"/>
            </w:tcBorders>
          </w:tcPr>
          <w:p w:rsidR="00292A46" w:rsidRPr="00292A46" w:rsidRDefault="00292A46" w:rsidP="004C3762">
            <w:pPr>
              <w:numPr>
                <w:ilvl w:val="12"/>
                <w:numId w:val="0"/>
              </w:numPr>
              <w:tabs>
                <w:tab w:val="left" w:pos="0"/>
              </w:tabs>
              <w:spacing w:before="120" w:after="120"/>
              <w:jc w:val="both"/>
            </w:pPr>
            <w:r w:rsidRPr="00292A46">
              <w:t>(9)</w:t>
            </w:r>
          </w:p>
        </w:tc>
        <w:tc>
          <w:tcPr>
            <w:tcW w:w="5400" w:type="dxa"/>
            <w:tcBorders>
              <w:top w:val="nil"/>
              <w:left w:val="nil"/>
              <w:bottom w:val="nil"/>
              <w:right w:val="nil"/>
            </w:tcBorders>
          </w:tcPr>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s>
              <w:spacing w:before="120" w:after="120"/>
              <w:jc w:val="both"/>
            </w:pPr>
            <w:r w:rsidRPr="00292A46">
              <w:t>Briefs</w:t>
            </w:r>
          </w:p>
        </w:tc>
        <w:tc>
          <w:tcPr>
            <w:tcW w:w="3420" w:type="dxa"/>
            <w:tcBorders>
              <w:top w:val="nil"/>
              <w:left w:val="nil"/>
              <w:bottom w:val="nil"/>
              <w:right w:val="nil"/>
            </w:tcBorders>
          </w:tcPr>
          <w:p w:rsidR="00292A46" w:rsidRPr="00292A46" w:rsidRDefault="00647EDB" w:rsidP="004C3762">
            <w:pPr>
              <w:numPr>
                <w:ilvl w:val="12"/>
                <w:numId w:val="0"/>
              </w:numPr>
              <w:tabs>
                <w:tab w:val="left" w:pos="0"/>
                <w:tab w:val="left" w:pos="720"/>
                <w:tab w:val="left" w:pos="1440"/>
                <w:tab w:val="left" w:pos="2160"/>
                <w:tab w:val="left" w:pos="2880"/>
              </w:tabs>
              <w:spacing w:before="120" w:after="120"/>
              <w:jc w:val="right"/>
            </w:pPr>
            <w:r>
              <w:t>December 9, 2015</w:t>
            </w:r>
          </w:p>
        </w:tc>
      </w:tr>
    </w:tbl>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92A46">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292A46">
        <w:tab/>
      </w:r>
    </w:p>
    <w:p w:rsidR="00771D63" w:rsidRDefault="00771D63"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C3762" w:rsidRDefault="004C3762">
      <w:r>
        <w:br w:type="page"/>
      </w:r>
    </w:p>
    <w:p w:rsidR="00292A46" w:rsidRPr="00292A46" w:rsidRDefault="004C3762"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292A46" w:rsidRPr="00292A46">
        <w:t>Based upon the foregoing, it is</w:t>
      </w:r>
    </w:p>
    <w:p w:rsidR="00292A46" w:rsidRP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44557"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92A46">
        <w:tab/>
        <w:t>ORDERED by Commissioner</w:t>
      </w:r>
      <w:r>
        <w:t xml:space="preserve"> Ronald A. Brisé</w:t>
      </w:r>
      <w:r w:rsidRPr="00292A46">
        <w:t>, as Prehearing Officer, that the provisions of this Order shall govern this proceeding unless modified by the Commission.</w:t>
      </w:r>
    </w:p>
    <w:p w:rsidR="00944557" w:rsidRDefault="00944557"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3762"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By ORDER of Commissioner Ronald A. Brisé, as Prehearing Officer, this </w:t>
      </w:r>
      <w:bookmarkStart w:id="6" w:name="replaceDate"/>
      <w:bookmarkEnd w:id="6"/>
      <w:r w:rsidR="00637F96">
        <w:rPr>
          <w:u w:val="single"/>
        </w:rPr>
        <w:t>16th</w:t>
      </w:r>
      <w:r w:rsidR="00637F96">
        <w:t xml:space="preserve"> day of </w:t>
      </w:r>
      <w:r w:rsidR="00637F96">
        <w:rPr>
          <w:u w:val="single"/>
        </w:rPr>
        <w:t>September</w:t>
      </w:r>
      <w:r w:rsidR="00637F96">
        <w:t xml:space="preserve">, </w:t>
      </w:r>
      <w:r w:rsidR="00637F96">
        <w:rPr>
          <w:u w:val="single"/>
        </w:rPr>
        <w:t>2015</w:t>
      </w:r>
      <w:r w:rsidR="00637F96">
        <w:t>.</w:t>
      </w:r>
    </w:p>
    <w:p w:rsidR="00637F96" w:rsidRPr="00637F96" w:rsidRDefault="00637F9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3762" w:rsidRDefault="004C3762"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C3762" w:rsidRDefault="004C3762"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C3762" w:rsidRDefault="004C3762"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tbl>
      <w:tblPr>
        <w:tblW w:w="4720" w:type="dxa"/>
        <w:tblInd w:w="3800" w:type="dxa"/>
        <w:tblLayout w:type="fixed"/>
        <w:tblLook w:val="0000" w:firstRow="0" w:lastRow="0" w:firstColumn="0" w:lastColumn="0" w:noHBand="0" w:noVBand="0"/>
      </w:tblPr>
      <w:tblGrid>
        <w:gridCol w:w="686"/>
        <w:gridCol w:w="4034"/>
      </w:tblGrid>
      <w:tr w:rsidR="00292A46" w:rsidTr="004C3762">
        <w:tc>
          <w:tcPr>
            <w:tcW w:w="686" w:type="dxa"/>
            <w:shd w:val="clear" w:color="auto" w:fill="auto"/>
          </w:tcPr>
          <w:p w:rsidR="00292A46" w:rsidRDefault="00292A46" w:rsidP="004C376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7" w:name="bkmrkSignature" w:colFirst="0" w:colLast="0"/>
          </w:p>
        </w:tc>
        <w:tc>
          <w:tcPr>
            <w:tcW w:w="4034" w:type="dxa"/>
            <w:tcBorders>
              <w:bottom w:val="single" w:sz="4" w:space="0" w:color="auto"/>
            </w:tcBorders>
            <w:shd w:val="clear" w:color="auto" w:fill="auto"/>
          </w:tcPr>
          <w:p w:rsidR="00292A46" w:rsidRDefault="00637F96" w:rsidP="004C376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 Ronald A. Brisé</w:t>
            </w:r>
            <w:bookmarkStart w:id="8" w:name="_GoBack"/>
            <w:bookmarkEnd w:id="8"/>
          </w:p>
        </w:tc>
      </w:tr>
      <w:bookmarkEnd w:id="7"/>
      <w:tr w:rsidR="00292A46" w:rsidTr="004C3762">
        <w:tc>
          <w:tcPr>
            <w:tcW w:w="686" w:type="dxa"/>
            <w:shd w:val="clear" w:color="auto" w:fill="auto"/>
          </w:tcPr>
          <w:p w:rsidR="00292A46" w:rsidRDefault="00292A46" w:rsidP="004C376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034" w:type="dxa"/>
            <w:tcBorders>
              <w:top w:val="single" w:sz="4" w:space="0" w:color="auto"/>
            </w:tcBorders>
            <w:shd w:val="clear" w:color="auto" w:fill="auto"/>
          </w:tcPr>
          <w:p w:rsidR="00292A46" w:rsidRDefault="00292A46" w:rsidP="004C376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RONALD A. BRISÉ</w:t>
            </w:r>
          </w:p>
          <w:p w:rsidR="00292A46" w:rsidRDefault="00292A46" w:rsidP="004C376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Commissioner and Prehearing Officer</w:t>
            </w:r>
          </w:p>
        </w:tc>
      </w:tr>
    </w:tbl>
    <w:p w:rsidR="00292A46" w:rsidRDefault="00292A46" w:rsidP="004C3762">
      <w:pPr>
        <w:pStyle w:val="OrderSigInfo"/>
        <w:keepNext/>
        <w:keepLines/>
      </w:pPr>
      <w:r>
        <w:t>Florida Public Service Commission</w:t>
      </w:r>
    </w:p>
    <w:p w:rsidR="00292A46" w:rsidRDefault="00292A46" w:rsidP="004C3762">
      <w:pPr>
        <w:pStyle w:val="OrderSigInfo"/>
        <w:keepNext/>
        <w:keepLines/>
      </w:pPr>
      <w:r>
        <w:t>2540 Shumard Oak Boulevard</w:t>
      </w:r>
    </w:p>
    <w:p w:rsidR="00292A46" w:rsidRDefault="00292A46" w:rsidP="004C3762">
      <w:pPr>
        <w:pStyle w:val="OrderSigInfo"/>
        <w:keepNext/>
        <w:keepLines/>
      </w:pPr>
      <w:r>
        <w:t>Tallahassee, Florida  32399</w:t>
      </w:r>
    </w:p>
    <w:p w:rsidR="00292A46" w:rsidRDefault="00292A46" w:rsidP="004C3762">
      <w:pPr>
        <w:pStyle w:val="OrderSigInfo"/>
        <w:keepNext/>
        <w:keepLines/>
      </w:pPr>
      <w:r>
        <w:t>(850) 413</w:t>
      </w:r>
      <w:r>
        <w:noBreakHyphen/>
        <w:t>6770</w:t>
      </w:r>
    </w:p>
    <w:p w:rsidR="00292A46" w:rsidRDefault="00292A46" w:rsidP="004C3762">
      <w:pPr>
        <w:pStyle w:val="OrderSigInfo"/>
        <w:keepNext/>
        <w:keepLines/>
      </w:pPr>
      <w:r>
        <w:t>www.floridapsc.com</w:t>
      </w:r>
    </w:p>
    <w:p w:rsidR="00292A46" w:rsidRDefault="00292A46" w:rsidP="004C3762">
      <w:pPr>
        <w:pStyle w:val="OrderSigInfo"/>
        <w:keepNext/>
        <w:keepLines/>
      </w:pPr>
    </w:p>
    <w:p w:rsidR="00292A46" w:rsidRDefault="00292A46" w:rsidP="004C3762">
      <w:pPr>
        <w:pStyle w:val="OrderSigInfo"/>
        <w:keepNext/>
        <w:keepLines/>
      </w:pPr>
      <w:r>
        <w:t>Copies furnished:  A copy of this document is provided to the parties of record at the time of issuance and, if applicable, interested persons.</w:t>
      </w:r>
    </w:p>
    <w:p w:rsidR="00292A46" w:rsidRDefault="00292A46" w:rsidP="004C376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92A46" w:rsidRDefault="00292A46" w:rsidP="004C376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KFC</w:t>
      </w:r>
    </w:p>
    <w:p w:rsidR="00292A46" w:rsidRDefault="00292A46" w:rsidP="004C37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71D63" w:rsidRDefault="00771D63" w:rsidP="004C3762">
      <w:pPr>
        <w:pStyle w:val="CenterUnderline"/>
      </w:pPr>
    </w:p>
    <w:p w:rsidR="00771D63" w:rsidRDefault="00771D63" w:rsidP="004C3762">
      <w:pPr>
        <w:pStyle w:val="CenterUnderline"/>
      </w:pPr>
    </w:p>
    <w:p w:rsidR="00771D63" w:rsidRDefault="00771D63" w:rsidP="004C3762">
      <w:pPr>
        <w:pStyle w:val="CenterUnderline"/>
      </w:pPr>
    </w:p>
    <w:p w:rsidR="00771D63" w:rsidRDefault="00771D63" w:rsidP="004C3762">
      <w:pPr>
        <w:pStyle w:val="CenterUnderline"/>
      </w:pPr>
    </w:p>
    <w:p w:rsidR="004C3762" w:rsidRDefault="004C3762">
      <w:pPr>
        <w:rPr>
          <w:u w:val="single"/>
        </w:rPr>
      </w:pPr>
      <w:r>
        <w:br w:type="page"/>
      </w:r>
    </w:p>
    <w:p w:rsidR="004C3762" w:rsidRDefault="004C3762" w:rsidP="004C3762">
      <w:pPr>
        <w:pStyle w:val="CenterUnderline"/>
      </w:pPr>
    </w:p>
    <w:p w:rsidR="00292A46" w:rsidRDefault="00292A46" w:rsidP="004C3762">
      <w:pPr>
        <w:pStyle w:val="CenterUnderline"/>
      </w:pPr>
      <w:r>
        <w:t>NOTICE OF FURTHER PROCEEDINGS OR JUDICIAL REVIEW</w:t>
      </w:r>
    </w:p>
    <w:p w:rsidR="00292A46" w:rsidRDefault="00292A46" w:rsidP="004C3762">
      <w:pPr>
        <w:pStyle w:val="CenterUnderline"/>
        <w:rPr>
          <w:u w:val="none"/>
        </w:rPr>
      </w:pPr>
    </w:p>
    <w:p w:rsidR="00292A46" w:rsidRDefault="00292A46" w:rsidP="004C376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92A46" w:rsidRDefault="00292A46" w:rsidP="004C3762">
      <w:pPr>
        <w:pStyle w:val="OrderBody"/>
      </w:pPr>
    </w:p>
    <w:p w:rsidR="00292A46" w:rsidRDefault="00292A46" w:rsidP="004C3762">
      <w:pPr>
        <w:pStyle w:val="OrderBody"/>
      </w:pPr>
      <w:r>
        <w:tab/>
        <w:t>Mediation may be available on a case-by-case basis.  If mediation is conducted, it does not affect a substantially interested person's right to a hearing.</w:t>
      </w:r>
    </w:p>
    <w:p w:rsidR="00292A46" w:rsidRDefault="00292A46" w:rsidP="004C3762">
      <w:pPr>
        <w:pStyle w:val="OrderBody"/>
      </w:pPr>
    </w:p>
    <w:p w:rsidR="00A95326" w:rsidRDefault="00292A46" w:rsidP="004C3762">
      <w:pPr>
        <w:pStyle w:val="OrderBody"/>
        <w:sectPr w:rsidR="00A95326">
          <w:headerReference w:type="default" r:id="rId8"/>
          <w:footerReference w:type="first" r:id="rId9"/>
          <w:pgSz w:w="12240" w:h="15840" w:code="1"/>
          <w:pgMar w:top="1440" w:right="1440" w:bottom="1440" w:left="1440" w:header="720" w:footer="720" w:gutter="0"/>
          <w:cols w:space="720"/>
          <w:titlePg/>
          <w:docGrid w:linePitch="360"/>
        </w:sectPr>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rsidP="004C3762">
      <w:pPr>
        <w:pStyle w:val="OrderBody"/>
      </w:pPr>
    </w:p>
    <w:p w:rsidR="00A95326" w:rsidRPr="00A95326" w:rsidRDefault="00A95326" w:rsidP="00A95326">
      <w:pPr>
        <w:spacing w:after="240"/>
      </w:pPr>
      <w:r w:rsidRPr="00A95326">
        <w:rPr>
          <w:rFonts w:cs="Arial"/>
          <w:b/>
          <w:bCs/>
          <w:kern w:val="32"/>
          <w:szCs w:val="32"/>
          <w:u w:val="single"/>
        </w:rPr>
        <w:t xml:space="preserve">Issue </w:t>
      </w:r>
      <w:r w:rsidRPr="00A95326">
        <w:rPr>
          <w:rFonts w:cs="Arial"/>
          <w:b/>
          <w:bCs/>
          <w:kern w:val="32"/>
          <w:szCs w:val="32"/>
          <w:u w:val="single"/>
        </w:rPr>
        <w:fldChar w:fldCharType="begin"/>
      </w:r>
      <w:r w:rsidRPr="00A95326">
        <w:rPr>
          <w:rFonts w:cs="Arial"/>
          <w:b/>
          <w:bCs/>
          <w:kern w:val="32"/>
          <w:szCs w:val="32"/>
          <w:u w:val="single"/>
        </w:rPr>
        <w:instrText xml:space="preserve"> SEQ Issue \* MERGEFORMAT </w:instrText>
      </w:r>
      <w:r w:rsidRPr="00A95326">
        <w:rPr>
          <w:rFonts w:cs="Arial"/>
          <w:b/>
          <w:bCs/>
          <w:kern w:val="32"/>
          <w:szCs w:val="32"/>
          <w:u w:val="single"/>
        </w:rPr>
        <w:fldChar w:fldCharType="separate"/>
      </w:r>
      <w:r w:rsidR="00637F96">
        <w:rPr>
          <w:rFonts w:cs="Arial"/>
          <w:b/>
          <w:bCs/>
          <w:noProof/>
          <w:kern w:val="32"/>
          <w:szCs w:val="32"/>
          <w:u w:val="single"/>
        </w:rPr>
        <w:t>1</w:t>
      </w:r>
      <w:r w:rsidRPr="00A95326">
        <w:rPr>
          <w:rFonts w:cs="Arial"/>
          <w:b/>
          <w:bCs/>
          <w:kern w:val="32"/>
          <w:szCs w:val="32"/>
          <w:u w:val="single"/>
        </w:rPr>
        <w:fldChar w:fldCharType="end"/>
      </w:r>
      <w:r w:rsidRPr="00A95326">
        <w:rPr>
          <w:rFonts w:cs="Arial"/>
          <w:bCs/>
          <w:kern w:val="32"/>
          <w:szCs w:val="32"/>
        </w:rPr>
        <w:t>: </w:t>
      </w:r>
      <w:r w:rsidRPr="00A95326">
        <w:t> Is there a need for the proposed Okeechobee Clean Energy Center Unit 1, taking into account the need for electric system reliability and integrity, as this criterion is used in Section 403.519(3), Florida Statutes?</w:t>
      </w:r>
    </w:p>
    <w:p w:rsidR="00A95326" w:rsidRPr="00A95326" w:rsidRDefault="00A95326" w:rsidP="00A95326">
      <w:pPr>
        <w:spacing w:after="240"/>
      </w:pPr>
      <w:r w:rsidRPr="00A95326">
        <w:rPr>
          <w:b/>
          <w:u w:val="single"/>
        </w:rPr>
        <w:t xml:space="preserve">Issue </w:t>
      </w:r>
      <w:r w:rsidRPr="00A95326">
        <w:rPr>
          <w:b/>
          <w:u w:val="single"/>
        </w:rPr>
        <w:fldChar w:fldCharType="begin"/>
      </w:r>
      <w:r w:rsidRPr="00A95326">
        <w:rPr>
          <w:b/>
          <w:u w:val="single"/>
        </w:rPr>
        <w:instrText xml:space="preserve"> SEQ Issue \* MERGEFORMAT </w:instrText>
      </w:r>
      <w:r w:rsidRPr="00A95326">
        <w:rPr>
          <w:b/>
          <w:u w:val="single"/>
        </w:rPr>
        <w:fldChar w:fldCharType="separate"/>
      </w:r>
      <w:r w:rsidR="00637F96">
        <w:rPr>
          <w:b/>
          <w:noProof/>
          <w:u w:val="single"/>
        </w:rPr>
        <w:t>2</w:t>
      </w:r>
      <w:r w:rsidRPr="00A95326">
        <w:rPr>
          <w:b/>
          <w:u w:val="single"/>
        </w:rPr>
        <w:fldChar w:fldCharType="end"/>
      </w:r>
      <w:r w:rsidRPr="00A95326">
        <w:t>:  Are there any renewable energy sources and technologies or conservation measures taken by or reasonably available to Florida Power &amp; Light, which might mitigate the need for the proposed Okeechobee Clean Energy Center Unit 1?</w:t>
      </w:r>
    </w:p>
    <w:p w:rsidR="00A95326" w:rsidRPr="00A95326" w:rsidRDefault="00A95326" w:rsidP="00A95326">
      <w:pPr>
        <w:spacing w:after="240"/>
      </w:pPr>
      <w:r w:rsidRPr="00A95326">
        <w:rPr>
          <w:rFonts w:cs="Arial"/>
          <w:b/>
          <w:bCs/>
          <w:kern w:val="32"/>
          <w:szCs w:val="32"/>
          <w:u w:val="single"/>
        </w:rPr>
        <w:t xml:space="preserve">Issue </w:t>
      </w:r>
      <w:r w:rsidRPr="00A95326">
        <w:rPr>
          <w:rFonts w:cs="Arial"/>
          <w:b/>
          <w:bCs/>
          <w:kern w:val="32"/>
          <w:szCs w:val="32"/>
          <w:u w:val="single"/>
        </w:rPr>
        <w:fldChar w:fldCharType="begin"/>
      </w:r>
      <w:r w:rsidRPr="00A95326">
        <w:rPr>
          <w:rFonts w:cs="Arial"/>
          <w:b/>
          <w:bCs/>
          <w:kern w:val="32"/>
          <w:szCs w:val="32"/>
          <w:u w:val="single"/>
        </w:rPr>
        <w:instrText xml:space="preserve"> SEQ Issue \* MERGEFORMAT </w:instrText>
      </w:r>
      <w:r w:rsidRPr="00A95326">
        <w:rPr>
          <w:rFonts w:cs="Arial"/>
          <w:b/>
          <w:bCs/>
          <w:kern w:val="32"/>
          <w:szCs w:val="32"/>
          <w:u w:val="single"/>
        </w:rPr>
        <w:fldChar w:fldCharType="separate"/>
      </w:r>
      <w:r w:rsidR="00637F96">
        <w:rPr>
          <w:rFonts w:cs="Arial"/>
          <w:b/>
          <w:bCs/>
          <w:noProof/>
          <w:kern w:val="32"/>
          <w:szCs w:val="32"/>
          <w:u w:val="single"/>
        </w:rPr>
        <w:t>3</w:t>
      </w:r>
      <w:r w:rsidRPr="00A95326">
        <w:rPr>
          <w:rFonts w:cs="Arial"/>
          <w:b/>
          <w:bCs/>
          <w:kern w:val="32"/>
          <w:szCs w:val="32"/>
          <w:u w:val="single"/>
        </w:rPr>
        <w:fldChar w:fldCharType="end"/>
      </w:r>
      <w:r w:rsidRPr="00A95326">
        <w:rPr>
          <w:rFonts w:cs="Arial"/>
          <w:bCs/>
          <w:kern w:val="32"/>
          <w:szCs w:val="32"/>
        </w:rPr>
        <w:t>: </w:t>
      </w:r>
      <w:r w:rsidRPr="00A95326">
        <w:t> Is there a need for the proposed Okeechobee Clean Energy Center Unit 1, taking into account the need for adequate electricity at a reasonable cost, as this criterion is used in Section 403.519(3), Florida Statutes?</w:t>
      </w:r>
    </w:p>
    <w:p w:rsidR="00A95326" w:rsidRPr="00A95326" w:rsidRDefault="00A95326" w:rsidP="00A95326">
      <w:pPr>
        <w:spacing w:after="240"/>
      </w:pPr>
      <w:r w:rsidRPr="00A95326">
        <w:rPr>
          <w:rFonts w:cs="Arial"/>
          <w:b/>
          <w:bCs/>
          <w:kern w:val="32"/>
          <w:szCs w:val="32"/>
          <w:u w:val="single"/>
        </w:rPr>
        <w:t xml:space="preserve">Issue </w:t>
      </w:r>
      <w:r w:rsidRPr="00A95326">
        <w:rPr>
          <w:rFonts w:cs="Arial"/>
          <w:b/>
          <w:bCs/>
          <w:kern w:val="32"/>
          <w:szCs w:val="32"/>
          <w:u w:val="single"/>
        </w:rPr>
        <w:fldChar w:fldCharType="begin"/>
      </w:r>
      <w:r w:rsidRPr="00A95326">
        <w:rPr>
          <w:rFonts w:cs="Arial"/>
          <w:b/>
          <w:bCs/>
          <w:kern w:val="32"/>
          <w:szCs w:val="32"/>
          <w:u w:val="single"/>
        </w:rPr>
        <w:instrText xml:space="preserve"> SEQ Issue \* MERGEFORMAT </w:instrText>
      </w:r>
      <w:r w:rsidRPr="00A95326">
        <w:rPr>
          <w:rFonts w:cs="Arial"/>
          <w:b/>
          <w:bCs/>
          <w:kern w:val="32"/>
          <w:szCs w:val="32"/>
          <w:u w:val="single"/>
        </w:rPr>
        <w:fldChar w:fldCharType="separate"/>
      </w:r>
      <w:r w:rsidR="00637F96">
        <w:rPr>
          <w:rFonts w:cs="Arial"/>
          <w:b/>
          <w:bCs/>
          <w:noProof/>
          <w:kern w:val="32"/>
          <w:szCs w:val="32"/>
          <w:u w:val="single"/>
        </w:rPr>
        <w:t>4</w:t>
      </w:r>
      <w:r w:rsidRPr="00A95326">
        <w:rPr>
          <w:rFonts w:cs="Arial"/>
          <w:b/>
          <w:bCs/>
          <w:kern w:val="32"/>
          <w:szCs w:val="32"/>
          <w:u w:val="single"/>
        </w:rPr>
        <w:fldChar w:fldCharType="end"/>
      </w:r>
      <w:r w:rsidRPr="00A95326">
        <w:rPr>
          <w:rFonts w:cs="Arial"/>
          <w:bCs/>
          <w:kern w:val="32"/>
          <w:szCs w:val="32"/>
        </w:rPr>
        <w:t>: </w:t>
      </w:r>
      <w:r w:rsidRPr="00A95326">
        <w:t> Is there a need for the proposed Okeechobee Clean Energy Center Unit 1, taking into account the need for fuel diversity, as this criterion is used in Section 403.519(3), Florida Statutes?</w:t>
      </w:r>
    </w:p>
    <w:p w:rsidR="00A95326" w:rsidRPr="00A95326" w:rsidRDefault="00A95326" w:rsidP="00A95326">
      <w:pPr>
        <w:spacing w:after="240"/>
      </w:pPr>
      <w:r w:rsidRPr="00A95326">
        <w:rPr>
          <w:rFonts w:cs="Arial"/>
          <w:b/>
          <w:bCs/>
          <w:kern w:val="32"/>
          <w:szCs w:val="32"/>
          <w:u w:val="single"/>
        </w:rPr>
        <w:t xml:space="preserve">Issue </w:t>
      </w:r>
      <w:r w:rsidRPr="00A95326">
        <w:rPr>
          <w:rFonts w:cs="Arial"/>
          <w:b/>
          <w:bCs/>
          <w:kern w:val="32"/>
          <w:szCs w:val="32"/>
          <w:u w:val="single"/>
        </w:rPr>
        <w:fldChar w:fldCharType="begin"/>
      </w:r>
      <w:r w:rsidRPr="00A95326">
        <w:rPr>
          <w:rFonts w:cs="Arial"/>
          <w:b/>
          <w:bCs/>
          <w:kern w:val="32"/>
          <w:szCs w:val="32"/>
          <w:u w:val="single"/>
        </w:rPr>
        <w:instrText xml:space="preserve"> SEQ Issue \* MERGEFORMAT </w:instrText>
      </w:r>
      <w:r w:rsidRPr="00A95326">
        <w:rPr>
          <w:rFonts w:cs="Arial"/>
          <w:b/>
          <w:bCs/>
          <w:kern w:val="32"/>
          <w:szCs w:val="32"/>
          <w:u w:val="single"/>
        </w:rPr>
        <w:fldChar w:fldCharType="separate"/>
      </w:r>
      <w:r w:rsidR="00637F96">
        <w:rPr>
          <w:rFonts w:cs="Arial"/>
          <w:b/>
          <w:bCs/>
          <w:noProof/>
          <w:kern w:val="32"/>
          <w:szCs w:val="32"/>
          <w:u w:val="single"/>
        </w:rPr>
        <w:t>5</w:t>
      </w:r>
      <w:r w:rsidRPr="00A95326">
        <w:rPr>
          <w:rFonts w:cs="Arial"/>
          <w:b/>
          <w:bCs/>
          <w:kern w:val="32"/>
          <w:szCs w:val="32"/>
          <w:u w:val="single"/>
        </w:rPr>
        <w:fldChar w:fldCharType="end"/>
      </w:r>
      <w:r w:rsidRPr="00A95326">
        <w:rPr>
          <w:rFonts w:cs="Arial"/>
          <w:bCs/>
          <w:kern w:val="32"/>
          <w:szCs w:val="32"/>
        </w:rPr>
        <w:t>: </w:t>
      </w:r>
      <w:r w:rsidRPr="00A95326">
        <w:t> Will the proposed Okeechobee Clean Energy Center Unit 1 provide the most cost-effective source of power, as this criterion is used in Section 403.519(3), Florida Statutes?</w:t>
      </w:r>
    </w:p>
    <w:p w:rsidR="00A95326" w:rsidRPr="00A95326" w:rsidRDefault="00A95326" w:rsidP="00A95326">
      <w:pPr>
        <w:spacing w:after="240"/>
      </w:pPr>
      <w:r w:rsidRPr="00A95326">
        <w:rPr>
          <w:rFonts w:cs="Arial"/>
          <w:b/>
          <w:bCs/>
          <w:kern w:val="32"/>
          <w:szCs w:val="32"/>
          <w:u w:val="single"/>
        </w:rPr>
        <w:t xml:space="preserve">Issue </w:t>
      </w:r>
      <w:r w:rsidRPr="00A95326">
        <w:rPr>
          <w:rFonts w:cs="Arial"/>
          <w:b/>
          <w:bCs/>
          <w:kern w:val="32"/>
          <w:szCs w:val="32"/>
          <w:u w:val="single"/>
        </w:rPr>
        <w:fldChar w:fldCharType="begin"/>
      </w:r>
      <w:r w:rsidRPr="00A95326">
        <w:rPr>
          <w:rFonts w:cs="Arial"/>
          <w:b/>
          <w:bCs/>
          <w:kern w:val="32"/>
          <w:szCs w:val="32"/>
          <w:u w:val="single"/>
        </w:rPr>
        <w:instrText xml:space="preserve"> SEQ Issue \* MERGEFORMAT </w:instrText>
      </w:r>
      <w:r w:rsidRPr="00A95326">
        <w:rPr>
          <w:rFonts w:cs="Arial"/>
          <w:b/>
          <w:bCs/>
          <w:kern w:val="32"/>
          <w:szCs w:val="32"/>
          <w:u w:val="single"/>
        </w:rPr>
        <w:fldChar w:fldCharType="separate"/>
      </w:r>
      <w:r w:rsidR="00637F96">
        <w:rPr>
          <w:rFonts w:cs="Arial"/>
          <w:b/>
          <w:bCs/>
          <w:noProof/>
          <w:kern w:val="32"/>
          <w:szCs w:val="32"/>
          <w:u w:val="single"/>
        </w:rPr>
        <w:t>6</w:t>
      </w:r>
      <w:r w:rsidRPr="00A95326">
        <w:rPr>
          <w:rFonts w:cs="Arial"/>
          <w:b/>
          <w:bCs/>
          <w:kern w:val="32"/>
          <w:szCs w:val="32"/>
          <w:u w:val="single"/>
        </w:rPr>
        <w:fldChar w:fldCharType="end"/>
      </w:r>
      <w:r w:rsidRPr="00A95326">
        <w:rPr>
          <w:rFonts w:cs="Arial"/>
          <w:bCs/>
          <w:kern w:val="32"/>
          <w:szCs w:val="32"/>
        </w:rPr>
        <w:t>: </w:t>
      </w:r>
      <w:r w:rsidRPr="00A95326">
        <w:t> Based on the resolution of the foregoing issues, should the Commission grant Florida Power &amp; Light’s petition to determine the need for the proposed Okeechobee Clean Energy Center Unit 1?</w:t>
      </w:r>
    </w:p>
    <w:p w:rsidR="00A95326" w:rsidRPr="00A95326" w:rsidRDefault="00A95326" w:rsidP="00A95326">
      <w:pPr>
        <w:spacing w:after="240"/>
      </w:pPr>
      <w:r w:rsidRPr="00A95326">
        <w:rPr>
          <w:rFonts w:cs="Arial"/>
          <w:b/>
          <w:bCs/>
          <w:kern w:val="32"/>
          <w:szCs w:val="32"/>
          <w:u w:val="single"/>
        </w:rPr>
        <w:t xml:space="preserve">Issue </w:t>
      </w:r>
      <w:r w:rsidRPr="00A95326">
        <w:rPr>
          <w:rFonts w:cs="Arial"/>
          <w:b/>
          <w:bCs/>
          <w:kern w:val="32"/>
          <w:szCs w:val="32"/>
          <w:u w:val="single"/>
        </w:rPr>
        <w:fldChar w:fldCharType="begin"/>
      </w:r>
      <w:r w:rsidRPr="00A95326">
        <w:rPr>
          <w:rFonts w:cs="Arial"/>
          <w:b/>
          <w:bCs/>
          <w:kern w:val="32"/>
          <w:szCs w:val="32"/>
          <w:u w:val="single"/>
        </w:rPr>
        <w:instrText xml:space="preserve"> SEQ Issue \* MERGEFORMAT </w:instrText>
      </w:r>
      <w:r w:rsidRPr="00A95326">
        <w:rPr>
          <w:rFonts w:cs="Arial"/>
          <w:b/>
          <w:bCs/>
          <w:kern w:val="32"/>
          <w:szCs w:val="32"/>
          <w:u w:val="single"/>
        </w:rPr>
        <w:fldChar w:fldCharType="separate"/>
      </w:r>
      <w:r w:rsidR="00637F96">
        <w:rPr>
          <w:rFonts w:cs="Arial"/>
          <w:b/>
          <w:bCs/>
          <w:noProof/>
          <w:kern w:val="32"/>
          <w:szCs w:val="32"/>
          <w:u w:val="single"/>
        </w:rPr>
        <w:t>7</w:t>
      </w:r>
      <w:r w:rsidRPr="00A95326">
        <w:rPr>
          <w:rFonts w:cs="Arial"/>
          <w:b/>
          <w:bCs/>
          <w:kern w:val="32"/>
          <w:szCs w:val="32"/>
          <w:u w:val="single"/>
        </w:rPr>
        <w:fldChar w:fldCharType="end"/>
      </w:r>
      <w:r w:rsidRPr="00A95326">
        <w:rPr>
          <w:rFonts w:cs="Arial"/>
          <w:bCs/>
          <w:kern w:val="32"/>
          <w:szCs w:val="32"/>
        </w:rPr>
        <w:t>: </w:t>
      </w:r>
      <w:r w:rsidRPr="00A95326">
        <w:t> Should this docket be closed?</w:t>
      </w:r>
    </w:p>
    <w:p w:rsidR="00A95326" w:rsidRDefault="00A95326" w:rsidP="004C3762">
      <w:pPr>
        <w:pStyle w:val="OrderBody"/>
      </w:pPr>
    </w:p>
    <w:sectPr w:rsidR="00A95326">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46" w:rsidRDefault="00292A46">
      <w:r>
        <w:separator/>
      </w:r>
    </w:p>
  </w:endnote>
  <w:endnote w:type="continuationSeparator" w:id="0">
    <w:p w:rsidR="00292A46" w:rsidRDefault="0029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46" w:rsidRDefault="00292A46">
      <w:r>
        <w:separator/>
      </w:r>
    </w:p>
  </w:footnote>
  <w:footnote w:type="continuationSeparator" w:id="0">
    <w:p w:rsidR="00292A46" w:rsidRDefault="00292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4 ">
      <w:r w:rsidR="00637F96">
        <w:t>PSC-15-0394-PCO-EI</w:t>
      </w:r>
    </w:fldSimple>
  </w:p>
  <w:p w:rsidR="00FA6EFD" w:rsidRDefault="00292A46">
    <w:pPr>
      <w:pStyle w:val="OrderHeader"/>
    </w:pPr>
    <w:bookmarkStart w:id="9" w:name="HeaderDocketNo"/>
    <w:bookmarkEnd w:id="9"/>
    <w:r>
      <w:t>DOCKET NO. 150196-EI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7F96">
      <w:rPr>
        <w:rStyle w:val="PageNumber"/>
        <w:noProof/>
      </w:rPr>
      <w:t>10</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26" w:rsidRDefault="00A95326" w:rsidP="00A95326">
    <w:pPr>
      <w:pStyle w:val="OrderHeader"/>
    </w:pPr>
    <w:r>
      <w:t xml:space="preserve">ORDER NO. </w:t>
    </w:r>
    <w:r w:rsidR="00637F96">
      <w:fldChar w:fldCharType="begin"/>
    </w:r>
    <w:r w:rsidR="00637F96">
      <w:instrText xml:space="preserve"> REF OrderNo0394 </w:instrText>
    </w:r>
    <w:r w:rsidR="00637F96">
      <w:fldChar w:fldCharType="separate"/>
    </w:r>
    <w:r w:rsidR="00637F96">
      <w:t>PSC-15-0394-PCO-EI</w:t>
    </w:r>
    <w:r w:rsidR="00637F96">
      <w:fldChar w:fldCharType="end"/>
    </w:r>
    <w:r>
      <w:tab/>
    </w:r>
    <w:r>
      <w:tab/>
      <w:t>APPENDIX A</w:t>
    </w:r>
  </w:p>
  <w:p w:rsidR="00A95326" w:rsidRDefault="00A95326" w:rsidP="00A95326">
    <w:pPr>
      <w:pStyle w:val="OrderHeader"/>
    </w:pPr>
    <w:r>
      <w:t>DOCKET NO. 150196-EI</w:t>
    </w:r>
  </w:p>
  <w:p w:rsidR="00A95326" w:rsidRDefault="00A95326" w:rsidP="00A9532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7F96">
      <w:rPr>
        <w:rStyle w:val="PageNumber"/>
        <w:noProof/>
      </w:rPr>
      <w:t>13</w:t>
    </w:r>
    <w:r>
      <w:rPr>
        <w:rStyle w:val="PageNumber"/>
      </w:rPr>
      <w:fldChar w:fldCharType="end"/>
    </w:r>
  </w:p>
  <w:p w:rsidR="00A95326" w:rsidRDefault="00A953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96-EI"/>
  </w:docVars>
  <w:rsids>
    <w:rsidRoot w:val="00292A46"/>
    <w:rsid w:val="000022B8"/>
    <w:rsid w:val="00053AB9"/>
    <w:rsid w:val="00056229"/>
    <w:rsid w:val="00065FC2"/>
    <w:rsid w:val="00090AFC"/>
    <w:rsid w:val="00097F09"/>
    <w:rsid w:val="000D06E8"/>
    <w:rsid w:val="000E344D"/>
    <w:rsid w:val="000F3B2C"/>
    <w:rsid w:val="000F76A3"/>
    <w:rsid w:val="000F7BE3"/>
    <w:rsid w:val="00116AD3"/>
    <w:rsid w:val="00121A63"/>
    <w:rsid w:val="00126593"/>
    <w:rsid w:val="00133D67"/>
    <w:rsid w:val="001404C9"/>
    <w:rsid w:val="00142A96"/>
    <w:rsid w:val="00187E32"/>
    <w:rsid w:val="00194E81"/>
    <w:rsid w:val="00196CA2"/>
    <w:rsid w:val="001A33C9"/>
    <w:rsid w:val="001D008A"/>
    <w:rsid w:val="002002ED"/>
    <w:rsid w:val="0022721A"/>
    <w:rsid w:val="00230BB9"/>
    <w:rsid w:val="00277A25"/>
    <w:rsid w:val="00292A46"/>
    <w:rsid w:val="002A11AC"/>
    <w:rsid w:val="002A6F30"/>
    <w:rsid w:val="002D7D15"/>
    <w:rsid w:val="00303FDE"/>
    <w:rsid w:val="003140E8"/>
    <w:rsid w:val="00317D84"/>
    <w:rsid w:val="003231C7"/>
    <w:rsid w:val="00331ED0"/>
    <w:rsid w:val="0035495B"/>
    <w:rsid w:val="003744F5"/>
    <w:rsid w:val="00381808"/>
    <w:rsid w:val="00390DD8"/>
    <w:rsid w:val="00394DC6"/>
    <w:rsid w:val="00397C3E"/>
    <w:rsid w:val="003D4CCA"/>
    <w:rsid w:val="003D6416"/>
    <w:rsid w:val="003E1D48"/>
    <w:rsid w:val="00414C65"/>
    <w:rsid w:val="00457DC7"/>
    <w:rsid w:val="00472BCC"/>
    <w:rsid w:val="00494F86"/>
    <w:rsid w:val="004A25CD"/>
    <w:rsid w:val="004A26CC"/>
    <w:rsid w:val="004B2108"/>
    <w:rsid w:val="004B3A2B"/>
    <w:rsid w:val="004C3762"/>
    <w:rsid w:val="004D2D1B"/>
    <w:rsid w:val="004F2DDE"/>
    <w:rsid w:val="0050097F"/>
    <w:rsid w:val="00514B1F"/>
    <w:rsid w:val="00556A10"/>
    <w:rsid w:val="005871F5"/>
    <w:rsid w:val="005963C2"/>
    <w:rsid w:val="005B45F7"/>
    <w:rsid w:val="005B63EA"/>
    <w:rsid w:val="00637F96"/>
    <w:rsid w:val="00647EDB"/>
    <w:rsid w:val="00660774"/>
    <w:rsid w:val="00665CC7"/>
    <w:rsid w:val="006A0BF3"/>
    <w:rsid w:val="006B0DA6"/>
    <w:rsid w:val="006C547E"/>
    <w:rsid w:val="00704C5D"/>
    <w:rsid w:val="007230AC"/>
    <w:rsid w:val="00733B6B"/>
    <w:rsid w:val="00736FB6"/>
    <w:rsid w:val="0076170F"/>
    <w:rsid w:val="0076669C"/>
    <w:rsid w:val="00771D63"/>
    <w:rsid w:val="007865E9"/>
    <w:rsid w:val="00792383"/>
    <w:rsid w:val="007C4C50"/>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44557"/>
    <w:rsid w:val="00994100"/>
    <w:rsid w:val="009C0FEA"/>
    <w:rsid w:val="009D4C29"/>
    <w:rsid w:val="00A010F7"/>
    <w:rsid w:val="00A62DAB"/>
    <w:rsid w:val="00A7173D"/>
    <w:rsid w:val="00A726A6"/>
    <w:rsid w:val="00A9532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0DDB"/>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47531"/>
    <w:rsid w:val="00F54380"/>
    <w:rsid w:val="00F54B47"/>
    <w:rsid w:val="00F72B6D"/>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37F96"/>
    <w:rPr>
      <w:rFonts w:ascii="Tahoma" w:hAnsi="Tahoma" w:cs="Tahoma"/>
      <w:sz w:val="16"/>
      <w:szCs w:val="16"/>
    </w:rPr>
  </w:style>
  <w:style w:type="character" w:customStyle="1" w:styleId="BalloonTextChar">
    <w:name w:val="Balloon Text Char"/>
    <w:basedOn w:val="DefaultParagraphFont"/>
    <w:link w:val="BalloonText"/>
    <w:rsid w:val="00637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37F96"/>
    <w:rPr>
      <w:rFonts w:ascii="Tahoma" w:hAnsi="Tahoma" w:cs="Tahoma"/>
      <w:sz w:val="16"/>
      <w:szCs w:val="16"/>
    </w:rPr>
  </w:style>
  <w:style w:type="character" w:customStyle="1" w:styleId="BalloonTextChar">
    <w:name w:val="Balloon Text Char"/>
    <w:basedOn w:val="DefaultParagraphFont"/>
    <w:link w:val="BalloonText"/>
    <w:rsid w:val="00637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13</Pages>
  <Words>4374</Words>
  <Characters>23719</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2015-09-16T17:49:00Z</dcterms:created>
  <dcterms:modified xsi:type="dcterms:W3CDTF">2015-09-16T18:02:00Z</dcterms:modified>
</cp:coreProperties>
</file>