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16C69" w:rsidP="00C16C69">
      <w:pPr>
        <w:pStyle w:val="OrderHeading"/>
      </w:pPr>
      <w:r>
        <w:t>BEFORE THE FLORIDA PUBLIC SERVICE COMMISSION</w:t>
      </w:r>
    </w:p>
    <w:p w:rsidR="00C16C69" w:rsidRDefault="00C16C69" w:rsidP="00C16C69">
      <w:pPr>
        <w:pStyle w:val="OrderHeading"/>
      </w:pPr>
    </w:p>
    <w:p w:rsidR="00C16C69" w:rsidRDefault="00C16C69" w:rsidP="00C16C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16C69" w:rsidRPr="00C63FCF" w:rsidTr="00231205">
        <w:trPr>
          <w:trHeight w:val="828"/>
        </w:trPr>
        <w:tc>
          <w:tcPr>
            <w:tcW w:w="4788" w:type="dxa"/>
            <w:tcBorders>
              <w:bottom w:val="single" w:sz="8" w:space="0" w:color="auto"/>
              <w:right w:val="double" w:sz="6" w:space="0" w:color="auto"/>
            </w:tcBorders>
            <w:shd w:val="clear" w:color="auto" w:fill="auto"/>
          </w:tcPr>
          <w:p w:rsidR="00C16C69" w:rsidRDefault="00C16C69" w:rsidP="00231205">
            <w:pPr>
              <w:pStyle w:val="OrderBody"/>
              <w:tabs>
                <w:tab w:val="center" w:pos="4320"/>
                <w:tab w:val="right" w:pos="8640"/>
              </w:tabs>
              <w:jc w:val="left"/>
            </w:pPr>
            <w:r>
              <w:t xml:space="preserve">In re: </w:t>
            </w:r>
            <w:bookmarkStart w:id="0" w:name="SSInRe"/>
            <w:bookmarkEnd w:id="0"/>
            <w:r>
              <w:t>Petition for approval of 2015 depreciation study by Florida Public Utilities Company.</w:t>
            </w:r>
          </w:p>
        </w:tc>
        <w:tc>
          <w:tcPr>
            <w:tcW w:w="4788" w:type="dxa"/>
            <w:tcBorders>
              <w:left w:val="double" w:sz="6" w:space="0" w:color="auto"/>
            </w:tcBorders>
            <w:shd w:val="clear" w:color="auto" w:fill="auto"/>
          </w:tcPr>
          <w:p w:rsidR="00C16C69" w:rsidRDefault="00C16C69" w:rsidP="00C16C69">
            <w:pPr>
              <w:pStyle w:val="OrderBody"/>
            </w:pPr>
            <w:r>
              <w:t xml:space="preserve">DOCKET NO. </w:t>
            </w:r>
            <w:bookmarkStart w:id="1" w:name="SSDocketNo"/>
            <w:bookmarkEnd w:id="1"/>
            <w:r>
              <w:t>150162-EI</w:t>
            </w:r>
          </w:p>
          <w:p w:rsidR="00C16C69" w:rsidRDefault="00C16C69" w:rsidP="00231205">
            <w:pPr>
              <w:pStyle w:val="OrderBody"/>
              <w:tabs>
                <w:tab w:val="center" w:pos="4320"/>
                <w:tab w:val="right" w:pos="8640"/>
              </w:tabs>
              <w:jc w:val="left"/>
            </w:pPr>
            <w:r>
              <w:t xml:space="preserve">ORDER NO. </w:t>
            </w:r>
            <w:bookmarkStart w:id="2" w:name="OrderNo0575"/>
            <w:r w:rsidR="00A217F7">
              <w:t>PSC-15-0575-PAA-EI</w:t>
            </w:r>
            <w:bookmarkEnd w:id="2"/>
          </w:p>
          <w:p w:rsidR="00C16C69" w:rsidRDefault="00C16C69" w:rsidP="00231205">
            <w:pPr>
              <w:pStyle w:val="OrderBody"/>
              <w:tabs>
                <w:tab w:val="center" w:pos="4320"/>
                <w:tab w:val="right" w:pos="8640"/>
              </w:tabs>
              <w:jc w:val="left"/>
            </w:pPr>
            <w:r>
              <w:t xml:space="preserve">ISSUED: </w:t>
            </w:r>
            <w:r w:rsidR="00A217F7">
              <w:t>December 21, 2015</w:t>
            </w:r>
          </w:p>
        </w:tc>
      </w:tr>
    </w:tbl>
    <w:p w:rsidR="00C16C69" w:rsidRDefault="00C16C69" w:rsidP="00C16C69"/>
    <w:p w:rsidR="00C16C69" w:rsidRDefault="00C16C69" w:rsidP="00C16C69"/>
    <w:p w:rsidR="00C16C69" w:rsidRPr="00E46E1F" w:rsidRDefault="00C16C69">
      <w:pPr>
        <w:ind w:firstLine="720"/>
        <w:jc w:val="both"/>
      </w:pPr>
      <w:bookmarkStart w:id="3" w:name="Commissioners"/>
      <w:bookmarkEnd w:id="3"/>
      <w:r w:rsidRPr="00E46E1F">
        <w:t>The following Commissioners participated in the disposition of this matter:</w:t>
      </w:r>
    </w:p>
    <w:p w:rsidR="00C16C69" w:rsidRPr="00E46E1F" w:rsidRDefault="00C16C69"/>
    <w:p w:rsidR="00C16C69" w:rsidRDefault="00C16C69">
      <w:pPr>
        <w:jc w:val="center"/>
      </w:pPr>
      <w:r>
        <w:t>ART GRAHAM</w:t>
      </w:r>
      <w:r w:rsidRPr="00E46E1F">
        <w:t>, Chairman</w:t>
      </w:r>
    </w:p>
    <w:p w:rsidR="00C16C69" w:rsidRPr="00E46E1F" w:rsidRDefault="00C16C69">
      <w:pPr>
        <w:jc w:val="center"/>
      </w:pPr>
      <w:r w:rsidRPr="00E46E1F">
        <w:t>LISA POLAK EDGAR</w:t>
      </w:r>
    </w:p>
    <w:p w:rsidR="00C16C69" w:rsidRDefault="00C16C69">
      <w:pPr>
        <w:jc w:val="center"/>
      </w:pPr>
      <w:r>
        <w:t>RONALD A. BRISÉ</w:t>
      </w:r>
    </w:p>
    <w:p w:rsidR="00C16C69" w:rsidRDefault="00C16C69">
      <w:pPr>
        <w:jc w:val="center"/>
      </w:pPr>
      <w:r>
        <w:t>JULIE I. BROWN</w:t>
      </w:r>
    </w:p>
    <w:p w:rsidR="00C16C69" w:rsidRDefault="00C16C69">
      <w:pPr>
        <w:jc w:val="center"/>
      </w:pPr>
      <w:r>
        <w:t>JIMMY PATRONIS</w:t>
      </w:r>
    </w:p>
    <w:p w:rsidR="00CB5276" w:rsidRDefault="00CB5276">
      <w:pPr>
        <w:pStyle w:val="OrderBody"/>
      </w:pPr>
    </w:p>
    <w:p w:rsidR="00C16C69" w:rsidRDefault="00C16C69" w:rsidP="00C16C69">
      <w:pPr>
        <w:pStyle w:val="OrderBody"/>
      </w:pPr>
    </w:p>
    <w:p w:rsidR="00C16C69" w:rsidRDefault="00C16C69" w:rsidP="00C16C69">
      <w:pPr>
        <w:pStyle w:val="OrderBody"/>
      </w:pPr>
    </w:p>
    <w:bookmarkStart w:id="4" w:name="OrderText"/>
    <w:bookmarkEnd w:id="4"/>
    <w:p w:rsidR="00C16C69" w:rsidRPr="003E4B2D" w:rsidRDefault="00C16C6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16C69" w:rsidRPr="003E4B2D" w:rsidRDefault="00C16C69">
      <w:pPr>
        <w:pStyle w:val="OrderBody"/>
        <w:jc w:val="center"/>
        <w:rPr>
          <w:u w:val="single"/>
        </w:rPr>
      </w:pPr>
      <w:r w:rsidRPr="003E4B2D">
        <w:rPr>
          <w:u w:val="single"/>
        </w:rPr>
        <w:t>ORDER</w:t>
      </w:r>
      <w:bookmarkStart w:id="5" w:name="OrderTitle"/>
      <w:r w:rsidR="00F1000E">
        <w:rPr>
          <w:u w:val="single"/>
        </w:rPr>
        <w:t xml:space="preserve"> APPROVING </w:t>
      </w:r>
      <w:r w:rsidR="008173C5">
        <w:rPr>
          <w:u w:val="single"/>
        </w:rPr>
        <w:t>DEPRECIATION</w:t>
      </w:r>
      <w:r w:rsidR="00B47BFC">
        <w:rPr>
          <w:u w:val="single"/>
        </w:rPr>
        <w:t xml:space="preserve"> RATES AND AMORTIZATION SCHEDULES FOR FLORIDA PUBLIC UTILITIES COMPANY</w:t>
      </w:r>
      <w:r w:rsidR="008173C5">
        <w:rPr>
          <w:u w:val="single"/>
        </w:rPr>
        <w:t xml:space="preserve"> </w:t>
      </w:r>
      <w:bookmarkEnd w:id="5"/>
    </w:p>
    <w:p w:rsidR="00C16C69" w:rsidRPr="003E4B2D" w:rsidRDefault="00C16C69">
      <w:pPr>
        <w:pStyle w:val="OrderBody"/>
      </w:pPr>
    </w:p>
    <w:p w:rsidR="00C16C69" w:rsidRPr="003E4B2D" w:rsidRDefault="00C16C69">
      <w:pPr>
        <w:pStyle w:val="OrderBody"/>
      </w:pPr>
    </w:p>
    <w:p w:rsidR="00C16C69" w:rsidRPr="003E4B2D" w:rsidRDefault="00C16C69">
      <w:pPr>
        <w:pStyle w:val="OrderBody"/>
      </w:pPr>
      <w:r w:rsidRPr="003E4B2D">
        <w:t>BY THE COMMISSION:</w:t>
      </w:r>
    </w:p>
    <w:p w:rsidR="00C16C69" w:rsidRPr="003E4B2D" w:rsidRDefault="00C16C69">
      <w:pPr>
        <w:pStyle w:val="OrderBody"/>
      </w:pPr>
    </w:p>
    <w:p w:rsidR="00C16C69" w:rsidRDefault="00C16C6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C16C69"/>
    <w:p w:rsidR="00CB5276" w:rsidRPr="00F1000E" w:rsidRDefault="00C16C69" w:rsidP="00C16C69">
      <w:pPr>
        <w:jc w:val="center"/>
        <w:rPr>
          <w:u w:val="single"/>
        </w:rPr>
      </w:pPr>
      <w:r w:rsidRPr="00F1000E">
        <w:rPr>
          <w:u w:val="single"/>
        </w:rPr>
        <w:t>Background</w:t>
      </w:r>
    </w:p>
    <w:p w:rsidR="00C16C69" w:rsidRDefault="00C16C69"/>
    <w:p w:rsidR="00C16C69" w:rsidRPr="00C16C69" w:rsidRDefault="00C16C69" w:rsidP="00C16C69">
      <w:pPr>
        <w:spacing w:after="240"/>
        <w:ind w:firstLine="720"/>
        <w:jc w:val="both"/>
      </w:pPr>
      <w:r w:rsidRPr="00C16C69">
        <w:t xml:space="preserve">Rule 25-6.0436(8)(a), Florida Administrative Code (F.A.C.), requires investor-owned electric utilities to file a comprehensive depreciation study at least once every four years. </w:t>
      </w:r>
      <w:r w:rsidR="00E164E3">
        <w:t xml:space="preserve"> </w:t>
      </w:r>
      <w:r w:rsidRPr="00C16C69">
        <w:t>On July 1, 2015, Florida Public Utilities Compan</w:t>
      </w:r>
      <w:r w:rsidR="00F1000E">
        <w:t>y (FPUC or C</w:t>
      </w:r>
      <w:r w:rsidRPr="00C16C69">
        <w:t>ompany) filed its 2015 Depreciation Study in accordance with this rule.</w:t>
      </w:r>
      <w:r w:rsidRPr="00C16C69">
        <w:rPr>
          <w:vertAlign w:val="superscript"/>
        </w:rPr>
        <w:footnoteReference w:id="1"/>
      </w:r>
      <w:r w:rsidR="00427F47">
        <w:t xml:space="preserve"> </w:t>
      </w:r>
      <w:r w:rsidR="00E164E3">
        <w:t xml:space="preserve"> </w:t>
      </w:r>
      <w:r w:rsidR="00427F47">
        <w:t>The C</w:t>
      </w:r>
      <w:r w:rsidRPr="00C16C69">
        <w:t>ompany’s last depreciation review was filed June 20, 2011, with an effective date of January 1, 2012.</w:t>
      </w:r>
      <w:r w:rsidRPr="00C16C69">
        <w:rPr>
          <w:vertAlign w:val="superscript"/>
        </w:rPr>
        <w:footnoteReference w:id="2"/>
      </w:r>
      <w:r w:rsidR="00F1000E">
        <w:t xml:space="preserve"> </w:t>
      </w:r>
      <w:r w:rsidR="00E164E3">
        <w:t xml:space="preserve"> </w:t>
      </w:r>
      <w:r w:rsidR="00F1000E">
        <w:t>This Commission has completed its</w:t>
      </w:r>
      <w:r w:rsidRPr="00C16C69">
        <w:t xml:space="preserve"> review of FPUC’s 2015 Depreciation Study a</w:t>
      </w:r>
      <w:r w:rsidR="008173C5">
        <w:t xml:space="preserve">nd </w:t>
      </w:r>
      <w:r w:rsidR="00F1000E">
        <w:t>our findings</w:t>
      </w:r>
      <w:r w:rsidR="008173C5">
        <w:t xml:space="preserve"> are presented</w:t>
      </w:r>
      <w:r w:rsidR="00F1000E">
        <w:t xml:space="preserve"> </w:t>
      </w:r>
      <w:r w:rsidRPr="00C16C69">
        <w:t>herein.</w:t>
      </w:r>
    </w:p>
    <w:p w:rsidR="00C16C69" w:rsidRDefault="00F1000E" w:rsidP="00C16C69">
      <w:pPr>
        <w:spacing w:after="240"/>
        <w:ind w:firstLine="720"/>
        <w:jc w:val="both"/>
      </w:pPr>
      <w:r>
        <w:t xml:space="preserve">This Commission </w:t>
      </w:r>
      <w:r w:rsidR="00C16C69" w:rsidRPr="00C16C69">
        <w:t>has jurisdiction pursuant to Sections 350.115 and 366.05, Florida Statutes (F.S.).</w:t>
      </w:r>
    </w:p>
    <w:p w:rsidR="00F1000E" w:rsidRDefault="00C16C69" w:rsidP="00F1000E">
      <w:pPr>
        <w:jc w:val="center"/>
        <w:rPr>
          <w:u w:val="single"/>
        </w:rPr>
      </w:pPr>
      <w:r w:rsidRPr="00F1000E">
        <w:rPr>
          <w:u w:val="single"/>
        </w:rPr>
        <w:lastRenderedPageBreak/>
        <w:t>Decision</w:t>
      </w:r>
    </w:p>
    <w:p w:rsidR="00F1000E" w:rsidRDefault="00F1000E" w:rsidP="00F1000E">
      <w:pPr>
        <w:rPr>
          <w:u w:val="single"/>
        </w:rPr>
      </w:pPr>
    </w:p>
    <w:p w:rsidR="00F1000E" w:rsidRPr="00AC60BC" w:rsidRDefault="00F1000E" w:rsidP="00F1000E">
      <w:pPr>
        <w:rPr>
          <w:b/>
        </w:rPr>
      </w:pPr>
      <w:r w:rsidRPr="00AC60BC">
        <w:rPr>
          <w:b/>
        </w:rPr>
        <w:t>Depreciation Rates and Amortization Schedules</w:t>
      </w:r>
    </w:p>
    <w:p w:rsidR="00F1000E" w:rsidRDefault="00F1000E" w:rsidP="00F1000E">
      <w:pPr>
        <w:rPr>
          <w:u w:val="single"/>
        </w:rPr>
      </w:pPr>
    </w:p>
    <w:p w:rsidR="00F1000E" w:rsidRPr="00F1000E" w:rsidRDefault="008173C5" w:rsidP="00F1000E">
      <w:pPr>
        <w:rPr>
          <w:i/>
        </w:rPr>
      </w:pPr>
      <w:r>
        <w:rPr>
          <w:i/>
        </w:rPr>
        <w:t xml:space="preserve">Need for </w:t>
      </w:r>
      <w:r w:rsidR="00F1000E">
        <w:rPr>
          <w:i/>
        </w:rPr>
        <w:t>Revision</w:t>
      </w:r>
    </w:p>
    <w:p w:rsidR="00F1000E" w:rsidRDefault="00F1000E" w:rsidP="00F1000E">
      <w:pPr>
        <w:jc w:val="both"/>
      </w:pPr>
    </w:p>
    <w:p w:rsidR="00F1000E" w:rsidRDefault="00C16C69" w:rsidP="00DC5239">
      <w:pPr>
        <w:ind w:firstLine="720"/>
        <w:jc w:val="both"/>
      </w:pPr>
      <w:r w:rsidRPr="00C16C69">
        <w:t>FPUC’s last comprehensive depreciation study was filed on June 20, 2011.  By Order No. PSC-12-0065-PAA-EI,</w:t>
      </w:r>
      <w:r w:rsidRPr="00C16C69">
        <w:rPr>
          <w:vertAlign w:val="superscript"/>
        </w:rPr>
        <w:footnoteReference w:id="3"/>
      </w:r>
      <w:r w:rsidR="00F1000E">
        <w:t xml:space="preserve"> this</w:t>
      </w:r>
      <w:r w:rsidRPr="00C16C69">
        <w:t xml:space="preserve"> Commission approved revised depreciation components and rates, e</w:t>
      </w:r>
      <w:r w:rsidR="00427F47">
        <w:t>ffective January 1, 2012.  The C</w:t>
      </w:r>
      <w:r w:rsidRPr="00C16C69">
        <w:t>ompany has filed its current study in accordance with Rule 25-6.0436(8)(a), F.A.C., which requires electric companies to file a comprehensive depreciation study at least once every four years from the submission date of the previously fil</w:t>
      </w:r>
      <w:r w:rsidR="00F1000E">
        <w:t xml:space="preserve">ed study.  We find that a </w:t>
      </w:r>
      <w:r w:rsidR="00427F47">
        <w:t>review of the C</w:t>
      </w:r>
      <w:r w:rsidRPr="00C16C69">
        <w:t>ompany’s plant act</w:t>
      </w:r>
      <w:r w:rsidR="00F1000E">
        <w:t>ivity and related data indicated</w:t>
      </w:r>
      <w:r w:rsidRPr="00C16C69">
        <w:t xml:space="preserve"> the need to </w:t>
      </w:r>
      <w:r w:rsidR="00C33C0E">
        <w:t xml:space="preserve">be </w:t>
      </w:r>
      <w:r w:rsidRPr="00C16C69">
        <w:t>further analyze</w:t>
      </w:r>
      <w:r w:rsidR="00C33C0E">
        <w:t>d</w:t>
      </w:r>
      <w:r w:rsidR="00DC5239">
        <w:t>, and where warranted, w</w:t>
      </w:r>
      <w:r w:rsidR="00F1000E">
        <w:t xml:space="preserve">e </w:t>
      </w:r>
      <w:r w:rsidR="00C33C0E">
        <w:t xml:space="preserve">have revised </w:t>
      </w:r>
      <w:r w:rsidR="00F1000E" w:rsidRPr="00C16C69">
        <w:t>FPUC's current depreciation rates and amortization schedules</w:t>
      </w:r>
      <w:r w:rsidR="00C33C0E">
        <w:t>.</w:t>
      </w:r>
    </w:p>
    <w:p w:rsidR="00F1000E" w:rsidRDefault="00F1000E" w:rsidP="00F1000E">
      <w:pPr>
        <w:jc w:val="both"/>
      </w:pPr>
    </w:p>
    <w:p w:rsidR="00F1000E" w:rsidRDefault="00F1000E" w:rsidP="00F1000E">
      <w:pPr>
        <w:jc w:val="both"/>
        <w:rPr>
          <w:i/>
        </w:rPr>
      </w:pPr>
      <w:r>
        <w:rPr>
          <w:i/>
        </w:rPr>
        <w:t xml:space="preserve">Appropriate Rates and Schedules </w:t>
      </w:r>
    </w:p>
    <w:p w:rsidR="00F1000E" w:rsidRPr="00F1000E" w:rsidRDefault="00F1000E" w:rsidP="00F1000E">
      <w:pPr>
        <w:jc w:val="both"/>
        <w:rPr>
          <w:i/>
        </w:rPr>
      </w:pPr>
    </w:p>
    <w:p w:rsidR="00C16C69" w:rsidRPr="00C16C69" w:rsidRDefault="00475B4A" w:rsidP="00475B4A">
      <w:pPr>
        <w:spacing w:after="240"/>
        <w:jc w:val="both"/>
      </w:pPr>
      <w:r>
        <w:rPr>
          <w:bCs/>
          <w:iCs/>
        </w:rPr>
        <w:tab/>
        <w:t>This section</w:t>
      </w:r>
      <w:r w:rsidR="00C16C69" w:rsidRPr="00C16C69">
        <w:rPr>
          <w:b/>
          <w:bCs/>
          <w:i/>
          <w:iCs/>
        </w:rPr>
        <w:t> </w:t>
      </w:r>
      <w:r w:rsidR="00C16C69" w:rsidRPr="00C16C69">
        <w:t xml:space="preserve">addresses the derivation of depreciation rates, and amortization schedules by plant account and by function, i.e. transmission, distribution, and general plant. </w:t>
      </w:r>
      <w:r w:rsidR="00E164E3">
        <w:t xml:space="preserve"> </w:t>
      </w:r>
      <w:r w:rsidR="00C16C69" w:rsidRPr="00C16C69">
        <w:t xml:space="preserve">Once formulated, depreciation rates are applied to account investment balances to derive annual expense amounts. </w:t>
      </w:r>
      <w:r w:rsidR="00E164E3">
        <w:t xml:space="preserve"> </w:t>
      </w:r>
      <w:r w:rsidR="00C16C69" w:rsidRPr="00C16C69">
        <w:t>Attachment A shows a comparison of FPUC’s currently-approve</w:t>
      </w:r>
      <w:r w:rsidR="006223F7">
        <w:t xml:space="preserve">d depreciation rates along with the </w:t>
      </w:r>
      <w:r w:rsidR="00C16C69" w:rsidRPr="00C16C69">
        <w:t>rates for future use</w:t>
      </w:r>
      <w:r w:rsidR="006223F7">
        <w:t xml:space="preserve"> </w:t>
      </w:r>
      <w:r w:rsidR="008173C5">
        <w:t xml:space="preserve">for </w:t>
      </w:r>
      <w:r w:rsidR="006223F7">
        <w:t xml:space="preserve">which </w:t>
      </w:r>
      <w:r w:rsidR="00C837EA">
        <w:t>this Commission</w:t>
      </w:r>
      <w:r w:rsidR="008173C5">
        <w:t xml:space="preserve"> provides its approval</w:t>
      </w:r>
      <w:r w:rsidR="00C837EA">
        <w:t xml:space="preserve"> in the body of this O</w:t>
      </w:r>
      <w:r w:rsidR="006223F7">
        <w:t>rder</w:t>
      </w:r>
      <w:r w:rsidR="00C16C69" w:rsidRPr="00C16C69">
        <w:t>.</w:t>
      </w:r>
      <w:r w:rsidR="00C16C69" w:rsidRPr="00C16C69">
        <w:rPr>
          <w:vertAlign w:val="superscript"/>
        </w:rPr>
        <w:footnoteReference w:id="4"/>
      </w:r>
      <w:r w:rsidR="00C16C69" w:rsidRPr="00C16C69">
        <w:t xml:space="preserve"> </w:t>
      </w:r>
      <w:r w:rsidR="00E164E3">
        <w:t xml:space="preserve"> </w:t>
      </w:r>
      <w:r w:rsidR="00C16C69" w:rsidRPr="00C16C69">
        <w:t>Attachment B is a comparison of the resultin</w:t>
      </w:r>
      <w:r w:rsidR="006223F7">
        <w:t>g expenses (</w:t>
      </w:r>
      <w:r w:rsidR="001D4F32">
        <w:t>prior approved</w:t>
      </w:r>
      <w:r w:rsidR="006223F7">
        <w:t xml:space="preserve"> and </w:t>
      </w:r>
      <w:r w:rsidR="001D4F32">
        <w:t xml:space="preserve">Commission </w:t>
      </w:r>
      <w:r w:rsidR="006223F7">
        <w:t>approved</w:t>
      </w:r>
      <w:r w:rsidR="001D4F32">
        <w:t xml:space="preserve"> by this Order</w:t>
      </w:r>
      <w:r w:rsidR="00C16C69" w:rsidRPr="00C16C69">
        <w:t>) based on investment lev</w:t>
      </w:r>
      <w:r w:rsidR="000D147F">
        <w:t xml:space="preserve">els as of January 1, 2015. </w:t>
      </w:r>
      <w:r w:rsidR="00E164E3">
        <w:t xml:space="preserve"> </w:t>
      </w:r>
      <w:r w:rsidR="000D147F">
        <w:t>We note</w:t>
      </w:r>
      <w:r w:rsidR="00C16C69" w:rsidRPr="00C16C69">
        <w:t xml:space="preserve"> that the values listed on both Attachm</w:t>
      </w:r>
      <w:r w:rsidR="007F6285">
        <w:t>ents A and B include the approved</w:t>
      </w:r>
      <w:r w:rsidR="00C16C69" w:rsidRPr="00C16C69">
        <w:t xml:space="preserve"> reserve transfers (revisions) and associated effects in accordance with </w:t>
      </w:r>
      <w:r w:rsidR="000D147F">
        <w:t xml:space="preserve">our findings as set forth in the “Reserve Allocations” section of this </w:t>
      </w:r>
      <w:r w:rsidR="00C837EA">
        <w:t>Order</w:t>
      </w:r>
      <w:r w:rsidR="000D147F">
        <w:t>.</w:t>
      </w:r>
    </w:p>
    <w:p w:rsidR="008173C5" w:rsidRDefault="00C16C69" w:rsidP="00C16C69">
      <w:pPr>
        <w:spacing w:after="240"/>
        <w:ind w:firstLine="720"/>
        <w:jc w:val="both"/>
      </w:pPr>
      <w:r w:rsidRPr="009707CC">
        <w:t>In</w:t>
      </w:r>
      <w:r w:rsidR="008173C5">
        <w:t xml:space="preserve"> its original 2015 Depreciation S</w:t>
      </w:r>
      <w:r w:rsidRPr="00C16C69">
        <w:t xml:space="preserve">tudy filing, FPUC provided the necessary elements </w:t>
      </w:r>
      <w:r w:rsidR="00427F47">
        <w:t>for conducting a review of the C</w:t>
      </w:r>
      <w:r w:rsidRPr="00C16C69">
        <w:t xml:space="preserve">ompany’s plant and reserve activity. </w:t>
      </w:r>
      <w:r w:rsidR="00E164E3">
        <w:t xml:space="preserve"> </w:t>
      </w:r>
      <w:r w:rsidR="00C33C0E">
        <w:t>The filing included</w:t>
      </w:r>
      <w:r w:rsidRPr="00C16C69">
        <w:t xml:space="preserve"> ann</w:t>
      </w:r>
      <w:r w:rsidR="00C33C0E">
        <w:t>ual investment and reserve data, life and retirement data, average age data, salvage data,</w:t>
      </w:r>
      <w:r w:rsidRPr="00C16C69">
        <w:t xml:space="preserve"> as well as current and proposed depreciation components and rates.</w:t>
      </w:r>
      <w:r w:rsidR="00E164E3">
        <w:t xml:space="preserve"> </w:t>
      </w:r>
      <w:r w:rsidRPr="00C16C69">
        <w:t xml:space="preserve"> As a result of the study review, discovery</w:t>
      </w:r>
      <w:r w:rsidR="009707CC">
        <w:t xml:space="preserve"> and analytical processes, Commission</w:t>
      </w:r>
      <w:r w:rsidR="007F6285">
        <w:t xml:space="preserve"> staff</w:t>
      </w:r>
      <w:r w:rsidRPr="00C16C69">
        <w:t xml:space="preserve"> and FPUC agree</w:t>
      </w:r>
      <w:r w:rsidR="007F6285">
        <w:t>d</w:t>
      </w:r>
      <w:r w:rsidRPr="00C16C69">
        <w:t xml:space="preserve"> on lives, net salvage amounts, and resulting depreciation rates for all accounts presented in this </w:t>
      </w:r>
      <w:r w:rsidR="007F6285">
        <w:t>Order</w:t>
      </w:r>
      <w:r w:rsidRPr="00C16C69">
        <w:t>.</w:t>
      </w:r>
      <w:r w:rsidRPr="00C16C69">
        <w:rPr>
          <w:vertAlign w:val="superscript"/>
        </w:rPr>
        <w:footnoteReference w:id="5"/>
      </w:r>
      <w:r w:rsidRPr="00C16C69">
        <w:t xml:space="preserve"> </w:t>
      </w:r>
    </w:p>
    <w:p w:rsidR="008173C5" w:rsidRPr="008173C5" w:rsidRDefault="00C33C0E" w:rsidP="008173C5">
      <w:pPr>
        <w:spacing w:after="240"/>
        <w:ind w:firstLine="720"/>
        <w:jc w:val="both"/>
      </w:pPr>
      <w:r>
        <w:t>T</w:t>
      </w:r>
      <w:r w:rsidR="008173C5" w:rsidRPr="008173C5">
        <w:t xml:space="preserve">he average remaining lives, net salvages, reserve percentages, and resultant depreciation rates for FPUC shown in Attachment A are hereby approved. </w:t>
      </w:r>
      <w:r w:rsidR="00E22F7B">
        <w:t xml:space="preserve"> </w:t>
      </w:r>
      <w:r w:rsidR="008173C5" w:rsidRPr="008173C5">
        <w:t>The reserve percentages and depreciation rates are calculated using the reserve transfers as set forth in the “Reserve Allocations” section of this Order.</w:t>
      </w:r>
      <w:r w:rsidR="00E22F7B">
        <w:t xml:space="preserve"> </w:t>
      </w:r>
      <w:r w:rsidR="008173C5" w:rsidRPr="008173C5">
        <w:t xml:space="preserve"> The result of </w:t>
      </w:r>
      <w:r>
        <w:t>our</w:t>
      </w:r>
      <w:r w:rsidR="008173C5" w:rsidRPr="008173C5">
        <w:t xml:space="preserve"> findings is a decrease in annual depreciation expense of approximately $229,415 in total, which is shown in Attachment B. </w:t>
      </w:r>
      <w:r w:rsidR="00E22F7B">
        <w:t xml:space="preserve"> </w:t>
      </w:r>
      <w:r w:rsidR="008173C5" w:rsidRPr="008173C5">
        <w:t xml:space="preserve">Depreciation expenses are based on plant investment levels as of January 1, 2015. </w:t>
      </w:r>
    </w:p>
    <w:p w:rsidR="00C16C69" w:rsidRPr="00C16C69" w:rsidRDefault="00C16C69" w:rsidP="00C16C69">
      <w:pPr>
        <w:spacing w:after="240"/>
        <w:ind w:firstLine="720"/>
        <w:jc w:val="both"/>
      </w:pPr>
      <w:r w:rsidRPr="00C16C69">
        <w:lastRenderedPageBreak/>
        <w:t xml:space="preserve">Below is an account-by-account discussion on the development of </w:t>
      </w:r>
      <w:r w:rsidR="00C33C0E">
        <w:t>the approved components</w:t>
      </w:r>
      <w:r w:rsidRPr="00C16C69">
        <w:t xml:space="preserve"> for Transmission Plant, Distribution Plant, and General Plant.</w:t>
      </w:r>
    </w:p>
    <w:p w:rsidR="00C16C69" w:rsidRPr="00C16C69" w:rsidRDefault="00C16C69" w:rsidP="00AC60BC">
      <w:pPr>
        <w:spacing w:after="240"/>
        <w:ind w:firstLine="720"/>
        <w:jc w:val="both"/>
        <w:rPr>
          <w:u w:val="single"/>
        </w:rPr>
      </w:pPr>
      <w:r w:rsidRPr="00C16C69">
        <w:rPr>
          <w:u w:val="single"/>
        </w:rPr>
        <w:t>Transmission Plant</w:t>
      </w:r>
    </w:p>
    <w:p w:rsidR="00C16C69" w:rsidRPr="00C16C69" w:rsidRDefault="00C16C69" w:rsidP="00C16C69">
      <w:pPr>
        <w:spacing w:after="240"/>
        <w:ind w:firstLine="720"/>
        <w:jc w:val="both"/>
        <w:rPr>
          <w:u w:val="single"/>
        </w:rPr>
      </w:pPr>
      <w:r w:rsidRPr="00C16C69">
        <w:rPr>
          <w:u w:val="single"/>
        </w:rPr>
        <w:t>Account 350.1 – Land Rights</w:t>
      </w:r>
    </w:p>
    <w:p w:rsidR="00C16C69" w:rsidRPr="00C16C69" w:rsidRDefault="00C16C69" w:rsidP="00C16C69">
      <w:pPr>
        <w:spacing w:after="240"/>
        <w:ind w:firstLine="720"/>
        <w:jc w:val="both"/>
      </w:pPr>
      <w:r w:rsidRPr="00C16C69">
        <w:t xml:space="preserve">For this account, FPUC proposed to change the Average Service Life (ASL) </w:t>
      </w:r>
      <w:r w:rsidR="00427F47">
        <w:t xml:space="preserve">from 65 years to 70 years. </w:t>
      </w:r>
      <w:r w:rsidR="00E22F7B">
        <w:t xml:space="preserve"> </w:t>
      </w:r>
      <w:r w:rsidR="00427F47">
        <w:t>The C</w:t>
      </w:r>
      <w:r w:rsidRPr="00C16C69">
        <w:t xml:space="preserve">ompany proposed no change in curve </w:t>
      </w:r>
      <w:r w:rsidR="009707CC">
        <w:t xml:space="preserve">shape or Net Salvage (NS). </w:t>
      </w:r>
      <w:r w:rsidR="00E22F7B">
        <w:t xml:space="preserve"> </w:t>
      </w:r>
      <w:r w:rsidR="009707CC">
        <w:t>We note</w:t>
      </w:r>
      <w:r w:rsidRPr="00C16C69">
        <w:t xml:space="preserve"> that more than 69 percent of the plant in this account is over 40 years old, with the remaining plan</w:t>
      </w:r>
      <w:r w:rsidR="00427F47">
        <w:t xml:space="preserve">t being over 50 years old. </w:t>
      </w:r>
      <w:r w:rsidR="00E22F7B">
        <w:t xml:space="preserve"> </w:t>
      </w:r>
      <w:r w:rsidR="00427F47">
        <w:t>The C</w:t>
      </w:r>
      <w:r w:rsidRPr="00C16C69">
        <w:t>ompany has no plans to</w:t>
      </w:r>
      <w:r w:rsidR="009707CC">
        <w:t xml:space="preserve"> retire any of this plant. </w:t>
      </w:r>
      <w:r w:rsidR="00E22F7B">
        <w:t xml:space="preserve"> </w:t>
      </w:r>
      <w:r w:rsidR="009707CC">
        <w:t>We</w:t>
      </w:r>
      <w:r w:rsidRPr="00C16C69">
        <w:t xml:space="preserve"> also note that the proposed increase in ASL is moderate, and the resulting ASL is still in line with other investor-owned electric utilities (IOUs) in the state. </w:t>
      </w:r>
      <w:r w:rsidR="00E22F7B">
        <w:t xml:space="preserve"> </w:t>
      </w:r>
      <w:r w:rsidRPr="00C16C69">
        <w:t xml:space="preserve">Thus, </w:t>
      </w:r>
      <w:r w:rsidR="009707CC">
        <w:t>we find</w:t>
      </w:r>
      <w:r w:rsidRPr="00C16C69">
        <w:t xml:space="preserve"> that a</w:t>
      </w:r>
      <w:r w:rsidR="003C57C7">
        <w:t>n ASL of 70 years shall be approved</w:t>
      </w:r>
      <w:r w:rsidRPr="00C16C69">
        <w:t xml:space="preserve">. </w:t>
      </w:r>
      <w:r w:rsidR="00E22F7B">
        <w:t xml:space="preserve"> </w:t>
      </w:r>
      <w:r w:rsidRPr="00C16C69">
        <w:t>This results in an Average Remaining Life (ARL) of 26 years and a remaining life depreciation rate of 1.4 percent for Account 350.1.</w:t>
      </w:r>
    </w:p>
    <w:p w:rsidR="00C16C69" w:rsidRPr="00C16C69" w:rsidRDefault="00C16C69" w:rsidP="00C16C69">
      <w:pPr>
        <w:spacing w:after="240"/>
        <w:ind w:firstLine="720"/>
        <w:jc w:val="both"/>
        <w:rPr>
          <w:u w:val="single"/>
        </w:rPr>
      </w:pPr>
      <w:r w:rsidRPr="00C16C69">
        <w:rPr>
          <w:u w:val="single"/>
        </w:rPr>
        <w:t>Account 352 – Structures and Improvements</w:t>
      </w:r>
    </w:p>
    <w:p w:rsidR="00C16C69" w:rsidRPr="00C16C69" w:rsidRDefault="00C16C69" w:rsidP="00C16C69">
      <w:pPr>
        <w:spacing w:after="240"/>
        <w:ind w:firstLine="720"/>
        <w:jc w:val="both"/>
      </w:pPr>
      <w:r w:rsidRPr="00C16C69">
        <w:t>After reviewing t</w:t>
      </w:r>
      <w:r w:rsidR="00427F47">
        <w:t>he information provided by the C</w:t>
      </w:r>
      <w:r w:rsidRPr="00C16C69">
        <w:t xml:space="preserve">ompany in this docket, </w:t>
      </w:r>
      <w:r w:rsidR="009707CC">
        <w:t>we find that</w:t>
      </w:r>
      <w:r w:rsidRPr="00C16C69">
        <w:t xml:space="preserve"> a remaining life depreciation rate of 1.8 percent for Account 352</w:t>
      </w:r>
      <w:r w:rsidR="009707CC">
        <w:t xml:space="preserve"> </w:t>
      </w:r>
      <w:r w:rsidR="003C57C7">
        <w:t>shall be approved</w:t>
      </w:r>
      <w:r w:rsidRPr="00C16C69">
        <w:t xml:space="preserve">. </w:t>
      </w:r>
    </w:p>
    <w:p w:rsidR="00C16C69" w:rsidRPr="00C16C69" w:rsidRDefault="00C16C69" w:rsidP="00C16C69">
      <w:pPr>
        <w:spacing w:after="240"/>
        <w:ind w:firstLine="720"/>
        <w:jc w:val="both"/>
        <w:rPr>
          <w:u w:val="single"/>
        </w:rPr>
      </w:pPr>
      <w:r w:rsidRPr="00C16C69">
        <w:rPr>
          <w:u w:val="single"/>
        </w:rPr>
        <w:t>Account 353 – Station Equipment</w:t>
      </w:r>
    </w:p>
    <w:p w:rsidR="00C16C69" w:rsidRPr="00C16C69" w:rsidRDefault="00C16C69" w:rsidP="00C16C69">
      <w:pPr>
        <w:spacing w:after="240"/>
        <w:ind w:firstLine="720"/>
        <w:jc w:val="both"/>
      </w:pPr>
      <w:r w:rsidRPr="00C16C69">
        <w:t>FPUC proposed no change in the ASL of 40 years or the curve shape (S3).</w:t>
      </w:r>
      <w:r w:rsidR="00E22F7B">
        <w:t xml:space="preserve"> </w:t>
      </w:r>
      <w:r w:rsidRPr="00C16C69">
        <w:t xml:space="preserve"> The average age of assets in this account is 13.4 years.</w:t>
      </w:r>
      <w:r w:rsidR="00E22F7B">
        <w:t xml:space="preserve"> </w:t>
      </w:r>
      <w:r w:rsidRPr="00C16C69">
        <w:t xml:space="preserve"> Based on this combination of depreciation parameters, the ARL is 27 years (26.6 years before roundin</w:t>
      </w:r>
      <w:r w:rsidR="00427F47">
        <w:t>g) rather than 30 years as the C</w:t>
      </w:r>
      <w:r w:rsidRPr="00C16C69">
        <w:t xml:space="preserve">ompany proposed. </w:t>
      </w:r>
      <w:r w:rsidR="00E22F7B">
        <w:t xml:space="preserve"> </w:t>
      </w:r>
      <w:r w:rsidRPr="00C16C69">
        <w:t>This account has experienced an average retirement rate of 1.72 percent and a growth rate of 44.8 percent over th</w:t>
      </w:r>
      <w:r w:rsidR="009707CC">
        <w:t>e study period.</w:t>
      </w:r>
      <w:r w:rsidR="00E22F7B">
        <w:t xml:space="preserve"> </w:t>
      </w:r>
      <w:r w:rsidR="009707CC">
        <w:t xml:space="preserve"> Commission staff proposed</w:t>
      </w:r>
      <w:r w:rsidRPr="00C16C69">
        <w:t xml:space="preserve"> the S2 curve with a 40-year ASL as better matching the account’s activity. </w:t>
      </w:r>
      <w:r w:rsidR="00E22F7B">
        <w:t xml:space="preserve"> </w:t>
      </w:r>
      <w:r w:rsidRPr="00C16C69">
        <w:t xml:space="preserve">This results in an ARL of 27 years. </w:t>
      </w:r>
      <w:r w:rsidR="00E22F7B">
        <w:t xml:space="preserve"> </w:t>
      </w:r>
      <w:r w:rsidRPr="00C16C69">
        <w:t>FPUC con</w:t>
      </w:r>
      <w:r w:rsidR="007F6285">
        <w:t>curred</w:t>
      </w:r>
      <w:r w:rsidR="009707CC">
        <w:t xml:space="preserve"> with staff’s proposal and</w:t>
      </w:r>
      <w:r w:rsidR="00104EC7">
        <w:t xml:space="preserve"> we, hereby, </w:t>
      </w:r>
      <w:r w:rsidR="003C57C7">
        <w:t>find that it shall be approved</w:t>
      </w:r>
      <w:r w:rsidR="009707CC">
        <w:t>.</w:t>
      </w:r>
    </w:p>
    <w:p w:rsidR="00C16C69" w:rsidRPr="00C16C69" w:rsidRDefault="00427F47" w:rsidP="00C16C69">
      <w:pPr>
        <w:spacing w:after="240"/>
        <w:ind w:firstLine="720"/>
        <w:jc w:val="both"/>
      </w:pPr>
      <w:r>
        <w:t>The C</w:t>
      </w:r>
      <w:r w:rsidR="00C16C69" w:rsidRPr="00C16C69">
        <w:t>ompany proposed to ret</w:t>
      </w:r>
      <w:r w:rsidR="009707CC">
        <w:t xml:space="preserve">ain a 10 percent NS level. </w:t>
      </w:r>
      <w:r w:rsidR="00E22F7B">
        <w:t xml:space="preserve"> </w:t>
      </w:r>
      <w:r w:rsidR="009707CC">
        <w:t>We note</w:t>
      </w:r>
      <w:r w:rsidR="00C16C69" w:rsidRPr="00C16C69">
        <w:t xml:space="preserve"> that FPUC is the only IOU in Florida that has a pos</w:t>
      </w:r>
      <w:r w:rsidR="00BE166C">
        <w:t>itive NS level for this account,</w:t>
      </w:r>
      <w:r w:rsidR="00C16C69" w:rsidRPr="00C16C69">
        <w:t xml:space="preserve"> and this account has experienced less than 2 percent retirement and an average of negative 21 percent NS during the current study period. </w:t>
      </w:r>
      <w:r w:rsidR="00E22F7B">
        <w:t xml:space="preserve"> </w:t>
      </w:r>
      <w:r w:rsidR="00C16C69" w:rsidRPr="00C16C69">
        <w:t>Given the low frequency of ret</w:t>
      </w:r>
      <w:r w:rsidR="009707CC">
        <w:t>irement activity, we find that</w:t>
      </w:r>
      <w:r w:rsidR="00C16C69" w:rsidRPr="00C16C69">
        <w:t xml:space="preserve"> reliance on the industry average is necessary.</w:t>
      </w:r>
      <w:r w:rsidR="00C16C69" w:rsidRPr="00C16C69">
        <w:rPr>
          <w:vertAlign w:val="superscript"/>
        </w:rPr>
        <w:footnoteReference w:id="6"/>
      </w:r>
      <w:r w:rsidR="009707CC">
        <w:t xml:space="preserve"> </w:t>
      </w:r>
      <w:r w:rsidR="00E22F7B">
        <w:t xml:space="preserve"> </w:t>
      </w:r>
      <w:r w:rsidR="009707CC">
        <w:t>Commission staff proposed</w:t>
      </w:r>
      <w:r w:rsidR="00C16C69" w:rsidRPr="00C16C69">
        <w:t xml:space="preserve"> reducing the NS level from 10 percent to 5 </w:t>
      </w:r>
      <w:r w:rsidR="00C16C69" w:rsidRPr="00C16C69">
        <w:lastRenderedPageBreak/>
        <w:t xml:space="preserve">percent. </w:t>
      </w:r>
      <w:r w:rsidR="00E22F7B">
        <w:t xml:space="preserve"> </w:t>
      </w:r>
      <w:r w:rsidR="00C16C69" w:rsidRPr="00C16C69">
        <w:t xml:space="preserve">This moderate change reflects the account’s current activity and will bring FPUC closer to the industry average at the same time. </w:t>
      </w:r>
      <w:r w:rsidR="00E22F7B">
        <w:t xml:space="preserve"> </w:t>
      </w:r>
      <w:r w:rsidR="00C16C69" w:rsidRPr="00C16C69">
        <w:t>FPUC con</w:t>
      </w:r>
      <w:r w:rsidR="009707CC">
        <w:t>cu</w:t>
      </w:r>
      <w:r w:rsidR="007F6285">
        <w:t>rred</w:t>
      </w:r>
      <w:r w:rsidR="009707CC">
        <w:t xml:space="preserve"> with staff’s proposal and</w:t>
      </w:r>
      <w:r w:rsidR="003C57C7">
        <w:t xml:space="preserve"> we, hereby, find that it shall be approved</w:t>
      </w:r>
      <w:r w:rsidR="00C16C69" w:rsidRPr="00C16C69">
        <w:t xml:space="preserve">. </w:t>
      </w:r>
      <w:r w:rsidR="00E22F7B">
        <w:t xml:space="preserve"> </w:t>
      </w:r>
      <w:r w:rsidR="00C16C69" w:rsidRPr="00C16C69">
        <w:t>The resulting remaining life depreciation rate is 2.6 percent for Account 353.</w:t>
      </w:r>
    </w:p>
    <w:p w:rsidR="00C16C69" w:rsidRPr="00C16C69" w:rsidRDefault="00C16C69" w:rsidP="00C16C69">
      <w:pPr>
        <w:spacing w:after="240"/>
        <w:ind w:firstLine="720"/>
        <w:jc w:val="both"/>
        <w:rPr>
          <w:u w:val="single"/>
        </w:rPr>
      </w:pPr>
      <w:r w:rsidRPr="00C16C69">
        <w:rPr>
          <w:u w:val="single"/>
        </w:rPr>
        <w:t>Account 354 – Towers &amp; Fixtures</w:t>
      </w:r>
    </w:p>
    <w:p w:rsidR="00C16C69" w:rsidRPr="00C16C69" w:rsidRDefault="00C16C69" w:rsidP="00C16C69">
      <w:pPr>
        <w:spacing w:after="240"/>
        <w:ind w:firstLine="720"/>
        <w:jc w:val="both"/>
      </w:pPr>
      <w:r w:rsidRPr="00C16C69">
        <w:t xml:space="preserve">The </w:t>
      </w:r>
      <w:r w:rsidR="00427F47">
        <w:t>Company</w:t>
      </w:r>
      <w:r w:rsidRPr="00C16C69">
        <w:t xml:space="preserve"> proposed no change in ASL, curve shape, or NS level for this account. </w:t>
      </w:r>
      <w:r w:rsidR="00E22F7B">
        <w:t xml:space="preserve"> </w:t>
      </w:r>
      <w:r w:rsidRPr="00C16C69">
        <w:t>There was no retirement or addition activity during the study period, which makes reliance on industry averages for guidance on life and salvage characteristics necessary.</w:t>
      </w:r>
      <w:r w:rsidR="00E22F7B">
        <w:t xml:space="preserve"> </w:t>
      </w:r>
      <w:r w:rsidRPr="00C16C69">
        <w:t xml:space="preserve"> FPUC’s proposed 55-year ASL and negative 15 percent NS level are in the range of reasonableness compared to other IOU</w:t>
      </w:r>
      <w:r w:rsidR="00104EC7">
        <w:t xml:space="preserve">s in the state. </w:t>
      </w:r>
      <w:r w:rsidR="00E22F7B">
        <w:t xml:space="preserve"> </w:t>
      </w:r>
      <w:r w:rsidR="00104EC7">
        <w:t>We find</w:t>
      </w:r>
      <w:r w:rsidRPr="00C16C69">
        <w:t xml:space="preserve"> that a 55-year ASL and negative 15 percent NS </w:t>
      </w:r>
      <w:r w:rsidR="00104EC7">
        <w:t xml:space="preserve">shall </w:t>
      </w:r>
      <w:r w:rsidRPr="00C16C69">
        <w:t>be approved.</w:t>
      </w:r>
    </w:p>
    <w:p w:rsidR="00C16C69" w:rsidRPr="00C16C69" w:rsidRDefault="00C16C69" w:rsidP="00C16C69">
      <w:pPr>
        <w:spacing w:after="240"/>
        <w:ind w:firstLine="720"/>
        <w:jc w:val="both"/>
      </w:pPr>
      <w:r w:rsidRPr="00C16C69">
        <w:t xml:space="preserve">FPUC proposed to retain the currently prescribed curve shape of S5. </w:t>
      </w:r>
      <w:r w:rsidR="00E22F7B">
        <w:t xml:space="preserve"> </w:t>
      </w:r>
      <w:r w:rsidRPr="00C16C69">
        <w:t>Given the current average age of the assets i</w:t>
      </w:r>
      <w:r w:rsidR="009707CC">
        <w:t>n this account, staff proposed that</w:t>
      </w:r>
      <w:r w:rsidRPr="00C16C69">
        <w:t xml:space="preserve"> an S6 curve shape as better fitting and reflective of plant activity since the last study. </w:t>
      </w:r>
      <w:r w:rsidR="00E22F7B">
        <w:t xml:space="preserve"> </w:t>
      </w:r>
      <w:r w:rsidRPr="00C16C69">
        <w:t xml:space="preserve">This results in a 14.5-year ARL. </w:t>
      </w:r>
      <w:r w:rsidR="00E22F7B">
        <w:t xml:space="preserve"> </w:t>
      </w:r>
      <w:r w:rsidRPr="00C16C69">
        <w:t>FPUC con</w:t>
      </w:r>
      <w:r w:rsidR="007F6285">
        <w:t>curred</w:t>
      </w:r>
      <w:r w:rsidR="009707CC">
        <w:t xml:space="preserve"> with staff’s proposal and</w:t>
      </w:r>
      <w:r w:rsidR="003C57C7">
        <w:t xml:space="preserve"> we, hereby, find that it shall be approved</w:t>
      </w:r>
      <w:r w:rsidRPr="00C16C69">
        <w:t xml:space="preserve">. </w:t>
      </w:r>
      <w:r w:rsidR="00E22F7B">
        <w:t xml:space="preserve"> </w:t>
      </w:r>
      <w:r w:rsidRPr="00C16C69">
        <w:t>The resulting remaining life depreciation rate is 2.1 percent for Account 354.</w:t>
      </w:r>
    </w:p>
    <w:p w:rsidR="00C16C69" w:rsidRPr="00C16C69" w:rsidRDefault="00C16C69" w:rsidP="00C16C69">
      <w:pPr>
        <w:spacing w:after="240"/>
        <w:ind w:firstLine="720"/>
        <w:jc w:val="both"/>
        <w:rPr>
          <w:u w:val="single"/>
        </w:rPr>
      </w:pPr>
      <w:r w:rsidRPr="00C16C69">
        <w:rPr>
          <w:u w:val="single"/>
        </w:rPr>
        <w:t>Account 355 – Poles and Fixtures</w:t>
      </w:r>
    </w:p>
    <w:p w:rsidR="00C16C69" w:rsidRPr="00C16C69" w:rsidRDefault="00C16C69" w:rsidP="00C16C69">
      <w:pPr>
        <w:spacing w:after="240"/>
        <w:ind w:firstLine="720"/>
        <w:jc w:val="both"/>
      </w:pPr>
      <w:r w:rsidRPr="00C16C69">
        <w:t xml:space="preserve">FPUC proposed to retain an ASL of 40 years and the R4 curve shape. </w:t>
      </w:r>
      <w:r w:rsidR="00E22F7B">
        <w:t xml:space="preserve"> </w:t>
      </w:r>
      <w:r w:rsidRPr="00C16C69">
        <w:t xml:space="preserve">This account has experienced an average retirement rate of 0.16 percent, and an average growth rate of 2.2 </w:t>
      </w:r>
      <w:r w:rsidR="00104EC7">
        <w:t xml:space="preserve">percent over the study period. </w:t>
      </w:r>
      <w:r w:rsidR="00E22F7B">
        <w:t xml:space="preserve"> </w:t>
      </w:r>
      <w:r w:rsidR="00104EC7">
        <w:t>Commission staff recommended</w:t>
      </w:r>
      <w:r w:rsidRPr="00C16C69">
        <w:t xml:space="preserve"> that a 40-year ASL be approved because it is in line with other IOUs in </w:t>
      </w:r>
      <w:r w:rsidR="00104EC7">
        <w:t xml:space="preserve">the state. </w:t>
      </w:r>
      <w:r w:rsidR="00E22F7B">
        <w:t xml:space="preserve"> </w:t>
      </w:r>
      <w:r w:rsidR="00104EC7">
        <w:t>Staff also recommended</w:t>
      </w:r>
      <w:r w:rsidRPr="00C16C69">
        <w:t xml:space="preserve"> an R5 curve shape as being more indicative of expected retirement dispersion given the asset’s average age of 23.2 years. </w:t>
      </w:r>
      <w:r w:rsidR="00E22F7B">
        <w:t xml:space="preserve"> </w:t>
      </w:r>
      <w:r w:rsidRPr="00C16C69">
        <w:t>By using an R5 curve and an average asset age of 23.2 years, the resulting</w:t>
      </w:r>
      <w:r w:rsidR="007F6285">
        <w:t xml:space="preserve"> ARL is 16.9 years. </w:t>
      </w:r>
      <w:r w:rsidR="00E22F7B">
        <w:t xml:space="preserve"> </w:t>
      </w:r>
      <w:r w:rsidR="007F6285">
        <w:t>FPUC concurred</w:t>
      </w:r>
      <w:r w:rsidRPr="00C16C69">
        <w:t xml:space="preserve"> with staff’s recommendation</w:t>
      </w:r>
      <w:r w:rsidR="00104EC7">
        <w:t xml:space="preserve"> and</w:t>
      </w:r>
      <w:r w:rsidR="003C57C7">
        <w:t xml:space="preserve"> we, hereby, find that it shall be approved</w:t>
      </w:r>
      <w:r w:rsidRPr="00C16C69">
        <w:t>.</w:t>
      </w:r>
    </w:p>
    <w:p w:rsidR="00C16C69" w:rsidRPr="00C16C69" w:rsidRDefault="00C16C69" w:rsidP="00C16C69">
      <w:pPr>
        <w:spacing w:after="240"/>
        <w:ind w:firstLine="720"/>
        <w:jc w:val="both"/>
      </w:pPr>
      <w:r w:rsidRPr="00C16C69">
        <w:t xml:space="preserve">FPUC proposed a change in NS from negative 30 percent to negative 40 percent. </w:t>
      </w:r>
      <w:r w:rsidR="00E22F7B">
        <w:t xml:space="preserve"> </w:t>
      </w:r>
      <w:r w:rsidRPr="00C16C69">
        <w:t xml:space="preserve">This account has experienced an average NS of negative 261 percent over the study period. </w:t>
      </w:r>
      <w:r w:rsidR="00E22F7B">
        <w:t xml:space="preserve"> </w:t>
      </w:r>
      <w:r w:rsidRPr="00C16C69">
        <w:t xml:space="preserve">However, the </w:t>
      </w:r>
      <w:r w:rsidR="00427F47">
        <w:t>Company</w:t>
      </w:r>
      <w:r w:rsidRPr="00C16C69">
        <w:t xml:space="preserve"> believes that this low level/percentage of retirement activity should not be taken as indicative of future retirement expe</w:t>
      </w:r>
      <w:r w:rsidR="00104EC7">
        <w:t xml:space="preserve">ctations for this account. </w:t>
      </w:r>
      <w:r w:rsidR="00E22F7B">
        <w:t xml:space="preserve"> </w:t>
      </w:r>
      <w:r w:rsidR="00104EC7">
        <w:t>We</w:t>
      </w:r>
      <w:r w:rsidRPr="00C16C69">
        <w:t xml:space="preserve"> note</w:t>
      </w:r>
      <w:r w:rsidR="00104EC7">
        <w:t xml:space="preserve"> that</w:t>
      </w:r>
      <w:r w:rsidRPr="00C16C69">
        <w:t xml:space="preserve"> the proposed change represents a modest increase in expected removal costs upon asset retirement and will bring FPUC more in line with the average NS of other IOUs in the state. </w:t>
      </w:r>
      <w:r w:rsidR="00E22F7B">
        <w:t xml:space="preserve"> </w:t>
      </w:r>
      <w:r w:rsidR="00104EC7">
        <w:t>We find that</w:t>
      </w:r>
      <w:r w:rsidRPr="00C16C69">
        <w:t xml:space="preserve"> a NS level of negative 40 percent </w:t>
      </w:r>
      <w:r w:rsidR="00104EC7">
        <w:t xml:space="preserve">shall </w:t>
      </w:r>
      <w:r w:rsidRPr="00C16C69">
        <w:t xml:space="preserve">be approved. </w:t>
      </w:r>
      <w:r w:rsidR="00E22F7B">
        <w:t xml:space="preserve"> </w:t>
      </w:r>
      <w:r w:rsidRPr="00C16C69">
        <w:t>The resulting remaining life depreciation rate is 4.1 percent for Account 355.</w:t>
      </w:r>
    </w:p>
    <w:p w:rsidR="00C16C69" w:rsidRPr="00C16C69" w:rsidRDefault="00C16C69" w:rsidP="00C16C69">
      <w:pPr>
        <w:spacing w:after="240"/>
        <w:ind w:firstLine="720"/>
        <w:jc w:val="both"/>
        <w:rPr>
          <w:u w:val="single"/>
        </w:rPr>
      </w:pPr>
      <w:r w:rsidRPr="00C16C69">
        <w:rPr>
          <w:u w:val="single"/>
        </w:rPr>
        <w:t>Account 355.1 – Poles and Fixtures - Concrete</w:t>
      </w:r>
    </w:p>
    <w:p w:rsidR="00C16C69" w:rsidRPr="00C16C69" w:rsidRDefault="00C16C69" w:rsidP="00C16C69">
      <w:pPr>
        <w:spacing w:after="240"/>
        <w:ind w:firstLine="720"/>
        <w:jc w:val="both"/>
      </w:pPr>
      <w:r w:rsidRPr="00C16C69">
        <w:t xml:space="preserve">FPUC proposed to retain a 45-year ASL and the R4 curve, but to decrease the NS from negative 30 percent to negative 40 percent. </w:t>
      </w:r>
      <w:r w:rsidR="00E22F7B">
        <w:t xml:space="preserve"> </w:t>
      </w:r>
      <w:r w:rsidRPr="00C16C69">
        <w:t xml:space="preserve">After reviewing the account’s average age and plant </w:t>
      </w:r>
      <w:r w:rsidR="00104EC7">
        <w:lastRenderedPageBreak/>
        <w:t>activity, we find</w:t>
      </w:r>
      <w:r w:rsidRPr="00C16C69">
        <w:t xml:space="preserve"> that FPUC’s proposed 45-year ASL and R4 curve </w:t>
      </w:r>
      <w:r w:rsidR="00104EC7">
        <w:t xml:space="preserve">shall </w:t>
      </w:r>
      <w:r w:rsidRPr="00C16C69">
        <w:t xml:space="preserve">be approved. </w:t>
      </w:r>
      <w:r w:rsidR="00E22F7B">
        <w:t xml:space="preserve"> </w:t>
      </w:r>
      <w:r w:rsidRPr="00C16C69">
        <w:t xml:space="preserve">This results in a 41-year ARL. </w:t>
      </w:r>
    </w:p>
    <w:p w:rsidR="00C16C69" w:rsidRPr="00C16C69" w:rsidRDefault="00C16C69" w:rsidP="00C16C69">
      <w:pPr>
        <w:spacing w:after="240"/>
        <w:ind w:firstLine="720"/>
        <w:jc w:val="both"/>
      </w:pPr>
      <w:r w:rsidRPr="00C16C69">
        <w:t xml:space="preserve">With respect to NS, given there was no retirement activity recorded in this account during the study period, </w:t>
      </w:r>
      <w:r w:rsidR="00104EC7">
        <w:t>Commission staff recommend</w:t>
      </w:r>
      <w:r w:rsidR="007F6285">
        <w:t>ed</w:t>
      </w:r>
      <w:r w:rsidRPr="00C16C69">
        <w:t xml:space="preserve"> the negative 30 percent NS be retained. </w:t>
      </w:r>
      <w:r w:rsidR="00E22F7B">
        <w:t xml:space="preserve"> </w:t>
      </w:r>
      <w:r w:rsidRPr="00C16C69">
        <w:t>The negative 30 percent NS is still reasonable compared to other</w:t>
      </w:r>
      <w:r w:rsidR="007F6285">
        <w:t xml:space="preserve"> IOUs in the state. FPUC concurred</w:t>
      </w:r>
      <w:r w:rsidRPr="00C16C69">
        <w:t xml:space="preserve"> with staff’s recommendation</w:t>
      </w:r>
      <w:r w:rsidR="00104EC7">
        <w:t xml:space="preserve"> and</w:t>
      </w:r>
      <w:r w:rsidR="003C57C7">
        <w:t xml:space="preserve"> we, hereby, find that it shall be approved</w:t>
      </w:r>
      <w:r w:rsidRPr="00C16C69">
        <w:t xml:space="preserve">. </w:t>
      </w:r>
      <w:r w:rsidR="00E22F7B">
        <w:t xml:space="preserve"> </w:t>
      </w:r>
      <w:r w:rsidRPr="00C16C69">
        <w:t>The resulting remaining life depreciation rate is 2.9 percent for Account 355.1.</w:t>
      </w:r>
    </w:p>
    <w:p w:rsidR="00C16C69" w:rsidRPr="00C16C69" w:rsidRDefault="00C16C69" w:rsidP="00C16C69">
      <w:pPr>
        <w:spacing w:after="240"/>
        <w:ind w:firstLine="720"/>
        <w:jc w:val="both"/>
        <w:rPr>
          <w:u w:val="single"/>
        </w:rPr>
      </w:pPr>
      <w:r w:rsidRPr="00C16C69">
        <w:rPr>
          <w:u w:val="single"/>
        </w:rPr>
        <w:t>Account 356 – Overhead Conductors and Devices</w:t>
      </w:r>
    </w:p>
    <w:p w:rsidR="00C16C69" w:rsidRPr="00C16C69" w:rsidRDefault="00C16C69" w:rsidP="00C16C69">
      <w:pPr>
        <w:spacing w:after="240"/>
        <w:ind w:firstLine="720"/>
        <w:jc w:val="both"/>
      </w:pPr>
      <w:r w:rsidRPr="00C16C69">
        <w:t xml:space="preserve">This account experienced an approximate 21 percent growth rate during the current study period, with a retirement rate of 0.5 percent. </w:t>
      </w:r>
      <w:r w:rsidR="00E22F7B">
        <w:t xml:space="preserve"> </w:t>
      </w:r>
      <w:r w:rsidRPr="00C16C69">
        <w:t>The average age of assets in this account is 13.9 years. FPUC proposed a change in ASL from 45 years to 50 years, and to retain the cur</w:t>
      </w:r>
      <w:r w:rsidR="00104EC7">
        <w:t xml:space="preserve">rent S2 curve shape. </w:t>
      </w:r>
      <w:r w:rsidR="00E22F7B">
        <w:t xml:space="preserve"> </w:t>
      </w:r>
      <w:r w:rsidR="00104EC7">
        <w:t>We note</w:t>
      </w:r>
      <w:r w:rsidRPr="00C16C69">
        <w:t xml:space="preserve"> that the </w:t>
      </w:r>
      <w:r w:rsidR="00427F47">
        <w:t>Company</w:t>
      </w:r>
      <w:r w:rsidRPr="00C16C69">
        <w:t xml:space="preserve">’s proposed change in ASL is moderate, reflective of account activity, and is still within industry average for the state. </w:t>
      </w:r>
      <w:r w:rsidR="00E22F7B">
        <w:t xml:space="preserve"> </w:t>
      </w:r>
      <w:r w:rsidR="00104EC7">
        <w:t>We find that</w:t>
      </w:r>
      <w:r w:rsidRPr="00C16C69">
        <w:t xml:space="preserve"> a 50-year ASL </w:t>
      </w:r>
      <w:r w:rsidR="00104EC7">
        <w:t xml:space="preserve">shall </w:t>
      </w:r>
      <w:r w:rsidRPr="00C16C69">
        <w:t xml:space="preserve">be approved for this account. </w:t>
      </w:r>
      <w:r w:rsidR="00E22F7B">
        <w:t xml:space="preserve"> </w:t>
      </w:r>
      <w:r w:rsidRPr="00C16C69">
        <w:t>The resulting ARL is 36 years.</w:t>
      </w:r>
    </w:p>
    <w:p w:rsidR="00C16C69" w:rsidRPr="00C16C69" w:rsidRDefault="00C16C69" w:rsidP="00C16C69">
      <w:pPr>
        <w:spacing w:after="240"/>
        <w:ind w:firstLine="720"/>
        <w:jc w:val="both"/>
      </w:pPr>
      <w:r w:rsidRPr="00C16C69">
        <w:t>Account 356 has experienced a NS of neg</w:t>
      </w:r>
      <w:r w:rsidR="004C053E">
        <w:t xml:space="preserve">ative 123 percent. </w:t>
      </w:r>
      <w:r w:rsidR="00E22F7B">
        <w:t xml:space="preserve"> </w:t>
      </w:r>
      <w:r w:rsidR="004C053E">
        <w:t>FPUC proposed</w:t>
      </w:r>
      <w:r w:rsidRPr="00C16C69">
        <w:t xml:space="preserve"> to reduce this account’s NS from negative 10 percent to negative 20 percent (resulting in a greater capitalized amount to be recovered). </w:t>
      </w:r>
      <w:r w:rsidR="00E22F7B">
        <w:t xml:space="preserve"> </w:t>
      </w:r>
      <w:r w:rsidRPr="00C16C69">
        <w:t>Other IOUs in the state are estimating a NS ranging from negative 50 percent, to negative 20 percent, with FPUC’s estimate bei</w:t>
      </w:r>
      <w:r w:rsidR="00104EC7">
        <w:t xml:space="preserve">ng the highest. </w:t>
      </w:r>
      <w:r w:rsidR="00E22F7B">
        <w:t xml:space="preserve"> </w:t>
      </w:r>
      <w:r w:rsidR="00104EC7">
        <w:t>We find</w:t>
      </w:r>
      <w:r w:rsidRPr="00C16C69">
        <w:t xml:space="preserve"> that a NS of negative 20 percent </w:t>
      </w:r>
      <w:r w:rsidR="00104EC7">
        <w:t xml:space="preserve">shall </w:t>
      </w:r>
      <w:r w:rsidRPr="00C16C69">
        <w:t xml:space="preserve">be approved. </w:t>
      </w:r>
      <w:r w:rsidR="00E22F7B">
        <w:t xml:space="preserve"> </w:t>
      </w:r>
      <w:r w:rsidRPr="00C16C69">
        <w:t xml:space="preserve">The negative 20 percent NS level reflects the account’s recent activity and will bring FPUC more in line with other IOUs in the state. </w:t>
      </w:r>
      <w:r w:rsidR="00E22F7B">
        <w:t xml:space="preserve"> </w:t>
      </w:r>
      <w:r w:rsidRPr="00C16C69">
        <w:t>The resulting remaining life depreciation rate is 2.5 percent for Account 356.</w:t>
      </w:r>
    </w:p>
    <w:p w:rsidR="00C16C69" w:rsidRPr="00C16C69" w:rsidRDefault="00C16C69" w:rsidP="00C16C69">
      <w:pPr>
        <w:spacing w:after="240"/>
        <w:ind w:firstLine="720"/>
        <w:jc w:val="both"/>
      </w:pPr>
      <w:r w:rsidRPr="00C16C69">
        <w:rPr>
          <w:u w:val="single"/>
        </w:rPr>
        <w:t>Account 359 – Roads and Trails</w:t>
      </w:r>
    </w:p>
    <w:p w:rsidR="00C16C69" w:rsidRPr="00C16C69" w:rsidRDefault="00C16C69" w:rsidP="00C16C69">
      <w:pPr>
        <w:spacing w:after="240"/>
        <w:ind w:firstLine="720"/>
        <w:jc w:val="both"/>
      </w:pPr>
      <w:r w:rsidRPr="00C16C69">
        <w:t xml:space="preserve">After reviewing the information provided by the </w:t>
      </w:r>
      <w:r w:rsidR="00427F47">
        <w:t>Company</w:t>
      </w:r>
      <w:r w:rsidRPr="00C16C69">
        <w:t xml:space="preserve"> in this docket, </w:t>
      </w:r>
      <w:r w:rsidR="00104EC7">
        <w:t>we find that</w:t>
      </w:r>
      <w:r w:rsidRPr="00C16C69">
        <w:t xml:space="preserve"> a remaining life depreciation rate of 1.5 percent for Account 359</w:t>
      </w:r>
      <w:r w:rsidR="00104EC7">
        <w:t xml:space="preserve"> </w:t>
      </w:r>
      <w:r w:rsidR="003C57C7">
        <w:t>shall be approved</w:t>
      </w:r>
      <w:r w:rsidRPr="00C16C69">
        <w:t xml:space="preserve">. </w:t>
      </w:r>
    </w:p>
    <w:p w:rsidR="00C16C69" w:rsidRPr="00C16C69" w:rsidRDefault="00C16C69" w:rsidP="00AC60BC">
      <w:pPr>
        <w:spacing w:after="240"/>
        <w:ind w:firstLine="720"/>
        <w:jc w:val="both"/>
        <w:rPr>
          <w:u w:val="single"/>
        </w:rPr>
      </w:pPr>
      <w:r w:rsidRPr="00C16C69">
        <w:rPr>
          <w:u w:val="single"/>
        </w:rPr>
        <w:t>Distribution Plant</w:t>
      </w:r>
    </w:p>
    <w:p w:rsidR="00C16C69" w:rsidRPr="00C16C69" w:rsidRDefault="00C16C69" w:rsidP="00C16C69">
      <w:pPr>
        <w:spacing w:after="240"/>
        <w:ind w:firstLine="720"/>
        <w:jc w:val="both"/>
      </w:pPr>
      <w:r w:rsidRPr="00C16C69">
        <w:rPr>
          <w:u w:val="single"/>
        </w:rPr>
        <w:t>Account 360.1 – Land Rights</w:t>
      </w:r>
    </w:p>
    <w:p w:rsidR="00C16C69" w:rsidRPr="00C16C69" w:rsidRDefault="00C16C69" w:rsidP="00C16C69">
      <w:pPr>
        <w:spacing w:after="240"/>
        <w:ind w:firstLine="720"/>
        <w:jc w:val="both"/>
      </w:pPr>
      <w:r w:rsidRPr="00C16C69">
        <w:t xml:space="preserve">FPUC proposed a moderate increase in ASL from 56 years to 60 years. </w:t>
      </w:r>
      <w:r w:rsidR="00E22F7B">
        <w:t xml:space="preserve"> </w:t>
      </w:r>
      <w:r w:rsidRPr="00C16C69">
        <w:t xml:space="preserve">The average age of this account’s assets is 29.5 years. </w:t>
      </w:r>
      <w:r w:rsidR="00E22F7B">
        <w:t xml:space="preserve"> </w:t>
      </w:r>
      <w:r w:rsidRPr="00C16C69">
        <w:t xml:space="preserve">The account experienced no asset additions or retirements activity over the study period. </w:t>
      </w:r>
      <w:r w:rsidR="00E22F7B">
        <w:t xml:space="preserve"> </w:t>
      </w:r>
      <w:r w:rsidRPr="00C16C69">
        <w:t xml:space="preserve">The </w:t>
      </w:r>
      <w:r w:rsidR="00427F47">
        <w:t>Company</w:t>
      </w:r>
      <w:r w:rsidRPr="00C16C69">
        <w:t xml:space="preserve"> indicated there have been no additions to this account since 2006, and there are no near-term plans for any retirements of existing investment. </w:t>
      </w:r>
      <w:r w:rsidR="00E22F7B">
        <w:t xml:space="preserve"> </w:t>
      </w:r>
      <w:r w:rsidR="00104EC7">
        <w:t>We find</w:t>
      </w:r>
      <w:r w:rsidRPr="00C16C69">
        <w:t xml:space="preserve"> that a 60-year ASL </w:t>
      </w:r>
      <w:r w:rsidR="00104EC7">
        <w:t xml:space="preserve">shall </w:t>
      </w:r>
      <w:r w:rsidRPr="00C16C69">
        <w:t xml:space="preserve">be approved because it reflects this account’s activity and is in line with other IOUs in the state. </w:t>
      </w:r>
      <w:r w:rsidR="00E22F7B">
        <w:t xml:space="preserve"> </w:t>
      </w:r>
      <w:r w:rsidRPr="00C16C69">
        <w:t>The resulting ARL is 31 years, and the remaining life depreciation rate is 1.6 percent for Account 360.1.</w:t>
      </w:r>
    </w:p>
    <w:p w:rsidR="00C16C69" w:rsidRPr="00C16C69" w:rsidRDefault="00C16C69" w:rsidP="00C16C69">
      <w:pPr>
        <w:spacing w:after="240"/>
        <w:ind w:firstLine="720"/>
        <w:jc w:val="both"/>
      </w:pPr>
      <w:r w:rsidRPr="00C16C69">
        <w:rPr>
          <w:u w:val="single"/>
        </w:rPr>
        <w:t>Account 361 – Structures and Improvements</w:t>
      </w:r>
    </w:p>
    <w:p w:rsidR="00C16C69" w:rsidRPr="00C16C69" w:rsidRDefault="00C16C69" w:rsidP="00C16C69">
      <w:pPr>
        <w:spacing w:after="240"/>
        <w:ind w:firstLine="720"/>
        <w:jc w:val="both"/>
      </w:pPr>
      <w:r w:rsidRPr="00C16C69">
        <w:t xml:space="preserve">FPUC proposed to increase the ASL from 55 years to 60 years, retain the SQ curve, and a NS level of negative 5 percent. </w:t>
      </w:r>
      <w:r w:rsidR="00E22F7B">
        <w:t xml:space="preserve"> </w:t>
      </w:r>
      <w:r w:rsidRPr="00C16C69">
        <w:t xml:space="preserve">This account experienced approximately 81 percent growth </w:t>
      </w:r>
      <w:r w:rsidRPr="00C16C69">
        <w:lastRenderedPageBreak/>
        <w:t>during the study period with no retirement activity.</w:t>
      </w:r>
      <w:r w:rsidR="00E22F7B">
        <w:t xml:space="preserve"> </w:t>
      </w:r>
      <w:r w:rsidRPr="00C16C69">
        <w:t xml:space="preserve"> Currently, the </w:t>
      </w:r>
      <w:r w:rsidR="00427F47">
        <w:t>Company</w:t>
      </w:r>
      <w:r w:rsidRPr="00C16C69">
        <w:t xml:space="preserve"> has no firm plans for any near-term retirements. </w:t>
      </w:r>
      <w:r w:rsidR="00E22F7B">
        <w:t xml:space="preserve"> </w:t>
      </w:r>
      <w:r w:rsidRPr="00C16C69">
        <w:t xml:space="preserve">As with other accounts having limited near-term retirement activity, reliance on industry expectations is necessary for life and salvage projections. </w:t>
      </w:r>
      <w:r w:rsidR="00E22F7B">
        <w:t xml:space="preserve"> </w:t>
      </w:r>
      <w:r w:rsidR="00104EC7">
        <w:t>We find</w:t>
      </w:r>
      <w:r w:rsidRPr="00C16C69">
        <w:t xml:space="preserve"> that a 60-year ASL and NS level of negative 5 percent </w:t>
      </w:r>
      <w:r w:rsidR="00104EC7">
        <w:t xml:space="preserve">shall be approved. </w:t>
      </w:r>
      <w:r w:rsidR="00E22F7B">
        <w:t xml:space="preserve"> </w:t>
      </w:r>
      <w:r w:rsidR="00104EC7">
        <w:t>The approved</w:t>
      </w:r>
      <w:r w:rsidRPr="00C16C69">
        <w:t xml:space="preserve"> ASL will bring FPUC more in line with other IOUs in</w:t>
      </w:r>
      <w:r w:rsidR="005C31D4">
        <w:t xml:space="preserve"> the state while the approved</w:t>
      </w:r>
      <w:r w:rsidRPr="00C16C69">
        <w:t xml:space="preserve"> NS level is closer to the industry average. </w:t>
      </w:r>
      <w:r w:rsidR="00E22F7B">
        <w:t xml:space="preserve"> </w:t>
      </w:r>
      <w:r w:rsidRPr="00C16C69">
        <w:t>The resulting ARL is 47 years, and the remaining life depreciation rate is 1.7 percent for Account 361.</w:t>
      </w:r>
    </w:p>
    <w:p w:rsidR="00C16C69" w:rsidRPr="00C16C69" w:rsidRDefault="00C16C69" w:rsidP="00C16C69">
      <w:pPr>
        <w:spacing w:after="240"/>
        <w:ind w:firstLine="720"/>
        <w:jc w:val="both"/>
        <w:rPr>
          <w:u w:val="single"/>
        </w:rPr>
      </w:pPr>
      <w:r w:rsidRPr="00C16C69">
        <w:rPr>
          <w:u w:val="single"/>
        </w:rPr>
        <w:t>Account 362 – Station Equipment</w:t>
      </w:r>
    </w:p>
    <w:p w:rsidR="00C16C69" w:rsidRPr="00C16C69" w:rsidRDefault="00C16C69" w:rsidP="00C16C69">
      <w:pPr>
        <w:spacing w:after="240"/>
        <w:ind w:firstLine="720"/>
        <w:jc w:val="both"/>
      </w:pPr>
      <w:r w:rsidRPr="00C16C69">
        <w:t>FPUC proposed to increase the ASL from 40 years to 45 years, retain the S3 curve, and a NS level of negative 10 percent.</w:t>
      </w:r>
      <w:r w:rsidR="00E22F7B">
        <w:t xml:space="preserve"> </w:t>
      </w:r>
      <w:r w:rsidRPr="00C16C69">
        <w:t xml:space="preserve"> This account has experienced an approximate 21 percent growth rate during the study period, with the retirement rate being less than 0.3 percent. </w:t>
      </w:r>
      <w:r w:rsidR="00E22F7B">
        <w:t xml:space="preserve"> </w:t>
      </w:r>
      <w:r w:rsidRPr="00C16C69">
        <w:t>Other IOUs in the state are estimating ASLs ranging from 38 to 60 years, with FPUC be</w:t>
      </w:r>
      <w:r w:rsidR="00104EC7">
        <w:t xml:space="preserve">ing the lowest. </w:t>
      </w:r>
      <w:r w:rsidR="00E22F7B">
        <w:t xml:space="preserve"> </w:t>
      </w:r>
      <w:r w:rsidR="00104EC7">
        <w:t xml:space="preserve">We find </w:t>
      </w:r>
      <w:r w:rsidRPr="00C16C69">
        <w:t xml:space="preserve">that a 45-year ASL </w:t>
      </w:r>
      <w:r w:rsidR="00104EC7">
        <w:t xml:space="preserve">shall </w:t>
      </w:r>
      <w:r w:rsidRPr="00C16C69">
        <w:t xml:space="preserve">be approved. The change in ASL is moderate and it will bring FPUC more in line with the other IOUs in the state. </w:t>
      </w:r>
      <w:r w:rsidR="00E22F7B">
        <w:t xml:space="preserve"> </w:t>
      </w:r>
      <w:r w:rsidRPr="00C16C69">
        <w:t>The resulting ARL is 34 years, and the remaining life depreciation rate is 2.4 percent for Account 362.</w:t>
      </w:r>
    </w:p>
    <w:p w:rsidR="00C16C69" w:rsidRPr="00C16C69" w:rsidRDefault="00C16C69" w:rsidP="00C16C69">
      <w:pPr>
        <w:spacing w:after="240"/>
        <w:ind w:firstLine="720"/>
        <w:jc w:val="both"/>
        <w:rPr>
          <w:u w:val="single"/>
        </w:rPr>
      </w:pPr>
      <w:r w:rsidRPr="00C16C69">
        <w:rPr>
          <w:u w:val="single"/>
        </w:rPr>
        <w:t>Account 364 – Poles, Towers, and Fixtures</w:t>
      </w:r>
    </w:p>
    <w:p w:rsidR="00C16C69" w:rsidRPr="00C16C69" w:rsidRDefault="00C16C69" w:rsidP="00C16C69">
      <w:pPr>
        <w:spacing w:after="240"/>
        <w:ind w:firstLine="720"/>
        <w:jc w:val="both"/>
      </w:pPr>
      <w:r w:rsidRPr="00C16C69">
        <w:t xml:space="preserve">After reviewing the information provided by the </w:t>
      </w:r>
      <w:r w:rsidR="00427F47">
        <w:t>Company</w:t>
      </w:r>
      <w:r w:rsidRPr="00C16C69">
        <w:t xml:space="preserve"> </w:t>
      </w:r>
      <w:r w:rsidR="00104EC7">
        <w:t>in this docket, we find that</w:t>
      </w:r>
      <w:r w:rsidRPr="00C16C69">
        <w:t xml:space="preserve"> a remaining life depreciation rate of 3.9 percent for Account 364</w:t>
      </w:r>
      <w:r w:rsidR="00104EC7">
        <w:t xml:space="preserve"> </w:t>
      </w:r>
      <w:r w:rsidR="003C57C7">
        <w:t>shall be approved</w:t>
      </w:r>
      <w:r w:rsidRPr="00C16C69">
        <w:t xml:space="preserve">. </w:t>
      </w:r>
    </w:p>
    <w:p w:rsidR="00C16C69" w:rsidRPr="00C16C69" w:rsidRDefault="00C16C69" w:rsidP="00C16C69">
      <w:pPr>
        <w:spacing w:after="240"/>
        <w:ind w:firstLine="720"/>
        <w:jc w:val="both"/>
        <w:rPr>
          <w:u w:val="single"/>
        </w:rPr>
      </w:pPr>
      <w:r w:rsidRPr="00C16C69">
        <w:rPr>
          <w:u w:val="single"/>
        </w:rPr>
        <w:t>Account 365 – Overhead Conductors and Devices</w:t>
      </w:r>
    </w:p>
    <w:p w:rsidR="00C16C69" w:rsidRPr="00C16C69" w:rsidRDefault="00C16C69" w:rsidP="00C16C69">
      <w:pPr>
        <w:spacing w:after="240"/>
        <w:ind w:firstLine="720"/>
        <w:jc w:val="both"/>
      </w:pPr>
      <w:r w:rsidRPr="00C16C69">
        <w:t>FPUC proposed a moderate increase in ASL from 37 years to 40 years, changing the curve shape from R5 to R4, and retaining a NS level of negative 35 percent.</w:t>
      </w:r>
      <w:r w:rsidR="00E22F7B">
        <w:t xml:space="preserve"> </w:t>
      </w:r>
      <w:r w:rsidRPr="00C16C69">
        <w:t xml:space="preserve"> This account experienced a growth rate of 21 percent during the study period, with the retirement rate being less than 0.4 percent. </w:t>
      </w:r>
      <w:r w:rsidR="00E22F7B">
        <w:t xml:space="preserve"> </w:t>
      </w:r>
      <w:r w:rsidR="00274C01">
        <w:t>Commission s</w:t>
      </w:r>
      <w:r w:rsidRPr="00C16C69">
        <w:t>taff recommend</w:t>
      </w:r>
      <w:r w:rsidR="00274C01">
        <w:t>ed</w:t>
      </w:r>
      <w:r w:rsidRPr="00C16C69">
        <w:t xml:space="preserve"> a 40-year ASL be approved because it is reflective of account activity and is also in the range of reasonableness when compared to other IOUs in the state. </w:t>
      </w:r>
      <w:r w:rsidR="00E22F7B">
        <w:t xml:space="preserve"> </w:t>
      </w:r>
      <w:r w:rsidR="00274C01">
        <w:t>Staff also recommended</w:t>
      </w:r>
      <w:r w:rsidRPr="00C16C69">
        <w:t xml:space="preserve"> retaining the R5 curve due to the combination of depreciation parameters (40-year ASL, average asset age of 19.3 years, and a retirement rate of 0.3 percent) being a better fit. </w:t>
      </w:r>
      <w:r w:rsidR="00E22F7B">
        <w:t xml:space="preserve"> </w:t>
      </w:r>
      <w:r w:rsidRPr="00C16C69">
        <w:t>The resulting ARL is 21 years (u</w:t>
      </w:r>
      <w:r w:rsidR="007F6285">
        <w:t xml:space="preserve">sing the R5 curve). </w:t>
      </w:r>
      <w:r w:rsidR="00E22F7B">
        <w:t xml:space="preserve"> </w:t>
      </w:r>
      <w:r w:rsidR="007F6285">
        <w:t>FPUC concurred</w:t>
      </w:r>
      <w:r w:rsidRPr="00C16C69">
        <w:t xml:space="preserve"> with staff’s recommendation</w:t>
      </w:r>
      <w:r w:rsidR="00274C01">
        <w:t xml:space="preserve"> and we, h</w:t>
      </w:r>
      <w:r w:rsidR="003C57C7">
        <w:t>ereby, find that it shall be approved</w:t>
      </w:r>
      <w:r w:rsidRPr="00C16C69">
        <w:t>.</w:t>
      </w:r>
    </w:p>
    <w:p w:rsidR="00C16C69" w:rsidRPr="00C16C69" w:rsidRDefault="00C16C69" w:rsidP="00C16C69">
      <w:pPr>
        <w:spacing w:after="240"/>
        <w:ind w:firstLine="720"/>
        <w:jc w:val="both"/>
      </w:pPr>
      <w:r w:rsidRPr="00C16C69">
        <w:t>With respect to NS,</w:t>
      </w:r>
      <w:r w:rsidR="00274C01">
        <w:t xml:space="preserve"> we find</w:t>
      </w:r>
      <w:r w:rsidRPr="00C16C69">
        <w:t xml:space="preserve"> that a NS level of negative 35 percent </w:t>
      </w:r>
      <w:r w:rsidR="00274C01">
        <w:t xml:space="preserve">shall </w:t>
      </w:r>
      <w:r w:rsidRPr="00C16C69">
        <w:t xml:space="preserve">be approved primarily because it continues to be in the range of reasonableness compared to other electric IOUs in the state. </w:t>
      </w:r>
      <w:r w:rsidR="00E22F7B">
        <w:t xml:space="preserve"> </w:t>
      </w:r>
      <w:r w:rsidRPr="00C16C69">
        <w:t>The resulting remaining life depreciation rate is 3.4 percent for Account 365.</w:t>
      </w:r>
    </w:p>
    <w:p w:rsidR="00C16C69" w:rsidRPr="00C16C69" w:rsidRDefault="00C16C69" w:rsidP="001D4F32">
      <w:pPr>
        <w:spacing w:after="240"/>
        <w:ind w:firstLine="720"/>
        <w:jc w:val="both"/>
        <w:rPr>
          <w:u w:val="single"/>
        </w:rPr>
      </w:pPr>
      <w:r w:rsidRPr="00C16C69">
        <w:rPr>
          <w:u w:val="single"/>
        </w:rPr>
        <w:t>Account 366 – Underground Conduit</w:t>
      </w:r>
    </w:p>
    <w:p w:rsidR="00C16C69" w:rsidRPr="00C16C69" w:rsidRDefault="00C16C69" w:rsidP="00C16C69">
      <w:pPr>
        <w:spacing w:after="240"/>
        <w:ind w:firstLine="720"/>
        <w:jc w:val="both"/>
      </w:pPr>
      <w:r w:rsidRPr="00C16C69">
        <w:t xml:space="preserve">This account has experienced an approximate 0.1 percent retirement rate during the study period. </w:t>
      </w:r>
      <w:r w:rsidR="00E22F7B">
        <w:t xml:space="preserve"> </w:t>
      </w:r>
      <w:r w:rsidRPr="00C16C69">
        <w:t xml:space="preserve">FPUC proposed to retain the currently prescribed R5 curve shape with an ASL of 60 years. </w:t>
      </w:r>
      <w:r w:rsidR="00E22F7B">
        <w:t xml:space="preserve"> </w:t>
      </w:r>
      <w:r w:rsidR="00274C01">
        <w:t xml:space="preserve">We find </w:t>
      </w:r>
      <w:r w:rsidRPr="00C16C69">
        <w:t xml:space="preserve">that a 60-year ASL and R5 curve </w:t>
      </w:r>
      <w:r w:rsidR="00274C01">
        <w:t xml:space="preserve">shall </w:t>
      </w:r>
      <w:r w:rsidR="007F6285">
        <w:t xml:space="preserve">be approved. </w:t>
      </w:r>
      <w:r w:rsidR="00E22F7B">
        <w:t xml:space="preserve"> </w:t>
      </w:r>
      <w:r w:rsidR="007F6285">
        <w:t>We find that these</w:t>
      </w:r>
      <w:r w:rsidRPr="00C16C69">
        <w:t xml:space="preserve"> parameters are within the state’s industry range.</w:t>
      </w:r>
      <w:r w:rsidR="00E22F7B">
        <w:t xml:space="preserve"> </w:t>
      </w:r>
      <w:r w:rsidRPr="00C16C69">
        <w:t xml:space="preserve"> Given the average asset age is 10.4 years, the resulting ARL is 50 years for this account.</w:t>
      </w:r>
    </w:p>
    <w:p w:rsidR="00C16C69" w:rsidRPr="00C16C69" w:rsidRDefault="00C16C69" w:rsidP="00C16C69">
      <w:pPr>
        <w:spacing w:after="240"/>
        <w:ind w:firstLine="720"/>
        <w:jc w:val="both"/>
      </w:pPr>
      <w:r w:rsidRPr="00C16C69">
        <w:lastRenderedPageBreak/>
        <w:t xml:space="preserve">Account 366 has experienced an approximate negative 60 percent average NS over the study period. </w:t>
      </w:r>
      <w:r w:rsidR="00E22F7B">
        <w:t xml:space="preserve"> </w:t>
      </w:r>
      <w:r w:rsidRPr="00C16C69">
        <w:t xml:space="preserve">The </w:t>
      </w:r>
      <w:r w:rsidR="00427F47">
        <w:t>Company</w:t>
      </w:r>
      <w:r w:rsidR="008173C5">
        <w:t xml:space="preserve"> proposed</w:t>
      </w:r>
      <w:r w:rsidRPr="00C16C69">
        <w:t xml:space="preserve"> to change this account’s NS rate from zero to negative 5 percent. </w:t>
      </w:r>
      <w:r w:rsidR="00E22F7B">
        <w:t xml:space="preserve"> </w:t>
      </w:r>
      <w:r w:rsidR="00274C01">
        <w:t>We find that</w:t>
      </w:r>
      <w:r w:rsidRPr="00C16C69">
        <w:t xml:space="preserve"> a NS of negative 5 percent</w:t>
      </w:r>
      <w:r w:rsidR="00274C01">
        <w:t xml:space="preserve"> shall</w:t>
      </w:r>
      <w:r w:rsidRPr="00C16C69">
        <w:t xml:space="preserve"> be approved because it is reflective of account activity and is still within the industry average range. </w:t>
      </w:r>
      <w:r w:rsidR="00E22F7B">
        <w:t xml:space="preserve"> </w:t>
      </w:r>
      <w:r w:rsidRPr="00C16C69">
        <w:t>The resulting remaining life depreciation rate is 1.8 percent for Account 366.</w:t>
      </w:r>
    </w:p>
    <w:p w:rsidR="00C16C69" w:rsidRPr="00C16C69" w:rsidRDefault="00C16C69" w:rsidP="00C16C69">
      <w:pPr>
        <w:spacing w:after="240"/>
        <w:ind w:firstLine="720"/>
        <w:jc w:val="both"/>
        <w:rPr>
          <w:u w:val="single"/>
        </w:rPr>
      </w:pPr>
      <w:r w:rsidRPr="00C16C69">
        <w:rPr>
          <w:u w:val="single"/>
        </w:rPr>
        <w:t>Account 367 – Underground Conductors and Devices</w:t>
      </w:r>
    </w:p>
    <w:p w:rsidR="00C16C69" w:rsidRPr="00C16C69" w:rsidRDefault="00C16C69" w:rsidP="00C16C69">
      <w:pPr>
        <w:spacing w:after="240"/>
        <w:ind w:firstLine="720"/>
        <w:jc w:val="both"/>
      </w:pPr>
      <w:r w:rsidRPr="00C16C69">
        <w:t xml:space="preserve">The retirement rate of this account over the study period is 0.4 percent. </w:t>
      </w:r>
      <w:r w:rsidR="00E22F7B">
        <w:t xml:space="preserve"> </w:t>
      </w:r>
      <w:r w:rsidRPr="00C16C69">
        <w:t xml:space="preserve">FPUC proposed to retain the current ASL of 35 years and the R3 curve shape. </w:t>
      </w:r>
      <w:r w:rsidR="00E22F7B">
        <w:t xml:space="preserve"> </w:t>
      </w:r>
      <w:r w:rsidRPr="00C16C69">
        <w:t>Staff rec</w:t>
      </w:r>
      <w:r w:rsidR="00274C01">
        <w:t>ommended</w:t>
      </w:r>
      <w:r w:rsidRPr="00C16C69">
        <w:t xml:space="preserve"> that a 35-year ASL be approved as it continues to be in the range of reasonableness compared to other IOUs in </w:t>
      </w:r>
      <w:r w:rsidR="00274C01">
        <w:t xml:space="preserve">the state. </w:t>
      </w:r>
      <w:r w:rsidR="00E22F7B">
        <w:t xml:space="preserve"> </w:t>
      </w:r>
      <w:r w:rsidR="00274C01">
        <w:t>Staff also recommended</w:t>
      </w:r>
      <w:r w:rsidRPr="00C16C69">
        <w:t xml:space="preserve"> changing the cur</w:t>
      </w:r>
      <w:r w:rsidR="00274C01">
        <w:t xml:space="preserve">ve shape to R4. </w:t>
      </w:r>
      <w:r w:rsidR="00E22F7B">
        <w:t xml:space="preserve"> </w:t>
      </w:r>
      <w:r w:rsidR="00274C01">
        <w:t>Staff recommended</w:t>
      </w:r>
      <w:r w:rsidRPr="00C16C69">
        <w:t xml:space="preserve"> changing the curve shape because a 35-year ASL with the R4 curve better matches account activity, which has an average asset age of 12.2 years. </w:t>
      </w:r>
      <w:r w:rsidR="00E22F7B">
        <w:t xml:space="preserve"> </w:t>
      </w:r>
      <w:r w:rsidRPr="00C16C69">
        <w:t>The resulti</w:t>
      </w:r>
      <w:r w:rsidR="007F6285">
        <w:t xml:space="preserve">ng ARL is 23 years. </w:t>
      </w:r>
      <w:r w:rsidR="00E22F7B">
        <w:t xml:space="preserve"> </w:t>
      </w:r>
      <w:r w:rsidR="007F6285">
        <w:t>FPUC concurred</w:t>
      </w:r>
      <w:r w:rsidRPr="00C16C69">
        <w:t xml:space="preserve"> with staff’s recommendation</w:t>
      </w:r>
      <w:r w:rsidR="00274C01">
        <w:t xml:space="preserve"> and we, hereby, find that it shall be approved</w:t>
      </w:r>
      <w:r w:rsidRPr="00C16C69">
        <w:t>.</w:t>
      </w:r>
    </w:p>
    <w:p w:rsidR="00C16C69" w:rsidRPr="00C16C69" w:rsidRDefault="00C16C69" w:rsidP="00C16C69">
      <w:pPr>
        <w:spacing w:after="240"/>
        <w:ind w:firstLine="720"/>
        <w:jc w:val="both"/>
      </w:pPr>
      <w:r w:rsidRPr="00C16C69">
        <w:t>FPUC proposed to change this account’s NS level from z</w:t>
      </w:r>
      <w:r w:rsidR="00274C01">
        <w:t xml:space="preserve">ero to negative 5 percent. </w:t>
      </w:r>
      <w:r w:rsidR="00E22F7B">
        <w:t xml:space="preserve"> </w:t>
      </w:r>
      <w:r w:rsidR="00274C01">
        <w:t>We note</w:t>
      </w:r>
      <w:r w:rsidRPr="00C16C69">
        <w:t xml:space="preserve"> that this account has experienced nearly 50 percent removal costs during the study period. </w:t>
      </w:r>
      <w:r w:rsidR="00E22F7B">
        <w:t xml:space="preserve"> </w:t>
      </w:r>
      <w:r w:rsidR="00274C01">
        <w:t>We find</w:t>
      </w:r>
      <w:r w:rsidRPr="00C16C69">
        <w:t xml:space="preserve"> that FPUC’s proposal, which is moderate, reflective of activities in the account, and within the range of industry averages, </w:t>
      </w:r>
      <w:r w:rsidR="00274C01">
        <w:t xml:space="preserve">shall </w:t>
      </w:r>
      <w:r w:rsidRPr="00C16C69">
        <w:t xml:space="preserve">be approved. </w:t>
      </w:r>
      <w:r w:rsidR="00E22F7B">
        <w:t xml:space="preserve"> </w:t>
      </w:r>
      <w:r w:rsidRPr="00C16C69">
        <w:t>The resulting remaining life depreciation rate is 3.2 percent for Account 367.</w:t>
      </w:r>
    </w:p>
    <w:p w:rsidR="00C16C69" w:rsidRPr="00C16C69" w:rsidRDefault="00C16C69" w:rsidP="00C16C69">
      <w:pPr>
        <w:spacing w:after="240"/>
        <w:ind w:firstLine="720"/>
        <w:jc w:val="both"/>
        <w:rPr>
          <w:u w:val="single"/>
        </w:rPr>
      </w:pPr>
      <w:r w:rsidRPr="00C16C69">
        <w:rPr>
          <w:u w:val="single"/>
        </w:rPr>
        <w:t>Account 368 – Line Transformers</w:t>
      </w:r>
    </w:p>
    <w:p w:rsidR="00C16C69" w:rsidRPr="00C16C69" w:rsidRDefault="00C16C69" w:rsidP="00C16C69">
      <w:pPr>
        <w:spacing w:after="240"/>
        <w:ind w:firstLine="720"/>
        <w:jc w:val="both"/>
      </w:pPr>
      <w:r w:rsidRPr="00C16C69">
        <w:t xml:space="preserve">FPUC proposed to slightly increase the ASL from 29 to 30 years. </w:t>
      </w:r>
      <w:r w:rsidR="00E22F7B">
        <w:t xml:space="preserve"> </w:t>
      </w:r>
      <w:r w:rsidRPr="00C16C69">
        <w:t xml:space="preserve">This account has experienced an approximate 0.5 percent retirement rate with an approximate 9 percent growth rate. </w:t>
      </w:r>
      <w:r w:rsidR="00E22F7B">
        <w:t xml:space="preserve"> </w:t>
      </w:r>
      <w:r w:rsidR="00274C01">
        <w:t>We find</w:t>
      </w:r>
      <w:r w:rsidRPr="00C16C69">
        <w:t xml:space="preserve"> this proposal reflects the account’s activity and is in the range of reasonableness compared to other IOUs in the state. </w:t>
      </w:r>
      <w:r w:rsidR="00E22F7B">
        <w:t xml:space="preserve"> </w:t>
      </w:r>
      <w:r w:rsidR="00274C01">
        <w:t>We find that</w:t>
      </w:r>
      <w:r w:rsidRPr="00C16C69">
        <w:t xml:space="preserve"> the 30-year ASL </w:t>
      </w:r>
      <w:r w:rsidR="00274C01">
        <w:t xml:space="preserve">shall </w:t>
      </w:r>
      <w:r w:rsidRPr="00C16C69">
        <w:t xml:space="preserve">be approved. In FPUC’s 2011 Depreciation Study review, </w:t>
      </w:r>
      <w:r w:rsidR="00274C01">
        <w:t xml:space="preserve">Commission </w:t>
      </w:r>
      <w:r w:rsidRPr="00C16C69">
        <w:t xml:space="preserve">staff proposed the continued use of the S6 curve. </w:t>
      </w:r>
      <w:r w:rsidR="00E22F7B">
        <w:t xml:space="preserve"> </w:t>
      </w:r>
      <w:r w:rsidRPr="00C16C69">
        <w:t xml:space="preserve">In FPUC’s 2015 Depreciation Study, the </w:t>
      </w:r>
      <w:r w:rsidR="00427F47">
        <w:t>Company</w:t>
      </w:r>
      <w:r w:rsidR="004C053E">
        <w:t xml:space="preserve"> proposed</w:t>
      </w:r>
      <w:r w:rsidRPr="00C16C69">
        <w:t xml:space="preserve"> to change the curve shape from S6 to S4. </w:t>
      </w:r>
      <w:r w:rsidR="00E22F7B">
        <w:t xml:space="preserve"> </w:t>
      </w:r>
      <w:r w:rsidRPr="00C16C69">
        <w:t xml:space="preserve">Given the current average asset age, ASL, and the retirement activity, </w:t>
      </w:r>
      <w:r w:rsidR="00274C01">
        <w:t>we find</w:t>
      </w:r>
      <w:r w:rsidRPr="00C16C69">
        <w:t xml:space="preserve"> that a 30-year ASL with an S4 curve be approved because it better matches the account’s activity. </w:t>
      </w:r>
      <w:r w:rsidR="00E22F7B">
        <w:t xml:space="preserve"> </w:t>
      </w:r>
      <w:r w:rsidRPr="00C16C69">
        <w:t>The resulting ARL is 12.4 years.</w:t>
      </w:r>
    </w:p>
    <w:p w:rsidR="00C16C69" w:rsidRPr="00C16C69" w:rsidRDefault="00C16C69" w:rsidP="00C16C69">
      <w:pPr>
        <w:spacing w:after="240"/>
        <w:ind w:firstLine="720"/>
        <w:jc w:val="both"/>
      </w:pPr>
      <w:r w:rsidRPr="00C16C69">
        <w:t xml:space="preserve">FPUC proposed to retain a NS level of negative 20 percent. </w:t>
      </w:r>
      <w:r w:rsidR="00E22F7B">
        <w:t xml:space="preserve"> </w:t>
      </w:r>
      <w:r w:rsidRPr="00C16C69">
        <w:t xml:space="preserve">FPUC recognizes that the average negative NS this account has experienced over the study period is much higher than 20 percent, but believes it is not indicative of future NS expectations. </w:t>
      </w:r>
      <w:r w:rsidR="00E22F7B">
        <w:t xml:space="preserve"> </w:t>
      </w:r>
      <w:r w:rsidRPr="00C16C69">
        <w:t xml:space="preserve">Given that this account has experienced limited retirement activity over the study period, </w:t>
      </w:r>
      <w:r w:rsidR="00274C01">
        <w:t>we find that</w:t>
      </w:r>
      <w:r w:rsidRPr="00C16C69">
        <w:t xml:space="preserve"> statistical analyses is not solely reliable for determining salvage levels, and reliance upon industry data becomes necessary. </w:t>
      </w:r>
      <w:r w:rsidR="00E22F7B">
        <w:t xml:space="preserve"> </w:t>
      </w:r>
      <w:r w:rsidR="00274C01">
        <w:t>We find that</w:t>
      </w:r>
      <w:r w:rsidRPr="00C16C69">
        <w:t xml:space="preserve"> any change to the NS level</w:t>
      </w:r>
      <w:r w:rsidR="00274C01">
        <w:t xml:space="preserve"> is inappropriate</w:t>
      </w:r>
      <w:r w:rsidRPr="00C16C69">
        <w:t xml:space="preserve"> because FPUC’s proposed NS of negative 20 percent is in line with other Florida IOUs</w:t>
      </w:r>
      <w:r w:rsidR="008173C5">
        <w:t xml:space="preserve"> and is, hereby, approved</w:t>
      </w:r>
      <w:r w:rsidRPr="00C16C69">
        <w:t xml:space="preserve">. </w:t>
      </w:r>
      <w:r w:rsidR="00E22F7B">
        <w:t xml:space="preserve"> </w:t>
      </w:r>
      <w:r w:rsidRPr="00C16C69">
        <w:t>The resulting remaining life depreciation rate is 4.0 percent for Account 368.</w:t>
      </w:r>
    </w:p>
    <w:p w:rsidR="00DC5239" w:rsidRDefault="00DC5239" w:rsidP="00C16C69">
      <w:pPr>
        <w:spacing w:after="240"/>
        <w:ind w:firstLine="720"/>
        <w:jc w:val="both"/>
        <w:rPr>
          <w:u w:val="single"/>
        </w:rPr>
      </w:pPr>
    </w:p>
    <w:p w:rsidR="00DC5239" w:rsidRDefault="00DC5239" w:rsidP="00C16C69">
      <w:pPr>
        <w:spacing w:after="240"/>
        <w:ind w:firstLine="720"/>
        <w:jc w:val="both"/>
        <w:rPr>
          <w:u w:val="single"/>
        </w:rPr>
      </w:pPr>
    </w:p>
    <w:p w:rsidR="00C16C69" w:rsidRPr="00C16C69" w:rsidRDefault="00C16C69" w:rsidP="00C16C69">
      <w:pPr>
        <w:spacing w:after="240"/>
        <w:ind w:firstLine="720"/>
        <w:jc w:val="both"/>
        <w:rPr>
          <w:u w:val="single"/>
        </w:rPr>
      </w:pPr>
      <w:r w:rsidRPr="00C16C69">
        <w:rPr>
          <w:u w:val="single"/>
        </w:rPr>
        <w:lastRenderedPageBreak/>
        <w:t>Account 369 – Services</w:t>
      </w:r>
    </w:p>
    <w:p w:rsidR="00C16C69" w:rsidRPr="00C16C69" w:rsidRDefault="00C16C69" w:rsidP="00C16C69">
      <w:pPr>
        <w:spacing w:after="240"/>
        <w:ind w:firstLine="720"/>
        <w:jc w:val="both"/>
      </w:pPr>
      <w:r w:rsidRPr="00C16C69">
        <w:t xml:space="preserve">This account has experienced a 5.8 percent growth rate and less than a 0.2 percent retirement rate over the study period. FPUC proposed to increase the ASL for this account from 34 years to 37 years. </w:t>
      </w:r>
      <w:r w:rsidR="00434099">
        <w:t xml:space="preserve"> </w:t>
      </w:r>
      <w:r w:rsidRPr="00C16C69">
        <w:t>This increase brings the ASL closer to the average of other IOUs in the state. FPUC proposed to ret</w:t>
      </w:r>
      <w:r w:rsidR="00274C01">
        <w:t xml:space="preserve">ain the R3 curve. </w:t>
      </w:r>
      <w:r w:rsidR="00434099">
        <w:t xml:space="preserve"> </w:t>
      </w:r>
      <w:r w:rsidR="00274C01">
        <w:t>Commission staff proposed</w:t>
      </w:r>
      <w:r w:rsidRPr="00C16C69">
        <w:t xml:space="preserve"> to change the curve from R3 to R5, due to the current average asset age and retir</w:t>
      </w:r>
      <w:r w:rsidR="00274C01">
        <w:t xml:space="preserve">ement activity. </w:t>
      </w:r>
      <w:r w:rsidR="00434099">
        <w:t xml:space="preserve"> </w:t>
      </w:r>
      <w:r w:rsidR="00274C01">
        <w:t>Staff recommended</w:t>
      </w:r>
      <w:r w:rsidRPr="00C16C69">
        <w:t xml:space="preserve"> a 37-year ASL with the R5 curve because it is more indicative of expected retirement dispersion. </w:t>
      </w:r>
      <w:r w:rsidR="00434099">
        <w:t xml:space="preserve"> </w:t>
      </w:r>
      <w:r w:rsidRPr="00C16C69">
        <w:t>The resulting</w:t>
      </w:r>
      <w:r w:rsidR="007F6285">
        <w:t xml:space="preserve"> ARL is 19.9 years. </w:t>
      </w:r>
      <w:r w:rsidR="00434099">
        <w:t xml:space="preserve"> </w:t>
      </w:r>
      <w:r w:rsidR="007F6285">
        <w:t>FPUC concurred</w:t>
      </w:r>
      <w:r w:rsidRPr="00C16C69">
        <w:t xml:space="preserve"> with staff’s recommendation</w:t>
      </w:r>
      <w:r w:rsidR="00274C01">
        <w:t xml:space="preserve"> and we, hereby, find that it shall be approved</w:t>
      </w:r>
      <w:r w:rsidRPr="00C16C69">
        <w:t>.</w:t>
      </w:r>
    </w:p>
    <w:p w:rsidR="00C16C69" w:rsidRPr="00C16C69" w:rsidRDefault="00C16C69" w:rsidP="00C16C69">
      <w:pPr>
        <w:spacing w:after="240"/>
        <w:ind w:firstLine="720"/>
        <w:jc w:val="both"/>
      </w:pPr>
      <w:r w:rsidRPr="00C16C69">
        <w:t xml:space="preserve">FPUC proposed to retain a NS level of negative 35 percent. </w:t>
      </w:r>
      <w:r w:rsidR="00434099">
        <w:t xml:space="preserve"> </w:t>
      </w:r>
      <w:r w:rsidRPr="00C16C69">
        <w:t xml:space="preserve">This level of NS continues to be in the range of reasonableness compared to other IOUs in the state. </w:t>
      </w:r>
      <w:r w:rsidR="00434099">
        <w:t xml:space="preserve"> </w:t>
      </w:r>
      <w:r w:rsidR="00274C01">
        <w:t>We find that any</w:t>
      </w:r>
      <w:r w:rsidRPr="00C16C69">
        <w:t xml:space="preserve"> modification</w:t>
      </w:r>
      <w:r w:rsidR="00274C01">
        <w:t xml:space="preserve"> is not appropriate</w:t>
      </w:r>
      <w:r w:rsidRPr="00C16C69">
        <w:t xml:space="preserve"> at this time. </w:t>
      </w:r>
      <w:r w:rsidR="00434099">
        <w:t xml:space="preserve"> </w:t>
      </w:r>
      <w:r w:rsidRPr="00C16C69">
        <w:t>The resulting remaining life depreciation rate is 3.6 percent for Account 369.</w:t>
      </w:r>
    </w:p>
    <w:p w:rsidR="00C16C69" w:rsidRPr="00C16C69" w:rsidRDefault="00C16C69" w:rsidP="00C16C69">
      <w:pPr>
        <w:spacing w:after="240"/>
        <w:ind w:firstLine="720"/>
        <w:jc w:val="both"/>
      </w:pPr>
      <w:r w:rsidRPr="00C16C69">
        <w:rPr>
          <w:u w:val="single"/>
        </w:rPr>
        <w:t>Account 370 – Meters</w:t>
      </w:r>
    </w:p>
    <w:p w:rsidR="00C16C69" w:rsidRPr="00C16C69" w:rsidRDefault="00C16C69" w:rsidP="00C16C69">
      <w:pPr>
        <w:spacing w:after="240"/>
        <w:ind w:firstLine="720"/>
        <w:jc w:val="both"/>
      </w:pPr>
      <w:r w:rsidRPr="00C16C69">
        <w:t xml:space="preserve">FPUC proposed no change to the currently-approved ASL and curve shape. </w:t>
      </w:r>
      <w:r w:rsidR="00434099">
        <w:t xml:space="preserve"> </w:t>
      </w:r>
      <w:r w:rsidRPr="00C16C69">
        <w:t xml:space="preserve">Based on a review of this account’s retirement activity, and reviewing depreciation parameters prescribed to other IOUs in the state, </w:t>
      </w:r>
      <w:r w:rsidR="00274C01">
        <w:t>we find</w:t>
      </w:r>
      <w:r w:rsidRPr="00C16C69">
        <w:t xml:space="preserve"> that FPUC’s current 30-year ASL and R5 curve combination</w:t>
      </w:r>
      <w:r w:rsidR="00274C01">
        <w:t xml:space="preserve"> shall</w:t>
      </w:r>
      <w:r w:rsidRPr="00C16C69">
        <w:t xml:space="preserve"> be approved as it continues to be reasonable. </w:t>
      </w:r>
      <w:r w:rsidR="00434099">
        <w:t xml:space="preserve"> </w:t>
      </w:r>
      <w:r w:rsidRPr="00C16C69">
        <w:t>The resulting ARL is 11.9 years.</w:t>
      </w:r>
    </w:p>
    <w:p w:rsidR="00C16C69" w:rsidRPr="00C16C69" w:rsidRDefault="00C16C69" w:rsidP="00C16C69">
      <w:pPr>
        <w:spacing w:after="240"/>
        <w:ind w:firstLine="720"/>
        <w:jc w:val="both"/>
      </w:pPr>
      <w:r w:rsidRPr="00C16C69">
        <w:t xml:space="preserve">FPUC proposed to change the NS level from negative 5 to negative 10 percent. </w:t>
      </w:r>
      <w:r w:rsidR="00434099">
        <w:t xml:space="preserve"> </w:t>
      </w:r>
      <w:r w:rsidRPr="00C16C69">
        <w:t xml:space="preserve">The </w:t>
      </w:r>
      <w:r w:rsidR="00427F47">
        <w:t>Company</w:t>
      </w:r>
      <w:r w:rsidRPr="00C16C69">
        <w:t xml:space="preserve"> believes a level of negative 10 percent is more in li</w:t>
      </w:r>
      <w:r w:rsidR="00274C01">
        <w:t xml:space="preserve">ne with expected activity. </w:t>
      </w:r>
      <w:r w:rsidR="00434099">
        <w:t xml:space="preserve"> </w:t>
      </w:r>
      <w:r w:rsidR="00274C01">
        <w:t>We</w:t>
      </w:r>
      <w:r w:rsidRPr="00C16C69">
        <w:t xml:space="preserve"> note this account’s actual NS level experienced over the study period is negative 13.2 percent. </w:t>
      </w:r>
      <w:r w:rsidR="00434099">
        <w:t xml:space="preserve"> </w:t>
      </w:r>
      <w:r w:rsidRPr="00C16C69">
        <w:t xml:space="preserve">The average NS level of other IOUs in the state is negative 12.6 percent. </w:t>
      </w:r>
      <w:r w:rsidR="00434099">
        <w:t xml:space="preserve"> </w:t>
      </w:r>
      <w:r w:rsidR="00274C01">
        <w:t>We find</w:t>
      </w:r>
      <w:r w:rsidRPr="00C16C69">
        <w:t xml:space="preserve"> that a NS level of negative 10 percent </w:t>
      </w:r>
      <w:r w:rsidR="00274C01">
        <w:t xml:space="preserve">shall </w:t>
      </w:r>
      <w:r w:rsidRPr="00C16C69">
        <w:t xml:space="preserve">be approved. </w:t>
      </w:r>
      <w:r w:rsidR="00434099">
        <w:t xml:space="preserve"> </w:t>
      </w:r>
      <w:r w:rsidRPr="00C16C69">
        <w:t>The resulting remaining life depreciation rate is 3.7 percent for Account 370.</w:t>
      </w:r>
    </w:p>
    <w:p w:rsidR="00C16C69" w:rsidRPr="00C16C69" w:rsidRDefault="00C16C69" w:rsidP="00C16C69">
      <w:pPr>
        <w:spacing w:after="240"/>
        <w:ind w:firstLine="720"/>
        <w:jc w:val="both"/>
        <w:rPr>
          <w:u w:val="single"/>
        </w:rPr>
      </w:pPr>
      <w:r w:rsidRPr="00C16C69">
        <w:rPr>
          <w:u w:val="single"/>
        </w:rPr>
        <w:t>Account 371 – Installation on Customers’ Premises</w:t>
      </w:r>
    </w:p>
    <w:p w:rsidR="00C16C69" w:rsidRPr="00C16C69" w:rsidRDefault="00C16C69" w:rsidP="00C16C69">
      <w:pPr>
        <w:spacing w:after="240"/>
        <w:ind w:firstLine="720"/>
        <w:jc w:val="both"/>
      </w:pPr>
      <w:r w:rsidRPr="00C16C69">
        <w:t xml:space="preserve">FPUC proposed to increase the ASL from 16 to 20 years, and retain the S3 curve. </w:t>
      </w:r>
      <w:r w:rsidR="00434099">
        <w:t xml:space="preserve"> </w:t>
      </w:r>
      <w:r w:rsidRPr="00C16C69">
        <w:t xml:space="preserve">This account has experienced a 17 percent growth rate and a 0.7 percent retirement rate over the study period. </w:t>
      </w:r>
      <w:r w:rsidR="00434099">
        <w:t xml:space="preserve"> </w:t>
      </w:r>
      <w:r w:rsidR="00274C01">
        <w:t>We find that</w:t>
      </w:r>
      <w:r w:rsidRPr="00C16C69">
        <w:t xml:space="preserve"> the </w:t>
      </w:r>
      <w:r w:rsidR="00427F47">
        <w:t>Company</w:t>
      </w:r>
      <w:r w:rsidRPr="00C16C69">
        <w:t xml:space="preserve">’s proposals </w:t>
      </w:r>
      <w:r w:rsidR="00274C01">
        <w:t xml:space="preserve">shall </w:t>
      </w:r>
      <w:r w:rsidRPr="00C16C69">
        <w:t xml:space="preserve">be approved. </w:t>
      </w:r>
      <w:r w:rsidR="00434099">
        <w:t xml:space="preserve"> </w:t>
      </w:r>
      <w:r w:rsidRPr="00C16C69">
        <w:t xml:space="preserve">These modifications reflect the account’s recent activity and will bring FPUC closer to the state’s industry average. </w:t>
      </w:r>
      <w:r w:rsidR="00434099">
        <w:t xml:space="preserve"> </w:t>
      </w:r>
      <w:r w:rsidRPr="00C16C69">
        <w:t xml:space="preserve">The resulting ARL is 9.6 years. </w:t>
      </w:r>
    </w:p>
    <w:p w:rsidR="00C16C69" w:rsidRPr="00C16C69" w:rsidRDefault="00C16C69" w:rsidP="00C16C69">
      <w:pPr>
        <w:spacing w:after="240"/>
        <w:ind w:firstLine="720"/>
        <w:jc w:val="both"/>
      </w:pPr>
      <w:r w:rsidRPr="00C16C69">
        <w:t>FPUC proposed to retain</w:t>
      </w:r>
      <w:r w:rsidR="00274C01">
        <w:t xml:space="preserve"> a NS level of 15 percent. </w:t>
      </w:r>
      <w:r w:rsidR="00434099">
        <w:t xml:space="preserve"> </w:t>
      </w:r>
      <w:r w:rsidR="00274C01">
        <w:t>We</w:t>
      </w:r>
      <w:r w:rsidRPr="00C16C69">
        <w:t xml:space="preserve"> note that this account has experienced an approximate negative 39 percent removal cost and zero salvage each yea</w:t>
      </w:r>
      <w:r w:rsidR="00274C01">
        <w:t xml:space="preserve">r during the study period. </w:t>
      </w:r>
      <w:r w:rsidR="00434099">
        <w:t xml:space="preserve"> </w:t>
      </w:r>
      <w:r w:rsidR="00274C01">
        <w:t>We</w:t>
      </w:r>
      <w:r w:rsidRPr="00C16C69">
        <w:t xml:space="preserve"> also note that FPUC is the only IOU in Florida that has a positive NS for this account. </w:t>
      </w:r>
      <w:r w:rsidR="00434099">
        <w:t xml:space="preserve"> </w:t>
      </w:r>
      <w:r w:rsidRPr="00C16C69">
        <w:t xml:space="preserve">The state’s industry average </w:t>
      </w:r>
      <w:r w:rsidR="00193E78">
        <w:t xml:space="preserve">of NS is negative 3.3 percent. </w:t>
      </w:r>
      <w:r w:rsidR="00434099">
        <w:t xml:space="preserve"> </w:t>
      </w:r>
      <w:r w:rsidR="00193E78">
        <w:t>Commission s</w:t>
      </w:r>
      <w:r w:rsidRPr="00C16C69">
        <w:t xml:space="preserve">taff inquired whether the high level of negative NS (due to removal costs) during the last four years is indicative of future expectations. </w:t>
      </w:r>
      <w:r w:rsidR="00434099">
        <w:t xml:space="preserve"> </w:t>
      </w:r>
      <w:r w:rsidRPr="00C16C69">
        <w:t xml:space="preserve">The </w:t>
      </w:r>
      <w:r w:rsidR="00427F47">
        <w:t>Company</w:t>
      </w:r>
      <w:r w:rsidRPr="00C16C69">
        <w:t xml:space="preserve"> responded:</w:t>
      </w:r>
    </w:p>
    <w:p w:rsidR="00C16C69" w:rsidRPr="00C16C69" w:rsidRDefault="00C16C69" w:rsidP="00BE166C">
      <w:pPr>
        <w:spacing w:after="240"/>
        <w:ind w:left="720" w:right="720"/>
        <w:jc w:val="both"/>
      </w:pPr>
      <w:r w:rsidRPr="00C16C69">
        <w:lastRenderedPageBreak/>
        <w:t xml:space="preserve">The investment in this account is primarily commercial lighting equipment located on a customer's premise. </w:t>
      </w:r>
      <w:r w:rsidR="00434099">
        <w:t xml:space="preserve"> </w:t>
      </w:r>
      <w:r w:rsidRPr="00C16C69">
        <w:t xml:space="preserve">The in-plant cost relates to the cost of the equipment and installation thereof on the customer's side of the meter. </w:t>
      </w:r>
      <w:r w:rsidR="00434099">
        <w:t xml:space="preserve"> </w:t>
      </w:r>
      <w:r w:rsidRPr="00C16C69">
        <w:t>The retirement rate has averaged less than 1 percent making statistical analysis results meaningless for determining life or salvage factors.</w:t>
      </w:r>
      <w:r w:rsidRPr="00C16C69">
        <w:rPr>
          <w:vertAlign w:val="superscript"/>
        </w:rPr>
        <w:footnoteReference w:id="7"/>
      </w:r>
    </w:p>
    <w:p w:rsidR="00C16C69" w:rsidRPr="00C16C69" w:rsidRDefault="00193E78" w:rsidP="00C16C69">
      <w:pPr>
        <w:spacing w:after="240"/>
        <w:ind w:firstLine="720"/>
        <w:jc w:val="both"/>
      </w:pPr>
      <w:r>
        <w:t>We find</w:t>
      </w:r>
      <w:r w:rsidR="00C16C69" w:rsidRPr="00C16C69">
        <w:t xml:space="preserve"> that lack of retirement activity renders statistical analysis inconclusive for determining life and/or salvage factors. </w:t>
      </w:r>
      <w:r w:rsidR="00434099">
        <w:t xml:space="preserve"> </w:t>
      </w:r>
      <w:r w:rsidR="00C16C69" w:rsidRPr="00C16C69">
        <w:t xml:space="preserve">Reliance on industry averages is therefore necessary. </w:t>
      </w:r>
      <w:r w:rsidR="00434099">
        <w:t xml:space="preserve"> </w:t>
      </w:r>
      <w:r>
        <w:t>We further find that</w:t>
      </w:r>
      <w:r w:rsidR="00C16C69" w:rsidRPr="00C16C69">
        <w:t xml:space="preserve"> reducing the NS level of this account from 15 to 10 percent</w:t>
      </w:r>
      <w:r>
        <w:t xml:space="preserve"> </w:t>
      </w:r>
      <w:r w:rsidR="008173C5">
        <w:t>shall be approved</w:t>
      </w:r>
      <w:r w:rsidR="00C16C69" w:rsidRPr="00C16C69">
        <w:t xml:space="preserve">. </w:t>
      </w:r>
      <w:r w:rsidR="00434099">
        <w:t xml:space="preserve"> </w:t>
      </w:r>
      <w:r w:rsidR="00C16C69" w:rsidRPr="00C16C69">
        <w:t xml:space="preserve">This renders FPUC’s NS level being closer to the industry average and at the same time reflects the account’s current cost of removal activity. </w:t>
      </w:r>
      <w:r w:rsidR="00434099">
        <w:t xml:space="preserve"> </w:t>
      </w:r>
      <w:r w:rsidR="00C16C69" w:rsidRPr="00C16C69">
        <w:t>The resulting remaining life depreciation rate is 4.5 percent for Account 371.</w:t>
      </w:r>
    </w:p>
    <w:p w:rsidR="00C16C69" w:rsidRPr="00C16C69" w:rsidRDefault="00C16C69" w:rsidP="00C16C69">
      <w:pPr>
        <w:spacing w:after="240"/>
        <w:ind w:firstLine="720"/>
        <w:jc w:val="both"/>
        <w:rPr>
          <w:u w:val="single"/>
        </w:rPr>
      </w:pPr>
      <w:r w:rsidRPr="00C16C69">
        <w:rPr>
          <w:u w:val="single"/>
        </w:rPr>
        <w:t>Account 373 – Street Lighting &amp; Signal Systems</w:t>
      </w:r>
    </w:p>
    <w:p w:rsidR="00C16C69" w:rsidRPr="00C16C69" w:rsidRDefault="00C16C69" w:rsidP="00C16C69">
      <w:pPr>
        <w:spacing w:after="240"/>
        <w:ind w:firstLine="720"/>
        <w:jc w:val="both"/>
      </w:pPr>
      <w:r w:rsidRPr="00C16C69">
        <w:t xml:space="preserve">After reviewing the information provided by the </w:t>
      </w:r>
      <w:r w:rsidR="00427F47">
        <w:t>Company</w:t>
      </w:r>
      <w:r w:rsidRPr="00C16C69">
        <w:t xml:space="preserve"> in this docket, </w:t>
      </w:r>
      <w:r w:rsidR="00193E78">
        <w:t>we find that</w:t>
      </w:r>
      <w:r w:rsidRPr="00C16C69">
        <w:t xml:space="preserve"> a remaining life depreciation rate of 4.9 percent for Account 373</w:t>
      </w:r>
      <w:r w:rsidR="008173C5">
        <w:t xml:space="preserve"> shall be approved</w:t>
      </w:r>
      <w:r w:rsidRPr="00C16C69">
        <w:t xml:space="preserve">. </w:t>
      </w:r>
    </w:p>
    <w:p w:rsidR="00C16C69" w:rsidRPr="00C16C69" w:rsidRDefault="00C16C69" w:rsidP="00AC60BC">
      <w:pPr>
        <w:spacing w:after="240"/>
        <w:ind w:firstLine="720"/>
        <w:jc w:val="both"/>
        <w:rPr>
          <w:u w:val="single"/>
        </w:rPr>
      </w:pPr>
      <w:r w:rsidRPr="00C16C69">
        <w:rPr>
          <w:u w:val="single"/>
        </w:rPr>
        <w:t>General Plant – Amortizable</w:t>
      </w:r>
    </w:p>
    <w:p w:rsidR="00C16C69" w:rsidRPr="00C16C69" w:rsidRDefault="00C16C69" w:rsidP="00C16C69">
      <w:pPr>
        <w:spacing w:after="240"/>
        <w:ind w:firstLine="720"/>
        <w:jc w:val="both"/>
      </w:pPr>
      <w:r w:rsidRPr="00C16C69">
        <w:t xml:space="preserve">Below are </w:t>
      </w:r>
      <w:r w:rsidR="00193E78">
        <w:t>this Commission’s findings</w:t>
      </w:r>
      <w:r w:rsidRPr="00C16C69">
        <w:t xml:space="preserve"> for general plant amortizable accounts, which generally constitute a continuation of FPUC’s previously authorized amortizable accounts and associated periods.</w:t>
      </w:r>
      <w:r w:rsidRPr="00C16C69">
        <w:rPr>
          <w:vertAlign w:val="superscript"/>
        </w:rPr>
        <w:footnoteReference w:id="8"/>
      </w:r>
      <w:r w:rsidRPr="00C16C69">
        <w:t xml:space="preserve"> </w:t>
      </w:r>
      <w:r w:rsidR="00434099">
        <w:t xml:space="preserve"> </w:t>
      </w:r>
      <w:r w:rsidRPr="00C16C69">
        <w:t xml:space="preserve">However, in this proceeding the </w:t>
      </w:r>
      <w:r w:rsidR="00427F47">
        <w:t>Company</w:t>
      </w:r>
      <w:r w:rsidR="008173C5">
        <w:t xml:space="preserve"> </w:t>
      </w:r>
      <w:r w:rsidRPr="00C16C69">
        <w:t>requested to combine two previously separated amortization sub-accounts, re-number two existing sub-accounts, and establish one new amortizable sub-account.</w:t>
      </w:r>
      <w:r w:rsidRPr="00C16C69">
        <w:rPr>
          <w:vertAlign w:val="superscript"/>
        </w:rPr>
        <w:footnoteReference w:id="9"/>
      </w:r>
      <w:r w:rsidRPr="00C16C69">
        <w:t xml:space="preserve"> </w:t>
      </w:r>
    </w:p>
    <w:p w:rsidR="00C16C69" w:rsidRPr="00C16C69" w:rsidRDefault="00C16C69" w:rsidP="00C16C69">
      <w:pPr>
        <w:spacing w:after="240"/>
        <w:ind w:firstLine="720"/>
        <w:jc w:val="both"/>
      </w:pPr>
      <w:r w:rsidRPr="00C16C69">
        <w:t xml:space="preserve">The </w:t>
      </w:r>
      <w:r w:rsidR="00427F47">
        <w:t>Company</w:t>
      </w:r>
      <w:r w:rsidRPr="00C16C69">
        <w:t xml:space="preserve"> requested to combine Accounts 391.0 – Office Furniture &amp; Equipment with 391.2 – Office Machines. </w:t>
      </w:r>
      <w:r w:rsidR="00434099">
        <w:t xml:space="preserve"> </w:t>
      </w:r>
      <w:r w:rsidR="00193E78">
        <w:t>We find that t</w:t>
      </w:r>
      <w:r w:rsidRPr="00C16C69">
        <w:t xml:space="preserve">he combined property will all be classified/amortized as Account 391.0 – Office Furniture &amp; Equipment. Both accounts are currently amortized over 7 years and </w:t>
      </w:r>
      <w:r w:rsidR="008173C5">
        <w:t>no change to the period was</w:t>
      </w:r>
      <w:r w:rsidRPr="00C16C69">
        <w:t xml:space="preserve"> proposed.</w:t>
      </w:r>
    </w:p>
    <w:p w:rsidR="00C16C69" w:rsidRPr="00C16C69" w:rsidRDefault="00C16C69" w:rsidP="00C16C69">
      <w:pPr>
        <w:spacing w:after="240"/>
        <w:ind w:firstLine="720"/>
        <w:jc w:val="both"/>
      </w:pPr>
      <w:r w:rsidRPr="00C16C69">
        <w:t xml:space="preserve">The </w:t>
      </w:r>
      <w:r w:rsidR="00427F47">
        <w:t>Company</w:t>
      </w:r>
      <w:r w:rsidRPr="00C16C69">
        <w:t xml:space="preserve"> requested re-numbering (and renaming) Account 391.1 – Office Furniture to Account 391.3 – Office Furniture &amp; Fixtures. </w:t>
      </w:r>
      <w:r w:rsidR="00434099">
        <w:t xml:space="preserve"> </w:t>
      </w:r>
      <w:r w:rsidRPr="00C16C69">
        <w:t xml:space="preserve">This property currently amortizes over 7 years and no change to the period </w:t>
      </w:r>
      <w:r w:rsidR="007F6285">
        <w:t>was</w:t>
      </w:r>
      <w:r w:rsidRPr="00C16C69">
        <w:t xml:space="preserve"> proposed nor recommended.</w:t>
      </w:r>
      <w:r w:rsidR="008173C5">
        <w:t xml:space="preserve"> </w:t>
      </w:r>
      <w:r w:rsidR="00434099">
        <w:t xml:space="preserve"> </w:t>
      </w:r>
      <w:r w:rsidR="008173C5">
        <w:t xml:space="preserve">We find that FPUC’s request to re-number and rename </w:t>
      </w:r>
      <w:r w:rsidR="008173C5" w:rsidRPr="00C16C69">
        <w:t>Account 391.1 – Office Furniture to Account 391.3 – Office Furniture &amp; Fixtures</w:t>
      </w:r>
      <w:r w:rsidR="008173C5">
        <w:t xml:space="preserve"> shall be approved</w:t>
      </w:r>
      <w:r w:rsidR="008173C5" w:rsidRPr="00C16C69">
        <w:t>.</w:t>
      </w:r>
      <w:r w:rsidRPr="00C16C69">
        <w:t xml:space="preserve"> </w:t>
      </w:r>
      <w:r w:rsidR="008173C5">
        <w:t xml:space="preserve"> FPUC</w:t>
      </w:r>
      <w:r w:rsidRPr="00C16C69">
        <w:t xml:space="preserve"> also requested to re-number Account 391.3 – Computer Equipment to Account 391.2 – Computer Equipment.</w:t>
      </w:r>
      <w:r w:rsidR="00434099">
        <w:t xml:space="preserve"> </w:t>
      </w:r>
      <w:r w:rsidRPr="00C16C69">
        <w:t xml:space="preserve"> This property currently amortizes over 5 years and n</w:t>
      </w:r>
      <w:r w:rsidR="008173C5">
        <w:t xml:space="preserve">o change to the period </w:t>
      </w:r>
      <w:r w:rsidR="009D0B4A">
        <w:t>was proposed</w:t>
      </w:r>
      <w:r w:rsidR="008173C5">
        <w:t xml:space="preserve">.  We find that FPUC’s request to </w:t>
      </w:r>
      <w:r w:rsidR="008173C5" w:rsidRPr="00C16C69">
        <w:t>re-number Acc</w:t>
      </w:r>
      <w:r w:rsidR="008173C5">
        <w:t>ount 391.3 – Computer Equipment</w:t>
      </w:r>
      <w:r w:rsidR="008173C5" w:rsidRPr="00C16C69">
        <w:t xml:space="preserve"> to Account 391.2 – Computer Equipment</w:t>
      </w:r>
      <w:r w:rsidR="008173C5">
        <w:t xml:space="preserve"> shall be approved.</w:t>
      </w:r>
    </w:p>
    <w:p w:rsidR="00C16C69" w:rsidRPr="00C16C69" w:rsidRDefault="00C16C69" w:rsidP="00C16C69">
      <w:pPr>
        <w:spacing w:after="240"/>
        <w:ind w:firstLine="720"/>
        <w:jc w:val="both"/>
      </w:pPr>
      <w:r w:rsidRPr="00C16C69">
        <w:t xml:space="preserve">The </w:t>
      </w:r>
      <w:r w:rsidR="00427F47">
        <w:t>Company</w:t>
      </w:r>
      <w:r w:rsidRPr="00C16C69">
        <w:t xml:space="preserve"> also requested that a new sub-account of Account 391 be established. </w:t>
      </w:r>
      <w:r w:rsidR="00434099">
        <w:t xml:space="preserve"> </w:t>
      </w:r>
      <w:r w:rsidRPr="00C16C69">
        <w:t>This new sub-account, Account 391.1 - Computers &amp; Periphe</w:t>
      </w:r>
      <w:r w:rsidR="008173C5">
        <w:t>rals, was</w:t>
      </w:r>
      <w:r w:rsidRPr="00C16C69">
        <w:t xml:space="preserve"> proposed with an amortization </w:t>
      </w:r>
      <w:r w:rsidRPr="00C16C69">
        <w:lastRenderedPageBreak/>
        <w:t xml:space="preserve">period of five years. </w:t>
      </w:r>
      <w:r w:rsidR="00434099">
        <w:t xml:space="preserve"> </w:t>
      </w:r>
      <w:r w:rsidR="00193E78">
        <w:t>We find that</w:t>
      </w:r>
      <w:r w:rsidRPr="00C16C69">
        <w:t xml:space="preserve"> FPUC’s request to establish Account 391.1 – Computers &amp; Peripherals</w:t>
      </w:r>
      <w:r w:rsidR="00193E78">
        <w:t xml:space="preserve"> shall</w:t>
      </w:r>
      <w:r w:rsidRPr="00C16C69">
        <w:t xml:space="preserve"> be approved. </w:t>
      </w:r>
    </w:p>
    <w:p w:rsidR="00C16C69" w:rsidRPr="00C16C69" w:rsidRDefault="00C16C69" w:rsidP="00C16C69">
      <w:pPr>
        <w:spacing w:after="240"/>
        <w:ind w:firstLine="720"/>
        <w:jc w:val="both"/>
      </w:pPr>
      <w:r>
        <w:t xml:space="preserve">Table </w:t>
      </w:r>
      <w:r w:rsidRPr="00C16C69">
        <w:t xml:space="preserve">1 contains </w:t>
      </w:r>
      <w:r w:rsidR="00193E78">
        <w:t>this Commission’s approved</w:t>
      </w:r>
      <w:r w:rsidRPr="00C16C69">
        <w:t xml:space="preserve"> amortization accounts and associated periods.     </w:t>
      </w:r>
    </w:p>
    <w:tbl>
      <w:tblPr>
        <w:tblW w:w="6692" w:type="dxa"/>
        <w:jc w:val="center"/>
        <w:tblLook w:val="04A0" w:firstRow="1" w:lastRow="0" w:firstColumn="1" w:lastColumn="0" w:noHBand="0" w:noVBand="1"/>
      </w:tblPr>
      <w:tblGrid>
        <w:gridCol w:w="780"/>
        <w:gridCol w:w="3434"/>
        <w:gridCol w:w="1783"/>
        <w:gridCol w:w="695"/>
      </w:tblGrid>
      <w:tr w:rsidR="00C16C69" w:rsidRPr="00C16C69" w:rsidTr="00231205">
        <w:trPr>
          <w:gridAfter w:val="1"/>
          <w:wAfter w:w="695" w:type="dxa"/>
          <w:trHeight w:val="288"/>
          <w:jc w:val="center"/>
        </w:trPr>
        <w:tc>
          <w:tcPr>
            <w:tcW w:w="5997" w:type="dxa"/>
            <w:gridSpan w:val="3"/>
            <w:tcBorders>
              <w:bottom w:val="single" w:sz="4" w:space="0" w:color="auto"/>
            </w:tcBorders>
            <w:shd w:val="clear" w:color="auto" w:fill="auto"/>
            <w:noWrap/>
            <w:vAlign w:val="bottom"/>
          </w:tcPr>
          <w:p w:rsidR="00C16C69" w:rsidRPr="00C16C69" w:rsidRDefault="00C16C69" w:rsidP="00C16C69">
            <w:pPr>
              <w:jc w:val="both"/>
            </w:pPr>
          </w:p>
          <w:p w:rsidR="00C16C69" w:rsidRPr="00C16C69" w:rsidRDefault="00C16C69" w:rsidP="00C16C69">
            <w:pPr>
              <w:jc w:val="center"/>
              <w:rPr>
                <w:b/>
              </w:rPr>
            </w:pPr>
            <w:r>
              <w:rPr>
                <w:b/>
              </w:rPr>
              <w:t xml:space="preserve">Table </w:t>
            </w:r>
            <w:r w:rsidRPr="00C16C69">
              <w:rPr>
                <w:b/>
              </w:rPr>
              <w:t>1</w:t>
            </w:r>
          </w:p>
          <w:p w:rsidR="00C16C69" w:rsidRPr="00C16C69" w:rsidRDefault="00193E78" w:rsidP="00C16C69">
            <w:pPr>
              <w:jc w:val="center"/>
            </w:pPr>
            <w:r>
              <w:rPr>
                <w:b/>
              </w:rPr>
              <w:t>Approved</w:t>
            </w:r>
            <w:r w:rsidR="00C16C69" w:rsidRPr="00C16C69">
              <w:rPr>
                <w:b/>
              </w:rPr>
              <w:t xml:space="preserve"> Amortization Periods</w:t>
            </w:r>
          </w:p>
        </w:tc>
      </w:tr>
      <w:tr w:rsidR="00C16C69" w:rsidRPr="00C16C69" w:rsidTr="00231205">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C69" w:rsidRPr="00C16C69" w:rsidRDefault="00C16C69" w:rsidP="00C16C69">
            <w:pPr>
              <w:jc w:val="both"/>
              <w:rPr>
                <w:b/>
              </w:rPr>
            </w:pPr>
            <w:r w:rsidRPr="00C16C69">
              <w:rPr>
                <w:b/>
              </w:rPr>
              <w:t>Acct. #</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C16C69" w:rsidRPr="00C16C69" w:rsidRDefault="00C16C69" w:rsidP="00C16C69">
            <w:pPr>
              <w:jc w:val="both"/>
              <w:rPr>
                <w:b/>
              </w:rPr>
            </w:pPr>
            <w:r w:rsidRPr="00C16C69">
              <w:rPr>
                <w:b/>
              </w:rPr>
              <w:t>Account Name</w:t>
            </w:r>
          </w:p>
        </w:tc>
        <w:tc>
          <w:tcPr>
            <w:tcW w:w="2478" w:type="dxa"/>
            <w:gridSpan w:val="2"/>
            <w:tcBorders>
              <w:top w:val="single" w:sz="4" w:space="0" w:color="auto"/>
              <w:left w:val="nil"/>
              <w:bottom w:val="single" w:sz="4" w:space="0" w:color="auto"/>
              <w:right w:val="single" w:sz="4" w:space="0" w:color="auto"/>
            </w:tcBorders>
            <w:shd w:val="clear" w:color="auto" w:fill="auto"/>
            <w:noWrap/>
            <w:vAlign w:val="bottom"/>
            <w:hideMark/>
          </w:tcPr>
          <w:p w:rsidR="00C16C69" w:rsidRPr="00C16C69" w:rsidRDefault="00C16C69" w:rsidP="00C16C69">
            <w:pPr>
              <w:jc w:val="both"/>
              <w:rPr>
                <w:b/>
              </w:rPr>
            </w:pPr>
            <w:r w:rsidRPr="00C16C69">
              <w:rPr>
                <w:b/>
              </w:rPr>
              <w:t>Amortization Period</w:t>
            </w:r>
          </w:p>
        </w:tc>
      </w:tr>
      <w:tr w:rsidR="00C16C69" w:rsidRPr="00C16C69" w:rsidTr="00231205">
        <w:trPr>
          <w:trHeight w:val="52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391.0</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Office Furniture &amp; Equipment</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7-Year Amortization</w:t>
            </w:r>
          </w:p>
        </w:tc>
      </w:tr>
      <w:tr w:rsidR="00C16C69" w:rsidRPr="00C16C69" w:rsidTr="00231205">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391.1</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Computers &amp; Peripherals</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5-Year Amortization</w:t>
            </w:r>
          </w:p>
        </w:tc>
      </w:tr>
      <w:tr w:rsidR="00C16C69" w:rsidRPr="00C16C69" w:rsidTr="00231205">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391.2</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Computer Equipment</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5-Year Amortization</w:t>
            </w:r>
          </w:p>
        </w:tc>
      </w:tr>
      <w:tr w:rsidR="00C16C69" w:rsidRPr="00C16C69" w:rsidTr="00231205">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391.3</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Office Furniture &amp; Fixtures</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7-Year Amortization</w:t>
            </w:r>
          </w:p>
        </w:tc>
      </w:tr>
      <w:tr w:rsidR="00C16C69" w:rsidRPr="00C16C69" w:rsidTr="00231205">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391.4</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Software</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5-Year Amortization</w:t>
            </w:r>
          </w:p>
        </w:tc>
      </w:tr>
      <w:tr w:rsidR="00C16C69" w:rsidRPr="00C16C69" w:rsidTr="00231205">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393</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Stores Equipment</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7-Year Amortization</w:t>
            </w:r>
          </w:p>
        </w:tc>
      </w:tr>
      <w:tr w:rsidR="00C16C69" w:rsidRPr="00C16C69" w:rsidTr="00231205">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394</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Tools/Shop Equipment</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7-Year Amortization</w:t>
            </w:r>
          </w:p>
        </w:tc>
      </w:tr>
      <w:tr w:rsidR="00C16C69" w:rsidRPr="00C16C69" w:rsidTr="00231205">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395</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Lab Equipment</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7-Year Amortization</w:t>
            </w:r>
          </w:p>
        </w:tc>
      </w:tr>
      <w:tr w:rsidR="00C16C69" w:rsidRPr="00C16C69" w:rsidTr="00231205">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397</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Communications Equipment</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5-Year Amortization</w:t>
            </w:r>
          </w:p>
        </w:tc>
      </w:tr>
      <w:tr w:rsidR="00C16C69" w:rsidRPr="00C16C69" w:rsidTr="00231205">
        <w:trPr>
          <w:trHeight w:val="52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397.3</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BE166C" w:rsidRDefault="00BE166C" w:rsidP="00C16C69">
            <w:pPr>
              <w:jc w:val="both"/>
            </w:pPr>
            <w:r>
              <w:t>Communications Equipment</w:t>
            </w:r>
          </w:p>
          <w:p w:rsidR="00C16C69" w:rsidRPr="00C16C69" w:rsidRDefault="00C16C69" w:rsidP="00C16C69">
            <w:pPr>
              <w:jc w:val="both"/>
            </w:pPr>
            <w:r w:rsidRPr="00C16C69">
              <w:t>Post 98</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5-Year Amortization</w:t>
            </w:r>
          </w:p>
        </w:tc>
      </w:tr>
      <w:tr w:rsidR="00C16C69" w:rsidRPr="00C16C69" w:rsidTr="00231205">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398</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Miscellaneous Equipment</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C16C69" w:rsidRPr="00C16C69" w:rsidRDefault="00C16C69" w:rsidP="00C16C69">
            <w:pPr>
              <w:jc w:val="both"/>
            </w:pPr>
            <w:r w:rsidRPr="00C16C69">
              <w:t>7-Year Amortization</w:t>
            </w:r>
          </w:p>
        </w:tc>
      </w:tr>
    </w:tbl>
    <w:p w:rsidR="00C16C69" w:rsidRPr="00C16C69" w:rsidRDefault="00C16C69" w:rsidP="00C16C69">
      <w:pPr>
        <w:spacing w:after="240"/>
        <w:ind w:firstLine="720"/>
        <w:jc w:val="both"/>
        <w:rPr>
          <w:u w:val="single"/>
        </w:rPr>
      </w:pPr>
    </w:p>
    <w:p w:rsidR="00C16C69" w:rsidRPr="00C16C69" w:rsidRDefault="00C16C69" w:rsidP="00AC60BC">
      <w:pPr>
        <w:spacing w:after="240"/>
        <w:ind w:firstLine="720"/>
        <w:jc w:val="both"/>
        <w:rPr>
          <w:u w:val="single"/>
        </w:rPr>
      </w:pPr>
      <w:r w:rsidRPr="00C16C69">
        <w:rPr>
          <w:u w:val="single"/>
        </w:rPr>
        <w:t>General Plant - Depreciable</w:t>
      </w:r>
    </w:p>
    <w:p w:rsidR="00C16C69" w:rsidRPr="00C16C69" w:rsidRDefault="00C16C69" w:rsidP="00C16C69">
      <w:pPr>
        <w:spacing w:after="240"/>
        <w:ind w:firstLine="720"/>
        <w:jc w:val="both"/>
        <w:rPr>
          <w:u w:val="single"/>
        </w:rPr>
      </w:pPr>
      <w:r w:rsidRPr="00C16C69">
        <w:rPr>
          <w:u w:val="single"/>
        </w:rPr>
        <w:t>Account 390 – Structures &amp; Improvements</w:t>
      </w:r>
    </w:p>
    <w:p w:rsidR="00C16C69" w:rsidRPr="00C16C69" w:rsidRDefault="00C16C69" w:rsidP="00C16C69">
      <w:pPr>
        <w:spacing w:after="240"/>
        <w:ind w:firstLine="720"/>
        <w:jc w:val="both"/>
        <w:rPr>
          <w:u w:val="single"/>
        </w:rPr>
      </w:pPr>
      <w:r w:rsidRPr="00C16C69">
        <w:t xml:space="preserve">This account experienced an approximate 196 percent investment growth over the four-year study period from 2011-2014. </w:t>
      </w:r>
      <w:r w:rsidR="00434099">
        <w:t xml:space="preserve"> </w:t>
      </w:r>
      <w:r w:rsidRPr="00C16C69">
        <w:t xml:space="preserve">Staff discovered that the majority of this increase stems from the addition of costs associated with a new </w:t>
      </w:r>
      <w:r w:rsidR="008173C5">
        <w:t>c</w:t>
      </w:r>
      <w:r w:rsidR="00427F47">
        <w:t>ompany</w:t>
      </w:r>
      <w:r w:rsidRPr="00C16C69">
        <w:t xml:space="preserve"> office building located in Fernandina Beach to this account’s investment balance.</w:t>
      </w:r>
      <w:r w:rsidRPr="00C16C69">
        <w:rPr>
          <w:vertAlign w:val="superscript"/>
        </w:rPr>
        <w:footnoteReference w:id="10"/>
      </w:r>
      <w:r w:rsidR="00193E78">
        <w:t xml:space="preserve"> </w:t>
      </w:r>
      <w:r w:rsidR="00434099">
        <w:t xml:space="preserve"> </w:t>
      </w:r>
      <w:r w:rsidR="00193E78">
        <w:t>This Commission</w:t>
      </w:r>
      <w:r w:rsidRPr="00C16C69">
        <w:t xml:space="preserve"> understands this level of addition/growth for Account 390 to be an unusual event, and that going forward the </w:t>
      </w:r>
      <w:r w:rsidR="00427F47">
        <w:t>Company</w:t>
      </w:r>
      <w:r w:rsidRPr="00C16C69">
        <w:t xml:space="preserve"> expects this account will return to its historical growth pattern. </w:t>
      </w:r>
      <w:r w:rsidR="00434099">
        <w:t xml:space="preserve"> </w:t>
      </w:r>
      <w:r w:rsidRPr="00C16C69">
        <w:t xml:space="preserve">For this reason, </w:t>
      </w:r>
      <w:r w:rsidR="00193E78">
        <w:t>we find that</w:t>
      </w:r>
      <w:r w:rsidRPr="00C16C69">
        <w:t xml:space="preserve"> the </w:t>
      </w:r>
      <w:r w:rsidR="00427F47">
        <w:t>Company</w:t>
      </w:r>
      <w:r w:rsidRPr="00C16C69">
        <w:t>’s proposed depreciation parameters for Account 390 – Structures &amp; Improvements, which result in a remaining life depreciation rate of 2.0 percent</w:t>
      </w:r>
      <w:r w:rsidR="008173C5">
        <w:t>, shall be approved</w:t>
      </w:r>
      <w:r w:rsidRPr="00C16C69">
        <w:t>.</w:t>
      </w:r>
    </w:p>
    <w:p w:rsidR="00C16C69" w:rsidRPr="00C16C69" w:rsidRDefault="00C16C69" w:rsidP="00C16C69">
      <w:pPr>
        <w:spacing w:after="240"/>
        <w:ind w:firstLine="720"/>
        <w:jc w:val="both"/>
        <w:rPr>
          <w:u w:val="single"/>
        </w:rPr>
      </w:pPr>
      <w:r w:rsidRPr="00C16C69">
        <w:rPr>
          <w:u w:val="single"/>
        </w:rPr>
        <w:t>Account 392.1 – Transportation - Cars</w:t>
      </w:r>
    </w:p>
    <w:p w:rsidR="00C16C69" w:rsidRPr="00C16C69" w:rsidRDefault="00C16C69" w:rsidP="00C16C69">
      <w:pPr>
        <w:spacing w:after="240"/>
        <w:ind w:firstLine="720"/>
        <w:jc w:val="both"/>
      </w:pPr>
      <w:r w:rsidRPr="00C16C69">
        <w:t xml:space="preserve">After reviewing the information provided by the </w:t>
      </w:r>
      <w:r w:rsidR="00427F47">
        <w:t>Company</w:t>
      </w:r>
      <w:r w:rsidRPr="00C16C69">
        <w:t xml:space="preserve"> in this docket, </w:t>
      </w:r>
      <w:r w:rsidR="00193E78">
        <w:t>we find that</w:t>
      </w:r>
      <w:r w:rsidRPr="00C16C69">
        <w:t xml:space="preserve"> a remaining life depreciation rate of 11.9 percent for Account 392.1</w:t>
      </w:r>
      <w:r w:rsidR="008173C5">
        <w:t xml:space="preserve"> shall be approved</w:t>
      </w:r>
      <w:r w:rsidRPr="00C16C69">
        <w:t xml:space="preserve">. </w:t>
      </w:r>
    </w:p>
    <w:p w:rsidR="00C16C69" w:rsidRPr="00C16C69" w:rsidRDefault="00C16C69" w:rsidP="00C16C69">
      <w:pPr>
        <w:spacing w:after="240"/>
        <w:ind w:firstLine="720"/>
        <w:jc w:val="both"/>
        <w:rPr>
          <w:u w:val="single"/>
        </w:rPr>
      </w:pPr>
      <w:r w:rsidRPr="00C16C69">
        <w:rPr>
          <w:u w:val="single"/>
        </w:rPr>
        <w:lastRenderedPageBreak/>
        <w:t>Account 392.2 – Transportation - Light Truck &amp; Vans</w:t>
      </w:r>
    </w:p>
    <w:p w:rsidR="00C16C69" w:rsidRPr="00C16C69" w:rsidRDefault="00C16C69" w:rsidP="00C16C69">
      <w:pPr>
        <w:spacing w:after="240"/>
        <w:ind w:firstLine="720"/>
        <w:jc w:val="both"/>
      </w:pPr>
      <w:r w:rsidRPr="00C16C69">
        <w:t xml:space="preserve">After reviewing the information provided by the </w:t>
      </w:r>
      <w:r w:rsidR="00427F47">
        <w:t>Company</w:t>
      </w:r>
      <w:r w:rsidRPr="00C16C69">
        <w:t xml:space="preserve"> in this docket, </w:t>
      </w:r>
      <w:r w:rsidR="00193E78">
        <w:t>we find that</w:t>
      </w:r>
      <w:r w:rsidRPr="00C16C69">
        <w:t xml:space="preserve"> a remaining life depreciation rate of 7.8 percent for Account 392.2</w:t>
      </w:r>
      <w:r w:rsidR="00193E78">
        <w:t xml:space="preserve"> </w:t>
      </w:r>
      <w:r w:rsidR="008173C5" w:rsidRPr="008173C5">
        <w:t>shall be approved</w:t>
      </w:r>
      <w:r w:rsidRPr="00C16C69">
        <w:t xml:space="preserve">. </w:t>
      </w:r>
    </w:p>
    <w:p w:rsidR="00C16C69" w:rsidRPr="00C16C69" w:rsidRDefault="00C16C69" w:rsidP="00C16C69">
      <w:pPr>
        <w:spacing w:after="240"/>
        <w:ind w:firstLine="720"/>
        <w:jc w:val="both"/>
        <w:rPr>
          <w:u w:val="single"/>
        </w:rPr>
      </w:pPr>
      <w:r w:rsidRPr="00C16C69">
        <w:rPr>
          <w:u w:val="single"/>
        </w:rPr>
        <w:t>Account 392.3 – Transportation - Heavy Trucks</w:t>
      </w:r>
    </w:p>
    <w:p w:rsidR="00C16C69" w:rsidRPr="00C16C69" w:rsidRDefault="00C16C69" w:rsidP="00C16C69">
      <w:pPr>
        <w:spacing w:after="240"/>
        <w:ind w:firstLine="720"/>
        <w:jc w:val="both"/>
      </w:pPr>
      <w:r w:rsidRPr="00C16C69">
        <w:t xml:space="preserve">After reviewing the information provided by the </w:t>
      </w:r>
      <w:r w:rsidR="00427F47">
        <w:t>Company</w:t>
      </w:r>
      <w:r w:rsidRPr="00C16C69">
        <w:t xml:space="preserve"> in this docket, </w:t>
      </w:r>
      <w:r w:rsidR="00193E78">
        <w:t>we find that</w:t>
      </w:r>
      <w:r w:rsidRPr="00C16C69">
        <w:t xml:space="preserve"> a remaining life depreciation rate of 7.0 percent for Account 392.3</w:t>
      </w:r>
      <w:r w:rsidR="00193E78">
        <w:t xml:space="preserve"> </w:t>
      </w:r>
      <w:r w:rsidR="008173C5" w:rsidRPr="008173C5">
        <w:t>shall be approved</w:t>
      </w:r>
      <w:r w:rsidRPr="00C16C69">
        <w:t>.</w:t>
      </w:r>
    </w:p>
    <w:p w:rsidR="00C16C69" w:rsidRPr="00C16C69" w:rsidRDefault="00C16C69" w:rsidP="00C16C69">
      <w:pPr>
        <w:spacing w:after="240"/>
        <w:ind w:firstLine="720"/>
        <w:jc w:val="both"/>
        <w:rPr>
          <w:u w:val="single"/>
        </w:rPr>
      </w:pPr>
      <w:r w:rsidRPr="00C16C69">
        <w:rPr>
          <w:u w:val="single"/>
        </w:rPr>
        <w:t>Account 392.4 – Transportation - Trailers</w:t>
      </w:r>
    </w:p>
    <w:p w:rsidR="00C16C69" w:rsidRPr="00C16C69" w:rsidRDefault="00C16C69" w:rsidP="00C16C69">
      <w:pPr>
        <w:spacing w:after="240"/>
        <w:ind w:firstLine="720"/>
        <w:jc w:val="both"/>
      </w:pPr>
      <w:r w:rsidRPr="00C16C69">
        <w:t xml:space="preserve">After reviewing the information provided by the </w:t>
      </w:r>
      <w:r w:rsidR="00427F47">
        <w:t>Company</w:t>
      </w:r>
      <w:r w:rsidRPr="00C16C69">
        <w:t xml:space="preserve"> in this docket, </w:t>
      </w:r>
      <w:r w:rsidR="00193E78">
        <w:t>we find that</w:t>
      </w:r>
      <w:r w:rsidRPr="00C16C69">
        <w:t xml:space="preserve"> a remaining life depreciation rate of 3.7 percent for Account 392.4</w:t>
      </w:r>
      <w:r w:rsidR="00193E78">
        <w:t xml:space="preserve"> </w:t>
      </w:r>
      <w:r w:rsidR="008173C5" w:rsidRPr="008173C5">
        <w:t>shall be approved</w:t>
      </w:r>
      <w:r w:rsidRPr="00C16C69">
        <w:t xml:space="preserve">. </w:t>
      </w:r>
    </w:p>
    <w:p w:rsidR="00C16C69" w:rsidRPr="00C16C69" w:rsidRDefault="00C16C69" w:rsidP="00C16C69">
      <w:pPr>
        <w:spacing w:after="240"/>
        <w:ind w:firstLine="720"/>
        <w:jc w:val="both"/>
        <w:rPr>
          <w:u w:val="single"/>
        </w:rPr>
      </w:pPr>
      <w:r w:rsidRPr="00C16C69">
        <w:rPr>
          <w:u w:val="single"/>
        </w:rPr>
        <w:t>Account 396 – Power Operated Equipment</w:t>
      </w:r>
    </w:p>
    <w:p w:rsidR="00C16C69" w:rsidRDefault="00C16C69" w:rsidP="00C16C69">
      <w:pPr>
        <w:spacing w:after="240"/>
        <w:ind w:firstLine="720"/>
        <w:jc w:val="both"/>
      </w:pPr>
      <w:r w:rsidRPr="00C16C69">
        <w:t xml:space="preserve">After reviewing the information provided by the </w:t>
      </w:r>
      <w:r w:rsidR="00427F47">
        <w:t>Company</w:t>
      </w:r>
      <w:r w:rsidRPr="00C16C69">
        <w:t xml:space="preserve"> in this docket, </w:t>
      </w:r>
      <w:r w:rsidR="00193E78">
        <w:t>we find that</w:t>
      </w:r>
      <w:r w:rsidRPr="00C16C69">
        <w:t xml:space="preserve"> a remaining life depreciation rate of 4.4 percent for Account 396</w:t>
      </w:r>
      <w:r w:rsidR="00193E78">
        <w:t xml:space="preserve"> </w:t>
      </w:r>
      <w:r w:rsidR="008173C5" w:rsidRPr="008173C5">
        <w:t>shall be approved</w:t>
      </w:r>
      <w:r w:rsidRPr="00C16C69">
        <w:t>.</w:t>
      </w:r>
    </w:p>
    <w:p w:rsidR="00C16C69" w:rsidRPr="00AC60BC" w:rsidRDefault="00193E78" w:rsidP="00114D28">
      <w:pPr>
        <w:spacing w:after="240"/>
        <w:jc w:val="both"/>
        <w:rPr>
          <w:b/>
        </w:rPr>
      </w:pPr>
      <w:r w:rsidRPr="00AC60BC">
        <w:rPr>
          <w:b/>
        </w:rPr>
        <w:t>Reserve Allocations</w:t>
      </w:r>
    </w:p>
    <w:p w:rsidR="00114D28" w:rsidRDefault="00114D28" w:rsidP="00C16C69">
      <w:pPr>
        <w:spacing w:after="240"/>
        <w:ind w:firstLine="720"/>
        <w:jc w:val="both"/>
      </w:pPr>
      <w:r>
        <w:t>As part of this Commission’s</w:t>
      </w:r>
      <w:r w:rsidR="008173C5">
        <w:t xml:space="preserve"> review of FPUC’s Depreciation S</w:t>
      </w:r>
      <w:r w:rsidR="00C16C69" w:rsidRPr="00C16C69">
        <w:t xml:space="preserve">tudy, </w:t>
      </w:r>
      <w:r>
        <w:t xml:space="preserve">Commission </w:t>
      </w:r>
      <w:r w:rsidR="00C16C69" w:rsidRPr="00C16C69">
        <w:t xml:space="preserve">staff reviewed the book reserve (accumulated depreciation) position relative to total investment for each account. Based on staff’s recommended life and salvage </w:t>
      </w:r>
      <w:r w:rsidR="00BE166C">
        <w:t>parameters for this study, we</w:t>
      </w:r>
      <w:r w:rsidR="00C16C69" w:rsidRPr="00C16C69">
        <w:t xml:space="preserve"> determined FPUC’s theoretical or calculated reserve. </w:t>
      </w:r>
      <w:r w:rsidR="00434099">
        <w:t xml:space="preserve"> </w:t>
      </w:r>
      <w:r w:rsidR="00C16C69" w:rsidRPr="00C16C69">
        <w:t xml:space="preserve">The difference between an account’s book and calculated reserve may be described as a positive or negative imbalance, or as a surplus or deficiency. </w:t>
      </w:r>
      <w:r w:rsidR="00434099">
        <w:t xml:space="preserve"> </w:t>
      </w:r>
      <w:r w:rsidR="00C16C69" w:rsidRPr="00C16C69">
        <w:t>When negative or positive imbalances occur, as was the case in FPUC’s prior deprec</w:t>
      </w:r>
      <w:r>
        <w:t>iation filing, this</w:t>
      </w:r>
      <w:r w:rsidR="00C16C69" w:rsidRPr="00C16C69">
        <w:t xml:space="preserve"> Commission found </w:t>
      </w:r>
      <w:r w:rsidR="00BE166C">
        <w:t>that corrective transfers shall</w:t>
      </w:r>
      <w:r w:rsidR="00C16C69" w:rsidRPr="00C16C69">
        <w:t xml:space="preserve"> be considered and implemented as appropriate.</w:t>
      </w:r>
      <w:r w:rsidR="00C16C69" w:rsidRPr="00C16C69">
        <w:rPr>
          <w:vertAlign w:val="superscript"/>
        </w:rPr>
        <w:footnoteReference w:id="11"/>
      </w:r>
    </w:p>
    <w:p w:rsidR="00C16C69" w:rsidRDefault="00114D28" w:rsidP="00C16C69">
      <w:pPr>
        <w:spacing w:after="240"/>
        <w:ind w:firstLine="720"/>
        <w:jc w:val="both"/>
      </w:pPr>
      <w:r>
        <w:t>Commission s</w:t>
      </w:r>
      <w:r w:rsidR="00C16C69" w:rsidRPr="00C16C69">
        <w:t>taff’</w:t>
      </w:r>
      <w:r w:rsidR="008173C5">
        <w:t>s proposed reserve transfers were</w:t>
      </w:r>
      <w:r w:rsidR="00C16C69" w:rsidRPr="00C16C69">
        <w:t xml:space="preserve"> based on analysis of FPUC’s reserve imbalances and responses </w:t>
      </w:r>
      <w:r w:rsidR="007F6285">
        <w:t>to staff data requests.</w:t>
      </w:r>
      <w:r w:rsidR="00434099">
        <w:t xml:space="preserve"> </w:t>
      </w:r>
      <w:r w:rsidR="007F6285">
        <w:t xml:space="preserve"> Staff was</w:t>
      </w:r>
      <w:r w:rsidR="00C16C69" w:rsidRPr="00C16C69">
        <w:t xml:space="preserve"> in agreement with the </w:t>
      </w:r>
      <w:r w:rsidR="00427F47">
        <w:t>Company</w:t>
      </w:r>
      <w:r w:rsidR="00C16C69" w:rsidRPr="00C16C69">
        <w:t xml:space="preserve"> on all recommended rese</w:t>
      </w:r>
      <w:r>
        <w:t>rve transfers, which are shown i</w:t>
      </w:r>
      <w:r w:rsidR="00C16C69" w:rsidRPr="00C16C69">
        <w:t>n Attachment C.</w:t>
      </w:r>
      <w:r w:rsidR="00C16C69" w:rsidRPr="00C16C69">
        <w:rPr>
          <w:vertAlign w:val="superscript"/>
        </w:rPr>
        <w:footnoteReference w:id="12"/>
      </w:r>
    </w:p>
    <w:p w:rsidR="00114D28" w:rsidRDefault="00114D28" w:rsidP="00C16C69">
      <w:pPr>
        <w:spacing w:after="240"/>
        <w:ind w:firstLine="720"/>
        <w:jc w:val="both"/>
      </w:pPr>
      <w:r>
        <w:t xml:space="preserve">We, therefore, find that </w:t>
      </w:r>
      <w:r w:rsidRPr="00C16C69">
        <w:t>the reserve allocations shown in Attachment C</w:t>
      </w:r>
      <w:r>
        <w:t xml:space="preserve"> shall be approved.  We further find that t</w:t>
      </w:r>
      <w:r w:rsidRPr="00C16C69">
        <w:t xml:space="preserve">hese allocations bring these accounts more in line with their theoretically correct reserve levels.  </w:t>
      </w:r>
    </w:p>
    <w:p w:rsidR="00A25B61" w:rsidRPr="00AC60BC" w:rsidRDefault="00A25B61" w:rsidP="00A25B61">
      <w:pPr>
        <w:spacing w:after="240"/>
        <w:jc w:val="both"/>
        <w:rPr>
          <w:b/>
        </w:rPr>
      </w:pPr>
      <w:r w:rsidRPr="00AC60BC">
        <w:rPr>
          <w:b/>
        </w:rPr>
        <w:t>Implementation Date</w:t>
      </w:r>
    </w:p>
    <w:p w:rsidR="00C16C69" w:rsidRDefault="00C16C69" w:rsidP="00A25B61">
      <w:pPr>
        <w:spacing w:after="240"/>
        <w:ind w:firstLine="720"/>
        <w:jc w:val="both"/>
      </w:pPr>
      <w:r w:rsidRPr="00C16C69">
        <w:t xml:space="preserve">Rule 25-6.0436(6)(b), F.A.C., requires that the data submitted in a depreciation study, including plant and reserve balances or </w:t>
      </w:r>
      <w:r w:rsidR="00427F47">
        <w:t>company</w:t>
      </w:r>
      <w:r w:rsidRPr="00C16C69">
        <w:t xml:space="preserve"> estimates, “shall be brought to the effective </w:t>
      </w:r>
      <w:r w:rsidRPr="00C16C69">
        <w:lastRenderedPageBreak/>
        <w:t xml:space="preserve">date of the proposed rates.”  The supporting data and calculations provided by FPUC match an implementation date of January 1, 2015. </w:t>
      </w:r>
      <w:r w:rsidR="00434099">
        <w:t xml:space="preserve"> </w:t>
      </w:r>
      <w:r w:rsidRPr="00C16C69">
        <w:t xml:space="preserve">Therefore, </w:t>
      </w:r>
      <w:r w:rsidR="00A25B61">
        <w:t>because we have approved the</w:t>
      </w:r>
      <w:r w:rsidRPr="00C16C69">
        <w:t xml:space="preserve"> change</w:t>
      </w:r>
      <w:r w:rsidR="00856717">
        <w:t xml:space="preserve"> to</w:t>
      </w:r>
      <w:r w:rsidRPr="00C16C69">
        <w:t xml:space="preserve"> FPUC’s depreciation rates and amortization schedules, </w:t>
      </w:r>
      <w:r w:rsidR="00A25B61">
        <w:t>this Commission</w:t>
      </w:r>
      <w:r w:rsidRPr="00C16C69">
        <w:t xml:space="preserve"> find</w:t>
      </w:r>
      <w:r w:rsidR="00A25B61">
        <w:t>s</w:t>
      </w:r>
      <w:r w:rsidRPr="00C16C69">
        <w:t xml:space="preserve"> January 1, 2015 as the appropriate date for implementing any new depreciation rates and amortizations for FPUC’s investments </w:t>
      </w:r>
      <w:r w:rsidR="00A25B61">
        <w:t xml:space="preserve">approved in the body of this </w:t>
      </w:r>
      <w:r w:rsidR="00C837EA">
        <w:t>Order</w:t>
      </w:r>
      <w:r w:rsidR="00A25B61">
        <w:t>.</w:t>
      </w:r>
    </w:p>
    <w:p w:rsidR="00A25B61" w:rsidRPr="00AC60BC" w:rsidRDefault="00A25B61" w:rsidP="00A25B61">
      <w:pPr>
        <w:spacing w:after="240"/>
        <w:jc w:val="both"/>
        <w:rPr>
          <w:b/>
        </w:rPr>
      </w:pPr>
      <w:r w:rsidRPr="00AC60BC">
        <w:rPr>
          <w:b/>
          <w:bCs/>
          <w:iCs/>
        </w:rPr>
        <w:t>Amortization of Investment Tax Credits</w:t>
      </w:r>
      <w:r w:rsidR="00BE166C">
        <w:rPr>
          <w:b/>
          <w:bCs/>
          <w:iCs/>
        </w:rPr>
        <w:t xml:space="preserve"> (ITCs)</w:t>
      </w:r>
    </w:p>
    <w:p w:rsidR="00A25B61" w:rsidRPr="00C16C69" w:rsidRDefault="00A25B61" w:rsidP="00A25B61">
      <w:pPr>
        <w:spacing w:after="240"/>
        <w:ind w:firstLine="720"/>
        <w:jc w:val="both"/>
      </w:pPr>
      <w:r>
        <w:t xml:space="preserve">In the body of this </w:t>
      </w:r>
      <w:r w:rsidR="00C837EA">
        <w:t>Order</w:t>
      </w:r>
      <w:r>
        <w:t xml:space="preserve">, this Commission has approved </w:t>
      </w:r>
      <w:r w:rsidRPr="00C16C69">
        <w:t xml:space="preserve">revised depreciation rates for the </w:t>
      </w:r>
      <w:r w:rsidR="00427F47">
        <w:t>Company</w:t>
      </w:r>
      <w:r w:rsidRPr="00C16C69">
        <w:t xml:space="preserve">, to be effective January 1, 2015, which reflect changes to most accounts’ remaining lives to be effective January 1, 2015. </w:t>
      </w:r>
      <w:r w:rsidR="00434099">
        <w:t xml:space="preserve"> </w:t>
      </w:r>
      <w:r w:rsidRPr="00C16C69">
        <w:t>Revising a utility's book depreciation lives generally results in a change in its rate of ITC amortization in order to comply with the normalization requirements of the Internal Revenue Code (IRC or Code) set forth in sections 168(f)(2) and (i)(9),</w:t>
      </w:r>
      <w:r w:rsidRPr="00C16C69">
        <w:rPr>
          <w:vertAlign w:val="superscript"/>
        </w:rPr>
        <w:footnoteReference w:id="13"/>
      </w:r>
      <w:r w:rsidRPr="00C16C69">
        <w:t xml:space="preserve"> IRC section 167(l),</w:t>
      </w:r>
      <w:r w:rsidRPr="00C16C69">
        <w:rPr>
          <w:vertAlign w:val="superscript"/>
        </w:rPr>
        <w:footnoteReference w:id="14"/>
      </w:r>
      <w:r w:rsidRPr="00C16C69">
        <w:t xml:space="preserve"> former IRC Section 46(f),</w:t>
      </w:r>
      <w:r w:rsidRPr="00C16C69">
        <w:rPr>
          <w:vertAlign w:val="superscript"/>
        </w:rPr>
        <w:footnoteReference w:id="15"/>
      </w:r>
      <w:r w:rsidRPr="00C16C69">
        <w:rPr>
          <w:vertAlign w:val="superscript"/>
        </w:rPr>
        <w:t>,</w:t>
      </w:r>
      <w:r w:rsidRPr="00C16C69">
        <w:rPr>
          <w:vertAlign w:val="superscript"/>
        </w:rPr>
        <w:footnoteReference w:id="16"/>
      </w:r>
      <w:r w:rsidRPr="00C16C69">
        <w:t xml:space="preserve"> Federal Tax Regulations under the Code sections,</w:t>
      </w:r>
      <w:r w:rsidRPr="00C16C69">
        <w:rPr>
          <w:vertAlign w:val="superscript"/>
        </w:rPr>
        <w:footnoteReference w:id="17"/>
      </w:r>
      <w:r w:rsidRPr="00C16C69">
        <w:t xml:space="preserve"> and section 203(e) of the Tax Reform Act of 1986 (the Act).</w:t>
      </w:r>
      <w:r w:rsidRPr="00C16C69">
        <w:rPr>
          <w:vertAlign w:val="superscript"/>
        </w:rPr>
        <w:footnoteReference w:id="18"/>
      </w:r>
      <w:r w:rsidRPr="00C16C69">
        <w:t xml:space="preserve"> </w:t>
      </w:r>
    </w:p>
    <w:p w:rsidR="00A25B61" w:rsidRPr="00C16C69" w:rsidRDefault="00856717" w:rsidP="00A25B61">
      <w:pPr>
        <w:spacing w:after="240"/>
        <w:ind w:firstLine="720"/>
        <w:jc w:val="both"/>
      </w:pPr>
      <w:r>
        <w:t>This Commission</w:t>
      </w:r>
      <w:r w:rsidR="00A25B61" w:rsidRPr="00C16C69">
        <w:t xml:space="preserve">, the Internal Revenue Service (IRS), and independent outside auditors look at a company's books and records, and the orders and rules of the jurisdictional regulatory authorities to determine if the books and records are maintained in the appropriate manner. </w:t>
      </w:r>
      <w:r w:rsidR="00434099">
        <w:t xml:space="preserve"> </w:t>
      </w:r>
      <w:r w:rsidR="00A25B61" w:rsidRPr="00C16C69">
        <w:t xml:space="preserve">The books are also reviewed to determine if they are in compliance with the regulatory guidelines in regard to normalization. </w:t>
      </w:r>
    </w:p>
    <w:p w:rsidR="00FB269E" w:rsidRDefault="00A25B61" w:rsidP="00FB269E">
      <w:pPr>
        <w:spacing w:after="240"/>
        <w:ind w:firstLine="720"/>
        <w:jc w:val="both"/>
      </w:pPr>
      <w:r w:rsidRPr="00C16C69">
        <w:t>Former Section 46(f)(6)</w:t>
      </w:r>
      <w:r w:rsidRPr="00C16C69">
        <w:rPr>
          <w:bCs/>
        </w:rPr>
        <w:t xml:space="preserve"> of the Code</w:t>
      </w:r>
      <w:r w:rsidRPr="00C16C69">
        <w:rPr>
          <w:b/>
          <w:bCs/>
        </w:rPr>
        <w:t xml:space="preserve"> </w:t>
      </w:r>
      <w:r w:rsidRPr="00C16C69">
        <w:t>indicated that the amortization of ITC should be determined by the period of time actually used in computing depreciation expense for ratemaking purposes and on the regulated books of the utility.</w:t>
      </w:r>
      <w:r w:rsidRPr="00C16C69">
        <w:rPr>
          <w:vertAlign w:val="superscript"/>
        </w:rPr>
        <w:footnoteReference w:id="19"/>
      </w:r>
      <w:r w:rsidRPr="00C16C69">
        <w:t xml:space="preserve"> </w:t>
      </w:r>
      <w:r w:rsidR="00434099">
        <w:t xml:space="preserve"> </w:t>
      </w:r>
      <w:r w:rsidRPr="00C16C69">
        <w:t xml:space="preserve">Since </w:t>
      </w:r>
      <w:r>
        <w:t>we are finding</w:t>
      </w:r>
      <w:r w:rsidRPr="00C16C69">
        <w:t xml:space="preserve"> </w:t>
      </w:r>
      <w:r>
        <w:t xml:space="preserve">that </w:t>
      </w:r>
      <w:r w:rsidRPr="00C16C69">
        <w:t xml:space="preserve">changes to the </w:t>
      </w:r>
      <w:r w:rsidR="00427F47">
        <w:t>Company</w:t>
      </w:r>
      <w:r w:rsidRPr="00C16C69">
        <w:t>’s remaining lives</w:t>
      </w:r>
      <w:r>
        <w:t xml:space="preserve"> is appropriate</w:t>
      </w:r>
      <w:r w:rsidRPr="00C16C69">
        <w:t>, it is also important to change the amortization of ITCs to avoid violation of the provisions of former IRC section 46 and its underlying Treasury Regulations.</w:t>
      </w:r>
      <w:r w:rsidR="00434099">
        <w:t xml:space="preserve"> </w:t>
      </w:r>
      <w:r w:rsidRPr="00C16C69">
        <w:t xml:space="preserve"> The consequence of an ITC normalization violation is a repayment of unamortized ITC balances to the IRS. </w:t>
      </w:r>
      <w:r w:rsidR="00434099">
        <w:t xml:space="preserve"> </w:t>
      </w:r>
      <w:r w:rsidRPr="00C16C69">
        <w:t>Therefore,</w:t>
      </w:r>
      <w:r w:rsidR="00FB269E">
        <w:t xml:space="preserve"> this Commission finds that the</w:t>
      </w:r>
      <w:r w:rsidR="00FB269E" w:rsidRPr="00C16C69">
        <w:t xml:space="preserve"> current amortiza</w:t>
      </w:r>
      <w:r w:rsidR="00BE166C">
        <w:t>tion of ITCs</w:t>
      </w:r>
      <w:r w:rsidR="00FB269E" w:rsidRPr="00C16C69">
        <w:t xml:space="preserve"> and flow back of excess deferred income taxes (EDITs) </w:t>
      </w:r>
      <w:r w:rsidR="00BE166C">
        <w:t>shall</w:t>
      </w:r>
      <w:r w:rsidR="00FB269E">
        <w:t xml:space="preserve"> </w:t>
      </w:r>
      <w:r w:rsidR="00FB269E" w:rsidRPr="00C16C69">
        <w:t>be revised to reflect the approved depreciation ra</w:t>
      </w:r>
      <w:r w:rsidR="00FB269E">
        <w:t>tes and amortizations schedules.  T</w:t>
      </w:r>
      <w:r>
        <w:t>his Commission</w:t>
      </w:r>
      <w:r w:rsidR="00FB269E">
        <w:t xml:space="preserve"> also</w:t>
      </w:r>
      <w:r>
        <w:t xml:space="preserve"> finds that</w:t>
      </w:r>
      <w:r w:rsidRPr="00C16C69">
        <w:t xml:space="preserve"> the cur</w:t>
      </w:r>
      <w:r w:rsidR="00F76D55">
        <w:t>rent amortization of ITCs shall</w:t>
      </w:r>
      <w:r w:rsidRPr="00C16C69">
        <w:t xml:space="preserve"> be revised to match the actual recovery periods for the related property. </w:t>
      </w:r>
      <w:r w:rsidR="00434099">
        <w:t xml:space="preserve"> </w:t>
      </w:r>
      <w:r w:rsidRPr="00C16C69">
        <w:t>The</w:t>
      </w:r>
      <w:r>
        <w:t xml:space="preserve"> Commission further finds that the</w:t>
      </w:r>
      <w:r w:rsidRPr="00C16C69">
        <w:t xml:space="preserve"> </w:t>
      </w:r>
      <w:r w:rsidR="00427F47">
        <w:t>Company</w:t>
      </w:r>
      <w:r w:rsidR="00BE166C">
        <w:t xml:space="preserve"> shall</w:t>
      </w:r>
      <w:r w:rsidRPr="00C16C69">
        <w:t xml:space="preserve"> file detailed calculations of the revised ITC amortization at the same time it files its earnings </w:t>
      </w:r>
      <w:r w:rsidRPr="00C16C69">
        <w:lastRenderedPageBreak/>
        <w:t>surveillance report covering the period ending December 31, 2015, as specified in Rule 25-6.1352, F.A.C.</w:t>
      </w:r>
    </w:p>
    <w:p w:rsidR="00231205" w:rsidRDefault="00231205" w:rsidP="00FB269E">
      <w:pPr>
        <w:spacing w:after="240"/>
        <w:ind w:firstLine="720"/>
        <w:jc w:val="both"/>
      </w:pPr>
      <w:r>
        <w:t>Based on the foregoing, it is</w:t>
      </w:r>
    </w:p>
    <w:p w:rsidR="00231205" w:rsidRDefault="00231205" w:rsidP="00231205">
      <w:pPr>
        <w:pStyle w:val="OrderBody"/>
      </w:pPr>
      <w:r>
        <w:tab/>
        <w:t>ORDERED by the Florida Public Service Commission that</w:t>
      </w:r>
      <w:r w:rsidR="00856717">
        <w:t xml:space="preserve"> the 2015 Depreciation S</w:t>
      </w:r>
      <w:r w:rsidR="006C2CCC">
        <w:t>tudy by Florida Public Utilities Company is approved as set out in the body of this Order.  It is further</w:t>
      </w:r>
    </w:p>
    <w:p w:rsidR="006C2CCC" w:rsidRDefault="006C2CCC" w:rsidP="00231205">
      <w:pPr>
        <w:pStyle w:val="OrderBody"/>
      </w:pPr>
      <w:r>
        <w:t xml:space="preserve"> </w:t>
      </w:r>
    </w:p>
    <w:p w:rsidR="006C2CCC" w:rsidRDefault="006C2CCC" w:rsidP="00231205">
      <w:pPr>
        <w:pStyle w:val="OrderBody"/>
      </w:pPr>
      <w:r>
        <w:tab/>
        <w:t xml:space="preserve">ORDERED that the implementation date of the new depreciation rates </w:t>
      </w:r>
      <w:r w:rsidR="00856717">
        <w:t xml:space="preserve">and amortizations for Florida Public Utilities Company’s investments </w:t>
      </w:r>
      <w:r>
        <w:t xml:space="preserve">approved in this Order shall be </w:t>
      </w:r>
      <w:r w:rsidRPr="00C16C69">
        <w:t>January 1, 2015</w:t>
      </w:r>
      <w:r>
        <w:t>.  It is further</w:t>
      </w:r>
    </w:p>
    <w:p w:rsidR="00231205" w:rsidRDefault="00231205" w:rsidP="00231205">
      <w:pPr>
        <w:pStyle w:val="OrderBody"/>
      </w:pPr>
    </w:p>
    <w:p w:rsidR="00231205" w:rsidRDefault="00231205" w:rsidP="00231205">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31205" w:rsidRDefault="00231205" w:rsidP="00231205">
      <w:pPr>
        <w:pStyle w:val="OrderBody"/>
      </w:pPr>
    </w:p>
    <w:p w:rsidR="0033556F" w:rsidRDefault="00231205" w:rsidP="0033556F">
      <w:pPr>
        <w:pStyle w:val="OrderBody"/>
      </w:pPr>
      <w:r>
        <w:tab/>
        <w:t>ORDERED that in the event this Order becomes final, this docket shall be closed.</w:t>
      </w:r>
    </w:p>
    <w:p w:rsidR="003D1107" w:rsidRDefault="003D1107" w:rsidP="003D1107">
      <w:pPr>
        <w:pStyle w:val="CenterUnderline"/>
        <w:jc w:val="left"/>
        <w:rPr>
          <w:u w:val="none"/>
        </w:rPr>
      </w:pPr>
    </w:p>
    <w:p w:rsidR="003D1107" w:rsidRDefault="003D1107" w:rsidP="00A217F7">
      <w:pPr>
        <w:pStyle w:val="CenterUnderline"/>
        <w:keepNext/>
        <w:keepLines/>
        <w:jc w:val="both"/>
        <w:rPr>
          <w:u w:val="none"/>
        </w:rPr>
      </w:pPr>
      <w:r>
        <w:rPr>
          <w:u w:val="none"/>
        </w:rPr>
        <w:tab/>
        <w:t xml:space="preserve">By ORDER of the Florida Public Service Commission this </w:t>
      </w:r>
      <w:bookmarkStart w:id="6" w:name="replaceDate"/>
      <w:bookmarkEnd w:id="6"/>
      <w:r w:rsidR="00A217F7">
        <w:t>21st</w:t>
      </w:r>
      <w:r w:rsidR="00A217F7">
        <w:rPr>
          <w:u w:val="none"/>
        </w:rPr>
        <w:t xml:space="preserve"> day of </w:t>
      </w:r>
      <w:r w:rsidR="00A217F7">
        <w:t>December</w:t>
      </w:r>
      <w:r w:rsidR="00A217F7">
        <w:rPr>
          <w:u w:val="none"/>
        </w:rPr>
        <w:t xml:space="preserve">, </w:t>
      </w:r>
      <w:r w:rsidR="00A217F7">
        <w:t>2015</w:t>
      </w:r>
      <w:r w:rsidR="00A217F7">
        <w:rPr>
          <w:u w:val="none"/>
        </w:rPr>
        <w:t>.</w:t>
      </w:r>
    </w:p>
    <w:p w:rsidR="00A217F7" w:rsidRPr="00A217F7" w:rsidRDefault="00A217F7" w:rsidP="00A217F7">
      <w:pPr>
        <w:pStyle w:val="CenterUnderline"/>
        <w:keepNext/>
        <w:keepLines/>
        <w:jc w:val="both"/>
        <w:rPr>
          <w:u w:val="none"/>
        </w:rPr>
      </w:pPr>
    </w:p>
    <w:p w:rsidR="003D1107" w:rsidRDefault="003D1107" w:rsidP="003D1107">
      <w:pPr>
        <w:pStyle w:val="CenterUnderline"/>
        <w:keepNext/>
        <w:keepLines/>
        <w:jc w:val="left"/>
        <w:rPr>
          <w:u w:val="none"/>
        </w:rPr>
      </w:pPr>
    </w:p>
    <w:p w:rsidR="003D1107" w:rsidRDefault="003D1107" w:rsidP="003D1107">
      <w:pPr>
        <w:pStyle w:val="CenterUnderline"/>
        <w:keepNext/>
        <w:keepLines/>
        <w:jc w:val="left"/>
        <w:rPr>
          <w:u w:val="none"/>
        </w:rPr>
      </w:pPr>
    </w:p>
    <w:p w:rsidR="003D1107" w:rsidRDefault="003D1107" w:rsidP="003E6A2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D1107" w:rsidTr="003D1107">
        <w:tc>
          <w:tcPr>
            <w:tcW w:w="720" w:type="dxa"/>
            <w:shd w:val="clear" w:color="auto" w:fill="auto"/>
          </w:tcPr>
          <w:p w:rsidR="003D1107" w:rsidRDefault="003D1107" w:rsidP="003E6A2A">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3D1107" w:rsidRDefault="00A217F7" w:rsidP="003E6A2A">
            <w:pPr>
              <w:pStyle w:val="CenterUnderline"/>
              <w:keepNext/>
              <w:keepLines/>
              <w:jc w:val="both"/>
              <w:rPr>
                <w:u w:val="none"/>
              </w:rPr>
            </w:pPr>
            <w:r>
              <w:rPr>
                <w:u w:val="none"/>
              </w:rPr>
              <w:t>/s/ Carlotta S. Stauffer</w:t>
            </w:r>
            <w:bookmarkStart w:id="8" w:name="_GoBack"/>
            <w:bookmarkEnd w:id="8"/>
          </w:p>
        </w:tc>
      </w:tr>
      <w:bookmarkEnd w:id="7"/>
      <w:tr w:rsidR="003D1107" w:rsidTr="003D1107">
        <w:tc>
          <w:tcPr>
            <w:tcW w:w="720" w:type="dxa"/>
            <w:shd w:val="clear" w:color="auto" w:fill="auto"/>
          </w:tcPr>
          <w:p w:rsidR="003D1107" w:rsidRDefault="003D1107" w:rsidP="003E6A2A">
            <w:pPr>
              <w:pStyle w:val="CenterUnderline"/>
              <w:keepNext/>
              <w:keepLines/>
              <w:jc w:val="both"/>
              <w:rPr>
                <w:u w:val="none"/>
              </w:rPr>
            </w:pPr>
          </w:p>
        </w:tc>
        <w:tc>
          <w:tcPr>
            <w:tcW w:w="4320" w:type="dxa"/>
            <w:tcBorders>
              <w:top w:val="single" w:sz="4" w:space="0" w:color="auto"/>
            </w:tcBorders>
            <w:shd w:val="clear" w:color="auto" w:fill="auto"/>
          </w:tcPr>
          <w:p w:rsidR="003D1107" w:rsidRDefault="003D1107" w:rsidP="003E6A2A">
            <w:pPr>
              <w:pStyle w:val="CenterUnderline"/>
              <w:keepNext/>
              <w:keepLines/>
              <w:jc w:val="both"/>
              <w:rPr>
                <w:u w:val="none"/>
              </w:rPr>
            </w:pPr>
            <w:r>
              <w:rPr>
                <w:u w:val="none"/>
              </w:rPr>
              <w:t>CARLOTTA S. STAUFFER</w:t>
            </w:r>
          </w:p>
          <w:p w:rsidR="003D1107" w:rsidRDefault="003D1107" w:rsidP="003E6A2A">
            <w:pPr>
              <w:pStyle w:val="CenterUnderline"/>
              <w:keepNext/>
              <w:keepLines/>
              <w:jc w:val="both"/>
              <w:rPr>
                <w:u w:val="none"/>
              </w:rPr>
            </w:pPr>
            <w:r>
              <w:rPr>
                <w:u w:val="none"/>
              </w:rPr>
              <w:t>Commission Clerk</w:t>
            </w:r>
          </w:p>
        </w:tc>
      </w:tr>
    </w:tbl>
    <w:p w:rsidR="003D1107" w:rsidRDefault="003D1107" w:rsidP="003E6A2A">
      <w:pPr>
        <w:pStyle w:val="OrderSigInfo"/>
        <w:keepNext/>
        <w:keepLines/>
      </w:pPr>
      <w:r>
        <w:t>Florida Public Service Commission</w:t>
      </w:r>
    </w:p>
    <w:p w:rsidR="003D1107" w:rsidRDefault="003D1107" w:rsidP="003E6A2A">
      <w:pPr>
        <w:pStyle w:val="OrderSigInfo"/>
        <w:keepNext/>
        <w:keepLines/>
      </w:pPr>
      <w:r>
        <w:t>2540 Shumard Oak Boulevard</w:t>
      </w:r>
    </w:p>
    <w:p w:rsidR="003D1107" w:rsidRDefault="003D1107" w:rsidP="003E6A2A">
      <w:pPr>
        <w:pStyle w:val="OrderSigInfo"/>
        <w:keepNext/>
        <w:keepLines/>
      </w:pPr>
      <w:r>
        <w:t>Tallahassee, Florida  32399</w:t>
      </w:r>
    </w:p>
    <w:p w:rsidR="003D1107" w:rsidRDefault="003D1107" w:rsidP="003E6A2A">
      <w:pPr>
        <w:pStyle w:val="OrderSigInfo"/>
        <w:keepNext/>
        <w:keepLines/>
      </w:pPr>
      <w:r>
        <w:t>(850) 413</w:t>
      </w:r>
      <w:r>
        <w:noBreakHyphen/>
        <w:t>6770</w:t>
      </w:r>
    </w:p>
    <w:p w:rsidR="003D1107" w:rsidRDefault="003D1107" w:rsidP="003E6A2A">
      <w:pPr>
        <w:pStyle w:val="OrderSigInfo"/>
        <w:keepNext/>
        <w:keepLines/>
      </w:pPr>
      <w:r>
        <w:t>www.floridapsc.com</w:t>
      </w:r>
    </w:p>
    <w:p w:rsidR="003D1107" w:rsidRDefault="003D1107" w:rsidP="003E6A2A">
      <w:pPr>
        <w:pStyle w:val="OrderSigInfo"/>
        <w:keepNext/>
        <w:keepLines/>
      </w:pPr>
    </w:p>
    <w:p w:rsidR="003D1107" w:rsidRDefault="003D1107" w:rsidP="003E6A2A">
      <w:pPr>
        <w:pStyle w:val="OrderSigInfo"/>
        <w:keepNext/>
        <w:keepLines/>
      </w:pPr>
      <w:r>
        <w:t>Copies furnished:  A copy of this document is provided to the parties of record at the time of issuance and, if applicable, interested persons.</w:t>
      </w:r>
    </w:p>
    <w:p w:rsidR="003D1107" w:rsidRDefault="003D1107" w:rsidP="003D1107">
      <w:pPr>
        <w:pStyle w:val="OrderBody"/>
        <w:keepNext/>
        <w:keepLines/>
      </w:pPr>
    </w:p>
    <w:p w:rsidR="003D1107" w:rsidRDefault="003D1107" w:rsidP="003D1107">
      <w:pPr>
        <w:pStyle w:val="CenterUnderline"/>
        <w:keepNext/>
        <w:keepLines/>
        <w:jc w:val="left"/>
        <w:rPr>
          <w:u w:val="none"/>
        </w:rPr>
      </w:pPr>
    </w:p>
    <w:p w:rsidR="003D1107" w:rsidRDefault="003D1107" w:rsidP="003D1107">
      <w:pPr>
        <w:pStyle w:val="CenterUnderline"/>
        <w:keepNext/>
        <w:keepLines/>
        <w:jc w:val="left"/>
      </w:pPr>
      <w:r>
        <w:rPr>
          <w:u w:val="none"/>
        </w:rPr>
        <w:t>MAL</w:t>
      </w:r>
    </w:p>
    <w:p w:rsidR="003D1107" w:rsidRDefault="003D1107" w:rsidP="00231205">
      <w:pPr>
        <w:pStyle w:val="CenterUnderline"/>
      </w:pPr>
    </w:p>
    <w:p w:rsidR="00DC5239" w:rsidRDefault="00DC5239" w:rsidP="00231205">
      <w:pPr>
        <w:pStyle w:val="CenterUnderline"/>
      </w:pPr>
    </w:p>
    <w:p w:rsidR="00DC5239" w:rsidRDefault="00DC5239" w:rsidP="00231205">
      <w:pPr>
        <w:pStyle w:val="CenterUnderline"/>
      </w:pPr>
    </w:p>
    <w:p w:rsidR="00A217F7" w:rsidRDefault="00A217F7" w:rsidP="00231205">
      <w:pPr>
        <w:pStyle w:val="CenterUnderline"/>
      </w:pPr>
    </w:p>
    <w:p w:rsidR="00231205" w:rsidRDefault="00231205" w:rsidP="00231205">
      <w:pPr>
        <w:pStyle w:val="CenterUnderline"/>
      </w:pPr>
      <w:r>
        <w:lastRenderedPageBreak/>
        <w:t>NOTICE OF FURTHER PROCEEDINGS OR JUDICIAL REVIEW</w:t>
      </w:r>
    </w:p>
    <w:p w:rsidR="00231205" w:rsidRDefault="00231205" w:rsidP="00231205">
      <w:pPr>
        <w:pStyle w:val="CenterUnderline"/>
        <w:rPr>
          <w:u w:val="none"/>
        </w:rPr>
      </w:pPr>
    </w:p>
    <w:p w:rsidR="00231205" w:rsidRDefault="00231205" w:rsidP="0023120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31205" w:rsidRDefault="00231205" w:rsidP="00231205">
      <w:pPr>
        <w:pStyle w:val="OrderBody"/>
      </w:pPr>
    </w:p>
    <w:p w:rsidR="00231205" w:rsidRDefault="00231205" w:rsidP="00231205">
      <w:pPr>
        <w:pStyle w:val="OrderBody"/>
      </w:pPr>
      <w:r>
        <w:tab/>
        <w:t>Mediation may be available on a case-by-case basis.  If mediation is conducted, it does not affect a substantially interested person's right to a hearing.</w:t>
      </w:r>
    </w:p>
    <w:p w:rsidR="00231205" w:rsidRDefault="00231205" w:rsidP="00231205">
      <w:pPr>
        <w:pStyle w:val="OrderBody"/>
      </w:pPr>
    </w:p>
    <w:p w:rsidR="00231205" w:rsidRDefault="00231205" w:rsidP="0023120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217F7">
        <w:rPr>
          <w:u w:val="single"/>
        </w:rPr>
        <w:t>January 11, 2016</w:t>
      </w:r>
      <w:r>
        <w:t>.</w:t>
      </w:r>
    </w:p>
    <w:p w:rsidR="00231205" w:rsidRDefault="00231205" w:rsidP="00231205">
      <w:pPr>
        <w:pStyle w:val="OrderBody"/>
      </w:pPr>
    </w:p>
    <w:p w:rsidR="00231205" w:rsidRDefault="00231205" w:rsidP="00231205">
      <w:pPr>
        <w:pStyle w:val="OrderBody"/>
      </w:pPr>
      <w:r>
        <w:tab/>
        <w:t>In the absence of such a petition, this order shall become final and effective upon the issuance of a Consummating Order.</w:t>
      </w:r>
    </w:p>
    <w:p w:rsidR="00231205" w:rsidRDefault="00231205" w:rsidP="00231205">
      <w:pPr>
        <w:pStyle w:val="OrderBody"/>
      </w:pPr>
    </w:p>
    <w:p w:rsidR="00231205" w:rsidRDefault="00231205" w:rsidP="00231205">
      <w:pPr>
        <w:pStyle w:val="OrderBody"/>
      </w:pPr>
      <w:r>
        <w:tab/>
        <w:t>Any objection or protest filed in this/these docket(s) before the issuance date of this order is considered abandoned unless it satisfies the foregoing conditions and is renewed within the specified protest period.</w:t>
      </w:r>
    </w:p>
    <w:p w:rsidR="00231205" w:rsidRDefault="00231205" w:rsidP="00231205">
      <w:pPr>
        <w:pStyle w:val="OrderBody"/>
        <w:sectPr w:rsidR="00231205">
          <w:headerReference w:type="default" r:id="rId8"/>
          <w:footerReference w:type="first" r:id="rId9"/>
          <w:pgSz w:w="12240" w:h="15840" w:code="1"/>
          <w:pgMar w:top="1440" w:right="1440" w:bottom="1440" w:left="1440" w:header="720" w:footer="720" w:gutter="0"/>
          <w:cols w:space="720"/>
          <w:titlePg/>
          <w:docGrid w:linePitch="360"/>
        </w:sectPr>
      </w:pPr>
    </w:p>
    <w:tbl>
      <w:tblPr>
        <w:tblW w:w="11243" w:type="dxa"/>
        <w:jc w:val="center"/>
        <w:tblLook w:val="04A0" w:firstRow="1" w:lastRow="0" w:firstColumn="1" w:lastColumn="0" w:noHBand="0" w:noVBand="1"/>
      </w:tblPr>
      <w:tblGrid>
        <w:gridCol w:w="894"/>
        <w:gridCol w:w="2811"/>
        <w:gridCol w:w="1094"/>
        <w:gridCol w:w="850"/>
        <w:gridCol w:w="1094"/>
        <w:gridCol w:w="272"/>
        <w:gridCol w:w="1094"/>
        <w:gridCol w:w="911"/>
        <w:gridCol w:w="316"/>
        <w:gridCol w:w="863"/>
        <w:gridCol w:w="1094"/>
      </w:tblGrid>
      <w:tr w:rsidR="00231205" w:rsidTr="00231205">
        <w:trPr>
          <w:trHeight w:val="276"/>
          <w:tblHeader/>
          <w:jc w:val="center"/>
        </w:trPr>
        <w:tc>
          <w:tcPr>
            <w:tcW w:w="11243" w:type="dxa"/>
            <w:gridSpan w:val="11"/>
            <w:tcBorders>
              <w:top w:val="nil"/>
              <w:left w:val="nil"/>
              <w:bottom w:val="single" w:sz="8" w:space="0" w:color="auto"/>
              <w:right w:val="nil"/>
            </w:tcBorders>
            <w:shd w:val="clear" w:color="000000" w:fill="FFFFFF"/>
            <w:noWrap/>
            <w:vAlign w:val="bottom"/>
            <w:hideMark/>
          </w:tcPr>
          <w:p w:rsidR="00231205" w:rsidRDefault="00231205" w:rsidP="00231205">
            <w:pPr>
              <w:jc w:val="right"/>
              <w:rPr>
                <w:sz w:val="20"/>
                <w:szCs w:val="20"/>
              </w:rPr>
            </w:pPr>
          </w:p>
        </w:tc>
      </w:tr>
      <w:tr w:rsidR="00231205" w:rsidTr="00231205">
        <w:trPr>
          <w:trHeight w:val="264"/>
          <w:tblHeader/>
          <w:jc w:val="center"/>
        </w:trPr>
        <w:tc>
          <w:tcPr>
            <w:tcW w:w="11243" w:type="dxa"/>
            <w:gridSpan w:val="11"/>
            <w:tcBorders>
              <w:top w:val="single" w:sz="8" w:space="0" w:color="auto"/>
              <w:left w:val="single" w:sz="8" w:space="0" w:color="auto"/>
              <w:bottom w:val="nil"/>
              <w:right w:val="single" w:sz="8" w:space="0" w:color="000000"/>
            </w:tcBorders>
            <w:shd w:val="clear" w:color="000000" w:fill="C0C0C0"/>
            <w:noWrap/>
            <w:vAlign w:val="bottom"/>
            <w:hideMark/>
          </w:tcPr>
          <w:p w:rsidR="00231205" w:rsidRDefault="00231205" w:rsidP="00231205">
            <w:pPr>
              <w:jc w:val="center"/>
              <w:rPr>
                <w:b/>
                <w:bCs/>
                <w:sz w:val="20"/>
                <w:szCs w:val="20"/>
              </w:rPr>
            </w:pPr>
            <w:r>
              <w:rPr>
                <w:b/>
                <w:bCs/>
                <w:sz w:val="20"/>
                <w:szCs w:val="20"/>
              </w:rPr>
              <w:t>Comparison of Rates and Components</w:t>
            </w:r>
          </w:p>
        </w:tc>
      </w:tr>
      <w:tr w:rsidR="00231205" w:rsidTr="00231205">
        <w:trPr>
          <w:trHeight w:val="264"/>
          <w:tblHeader/>
          <w:jc w:val="center"/>
        </w:trPr>
        <w:tc>
          <w:tcPr>
            <w:tcW w:w="894" w:type="dxa"/>
            <w:tcBorders>
              <w:top w:val="nil"/>
              <w:left w:val="single" w:sz="8" w:space="0" w:color="auto"/>
              <w:bottom w:val="nil"/>
              <w:right w:val="nil"/>
            </w:tcBorders>
            <w:shd w:val="clear" w:color="000000" w:fill="C0C0C0"/>
            <w:noWrap/>
            <w:vAlign w:val="bottom"/>
            <w:hideMark/>
          </w:tcPr>
          <w:p w:rsidR="00231205" w:rsidRDefault="00231205" w:rsidP="00231205">
            <w:pPr>
              <w:jc w:val="center"/>
              <w:rPr>
                <w:b/>
                <w:bCs/>
                <w:sz w:val="20"/>
                <w:szCs w:val="20"/>
              </w:rPr>
            </w:pPr>
            <w:r>
              <w:rPr>
                <w:b/>
                <w:bCs/>
                <w:sz w:val="20"/>
                <w:szCs w:val="20"/>
              </w:rPr>
              <w:t> </w:t>
            </w:r>
          </w:p>
        </w:tc>
        <w:tc>
          <w:tcPr>
            <w:tcW w:w="2811"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 </w:t>
            </w:r>
          </w:p>
        </w:tc>
        <w:tc>
          <w:tcPr>
            <w:tcW w:w="3038" w:type="dxa"/>
            <w:gridSpan w:val="3"/>
            <w:tcBorders>
              <w:top w:val="nil"/>
              <w:left w:val="nil"/>
              <w:bottom w:val="nil"/>
              <w:right w:val="nil"/>
            </w:tcBorders>
            <w:shd w:val="clear" w:color="000000" w:fill="C0C0C0"/>
            <w:noWrap/>
            <w:vAlign w:val="bottom"/>
            <w:hideMark/>
          </w:tcPr>
          <w:p w:rsidR="00231205" w:rsidRDefault="00231205" w:rsidP="00231205">
            <w:pPr>
              <w:jc w:val="center"/>
              <w:rPr>
                <w:b/>
                <w:bCs/>
                <w:sz w:val="20"/>
                <w:szCs w:val="20"/>
              </w:rPr>
            </w:pPr>
            <w:r>
              <w:rPr>
                <w:b/>
                <w:bCs/>
                <w:sz w:val="20"/>
                <w:szCs w:val="20"/>
              </w:rPr>
              <w:t>Currently Approved</w:t>
            </w:r>
            <w:r>
              <w:rPr>
                <w:rStyle w:val="FootnoteReference"/>
                <w:b/>
                <w:bCs/>
                <w:sz w:val="20"/>
                <w:szCs w:val="20"/>
              </w:rPr>
              <w:footnoteReference w:id="20"/>
            </w:r>
          </w:p>
        </w:tc>
        <w:tc>
          <w:tcPr>
            <w:tcW w:w="272"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 </w:t>
            </w:r>
          </w:p>
        </w:tc>
        <w:tc>
          <w:tcPr>
            <w:tcW w:w="4228" w:type="dxa"/>
            <w:gridSpan w:val="5"/>
            <w:tcBorders>
              <w:top w:val="nil"/>
              <w:left w:val="nil"/>
              <w:bottom w:val="nil"/>
              <w:right w:val="single" w:sz="8" w:space="0" w:color="000000"/>
            </w:tcBorders>
            <w:shd w:val="clear" w:color="000000" w:fill="C0C0C0"/>
            <w:noWrap/>
            <w:vAlign w:val="bottom"/>
            <w:hideMark/>
          </w:tcPr>
          <w:p w:rsidR="00231205" w:rsidRDefault="001D4F32" w:rsidP="00231205">
            <w:pPr>
              <w:jc w:val="center"/>
              <w:rPr>
                <w:b/>
                <w:bCs/>
                <w:sz w:val="20"/>
                <w:szCs w:val="20"/>
              </w:rPr>
            </w:pPr>
            <w:r>
              <w:rPr>
                <w:b/>
                <w:bCs/>
                <w:sz w:val="20"/>
                <w:szCs w:val="20"/>
              </w:rPr>
              <w:t xml:space="preserve">Commission </w:t>
            </w:r>
            <w:r w:rsidR="006223F7">
              <w:rPr>
                <w:b/>
                <w:bCs/>
                <w:sz w:val="20"/>
                <w:szCs w:val="20"/>
              </w:rPr>
              <w:t>Approved</w:t>
            </w:r>
          </w:p>
        </w:tc>
      </w:tr>
      <w:tr w:rsidR="00231205" w:rsidTr="00231205">
        <w:trPr>
          <w:trHeight w:val="264"/>
          <w:tblHeader/>
          <w:jc w:val="center"/>
        </w:trPr>
        <w:tc>
          <w:tcPr>
            <w:tcW w:w="894" w:type="dxa"/>
            <w:tcBorders>
              <w:top w:val="nil"/>
              <w:left w:val="single" w:sz="8" w:space="0" w:color="auto"/>
              <w:bottom w:val="nil"/>
              <w:right w:val="nil"/>
            </w:tcBorders>
            <w:shd w:val="clear" w:color="000000" w:fill="C0C0C0"/>
            <w:noWrap/>
            <w:vAlign w:val="bottom"/>
            <w:hideMark/>
          </w:tcPr>
          <w:p w:rsidR="00231205" w:rsidRDefault="00231205" w:rsidP="00231205">
            <w:pPr>
              <w:jc w:val="center"/>
              <w:rPr>
                <w:sz w:val="20"/>
                <w:szCs w:val="20"/>
              </w:rPr>
            </w:pPr>
            <w:r>
              <w:rPr>
                <w:sz w:val="20"/>
                <w:szCs w:val="20"/>
              </w:rPr>
              <w:t>Account</w:t>
            </w:r>
          </w:p>
        </w:tc>
        <w:tc>
          <w:tcPr>
            <w:tcW w:w="2811" w:type="dxa"/>
            <w:vMerge w:val="restart"/>
            <w:tcBorders>
              <w:top w:val="nil"/>
              <w:left w:val="nil"/>
              <w:bottom w:val="nil"/>
              <w:right w:val="nil"/>
            </w:tcBorders>
            <w:shd w:val="clear" w:color="000000" w:fill="C0C0C0"/>
            <w:noWrap/>
            <w:vAlign w:val="center"/>
            <w:hideMark/>
          </w:tcPr>
          <w:p w:rsidR="00231205" w:rsidRDefault="00231205" w:rsidP="00231205">
            <w:pPr>
              <w:jc w:val="center"/>
              <w:rPr>
                <w:sz w:val="20"/>
                <w:szCs w:val="20"/>
              </w:rPr>
            </w:pPr>
            <w:r>
              <w:rPr>
                <w:sz w:val="20"/>
                <w:szCs w:val="20"/>
              </w:rPr>
              <w:t>Account Title</w:t>
            </w:r>
          </w:p>
        </w:tc>
        <w:tc>
          <w:tcPr>
            <w:tcW w:w="1094"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 xml:space="preserve">Average </w:t>
            </w:r>
          </w:p>
        </w:tc>
        <w:tc>
          <w:tcPr>
            <w:tcW w:w="850"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Future</w:t>
            </w:r>
          </w:p>
        </w:tc>
        <w:tc>
          <w:tcPr>
            <w:tcW w:w="1094"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p>
        </w:tc>
        <w:tc>
          <w:tcPr>
            <w:tcW w:w="272" w:type="dxa"/>
            <w:tcBorders>
              <w:top w:val="nil"/>
              <w:left w:val="nil"/>
              <w:bottom w:val="nil"/>
              <w:right w:val="nil"/>
            </w:tcBorders>
            <w:shd w:val="clear" w:color="000000" w:fill="C0C0C0"/>
            <w:noWrap/>
            <w:vAlign w:val="bottom"/>
            <w:hideMark/>
          </w:tcPr>
          <w:p w:rsidR="00231205" w:rsidRDefault="00231205" w:rsidP="00231205">
            <w:pPr>
              <w:rPr>
                <w:sz w:val="20"/>
                <w:szCs w:val="20"/>
              </w:rPr>
            </w:pPr>
            <w:r>
              <w:rPr>
                <w:sz w:val="20"/>
                <w:szCs w:val="20"/>
              </w:rPr>
              <w:t> </w:t>
            </w:r>
          </w:p>
        </w:tc>
        <w:tc>
          <w:tcPr>
            <w:tcW w:w="1094"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 xml:space="preserve">Average </w:t>
            </w:r>
          </w:p>
        </w:tc>
        <w:tc>
          <w:tcPr>
            <w:tcW w:w="861"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p>
        </w:tc>
        <w:tc>
          <w:tcPr>
            <w:tcW w:w="316" w:type="dxa"/>
            <w:tcBorders>
              <w:top w:val="nil"/>
              <w:left w:val="nil"/>
              <w:bottom w:val="nil"/>
              <w:right w:val="nil"/>
            </w:tcBorders>
            <w:shd w:val="clear" w:color="000000" w:fill="C0C0C0"/>
            <w:noWrap/>
            <w:vAlign w:val="bottom"/>
            <w:hideMark/>
          </w:tcPr>
          <w:p w:rsidR="00231205" w:rsidRDefault="00231205" w:rsidP="00231205">
            <w:pPr>
              <w:rPr>
                <w:sz w:val="20"/>
                <w:szCs w:val="20"/>
              </w:rPr>
            </w:pPr>
            <w:r>
              <w:rPr>
                <w:sz w:val="20"/>
                <w:szCs w:val="20"/>
              </w:rPr>
              <w:t> </w:t>
            </w:r>
          </w:p>
        </w:tc>
        <w:tc>
          <w:tcPr>
            <w:tcW w:w="863"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Future</w:t>
            </w:r>
          </w:p>
        </w:tc>
        <w:tc>
          <w:tcPr>
            <w:tcW w:w="1094" w:type="dxa"/>
            <w:tcBorders>
              <w:top w:val="nil"/>
              <w:left w:val="nil"/>
              <w:bottom w:val="nil"/>
              <w:right w:val="single" w:sz="8" w:space="0" w:color="auto"/>
            </w:tcBorders>
            <w:shd w:val="clear" w:color="000000" w:fill="C0C0C0"/>
            <w:noWrap/>
            <w:vAlign w:val="bottom"/>
            <w:hideMark/>
          </w:tcPr>
          <w:p w:rsidR="00231205" w:rsidRDefault="00231205" w:rsidP="00231205">
            <w:pPr>
              <w:jc w:val="center"/>
              <w:rPr>
                <w:sz w:val="20"/>
                <w:szCs w:val="20"/>
              </w:rPr>
            </w:pPr>
          </w:p>
        </w:tc>
      </w:tr>
      <w:tr w:rsidR="00231205" w:rsidTr="00231205">
        <w:trPr>
          <w:trHeight w:val="264"/>
          <w:tblHeader/>
          <w:jc w:val="center"/>
        </w:trPr>
        <w:tc>
          <w:tcPr>
            <w:tcW w:w="894" w:type="dxa"/>
            <w:tcBorders>
              <w:top w:val="nil"/>
              <w:left w:val="single" w:sz="8" w:space="0" w:color="auto"/>
              <w:bottom w:val="nil"/>
              <w:right w:val="nil"/>
            </w:tcBorders>
            <w:shd w:val="clear" w:color="000000" w:fill="C0C0C0"/>
            <w:noWrap/>
            <w:vAlign w:val="bottom"/>
            <w:hideMark/>
          </w:tcPr>
          <w:p w:rsidR="00231205" w:rsidRDefault="00231205" w:rsidP="00231205">
            <w:pPr>
              <w:jc w:val="center"/>
              <w:rPr>
                <w:sz w:val="20"/>
                <w:szCs w:val="20"/>
              </w:rPr>
            </w:pPr>
            <w:r>
              <w:rPr>
                <w:sz w:val="20"/>
                <w:szCs w:val="20"/>
              </w:rPr>
              <w:t>Number</w:t>
            </w:r>
          </w:p>
        </w:tc>
        <w:tc>
          <w:tcPr>
            <w:tcW w:w="2811" w:type="dxa"/>
            <w:vMerge/>
            <w:tcBorders>
              <w:top w:val="nil"/>
              <w:left w:val="nil"/>
              <w:bottom w:val="nil"/>
              <w:right w:val="nil"/>
            </w:tcBorders>
            <w:vAlign w:val="center"/>
            <w:hideMark/>
          </w:tcPr>
          <w:p w:rsidR="00231205" w:rsidRDefault="00231205" w:rsidP="00231205">
            <w:pPr>
              <w:rPr>
                <w:sz w:val="20"/>
                <w:szCs w:val="20"/>
              </w:rPr>
            </w:pPr>
          </w:p>
        </w:tc>
        <w:tc>
          <w:tcPr>
            <w:tcW w:w="1094"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Remaining Life</w:t>
            </w:r>
          </w:p>
        </w:tc>
        <w:tc>
          <w:tcPr>
            <w:tcW w:w="850"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Net Salvage</w:t>
            </w:r>
          </w:p>
        </w:tc>
        <w:tc>
          <w:tcPr>
            <w:tcW w:w="1094"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sidRPr="00E007B3">
              <w:rPr>
                <w:sz w:val="20"/>
                <w:szCs w:val="20"/>
              </w:rPr>
              <w:t xml:space="preserve">Remaining </w:t>
            </w:r>
            <w:r>
              <w:rPr>
                <w:sz w:val="20"/>
                <w:szCs w:val="20"/>
              </w:rPr>
              <w:t>Life Rate</w:t>
            </w:r>
          </w:p>
        </w:tc>
        <w:tc>
          <w:tcPr>
            <w:tcW w:w="272" w:type="dxa"/>
            <w:tcBorders>
              <w:top w:val="nil"/>
              <w:left w:val="nil"/>
              <w:bottom w:val="nil"/>
              <w:right w:val="nil"/>
            </w:tcBorders>
            <w:shd w:val="clear" w:color="000000" w:fill="C0C0C0"/>
            <w:noWrap/>
            <w:vAlign w:val="bottom"/>
            <w:hideMark/>
          </w:tcPr>
          <w:p w:rsidR="00231205" w:rsidRDefault="00231205" w:rsidP="00231205">
            <w:pPr>
              <w:rPr>
                <w:sz w:val="20"/>
                <w:szCs w:val="20"/>
              </w:rPr>
            </w:pPr>
            <w:r>
              <w:rPr>
                <w:sz w:val="20"/>
                <w:szCs w:val="20"/>
              </w:rPr>
              <w:t> </w:t>
            </w:r>
          </w:p>
        </w:tc>
        <w:tc>
          <w:tcPr>
            <w:tcW w:w="1094"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Remaining Life</w:t>
            </w:r>
          </w:p>
        </w:tc>
        <w:tc>
          <w:tcPr>
            <w:tcW w:w="861" w:type="dxa"/>
            <w:tcBorders>
              <w:top w:val="nil"/>
              <w:left w:val="nil"/>
              <w:bottom w:val="nil"/>
              <w:right w:val="nil"/>
            </w:tcBorders>
            <w:shd w:val="clear" w:color="000000" w:fill="C0C0C0"/>
            <w:noWrap/>
            <w:vAlign w:val="bottom"/>
            <w:hideMark/>
          </w:tcPr>
          <w:p w:rsidR="00231205" w:rsidRDefault="00231205" w:rsidP="00231205">
            <w:pPr>
              <w:rPr>
                <w:sz w:val="20"/>
                <w:szCs w:val="20"/>
              </w:rPr>
            </w:pPr>
            <w:r>
              <w:rPr>
                <w:sz w:val="20"/>
                <w:szCs w:val="20"/>
              </w:rPr>
              <w:t> </w:t>
            </w:r>
            <w:r w:rsidRPr="00E007B3">
              <w:rPr>
                <w:sz w:val="20"/>
                <w:szCs w:val="20"/>
              </w:rPr>
              <w:t>Reserve</w:t>
            </w:r>
          </w:p>
        </w:tc>
        <w:tc>
          <w:tcPr>
            <w:tcW w:w="316" w:type="dxa"/>
            <w:tcBorders>
              <w:top w:val="nil"/>
              <w:left w:val="nil"/>
              <w:bottom w:val="nil"/>
              <w:right w:val="nil"/>
            </w:tcBorders>
            <w:shd w:val="clear" w:color="000000" w:fill="C0C0C0"/>
            <w:noWrap/>
            <w:vAlign w:val="bottom"/>
            <w:hideMark/>
          </w:tcPr>
          <w:p w:rsidR="00231205" w:rsidRDefault="00231205" w:rsidP="00231205">
            <w:pPr>
              <w:rPr>
                <w:sz w:val="20"/>
                <w:szCs w:val="20"/>
              </w:rPr>
            </w:pPr>
            <w:r>
              <w:rPr>
                <w:sz w:val="20"/>
                <w:szCs w:val="20"/>
              </w:rPr>
              <w:t> </w:t>
            </w:r>
          </w:p>
        </w:tc>
        <w:tc>
          <w:tcPr>
            <w:tcW w:w="863"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Net Salvage</w:t>
            </w:r>
          </w:p>
        </w:tc>
        <w:tc>
          <w:tcPr>
            <w:tcW w:w="1094" w:type="dxa"/>
            <w:tcBorders>
              <w:top w:val="nil"/>
              <w:left w:val="nil"/>
              <w:bottom w:val="nil"/>
              <w:right w:val="single" w:sz="8" w:space="0" w:color="auto"/>
            </w:tcBorders>
            <w:shd w:val="clear" w:color="000000" w:fill="C0C0C0"/>
            <w:noWrap/>
            <w:vAlign w:val="bottom"/>
            <w:hideMark/>
          </w:tcPr>
          <w:p w:rsidR="00231205" w:rsidRDefault="00231205" w:rsidP="00231205">
            <w:pPr>
              <w:jc w:val="center"/>
              <w:rPr>
                <w:sz w:val="20"/>
                <w:szCs w:val="20"/>
              </w:rPr>
            </w:pPr>
            <w:r w:rsidRPr="00E007B3">
              <w:rPr>
                <w:sz w:val="20"/>
                <w:szCs w:val="20"/>
              </w:rPr>
              <w:t xml:space="preserve">Remaining </w:t>
            </w:r>
            <w:r>
              <w:rPr>
                <w:sz w:val="20"/>
                <w:szCs w:val="20"/>
              </w:rPr>
              <w:t>Life Rate</w:t>
            </w:r>
          </w:p>
        </w:tc>
      </w:tr>
      <w:tr w:rsidR="00231205" w:rsidTr="00231205">
        <w:trPr>
          <w:trHeight w:val="276"/>
          <w:tblHeader/>
          <w:jc w:val="center"/>
        </w:trPr>
        <w:tc>
          <w:tcPr>
            <w:tcW w:w="894" w:type="dxa"/>
            <w:tcBorders>
              <w:top w:val="nil"/>
              <w:left w:val="single" w:sz="8" w:space="0" w:color="auto"/>
              <w:bottom w:val="single" w:sz="8" w:space="0" w:color="auto"/>
              <w:right w:val="nil"/>
            </w:tcBorders>
            <w:shd w:val="clear" w:color="000000" w:fill="C0C0C0"/>
            <w:noWrap/>
            <w:vAlign w:val="bottom"/>
            <w:hideMark/>
          </w:tcPr>
          <w:p w:rsidR="00231205" w:rsidRDefault="00231205" w:rsidP="00231205">
            <w:pPr>
              <w:jc w:val="center"/>
              <w:rPr>
                <w:sz w:val="20"/>
                <w:szCs w:val="20"/>
              </w:rPr>
            </w:pPr>
            <w:r>
              <w:rPr>
                <w:sz w:val="20"/>
                <w:szCs w:val="20"/>
              </w:rPr>
              <w:t> </w:t>
            </w:r>
          </w:p>
        </w:tc>
        <w:tc>
          <w:tcPr>
            <w:tcW w:w="2811" w:type="dxa"/>
            <w:tcBorders>
              <w:top w:val="nil"/>
              <w:left w:val="nil"/>
              <w:bottom w:val="single" w:sz="8" w:space="0" w:color="auto"/>
              <w:right w:val="nil"/>
            </w:tcBorders>
            <w:shd w:val="clear" w:color="000000" w:fill="BFBFBF"/>
            <w:noWrap/>
            <w:vAlign w:val="bottom"/>
            <w:hideMark/>
          </w:tcPr>
          <w:p w:rsidR="00231205" w:rsidRDefault="00231205" w:rsidP="00231205">
            <w:pPr>
              <w:rPr>
                <w:sz w:val="20"/>
                <w:szCs w:val="20"/>
              </w:rPr>
            </w:pPr>
            <w:r>
              <w:rPr>
                <w:sz w:val="20"/>
                <w:szCs w:val="20"/>
              </w:rPr>
              <w:t>TRANSMISSION PLANT</w:t>
            </w:r>
          </w:p>
        </w:tc>
        <w:tc>
          <w:tcPr>
            <w:tcW w:w="1094" w:type="dxa"/>
            <w:tcBorders>
              <w:top w:val="nil"/>
              <w:left w:val="nil"/>
              <w:bottom w:val="single" w:sz="8" w:space="0" w:color="auto"/>
              <w:right w:val="nil"/>
            </w:tcBorders>
            <w:shd w:val="clear" w:color="000000" w:fill="C0C0C0"/>
            <w:noWrap/>
            <w:vAlign w:val="bottom"/>
            <w:hideMark/>
          </w:tcPr>
          <w:p w:rsidR="00231205" w:rsidRDefault="00231205" w:rsidP="00231205">
            <w:pPr>
              <w:jc w:val="center"/>
              <w:rPr>
                <w:sz w:val="20"/>
                <w:szCs w:val="20"/>
              </w:rPr>
            </w:pPr>
            <w:r>
              <w:rPr>
                <w:sz w:val="20"/>
                <w:szCs w:val="20"/>
              </w:rPr>
              <w:t>(yrs.)</w:t>
            </w:r>
          </w:p>
        </w:tc>
        <w:tc>
          <w:tcPr>
            <w:tcW w:w="850" w:type="dxa"/>
            <w:tcBorders>
              <w:top w:val="nil"/>
              <w:left w:val="nil"/>
              <w:bottom w:val="single" w:sz="8" w:space="0" w:color="auto"/>
              <w:right w:val="nil"/>
            </w:tcBorders>
            <w:shd w:val="clear" w:color="000000" w:fill="C0C0C0"/>
            <w:noWrap/>
            <w:vAlign w:val="bottom"/>
            <w:hideMark/>
          </w:tcPr>
          <w:p w:rsidR="00231205" w:rsidRDefault="00231205" w:rsidP="00231205">
            <w:pPr>
              <w:jc w:val="center"/>
              <w:rPr>
                <w:sz w:val="20"/>
                <w:szCs w:val="20"/>
              </w:rPr>
            </w:pPr>
            <w:r>
              <w:rPr>
                <w:sz w:val="20"/>
                <w:szCs w:val="20"/>
              </w:rPr>
              <w:t>(%)</w:t>
            </w:r>
          </w:p>
        </w:tc>
        <w:tc>
          <w:tcPr>
            <w:tcW w:w="1094" w:type="dxa"/>
            <w:tcBorders>
              <w:top w:val="nil"/>
              <w:left w:val="nil"/>
              <w:bottom w:val="single" w:sz="8" w:space="0" w:color="auto"/>
              <w:right w:val="nil"/>
            </w:tcBorders>
            <w:shd w:val="clear" w:color="000000" w:fill="C0C0C0"/>
            <w:noWrap/>
            <w:vAlign w:val="bottom"/>
            <w:hideMark/>
          </w:tcPr>
          <w:p w:rsidR="00231205" w:rsidRDefault="00231205" w:rsidP="00231205">
            <w:pPr>
              <w:jc w:val="center"/>
              <w:rPr>
                <w:sz w:val="20"/>
                <w:szCs w:val="20"/>
              </w:rPr>
            </w:pPr>
            <w:r>
              <w:rPr>
                <w:sz w:val="20"/>
                <w:szCs w:val="20"/>
              </w:rPr>
              <w:t>(%)</w:t>
            </w:r>
          </w:p>
        </w:tc>
        <w:tc>
          <w:tcPr>
            <w:tcW w:w="272" w:type="dxa"/>
            <w:tcBorders>
              <w:top w:val="nil"/>
              <w:left w:val="nil"/>
              <w:bottom w:val="single" w:sz="8" w:space="0" w:color="auto"/>
              <w:right w:val="nil"/>
            </w:tcBorders>
            <w:shd w:val="clear" w:color="000000" w:fill="C0C0C0"/>
            <w:noWrap/>
            <w:vAlign w:val="bottom"/>
            <w:hideMark/>
          </w:tcPr>
          <w:p w:rsidR="00231205" w:rsidRDefault="00231205" w:rsidP="00231205">
            <w:pPr>
              <w:rPr>
                <w:sz w:val="20"/>
                <w:szCs w:val="20"/>
              </w:rPr>
            </w:pPr>
            <w:r>
              <w:rPr>
                <w:sz w:val="20"/>
                <w:szCs w:val="20"/>
              </w:rPr>
              <w:t> </w:t>
            </w:r>
          </w:p>
        </w:tc>
        <w:tc>
          <w:tcPr>
            <w:tcW w:w="1094" w:type="dxa"/>
            <w:tcBorders>
              <w:top w:val="nil"/>
              <w:left w:val="nil"/>
              <w:bottom w:val="single" w:sz="8" w:space="0" w:color="auto"/>
              <w:right w:val="nil"/>
            </w:tcBorders>
            <w:shd w:val="clear" w:color="000000" w:fill="C0C0C0"/>
            <w:noWrap/>
            <w:vAlign w:val="bottom"/>
            <w:hideMark/>
          </w:tcPr>
          <w:p w:rsidR="00231205" w:rsidRDefault="00231205" w:rsidP="00231205">
            <w:pPr>
              <w:jc w:val="center"/>
              <w:rPr>
                <w:sz w:val="20"/>
                <w:szCs w:val="20"/>
              </w:rPr>
            </w:pPr>
            <w:r>
              <w:rPr>
                <w:sz w:val="20"/>
                <w:szCs w:val="20"/>
              </w:rPr>
              <w:t>(yrs.)</w:t>
            </w:r>
          </w:p>
        </w:tc>
        <w:tc>
          <w:tcPr>
            <w:tcW w:w="861" w:type="dxa"/>
            <w:tcBorders>
              <w:top w:val="nil"/>
              <w:left w:val="nil"/>
              <w:bottom w:val="single" w:sz="8" w:space="0" w:color="auto"/>
              <w:right w:val="nil"/>
            </w:tcBorders>
            <w:shd w:val="clear" w:color="000000" w:fill="C0C0C0"/>
            <w:noWrap/>
            <w:vAlign w:val="bottom"/>
            <w:hideMark/>
          </w:tcPr>
          <w:p w:rsidR="00231205" w:rsidRDefault="00231205" w:rsidP="00231205">
            <w:pPr>
              <w:jc w:val="center"/>
              <w:rPr>
                <w:sz w:val="20"/>
                <w:szCs w:val="20"/>
              </w:rPr>
            </w:pPr>
            <w:r>
              <w:rPr>
                <w:sz w:val="20"/>
                <w:szCs w:val="20"/>
              </w:rPr>
              <w:t>(%)</w:t>
            </w:r>
          </w:p>
        </w:tc>
        <w:tc>
          <w:tcPr>
            <w:tcW w:w="316" w:type="dxa"/>
            <w:tcBorders>
              <w:top w:val="nil"/>
              <w:left w:val="nil"/>
              <w:bottom w:val="single" w:sz="8" w:space="0" w:color="auto"/>
              <w:right w:val="nil"/>
            </w:tcBorders>
            <w:shd w:val="clear" w:color="000000" w:fill="C0C0C0"/>
            <w:noWrap/>
            <w:vAlign w:val="bottom"/>
            <w:hideMark/>
          </w:tcPr>
          <w:p w:rsidR="00231205" w:rsidRDefault="00231205" w:rsidP="00231205">
            <w:pPr>
              <w:rPr>
                <w:sz w:val="20"/>
                <w:szCs w:val="20"/>
              </w:rPr>
            </w:pPr>
            <w:r>
              <w:rPr>
                <w:sz w:val="20"/>
                <w:szCs w:val="20"/>
              </w:rPr>
              <w:t> </w:t>
            </w:r>
          </w:p>
        </w:tc>
        <w:tc>
          <w:tcPr>
            <w:tcW w:w="863" w:type="dxa"/>
            <w:tcBorders>
              <w:top w:val="nil"/>
              <w:left w:val="nil"/>
              <w:bottom w:val="single" w:sz="8" w:space="0" w:color="auto"/>
              <w:right w:val="nil"/>
            </w:tcBorders>
            <w:shd w:val="clear" w:color="000000" w:fill="C0C0C0"/>
            <w:noWrap/>
            <w:vAlign w:val="bottom"/>
            <w:hideMark/>
          </w:tcPr>
          <w:p w:rsidR="00231205" w:rsidRDefault="00231205" w:rsidP="00231205">
            <w:pPr>
              <w:jc w:val="center"/>
              <w:rPr>
                <w:sz w:val="20"/>
                <w:szCs w:val="20"/>
              </w:rPr>
            </w:pPr>
            <w:r>
              <w:rPr>
                <w:sz w:val="20"/>
                <w:szCs w:val="20"/>
              </w:rPr>
              <w:t>(%)</w:t>
            </w:r>
          </w:p>
        </w:tc>
        <w:tc>
          <w:tcPr>
            <w:tcW w:w="1094" w:type="dxa"/>
            <w:tcBorders>
              <w:top w:val="nil"/>
              <w:left w:val="nil"/>
              <w:bottom w:val="single" w:sz="8" w:space="0" w:color="auto"/>
              <w:right w:val="single" w:sz="8" w:space="0" w:color="auto"/>
            </w:tcBorders>
            <w:shd w:val="clear" w:color="000000" w:fill="C0C0C0"/>
            <w:noWrap/>
            <w:vAlign w:val="bottom"/>
            <w:hideMark/>
          </w:tcPr>
          <w:p w:rsidR="00231205" w:rsidRDefault="00231205" w:rsidP="00231205">
            <w:pPr>
              <w:jc w:val="center"/>
              <w:rPr>
                <w:sz w:val="20"/>
                <w:szCs w:val="20"/>
              </w:rPr>
            </w:pPr>
            <w:r>
              <w:rPr>
                <w:sz w:val="20"/>
                <w:szCs w:val="20"/>
              </w:rPr>
              <w:t>(%)</w:t>
            </w:r>
          </w:p>
        </w:tc>
      </w:tr>
      <w:tr w:rsidR="00231205" w:rsidTr="00231205">
        <w:trPr>
          <w:trHeight w:val="264"/>
          <w:jc w:val="center"/>
        </w:trPr>
        <w:tc>
          <w:tcPr>
            <w:tcW w:w="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350.1</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Land Rights</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25.0</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2.3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26.0</w:t>
            </w:r>
          </w:p>
        </w:tc>
        <w:tc>
          <w:tcPr>
            <w:tcW w:w="86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63.60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1.4</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352</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Structures and Improvements</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29.0</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1.8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50.0</w:t>
            </w:r>
          </w:p>
        </w:tc>
        <w:tc>
          <w:tcPr>
            <w:tcW w:w="86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8.86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1.8</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353</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Station Equipment</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23.0</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10 </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2.4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27.0</w:t>
            </w:r>
          </w:p>
        </w:tc>
        <w:tc>
          <w:tcPr>
            <w:tcW w:w="86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25.30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5 </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2.6</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354</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Towers and Fixtures</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17.6</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(15)</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2.1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14.5</w:t>
            </w:r>
          </w:p>
        </w:tc>
        <w:tc>
          <w:tcPr>
            <w:tcW w:w="86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84.65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(15)</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2.1</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355</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Poles and Fixtures</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19.3</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(30)</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3.4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16.9</w:t>
            </w:r>
          </w:p>
        </w:tc>
        <w:tc>
          <w:tcPr>
            <w:tcW w:w="86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70.82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(40)</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4.1</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355.1</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Poles and Fixtures - Concrete</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40.0</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(30)</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2.9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41.0</w:t>
            </w:r>
          </w:p>
        </w:tc>
        <w:tc>
          <w:tcPr>
            <w:tcW w:w="86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11.10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(30)</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2.9</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356</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Overhead Conductors and Devices</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31.0</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(10)</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2.4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36.0</w:t>
            </w:r>
          </w:p>
        </w:tc>
        <w:tc>
          <w:tcPr>
            <w:tcW w:w="86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29.35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(20)</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2.5</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359</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Roads and Trails</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15.5</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1.5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12.5</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81.03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c>
          <w:tcPr>
            <w:tcW w:w="1094" w:type="dxa"/>
            <w:tcBorders>
              <w:top w:val="single" w:sz="4" w:space="0" w:color="auto"/>
              <w:left w:val="nil"/>
              <w:bottom w:val="single" w:sz="4" w:space="0" w:color="auto"/>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1.5</w:t>
            </w:r>
          </w:p>
        </w:tc>
      </w:tr>
      <w:tr w:rsidR="00231205" w:rsidTr="00231205">
        <w:trPr>
          <w:trHeight w:val="264"/>
          <w:jc w:val="center"/>
        </w:trPr>
        <w:tc>
          <w:tcPr>
            <w:tcW w:w="894" w:type="dxa"/>
            <w:tcBorders>
              <w:top w:val="nil"/>
              <w:left w:val="single" w:sz="8" w:space="0" w:color="auto"/>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2811"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094"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850"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094"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861"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316" w:type="dxa"/>
            <w:tcBorders>
              <w:top w:val="nil"/>
              <w:left w:val="nil"/>
              <w:bottom w:val="nil"/>
              <w:right w:val="nil"/>
            </w:tcBorders>
            <w:shd w:val="clear" w:color="000000" w:fill="BFBFBF"/>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094" w:type="dxa"/>
            <w:tcBorders>
              <w:top w:val="nil"/>
              <w:left w:val="nil"/>
              <w:bottom w:val="nil"/>
              <w:right w:val="single" w:sz="8" w:space="0" w:color="auto"/>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r>
      <w:tr w:rsidR="00231205" w:rsidTr="00231205">
        <w:trPr>
          <w:trHeight w:val="264"/>
          <w:jc w:val="center"/>
        </w:trPr>
        <w:tc>
          <w:tcPr>
            <w:tcW w:w="894" w:type="dxa"/>
            <w:tcBorders>
              <w:top w:val="nil"/>
              <w:left w:val="single" w:sz="8" w:space="0" w:color="auto"/>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2811"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850"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094"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861"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316" w:type="dxa"/>
            <w:tcBorders>
              <w:top w:val="nil"/>
              <w:left w:val="nil"/>
              <w:bottom w:val="nil"/>
              <w:right w:val="nil"/>
            </w:tcBorders>
            <w:shd w:val="clear" w:color="000000" w:fill="BFBFBF"/>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094" w:type="dxa"/>
            <w:tcBorders>
              <w:top w:val="nil"/>
              <w:left w:val="nil"/>
              <w:bottom w:val="nil"/>
              <w:right w:val="single" w:sz="8" w:space="0" w:color="auto"/>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r>
      <w:tr w:rsidR="00231205" w:rsidTr="00231205">
        <w:trPr>
          <w:trHeight w:val="264"/>
          <w:jc w:val="center"/>
        </w:trPr>
        <w:tc>
          <w:tcPr>
            <w:tcW w:w="894" w:type="dxa"/>
            <w:tcBorders>
              <w:top w:val="nil"/>
              <w:left w:val="single" w:sz="8" w:space="0" w:color="auto"/>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2811"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DISTRIBUTION PLANT</w:t>
            </w:r>
          </w:p>
        </w:tc>
        <w:tc>
          <w:tcPr>
            <w:tcW w:w="1094"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850"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094"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861"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316" w:type="dxa"/>
            <w:tcBorders>
              <w:top w:val="nil"/>
              <w:left w:val="nil"/>
              <w:bottom w:val="nil"/>
              <w:right w:val="nil"/>
            </w:tcBorders>
            <w:shd w:val="clear" w:color="000000" w:fill="BFBFBF"/>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094" w:type="dxa"/>
            <w:tcBorders>
              <w:top w:val="nil"/>
              <w:left w:val="nil"/>
              <w:bottom w:val="nil"/>
              <w:right w:val="single" w:sz="8" w:space="0" w:color="auto"/>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r>
      <w:tr w:rsidR="00231205" w:rsidTr="00231205">
        <w:trPr>
          <w:trHeight w:val="264"/>
          <w:jc w:val="center"/>
        </w:trPr>
        <w:tc>
          <w:tcPr>
            <w:tcW w:w="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360.1</w:t>
            </w:r>
          </w:p>
        </w:tc>
        <w:tc>
          <w:tcPr>
            <w:tcW w:w="2811"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Land Rights</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1.8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31.0</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51.83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c>
          <w:tcPr>
            <w:tcW w:w="1094" w:type="dxa"/>
            <w:tcBorders>
              <w:top w:val="single" w:sz="4" w:space="0" w:color="auto"/>
              <w:left w:val="nil"/>
              <w:bottom w:val="single" w:sz="4" w:space="0" w:color="auto"/>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1.6</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361</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Structures and Improvements</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46.0</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(5)</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1.9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47.0</w:t>
            </w:r>
          </w:p>
        </w:tc>
        <w:tc>
          <w:tcPr>
            <w:tcW w:w="86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23.65 </w:t>
            </w:r>
          </w:p>
        </w:tc>
        <w:tc>
          <w:tcPr>
            <w:tcW w:w="316"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(5)</w:t>
            </w:r>
          </w:p>
        </w:tc>
        <w:tc>
          <w:tcPr>
            <w:tcW w:w="1094" w:type="dxa"/>
            <w:tcBorders>
              <w:top w:val="nil"/>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1.7</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362</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Station Equipment</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30.0</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(10)</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2.8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34.0</w:t>
            </w:r>
          </w:p>
        </w:tc>
        <w:tc>
          <w:tcPr>
            <w:tcW w:w="86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28.40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(10)</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2.4</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364</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Poles, Towers, and Fixtures</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23.0</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(45)</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4.1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24.0</w:t>
            </w:r>
          </w:p>
        </w:tc>
        <w:tc>
          <w:tcPr>
            <w:tcW w:w="86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50.28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(45)</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3.9</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365</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Overhead Conductors &amp; Devices</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17.2</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(35)</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4.1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21.0</w:t>
            </w:r>
          </w:p>
        </w:tc>
        <w:tc>
          <w:tcPr>
            <w:tcW w:w="86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63.60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(35)</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3.4</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366</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Underground Conduit</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49.0</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1.6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50.0</w:t>
            </w:r>
          </w:p>
        </w:tc>
        <w:tc>
          <w:tcPr>
            <w:tcW w:w="86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15.00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(5)</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1.8</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367</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Underground Conductors &amp; Devices</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23.0</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2.9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23.0</w:t>
            </w:r>
          </w:p>
        </w:tc>
        <w:tc>
          <w:tcPr>
            <w:tcW w:w="86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32.11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(5)</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3.2</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368</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Line Transformers</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12.0</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(20)</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4.3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12.4</w:t>
            </w:r>
          </w:p>
        </w:tc>
        <w:tc>
          <w:tcPr>
            <w:tcW w:w="86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70.40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(20)</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4.0</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369</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Services</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20.0</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(35)</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4.0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19.9</w:t>
            </w:r>
          </w:p>
        </w:tc>
        <w:tc>
          <w:tcPr>
            <w:tcW w:w="86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63.36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(35)</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3.6</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370</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Meters</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13.2</w:t>
            </w:r>
          </w:p>
        </w:tc>
        <w:tc>
          <w:tcPr>
            <w:tcW w:w="850"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(5)</w:t>
            </w:r>
          </w:p>
        </w:tc>
        <w:tc>
          <w:tcPr>
            <w:tcW w:w="1094"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3.7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11.9</w:t>
            </w:r>
          </w:p>
        </w:tc>
        <w:tc>
          <w:tcPr>
            <w:tcW w:w="86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65.97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(10)</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3.7</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371</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Installation on Customers' Premises</w:t>
            </w:r>
          </w:p>
        </w:tc>
        <w:tc>
          <w:tcPr>
            <w:tcW w:w="1094"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7.2</w:t>
            </w:r>
          </w:p>
        </w:tc>
        <w:tc>
          <w:tcPr>
            <w:tcW w:w="850"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15 </w:t>
            </w:r>
          </w:p>
        </w:tc>
        <w:tc>
          <w:tcPr>
            <w:tcW w:w="1094"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5.7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9.6</w:t>
            </w:r>
          </w:p>
        </w:tc>
        <w:tc>
          <w:tcPr>
            <w:tcW w:w="86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46.80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10 </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4.5</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373</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Street Lighting &amp; Signal Systems</w:t>
            </w:r>
          </w:p>
        </w:tc>
        <w:tc>
          <w:tcPr>
            <w:tcW w:w="1094"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8.9</w:t>
            </w:r>
          </w:p>
        </w:tc>
        <w:tc>
          <w:tcPr>
            <w:tcW w:w="850"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(10)</w:t>
            </w:r>
          </w:p>
        </w:tc>
        <w:tc>
          <w:tcPr>
            <w:tcW w:w="1094"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5.0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7.6</w:t>
            </w:r>
          </w:p>
        </w:tc>
        <w:tc>
          <w:tcPr>
            <w:tcW w:w="86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72.94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(10)</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4.9</w:t>
            </w:r>
          </w:p>
        </w:tc>
      </w:tr>
      <w:tr w:rsidR="00231205" w:rsidTr="00231205">
        <w:trPr>
          <w:trHeight w:val="264"/>
          <w:jc w:val="center"/>
        </w:trPr>
        <w:tc>
          <w:tcPr>
            <w:tcW w:w="894" w:type="dxa"/>
            <w:tcBorders>
              <w:top w:val="nil"/>
              <w:left w:val="single" w:sz="8" w:space="0" w:color="auto"/>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2811"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094" w:type="dxa"/>
            <w:tcBorders>
              <w:top w:val="single" w:sz="4" w:space="0" w:color="auto"/>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850" w:type="dxa"/>
            <w:tcBorders>
              <w:top w:val="single" w:sz="4" w:space="0" w:color="auto"/>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861"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316" w:type="dxa"/>
            <w:tcBorders>
              <w:top w:val="single" w:sz="4" w:space="0" w:color="auto"/>
              <w:left w:val="nil"/>
              <w:bottom w:val="nil"/>
              <w:right w:val="nil"/>
            </w:tcBorders>
            <w:shd w:val="clear" w:color="000000" w:fill="BFBFBF"/>
            <w:noWrap/>
            <w:vAlign w:val="bottom"/>
            <w:hideMark/>
          </w:tcPr>
          <w:p w:rsidR="00231205" w:rsidRPr="00997CA5" w:rsidRDefault="00231205" w:rsidP="00231205">
            <w:pPr>
              <w:jc w:val="center"/>
              <w:rPr>
                <w:rFonts w:ascii="Arial" w:hAnsi="Arial" w:cs="Arial"/>
                <w:sz w:val="20"/>
                <w:szCs w:val="20"/>
              </w:rPr>
            </w:pPr>
            <w:r w:rsidRPr="00997CA5">
              <w:rPr>
                <w:rFonts w:ascii="Arial" w:hAnsi="Arial" w:cs="Arial"/>
                <w:sz w:val="20"/>
                <w:szCs w:val="20"/>
              </w:rPr>
              <w:t> </w:t>
            </w:r>
          </w:p>
        </w:tc>
        <w:tc>
          <w:tcPr>
            <w:tcW w:w="863" w:type="dxa"/>
            <w:tcBorders>
              <w:top w:val="single" w:sz="4" w:space="0" w:color="auto"/>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nil"/>
              <w:bottom w:val="nil"/>
              <w:right w:val="single" w:sz="8" w:space="0" w:color="auto"/>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r>
      <w:tr w:rsidR="00231205" w:rsidTr="00231205">
        <w:trPr>
          <w:trHeight w:val="264"/>
          <w:jc w:val="center"/>
        </w:trPr>
        <w:tc>
          <w:tcPr>
            <w:tcW w:w="894" w:type="dxa"/>
            <w:tcBorders>
              <w:top w:val="nil"/>
              <w:left w:val="single" w:sz="8" w:space="0" w:color="auto"/>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2811"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xml:space="preserve"> </w:t>
            </w:r>
          </w:p>
        </w:tc>
        <w:tc>
          <w:tcPr>
            <w:tcW w:w="1094"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850"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861"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316" w:type="dxa"/>
            <w:tcBorders>
              <w:top w:val="nil"/>
              <w:left w:val="nil"/>
              <w:bottom w:val="nil"/>
              <w:right w:val="nil"/>
            </w:tcBorders>
            <w:shd w:val="clear" w:color="000000" w:fill="BFBFBF"/>
            <w:noWrap/>
            <w:vAlign w:val="bottom"/>
            <w:hideMark/>
          </w:tcPr>
          <w:p w:rsidR="00231205" w:rsidRPr="00997CA5" w:rsidRDefault="00231205" w:rsidP="00231205">
            <w:pPr>
              <w:jc w:val="center"/>
              <w:rPr>
                <w:rFonts w:ascii="Arial" w:hAnsi="Arial" w:cs="Arial"/>
                <w:sz w:val="20"/>
                <w:szCs w:val="20"/>
              </w:rPr>
            </w:pPr>
            <w:r w:rsidRPr="00997CA5">
              <w:rPr>
                <w:rFonts w:ascii="Arial" w:hAnsi="Arial" w:cs="Arial"/>
                <w:sz w:val="20"/>
                <w:szCs w:val="20"/>
              </w:rPr>
              <w:t> </w:t>
            </w:r>
          </w:p>
        </w:tc>
        <w:tc>
          <w:tcPr>
            <w:tcW w:w="863"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nil"/>
              <w:bottom w:val="nil"/>
              <w:right w:val="single" w:sz="8" w:space="0" w:color="auto"/>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r>
      <w:tr w:rsidR="00231205" w:rsidTr="00231205">
        <w:trPr>
          <w:trHeight w:val="264"/>
          <w:jc w:val="center"/>
        </w:trPr>
        <w:tc>
          <w:tcPr>
            <w:tcW w:w="894" w:type="dxa"/>
            <w:tcBorders>
              <w:top w:val="nil"/>
              <w:left w:val="single" w:sz="8" w:space="0" w:color="auto"/>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2811" w:type="dxa"/>
            <w:tcBorders>
              <w:top w:val="nil"/>
              <w:left w:val="nil"/>
              <w:bottom w:val="single" w:sz="4" w:space="0" w:color="auto"/>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GENERAL PLANT</w:t>
            </w:r>
          </w:p>
        </w:tc>
        <w:tc>
          <w:tcPr>
            <w:tcW w:w="1094" w:type="dxa"/>
            <w:tcBorders>
              <w:top w:val="nil"/>
              <w:left w:val="nil"/>
              <w:bottom w:val="single" w:sz="4" w:space="0" w:color="auto"/>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850" w:type="dxa"/>
            <w:tcBorders>
              <w:top w:val="nil"/>
              <w:left w:val="nil"/>
              <w:bottom w:val="single" w:sz="4" w:space="0" w:color="auto"/>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nil"/>
              <w:bottom w:val="single" w:sz="4" w:space="0" w:color="auto"/>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nil"/>
              <w:bottom w:val="single" w:sz="4" w:space="0" w:color="auto"/>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861" w:type="dxa"/>
            <w:tcBorders>
              <w:top w:val="nil"/>
              <w:left w:val="nil"/>
              <w:bottom w:val="single" w:sz="4" w:space="0" w:color="auto"/>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316" w:type="dxa"/>
            <w:tcBorders>
              <w:top w:val="nil"/>
              <w:left w:val="nil"/>
              <w:bottom w:val="single" w:sz="4" w:space="0" w:color="auto"/>
              <w:right w:val="nil"/>
            </w:tcBorders>
            <w:shd w:val="clear" w:color="000000" w:fill="BFBFBF"/>
            <w:noWrap/>
            <w:vAlign w:val="bottom"/>
            <w:hideMark/>
          </w:tcPr>
          <w:p w:rsidR="00231205" w:rsidRPr="00997CA5" w:rsidRDefault="00231205" w:rsidP="00231205">
            <w:pPr>
              <w:jc w:val="center"/>
              <w:rPr>
                <w:rFonts w:ascii="Arial" w:hAnsi="Arial" w:cs="Arial"/>
                <w:sz w:val="20"/>
                <w:szCs w:val="20"/>
              </w:rPr>
            </w:pPr>
            <w:r w:rsidRPr="00997CA5">
              <w:rPr>
                <w:rFonts w:ascii="Arial" w:hAnsi="Arial" w:cs="Arial"/>
                <w:sz w:val="20"/>
                <w:szCs w:val="20"/>
              </w:rPr>
              <w:t> </w:t>
            </w:r>
          </w:p>
        </w:tc>
        <w:tc>
          <w:tcPr>
            <w:tcW w:w="863" w:type="dxa"/>
            <w:tcBorders>
              <w:top w:val="nil"/>
              <w:left w:val="nil"/>
              <w:bottom w:val="single" w:sz="4" w:space="0" w:color="auto"/>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nil"/>
              <w:bottom w:val="single" w:sz="4" w:space="0" w:color="auto"/>
              <w:right w:val="single" w:sz="8" w:space="0" w:color="auto"/>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r>
      <w:tr w:rsidR="00231205" w:rsidTr="00231205">
        <w:trPr>
          <w:trHeight w:val="264"/>
          <w:jc w:val="center"/>
        </w:trPr>
        <w:tc>
          <w:tcPr>
            <w:tcW w:w="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390</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Structures &amp; Improvements</w:t>
            </w:r>
          </w:p>
        </w:tc>
        <w:tc>
          <w:tcPr>
            <w:tcW w:w="1094"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31.0</w:t>
            </w:r>
          </w:p>
        </w:tc>
        <w:tc>
          <w:tcPr>
            <w:tcW w:w="850"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c>
          <w:tcPr>
            <w:tcW w:w="1094"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2.0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41.0</w:t>
            </w:r>
          </w:p>
        </w:tc>
        <w:tc>
          <w:tcPr>
            <w:tcW w:w="861"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16.67 </w:t>
            </w:r>
          </w:p>
        </w:tc>
        <w:tc>
          <w:tcPr>
            <w:tcW w:w="316"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c>
          <w:tcPr>
            <w:tcW w:w="1094" w:type="dxa"/>
            <w:tcBorders>
              <w:top w:val="nil"/>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2.0</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391.0</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Office Furniture &amp; Equipment</w:t>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7-Year Amortization</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7-Year Amortization</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391.1</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Computers &amp; Peripherals</w:t>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31205" w:rsidRPr="00997CA5" w:rsidRDefault="00231205" w:rsidP="00231205">
            <w:pPr>
              <w:jc w:val="center"/>
              <w:rPr>
                <w:sz w:val="20"/>
                <w:szCs w:val="20"/>
              </w:rPr>
            </w:pPr>
            <w:r>
              <w:rPr>
                <w:sz w:val="20"/>
                <w:szCs w:val="20"/>
              </w:rPr>
              <w:t>N/A</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5-Year Amortization</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391.2</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Computer Equipment</w:t>
            </w:r>
            <w:r>
              <w:rPr>
                <w:rStyle w:val="FootnoteReference"/>
                <w:sz w:val="20"/>
                <w:szCs w:val="20"/>
              </w:rPr>
              <w:footnoteReference w:id="21"/>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5-Year Amortization</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5-Year Amortization</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391.3</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Office Furniture &amp; Fixtures</w:t>
            </w:r>
            <w:r>
              <w:rPr>
                <w:rStyle w:val="FootnoteReference"/>
                <w:sz w:val="20"/>
                <w:szCs w:val="20"/>
              </w:rPr>
              <w:footnoteReference w:id="22"/>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7-Year Amortization</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7-Year Amortization</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391.4</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Software</w:t>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5-Year Amortization</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5-Year Amortization</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lastRenderedPageBreak/>
              <w:t>392.1</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Transportation - Cars</w:t>
            </w:r>
          </w:p>
        </w:tc>
        <w:tc>
          <w:tcPr>
            <w:tcW w:w="1094"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0.0</w:t>
            </w:r>
          </w:p>
        </w:tc>
        <w:tc>
          <w:tcPr>
            <w:tcW w:w="850"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15 </w:t>
            </w:r>
          </w:p>
        </w:tc>
        <w:tc>
          <w:tcPr>
            <w:tcW w:w="1094"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12.1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6.0</w:t>
            </w:r>
          </w:p>
        </w:tc>
        <w:tc>
          <w:tcPr>
            <w:tcW w:w="861"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13.41 </w:t>
            </w:r>
          </w:p>
        </w:tc>
        <w:tc>
          <w:tcPr>
            <w:tcW w:w="316"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15 </w:t>
            </w:r>
          </w:p>
        </w:tc>
        <w:tc>
          <w:tcPr>
            <w:tcW w:w="1094" w:type="dxa"/>
            <w:tcBorders>
              <w:top w:val="nil"/>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11.9 </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392.2</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Transportation - Light Trucks &amp; Vans</w:t>
            </w:r>
          </w:p>
        </w:tc>
        <w:tc>
          <w:tcPr>
            <w:tcW w:w="1094"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2.9</w:t>
            </w:r>
          </w:p>
        </w:tc>
        <w:tc>
          <w:tcPr>
            <w:tcW w:w="850"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12 </w:t>
            </w:r>
          </w:p>
        </w:tc>
        <w:tc>
          <w:tcPr>
            <w:tcW w:w="1094"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9.8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4.9</w:t>
            </w:r>
          </w:p>
        </w:tc>
        <w:tc>
          <w:tcPr>
            <w:tcW w:w="86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49.90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12 </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7.8 </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392.3</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Transportation - Heavy Trucks</w:t>
            </w:r>
          </w:p>
        </w:tc>
        <w:tc>
          <w:tcPr>
            <w:tcW w:w="1094"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7.0</w:t>
            </w:r>
          </w:p>
        </w:tc>
        <w:tc>
          <w:tcPr>
            <w:tcW w:w="850"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10 </w:t>
            </w:r>
          </w:p>
        </w:tc>
        <w:tc>
          <w:tcPr>
            <w:tcW w:w="1094"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6.6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6.4</w:t>
            </w:r>
          </w:p>
        </w:tc>
        <w:tc>
          <w:tcPr>
            <w:tcW w:w="86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45.29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10 </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7.0 </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392.4</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Transportation - Trailers</w:t>
            </w:r>
          </w:p>
        </w:tc>
        <w:tc>
          <w:tcPr>
            <w:tcW w:w="1094"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13.9</w:t>
            </w:r>
          </w:p>
        </w:tc>
        <w:tc>
          <w:tcPr>
            <w:tcW w:w="850"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5 </w:t>
            </w:r>
          </w:p>
        </w:tc>
        <w:tc>
          <w:tcPr>
            <w:tcW w:w="1094"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3.8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13.8</w:t>
            </w:r>
          </w:p>
        </w:tc>
        <w:tc>
          <w:tcPr>
            <w:tcW w:w="86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44.38 </w:t>
            </w:r>
          </w:p>
        </w:tc>
        <w:tc>
          <w:tcPr>
            <w:tcW w:w="316"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5 </w:t>
            </w:r>
          </w:p>
        </w:tc>
        <w:tc>
          <w:tcPr>
            <w:tcW w:w="1094"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3.7 </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393</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Stores Equipment</w:t>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7-Year Amortization</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7-Year Amortization</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394</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Tools/Shop Equipment</w:t>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7-Year Amortization</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7-Year Amortization</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395</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Lab Equipment</w:t>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7-Year Amortization</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7-Year Amortization</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396</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Power Operated Equipment</w:t>
            </w:r>
          </w:p>
        </w:tc>
        <w:tc>
          <w:tcPr>
            <w:tcW w:w="1094"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5.5</w:t>
            </w:r>
          </w:p>
        </w:tc>
        <w:tc>
          <w:tcPr>
            <w:tcW w:w="850"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c>
          <w:tcPr>
            <w:tcW w:w="1094"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2.8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8.4</w:t>
            </w:r>
          </w:p>
        </w:tc>
        <w:tc>
          <w:tcPr>
            <w:tcW w:w="861"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63.23 </w:t>
            </w:r>
          </w:p>
        </w:tc>
        <w:tc>
          <w:tcPr>
            <w:tcW w:w="316"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center"/>
              <w:rPr>
                <w:sz w:val="20"/>
                <w:szCs w:val="20"/>
              </w:rPr>
            </w:pPr>
            <w:r w:rsidRPr="00997CA5">
              <w:rPr>
                <w:sz w:val="20"/>
                <w:szCs w:val="20"/>
              </w:rPr>
              <w:t> </w:t>
            </w:r>
          </w:p>
        </w:tc>
        <w:tc>
          <w:tcPr>
            <w:tcW w:w="863"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c>
          <w:tcPr>
            <w:tcW w:w="1094" w:type="dxa"/>
            <w:tcBorders>
              <w:top w:val="nil"/>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4.4 </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397</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Communications Equipment</w:t>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5-Year Amortization</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5-Year Amortization</w:t>
            </w:r>
          </w:p>
        </w:tc>
      </w:tr>
      <w:tr w:rsidR="00231205" w:rsidTr="0023120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397.3</w:t>
            </w:r>
          </w:p>
        </w:tc>
        <w:tc>
          <w:tcPr>
            <w:tcW w:w="28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Communications Equipment Post 98</w:t>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5-Year Amortization</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5-Year Amortization</w:t>
            </w:r>
          </w:p>
        </w:tc>
      </w:tr>
      <w:tr w:rsidR="00231205" w:rsidTr="00231205">
        <w:trPr>
          <w:trHeight w:val="276"/>
          <w:jc w:val="center"/>
        </w:trPr>
        <w:tc>
          <w:tcPr>
            <w:tcW w:w="894" w:type="dxa"/>
            <w:tcBorders>
              <w:top w:val="nil"/>
              <w:left w:val="single" w:sz="8" w:space="0" w:color="auto"/>
              <w:bottom w:val="single" w:sz="8"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398</w:t>
            </w:r>
          </w:p>
        </w:tc>
        <w:tc>
          <w:tcPr>
            <w:tcW w:w="2811" w:type="dxa"/>
            <w:tcBorders>
              <w:top w:val="nil"/>
              <w:left w:val="nil"/>
              <w:bottom w:val="single" w:sz="8" w:space="0" w:color="auto"/>
              <w:right w:val="single" w:sz="4" w:space="0" w:color="auto"/>
            </w:tcBorders>
            <w:shd w:val="clear" w:color="auto" w:fill="auto"/>
            <w:noWrap/>
            <w:vAlign w:val="bottom"/>
            <w:hideMark/>
          </w:tcPr>
          <w:p w:rsidR="00231205" w:rsidRPr="00997CA5" w:rsidRDefault="00231205" w:rsidP="00231205">
            <w:pPr>
              <w:rPr>
                <w:sz w:val="20"/>
                <w:szCs w:val="20"/>
              </w:rPr>
            </w:pPr>
            <w:r w:rsidRPr="00997CA5">
              <w:rPr>
                <w:sz w:val="20"/>
                <w:szCs w:val="20"/>
              </w:rPr>
              <w:t>Miscellaneous Equipment</w:t>
            </w:r>
          </w:p>
        </w:tc>
        <w:tc>
          <w:tcPr>
            <w:tcW w:w="3038" w:type="dxa"/>
            <w:gridSpan w:val="3"/>
            <w:tcBorders>
              <w:top w:val="single" w:sz="4" w:space="0" w:color="auto"/>
              <w:left w:val="nil"/>
              <w:bottom w:val="single" w:sz="8" w:space="0" w:color="auto"/>
              <w:right w:val="single" w:sz="4"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7-Year Amortization</w:t>
            </w:r>
          </w:p>
        </w:tc>
        <w:tc>
          <w:tcPr>
            <w:tcW w:w="272" w:type="dxa"/>
            <w:tcBorders>
              <w:top w:val="nil"/>
              <w:left w:val="nil"/>
              <w:bottom w:val="single" w:sz="8" w:space="0" w:color="auto"/>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231205" w:rsidRPr="00997CA5" w:rsidRDefault="00231205" w:rsidP="00231205">
            <w:pPr>
              <w:jc w:val="center"/>
              <w:rPr>
                <w:sz w:val="20"/>
                <w:szCs w:val="20"/>
              </w:rPr>
            </w:pPr>
            <w:r w:rsidRPr="00997CA5">
              <w:rPr>
                <w:sz w:val="20"/>
                <w:szCs w:val="20"/>
              </w:rPr>
              <w:t>7-Year Amortization</w:t>
            </w:r>
          </w:p>
        </w:tc>
      </w:tr>
      <w:tr w:rsidR="00231205" w:rsidTr="00231205">
        <w:trPr>
          <w:trHeight w:val="348"/>
          <w:jc w:val="center"/>
        </w:trPr>
        <w:tc>
          <w:tcPr>
            <w:tcW w:w="3705" w:type="dxa"/>
            <w:gridSpan w:val="2"/>
            <w:tcBorders>
              <w:top w:val="nil"/>
              <w:left w:val="nil"/>
              <w:bottom w:val="nil"/>
              <w:right w:val="nil"/>
            </w:tcBorders>
            <w:shd w:val="clear" w:color="000000" w:fill="FFFFFF"/>
            <w:noWrap/>
            <w:vAlign w:val="bottom"/>
            <w:hideMark/>
          </w:tcPr>
          <w:p w:rsidR="00231205" w:rsidRDefault="00231205" w:rsidP="00231205">
            <w:pPr>
              <w:rPr>
                <w:sz w:val="20"/>
                <w:szCs w:val="20"/>
              </w:rPr>
            </w:pPr>
            <w:r>
              <w:rPr>
                <w:sz w:val="20"/>
                <w:szCs w:val="20"/>
              </w:rPr>
              <w:t>*Denotes a Reserve Transfer</w:t>
            </w:r>
          </w:p>
        </w:tc>
        <w:tc>
          <w:tcPr>
            <w:tcW w:w="1094" w:type="dxa"/>
            <w:tcBorders>
              <w:top w:val="nil"/>
              <w:left w:val="nil"/>
              <w:bottom w:val="nil"/>
              <w:right w:val="nil"/>
            </w:tcBorders>
            <w:shd w:val="clear" w:color="000000" w:fill="FFFFFF"/>
            <w:noWrap/>
            <w:vAlign w:val="bottom"/>
            <w:hideMark/>
          </w:tcPr>
          <w:p w:rsidR="00231205" w:rsidRDefault="00231205" w:rsidP="00231205">
            <w:pPr>
              <w:rPr>
                <w:rFonts w:ascii="Arial" w:hAnsi="Arial" w:cs="Arial"/>
                <w:sz w:val="20"/>
                <w:szCs w:val="20"/>
              </w:rPr>
            </w:pPr>
            <w:r>
              <w:rPr>
                <w:rFonts w:ascii="Arial" w:hAnsi="Arial" w:cs="Arial"/>
                <w:sz w:val="20"/>
                <w:szCs w:val="20"/>
              </w:rPr>
              <w:t> </w:t>
            </w:r>
          </w:p>
        </w:tc>
        <w:tc>
          <w:tcPr>
            <w:tcW w:w="850" w:type="dxa"/>
            <w:tcBorders>
              <w:top w:val="nil"/>
              <w:left w:val="nil"/>
              <w:bottom w:val="nil"/>
              <w:right w:val="nil"/>
            </w:tcBorders>
            <w:shd w:val="clear" w:color="000000" w:fill="FFFFFF"/>
            <w:noWrap/>
            <w:vAlign w:val="bottom"/>
            <w:hideMark/>
          </w:tcPr>
          <w:p w:rsidR="00231205" w:rsidRDefault="00231205" w:rsidP="00231205">
            <w:pPr>
              <w:rPr>
                <w:rFonts w:ascii="Arial" w:hAnsi="Arial" w:cs="Arial"/>
                <w:sz w:val="20"/>
                <w:szCs w:val="20"/>
              </w:rPr>
            </w:pPr>
            <w:r>
              <w:rPr>
                <w:rFonts w:ascii="Arial" w:hAnsi="Arial" w:cs="Arial"/>
                <w:sz w:val="20"/>
                <w:szCs w:val="20"/>
              </w:rPr>
              <w:t> </w:t>
            </w:r>
          </w:p>
        </w:tc>
        <w:tc>
          <w:tcPr>
            <w:tcW w:w="1094" w:type="dxa"/>
            <w:tcBorders>
              <w:top w:val="nil"/>
              <w:left w:val="nil"/>
              <w:bottom w:val="nil"/>
              <w:right w:val="nil"/>
            </w:tcBorders>
            <w:shd w:val="clear" w:color="000000" w:fill="FFFFFF"/>
            <w:noWrap/>
            <w:vAlign w:val="bottom"/>
            <w:hideMark/>
          </w:tcPr>
          <w:p w:rsidR="00231205" w:rsidRDefault="00231205" w:rsidP="00231205">
            <w:pPr>
              <w:rPr>
                <w:rFonts w:ascii="Arial" w:hAnsi="Arial" w:cs="Arial"/>
                <w:sz w:val="20"/>
                <w:szCs w:val="20"/>
              </w:rPr>
            </w:pPr>
            <w:r>
              <w:rPr>
                <w:rFonts w:ascii="Arial" w:hAnsi="Arial" w:cs="Arial"/>
                <w:sz w:val="20"/>
                <w:szCs w:val="20"/>
              </w:rPr>
              <w:t> </w:t>
            </w:r>
          </w:p>
        </w:tc>
        <w:tc>
          <w:tcPr>
            <w:tcW w:w="272" w:type="dxa"/>
            <w:tcBorders>
              <w:top w:val="nil"/>
              <w:left w:val="nil"/>
              <w:bottom w:val="nil"/>
              <w:right w:val="nil"/>
            </w:tcBorders>
            <w:shd w:val="clear" w:color="000000" w:fill="FFFFFF"/>
            <w:noWrap/>
            <w:vAlign w:val="bottom"/>
            <w:hideMark/>
          </w:tcPr>
          <w:p w:rsidR="00231205" w:rsidRDefault="00231205" w:rsidP="00231205">
            <w:pPr>
              <w:rPr>
                <w:rFonts w:ascii="Arial" w:hAnsi="Arial" w:cs="Arial"/>
                <w:sz w:val="20"/>
                <w:szCs w:val="20"/>
              </w:rPr>
            </w:pPr>
            <w:r>
              <w:rPr>
                <w:rFonts w:ascii="Arial" w:hAnsi="Arial" w:cs="Arial"/>
                <w:sz w:val="20"/>
                <w:szCs w:val="20"/>
              </w:rPr>
              <w:t> </w:t>
            </w:r>
          </w:p>
        </w:tc>
        <w:tc>
          <w:tcPr>
            <w:tcW w:w="1094" w:type="dxa"/>
            <w:tcBorders>
              <w:top w:val="nil"/>
              <w:left w:val="nil"/>
              <w:bottom w:val="nil"/>
              <w:right w:val="nil"/>
            </w:tcBorders>
            <w:shd w:val="clear" w:color="000000" w:fill="FFFFFF"/>
            <w:noWrap/>
            <w:vAlign w:val="bottom"/>
            <w:hideMark/>
          </w:tcPr>
          <w:p w:rsidR="00231205" w:rsidRDefault="00231205" w:rsidP="00231205">
            <w:pPr>
              <w:rPr>
                <w:rFonts w:ascii="Arial" w:hAnsi="Arial" w:cs="Arial"/>
                <w:sz w:val="20"/>
                <w:szCs w:val="20"/>
              </w:rPr>
            </w:pPr>
            <w:r>
              <w:rPr>
                <w:rFonts w:ascii="Arial" w:hAnsi="Arial" w:cs="Arial"/>
                <w:sz w:val="20"/>
                <w:szCs w:val="20"/>
              </w:rPr>
              <w:t> </w:t>
            </w:r>
          </w:p>
        </w:tc>
        <w:tc>
          <w:tcPr>
            <w:tcW w:w="861" w:type="dxa"/>
            <w:tcBorders>
              <w:top w:val="nil"/>
              <w:left w:val="nil"/>
              <w:bottom w:val="nil"/>
              <w:right w:val="nil"/>
            </w:tcBorders>
            <w:shd w:val="clear" w:color="000000" w:fill="FFFFFF"/>
            <w:noWrap/>
            <w:vAlign w:val="bottom"/>
            <w:hideMark/>
          </w:tcPr>
          <w:p w:rsidR="00231205" w:rsidRDefault="00231205" w:rsidP="00231205">
            <w:pPr>
              <w:rPr>
                <w:rFonts w:ascii="Arial" w:hAnsi="Arial" w:cs="Arial"/>
                <w:sz w:val="20"/>
                <w:szCs w:val="20"/>
              </w:rPr>
            </w:pPr>
            <w:r>
              <w:rPr>
                <w:rFonts w:ascii="Arial" w:hAnsi="Arial" w:cs="Arial"/>
                <w:sz w:val="20"/>
                <w:szCs w:val="20"/>
              </w:rPr>
              <w:t> </w:t>
            </w:r>
          </w:p>
        </w:tc>
        <w:tc>
          <w:tcPr>
            <w:tcW w:w="316" w:type="dxa"/>
            <w:tcBorders>
              <w:top w:val="nil"/>
              <w:left w:val="nil"/>
              <w:bottom w:val="nil"/>
              <w:right w:val="nil"/>
            </w:tcBorders>
            <w:shd w:val="clear" w:color="000000" w:fill="FFFFFF"/>
            <w:noWrap/>
            <w:vAlign w:val="bottom"/>
            <w:hideMark/>
          </w:tcPr>
          <w:p w:rsidR="00231205" w:rsidRDefault="00231205" w:rsidP="00231205">
            <w:pPr>
              <w:rPr>
                <w:rFonts w:ascii="Arial" w:hAnsi="Arial" w:cs="Arial"/>
                <w:sz w:val="20"/>
                <w:szCs w:val="20"/>
              </w:rPr>
            </w:pPr>
            <w:r>
              <w:rPr>
                <w:rFonts w:ascii="Arial" w:hAnsi="Arial" w:cs="Arial"/>
                <w:sz w:val="20"/>
                <w:szCs w:val="20"/>
              </w:rPr>
              <w:t> </w:t>
            </w:r>
          </w:p>
        </w:tc>
        <w:tc>
          <w:tcPr>
            <w:tcW w:w="863" w:type="dxa"/>
            <w:tcBorders>
              <w:top w:val="nil"/>
              <w:left w:val="nil"/>
              <w:bottom w:val="nil"/>
              <w:right w:val="nil"/>
            </w:tcBorders>
            <w:shd w:val="clear" w:color="000000" w:fill="FFFFFF"/>
            <w:noWrap/>
            <w:vAlign w:val="bottom"/>
            <w:hideMark/>
          </w:tcPr>
          <w:p w:rsidR="00231205" w:rsidRDefault="00231205" w:rsidP="00231205">
            <w:pPr>
              <w:rPr>
                <w:rFonts w:ascii="Arial" w:hAnsi="Arial" w:cs="Arial"/>
                <w:sz w:val="20"/>
                <w:szCs w:val="20"/>
              </w:rPr>
            </w:pPr>
            <w:r>
              <w:rPr>
                <w:rFonts w:ascii="Arial" w:hAnsi="Arial" w:cs="Arial"/>
                <w:sz w:val="20"/>
                <w:szCs w:val="20"/>
              </w:rPr>
              <w:t> </w:t>
            </w:r>
          </w:p>
        </w:tc>
        <w:tc>
          <w:tcPr>
            <w:tcW w:w="1094" w:type="dxa"/>
            <w:tcBorders>
              <w:top w:val="nil"/>
              <w:left w:val="nil"/>
              <w:bottom w:val="nil"/>
              <w:right w:val="nil"/>
            </w:tcBorders>
            <w:shd w:val="clear" w:color="000000" w:fill="FFFFFF"/>
            <w:noWrap/>
            <w:vAlign w:val="bottom"/>
            <w:hideMark/>
          </w:tcPr>
          <w:p w:rsidR="00231205" w:rsidRDefault="00231205" w:rsidP="00231205">
            <w:pPr>
              <w:rPr>
                <w:rFonts w:ascii="Arial" w:hAnsi="Arial" w:cs="Arial"/>
                <w:sz w:val="20"/>
                <w:szCs w:val="20"/>
              </w:rPr>
            </w:pPr>
            <w:r>
              <w:rPr>
                <w:rFonts w:ascii="Arial" w:hAnsi="Arial" w:cs="Arial"/>
                <w:sz w:val="20"/>
                <w:szCs w:val="20"/>
              </w:rPr>
              <w:t> </w:t>
            </w:r>
          </w:p>
        </w:tc>
      </w:tr>
    </w:tbl>
    <w:p w:rsidR="00231205" w:rsidRDefault="00231205" w:rsidP="00231205">
      <w:pPr>
        <w:pStyle w:val="OrderBody"/>
        <w:sectPr w:rsidR="00231205" w:rsidSect="00231205">
          <w:headerReference w:type="default" r:id="rId10"/>
          <w:pgSz w:w="12240" w:h="15840" w:code="1"/>
          <w:pgMar w:top="1440" w:right="1440" w:bottom="1440" w:left="1440" w:header="720" w:footer="720" w:gutter="0"/>
          <w:cols w:space="720"/>
          <w:docGrid w:linePitch="360"/>
        </w:sectPr>
      </w:pPr>
    </w:p>
    <w:tbl>
      <w:tblPr>
        <w:tblW w:w="10294" w:type="dxa"/>
        <w:jc w:val="center"/>
        <w:tblLook w:val="04A0" w:firstRow="1" w:lastRow="0" w:firstColumn="1" w:lastColumn="0" w:noHBand="0" w:noVBand="1"/>
      </w:tblPr>
      <w:tblGrid>
        <w:gridCol w:w="894"/>
        <w:gridCol w:w="3477"/>
        <w:gridCol w:w="1249"/>
        <w:gridCol w:w="1111"/>
        <w:gridCol w:w="272"/>
        <w:gridCol w:w="1249"/>
        <w:gridCol w:w="1111"/>
        <w:gridCol w:w="1000"/>
      </w:tblGrid>
      <w:tr w:rsidR="00231205" w:rsidTr="00231205">
        <w:trPr>
          <w:trHeight w:val="276"/>
          <w:jc w:val="center"/>
        </w:trPr>
        <w:tc>
          <w:tcPr>
            <w:tcW w:w="10294" w:type="dxa"/>
            <w:gridSpan w:val="8"/>
            <w:tcBorders>
              <w:top w:val="nil"/>
              <w:left w:val="nil"/>
              <w:bottom w:val="single" w:sz="8" w:space="0" w:color="auto"/>
              <w:right w:val="nil"/>
            </w:tcBorders>
            <w:shd w:val="clear" w:color="000000" w:fill="FFFFFF"/>
            <w:noWrap/>
            <w:vAlign w:val="bottom"/>
            <w:hideMark/>
          </w:tcPr>
          <w:p w:rsidR="00231205" w:rsidRDefault="00231205" w:rsidP="00231205">
            <w:pPr>
              <w:jc w:val="right"/>
              <w:rPr>
                <w:sz w:val="20"/>
                <w:szCs w:val="20"/>
              </w:rPr>
            </w:pPr>
          </w:p>
        </w:tc>
      </w:tr>
      <w:tr w:rsidR="00231205" w:rsidTr="00231205">
        <w:trPr>
          <w:trHeight w:val="264"/>
          <w:jc w:val="center"/>
        </w:trPr>
        <w:tc>
          <w:tcPr>
            <w:tcW w:w="10294" w:type="dxa"/>
            <w:gridSpan w:val="8"/>
            <w:tcBorders>
              <w:top w:val="single" w:sz="8" w:space="0" w:color="auto"/>
              <w:left w:val="single" w:sz="8" w:space="0" w:color="auto"/>
              <w:bottom w:val="nil"/>
              <w:right w:val="single" w:sz="8" w:space="0" w:color="000000"/>
            </w:tcBorders>
            <w:shd w:val="clear" w:color="000000" w:fill="C0C0C0"/>
            <w:noWrap/>
            <w:vAlign w:val="bottom"/>
            <w:hideMark/>
          </w:tcPr>
          <w:p w:rsidR="00231205" w:rsidRDefault="00231205" w:rsidP="00231205">
            <w:pPr>
              <w:jc w:val="center"/>
              <w:rPr>
                <w:b/>
                <w:bCs/>
                <w:sz w:val="20"/>
                <w:szCs w:val="20"/>
              </w:rPr>
            </w:pPr>
            <w:r>
              <w:rPr>
                <w:b/>
                <w:bCs/>
                <w:sz w:val="20"/>
                <w:szCs w:val="20"/>
              </w:rPr>
              <w:t>Comparison of Expenses</w:t>
            </w:r>
          </w:p>
        </w:tc>
      </w:tr>
      <w:tr w:rsidR="00231205" w:rsidTr="00231205">
        <w:trPr>
          <w:trHeight w:val="264"/>
          <w:jc w:val="center"/>
        </w:trPr>
        <w:tc>
          <w:tcPr>
            <w:tcW w:w="825" w:type="dxa"/>
            <w:tcBorders>
              <w:top w:val="nil"/>
              <w:left w:val="single" w:sz="8" w:space="0" w:color="auto"/>
              <w:bottom w:val="nil"/>
              <w:right w:val="nil"/>
            </w:tcBorders>
            <w:shd w:val="clear" w:color="000000" w:fill="C0C0C0"/>
            <w:noWrap/>
            <w:vAlign w:val="bottom"/>
            <w:hideMark/>
          </w:tcPr>
          <w:p w:rsidR="00231205" w:rsidRDefault="00231205" w:rsidP="00231205">
            <w:pPr>
              <w:jc w:val="center"/>
              <w:rPr>
                <w:b/>
                <w:bCs/>
                <w:sz w:val="20"/>
                <w:szCs w:val="20"/>
              </w:rPr>
            </w:pPr>
            <w:r>
              <w:rPr>
                <w:b/>
                <w:bCs/>
                <w:sz w:val="20"/>
                <w:szCs w:val="20"/>
              </w:rPr>
              <w:t> </w:t>
            </w:r>
          </w:p>
        </w:tc>
        <w:tc>
          <w:tcPr>
            <w:tcW w:w="3477"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 </w:t>
            </w:r>
          </w:p>
        </w:tc>
        <w:tc>
          <w:tcPr>
            <w:tcW w:w="2360" w:type="dxa"/>
            <w:gridSpan w:val="2"/>
            <w:tcBorders>
              <w:top w:val="nil"/>
              <w:left w:val="nil"/>
              <w:bottom w:val="nil"/>
              <w:right w:val="nil"/>
            </w:tcBorders>
            <w:shd w:val="clear" w:color="000000" w:fill="C0C0C0"/>
            <w:noWrap/>
            <w:vAlign w:val="bottom"/>
            <w:hideMark/>
          </w:tcPr>
          <w:p w:rsidR="00231205" w:rsidRDefault="00231205" w:rsidP="00231205">
            <w:pPr>
              <w:jc w:val="center"/>
              <w:rPr>
                <w:b/>
                <w:bCs/>
                <w:sz w:val="20"/>
                <w:szCs w:val="20"/>
              </w:rPr>
            </w:pPr>
            <w:r>
              <w:rPr>
                <w:b/>
                <w:bCs/>
                <w:sz w:val="20"/>
                <w:szCs w:val="20"/>
              </w:rPr>
              <w:t>Current</w:t>
            </w:r>
            <w:r>
              <w:rPr>
                <w:rStyle w:val="FootnoteReference"/>
                <w:b/>
                <w:bCs/>
                <w:sz w:val="20"/>
                <w:szCs w:val="20"/>
              </w:rPr>
              <w:footnoteReference w:id="23"/>
            </w:r>
          </w:p>
        </w:tc>
        <w:tc>
          <w:tcPr>
            <w:tcW w:w="272"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 </w:t>
            </w:r>
          </w:p>
        </w:tc>
        <w:tc>
          <w:tcPr>
            <w:tcW w:w="3360" w:type="dxa"/>
            <w:gridSpan w:val="3"/>
            <w:tcBorders>
              <w:top w:val="nil"/>
              <w:left w:val="nil"/>
              <w:bottom w:val="nil"/>
              <w:right w:val="single" w:sz="8" w:space="0" w:color="000000"/>
            </w:tcBorders>
            <w:shd w:val="clear" w:color="000000" w:fill="C0C0C0"/>
            <w:noWrap/>
            <w:vAlign w:val="bottom"/>
            <w:hideMark/>
          </w:tcPr>
          <w:p w:rsidR="00231205" w:rsidRDefault="001D4F32" w:rsidP="00231205">
            <w:pPr>
              <w:jc w:val="center"/>
              <w:rPr>
                <w:b/>
                <w:bCs/>
                <w:sz w:val="20"/>
                <w:szCs w:val="20"/>
              </w:rPr>
            </w:pPr>
            <w:r>
              <w:rPr>
                <w:b/>
                <w:bCs/>
                <w:sz w:val="20"/>
                <w:szCs w:val="20"/>
              </w:rPr>
              <w:t xml:space="preserve">Commission </w:t>
            </w:r>
            <w:r w:rsidR="006223F7">
              <w:rPr>
                <w:b/>
                <w:bCs/>
                <w:sz w:val="20"/>
                <w:szCs w:val="20"/>
              </w:rPr>
              <w:t>Approved</w:t>
            </w:r>
          </w:p>
        </w:tc>
      </w:tr>
      <w:tr w:rsidR="00231205" w:rsidTr="00231205">
        <w:trPr>
          <w:trHeight w:val="264"/>
          <w:jc w:val="center"/>
        </w:trPr>
        <w:tc>
          <w:tcPr>
            <w:tcW w:w="825" w:type="dxa"/>
            <w:tcBorders>
              <w:top w:val="nil"/>
              <w:left w:val="single" w:sz="8" w:space="0" w:color="auto"/>
              <w:bottom w:val="nil"/>
              <w:right w:val="nil"/>
            </w:tcBorders>
            <w:shd w:val="clear" w:color="000000" w:fill="C0C0C0"/>
            <w:noWrap/>
            <w:vAlign w:val="bottom"/>
            <w:hideMark/>
          </w:tcPr>
          <w:p w:rsidR="00231205" w:rsidRDefault="00231205" w:rsidP="00231205">
            <w:pPr>
              <w:jc w:val="center"/>
              <w:rPr>
                <w:sz w:val="20"/>
                <w:szCs w:val="20"/>
              </w:rPr>
            </w:pPr>
            <w:r>
              <w:rPr>
                <w:sz w:val="20"/>
                <w:szCs w:val="20"/>
              </w:rPr>
              <w:t>Account</w:t>
            </w:r>
          </w:p>
        </w:tc>
        <w:tc>
          <w:tcPr>
            <w:tcW w:w="3477" w:type="dxa"/>
            <w:vMerge w:val="restart"/>
            <w:tcBorders>
              <w:top w:val="nil"/>
              <w:left w:val="nil"/>
              <w:bottom w:val="nil"/>
              <w:right w:val="nil"/>
            </w:tcBorders>
            <w:shd w:val="clear" w:color="000000" w:fill="C0C0C0"/>
            <w:noWrap/>
            <w:vAlign w:val="center"/>
            <w:hideMark/>
          </w:tcPr>
          <w:p w:rsidR="00231205" w:rsidRDefault="00231205" w:rsidP="00231205">
            <w:pPr>
              <w:jc w:val="center"/>
              <w:rPr>
                <w:sz w:val="20"/>
                <w:szCs w:val="20"/>
              </w:rPr>
            </w:pPr>
            <w:r>
              <w:rPr>
                <w:sz w:val="20"/>
                <w:szCs w:val="20"/>
              </w:rPr>
              <w:t>Account Title</w:t>
            </w:r>
          </w:p>
        </w:tc>
        <w:tc>
          <w:tcPr>
            <w:tcW w:w="1249"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Depreciation</w:t>
            </w:r>
          </w:p>
        </w:tc>
        <w:tc>
          <w:tcPr>
            <w:tcW w:w="1111"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Annual</w:t>
            </w:r>
          </w:p>
        </w:tc>
        <w:tc>
          <w:tcPr>
            <w:tcW w:w="272" w:type="dxa"/>
            <w:tcBorders>
              <w:top w:val="nil"/>
              <w:left w:val="nil"/>
              <w:bottom w:val="nil"/>
              <w:right w:val="nil"/>
            </w:tcBorders>
            <w:shd w:val="clear" w:color="000000" w:fill="C0C0C0"/>
            <w:noWrap/>
            <w:vAlign w:val="bottom"/>
            <w:hideMark/>
          </w:tcPr>
          <w:p w:rsidR="00231205" w:rsidRDefault="00231205" w:rsidP="00231205">
            <w:pPr>
              <w:rPr>
                <w:sz w:val="20"/>
                <w:szCs w:val="20"/>
              </w:rPr>
            </w:pPr>
            <w:r>
              <w:rPr>
                <w:sz w:val="20"/>
                <w:szCs w:val="20"/>
              </w:rPr>
              <w:t> </w:t>
            </w:r>
          </w:p>
        </w:tc>
        <w:tc>
          <w:tcPr>
            <w:tcW w:w="1249"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Depreciation</w:t>
            </w:r>
          </w:p>
        </w:tc>
        <w:tc>
          <w:tcPr>
            <w:tcW w:w="1111"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Annual</w:t>
            </w:r>
          </w:p>
        </w:tc>
        <w:tc>
          <w:tcPr>
            <w:tcW w:w="1000" w:type="dxa"/>
            <w:tcBorders>
              <w:top w:val="nil"/>
              <w:left w:val="nil"/>
              <w:bottom w:val="nil"/>
              <w:right w:val="single" w:sz="8" w:space="0" w:color="auto"/>
            </w:tcBorders>
            <w:shd w:val="clear" w:color="000000" w:fill="C0C0C0"/>
            <w:noWrap/>
            <w:vAlign w:val="bottom"/>
            <w:hideMark/>
          </w:tcPr>
          <w:p w:rsidR="00231205" w:rsidRDefault="00231205" w:rsidP="00231205">
            <w:pPr>
              <w:jc w:val="center"/>
              <w:rPr>
                <w:sz w:val="20"/>
                <w:szCs w:val="20"/>
              </w:rPr>
            </w:pPr>
            <w:r>
              <w:rPr>
                <w:sz w:val="20"/>
                <w:szCs w:val="20"/>
              </w:rPr>
              <w:t>Change In</w:t>
            </w:r>
          </w:p>
        </w:tc>
      </w:tr>
      <w:tr w:rsidR="00231205" w:rsidTr="00231205">
        <w:trPr>
          <w:trHeight w:val="264"/>
          <w:jc w:val="center"/>
        </w:trPr>
        <w:tc>
          <w:tcPr>
            <w:tcW w:w="825" w:type="dxa"/>
            <w:tcBorders>
              <w:top w:val="nil"/>
              <w:left w:val="single" w:sz="8" w:space="0" w:color="auto"/>
              <w:bottom w:val="nil"/>
              <w:right w:val="nil"/>
            </w:tcBorders>
            <w:shd w:val="clear" w:color="000000" w:fill="C0C0C0"/>
            <w:noWrap/>
            <w:vAlign w:val="bottom"/>
            <w:hideMark/>
          </w:tcPr>
          <w:p w:rsidR="00231205" w:rsidRDefault="00231205" w:rsidP="00231205">
            <w:pPr>
              <w:jc w:val="center"/>
              <w:rPr>
                <w:sz w:val="20"/>
                <w:szCs w:val="20"/>
              </w:rPr>
            </w:pPr>
            <w:r>
              <w:rPr>
                <w:sz w:val="20"/>
                <w:szCs w:val="20"/>
              </w:rPr>
              <w:t>Number</w:t>
            </w:r>
          </w:p>
        </w:tc>
        <w:tc>
          <w:tcPr>
            <w:tcW w:w="3477" w:type="dxa"/>
            <w:vMerge/>
            <w:tcBorders>
              <w:top w:val="nil"/>
              <w:left w:val="nil"/>
              <w:bottom w:val="nil"/>
              <w:right w:val="nil"/>
            </w:tcBorders>
            <w:vAlign w:val="center"/>
            <w:hideMark/>
          </w:tcPr>
          <w:p w:rsidR="00231205" w:rsidRDefault="00231205" w:rsidP="00231205">
            <w:pPr>
              <w:rPr>
                <w:sz w:val="20"/>
                <w:szCs w:val="20"/>
              </w:rPr>
            </w:pPr>
          </w:p>
        </w:tc>
        <w:tc>
          <w:tcPr>
            <w:tcW w:w="1249"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Rate</w:t>
            </w:r>
          </w:p>
        </w:tc>
        <w:tc>
          <w:tcPr>
            <w:tcW w:w="1111"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Expense</w:t>
            </w:r>
          </w:p>
        </w:tc>
        <w:tc>
          <w:tcPr>
            <w:tcW w:w="272" w:type="dxa"/>
            <w:tcBorders>
              <w:top w:val="nil"/>
              <w:left w:val="nil"/>
              <w:bottom w:val="nil"/>
              <w:right w:val="nil"/>
            </w:tcBorders>
            <w:shd w:val="clear" w:color="000000" w:fill="C0C0C0"/>
            <w:noWrap/>
            <w:vAlign w:val="bottom"/>
            <w:hideMark/>
          </w:tcPr>
          <w:p w:rsidR="00231205" w:rsidRDefault="00231205" w:rsidP="00231205">
            <w:pPr>
              <w:rPr>
                <w:sz w:val="20"/>
                <w:szCs w:val="20"/>
              </w:rPr>
            </w:pPr>
            <w:r>
              <w:rPr>
                <w:sz w:val="20"/>
                <w:szCs w:val="20"/>
              </w:rPr>
              <w:t> </w:t>
            </w:r>
          </w:p>
        </w:tc>
        <w:tc>
          <w:tcPr>
            <w:tcW w:w="1249"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Rate</w:t>
            </w:r>
          </w:p>
        </w:tc>
        <w:tc>
          <w:tcPr>
            <w:tcW w:w="1111" w:type="dxa"/>
            <w:tcBorders>
              <w:top w:val="nil"/>
              <w:left w:val="nil"/>
              <w:bottom w:val="nil"/>
              <w:right w:val="nil"/>
            </w:tcBorders>
            <w:shd w:val="clear" w:color="000000" w:fill="C0C0C0"/>
            <w:noWrap/>
            <w:vAlign w:val="bottom"/>
            <w:hideMark/>
          </w:tcPr>
          <w:p w:rsidR="00231205" w:rsidRDefault="00231205" w:rsidP="00231205">
            <w:pPr>
              <w:jc w:val="center"/>
              <w:rPr>
                <w:sz w:val="20"/>
                <w:szCs w:val="20"/>
              </w:rPr>
            </w:pPr>
            <w:r>
              <w:rPr>
                <w:sz w:val="20"/>
                <w:szCs w:val="20"/>
              </w:rPr>
              <w:t>Expense</w:t>
            </w:r>
          </w:p>
        </w:tc>
        <w:tc>
          <w:tcPr>
            <w:tcW w:w="1000" w:type="dxa"/>
            <w:tcBorders>
              <w:top w:val="nil"/>
              <w:left w:val="nil"/>
              <w:bottom w:val="nil"/>
              <w:right w:val="single" w:sz="8" w:space="0" w:color="auto"/>
            </w:tcBorders>
            <w:shd w:val="clear" w:color="000000" w:fill="C0C0C0"/>
            <w:noWrap/>
            <w:vAlign w:val="bottom"/>
            <w:hideMark/>
          </w:tcPr>
          <w:p w:rsidR="00231205" w:rsidRDefault="00231205" w:rsidP="00231205">
            <w:pPr>
              <w:jc w:val="center"/>
              <w:rPr>
                <w:sz w:val="20"/>
                <w:szCs w:val="20"/>
              </w:rPr>
            </w:pPr>
            <w:r>
              <w:rPr>
                <w:sz w:val="20"/>
                <w:szCs w:val="20"/>
              </w:rPr>
              <w:t>Expense</w:t>
            </w:r>
          </w:p>
        </w:tc>
      </w:tr>
      <w:tr w:rsidR="00231205" w:rsidTr="00231205">
        <w:trPr>
          <w:trHeight w:val="276"/>
          <w:jc w:val="center"/>
        </w:trPr>
        <w:tc>
          <w:tcPr>
            <w:tcW w:w="825" w:type="dxa"/>
            <w:tcBorders>
              <w:top w:val="nil"/>
              <w:left w:val="single" w:sz="8" w:space="0" w:color="auto"/>
              <w:bottom w:val="single" w:sz="8" w:space="0" w:color="auto"/>
              <w:right w:val="nil"/>
            </w:tcBorders>
            <w:shd w:val="clear" w:color="000000" w:fill="C0C0C0"/>
            <w:noWrap/>
            <w:vAlign w:val="bottom"/>
            <w:hideMark/>
          </w:tcPr>
          <w:p w:rsidR="00231205" w:rsidRDefault="00231205" w:rsidP="00231205">
            <w:pPr>
              <w:jc w:val="center"/>
              <w:rPr>
                <w:sz w:val="20"/>
                <w:szCs w:val="20"/>
              </w:rPr>
            </w:pPr>
            <w:r>
              <w:rPr>
                <w:sz w:val="20"/>
                <w:szCs w:val="20"/>
              </w:rPr>
              <w:t> </w:t>
            </w:r>
          </w:p>
        </w:tc>
        <w:tc>
          <w:tcPr>
            <w:tcW w:w="3477" w:type="dxa"/>
            <w:tcBorders>
              <w:top w:val="nil"/>
              <w:left w:val="nil"/>
              <w:bottom w:val="single" w:sz="8" w:space="0" w:color="auto"/>
              <w:right w:val="nil"/>
            </w:tcBorders>
            <w:shd w:val="clear" w:color="000000" w:fill="C0C0C0"/>
            <w:noWrap/>
            <w:vAlign w:val="bottom"/>
            <w:hideMark/>
          </w:tcPr>
          <w:p w:rsidR="00231205" w:rsidRDefault="00231205" w:rsidP="00231205">
            <w:pPr>
              <w:rPr>
                <w:sz w:val="20"/>
                <w:szCs w:val="20"/>
              </w:rPr>
            </w:pPr>
            <w:r>
              <w:rPr>
                <w:sz w:val="20"/>
                <w:szCs w:val="20"/>
              </w:rPr>
              <w:t>TRANSMISSION PLANT</w:t>
            </w:r>
          </w:p>
        </w:tc>
        <w:tc>
          <w:tcPr>
            <w:tcW w:w="1249" w:type="dxa"/>
            <w:tcBorders>
              <w:top w:val="nil"/>
              <w:left w:val="nil"/>
              <w:bottom w:val="single" w:sz="8" w:space="0" w:color="auto"/>
              <w:right w:val="nil"/>
            </w:tcBorders>
            <w:shd w:val="clear" w:color="000000" w:fill="C0C0C0"/>
            <w:noWrap/>
            <w:vAlign w:val="bottom"/>
            <w:hideMark/>
          </w:tcPr>
          <w:p w:rsidR="00231205" w:rsidRDefault="00231205" w:rsidP="00231205">
            <w:pPr>
              <w:jc w:val="center"/>
              <w:rPr>
                <w:sz w:val="20"/>
                <w:szCs w:val="20"/>
              </w:rPr>
            </w:pPr>
            <w:r>
              <w:rPr>
                <w:sz w:val="20"/>
                <w:szCs w:val="20"/>
              </w:rPr>
              <w:t>(%)</w:t>
            </w:r>
          </w:p>
        </w:tc>
        <w:tc>
          <w:tcPr>
            <w:tcW w:w="1111" w:type="dxa"/>
            <w:tcBorders>
              <w:top w:val="nil"/>
              <w:left w:val="nil"/>
              <w:bottom w:val="single" w:sz="8" w:space="0" w:color="auto"/>
              <w:right w:val="nil"/>
            </w:tcBorders>
            <w:shd w:val="clear" w:color="000000" w:fill="C0C0C0"/>
            <w:noWrap/>
            <w:vAlign w:val="bottom"/>
            <w:hideMark/>
          </w:tcPr>
          <w:p w:rsidR="00231205" w:rsidRDefault="00231205" w:rsidP="00231205">
            <w:pPr>
              <w:jc w:val="center"/>
              <w:rPr>
                <w:sz w:val="20"/>
                <w:szCs w:val="20"/>
              </w:rPr>
            </w:pPr>
            <w:r>
              <w:rPr>
                <w:sz w:val="20"/>
                <w:szCs w:val="20"/>
              </w:rPr>
              <w:t>($)</w:t>
            </w:r>
          </w:p>
        </w:tc>
        <w:tc>
          <w:tcPr>
            <w:tcW w:w="272" w:type="dxa"/>
            <w:tcBorders>
              <w:top w:val="nil"/>
              <w:left w:val="nil"/>
              <w:bottom w:val="single" w:sz="8" w:space="0" w:color="auto"/>
              <w:right w:val="nil"/>
            </w:tcBorders>
            <w:shd w:val="clear" w:color="000000" w:fill="C0C0C0"/>
            <w:noWrap/>
            <w:vAlign w:val="bottom"/>
            <w:hideMark/>
          </w:tcPr>
          <w:p w:rsidR="00231205" w:rsidRDefault="00231205" w:rsidP="00231205">
            <w:pPr>
              <w:rPr>
                <w:sz w:val="20"/>
                <w:szCs w:val="20"/>
              </w:rPr>
            </w:pPr>
            <w:r>
              <w:rPr>
                <w:sz w:val="20"/>
                <w:szCs w:val="20"/>
              </w:rPr>
              <w:t> </w:t>
            </w:r>
          </w:p>
        </w:tc>
        <w:tc>
          <w:tcPr>
            <w:tcW w:w="1249" w:type="dxa"/>
            <w:tcBorders>
              <w:top w:val="nil"/>
              <w:left w:val="nil"/>
              <w:bottom w:val="single" w:sz="8" w:space="0" w:color="auto"/>
              <w:right w:val="nil"/>
            </w:tcBorders>
            <w:shd w:val="clear" w:color="000000" w:fill="C0C0C0"/>
            <w:noWrap/>
            <w:vAlign w:val="bottom"/>
            <w:hideMark/>
          </w:tcPr>
          <w:p w:rsidR="00231205" w:rsidRDefault="00231205" w:rsidP="00231205">
            <w:pPr>
              <w:jc w:val="center"/>
              <w:rPr>
                <w:sz w:val="20"/>
                <w:szCs w:val="20"/>
              </w:rPr>
            </w:pPr>
            <w:r>
              <w:rPr>
                <w:sz w:val="20"/>
                <w:szCs w:val="20"/>
              </w:rPr>
              <w:t>(%)</w:t>
            </w:r>
          </w:p>
        </w:tc>
        <w:tc>
          <w:tcPr>
            <w:tcW w:w="1111" w:type="dxa"/>
            <w:tcBorders>
              <w:top w:val="nil"/>
              <w:left w:val="nil"/>
              <w:bottom w:val="single" w:sz="8" w:space="0" w:color="auto"/>
              <w:right w:val="nil"/>
            </w:tcBorders>
            <w:shd w:val="clear" w:color="000000" w:fill="C0C0C0"/>
            <w:noWrap/>
            <w:vAlign w:val="bottom"/>
            <w:hideMark/>
          </w:tcPr>
          <w:p w:rsidR="00231205" w:rsidRDefault="00231205" w:rsidP="00231205">
            <w:pPr>
              <w:jc w:val="center"/>
              <w:rPr>
                <w:sz w:val="20"/>
                <w:szCs w:val="20"/>
              </w:rPr>
            </w:pPr>
            <w:r>
              <w:rPr>
                <w:sz w:val="20"/>
                <w:szCs w:val="20"/>
              </w:rPr>
              <w:t>($)</w:t>
            </w:r>
          </w:p>
        </w:tc>
        <w:tc>
          <w:tcPr>
            <w:tcW w:w="1000" w:type="dxa"/>
            <w:tcBorders>
              <w:top w:val="nil"/>
              <w:left w:val="nil"/>
              <w:bottom w:val="single" w:sz="8" w:space="0" w:color="auto"/>
              <w:right w:val="single" w:sz="8" w:space="0" w:color="auto"/>
            </w:tcBorders>
            <w:shd w:val="clear" w:color="000000" w:fill="C0C0C0"/>
            <w:noWrap/>
            <w:vAlign w:val="bottom"/>
            <w:hideMark/>
          </w:tcPr>
          <w:p w:rsidR="00231205" w:rsidRDefault="00231205" w:rsidP="00231205">
            <w:pPr>
              <w:jc w:val="center"/>
              <w:rPr>
                <w:sz w:val="20"/>
                <w:szCs w:val="20"/>
              </w:rPr>
            </w:pPr>
            <w:r>
              <w:rPr>
                <w:sz w:val="20"/>
                <w:szCs w:val="20"/>
              </w:rPr>
              <w:t>($)</w:t>
            </w:r>
          </w:p>
        </w:tc>
      </w:tr>
      <w:tr w:rsidR="00231205" w:rsidTr="00231205">
        <w:trPr>
          <w:trHeight w:val="264"/>
          <w:jc w:val="center"/>
        </w:trPr>
        <w:tc>
          <w:tcPr>
            <w:tcW w:w="82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350.1</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Land Rights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2.3</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548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1.4</w:t>
            </w:r>
          </w:p>
        </w:tc>
        <w:tc>
          <w:tcPr>
            <w:tcW w:w="111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334 </w:t>
            </w:r>
          </w:p>
        </w:tc>
        <w:tc>
          <w:tcPr>
            <w:tcW w:w="1000"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(215)</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352</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Structures and Improvements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1.8</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3,560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1.8</w:t>
            </w:r>
          </w:p>
        </w:tc>
        <w:tc>
          <w:tcPr>
            <w:tcW w:w="111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3,560 </w:t>
            </w:r>
          </w:p>
        </w:tc>
        <w:tc>
          <w:tcPr>
            <w:tcW w:w="1000"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353</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Station Equipment</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2.4</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89,965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2.6</w:t>
            </w:r>
          </w:p>
        </w:tc>
        <w:tc>
          <w:tcPr>
            <w:tcW w:w="111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97,462 </w:t>
            </w:r>
          </w:p>
        </w:tc>
        <w:tc>
          <w:tcPr>
            <w:tcW w:w="1000"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7,497 </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354</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Towers and Fixtures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2.1</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4,721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2.1</w:t>
            </w:r>
          </w:p>
        </w:tc>
        <w:tc>
          <w:tcPr>
            <w:tcW w:w="111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4,721 </w:t>
            </w:r>
          </w:p>
        </w:tc>
        <w:tc>
          <w:tcPr>
            <w:tcW w:w="1000"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355</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Poles and Fixtures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3.4</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53,662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4.1</w:t>
            </w:r>
          </w:p>
        </w:tc>
        <w:tc>
          <w:tcPr>
            <w:tcW w:w="111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64,710 </w:t>
            </w:r>
          </w:p>
        </w:tc>
        <w:tc>
          <w:tcPr>
            <w:tcW w:w="1000"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11,048 </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355.1</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Poles and Fixtures - Concrete</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2.9</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77,032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2.9</w:t>
            </w:r>
          </w:p>
        </w:tc>
        <w:tc>
          <w:tcPr>
            <w:tcW w:w="111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77,032 </w:t>
            </w:r>
          </w:p>
        </w:tc>
        <w:tc>
          <w:tcPr>
            <w:tcW w:w="1000"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356</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Overhead Conductors and Devices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2.4</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60,906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2.5</w:t>
            </w:r>
          </w:p>
        </w:tc>
        <w:tc>
          <w:tcPr>
            <w:tcW w:w="111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63,443 </w:t>
            </w:r>
          </w:p>
        </w:tc>
        <w:tc>
          <w:tcPr>
            <w:tcW w:w="1000"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2,538 </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359</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Roads and Trails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1.5</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102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1.5</w:t>
            </w:r>
          </w:p>
        </w:tc>
        <w:tc>
          <w:tcPr>
            <w:tcW w:w="111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102 </w:t>
            </w:r>
          </w:p>
        </w:tc>
        <w:tc>
          <w:tcPr>
            <w:tcW w:w="1000"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r>
      <w:tr w:rsidR="00231205" w:rsidTr="00231205">
        <w:trPr>
          <w:trHeight w:val="264"/>
          <w:jc w:val="center"/>
        </w:trPr>
        <w:tc>
          <w:tcPr>
            <w:tcW w:w="825" w:type="dxa"/>
            <w:tcBorders>
              <w:top w:val="nil"/>
              <w:left w:val="single" w:sz="8" w:space="0" w:color="auto"/>
              <w:bottom w:val="nil"/>
              <w:right w:val="nil"/>
            </w:tcBorders>
            <w:shd w:val="clear" w:color="000000" w:fill="BFBFBF"/>
            <w:noWrap/>
            <w:vAlign w:val="bottom"/>
            <w:hideMark/>
          </w:tcPr>
          <w:p w:rsidR="00231205" w:rsidRDefault="00231205" w:rsidP="00231205">
            <w:pPr>
              <w:rPr>
                <w:sz w:val="20"/>
                <w:szCs w:val="20"/>
              </w:rPr>
            </w:pPr>
            <w:r>
              <w:rPr>
                <w:sz w:val="20"/>
                <w:szCs w:val="20"/>
              </w:rPr>
              <w:t> </w:t>
            </w:r>
          </w:p>
        </w:tc>
        <w:tc>
          <w:tcPr>
            <w:tcW w:w="3477" w:type="dxa"/>
            <w:tcBorders>
              <w:top w:val="nil"/>
              <w:left w:val="nil"/>
              <w:bottom w:val="nil"/>
              <w:right w:val="nil"/>
            </w:tcBorders>
            <w:shd w:val="clear" w:color="000000" w:fill="BFBFBF"/>
            <w:noWrap/>
            <w:vAlign w:val="bottom"/>
            <w:hideMark/>
          </w:tcPr>
          <w:p w:rsidR="00231205" w:rsidRDefault="00231205" w:rsidP="00231205">
            <w:pPr>
              <w:rPr>
                <w:sz w:val="20"/>
                <w:szCs w:val="20"/>
              </w:rPr>
            </w:pPr>
            <w:r>
              <w:rPr>
                <w:sz w:val="20"/>
                <w:szCs w:val="20"/>
              </w:rPr>
              <w:t>TOTAL TRANSMISSION PLANT</w:t>
            </w:r>
          </w:p>
        </w:tc>
        <w:tc>
          <w:tcPr>
            <w:tcW w:w="1249"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111" w:type="dxa"/>
            <w:tcBorders>
              <w:top w:val="nil"/>
              <w:left w:val="single" w:sz="4" w:space="0" w:color="auto"/>
              <w:bottom w:val="single" w:sz="4" w:space="0" w:color="auto"/>
              <w:right w:val="single" w:sz="4" w:space="0" w:color="auto"/>
            </w:tcBorders>
            <w:shd w:val="clear" w:color="000000" w:fill="BFBFBF"/>
            <w:noWrap/>
            <w:vAlign w:val="bottom"/>
            <w:hideMark/>
          </w:tcPr>
          <w:p w:rsidR="00231205" w:rsidRPr="00997CA5" w:rsidRDefault="00231205" w:rsidP="00231205">
            <w:pPr>
              <w:jc w:val="right"/>
              <w:rPr>
                <w:sz w:val="20"/>
                <w:szCs w:val="20"/>
              </w:rPr>
            </w:pPr>
            <w:r w:rsidRPr="00997CA5">
              <w:rPr>
                <w:sz w:val="20"/>
                <w:szCs w:val="20"/>
              </w:rPr>
              <w:t xml:space="preserve">290,495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11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31205" w:rsidRPr="00997CA5" w:rsidRDefault="00231205" w:rsidP="00231205">
            <w:pPr>
              <w:jc w:val="right"/>
              <w:rPr>
                <w:sz w:val="20"/>
                <w:szCs w:val="20"/>
              </w:rPr>
            </w:pPr>
            <w:r w:rsidRPr="00997CA5">
              <w:rPr>
                <w:sz w:val="20"/>
                <w:szCs w:val="20"/>
              </w:rPr>
              <w:t xml:space="preserve">311,363 </w:t>
            </w:r>
          </w:p>
        </w:tc>
        <w:tc>
          <w:tcPr>
            <w:tcW w:w="1000" w:type="dxa"/>
            <w:tcBorders>
              <w:top w:val="single" w:sz="4" w:space="0" w:color="auto"/>
              <w:left w:val="nil"/>
              <w:bottom w:val="single" w:sz="4" w:space="0" w:color="auto"/>
              <w:right w:val="single" w:sz="8" w:space="0" w:color="auto"/>
            </w:tcBorders>
            <w:shd w:val="clear" w:color="000000" w:fill="BFBFBF"/>
            <w:noWrap/>
            <w:vAlign w:val="bottom"/>
            <w:hideMark/>
          </w:tcPr>
          <w:p w:rsidR="00231205" w:rsidRPr="00997CA5" w:rsidRDefault="00231205" w:rsidP="00231205">
            <w:pPr>
              <w:jc w:val="right"/>
              <w:rPr>
                <w:sz w:val="20"/>
                <w:szCs w:val="20"/>
              </w:rPr>
            </w:pPr>
            <w:r w:rsidRPr="00997CA5">
              <w:rPr>
                <w:sz w:val="20"/>
                <w:szCs w:val="20"/>
              </w:rPr>
              <w:t xml:space="preserve">20,868 </w:t>
            </w:r>
          </w:p>
        </w:tc>
      </w:tr>
      <w:tr w:rsidR="00231205" w:rsidTr="00231205">
        <w:trPr>
          <w:trHeight w:val="72"/>
          <w:jc w:val="center"/>
        </w:trPr>
        <w:tc>
          <w:tcPr>
            <w:tcW w:w="825" w:type="dxa"/>
            <w:tcBorders>
              <w:top w:val="nil"/>
              <w:left w:val="single" w:sz="8" w:space="0" w:color="auto"/>
              <w:bottom w:val="nil"/>
              <w:right w:val="nil"/>
            </w:tcBorders>
            <w:shd w:val="clear" w:color="000000" w:fill="BFBFBF"/>
            <w:noWrap/>
            <w:vAlign w:val="bottom"/>
            <w:hideMark/>
          </w:tcPr>
          <w:p w:rsidR="00231205" w:rsidRDefault="00231205" w:rsidP="00231205">
            <w:pPr>
              <w:rPr>
                <w:rFonts w:ascii="Arial" w:hAnsi="Arial" w:cs="Arial"/>
                <w:sz w:val="20"/>
                <w:szCs w:val="20"/>
              </w:rPr>
            </w:pPr>
            <w:r>
              <w:rPr>
                <w:rFonts w:ascii="Arial" w:hAnsi="Arial" w:cs="Arial"/>
                <w:sz w:val="20"/>
                <w:szCs w:val="20"/>
              </w:rPr>
              <w:t> </w:t>
            </w:r>
          </w:p>
        </w:tc>
        <w:tc>
          <w:tcPr>
            <w:tcW w:w="3477" w:type="dxa"/>
            <w:tcBorders>
              <w:top w:val="nil"/>
              <w:left w:val="nil"/>
              <w:bottom w:val="nil"/>
              <w:right w:val="nil"/>
            </w:tcBorders>
            <w:shd w:val="clear" w:color="000000" w:fill="BFBFBF"/>
            <w:noWrap/>
            <w:vAlign w:val="bottom"/>
            <w:hideMark/>
          </w:tcPr>
          <w:p w:rsidR="00231205" w:rsidRDefault="00231205" w:rsidP="00231205">
            <w:pPr>
              <w:rPr>
                <w:rFonts w:ascii="Arial" w:hAnsi="Arial" w:cs="Arial"/>
                <w:sz w:val="20"/>
                <w:szCs w:val="20"/>
              </w:rPr>
            </w:pPr>
            <w:r>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111"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111"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000" w:type="dxa"/>
            <w:tcBorders>
              <w:top w:val="nil"/>
              <w:left w:val="nil"/>
              <w:bottom w:val="nil"/>
              <w:right w:val="single" w:sz="8" w:space="0" w:color="auto"/>
            </w:tcBorders>
            <w:shd w:val="clear" w:color="000000" w:fill="BFBFBF"/>
            <w:noWrap/>
            <w:vAlign w:val="bottom"/>
            <w:hideMark/>
          </w:tcPr>
          <w:p w:rsidR="00231205" w:rsidRPr="00997CA5" w:rsidRDefault="00231205" w:rsidP="00231205">
            <w:pPr>
              <w:jc w:val="right"/>
              <w:rPr>
                <w:sz w:val="20"/>
                <w:szCs w:val="20"/>
              </w:rPr>
            </w:pPr>
            <w:r w:rsidRPr="00997CA5">
              <w:rPr>
                <w:sz w:val="20"/>
                <w:szCs w:val="20"/>
              </w:rPr>
              <w:t> </w:t>
            </w:r>
          </w:p>
        </w:tc>
      </w:tr>
      <w:tr w:rsidR="00231205" w:rsidTr="00231205">
        <w:trPr>
          <w:trHeight w:val="264"/>
          <w:jc w:val="center"/>
        </w:trPr>
        <w:tc>
          <w:tcPr>
            <w:tcW w:w="825" w:type="dxa"/>
            <w:tcBorders>
              <w:top w:val="nil"/>
              <w:left w:val="single" w:sz="8" w:space="0" w:color="auto"/>
              <w:bottom w:val="nil"/>
              <w:right w:val="nil"/>
            </w:tcBorders>
            <w:shd w:val="clear" w:color="000000" w:fill="BFBFBF"/>
            <w:noWrap/>
            <w:vAlign w:val="bottom"/>
            <w:hideMark/>
          </w:tcPr>
          <w:p w:rsidR="00231205" w:rsidRDefault="00231205" w:rsidP="00231205">
            <w:pPr>
              <w:rPr>
                <w:sz w:val="20"/>
                <w:szCs w:val="20"/>
              </w:rPr>
            </w:pPr>
            <w:r>
              <w:rPr>
                <w:sz w:val="20"/>
                <w:szCs w:val="20"/>
              </w:rPr>
              <w:t> </w:t>
            </w:r>
          </w:p>
        </w:tc>
        <w:tc>
          <w:tcPr>
            <w:tcW w:w="3477" w:type="dxa"/>
            <w:tcBorders>
              <w:top w:val="nil"/>
              <w:left w:val="nil"/>
              <w:bottom w:val="nil"/>
              <w:right w:val="nil"/>
            </w:tcBorders>
            <w:shd w:val="clear" w:color="000000" w:fill="BFBFBF"/>
            <w:noWrap/>
            <w:vAlign w:val="bottom"/>
            <w:hideMark/>
          </w:tcPr>
          <w:p w:rsidR="00231205" w:rsidRDefault="00231205" w:rsidP="00231205">
            <w:pPr>
              <w:rPr>
                <w:sz w:val="20"/>
                <w:szCs w:val="20"/>
              </w:rPr>
            </w:pPr>
            <w:r>
              <w:rPr>
                <w:sz w:val="20"/>
                <w:szCs w:val="20"/>
              </w:rPr>
              <w:t>DISTRIBUTION PLANT</w:t>
            </w:r>
          </w:p>
        </w:tc>
        <w:tc>
          <w:tcPr>
            <w:tcW w:w="1249"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111"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111"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000" w:type="dxa"/>
            <w:tcBorders>
              <w:top w:val="nil"/>
              <w:left w:val="nil"/>
              <w:bottom w:val="nil"/>
              <w:right w:val="single" w:sz="8" w:space="0" w:color="auto"/>
            </w:tcBorders>
            <w:shd w:val="clear" w:color="000000" w:fill="BFBFBF"/>
            <w:noWrap/>
            <w:vAlign w:val="bottom"/>
            <w:hideMark/>
          </w:tcPr>
          <w:p w:rsidR="00231205" w:rsidRPr="00997CA5" w:rsidRDefault="00231205" w:rsidP="00231205">
            <w:pPr>
              <w:jc w:val="right"/>
              <w:rPr>
                <w:sz w:val="20"/>
                <w:szCs w:val="20"/>
              </w:rPr>
            </w:pPr>
            <w:r w:rsidRPr="00997CA5">
              <w:rPr>
                <w:sz w:val="20"/>
                <w:szCs w:val="20"/>
              </w:rPr>
              <w:t> </w:t>
            </w:r>
          </w:p>
        </w:tc>
      </w:tr>
      <w:tr w:rsidR="00231205" w:rsidTr="00231205">
        <w:trPr>
          <w:trHeight w:val="264"/>
          <w:jc w:val="center"/>
        </w:trPr>
        <w:tc>
          <w:tcPr>
            <w:tcW w:w="82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360.1</w:t>
            </w:r>
          </w:p>
        </w:tc>
        <w:tc>
          <w:tcPr>
            <w:tcW w:w="3477" w:type="dxa"/>
            <w:tcBorders>
              <w:top w:val="single" w:sz="4" w:space="0" w:color="auto"/>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Land Rights</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1.8</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1,026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1.6</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912 </w:t>
            </w:r>
          </w:p>
        </w:tc>
        <w:tc>
          <w:tcPr>
            <w:tcW w:w="1000" w:type="dxa"/>
            <w:tcBorders>
              <w:top w:val="single" w:sz="4" w:space="0" w:color="auto"/>
              <w:left w:val="nil"/>
              <w:bottom w:val="single" w:sz="4" w:space="0" w:color="auto"/>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(114)</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361</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Structures and Improvements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1.9</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3,307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1.7</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2,959 </w:t>
            </w:r>
          </w:p>
        </w:tc>
        <w:tc>
          <w:tcPr>
            <w:tcW w:w="1000" w:type="dxa"/>
            <w:tcBorders>
              <w:top w:val="nil"/>
              <w:left w:val="nil"/>
              <w:bottom w:val="single" w:sz="4" w:space="0" w:color="auto"/>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(348)</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362</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Station Equipment</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2.8</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247,926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2.4</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212,508 </w:t>
            </w:r>
          </w:p>
        </w:tc>
        <w:tc>
          <w:tcPr>
            <w:tcW w:w="1000" w:type="dxa"/>
            <w:tcBorders>
              <w:top w:val="nil"/>
              <w:left w:val="nil"/>
              <w:bottom w:val="single" w:sz="4" w:space="0" w:color="auto"/>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(35,418)</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364</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Poles, Towers, and Fixtures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4.1</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584,109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3.9</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555,615 </w:t>
            </w:r>
          </w:p>
        </w:tc>
        <w:tc>
          <w:tcPr>
            <w:tcW w:w="1000" w:type="dxa"/>
            <w:tcBorders>
              <w:top w:val="nil"/>
              <w:left w:val="nil"/>
              <w:bottom w:val="single" w:sz="4" w:space="0" w:color="auto"/>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(28,493)</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365</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Overhead Conductors &amp; Devices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4.1</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537,261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3.4</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445,533 </w:t>
            </w:r>
          </w:p>
        </w:tc>
        <w:tc>
          <w:tcPr>
            <w:tcW w:w="1000" w:type="dxa"/>
            <w:tcBorders>
              <w:top w:val="nil"/>
              <w:left w:val="nil"/>
              <w:bottom w:val="single" w:sz="4" w:space="0" w:color="auto"/>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(91,727)</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366</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Underground Conduit</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1.6</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88,818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1.8</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99,920 </w:t>
            </w:r>
          </w:p>
        </w:tc>
        <w:tc>
          <w:tcPr>
            <w:tcW w:w="1000" w:type="dxa"/>
            <w:tcBorders>
              <w:top w:val="nil"/>
              <w:left w:val="nil"/>
              <w:bottom w:val="single" w:sz="4" w:space="0" w:color="auto"/>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11,102 </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367</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Underground Conductors &amp; Devices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2.9</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236,535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3.2</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261,004 </w:t>
            </w:r>
          </w:p>
        </w:tc>
        <w:tc>
          <w:tcPr>
            <w:tcW w:w="1000" w:type="dxa"/>
            <w:tcBorders>
              <w:top w:val="nil"/>
              <w:left w:val="nil"/>
              <w:bottom w:val="single" w:sz="4" w:space="0" w:color="auto"/>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24,469 </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368</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Line Transformers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4.3</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724,774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4.0</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674,209 </w:t>
            </w:r>
          </w:p>
        </w:tc>
        <w:tc>
          <w:tcPr>
            <w:tcW w:w="1000" w:type="dxa"/>
            <w:tcBorders>
              <w:top w:val="nil"/>
              <w:left w:val="nil"/>
              <w:bottom w:val="single" w:sz="4" w:space="0" w:color="auto"/>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(50,566)</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369</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Services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4.0</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407,483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3.6</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366,735 </w:t>
            </w:r>
          </w:p>
        </w:tc>
        <w:tc>
          <w:tcPr>
            <w:tcW w:w="1000" w:type="dxa"/>
            <w:tcBorders>
              <w:top w:val="nil"/>
              <w:left w:val="nil"/>
              <w:bottom w:val="single" w:sz="4" w:space="0" w:color="auto"/>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(40,748)</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370</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Meters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3.7</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144,806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3.7</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144,806 </w:t>
            </w:r>
          </w:p>
        </w:tc>
        <w:tc>
          <w:tcPr>
            <w:tcW w:w="1000" w:type="dxa"/>
            <w:tcBorders>
              <w:top w:val="nil"/>
              <w:left w:val="nil"/>
              <w:bottom w:val="single" w:sz="4" w:space="0" w:color="auto"/>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371</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Installation on Customers' Premises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5.7</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173,473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4.5</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136,953 </w:t>
            </w:r>
          </w:p>
        </w:tc>
        <w:tc>
          <w:tcPr>
            <w:tcW w:w="1000" w:type="dxa"/>
            <w:tcBorders>
              <w:top w:val="nil"/>
              <w:left w:val="nil"/>
              <w:bottom w:val="single" w:sz="4" w:space="0" w:color="auto"/>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(36,521)</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373</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Street Lighting &amp; Signal Systems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5.0</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72,306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4.9</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70,860 </w:t>
            </w:r>
          </w:p>
        </w:tc>
        <w:tc>
          <w:tcPr>
            <w:tcW w:w="1000" w:type="dxa"/>
            <w:tcBorders>
              <w:top w:val="nil"/>
              <w:left w:val="nil"/>
              <w:bottom w:val="single" w:sz="4" w:space="0" w:color="auto"/>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(1,446)</w:t>
            </w:r>
          </w:p>
        </w:tc>
      </w:tr>
      <w:tr w:rsidR="00231205" w:rsidTr="00231205">
        <w:trPr>
          <w:trHeight w:val="264"/>
          <w:jc w:val="center"/>
        </w:trPr>
        <w:tc>
          <w:tcPr>
            <w:tcW w:w="825" w:type="dxa"/>
            <w:tcBorders>
              <w:top w:val="nil"/>
              <w:left w:val="single" w:sz="8" w:space="0" w:color="auto"/>
              <w:bottom w:val="nil"/>
              <w:right w:val="nil"/>
            </w:tcBorders>
            <w:shd w:val="clear" w:color="000000" w:fill="BFBFBF"/>
            <w:noWrap/>
            <w:vAlign w:val="bottom"/>
            <w:hideMark/>
          </w:tcPr>
          <w:p w:rsidR="00231205" w:rsidRDefault="00231205" w:rsidP="00231205">
            <w:pPr>
              <w:rPr>
                <w:rFonts w:ascii="Arial" w:hAnsi="Arial" w:cs="Arial"/>
                <w:sz w:val="20"/>
                <w:szCs w:val="20"/>
              </w:rPr>
            </w:pPr>
            <w:r>
              <w:rPr>
                <w:rFonts w:ascii="Arial" w:hAnsi="Arial" w:cs="Arial"/>
                <w:sz w:val="20"/>
                <w:szCs w:val="20"/>
              </w:rPr>
              <w:t> </w:t>
            </w:r>
          </w:p>
        </w:tc>
        <w:tc>
          <w:tcPr>
            <w:tcW w:w="3477" w:type="dxa"/>
            <w:tcBorders>
              <w:top w:val="nil"/>
              <w:left w:val="nil"/>
              <w:bottom w:val="nil"/>
              <w:right w:val="nil"/>
            </w:tcBorders>
            <w:shd w:val="clear" w:color="000000" w:fill="BFBFBF"/>
            <w:noWrap/>
            <w:vAlign w:val="bottom"/>
            <w:hideMark/>
          </w:tcPr>
          <w:p w:rsidR="00231205" w:rsidRDefault="00231205" w:rsidP="00231205">
            <w:pPr>
              <w:rPr>
                <w:sz w:val="20"/>
                <w:szCs w:val="20"/>
              </w:rPr>
            </w:pPr>
            <w:r>
              <w:rPr>
                <w:sz w:val="20"/>
                <w:szCs w:val="20"/>
              </w:rPr>
              <w:t>TOTAL DISTRIBUTION PLANT</w:t>
            </w:r>
          </w:p>
        </w:tc>
        <w:tc>
          <w:tcPr>
            <w:tcW w:w="1249"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111" w:type="dxa"/>
            <w:tcBorders>
              <w:top w:val="nil"/>
              <w:left w:val="single" w:sz="4" w:space="0" w:color="auto"/>
              <w:bottom w:val="single" w:sz="4" w:space="0" w:color="auto"/>
              <w:right w:val="single" w:sz="4" w:space="0" w:color="auto"/>
            </w:tcBorders>
            <w:shd w:val="clear" w:color="000000" w:fill="BFBFBF"/>
            <w:noWrap/>
            <w:vAlign w:val="bottom"/>
            <w:hideMark/>
          </w:tcPr>
          <w:p w:rsidR="00231205" w:rsidRPr="00997CA5" w:rsidRDefault="00231205" w:rsidP="00231205">
            <w:pPr>
              <w:jc w:val="right"/>
              <w:rPr>
                <w:sz w:val="20"/>
                <w:szCs w:val="20"/>
              </w:rPr>
            </w:pPr>
            <w:r w:rsidRPr="00997CA5">
              <w:rPr>
                <w:sz w:val="20"/>
                <w:szCs w:val="20"/>
              </w:rPr>
              <w:t xml:space="preserve">3,221,824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111" w:type="dxa"/>
            <w:tcBorders>
              <w:top w:val="nil"/>
              <w:left w:val="single" w:sz="4" w:space="0" w:color="auto"/>
              <w:bottom w:val="single" w:sz="4" w:space="0" w:color="auto"/>
              <w:right w:val="single" w:sz="4" w:space="0" w:color="auto"/>
            </w:tcBorders>
            <w:shd w:val="clear" w:color="000000" w:fill="BFBFBF"/>
            <w:noWrap/>
            <w:vAlign w:val="bottom"/>
            <w:hideMark/>
          </w:tcPr>
          <w:p w:rsidR="00231205" w:rsidRPr="00997CA5" w:rsidRDefault="00231205" w:rsidP="00231205">
            <w:pPr>
              <w:jc w:val="right"/>
              <w:rPr>
                <w:sz w:val="20"/>
                <w:szCs w:val="20"/>
              </w:rPr>
            </w:pPr>
            <w:r w:rsidRPr="00997CA5">
              <w:rPr>
                <w:sz w:val="20"/>
                <w:szCs w:val="20"/>
              </w:rPr>
              <w:t xml:space="preserve">2,972,014 </w:t>
            </w:r>
          </w:p>
        </w:tc>
        <w:tc>
          <w:tcPr>
            <w:tcW w:w="1000" w:type="dxa"/>
            <w:tcBorders>
              <w:top w:val="nil"/>
              <w:left w:val="nil"/>
              <w:bottom w:val="single" w:sz="4" w:space="0" w:color="auto"/>
              <w:right w:val="single" w:sz="8" w:space="0" w:color="auto"/>
            </w:tcBorders>
            <w:shd w:val="clear" w:color="000000" w:fill="BFBFBF"/>
            <w:noWrap/>
            <w:vAlign w:val="bottom"/>
            <w:hideMark/>
          </w:tcPr>
          <w:p w:rsidR="00231205" w:rsidRPr="00997CA5" w:rsidRDefault="00231205" w:rsidP="00231205">
            <w:pPr>
              <w:jc w:val="right"/>
              <w:rPr>
                <w:sz w:val="20"/>
                <w:szCs w:val="20"/>
              </w:rPr>
            </w:pPr>
            <w:r w:rsidRPr="00997CA5">
              <w:rPr>
                <w:sz w:val="20"/>
                <w:szCs w:val="20"/>
              </w:rPr>
              <w:t>(249,810)</w:t>
            </w:r>
          </w:p>
        </w:tc>
      </w:tr>
      <w:tr w:rsidR="00231205" w:rsidTr="00231205">
        <w:trPr>
          <w:trHeight w:val="264"/>
          <w:jc w:val="center"/>
        </w:trPr>
        <w:tc>
          <w:tcPr>
            <w:tcW w:w="825" w:type="dxa"/>
            <w:tcBorders>
              <w:top w:val="nil"/>
              <w:left w:val="single" w:sz="8" w:space="0" w:color="auto"/>
              <w:bottom w:val="nil"/>
              <w:right w:val="nil"/>
            </w:tcBorders>
            <w:shd w:val="clear" w:color="000000" w:fill="BFBFBF"/>
            <w:noWrap/>
            <w:vAlign w:val="bottom"/>
            <w:hideMark/>
          </w:tcPr>
          <w:p w:rsidR="00231205" w:rsidRDefault="00231205" w:rsidP="00231205">
            <w:pPr>
              <w:rPr>
                <w:rFonts w:ascii="Arial" w:hAnsi="Arial" w:cs="Arial"/>
                <w:sz w:val="20"/>
                <w:szCs w:val="20"/>
              </w:rPr>
            </w:pPr>
            <w:r>
              <w:rPr>
                <w:rFonts w:ascii="Arial" w:hAnsi="Arial" w:cs="Arial"/>
                <w:sz w:val="20"/>
                <w:szCs w:val="20"/>
              </w:rPr>
              <w:t> </w:t>
            </w:r>
          </w:p>
        </w:tc>
        <w:tc>
          <w:tcPr>
            <w:tcW w:w="3477" w:type="dxa"/>
            <w:tcBorders>
              <w:top w:val="nil"/>
              <w:left w:val="nil"/>
              <w:bottom w:val="nil"/>
              <w:right w:val="nil"/>
            </w:tcBorders>
            <w:shd w:val="clear" w:color="000000" w:fill="BFBFBF"/>
            <w:noWrap/>
            <w:vAlign w:val="bottom"/>
            <w:hideMark/>
          </w:tcPr>
          <w:p w:rsidR="00231205" w:rsidRDefault="00231205" w:rsidP="00231205">
            <w:pPr>
              <w:rPr>
                <w:rFonts w:ascii="Arial" w:hAnsi="Arial" w:cs="Arial"/>
                <w:sz w:val="20"/>
                <w:szCs w:val="20"/>
              </w:rPr>
            </w:pPr>
            <w:r>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111"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111"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00" w:type="dxa"/>
            <w:tcBorders>
              <w:top w:val="nil"/>
              <w:left w:val="nil"/>
              <w:bottom w:val="nil"/>
              <w:right w:val="single" w:sz="8" w:space="0" w:color="auto"/>
            </w:tcBorders>
            <w:shd w:val="clear" w:color="000000" w:fill="BFBFBF"/>
            <w:noWrap/>
            <w:vAlign w:val="bottom"/>
            <w:hideMark/>
          </w:tcPr>
          <w:p w:rsidR="00231205" w:rsidRPr="00997CA5" w:rsidRDefault="00231205" w:rsidP="00231205">
            <w:pPr>
              <w:jc w:val="right"/>
              <w:rPr>
                <w:rFonts w:ascii="Arial" w:hAnsi="Arial" w:cs="Arial"/>
                <w:sz w:val="20"/>
                <w:szCs w:val="20"/>
              </w:rPr>
            </w:pPr>
            <w:r w:rsidRPr="00997CA5">
              <w:rPr>
                <w:rFonts w:ascii="Arial" w:hAnsi="Arial" w:cs="Arial"/>
                <w:sz w:val="20"/>
                <w:szCs w:val="20"/>
              </w:rPr>
              <w:t> </w:t>
            </w:r>
          </w:p>
        </w:tc>
      </w:tr>
      <w:tr w:rsidR="00231205" w:rsidTr="00231205">
        <w:trPr>
          <w:trHeight w:val="264"/>
          <w:jc w:val="center"/>
        </w:trPr>
        <w:tc>
          <w:tcPr>
            <w:tcW w:w="825" w:type="dxa"/>
            <w:tcBorders>
              <w:top w:val="nil"/>
              <w:left w:val="single" w:sz="8" w:space="0" w:color="auto"/>
              <w:bottom w:val="nil"/>
              <w:right w:val="nil"/>
            </w:tcBorders>
            <w:shd w:val="clear" w:color="000000" w:fill="BFBFBF"/>
            <w:noWrap/>
            <w:vAlign w:val="bottom"/>
            <w:hideMark/>
          </w:tcPr>
          <w:p w:rsidR="00231205" w:rsidRDefault="00231205" w:rsidP="00231205">
            <w:pPr>
              <w:rPr>
                <w:rFonts w:ascii="Arial" w:hAnsi="Arial" w:cs="Arial"/>
                <w:sz w:val="20"/>
                <w:szCs w:val="20"/>
              </w:rPr>
            </w:pPr>
            <w:r>
              <w:rPr>
                <w:rFonts w:ascii="Arial" w:hAnsi="Arial" w:cs="Arial"/>
                <w:sz w:val="20"/>
                <w:szCs w:val="20"/>
              </w:rPr>
              <w:t> </w:t>
            </w:r>
          </w:p>
        </w:tc>
        <w:tc>
          <w:tcPr>
            <w:tcW w:w="3477" w:type="dxa"/>
            <w:tcBorders>
              <w:top w:val="nil"/>
              <w:left w:val="nil"/>
              <w:bottom w:val="nil"/>
              <w:right w:val="nil"/>
            </w:tcBorders>
            <w:shd w:val="clear" w:color="000000" w:fill="BFBFBF"/>
            <w:noWrap/>
            <w:vAlign w:val="bottom"/>
            <w:hideMark/>
          </w:tcPr>
          <w:p w:rsidR="00231205" w:rsidRDefault="00231205" w:rsidP="00231205">
            <w:pPr>
              <w:rPr>
                <w:sz w:val="20"/>
                <w:szCs w:val="20"/>
              </w:rPr>
            </w:pPr>
            <w:r>
              <w:rPr>
                <w:sz w:val="20"/>
                <w:szCs w:val="20"/>
              </w:rPr>
              <w:t>GENERAL PLANT</w:t>
            </w:r>
          </w:p>
        </w:tc>
        <w:tc>
          <w:tcPr>
            <w:tcW w:w="1249"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111"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nil"/>
              <w:bottom w:val="single" w:sz="4" w:space="0" w:color="auto"/>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111" w:type="dxa"/>
            <w:tcBorders>
              <w:top w:val="nil"/>
              <w:left w:val="nil"/>
              <w:bottom w:val="single" w:sz="4" w:space="0" w:color="auto"/>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000" w:type="dxa"/>
            <w:tcBorders>
              <w:top w:val="nil"/>
              <w:left w:val="nil"/>
              <w:bottom w:val="single" w:sz="4" w:space="0" w:color="auto"/>
              <w:right w:val="single" w:sz="8" w:space="0" w:color="auto"/>
            </w:tcBorders>
            <w:shd w:val="clear" w:color="000000" w:fill="BFBFBF"/>
            <w:noWrap/>
            <w:vAlign w:val="bottom"/>
            <w:hideMark/>
          </w:tcPr>
          <w:p w:rsidR="00231205" w:rsidRPr="00997CA5" w:rsidRDefault="00231205" w:rsidP="00231205">
            <w:pPr>
              <w:jc w:val="right"/>
              <w:rPr>
                <w:rFonts w:ascii="Arial" w:hAnsi="Arial" w:cs="Arial"/>
                <w:sz w:val="20"/>
                <w:szCs w:val="20"/>
              </w:rPr>
            </w:pPr>
            <w:r w:rsidRPr="00997CA5">
              <w:rPr>
                <w:rFonts w:ascii="Arial" w:hAnsi="Arial" w:cs="Arial"/>
                <w:sz w:val="20"/>
                <w:szCs w:val="20"/>
              </w:rPr>
              <w:t> </w:t>
            </w:r>
          </w:p>
        </w:tc>
      </w:tr>
      <w:tr w:rsidR="00231205" w:rsidTr="00231205">
        <w:trPr>
          <w:trHeight w:val="264"/>
          <w:jc w:val="center"/>
        </w:trPr>
        <w:tc>
          <w:tcPr>
            <w:tcW w:w="82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390</w:t>
            </w:r>
          </w:p>
        </w:tc>
        <w:tc>
          <w:tcPr>
            <w:tcW w:w="3477" w:type="dxa"/>
            <w:tcBorders>
              <w:top w:val="single" w:sz="4" w:space="0" w:color="auto"/>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Structures &amp; Improvements</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2.0</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89,801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2.0</w:t>
            </w:r>
          </w:p>
        </w:tc>
        <w:tc>
          <w:tcPr>
            <w:tcW w:w="1111"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89,801 </w:t>
            </w:r>
          </w:p>
        </w:tc>
        <w:tc>
          <w:tcPr>
            <w:tcW w:w="1000" w:type="dxa"/>
            <w:tcBorders>
              <w:top w:val="nil"/>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0 </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392.1</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Transportation - Cars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12.1</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6,089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11.9</w:t>
            </w:r>
          </w:p>
        </w:tc>
        <w:tc>
          <w:tcPr>
            <w:tcW w:w="111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5,989 </w:t>
            </w:r>
          </w:p>
        </w:tc>
        <w:tc>
          <w:tcPr>
            <w:tcW w:w="1000"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(101)</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392.2</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Transportation - Light Trucks &amp; Vans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9.8</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94,153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7.8</w:t>
            </w:r>
          </w:p>
        </w:tc>
        <w:tc>
          <w:tcPr>
            <w:tcW w:w="111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74,938 </w:t>
            </w:r>
          </w:p>
        </w:tc>
        <w:tc>
          <w:tcPr>
            <w:tcW w:w="1000"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(19,215)</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392.3</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Transportation - Heavy Trucks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6.6</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233,285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7.0</w:t>
            </w:r>
          </w:p>
        </w:tc>
        <w:tc>
          <w:tcPr>
            <w:tcW w:w="111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247,423 </w:t>
            </w:r>
          </w:p>
        </w:tc>
        <w:tc>
          <w:tcPr>
            <w:tcW w:w="1000"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14,138 </w:t>
            </w:r>
          </w:p>
        </w:tc>
      </w:tr>
      <w:tr w:rsidR="00231205" w:rsidTr="0023120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392.4</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Transportation - Trailers</w:t>
            </w:r>
          </w:p>
        </w:tc>
        <w:tc>
          <w:tcPr>
            <w:tcW w:w="1249"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3.8</w:t>
            </w:r>
          </w:p>
        </w:tc>
        <w:tc>
          <w:tcPr>
            <w:tcW w:w="1111" w:type="dxa"/>
            <w:tcBorders>
              <w:top w:val="nil"/>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5,475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3.7</w:t>
            </w:r>
          </w:p>
        </w:tc>
        <w:tc>
          <w:tcPr>
            <w:tcW w:w="111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5,331 </w:t>
            </w:r>
          </w:p>
        </w:tc>
        <w:tc>
          <w:tcPr>
            <w:tcW w:w="1000"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(144)</w:t>
            </w:r>
          </w:p>
        </w:tc>
      </w:tr>
      <w:tr w:rsidR="00231205" w:rsidTr="00231205">
        <w:trPr>
          <w:trHeight w:val="264"/>
          <w:jc w:val="center"/>
        </w:trPr>
        <w:tc>
          <w:tcPr>
            <w:tcW w:w="825" w:type="dxa"/>
            <w:tcBorders>
              <w:top w:val="nil"/>
              <w:left w:val="single" w:sz="8" w:space="0" w:color="auto"/>
              <w:bottom w:val="nil"/>
              <w:right w:val="single" w:sz="4" w:space="0" w:color="auto"/>
            </w:tcBorders>
            <w:shd w:val="clear" w:color="auto" w:fill="auto"/>
            <w:noWrap/>
            <w:vAlign w:val="bottom"/>
            <w:hideMark/>
          </w:tcPr>
          <w:p w:rsidR="00231205" w:rsidRDefault="00231205" w:rsidP="00231205">
            <w:pPr>
              <w:rPr>
                <w:sz w:val="20"/>
                <w:szCs w:val="20"/>
              </w:rPr>
            </w:pPr>
            <w:r>
              <w:rPr>
                <w:sz w:val="20"/>
                <w:szCs w:val="20"/>
              </w:rPr>
              <w:t>396</w:t>
            </w:r>
          </w:p>
        </w:tc>
        <w:tc>
          <w:tcPr>
            <w:tcW w:w="3477" w:type="dxa"/>
            <w:tcBorders>
              <w:top w:val="nil"/>
              <w:left w:val="nil"/>
              <w:bottom w:val="single" w:sz="4" w:space="0" w:color="auto"/>
              <w:right w:val="single" w:sz="4" w:space="0" w:color="auto"/>
            </w:tcBorders>
            <w:shd w:val="clear" w:color="auto" w:fill="auto"/>
            <w:noWrap/>
            <w:vAlign w:val="bottom"/>
            <w:hideMark/>
          </w:tcPr>
          <w:p w:rsidR="00231205" w:rsidRDefault="00231205" w:rsidP="00231205">
            <w:pPr>
              <w:rPr>
                <w:sz w:val="20"/>
                <w:szCs w:val="20"/>
              </w:rPr>
            </w:pPr>
            <w:r>
              <w:rPr>
                <w:sz w:val="20"/>
                <w:szCs w:val="20"/>
              </w:rPr>
              <w:t>Power Operated Equipment</w:t>
            </w:r>
          </w:p>
        </w:tc>
        <w:tc>
          <w:tcPr>
            <w:tcW w:w="1249"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2.8</w:t>
            </w:r>
          </w:p>
        </w:tc>
        <w:tc>
          <w:tcPr>
            <w:tcW w:w="1111" w:type="dxa"/>
            <w:tcBorders>
              <w:top w:val="nil"/>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8,483 </w:t>
            </w:r>
          </w:p>
        </w:tc>
        <w:tc>
          <w:tcPr>
            <w:tcW w:w="272" w:type="dxa"/>
            <w:tcBorders>
              <w:top w:val="nil"/>
              <w:left w:val="nil"/>
              <w:bottom w:val="nil"/>
              <w:right w:val="single" w:sz="4" w:space="0" w:color="auto"/>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4.4</w:t>
            </w:r>
          </w:p>
        </w:tc>
        <w:tc>
          <w:tcPr>
            <w:tcW w:w="1111" w:type="dxa"/>
            <w:tcBorders>
              <w:top w:val="single" w:sz="4" w:space="0" w:color="auto"/>
              <w:left w:val="nil"/>
              <w:bottom w:val="nil"/>
              <w:right w:val="single" w:sz="4"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13,331 </w:t>
            </w:r>
          </w:p>
        </w:tc>
        <w:tc>
          <w:tcPr>
            <w:tcW w:w="1000" w:type="dxa"/>
            <w:tcBorders>
              <w:top w:val="single" w:sz="4" w:space="0" w:color="auto"/>
              <w:left w:val="nil"/>
              <w:bottom w:val="nil"/>
              <w:right w:val="single" w:sz="8" w:space="0" w:color="auto"/>
            </w:tcBorders>
            <w:shd w:val="clear" w:color="auto" w:fill="auto"/>
            <w:noWrap/>
            <w:vAlign w:val="bottom"/>
            <w:hideMark/>
          </w:tcPr>
          <w:p w:rsidR="00231205" w:rsidRPr="00997CA5" w:rsidRDefault="00231205" w:rsidP="00231205">
            <w:pPr>
              <w:jc w:val="right"/>
              <w:rPr>
                <w:sz w:val="20"/>
                <w:szCs w:val="20"/>
              </w:rPr>
            </w:pPr>
            <w:r w:rsidRPr="00997CA5">
              <w:rPr>
                <w:sz w:val="20"/>
                <w:szCs w:val="20"/>
              </w:rPr>
              <w:t xml:space="preserve">4,848 </w:t>
            </w:r>
          </w:p>
        </w:tc>
      </w:tr>
      <w:tr w:rsidR="00231205" w:rsidTr="00231205">
        <w:trPr>
          <w:trHeight w:val="264"/>
          <w:jc w:val="center"/>
        </w:trPr>
        <w:tc>
          <w:tcPr>
            <w:tcW w:w="825" w:type="dxa"/>
            <w:tcBorders>
              <w:top w:val="single" w:sz="4" w:space="0" w:color="auto"/>
              <w:left w:val="single" w:sz="8" w:space="0" w:color="auto"/>
              <w:bottom w:val="nil"/>
              <w:right w:val="nil"/>
            </w:tcBorders>
            <w:shd w:val="clear" w:color="000000" w:fill="BFBFBF"/>
            <w:noWrap/>
            <w:vAlign w:val="bottom"/>
            <w:hideMark/>
          </w:tcPr>
          <w:p w:rsidR="00231205" w:rsidRDefault="00231205" w:rsidP="00231205">
            <w:pPr>
              <w:rPr>
                <w:sz w:val="20"/>
                <w:szCs w:val="20"/>
              </w:rPr>
            </w:pPr>
            <w:r>
              <w:rPr>
                <w:sz w:val="20"/>
                <w:szCs w:val="20"/>
              </w:rPr>
              <w:t> </w:t>
            </w:r>
          </w:p>
        </w:tc>
        <w:tc>
          <w:tcPr>
            <w:tcW w:w="3477" w:type="dxa"/>
            <w:tcBorders>
              <w:top w:val="nil"/>
              <w:left w:val="nil"/>
              <w:bottom w:val="nil"/>
              <w:right w:val="nil"/>
            </w:tcBorders>
            <w:shd w:val="clear" w:color="000000" w:fill="BFBFBF"/>
            <w:noWrap/>
            <w:vAlign w:val="bottom"/>
            <w:hideMark/>
          </w:tcPr>
          <w:p w:rsidR="00231205" w:rsidRDefault="00231205" w:rsidP="00231205">
            <w:pPr>
              <w:rPr>
                <w:sz w:val="20"/>
                <w:szCs w:val="20"/>
              </w:rPr>
            </w:pPr>
            <w:r>
              <w:rPr>
                <w:sz w:val="20"/>
                <w:szCs w:val="20"/>
              </w:rPr>
              <w:t>TOTAL GENERAL PLANT</w:t>
            </w:r>
          </w:p>
        </w:tc>
        <w:tc>
          <w:tcPr>
            <w:tcW w:w="1249" w:type="dxa"/>
            <w:tcBorders>
              <w:top w:val="single" w:sz="4" w:space="0" w:color="auto"/>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11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31205" w:rsidRPr="00997CA5" w:rsidRDefault="00231205" w:rsidP="00231205">
            <w:pPr>
              <w:jc w:val="right"/>
              <w:rPr>
                <w:sz w:val="20"/>
                <w:szCs w:val="20"/>
              </w:rPr>
            </w:pPr>
            <w:r w:rsidRPr="00997CA5">
              <w:rPr>
                <w:sz w:val="20"/>
                <w:szCs w:val="20"/>
              </w:rPr>
              <w:t xml:space="preserve">437,288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11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31205" w:rsidRPr="00997CA5" w:rsidRDefault="00231205" w:rsidP="00231205">
            <w:pPr>
              <w:jc w:val="right"/>
              <w:rPr>
                <w:sz w:val="20"/>
                <w:szCs w:val="20"/>
              </w:rPr>
            </w:pPr>
            <w:r w:rsidRPr="00997CA5">
              <w:rPr>
                <w:sz w:val="20"/>
                <w:szCs w:val="20"/>
              </w:rPr>
              <w:t xml:space="preserve">436,814 </w:t>
            </w:r>
          </w:p>
        </w:tc>
        <w:tc>
          <w:tcPr>
            <w:tcW w:w="1000" w:type="dxa"/>
            <w:tcBorders>
              <w:top w:val="single" w:sz="4" w:space="0" w:color="auto"/>
              <w:left w:val="nil"/>
              <w:bottom w:val="single" w:sz="4" w:space="0" w:color="auto"/>
              <w:right w:val="single" w:sz="8" w:space="0" w:color="auto"/>
            </w:tcBorders>
            <w:shd w:val="clear" w:color="000000" w:fill="BFBFBF"/>
            <w:noWrap/>
            <w:vAlign w:val="bottom"/>
            <w:hideMark/>
          </w:tcPr>
          <w:p w:rsidR="00231205" w:rsidRPr="00997CA5" w:rsidRDefault="00231205" w:rsidP="00231205">
            <w:pPr>
              <w:jc w:val="right"/>
              <w:rPr>
                <w:sz w:val="20"/>
                <w:szCs w:val="20"/>
              </w:rPr>
            </w:pPr>
            <w:r w:rsidRPr="00997CA5">
              <w:rPr>
                <w:sz w:val="20"/>
                <w:szCs w:val="20"/>
              </w:rPr>
              <w:t>(474)</w:t>
            </w:r>
          </w:p>
        </w:tc>
      </w:tr>
      <w:tr w:rsidR="00231205" w:rsidTr="00231205">
        <w:trPr>
          <w:trHeight w:val="264"/>
          <w:jc w:val="center"/>
        </w:trPr>
        <w:tc>
          <w:tcPr>
            <w:tcW w:w="825" w:type="dxa"/>
            <w:tcBorders>
              <w:top w:val="nil"/>
              <w:left w:val="single" w:sz="8" w:space="0" w:color="auto"/>
              <w:bottom w:val="nil"/>
              <w:right w:val="nil"/>
            </w:tcBorders>
            <w:shd w:val="clear" w:color="000000" w:fill="BFBFBF"/>
            <w:noWrap/>
            <w:vAlign w:val="bottom"/>
            <w:hideMark/>
          </w:tcPr>
          <w:p w:rsidR="00231205" w:rsidRDefault="00231205" w:rsidP="00231205">
            <w:pPr>
              <w:rPr>
                <w:sz w:val="20"/>
                <w:szCs w:val="20"/>
              </w:rPr>
            </w:pPr>
            <w:r>
              <w:rPr>
                <w:sz w:val="20"/>
                <w:szCs w:val="20"/>
              </w:rPr>
              <w:t> </w:t>
            </w:r>
          </w:p>
        </w:tc>
        <w:tc>
          <w:tcPr>
            <w:tcW w:w="3477" w:type="dxa"/>
            <w:tcBorders>
              <w:top w:val="nil"/>
              <w:left w:val="nil"/>
              <w:bottom w:val="nil"/>
              <w:right w:val="nil"/>
            </w:tcBorders>
            <w:shd w:val="clear" w:color="000000" w:fill="BFBFBF"/>
            <w:noWrap/>
            <w:vAlign w:val="bottom"/>
            <w:hideMark/>
          </w:tcPr>
          <w:p w:rsidR="00231205" w:rsidRDefault="00231205" w:rsidP="00231205">
            <w:pPr>
              <w:rPr>
                <w:sz w:val="20"/>
                <w:szCs w:val="20"/>
              </w:rPr>
            </w:pPr>
            <w:r>
              <w:rPr>
                <w:sz w:val="20"/>
                <w:szCs w:val="20"/>
              </w:rPr>
              <w:t> </w:t>
            </w:r>
          </w:p>
        </w:tc>
        <w:tc>
          <w:tcPr>
            <w:tcW w:w="1249"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111"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111"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000" w:type="dxa"/>
            <w:tcBorders>
              <w:top w:val="nil"/>
              <w:left w:val="nil"/>
              <w:bottom w:val="nil"/>
              <w:right w:val="single" w:sz="8" w:space="0" w:color="auto"/>
            </w:tcBorders>
            <w:shd w:val="clear" w:color="000000" w:fill="BFBFBF"/>
            <w:noWrap/>
            <w:vAlign w:val="bottom"/>
            <w:hideMark/>
          </w:tcPr>
          <w:p w:rsidR="00231205" w:rsidRPr="00997CA5" w:rsidRDefault="00231205" w:rsidP="00231205">
            <w:pPr>
              <w:jc w:val="right"/>
              <w:rPr>
                <w:sz w:val="20"/>
                <w:szCs w:val="20"/>
              </w:rPr>
            </w:pPr>
            <w:r w:rsidRPr="00997CA5">
              <w:rPr>
                <w:sz w:val="20"/>
                <w:szCs w:val="20"/>
              </w:rPr>
              <w:t> </w:t>
            </w:r>
          </w:p>
        </w:tc>
      </w:tr>
      <w:tr w:rsidR="00231205" w:rsidTr="00231205">
        <w:trPr>
          <w:trHeight w:val="276"/>
          <w:jc w:val="center"/>
        </w:trPr>
        <w:tc>
          <w:tcPr>
            <w:tcW w:w="825" w:type="dxa"/>
            <w:tcBorders>
              <w:top w:val="nil"/>
              <w:left w:val="single" w:sz="8" w:space="0" w:color="auto"/>
              <w:bottom w:val="nil"/>
              <w:right w:val="nil"/>
            </w:tcBorders>
            <w:shd w:val="clear" w:color="000000" w:fill="BFBFBF"/>
            <w:noWrap/>
            <w:vAlign w:val="bottom"/>
            <w:hideMark/>
          </w:tcPr>
          <w:p w:rsidR="00231205" w:rsidRDefault="00231205" w:rsidP="00231205">
            <w:pPr>
              <w:rPr>
                <w:sz w:val="20"/>
                <w:szCs w:val="20"/>
              </w:rPr>
            </w:pPr>
            <w:r>
              <w:rPr>
                <w:sz w:val="20"/>
                <w:szCs w:val="20"/>
              </w:rPr>
              <w:t> </w:t>
            </w:r>
          </w:p>
        </w:tc>
        <w:tc>
          <w:tcPr>
            <w:tcW w:w="3477" w:type="dxa"/>
            <w:tcBorders>
              <w:top w:val="nil"/>
              <w:left w:val="nil"/>
              <w:bottom w:val="nil"/>
              <w:right w:val="nil"/>
            </w:tcBorders>
            <w:shd w:val="clear" w:color="000000" w:fill="BFBFBF"/>
            <w:noWrap/>
            <w:vAlign w:val="bottom"/>
            <w:hideMark/>
          </w:tcPr>
          <w:p w:rsidR="00231205" w:rsidRDefault="00231205" w:rsidP="00231205">
            <w:pPr>
              <w:jc w:val="right"/>
              <w:rPr>
                <w:sz w:val="20"/>
                <w:szCs w:val="20"/>
              </w:rPr>
            </w:pPr>
            <w:r>
              <w:rPr>
                <w:sz w:val="20"/>
                <w:szCs w:val="20"/>
              </w:rPr>
              <w:t>TOTAL PLANT</w:t>
            </w:r>
          </w:p>
        </w:tc>
        <w:tc>
          <w:tcPr>
            <w:tcW w:w="1249"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111" w:type="dxa"/>
            <w:tcBorders>
              <w:top w:val="single" w:sz="4" w:space="0" w:color="auto"/>
              <w:left w:val="single" w:sz="4" w:space="0" w:color="auto"/>
              <w:bottom w:val="double" w:sz="6" w:space="0" w:color="auto"/>
              <w:right w:val="single" w:sz="4" w:space="0" w:color="auto"/>
            </w:tcBorders>
            <w:shd w:val="clear" w:color="000000" w:fill="BFBFBF"/>
            <w:noWrap/>
            <w:vAlign w:val="bottom"/>
            <w:hideMark/>
          </w:tcPr>
          <w:p w:rsidR="00231205" w:rsidRPr="00997CA5" w:rsidRDefault="00231205" w:rsidP="00231205">
            <w:pPr>
              <w:jc w:val="right"/>
              <w:rPr>
                <w:sz w:val="20"/>
                <w:szCs w:val="20"/>
              </w:rPr>
            </w:pPr>
            <w:r w:rsidRPr="00997CA5">
              <w:rPr>
                <w:sz w:val="20"/>
                <w:szCs w:val="20"/>
              </w:rPr>
              <w:t xml:space="preserve">3,949,607 </w:t>
            </w:r>
          </w:p>
        </w:tc>
        <w:tc>
          <w:tcPr>
            <w:tcW w:w="272" w:type="dxa"/>
            <w:tcBorders>
              <w:top w:val="nil"/>
              <w:left w:val="nil"/>
              <w:bottom w:val="nil"/>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111" w:type="dxa"/>
            <w:tcBorders>
              <w:top w:val="single" w:sz="4" w:space="0" w:color="auto"/>
              <w:left w:val="single" w:sz="4" w:space="0" w:color="auto"/>
              <w:bottom w:val="double" w:sz="6" w:space="0" w:color="auto"/>
              <w:right w:val="single" w:sz="4" w:space="0" w:color="auto"/>
            </w:tcBorders>
            <w:shd w:val="clear" w:color="000000" w:fill="BFBFBF"/>
            <w:noWrap/>
            <w:vAlign w:val="bottom"/>
            <w:hideMark/>
          </w:tcPr>
          <w:p w:rsidR="00231205" w:rsidRPr="00997CA5" w:rsidRDefault="00231205" w:rsidP="00231205">
            <w:pPr>
              <w:jc w:val="right"/>
              <w:rPr>
                <w:sz w:val="20"/>
                <w:szCs w:val="20"/>
              </w:rPr>
            </w:pPr>
            <w:r w:rsidRPr="00997CA5">
              <w:rPr>
                <w:sz w:val="20"/>
                <w:szCs w:val="20"/>
              </w:rPr>
              <w:t xml:space="preserve">3,720,192 </w:t>
            </w:r>
          </w:p>
        </w:tc>
        <w:tc>
          <w:tcPr>
            <w:tcW w:w="1000" w:type="dxa"/>
            <w:tcBorders>
              <w:top w:val="single" w:sz="4" w:space="0" w:color="auto"/>
              <w:left w:val="nil"/>
              <w:bottom w:val="double" w:sz="6" w:space="0" w:color="auto"/>
              <w:right w:val="single" w:sz="8" w:space="0" w:color="auto"/>
            </w:tcBorders>
            <w:shd w:val="clear" w:color="000000" w:fill="BFBFBF"/>
            <w:noWrap/>
            <w:vAlign w:val="bottom"/>
            <w:hideMark/>
          </w:tcPr>
          <w:p w:rsidR="00231205" w:rsidRPr="00997CA5" w:rsidRDefault="00231205" w:rsidP="00231205">
            <w:pPr>
              <w:jc w:val="right"/>
              <w:rPr>
                <w:sz w:val="20"/>
                <w:szCs w:val="20"/>
              </w:rPr>
            </w:pPr>
            <w:r w:rsidRPr="00997CA5">
              <w:rPr>
                <w:sz w:val="20"/>
                <w:szCs w:val="20"/>
              </w:rPr>
              <w:t>(229,415)</w:t>
            </w:r>
          </w:p>
        </w:tc>
      </w:tr>
      <w:tr w:rsidR="00231205" w:rsidTr="00231205">
        <w:trPr>
          <w:trHeight w:val="72"/>
          <w:jc w:val="center"/>
        </w:trPr>
        <w:tc>
          <w:tcPr>
            <w:tcW w:w="825" w:type="dxa"/>
            <w:tcBorders>
              <w:top w:val="nil"/>
              <w:left w:val="single" w:sz="8" w:space="0" w:color="auto"/>
              <w:bottom w:val="single" w:sz="8" w:space="0" w:color="auto"/>
              <w:right w:val="nil"/>
            </w:tcBorders>
            <w:shd w:val="clear" w:color="000000" w:fill="BFBFBF"/>
            <w:noWrap/>
            <w:vAlign w:val="bottom"/>
            <w:hideMark/>
          </w:tcPr>
          <w:p w:rsidR="00231205" w:rsidRDefault="00231205" w:rsidP="00231205">
            <w:pPr>
              <w:rPr>
                <w:sz w:val="20"/>
                <w:szCs w:val="20"/>
              </w:rPr>
            </w:pPr>
            <w:r>
              <w:rPr>
                <w:sz w:val="20"/>
                <w:szCs w:val="20"/>
              </w:rPr>
              <w:t> </w:t>
            </w:r>
          </w:p>
        </w:tc>
        <w:tc>
          <w:tcPr>
            <w:tcW w:w="3477" w:type="dxa"/>
            <w:tcBorders>
              <w:top w:val="nil"/>
              <w:left w:val="nil"/>
              <w:bottom w:val="single" w:sz="8" w:space="0" w:color="auto"/>
              <w:right w:val="nil"/>
            </w:tcBorders>
            <w:shd w:val="clear" w:color="000000" w:fill="BFBFBF"/>
            <w:noWrap/>
            <w:vAlign w:val="bottom"/>
            <w:hideMark/>
          </w:tcPr>
          <w:p w:rsidR="00231205" w:rsidRDefault="00231205" w:rsidP="00231205">
            <w:pPr>
              <w:rPr>
                <w:sz w:val="20"/>
                <w:szCs w:val="20"/>
              </w:rPr>
            </w:pPr>
            <w:r>
              <w:rPr>
                <w:sz w:val="20"/>
                <w:szCs w:val="20"/>
              </w:rPr>
              <w:t> </w:t>
            </w:r>
          </w:p>
        </w:tc>
        <w:tc>
          <w:tcPr>
            <w:tcW w:w="1249" w:type="dxa"/>
            <w:tcBorders>
              <w:top w:val="nil"/>
              <w:left w:val="nil"/>
              <w:bottom w:val="single" w:sz="8" w:space="0" w:color="auto"/>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111" w:type="dxa"/>
            <w:tcBorders>
              <w:top w:val="nil"/>
              <w:left w:val="nil"/>
              <w:bottom w:val="single" w:sz="8" w:space="0" w:color="auto"/>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272" w:type="dxa"/>
            <w:tcBorders>
              <w:top w:val="nil"/>
              <w:left w:val="nil"/>
              <w:bottom w:val="single" w:sz="8" w:space="0" w:color="auto"/>
              <w:right w:val="nil"/>
            </w:tcBorders>
            <w:shd w:val="clear" w:color="000000" w:fill="BFBFBF"/>
            <w:noWrap/>
            <w:vAlign w:val="bottom"/>
            <w:hideMark/>
          </w:tcPr>
          <w:p w:rsidR="00231205" w:rsidRPr="00997CA5" w:rsidRDefault="00231205" w:rsidP="00231205">
            <w:pPr>
              <w:rPr>
                <w:rFonts w:ascii="Arial" w:hAnsi="Arial" w:cs="Arial"/>
                <w:sz w:val="20"/>
                <w:szCs w:val="20"/>
              </w:rPr>
            </w:pPr>
            <w:r w:rsidRPr="00997CA5">
              <w:rPr>
                <w:rFonts w:ascii="Arial" w:hAnsi="Arial" w:cs="Arial"/>
                <w:sz w:val="20"/>
                <w:szCs w:val="20"/>
              </w:rPr>
              <w:t> </w:t>
            </w:r>
          </w:p>
        </w:tc>
        <w:tc>
          <w:tcPr>
            <w:tcW w:w="1249" w:type="dxa"/>
            <w:tcBorders>
              <w:top w:val="nil"/>
              <w:left w:val="nil"/>
              <w:bottom w:val="single" w:sz="8" w:space="0" w:color="auto"/>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111" w:type="dxa"/>
            <w:tcBorders>
              <w:top w:val="nil"/>
              <w:left w:val="nil"/>
              <w:bottom w:val="single" w:sz="8" w:space="0" w:color="auto"/>
              <w:right w:val="nil"/>
            </w:tcBorders>
            <w:shd w:val="clear" w:color="000000" w:fill="BFBFBF"/>
            <w:noWrap/>
            <w:vAlign w:val="bottom"/>
            <w:hideMark/>
          </w:tcPr>
          <w:p w:rsidR="00231205" w:rsidRPr="00997CA5" w:rsidRDefault="00231205" w:rsidP="00231205">
            <w:pPr>
              <w:rPr>
                <w:sz w:val="20"/>
                <w:szCs w:val="20"/>
              </w:rPr>
            </w:pPr>
            <w:r w:rsidRPr="00997CA5">
              <w:rPr>
                <w:sz w:val="20"/>
                <w:szCs w:val="20"/>
              </w:rPr>
              <w:t> </w:t>
            </w:r>
          </w:p>
        </w:tc>
        <w:tc>
          <w:tcPr>
            <w:tcW w:w="1000" w:type="dxa"/>
            <w:tcBorders>
              <w:top w:val="nil"/>
              <w:left w:val="nil"/>
              <w:bottom w:val="single" w:sz="8" w:space="0" w:color="auto"/>
              <w:right w:val="single" w:sz="8" w:space="0" w:color="auto"/>
            </w:tcBorders>
            <w:shd w:val="clear" w:color="000000" w:fill="BFBFBF"/>
            <w:noWrap/>
            <w:vAlign w:val="bottom"/>
            <w:hideMark/>
          </w:tcPr>
          <w:p w:rsidR="00231205" w:rsidRPr="00997CA5" w:rsidRDefault="00231205" w:rsidP="00231205">
            <w:pPr>
              <w:jc w:val="right"/>
              <w:rPr>
                <w:sz w:val="20"/>
                <w:szCs w:val="20"/>
              </w:rPr>
            </w:pPr>
            <w:r w:rsidRPr="00997CA5">
              <w:rPr>
                <w:sz w:val="20"/>
                <w:szCs w:val="20"/>
              </w:rPr>
              <w:t> </w:t>
            </w:r>
          </w:p>
        </w:tc>
      </w:tr>
    </w:tbl>
    <w:p w:rsidR="005F4C4E" w:rsidRDefault="005F4C4E" w:rsidP="00231205">
      <w:pPr>
        <w:pStyle w:val="OrderBody"/>
        <w:sectPr w:rsidR="005F4C4E" w:rsidSect="00231205">
          <w:headerReference w:type="default" r:id="rId11"/>
          <w:pgSz w:w="12240" w:h="15840" w:code="1"/>
          <w:pgMar w:top="1440" w:right="1440" w:bottom="1440" w:left="1440" w:header="720" w:footer="720" w:gutter="0"/>
          <w:cols w:space="720"/>
          <w:docGrid w:linePitch="360"/>
        </w:sectPr>
      </w:pPr>
    </w:p>
    <w:tbl>
      <w:tblPr>
        <w:tblW w:w="10520" w:type="dxa"/>
        <w:jc w:val="center"/>
        <w:tblLook w:val="04A0" w:firstRow="1" w:lastRow="0" w:firstColumn="1" w:lastColumn="0" w:noHBand="0" w:noVBand="1"/>
      </w:tblPr>
      <w:tblGrid>
        <w:gridCol w:w="894"/>
        <w:gridCol w:w="3873"/>
        <w:gridCol w:w="1169"/>
        <w:gridCol w:w="1183"/>
        <w:gridCol w:w="1212"/>
        <w:gridCol w:w="1023"/>
        <w:gridCol w:w="1169"/>
      </w:tblGrid>
      <w:tr w:rsidR="005F4C4E" w:rsidTr="00F1000E">
        <w:trPr>
          <w:trHeight w:val="276"/>
          <w:jc w:val="center"/>
        </w:trPr>
        <w:tc>
          <w:tcPr>
            <w:tcW w:w="10520" w:type="dxa"/>
            <w:gridSpan w:val="7"/>
            <w:tcBorders>
              <w:top w:val="nil"/>
              <w:left w:val="nil"/>
              <w:bottom w:val="single" w:sz="8" w:space="0" w:color="auto"/>
              <w:right w:val="nil"/>
            </w:tcBorders>
            <w:shd w:val="clear" w:color="auto" w:fill="auto"/>
            <w:noWrap/>
            <w:vAlign w:val="bottom"/>
            <w:hideMark/>
          </w:tcPr>
          <w:p w:rsidR="005F4C4E" w:rsidRDefault="005F4C4E" w:rsidP="00F1000E">
            <w:pPr>
              <w:jc w:val="right"/>
              <w:rPr>
                <w:sz w:val="20"/>
                <w:szCs w:val="20"/>
              </w:rPr>
            </w:pPr>
            <w:bookmarkStart w:id="10" w:name="RANGE!A1:G41"/>
          </w:p>
          <w:bookmarkEnd w:id="10"/>
          <w:p w:rsidR="005F4C4E" w:rsidRDefault="005F4C4E" w:rsidP="00F1000E">
            <w:pPr>
              <w:jc w:val="right"/>
              <w:rPr>
                <w:sz w:val="20"/>
                <w:szCs w:val="20"/>
              </w:rPr>
            </w:pPr>
          </w:p>
        </w:tc>
      </w:tr>
      <w:tr w:rsidR="005F4C4E" w:rsidTr="00F1000E">
        <w:trPr>
          <w:trHeight w:val="264"/>
          <w:jc w:val="center"/>
        </w:trPr>
        <w:tc>
          <w:tcPr>
            <w:tcW w:w="10520" w:type="dxa"/>
            <w:gridSpan w:val="7"/>
            <w:tcBorders>
              <w:top w:val="single" w:sz="8" w:space="0" w:color="auto"/>
              <w:left w:val="single" w:sz="8" w:space="0" w:color="auto"/>
              <w:bottom w:val="nil"/>
              <w:right w:val="single" w:sz="8" w:space="0" w:color="000000"/>
            </w:tcBorders>
            <w:shd w:val="clear" w:color="000000" w:fill="BFBFBF"/>
            <w:noWrap/>
            <w:vAlign w:val="bottom"/>
            <w:hideMark/>
          </w:tcPr>
          <w:p w:rsidR="005F4C4E" w:rsidRDefault="005F4C4E" w:rsidP="00F1000E">
            <w:pPr>
              <w:jc w:val="center"/>
              <w:rPr>
                <w:b/>
                <w:bCs/>
                <w:sz w:val="20"/>
                <w:szCs w:val="20"/>
              </w:rPr>
            </w:pPr>
            <w:r>
              <w:rPr>
                <w:b/>
                <w:bCs/>
                <w:sz w:val="20"/>
                <w:szCs w:val="20"/>
              </w:rPr>
              <w:t>Theoretical Reserve Analysis</w:t>
            </w:r>
          </w:p>
        </w:tc>
      </w:tr>
      <w:tr w:rsidR="005F4C4E" w:rsidTr="00F1000E">
        <w:trPr>
          <w:trHeight w:val="264"/>
          <w:jc w:val="center"/>
        </w:trPr>
        <w:tc>
          <w:tcPr>
            <w:tcW w:w="891" w:type="dxa"/>
            <w:tcBorders>
              <w:top w:val="nil"/>
              <w:left w:val="single" w:sz="8" w:space="0" w:color="auto"/>
              <w:bottom w:val="nil"/>
              <w:right w:val="nil"/>
            </w:tcBorders>
            <w:shd w:val="clear" w:color="000000" w:fill="BFBFBF"/>
            <w:noWrap/>
            <w:vAlign w:val="bottom"/>
            <w:hideMark/>
          </w:tcPr>
          <w:p w:rsidR="005F4C4E" w:rsidRDefault="005F4C4E" w:rsidP="00F1000E">
            <w:pPr>
              <w:jc w:val="center"/>
              <w:rPr>
                <w:sz w:val="20"/>
                <w:szCs w:val="20"/>
              </w:rPr>
            </w:pPr>
            <w:r>
              <w:rPr>
                <w:sz w:val="20"/>
                <w:szCs w:val="20"/>
              </w:rPr>
              <w:t>Account</w:t>
            </w:r>
          </w:p>
        </w:tc>
        <w:tc>
          <w:tcPr>
            <w:tcW w:w="3873" w:type="dxa"/>
            <w:vMerge w:val="restart"/>
            <w:tcBorders>
              <w:top w:val="nil"/>
              <w:left w:val="nil"/>
              <w:bottom w:val="nil"/>
              <w:right w:val="nil"/>
            </w:tcBorders>
            <w:shd w:val="clear" w:color="000000" w:fill="BFBFBF"/>
            <w:noWrap/>
            <w:vAlign w:val="center"/>
            <w:hideMark/>
          </w:tcPr>
          <w:p w:rsidR="005F4C4E" w:rsidRDefault="005F4C4E" w:rsidP="00F1000E">
            <w:pPr>
              <w:jc w:val="center"/>
              <w:rPr>
                <w:sz w:val="20"/>
                <w:szCs w:val="20"/>
              </w:rPr>
            </w:pPr>
            <w:r>
              <w:rPr>
                <w:sz w:val="20"/>
                <w:szCs w:val="20"/>
              </w:rPr>
              <w:t>Account Title</w:t>
            </w:r>
          </w:p>
        </w:tc>
        <w:tc>
          <w:tcPr>
            <w:tcW w:w="1169" w:type="dxa"/>
            <w:tcBorders>
              <w:top w:val="nil"/>
              <w:left w:val="nil"/>
              <w:bottom w:val="nil"/>
              <w:right w:val="nil"/>
            </w:tcBorders>
            <w:shd w:val="clear" w:color="000000" w:fill="BFBFBF"/>
            <w:noWrap/>
            <w:vAlign w:val="bottom"/>
            <w:hideMark/>
          </w:tcPr>
          <w:p w:rsidR="005F4C4E" w:rsidRDefault="005F4C4E" w:rsidP="00F1000E">
            <w:pPr>
              <w:jc w:val="center"/>
              <w:rPr>
                <w:sz w:val="20"/>
                <w:szCs w:val="20"/>
              </w:rPr>
            </w:pPr>
            <w:r>
              <w:rPr>
                <w:sz w:val="20"/>
                <w:szCs w:val="20"/>
              </w:rPr>
              <w:t>Reserve</w:t>
            </w:r>
          </w:p>
        </w:tc>
        <w:tc>
          <w:tcPr>
            <w:tcW w:w="1183" w:type="dxa"/>
            <w:tcBorders>
              <w:top w:val="nil"/>
              <w:left w:val="nil"/>
              <w:bottom w:val="nil"/>
              <w:right w:val="nil"/>
            </w:tcBorders>
            <w:shd w:val="clear" w:color="000000" w:fill="BFBFBF"/>
            <w:noWrap/>
            <w:vAlign w:val="center"/>
            <w:hideMark/>
          </w:tcPr>
          <w:p w:rsidR="005F4C4E" w:rsidRDefault="005F4C4E" w:rsidP="00F1000E">
            <w:pPr>
              <w:jc w:val="center"/>
              <w:rPr>
                <w:sz w:val="20"/>
                <w:szCs w:val="20"/>
              </w:rPr>
            </w:pPr>
            <w:r>
              <w:rPr>
                <w:sz w:val="20"/>
                <w:szCs w:val="20"/>
              </w:rPr>
              <w:t>Theoretical</w:t>
            </w:r>
          </w:p>
        </w:tc>
        <w:tc>
          <w:tcPr>
            <w:tcW w:w="1212" w:type="dxa"/>
            <w:tcBorders>
              <w:top w:val="nil"/>
              <w:left w:val="nil"/>
              <w:bottom w:val="nil"/>
              <w:right w:val="nil"/>
            </w:tcBorders>
            <w:shd w:val="clear" w:color="000000" w:fill="BFBFBF"/>
            <w:noWrap/>
            <w:vAlign w:val="center"/>
            <w:hideMark/>
          </w:tcPr>
          <w:p w:rsidR="005F4C4E" w:rsidRDefault="005F4C4E" w:rsidP="00F1000E">
            <w:pPr>
              <w:jc w:val="center"/>
              <w:rPr>
                <w:sz w:val="20"/>
                <w:szCs w:val="20"/>
              </w:rPr>
            </w:pPr>
            <w:r>
              <w:rPr>
                <w:sz w:val="20"/>
                <w:szCs w:val="20"/>
              </w:rPr>
              <w:t>Reserve</w:t>
            </w:r>
          </w:p>
        </w:tc>
        <w:tc>
          <w:tcPr>
            <w:tcW w:w="1023" w:type="dxa"/>
            <w:tcBorders>
              <w:top w:val="nil"/>
              <w:left w:val="nil"/>
              <w:bottom w:val="nil"/>
              <w:right w:val="nil"/>
            </w:tcBorders>
            <w:shd w:val="clear" w:color="000000" w:fill="BFBFBF"/>
            <w:noWrap/>
            <w:vAlign w:val="center"/>
            <w:hideMark/>
          </w:tcPr>
          <w:p w:rsidR="005F4C4E" w:rsidRDefault="005F4C4E" w:rsidP="00F1000E">
            <w:pPr>
              <w:jc w:val="center"/>
              <w:rPr>
                <w:sz w:val="20"/>
                <w:szCs w:val="20"/>
              </w:rPr>
            </w:pPr>
            <w:r>
              <w:rPr>
                <w:sz w:val="20"/>
                <w:szCs w:val="20"/>
              </w:rPr>
              <w:t>Reserve</w:t>
            </w:r>
          </w:p>
        </w:tc>
        <w:tc>
          <w:tcPr>
            <w:tcW w:w="1169" w:type="dxa"/>
            <w:tcBorders>
              <w:top w:val="nil"/>
              <w:left w:val="nil"/>
              <w:bottom w:val="nil"/>
              <w:right w:val="single" w:sz="8" w:space="0" w:color="auto"/>
            </w:tcBorders>
            <w:shd w:val="clear" w:color="000000" w:fill="BFBFBF"/>
            <w:noWrap/>
            <w:vAlign w:val="center"/>
            <w:hideMark/>
          </w:tcPr>
          <w:p w:rsidR="005F4C4E" w:rsidRDefault="005F4C4E" w:rsidP="00F1000E">
            <w:pPr>
              <w:jc w:val="center"/>
              <w:rPr>
                <w:sz w:val="20"/>
                <w:szCs w:val="20"/>
              </w:rPr>
            </w:pPr>
            <w:r>
              <w:rPr>
                <w:sz w:val="20"/>
                <w:szCs w:val="20"/>
              </w:rPr>
              <w:t>Restated</w:t>
            </w:r>
          </w:p>
        </w:tc>
      </w:tr>
      <w:tr w:rsidR="005F4C4E" w:rsidTr="00F1000E">
        <w:trPr>
          <w:trHeight w:val="264"/>
          <w:jc w:val="center"/>
        </w:trPr>
        <w:tc>
          <w:tcPr>
            <w:tcW w:w="891" w:type="dxa"/>
            <w:tcBorders>
              <w:top w:val="nil"/>
              <w:left w:val="single" w:sz="8" w:space="0" w:color="auto"/>
              <w:bottom w:val="nil"/>
              <w:right w:val="nil"/>
            </w:tcBorders>
            <w:shd w:val="clear" w:color="000000" w:fill="BFBFBF"/>
            <w:noWrap/>
            <w:vAlign w:val="bottom"/>
            <w:hideMark/>
          </w:tcPr>
          <w:p w:rsidR="005F4C4E" w:rsidRDefault="005F4C4E" w:rsidP="00F1000E">
            <w:pPr>
              <w:jc w:val="center"/>
              <w:rPr>
                <w:sz w:val="20"/>
                <w:szCs w:val="20"/>
              </w:rPr>
            </w:pPr>
            <w:r>
              <w:rPr>
                <w:sz w:val="20"/>
                <w:szCs w:val="20"/>
              </w:rPr>
              <w:t>Number</w:t>
            </w:r>
          </w:p>
        </w:tc>
        <w:tc>
          <w:tcPr>
            <w:tcW w:w="3873" w:type="dxa"/>
            <w:vMerge/>
            <w:tcBorders>
              <w:top w:val="nil"/>
              <w:left w:val="nil"/>
              <w:bottom w:val="nil"/>
              <w:right w:val="nil"/>
            </w:tcBorders>
            <w:vAlign w:val="center"/>
            <w:hideMark/>
          </w:tcPr>
          <w:p w:rsidR="005F4C4E" w:rsidRDefault="005F4C4E" w:rsidP="00F1000E">
            <w:pPr>
              <w:rPr>
                <w:sz w:val="20"/>
                <w:szCs w:val="20"/>
              </w:rPr>
            </w:pPr>
          </w:p>
        </w:tc>
        <w:tc>
          <w:tcPr>
            <w:tcW w:w="1169" w:type="dxa"/>
            <w:tcBorders>
              <w:top w:val="nil"/>
              <w:left w:val="nil"/>
              <w:bottom w:val="nil"/>
              <w:right w:val="nil"/>
            </w:tcBorders>
            <w:shd w:val="clear" w:color="000000" w:fill="BFBFBF"/>
            <w:noWrap/>
            <w:vAlign w:val="bottom"/>
            <w:hideMark/>
          </w:tcPr>
          <w:p w:rsidR="005F4C4E" w:rsidRDefault="005F4C4E" w:rsidP="00F1000E">
            <w:pPr>
              <w:jc w:val="center"/>
              <w:rPr>
                <w:sz w:val="20"/>
                <w:szCs w:val="20"/>
              </w:rPr>
            </w:pPr>
            <w:r>
              <w:rPr>
                <w:sz w:val="20"/>
                <w:szCs w:val="20"/>
              </w:rPr>
              <w:t>1/1/2015</w:t>
            </w:r>
          </w:p>
        </w:tc>
        <w:tc>
          <w:tcPr>
            <w:tcW w:w="1183" w:type="dxa"/>
            <w:tcBorders>
              <w:top w:val="nil"/>
              <w:left w:val="nil"/>
              <w:bottom w:val="nil"/>
              <w:right w:val="nil"/>
            </w:tcBorders>
            <w:shd w:val="clear" w:color="000000" w:fill="BFBFBF"/>
            <w:noWrap/>
            <w:vAlign w:val="bottom"/>
            <w:hideMark/>
          </w:tcPr>
          <w:p w:rsidR="005F4C4E" w:rsidRDefault="005F4C4E" w:rsidP="00F1000E">
            <w:pPr>
              <w:jc w:val="center"/>
              <w:rPr>
                <w:sz w:val="20"/>
                <w:szCs w:val="20"/>
              </w:rPr>
            </w:pPr>
            <w:r>
              <w:rPr>
                <w:sz w:val="20"/>
                <w:szCs w:val="20"/>
              </w:rPr>
              <w:t>Reserve</w:t>
            </w:r>
          </w:p>
        </w:tc>
        <w:tc>
          <w:tcPr>
            <w:tcW w:w="1212" w:type="dxa"/>
            <w:tcBorders>
              <w:top w:val="nil"/>
              <w:left w:val="nil"/>
              <w:bottom w:val="nil"/>
              <w:right w:val="nil"/>
            </w:tcBorders>
            <w:shd w:val="clear" w:color="000000" w:fill="BFBFBF"/>
            <w:noWrap/>
            <w:vAlign w:val="bottom"/>
            <w:hideMark/>
          </w:tcPr>
          <w:p w:rsidR="005F4C4E" w:rsidRDefault="005F4C4E" w:rsidP="00F1000E">
            <w:pPr>
              <w:jc w:val="center"/>
              <w:rPr>
                <w:sz w:val="20"/>
                <w:szCs w:val="20"/>
              </w:rPr>
            </w:pPr>
            <w:r>
              <w:rPr>
                <w:sz w:val="20"/>
                <w:szCs w:val="20"/>
              </w:rPr>
              <w:t>Imbalance</w:t>
            </w:r>
          </w:p>
        </w:tc>
        <w:tc>
          <w:tcPr>
            <w:tcW w:w="1023" w:type="dxa"/>
            <w:tcBorders>
              <w:top w:val="nil"/>
              <w:left w:val="nil"/>
              <w:bottom w:val="nil"/>
              <w:right w:val="nil"/>
            </w:tcBorders>
            <w:shd w:val="clear" w:color="000000" w:fill="BFBFBF"/>
            <w:noWrap/>
            <w:vAlign w:val="bottom"/>
            <w:hideMark/>
          </w:tcPr>
          <w:p w:rsidR="005F4C4E" w:rsidRDefault="005F4C4E" w:rsidP="00F1000E">
            <w:pPr>
              <w:jc w:val="center"/>
              <w:rPr>
                <w:sz w:val="20"/>
                <w:szCs w:val="20"/>
              </w:rPr>
            </w:pPr>
            <w:r>
              <w:rPr>
                <w:sz w:val="20"/>
                <w:szCs w:val="20"/>
              </w:rPr>
              <w:t>Transfer</w:t>
            </w:r>
          </w:p>
        </w:tc>
        <w:tc>
          <w:tcPr>
            <w:tcW w:w="1169" w:type="dxa"/>
            <w:tcBorders>
              <w:top w:val="nil"/>
              <w:left w:val="nil"/>
              <w:bottom w:val="nil"/>
              <w:right w:val="single" w:sz="8" w:space="0" w:color="auto"/>
            </w:tcBorders>
            <w:shd w:val="clear" w:color="000000" w:fill="BFBFBF"/>
            <w:noWrap/>
            <w:vAlign w:val="bottom"/>
            <w:hideMark/>
          </w:tcPr>
          <w:p w:rsidR="005F4C4E" w:rsidRDefault="005F4C4E" w:rsidP="00F1000E">
            <w:pPr>
              <w:jc w:val="center"/>
              <w:rPr>
                <w:sz w:val="20"/>
                <w:szCs w:val="20"/>
              </w:rPr>
            </w:pPr>
            <w:r>
              <w:rPr>
                <w:sz w:val="20"/>
                <w:szCs w:val="20"/>
              </w:rPr>
              <w:t>Reserve</w:t>
            </w:r>
          </w:p>
        </w:tc>
      </w:tr>
      <w:tr w:rsidR="005F4C4E" w:rsidTr="00F1000E">
        <w:trPr>
          <w:trHeight w:val="264"/>
          <w:jc w:val="center"/>
        </w:trPr>
        <w:tc>
          <w:tcPr>
            <w:tcW w:w="891" w:type="dxa"/>
            <w:tcBorders>
              <w:top w:val="nil"/>
              <w:left w:val="single" w:sz="8" w:space="0" w:color="auto"/>
              <w:bottom w:val="nil"/>
              <w:right w:val="nil"/>
            </w:tcBorders>
            <w:shd w:val="clear" w:color="000000" w:fill="BFBFBF"/>
            <w:noWrap/>
            <w:vAlign w:val="bottom"/>
            <w:hideMark/>
          </w:tcPr>
          <w:p w:rsidR="005F4C4E" w:rsidRDefault="005F4C4E" w:rsidP="00F1000E">
            <w:pPr>
              <w:jc w:val="center"/>
              <w:rPr>
                <w:sz w:val="20"/>
                <w:szCs w:val="20"/>
              </w:rPr>
            </w:pPr>
            <w:r>
              <w:rPr>
                <w:sz w:val="20"/>
                <w:szCs w:val="20"/>
              </w:rPr>
              <w:t> </w:t>
            </w:r>
          </w:p>
        </w:tc>
        <w:tc>
          <w:tcPr>
            <w:tcW w:w="3873" w:type="dxa"/>
            <w:tcBorders>
              <w:top w:val="nil"/>
              <w:left w:val="nil"/>
              <w:bottom w:val="single" w:sz="4" w:space="0" w:color="auto"/>
              <w:right w:val="nil"/>
            </w:tcBorders>
            <w:shd w:val="clear" w:color="000000" w:fill="BFBFBF"/>
            <w:noWrap/>
            <w:vAlign w:val="bottom"/>
            <w:hideMark/>
          </w:tcPr>
          <w:p w:rsidR="005F4C4E" w:rsidRDefault="005F4C4E" w:rsidP="00F1000E">
            <w:pPr>
              <w:rPr>
                <w:sz w:val="20"/>
                <w:szCs w:val="20"/>
              </w:rPr>
            </w:pPr>
            <w:r>
              <w:rPr>
                <w:sz w:val="20"/>
                <w:szCs w:val="20"/>
              </w:rPr>
              <w:t>TRANSMISSION PLANT</w:t>
            </w:r>
          </w:p>
        </w:tc>
        <w:tc>
          <w:tcPr>
            <w:tcW w:w="1169" w:type="dxa"/>
            <w:tcBorders>
              <w:top w:val="nil"/>
              <w:left w:val="nil"/>
              <w:bottom w:val="nil"/>
              <w:right w:val="nil"/>
            </w:tcBorders>
            <w:shd w:val="clear" w:color="000000" w:fill="BFBFBF"/>
            <w:noWrap/>
            <w:vAlign w:val="bottom"/>
            <w:hideMark/>
          </w:tcPr>
          <w:p w:rsidR="005F4C4E" w:rsidRDefault="005F4C4E" w:rsidP="00F1000E">
            <w:pPr>
              <w:jc w:val="center"/>
              <w:rPr>
                <w:sz w:val="20"/>
                <w:szCs w:val="20"/>
              </w:rPr>
            </w:pPr>
            <w:r>
              <w:rPr>
                <w:sz w:val="20"/>
                <w:szCs w:val="20"/>
              </w:rPr>
              <w:t>($)</w:t>
            </w:r>
          </w:p>
        </w:tc>
        <w:tc>
          <w:tcPr>
            <w:tcW w:w="1183" w:type="dxa"/>
            <w:tcBorders>
              <w:top w:val="nil"/>
              <w:left w:val="nil"/>
              <w:bottom w:val="nil"/>
              <w:right w:val="nil"/>
            </w:tcBorders>
            <w:shd w:val="clear" w:color="000000" w:fill="BFBFBF"/>
            <w:noWrap/>
            <w:vAlign w:val="bottom"/>
            <w:hideMark/>
          </w:tcPr>
          <w:p w:rsidR="005F4C4E" w:rsidRDefault="005F4C4E" w:rsidP="00F1000E">
            <w:pPr>
              <w:jc w:val="center"/>
              <w:rPr>
                <w:sz w:val="20"/>
                <w:szCs w:val="20"/>
              </w:rPr>
            </w:pPr>
            <w:r>
              <w:rPr>
                <w:sz w:val="20"/>
                <w:szCs w:val="20"/>
              </w:rPr>
              <w:t>($)</w:t>
            </w:r>
          </w:p>
        </w:tc>
        <w:tc>
          <w:tcPr>
            <w:tcW w:w="1212" w:type="dxa"/>
            <w:tcBorders>
              <w:top w:val="nil"/>
              <w:left w:val="nil"/>
              <w:bottom w:val="nil"/>
              <w:right w:val="nil"/>
            </w:tcBorders>
            <w:shd w:val="clear" w:color="000000" w:fill="BFBFBF"/>
            <w:noWrap/>
            <w:vAlign w:val="bottom"/>
            <w:hideMark/>
          </w:tcPr>
          <w:p w:rsidR="005F4C4E" w:rsidRDefault="005F4C4E" w:rsidP="00F1000E">
            <w:pPr>
              <w:jc w:val="center"/>
              <w:rPr>
                <w:sz w:val="20"/>
                <w:szCs w:val="20"/>
              </w:rPr>
            </w:pPr>
            <w:r>
              <w:rPr>
                <w:sz w:val="20"/>
                <w:szCs w:val="20"/>
              </w:rPr>
              <w:t>($)</w:t>
            </w:r>
          </w:p>
        </w:tc>
        <w:tc>
          <w:tcPr>
            <w:tcW w:w="1023" w:type="dxa"/>
            <w:tcBorders>
              <w:top w:val="nil"/>
              <w:left w:val="nil"/>
              <w:bottom w:val="nil"/>
              <w:right w:val="nil"/>
            </w:tcBorders>
            <w:shd w:val="clear" w:color="000000" w:fill="BFBFBF"/>
            <w:noWrap/>
            <w:vAlign w:val="bottom"/>
            <w:hideMark/>
          </w:tcPr>
          <w:p w:rsidR="005F4C4E" w:rsidRDefault="005F4C4E" w:rsidP="00F1000E">
            <w:pPr>
              <w:jc w:val="center"/>
              <w:rPr>
                <w:sz w:val="20"/>
                <w:szCs w:val="20"/>
              </w:rPr>
            </w:pPr>
            <w:r>
              <w:rPr>
                <w:sz w:val="20"/>
                <w:szCs w:val="20"/>
              </w:rPr>
              <w:t>($)</w:t>
            </w:r>
          </w:p>
        </w:tc>
        <w:tc>
          <w:tcPr>
            <w:tcW w:w="1169" w:type="dxa"/>
            <w:tcBorders>
              <w:top w:val="nil"/>
              <w:left w:val="nil"/>
              <w:bottom w:val="nil"/>
              <w:right w:val="single" w:sz="8" w:space="0" w:color="auto"/>
            </w:tcBorders>
            <w:shd w:val="clear" w:color="000000" w:fill="BFBFBF"/>
            <w:noWrap/>
            <w:vAlign w:val="bottom"/>
            <w:hideMark/>
          </w:tcPr>
          <w:p w:rsidR="005F4C4E" w:rsidRDefault="005F4C4E" w:rsidP="00F1000E">
            <w:pPr>
              <w:jc w:val="center"/>
              <w:rPr>
                <w:sz w:val="20"/>
                <w:szCs w:val="20"/>
              </w:rPr>
            </w:pPr>
            <w:r>
              <w:rPr>
                <w:sz w:val="20"/>
                <w:szCs w:val="20"/>
              </w:rPr>
              <w:t>($)</w:t>
            </w:r>
          </w:p>
        </w:tc>
      </w:tr>
      <w:tr w:rsidR="005F4C4E" w:rsidTr="00F1000E">
        <w:trPr>
          <w:trHeight w:val="276"/>
          <w:jc w:val="center"/>
        </w:trPr>
        <w:tc>
          <w:tcPr>
            <w:tcW w:w="8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350.1</w:t>
            </w:r>
          </w:p>
        </w:tc>
        <w:tc>
          <w:tcPr>
            <w:tcW w:w="3873" w:type="dxa"/>
            <w:tcBorders>
              <w:top w:val="nil"/>
              <w:left w:val="nil"/>
              <w:bottom w:val="single" w:sz="8"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Land Rights</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18,962 </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15,163 </w:t>
            </w:r>
          </w:p>
        </w:tc>
        <w:tc>
          <w:tcPr>
            <w:tcW w:w="1212" w:type="dxa"/>
            <w:tcBorders>
              <w:top w:val="single" w:sz="4" w:space="0" w:color="auto"/>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sz w:val="20"/>
                <w:szCs w:val="20"/>
              </w:rPr>
              <w:t xml:space="preserve">3,799 </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color w:val="FF0000"/>
                <w:sz w:val="20"/>
                <w:szCs w:val="20"/>
              </w:rPr>
              <w:t>(3,799)</w:t>
            </w:r>
          </w:p>
        </w:tc>
        <w:tc>
          <w:tcPr>
            <w:tcW w:w="1169" w:type="dxa"/>
            <w:tcBorders>
              <w:top w:val="single" w:sz="4" w:space="0" w:color="auto"/>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15,163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352</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Structures and Improvements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17,516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19,776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color w:val="FF0000"/>
                <w:sz w:val="20"/>
                <w:szCs w:val="20"/>
              </w:rPr>
              <w:t>(2,260)</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17,516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353</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Station Equipment</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948,485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1,132,053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color w:val="FF0000"/>
                <w:sz w:val="20"/>
                <w:szCs w:val="20"/>
              </w:rPr>
              <w:t>(183,568)</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948,485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354</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Towers and Fixtures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190,300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190,070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sz w:val="20"/>
                <w:szCs w:val="20"/>
              </w:rPr>
              <w:t xml:space="preserve">230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190,300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355</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Poles and Fixtures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1,073,934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1,276,052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color w:val="FF0000"/>
                <w:sz w:val="20"/>
                <w:szCs w:val="20"/>
              </w:rPr>
              <w:t>(202,118)</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43,786 </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1,117,720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355.1</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Poles and Fixtures - Concrete</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334,834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294,847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sz w:val="20"/>
                <w:szCs w:val="20"/>
              </w:rPr>
              <w:t xml:space="preserve">39,987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color w:val="FF0000"/>
                <w:sz w:val="20"/>
                <w:szCs w:val="20"/>
              </w:rPr>
              <w:t>(39,987)</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294,847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356</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Overhead Conductors and Devices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744,898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852,680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color w:val="FF0000"/>
                <w:sz w:val="20"/>
                <w:szCs w:val="20"/>
              </w:rPr>
              <w:t>(107,782)</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744,898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359</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Roads and Trails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5,500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5,515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color w:val="FF0000"/>
                <w:sz w:val="20"/>
                <w:szCs w:val="20"/>
              </w:rPr>
              <w:t>(15)</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5,500 </w:t>
            </w:r>
          </w:p>
        </w:tc>
      </w:tr>
      <w:tr w:rsidR="005F4C4E" w:rsidTr="00F1000E">
        <w:trPr>
          <w:trHeight w:val="264"/>
          <w:jc w:val="center"/>
        </w:trPr>
        <w:tc>
          <w:tcPr>
            <w:tcW w:w="891" w:type="dxa"/>
            <w:tcBorders>
              <w:top w:val="nil"/>
              <w:left w:val="single" w:sz="8" w:space="0" w:color="auto"/>
              <w:bottom w:val="nil"/>
              <w:right w:val="nil"/>
            </w:tcBorders>
            <w:shd w:val="clear" w:color="000000" w:fill="BFBFBF"/>
            <w:noWrap/>
            <w:vAlign w:val="bottom"/>
            <w:hideMark/>
          </w:tcPr>
          <w:p w:rsidR="005F4C4E" w:rsidRDefault="005F4C4E" w:rsidP="00F1000E">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5F4C4E" w:rsidRDefault="005F4C4E" w:rsidP="00F1000E">
            <w:pPr>
              <w:rPr>
                <w:sz w:val="20"/>
                <w:szCs w:val="20"/>
              </w:rPr>
            </w:pPr>
            <w:r>
              <w:rPr>
                <w:sz w:val="20"/>
                <w:szCs w:val="20"/>
              </w:rPr>
              <w:t>TOTAL TRANSMISSION PLANT</w:t>
            </w:r>
          </w:p>
        </w:tc>
        <w:tc>
          <w:tcPr>
            <w:tcW w:w="1169" w:type="dxa"/>
            <w:tcBorders>
              <w:top w:val="nil"/>
              <w:left w:val="single" w:sz="4" w:space="0" w:color="auto"/>
              <w:bottom w:val="single" w:sz="4" w:space="0" w:color="auto"/>
              <w:right w:val="single" w:sz="4" w:space="0" w:color="auto"/>
            </w:tcBorders>
            <w:shd w:val="clear" w:color="000000" w:fill="BFBFBF"/>
            <w:noWrap/>
            <w:vAlign w:val="bottom"/>
            <w:hideMark/>
          </w:tcPr>
          <w:p w:rsidR="005F4C4E" w:rsidRDefault="005F4C4E" w:rsidP="00F1000E">
            <w:pPr>
              <w:jc w:val="right"/>
              <w:rPr>
                <w:sz w:val="20"/>
                <w:szCs w:val="20"/>
              </w:rPr>
            </w:pPr>
            <w:r>
              <w:rPr>
                <w:sz w:val="20"/>
                <w:szCs w:val="20"/>
              </w:rPr>
              <w:t xml:space="preserve">3,334,429 </w:t>
            </w:r>
          </w:p>
        </w:tc>
        <w:tc>
          <w:tcPr>
            <w:tcW w:w="1183" w:type="dxa"/>
            <w:tcBorders>
              <w:top w:val="nil"/>
              <w:left w:val="nil"/>
              <w:bottom w:val="single" w:sz="4" w:space="0" w:color="auto"/>
              <w:right w:val="single" w:sz="4" w:space="0" w:color="auto"/>
            </w:tcBorders>
            <w:shd w:val="clear" w:color="000000" w:fill="BFBFBF"/>
            <w:noWrap/>
            <w:vAlign w:val="bottom"/>
            <w:hideMark/>
          </w:tcPr>
          <w:p w:rsidR="005F4C4E" w:rsidRDefault="005F4C4E" w:rsidP="00F1000E">
            <w:pPr>
              <w:jc w:val="right"/>
              <w:rPr>
                <w:sz w:val="20"/>
                <w:szCs w:val="20"/>
              </w:rPr>
            </w:pPr>
            <w:r>
              <w:rPr>
                <w:sz w:val="20"/>
                <w:szCs w:val="20"/>
              </w:rPr>
              <w:t xml:space="preserve">3,786,156 </w:t>
            </w:r>
          </w:p>
        </w:tc>
        <w:tc>
          <w:tcPr>
            <w:tcW w:w="1212" w:type="dxa"/>
            <w:tcBorders>
              <w:top w:val="nil"/>
              <w:left w:val="nil"/>
              <w:bottom w:val="single" w:sz="4" w:space="0" w:color="auto"/>
              <w:right w:val="nil"/>
            </w:tcBorders>
            <w:shd w:val="clear" w:color="000000" w:fill="BFBFBF"/>
            <w:noWrap/>
            <w:vAlign w:val="bottom"/>
            <w:hideMark/>
          </w:tcPr>
          <w:p w:rsidR="005F4C4E" w:rsidRDefault="005F4C4E" w:rsidP="00F1000E">
            <w:pPr>
              <w:jc w:val="right"/>
              <w:rPr>
                <w:sz w:val="20"/>
                <w:szCs w:val="20"/>
              </w:rPr>
            </w:pPr>
            <w:r>
              <w:rPr>
                <w:color w:val="FF0000"/>
                <w:sz w:val="20"/>
                <w:szCs w:val="20"/>
              </w:rPr>
              <w:t>(451,727)</w:t>
            </w:r>
          </w:p>
        </w:tc>
        <w:tc>
          <w:tcPr>
            <w:tcW w:w="1023" w:type="dxa"/>
            <w:tcBorders>
              <w:top w:val="nil"/>
              <w:left w:val="single" w:sz="4" w:space="0" w:color="auto"/>
              <w:bottom w:val="single" w:sz="4" w:space="0" w:color="auto"/>
              <w:right w:val="single" w:sz="4" w:space="0" w:color="auto"/>
            </w:tcBorders>
            <w:shd w:val="clear" w:color="000000" w:fill="BFBFBF"/>
            <w:noWrap/>
            <w:vAlign w:val="bottom"/>
            <w:hideMark/>
          </w:tcPr>
          <w:p w:rsidR="005F4C4E" w:rsidRDefault="005F4C4E" w:rsidP="00F1000E">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000000" w:fill="BFBFBF"/>
            <w:noWrap/>
            <w:vAlign w:val="bottom"/>
            <w:hideMark/>
          </w:tcPr>
          <w:p w:rsidR="005F4C4E" w:rsidRDefault="005F4C4E" w:rsidP="00F1000E">
            <w:pPr>
              <w:jc w:val="right"/>
              <w:rPr>
                <w:sz w:val="20"/>
                <w:szCs w:val="20"/>
              </w:rPr>
            </w:pPr>
            <w:r>
              <w:rPr>
                <w:sz w:val="20"/>
                <w:szCs w:val="20"/>
              </w:rPr>
              <w:t xml:space="preserve">3,334,429 </w:t>
            </w:r>
          </w:p>
        </w:tc>
      </w:tr>
      <w:tr w:rsidR="005F4C4E" w:rsidTr="00F1000E">
        <w:trPr>
          <w:trHeight w:val="264"/>
          <w:jc w:val="center"/>
        </w:trPr>
        <w:tc>
          <w:tcPr>
            <w:tcW w:w="891" w:type="dxa"/>
            <w:tcBorders>
              <w:top w:val="nil"/>
              <w:left w:val="single" w:sz="8" w:space="0" w:color="auto"/>
              <w:bottom w:val="nil"/>
              <w:right w:val="nil"/>
            </w:tcBorders>
            <w:shd w:val="clear" w:color="000000" w:fill="BFBFBF"/>
            <w:noWrap/>
            <w:vAlign w:val="bottom"/>
            <w:hideMark/>
          </w:tcPr>
          <w:p w:rsidR="005F4C4E" w:rsidRDefault="005F4C4E" w:rsidP="00F1000E">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5F4C4E" w:rsidRDefault="005F4C4E" w:rsidP="00F1000E">
            <w:pPr>
              <w:rPr>
                <w:sz w:val="20"/>
                <w:szCs w:val="20"/>
              </w:rPr>
            </w:pPr>
            <w:r>
              <w:rPr>
                <w:sz w:val="20"/>
                <w:szCs w:val="20"/>
              </w:rPr>
              <w:t> </w:t>
            </w:r>
          </w:p>
        </w:tc>
        <w:tc>
          <w:tcPr>
            <w:tcW w:w="1169" w:type="dxa"/>
            <w:tcBorders>
              <w:top w:val="nil"/>
              <w:left w:val="nil"/>
              <w:bottom w:val="nil"/>
              <w:right w:val="nil"/>
            </w:tcBorders>
            <w:shd w:val="clear" w:color="000000" w:fill="BFBFBF"/>
            <w:noWrap/>
            <w:vAlign w:val="bottom"/>
            <w:hideMark/>
          </w:tcPr>
          <w:p w:rsidR="005F4C4E" w:rsidRDefault="005F4C4E" w:rsidP="00F1000E">
            <w:pPr>
              <w:rPr>
                <w:sz w:val="20"/>
                <w:szCs w:val="20"/>
              </w:rPr>
            </w:pPr>
            <w:r>
              <w:rPr>
                <w:sz w:val="20"/>
                <w:szCs w:val="20"/>
              </w:rPr>
              <w:t> </w:t>
            </w:r>
          </w:p>
        </w:tc>
        <w:tc>
          <w:tcPr>
            <w:tcW w:w="1183" w:type="dxa"/>
            <w:tcBorders>
              <w:top w:val="nil"/>
              <w:left w:val="nil"/>
              <w:bottom w:val="nil"/>
              <w:right w:val="nil"/>
            </w:tcBorders>
            <w:shd w:val="clear" w:color="000000" w:fill="BFBFBF"/>
            <w:noWrap/>
            <w:vAlign w:val="center"/>
            <w:hideMark/>
          </w:tcPr>
          <w:p w:rsidR="005F4C4E" w:rsidRDefault="005F4C4E" w:rsidP="00F1000E">
            <w:pPr>
              <w:rPr>
                <w:color w:val="000000"/>
                <w:sz w:val="20"/>
                <w:szCs w:val="20"/>
              </w:rPr>
            </w:pPr>
            <w:r>
              <w:rPr>
                <w:color w:val="000000"/>
                <w:sz w:val="20"/>
                <w:szCs w:val="20"/>
              </w:rPr>
              <w:t> </w:t>
            </w:r>
          </w:p>
        </w:tc>
        <w:tc>
          <w:tcPr>
            <w:tcW w:w="1212" w:type="dxa"/>
            <w:tcBorders>
              <w:top w:val="nil"/>
              <w:left w:val="nil"/>
              <w:bottom w:val="nil"/>
              <w:right w:val="nil"/>
            </w:tcBorders>
            <w:shd w:val="clear" w:color="000000" w:fill="BFBFBF"/>
            <w:noWrap/>
            <w:vAlign w:val="center"/>
            <w:hideMark/>
          </w:tcPr>
          <w:p w:rsidR="005F4C4E" w:rsidRDefault="005F4C4E" w:rsidP="00F1000E">
            <w:pPr>
              <w:rPr>
                <w:color w:val="000000"/>
                <w:sz w:val="20"/>
                <w:szCs w:val="20"/>
              </w:rPr>
            </w:pPr>
            <w:r>
              <w:rPr>
                <w:color w:val="000000"/>
                <w:sz w:val="20"/>
                <w:szCs w:val="20"/>
              </w:rPr>
              <w:t> </w:t>
            </w:r>
          </w:p>
        </w:tc>
        <w:tc>
          <w:tcPr>
            <w:tcW w:w="1023" w:type="dxa"/>
            <w:tcBorders>
              <w:top w:val="nil"/>
              <w:left w:val="nil"/>
              <w:bottom w:val="nil"/>
              <w:right w:val="nil"/>
            </w:tcBorders>
            <w:shd w:val="clear" w:color="000000" w:fill="BFBFBF"/>
            <w:noWrap/>
            <w:vAlign w:val="center"/>
            <w:hideMark/>
          </w:tcPr>
          <w:p w:rsidR="005F4C4E" w:rsidRDefault="005F4C4E" w:rsidP="00F1000E">
            <w:pPr>
              <w:rPr>
                <w:color w:val="000000"/>
                <w:sz w:val="20"/>
                <w:szCs w:val="20"/>
              </w:rPr>
            </w:pPr>
            <w:r>
              <w:rPr>
                <w:color w:val="000000"/>
                <w:sz w:val="20"/>
                <w:szCs w:val="20"/>
              </w:rPr>
              <w:t> </w:t>
            </w:r>
          </w:p>
        </w:tc>
        <w:tc>
          <w:tcPr>
            <w:tcW w:w="1169" w:type="dxa"/>
            <w:tcBorders>
              <w:top w:val="nil"/>
              <w:left w:val="nil"/>
              <w:bottom w:val="nil"/>
              <w:right w:val="single" w:sz="8" w:space="0" w:color="auto"/>
            </w:tcBorders>
            <w:shd w:val="clear" w:color="000000" w:fill="BFBFBF"/>
            <w:noWrap/>
            <w:vAlign w:val="center"/>
            <w:hideMark/>
          </w:tcPr>
          <w:p w:rsidR="005F4C4E" w:rsidRDefault="005F4C4E" w:rsidP="00F1000E">
            <w:pPr>
              <w:rPr>
                <w:color w:val="000000"/>
                <w:sz w:val="20"/>
                <w:szCs w:val="20"/>
              </w:rPr>
            </w:pPr>
            <w:r>
              <w:rPr>
                <w:color w:val="000000"/>
                <w:sz w:val="20"/>
                <w:szCs w:val="20"/>
              </w:rPr>
              <w:t> </w:t>
            </w:r>
          </w:p>
        </w:tc>
      </w:tr>
      <w:tr w:rsidR="005F4C4E" w:rsidTr="00F1000E">
        <w:trPr>
          <w:trHeight w:val="264"/>
          <w:jc w:val="center"/>
        </w:trPr>
        <w:tc>
          <w:tcPr>
            <w:tcW w:w="891" w:type="dxa"/>
            <w:tcBorders>
              <w:top w:val="nil"/>
              <w:left w:val="single" w:sz="8" w:space="0" w:color="auto"/>
              <w:bottom w:val="nil"/>
              <w:right w:val="nil"/>
            </w:tcBorders>
            <w:shd w:val="clear" w:color="000000" w:fill="BFBFBF"/>
            <w:noWrap/>
            <w:vAlign w:val="bottom"/>
            <w:hideMark/>
          </w:tcPr>
          <w:p w:rsidR="005F4C4E" w:rsidRDefault="005F4C4E" w:rsidP="00F1000E">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5F4C4E" w:rsidRDefault="005F4C4E" w:rsidP="00F1000E">
            <w:pPr>
              <w:rPr>
                <w:sz w:val="20"/>
                <w:szCs w:val="20"/>
              </w:rPr>
            </w:pPr>
            <w:r>
              <w:rPr>
                <w:sz w:val="20"/>
                <w:szCs w:val="20"/>
              </w:rPr>
              <w:t>DISTRIBUTION PLANT</w:t>
            </w:r>
          </w:p>
        </w:tc>
        <w:tc>
          <w:tcPr>
            <w:tcW w:w="1169" w:type="dxa"/>
            <w:tcBorders>
              <w:top w:val="nil"/>
              <w:left w:val="nil"/>
              <w:bottom w:val="nil"/>
              <w:right w:val="nil"/>
            </w:tcBorders>
            <w:shd w:val="clear" w:color="000000" w:fill="BFBFBF"/>
            <w:noWrap/>
            <w:vAlign w:val="bottom"/>
            <w:hideMark/>
          </w:tcPr>
          <w:p w:rsidR="005F4C4E" w:rsidRDefault="005F4C4E" w:rsidP="00F1000E">
            <w:pPr>
              <w:rPr>
                <w:sz w:val="20"/>
                <w:szCs w:val="20"/>
              </w:rPr>
            </w:pPr>
            <w:r>
              <w:rPr>
                <w:sz w:val="20"/>
                <w:szCs w:val="20"/>
              </w:rPr>
              <w:t> </w:t>
            </w:r>
          </w:p>
        </w:tc>
        <w:tc>
          <w:tcPr>
            <w:tcW w:w="1183" w:type="dxa"/>
            <w:tcBorders>
              <w:top w:val="nil"/>
              <w:left w:val="nil"/>
              <w:bottom w:val="nil"/>
              <w:right w:val="nil"/>
            </w:tcBorders>
            <w:shd w:val="clear" w:color="000000" w:fill="BFBFBF"/>
            <w:noWrap/>
            <w:vAlign w:val="center"/>
            <w:hideMark/>
          </w:tcPr>
          <w:p w:rsidR="005F4C4E" w:rsidRDefault="005F4C4E" w:rsidP="00F1000E">
            <w:pPr>
              <w:rPr>
                <w:color w:val="000000"/>
                <w:sz w:val="20"/>
                <w:szCs w:val="20"/>
              </w:rPr>
            </w:pPr>
            <w:r>
              <w:rPr>
                <w:color w:val="000000"/>
                <w:sz w:val="20"/>
                <w:szCs w:val="20"/>
              </w:rPr>
              <w:t> </w:t>
            </w:r>
          </w:p>
        </w:tc>
        <w:tc>
          <w:tcPr>
            <w:tcW w:w="1212" w:type="dxa"/>
            <w:tcBorders>
              <w:top w:val="nil"/>
              <w:left w:val="nil"/>
              <w:bottom w:val="nil"/>
              <w:right w:val="nil"/>
            </w:tcBorders>
            <w:shd w:val="clear" w:color="000000" w:fill="BFBFBF"/>
            <w:noWrap/>
            <w:vAlign w:val="center"/>
            <w:hideMark/>
          </w:tcPr>
          <w:p w:rsidR="005F4C4E" w:rsidRDefault="005F4C4E" w:rsidP="00F1000E">
            <w:pPr>
              <w:rPr>
                <w:color w:val="000000"/>
                <w:sz w:val="20"/>
                <w:szCs w:val="20"/>
              </w:rPr>
            </w:pPr>
            <w:r>
              <w:rPr>
                <w:color w:val="000000"/>
                <w:sz w:val="20"/>
                <w:szCs w:val="20"/>
              </w:rPr>
              <w:t> </w:t>
            </w:r>
          </w:p>
        </w:tc>
        <w:tc>
          <w:tcPr>
            <w:tcW w:w="1023" w:type="dxa"/>
            <w:tcBorders>
              <w:top w:val="nil"/>
              <w:left w:val="nil"/>
              <w:bottom w:val="nil"/>
              <w:right w:val="nil"/>
            </w:tcBorders>
            <w:shd w:val="clear" w:color="000000" w:fill="BFBFBF"/>
            <w:noWrap/>
            <w:vAlign w:val="center"/>
            <w:hideMark/>
          </w:tcPr>
          <w:p w:rsidR="005F4C4E" w:rsidRDefault="005F4C4E" w:rsidP="00F1000E">
            <w:pPr>
              <w:rPr>
                <w:color w:val="000000"/>
                <w:sz w:val="20"/>
                <w:szCs w:val="20"/>
              </w:rPr>
            </w:pPr>
            <w:r>
              <w:rPr>
                <w:color w:val="000000"/>
                <w:sz w:val="20"/>
                <w:szCs w:val="20"/>
              </w:rPr>
              <w:t> </w:t>
            </w:r>
          </w:p>
        </w:tc>
        <w:tc>
          <w:tcPr>
            <w:tcW w:w="1169" w:type="dxa"/>
            <w:tcBorders>
              <w:top w:val="nil"/>
              <w:left w:val="nil"/>
              <w:bottom w:val="nil"/>
              <w:right w:val="single" w:sz="8" w:space="0" w:color="auto"/>
            </w:tcBorders>
            <w:shd w:val="clear" w:color="000000" w:fill="BFBFBF"/>
            <w:noWrap/>
            <w:vAlign w:val="center"/>
            <w:hideMark/>
          </w:tcPr>
          <w:p w:rsidR="005F4C4E" w:rsidRDefault="005F4C4E" w:rsidP="00F1000E">
            <w:pPr>
              <w:rPr>
                <w:color w:val="000000"/>
                <w:sz w:val="20"/>
                <w:szCs w:val="20"/>
              </w:rPr>
            </w:pPr>
            <w:r>
              <w:rPr>
                <w:color w:val="000000"/>
                <w:sz w:val="20"/>
                <w:szCs w:val="20"/>
              </w:rPr>
              <w:t> </w:t>
            </w:r>
          </w:p>
        </w:tc>
      </w:tr>
      <w:tr w:rsidR="005F4C4E" w:rsidTr="00F1000E">
        <w:trPr>
          <w:trHeight w:val="264"/>
          <w:jc w:val="center"/>
        </w:trPr>
        <w:tc>
          <w:tcPr>
            <w:tcW w:w="8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360.1</w:t>
            </w:r>
          </w:p>
        </w:tc>
        <w:tc>
          <w:tcPr>
            <w:tcW w:w="3873" w:type="dxa"/>
            <w:tcBorders>
              <w:top w:val="single" w:sz="4" w:space="0" w:color="auto"/>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Land Rights</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29,540 </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26,959 </w:t>
            </w:r>
          </w:p>
        </w:tc>
        <w:tc>
          <w:tcPr>
            <w:tcW w:w="1212" w:type="dxa"/>
            <w:tcBorders>
              <w:top w:val="single" w:sz="4" w:space="0" w:color="auto"/>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sz w:val="20"/>
                <w:szCs w:val="20"/>
              </w:rPr>
              <w:t xml:space="preserve">2,581 </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0 </w:t>
            </w:r>
          </w:p>
        </w:tc>
        <w:tc>
          <w:tcPr>
            <w:tcW w:w="1169" w:type="dxa"/>
            <w:tcBorders>
              <w:top w:val="single" w:sz="4" w:space="0" w:color="auto"/>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29,540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361</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Structures and Improvements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41,158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35,502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sz w:val="20"/>
                <w:szCs w:val="20"/>
              </w:rPr>
              <w:t xml:space="preserve">5,656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41,158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362</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Station Equipment</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2,682,209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2,514,680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sz w:val="20"/>
                <w:szCs w:val="20"/>
              </w:rPr>
              <w:t xml:space="preserve">167,529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color w:val="FF0000"/>
                <w:sz w:val="20"/>
                <w:szCs w:val="20"/>
              </w:rPr>
              <w:t>(167,529)</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2,514,680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364</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Poles, Towers, and Fixtures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6,805,379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7,664,645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color w:val="FF0000"/>
                <w:sz w:val="20"/>
                <w:szCs w:val="20"/>
              </w:rPr>
              <w:t>(859,266)</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357,983 </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7,163,362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365</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Overhead Conductors &amp; Devices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8,358,899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8,334,096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sz w:val="20"/>
                <w:szCs w:val="20"/>
              </w:rPr>
              <w:t xml:space="preserve">24,803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color w:val="FF0000"/>
                <w:sz w:val="20"/>
                <w:szCs w:val="20"/>
              </w:rPr>
              <w:t>(24,803)</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8,334,096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366</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Underground Conduit</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952,686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832,669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sz w:val="20"/>
                <w:szCs w:val="20"/>
              </w:rPr>
              <w:t xml:space="preserve">120,017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color w:val="FF0000"/>
                <w:sz w:val="20"/>
                <w:szCs w:val="20"/>
              </w:rPr>
              <w:t>(120,017)</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832,669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367</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Underground Conductors &amp; Devices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2,619,264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2,936,293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color w:val="FF0000"/>
                <w:sz w:val="20"/>
                <w:szCs w:val="20"/>
              </w:rPr>
              <w:t>(317,029)</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2,619,264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368</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Line Transformers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11,953,804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11,866,072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sz w:val="20"/>
                <w:szCs w:val="20"/>
              </w:rPr>
              <w:t xml:space="preserve">87,732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color w:val="FF0000"/>
                <w:sz w:val="20"/>
                <w:szCs w:val="20"/>
              </w:rPr>
              <w:t>(87,732)</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11,866,072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369</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Services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6,560,065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6,454,535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sz w:val="20"/>
                <w:szCs w:val="20"/>
              </w:rPr>
              <w:t xml:space="preserve">105,530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color w:val="FF0000"/>
                <w:sz w:val="20"/>
                <w:szCs w:val="20"/>
              </w:rPr>
              <w:t>(105,530)</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6,454,535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370</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Meters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2,285,299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2,581,858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color w:val="FF0000"/>
                <w:sz w:val="20"/>
                <w:szCs w:val="20"/>
              </w:rPr>
              <w:t>(296,559)</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296,559 </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2,581,858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371</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Installation on Customers' Premises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1,573,237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1,424,306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sz w:val="20"/>
                <w:szCs w:val="20"/>
              </w:rPr>
              <w:t xml:space="preserve">148,931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color w:val="FF0000"/>
                <w:sz w:val="20"/>
                <w:szCs w:val="20"/>
              </w:rPr>
              <w:t>(148,931)</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1,424,306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373</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Street Lighting &amp; Signal Systems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1,054,774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1,041,213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sz w:val="20"/>
                <w:szCs w:val="20"/>
              </w:rPr>
              <w:t xml:space="preserve">13,561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1,054,774 </w:t>
            </w:r>
          </w:p>
        </w:tc>
      </w:tr>
      <w:tr w:rsidR="005F4C4E" w:rsidTr="00F1000E">
        <w:trPr>
          <w:trHeight w:val="264"/>
          <w:jc w:val="center"/>
        </w:trPr>
        <w:tc>
          <w:tcPr>
            <w:tcW w:w="891" w:type="dxa"/>
            <w:tcBorders>
              <w:top w:val="nil"/>
              <w:left w:val="single" w:sz="8" w:space="0" w:color="auto"/>
              <w:bottom w:val="nil"/>
              <w:right w:val="nil"/>
            </w:tcBorders>
            <w:shd w:val="clear" w:color="000000" w:fill="BFBFBF"/>
            <w:noWrap/>
            <w:vAlign w:val="bottom"/>
            <w:hideMark/>
          </w:tcPr>
          <w:p w:rsidR="005F4C4E" w:rsidRDefault="005F4C4E" w:rsidP="00F1000E">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5F4C4E" w:rsidRDefault="005F4C4E" w:rsidP="00F1000E">
            <w:pPr>
              <w:rPr>
                <w:sz w:val="20"/>
                <w:szCs w:val="20"/>
              </w:rPr>
            </w:pPr>
            <w:r>
              <w:rPr>
                <w:sz w:val="20"/>
                <w:szCs w:val="20"/>
              </w:rPr>
              <w:t>TOTAL DISTRIBUTION PLANT</w:t>
            </w:r>
          </w:p>
        </w:tc>
        <w:tc>
          <w:tcPr>
            <w:tcW w:w="1169" w:type="dxa"/>
            <w:tcBorders>
              <w:top w:val="nil"/>
              <w:left w:val="single" w:sz="4" w:space="0" w:color="auto"/>
              <w:bottom w:val="single" w:sz="4" w:space="0" w:color="auto"/>
              <w:right w:val="single" w:sz="4" w:space="0" w:color="auto"/>
            </w:tcBorders>
            <w:shd w:val="clear" w:color="000000" w:fill="BFBFBF"/>
            <w:noWrap/>
            <w:vAlign w:val="bottom"/>
            <w:hideMark/>
          </w:tcPr>
          <w:p w:rsidR="005F4C4E" w:rsidRDefault="005F4C4E" w:rsidP="00F1000E">
            <w:pPr>
              <w:jc w:val="right"/>
              <w:rPr>
                <w:sz w:val="20"/>
                <w:szCs w:val="20"/>
              </w:rPr>
            </w:pPr>
            <w:r>
              <w:rPr>
                <w:sz w:val="20"/>
                <w:szCs w:val="20"/>
              </w:rPr>
              <w:t xml:space="preserve">44,916,314 </w:t>
            </w:r>
          </w:p>
        </w:tc>
        <w:tc>
          <w:tcPr>
            <w:tcW w:w="1183" w:type="dxa"/>
            <w:tcBorders>
              <w:top w:val="nil"/>
              <w:left w:val="nil"/>
              <w:bottom w:val="single" w:sz="4" w:space="0" w:color="auto"/>
              <w:right w:val="single" w:sz="4" w:space="0" w:color="auto"/>
            </w:tcBorders>
            <w:shd w:val="clear" w:color="000000" w:fill="BFBFBF"/>
            <w:noWrap/>
            <w:vAlign w:val="bottom"/>
            <w:hideMark/>
          </w:tcPr>
          <w:p w:rsidR="005F4C4E" w:rsidRDefault="005F4C4E" w:rsidP="00F1000E">
            <w:pPr>
              <w:jc w:val="right"/>
              <w:rPr>
                <w:sz w:val="20"/>
                <w:szCs w:val="20"/>
              </w:rPr>
            </w:pPr>
            <w:r>
              <w:rPr>
                <w:sz w:val="20"/>
                <w:szCs w:val="20"/>
              </w:rPr>
              <w:t xml:space="preserve">45,712,828 </w:t>
            </w:r>
          </w:p>
        </w:tc>
        <w:tc>
          <w:tcPr>
            <w:tcW w:w="1212" w:type="dxa"/>
            <w:tcBorders>
              <w:top w:val="nil"/>
              <w:left w:val="nil"/>
              <w:bottom w:val="single" w:sz="4" w:space="0" w:color="auto"/>
              <w:right w:val="nil"/>
            </w:tcBorders>
            <w:shd w:val="clear" w:color="000000" w:fill="BFBFBF"/>
            <w:noWrap/>
            <w:vAlign w:val="bottom"/>
            <w:hideMark/>
          </w:tcPr>
          <w:p w:rsidR="005F4C4E" w:rsidRDefault="005F4C4E" w:rsidP="00F1000E">
            <w:pPr>
              <w:jc w:val="right"/>
              <w:rPr>
                <w:sz w:val="20"/>
                <w:szCs w:val="20"/>
              </w:rPr>
            </w:pPr>
            <w:r>
              <w:rPr>
                <w:color w:val="FF0000"/>
                <w:sz w:val="20"/>
                <w:szCs w:val="20"/>
              </w:rPr>
              <w:t>(796,515)</w:t>
            </w:r>
          </w:p>
        </w:tc>
        <w:tc>
          <w:tcPr>
            <w:tcW w:w="1023" w:type="dxa"/>
            <w:tcBorders>
              <w:top w:val="nil"/>
              <w:left w:val="single" w:sz="4" w:space="0" w:color="auto"/>
              <w:bottom w:val="single" w:sz="4" w:space="0" w:color="auto"/>
              <w:right w:val="single" w:sz="4" w:space="0" w:color="auto"/>
            </w:tcBorders>
            <w:shd w:val="clear" w:color="000000" w:fill="BFBFBF"/>
            <w:noWrap/>
            <w:vAlign w:val="bottom"/>
            <w:hideMark/>
          </w:tcPr>
          <w:p w:rsidR="005F4C4E" w:rsidRDefault="005F4C4E" w:rsidP="00F1000E">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000000" w:fill="BFBFBF"/>
            <w:noWrap/>
            <w:vAlign w:val="bottom"/>
            <w:hideMark/>
          </w:tcPr>
          <w:p w:rsidR="005F4C4E" w:rsidRDefault="005F4C4E" w:rsidP="00F1000E">
            <w:pPr>
              <w:jc w:val="right"/>
              <w:rPr>
                <w:sz w:val="20"/>
                <w:szCs w:val="20"/>
              </w:rPr>
            </w:pPr>
            <w:r>
              <w:rPr>
                <w:sz w:val="20"/>
                <w:szCs w:val="20"/>
              </w:rPr>
              <w:t xml:space="preserve">44,916,314 </w:t>
            </w:r>
          </w:p>
        </w:tc>
      </w:tr>
      <w:tr w:rsidR="005F4C4E" w:rsidTr="00F1000E">
        <w:trPr>
          <w:trHeight w:val="264"/>
          <w:jc w:val="center"/>
        </w:trPr>
        <w:tc>
          <w:tcPr>
            <w:tcW w:w="891" w:type="dxa"/>
            <w:tcBorders>
              <w:top w:val="nil"/>
              <w:left w:val="single" w:sz="8" w:space="0" w:color="auto"/>
              <w:bottom w:val="nil"/>
              <w:right w:val="nil"/>
            </w:tcBorders>
            <w:shd w:val="clear" w:color="000000" w:fill="BFBFBF"/>
            <w:noWrap/>
            <w:vAlign w:val="bottom"/>
            <w:hideMark/>
          </w:tcPr>
          <w:p w:rsidR="005F4C4E" w:rsidRDefault="005F4C4E" w:rsidP="00F1000E">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5F4C4E" w:rsidRDefault="005F4C4E" w:rsidP="00F1000E">
            <w:pPr>
              <w:rPr>
                <w:sz w:val="20"/>
                <w:szCs w:val="20"/>
              </w:rPr>
            </w:pPr>
            <w:r>
              <w:rPr>
                <w:sz w:val="20"/>
                <w:szCs w:val="20"/>
              </w:rPr>
              <w:t xml:space="preserve"> </w:t>
            </w:r>
          </w:p>
        </w:tc>
        <w:tc>
          <w:tcPr>
            <w:tcW w:w="1169" w:type="dxa"/>
            <w:tcBorders>
              <w:top w:val="nil"/>
              <w:left w:val="nil"/>
              <w:bottom w:val="nil"/>
              <w:right w:val="nil"/>
            </w:tcBorders>
            <w:shd w:val="clear" w:color="000000" w:fill="BFBFBF"/>
            <w:noWrap/>
            <w:vAlign w:val="bottom"/>
            <w:hideMark/>
          </w:tcPr>
          <w:p w:rsidR="005F4C4E" w:rsidRDefault="005F4C4E" w:rsidP="00F1000E">
            <w:pPr>
              <w:rPr>
                <w:sz w:val="20"/>
                <w:szCs w:val="20"/>
              </w:rPr>
            </w:pPr>
            <w:r>
              <w:rPr>
                <w:sz w:val="20"/>
                <w:szCs w:val="20"/>
              </w:rPr>
              <w:t> </w:t>
            </w:r>
          </w:p>
        </w:tc>
        <w:tc>
          <w:tcPr>
            <w:tcW w:w="1183" w:type="dxa"/>
            <w:tcBorders>
              <w:top w:val="nil"/>
              <w:left w:val="nil"/>
              <w:bottom w:val="nil"/>
              <w:right w:val="nil"/>
            </w:tcBorders>
            <w:shd w:val="clear" w:color="000000" w:fill="BFBFBF"/>
            <w:noWrap/>
            <w:vAlign w:val="center"/>
            <w:hideMark/>
          </w:tcPr>
          <w:p w:rsidR="005F4C4E" w:rsidRDefault="005F4C4E" w:rsidP="00F1000E">
            <w:pPr>
              <w:rPr>
                <w:color w:val="000000"/>
                <w:sz w:val="20"/>
                <w:szCs w:val="20"/>
              </w:rPr>
            </w:pPr>
            <w:r>
              <w:rPr>
                <w:color w:val="000000"/>
                <w:sz w:val="20"/>
                <w:szCs w:val="20"/>
              </w:rPr>
              <w:t> </w:t>
            </w:r>
          </w:p>
        </w:tc>
        <w:tc>
          <w:tcPr>
            <w:tcW w:w="1212" w:type="dxa"/>
            <w:tcBorders>
              <w:top w:val="nil"/>
              <w:left w:val="nil"/>
              <w:bottom w:val="nil"/>
              <w:right w:val="nil"/>
            </w:tcBorders>
            <w:shd w:val="clear" w:color="000000" w:fill="BFBFBF"/>
            <w:noWrap/>
            <w:vAlign w:val="center"/>
            <w:hideMark/>
          </w:tcPr>
          <w:p w:rsidR="005F4C4E" w:rsidRDefault="005F4C4E" w:rsidP="00F1000E">
            <w:pPr>
              <w:rPr>
                <w:color w:val="000000"/>
                <w:sz w:val="20"/>
                <w:szCs w:val="20"/>
              </w:rPr>
            </w:pPr>
            <w:r>
              <w:rPr>
                <w:color w:val="000000"/>
                <w:sz w:val="20"/>
                <w:szCs w:val="20"/>
              </w:rPr>
              <w:t> </w:t>
            </w:r>
          </w:p>
        </w:tc>
        <w:tc>
          <w:tcPr>
            <w:tcW w:w="1023" w:type="dxa"/>
            <w:tcBorders>
              <w:top w:val="nil"/>
              <w:left w:val="nil"/>
              <w:bottom w:val="nil"/>
              <w:right w:val="nil"/>
            </w:tcBorders>
            <w:shd w:val="clear" w:color="000000" w:fill="BFBFBF"/>
            <w:noWrap/>
            <w:vAlign w:val="center"/>
            <w:hideMark/>
          </w:tcPr>
          <w:p w:rsidR="005F4C4E" w:rsidRDefault="005F4C4E" w:rsidP="00F1000E">
            <w:pPr>
              <w:rPr>
                <w:color w:val="000000"/>
                <w:sz w:val="20"/>
                <w:szCs w:val="20"/>
              </w:rPr>
            </w:pPr>
            <w:r>
              <w:rPr>
                <w:color w:val="000000"/>
                <w:sz w:val="20"/>
                <w:szCs w:val="20"/>
              </w:rPr>
              <w:t> </w:t>
            </w:r>
          </w:p>
        </w:tc>
        <w:tc>
          <w:tcPr>
            <w:tcW w:w="1169" w:type="dxa"/>
            <w:tcBorders>
              <w:top w:val="nil"/>
              <w:left w:val="nil"/>
              <w:bottom w:val="nil"/>
              <w:right w:val="single" w:sz="8" w:space="0" w:color="auto"/>
            </w:tcBorders>
            <w:shd w:val="clear" w:color="000000" w:fill="BFBFBF"/>
            <w:noWrap/>
            <w:vAlign w:val="center"/>
            <w:hideMark/>
          </w:tcPr>
          <w:p w:rsidR="005F4C4E" w:rsidRDefault="005F4C4E" w:rsidP="00F1000E">
            <w:pPr>
              <w:rPr>
                <w:color w:val="000000"/>
                <w:sz w:val="20"/>
                <w:szCs w:val="20"/>
              </w:rPr>
            </w:pPr>
            <w:r>
              <w:rPr>
                <w:color w:val="000000"/>
                <w:sz w:val="20"/>
                <w:szCs w:val="20"/>
              </w:rPr>
              <w:t> </w:t>
            </w:r>
          </w:p>
        </w:tc>
      </w:tr>
      <w:tr w:rsidR="005F4C4E" w:rsidTr="00F1000E">
        <w:trPr>
          <w:trHeight w:val="264"/>
          <w:jc w:val="center"/>
        </w:trPr>
        <w:tc>
          <w:tcPr>
            <w:tcW w:w="891" w:type="dxa"/>
            <w:tcBorders>
              <w:top w:val="nil"/>
              <w:left w:val="single" w:sz="8" w:space="0" w:color="auto"/>
              <w:bottom w:val="nil"/>
              <w:right w:val="nil"/>
            </w:tcBorders>
            <w:shd w:val="clear" w:color="000000" w:fill="BFBFBF"/>
            <w:noWrap/>
            <w:vAlign w:val="bottom"/>
            <w:hideMark/>
          </w:tcPr>
          <w:p w:rsidR="005F4C4E" w:rsidRDefault="005F4C4E" w:rsidP="00F1000E">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5F4C4E" w:rsidRDefault="005F4C4E" w:rsidP="00F1000E">
            <w:pPr>
              <w:rPr>
                <w:sz w:val="20"/>
                <w:szCs w:val="20"/>
              </w:rPr>
            </w:pPr>
            <w:r>
              <w:rPr>
                <w:sz w:val="20"/>
                <w:szCs w:val="20"/>
              </w:rPr>
              <w:t>GENERAL PLANT</w:t>
            </w:r>
          </w:p>
        </w:tc>
        <w:tc>
          <w:tcPr>
            <w:tcW w:w="1169" w:type="dxa"/>
            <w:tcBorders>
              <w:top w:val="nil"/>
              <w:left w:val="nil"/>
              <w:bottom w:val="nil"/>
              <w:right w:val="nil"/>
            </w:tcBorders>
            <w:shd w:val="clear" w:color="000000" w:fill="BFBFBF"/>
            <w:noWrap/>
            <w:vAlign w:val="bottom"/>
            <w:hideMark/>
          </w:tcPr>
          <w:p w:rsidR="005F4C4E" w:rsidRDefault="005F4C4E" w:rsidP="00F1000E">
            <w:pPr>
              <w:rPr>
                <w:sz w:val="20"/>
                <w:szCs w:val="20"/>
              </w:rPr>
            </w:pPr>
            <w:r>
              <w:rPr>
                <w:sz w:val="20"/>
                <w:szCs w:val="20"/>
              </w:rPr>
              <w:t> </w:t>
            </w:r>
          </w:p>
        </w:tc>
        <w:tc>
          <w:tcPr>
            <w:tcW w:w="1183" w:type="dxa"/>
            <w:tcBorders>
              <w:top w:val="nil"/>
              <w:left w:val="nil"/>
              <w:bottom w:val="nil"/>
              <w:right w:val="nil"/>
            </w:tcBorders>
            <w:shd w:val="clear" w:color="000000" w:fill="BFBFBF"/>
            <w:noWrap/>
            <w:vAlign w:val="center"/>
            <w:hideMark/>
          </w:tcPr>
          <w:p w:rsidR="005F4C4E" w:rsidRDefault="005F4C4E" w:rsidP="00F1000E">
            <w:pPr>
              <w:rPr>
                <w:color w:val="000000"/>
                <w:sz w:val="20"/>
                <w:szCs w:val="20"/>
              </w:rPr>
            </w:pPr>
            <w:r>
              <w:rPr>
                <w:color w:val="000000"/>
                <w:sz w:val="20"/>
                <w:szCs w:val="20"/>
              </w:rPr>
              <w:t> </w:t>
            </w:r>
          </w:p>
        </w:tc>
        <w:tc>
          <w:tcPr>
            <w:tcW w:w="1212" w:type="dxa"/>
            <w:tcBorders>
              <w:top w:val="nil"/>
              <w:left w:val="nil"/>
              <w:bottom w:val="nil"/>
              <w:right w:val="nil"/>
            </w:tcBorders>
            <w:shd w:val="clear" w:color="000000" w:fill="BFBFBF"/>
            <w:noWrap/>
            <w:vAlign w:val="center"/>
            <w:hideMark/>
          </w:tcPr>
          <w:p w:rsidR="005F4C4E" w:rsidRDefault="005F4C4E" w:rsidP="00F1000E">
            <w:pPr>
              <w:rPr>
                <w:color w:val="000000"/>
                <w:sz w:val="20"/>
                <w:szCs w:val="20"/>
              </w:rPr>
            </w:pPr>
            <w:r>
              <w:rPr>
                <w:color w:val="000000"/>
                <w:sz w:val="20"/>
                <w:szCs w:val="20"/>
              </w:rPr>
              <w:t> </w:t>
            </w:r>
          </w:p>
        </w:tc>
        <w:tc>
          <w:tcPr>
            <w:tcW w:w="1023" w:type="dxa"/>
            <w:tcBorders>
              <w:top w:val="nil"/>
              <w:left w:val="nil"/>
              <w:bottom w:val="nil"/>
              <w:right w:val="nil"/>
            </w:tcBorders>
            <w:shd w:val="clear" w:color="000000" w:fill="BFBFBF"/>
            <w:noWrap/>
            <w:vAlign w:val="center"/>
            <w:hideMark/>
          </w:tcPr>
          <w:p w:rsidR="005F4C4E" w:rsidRDefault="005F4C4E" w:rsidP="00F1000E">
            <w:pPr>
              <w:rPr>
                <w:color w:val="000000"/>
                <w:sz w:val="20"/>
                <w:szCs w:val="20"/>
              </w:rPr>
            </w:pPr>
            <w:r>
              <w:rPr>
                <w:color w:val="000000"/>
                <w:sz w:val="20"/>
                <w:szCs w:val="20"/>
              </w:rPr>
              <w:t> </w:t>
            </w:r>
          </w:p>
        </w:tc>
        <w:tc>
          <w:tcPr>
            <w:tcW w:w="1169" w:type="dxa"/>
            <w:tcBorders>
              <w:top w:val="nil"/>
              <w:left w:val="nil"/>
              <w:bottom w:val="nil"/>
              <w:right w:val="single" w:sz="8" w:space="0" w:color="auto"/>
            </w:tcBorders>
            <w:shd w:val="clear" w:color="000000" w:fill="BFBFBF"/>
            <w:noWrap/>
            <w:vAlign w:val="center"/>
            <w:hideMark/>
          </w:tcPr>
          <w:p w:rsidR="005F4C4E" w:rsidRDefault="005F4C4E" w:rsidP="00F1000E">
            <w:pPr>
              <w:rPr>
                <w:color w:val="000000"/>
                <w:sz w:val="20"/>
                <w:szCs w:val="20"/>
              </w:rPr>
            </w:pPr>
            <w:r>
              <w:rPr>
                <w:color w:val="000000"/>
                <w:sz w:val="20"/>
                <w:szCs w:val="20"/>
              </w:rPr>
              <w:t> </w:t>
            </w:r>
          </w:p>
        </w:tc>
      </w:tr>
      <w:tr w:rsidR="005F4C4E" w:rsidTr="00F1000E">
        <w:trPr>
          <w:trHeight w:val="264"/>
          <w:jc w:val="center"/>
        </w:trPr>
        <w:tc>
          <w:tcPr>
            <w:tcW w:w="8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390</w:t>
            </w:r>
          </w:p>
        </w:tc>
        <w:tc>
          <w:tcPr>
            <w:tcW w:w="3873" w:type="dxa"/>
            <w:tcBorders>
              <w:top w:val="single" w:sz="4" w:space="0" w:color="auto"/>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Structures &amp; Improvements</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748,472 </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808,211 </w:t>
            </w:r>
          </w:p>
        </w:tc>
        <w:tc>
          <w:tcPr>
            <w:tcW w:w="1212" w:type="dxa"/>
            <w:tcBorders>
              <w:top w:val="single" w:sz="4" w:space="0" w:color="auto"/>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color w:val="FF0000"/>
                <w:sz w:val="20"/>
                <w:szCs w:val="20"/>
              </w:rPr>
              <w:t>(59,739)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0 </w:t>
            </w:r>
          </w:p>
        </w:tc>
        <w:tc>
          <w:tcPr>
            <w:tcW w:w="1169" w:type="dxa"/>
            <w:tcBorders>
              <w:top w:val="single" w:sz="4" w:space="0" w:color="auto"/>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748,472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392.1</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Transportation - Cars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6,747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6,240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sz w:val="20"/>
                <w:szCs w:val="20"/>
              </w:rPr>
              <w:t xml:space="preserve">507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6,747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392.2</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Transportation - Light Trucks &amp; Vans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479,394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384,107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sz w:val="20"/>
                <w:szCs w:val="20"/>
              </w:rPr>
              <w:t xml:space="preserve">95,287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479,394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392.3</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Transportation - Heavy Trucks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1,600,669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1,620,269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color w:val="FF0000"/>
                <w:sz w:val="20"/>
                <w:szCs w:val="20"/>
              </w:rPr>
              <w:t>(19,600)</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1,600,669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392.4</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Transportation - Trailers</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63,950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61,322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sz w:val="20"/>
                <w:szCs w:val="20"/>
              </w:rPr>
              <w:t xml:space="preserve">2,628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63,950 </w:t>
            </w:r>
          </w:p>
        </w:tc>
      </w:tr>
      <w:tr w:rsidR="005F4C4E" w:rsidTr="00F1000E">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396</w:t>
            </w:r>
          </w:p>
        </w:tc>
        <w:tc>
          <w:tcPr>
            <w:tcW w:w="387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rPr>
                <w:sz w:val="20"/>
                <w:szCs w:val="20"/>
              </w:rPr>
            </w:pPr>
            <w:r>
              <w:rPr>
                <w:sz w:val="20"/>
                <w:szCs w:val="20"/>
              </w:rPr>
              <w:t>Power Operated Equipment</w:t>
            </w:r>
          </w:p>
        </w:tc>
        <w:tc>
          <w:tcPr>
            <w:tcW w:w="1169"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191,566 </w:t>
            </w:r>
          </w:p>
        </w:tc>
        <w:tc>
          <w:tcPr>
            <w:tcW w:w="1183" w:type="dxa"/>
            <w:tcBorders>
              <w:top w:val="nil"/>
              <w:left w:val="nil"/>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201,179 </w:t>
            </w:r>
          </w:p>
        </w:tc>
        <w:tc>
          <w:tcPr>
            <w:tcW w:w="1212" w:type="dxa"/>
            <w:tcBorders>
              <w:top w:val="nil"/>
              <w:left w:val="nil"/>
              <w:bottom w:val="single" w:sz="4" w:space="0" w:color="auto"/>
              <w:right w:val="nil"/>
            </w:tcBorders>
            <w:shd w:val="clear" w:color="auto" w:fill="auto"/>
            <w:noWrap/>
            <w:vAlign w:val="bottom"/>
            <w:hideMark/>
          </w:tcPr>
          <w:p w:rsidR="005F4C4E" w:rsidRDefault="005F4C4E" w:rsidP="00F1000E">
            <w:pPr>
              <w:jc w:val="right"/>
              <w:rPr>
                <w:sz w:val="20"/>
                <w:szCs w:val="20"/>
              </w:rPr>
            </w:pPr>
            <w:r>
              <w:rPr>
                <w:color w:val="FF0000"/>
                <w:sz w:val="20"/>
                <w:szCs w:val="20"/>
              </w:rPr>
              <w:t>(9,613)</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5F4C4E" w:rsidRDefault="005F4C4E" w:rsidP="00F1000E">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5F4C4E" w:rsidRDefault="005F4C4E" w:rsidP="00F1000E">
            <w:pPr>
              <w:jc w:val="right"/>
              <w:rPr>
                <w:sz w:val="20"/>
                <w:szCs w:val="20"/>
              </w:rPr>
            </w:pPr>
            <w:r>
              <w:rPr>
                <w:sz w:val="20"/>
                <w:szCs w:val="20"/>
              </w:rPr>
              <w:t xml:space="preserve">191,566 </w:t>
            </w:r>
          </w:p>
        </w:tc>
      </w:tr>
      <w:tr w:rsidR="005F4C4E" w:rsidTr="00F1000E">
        <w:trPr>
          <w:trHeight w:val="264"/>
          <w:jc w:val="center"/>
        </w:trPr>
        <w:tc>
          <w:tcPr>
            <w:tcW w:w="891" w:type="dxa"/>
            <w:tcBorders>
              <w:top w:val="nil"/>
              <w:left w:val="single" w:sz="8" w:space="0" w:color="auto"/>
              <w:bottom w:val="nil"/>
              <w:right w:val="nil"/>
            </w:tcBorders>
            <w:shd w:val="clear" w:color="000000" w:fill="BFBFBF"/>
            <w:noWrap/>
            <w:vAlign w:val="bottom"/>
            <w:hideMark/>
          </w:tcPr>
          <w:p w:rsidR="005F4C4E" w:rsidRDefault="005F4C4E" w:rsidP="00F1000E">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5F4C4E" w:rsidRDefault="005F4C4E" w:rsidP="00F1000E">
            <w:pPr>
              <w:rPr>
                <w:sz w:val="20"/>
                <w:szCs w:val="20"/>
              </w:rPr>
            </w:pPr>
            <w:r>
              <w:rPr>
                <w:sz w:val="20"/>
                <w:szCs w:val="20"/>
              </w:rPr>
              <w:t>TOTAL GENERAL PLANT</w:t>
            </w:r>
          </w:p>
        </w:tc>
        <w:tc>
          <w:tcPr>
            <w:tcW w:w="1169" w:type="dxa"/>
            <w:tcBorders>
              <w:top w:val="nil"/>
              <w:left w:val="single" w:sz="4" w:space="0" w:color="auto"/>
              <w:bottom w:val="single" w:sz="4" w:space="0" w:color="auto"/>
              <w:right w:val="single" w:sz="4" w:space="0" w:color="auto"/>
            </w:tcBorders>
            <w:shd w:val="clear" w:color="000000" w:fill="BFBFBF"/>
            <w:noWrap/>
            <w:vAlign w:val="bottom"/>
            <w:hideMark/>
          </w:tcPr>
          <w:p w:rsidR="005F4C4E" w:rsidRDefault="005F4C4E" w:rsidP="00F1000E">
            <w:pPr>
              <w:jc w:val="right"/>
              <w:rPr>
                <w:sz w:val="20"/>
                <w:szCs w:val="20"/>
              </w:rPr>
            </w:pPr>
            <w:r>
              <w:rPr>
                <w:sz w:val="20"/>
                <w:szCs w:val="20"/>
              </w:rPr>
              <w:t xml:space="preserve">3,090,798 </w:t>
            </w:r>
          </w:p>
        </w:tc>
        <w:tc>
          <w:tcPr>
            <w:tcW w:w="1183" w:type="dxa"/>
            <w:tcBorders>
              <w:top w:val="nil"/>
              <w:left w:val="nil"/>
              <w:bottom w:val="single" w:sz="4" w:space="0" w:color="auto"/>
              <w:right w:val="single" w:sz="4" w:space="0" w:color="auto"/>
            </w:tcBorders>
            <w:shd w:val="clear" w:color="000000" w:fill="BFBFBF"/>
            <w:noWrap/>
            <w:vAlign w:val="bottom"/>
            <w:hideMark/>
          </w:tcPr>
          <w:p w:rsidR="005F4C4E" w:rsidRDefault="005F4C4E" w:rsidP="00F1000E">
            <w:pPr>
              <w:jc w:val="right"/>
              <w:rPr>
                <w:sz w:val="20"/>
                <w:szCs w:val="20"/>
              </w:rPr>
            </w:pPr>
            <w:r>
              <w:rPr>
                <w:sz w:val="20"/>
                <w:szCs w:val="20"/>
              </w:rPr>
              <w:t xml:space="preserve">3,081,328 </w:t>
            </w:r>
          </w:p>
        </w:tc>
        <w:tc>
          <w:tcPr>
            <w:tcW w:w="1212" w:type="dxa"/>
            <w:tcBorders>
              <w:top w:val="nil"/>
              <w:left w:val="nil"/>
              <w:bottom w:val="single" w:sz="4" w:space="0" w:color="auto"/>
              <w:right w:val="nil"/>
            </w:tcBorders>
            <w:shd w:val="clear" w:color="000000" w:fill="BFBFBF"/>
            <w:noWrap/>
            <w:vAlign w:val="bottom"/>
            <w:hideMark/>
          </w:tcPr>
          <w:p w:rsidR="005F4C4E" w:rsidRDefault="005F4C4E" w:rsidP="00F1000E">
            <w:pPr>
              <w:jc w:val="right"/>
              <w:rPr>
                <w:sz w:val="20"/>
                <w:szCs w:val="20"/>
              </w:rPr>
            </w:pPr>
            <w:r>
              <w:rPr>
                <w:sz w:val="20"/>
                <w:szCs w:val="20"/>
              </w:rPr>
              <w:t xml:space="preserve">9,470 </w:t>
            </w:r>
          </w:p>
        </w:tc>
        <w:tc>
          <w:tcPr>
            <w:tcW w:w="1023" w:type="dxa"/>
            <w:tcBorders>
              <w:top w:val="nil"/>
              <w:left w:val="single" w:sz="4" w:space="0" w:color="auto"/>
              <w:bottom w:val="single" w:sz="4" w:space="0" w:color="auto"/>
              <w:right w:val="single" w:sz="4" w:space="0" w:color="auto"/>
            </w:tcBorders>
            <w:shd w:val="clear" w:color="000000" w:fill="BFBFBF"/>
            <w:noWrap/>
            <w:vAlign w:val="bottom"/>
            <w:hideMark/>
          </w:tcPr>
          <w:p w:rsidR="005F4C4E" w:rsidRDefault="005F4C4E" w:rsidP="00F1000E">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000000" w:fill="BFBFBF"/>
            <w:noWrap/>
            <w:vAlign w:val="bottom"/>
            <w:hideMark/>
          </w:tcPr>
          <w:p w:rsidR="005F4C4E" w:rsidRDefault="005F4C4E" w:rsidP="00F1000E">
            <w:pPr>
              <w:jc w:val="right"/>
              <w:rPr>
                <w:sz w:val="20"/>
                <w:szCs w:val="20"/>
              </w:rPr>
            </w:pPr>
            <w:r>
              <w:rPr>
                <w:sz w:val="20"/>
                <w:szCs w:val="20"/>
              </w:rPr>
              <w:t xml:space="preserve">3,090,798 </w:t>
            </w:r>
          </w:p>
        </w:tc>
      </w:tr>
      <w:tr w:rsidR="005F4C4E" w:rsidTr="00F1000E">
        <w:trPr>
          <w:trHeight w:val="264"/>
          <w:jc w:val="center"/>
        </w:trPr>
        <w:tc>
          <w:tcPr>
            <w:tcW w:w="891" w:type="dxa"/>
            <w:tcBorders>
              <w:top w:val="nil"/>
              <w:left w:val="single" w:sz="8" w:space="0" w:color="auto"/>
              <w:bottom w:val="nil"/>
              <w:right w:val="nil"/>
            </w:tcBorders>
            <w:shd w:val="clear" w:color="000000" w:fill="BFBFBF"/>
            <w:noWrap/>
            <w:vAlign w:val="bottom"/>
            <w:hideMark/>
          </w:tcPr>
          <w:p w:rsidR="005F4C4E" w:rsidRDefault="005F4C4E" w:rsidP="00F1000E">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5F4C4E" w:rsidRDefault="005F4C4E" w:rsidP="00F1000E">
            <w:pPr>
              <w:rPr>
                <w:sz w:val="20"/>
                <w:szCs w:val="20"/>
              </w:rPr>
            </w:pPr>
            <w:r>
              <w:rPr>
                <w:sz w:val="20"/>
                <w:szCs w:val="20"/>
              </w:rPr>
              <w:t> </w:t>
            </w:r>
          </w:p>
        </w:tc>
        <w:tc>
          <w:tcPr>
            <w:tcW w:w="1169" w:type="dxa"/>
            <w:tcBorders>
              <w:top w:val="nil"/>
              <w:left w:val="nil"/>
              <w:bottom w:val="nil"/>
              <w:right w:val="nil"/>
            </w:tcBorders>
            <w:shd w:val="clear" w:color="000000" w:fill="BFBFBF"/>
            <w:noWrap/>
            <w:vAlign w:val="bottom"/>
            <w:hideMark/>
          </w:tcPr>
          <w:p w:rsidR="005F4C4E" w:rsidRDefault="005F4C4E" w:rsidP="00F1000E">
            <w:pPr>
              <w:rPr>
                <w:sz w:val="20"/>
                <w:szCs w:val="20"/>
              </w:rPr>
            </w:pPr>
            <w:r>
              <w:rPr>
                <w:sz w:val="20"/>
                <w:szCs w:val="20"/>
              </w:rPr>
              <w:t> </w:t>
            </w:r>
          </w:p>
        </w:tc>
        <w:tc>
          <w:tcPr>
            <w:tcW w:w="1183" w:type="dxa"/>
            <w:tcBorders>
              <w:top w:val="nil"/>
              <w:left w:val="nil"/>
              <w:bottom w:val="nil"/>
              <w:right w:val="nil"/>
            </w:tcBorders>
            <w:shd w:val="clear" w:color="000000" w:fill="BFBFBF"/>
            <w:noWrap/>
            <w:vAlign w:val="bottom"/>
            <w:hideMark/>
          </w:tcPr>
          <w:p w:rsidR="005F4C4E" w:rsidRDefault="005F4C4E" w:rsidP="00F1000E">
            <w:pPr>
              <w:rPr>
                <w:color w:val="000000"/>
                <w:sz w:val="20"/>
                <w:szCs w:val="20"/>
              </w:rPr>
            </w:pPr>
            <w:r>
              <w:rPr>
                <w:color w:val="000000"/>
                <w:sz w:val="20"/>
                <w:szCs w:val="20"/>
              </w:rPr>
              <w:t> </w:t>
            </w:r>
          </w:p>
        </w:tc>
        <w:tc>
          <w:tcPr>
            <w:tcW w:w="1212" w:type="dxa"/>
            <w:tcBorders>
              <w:top w:val="nil"/>
              <w:left w:val="nil"/>
              <w:bottom w:val="nil"/>
              <w:right w:val="nil"/>
            </w:tcBorders>
            <w:shd w:val="clear" w:color="000000" w:fill="BFBFBF"/>
            <w:noWrap/>
            <w:vAlign w:val="bottom"/>
            <w:hideMark/>
          </w:tcPr>
          <w:p w:rsidR="005F4C4E" w:rsidRDefault="005F4C4E" w:rsidP="00F1000E">
            <w:pPr>
              <w:rPr>
                <w:color w:val="000000"/>
                <w:sz w:val="20"/>
                <w:szCs w:val="20"/>
              </w:rPr>
            </w:pPr>
            <w:r>
              <w:rPr>
                <w:color w:val="000000"/>
                <w:sz w:val="20"/>
                <w:szCs w:val="20"/>
              </w:rPr>
              <w:t> </w:t>
            </w:r>
          </w:p>
        </w:tc>
        <w:tc>
          <w:tcPr>
            <w:tcW w:w="1023" w:type="dxa"/>
            <w:tcBorders>
              <w:top w:val="nil"/>
              <w:left w:val="nil"/>
              <w:bottom w:val="nil"/>
              <w:right w:val="nil"/>
            </w:tcBorders>
            <w:shd w:val="clear" w:color="000000" w:fill="BFBFBF"/>
            <w:noWrap/>
            <w:vAlign w:val="bottom"/>
            <w:hideMark/>
          </w:tcPr>
          <w:p w:rsidR="005F4C4E" w:rsidRDefault="005F4C4E" w:rsidP="00F1000E">
            <w:pPr>
              <w:rPr>
                <w:color w:val="000000"/>
                <w:sz w:val="20"/>
                <w:szCs w:val="20"/>
              </w:rPr>
            </w:pPr>
            <w:r>
              <w:rPr>
                <w:color w:val="000000"/>
                <w:sz w:val="20"/>
                <w:szCs w:val="20"/>
              </w:rPr>
              <w:t> </w:t>
            </w:r>
          </w:p>
        </w:tc>
        <w:tc>
          <w:tcPr>
            <w:tcW w:w="1169" w:type="dxa"/>
            <w:tcBorders>
              <w:top w:val="nil"/>
              <w:left w:val="nil"/>
              <w:bottom w:val="nil"/>
              <w:right w:val="single" w:sz="8" w:space="0" w:color="auto"/>
            </w:tcBorders>
            <w:shd w:val="clear" w:color="000000" w:fill="BFBFBF"/>
            <w:noWrap/>
            <w:vAlign w:val="bottom"/>
            <w:hideMark/>
          </w:tcPr>
          <w:p w:rsidR="005F4C4E" w:rsidRDefault="005F4C4E" w:rsidP="00F1000E">
            <w:pPr>
              <w:rPr>
                <w:color w:val="000000"/>
                <w:sz w:val="20"/>
                <w:szCs w:val="20"/>
              </w:rPr>
            </w:pPr>
            <w:r>
              <w:rPr>
                <w:color w:val="000000"/>
                <w:sz w:val="20"/>
                <w:szCs w:val="20"/>
              </w:rPr>
              <w:t> </w:t>
            </w:r>
          </w:p>
        </w:tc>
      </w:tr>
      <w:tr w:rsidR="005F4C4E" w:rsidTr="00F1000E">
        <w:trPr>
          <w:trHeight w:val="276"/>
          <w:jc w:val="center"/>
        </w:trPr>
        <w:tc>
          <w:tcPr>
            <w:tcW w:w="891" w:type="dxa"/>
            <w:tcBorders>
              <w:top w:val="nil"/>
              <w:left w:val="single" w:sz="8" w:space="0" w:color="auto"/>
              <w:bottom w:val="nil"/>
              <w:right w:val="nil"/>
            </w:tcBorders>
            <w:shd w:val="clear" w:color="000000" w:fill="BFBFBF"/>
            <w:noWrap/>
            <w:vAlign w:val="bottom"/>
            <w:hideMark/>
          </w:tcPr>
          <w:p w:rsidR="005F4C4E" w:rsidRDefault="005F4C4E" w:rsidP="00F1000E">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5F4C4E" w:rsidRDefault="005F4C4E" w:rsidP="00F1000E">
            <w:pPr>
              <w:rPr>
                <w:sz w:val="20"/>
                <w:szCs w:val="20"/>
              </w:rPr>
            </w:pPr>
            <w:r>
              <w:rPr>
                <w:sz w:val="20"/>
                <w:szCs w:val="20"/>
              </w:rPr>
              <w:t>TOTAL PLANT</w:t>
            </w:r>
          </w:p>
        </w:tc>
        <w:tc>
          <w:tcPr>
            <w:tcW w:w="1169" w:type="dxa"/>
            <w:tcBorders>
              <w:top w:val="single" w:sz="4" w:space="0" w:color="auto"/>
              <w:left w:val="single" w:sz="4" w:space="0" w:color="auto"/>
              <w:bottom w:val="double" w:sz="6" w:space="0" w:color="auto"/>
              <w:right w:val="single" w:sz="4" w:space="0" w:color="auto"/>
            </w:tcBorders>
            <w:shd w:val="clear" w:color="000000" w:fill="BFBFBF"/>
            <w:noWrap/>
            <w:vAlign w:val="bottom"/>
            <w:hideMark/>
          </w:tcPr>
          <w:p w:rsidR="005F4C4E" w:rsidRDefault="005F4C4E" w:rsidP="00F1000E">
            <w:pPr>
              <w:jc w:val="right"/>
              <w:rPr>
                <w:sz w:val="20"/>
                <w:szCs w:val="20"/>
              </w:rPr>
            </w:pPr>
            <w:r>
              <w:rPr>
                <w:sz w:val="20"/>
                <w:szCs w:val="20"/>
              </w:rPr>
              <w:t xml:space="preserve">51,341,541 </w:t>
            </w:r>
          </w:p>
        </w:tc>
        <w:tc>
          <w:tcPr>
            <w:tcW w:w="1183" w:type="dxa"/>
            <w:tcBorders>
              <w:top w:val="single" w:sz="4" w:space="0" w:color="auto"/>
              <w:left w:val="nil"/>
              <w:bottom w:val="double" w:sz="6" w:space="0" w:color="auto"/>
              <w:right w:val="single" w:sz="4" w:space="0" w:color="auto"/>
            </w:tcBorders>
            <w:shd w:val="clear" w:color="000000" w:fill="BFBFBF"/>
            <w:noWrap/>
            <w:vAlign w:val="bottom"/>
            <w:hideMark/>
          </w:tcPr>
          <w:p w:rsidR="005F4C4E" w:rsidRDefault="005F4C4E" w:rsidP="00F1000E">
            <w:pPr>
              <w:jc w:val="right"/>
              <w:rPr>
                <w:sz w:val="20"/>
                <w:szCs w:val="20"/>
              </w:rPr>
            </w:pPr>
            <w:r>
              <w:rPr>
                <w:sz w:val="20"/>
                <w:szCs w:val="20"/>
              </w:rPr>
              <w:t xml:space="preserve">52,580,312 </w:t>
            </w:r>
          </w:p>
        </w:tc>
        <w:tc>
          <w:tcPr>
            <w:tcW w:w="1212" w:type="dxa"/>
            <w:tcBorders>
              <w:top w:val="single" w:sz="4" w:space="0" w:color="auto"/>
              <w:left w:val="nil"/>
              <w:bottom w:val="double" w:sz="6" w:space="0" w:color="auto"/>
              <w:right w:val="nil"/>
            </w:tcBorders>
            <w:shd w:val="clear" w:color="000000" w:fill="BFBFBF"/>
            <w:noWrap/>
            <w:vAlign w:val="bottom"/>
            <w:hideMark/>
          </w:tcPr>
          <w:p w:rsidR="005F4C4E" w:rsidRDefault="005F4C4E" w:rsidP="00F1000E">
            <w:pPr>
              <w:jc w:val="right"/>
              <w:rPr>
                <w:sz w:val="20"/>
                <w:szCs w:val="20"/>
              </w:rPr>
            </w:pPr>
            <w:r>
              <w:rPr>
                <w:color w:val="FF0000"/>
                <w:sz w:val="20"/>
                <w:szCs w:val="20"/>
              </w:rPr>
              <w:t>(1,238,771)</w:t>
            </w:r>
          </w:p>
        </w:tc>
        <w:tc>
          <w:tcPr>
            <w:tcW w:w="1023" w:type="dxa"/>
            <w:tcBorders>
              <w:top w:val="single" w:sz="4" w:space="0" w:color="auto"/>
              <w:left w:val="single" w:sz="4" w:space="0" w:color="auto"/>
              <w:bottom w:val="double" w:sz="6" w:space="0" w:color="auto"/>
              <w:right w:val="single" w:sz="4" w:space="0" w:color="auto"/>
            </w:tcBorders>
            <w:shd w:val="clear" w:color="000000" w:fill="BFBFBF"/>
            <w:noWrap/>
            <w:vAlign w:val="bottom"/>
            <w:hideMark/>
          </w:tcPr>
          <w:p w:rsidR="005F4C4E" w:rsidRDefault="005F4C4E" w:rsidP="00F1000E">
            <w:pPr>
              <w:jc w:val="right"/>
              <w:rPr>
                <w:sz w:val="20"/>
                <w:szCs w:val="20"/>
              </w:rPr>
            </w:pPr>
            <w:r>
              <w:rPr>
                <w:sz w:val="20"/>
                <w:szCs w:val="20"/>
              </w:rPr>
              <w:t xml:space="preserve">0 </w:t>
            </w:r>
          </w:p>
        </w:tc>
        <w:tc>
          <w:tcPr>
            <w:tcW w:w="1169" w:type="dxa"/>
            <w:tcBorders>
              <w:top w:val="single" w:sz="4" w:space="0" w:color="auto"/>
              <w:left w:val="nil"/>
              <w:bottom w:val="double" w:sz="6" w:space="0" w:color="auto"/>
              <w:right w:val="single" w:sz="8" w:space="0" w:color="auto"/>
            </w:tcBorders>
            <w:shd w:val="clear" w:color="000000" w:fill="BFBFBF"/>
            <w:noWrap/>
            <w:vAlign w:val="bottom"/>
            <w:hideMark/>
          </w:tcPr>
          <w:p w:rsidR="005F4C4E" w:rsidRDefault="005F4C4E" w:rsidP="00F1000E">
            <w:pPr>
              <w:jc w:val="right"/>
              <w:rPr>
                <w:sz w:val="20"/>
                <w:szCs w:val="20"/>
              </w:rPr>
            </w:pPr>
            <w:r>
              <w:rPr>
                <w:sz w:val="20"/>
                <w:szCs w:val="20"/>
              </w:rPr>
              <w:t xml:space="preserve">51,341,541 </w:t>
            </w:r>
          </w:p>
        </w:tc>
      </w:tr>
      <w:tr w:rsidR="005F4C4E" w:rsidTr="00F1000E">
        <w:trPr>
          <w:trHeight w:val="144"/>
          <w:jc w:val="center"/>
        </w:trPr>
        <w:tc>
          <w:tcPr>
            <w:tcW w:w="891" w:type="dxa"/>
            <w:tcBorders>
              <w:top w:val="nil"/>
              <w:left w:val="single" w:sz="8" w:space="0" w:color="auto"/>
              <w:bottom w:val="single" w:sz="8" w:space="0" w:color="auto"/>
              <w:right w:val="nil"/>
            </w:tcBorders>
            <w:shd w:val="clear" w:color="000000" w:fill="BFBFBF"/>
            <w:noWrap/>
            <w:vAlign w:val="bottom"/>
            <w:hideMark/>
          </w:tcPr>
          <w:p w:rsidR="005F4C4E" w:rsidRDefault="005F4C4E" w:rsidP="00F1000E">
            <w:pPr>
              <w:rPr>
                <w:sz w:val="20"/>
                <w:szCs w:val="20"/>
              </w:rPr>
            </w:pPr>
            <w:r>
              <w:rPr>
                <w:sz w:val="20"/>
                <w:szCs w:val="20"/>
              </w:rPr>
              <w:t> </w:t>
            </w:r>
          </w:p>
        </w:tc>
        <w:tc>
          <w:tcPr>
            <w:tcW w:w="3873" w:type="dxa"/>
            <w:tcBorders>
              <w:top w:val="nil"/>
              <w:left w:val="nil"/>
              <w:bottom w:val="single" w:sz="8" w:space="0" w:color="auto"/>
              <w:right w:val="nil"/>
            </w:tcBorders>
            <w:shd w:val="clear" w:color="000000" w:fill="BFBFBF"/>
            <w:noWrap/>
            <w:vAlign w:val="bottom"/>
            <w:hideMark/>
          </w:tcPr>
          <w:p w:rsidR="005F4C4E" w:rsidRDefault="005F4C4E" w:rsidP="00F1000E">
            <w:pPr>
              <w:rPr>
                <w:sz w:val="20"/>
                <w:szCs w:val="20"/>
              </w:rPr>
            </w:pPr>
            <w:r>
              <w:rPr>
                <w:sz w:val="20"/>
                <w:szCs w:val="20"/>
              </w:rPr>
              <w:t> </w:t>
            </w:r>
          </w:p>
        </w:tc>
        <w:tc>
          <w:tcPr>
            <w:tcW w:w="1169" w:type="dxa"/>
            <w:tcBorders>
              <w:top w:val="nil"/>
              <w:left w:val="nil"/>
              <w:bottom w:val="single" w:sz="8" w:space="0" w:color="auto"/>
              <w:right w:val="nil"/>
            </w:tcBorders>
            <w:shd w:val="clear" w:color="000000" w:fill="BFBFBF"/>
            <w:noWrap/>
            <w:vAlign w:val="bottom"/>
            <w:hideMark/>
          </w:tcPr>
          <w:p w:rsidR="005F4C4E" w:rsidRDefault="005F4C4E" w:rsidP="00F1000E">
            <w:pPr>
              <w:rPr>
                <w:sz w:val="20"/>
                <w:szCs w:val="20"/>
              </w:rPr>
            </w:pPr>
            <w:r>
              <w:rPr>
                <w:sz w:val="20"/>
                <w:szCs w:val="20"/>
              </w:rPr>
              <w:t> </w:t>
            </w:r>
          </w:p>
        </w:tc>
        <w:tc>
          <w:tcPr>
            <w:tcW w:w="1183" w:type="dxa"/>
            <w:tcBorders>
              <w:top w:val="nil"/>
              <w:left w:val="nil"/>
              <w:bottom w:val="single" w:sz="8" w:space="0" w:color="auto"/>
              <w:right w:val="nil"/>
            </w:tcBorders>
            <w:shd w:val="clear" w:color="000000" w:fill="BFBFBF"/>
            <w:noWrap/>
            <w:vAlign w:val="bottom"/>
            <w:hideMark/>
          </w:tcPr>
          <w:p w:rsidR="005F4C4E" w:rsidRDefault="005F4C4E" w:rsidP="00F1000E">
            <w:pPr>
              <w:rPr>
                <w:sz w:val="20"/>
                <w:szCs w:val="20"/>
              </w:rPr>
            </w:pPr>
            <w:r>
              <w:rPr>
                <w:sz w:val="20"/>
                <w:szCs w:val="20"/>
              </w:rPr>
              <w:t> </w:t>
            </w:r>
          </w:p>
        </w:tc>
        <w:tc>
          <w:tcPr>
            <w:tcW w:w="1212" w:type="dxa"/>
            <w:tcBorders>
              <w:top w:val="nil"/>
              <w:left w:val="nil"/>
              <w:bottom w:val="single" w:sz="8" w:space="0" w:color="auto"/>
              <w:right w:val="nil"/>
            </w:tcBorders>
            <w:shd w:val="clear" w:color="000000" w:fill="BFBFBF"/>
            <w:noWrap/>
            <w:vAlign w:val="bottom"/>
            <w:hideMark/>
          </w:tcPr>
          <w:p w:rsidR="005F4C4E" w:rsidRDefault="005F4C4E" w:rsidP="00F1000E">
            <w:pPr>
              <w:rPr>
                <w:sz w:val="20"/>
                <w:szCs w:val="20"/>
              </w:rPr>
            </w:pPr>
            <w:r>
              <w:rPr>
                <w:sz w:val="20"/>
                <w:szCs w:val="20"/>
              </w:rPr>
              <w:t> </w:t>
            </w:r>
          </w:p>
        </w:tc>
        <w:tc>
          <w:tcPr>
            <w:tcW w:w="1023" w:type="dxa"/>
            <w:tcBorders>
              <w:top w:val="nil"/>
              <w:left w:val="nil"/>
              <w:bottom w:val="single" w:sz="8" w:space="0" w:color="auto"/>
              <w:right w:val="nil"/>
            </w:tcBorders>
            <w:shd w:val="clear" w:color="000000" w:fill="BFBFBF"/>
            <w:noWrap/>
            <w:vAlign w:val="bottom"/>
            <w:hideMark/>
          </w:tcPr>
          <w:p w:rsidR="005F4C4E" w:rsidRDefault="005F4C4E" w:rsidP="00F1000E">
            <w:pPr>
              <w:rPr>
                <w:sz w:val="20"/>
                <w:szCs w:val="20"/>
              </w:rPr>
            </w:pPr>
            <w:r>
              <w:rPr>
                <w:sz w:val="20"/>
                <w:szCs w:val="20"/>
              </w:rPr>
              <w:t> </w:t>
            </w:r>
          </w:p>
        </w:tc>
        <w:tc>
          <w:tcPr>
            <w:tcW w:w="1169" w:type="dxa"/>
            <w:tcBorders>
              <w:top w:val="nil"/>
              <w:left w:val="nil"/>
              <w:bottom w:val="single" w:sz="8" w:space="0" w:color="auto"/>
              <w:right w:val="single" w:sz="8" w:space="0" w:color="auto"/>
            </w:tcBorders>
            <w:shd w:val="clear" w:color="000000" w:fill="BFBFBF"/>
            <w:noWrap/>
            <w:vAlign w:val="bottom"/>
            <w:hideMark/>
          </w:tcPr>
          <w:p w:rsidR="005F4C4E" w:rsidRDefault="005F4C4E" w:rsidP="00F1000E">
            <w:pPr>
              <w:rPr>
                <w:sz w:val="20"/>
                <w:szCs w:val="20"/>
              </w:rPr>
            </w:pPr>
            <w:r>
              <w:rPr>
                <w:sz w:val="20"/>
                <w:szCs w:val="20"/>
              </w:rPr>
              <w:t> </w:t>
            </w:r>
          </w:p>
        </w:tc>
      </w:tr>
    </w:tbl>
    <w:p w:rsidR="00231205" w:rsidRDefault="00231205" w:rsidP="00231205">
      <w:pPr>
        <w:pStyle w:val="OrderBody"/>
      </w:pPr>
    </w:p>
    <w:sectPr w:rsidR="00231205" w:rsidSect="00231205">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6C" w:rsidRDefault="00BE166C">
      <w:r>
        <w:separator/>
      </w:r>
    </w:p>
  </w:endnote>
  <w:endnote w:type="continuationSeparator" w:id="0">
    <w:p w:rsidR="00BE166C" w:rsidRDefault="00BE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6C" w:rsidRDefault="00BE166C">
    <w:pPr>
      <w:pStyle w:val="Footer"/>
    </w:pPr>
  </w:p>
  <w:p w:rsidR="00BE166C" w:rsidRDefault="00BE1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6C" w:rsidRDefault="00BE166C">
      <w:r>
        <w:separator/>
      </w:r>
    </w:p>
  </w:footnote>
  <w:footnote w:type="continuationSeparator" w:id="0">
    <w:p w:rsidR="00BE166C" w:rsidRDefault="00BE166C">
      <w:r>
        <w:continuationSeparator/>
      </w:r>
    </w:p>
  </w:footnote>
  <w:footnote w:id="1">
    <w:p w:rsidR="00BE166C" w:rsidRDefault="00BE166C" w:rsidP="008173C5">
      <w:pPr>
        <w:pStyle w:val="OrderFootNote"/>
        <w:spacing w:after="0"/>
        <w:ind w:firstLine="0"/>
      </w:pPr>
      <w:r>
        <w:rPr>
          <w:rStyle w:val="FootnoteReference"/>
        </w:rPr>
        <w:footnoteRef/>
      </w:r>
      <w:r>
        <w:t xml:space="preserve"> By letter dated June 22, 2015, FPUC requested a brief filing due date extension for submitting its 2015 Depreciation Study.   </w:t>
      </w:r>
    </w:p>
  </w:footnote>
  <w:footnote w:id="2">
    <w:p w:rsidR="00BE166C" w:rsidRDefault="00BE166C" w:rsidP="008173C5">
      <w:pPr>
        <w:pStyle w:val="OrderFootNote"/>
        <w:spacing w:after="0"/>
        <w:ind w:firstLine="0"/>
      </w:pPr>
      <w:r>
        <w:rPr>
          <w:rStyle w:val="FootnoteReference"/>
        </w:rPr>
        <w:footnoteRef/>
      </w:r>
      <w:r>
        <w:t xml:space="preserve"> Order No. PSC-12-0065</w:t>
      </w:r>
      <w:r w:rsidRPr="007C1596">
        <w:t>-PAA-E</w:t>
      </w:r>
      <w:r>
        <w:t>I</w:t>
      </w:r>
      <w:r w:rsidRPr="002C13D3">
        <w:t>, issued February 13, 2012</w:t>
      </w:r>
      <w:r>
        <w:t>, in Docket No. 110207</w:t>
      </w:r>
      <w:r w:rsidRPr="007C1596">
        <w:t>-EI,</w:t>
      </w:r>
      <w:r w:rsidRPr="00100567">
        <w:t xml:space="preserve"> </w:t>
      </w:r>
      <w:r w:rsidRPr="00C16C69">
        <w:rPr>
          <w:u w:val="single"/>
        </w:rPr>
        <w:t>In re: 2011 depreciation study by Florida Public Utilities Company</w:t>
      </w:r>
      <w:r>
        <w:t>.</w:t>
      </w:r>
    </w:p>
  </w:footnote>
  <w:footnote w:id="3">
    <w:p w:rsidR="00BE166C" w:rsidRPr="00427F47" w:rsidRDefault="00BE166C" w:rsidP="00573945">
      <w:pPr>
        <w:pStyle w:val="OrderFootNote"/>
        <w:spacing w:after="0"/>
        <w:ind w:firstLine="0"/>
        <w:rPr>
          <w:u w:val="single"/>
        </w:rPr>
      </w:pPr>
      <w:r>
        <w:rPr>
          <w:rStyle w:val="FootnoteReference"/>
        </w:rPr>
        <w:footnoteRef/>
      </w:r>
      <w:r>
        <w:t xml:space="preserve"> </w:t>
      </w:r>
      <w:r>
        <w:rPr>
          <w:u w:val="single"/>
        </w:rPr>
        <w:t>Id.</w:t>
      </w:r>
    </w:p>
  </w:footnote>
  <w:footnote w:id="4">
    <w:p w:rsidR="00BE166C" w:rsidRPr="00C16C69" w:rsidRDefault="00BE166C" w:rsidP="00573945">
      <w:pPr>
        <w:pStyle w:val="OrderFootNote"/>
        <w:spacing w:after="0"/>
        <w:ind w:firstLine="0"/>
        <w:rPr>
          <w:u w:val="single"/>
        </w:rPr>
      </w:pPr>
      <w:r>
        <w:rPr>
          <w:rStyle w:val="FootnoteReference"/>
        </w:rPr>
        <w:footnoteRef/>
      </w:r>
      <w:r>
        <w:t xml:space="preserve"> </w:t>
      </w:r>
      <w:r>
        <w:rPr>
          <w:u w:val="single"/>
        </w:rPr>
        <w:t>Id.</w:t>
      </w:r>
    </w:p>
  </w:footnote>
  <w:footnote w:id="5">
    <w:p w:rsidR="00BE166C" w:rsidRDefault="00BE166C" w:rsidP="00573945">
      <w:pPr>
        <w:pStyle w:val="OrderFootNote"/>
        <w:spacing w:after="0"/>
        <w:ind w:firstLine="0"/>
      </w:pPr>
      <w:r>
        <w:rPr>
          <w:rStyle w:val="FootnoteReference"/>
        </w:rPr>
        <w:footnoteRef/>
      </w:r>
      <w:r>
        <w:t xml:space="preserve"> </w:t>
      </w:r>
      <w:r w:rsidRPr="00C6239A">
        <w:t xml:space="preserve">Florida Public Utilities Company’s Response to Staff’s Report on FPUC’s </w:t>
      </w:r>
      <w:r>
        <w:t>2015 Depreciation Study, Schedule 2</w:t>
      </w:r>
      <w:r w:rsidRPr="00C6239A">
        <w:t xml:space="preserve"> (revised 10/20/2015).</w:t>
      </w:r>
    </w:p>
  </w:footnote>
  <w:footnote w:id="6">
    <w:p w:rsidR="00BE166C" w:rsidRPr="009270E7" w:rsidRDefault="00BE166C" w:rsidP="00573945">
      <w:pPr>
        <w:pStyle w:val="OrderFootNote"/>
        <w:spacing w:after="0"/>
        <w:ind w:firstLine="0"/>
      </w:pPr>
      <w:r w:rsidRPr="009270E7">
        <w:rPr>
          <w:rStyle w:val="FootnoteReference"/>
        </w:rPr>
        <w:footnoteRef/>
      </w:r>
      <w:r>
        <w:t xml:space="preserve"> I</w:t>
      </w:r>
      <w:r w:rsidRPr="009270E7">
        <w:t>ndustry average</w:t>
      </w:r>
      <w:r>
        <w:t>s throughout this Order</w:t>
      </w:r>
      <w:r w:rsidRPr="009270E7">
        <w:t xml:space="preserve"> are based or relied upon NS or ASL information (underlying data of final rates) shown on the following Commission Orders:</w:t>
      </w:r>
    </w:p>
    <w:p w:rsidR="00BE166C" w:rsidRPr="00D13887" w:rsidRDefault="00BE166C" w:rsidP="00573945">
      <w:pPr>
        <w:pStyle w:val="OrderFootNote"/>
        <w:spacing w:after="0"/>
        <w:ind w:firstLine="0"/>
        <w:rPr>
          <w:highlight w:val="yellow"/>
        </w:rPr>
      </w:pPr>
      <w:r w:rsidRPr="009270E7">
        <w:t xml:space="preserve">Order No. PSC-10-0131-FOF-EI, issued March 5, 2010, in Docket No. 090079-EI, </w:t>
      </w:r>
      <w:r w:rsidRPr="00C16C69">
        <w:rPr>
          <w:u w:val="single"/>
        </w:rPr>
        <w:t>In re: Petition for increase in rates by Progress Energy Florida, Inc.</w:t>
      </w:r>
      <w:r w:rsidRPr="009270E7">
        <w:t xml:space="preserve">; Order No. PSC-11-0089-S-EI, issued February 1, 2011, in Docket Nos. 080677-EI and 090130-EI, </w:t>
      </w:r>
      <w:r w:rsidRPr="00C16C69">
        <w:rPr>
          <w:u w:val="single"/>
        </w:rPr>
        <w:t>In re: Petition for increase in rates by Florida Power &amp; Light Company and 2009 depreciation and dismantlement study by Florida Power &amp; Light Company</w:t>
      </w:r>
      <w:r w:rsidRPr="009270E7">
        <w:t xml:space="preserve"> (Order No. PSC-11-0089-S-EI settled all outstanding issues and appeals of Order No. 10-0153-FOF-EI, issued March 17, 2010, in Docket Nos. 080677-EI and 090130-EI, </w:t>
      </w:r>
      <w:r w:rsidRPr="00C16C69">
        <w:rPr>
          <w:u w:val="single"/>
        </w:rPr>
        <w:t>In re: Petition for increase in rates by Florida Power &amp; Light Company and 2009 depreciation and dismantlement study by Florida Power &amp; Light Company</w:t>
      </w:r>
      <w:r w:rsidRPr="009270E7">
        <w:t>); Order No. PSC-12-0175-PAA-EI, issued April 3, 2012, in Docket No. 110131-EI,</w:t>
      </w:r>
      <w:r>
        <w:t xml:space="preserve"> </w:t>
      </w:r>
      <w:r w:rsidRPr="00C16C69">
        <w:rPr>
          <w:u w:val="single"/>
        </w:rPr>
        <w:t>In re: Petition for approval of 2011 depreciation study and annual dismantlement accrual amounts by Tampa Electric Company</w:t>
      </w:r>
      <w:r w:rsidRPr="009270E7">
        <w:t xml:space="preserve">; Order No. PSC-13-0670-S-EI, issued December 19, 2013, in Docket No. 130140-EI, </w:t>
      </w:r>
      <w:r w:rsidRPr="00C16C69">
        <w:rPr>
          <w:u w:val="single"/>
        </w:rPr>
        <w:t>In re: Petition for rate increase by Gulf Power Company</w:t>
      </w:r>
      <w:r w:rsidRPr="009270E7">
        <w:t xml:space="preserve"> (Order No. PSC-13-0670-S-EI continues depreciation rates prescribed by Order No. PSC-10-0458-PAA-EI, issued July 19, 2010, in Docket No. 090319-EI, </w:t>
      </w:r>
      <w:r w:rsidRPr="00C16C69">
        <w:rPr>
          <w:u w:val="single"/>
        </w:rPr>
        <w:t>In re: Depreciation and dismantlement study at December 31, 2009, by Gulf Power Company</w:t>
      </w:r>
      <w:r w:rsidRPr="009270E7">
        <w:t>).</w:t>
      </w:r>
    </w:p>
  </w:footnote>
  <w:footnote w:id="7">
    <w:p w:rsidR="00BE166C" w:rsidRDefault="00BE166C" w:rsidP="007F792B">
      <w:pPr>
        <w:pStyle w:val="OrderFootNote"/>
        <w:spacing w:after="0"/>
        <w:ind w:firstLine="0"/>
      </w:pPr>
      <w:r>
        <w:rPr>
          <w:rStyle w:val="FootnoteReference"/>
        </w:rPr>
        <w:footnoteRef/>
      </w:r>
      <w:r>
        <w:t xml:space="preserve"> </w:t>
      </w:r>
      <w:r w:rsidRPr="001C131F">
        <w:t>Florida Public Utilities Company’s Response</w:t>
      </w:r>
      <w:r>
        <w:t>s</w:t>
      </w:r>
      <w:r w:rsidRPr="001C131F">
        <w:t xml:space="preserve"> to Commission Staff’s First Set of Data Requests,</w:t>
      </w:r>
      <w:r>
        <w:t xml:space="preserve"> No. 50.</w:t>
      </w:r>
    </w:p>
  </w:footnote>
  <w:footnote w:id="8">
    <w:p w:rsidR="00BE166C" w:rsidRDefault="00BE166C" w:rsidP="007F792B">
      <w:pPr>
        <w:pStyle w:val="OrderFootNote"/>
        <w:spacing w:after="0"/>
        <w:ind w:firstLine="0"/>
      </w:pPr>
      <w:r>
        <w:rPr>
          <w:rStyle w:val="FootnoteReference"/>
        </w:rPr>
        <w:footnoteRef/>
      </w:r>
      <w:r>
        <w:t xml:space="preserve"> </w:t>
      </w:r>
      <w:r w:rsidRPr="009270E7">
        <w:t>Order No. PSC-12-0065-PAA-EI</w:t>
      </w:r>
      <w:r>
        <w:t>.</w:t>
      </w:r>
    </w:p>
  </w:footnote>
  <w:footnote w:id="9">
    <w:p w:rsidR="00BE166C" w:rsidRDefault="00BE166C" w:rsidP="007F792B">
      <w:pPr>
        <w:pStyle w:val="OrderFootNote"/>
        <w:spacing w:after="0"/>
        <w:ind w:firstLine="0"/>
      </w:pPr>
      <w:r>
        <w:rPr>
          <w:rStyle w:val="FootnoteReference"/>
        </w:rPr>
        <w:footnoteRef/>
      </w:r>
      <w:r>
        <w:t xml:space="preserve"> </w:t>
      </w:r>
      <w:r w:rsidRPr="001D4164">
        <w:t>Florida Public Utilities Company’s Response to Staff’s Report on FPUC’s</w:t>
      </w:r>
      <w:r>
        <w:t xml:space="preserve"> 2015 Depreciation Study, page 2</w:t>
      </w:r>
      <w:r w:rsidRPr="001D4164">
        <w:t>.</w:t>
      </w:r>
    </w:p>
  </w:footnote>
  <w:footnote w:id="10">
    <w:p w:rsidR="00BE166C" w:rsidRDefault="00BE166C" w:rsidP="007F792B">
      <w:pPr>
        <w:pStyle w:val="OrderFootNote"/>
        <w:ind w:firstLine="0"/>
      </w:pPr>
      <w:r>
        <w:rPr>
          <w:rStyle w:val="FootnoteReference"/>
        </w:rPr>
        <w:footnoteRef/>
      </w:r>
      <w:r>
        <w:t xml:space="preserve"> </w:t>
      </w:r>
      <w:r w:rsidRPr="00FB58C4">
        <w:t>Florida Public Utilities Company’s Respons</w:t>
      </w:r>
      <w:r>
        <w:t>es to Commission Staff’s First Set of Data Requests, No. 57</w:t>
      </w:r>
      <w:r w:rsidRPr="00FB58C4">
        <w:t>.</w:t>
      </w:r>
    </w:p>
  </w:footnote>
  <w:footnote w:id="11">
    <w:p w:rsidR="00BE166C" w:rsidRDefault="00BE166C" w:rsidP="00856717">
      <w:pPr>
        <w:pStyle w:val="OrderFootNote"/>
        <w:spacing w:after="0"/>
        <w:ind w:firstLine="0"/>
      </w:pPr>
      <w:r>
        <w:rPr>
          <w:rStyle w:val="FootnoteReference"/>
        </w:rPr>
        <w:footnoteRef/>
      </w:r>
      <w:r>
        <w:t xml:space="preserve"> </w:t>
      </w:r>
      <w:r w:rsidRPr="009270E7">
        <w:t>Order No. PSC-12-0065-PAA-EI</w:t>
      </w:r>
      <w:r>
        <w:t>.</w:t>
      </w:r>
    </w:p>
  </w:footnote>
  <w:footnote w:id="12">
    <w:p w:rsidR="00BE166C" w:rsidRDefault="00BE166C" w:rsidP="00856717">
      <w:pPr>
        <w:pStyle w:val="OrderFootNote"/>
        <w:spacing w:after="0"/>
        <w:ind w:firstLine="0"/>
      </w:pPr>
      <w:r>
        <w:rPr>
          <w:rStyle w:val="FootnoteReference"/>
        </w:rPr>
        <w:footnoteRef/>
      </w:r>
      <w:r>
        <w:t xml:space="preserve"> Florida Public Utilities Company’s Response to Staff’s Report on FPUC’s 2015 Depreciation Study, page 3, and Schedule 5 (revised 10/20/2015). </w:t>
      </w:r>
    </w:p>
  </w:footnote>
  <w:footnote w:id="13">
    <w:p w:rsidR="00BE166C" w:rsidRDefault="00BE166C" w:rsidP="00856717">
      <w:pPr>
        <w:pStyle w:val="OrderFootNote"/>
        <w:spacing w:after="0"/>
        <w:ind w:firstLine="0"/>
      </w:pPr>
      <w:r>
        <w:rPr>
          <w:rStyle w:val="FootnoteReference"/>
        </w:rPr>
        <w:footnoteRef/>
      </w:r>
      <w:r>
        <w:t xml:space="preserve"> 26 USC §§168(f)(2) and (i)(9).</w:t>
      </w:r>
    </w:p>
  </w:footnote>
  <w:footnote w:id="14">
    <w:p w:rsidR="00BE166C" w:rsidRDefault="00BE166C" w:rsidP="00856717">
      <w:pPr>
        <w:pStyle w:val="OrderFootNote"/>
        <w:spacing w:after="0"/>
        <w:ind w:firstLine="0"/>
      </w:pPr>
      <w:r>
        <w:rPr>
          <w:rStyle w:val="FootnoteReference"/>
        </w:rPr>
        <w:footnoteRef/>
      </w:r>
      <w:r>
        <w:t xml:space="preserve"> </w:t>
      </w:r>
      <w:r w:rsidRPr="008D7C15">
        <w:t>26 USC §167(l)</w:t>
      </w:r>
      <w:r>
        <w:t>.</w:t>
      </w:r>
    </w:p>
  </w:footnote>
  <w:footnote w:id="15">
    <w:p w:rsidR="00BE166C" w:rsidRDefault="00BE166C" w:rsidP="00856717">
      <w:pPr>
        <w:pStyle w:val="OrderFootNote"/>
        <w:spacing w:after="0"/>
        <w:ind w:firstLine="0"/>
      </w:pPr>
      <w:r>
        <w:rPr>
          <w:rStyle w:val="FootnoteReference"/>
        </w:rPr>
        <w:footnoteRef/>
      </w:r>
      <w:r>
        <w:t xml:space="preserve"> </w:t>
      </w:r>
      <w:r w:rsidRPr="008D7C15">
        <w:t>26 USC §46(f)</w:t>
      </w:r>
      <w:r>
        <w:t>, repealed by Revenue Reconciliation Act of 1991, Pub. L. No</w:t>
      </w:r>
      <w:r w:rsidRPr="008D7C15">
        <w:t>.</w:t>
      </w:r>
      <w:r>
        <w:t xml:space="preserve"> 101-508, </w:t>
      </w:r>
      <w:r w:rsidRPr="008D7C15">
        <w:t>§</w:t>
      </w:r>
      <w:r>
        <w:t>11812(a)(1-2)(1990).</w:t>
      </w:r>
    </w:p>
  </w:footnote>
  <w:footnote w:id="16">
    <w:p w:rsidR="00BE166C" w:rsidRDefault="00BE166C" w:rsidP="00856717">
      <w:pPr>
        <w:pStyle w:val="OrderFootNote"/>
        <w:spacing w:after="0"/>
        <w:ind w:firstLine="0"/>
      </w:pPr>
      <w:r>
        <w:rPr>
          <w:rStyle w:val="FootnoteReference"/>
        </w:rPr>
        <w:footnoteRef/>
      </w:r>
      <w:r>
        <w:t xml:space="preserve"> Under IRC Section 50(d)(2), the terms of former IRC section 46(f) remain applicable to public utility property for which a regulated utility previously claimed ITCs, as is the case here. (I.R.S. Priv. Ltr. Rul. 200933023, 1n.1 (May 7, 2009)).</w:t>
      </w:r>
    </w:p>
  </w:footnote>
  <w:footnote w:id="17">
    <w:p w:rsidR="00BE166C" w:rsidRDefault="00BE166C" w:rsidP="00856717">
      <w:pPr>
        <w:pStyle w:val="OrderFootNote"/>
        <w:spacing w:after="0"/>
        <w:ind w:firstLine="0"/>
      </w:pPr>
      <w:r>
        <w:rPr>
          <w:rStyle w:val="FootnoteReference"/>
        </w:rPr>
        <w:footnoteRef/>
      </w:r>
      <w:r>
        <w:t xml:space="preserve"> Treas. Reg. §1.168; Treas. Reg. §1.167; Treas. Reg. §1.46.</w:t>
      </w:r>
    </w:p>
  </w:footnote>
  <w:footnote w:id="18">
    <w:p w:rsidR="00BE166C" w:rsidRDefault="00BE166C" w:rsidP="00856717">
      <w:pPr>
        <w:pStyle w:val="OrderFootNote"/>
        <w:spacing w:after="0"/>
        <w:ind w:firstLine="0"/>
      </w:pPr>
      <w:r>
        <w:rPr>
          <w:rStyle w:val="FootnoteReference"/>
        </w:rPr>
        <w:footnoteRef/>
      </w:r>
      <w:r>
        <w:t xml:space="preserve"> Tax Reform Act of 1986, Pub. L. No. 99-514 (100 Stat. 2085, 2146)(1986).</w:t>
      </w:r>
    </w:p>
  </w:footnote>
  <w:footnote w:id="19">
    <w:p w:rsidR="00BE166C" w:rsidRDefault="00BE166C" w:rsidP="00856717">
      <w:pPr>
        <w:pStyle w:val="OrderFootNote"/>
        <w:ind w:firstLine="0"/>
      </w:pPr>
      <w:r>
        <w:rPr>
          <w:rStyle w:val="FootnoteReference"/>
        </w:rPr>
        <w:footnoteRef/>
      </w:r>
      <w:r>
        <w:t xml:space="preserve"> See 26 USC §46(f)(6) (establishing proper determination of ratable portion).</w:t>
      </w:r>
    </w:p>
  </w:footnote>
  <w:footnote w:id="20">
    <w:p w:rsidR="00BE166C" w:rsidRDefault="00BE166C" w:rsidP="00231205">
      <w:pPr>
        <w:pStyle w:val="FootnoteText"/>
      </w:pPr>
      <w:r>
        <w:rPr>
          <w:rStyle w:val="FootnoteReference"/>
        </w:rPr>
        <w:footnoteRef/>
      </w:r>
      <w:r>
        <w:t xml:space="preserve"> </w:t>
      </w:r>
      <w:r w:rsidRPr="009270E7">
        <w:t>Order No. PSC-12-0065-PAA-EI</w:t>
      </w:r>
      <w:r>
        <w:t>.</w:t>
      </w:r>
    </w:p>
  </w:footnote>
  <w:footnote w:id="21">
    <w:p w:rsidR="00BE166C" w:rsidRDefault="00BE166C" w:rsidP="00231205">
      <w:pPr>
        <w:pStyle w:val="FootnoteText"/>
      </w:pPr>
      <w:r>
        <w:rPr>
          <w:rStyle w:val="FootnoteReference"/>
        </w:rPr>
        <w:footnoteRef/>
      </w:r>
      <w:r>
        <w:t xml:space="preserve"> Listed as Account 391.3 in </w:t>
      </w:r>
      <w:r w:rsidRPr="009270E7">
        <w:t>Order No. PSC-12-0065-PAA-EI</w:t>
      </w:r>
      <w:r>
        <w:t>.</w:t>
      </w:r>
    </w:p>
  </w:footnote>
  <w:footnote w:id="22">
    <w:p w:rsidR="00BE166C" w:rsidRDefault="00BE166C" w:rsidP="00231205">
      <w:pPr>
        <w:pStyle w:val="FootnoteText"/>
      </w:pPr>
      <w:r>
        <w:rPr>
          <w:rStyle w:val="FootnoteReference"/>
        </w:rPr>
        <w:footnoteRef/>
      </w:r>
      <w:r>
        <w:t xml:space="preserve"> Listed as Account 391.1 (Office Furniture)</w:t>
      </w:r>
      <w:r w:rsidRPr="003355DF">
        <w:t xml:space="preserve"> in </w:t>
      </w:r>
      <w:r w:rsidRPr="009270E7">
        <w:t>Order No. PSC-12-0065-PAA-EI</w:t>
      </w:r>
      <w:r>
        <w:t>.</w:t>
      </w:r>
    </w:p>
  </w:footnote>
  <w:footnote w:id="23">
    <w:p w:rsidR="00BE166C" w:rsidRDefault="00BE166C" w:rsidP="00231205">
      <w:pPr>
        <w:pStyle w:val="FootnoteText"/>
      </w:pPr>
      <w:r>
        <w:rPr>
          <w:rStyle w:val="FootnoteReference"/>
        </w:rPr>
        <w:footnoteRef/>
      </w:r>
      <w:r>
        <w:t xml:space="preserve"> </w:t>
      </w:r>
      <w:r w:rsidRPr="009270E7">
        <w:t>Order No. PSC-12-0065-PAA-EI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6C" w:rsidRDefault="00BE166C">
    <w:pPr>
      <w:pStyle w:val="OrderHeader"/>
    </w:pPr>
    <w:r>
      <w:t xml:space="preserve">ORDER NO. </w:t>
    </w:r>
    <w:fldSimple w:instr=" REF OrderNo0575 ">
      <w:r w:rsidR="00A217F7">
        <w:t>PSC-15-0575-PAA-EI</w:t>
      </w:r>
    </w:fldSimple>
  </w:p>
  <w:p w:rsidR="00BE166C" w:rsidRDefault="00BE166C">
    <w:pPr>
      <w:pStyle w:val="OrderHeader"/>
    </w:pPr>
    <w:bookmarkStart w:id="9" w:name="HeaderDocketNo"/>
    <w:bookmarkEnd w:id="9"/>
    <w:r>
      <w:t>DOCKET NO. 150162-EI</w:t>
    </w:r>
  </w:p>
  <w:p w:rsidR="00BE166C" w:rsidRDefault="00BE16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17F7">
      <w:rPr>
        <w:rStyle w:val="PageNumber"/>
        <w:noProof/>
      </w:rPr>
      <w:t>13</w:t>
    </w:r>
    <w:r>
      <w:rPr>
        <w:rStyle w:val="PageNumber"/>
      </w:rPr>
      <w:fldChar w:fldCharType="end"/>
    </w:r>
  </w:p>
  <w:p w:rsidR="00BE166C" w:rsidRDefault="00BE166C">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6C" w:rsidRDefault="00BE166C" w:rsidP="00231205">
    <w:pPr>
      <w:pStyle w:val="OrderHeader"/>
      <w:tabs>
        <w:tab w:val="clear" w:pos="4320"/>
        <w:tab w:val="clear" w:pos="8640"/>
        <w:tab w:val="right" w:pos="9360"/>
      </w:tabs>
    </w:pPr>
    <w:r>
      <w:t xml:space="preserve">ORDER NO. </w:t>
    </w:r>
    <w:r w:rsidR="00A217F7">
      <w:fldChar w:fldCharType="begin"/>
    </w:r>
    <w:r w:rsidR="00A217F7">
      <w:instrText xml:space="preserve"> REF OrderNo0575 </w:instrText>
    </w:r>
    <w:r w:rsidR="00A217F7">
      <w:fldChar w:fldCharType="separate"/>
    </w:r>
    <w:r w:rsidR="00A217F7">
      <w:t>PSC-15-0575-PAA-EI</w:t>
    </w:r>
    <w:r w:rsidR="00A217F7">
      <w:fldChar w:fldCharType="end"/>
    </w:r>
    <w:r>
      <w:tab/>
      <w:t>ATTACHMENT A</w:t>
    </w:r>
  </w:p>
  <w:p w:rsidR="00BE166C" w:rsidRDefault="00BE166C" w:rsidP="00231205">
    <w:pPr>
      <w:pStyle w:val="OrderHeader"/>
      <w:tabs>
        <w:tab w:val="right" w:pos="4320"/>
      </w:tabs>
    </w:pPr>
    <w:r>
      <w:t>DOCKET NO. 150162-EI</w:t>
    </w:r>
  </w:p>
  <w:p w:rsidR="00BE166C" w:rsidRDefault="00BE16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17F7">
      <w:rPr>
        <w:rStyle w:val="PageNumber"/>
        <w:noProof/>
      </w:rPr>
      <w:t>16</w:t>
    </w:r>
    <w:r>
      <w:rPr>
        <w:rStyle w:val="PageNumber"/>
      </w:rPr>
      <w:fldChar w:fldCharType="end"/>
    </w:r>
  </w:p>
  <w:p w:rsidR="00BE166C" w:rsidRDefault="00BE166C">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6C" w:rsidRDefault="00BE166C" w:rsidP="00231205">
    <w:pPr>
      <w:pStyle w:val="OrderHeader"/>
      <w:tabs>
        <w:tab w:val="clear" w:pos="4320"/>
        <w:tab w:val="clear" w:pos="8640"/>
        <w:tab w:val="right" w:pos="9360"/>
      </w:tabs>
    </w:pPr>
    <w:r>
      <w:t xml:space="preserve">ORDER NO. </w:t>
    </w:r>
    <w:r w:rsidR="00A217F7">
      <w:fldChar w:fldCharType="begin"/>
    </w:r>
    <w:r w:rsidR="00A217F7">
      <w:instrText xml:space="preserve"> REF OrderNo0575 </w:instrText>
    </w:r>
    <w:r w:rsidR="00A217F7">
      <w:fldChar w:fldCharType="separate"/>
    </w:r>
    <w:r w:rsidR="00A217F7">
      <w:t>PSC-15-0575-PAA-EI</w:t>
    </w:r>
    <w:r w:rsidR="00A217F7">
      <w:fldChar w:fldCharType="end"/>
    </w:r>
    <w:r>
      <w:tab/>
      <w:t>ATTACHMENT B</w:t>
    </w:r>
  </w:p>
  <w:p w:rsidR="00BE166C" w:rsidRDefault="00BE166C" w:rsidP="00231205">
    <w:pPr>
      <w:pStyle w:val="OrderHeader"/>
      <w:tabs>
        <w:tab w:val="right" w:pos="4320"/>
      </w:tabs>
    </w:pPr>
    <w:r>
      <w:t>DOCKET NO. 150162-EI</w:t>
    </w:r>
  </w:p>
  <w:p w:rsidR="00BE166C" w:rsidRDefault="00BE16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17F7">
      <w:rPr>
        <w:rStyle w:val="PageNumber"/>
        <w:noProof/>
      </w:rPr>
      <w:t>17</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6C" w:rsidRDefault="00BE166C" w:rsidP="00231205">
    <w:pPr>
      <w:pStyle w:val="OrderHeader"/>
      <w:tabs>
        <w:tab w:val="clear" w:pos="4320"/>
        <w:tab w:val="clear" w:pos="8640"/>
        <w:tab w:val="right" w:pos="9360"/>
      </w:tabs>
    </w:pPr>
    <w:r>
      <w:t xml:space="preserve">ORDER NO. </w:t>
    </w:r>
    <w:r w:rsidR="00A217F7">
      <w:fldChar w:fldCharType="begin"/>
    </w:r>
    <w:r w:rsidR="00A217F7">
      <w:instrText xml:space="preserve"> REF OrderNo0575 </w:instrText>
    </w:r>
    <w:r w:rsidR="00A217F7">
      <w:fldChar w:fldCharType="separate"/>
    </w:r>
    <w:r w:rsidR="00A217F7">
      <w:t>PSC-15-0575-PAA-EI</w:t>
    </w:r>
    <w:r w:rsidR="00A217F7">
      <w:fldChar w:fldCharType="end"/>
    </w:r>
    <w:r>
      <w:tab/>
      <w:t>ATTACHMENT C</w:t>
    </w:r>
  </w:p>
  <w:p w:rsidR="00BE166C" w:rsidRDefault="00BE166C" w:rsidP="00231205">
    <w:pPr>
      <w:pStyle w:val="OrderHeader"/>
      <w:tabs>
        <w:tab w:val="right" w:pos="4320"/>
      </w:tabs>
    </w:pPr>
    <w:r>
      <w:t>DOCKET NO. 150162-EI</w:t>
    </w:r>
  </w:p>
  <w:p w:rsidR="00BE166C" w:rsidRDefault="00BE16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17F7">
      <w:rPr>
        <w:rStyle w:val="PageNumber"/>
        <w:noProof/>
      </w:rPr>
      <w:t>18</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62-EI"/>
  </w:docVars>
  <w:rsids>
    <w:rsidRoot w:val="00C16C69"/>
    <w:rsid w:val="000022B8"/>
    <w:rsid w:val="00053AB9"/>
    <w:rsid w:val="00056229"/>
    <w:rsid w:val="00065FC2"/>
    <w:rsid w:val="00090AFC"/>
    <w:rsid w:val="000B6EE9"/>
    <w:rsid w:val="000D06E8"/>
    <w:rsid w:val="000D147F"/>
    <w:rsid w:val="000E344D"/>
    <w:rsid w:val="000F3B2C"/>
    <w:rsid w:val="000F7BE3"/>
    <w:rsid w:val="00104EC7"/>
    <w:rsid w:val="00114D28"/>
    <w:rsid w:val="00116AD3"/>
    <w:rsid w:val="00126593"/>
    <w:rsid w:val="00142A96"/>
    <w:rsid w:val="00162802"/>
    <w:rsid w:val="00187E32"/>
    <w:rsid w:val="00193E78"/>
    <w:rsid w:val="00194E81"/>
    <w:rsid w:val="001A33C9"/>
    <w:rsid w:val="001D008A"/>
    <w:rsid w:val="001D4F32"/>
    <w:rsid w:val="002002ED"/>
    <w:rsid w:val="0022721A"/>
    <w:rsid w:val="00230BB9"/>
    <w:rsid w:val="00231205"/>
    <w:rsid w:val="00252B30"/>
    <w:rsid w:val="00274C01"/>
    <w:rsid w:val="002A11AC"/>
    <w:rsid w:val="002A6F30"/>
    <w:rsid w:val="002D7D15"/>
    <w:rsid w:val="00303FDE"/>
    <w:rsid w:val="003140E8"/>
    <w:rsid w:val="003231C7"/>
    <w:rsid w:val="00331ED0"/>
    <w:rsid w:val="0033556F"/>
    <w:rsid w:val="0035495B"/>
    <w:rsid w:val="003744F5"/>
    <w:rsid w:val="00390DD8"/>
    <w:rsid w:val="00394DC6"/>
    <w:rsid w:val="00397C3E"/>
    <w:rsid w:val="003C57C7"/>
    <w:rsid w:val="003D1107"/>
    <w:rsid w:val="003D4CCA"/>
    <w:rsid w:val="003D6416"/>
    <w:rsid w:val="003E1D48"/>
    <w:rsid w:val="003E6A2A"/>
    <w:rsid w:val="0042527B"/>
    <w:rsid w:val="00427F47"/>
    <w:rsid w:val="00434099"/>
    <w:rsid w:val="00457DC7"/>
    <w:rsid w:val="00472BCC"/>
    <w:rsid w:val="00475B4A"/>
    <w:rsid w:val="004A25CD"/>
    <w:rsid w:val="004A26CC"/>
    <w:rsid w:val="004B2108"/>
    <w:rsid w:val="004B3A2B"/>
    <w:rsid w:val="004C053E"/>
    <w:rsid w:val="004D2D1B"/>
    <w:rsid w:val="004F2DDE"/>
    <w:rsid w:val="0050097F"/>
    <w:rsid w:val="00514B1F"/>
    <w:rsid w:val="00556A10"/>
    <w:rsid w:val="00573945"/>
    <w:rsid w:val="005963C2"/>
    <w:rsid w:val="005B45F7"/>
    <w:rsid w:val="005B63EA"/>
    <w:rsid w:val="005C31D4"/>
    <w:rsid w:val="005F4C4E"/>
    <w:rsid w:val="006223F7"/>
    <w:rsid w:val="00660774"/>
    <w:rsid w:val="00665CC7"/>
    <w:rsid w:val="006A0BF3"/>
    <w:rsid w:val="006B0DA6"/>
    <w:rsid w:val="006B1FBF"/>
    <w:rsid w:val="006C2CCC"/>
    <w:rsid w:val="006C547E"/>
    <w:rsid w:val="00704C5D"/>
    <w:rsid w:val="00733B6B"/>
    <w:rsid w:val="00745DF4"/>
    <w:rsid w:val="0076170F"/>
    <w:rsid w:val="0076669C"/>
    <w:rsid w:val="007865E9"/>
    <w:rsid w:val="00792383"/>
    <w:rsid w:val="007D3D20"/>
    <w:rsid w:val="007E1AF0"/>
    <w:rsid w:val="007E3AFD"/>
    <w:rsid w:val="007F6285"/>
    <w:rsid w:val="007F792B"/>
    <w:rsid w:val="00803189"/>
    <w:rsid w:val="00804E7A"/>
    <w:rsid w:val="00805FBB"/>
    <w:rsid w:val="008169A4"/>
    <w:rsid w:val="008173C5"/>
    <w:rsid w:val="008278FE"/>
    <w:rsid w:val="00832598"/>
    <w:rsid w:val="0083397E"/>
    <w:rsid w:val="0083534B"/>
    <w:rsid w:val="00856717"/>
    <w:rsid w:val="00863A66"/>
    <w:rsid w:val="00874429"/>
    <w:rsid w:val="00883D9A"/>
    <w:rsid w:val="008919EF"/>
    <w:rsid w:val="008C6A5B"/>
    <w:rsid w:val="008E26A5"/>
    <w:rsid w:val="008E42D2"/>
    <w:rsid w:val="009040EE"/>
    <w:rsid w:val="009057FD"/>
    <w:rsid w:val="00922A7F"/>
    <w:rsid w:val="00923A5E"/>
    <w:rsid w:val="009707CC"/>
    <w:rsid w:val="00994100"/>
    <w:rsid w:val="009D0B4A"/>
    <w:rsid w:val="009D4C29"/>
    <w:rsid w:val="00A217F7"/>
    <w:rsid w:val="00A25B61"/>
    <w:rsid w:val="00A62DAB"/>
    <w:rsid w:val="00A726A6"/>
    <w:rsid w:val="00A97535"/>
    <w:rsid w:val="00AA73F1"/>
    <w:rsid w:val="00AB0E1A"/>
    <w:rsid w:val="00AB1A30"/>
    <w:rsid w:val="00AC60BC"/>
    <w:rsid w:val="00AD1ED3"/>
    <w:rsid w:val="00B0777D"/>
    <w:rsid w:val="00B4057A"/>
    <w:rsid w:val="00B40894"/>
    <w:rsid w:val="00B45E75"/>
    <w:rsid w:val="00B47BFC"/>
    <w:rsid w:val="00B50876"/>
    <w:rsid w:val="00B55EE5"/>
    <w:rsid w:val="00B73DE6"/>
    <w:rsid w:val="00B86EF0"/>
    <w:rsid w:val="00B97900"/>
    <w:rsid w:val="00BA44A8"/>
    <w:rsid w:val="00BE166C"/>
    <w:rsid w:val="00BF6691"/>
    <w:rsid w:val="00C028FC"/>
    <w:rsid w:val="00C16C69"/>
    <w:rsid w:val="00C22F4E"/>
    <w:rsid w:val="00C33C0E"/>
    <w:rsid w:val="00C63AC1"/>
    <w:rsid w:val="00C6482A"/>
    <w:rsid w:val="00C66692"/>
    <w:rsid w:val="00C837EA"/>
    <w:rsid w:val="00C91123"/>
    <w:rsid w:val="00CA71FF"/>
    <w:rsid w:val="00CB5276"/>
    <w:rsid w:val="00CB68D7"/>
    <w:rsid w:val="00CC7E68"/>
    <w:rsid w:val="00CD7132"/>
    <w:rsid w:val="00D30B48"/>
    <w:rsid w:val="00D46FAA"/>
    <w:rsid w:val="00D57BB2"/>
    <w:rsid w:val="00D64394"/>
    <w:rsid w:val="00D8560E"/>
    <w:rsid w:val="00D8758F"/>
    <w:rsid w:val="00DC1D94"/>
    <w:rsid w:val="00DC5239"/>
    <w:rsid w:val="00DE057F"/>
    <w:rsid w:val="00DE2082"/>
    <w:rsid w:val="00DE2289"/>
    <w:rsid w:val="00E04410"/>
    <w:rsid w:val="00E11351"/>
    <w:rsid w:val="00E164E3"/>
    <w:rsid w:val="00E22F7B"/>
    <w:rsid w:val="00E97C80"/>
    <w:rsid w:val="00EA172C"/>
    <w:rsid w:val="00EA259B"/>
    <w:rsid w:val="00EA35A3"/>
    <w:rsid w:val="00EA3E6A"/>
    <w:rsid w:val="00EB18EF"/>
    <w:rsid w:val="00EE17DF"/>
    <w:rsid w:val="00EF4621"/>
    <w:rsid w:val="00F1000E"/>
    <w:rsid w:val="00F17147"/>
    <w:rsid w:val="00F277B6"/>
    <w:rsid w:val="00F54380"/>
    <w:rsid w:val="00F54B47"/>
    <w:rsid w:val="00F70E84"/>
    <w:rsid w:val="00F76D55"/>
    <w:rsid w:val="00FA6EFD"/>
    <w:rsid w:val="00FB269E"/>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231205"/>
  </w:style>
  <w:style w:type="paragraph" w:styleId="BalloonText">
    <w:name w:val="Balloon Text"/>
    <w:basedOn w:val="Normal"/>
    <w:link w:val="BalloonTextChar"/>
    <w:rsid w:val="00F1000E"/>
    <w:rPr>
      <w:rFonts w:ascii="Tahoma" w:hAnsi="Tahoma" w:cs="Tahoma"/>
      <w:sz w:val="16"/>
      <w:szCs w:val="16"/>
    </w:rPr>
  </w:style>
  <w:style w:type="character" w:customStyle="1" w:styleId="BalloonTextChar">
    <w:name w:val="Balloon Text Char"/>
    <w:basedOn w:val="DefaultParagraphFont"/>
    <w:link w:val="BalloonText"/>
    <w:rsid w:val="00F100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231205"/>
  </w:style>
  <w:style w:type="paragraph" w:styleId="BalloonText">
    <w:name w:val="Balloon Text"/>
    <w:basedOn w:val="Normal"/>
    <w:link w:val="BalloonTextChar"/>
    <w:rsid w:val="00F1000E"/>
    <w:rPr>
      <w:rFonts w:ascii="Tahoma" w:hAnsi="Tahoma" w:cs="Tahoma"/>
      <w:sz w:val="16"/>
      <w:szCs w:val="16"/>
    </w:rPr>
  </w:style>
  <w:style w:type="character" w:customStyle="1" w:styleId="BalloonTextChar">
    <w:name w:val="Balloon Text Char"/>
    <w:basedOn w:val="DefaultParagraphFont"/>
    <w:link w:val="BalloonText"/>
    <w:rsid w:val="00F10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C80E8-EEC7-4E80-AB41-3265DCD6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18</Pages>
  <Words>6293</Words>
  <Characters>34844</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2015-12-18T19:51:00Z</dcterms:created>
  <dcterms:modified xsi:type="dcterms:W3CDTF">2015-12-21T15:06:00Z</dcterms:modified>
</cp:coreProperties>
</file>