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3E2E" w:rsidP="00F63E2E">
      <w:pPr>
        <w:pStyle w:val="OrderHeading"/>
      </w:pPr>
      <w:bookmarkStart w:id="0" w:name="_GoBack"/>
      <w:bookmarkEnd w:id="0"/>
      <w:r>
        <w:t>BEFORE THE FLORIDA PUBLIC SERVICE COMMISSION</w:t>
      </w:r>
    </w:p>
    <w:p w:rsidR="00F63E2E" w:rsidRDefault="00F63E2E" w:rsidP="00F63E2E">
      <w:pPr>
        <w:pStyle w:val="OrderHeading"/>
      </w:pPr>
    </w:p>
    <w:p w:rsidR="00F63E2E" w:rsidRDefault="00F63E2E" w:rsidP="00F63E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3E2E" w:rsidRPr="00C63FCF" w:rsidTr="00C63FCF">
        <w:trPr>
          <w:trHeight w:val="828"/>
        </w:trPr>
        <w:tc>
          <w:tcPr>
            <w:tcW w:w="4788" w:type="dxa"/>
            <w:tcBorders>
              <w:bottom w:val="single" w:sz="8" w:space="0" w:color="auto"/>
              <w:right w:val="double" w:sz="6" w:space="0" w:color="auto"/>
            </w:tcBorders>
            <w:shd w:val="clear" w:color="auto" w:fill="auto"/>
          </w:tcPr>
          <w:p w:rsidR="00F63E2E" w:rsidRDefault="00F63E2E" w:rsidP="00C63FCF">
            <w:pPr>
              <w:pStyle w:val="OrderBody"/>
              <w:tabs>
                <w:tab w:val="center" w:pos="4320"/>
                <w:tab w:val="right" w:pos="8640"/>
              </w:tabs>
              <w:jc w:val="left"/>
            </w:pPr>
            <w:r>
              <w:t xml:space="preserve">In re: </w:t>
            </w:r>
            <w:bookmarkStart w:id="1" w:name="SSInRe"/>
            <w:bookmarkEnd w:id="1"/>
            <w:r>
              <w:t>Petition for approval of depreciation rates for Polk 2 combined cycle generating units, by Tampa Electric Company.</w:t>
            </w:r>
          </w:p>
        </w:tc>
        <w:tc>
          <w:tcPr>
            <w:tcW w:w="4788" w:type="dxa"/>
            <w:tcBorders>
              <w:left w:val="double" w:sz="6" w:space="0" w:color="auto"/>
            </w:tcBorders>
            <w:shd w:val="clear" w:color="auto" w:fill="auto"/>
          </w:tcPr>
          <w:p w:rsidR="00F63E2E" w:rsidRDefault="00F63E2E" w:rsidP="00F63E2E">
            <w:pPr>
              <w:pStyle w:val="OrderBody"/>
            </w:pPr>
            <w:r>
              <w:t xml:space="preserve">DOCKET NO. </w:t>
            </w:r>
            <w:bookmarkStart w:id="2" w:name="SSDocketNo"/>
            <w:bookmarkEnd w:id="2"/>
            <w:r>
              <w:t>20170143-EI</w:t>
            </w:r>
          </w:p>
          <w:p w:rsidR="00F63E2E" w:rsidRDefault="00F63E2E" w:rsidP="00C63FCF">
            <w:pPr>
              <w:pStyle w:val="OrderBody"/>
              <w:tabs>
                <w:tab w:val="center" w:pos="4320"/>
                <w:tab w:val="right" w:pos="8640"/>
              </w:tabs>
              <w:jc w:val="left"/>
            </w:pPr>
            <w:r>
              <w:t xml:space="preserve">ORDER NO. </w:t>
            </w:r>
            <w:bookmarkStart w:id="3" w:name="OrderNo0391"/>
            <w:r w:rsidR="00CD537D">
              <w:t>PSC-2017-0391-PAA-EI</w:t>
            </w:r>
            <w:bookmarkEnd w:id="3"/>
          </w:p>
          <w:p w:rsidR="00F63E2E" w:rsidRDefault="00F63E2E" w:rsidP="00C63FCF">
            <w:pPr>
              <w:pStyle w:val="OrderBody"/>
              <w:tabs>
                <w:tab w:val="center" w:pos="4320"/>
                <w:tab w:val="right" w:pos="8640"/>
              </w:tabs>
              <w:jc w:val="left"/>
            </w:pPr>
            <w:r>
              <w:t xml:space="preserve">ISSUED: </w:t>
            </w:r>
            <w:r w:rsidR="00CD537D">
              <w:t>October 16, 2017</w:t>
            </w:r>
          </w:p>
        </w:tc>
      </w:tr>
    </w:tbl>
    <w:p w:rsidR="00F63E2E" w:rsidRDefault="00F63E2E" w:rsidP="00F63E2E"/>
    <w:p w:rsidR="00F63E2E" w:rsidRDefault="00F63E2E" w:rsidP="00F63E2E"/>
    <w:p w:rsidR="00F63E2E" w:rsidRDefault="00F63E2E">
      <w:pPr>
        <w:ind w:firstLine="720"/>
        <w:jc w:val="both"/>
      </w:pPr>
      <w:bookmarkStart w:id="4" w:name="Commissioners"/>
      <w:bookmarkEnd w:id="4"/>
      <w:r>
        <w:t>The following Commissioners participated in the disposition of this matter:</w:t>
      </w:r>
    </w:p>
    <w:p w:rsidR="00F63E2E" w:rsidRDefault="00F63E2E"/>
    <w:p w:rsidR="00F63E2E" w:rsidRDefault="00F63E2E">
      <w:pPr>
        <w:jc w:val="center"/>
      </w:pPr>
      <w:r>
        <w:t>JULIE I. BROWN, Chairman</w:t>
      </w:r>
    </w:p>
    <w:p w:rsidR="00F63E2E" w:rsidRDefault="00F63E2E">
      <w:pPr>
        <w:jc w:val="center"/>
      </w:pPr>
      <w:r>
        <w:t>ART GRAHAM</w:t>
      </w:r>
    </w:p>
    <w:p w:rsidR="00F63E2E" w:rsidRDefault="00F63E2E">
      <w:pPr>
        <w:jc w:val="center"/>
      </w:pPr>
      <w:r>
        <w:t>RONALD A. BRISÉ</w:t>
      </w:r>
    </w:p>
    <w:p w:rsidR="00F63E2E" w:rsidRDefault="00F63E2E">
      <w:pPr>
        <w:jc w:val="center"/>
      </w:pPr>
      <w:r>
        <w:t>DONALD J. POLMANN</w:t>
      </w:r>
    </w:p>
    <w:p w:rsidR="00F63E2E" w:rsidRDefault="00F63E2E">
      <w:pPr>
        <w:jc w:val="center"/>
      </w:pPr>
      <w:r>
        <w:t>GARY F. CLARK</w:t>
      </w:r>
    </w:p>
    <w:p w:rsidR="00F63E2E" w:rsidRDefault="00F63E2E" w:rsidP="00F63E2E">
      <w:pPr>
        <w:pStyle w:val="OrderBody"/>
      </w:pPr>
    </w:p>
    <w:p w:rsidR="00F63E2E" w:rsidRDefault="00F63E2E" w:rsidP="00F63E2E">
      <w:pPr>
        <w:pStyle w:val="OrderBody"/>
      </w:pPr>
    </w:p>
    <w:p w:rsidR="00F63E2E" w:rsidRPr="003E4B2D" w:rsidRDefault="00F63E2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63E2E" w:rsidRPr="003E4B2D" w:rsidRDefault="00F63E2E">
      <w:pPr>
        <w:pStyle w:val="OrderBody"/>
        <w:jc w:val="center"/>
        <w:rPr>
          <w:u w:val="single"/>
        </w:rPr>
      </w:pPr>
      <w:r w:rsidRPr="003E4B2D">
        <w:rPr>
          <w:u w:val="single"/>
        </w:rPr>
        <w:t>ORDER</w:t>
      </w:r>
      <w:bookmarkStart w:id="5" w:name="OrderTitle"/>
      <w:r w:rsidR="00DD2DD0">
        <w:rPr>
          <w:u w:val="single"/>
        </w:rPr>
        <w:t xml:space="preserve"> APPROVING DEPRECIATION RATES</w:t>
      </w:r>
      <w:r>
        <w:rPr>
          <w:u w:val="single"/>
        </w:rPr>
        <w:t xml:space="preserve"> </w:t>
      </w:r>
      <w:bookmarkEnd w:id="5"/>
    </w:p>
    <w:p w:rsidR="00F63E2E" w:rsidRPr="003E4B2D" w:rsidRDefault="00F63E2E">
      <w:pPr>
        <w:pStyle w:val="OrderBody"/>
      </w:pPr>
    </w:p>
    <w:p w:rsidR="00F63E2E" w:rsidRPr="003E4B2D" w:rsidRDefault="00F63E2E">
      <w:pPr>
        <w:pStyle w:val="OrderBody"/>
      </w:pPr>
    </w:p>
    <w:p w:rsidR="00F63E2E" w:rsidRPr="003E4B2D" w:rsidRDefault="00F63E2E">
      <w:pPr>
        <w:pStyle w:val="OrderBody"/>
      </w:pPr>
      <w:r w:rsidRPr="003E4B2D">
        <w:t>BY THE COMMISSION:</w:t>
      </w:r>
    </w:p>
    <w:p w:rsidR="00F63E2E" w:rsidRPr="003E4B2D" w:rsidRDefault="00F63E2E">
      <w:pPr>
        <w:pStyle w:val="OrderBody"/>
      </w:pPr>
    </w:p>
    <w:p w:rsidR="00F63E2E" w:rsidRDefault="00F63E2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63E2E"/>
    <w:p w:rsidR="00D57E57" w:rsidRPr="00F63E2E" w:rsidRDefault="00F63E2E" w:rsidP="00F63E2E">
      <w:pPr>
        <w:jc w:val="center"/>
        <w:rPr>
          <w:b/>
        </w:rPr>
      </w:pPr>
      <w:r w:rsidRPr="00F63E2E">
        <w:rPr>
          <w:b/>
        </w:rPr>
        <w:t>Background</w:t>
      </w:r>
    </w:p>
    <w:p w:rsidR="00F63E2E" w:rsidRDefault="00F63E2E" w:rsidP="00D57E57"/>
    <w:p w:rsidR="00F63E2E" w:rsidRDefault="00F63E2E" w:rsidP="00F63E2E">
      <w:pPr>
        <w:spacing w:after="240"/>
        <w:ind w:firstLine="720"/>
        <w:jc w:val="both"/>
      </w:pPr>
      <w:r w:rsidRPr="00F63E2E">
        <w:t xml:space="preserve">On June 16, 2017, Tampa Electric Company (TECO or the company) petitioned the Florida Public Service Commission (Commission) for approval to establish depreciation rates for its Polk 2 combined cycle generating units (Polk 2 CC) and associated equipment. Pursuant to Rule 25-6.0436(3)(a), F.A.C., electric utilities are required to maintain depreciation rates and accumulated depreciation reserves in accounts or subaccounts as prescribed in Rule 25-6.014(1), F.A.C. Rule 25-6.0436(3)(b), F.A.C., provides that “[u]pon establishing a new account or subaccount classification, each utility shall request Commission approval of a depreciation rate for the new plant category.” </w:t>
      </w:r>
      <w:r w:rsidR="00DD2DD0">
        <w:t>This</w:t>
      </w:r>
      <w:r w:rsidRPr="00F63E2E">
        <w:t xml:space="preserve"> Commission has jurisdiction in this matter pursuant to Sections 366.04, 366.05, and 366.06, Florida Statutes (F.S.).</w:t>
      </w:r>
    </w:p>
    <w:p w:rsidR="00F63E2E" w:rsidRPr="00F63E2E" w:rsidRDefault="00F63E2E" w:rsidP="00F63E2E">
      <w:pPr>
        <w:jc w:val="center"/>
        <w:rPr>
          <w:b/>
        </w:rPr>
      </w:pPr>
      <w:r w:rsidRPr="00F63E2E">
        <w:rPr>
          <w:b/>
        </w:rPr>
        <w:t>Decision</w:t>
      </w:r>
    </w:p>
    <w:p w:rsidR="00F63E2E" w:rsidRPr="00F63E2E" w:rsidRDefault="00F63E2E" w:rsidP="008926FE">
      <w:pPr>
        <w:spacing w:before="240" w:after="240"/>
        <w:ind w:firstLine="720"/>
        <w:jc w:val="both"/>
      </w:pPr>
      <w:r w:rsidRPr="00F63E2E">
        <w:t xml:space="preserve">TECO seeks approval of a proposed 2.9 percent interim depreciation rate for the new assets of its Polk 2 CC and associated equipment. Polk 2 CC went into service in January 2017 </w:t>
      </w:r>
      <w:r w:rsidRPr="00F63E2E">
        <w:lastRenderedPageBreak/>
        <w:t>with a generating maximum nameplate capacity of 513 megawatts (MW) and a net capacity for summer and winter of 461 MW and 480 MW, respectively.</w:t>
      </w:r>
      <w:r w:rsidRPr="00F63E2E">
        <w:rPr>
          <w:vertAlign w:val="superscript"/>
        </w:rPr>
        <w:footnoteReference w:id="1"/>
      </w:r>
      <w:r w:rsidRPr="00F63E2E">
        <w:t xml:space="preserve"> </w:t>
      </w:r>
    </w:p>
    <w:p w:rsidR="00F63E2E" w:rsidRPr="00F63E2E" w:rsidRDefault="00F63E2E" w:rsidP="00F63E2E">
      <w:pPr>
        <w:spacing w:after="240"/>
        <w:ind w:firstLine="720"/>
        <w:jc w:val="both"/>
      </w:pPr>
      <w:r w:rsidRPr="00F63E2E">
        <w:t>Typically, a combined cycle (CC) generating station consists of one or more combustion turbines (CT), each with a heat recovery steam generator (HRSG). Steam produced by each HRSG is used to drive a steam turbine (ST). The ST and each CT have an electrical generator that produces electricity. Polk 2 CC is composed of four CTs, which are existing assets of the company, and four HRSGs and one ST, which are all new assets. TECO’s requested depreciation rate is limited to the new technology related to the HRSG and ST assets only. This is because Polk 2 CTs are existing assets with approved depreciation rates, and TECO’s approved 2013 rate case settlement stipulates that the company is not required to file a depreciation study until shortly before the filing of its next base rate case.</w:t>
      </w:r>
      <w:r w:rsidRPr="00F63E2E">
        <w:rPr>
          <w:vertAlign w:val="superscript"/>
        </w:rPr>
        <w:footnoteReference w:id="2"/>
      </w:r>
      <w:r w:rsidRPr="00F63E2E">
        <w:t xml:space="preserve"> In response to a </w:t>
      </w:r>
      <w:r w:rsidR="00DD2DD0">
        <w:t xml:space="preserve">Commission </w:t>
      </w:r>
      <w:r w:rsidRPr="00F63E2E">
        <w:t>staff data request, TECO indicated that during its next depreciation study the company will analyze all assets of Polk 2 CC (CTs, HRSGs, and ST), and re-evaluate the useful remaining life for all assets combined.</w:t>
      </w:r>
      <w:r w:rsidRPr="00F63E2E">
        <w:rPr>
          <w:vertAlign w:val="superscript"/>
        </w:rPr>
        <w:footnoteReference w:id="3"/>
      </w:r>
    </w:p>
    <w:p w:rsidR="00F63E2E" w:rsidRPr="00F63E2E" w:rsidRDefault="00F63E2E" w:rsidP="00F63E2E">
      <w:pPr>
        <w:spacing w:after="240"/>
        <w:ind w:firstLine="720"/>
        <w:jc w:val="both"/>
      </w:pPr>
      <w:r w:rsidRPr="00F63E2E">
        <w:t xml:space="preserve">In its petition in this docket, TECO categorized the Polk 2 CC into four subaccounts. In its response to a </w:t>
      </w:r>
      <w:r w:rsidR="00DD2DD0">
        <w:t xml:space="preserve">Commission </w:t>
      </w:r>
      <w:r w:rsidRPr="00F63E2E">
        <w:t>staff data request, the company further requested to include one more subaccount (Miscellaneous Power Plant Equipment) in its petition for approval of the depreciation rates.</w:t>
      </w:r>
      <w:r w:rsidRPr="00F63E2E">
        <w:rPr>
          <w:vertAlign w:val="superscript"/>
        </w:rPr>
        <w:footnoteReference w:id="4"/>
      </w:r>
      <w:r w:rsidRPr="00F63E2E">
        <w:t xml:space="preserve"> Thus, TECO seeks approval of the depreciation rates for the following five subaccounts:</w:t>
      </w:r>
    </w:p>
    <w:p w:rsidR="00F63E2E" w:rsidRDefault="00F63E2E" w:rsidP="00F63E2E">
      <w:pPr>
        <w:autoSpaceDE w:val="0"/>
        <w:autoSpaceDN w:val="0"/>
        <w:adjustRightInd w:val="0"/>
        <w:ind w:left="1440"/>
        <w:jc w:val="both"/>
      </w:pPr>
      <w:r>
        <w:t xml:space="preserve">341.xx  Structures and Improvements      </w:t>
      </w:r>
    </w:p>
    <w:p w:rsidR="00F63E2E" w:rsidRPr="00FB4FD4" w:rsidRDefault="00F63E2E" w:rsidP="00F63E2E">
      <w:pPr>
        <w:autoSpaceDE w:val="0"/>
        <w:autoSpaceDN w:val="0"/>
        <w:adjustRightInd w:val="0"/>
        <w:ind w:left="1440"/>
        <w:jc w:val="both"/>
        <w:rPr>
          <w:sz w:val="20"/>
          <w:szCs w:val="20"/>
        </w:rPr>
      </w:pPr>
    </w:p>
    <w:p w:rsidR="00F63E2E" w:rsidRDefault="00F63E2E" w:rsidP="00F63E2E">
      <w:pPr>
        <w:autoSpaceDE w:val="0"/>
        <w:autoSpaceDN w:val="0"/>
        <w:adjustRightInd w:val="0"/>
        <w:ind w:left="1440"/>
        <w:jc w:val="both"/>
      </w:pPr>
      <w:r w:rsidRPr="00226E1F">
        <w:t>342</w:t>
      </w:r>
      <w:r>
        <w:t xml:space="preserve">.xx  </w:t>
      </w:r>
      <w:r w:rsidRPr="00226E1F">
        <w:t>Fuel Hol</w:t>
      </w:r>
      <w:r>
        <w:t>ders, Producers and Accessories</w:t>
      </w:r>
    </w:p>
    <w:p w:rsidR="00F63E2E" w:rsidRPr="00FB4FD4" w:rsidRDefault="00F63E2E" w:rsidP="00F63E2E">
      <w:pPr>
        <w:autoSpaceDE w:val="0"/>
        <w:autoSpaceDN w:val="0"/>
        <w:adjustRightInd w:val="0"/>
        <w:ind w:left="1440"/>
        <w:jc w:val="both"/>
        <w:rPr>
          <w:sz w:val="20"/>
          <w:szCs w:val="20"/>
        </w:rPr>
      </w:pPr>
    </w:p>
    <w:p w:rsidR="00F63E2E" w:rsidRDefault="00F63E2E" w:rsidP="00F63E2E">
      <w:pPr>
        <w:autoSpaceDE w:val="0"/>
        <w:autoSpaceDN w:val="0"/>
        <w:adjustRightInd w:val="0"/>
        <w:ind w:left="1440"/>
        <w:jc w:val="both"/>
      </w:pPr>
      <w:r w:rsidRPr="00226E1F">
        <w:t>343</w:t>
      </w:r>
      <w:r>
        <w:t xml:space="preserve">.xx  </w:t>
      </w:r>
      <w:r w:rsidRPr="00226E1F">
        <w:t>Prime Move</w:t>
      </w:r>
      <w:r>
        <w:t>rs</w:t>
      </w:r>
    </w:p>
    <w:p w:rsidR="00F63E2E" w:rsidRPr="00FB4FD4" w:rsidRDefault="00F63E2E" w:rsidP="00F63E2E">
      <w:pPr>
        <w:autoSpaceDE w:val="0"/>
        <w:autoSpaceDN w:val="0"/>
        <w:adjustRightInd w:val="0"/>
        <w:ind w:left="1440"/>
        <w:jc w:val="both"/>
        <w:rPr>
          <w:sz w:val="20"/>
          <w:szCs w:val="20"/>
        </w:rPr>
      </w:pPr>
    </w:p>
    <w:p w:rsidR="00F63E2E" w:rsidRDefault="00F63E2E" w:rsidP="00F63E2E">
      <w:pPr>
        <w:autoSpaceDE w:val="0"/>
        <w:autoSpaceDN w:val="0"/>
        <w:adjustRightInd w:val="0"/>
        <w:ind w:left="1440"/>
        <w:jc w:val="both"/>
      </w:pPr>
      <w:r w:rsidRPr="00226E1F">
        <w:t>345</w:t>
      </w:r>
      <w:r>
        <w:t xml:space="preserve">.xx  </w:t>
      </w:r>
      <w:r w:rsidRPr="00226E1F">
        <w:t xml:space="preserve">Accessory Electric </w:t>
      </w:r>
      <w:r>
        <w:t>Equipment</w:t>
      </w:r>
    </w:p>
    <w:p w:rsidR="00F63E2E" w:rsidRPr="00FB4FD4" w:rsidRDefault="00F63E2E" w:rsidP="00F63E2E">
      <w:pPr>
        <w:autoSpaceDE w:val="0"/>
        <w:autoSpaceDN w:val="0"/>
        <w:adjustRightInd w:val="0"/>
        <w:ind w:left="1440"/>
        <w:jc w:val="both"/>
        <w:rPr>
          <w:sz w:val="20"/>
          <w:szCs w:val="20"/>
        </w:rPr>
      </w:pPr>
    </w:p>
    <w:p w:rsidR="00F63E2E" w:rsidRDefault="00F63E2E" w:rsidP="00F63E2E">
      <w:pPr>
        <w:pStyle w:val="BodyText"/>
        <w:spacing w:after="0"/>
        <w:ind w:left="1440"/>
      </w:pPr>
      <w:r>
        <w:t xml:space="preserve">346.xx  </w:t>
      </w:r>
      <w:r w:rsidRPr="0018639F">
        <w:t>Mis</w:t>
      </w:r>
      <w:r>
        <w:t>ce</w:t>
      </w:r>
      <w:r w:rsidRPr="0018639F">
        <w:t>llane</w:t>
      </w:r>
      <w:r>
        <w:t>ou</w:t>
      </w:r>
      <w:r w:rsidRPr="0018639F">
        <w:t>s</w:t>
      </w:r>
      <w:r>
        <w:t xml:space="preserve"> Power Plant Equipment</w:t>
      </w:r>
    </w:p>
    <w:p w:rsidR="00F63E2E" w:rsidRDefault="00F63E2E" w:rsidP="00F63E2E">
      <w:pPr>
        <w:spacing w:after="240"/>
        <w:ind w:firstLine="720"/>
        <w:jc w:val="both"/>
      </w:pPr>
    </w:p>
    <w:p w:rsidR="00F63E2E" w:rsidRPr="00F63E2E" w:rsidRDefault="00F63E2E" w:rsidP="00F63E2E">
      <w:pPr>
        <w:spacing w:after="240"/>
        <w:jc w:val="both"/>
      </w:pPr>
      <w:r w:rsidRPr="00F63E2E">
        <w:t>TECO is requesting an interim 35-year average service life, or a whole life depreciation rate of 2.9 percent</w:t>
      </w:r>
      <w:r w:rsidR="00C207E1">
        <w:t xml:space="preserve"> (rounded) with a zero percent net salvage level</w:t>
      </w:r>
      <w:r w:rsidRPr="00F63E2E">
        <w:t xml:space="preserve">, for all of the above five subaccounts. </w:t>
      </w:r>
    </w:p>
    <w:p w:rsidR="00F63E2E" w:rsidRPr="00F63E2E" w:rsidRDefault="00F63E2E" w:rsidP="00F63E2E">
      <w:pPr>
        <w:spacing w:after="240"/>
        <w:ind w:firstLine="720"/>
        <w:jc w:val="both"/>
      </w:pPr>
      <w:r w:rsidRPr="00F63E2E">
        <w:t xml:space="preserve">In determining its proposed interim service life for Polk 2 CC, TECO evaluated similar assets – the company’s Bayside 1 and 2 CC generating units. Bayside CCs were placed into service in 2003-2004, based on a composition of existing and new assets like Polk CC as shown in Table 1-1. For both Bayside CC generating units, an interim starter rate of 4.3 percent was </w:t>
      </w:r>
      <w:r w:rsidRPr="00F63E2E">
        <w:lastRenderedPageBreak/>
        <w:t>used across all accounts during their early service period of 2003-2006.</w:t>
      </w:r>
      <w:r w:rsidRPr="00F63E2E">
        <w:rPr>
          <w:vertAlign w:val="superscript"/>
        </w:rPr>
        <w:footnoteReference w:id="5"/>
      </w:r>
      <w:r w:rsidRPr="00F63E2E">
        <w:t xml:space="preserve"> In its 2007 Depreciation Study, TECO evaluated and established final unitization and retirement unit classification for Bayside 1 and 2 CC generating units. The company performed a detailed analysis and proposed subaccount-specific depreciation rates based on adequate data available at that time. </w:t>
      </w:r>
    </w:p>
    <w:p w:rsidR="00F63E2E" w:rsidRPr="00F63E2E" w:rsidRDefault="00F63E2E" w:rsidP="00F63E2E">
      <w:pPr>
        <w:spacing w:after="240"/>
        <w:ind w:firstLine="720"/>
        <w:jc w:val="both"/>
      </w:pPr>
      <w:r w:rsidRPr="00F63E2E">
        <w:t>Regarding the Polk 2 CC, TECO believes that a 35-year service life is appropriate for establishing the starter depreciation rate. The company explained that the requested interim rate for Polk 2 CC differs from Bayside 1 and 2 CC generating units’ starter rate due to the differences in the asset mix as well as the new technology deployed in Polk 2 CC. TECO confirmed that during its next depreciation study, when the assets are evaluated completely, the new technology-based assets and the existing technology-based assets are expected to produce a composite rate more similar to the rate applied to the Bayside CT assets.</w:t>
      </w:r>
      <w:r w:rsidRPr="00F63E2E">
        <w:rPr>
          <w:vertAlign w:val="superscript"/>
        </w:rPr>
        <w:footnoteReference w:id="6"/>
      </w:r>
    </w:p>
    <w:p w:rsidR="00F63E2E" w:rsidRPr="00F63E2E" w:rsidRDefault="00F63E2E" w:rsidP="00F63E2E">
      <w:pPr>
        <w:pStyle w:val="BodyText"/>
        <w:spacing w:after="0"/>
        <w:jc w:val="center"/>
        <w:rPr>
          <w:b/>
        </w:rPr>
      </w:pPr>
      <w:r w:rsidRPr="00F63E2E">
        <w:rPr>
          <w:b/>
        </w:rPr>
        <w:t>Table 1</w:t>
      </w:r>
    </w:p>
    <w:p w:rsidR="00F63E2E" w:rsidRPr="00F63E2E" w:rsidRDefault="00F63E2E" w:rsidP="00F63E2E">
      <w:pPr>
        <w:pStyle w:val="BodyText"/>
        <w:spacing w:after="0"/>
        <w:jc w:val="center"/>
        <w:rPr>
          <w:b/>
        </w:rPr>
      </w:pPr>
      <w:r w:rsidRPr="00F63E2E">
        <w:rPr>
          <w:b/>
        </w:rPr>
        <w:t xml:space="preserve"> Illustration of the configurations of TECO’s CC generating units</w:t>
      </w:r>
    </w:p>
    <w:tbl>
      <w:tblPr>
        <w:tblStyle w:val="TableGrid"/>
        <w:tblW w:w="9360" w:type="dxa"/>
        <w:tblInd w:w="108" w:type="dxa"/>
        <w:tblLook w:val="04A0" w:firstRow="1" w:lastRow="0" w:firstColumn="1" w:lastColumn="0" w:noHBand="0" w:noVBand="1"/>
      </w:tblPr>
      <w:tblGrid>
        <w:gridCol w:w="2610"/>
        <w:gridCol w:w="3240"/>
        <w:gridCol w:w="3510"/>
      </w:tblGrid>
      <w:tr w:rsidR="00F63E2E" w:rsidTr="00C142B0">
        <w:tc>
          <w:tcPr>
            <w:tcW w:w="2610" w:type="dxa"/>
          </w:tcPr>
          <w:p w:rsidR="00F63E2E" w:rsidRPr="00222F56" w:rsidRDefault="00F63E2E" w:rsidP="00C142B0">
            <w:pPr>
              <w:pStyle w:val="BodyText"/>
              <w:spacing w:after="0"/>
              <w:jc w:val="center"/>
              <w:rPr>
                <w:b/>
                <w:sz w:val="20"/>
                <w:szCs w:val="20"/>
              </w:rPr>
            </w:pPr>
            <w:r w:rsidRPr="00222F56">
              <w:rPr>
                <w:b/>
                <w:sz w:val="20"/>
                <w:szCs w:val="20"/>
              </w:rPr>
              <w:t>Bayside 1 CC Conversion</w:t>
            </w:r>
          </w:p>
          <w:p w:rsidR="00F63E2E" w:rsidRPr="00222F56" w:rsidRDefault="00F63E2E" w:rsidP="00C142B0">
            <w:pPr>
              <w:pStyle w:val="BodyText"/>
              <w:spacing w:after="0"/>
              <w:jc w:val="center"/>
              <w:rPr>
                <w:sz w:val="20"/>
                <w:szCs w:val="20"/>
              </w:rPr>
            </w:pPr>
            <w:r w:rsidRPr="00222F56">
              <w:rPr>
                <w:sz w:val="20"/>
                <w:szCs w:val="20"/>
              </w:rPr>
              <w:t>(3 CTs into 1 ST)</w:t>
            </w:r>
          </w:p>
        </w:tc>
        <w:tc>
          <w:tcPr>
            <w:tcW w:w="3240" w:type="dxa"/>
          </w:tcPr>
          <w:p w:rsidR="00F63E2E" w:rsidRPr="00222F56" w:rsidRDefault="00F63E2E" w:rsidP="00C142B0">
            <w:pPr>
              <w:pStyle w:val="BodyText"/>
              <w:spacing w:after="0"/>
              <w:jc w:val="center"/>
              <w:rPr>
                <w:b/>
                <w:sz w:val="20"/>
                <w:szCs w:val="20"/>
              </w:rPr>
            </w:pPr>
            <w:r w:rsidRPr="00222F56">
              <w:rPr>
                <w:b/>
                <w:sz w:val="20"/>
                <w:szCs w:val="20"/>
              </w:rPr>
              <w:t>Bayside 2 CC Conversion</w:t>
            </w:r>
          </w:p>
          <w:p w:rsidR="00F63E2E" w:rsidRPr="00222F56" w:rsidRDefault="00F63E2E" w:rsidP="00C142B0">
            <w:pPr>
              <w:pStyle w:val="BodyText"/>
              <w:spacing w:after="0"/>
              <w:jc w:val="center"/>
              <w:rPr>
                <w:sz w:val="20"/>
                <w:szCs w:val="20"/>
              </w:rPr>
            </w:pPr>
            <w:r w:rsidRPr="00222F56">
              <w:rPr>
                <w:sz w:val="20"/>
                <w:szCs w:val="20"/>
              </w:rPr>
              <w:t>(4 CTs into 1 ST)</w:t>
            </w:r>
          </w:p>
        </w:tc>
        <w:tc>
          <w:tcPr>
            <w:tcW w:w="3510" w:type="dxa"/>
          </w:tcPr>
          <w:p w:rsidR="00F63E2E" w:rsidRPr="00222F56" w:rsidRDefault="00F63E2E" w:rsidP="00C142B0">
            <w:pPr>
              <w:pStyle w:val="BodyText"/>
              <w:spacing w:after="0"/>
              <w:jc w:val="center"/>
              <w:rPr>
                <w:b/>
                <w:sz w:val="20"/>
                <w:szCs w:val="20"/>
              </w:rPr>
            </w:pPr>
            <w:r w:rsidRPr="00222F56">
              <w:rPr>
                <w:b/>
                <w:sz w:val="20"/>
                <w:szCs w:val="20"/>
              </w:rPr>
              <w:t>Polk 2 CC Conversion</w:t>
            </w:r>
          </w:p>
          <w:p w:rsidR="00F63E2E" w:rsidRPr="00222F56" w:rsidRDefault="00F63E2E" w:rsidP="00C142B0">
            <w:pPr>
              <w:pStyle w:val="BodyText"/>
              <w:spacing w:after="0"/>
              <w:jc w:val="center"/>
              <w:rPr>
                <w:sz w:val="20"/>
                <w:szCs w:val="20"/>
              </w:rPr>
            </w:pPr>
            <w:r w:rsidRPr="00222F56">
              <w:rPr>
                <w:sz w:val="20"/>
                <w:szCs w:val="20"/>
              </w:rPr>
              <w:t>(4 CTs into 1 ST)</w:t>
            </w:r>
          </w:p>
        </w:tc>
      </w:tr>
      <w:tr w:rsidR="00F63E2E" w:rsidTr="00C142B0">
        <w:tc>
          <w:tcPr>
            <w:tcW w:w="2610" w:type="dxa"/>
          </w:tcPr>
          <w:p w:rsidR="00F63E2E" w:rsidRPr="00DB6B39" w:rsidRDefault="00F63E2E" w:rsidP="00C142B0">
            <w:pPr>
              <w:pStyle w:val="BodyText"/>
              <w:spacing w:after="0"/>
              <w:jc w:val="center"/>
              <w:rPr>
                <w:sz w:val="20"/>
                <w:szCs w:val="20"/>
              </w:rPr>
            </w:pPr>
            <w:r w:rsidRPr="00DB6B39">
              <w:rPr>
                <w:sz w:val="20"/>
                <w:szCs w:val="20"/>
              </w:rPr>
              <w:t xml:space="preserve">CT A </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 CT B   </w:t>
            </w:r>
            <w:r>
              <w:rPr>
                <w:sz w:val="20"/>
                <w:szCs w:val="20"/>
              </w:rPr>
              <w:t xml:space="preserve">    </w:t>
            </w:r>
            <w:r w:rsidRPr="00DB6B39">
              <w:rPr>
                <w:sz w:val="20"/>
                <w:szCs w:val="20"/>
              </w:rPr>
              <w:t>CT C</w:t>
            </w:r>
          </w:p>
          <w:p w:rsidR="00F63E2E" w:rsidRPr="0017548C" w:rsidRDefault="00F63E2E" w:rsidP="00C142B0">
            <w:pPr>
              <w:pStyle w:val="BodyText"/>
              <w:spacing w:after="0"/>
              <w:jc w:val="center"/>
              <w:rPr>
                <w:sz w:val="18"/>
                <w:szCs w:val="18"/>
              </w:rPr>
            </w:pPr>
            <w:r w:rsidRPr="0017548C">
              <w:rPr>
                <w:sz w:val="18"/>
                <w:szCs w:val="18"/>
              </w:rPr>
              <w:t xml:space="preserve">New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w:t>
            </w:r>
            <w:r>
              <w:rPr>
                <w:sz w:val="18"/>
                <w:szCs w:val="18"/>
              </w:rPr>
              <w:t xml:space="preserve"> </w:t>
            </w:r>
            <w:r w:rsidRPr="0017548C">
              <w:rPr>
                <w:sz w:val="18"/>
                <w:szCs w:val="18"/>
              </w:rPr>
              <w:t>New</w:t>
            </w:r>
          </w:p>
        </w:tc>
        <w:tc>
          <w:tcPr>
            <w:tcW w:w="3240" w:type="dxa"/>
          </w:tcPr>
          <w:p w:rsidR="00F63E2E" w:rsidRPr="00DB6B39" w:rsidRDefault="00F63E2E" w:rsidP="00C142B0">
            <w:pPr>
              <w:pStyle w:val="BodyText"/>
              <w:spacing w:after="0"/>
              <w:jc w:val="center"/>
              <w:rPr>
                <w:sz w:val="20"/>
                <w:szCs w:val="20"/>
              </w:rPr>
            </w:pPr>
            <w:r w:rsidRPr="00DB6B39">
              <w:rPr>
                <w:sz w:val="20"/>
                <w:szCs w:val="20"/>
              </w:rPr>
              <w:t xml:space="preserve">CT A </w:t>
            </w:r>
            <w:r>
              <w:rPr>
                <w:sz w:val="20"/>
                <w:szCs w:val="20"/>
              </w:rPr>
              <w:t xml:space="preserve">    </w:t>
            </w:r>
            <w:r w:rsidRPr="00DB6B39">
              <w:rPr>
                <w:sz w:val="20"/>
                <w:szCs w:val="20"/>
              </w:rPr>
              <w:t xml:space="preserve">  CT B </w:t>
            </w:r>
            <w:r>
              <w:rPr>
                <w:sz w:val="20"/>
                <w:szCs w:val="20"/>
              </w:rPr>
              <w:t xml:space="preserve">      </w:t>
            </w:r>
            <w:r w:rsidRPr="00DB6B39">
              <w:rPr>
                <w:sz w:val="20"/>
                <w:szCs w:val="20"/>
              </w:rPr>
              <w:t xml:space="preserve">CT C </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 CT D</w:t>
            </w:r>
          </w:p>
          <w:p w:rsidR="00F63E2E" w:rsidRPr="0017548C" w:rsidRDefault="00F63E2E" w:rsidP="00C142B0">
            <w:pPr>
              <w:pStyle w:val="BodyText"/>
              <w:spacing w:after="0"/>
              <w:jc w:val="center"/>
              <w:rPr>
                <w:sz w:val="18"/>
                <w:szCs w:val="18"/>
              </w:rPr>
            </w:pPr>
            <w:r w:rsidRPr="0017548C">
              <w:rPr>
                <w:sz w:val="18"/>
                <w:szCs w:val="18"/>
              </w:rPr>
              <w:t xml:space="preserve">New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New</w:t>
            </w:r>
          </w:p>
        </w:tc>
        <w:tc>
          <w:tcPr>
            <w:tcW w:w="3510" w:type="dxa"/>
          </w:tcPr>
          <w:p w:rsidR="00F63E2E" w:rsidRPr="00DB6B39" w:rsidRDefault="00F63E2E" w:rsidP="00C142B0">
            <w:pPr>
              <w:pStyle w:val="BodyText"/>
              <w:spacing w:after="0"/>
              <w:jc w:val="center"/>
              <w:rPr>
                <w:sz w:val="20"/>
                <w:szCs w:val="20"/>
              </w:rPr>
            </w:pPr>
            <w:r w:rsidRPr="00DB6B39">
              <w:rPr>
                <w:sz w:val="20"/>
                <w:szCs w:val="20"/>
              </w:rPr>
              <w:t xml:space="preserve">CT #2 </w:t>
            </w:r>
            <w:r>
              <w:rPr>
                <w:sz w:val="20"/>
                <w:szCs w:val="20"/>
              </w:rPr>
              <w:t xml:space="preserve"> </w:t>
            </w:r>
            <w:r w:rsidRPr="00DB6B39">
              <w:rPr>
                <w:sz w:val="20"/>
                <w:szCs w:val="20"/>
              </w:rPr>
              <w:t xml:space="preserve"> </w:t>
            </w:r>
            <w:r>
              <w:rPr>
                <w:sz w:val="20"/>
                <w:szCs w:val="20"/>
              </w:rPr>
              <w:t xml:space="preserve">   </w:t>
            </w:r>
            <w:r w:rsidRPr="00DB6B39">
              <w:rPr>
                <w:sz w:val="20"/>
                <w:szCs w:val="20"/>
              </w:rPr>
              <w:t>CT #3</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 CT #4  </w:t>
            </w:r>
            <w:r>
              <w:rPr>
                <w:sz w:val="20"/>
                <w:szCs w:val="20"/>
              </w:rPr>
              <w:t xml:space="preserve">   </w:t>
            </w:r>
            <w:r w:rsidRPr="00DB6B39">
              <w:rPr>
                <w:sz w:val="20"/>
                <w:szCs w:val="20"/>
              </w:rPr>
              <w:t>CT #5</w:t>
            </w:r>
          </w:p>
          <w:p w:rsidR="00F63E2E" w:rsidRPr="0017548C" w:rsidRDefault="00F63E2E" w:rsidP="00C142B0">
            <w:pPr>
              <w:pStyle w:val="BodyText"/>
              <w:spacing w:after="0"/>
              <w:rPr>
                <w:sz w:val="18"/>
                <w:szCs w:val="18"/>
              </w:rPr>
            </w:pPr>
            <w:r>
              <w:rPr>
                <w:sz w:val="18"/>
                <w:szCs w:val="18"/>
              </w:rPr>
              <w:t xml:space="preserve">   </w:t>
            </w:r>
            <w:r w:rsidRPr="0017548C">
              <w:rPr>
                <w:sz w:val="18"/>
                <w:szCs w:val="18"/>
              </w:rPr>
              <w:t xml:space="preserve">Existing  </w:t>
            </w:r>
            <w:r>
              <w:rPr>
                <w:sz w:val="18"/>
                <w:szCs w:val="18"/>
              </w:rPr>
              <w:t xml:space="preserve">  </w:t>
            </w:r>
            <w:r w:rsidRPr="0017548C">
              <w:rPr>
                <w:sz w:val="18"/>
                <w:szCs w:val="18"/>
              </w:rPr>
              <w:t xml:space="preserve"> Existing   </w:t>
            </w:r>
            <w:r>
              <w:rPr>
                <w:sz w:val="18"/>
                <w:szCs w:val="18"/>
              </w:rPr>
              <w:t xml:space="preserve"> </w:t>
            </w:r>
            <w:r w:rsidRPr="0017548C">
              <w:rPr>
                <w:sz w:val="18"/>
                <w:szCs w:val="18"/>
              </w:rPr>
              <w:t xml:space="preserve">Existing   </w:t>
            </w:r>
            <w:r>
              <w:rPr>
                <w:sz w:val="18"/>
                <w:szCs w:val="18"/>
              </w:rPr>
              <w:t xml:space="preserve"> </w:t>
            </w:r>
            <w:r w:rsidRPr="0017548C">
              <w:rPr>
                <w:sz w:val="18"/>
                <w:szCs w:val="18"/>
              </w:rPr>
              <w:t>Existing</w:t>
            </w:r>
          </w:p>
        </w:tc>
      </w:tr>
      <w:tr w:rsidR="00F63E2E" w:rsidTr="00C142B0">
        <w:tc>
          <w:tcPr>
            <w:tcW w:w="2610" w:type="dxa"/>
          </w:tcPr>
          <w:p w:rsidR="00F63E2E" w:rsidRPr="00DB6B39" w:rsidRDefault="00F63E2E" w:rsidP="00C142B0">
            <w:pPr>
              <w:pStyle w:val="BodyText"/>
              <w:spacing w:after="0"/>
              <w:jc w:val="center"/>
              <w:rPr>
                <w:sz w:val="20"/>
                <w:szCs w:val="20"/>
              </w:rPr>
            </w:pPr>
            <w:r w:rsidRPr="00DB6B39">
              <w:rPr>
                <w:sz w:val="20"/>
                <w:szCs w:val="20"/>
              </w:rPr>
              <w:t>HRSG</w:t>
            </w:r>
            <w:r>
              <w:rPr>
                <w:sz w:val="20"/>
                <w:szCs w:val="20"/>
              </w:rPr>
              <w:t xml:space="preserve">  </w:t>
            </w:r>
            <w:r w:rsidRPr="00DB6B39">
              <w:rPr>
                <w:sz w:val="20"/>
                <w:szCs w:val="20"/>
              </w:rPr>
              <w:t xml:space="preserve">   HRSG </w:t>
            </w:r>
            <w:r>
              <w:rPr>
                <w:sz w:val="20"/>
                <w:szCs w:val="20"/>
              </w:rPr>
              <w:t xml:space="preserve">  </w:t>
            </w:r>
            <w:r w:rsidRPr="00DB6B39">
              <w:rPr>
                <w:sz w:val="20"/>
                <w:szCs w:val="20"/>
              </w:rPr>
              <w:t xml:space="preserve">  HRSG</w:t>
            </w:r>
            <w:r>
              <w:rPr>
                <w:sz w:val="20"/>
                <w:szCs w:val="20"/>
              </w:rPr>
              <w:t xml:space="preserve"> </w:t>
            </w:r>
          </w:p>
          <w:p w:rsidR="00F63E2E" w:rsidRPr="0017548C" w:rsidRDefault="00F63E2E" w:rsidP="00C142B0">
            <w:pPr>
              <w:pStyle w:val="BodyText"/>
              <w:spacing w:after="0"/>
              <w:rPr>
                <w:sz w:val="18"/>
                <w:szCs w:val="18"/>
              </w:rPr>
            </w:pPr>
            <w:r>
              <w:rPr>
                <w:sz w:val="18"/>
                <w:szCs w:val="18"/>
              </w:rPr>
              <w:t xml:space="preserve">     </w:t>
            </w:r>
            <w:r w:rsidRPr="0017548C">
              <w:rPr>
                <w:sz w:val="18"/>
                <w:szCs w:val="18"/>
              </w:rPr>
              <w:t xml:space="preserve">New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w:t>
            </w:r>
          </w:p>
        </w:tc>
        <w:tc>
          <w:tcPr>
            <w:tcW w:w="3240" w:type="dxa"/>
          </w:tcPr>
          <w:p w:rsidR="00F63E2E" w:rsidRPr="00DB6B39" w:rsidRDefault="00F63E2E" w:rsidP="00C142B0">
            <w:pPr>
              <w:pStyle w:val="BodyText"/>
              <w:spacing w:after="0"/>
              <w:rPr>
                <w:sz w:val="20"/>
                <w:szCs w:val="20"/>
              </w:rPr>
            </w:pPr>
            <w:r>
              <w:rPr>
                <w:sz w:val="20"/>
                <w:szCs w:val="20"/>
              </w:rPr>
              <w:t xml:space="preserve">  </w:t>
            </w:r>
            <w:r w:rsidRPr="00DB6B39">
              <w:rPr>
                <w:sz w:val="20"/>
                <w:szCs w:val="20"/>
              </w:rPr>
              <w:t>HRSG</w:t>
            </w:r>
            <w:r>
              <w:rPr>
                <w:sz w:val="20"/>
                <w:szCs w:val="20"/>
              </w:rPr>
              <w:t xml:space="preserve">     </w:t>
            </w:r>
            <w:r w:rsidRPr="00DB6B39">
              <w:rPr>
                <w:sz w:val="20"/>
                <w:szCs w:val="20"/>
              </w:rPr>
              <w:t>HRSG</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HRSG </w:t>
            </w:r>
            <w:r>
              <w:rPr>
                <w:sz w:val="20"/>
                <w:szCs w:val="20"/>
              </w:rPr>
              <w:t xml:space="preserve"> </w:t>
            </w:r>
            <w:r w:rsidRPr="00DB6B39">
              <w:rPr>
                <w:sz w:val="20"/>
                <w:szCs w:val="20"/>
              </w:rPr>
              <w:t xml:space="preserve">  </w:t>
            </w:r>
            <w:r>
              <w:rPr>
                <w:sz w:val="20"/>
                <w:szCs w:val="20"/>
              </w:rPr>
              <w:t xml:space="preserve"> </w:t>
            </w:r>
            <w:r w:rsidRPr="00DB6B39">
              <w:rPr>
                <w:sz w:val="20"/>
                <w:szCs w:val="20"/>
              </w:rPr>
              <w:t>HRSG</w:t>
            </w:r>
          </w:p>
          <w:p w:rsidR="00F63E2E" w:rsidRPr="0017548C" w:rsidRDefault="00F63E2E" w:rsidP="00C142B0">
            <w:pPr>
              <w:pStyle w:val="BodyText"/>
              <w:spacing w:after="0"/>
              <w:rPr>
                <w:sz w:val="18"/>
                <w:szCs w:val="18"/>
              </w:rPr>
            </w:pPr>
            <w:r>
              <w:rPr>
                <w:sz w:val="18"/>
                <w:szCs w:val="18"/>
              </w:rPr>
              <w:t xml:space="preserve">    </w:t>
            </w:r>
            <w:r w:rsidRPr="0017548C">
              <w:rPr>
                <w:sz w:val="18"/>
                <w:szCs w:val="18"/>
              </w:rPr>
              <w:t xml:space="preserve">New </w:t>
            </w:r>
            <w:r>
              <w:rPr>
                <w:sz w:val="18"/>
                <w:szCs w:val="18"/>
              </w:rPr>
              <w:t xml:space="preserve"> </w:t>
            </w:r>
            <w:r w:rsidRPr="0017548C">
              <w:rPr>
                <w:sz w:val="18"/>
                <w:szCs w:val="18"/>
              </w:rPr>
              <w:t xml:space="preserve">      New</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w:t>
            </w:r>
            <w:r>
              <w:rPr>
                <w:sz w:val="18"/>
                <w:szCs w:val="18"/>
              </w:rPr>
              <w:t xml:space="preserve"> </w:t>
            </w:r>
            <w:r w:rsidRPr="0017548C">
              <w:rPr>
                <w:sz w:val="18"/>
                <w:szCs w:val="18"/>
              </w:rPr>
              <w:t>New</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w:t>
            </w:r>
          </w:p>
        </w:tc>
        <w:tc>
          <w:tcPr>
            <w:tcW w:w="3510" w:type="dxa"/>
          </w:tcPr>
          <w:p w:rsidR="00F63E2E" w:rsidRPr="00DB6B39" w:rsidRDefault="00F63E2E" w:rsidP="00C142B0">
            <w:pPr>
              <w:pStyle w:val="BodyText"/>
              <w:spacing w:after="0"/>
              <w:jc w:val="center"/>
              <w:rPr>
                <w:sz w:val="20"/>
                <w:szCs w:val="20"/>
              </w:rPr>
            </w:pPr>
            <w:r w:rsidRPr="00DB6B39">
              <w:rPr>
                <w:sz w:val="20"/>
                <w:szCs w:val="20"/>
              </w:rPr>
              <w:t xml:space="preserve">HRSG </w:t>
            </w:r>
            <w:r>
              <w:rPr>
                <w:sz w:val="20"/>
                <w:szCs w:val="20"/>
              </w:rPr>
              <w:t xml:space="preserve">   </w:t>
            </w:r>
            <w:r w:rsidRPr="00DB6B39">
              <w:rPr>
                <w:sz w:val="20"/>
                <w:szCs w:val="20"/>
              </w:rPr>
              <w:t xml:space="preserve">HRSG </w:t>
            </w:r>
            <w:r>
              <w:rPr>
                <w:sz w:val="20"/>
                <w:szCs w:val="20"/>
              </w:rPr>
              <w:t xml:space="preserve">   </w:t>
            </w:r>
            <w:r w:rsidRPr="00DB6B39">
              <w:rPr>
                <w:sz w:val="20"/>
                <w:szCs w:val="20"/>
              </w:rPr>
              <w:t xml:space="preserve">HRSG </w:t>
            </w:r>
            <w:r>
              <w:rPr>
                <w:sz w:val="20"/>
                <w:szCs w:val="20"/>
              </w:rPr>
              <w:t xml:space="preserve">  </w:t>
            </w:r>
            <w:r w:rsidRPr="00DB6B39">
              <w:rPr>
                <w:sz w:val="20"/>
                <w:szCs w:val="20"/>
              </w:rPr>
              <w:t xml:space="preserve">  HRSG</w:t>
            </w:r>
          </w:p>
          <w:p w:rsidR="00F63E2E" w:rsidRPr="0017548C" w:rsidRDefault="00F63E2E" w:rsidP="00C142B0">
            <w:pPr>
              <w:pStyle w:val="BodyText"/>
              <w:spacing w:after="0"/>
              <w:rPr>
                <w:sz w:val="18"/>
                <w:szCs w:val="18"/>
              </w:rPr>
            </w:pPr>
            <w:r>
              <w:rPr>
                <w:sz w:val="18"/>
                <w:szCs w:val="18"/>
              </w:rPr>
              <w:t xml:space="preserve">       </w:t>
            </w:r>
            <w:r w:rsidRPr="0017548C">
              <w:rPr>
                <w:sz w:val="18"/>
                <w:szCs w:val="18"/>
              </w:rPr>
              <w:t xml:space="preserve">New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New     </w:t>
            </w:r>
            <w:r>
              <w:rPr>
                <w:sz w:val="18"/>
                <w:szCs w:val="18"/>
              </w:rPr>
              <w:t xml:space="preserve">   </w:t>
            </w:r>
            <w:r w:rsidRPr="0017548C">
              <w:rPr>
                <w:sz w:val="18"/>
                <w:szCs w:val="18"/>
              </w:rPr>
              <w:t xml:space="preserve"> New</w:t>
            </w:r>
          </w:p>
        </w:tc>
      </w:tr>
      <w:tr w:rsidR="00F63E2E" w:rsidTr="00C142B0">
        <w:tc>
          <w:tcPr>
            <w:tcW w:w="2610" w:type="dxa"/>
          </w:tcPr>
          <w:p w:rsidR="00F63E2E" w:rsidRPr="00DB6B39" w:rsidRDefault="00F63E2E" w:rsidP="00C142B0">
            <w:pPr>
              <w:pStyle w:val="BodyText"/>
              <w:spacing w:after="0"/>
              <w:jc w:val="center"/>
              <w:rPr>
                <w:sz w:val="20"/>
                <w:szCs w:val="20"/>
              </w:rPr>
            </w:pPr>
            <w:r w:rsidRPr="00DB6B39">
              <w:rPr>
                <w:sz w:val="20"/>
                <w:szCs w:val="20"/>
              </w:rPr>
              <w:t>ST</w:t>
            </w:r>
          </w:p>
          <w:p w:rsidR="00F63E2E" w:rsidRPr="0017548C" w:rsidRDefault="00F63E2E" w:rsidP="00C142B0">
            <w:pPr>
              <w:pStyle w:val="BodyText"/>
              <w:spacing w:after="0"/>
              <w:jc w:val="center"/>
              <w:rPr>
                <w:sz w:val="18"/>
                <w:szCs w:val="18"/>
              </w:rPr>
            </w:pPr>
            <w:r w:rsidRPr="0017548C">
              <w:rPr>
                <w:sz w:val="18"/>
                <w:szCs w:val="18"/>
              </w:rPr>
              <w:t>Existing</w:t>
            </w:r>
          </w:p>
        </w:tc>
        <w:tc>
          <w:tcPr>
            <w:tcW w:w="3240" w:type="dxa"/>
          </w:tcPr>
          <w:p w:rsidR="00F63E2E" w:rsidRPr="00DB6B39" w:rsidRDefault="00F63E2E" w:rsidP="00C142B0">
            <w:pPr>
              <w:pStyle w:val="BodyText"/>
              <w:spacing w:after="0"/>
              <w:jc w:val="center"/>
              <w:rPr>
                <w:sz w:val="20"/>
                <w:szCs w:val="20"/>
              </w:rPr>
            </w:pPr>
            <w:r w:rsidRPr="00DB6B39">
              <w:rPr>
                <w:sz w:val="20"/>
                <w:szCs w:val="20"/>
              </w:rPr>
              <w:t>ST</w:t>
            </w:r>
          </w:p>
          <w:p w:rsidR="00F63E2E" w:rsidRPr="0017548C" w:rsidRDefault="00F63E2E" w:rsidP="00C142B0">
            <w:pPr>
              <w:pStyle w:val="BodyText"/>
              <w:spacing w:after="0"/>
              <w:jc w:val="center"/>
              <w:rPr>
                <w:sz w:val="18"/>
                <w:szCs w:val="18"/>
              </w:rPr>
            </w:pPr>
            <w:r w:rsidRPr="0017548C">
              <w:rPr>
                <w:sz w:val="18"/>
                <w:szCs w:val="18"/>
              </w:rPr>
              <w:t>Existing</w:t>
            </w:r>
          </w:p>
        </w:tc>
        <w:tc>
          <w:tcPr>
            <w:tcW w:w="3510" w:type="dxa"/>
          </w:tcPr>
          <w:p w:rsidR="00F63E2E" w:rsidRPr="00DB6B39" w:rsidRDefault="00F63E2E" w:rsidP="00C142B0">
            <w:pPr>
              <w:pStyle w:val="BodyText"/>
              <w:spacing w:after="0"/>
              <w:jc w:val="center"/>
              <w:rPr>
                <w:sz w:val="20"/>
                <w:szCs w:val="20"/>
              </w:rPr>
            </w:pPr>
            <w:r w:rsidRPr="00DB6B39">
              <w:rPr>
                <w:sz w:val="20"/>
                <w:szCs w:val="20"/>
              </w:rPr>
              <w:t>ST</w:t>
            </w:r>
          </w:p>
          <w:p w:rsidR="00F63E2E" w:rsidRPr="0017548C" w:rsidRDefault="00F63E2E" w:rsidP="00C142B0">
            <w:pPr>
              <w:pStyle w:val="BodyText"/>
              <w:spacing w:after="0"/>
              <w:jc w:val="center"/>
              <w:rPr>
                <w:sz w:val="18"/>
                <w:szCs w:val="18"/>
              </w:rPr>
            </w:pPr>
            <w:r w:rsidRPr="0017548C">
              <w:rPr>
                <w:sz w:val="18"/>
                <w:szCs w:val="18"/>
              </w:rPr>
              <w:t>New</w:t>
            </w:r>
          </w:p>
        </w:tc>
      </w:tr>
    </w:tbl>
    <w:p w:rsidR="00F63E2E" w:rsidRPr="00FB4FD4" w:rsidRDefault="00F63E2E" w:rsidP="00F63E2E">
      <w:pPr>
        <w:pStyle w:val="BodyText"/>
        <w:spacing w:after="0"/>
      </w:pPr>
      <w:r w:rsidRPr="00FB4FD4">
        <w:t xml:space="preserve">  Source: TECO’s response to </w:t>
      </w:r>
      <w:r w:rsidR="00DD2DD0">
        <w:t xml:space="preserve">Commission </w:t>
      </w:r>
      <w:r w:rsidRPr="00FB4FD4">
        <w:t>Staff’s First Data Request, No. 2.</w:t>
      </w:r>
    </w:p>
    <w:p w:rsidR="00F63E2E" w:rsidRDefault="00F63E2E" w:rsidP="00F63E2E">
      <w:pPr>
        <w:ind w:firstLine="720"/>
        <w:jc w:val="both"/>
      </w:pPr>
    </w:p>
    <w:p w:rsidR="00F63E2E" w:rsidRDefault="00DD2DD0" w:rsidP="00DD2DD0">
      <w:pPr>
        <w:spacing w:after="240"/>
        <w:ind w:firstLine="720"/>
        <w:jc w:val="both"/>
      </w:pPr>
      <w:r>
        <w:t>This Commission finds</w:t>
      </w:r>
      <w:r w:rsidR="00F63E2E" w:rsidRPr="00F63E2E">
        <w:t xml:space="preserve"> that TECO’s depreciation rate request is based on information available at this stage of generating unit operation and is consistent with the previous Commission practice. Therefore, </w:t>
      </w:r>
      <w:r>
        <w:t>this Commission finds</w:t>
      </w:r>
      <w:r w:rsidR="00F63E2E" w:rsidRPr="00F63E2E">
        <w:t xml:space="preserve"> that a 35-year average service life and a whole life depreciation rate of 2.9 percent</w:t>
      </w:r>
      <w:r w:rsidR="00C207E1">
        <w:t xml:space="preserve"> (rounded) with a zero percent net salvage level</w:t>
      </w:r>
      <w:r w:rsidR="00F63E2E" w:rsidRPr="00F63E2E">
        <w:t xml:space="preserve"> is appropriate at this time</w:t>
      </w:r>
      <w:r w:rsidR="00A510CA">
        <w:t>, and is hereby approved,</w:t>
      </w:r>
      <w:r w:rsidR="00F63E2E" w:rsidRPr="00F63E2E">
        <w:t xml:space="preserve"> for the new assets of TECO’s Polk 2 CC and associated equipment,</w:t>
      </w:r>
      <w:r>
        <w:t xml:space="preserve"> and shall be</w:t>
      </w:r>
      <w:r w:rsidR="00F63E2E" w:rsidRPr="00F63E2E">
        <w:t xml:space="preserve"> applied to each of the related subaccounts discussed </w:t>
      </w:r>
      <w:r>
        <w:t>above.</w:t>
      </w:r>
    </w:p>
    <w:p w:rsidR="00F63E2E" w:rsidRDefault="00F63E2E" w:rsidP="00DD2DD0">
      <w:pPr>
        <w:spacing w:after="240"/>
        <w:ind w:firstLine="720"/>
        <w:jc w:val="both"/>
      </w:pPr>
      <w:r w:rsidRPr="00F63E2E">
        <w:t>Depreciation is the recovery of invested capital representing equipment that is providing service to the public. This recovery is designed to take place over the related period of service to the public, which begins with the equipment’s in-service date. Polk 2 CC went into service in mid-January 2017. In</w:t>
      </w:r>
      <w:r w:rsidR="00DD2DD0">
        <w:t xml:space="preserve"> its petition, TECO requests that this</w:t>
      </w:r>
      <w:r w:rsidRPr="00F63E2E">
        <w:t xml:space="preserve"> Commission approve the new depreciation rate effective February 1, 2017, which is the first full month that depreciation expense of the assets will be calculated. </w:t>
      </w:r>
      <w:r w:rsidR="00DD2DD0">
        <w:t>This Commission finds that</w:t>
      </w:r>
      <w:r w:rsidRPr="00F63E2E">
        <w:t xml:space="preserve"> an effective date of February 1, 2017, for the implementation of the depreciation rate for the Polk 2 CC and associated equipment is appropriate</w:t>
      </w:r>
      <w:r w:rsidR="00A510CA">
        <w:t xml:space="preserve"> and is hereby approved</w:t>
      </w:r>
      <w:r w:rsidRPr="00F63E2E">
        <w:t>.</w:t>
      </w:r>
    </w:p>
    <w:p w:rsidR="00055C5D" w:rsidRDefault="00F63E2E" w:rsidP="00F63E2E">
      <w:pPr>
        <w:pStyle w:val="OrderBody"/>
      </w:pPr>
      <w:r>
        <w:tab/>
      </w:r>
    </w:p>
    <w:p w:rsidR="00F63E2E" w:rsidRDefault="00F63E2E" w:rsidP="00055C5D">
      <w:pPr>
        <w:pStyle w:val="OrderBody"/>
        <w:ind w:firstLine="720"/>
      </w:pPr>
      <w:r>
        <w:lastRenderedPageBreak/>
        <w:t>Based on the foregoing, it is</w:t>
      </w:r>
    </w:p>
    <w:p w:rsidR="00F63E2E" w:rsidRDefault="00F63E2E" w:rsidP="00F63E2E">
      <w:pPr>
        <w:pStyle w:val="OrderBody"/>
      </w:pPr>
    </w:p>
    <w:p w:rsidR="00DD2DD0" w:rsidRDefault="00F63E2E" w:rsidP="00F63E2E">
      <w:pPr>
        <w:pStyle w:val="OrderBody"/>
      </w:pPr>
      <w:r>
        <w:tab/>
        <w:t>ORDERED by the Florida Public Service Commission that</w:t>
      </w:r>
      <w:r w:rsidR="00DD2DD0" w:rsidRPr="00DD2DD0">
        <w:t xml:space="preserve"> </w:t>
      </w:r>
      <w:r w:rsidR="00DD2DD0" w:rsidRPr="00F63E2E">
        <w:t xml:space="preserve">a 35-year average service life and a whole life depreciation rate of 2.9 percent </w:t>
      </w:r>
      <w:r w:rsidR="00550C00">
        <w:t>is hereby approved</w:t>
      </w:r>
      <w:r w:rsidR="00DD2DD0" w:rsidRPr="00F63E2E">
        <w:t xml:space="preserve"> for the new assets of TECO’s Polk 2 CC and associated equipment</w:t>
      </w:r>
      <w:r w:rsidR="00DD2DD0">
        <w:t>.  It is further</w:t>
      </w:r>
    </w:p>
    <w:p w:rsidR="00DD2DD0" w:rsidRDefault="00DD2DD0" w:rsidP="00F63E2E">
      <w:pPr>
        <w:pStyle w:val="OrderBody"/>
      </w:pPr>
    </w:p>
    <w:p w:rsidR="00DD2DD0" w:rsidRDefault="00DD2DD0" w:rsidP="00F63E2E">
      <w:pPr>
        <w:pStyle w:val="OrderBody"/>
      </w:pPr>
      <w:r>
        <w:tab/>
        <w:t xml:space="preserve">ORDERED that the </w:t>
      </w:r>
      <w:r w:rsidRPr="00F63E2E">
        <w:t>35-year average service life and a whole life depreciation rate of 2.9 percent</w:t>
      </w:r>
      <w:r>
        <w:t xml:space="preserve"> shall be</w:t>
      </w:r>
      <w:r w:rsidRPr="00F63E2E">
        <w:t xml:space="preserve"> applied to each of the related subaccounts </w:t>
      </w:r>
      <w:r>
        <w:t>as discussed herein.  It is further</w:t>
      </w:r>
    </w:p>
    <w:p w:rsidR="00DD2DD0" w:rsidRDefault="00DD2DD0" w:rsidP="00F63E2E">
      <w:pPr>
        <w:pStyle w:val="OrderBody"/>
      </w:pPr>
    </w:p>
    <w:p w:rsidR="00DD2DD0" w:rsidRDefault="00DD2DD0" w:rsidP="00F63E2E">
      <w:pPr>
        <w:pStyle w:val="OrderBody"/>
      </w:pPr>
      <w:r>
        <w:tab/>
        <w:t xml:space="preserve">ORDERED that an </w:t>
      </w:r>
      <w:r w:rsidRPr="00F63E2E">
        <w:t>effective date of February 1, 2017, for the implementation of the depreciation rate for the Polk 2 CC and associated equipment</w:t>
      </w:r>
      <w:r>
        <w:t xml:space="preserve"> is hereby approved.  It is further</w:t>
      </w:r>
    </w:p>
    <w:p w:rsidR="00F63E2E" w:rsidRDefault="00F63E2E" w:rsidP="00F63E2E">
      <w:pPr>
        <w:pStyle w:val="OrderBody"/>
      </w:pPr>
    </w:p>
    <w:p w:rsidR="00F63E2E" w:rsidRDefault="00F63E2E" w:rsidP="00F63E2E">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63E2E" w:rsidRDefault="00F63E2E" w:rsidP="00F63E2E">
      <w:pPr>
        <w:pStyle w:val="OrderBody"/>
      </w:pPr>
    </w:p>
    <w:p w:rsidR="00F63E2E" w:rsidRDefault="00F63E2E" w:rsidP="00F63E2E">
      <w:pPr>
        <w:pStyle w:val="OrderBody"/>
      </w:pPr>
      <w:r>
        <w:tab/>
        <w:t xml:space="preserve">ORDERED that </w:t>
      </w:r>
      <w:r w:rsidR="00DD2DD0">
        <w:t>if no person whose substantial interests are affected by the proposed agency action files a protest within 21 days of the issuance of the Order, this docket shall be closed upon the issuance of a Consummating Order.</w:t>
      </w:r>
    </w:p>
    <w:p w:rsidR="00F63E2E" w:rsidRDefault="00F63E2E" w:rsidP="00F63E2E">
      <w:pPr>
        <w:pStyle w:val="OrderBody"/>
      </w:pPr>
    </w:p>
    <w:p w:rsidR="00F63E2E" w:rsidRDefault="00F63E2E" w:rsidP="00F63E2E">
      <w:pPr>
        <w:pStyle w:val="OrderBody"/>
        <w:keepNext/>
        <w:keepLines/>
      </w:pPr>
      <w:r>
        <w:tab/>
        <w:t xml:space="preserve">By ORDER of the Florida Public Service Commission this </w:t>
      </w:r>
      <w:bookmarkStart w:id="6" w:name="replaceDate"/>
      <w:bookmarkEnd w:id="6"/>
      <w:r w:rsidR="00CD537D">
        <w:rPr>
          <w:u w:val="single"/>
        </w:rPr>
        <w:t>16th</w:t>
      </w:r>
      <w:r w:rsidR="00CD537D">
        <w:t xml:space="preserve"> day of </w:t>
      </w:r>
      <w:r w:rsidR="00CD537D">
        <w:rPr>
          <w:u w:val="single"/>
        </w:rPr>
        <w:t>October</w:t>
      </w:r>
      <w:r w:rsidR="00CD537D">
        <w:t xml:space="preserve">, </w:t>
      </w:r>
      <w:r w:rsidR="00CD537D">
        <w:rPr>
          <w:u w:val="single"/>
        </w:rPr>
        <w:t>2017</w:t>
      </w:r>
      <w:r w:rsidR="00CD537D">
        <w:t>.</w:t>
      </w:r>
    </w:p>
    <w:p w:rsidR="00CD537D" w:rsidRPr="00CD537D" w:rsidRDefault="00CD537D" w:rsidP="00F63E2E">
      <w:pPr>
        <w:pStyle w:val="OrderBody"/>
        <w:keepNext/>
        <w:keepLines/>
      </w:pPr>
    </w:p>
    <w:p w:rsidR="00F63E2E" w:rsidRDefault="00F63E2E" w:rsidP="00F63E2E">
      <w:pPr>
        <w:pStyle w:val="OrderBody"/>
        <w:keepNext/>
        <w:keepLines/>
      </w:pPr>
    </w:p>
    <w:p w:rsidR="00F63E2E" w:rsidRDefault="00F63E2E" w:rsidP="00F63E2E">
      <w:pPr>
        <w:pStyle w:val="OrderBody"/>
        <w:keepNext/>
        <w:keepLines/>
      </w:pPr>
    </w:p>
    <w:p w:rsidR="00F63E2E" w:rsidRDefault="00F63E2E" w:rsidP="00F63E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63E2E" w:rsidTr="00F63E2E">
        <w:tc>
          <w:tcPr>
            <w:tcW w:w="720" w:type="dxa"/>
            <w:shd w:val="clear" w:color="auto" w:fill="auto"/>
          </w:tcPr>
          <w:p w:rsidR="00F63E2E" w:rsidRDefault="00F63E2E" w:rsidP="00F63E2E">
            <w:pPr>
              <w:pStyle w:val="OrderBody"/>
              <w:keepNext/>
              <w:keepLines/>
            </w:pPr>
            <w:bookmarkStart w:id="7" w:name="bkmrkSignature" w:colFirst="0" w:colLast="0"/>
          </w:p>
        </w:tc>
        <w:tc>
          <w:tcPr>
            <w:tcW w:w="4320" w:type="dxa"/>
            <w:tcBorders>
              <w:bottom w:val="single" w:sz="4" w:space="0" w:color="auto"/>
            </w:tcBorders>
            <w:shd w:val="clear" w:color="auto" w:fill="auto"/>
          </w:tcPr>
          <w:p w:rsidR="00F63E2E" w:rsidRDefault="00CD537D" w:rsidP="00F63E2E">
            <w:pPr>
              <w:pStyle w:val="OrderBody"/>
              <w:keepNext/>
              <w:keepLines/>
            </w:pPr>
            <w:r>
              <w:t>/s/ Carlotta S. Stauffer</w:t>
            </w:r>
          </w:p>
        </w:tc>
      </w:tr>
      <w:bookmarkEnd w:id="7"/>
      <w:tr w:rsidR="00F63E2E" w:rsidTr="00F63E2E">
        <w:tc>
          <w:tcPr>
            <w:tcW w:w="720" w:type="dxa"/>
            <w:shd w:val="clear" w:color="auto" w:fill="auto"/>
          </w:tcPr>
          <w:p w:rsidR="00F63E2E" w:rsidRDefault="00F63E2E" w:rsidP="00F63E2E">
            <w:pPr>
              <w:pStyle w:val="OrderBody"/>
              <w:keepNext/>
              <w:keepLines/>
            </w:pPr>
          </w:p>
        </w:tc>
        <w:tc>
          <w:tcPr>
            <w:tcW w:w="4320" w:type="dxa"/>
            <w:tcBorders>
              <w:top w:val="single" w:sz="4" w:space="0" w:color="auto"/>
            </w:tcBorders>
            <w:shd w:val="clear" w:color="auto" w:fill="auto"/>
          </w:tcPr>
          <w:p w:rsidR="00F63E2E" w:rsidRDefault="00F63E2E" w:rsidP="00F63E2E">
            <w:pPr>
              <w:pStyle w:val="OrderBody"/>
              <w:keepNext/>
              <w:keepLines/>
            </w:pPr>
            <w:r>
              <w:t>CARLOTTA S. STAUFFER</w:t>
            </w:r>
          </w:p>
          <w:p w:rsidR="00F63E2E" w:rsidRDefault="00F63E2E" w:rsidP="00F63E2E">
            <w:pPr>
              <w:pStyle w:val="OrderBody"/>
              <w:keepNext/>
              <w:keepLines/>
            </w:pPr>
            <w:r>
              <w:t>Commission Clerk</w:t>
            </w:r>
          </w:p>
        </w:tc>
      </w:tr>
    </w:tbl>
    <w:p w:rsidR="00F63E2E" w:rsidRDefault="00F63E2E" w:rsidP="00F63E2E">
      <w:pPr>
        <w:pStyle w:val="OrderSigInfo"/>
        <w:keepNext/>
        <w:keepLines/>
      </w:pPr>
      <w:r>
        <w:t>Florida Public Service Commission</w:t>
      </w:r>
    </w:p>
    <w:p w:rsidR="00F63E2E" w:rsidRDefault="00F63E2E" w:rsidP="00F63E2E">
      <w:pPr>
        <w:pStyle w:val="OrderSigInfo"/>
        <w:keepNext/>
        <w:keepLines/>
      </w:pPr>
      <w:r>
        <w:t>2540 Shumard Oak Boulevard</w:t>
      </w:r>
    </w:p>
    <w:p w:rsidR="00F63E2E" w:rsidRDefault="00F63E2E" w:rsidP="00F63E2E">
      <w:pPr>
        <w:pStyle w:val="OrderSigInfo"/>
        <w:keepNext/>
        <w:keepLines/>
      </w:pPr>
      <w:r>
        <w:t>Tallahassee, Florida  32399</w:t>
      </w:r>
    </w:p>
    <w:p w:rsidR="00F63E2E" w:rsidRDefault="00F63E2E" w:rsidP="00F63E2E">
      <w:pPr>
        <w:pStyle w:val="OrderSigInfo"/>
        <w:keepNext/>
        <w:keepLines/>
      </w:pPr>
      <w:r>
        <w:t>(850) 413</w:t>
      </w:r>
      <w:r>
        <w:noBreakHyphen/>
        <w:t>6770</w:t>
      </w:r>
    </w:p>
    <w:p w:rsidR="00F63E2E" w:rsidRDefault="00F63E2E" w:rsidP="00F63E2E">
      <w:pPr>
        <w:pStyle w:val="OrderSigInfo"/>
        <w:keepNext/>
        <w:keepLines/>
      </w:pPr>
      <w:r>
        <w:t>www.floridapsc.com</w:t>
      </w:r>
    </w:p>
    <w:p w:rsidR="00F63E2E" w:rsidRDefault="00F63E2E" w:rsidP="00F63E2E">
      <w:pPr>
        <w:pStyle w:val="OrderSigInfo"/>
        <w:keepNext/>
        <w:keepLines/>
      </w:pPr>
    </w:p>
    <w:p w:rsidR="00F63E2E" w:rsidRDefault="00F63E2E" w:rsidP="00F63E2E">
      <w:pPr>
        <w:pStyle w:val="OrderSigInfo"/>
        <w:keepNext/>
        <w:keepLines/>
      </w:pPr>
      <w:r>
        <w:t>Copies furnished:  A copy of this document is provided to the parties of record at the time of issuance and, if applicable, interested persons.</w:t>
      </w:r>
    </w:p>
    <w:p w:rsidR="00F63E2E" w:rsidRDefault="00F63E2E" w:rsidP="00F63E2E">
      <w:pPr>
        <w:pStyle w:val="OrderBody"/>
        <w:keepNext/>
        <w:keepLines/>
      </w:pPr>
    </w:p>
    <w:p w:rsidR="00F63E2E" w:rsidRDefault="00F63E2E" w:rsidP="00F63E2E">
      <w:pPr>
        <w:pStyle w:val="OrderBody"/>
        <w:keepNext/>
        <w:keepLines/>
      </w:pPr>
      <w:r>
        <w:t>MAD</w:t>
      </w:r>
    </w:p>
    <w:p w:rsidR="00F63E2E" w:rsidRDefault="00F63E2E" w:rsidP="00F63E2E">
      <w:pPr>
        <w:pStyle w:val="OrderBody"/>
      </w:pPr>
    </w:p>
    <w:p w:rsidR="00DD2DD0" w:rsidRDefault="00DD2DD0" w:rsidP="00F63E2E">
      <w:pPr>
        <w:pStyle w:val="CenterUnderline"/>
      </w:pPr>
    </w:p>
    <w:p w:rsidR="009E531A" w:rsidRDefault="009E531A" w:rsidP="00DD2DD0">
      <w:pPr>
        <w:pStyle w:val="CenterUnderline"/>
      </w:pPr>
    </w:p>
    <w:p w:rsidR="00DD2DD0" w:rsidRDefault="00DD2DD0" w:rsidP="00DD2DD0">
      <w:pPr>
        <w:pStyle w:val="CenterUnderline"/>
      </w:pPr>
      <w:r>
        <w:lastRenderedPageBreak/>
        <w:t>NOTICE OF FURTHER PROCEEDINGS OR JUDICIAL REVIEW</w:t>
      </w:r>
    </w:p>
    <w:p w:rsidR="00F63E2E" w:rsidRDefault="00F63E2E" w:rsidP="00DD2DD0">
      <w:pPr>
        <w:pStyle w:val="CenterUnderline"/>
      </w:pPr>
    </w:p>
    <w:p w:rsidR="00DD2DD0" w:rsidRDefault="00DD2DD0" w:rsidP="00DD2DD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D2DD0" w:rsidRDefault="00DD2DD0" w:rsidP="00DD2DD0">
      <w:pPr>
        <w:pStyle w:val="OrderBody"/>
      </w:pPr>
    </w:p>
    <w:p w:rsidR="00DD2DD0" w:rsidRDefault="00DD2DD0" w:rsidP="00DD2DD0">
      <w:pPr>
        <w:pStyle w:val="OrderBody"/>
      </w:pPr>
      <w:r>
        <w:tab/>
        <w:t>Mediation may be available on a case-by-case basis.  If mediation is conducted, it does not affect a substantially interested person's right to a hearing.</w:t>
      </w:r>
    </w:p>
    <w:p w:rsidR="00DD2DD0" w:rsidRDefault="00DD2DD0" w:rsidP="00DD2DD0">
      <w:pPr>
        <w:pStyle w:val="OrderBody"/>
      </w:pPr>
    </w:p>
    <w:p w:rsidR="00DD2DD0" w:rsidRDefault="00DD2DD0" w:rsidP="00DD2DD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D537D">
        <w:rPr>
          <w:u w:val="single"/>
        </w:rPr>
        <w:t>November 6, 2017</w:t>
      </w:r>
      <w:r>
        <w:t>.</w:t>
      </w:r>
    </w:p>
    <w:p w:rsidR="00DD2DD0" w:rsidRDefault="00DD2DD0" w:rsidP="00DD2DD0">
      <w:pPr>
        <w:pStyle w:val="OrderBody"/>
      </w:pPr>
    </w:p>
    <w:p w:rsidR="00DD2DD0" w:rsidRDefault="00DD2DD0" w:rsidP="00DD2DD0">
      <w:pPr>
        <w:pStyle w:val="OrderBody"/>
      </w:pPr>
      <w:r>
        <w:tab/>
        <w:t>In the absence of such a petition, this order shall become final and effective upon the issuance of a Consummating Order.</w:t>
      </w:r>
    </w:p>
    <w:p w:rsidR="00DD2DD0" w:rsidRDefault="00DD2DD0" w:rsidP="00DD2DD0">
      <w:pPr>
        <w:pStyle w:val="OrderBody"/>
      </w:pPr>
    </w:p>
    <w:p w:rsidR="00DD2DD0" w:rsidRDefault="00DD2DD0" w:rsidP="00DD2DD0">
      <w:pPr>
        <w:pStyle w:val="OrderBody"/>
      </w:pPr>
      <w:r>
        <w:tab/>
        <w:t>Any objection or protest filed in this/these docket(s) before the issuance date of this order is considered abandoned unless it satisfies the foregoing conditions and is renewed within the specified protest period.</w:t>
      </w:r>
    </w:p>
    <w:p w:rsidR="00DD2DD0" w:rsidRDefault="00DD2DD0" w:rsidP="00DD2DD0">
      <w:pPr>
        <w:pStyle w:val="OrderBody"/>
      </w:pPr>
    </w:p>
    <w:p w:rsidR="00DD2DD0" w:rsidRDefault="00DD2DD0" w:rsidP="00DD2DD0">
      <w:pPr>
        <w:pStyle w:val="OrderBody"/>
      </w:pPr>
    </w:p>
    <w:p w:rsidR="00DD2DD0" w:rsidRPr="00DD2DD0" w:rsidRDefault="00DD2DD0" w:rsidP="00DD2DD0">
      <w:pPr>
        <w:pStyle w:val="OrderBody"/>
      </w:pPr>
    </w:p>
    <w:sectPr w:rsidR="00DD2DD0" w:rsidRPr="00DD2D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2E" w:rsidRDefault="00F63E2E">
      <w:r>
        <w:separator/>
      </w:r>
    </w:p>
  </w:endnote>
  <w:endnote w:type="continuationSeparator" w:id="0">
    <w:p w:rsidR="00F63E2E" w:rsidRDefault="00F6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2E" w:rsidRDefault="00F63E2E">
      <w:r>
        <w:separator/>
      </w:r>
    </w:p>
  </w:footnote>
  <w:footnote w:type="continuationSeparator" w:id="0">
    <w:p w:rsidR="00F63E2E" w:rsidRDefault="00F63E2E">
      <w:r>
        <w:continuationSeparator/>
      </w:r>
    </w:p>
  </w:footnote>
  <w:footnote w:id="1">
    <w:p w:rsidR="00F63E2E" w:rsidRDefault="00F63E2E" w:rsidP="00F63E2E">
      <w:pPr>
        <w:pStyle w:val="FootnoteText"/>
      </w:pPr>
      <w:r>
        <w:rPr>
          <w:rStyle w:val="FootnoteReference"/>
        </w:rPr>
        <w:footnoteRef/>
      </w:r>
      <w:r>
        <w:t xml:space="preserve"> TECO’s response to </w:t>
      </w:r>
      <w:r w:rsidR="00DD2DD0">
        <w:t xml:space="preserve">Commission </w:t>
      </w:r>
      <w:r>
        <w:t>Staff’s First Data Request, No. 1.</w:t>
      </w:r>
    </w:p>
  </w:footnote>
  <w:footnote w:id="2">
    <w:p w:rsidR="00F63E2E" w:rsidRPr="000D6B3D" w:rsidRDefault="00F63E2E" w:rsidP="00F63E2E">
      <w:pPr>
        <w:pStyle w:val="FootnoteText"/>
        <w:rPr>
          <w:u w:val="single"/>
        </w:rPr>
      </w:pPr>
      <w:r>
        <w:rPr>
          <w:rStyle w:val="FootnoteReference"/>
        </w:rPr>
        <w:footnoteRef/>
      </w:r>
      <w:r>
        <w:t xml:space="preserve"> Order No. PSC-13-0443-FOF-EI, issued </w:t>
      </w:r>
      <w:r w:rsidRPr="000D6B3D">
        <w:t>September 30, 2013</w:t>
      </w:r>
      <w:r>
        <w:t xml:space="preserve">, in Docket No. 130040-EI, </w:t>
      </w:r>
      <w:r w:rsidRPr="00F63E2E">
        <w:rPr>
          <w:u w:val="single"/>
        </w:rPr>
        <w:t>In re: Petition for rate increase by Tampa Electric Company</w:t>
      </w:r>
      <w:r w:rsidRPr="002119DF">
        <w:t>,</w:t>
      </w:r>
      <w:r>
        <w:t xml:space="preserve">  Exhibit A,</w:t>
      </w:r>
      <w:r w:rsidRPr="000D6B3D">
        <w:t xml:space="preserve"> </w:t>
      </w:r>
      <w:r>
        <w:t>Stipulation and Settlement A</w:t>
      </w:r>
      <w:r w:rsidRPr="005E4F3A">
        <w:t>greement</w:t>
      </w:r>
      <w:r>
        <w:t>,</w:t>
      </w:r>
      <w:r w:rsidRPr="005E4F3A">
        <w:t xml:space="preserve"> </w:t>
      </w:r>
      <w:r w:rsidRPr="000D6B3D">
        <w:t>paragraph</w:t>
      </w:r>
      <w:r>
        <w:t xml:space="preserve"> 8.</w:t>
      </w:r>
    </w:p>
  </w:footnote>
  <w:footnote w:id="3">
    <w:p w:rsidR="00F63E2E" w:rsidRDefault="00F63E2E" w:rsidP="00F63E2E">
      <w:pPr>
        <w:pStyle w:val="FootnoteText"/>
      </w:pPr>
      <w:r>
        <w:rPr>
          <w:rStyle w:val="FootnoteReference"/>
        </w:rPr>
        <w:footnoteRef/>
      </w:r>
      <w:r>
        <w:t xml:space="preserve"> TECO’s response to </w:t>
      </w:r>
      <w:r w:rsidR="00DD2DD0">
        <w:t xml:space="preserve">Commission </w:t>
      </w:r>
      <w:r>
        <w:t>Staff’s First Data Request, No. 3.</w:t>
      </w:r>
    </w:p>
  </w:footnote>
  <w:footnote w:id="4">
    <w:p w:rsidR="00F63E2E" w:rsidRDefault="00F63E2E" w:rsidP="00F63E2E">
      <w:pPr>
        <w:pStyle w:val="FootnoteText"/>
      </w:pPr>
      <w:r>
        <w:rPr>
          <w:rStyle w:val="FootnoteReference"/>
        </w:rPr>
        <w:footnoteRef/>
      </w:r>
      <w:r>
        <w:t xml:space="preserve"> TECO’s response to </w:t>
      </w:r>
      <w:r w:rsidR="00DD2DD0">
        <w:t xml:space="preserve">Commission </w:t>
      </w:r>
      <w:r>
        <w:t>Staff’s First Data Request, No. 4.(f).</w:t>
      </w:r>
    </w:p>
  </w:footnote>
  <w:footnote w:id="5">
    <w:p w:rsidR="00F63E2E" w:rsidRDefault="00F63E2E" w:rsidP="00F63E2E">
      <w:pPr>
        <w:pStyle w:val="FootnoteText"/>
      </w:pPr>
      <w:r>
        <w:rPr>
          <w:rStyle w:val="FootnoteReference"/>
        </w:rPr>
        <w:footnoteRef/>
      </w:r>
      <w:r>
        <w:t xml:space="preserve"> The interim depreciation rate was proposed and requested by </w:t>
      </w:r>
      <w:r w:rsidR="009B3F74">
        <w:t>the company, and approved by this</w:t>
      </w:r>
      <w:r>
        <w:t xml:space="preserve"> Commission by  </w:t>
      </w:r>
      <w:r w:rsidRPr="00D164CC">
        <w:t>O</w:t>
      </w:r>
      <w:r>
        <w:t>rder</w:t>
      </w:r>
      <w:r w:rsidRPr="00D164CC">
        <w:t xml:space="preserve"> N</w:t>
      </w:r>
      <w:r>
        <w:t>o</w:t>
      </w:r>
      <w:r w:rsidRPr="00D164CC">
        <w:t>. PSC-04-0815-PAA-EI</w:t>
      </w:r>
      <w:r>
        <w:t xml:space="preserve">, </w:t>
      </w:r>
      <w:r w:rsidRPr="00D164CC">
        <w:t>issued August 20,</w:t>
      </w:r>
      <w:r>
        <w:t xml:space="preserve"> </w:t>
      </w:r>
      <w:r w:rsidRPr="00D164CC">
        <w:t>2004</w:t>
      </w:r>
      <w:r>
        <w:t xml:space="preserve">, in Docket No. 030409-EI, </w:t>
      </w:r>
      <w:r w:rsidRPr="00F63E2E">
        <w:rPr>
          <w:u w:val="single"/>
        </w:rPr>
        <w:t>In re: Petition for approval of  2003 depreciation study by Tampa Electric Company.</w:t>
      </w:r>
      <w:r>
        <w:t xml:space="preserve"> Also see, </w:t>
      </w:r>
      <w:r w:rsidRPr="006A29F7">
        <w:t xml:space="preserve">TECO’s response to </w:t>
      </w:r>
      <w:r w:rsidR="00DD2DD0">
        <w:t xml:space="preserve">Commission </w:t>
      </w:r>
      <w:r w:rsidRPr="006A29F7">
        <w:t>Staff’s First Data Request, Nos. 3</w:t>
      </w:r>
      <w:r>
        <w:t>.</w:t>
      </w:r>
      <w:r w:rsidRPr="006A29F7">
        <w:t xml:space="preserve"> and 4.(</w:t>
      </w:r>
      <w:r>
        <w:t>c</w:t>
      </w:r>
      <w:r w:rsidRPr="006A29F7">
        <w:t>).</w:t>
      </w:r>
    </w:p>
  </w:footnote>
  <w:footnote w:id="6">
    <w:p w:rsidR="00F63E2E" w:rsidRDefault="00F63E2E" w:rsidP="00F63E2E">
      <w:pPr>
        <w:pStyle w:val="FootnoteText"/>
      </w:pPr>
      <w:r>
        <w:rPr>
          <w:rStyle w:val="FootnoteReference"/>
        </w:rPr>
        <w:footnoteRef/>
      </w:r>
      <w:r>
        <w:t xml:space="preserve"> TECO’s response to </w:t>
      </w:r>
      <w:r w:rsidR="00DD2DD0">
        <w:t xml:space="preserve">Commission </w:t>
      </w:r>
      <w:r>
        <w:t>Staff’s First Data Request, Nos. 3. and 4.(e).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1 ">
      <w:r w:rsidR="00861C5C">
        <w:t>PSC-2017-0391-PAA-EI</w:t>
      </w:r>
    </w:fldSimple>
    <w:bookmarkStart w:id="8" w:name="OrderText"/>
    <w:bookmarkEnd w:id="8"/>
  </w:p>
  <w:p w:rsidR="00FA6EFD" w:rsidRDefault="00F63E2E">
    <w:pPr>
      <w:pStyle w:val="OrderHeader"/>
    </w:pPr>
    <w:bookmarkStart w:id="9" w:name="HeaderDocketNo"/>
    <w:bookmarkEnd w:id="9"/>
    <w:r>
      <w:t>DOCKET NO. 20170143-EI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1C5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3-EI"/>
  </w:docVars>
  <w:rsids>
    <w:rsidRoot w:val="00F63E2E"/>
    <w:rsid w:val="000022B8"/>
    <w:rsid w:val="00053AB9"/>
    <w:rsid w:val="00055C5D"/>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40F3"/>
    <w:rsid w:val="004F7826"/>
    <w:rsid w:val="0050097F"/>
    <w:rsid w:val="00514B1F"/>
    <w:rsid w:val="00525E93"/>
    <w:rsid w:val="0052671D"/>
    <w:rsid w:val="00550C00"/>
    <w:rsid w:val="00556A10"/>
    <w:rsid w:val="00590845"/>
    <w:rsid w:val="005963C2"/>
    <w:rsid w:val="005B45F7"/>
    <w:rsid w:val="005B63EA"/>
    <w:rsid w:val="005C1A88"/>
    <w:rsid w:val="005C5033"/>
    <w:rsid w:val="005C57B5"/>
    <w:rsid w:val="005E751B"/>
    <w:rsid w:val="00610E73"/>
    <w:rsid w:val="0063168D"/>
    <w:rsid w:val="00660774"/>
    <w:rsid w:val="0066389A"/>
    <w:rsid w:val="0066495C"/>
    <w:rsid w:val="006659B0"/>
    <w:rsid w:val="00665CC7"/>
    <w:rsid w:val="00672612"/>
    <w:rsid w:val="00677F18"/>
    <w:rsid w:val="006A0BF3"/>
    <w:rsid w:val="006B0DA6"/>
    <w:rsid w:val="006C547E"/>
    <w:rsid w:val="00704C5D"/>
    <w:rsid w:val="007072BC"/>
    <w:rsid w:val="00715275"/>
    <w:rsid w:val="00733B6B"/>
    <w:rsid w:val="007440FA"/>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1C5C"/>
    <w:rsid w:val="00863A66"/>
    <w:rsid w:val="008703D7"/>
    <w:rsid w:val="00874429"/>
    <w:rsid w:val="00883D9A"/>
    <w:rsid w:val="008919EF"/>
    <w:rsid w:val="008926FE"/>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B3F74"/>
    <w:rsid w:val="009D4C29"/>
    <w:rsid w:val="009E531A"/>
    <w:rsid w:val="00A00D8D"/>
    <w:rsid w:val="00A4303C"/>
    <w:rsid w:val="00A510CA"/>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07E1"/>
    <w:rsid w:val="00C24098"/>
    <w:rsid w:val="00C30A4E"/>
    <w:rsid w:val="00C411F3"/>
    <w:rsid w:val="00C44105"/>
    <w:rsid w:val="00C55A33"/>
    <w:rsid w:val="00C66692"/>
    <w:rsid w:val="00C91123"/>
    <w:rsid w:val="00CA691F"/>
    <w:rsid w:val="00CA71FF"/>
    <w:rsid w:val="00CB5276"/>
    <w:rsid w:val="00CB68D7"/>
    <w:rsid w:val="00CC7E68"/>
    <w:rsid w:val="00CD537D"/>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D2DD0"/>
    <w:rsid w:val="00DE057F"/>
    <w:rsid w:val="00DE2082"/>
    <w:rsid w:val="00DE2289"/>
    <w:rsid w:val="00E03A76"/>
    <w:rsid w:val="00E04410"/>
    <w:rsid w:val="00E11351"/>
    <w:rsid w:val="00E743D6"/>
    <w:rsid w:val="00E75AE0"/>
    <w:rsid w:val="00E83C1F"/>
    <w:rsid w:val="00EA172C"/>
    <w:rsid w:val="00EA259B"/>
    <w:rsid w:val="00EA35A3"/>
    <w:rsid w:val="00EA3E6A"/>
    <w:rsid w:val="00EB18EF"/>
    <w:rsid w:val="00EB7951"/>
    <w:rsid w:val="00EE17DF"/>
    <w:rsid w:val="00EF4621"/>
    <w:rsid w:val="00EF6312"/>
    <w:rsid w:val="00F07F7A"/>
    <w:rsid w:val="00F234A7"/>
    <w:rsid w:val="00F277B6"/>
    <w:rsid w:val="00F54380"/>
    <w:rsid w:val="00F54B47"/>
    <w:rsid w:val="00F63E2E"/>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61C5C"/>
    <w:rPr>
      <w:rFonts w:ascii="Tahoma" w:hAnsi="Tahoma" w:cs="Tahoma"/>
      <w:sz w:val="16"/>
      <w:szCs w:val="16"/>
    </w:rPr>
  </w:style>
  <w:style w:type="character" w:customStyle="1" w:styleId="BalloonTextChar">
    <w:name w:val="Balloon Text Char"/>
    <w:basedOn w:val="DefaultParagraphFont"/>
    <w:link w:val="BalloonText"/>
    <w:rsid w:val="00861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61C5C"/>
    <w:rPr>
      <w:rFonts w:ascii="Tahoma" w:hAnsi="Tahoma" w:cs="Tahoma"/>
      <w:sz w:val="16"/>
      <w:szCs w:val="16"/>
    </w:rPr>
  </w:style>
  <w:style w:type="character" w:customStyle="1" w:styleId="BalloonTextChar">
    <w:name w:val="Balloon Text Char"/>
    <w:basedOn w:val="DefaultParagraphFont"/>
    <w:link w:val="BalloonText"/>
    <w:rsid w:val="00861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1596</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2017-10-16T14:50:00Z</dcterms:created>
  <dcterms:modified xsi:type="dcterms:W3CDTF">2017-10-16T16:13:00Z</dcterms:modified>
</cp:coreProperties>
</file>