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932A6" w:rsidP="005932A6">
      <w:pPr>
        <w:pStyle w:val="OrderHeading"/>
      </w:pPr>
      <w:bookmarkStart w:id="0" w:name="_GoBack"/>
      <w:bookmarkEnd w:id="0"/>
      <w:r>
        <w:t>BEFORE THE FLORIDA PUBLIC SERVICE COMMISSION</w:t>
      </w:r>
    </w:p>
    <w:p w:rsidR="005932A6" w:rsidRDefault="005932A6" w:rsidP="005932A6">
      <w:pPr>
        <w:pStyle w:val="OrderHeading"/>
      </w:pPr>
    </w:p>
    <w:p w:rsidR="005932A6" w:rsidRDefault="005932A6" w:rsidP="005932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932A6" w:rsidRPr="00C63FCF" w:rsidTr="00C63FCF">
        <w:trPr>
          <w:trHeight w:val="828"/>
        </w:trPr>
        <w:tc>
          <w:tcPr>
            <w:tcW w:w="4788" w:type="dxa"/>
            <w:tcBorders>
              <w:bottom w:val="single" w:sz="8" w:space="0" w:color="auto"/>
              <w:right w:val="double" w:sz="6" w:space="0" w:color="auto"/>
            </w:tcBorders>
            <w:shd w:val="clear" w:color="auto" w:fill="auto"/>
          </w:tcPr>
          <w:p w:rsidR="005932A6" w:rsidRDefault="005932A6" w:rsidP="00C63FCF">
            <w:pPr>
              <w:pStyle w:val="OrderBody"/>
              <w:tabs>
                <w:tab w:val="center" w:pos="4320"/>
                <w:tab w:val="right" w:pos="8640"/>
              </w:tabs>
              <w:jc w:val="left"/>
            </w:pPr>
            <w:r>
              <w:t xml:space="preserve">In re: </w:t>
            </w:r>
            <w:bookmarkStart w:id="1" w:name="SSInRe"/>
            <w:bookmarkEnd w:id="1"/>
            <w:r>
              <w:t>Petition for approval of depreciation rates for various accounts, by Tampa Electric Company.</w:t>
            </w:r>
          </w:p>
        </w:tc>
        <w:tc>
          <w:tcPr>
            <w:tcW w:w="4788" w:type="dxa"/>
            <w:tcBorders>
              <w:left w:val="double" w:sz="6" w:space="0" w:color="auto"/>
            </w:tcBorders>
            <w:shd w:val="clear" w:color="auto" w:fill="auto"/>
          </w:tcPr>
          <w:p w:rsidR="005932A6" w:rsidRDefault="005932A6" w:rsidP="005932A6">
            <w:pPr>
              <w:pStyle w:val="OrderBody"/>
            </w:pPr>
            <w:r>
              <w:t xml:space="preserve">DOCKET NO. </w:t>
            </w:r>
            <w:bookmarkStart w:id="2" w:name="SSDocketNo"/>
            <w:bookmarkEnd w:id="2"/>
            <w:r>
              <w:t>20170182-EI</w:t>
            </w:r>
          </w:p>
          <w:p w:rsidR="005932A6" w:rsidRDefault="005932A6" w:rsidP="00C63FCF">
            <w:pPr>
              <w:pStyle w:val="OrderBody"/>
              <w:tabs>
                <w:tab w:val="center" w:pos="4320"/>
                <w:tab w:val="right" w:pos="8640"/>
              </w:tabs>
              <w:jc w:val="left"/>
            </w:pPr>
            <w:r>
              <w:t xml:space="preserve">ORDER NO. </w:t>
            </w:r>
            <w:bookmarkStart w:id="3" w:name="OrderNo0443"/>
            <w:r w:rsidR="0077621C">
              <w:t>PSC-2017-0443-PAA-EI</w:t>
            </w:r>
            <w:bookmarkEnd w:id="3"/>
          </w:p>
          <w:p w:rsidR="005932A6" w:rsidRDefault="005932A6" w:rsidP="00C63FCF">
            <w:pPr>
              <w:pStyle w:val="OrderBody"/>
              <w:tabs>
                <w:tab w:val="center" w:pos="4320"/>
                <w:tab w:val="right" w:pos="8640"/>
              </w:tabs>
              <w:jc w:val="left"/>
            </w:pPr>
            <w:r>
              <w:t xml:space="preserve">ISSUED: </w:t>
            </w:r>
            <w:r w:rsidR="0077621C">
              <w:t>November 17, 2017</w:t>
            </w:r>
          </w:p>
        </w:tc>
      </w:tr>
    </w:tbl>
    <w:p w:rsidR="005932A6" w:rsidRDefault="005932A6" w:rsidP="005932A6"/>
    <w:p w:rsidR="005932A6" w:rsidRDefault="005932A6" w:rsidP="005932A6"/>
    <w:p w:rsidR="005932A6" w:rsidRDefault="005932A6">
      <w:pPr>
        <w:ind w:firstLine="720"/>
        <w:jc w:val="both"/>
      </w:pPr>
      <w:bookmarkStart w:id="4" w:name="Commissioners"/>
      <w:bookmarkEnd w:id="4"/>
      <w:r>
        <w:t>The following Commissioners participated in the disposition of this matter:</w:t>
      </w:r>
    </w:p>
    <w:p w:rsidR="005932A6" w:rsidRDefault="005932A6"/>
    <w:p w:rsidR="005932A6" w:rsidRDefault="005932A6">
      <w:pPr>
        <w:jc w:val="center"/>
      </w:pPr>
      <w:r>
        <w:t>JULIE I. BROWN, Chairman</w:t>
      </w:r>
    </w:p>
    <w:p w:rsidR="005932A6" w:rsidRDefault="005932A6">
      <w:pPr>
        <w:jc w:val="center"/>
      </w:pPr>
      <w:r>
        <w:t>ART GRAHAM</w:t>
      </w:r>
    </w:p>
    <w:p w:rsidR="005932A6" w:rsidRDefault="005932A6">
      <w:pPr>
        <w:jc w:val="center"/>
      </w:pPr>
      <w:r>
        <w:t>RONALD A. BRISÉ</w:t>
      </w:r>
    </w:p>
    <w:p w:rsidR="005932A6" w:rsidRDefault="005932A6">
      <w:pPr>
        <w:jc w:val="center"/>
      </w:pPr>
      <w:r>
        <w:t>DONALD J. POLMANN</w:t>
      </w:r>
    </w:p>
    <w:p w:rsidR="005932A6" w:rsidRDefault="005932A6">
      <w:pPr>
        <w:jc w:val="center"/>
      </w:pPr>
      <w:r>
        <w:t>GARY F. CLARK</w:t>
      </w:r>
    </w:p>
    <w:p w:rsidR="005932A6" w:rsidRDefault="005932A6"/>
    <w:p w:rsidR="005932A6" w:rsidRDefault="005932A6" w:rsidP="005932A6">
      <w:pPr>
        <w:pStyle w:val="OrderBody"/>
      </w:pPr>
    </w:p>
    <w:bookmarkStart w:id="5" w:name="OrderText"/>
    <w:bookmarkEnd w:id="5"/>
    <w:p w:rsidR="005932A6" w:rsidRPr="003E4B2D" w:rsidRDefault="005932A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5932A6" w:rsidRPr="003E4B2D" w:rsidRDefault="005932A6">
      <w:pPr>
        <w:pStyle w:val="OrderBody"/>
        <w:jc w:val="center"/>
        <w:rPr>
          <w:u w:val="single"/>
        </w:rPr>
      </w:pPr>
      <w:r w:rsidRPr="003E4B2D">
        <w:rPr>
          <w:u w:val="single"/>
        </w:rPr>
        <w:t>ORDER</w:t>
      </w:r>
      <w:bookmarkStart w:id="6" w:name="OrderTitle"/>
      <w:r w:rsidR="00D93654">
        <w:rPr>
          <w:u w:val="single"/>
        </w:rPr>
        <w:t xml:space="preserve"> APPROVING DEPRECIATION RATES</w:t>
      </w:r>
      <w:r>
        <w:rPr>
          <w:u w:val="single"/>
        </w:rPr>
        <w:t xml:space="preserve"> </w:t>
      </w:r>
      <w:bookmarkEnd w:id="6"/>
    </w:p>
    <w:p w:rsidR="005932A6" w:rsidRPr="003E4B2D" w:rsidRDefault="005932A6">
      <w:pPr>
        <w:pStyle w:val="OrderBody"/>
      </w:pPr>
    </w:p>
    <w:p w:rsidR="005932A6" w:rsidRPr="003E4B2D" w:rsidRDefault="005932A6">
      <w:pPr>
        <w:pStyle w:val="OrderBody"/>
      </w:pPr>
    </w:p>
    <w:p w:rsidR="005932A6" w:rsidRPr="003E4B2D" w:rsidRDefault="005932A6">
      <w:pPr>
        <w:pStyle w:val="OrderBody"/>
      </w:pPr>
      <w:r w:rsidRPr="003E4B2D">
        <w:t>BY THE COMMISSION:</w:t>
      </w:r>
    </w:p>
    <w:p w:rsidR="005932A6" w:rsidRPr="003E4B2D" w:rsidRDefault="005932A6">
      <w:pPr>
        <w:pStyle w:val="OrderBody"/>
      </w:pPr>
    </w:p>
    <w:p w:rsidR="005932A6" w:rsidRDefault="005932A6">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5932A6"/>
    <w:p w:rsidR="00D57E57" w:rsidRPr="00DA21CB" w:rsidRDefault="005932A6" w:rsidP="005932A6">
      <w:pPr>
        <w:spacing w:after="240"/>
        <w:jc w:val="center"/>
        <w:rPr>
          <w:u w:val="single"/>
        </w:rPr>
      </w:pPr>
      <w:r w:rsidRPr="00DA21CB">
        <w:rPr>
          <w:u w:val="single"/>
        </w:rPr>
        <w:t>Background</w:t>
      </w:r>
    </w:p>
    <w:p w:rsidR="005932A6" w:rsidRPr="005932A6" w:rsidRDefault="005932A6" w:rsidP="005932A6">
      <w:pPr>
        <w:spacing w:after="240"/>
        <w:ind w:firstLine="720"/>
        <w:jc w:val="both"/>
      </w:pPr>
      <w:r w:rsidRPr="005932A6">
        <w:t>Pursuant to Rule 25-6.0436(6) and 25-6.135, Florida Administrative Code (F.A.C.), Tampa Electric Company (TECO or company) submitted its 2016 Annual Depreciation Status Report on April 28, 2017.</w:t>
      </w:r>
      <w:r w:rsidRPr="005932A6">
        <w:rPr>
          <w:vertAlign w:val="superscript"/>
        </w:rPr>
        <w:footnoteReference w:id="1"/>
      </w:r>
      <w:r w:rsidR="00DA21CB">
        <w:t xml:space="preserve"> During our</w:t>
      </w:r>
      <w:r w:rsidRPr="005932A6">
        <w:t xml:space="preserve"> review of this report, it became clear that the company used the Florida Public Service Commission (Commission) approved remaining life depreciation rates (depreciation rates), under seven subaccounts in Account 345 – Accessory Electric Equipment, as the depreciation rates for seven subaccounts in Account 346 – Miscellaneous Power Plant Equipment, and inadvertently failed to seek</w:t>
      </w:r>
      <w:r w:rsidR="00DA21CB">
        <w:t xml:space="preserve"> our approval</w:t>
      </w:r>
      <w:r w:rsidRPr="005932A6">
        <w:t>.</w:t>
      </w:r>
      <w:r w:rsidRPr="005932A6">
        <w:rPr>
          <w:vertAlign w:val="superscript"/>
        </w:rPr>
        <w:footnoteReference w:id="2"/>
      </w:r>
    </w:p>
    <w:p w:rsidR="005932A6" w:rsidRPr="005932A6" w:rsidRDefault="005932A6" w:rsidP="005932A6">
      <w:pPr>
        <w:spacing w:after="240"/>
        <w:ind w:firstLine="720"/>
        <w:jc w:val="both"/>
      </w:pPr>
      <w:r w:rsidRPr="005932A6">
        <w:t xml:space="preserve">On August 28, 2017, TECO filed a petition to request </w:t>
      </w:r>
      <w:r w:rsidR="00DA21CB">
        <w:t>we</w:t>
      </w:r>
      <w:r w:rsidRPr="005932A6">
        <w:t xml:space="preserve"> approve the depreciation rates for the aforementioned seven subaccounts 346.xx – Miscellaneous Power Plant Equipment, to rectify its inadvertence.</w:t>
      </w:r>
    </w:p>
    <w:p w:rsidR="005932A6" w:rsidRDefault="005932A6" w:rsidP="005932A6">
      <w:pPr>
        <w:spacing w:after="240"/>
        <w:ind w:firstLine="720"/>
        <w:jc w:val="both"/>
      </w:pPr>
      <w:r w:rsidRPr="005932A6">
        <w:lastRenderedPageBreak/>
        <w:t xml:space="preserve">Pursuant to Rule 25-6.0436(3)(a), F.A.C., electric utilities are required to maintain depreciation rates and accumulated depreciation reserve in accounts or subaccounts as prescribed in Rule 25-6.014(1), F.A.C. Rule 25-6.0436(3)(b), F.A.C., provides that “[u]pon establishing a new account or subaccount classification, each utility shall request Commission approval of a depreciation rate for the new plant category.” </w:t>
      </w:r>
      <w:r w:rsidR="00DA21CB">
        <w:t>There have been no</w:t>
      </w:r>
      <w:r w:rsidRPr="005932A6">
        <w:t xml:space="preserve"> public comments or concerns on this matter. </w:t>
      </w:r>
      <w:r w:rsidR="00DA21CB">
        <w:t>We have</w:t>
      </w:r>
      <w:r w:rsidRPr="005932A6">
        <w:t xml:space="preserve"> jurisdiction in this matter pursuant to Sections 366.04, 366.05, and 366.06, Florida Statutes (F.S.).  </w:t>
      </w:r>
    </w:p>
    <w:p w:rsidR="005932A6" w:rsidRPr="00DA21CB" w:rsidRDefault="005932A6" w:rsidP="005932A6">
      <w:pPr>
        <w:spacing w:after="240"/>
        <w:jc w:val="center"/>
        <w:rPr>
          <w:u w:val="single"/>
        </w:rPr>
      </w:pPr>
      <w:r w:rsidRPr="00DA21CB">
        <w:rPr>
          <w:u w:val="single"/>
        </w:rPr>
        <w:t>Decision</w:t>
      </w:r>
    </w:p>
    <w:p w:rsidR="005932A6" w:rsidRPr="005932A6" w:rsidRDefault="005932A6" w:rsidP="005D2E15">
      <w:pPr>
        <w:spacing w:after="240"/>
        <w:ind w:firstLine="720"/>
        <w:jc w:val="both"/>
      </w:pPr>
      <w:r w:rsidRPr="005932A6">
        <w:t xml:space="preserve">TECO is seeking </w:t>
      </w:r>
      <w:r w:rsidR="005D2E15">
        <w:t>our</w:t>
      </w:r>
      <w:r w:rsidRPr="005932A6">
        <w:t xml:space="preserve"> approval of depreciation rates for seven depreciation suba</w:t>
      </w:r>
      <w:r>
        <w:t>ccounts as detailed in Table 1</w:t>
      </w:r>
      <w:r w:rsidRPr="005932A6">
        <w:t xml:space="preserve"> below:</w:t>
      </w:r>
    </w:p>
    <w:p w:rsidR="005932A6" w:rsidRDefault="00FC0A79" w:rsidP="005932A6">
      <w:pPr>
        <w:pStyle w:val="BodyText"/>
        <w:spacing w:after="0"/>
        <w:jc w:val="center"/>
        <w:rPr>
          <w:b/>
        </w:rPr>
      </w:pPr>
      <w:r>
        <w:rPr>
          <w:b/>
        </w:rPr>
        <w:t>Table 1</w:t>
      </w:r>
    </w:p>
    <w:p w:rsidR="005932A6" w:rsidRPr="000230F8" w:rsidRDefault="005932A6" w:rsidP="005932A6">
      <w:pPr>
        <w:pStyle w:val="BodyText"/>
        <w:spacing w:after="0"/>
        <w:jc w:val="center"/>
        <w:rPr>
          <w:b/>
        </w:rPr>
      </w:pPr>
      <w:r w:rsidRPr="000230F8">
        <w:rPr>
          <w:b/>
        </w:rPr>
        <w:t xml:space="preserve"> TECO’s Petitioned Depreciation Rates</w:t>
      </w:r>
    </w:p>
    <w:tbl>
      <w:tblPr>
        <w:tblStyle w:val="TableGrid"/>
        <w:tblW w:w="0" w:type="auto"/>
        <w:tblLook w:val="04A0" w:firstRow="1" w:lastRow="0" w:firstColumn="1" w:lastColumn="0" w:noHBand="0" w:noVBand="1"/>
      </w:tblPr>
      <w:tblGrid>
        <w:gridCol w:w="378"/>
        <w:gridCol w:w="6390"/>
        <w:gridCol w:w="2808"/>
      </w:tblGrid>
      <w:tr w:rsidR="005932A6" w:rsidTr="00F22E61">
        <w:tc>
          <w:tcPr>
            <w:tcW w:w="378" w:type="dxa"/>
          </w:tcPr>
          <w:p w:rsidR="005932A6" w:rsidRPr="00891113" w:rsidRDefault="005932A6" w:rsidP="00F22E61">
            <w:pPr>
              <w:pStyle w:val="BodyText"/>
              <w:spacing w:after="0"/>
              <w:jc w:val="center"/>
              <w:rPr>
                <w:b/>
              </w:rPr>
            </w:pPr>
          </w:p>
        </w:tc>
        <w:tc>
          <w:tcPr>
            <w:tcW w:w="6390" w:type="dxa"/>
            <w:vAlign w:val="center"/>
          </w:tcPr>
          <w:p w:rsidR="005932A6" w:rsidRPr="00891113" w:rsidRDefault="005932A6" w:rsidP="00F22E61">
            <w:pPr>
              <w:pStyle w:val="BodyText"/>
              <w:spacing w:after="0"/>
              <w:jc w:val="center"/>
              <w:rPr>
                <w:b/>
              </w:rPr>
            </w:pPr>
            <w:r w:rsidRPr="00891113">
              <w:rPr>
                <w:b/>
              </w:rPr>
              <w:t>Depreciation Account</w:t>
            </w:r>
          </w:p>
        </w:tc>
        <w:tc>
          <w:tcPr>
            <w:tcW w:w="2808" w:type="dxa"/>
          </w:tcPr>
          <w:p w:rsidR="005932A6" w:rsidRPr="00891113" w:rsidRDefault="005932A6" w:rsidP="00F22E61">
            <w:pPr>
              <w:pStyle w:val="BodyText"/>
              <w:spacing w:after="0"/>
              <w:jc w:val="center"/>
              <w:rPr>
                <w:b/>
              </w:rPr>
            </w:pPr>
            <w:r w:rsidRPr="00891113">
              <w:rPr>
                <w:b/>
              </w:rPr>
              <w:t>Depreciation Rate</w:t>
            </w:r>
          </w:p>
        </w:tc>
      </w:tr>
      <w:tr w:rsidR="005932A6" w:rsidTr="00F22E61">
        <w:tc>
          <w:tcPr>
            <w:tcW w:w="378" w:type="dxa"/>
            <w:vAlign w:val="center"/>
          </w:tcPr>
          <w:p w:rsidR="005932A6" w:rsidRDefault="005932A6" w:rsidP="00F22E61">
            <w:pPr>
              <w:pStyle w:val="BodyText"/>
              <w:spacing w:after="0"/>
              <w:jc w:val="center"/>
            </w:pPr>
            <w:r>
              <w:t>1</w:t>
            </w:r>
          </w:p>
        </w:tc>
        <w:tc>
          <w:tcPr>
            <w:tcW w:w="6390" w:type="dxa"/>
            <w:vAlign w:val="center"/>
          </w:tcPr>
          <w:p w:rsidR="005932A6" w:rsidRDefault="005932A6" w:rsidP="00F22E61">
            <w:pPr>
              <w:pStyle w:val="BodyText"/>
              <w:spacing w:after="0"/>
              <w:jc w:val="center"/>
            </w:pPr>
            <w:r>
              <w:t xml:space="preserve">346.44 </w:t>
            </w:r>
            <w:r w:rsidRPr="00474667">
              <w:t xml:space="preserve">– </w:t>
            </w:r>
            <w:r>
              <w:t>Miscellaneous</w:t>
            </w:r>
            <w:r w:rsidRPr="00474667">
              <w:t xml:space="preserve"> Power Plant Equipment</w:t>
            </w:r>
            <w:r>
              <w:t xml:space="preserve"> of</w:t>
            </w:r>
          </w:p>
          <w:p w:rsidR="005932A6" w:rsidRDefault="005932A6" w:rsidP="00F22E61">
            <w:pPr>
              <w:pStyle w:val="BodyText"/>
              <w:spacing w:after="0"/>
            </w:pPr>
            <w:r>
              <w:t xml:space="preserve">                            Big Bend Combustion Turbine No. 4</w:t>
            </w:r>
          </w:p>
        </w:tc>
        <w:tc>
          <w:tcPr>
            <w:tcW w:w="2808" w:type="dxa"/>
            <w:vAlign w:val="center"/>
          </w:tcPr>
          <w:p w:rsidR="005932A6" w:rsidRDefault="005932A6" w:rsidP="00F22E61">
            <w:pPr>
              <w:pStyle w:val="BodyText"/>
              <w:spacing w:after="0"/>
              <w:jc w:val="center"/>
            </w:pPr>
            <w:r>
              <w:t>4.0 percent</w:t>
            </w:r>
          </w:p>
        </w:tc>
      </w:tr>
      <w:tr w:rsidR="005932A6" w:rsidTr="00F22E61">
        <w:tc>
          <w:tcPr>
            <w:tcW w:w="378" w:type="dxa"/>
            <w:vAlign w:val="center"/>
          </w:tcPr>
          <w:p w:rsidR="005932A6" w:rsidRDefault="005932A6" w:rsidP="00F22E61">
            <w:pPr>
              <w:pStyle w:val="BodyText"/>
              <w:spacing w:after="0"/>
              <w:jc w:val="center"/>
            </w:pPr>
            <w:r>
              <w:t>2</w:t>
            </w:r>
          </w:p>
        </w:tc>
        <w:tc>
          <w:tcPr>
            <w:tcW w:w="6390" w:type="dxa"/>
          </w:tcPr>
          <w:p w:rsidR="005932A6" w:rsidRDefault="005932A6" w:rsidP="00F22E61">
            <w:pPr>
              <w:pStyle w:val="BodyText"/>
              <w:spacing w:after="0"/>
              <w:jc w:val="center"/>
            </w:pPr>
            <w:r>
              <w:t xml:space="preserve">346.84 </w:t>
            </w:r>
            <w:r w:rsidRPr="00474667">
              <w:t xml:space="preserve">– </w:t>
            </w:r>
            <w:r>
              <w:t>Miscellaneous</w:t>
            </w:r>
            <w:r w:rsidRPr="00474667">
              <w:t xml:space="preserve"> Power Plant Equipment</w:t>
            </w:r>
            <w:r>
              <w:t xml:space="preserve"> of</w:t>
            </w:r>
          </w:p>
          <w:p w:rsidR="005932A6" w:rsidRDefault="005932A6" w:rsidP="00F22E61">
            <w:pPr>
              <w:pStyle w:val="BodyText"/>
              <w:spacing w:after="0"/>
            </w:pPr>
            <w:r>
              <w:t xml:space="preserve">                            Polk Unit No. 4</w:t>
            </w:r>
          </w:p>
        </w:tc>
        <w:tc>
          <w:tcPr>
            <w:tcW w:w="2808" w:type="dxa"/>
            <w:vAlign w:val="center"/>
          </w:tcPr>
          <w:p w:rsidR="005932A6" w:rsidRDefault="005932A6" w:rsidP="00F22E61">
            <w:pPr>
              <w:pStyle w:val="BodyText"/>
              <w:spacing w:after="0"/>
              <w:jc w:val="center"/>
            </w:pPr>
            <w:r>
              <w:t>3.9 percent</w:t>
            </w:r>
          </w:p>
        </w:tc>
      </w:tr>
      <w:tr w:rsidR="005932A6" w:rsidTr="00F22E61">
        <w:tc>
          <w:tcPr>
            <w:tcW w:w="378" w:type="dxa"/>
            <w:vAlign w:val="center"/>
          </w:tcPr>
          <w:p w:rsidR="005932A6" w:rsidRDefault="005932A6" w:rsidP="00F22E61">
            <w:pPr>
              <w:pStyle w:val="BodyText"/>
              <w:spacing w:after="0"/>
              <w:jc w:val="center"/>
            </w:pPr>
            <w:r>
              <w:t>3</w:t>
            </w:r>
          </w:p>
        </w:tc>
        <w:tc>
          <w:tcPr>
            <w:tcW w:w="6390" w:type="dxa"/>
          </w:tcPr>
          <w:p w:rsidR="005932A6" w:rsidRDefault="005932A6" w:rsidP="00F22E61">
            <w:pPr>
              <w:pStyle w:val="BodyText"/>
              <w:spacing w:after="0"/>
              <w:jc w:val="center"/>
            </w:pPr>
            <w:r>
              <w:t xml:space="preserve">346.85 </w:t>
            </w:r>
            <w:r w:rsidRPr="00474667">
              <w:t xml:space="preserve">– </w:t>
            </w:r>
            <w:r>
              <w:t>Miscellaneous</w:t>
            </w:r>
            <w:r w:rsidRPr="00474667">
              <w:t xml:space="preserve"> Power Plant Equipment</w:t>
            </w:r>
            <w:r>
              <w:t xml:space="preserve"> of</w:t>
            </w:r>
          </w:p>
          <w:p w:rsidR="005932A6" w:rsidRDefault="005932A6" w:rsidP="00F22E61">
            <w:pPr>
              <w:pStyle w:val="BodyText"/>
              <w:spacing w:after="0"/>
            </w:pPr>
            <w:r>
              <w:t xml:space="preserve">                            Polk Unit No. 5</w:t>
            </w:r>
          </w:p>
        </w:tc>
        <w:tc>
          <w:tcPr>
            <w:tcW w:w="2808" w:type="dxa"/>
            <w:vAlign w:val="center"/>
          </w:tcPr>
          <w:p w:rsidR="005932A6" w:rsidRDefault="005932A6" w:rsidP="00F22E61">
            <w:pPr>
              <w:pStyle w:val="BodyText"/>
              <w:spacing w:after="0"/>
              <w:jc w:val="center"/>
            </w:pPr>
            <w:r>
              <w:t>3.9 percent</w:t>
            </w:r>
          </w:p>
        </w:tc>
      </w:tr>
      <w:tr w:rsidR="005932A6" w:rsidTr="00F22E61">
        <w:tc>
          <w:tcPr>
            <w:tcW w:w="378" w:type="dxa"/>
            <w:vAlign w:val="center"/>
          </w:tcPr>
          <w:p w:rsidR="005932A6" w:rsidRDefault="005932A6" w:rsidP="00F22E61">
            <w:pPr>
              <w:pStyle w:val="BodyText"/>
              <w:spacing w:after="0"/>
              <w:jc w:val="center"/>
            </w:pPr>
            <w:r>
              <w:t>4</w:t>
            </w:r>
          </w:p>
        </w:tc>
        <w:tc>
          <w:tcPr>
            <w:tcW w:w="6390" w:type="dxa"/>
          </w:tcPr>
          <w:p w:rsidR="005932A6" w:rsidRDefault="005932A6" w:rsidP="00F22E61">
            <w:pPr>
              <w:pStyle w:val="BodyText"/>
              <w:spacing w:after="0"/>
              <w:jc w:val="center"/>
            </w:pPr>
            <w:r>
              <w:t xml:space="preserve">346.33 </w:t>
            </w:r>
            <w:r w:rsidRPr="00474667">
              <w:t xml:space="preserve">– </w:t>
            </w:r>
            <w:r>
              <w:t>Miscellaneous</w:t>
            </w:r>
            <w:r w:rsidRPr="00474667">
              <w:t xml:space="preserve"> Power Plant Equipment</w:t>
            </w:r>
            <w:r>
              <w:t xml:space="preserve"> of</w:t>
            </w:r>
          </w:p>
          <w:p w:rsidR="005932A6" w:rsidRDefault="005932A6" w:rsidP="00F22E61">
            <w:pPr>
              <w:pStyle w:val="BodyText"/>
              <w:spacing w:after="0"/>
              <w:jc w:val="center"/>
            </w:pPr>
            <w:r>
              <w:t xml:space="preserve">     Bayside Combustion Turbine No. 3</w:t>
            </w:r>
          </w:p>
        </w:tc>
        <w:tc>
          <w:tcPr>
            <w:tcW w:w="2808" w:type="dxa"/>
            <w:vAlign w:val="center"/>
          </w:tcPr>
          <w:p w:rsidR="005932A6" w:rsidRDefault="005932A6" w:rsidP="00F22E61">
            <w:pPr>
              <w:pStyle w:val="BodyText"/>
              <w:spacing w:after="0"/>
              <w:jc w:val="center"/>
            </w:pPr>
            <w:r>
              <w:t>4.0 percent</w:t>
            </w:r>
          </w:p>
        </w:tc>
      </w:tr>
      <w:tr w:rsidR="005932A6" w:rsidTr="00F22E61">
        <w:tc>
          <w:tcPr>
            <w:tcW w:w="378" w:type="dxa"/>
            <w:vAlign w:val="center"/>
          </w:tcPr>
          <w:p w:rsidR="005932A6" w:rsidRDefault="005932A6" w:rsidP="00F22E61">
            <w:pPr>
              <w:pStyle w:val="BodyText"/>
              <w:spacing w:after="0"/>
              <w:jc w:val="center"/>
            </w:pPr>
            <w:r>
              <w:t>5</w:t>
            </w:r>
          </w:p>
        </w:tc>
        <w:tc>
          <w:tcPr>
            <w:tcW w:w="6390" w:type="dxa"/>
          </w:tcPr>
          <w:p w:rsidR="005932A6" w:rsidRDefault="005932A6" w:rsidP="00F22E61">
            <w:pPr>
              <w:pStyle w:val="BodyText"/>
              <w:spacing w:after="0"/>
              <w:jc w:val="center"/>
            </w:pPr>
            <w:r>
              <w:t xml:space="preserve">346.34 </w:t>
            </w:r>
            <w:r w:rsidRPr="00474667">
              <w:t xml:space="preserve">– </w:t>
            </w:r>
            <w:r>
              <w:t>Miscellaneous</w:t>
            </w:r>
            <w:r w:rsidRPr="00474667">
              <w:t xml:space="preserve"> Power Plant Equipment</w:t>
            </w:r>
            <w:r>
              <w:t xml:space="preserve"> of</w:t>
            </w:r>
          </w:p>
          <w:p w:rsidR="005932A6" w:rsidRDefault="005932A6" w:rsidP="00F22E61">
            <w:pPr>
              <w:pStyle w:val="BodyText"/>
              <w:spacing w:after="0"/>
              <w:jc w:val="center"/>
            </w:pPr>
            <w:r>
              <w:t xml:space="preserve">     Bayside Combustion Turbine No. 4</w:t>
            </w:r>
          </w:p>
        </w:tc>
        <w:tc>
          <w:tcPr>
            <w:tcW w:w="2808" w:type="dxa"/>
            <w:vAlign w:val="center"/>
          </w:tcPr>
          <w:p w:rsidR="005932A6" w:rsidRDefault="005932A6" w:rsidP="00F22E61">
            <w:pPr>
              <w:pStyle w:val="BodyText"/>
              <w:spacing w:after="0"/>
              <w:jc w:val="center"/>
            </w:pPr>
            <w:r>
              <w:t>4.0 percent</w:t>
            </w:r>
          </w:p>
        </w:tc>
      </w:tr>
      <w:tr w:rsidR="005932A6" w:rsidTr="00F22E61">
        <w:tc>
          <w:tcPr>
            <w:tcW w:w="378" w:type="dxa"/>
            <w:vAlign w:val="center"/>
          </w:tcPr>
          <w:p w:rsidR="005932A6" w:rsidRDefault="005932A6" w:rsidP="00F22E61">
            <w:pPr>
              <w:pStyle w:val="BodyText"/>
              <w:spacing w:after="0"/>
              <w:jc w:val="center"/>
            </w:pPr>
            <w:r>
              <w:t>6</w:t>
            </w:r>
          </w:p>
        </w:tc>
        <w:tc>
          <w:tcPr>
            <w:tcW w:w="6390" w:type="dxa"/>
          </w:tcPr>
          <w:p w:rsidR="005932A6" w:rsidRDefault="005932A6" w:rsidP="00F22E61">
            <w:pPr>
              <w:pStyle w:val="BodyText"/>
              <w:spacing w:after="0"/>
              <w:jc w:val="center"/>
            </w:pPr>
            <w:r>
              <w:t xml:space="preserve">346.35 </w:t>
            </w:r>
            <w:r w:rsidRPr="00474667">
              <w:t xml:space="preserve">– </w:t>
            </w:r>
            <w:r>
              <w:t>Miscellaneous</w:t>
            </w:r>
            <w:r w:rsidRPr="00474667">
              <w:t xml:space="preserve"> Power Plant Equipment</w:t>
            </w:r>
            <w:r>
              <w:t xml:space="preserve"> of</w:t>
            </w:r>
          </w:p>
          <w:p w:rsidR="005932A6" w:rsidRDefault="005932A6" w:rsidP="00F22E61">
            <w:pPr>
              <w:pStyle w:val="BodyText"/>
              <w:spacing w:after="0"/>
              <w:jc w:val="center"/>
            </w:pPr>
            <w:r>
              <w:t xml:space="preserve">     Bayside Combustion Turbine No. 5</w:t>
            </w:r>
          </w:p>
        </w:tc>
        <w:tc>
          <w:tcPr>
            <w:tcW w:w="2808" w:type="dxa"/>
            <w:vAlign w:val="center"/>
          </w:tcPr>
          <w:p w:rsidR="005932A6" w:rsidRDefault="005932A6" w:rsidP="00F22E61">
            <w:pPr>
              <w:pStyle w:val="BodyText"/>
              <w:spacing w:after="0"/>
              <w:jc w:val="center"/>
            </w:pPr>
            <w:r>
              <w:t>4.0 percent</w:t>
            </w:r>
          </w:p>
        </w:tc>
      </w:tr>
      <w:tr w:rsidR="005932A6" w:rsidTr="00F22E61">
        <w:tc>
          <w:tcPr>
            <w:tcW w:w="378" w:type="dxa"/>
            <w:vAlign w:val="center"/>
          </w:tcPr>
          <w:p w:rsidR="005932A6" w:rsidRDefault="005932A6" w:rsidP="00F22E61">
            <w:pPr>
              <w:pStyle w:val="BodyText"/>
              <w:spacing w:after="0"/>
              <w:jc w:val="center"/>
            </w:pPr>
            <w:r>
              <w:t>7</w:t>
            </w:r>
          </w:p>
        </w:tc>
        <w:tc>
          <w:tcPr>
            <w:tcW w:w="6390" w:type="dxa"/>
          </w:tcPr>
          <w:p w:rsidR="005932A6" w:rsidRDefault="005932A6" w:rsidP="00F22E61">
            <w:pPr>
              <w:pStyle w:val="BodyText"/>
              <w:spacing w:after="0"/>
              <w:jc w:val="center"/>
            </w:pPr>
            <w:r>
              <w:t xml:space="preserve">346.36 </w:t>
            </w:r>
            <w:r w:rsidRPr="00474667">
              <w:t xml:space="preserve">– </w:t>
            </w:r>
            <w:r>
              <w:t>Miscellaneous</w:t>
            </w:r>
            <w:r w:rsidRPr="00474667">
              <w:t xml:space="preserve"> Power Plant Equipment</w:t>
            </w:r>
            <w:r>
              <w:t xml:space="preserve"> of</w:t>
            </w:r>
          </w:p>
          <w:p w:rsidR="005932A6" w:rsidRDefault="005932A6" w:rsidP="00F22E61">
            <w:pPr>
              <w:pStyle w:val="BodyText"/>
              <w:spacing w:after="0"/>
              <w:jc w:val="center"/>
            </w:pPr>
            <w:r>
              <w:t xml:space="preserve">     Bayside Combustion Turbine No. 6</w:t>
            </w:r>
          </w:p>
        </w:tc>
        <w:tc>
          <w:tcPr>
            <w:tcW w:w="2808" w:type="dxa"/>
            <w:vAlign w:val="center"/>
          </w:tcPr>
          <w:p w:rsidR="005932A6" w:rsidRDefault="005932A6" w:rsidP="00F22E61">
            <w:pPr>
              <w:pStyle w:val="BodyText"/>
              <w:spacing w:after="0"/>
              <w:jc w:val="center"/>
            </w:pPr>
            <w:r>
              <w:t>4.0 percent</w:t>
            </w:r>
          </w:p>
        </w:tc>
      </w:tr>
    </w:tbl>
    <w:p w:rsidR="005932A6" w:rsidRDefault="005932A6" w:rsidP="005932A6">
      <w:pPr>
        <w:pStyle w:val="BodyText"/>
        <w:spacing w:after="0"/>
      </w:pPr>
      <w:r>
        <w:t>Source: TECO’s petition filed in this docket, page 2.</w:t>
      </w:r>
    </w:p>
    <w:p w:rsidR="005932A6" w:rsidRDefault="005932A6" w:rsidP="005932A6">
      <w:pPr>
        <w:spacing w:after="240"/>
        <w:ind w:firstLine="720"/>
        <w:jc w:val="both"/>
      </w:pPr>
    </w:p>
    <w:p w:rsidR="005932A6" w:rsidRPr="005932A6" w:rsidRDefault="005932A6" w:rsidP="005932A6">
      <w:pPr>
        <w:spacing w:after="240"/>
        <w:ind w:firstLine="720"/>
        <w:jc w:val="both"/>
      </w:pPr>
      <w:r w:rsidRPr="005932A6">
        <w:t>TECO normally reviews changes in plants or utility experience that may require a revision of depreciation rates, amortization, or capital recovery schedules once every four years in compliance with Rule 25-6.0436, F.A.C. At the conclusion of TECO’s 2011 Depreciation Study,</w:t>
      </w:r>
      <w:r w:rsidRPr="005932A6">
        <w:rPr>
          <w:vertAlign w:val="superscript"/>
        </w:rPr>
        <w:footnoteReference w:id="3"/>
      </w:r>
      <w:r w:rsidRPr="005932A6">
        <w:t xml:space="preserve"> </w:t>
      </w:r>
      <w:r w:rsidR="00853AB6">
        <w:t>we</w:t>
      </w:r>
      <w:r w:rsidRPr="005932A6">
        <w:t xml:space="preserve"> issued an order to approve a depreciation rate of zero percent for each of the subacc</w:t>
      </w:r>
      <w:r w:rsidR="00FC0A79">
        <w:t>ounts 346.xx listed in Table 1</w:t>
      </w:r>
      <w:r w:rsidRPr="005932A6">
        <w:t>.</w:t>
      </w:r>
      <w:r w:rsidRPr="005932A6">
        <w:rPr>
          <w:vertAlign w:val="superscript"/>
        </w:rPr>
        <w:footnoteReference w:id="4"/>
      </w:r>
      <w:r w:rsidRPr="005932A6">
        <w:t xml:space="preserve"> At that time, there were no forecasted plant assets in these subaccounts.</w:t>
      </w:r>
      <w:r w:rsidRPr="005932A6">
        <w:rPr>
          <w:vertAlign w:val="superscript"/>
        </w:rPr>
        <w:footnoteReference w:id="5"/>
      </w:r>
      <w:r w:rsidRPr="005932A6">
        <w:t xml:space="preserve"> Since the time of the 2011 Depreciation Study, assets have been added to the 346.xx subaccounts. TECO claimed that “at the time these assets were placed-in-service, it was </w:t>
      </w:r>
      <w:r w:rsidRPr="005932A6">
        <w:lastRenderedPageBreak/>
        <w:t>Tampa Electric’s practice to apply an approved starter rate for depreciation. During implementation of the approved rates from the 2011 Depreciation Study, the 346 Accounts were updated to match the approved depreciation rates for Account 345 – Accessory Electric Equipment.”</w:t>
      </w:r>
      <w:r w:rsidRPr="005932A6">
        <w:rPr>
          <w:vertAlign w:val="superscript"/>
        </w:rPr>
        <w:footnoteReference w:id="6"/>
      </w:r>
      <w:r w:rsidRPr="005932A6">
        <w:t xml:space="preserve"> Consequently, TECO has been utilizing the depre</w:t>
      </w:r>
      <w:r w:rsidR="00FC0A79">
        <w:t xml:space="preserve">ciation rates listed in Table </w:t>
      </w:r>
      <w:r w:rsidRPr="005932A6">
        <w:t xml:space="preserve">1 to report and depreciate the assets in each corresponding subaccount. In reviewing TECO’s 2016 Annual Depreciation Status Report, </w:t>
      </w:r>
      <w:r w:rsidR="00853AB6">
        <w:t xml:space="preserve">Commission </w:t>
      </w:r>
      <w:r w:rsidRPr="005932A6">
        <w:t xml:space="preserve">staff inquired about the appropriateness of the depreciation rates the company used, and TECO realized that it had been improperly utilizing the approved depreciation rates, under subaccount 345.xx – Accessory Electric Equipment, as the depreciation rates for the assets in subaccount 346.xx – Miscellaneous Power Plant Equipment without seeking </w:t>
      </w:r>
      <w:r w:rsidR="00853AB6">
        <w:t>our approval</w:t>
      </w:r>
      <w:r w:rsidRPr="005932A6">
        <w:t xml:space="preserve">.  </w:t>
      </w:r>
    </w:p>
    <w:p w:rsidR="005932A6" w:rsidRPr="005932A6" w:rsidRDefault="005932A6" w:rsidP="005932A6">
      <w:pPr>
        <w:spacing w:after="240"/>
        <w:ind w:firstLine="720"/>
        <w:jc w:val="both"/>
      </w:pPr>
      <w:r w:rsidRPr="005932A6">
        <w:t>Rule 25-6.0436(2)(a), F.A.C., states that “no utility shall change any existing depreciation rate or initiate any new depreciation rate without prior Commission approval.” TECO understands that the depreciation rates it reported and applied to the subacc</w:t>
      </w:r>
      <w:r w:rsidR="00FC0A79">
        <w:t>ounts 346.xx are not Commission-</w:t>
      </w:r>
      <w:r w:rsidRPr="005932A6">
        <w:t>approved rates;</w:t>
      </w:r>
      <w:r w:rsidRPr="005932A6">
        <w:rPr>
          <w:vertAlign w:val="superscript"/>
        </w:rPr>
        <w:footnoteReference w:id="7"/>
      </w:r>
      <w:r w:rsidRPr="005932A6">
        <w:t xml:space="preserve"> hence, it filed the instant petition to seek approval to use the depreciation rates l</w:t>
      </w:r>
      <w:r w:rsidR="00FC0A79">
        <w:t xml:space="preserve">isted in Table </w:t>
      </w:r>
      <w:r w:rsidRPr="005932A6">
        <w:t>1 as interim rates for the affected subaccounts until its next depre</w:t>
      </w:r>
      <w:r w:rsidR="00853AB6">
        <w:t>ciation study is approved by this</w:t>
      </w:r>
      <w:r w:rsidRPr="005932A6">
        <w:t xml:space="preserve"> Commission.</w:t>
      </w:r>
      <w:r w:rsidRPr="005932A6">
        <w:rPr>
          <w:vertAlign w:val="superscript"/>
        </w:rPr>
        <w:footnoteReference w:id="8"/>
      </w:r>
      <w:r w:rsidRPr="005932A6">
        <w:t xml:space="preserve"> TECO indicated that the depreciation rates are reasonable compared to depreciation rates applied to other similar asset accounts. The company further confirmed that during its next depreciation study, the 346 Accounts will be properly examined and rated accordingly and the company plans to revise the interim depreciation rates approved in this docket at that time. Currently, TECO is between depreciation study filings. The company is excused from compliance with the every four-year filing requirement of Rule 25-6.0436, F.A.C., until no more than one year nor less than sixty days before the filing of its next general rate proceeding in accordance with Order No. PSC-13-0443-FOF-EI.</w:t>
      </w:r>
      <w:r w:rsidRPr="005932A6">
        <w:rPr>
          <w:vertAlign w:val="superscript"/>
        </w:rPr>
        <w:footnoteReference w:id="9"/>
      </w:r>
    </w:p>
    <w:p w:rsidR="005932A6" w:rsidRPr="005932A6" w:rsidRDefault="005932A6" w:rsidP="005932A6">
      <w:pPr>
        <w:spacing w:after="240"/>
        <w:ind w:firstLine="720"/>
        <w:jc w:val="both"/>
      </w:pPr>
      <w:r w:rsidRPr="005932A6">
        <w:t>To assess the potential impairment resulting from TECO’s improper util</w:t>
      </w:r>
      <w:r w:rsidR="00853AB6">
        <w:t>i</w:t>
      </w:r>
      <w:r w:rsidR="00FC0A79">
        <w:t>zation of depreciation rates, Commission staff</w:t>
      </w:r>
      <w:r w:rsidRPr="005932A6">
        <w:t xml:space="preserve"> requested the company to identify the cumulative impacts to the company’s customer bills, if any, for the period 2011 through 2016. The company responded: </w:t>
      </w:r>
    </w:p>
    <w:p w:rsidR="005932A6" w:rsidRDefault="005932A6" w:rsidP="005932A6">
      <w:pPr>
        <w:autoSpaceDE w:val="0"/>
        <w:autoSpaceDN w:val="0"/>
        <w:adjustRightInd w:val="0"/>
        <w:ind w:left="720" w:right="720"/>
        <w:jc w:val="both"/>
      </w:pPr>
      <w:r w:rsidRPr="00974997">
        <w:t>Customers</w:t>
      </w:r>
      <w:r>
        <w:t>’</w:t>
      </w:r>
      <w:r w:rsidRPr="00974997">
        <w:t xml:space="preserve"> </w:t>
      </w:r>
      <w:r>
        <w:t>bill</w:t>
      </w:r>
      <w:r w:rsidRPr="00974997">
        <w:t>s have not been impacted by Tampa Electric</w:t>
      </w:r>
      <w:r>
        <w:t>’s app</w:t>
      </w:r>
      <w:r w:rsidRPr="00974997">
        <w:t>lication of</w:t>
      </w:r>
      <w:r>
        <w:t xml:space="preserve"> </w:t>
      </w:r>
      <w:r w:rsidRPr="00974997">
        <w:t>depreciation rates to the assets in accounts 346.44, 346.</w:t>
      </w:r>
      <w:r>
        <w:t>84</w:t>
      </w:r>
      <w:r w:rsidRPr="00974997">
        <w:t xml:space="preserve">, </w:t>
      </w:r>
      <w:r>
        <w:t>346</w:t>
      </w:r>
      <w:r w:rsidRPr="00974997">
        <w:t>.85, 346.33</w:t>
      </w:r>
      <w:r>
        <w:t xml:space="preserve">, </w:t>
      </w:r>
      <w:r>
        <w:lastRenderedPageBreak/>
        <w:t>346.34</w:t>
      </w:r>
      <w:r w:rsidRPr="00974997">
        <w:t xml:space="preserve">, </w:t>
      </w:r>
      <w:r>
        <w:t>346.35</w:t>
      </w:r>
      <w:r w:rsidRPr="00974997">
        <w:t>, and 346.36 (</w:t>
      </w:r>
      <w:r>
        <w:t>“</w:t>
      </w:r>
      <w:r w:rsidRPr="00974997">
        <w:t>346 Accounts</w:t>
      </w:r>
      <w:r>
        <w:t>”</w:t>
      </w:r>
      <w:r w:rsidRPr="00974997">
        <w:t>). During the period of time that</w:t>
      </w:r>
      <w:r>
        <w:t xml:space="preserve"> Tampa Electric has been apply</w:t>
      </w:r>
      <w:r w:rsidRPr="00974997">
        <w:t xml:space="preserve">ing depreciation rates in the 346 Accounts, </w:t>
      </w:r>
      <w:r>
        <w:t>there was on</w:t>
      </w:r>
      <w:r w:rsidRPr="00974997">
        <w:t xml:space="preserve">ly one Petition for Rate Increase </w:t>
      </w:r>
      <w:r>
        <w:t>(“</w:t>
      </w:r>
      <w:r w:rsidRPr="00974997">
        <w:t>Petition</w:t>
      </w:r>
      <w:r>
        <w:t>”</w:t>
      </w:r>
      <w:r w:rsidRPr="00974997">
        <w:t xml:space="preserve">) </w:t>
      </w:r>
      <w:r>
        <w:t>filed by Tampa Electric on February 4</w:t>
      </w:r>
      <w:r w:rsidRPr="00974997">
        <w:t xml:space="preserve">, 2013, in Docket No. 130040-EI. </w:t>
      </w:r>
      <w:r>
        <w:t xml:space="preserve">That Petition was resolved by a </w:t>
      </w:r>
      <w:r w:rsidRPr="00974997">
        <w:t xml:space="preserve">Stipulation and Settlement Agreement </w:t>
      </w:r>
      <w:r>
        <w:t>(“</w:t>
      </w:r>
      <w:r w:rsidRPr="00974997">
        <w:t>Agreement</w:t>
      </w:r>
      <w:r>
        <w:t>”</w:t>
      </w:r>
      <w:r w:rsidRPr="00974997">
        <w:t xml:space="preserve">), </w:t>
      </w:r>
      <w:r>
        <w:t>approved by the Public Service Commission in Order No. PSC-13-0443-FOF-EI</w:t>
      </w:r>
      <w:r w:rsidRPr="00974997">
        <w:t xml:space="preserve">, </w:t>
      </w:r>
      <w:r>
        <w:t>issued September 30</w:t>
      </w:r>
      <w:r w:rsidRPr="00974997">
        <w:t>, 2013. The provisi</w:t>
      </w:r>
      <w:r>
        <w:t xml:space="preserve">ons of the Agreement included a </w:t>
      </w:r>
      <w:r w:rsidRPr="00974997">
        <w:t>negotiated rate increase and return on equity that were l</w:t>
      </w:r>
      <w:r>
        <w:t xml:space="preserve">ess than Tampa </w:t>
      </w:r>
      <w:r w:rsidRPr="00974997">
        <w:t>Electric requested in its Petition. Since the Petition resul</w:t>
      </w:r>
      <w:r>
        <w:t xml:space="preserve">ted in a negotiated </w:t>
      </w:r>
      <w:r w:rsidRPr="00974997">
        <w:t>base rate settlement, there was no correl</w:t>
      </w:r>
      <w:r>
        <w:t>ation between the impact of the depreciation rates app</w:t>
      </w:r>
      <w:r w:rsidRPr="00974997">
        <w:t>lied to the 346 Accounts and the Tampa Electric</w:t>
      </w:r>
      <w:r>
        <w:t xml:space="preserve"> </w:t>
      </w:r>
      <w:r w:rsidRPr="00974997">
        <w:t>customer bills from 2011 through 2016.</w:t>
      </w:r>
      <w:r>
        <w:rPr>
          <w:rStyle w:val="FootnoteReference"/>
        </w:rPr>
        <w:footnoteReference w:id="10"/>
      </w:r>
    </w:p>
    <w:p w:rsidR="005932A6" w:rsidRDefault="005932A6" w:rsidP="005932A6">
      <w:pPr>
        <w:autoSpaceDE w:val="0"/>
        <w:autoSpaceDN w:val="0"/>
        <w:adjustRightInd w:val="0"/>
        <w:ind w:left="1440" w:right="1440" w:hanging="1440"/>
        <w:jc w:val="both"/>
      </w:pPr>
    </w:p>
    <w:p w:rsidR="005932A6" w:rsidRDefault="005932A6" w:rsidP="005932A6">
      <w:pPr>
        <w:autoSpaceDE w:val="0"/>
        <w:autoSpaceDN w:val="0"/>
        <w:adjustRightInd w:val="0"/>
        <w:jc w:val="both"/>
      </w:pPr>
      <w:r>
        <w:t xml:space="preserve">The impacts to TECO’s depreciation reserve accounts were also gauged by the company in responding to </w:t>
      </w:r>
      <w:r w:rsidR="00FC0A79">
        <w:t>Commission staff’s</w:t>
      </w:r>
      <w:r>
        <w:t xml:space="preserve"> inquires. Up to December 31, 2016, the total amount of depreciation reserve for these seven subaccounts is $111,830.</w:t>
      </w:r>
      <w:r>
        <w:rPr>
          <w:rStyle w:val="FootnoteReference"/>
        </w:rPr>
        <w:footnoteReference w:id="11"/>
      </w:r>
      <w:r>
        <w:t xml:space="preserve"> </w:t>
      </w:r>
      <w:r w:rsidR="00853AB6">
        <w:t>A</w:t>
      </w:r>
      <w:r>
        <w:t xml:space="preserve">ny potential reserve imbalance resulting from this will be automatically resolved through the implementation of new remaining life depreciation rates, and/or reserve transfer if necessary, as prescribed by </w:t>
      </w:r>
      <w:r w:rsidR="00853AB6">
        <w:t>this Commission at the conclusion of our</w:t>
      </w:r>
      <w:r>
        <w:t xml:space="preserve"> review of TECO’s next depreciation study.</w:t>
      </w:r>
    </w:p>
    <w:p w:rsidR="005932A6" w:rsidRDefault="005932A6" w:rsidP="005932A6">
      <w:pPr>
        <w:ind w:firstLine="720"/>
        <w:jc w:val="both"/>
      </w:pPr>
    </w:p>
    <w:p w:rsidR="005932A6" w:rsidRPr="005932A6" w:rsidRDefault="00853AB6" w:rsidP="005932A6">
      <w:pPr>
        <w:spacing w:after="240"/>
        <w:ind w:firstLine="720"/>
        <w:jc w:val="both"/>
      </w:pPr>
      <w:r>
        <w:t>We find</w:t>
      </w:r>
      <w:r w:rsidR="005932A6" w:rsidRPr="005932A6">
        <w:t xml:space="preserve"> it is reasonable for the company to continue applying the depreciation rates listed in Table 1 to each corresponding 346.xx subaccount, on an interim basis, until such time as depreciation rates are examined in detail in the company’s next deprec</w:t>
      </w:r>
      <w:r w:rsidR="009936DC">
        <w:t>iation study and approved by this</w:t>
      </w:r>
      <w:r w:rsidR="005932A6" w:rsidRPr="005932A6">
        <w:t xml:space="preserve"> Commission. No costs or harm has occurred to the general body of ratepayers as a result of TECO’s accounting error addressed </w:t>
      </w:r>
      <w:r w:rsidR="009936DC">
        <w:t>in this specific case. However,</w:t>
      </w:r>
      <w:r w:rsidR="005932A6" w:rsidRPr="005932A6">
        <w:t xml:space="preserve"> TECO </w:t>
      </w:r>
      <w:r w:rsidR="009936DC">
        <w:t>is</w:t>
      </w:r>
      <w:r w:rsidR="005932A6" w:rsidRPr="005932A6">
        <w:t xml:space="preserve"> advised to take care in the future to not apply an approved depreciation rate to inapplicable accounts, and to seek approval for all proposed depreciation rates for new plant assets prior to their application, in compliance with Rule 25-6.0436(2)(a), F.A.C.    </w:t>
      </w:r>
    </w:p>
    <w:p w:rsidR="005932A6" w:rsidRDefault="005932A6" w:rsidP="005932A6">
      <w:pPr>
        <w:spacing w:after="240"/>
        <w:ind w:firstLine="720"/>
        <w:jc w:val="both"/>
      </w:pPr>
      <w:r w:rsidRPr="005932A6">
        <w:t xml:space="preserve">Depreciation is the recovery of invested capital representing equipment that is providing service to the public. This recovery is designed to take place over the related period of service to the public, which begins with the equipment’s in-service date. In its petition, TECO requests </w:t>
      </w:r>
      <w:r w:rsidR="009936DC">
        <w:t>we</w:t>
      </w:r>
      <w:r w:rsidRPr="005932A6">
        <w:t xml:space="preserve"> approve an effective date of its petitioned deprecia</w:t>
      </w:r>
      <w:r w:rsidR="009936DC">
        <w:t>tion rates as of the date of this</w:t>
      </w:r>
      <w:r w:rsidRPr="005932A6">
        <w:t xml:space="preserve"> Commission</w:t>
      </w:r>
      <w:r w:rsidR="009936DC">
        <w:t>’s</w:t>
      </w:r>
      <w:r w:rsidRPr="005932A6">
        <w:t xml:space="preserve"> order disposing of the instant petition. The affected plant assets associated with the petitioned depreciation rates have already been placed into service. Since the objective of this petition is to rectify the company’s inadvertence of using Commission-approved depreciation rates, under similar plant asset subaccounts 345.xx, as subaccounts 346.xx for booking the affected plant assets, </w:t>
      </w:r>
      <w:r w:rsidR="009936DC">
        <w:t>we find</w:t>
      </w:r>
      <w:r w:rsidRPr="005932A6">
        <w:t xml:space="preserve"> that TECO’s requested effective date is appropriate. Therefore, </w:t>
      </w:r>
      <w:r w:rsidR="009936DC">
        <w:t>we hold</w:t>
      </w:r>
      <w:r w:rsidRPr="005932A6">
        <w:t xml:space="preserve"> the effective d</w:t>
      </w:r>
      <w:r w:rsidR="009936DC">
        <w:t>ate of the rates sh</w:t>
      </w:r>
      <w:r w:rsidR="00FC0A79">
        <w:t>all</w:t>
      </w:r>
      <w:r w:rsidR="009936DC">
        <w:t xml:space="preserve"> be upon our</w:t>
      </w:r>
      <w:r w:rsidRPr="005932A6">
        <w:t xml:space="preserve"> issuance of a Consummating Order in this docket.</w:t>
      </w:r>
    </w:p>
    <w:p w:rsidR="005932A6" w:rsidRDefault="005932A6" w:rsidP="005932A6">
      <w:pPr>
        <w:pStyle w:val="OrderBody"/>
      </w:pPr>
      <w:r>
        <w:tab/>
        <w:t>Based on the foregoing, it is</w:t>
      </w:r>
    </w:p>
    <w:p w:rsidR="005932A6" w:rsidRDefault="005932A6" w:rsidP="005932A6">
      <w:pPr>
        <w:pStyle w:val="OrderBody"/>
      </w:pPr>
    </w:p>
    <w:p w:rsidR="00DA21CB" w:rsidRDefault="005932A6" w:rsidP="009936DC">
      <w:pPr>
        <w:pStyle w:val="OrderBody"/>
      </w:pPr>
      <w:r>
        <w:lastRenderedPageBreak/>
        <w:tab/>
        <w:t>ORDERED by the Florida Public Service Commission that</w:t>
      </w:r>
      <w:r w:rsidR="009936DC">
        <w:t xml:space="preserve"> </w:t>
      </w:r>
      <w:r w:rsidR="00DA21CB" w:rsidRPr="005932A6">
        <w:t>the annual depreciation rates applicable to TECO’s seven subaccounts 346.xx – Miscellaneous Power Plant Equipment, as detailed in Tab</w:t>
      </w:r>
      <w:r w:rsidR="00FC0A79">
        <w:t>le 1 in Staff Analysis, are</w:t>
      </w:r>
      <w:r w:rsidR="00DA21CB" w:rsidRPr="005932A6">
        <w:t xml:space="preserve"> approved. </w:t>
      </w:r>
      <w:r w:rsidR="009936DC">
        <w:t>It is further</w:t>
      </w:r>
    </w:p>
    <w:p w:rsidR="00FC0A79" w:rsidRDefault="00FC0A79" w:rsidP="009936DC">
      <w:pPr>
        <w:pStyle w:val="OrderBody"/>
      </w:pPr>
    </w:p>
    <w:p w:rsidR="009E31DF" w:rsidRPr="005932A6" w:rsidRDefault="009E31DF" w:rsidP="009936DC">
      <w:pPr>
        <w:pStyle w:val="OrderBody"/>
      </w:pPr>
      <w:r>
        <w:tab/>
        <w:t>ORDERED that the approved annual depreciation rates</w:t>
      </w:r>
      <w:r w:rsidR="00FC0A79">
        <w:t xml:space="preserve"> shall</w:t>
      </w:r>
      <w:r>
        <w:t xml:space="preserve"> become effective on the date of our Consummating Order in this docket. </w:t>
      </w:r>
    </w:p>
    <w:p w:rsidR="005932A6" w:rsidRDefault="005932A6" w:rsidP="005932A6">
      <w:pPr>
        <w:pStyle w:val="OrderBody"/>
      </w:pPr>
    </w:p>
    <w:p w:rsidR="005932A6" w:rsidRDefault="005932A6" w:rsidP="005932A6">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5932A6" w:rsidRDefault="005932A6" w:rsidP="005932A6">
      <w:pPr>
        <w:pStyle w:val="OrderBody"/>
      </w:pPr>
    </w:p>
    <w:p w:rsidR="005932A6" w:rsidRDefault="005932A6" w:rsidP="005932A6">
      <w:pPr>
        <w:pStyle w:val="OrderBody"/>
      </w:pPr>
      <w:r>
        <w:tab/>
        <w:t>ORDERED that in the event this Order becomes final, this docket shall be closed.</w:t>
      </w:r>
    </w:p>
    <w:p w:rsidR="005932A6" w:rsidRDefault="005932A6" w:rsidP="005932A6">
      <w:pPr>
        <w:pStyle w:val="OrderBody"/>
      </w:pPr>
    </w:p>
    <w:p w:rsidR="005932A6" w:rsidRDefault="005932A6" w:rsidP="005932A6">
      <w:pPr>
        <w:pStyle w:val="OrderBody"/>
        <w:keepNext/>
        <w:keepLines/>
      </w:pPr>
      <w:r>
        <w:tab/>
        <w:t xml:space="preserve">By ORDER of the Florida Public Service Commission this </w:t>
      </w:r>
      <w:bookmarkStart w:id="7" w:name="replaceDate"/>
      <w:bookmarkEnd w:id="7"/>
      <w:r w:rsidR="0077621C">
        <w:rPr>
          <w:u w:val="single"/>
        </w:rPr>
        <w:t>17th</w:t>
      </w:r>
      <w:r w:rsidR="0077621C">
        <w:t xml:space="preserve"> day of </w:t>
      </w:r>
      <w:r w:rsidR="0077621C">
        <w:rPr>
          <w:u w:val="single"/>
        </w:rPr>
        <w:t>November</w:t>
      </w:r>
      <w:r w:rsidR="0077621C">
        <w:t xml:space="preserve">, </w:t>
      </w:r>
      <w:r w:rsidR="0077621C">
        <w:rPr>
          <w:u w:val="single"/>
        </w:rPr>
        <w:t>2017</w:t>
      </w:r>
      <w:r w:rsidR="0077621C">
        <w:t>.</w:t>
      </w:r>
    </w:p>
    <w:p w:rsidR="0077621C" w:rsidRPr="0077621C" w:rsidRDefault="0077621C" w:rsidP="005932A6">
      <w:pPr>
        <w:pStyle w:val="OrderBody"/>
        <w:keepNext/>
        <w:keepLines/>
      </w:pPr>
    </w:p>
    <w:p w:rsidR="005932A6" w:rsidRDefault="005932A6" w:rsidP="005932A6">
      <w:pPr>
        <w:pStyle w:val="OrderBody"/>
        <w:keepNext/>
        <w:keepLines/>
      </w:pPr>
    </w:p>
    <w:p w:rsidR="005932A6" w:rsidRDefault="005932A6" w:rsidP="005932A6">
      <w:pPr>
        <w:pStyle w:val="OrderBody"/>
        <w:keepNext/>
        <w:keepLines/>
      </w:pPr>
    </w:p>
    <w:p w:rsidR="005932A6" w:rsidRDefault="005932A6" w:rsidP="005932A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932A6" w:rsidTr="005932A6">
        <w:tc>
          <w:tcPr>
            <w:tcW w:w="720" w:type="dxa"/>
            <w:shd w:val="clear" w:color="auto" w:fill="auto"/>
          </w:tcPr>
          <w:p w:rsidR="005932A6" w:rsidRDefault="005932A6" w:rsidP="005932A6">
            <w:pPr>
              <w:pStyle w:val="OrderBody"/>
              <w:keepNext/>
              <w:keepLines/>
            </w:pPr>
            <w:bookmarkStart w:id="8" w:name="bkmrkSignature" w:colFirst="0" w:colLast="0"/>
          </w:p>
        </w:tc>
        <w:tc>
          <w:tcPr>
            <w:tcW w:w="4320" w:type="dxa"/>
            <w:tcBorders>
              <w:bottom w:val="single" w:sz="4" w:space="0" w:color="auto"/>
            </w:tcBorders>
            <w:shd w:val="clear" w:color="auto" w:fill="auto"/>
          </w:tcPr>
          <w:p w:rsidR="005932A6" w:rsidRDefault="0077621C" w:rsidP="005932A6">
            <w:pPr>
              <w:pStyle w:val="OrderBody"/>
              <w:keepNext/>
              <w:keepLines/>
            </w:pPr>
            <w:r>
              <w:t>/s/ Hong Wang</w:t>
            </w:r>
          </w:p>
        </w:tc>
      </w:tr>
      <w:bookmarkEnd w:id="8"/>
      <w:tr w:rsidR="005932A6" w:rsidTr="005932A6">
        <w:tc>
          <w:tcPr>
            <w:tcW w:w="720" w:type="dxa"/>
            <w:shd w:val="clear" w:color="auto" w:fill="auto"/>
          </w:tcPr>
          <w:p w:rsidR="005932A6" w:rsidRDefault="005932A6" w:rsidP="005932A6">
            <w:pPr>
              <w:pStyle w:val="OrderBody"/>
              <w:keepNext/>
              <w:keepLines/>
            </w:pPr>
          </w:p>
        </w:tc>
        <w:tc>
          <w:tcPr>
            <w:tcW w:w="4320" w:type="dxa"/>
            <w:tcBorders>
              <w:top w:val="single" w:sz="4" w:space="0" w:color="auto"/>
            </w:tcBorders>
            <w:shd w:val="clear" w:color="auto" w:fill="auto"/>
          </w:tcPr>
          <w:p w:rsidR="0077621C" w:rsidRDefault="0077621C" w:rsidP="005932A6">
            <w:pPr>
              <w:pStyle w:val="OrderBody"/>
              <w:keepNext/>
              <w:keepLines/>
            </w:pPr>
            <w:r>
              <w:t>HONG WANG</w:t>
            </w:r>
          </w:p>
          <w:p w:rsidR="005932A6" w:rsidRDefault="0077621C" w:rsidP="005932A6">
            <w:pPr>
              <w:pStyle w:val="OrderBody"/>
              <w:keepNext/>
              <w:keepLines/>
            </w:pPr>
            <w:r>
              <w:t>Chief Deputy Commission Clerk</w:t>
            </w:r>
          </w:p>
        </w:tc>
      </w:tr>
    </w:tbl>
    <w:p w:rsidR="005932A6" w:rsidRDefault="005932A6" w:rsidP="005932A6">
      <w:pPr>
        <w:pStyle w:val="OrderSigInfo"/>
        <w:keepNext/>
        <w:keepLines/>
      </w:pPr>
      <w:r>
        <w:t>Florida Public Service Commission</w:t>
      </w:r>
    </w:p>
    <w:p w:rsidR="005932A6" w:rsidRDefault="005932A6" w:rsidP="005932A6">
      <w:pPr>
        <w:pStyle w:val="OrderSigInfo"/>
        <w:keepNext/>
        <w:keepLines/>
      </w:pPr>
      <w:r>
        <w:t>2540 Shumard Oak Boulevard</w:t>
      </w:r>
    </w:p>
    <w:p w:rsidR="005932A6" w:rsidRDefault="005932A6" w:rsidP="005932A6">
      <w:pPr>
        <w:pStyle w:val="OrderSigInfo"/>
        <w:keepNext/>
        <w:keepLines/>
      </w:pPr>
      <w:r>
        <w:t>Tallahassee, Florida  32399</w:t>
      </w:r>
    </w:p>
    <w:p w:rsidR="005932A6" w:rsidRDefault="005932A6" w:rsidP="005932A6">
      <w:pPr>
        <w:pStyle w:val="OrderSigInfo"/>
        <w:keepNext/>
        <w:keepLines/>
      </w:pPr>
      <w:r>
        <w:t>(850) 413</w:t>
      </w:r>
      <w:r>
        <w:noBreakHyphen/>
        <w:t>6770</w:t>
      </w:r>
    </w:p>
    <w:p w:rsidR="005932A6" w:rsidRDefault="005932A6" w:rsidP="005932A6">
      <w:pPr>
        <w:pStyle w:val="OrderSigInfo"/>
        <w:keepNext/>
        <w:keepLines/>
      </w:pPr>
      <w:r>
        <w:t>www.floridapsc.com</w:t>
      </w:r>
    </w:p>
    <w:p w:rsidR="005932A6" w:rsidRDefault="005932A6" w:rsidP="005932A6">
      <w:pPr>
        <w:pStyle w:val="OrderSigInfo"/>
        <w:keepNext/>
        <w:keepLines/>
      </w:pPr>
    </w:p>
    <w:p w:rsidR="005932A6" w:rsidRDefault="005932A6" w:rsidP="005932A6">
      <w:pPr>
        <w:pStyle w:val="OrderSigInfo"/>
        <w:keepNext/>
        <w:keepLines/>
      </w:pPr>
      <w:r>
        <w:t>Copies furnished:  A copy of this document is provided to the parties of record at the time of issuance and, if applicable, interested persons.</w:t>
      </w:r>
    </w:p>
    <w:p w:rsidR="005932A6" w:rsidRDefault="005932A6" w:rsidP="005932A6">
      <w:pPr>
        <w:pStyle w:val="OrderBody"/>
        <w:keepNext/>
        <w:keepLines/>
      </w:pPr>
    </w:p>
    <w:p w:rsidR="005932A6" w:rsidRDefault="005932A6" w:rsidP="005932A6">
      <w:pPr>
        <w:pStyle w:val="OrderBody"/>
      </w:pPr>
      <w:r>
        <w:t>WDT</w:t>
      </w:r>
    </w:p>
    <w:p w:rsidR="005932A6" w:rsidRDefault="005932A6" w:rsidP="005932A6">
      <w:pPr>
        <w:pStyle w:val="OrderBody"/>
      </w:pPr>
    </w:p>
    <w:p w:rsidR="0077621C" w:rsidRDefault="0077621C">
      <w:pPr>
        <w:rPr>
          <w:u w:val="single"/>
        </w:rPr>
      </w:pPr>
      <w:r>
        <w:br w:type="page"/>
      </w:r>
    </w:p>
    <w:p w:rsidR="005932A6" w:rsidRDefault="005932A6" w:rsidP="005932A6">
      <w:pPr>
        <w:pStyle w:val="CenterUnderline"/>
      </w:pPr>
      <w:r>
        <w:lastRenderedPageBreak/>
        <w:t>NOTICE OF FURTHER PROCEEDINGS OR JUDICIAL REVIEW</w:t>
      </w:r>
    </w:p>
    <w:p w:rsidR="005932A6" w:rsidRDefault="005932A6" w:rsidP="005932A6">
      <w:pPr>
        <w:pStyle w:val="CenterUnderline"/>
      </w:pPr>
    </w:p>
    <w:p w:rsidR="005932A6" w:rsidRDefault="005932A6" w:rsidP="005932A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932A6" w:rsidRDefault="005932A6" w:rsidP="005932A6">
      <w:pPr>
        <w:pStyle w:val="OrderBody"/>
      </w:pPr>
    </w:p>
    <w:p w:rsidR="005932A6" w:rsidRDefault="005932A6" w:rsidP="005932A6">
      <w:pPr>
        <w:pStyle w:val="OrderBody"/>
      </w:pPr>
      <w:r>
        <w:tab/>
        <w:t>Mediation may be available on a case-by-case basis.  If mediation is conducted, it does not affect a substantially interested person's right to a hearing.</w:t>
      </w:r>
    </w:p>
    <w:p w:rsidR="005932A6" w:rsidRDefault="005932A6" w:rsidP="005932A6">
      <w:pPr>
        <w:pStyle w:val="OrderBody"/>
      </w:pPr>
    </w:p>
    <w:p w:rsidR="005932A6" w:rsidRDefault="005932A6" w:rsidP="005932A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7621C">
        <w:rPr>
          <w:u w:val="single"/>
        </w:rPr>
        <w:t>December 8, 2017</w:t>
      </w:r>
      <w:r>
        <w:t>.</w:t>
      </w:r>
    </w:p>
    <w:p w:rsidR="005932A6" w:rsidRDefault="005932A6" w:rsidP="005932A6">
      <w:pPr>
        <w:pStyle w:val="OrderBody"/>
        <w:jc w:val="center"/>
      </w:pPr>
    </w:p>
    <w:p w:rsidR="005932A6" w:rsidRDefault="005932A6" w:rsidP="005932A6">
      <w:pPr>
        <w:pStyle w:val="OrderBody"/>
      </w:pPr>
      <w:r>
        <w:tab/>
        <w:t>In the absence of such a petition, this order shall become final and effective upon the issuance of a Consummating Order.</w:t>
      </w:r>
    </w:p>
    <w:p w:rsidR="005932A6" w:rsidRDefault="005932A6" w:rsidP="005932A6">
      <w:pPr>
        <w:pStyle w:val="OrderBody"/>
      </w:pPr>
    </w:p>
    <w:p w:rsidR="005932A6" w:rsidRDefault="005932A6" w:rsidP="005932A6">
      <w:pPr>
        <w:pStyle w:val="OrderBody"/>
      </w:pPr>
      <w:r>
        <w:tab/>
        <w:t>Any objection or protest filed in this/these docket(s) before the issuance date of this order is considered abandoned unless it satisfies the foregoing conditions and is renewed within the specified protest period.</w:t>
      </w:r>
    </w:p>
    <w:p w:rsidR="005932A6" w:rsidRDefault="005932A6" w:rsidP="005932A6">
      <w:pPr>
        <w:pStyle w:val="OrderBody"/>
      </w:pPr>
    </w:p>
    <w:sectPr w:rsidR="005932A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2A6" w:rsidRDefault="005932A6">
      <w:r>
        <w:separator/>
      </w:r>
    </w:p>
  </w:endnote>
  <w:endnote w:type="continuationSeparator" w:id="0">
    <w:p w:rsidR="005932A6" w:rsidRDefault="0059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2A6" w:rsidRDefault="005932A6">
      <w:r>
        <w:separator/>
      </w:r>
    </w:p>
  </w:footnote>
  <w:footnote w:type="continuationSeparator" w:id="0">
    <w:p w:rsidR="005932A6" w:rsidRDefault="005932A6">
      <w:r>
        <w:continuationSeparator/>
      </w:r>
    </w:p>
  </w:footnote>
  <w:footnote w:id="1">
    <w:p w:rsidR="005932A6" w:rsidRDefault="005932A6" w:rsidP="005932A6">
      <w:pPr>
        <w:pStyle w:val="FootnoteText"/>
      </w:pPr>
      <w:r>
        <w:rPr>
          <w:rStyle w:val="FootnoteReference"/>
        </w:rPr>
        <w:footnoteRef/>
      </w:r>
      <w:r>
        <w:t xml:space="preserve"> Document No. 07653-2017, “</w:t>
      </w:r>
      <w:r w:rsidRPr="0063293E">
        <w:t>Memo dated 9/14/17 to CLK/Stauffer with attached letter dated 4/28/17 with annual status report for docket file</w:t>
      </w:r>
      <w:r>
        <w:t>.”</w:t>
      </w:r>
    </w:p>
  </w:footnote>
  <w:footnote w:id="2">
    <w:p w:rsidR="005932A6" w:rsidRDefault="005932A6" w:rsidP="005932A6">
      <w:pPr>
        <w:pStyle w:val="FootnoteText"/>
      </w:pPr>
      <w:r>
        <w:rPr>
          <w:rStyle w:val="FootnoteReference"/>
        </w:rPr>
        <w:footnoteRef/>
      </w:r>
      <w:r>
        <w:t xml:space="preserve"> Document No. 07652-2017, “</w:t>
      </w:r>
      <w:r w:rsidRPr="0063293E">
        <w:t>Memo dated 9/14/17 to CLK/Stauffer with attached letter dated 8/25/17 with revised response to staff's first data request</w:t>
      </w:r>
      <w:r>
        <w:t>.”</w:t>
      </w:r>
    </w:p>
  </w:footnote>
  <w:footnote w:id="3">
    <w:p w:rsidR="005932A6" w:rsidRDefault="005932A6" w:rsidP="005932A6">
      <w:pPr>
        <w:pStyle w:val="FootnoteText"/>
      </w:pPr>
      <w:r>
        <w:rPr>
          <w:rStyle w:val="FootnoteReference"/>
        </w:rPr>
        <w:footnoteRef/>
      </w:r>
      <w:r>
        <w:t xml:space="preserve"> It</w:t>
      </w:r>
      <w:r w:rsidRPr="00370C6B">
        <w:t xml:space="preserve"> is the </w:t>
      </w:r>
      <w:r>
        <w:t>company’s latest depreciation study that is appr</w:t>
      </w:r>
      <w:r w:rsidR="00FC0A79">
        <w:t>oved by this</w:t>
      </w:r>
      <w:r>
        <w:t xml:space="preserve"> Commission.</w:t>
      </w:r>
    </w:p>
  </w:footnote>
  <w:footnote w:id="4">
    <w:p w:rsidR="005932A6" w:rsidRDefault="005932A6" w:rsidP="005932A6">
      <w:pPr>
        <w:pStyle w:val="FootnoteText"/>
      </w:pPr>
      <w:r>
        <w:rPr>
          <w:rStyle w:val="FootnoteReference"/>
        </w:rPr>
        <w:footnoteRef/>
      </w:r>
      <w:r>
        <w:t xml:space="preserve"> Order No. PSC-12-0175-PAA-EI, issued April 3, 2012, in Docket No. 110131-EI, </w:t>
      </w:r>
      <w:r w:rsidRPr="005932A6">
        <w:rPr>
          <w:u w:val="single"/>
        </w:rPr>
        <w:t>In re: Petition for approval of 2011 depreciation study and annual dismantlement accrual amounts by Tampa Electric Company</w:t>
      </w:r>
      <w:r>
        <w:t>, pp. 19 - 21.</w:t>
      </w:r>
    </w:p>
  </w:footnote>
  <w:footnote w:id="5">
    <w:p w:rsidR="005932A6" w:rsidRDefault="005932A6" w:rsidP="005932A6">
      <w:pPr>
        <w:pStyle w:val="FootnoteText"/>
      </w:pPr>
      <w:r>
        <w:rPr>
          <w:rStyle w:val="FootnoteReference"/>
        </w:rPr>
        <w:footnoteRef/>
      </w:r>
      <w:r>
        <w:t xml:space="preserve"> </w:t>
      </w:r>
      <w:r w:rsidRPr="00FC0A79">
        <w:rPr>
          <w:u w:val="single"/>
        </w:rPr>
        <w:t>Id</w:t>
      </w:r>
      <w:r w:rsidRPr="001F6BEA">
        <w:t>.</w:t>
      </w:r>
      <w:r>
        <w:t xml:space="preserve"> pp. 7 - 9, and D</w:t>
      </w:r>
      <w:r w:rsidRPr="001D46A5">
        <w:t>ocument No. 07652-2017 “Memo dated 9/14/17 to CLK/Stauffer with attached letter dated 8/25/17 with revised response to staff's first data request</w:t>
      </w:r>
      <w:r>
        <w:t>,</w:t>
      </w:r>
      <w:r w:rsidRPr="001D46A5">
        <w:t>”</w:t>
      </w:r>
      <w:r>
        <w:t xml:space="preserve"> pp. 3 - 5.</w:t>
      </w:r>
    </w:p>
  </w:footnote>
  <w:footnote w:id="6">
    <w:p w:rsidR="005932A6" w:rsidRDefault="005932A6" w:rsidP="005932A6">
      <w:pPr>
        <w:pStyle w:val="FootnoteText"/>
      </w:pPr>
      <w:r>
        <w:rPr>
          <w:rStyle w:val="FootnoteReference"/>
        </w:rPr>
        <w:footnoteRef/>
      </w:r>
      <w:r>
        <w:t xml:space="preserve"> </w:t>
      </w:r>
      <w:r w:rsidRPr="00765C42">
        <w:t xml:space="preserve">Document No. 07652-2017 “Memo dated 9/14/17 to CLK/Stauffer with attached letter dated 8/25/17 with revised response to staff's first data request,” pp. </w:t>
      </w:r>
      <w:r>
        <w:t>2 – 3.</w:t>
      </w:r>
    </w:p>
  </w:footnote>
  <w:footnote w:id="7">
    <w:p w:rsidR="005932A6" w:rsidRDefault="005932A6" w:rsidP="005932A6">
      <w:pPr>
        <w:pStyle w:val="FootnoteText"/>
      </w:pPr>
      <w:r>
        <w:rPr>
          <w:rStyle w:val="FootnoteReference"/>
        </w:rPr>
        <w:footnoteRef/>
      </w:r>
      <w:r>
        <w:t xml:space="preserve"> D</w:t>
      </w:r>
      <w:r w:rsidRPr="001D46A5">
        <w:t>ocument No. 07652-2017 “Memo dated 9/14/17 to CLK/Stauffer with attached letter dated 8/25/17 with revised response to staff's first data request</w:t>
      </w:r>
      <w:r>
        <w:t>,</w:t>
      </w:r>
      <w:r w:rsidRPr="001D46A5">
        <w:t>”</w:t>
      </w:r>
      <w:r>
        <w:t xml:space="preserve"> p. 3.</w:t>
      </w:r>
    </w:p>
  </w:footnote>
  <w:footnote w:id="8">
    <w:p w:rsidR="005932A6" w:rsidRDefault="005932A6" w:rsidP="005932A6">
      <w:pPr>
        <w:pStyle w:val="FootnoteText"/>
      </w:pPr>
      <w:r w:rsidRPr="003961E6">
        <w:rPr>
          <w:rStyle w:val="FootnoteReference"/>
        </w:rPr>
        <w:footnoteRef/>
      </w:r>
      <w:r w:rsidRPr="003961E6">
        <w:t xml:space="preserve"> On September 27, 2017, TECO filed a petition for approval of “2017 Amended and Restated Stipulation and Settlement Agreement” (2017 Agreement) in Docket No. 20170210-EI. The 2017 Agreement indicates that “the depreciation and amortization accrual rates approved by the FPSC and currently in effect as of the Effective Date of this 2017 Agreement shall remain in effect during the Term or the company’s next depreciation study, whichever is later.” (Paragraph 8 (a)) TECO has confirmed, in its response to Staff’s Second Data Request, in Docket No. 20170210-EI, that the depre</w:t>
      </w:r>
      <w:r w:rsidR="00FC0A79">
        <w:t>ciation rates resulting from this</w:t>
      </w:r>
      <w:r w:rsidRPr="003961E6">
        <w:t xml:space="preserve"> Commission’s approval in this docket (Docket No. 20170182-EI), extending through the Term of the 2017 Agreement, is acceptable to the Parties of the 2017 Agreement, the language of Paragraph 8(a) of the 2017 Agreement notwithstanding.</w:t>
      </w:r>
    </w:p>
  </w:footnote>
  <w:footnote w:id="9">
    <w:p w:rsidR="005932A6" w:rsidRDefault="005932A6" w:rsidP="005932A6">
      <w:pPr>
        <w:pStyle w:val="FootnoteText"/>
      </w:pPr>
      <w:r>
        <w:rPr>
          <w:rStyle w:val="FootnoteReference"/>
        </w:rPr>
        <w:footnoteRef/>
      </w:r>
      <w:r>
        <w:t xml:space="preserve"> </w:t>
      </w:r>
      <w:r w:rsidRPr="00C25544">
        <w:t>Order No. PSC-13-0443-FOF-EI</w:t>
      </w:r>
      <w:r>
        <w:t xml:space="preserve">, issued </w:t>
      </w:r>
      <w:r w:rsidRPr="00C25544">
        <w:t>September 30, 2013</w:t>
      </w:r>
      <w:r>
        <w:t xml:space="preserve">, </w:t>
      </w:r>
      <w:r w:rsidRPr="00C25544">
        <w:t>in Docket No. 130040-EI</w:t>
      </w:r>
      <w:r>
        <w:t xml:space="preserve">, </w:t>
      </w:r>
      <w:r w:rsidRPr="005932A6">
        <w:rPr>
          <w:u w:val="single"/>
        </w:rPr>
        <w:t>In re: Petition for rate increase by Tampa Electric Company.</w:t>
      </w:r>
    </w:p>
  </w:footnote>
  <w:footnote w:id="10">
    <w:p w:rsidR="005932A6" w:rsidRDefault="005932A6" w:rsidP="005932A6">
      <w:pPr>
        <w:pStyle w:val="FootnoteText"/>
      </w:pPr>
      <w:r>
        <w:rPr>
          <w:rStyle w:val="FootnoteReference"/>
        </w:rPr>
        <w:footnoteRef/>
      </w:r>
      <w:r>
        <w:t xml:space="preserve"> TECO’s response to Staff’s First Data Request, No. 1.</w:t>
      </w:r>
    </w:p>
  </w:footnote>
  <w:footnote w:id="11">
    <w:p w:rsidR="005932A6" w:rsidRDefault="005932A6" w:rsidP="005932A6">
      <w:pPr>
        <w:pStyle w:val="FootnoteText"/>
      </w:pPr>
      <w:r>
        <w:rPr>
          <w:rStyle w:val="FootnoteReference"/>
        </w:rPr>
        <w:footnoteRef/>
      </w:r>
      <w:r>
        <w:t xml:space="preserve"> </w:t>
      </w:r>
      <w:r w:rsidRPr="00A9477F">
        <w:t>TECO’s respons</w:t>
      </w:r>
      <w:r>
        <w:t>e to Staff’s First Data Request, No.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A1487">
      <w:fldChar w:fldCharType="begin"/>
    </w:r>
    <w:r w:rsidR="002A1487">
      <w:instrText xml:space="preserve"> REF OrderNo0443 </w:instrText>
    </w:r>
    <w:r w:rsidR="002A1487">
      <w:fldChar w:fldCharType="separate"/>
    </w:r>
    <w:r w:rsidR="002A1487">
      <w:t>PSC-2017-0443-PAA-EI</w:t>
    </w:r>
    <w:r w:rsidR="002A1487">
      <w:fldChar w:fldCharType="end"/>
    </w:r>
  </w:p>
  <w:p w:rsidR="00FA6EFD" w:rsidRDefault="005932A6">
    <w:pPr>
      <w:pStyle w:val="OrderHeader"/>
    </w:pPr>
    <w:bookmarkStart w:id="9" w:name="HeaderDocketNo"/>
    <w:bookmarkEnd w:id="9"/>
    <w:r>
      <w:t>DOCKET NO. 20170182-EI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1487">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82-EI"/>
  </w:docVars>
  <w:rsids>
    <w:rsidRoot w:val="005932A6"/>
    <w:rsid w:val="000022B8"/>
    <w:rsid w:val="00053AB9"/>
    <w:rsid w:val="00056229"/>
    <w:rsid w:val="00065FC2"/>
    <w:rsid w:val="00067685"/>
    <w:rsid w:val="00076E6B"/>
    <w:rsid w:val="0008247D"/>
    <w:rsid w:val="00090AFC"/>
    <w:rsid w:val="000D02B8"/>
    <w:rsid w:val="000D06E8"/>
    <w:rsid w:val="000D6CB9"/>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1487"/>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32A6"/>
    <w:rsid w:val="005963C2"/>
    <w:rsid w:val="005A0D69"/>
    <w:rsid w:val="005B45F7"/>
    <w:rsid w:val="005B63EA"/>
    <w:rsid w:val="005C1A88"/>
    <w:rsid w:val="005C5033"/>
    <w:rsid w:val="005D2E15"/>
    <w:rsid w:val="005E751B"/>
    <w:rsid w:val="00610E73"/>
    <w:rsid w:val="0063168D"/>
    <w:rsid w:val="00655031"/>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621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53AB6"/>
    <w:rsid w:val="00863A66"/>
    <w:rsid w:val="008703D7"/>
    <w:rsid w:val="00874429"/>
    <w:rsid w:val="00883D9A"/>
    <w:rsid w:val="008919EF"/>
    <w:rsid w:val="00892B20"/>
    <w:rsid w:val="008A12EC"/>
    <w:rsid w:val="008C21C8"/>
    <w:rsid w:val="008C6375"/>
    <w:rsid w:val="008C6A5B"/>
    <w:rsid w:val="008E26A5"/>
    <w:rsid w:val="008E42D2"/>
    <w:rsid w:val="008E7F07"/>
    <w:rsid w:val="009040EE"/>
    <w:rsid w:val="009057FD"/>
    <w:rsid w:val="00906FBA"/>
    <w:rsid w:val="009228C7"/>
    <w:rsid w:val="00922A7F"/>
    <w:rsid w:val="00923A5E"/>
    <w:rsid w:val="00931C8C"/>
    <w:rsid w:val="0094504B"/>
    <w:rsid w:val="0096742B"/>
    <w:rsid w:val="009923E2"/>
    <w:rsid w:val="009924CF"/>
    <w:rsid w:val="009936DC"/>
    <w:rsid w:val="00994100"/>
    <w:rsid w:val="009A6B17"/>
    <w:rsid w:val="009D4C29"/>
    <w:rsid w:val="009E31DF"/>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93654"/>
    <w:rsid w:val="00DA21CB"/>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C0A79"/>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A1487"/>
    <w:rPr>
      <w:rFonts w:ascii="Tahoma" w:hAnsi="Tahoma" w:cs="Tahoma"/>
      <w:sz w:val="16"/>
      <w:szCs w:val="16"/>
    </w:rPr>
  </w:style>
  <w:style w:type="character" w:customStyle="1" w:styleId="BalloonTextChar">
    <w:name w:val="Balloon Text Char"/>
    <w:basedOn w:val="DefaultParagraphFont"/>
    <w:link w:val="BalloonText"/>
    <w:rsid w:val="002A1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A1487"/>
    <w:rPr>
      <w:rFonts w:ascii="Tahoma" w:hAnsi="Tahoma" w:cs="Tahoma"/>
      <w:sz w:val="16"/>
      <w:szCs w:val="16"/>
    </w:rPr>
  </w:style>
  <w:style w:type="character" w:customStyle="1" w:styleId="BalloonTextChar">
    <w:name w:val="Balloon Text Char"/>
    <w:basedOn w:val="DefaultParagraphFont"/>
    <w:link w:val="BalloonText"/>
    <w:rsid w:val="002A1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6</Pages>
  <Words>1792</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2017-11-16T21:18:00Z</dcterms:created>
  <dcterms:modified xsi:type="dcterms:W3CDTF">2017-11-17T14:45:00Z</dcterms:modified>
</cp:coreProperties>
</file>