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6A0C" w:rsidP="00B26A0C">
      <w:pPr>
        <w:pStyle w:val="OrderHeading"/>
      </w:pPr>
      <w:r>
        <w:t>BEFORE THE FLORIDA PUBLIC SERVICE COMMISSION</w:t>
      </w:r>
    </w:p>
    <w:p w:rsidR="00B26A0C" w:rsidRDefault="00B26A0C" w:rsidP="00B26A0C">
      <w:pPr>
        <w:pStyle w:val="OrderBody"/>
      </w:pPr>
    </w:p>
    <w:p w:rsidR="00B26A0C" w:rsidRDefault="00B26A0C" w:rsidP="00B26A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6A0C" w:rsidRPr="00C63FCF" w:rsidTr="00C63FCF">
        <w:trPr>
          <w:trHeight w:val="828"/>
        </w:trPr>
        <w:tc>
          <w:tcPr>
            <w:tcW w:w="4788" w:type="dxa"/>
            <w:tcBorders>
              <w:bottom w:val="single" w:sz="8" w:space="0" w:color="auto"/>
              <w:right w:val="double" w:sz="6" w:space="0" w:color="auto"/>
            </w:tcBorders>
            <w:shd w:val="clear" w:color="auto" w:fill="auto"/>
          </w:tcPr>
          <w:p w:rsidR="00B26A0C" w:rsidRDefault="00B26A0C" w:rsidP="00C63FCF">
            <w:pPr>
              <w:pStyle w:val="OrderBody"/>
              <w:tabs>
                <w:tab w:val="center" w:pos="4320"/>
                <w:tab w:val="right" w:pos="8640"/>
              </w:tabs>
              <w:jc w:val="left"/>
            </w:pPr>
            <w:r>
              <w:t xml:space="preserve">In re: </w:t>
            </w:r>
            <w:bookmarkStart w:id="0" w:name="SSInRe"/>
            <w:bookmarkEnd w:id="0"/>
            <w:r>
              <w:t>Petition by Peoples Gas System for issuance of an order to the City of Leesburg and South Sumter Gas Company, LLC, to show cause why they should not be regulated by the Commission as a public utility as defined in Section 366.02(1), F.S., etc.</w:t>
            </w:r>
          </w:p>
        </w:tc>
        <w:tc>
          <w:tcPr>
            <w:tcW w:w="4788" w:type="dxa"/>
            <w:tcBorders>
              <w:left w:val="double" w:sz="6" w:space="0" w:color="auto"/>
            </w:tcBorders>
            <w:shd w:val="clear" w:color="auto" w:fill="auto"/>
          </w:tcPr>
          <w:p w:rsidR="00B26A0C" w:rsidRDefault="00B26A0C" w:rsidP="00B26A0C">
            <w:pPr>
              <w:pStyle w:val="OrderBody"/>
            </w:pPr>
            <w:r>
              <w:t xml:space="preserve">DOCKET NO. </w:t>
            </w:r>
            <w:bookmarkStart w:id="1" w:name="SSDocketNo"/>
            <w:bookmarkEnd w:id="1"/>
            <w:r>
              <w:t>20180085-GU</w:t>
            </w:r>
          </w:p>
          <w:p w:rsidR="00B26A0C" w:rsidRDefault="00B26A0C" w:rsidP="00C63FCF">
            <w:pPr>
              <w:pStyle w:val="OrderBody"/>
              <w:tabs>
                <w:tab w:val="center" w:pos="4320"/>
                <w:tab w:val="right" w:pos="8640"/>
              </w:tabs>
              <w:jc w:val="left"/>
            </w:pPr>
            <w:r>
              <w:t xml:space="preserve">ORDER NO. </w:t>
            </w:r>
            <w:bookmarkStart w:id="2" w:name="OrderNo0333"/>
            <w:r w:rsidR="00341AAB">
              <w:t>PSC-2018-0333-FOF-GU</w:t>
            </w:r>
            <w:bookmarkEnd w:id="2"/>
          </w:p>
          <w:p w:rsidR="00B26A0C" w:rsidRDefault="00B26A0C" w:rsidP="00C63FCF">
            <w:pPr>
              <w:pStyle w:val="OrderBody"/>
              <w:tabs>
                <w:tab w:val="center" w:pos="4320"/>
                <w:tab w:val="right" w:pos="8640"/>
              </w:tabs>
              <w:jc w:val="left"/>
            </w:pPr>
            <w:r>
              <w:t xml:space="preserve">ISSUED: </w:t>
            </w:r>
            <w:r w:rsidR="00341AAB">
              <w:t>June 27, 2018</w:t>
            </w:r>
          </w:p>
        </w:tc>
      </w:tr>
    </w:tbl>
    <w:p w:rsidR="00B26A0C" w:rsidRDefault="00B26A0C" w:rsidP="00B26A0C"/>
    <w:p w:rsidR="00B26A0C" w:rsidRDefault="00B26A0C" w:rsidP="00B26A0C"/>
    <w:p w:rsidR="00B26A0C" w:rsidRDefault="00B26A0C">
      <w:pPr>
        <w:ind w:firstLine="720"/>
        <w:jc w:val="both"/>
      </w:pPr>
      <w:bookmarkStart w:id="3" w:name="Commissioners"/>
      <w:bookmarkEnd w:id="3"/>
      <w:r>
        <w:t>The following Commissioners participated in the disposition of this matter:</w:t>
      </w:r>
    </w:p>
    <w:p w:rsidR="00B26A0C" w:rsidRDefault="00B26A0C"/>
    <w:p w:rsidR="00B26A0C" w:rsidRDefault="00B26A0C">
      <w:pPr>
        <w:jc w:val="center"/>
      </w:pPr>
      <w:r>
        <w:t>ART GRAHAM, Chairman</w:t>
      </w:r>
    </w:p>
    <w:p w:rsidR="00B26A0C" w:rsidRDefault="00B26A0C">
      <w:pPr>
        <w:jc w:val="center"/>
      </w:pPr>
      <w:r>
        <w:t xml:space="preserve">JULIE I. BROWN </w:t>
      </w:r>
    </w:p>
    <w:p w:rsidR="00B26A0C" w:rsidRDefault="00B26A0C">
      <w:pPr>
        <w:jc w:val="center"/>
      </w:pPr>
      <w:r>
        <w:t>DONALD J. POLMANN</w:t>
      </w:r>
    </w:p>
    <w:p w:rsidR="00B26A0C" w:rsidRDefault="00B26A0C">
      <w:pPr>
        <w:jc w:val="center"/>
      </w:pPr>
      <w:r>
        <w:t>GARY F. CLARK</w:t>
      </w:r>
    </w:p>
    <w:p w:rsidR="00B26A0C" w:rsidRDefault="00B26A0C">
      <w:pPr>
        <w:jc w:val="center"/>
      </w:pPr>
      <w:r>
        <w:t>ANDREW GILES FAY</w:t>
      </w:r>
    </w:p>
    <w:p w:rsidR="00B26A0C" w:rsidRDefault="00B26A0C"/>
    <w:p w:rsidR="00B26A0C" w:rsidRDefault="00B26A0C"/>
    <w:p w:rsidR="00CB5276" w:rsidRDefault="00CB5276">
      <w:pPr>
        <w:pStyle w:val="OrderBody"/>
      </w:pPr>
    </w:p>
    <w:p w:rsidR="00B26A0C" w:rsidRDefault="00B26A0C" w:rsidP="00B26A0C">
      <w:pPr>
        <w:pStyle w:val="CenterUnderline"/>
      </w:pPr>
      <w:r>
        <w:t>ORDER</w:t>
      </w:r>
      <w:bookmarkStart w:id="4" w:name="OrderTitle"/>
      <w:r>
        <w:t xml:space="preserve"> </w:t>
      </w:r>
      <w:r w:rsidR="00E76F5C">
        <w:t>GRANTING</w:t>
      </w:r>
      <w:r w:rsidR="00E76F5C" w:rsidRPr="00E76F5C">
        <w:t xml:space="preserve"> </w:t>
      </w:r>
      <w:r w:rsidR="0042741B">
        <w:t xml:space="preserve">THE </w:t>
      </w:r>
      <w:r w:rsidR="00E76F5C">
        <w:t>CITY OF LEESBURG</w:t>
      </w:r>
      <w:r w:rsidR="00794341">
        <w:t>’S</w:t>
      </w:r>
      <w:r w:rsidR="00E76F5C">
        <w:t xml:space="preserve"> AND SOUTH SUMTER GAS COMPANY</w:t>
      </w:r>
      <w:r w:rsidR="00877BD7">
        <w:t xml:space="preserve"> LLC</w:t>
      </w:r>
      <w:r w:rsidR="00794341">
        <w:t>’S MOTIONS TO DISMISS PEOPLE</w:t>
      </w:r>
      <w:r w:rsidR="00E76F5C">
        <w:t>S</w:t>
      </w:r>
      <w:r w:rsidR="00794341">
        <w:t xml:space="preserve"> GAS SYSTEM’S REQUEST FOR</w:t>
      </w:r>
      <w:r w:rsidR="00E76F5C">
        <w:t xml:space="preserve"> A SHOW CAUSE ORDER </w:t>
      </w:r>
      <w:r w:rsidR="00794341">
        <w:t>OR</w:t>
      </w:r>
      <w:r w:rsidR="00E76F5C">
        <w:t xml:space="preserve"> IN THE ALTERNATIVE DECLARATORY STATEMENT </w:t>
      </w:r>
      <w:r>
        <w:t xml:space="preserve"> </w:t>
      </w:r>
      <w:bookmarkEnd w:id="4"/>
    </w:p>
    <w:p w:rsidR="00B26A0C" w:rsidRDefault="00B26A0C" w:rsidP="00B26A0C">
      <w:pPr>
        <w:pStyle w:val="CenterUnderline"/>
      </w:pPr>
    </w:p>
    <w:p w:rsidR="00B26A0C" w:rsidRDefault="00B26A0C" w:rsidP="00B26A0C">
      <w:pPr>
        <w:pStyle w:val="OrderBody"/>
      </w:pPr>
      <w:r>
        <w:t>BY THE COMMISSION:</w:t>
      </w:r>
    </w:p>
    <w:p w:rsidR="00B26A0C" w:rsidRDefault="00B26A0C" w:rsidP="00B26A0C">
      <w:pPr>
        <w:pStyle w:val="OrderBody"/>
      </w:pPr>
    </w:p>
    <w:p w:rsidR="001E488D" w:rsidRPr="00D70A79" w:rsidRDefault="001E488D" w:rsidP="001E488D">
      <w:pPr>
        <w:pStyle w:val="BodyText"/>
        <w:numPr>
          <w:ilvl w:val="0"/>
          <w:numId w:val="1"/>
        </w:numPr>
        <w:spacing w:after="240"/>
        <w:ind w:left="720"/>
        <w:jc w:val="both"/>
        <w:rPr>
          <w:u w:val="single"/>
        </w:rPr>
      </w:pPr>
      <w:bookmarkStart w:id="5" w:name="OrderText"/>
      <w:bookmarkStart w:id="6" w:name="CaseBackground"/>
      <w:bookmarkEnd w:id="5"/>
      <w:r w:rsidRPr="00D70A79">
        <w:rPr>
          <w:u w:val="single"/>
        </w:rPr>
        <w:t>B</w:t>
      </w:r>
      <w:r w:rsidR="00AA3F6A">
        <w:rPr>
          <w:u w:val="single"/>
        </w:rPr>
        <w:t>ackground</w:t>
      </w:r>
    </w:p>
    <w:p w:rsidR="001E488D" w:rsidRDefault="001E488D" w:rsidP="001E488D">
      <w:pPr>
        <w:ind w:firstLine="720"/>
        <w:jc w:val="both"/>
      </w:pPr>
      <w:r>
        <w:t xml:space="preserve">On April 2, 2018, Peoples Gas System (Peoples) filed a petition pursuant to Sections 120.565, 366.02(1) and 366.04(3)(b), Florida Statutes (F.S.), requesting that </w:t>
      </w:r>
      <w:r w:rsidR="00794341">
        <w:t>we</w:t>
      </w:r>
      <w:r>
        <w:t xml:space="preserve"> issue an order to show cause the City of Leesburg (Leesburg) and South Sumter Gas Company (SSGC) as to why they should not be regulated b</w:t>
      </w:r>
      <w:r w:rsidR="00794341">
        <w:t>y us</w:t>
      </w:r>
      <w:r>
        <w:t xml:space="preserve"> as a public utility as defined in Section 366.02(1), F.S. The Petition also requests that, in the alternative, </w:t>
      </w:r>
      <w:r w:rsidR="00794341">
        <w:t>we</w:t>
      </w:r>
      <w:r>
        <w:t xml:space="preserve"> issue a declaratory statement as to which utility, either Leesburg or SSGC, Peoples should negotiate with in an effort to resolve the territorial dispute initiated by Peoples in Docket No. 20180055-GU (</w:t>
      </w:r>
      <w:r w:rsidR="00C2145C" w:rsidRPr="00E51835">
        <w:rPr>
          <w:i/>
        </w:rPr>
        <w:t>I</w:t>
      </w:r>
      <w:r w:rsidR="00C2145C" w:rsidRPr="00C2145C">
        <w:rPr>
          <w:i/>
        </w:rPr>
        <w:t xml:space="preserve">n re: </w:t>
      </w:r>
      <w:r w:rsidRPr="00C2145C">
        <w:rPr>
          <w:i/>
        </w:rPr>
        <w:t>Petition to resolve territorial dispute in Sumter County and/or Lake County with City of Leesburg and/or South Sumer Gas Company, LLC by Peoples Gas System</w:t>
      </w:r>
      <w:r>
        <w:t xml:space="preserve">). SSGC </w:t>
      </w:r>
      <w:r w:rsidR="00794341">
        <w:t>was granted intervention in this docket by Order No. PSC-2018-0258-PCO-GU</w:t>
      </w:r>
      <w:r w:rsidR="00C2145C">
        <w:t>,</w:t>
      </w:r>
      <w:r w:rsidR="00794341">
        <w:t xml:space="preserve"> issued May 24, 2018. </w:t>
      </w:r>
      <w:r>
        <w:t xml:space="preserve">Leesburg </w:t>
      </w:r>
      <w:r w:rsidR="00794341">
        <w:t>was granted</w:t>
      </w:r>
      <w:r>
        <w:t xml:space="preserve"> intervention in this docket</w:t>
      </w:r>
      <w:r w:rsidR="00794341">
        <w:t xml:space="preserve"> by Order No. PSC-2018-0257-PCO-GU</w:t>
      </w:r>
      <w:r w:rsidR="00C2145C">
        <w:t>,</w:t>
      </w:r>
      <w:r w:rsidR="00794341">
        <w:t xml:space="preserve"> issued May 24, 2018</w:t>
      </w:r>
      <w:r>
        <w:t>.</w:t>
      </w:r>
    </w:p>
    <w:p w:rsidR="001E488D" w:rsidRDefault="001E488D" w:rsidP="001E488D">
      <w:pPr>
        <w:jc w:val="both"/>
      </w:pPr>
    </w:p>
    <w:p w:rsidR="001E488D" w:rsidRDefault="001E488D" w:rsidP="0084689A">
      <w:pPr>
        <w:ind w:firstLine="720"/>
        <w:jc w:val="both"/>
      </w:pPr>
      <w:r>
        <w:t xml:space="preserve">On April 26, 2018, SSGC filed a motion to dismiss Peoples’ Petition (SSGC’s motion to dismiss) and a motion for oral argument. On the same day, Leesburg also filed a motion to dismiss Peoples’ Petition (Leesburg’s motion to dismiss) and a motion for oral argument. On May 3, 2018, Peoples filed responses to SSGC’s and Leesburg’s motions. </w:t>
      </w:r>
      <w:r w:rsidR="00A8255A">
        <w:t>W</w:t>
      </w:r>
      <w:r>
        <w:t xml:space="preserve">e </w:t>
      </w:r>
      <w:r w:rsidR="007150DC">
        <w:t>heard</w:t>
      </w:r>
      <w:r>
        <w:t xml:space="preserve"> oral argument on SSGC’s and Leesburg’s Motions to Dismiss</w:t>
      </w:r>
      <w:r w:rsidR="00C03F9D">
        <w:t xml:space="preserve"> at</w:t>
      </w:r>
      <w:r w:rsidR="007150DC">
        <w:t xml:space="preserve"> the June 5, 2018, Agenda Conference</w:t>
      </w:r>
      <w:r>
        <w:t>. We have jurisdiction pursuant to Section 120.565 and Chapter 366, F.S.</w:t>
      </w:r>
    </w:p>
    <w:bookmarkEnd w:id="6"/>
    <w:p w:rsidR="001E488D" w:rsidRPr="00E76F5C" w:rsidRDefault="001E488D" w:rsidP="00E76F5C">
      <w:pPr>
        <w:pStyle w:val="BodyText"/>
        <w:numPr>
          <w:ilvl w:val="0"/>
          <w:numId w:val="1"/>
        </w:numPr>
        <w:spacing w:after="240"/>
        <w:ind w:left="720"/>
        <w:jc w:val="both"/>
      </w:pPr>
      <w:r w:rsidRPr="00E76F5C">
        <w:rPr>
          <w:u w:val="single"/>
        </w:rPr>
        <w:lastRenderedPageBreak/>
        <w:t>P</w:t>
      </w:r>
      <w:r w:rsidR="00E76F5C">
        <w:rPr>
          <w:u w:val="single"/>
        </w:rPr>
        <w:t>eoples’ Petition</w:t>
      </w:r>
      <w:r w:rsidRPr="00E76F5C">
        <w:t xml:space="preserve"> </w:t>
      </w:r>
    </w:p>
    <w:p w:rsidR="001E488D" w:rsidRDefault="001E488D" w:rsidP="006C69BB">
      <w:pPr>
        <w:pStyle w:val="BodyText"/>
        <w:spacing w:after="0"/>
        <w:ind w:firstLine="720"/>
        <w:jc w:val="both"/>
      </w:pPr>
      <w:r>
        <w:t>The first part of Peoples’ Petition asks</w:t>
      </w:r>
      <w:r w:rsidR="007150DC">
        <w:t xml:space="preserve"> us</w:t>
      </w:r>
      <w:r>
        <w:t xml:space="preserve"> to</w:t>
      </w:r>
      <w:r w:rsidRPr="007A4DB7">
        <w:t xml:space="preserve"> </w:t>
      </w:r>
      <w:r>
        <w:t xml:space="preserve">issue an order or orders to show cause Leesburg and SSGC for acting as a public utility. The Petition states that Leesburg is a Florida municipality which operates a natural gas distribution system in a portion of Lake and Sumter Counties and is a “natural gas utility” as defined by Section 366.04(3)(c), F.S., subject to </w:t>
      </w:r>
      <w:r w:rsidR="007150DC">
        <w:t>our</w:t>
      </w:r>
      <w:r>
        <w:t xml:space="preserve"> statutory jurisdiction. The Petition states that SSGC is a Florida limited liability company formed on or about March 22, 2017, and Peoples believes SSGC currently provides no natural gas service and has no customers.</w:t>
      </w:r>
    </w:p>
    <w:p w:rsidR="001E488D" w:rsidRDefault="001E488D" w:rsidP="006C69BB">
      <w:pPr>
        <w:pStyle w:val="BodyText"/>
        <w:spacing w:after="0"/>
        <w:ind w:firstLine="720"/>
        <w:jc w:val="both"/>
      </w:pPr>
    </w:p>
    <w:p w:rsidR="001E488D" w:rsidRDefault="001E488D" w:rsidP="006C69BB">
      <w:pPr>
        <w:pStyle w:val="BodyText"/>
        <w:spacing w:after="0"/>
        <w:ind w:firstLine="720"/>
        <w:jc w:val="both"/>
      </w:pPr>
      <w:r>
        <w:t xml:space="preserve">Peoples’ Petition alleges that Leesburg and SSGC have entered in an agreement for the construction, purchase, and sale of certain natural gas distribution facilities for the purpose of providing natural gas service to customers located within the service area described by the agreement. The Petition states Leesburg will pay to SSGC each month a portion of the revenues charged to natural gas customers within the service area (i.e., they will share the revenues from the provision of natural gas service to the customers in the service area). Peoples’ Petition further states that the City of Leesburg has adopted an ordinance, Section 22-250 of the City’s Code of Ordinances, which establishes the rates to be charged to Leesburg customers </w:t>
      </w:r>
      <w:r w:rsidR="00C2145C">
        <w:t xml:space="preserve">residing </w:t>
      </w:r>
      <w:r>
        <w:t xml:space="preserve">within the service area pursuant to the agreement between Leesburg and SSGC. </w:t>
      </w:r>
    </w:p>
    <w:p w:rsidR="001E488D" w:rsidRDefault="001E488D" w:rsidP="006C69BB">
      <w:pPr>
        <w:pStyle w:val="BodyText"/>
        <w:spacing w:after="0"/>
        <w:jc w:val="both"/>
      </w:pPr>
    </w:p>
    <w:p w:rsidR="001E488D" w:rsidRDefault="001E488D" w:rsidP="006C69BB">
      <w:pPr>
        <w:pStyle w:val="BodyText"/>
        <w:spacing w:after="0"/>
        <w:ind w:firstLine="720"/>
        <w:jc w:val="both"/>
      </w:pPr>
      <w:r>
        <w:t>Peoples attached the agreement between SSGC and Le</w:t>
      </w:r>
      <w:r w:rsidR="007150DC">
        <w:t>esburg to its Petition. Peoples</w:t>
      </w:r>
      <w:r>
        <w:t xml:space="preserve"> argues</w:t>
      </w:r>
      <w:r w:rsidRPr="009A5C44">
        <w:t xml:space="preserve"> </w:t>
      </w:r>
      <w:r>
        <w:t>that the agreement between SSGC and Leesburg is evidence that SSGC and Leesburg are acting as a public utility. For example, Peoples cites Section 366.02(1), F.S.</w:t>
      </w:r>
      <w:r w:rsidR="007150DC">
        <w:t>,</w:t>
      </w:r>
      <w:r>
        <w:t xml:space="preserve"> which defines a public utility</w:t>
      </w:r>
      <w:r w:rsidR="007150DC">
        <w:t xml:space="preserve"> as</w:t>
      </w:r>
      <w:r>
        <w:t>:</w:t>
      </w:r>
    </w:p>
    <w:p w:rsidR="001E488D" w:rsidRDefault="001E488D" w:rsidP="006C69BB">
      <w:pPr>
        <w:pStyle w:val="BodyText"/>
        <w:spacing w:after="0"/>
        <w:jc w:val="both"/>
      </w:pPr>
    </w:p>
    <w:p w:rsidR="001E488D" w:rsidRDefault="001E488D" w:rsidP="006C69BB">
      <w:pPr>
        <w:pStyle w:val="BodyText"/>
        <w:spacing w:after="0"/>
        <w:ind w:left="720" w:right="720"/>
        <w:jc w:val="both"/>
      </w:pPr>
      <w:r>
        <w:t>… every person, corporation, partnership, association, or other legal entity and their lessees, trustees, or receivers supplying…gas…to or for the public within this state.</w:t>
      </w:r>
    </w:p>
    <w:p w:rsidR="001E488D" w:rsidRDefault="001E488D" w:rsidP="006C69BB">
      <w:pPr>
        <w:pStyle w:val="BodyText"/>
        <w:spacing w:after="0"/>
        <w:jc w:val="both"/>
      </w:pPr>
    </w:p>
    <w:p w:rsidR="001E488D" w:rsidRDefault="001E488D" w:rsidP="006C69BB">
      <w:pPr>
        <w:pStyle w:val="BodyText"/>
        <w:spacing w:after="0"/>
        <w:ind w:firstLine="720"/>
        <w:jc w:val="both"/>
      </w:pPr>
      <w:r>
        <w:t>Peoples argues that according to the plain meaning of the statute a municipality such as Leesburg is not a public utility, a partnership, association, or other legal entity which supplies natural gas to the public is a public utility under Section 366.02(1), F.S. Peoples states that Section 366.02, F.S., does not define the terms partnership, association, other legal entity, but Peoples submits that by the plain and reasonable reading of those words, the agreement between SSGC and Leesburg meets that description.</w:t>
      </w:r>
    </w:p>
    <w:p w:rsidR="001E488D" w:rsidRDefault="001E488D" w:rsidP="006C69BB">
      <w:pPr>
        <w:pStyle w:val="BodyText"/>
        <w:spacing w:after="0"/>
        <w:jc w:val="both"/>
      </w:pPr>
    </w:p>
    <w:p w:rsidR="001E488D" w:rsidRDefault="001E488D" w:rsidP="006C69BB">
      <w:pPr>
        <w:pStyle w:val="BodyText"/>
        <w:spacing w:after="0"/>
        <w:ind w:firstLine="720"/>
        <w:jc w:val="both"/>
      </w:pPr>
      <w:r>
        <w:t xml:space="preserve">Peoples’ Petition also states that the nature of the agreement is such that SSGC and Leesburg are partnering or associating to supply gas to the public. Peoples states that there is no purchase price or closing date in the contract, and, unlike a typical purchase and sale agreement, this agreement contemplates a continuing association between SSGC and Leesburg for an initial term of up to 30 years for the supply of natural gas to the public, thereby usurping or circumventing </w:t>
      </w:r>
      <w:r w:rsidR="007150DC">
        <w:t>our</w:t>
      </w:r>
      <w:r>
        <w:t xml:space="preserve"> regulatory power or </w:t>
      </w:r>
      <w:r w:rsidR="007150DC">
        <w:t>that of</w:t>
      </w:r>
      <w:r w:rsidR="00C2145C">
        <w:t xml:space="preserve"> the</w:t>
      </w:r>
      <w:r>
        <w:t xml:space="preserve"> Leesburg City Commission.</w:t>
      </w:r>
    </w:p>
    <w:p w:rsidR="0084689A" w:rsidRDefault="0084689A" w:rsidP="007150DC">
      <w:pPr>
        <w:pStyle w:val="BodyText"/>
        <w:spacing w:after="0"/>
        <w:ind w:firstLine="720"/>
        <w:jc w:val="both"/>
      </w:pPr>
    </w:p>
    <w:p w:rsidR="001E488D" w:rsidRDefault="001E488D" w:rsidP="007150DC">
      <w:pPr>
        <w:pStyle w:val="BodyText"/>
        <w:spacing w:after="0"/>
        <w:ind w:firstLine="720"/>
        <w:jc w:val="both"/>
      </w:pPr>
      <w:r>
        <w:t xml:space="preserve">The second part of Peoples’ Petition is a request, in the alternative, for a declaratory statement. Peoples seeks a declaratory statement from the Commission as to which utility </w:t>
      </w:r>
      <w:r>
        <w:lastRenderedPageBreak/>
        <w:t>(Leesburg or SSGC, or a partnership, joint venture</w:t>
      </w:r>
      <w:r w:rsidR="00C2145C">
        <w:t>,</w:t>
      </w:r>
      <w:r>
        <w:t xml:space="preserve"> or other legal entity created by the agreement between the two) Peoples should negotiate with in an effort to resolve the territorial dispute in Docket No. 20180055-GU, which is </w:t>
      </w:r>
      <w:r w:rsidR="00DC3673">
        <w:t>the</w:t>
      </w:r>
      <w:r>
        <w:t xml:space="preserve"> docket established to resolve the territorial dispute between Peoples and SSGC and Leesburg.</w:t>
      </w:r>
      <w:r w:rsidRPr="00365F5D">
        <w:t xml:space="preserve"> </w:t>
      </w:r>
      <w:r>
        <w:t xml:space="preserve">Peoples alleges that </w:t>
      </w:r>
      <w:r w:rsidR="00DC3673">
        <w:t>our</w:t>
      </w:r>
      <w:r>
        <w:t xml:space="preserve"> determination of which utility (Leesburg or SSGC) it must work with to resolve the dispute described in the territorial dispute docket (Docket No. 20180055-GU) will affect its substantial interests. </w:t>
      </w:r>
    </w:p>
    <w:p w:rsidR="001E488D" w:rsidRDefault="001E488D" w:rsidP="006C69BB">
      <w:pPr>
        <w:pStyle w:val="BodyText"/>
        <w:spacing w:after="0"/>
        <w:jc w:val="both"/>
      </w:pPr>
    </w:p>
    <w:p w:rsidR="001E488D" w:rsidRPr="004764FD" w:rsidRDefault="001E488D" w:rsidP="006C69BB">
      <w:pPr>
        <w:pStyle w:val="BodyText"/>
        <w:spacing w:after="0"/>
        <w:ind w:firstLine="720"/>
        <w:jc w:val="both"/>
        <w:rPr>
          <w:sz w:val="20"/>
          <w:szCs w:val="20"/>
        </w:rPr>
      </w:pPr>
      <w:r>
        <w:t xml:space="preserve">Peoples’ Petition states that a declaratory statement “will involve the Commission’s determination as to whether the Agreement creates a separate entity which is a ‘public utility’ as defined Section 366.02(1), Florida Statutes.” Peoples refers to Section 180.06, F.S., in its Petition, stating that the section lists the </w:t>
      </w:r>
      <w:r w:rsidRPr="004A151C">
        <w:t xml:space="preserve">activities </w:t>
      </w:r>
      <w:r>
        <w:t xml:space="preserve">authorized by </w:t>
      </w:r>
      <w:r w:rsidRPr="004A151C">
        <w:t xml:space="preserve">municipalities and </w:t>
      </w:r>
      <w:r>
        <w:t>“</w:t>
      </w:r>
      <w:r w:rsidRPr="004A151C">
        <w:t>private companies</w:t>
      </w:r>
      <w:r>
        <w:t>” such as SSGC. Peoples concludes that it is “in doubt regarding which of SSGC, Leesburg, or another entity create</w:t>
      </w:r>
      <w:r w:rsidR="00C2145C">
        <w:t>d</w:t>
      </w:r>
      <w:r>
        <w:t xml:space="preserve"> by the agreement, should have sought Peoples’ consent to the Construction of the System, which is ongoing.”</w:t>
      </w:r>
    </w:p>
    <w:p w:rsidR="001E488D" w:rsidRDefault="001E488D" w:rsidP="001E488D">
      <w:pPr>
        <w:pStyle w:val="BodyText"/>
        <w:spacing w:after="0"/>
      </w:pPr>
    </w:p>
    <w:p w:rsidR="001E488D" w:rsidRDefault="001E488D" w:rsidP="001E488D">
      <w:pPr>
        <w:pStyle w:val="BodyText"/>
        <w:numPr>
          <w:ilvl w:val="0"/>
          <w:numId w:val="1"/>
        </w:numPr>
        <w:spacing w:after="240"/>
        <w:ind w:left="720"/>
        <w:jc w:val="both"/>
      </w:pPr>
      <w:r w:rsidRPr="00E76F5C">
        <w:rPr>
          <w:u w:val="single"/>
        </w:rPr>
        <w:t xml:space="preserve">SSGC’s and Leesburg’s Motions to Dismiss </w:t>
      </w:r>
    </w:p>
    <w:p w:rsidR="001E488D" w:rsidRDefault="001E488D" w:rsidP="001E488D">
      <w:pPr>
        <w:ind w:firstLine="720"/>
        <w:jc w:val="both"/>
      </w:pPr>
      <w:r>
        <w:t xml:space="preserve">SSGC argues that </w:t>
      </w:r>
      <w:r w:rsidR="00DC3673">
        <w:t>we</w:t>
      </w:r>
      <w:r>
        <w:t xml:space="preserve"> should decline the invitation to issue the requested show cause order. SSGC states that </w:t>
      </w:r>
      <w:r w:rsidR="00DC3673">
        <w:t xml:space="preserve">we have </w:t>
      </w:r>
      <w:r>
        <w:t xml:space="preserve">the right to initiate a show cause proceeding, not a party. Further, SSGC argues that a show cause order would be inappropriate because Peoples’ failed to plead sufficient facts as to a violation of order, rule, or statute. </w:t>
      </w:r>
    </w:p>
    <w:p w:rsidR="001E488D" w:rsidRDefault="001E488D" w:rsidP="001E488D">
      <w:pPr>
        <w:jc w:val="both"/>
      </w:pPr>
    </w:p>
    <w:p w:rsidR="001E488D" w:rsidRDefault="001E488D" w:rsidP="001E488D">
      <w:pPr>
        <w:ind w:firstLine="720"/>
        <w:jc w:val="both"/>
      </w:pPr>
      <w:r>
        <w:t xml:space="preserve">SSGC argues that Peoples’ alternative request for declaratory statement should be denied because the requested declarations would require a resolution of pending, disputed issues, which would be inconsistent with the purpose and intention of the declaratory statement statutes and rules. SSGC also states that the declarations sought by Peoples’ Petition are directed solely to the conduct of third persons: SSGC and Leesburg. Further, SSGC argues that Peoples’ request for declaratory statement is dependent on speculative and uncertain facts and events that affect the future actions of third parties rather than Peoples’ own particular facts and situation. </w:t>
      </w:r>
    </w:p>
    <w:p w:rsidR="001E488D" w:rsidRDefault="001E488D" w:rsidP="001E488D">
      <w:pPr>
        <w:jc w:val="both"/>
      </w:pPr>
    </w:p>
    <w:p w:rsidR="001E488D" w:rsidRDefault="001E488D" w:rsidP="001E488D">
      <w:pPr>
        <w:ind w:firstLine="720"/>
        <w:jc w:val="both"/>
      </w:pPr>
      <w:r>
        <w:t>Additionally, SSGC argues that Peoples is attempting to utilize the declaratory statement procedures to resolve the pending litigation in its favor rather than as a means to avoid litigation. SSGC states that the subject matter of the declaration request by Peo</w:t>
      </w:r>
      <w:r w:rsidR="00E51835">
        <w:t>ples is the same subject matter</w:t>
      </w:r>
      <w:r>
        <w:t xml:space="preserve"> at issue in Docket No. 20180055-GU and, thus, cannot be resolved by declaratory statement. </w:t>
      </w:r>
    </w:p>
    <w:p w:rsidR="001E488D" w:rsidRDefault="001E488D" w:rsidP="001E488D">
      <w:pPr>
        <w:jc w:val="both"/>
      </w:pPr>
    </w:p>
    <w:p w:rsidR="001E488D" w:rsidRDefault="001E488D" w:rsidP="001E488D">
      <w:pPr>
        <w:ind w:firstLine="720"/>
        <w:jc w:val="both"/>
      </w:pPr>
      <w:r>
        <w:t>Like SSGC, Leesburg argues that Peoples’ requested show cause order is unnecessary. Leesburg states that many of Peoples’ allegations are disputed in Docket No. 2018055-GU and, thus, should be addressed in that docket only. In addition, Leesburg argues that Peoples’ declaratory statement petition should be dismissed because Peoples’ Petition inappropriately requests</w:t>
      </w:r>
      <w:r w:rsidR="00DC3673">
        <w:t xml:space="preserve"> us</w:t>
      </w:r>
      <w:r>
        <w:t xml:space="preserve"> to opine on the conduct of Leesburg and SSGC and matters that are currently pending in</w:t>
      </w:r>
      <w:r w:rsidRPr="004A151C">
        <w:t xml:space="preserve"> </w:t>
      </w:r>
      <w:r>
        <w:t>Docket No. 20180055-GU.</w:t>
      </w:r>
      <w:r w:rsidR="00AA0180">
        <w:t xml:space="preserve"> </w:t>
      </w:r>
      <w:r>
        <w:t>Additionally, Leesburg states that Peoples’ reque</w:t>
      </w:r>
      <w:r w:rsidR="00AF1258">
        <w:t xml:space="preserve">st for declaratory relief asks </w:t>
      </w:r>
      <w:r w:rsidR="00C2145C">
        <w:t>us</w:t>
      </w:r>
      <w:r>
        <w:t xml:space="preserve"> to interpret Section 180.06, F.S., which is not applicable to the facts and should not be considered in the analysis of the declaratory statement.</w:t>
      </w:r>
    </w:p>
    <w:p w:rsidR="00AF1258" w:rsidRDefault="00AF1258" w:rsidP="001E488D">
      <w:pPr>
        <w:ind w:firstLine="720"/>
        <w:jc w:val="both"/>
      </w:pPr>
    </w:p>
    <w:p w:rsidR="001E488D" w:rsidRPr="00E76F5C" w:rsidRDefault="001E488D" w:rsidP="00E76F5C">
      <w:pPr>
        <w:pStyle w:val="BodyText"/>
        <w:numPr>
          <w:ilvl w:val="0"/>
          <w:numId w:val="1"/>
        </w:numPr>
        <w:spacing w:after="240"/>
        <w:ind w:left="720"/>
        <w:jc w:val="both"/>
        <w:rPr>
          <w:u w:val="single"/>
        </w:rPr>
      </w:pPr>
      <w:r w:rsidRPr="00E76F5C">
        <w:rPr>
          <w:u w:val="single"/>
        </w:rPr>
        <w:lastRenderedPageBreak/>
        <w:t xml:space="preserve">Peoples’ Response to SSGC’s and Leesburg’s Motions to Dismiss </w:t>
      </w:r>
    </w:p>
    <w:p w:rsidR="001E488D" w:rsidRDefault="001E488D" w:rsidP="00E76F5C">
      <w:pPr>
        <w:pStyle w:val="BodyText"/>
        <w:spacing w:after="0"/>
        <w:ind w:firstLine="720"/>
        <w:jc w:val="both"/>
      </w:pPr>
      <w:r>
        <w:t xml:space="preserve">Peoples asserts that SSGC and Leesburg are acting as a public utility. Peoples argues it has properly stated a cause of action in its Petition for issuance of a show cause order. Peoples admits that the underlying facts alleged in its Petition involve SSGC and Leesburg, but argues that it seeks </w:t>
      </w:r>
      <w:r w:rsidR="00AF1258">
        <w:t>our</w:t>
      </w:r>
      <w:r>
        <w:t xml:space="preserve"> guidance concerning which entity Peoples needs to resolve the dispute with and which entity would be responsible for seeking consent from Peoples for operation of a system under Section 180.06, F.S. Peoples also argues that while it is true that Docket No. 20180055-GU and its Petition in this docket involves similar matters, there is little chance for inconsistent rulings. Peoples states that unless </w:t>
      </w:r>
      <w:r w:rsidR="00AF1258">
        <w:t>we</w:t>
      </w:r>
      <w:r>
        <w:t xml:space="preserve"> declare that </w:t>
      </w:r>
      <w:r w:rsidR="00AF1258">
        <w:t>we intend</w:t>
      </w:r>
      <w:r>
        <w:t xml:space="preserve"> to either consolidate the two dockets or resolve the issues raised by Peoples’ Petition in this docket, it would be appropriate for </w:t>
      </w:r>
      <w:r w:rsidR="00AF1258">
        <w:t>us</w:t>
      </w:r>
      <w:r>
        <w:t xml:space="preserve"> to issue the orders to show cause and/or a declaratory statement in this docket.</w:t>
      </w:r>
    </w:p>
    <w:p w:rsidR="001E488D" w:rsidRDefault="001E488D" w:rsidP="00E76F5C">
      <w:pPr>
        <w:pStyle w:val="BodyText"/>
        <w:spacing w:after="0"/>
        <w:jc w:val="both"/>
      </w:pPr>
    </w:p>
    <w:p w:rsidR="001E488D" w:rsidRDefault="001E488D" w:rsidP="00E76F5C">
      <w:pPr>
        <w:pStyle w:val="BodyText"/>
        <w:spacing w:after="0"/>
        <w:ind w:firstLine="720"/>
        <w:jc w:val="both"/>
      </w:pPr>
      <w:r>
        <w:t xml:space="preserve">Peoples’ response to Leesburg’s Motion to Dismiss reiterates its belief that SSGC and Leesburg are jointly selling natural gas to the public and are acting as a public utility. Peoples also argues that an answer to its requested declaratory statement is necessary because Leesburg’s motion highlights the need for clarity as to the applicability of Section 180.06, F.S., which Peoples states applies to activities involved with building a </w:t>
      </w:r>
      <w:r w:rsidR="00C2145C">
        <w:t>natural gas distribution system</w:t>
      </w:r>
      <w:r>
        <w:t xml:space="preserve">.   </w:t>
      </w:r>
    </w:p>
    <w:p w:rsidR="001E488D" w:rsidRDefault="001E488D" w:rsidP="001E488D">
      <w:pPr>
        <w:pStyle w:val="BodyText"/>
        <w:spacing w:after="0"/>
      </w:pPr>
    </w:p>
    <w:p w:rsidR="001E488D" w:rsidRPr="00E76F5C" w:rsidRDefault="001E488D" w:rsidP="00E76F5C">
      <w:pPr>
        <w:pStyle w:val="BodyText"/>
        <w:numPr>
          <w:ilvl w:val="0"/>
          <w:numId w:val="1"/>
        </w:numPr>
        <w:spacing w:after="240"/>
        <w:ind w:left="720"/>
        <w:jc w:val="both"/>
        <w:rPr>
          <w:u w:val="single"/>
        </w:rPr>
      </w:pPr>
      <w:r w:rsidRPr="00E76F5C">
        <w:rPr>
          <w:u w:val="single"/>
        </w:rPr>
        <w:t>Standard of Review for Motion to Dismiss</w:t>
      </w:r>
    </w:p>
    <w:p w:rsidR="001E488D" w:rsidRPr="00DE437C" w:rsidRDefault="001E488D" w:rsidP="00E76F5C">
      <w:pPr>
        <w:shd w:val="clear" w:color="auto" w:fill="FFFFFF"/>
        <w:ind w:firstLine="720"/>
        <w:jc w:val="both"/>
        <w:rPr>
          <w:color w:val="000000"/>
        </w:rPr>
      </w:pPr>
      <w:r w:rsidRPr="00DE437C">
        <w:rPr>
          <w:color w:val="000000"/>
        </w:rPr>
        <w:t xml:space="preserve">A </w:t>
      </w:r>
      <w:r w:rsidRPr="00DE437C">
        <w:rPr>
          <w:color w:val="000000"/>
          <w:shd w:val="clear" w:color="auto" w:fill="FFFFFF"/>
        </w:rPr>
        <w:t>motion</w:t>
      </w:r>
      <w:r w:rsidRPr="00DE437C">
        <w:rPr>
          <w:color w:val="000000"/>
        </w:rPr>
        <w:t xml:space="preserve"> to </w:t>
      </w:r>
      <w:r w:rsidRPr="00DE437C">
        <w:rPr>
          <w:color w:val="000000"/>
          <w:shd w:val="clear" w:color="auto" w:fill="FFFFFF"/>
        </w:rPr>
        <w:t>dismiss</w:t>
      </w:r>
      <w:r w:rsidRPr="00DE437C">
        <w:rPr>
          <w:color w:val="000000"/>
        </w:rPr>
        <w:t xml:space="preserve"> raises as a question of law the sufficiency of the facts alleged in a petition to state a cause of action. </w:t>
      </w:r>
      <w:r w:rsidRPr="00DE437C">
        <w:rPr>
          <w:i/>
          <w:iCs/>
          <w:color w:val="000000"/>
        </w:rPr>
        <w:t>Varnes v. Dawkins</w:t>
      </w:r>
      <w:r w:rsidRPr="00DE437C">
        <w:rPr>
          <w:color w:val="000000"/>
        </w:rPr>
        <w:t xml:space="preserve">, 624 So. 2d 349, 350 (Fla. 1st DCA 1993). The standard to be applied in disposing of a </w:t>
      </w:r>
      <w:r w:rsidRPr="00DE437C">
        <w:rPr>
          <w:color w:val="000000"/>
          <w:shd w:val="clear" w:color="auto" w:fill="FFFFFF"/>
        </w:rPr>
        <w:t>motion</w:t>
      </w:r>
      <w:r w:rsidRPr="00DE437C">
        <w:rPr>
          <w:color w:val="000000"/>
        </w:rPr>
        <w:t xml:space="preserve"> to </w:t>
      </w:r>
      <w:r w:rsidRPr="00DE437C">
        <w:rPr>
          <w:color w:val="000000"/>
          <w:shd w:val="clear" w:color="auto" w:fill="FFFFFF"/>
        </w:rPr>
        <w:t>dismiss</w:t>
      </w:r>
      <w:r w:rsidRPr="00DE437C">
        <w:rPr>
          <w:color w:val="000000"/>
        </w:rPr>
        <w:t xml:space="preserve"> is whether, with all allegations in the petition assumed to be true, the petition states a cause of action upon which relief may be </w:t>
      </w:r>
      <w:r w:rsidRPr="00DE437C">
        <w:rPr>
          <w:color w:val="000000"/>
          <w:shd w:val="clear" w:color="auto" w:fill="FFFFFF"/>
        </w:rPr>
        <w:t>granted</w:t>
      </w:r>
      <w:r w:rsidRPr="00DE437C">
        <w:rPr>
          <w:color w:val="000000"/>
        </w:rPr>
        <w:t xml:space="preserve">. </w:t>
      </w:r>
      <w:r w:rsidRPr="00DE437C">
        <w:rPr>
          <w:i/>
          <w:iCs/>
          <w:color w:val="000000"/>
        </w:rPr>
        <w:t>Id.</w:t>
      </w:r>
      <w:r w:rsidRPr="00DE437C">
        <w:rPr>
          <w:color w:val="000000"/>
        </w:rPr>
        <w:t xml:space="preserve"> When making this determination</w:t>
      </w:r>
      <w:r>
        <w:rPr>
          <w:color w:val="000000"/>
        </w:rPr>
        <w:t>,</w:t>
      </w:r>
      <w:r w:rsidRPr="00DE437C">
        <w:rPr>
          <w:color w:val="000000"/>
        </w:rPr>
        <w:t xml:space="preserve"> all reasonable inferences drawn from the petition must be made in favor of the petitioner. </w:t>
      </w:r>
      <w:r w:rsidRPr="00DE437C">
        <w:rPr>
          <w:i/>
          <w:iCs/>
          <w:color w:val="000000"/>
        </w:rPr>
        <w:t xml:space="preserve">Id. </w:t>
      </w:r>
      <w:r w:rsidRPr="00DE437C">
        <w:rPr>
          <w:color w:val="000000"/>
        </w:rPr>
        <w:t xml:space="preserve">All of the elements of a cause of action must be properly alleged in a </w:t>
      </w:r>
      <w:r w:rsidRPr="00DE437C">
        <w:rPr>
          <w:color w:val="000000"/>
          <w:shd w:val="clear" w:color="auto" w:fill="FFFFFF"/>
        </w:rPr>
        <w:t>pleading</w:t>
      </w:r>
      <w:r w:rsidRPr="00DE437C">
        <w:rPr>
          <w:color w:val="000000"/>
        </w:rPr>
        <w:t xml:space="preserve"> that seeks affirmative relief. If they are not, the </w:t>
      </w:r>
      <w:r w:rsidRPr="00DE437C">
        <w:rPr>
          <w:color w:val="000000"/>
          <w:shd w:val="clear" w:color="auto" w:fill="FFFFFF"/>
        </w:rPr>
        <w:t>pleading</w:t>
      </w:r>
      <w:r w:rsidRPr="00DE437C">
        <w:rPr>
          <w:color w:val="000000"/>
        </w:rPr>
        <w:t xml:space="preserve"> should be dismissed. </w:t>
      </w:r>
      <w:r w:rsidRPr="00DE437C">
        <w:rPr>
          <w:i/>
          <w:iCs/>
          <w:color w:val="000000"/>
        </w:rPr>
        <w:t>Kislak v. Kreedian</w:t>
      </w:r>
      <w:r w:rsidRPr="00DE437C">
        <w:rPr>
          <w:color w:val="000000"/>
        </w:rPr>
        <w:t>, 95 So. 2d 510 (Fla. 1957).</w:t>
      </w:r>
    </w:p>
    <w:p w:rsidR="001E488D" w:rsidRPr="00DE437C" w:rsidRDefault="001E488D" w:rsidP="00E76F5C">
      <w:pPr>
        <w:shd w:val="clear" w:color="auto" w:fill="FFFFFF"/>
        <w:jc w:val="both"/>
        <w:rPr>
          <w:color w:val="000000"/>
        </w:rPr>
      </w:pPr>
    </w:p>
    <w:p w:rsidR="001E488D" w:rsidRPr="00DE437C" w:rsidRDefault="001E488D" w:rsidP="00E76F5C">
      <w:pPr>
        <w:shd w:val="clear" w:color="auto" w:fill="FFFFFF"/>
        <w:ind w:firstLine="720"/>
        <w:jc w:val="both"/>
        <w:rPr>
          <w:color w:val="000000"/>
        </w:rPr>
      </w:pPr>
      <w:r w:rsidRPr="00DE437C">
        <w:rPr>
          <w:color w:val="000000"/>
        </w:rPr>
        <w:t xml:space="preserve">In determining the sufficiency of the petition, </w:t>
      </w:r>
      <w:r w:rsidR="00AF1258">
        <w:rPr>
          <w:color w:val="000000"/>
        </w:rPr>
        <w:t>we</w:t>
      </w:r>
      <w:r>
        <w:rPr>
          <w:color w:val="000000"/>
        </w:rPr>
        <w:t xml:space="preserve"> must</w:t>
      </w:r>
      <w:r w:rsidRPr="00DE437C">
        <w:rPr>
          <w:color w:val="000000"/>
        </w:rPr>
        <w:t xml:space="preserve"> confine </w:t>
      </w:r>
      <w:r w:rsidR="00AF1258">
        <w:rPr>
          <w:color w:val="000000"/>
        </w:rPr>
        <w:t>our</w:t>
      </w:r>
      <w:r w:rsidRPr="00DE437C">
        <w:rPr>
          <w:color w:val="000000"/>
        </w:rPr>
        <w:t xml:space="preserve"> consideration to the petition and the grounds asserted in the </w:t>
      </w:r>
      <w:r w:rsidRPr="00DE437C">
        <w:rPr>
          <w:color w:val="000000"/>
          <w:shd w:val="clear" w:color="auto" w:fill="FFFFFF"/>
        </w:rPr>
        <w:t>motion</w:t>
      </w:r>
      <w:r w:rsidRPr="00DE437C">
        <w:rPr>
          <w:color w:val="000000"/>
        </w:rPr>
        <w:t xml:space="preserve"> to </w:t>
      </w:r>
      <w:r w:rsidRPr="00DE437C">
        <w:rPr>
          <w:color w:val="000000"/>
          <w:shd w:val="clear" w:color="auto" w:fill="FFFFFF"/>
        </w:rPr>
        <w:t>dismiss</w:t>
      </w:r>
      <w:r w:rsidRPr="00DE437C">
        <w:rPr>
          <w:color w:val="000000"/>
        </w:rPr>
        <w:t xml:space="preserve">. </w:t>
      </w:r>
      <w:r w:rsidRPr="00374822">
        <w:rPr>
          <w:i/>
          <w:color w:val="000000"/>
          <w:shd w:val="clear" w:color="auto" w:fill="FFFFFF"/>
        </w:rPr>
        <w:t>Flye v. Jeffords</w:t>
      </w:r>
      <w:r w:rsidRPr="00DE437C">
        <w:rPr>
          <w:color w:val="000000"/>
        </w:rPr>
        <w:t xml:space="preserve">, 106 So. 2d 229 (Fla. 1st DCA 1958). Moreover, </w:t>
      </w:r>
      <w:r w:rsidR="00AF1258">
        <w:rPr>
          <w:color w:val="000000"/>
        </w:rPr>
        <w:t>we</w:t>
      </w:r>
      <w:r>
        <w:rPr>
          <w:color w:val="000000"/>
        </w:rPr>
        <w:t xml:space="preserve"> must</w:t>
      </w:r>
      <w:r w:rsidRPr="00DE437C">
        <w:rPr>
          <w:color w:val="000000"/>
        </w:rPr>
        <w:t xml:space="preserve"> construe all material facts and allegations in the light most favorable </w:t>
      </w:r>
      <w:r>
        <w:rPr>
          <w:color w:val="000000"/>
        </w:rPr>
        <w:t>to the petitioner</w:t>
      </w:r>
      <w:r w:rsidRPr="00DE437C">
        <w:rPr>
          <w:color w:val="000000"/>
        </w:rPr>
        <w:t xml:space="preserve"> in determining whether the petition is sufficient. </w:t>
      </w:r>
      <w:r w:rsidRPr="00374822">
        <w:rPr>
          <w:i/>
          <w:color w:val="000000"/>
          <w:shd w:val="clear" w:color="auto" w:fill="FFFFFF"/>
        </w:rPr>
        <w:t>Matthews v. Matthews</w:t>
      </w:r>
      <w:r w:rsidRPr="00DE437C">
        <w:rPr>
          <w:color w:val="000000"/>
        </w:rPr>
        <w:t>, 122 So. 2d 571 (Fla. 2</w:t>
      </w:r>
      <w:r>
        <w:rPr>
          <w:color w:val="000000"/>
        </w:rPr>
        <w:t xml:space="preserve">d </w:t>
      </w:r>
      <w:r w:rsidRPr="00DE437C">
        <w:rPr>
          <w:color w:val="000000"/>
        </w:rPr>
        <w:t xml:space="preserve">DCA 1960). </w:t>
      </w:r>
    </w:p>
    <w:p w:rsidR="001E488D" w:rsidRDefault="001E488D" w:rsidP="00E76F5C">
      <w:pPr>
        <w:rPr>
          <w:rFonts w:ascii="Arial" w:hAnsi="Arial" w:cs="Arial"/>
          <w:b/>
        </w:rPr>
      </w:pPr>
    </w:p>
    <w:p w:rsidR="001E488D" w:rsidRPr="00E76F5C" w:rsidRDefault="001E488D" w:rsidP="00E76F5C">
      <w:pPr>
        <w:pStyle w:val="BodyText"/>
        <w:numPr>
          <w:ilvl w:val="0"/>
          <w:numId w:val="1"/>
        </w:numPr>
        <w:spacing w:after="240"/>
        <w:ind w:left="720"/>
        <w:jc w:val="both"/>
        <w:rPr>
          <w:u w:val="single"/>
        </w:rPr>
      </w:pPr>
      <w:r w:rsidRPr="00E76F5C">
        <w:rPr>
          <w:u w:val="single"/>
        </w:rPr>
        <w:t>Analysis</w:t>
      </w:r>
      <w:r w:rsidR="00AF1258">
        <w:rPr>
          <w:u w:val="single"/>
        </w:rPr>
        <w:t xml:space="preserve"> and Conclusion</w:t>
      </w:r>
      <w:r w:rsidRPr="00E76F5C">
        <w:rPr>
          <w:u w:val="single"/>
        </w:rPr>
        <w:t xml:space="preserve"> </w:t>
      </w:r>
    </w:p>
    <w:p w:rsidR="001E488D" w:rsidRDefault="003D3332" w:rsidP="00E76F5C">
      <w:pPr>
        <w:ind w:firstLine="720"/>
        <w:jc w:val="both"/>
      </w:pPr>
      <w:r>
        <w:t xml:space="preserve">We </w:t>
      </w:r>
      <w:r w:rsidR="00ED2DAD">
        <w:t>hereby</w:t>
      </w:r>
      <w:r w:rsidR="001E488D">
        <w:rPr>
          <w:color w:val="000000"/>
        </w:rPr>
        <w:t xml:space="preserve"> grant SSGC’s and Leesburg’s Motions to Dismiss Peoples’ request for show cause orders. T</w:t>
      </w:r>
      <w:r w:rsidR="001E488D" w:rsidRPr="00031CAB">
        <w:t>he decision to issue a show cause order lies w</w:t>
      </w:r>
      <w:r w:rsidR="001E488D">
        <w:t xml:space="preserve">ith </w:t>
      </w:r>
      <w:r w:rsidR="00AF1258">
        <w:t>us</w:t>
      </w:r>
      <w:r w:rsidR="001E488D">
        <w:t>, not parties</w:t>
      </w:r>
      <w:r w:rsidR="001E488D">
        <w:rPr>
          <w:color w:val="000000"/>
        </w:rPr>
        <w:t>.</w:t>
      </w:r>
      <w:r w:rsidR="001E488D">
        <w:rPr>
          <w:rStyle w:val="FootnoteReference"/>
          <w:color w:val="000000"/>
        </w:rPr>
        <w:footnoteReference w:id="1"/>
      </w:r>
      <w:r w:rsidR="001E488D">
        <w:rPr>
          <w:color w:val="000000"/>
        </w:rPr>
        <w:t xml:space="preserve"> </w:t>
      </w:r>
      <w:r>
        <w:rPr>
          <w:color w:val="000000"/>
        </w:rPr>
        <w:t>We do</w:t>
      </w:r>
      <w:r w:rsidR="001E488D">
        <w:rPr>
          <w:color w:val="000000"/>
        </w:rPr>
        <w:t xml:space="preserve"> not </w:t>
      </w:r>
      <w:r w:rsidR="001E488D">
        <w:rPr>
          <w:color w:val="000000"/>
        </w:rPr>
        <w:lastRenderedPageBreak/>
        <w:t xml:space="preserve">believe that </w:t>
      </w:r>
      <w:r w:rsidR="00633591">
        <w:rPr>
          <w:color w:val="000000"/>
        </w:rPr>
        <w:t>we</w:t>
      </w:r>
      <w:r w:rsidR="001E488D">
        <w:rPr>
          <w:color w:val="000000"/>
        </w:rPr>
        <w:t xml:space="preserve"> should exercise</w:t>
      </w:r>
      <w:r w:rsidR="00633591">
        <w:rPr>
          <w:color w:val="000000"/>
        </w:rPr>
        <w:t xml:space="preserve"> our</w:t>
      </w:r>
      <w:r w:rsidR="001E488D">
        <w:rPr>
          <w:color w:val="000000"/>
        </w:rPr>
        <w:t xml:space="preserve"> discretion to issue a show cause order at this time.</w:t>
      </w:r>
      <w:r w:rsidR="001E488D">
        <w:t xml:space="preserve"> Docket No. 20180055-GU is in its initial stages and discovery has not yet occurred. As the record is developed in</w:t>
      </w:r>
      <w:r w:rsidR="001E488D" w:rsidRPr="00475288">
        <w:t xml:space="preserve"> </w:t>
      </w:r>
      <w:r w:rsidR="001E488D">
        <w:t xml:space="preserve">Docket No. 20180055-GU, </w:t>
      </w:r>
      <w:r w:rsidR="00AF1258">
        <w:t xml:space="preserve">our </w:t>
      </w:r>
      <w:r w:rsidR="00ED2DAD">
        <w:t xml:space="preserve">staff </w:t>
      </w:r>
      <w:r>
        <w:t>will</w:t>
      </w:r>
      <w:r w:rsidR="001E488D">
        <w:t xml:space="preserve"> have the opportunity to review and monitor the evidence and issues presented. If any matter appears to rise to the point where a show cause order is necessary,</w:t>
      </w:r>
      <w:r w:rsidR="00AF1258">
        <w:t xml:space="preserve"> our</w:t>
      </w:r>
      <w:r w:rsidR="001E488D">
        <w:t xml:space="preserve"> staff will bring the matter to </w:t>
      </w:r>
      <w:r w:rsidR="00AF1258">
        <w:t>us</w:t>
      </w:r>
      <w:r w:rsidR="001E488D">
        <w:t xml:space="preserve"> for </w:t>
      </w:r>
      <w:r w:rsidR="00AF1258">
        <w:t xml:space="preserve">our </w:t>
      </w:r>
      <w:r w:rsidR="001E488D">
        <w:t>consideration.</w:t>
      </w:r>
    </w:p>
    <w:p w:rsidR="001E488D" w:rsidRDefault="001E488D" w:rsidP="00E76F5C">
      <w:pPr>
        <w:jc w:val="both"/>
      </w:pPr>
    </w:p>
    <w:p w:rsidR="00AF1258" w:rsidRDefault="00ED2DAD" w:rsidP="00E76F5C">
      <w:pPr>
        <w:pStyle w:val="BodyText"/>
        <w:spacing w:after="0"/>
        <w:ind w:firstLine="720"/>
        <w:jc w:val="both"/>
      </w:pPr>
      <w:r>
        <w:t>In addition, we</w:t>
      </w:r>
      <w:r w:rsidR="003D3332">
        <w:t xml:space="preserve"> </w:t>
      </w:r>
      <w:r>
        <w:t xml:space="preserve">hereby </w:t>
      </w:r>
      <w:r w:rsidR="001E488D">
        <w:rPr>
          <w:color w:val="000000"/>
        </w:rPr>
        <w:t>grant SSGC’s and Leesburg’s Motions to Dismiss</w:t>
      </w:r>
      <w:r w:rsidR="00633591">
        <w:rPr>
          <w:color w:val="000000"/>
        </w:rPr>
        <w:t xml:space="preserve"> </w:t>
      </w:r>
      <w:r w:rsidR="001E488D">
        <w:t>Peoples’ alternative Petition for Declaratory Statement</w:t>
      </w:r>
      <w:r w:rsidR="00AF1258">
        <w:t xml:space="preserve">. As </w:t>
      </w:r>
      <w:r w:rsidR="00587BF4">
        <w:t>discussed</w:t>
      </w:r>
      <w:r w:rsidR="00AF1258">
        <w:t xml:space="preserve"> below,</w:t>
      </w:r>
      <w:r w:rsidR="001E488D">
        <w:t xml:space="preserve"> the petition for declaratory statement is deficient.</w:t>
      </w:r>
      <w:r w:rsidR="001E488D" w:rsidRPr="00F30F9C">
        <w:t xml:space="preserve"> </w:t>
      </w:r>
    </w:p>
    <w:p w:rsidR="00AF1258" w:rsidRDefault="00AF1258" w:rsidP="00E76F5C">
      <w:pPr>
        <w:pStyle w:val="BodyText"/>
        <w:spacing w:after="0"/>
        <w:ind w:firstLine="720"/>
        <w:jc w:val="both"/>
      </w:pPr>
    </w:p>
    <w:p w:rsidR="001E488D" w:rsidRDefault="001E488D" w:rsidP="00E76F5C">
      <w:pPr>
        <w:pStyle w:val="BodyText"/>
        <w:spacing w:after="0"/>
        <w:ind w:firstLine="720"/>
        <w:jc w:val="both"/>
        <w:rPr>
          <w:color w:val="000000"/>
        </w:rPr>
      </w:pPr>
      <w:r>
        <w:rPr>
          <w:color w:val="000000"/>
        </w:rPr>
        <w:t xml:space="preserve">The </w:t>
      </w:r>
      <w:r w:rsidRPr="00A0260F">
        <w:rPr>
          <w:color w:val="000000"/>
        </w:rPr>
        <w:t>purpose of a declaratory statement</w:t>
      </w:r>
      <w:r>
        <w:rPr>
          <w:color w:val="000000"/>
        </w:rPr>
        <w:t xml:space="preserve"> is</w:t>
      </w:r>
      <w:r w:rsidRPr="00A0260F">
        <w:rPr>
          <w:color w:val="000000"/>
        </w:rPr>
        <w:t xml:space="preserve"> to allow a petitioner to select a pro</w:t>
      </w:r>
      <w:r>
        <w:rPr>
          <w:color w:val="000000"/>
        </w:rPr>
        <w:t xml:space="preserve">per course of action in advance to avoid </w:t>
      </w:r>
      <w:r w:rsidRPr="00A0260F">
        <w:rPr>
          <w:color w:val="000000"/>
        </w:rPr>
        <w:t>costly administrative litigation</w:t>
      </w:r>
      <w:r>
        <w:rPr>
          <w:color w:val="000000"/>
        </w:rPr>
        <w:t xml:space="preserve">. </w:t>
      </w:r>
      <w:r w:rsidRPr="006974FE">
        <w:rPr>
          <w:i/>
          <w:color w:val="000000"/>
        </w:rPr>
        <w:t xml:space="preserve">See </w:t>
      </w:r>
      <w:r w:rsidRPr="00A0260F">
        <w:rPr>
          <w:i/>
          <w:iCs/>
          <w:color w:val="000000"/>
        </w:rPr>
        <w:t>Chiles</w:t>
      </w:r>
      <w:r>
        <w:rPr>
          <w:color w:val="000000"/>
        </w:rPr>
        <w:t xml:space="preserve"> </w:t>
      </w:r>
      <w:r w:rsidRPr="00A0260F">
        <w:rPr>
          <w:i/>
          <w:iCs/>
          <w:color w:val="000000"/>
        </w:rPr>
        <w:t>v. Department of State, Division of Elections,</w:t>
      </w:r>
      <w:r w:rsidRPr="00A0260F">
        <w:rPr>
          <w:color w:val="000000"/>
        </w:rPr>
        <w:t xml:space="preserve"> 711 So.</w:t>
      </w:r>
      <w:r>
        <w:rPr>
          <w:color w:val="000000"/>
        </w:rPr>
        <w:t xml:space="preserve"> </w:t>
      </w:r>
      <w:r w:rsidRPr="00A0260F">
        <w:rPr>
          <w:color w:val="000000"/>
        </w:rPr>
        <w:t>2d 151, 154 (Fla. 1st DCA 1998)</w:t>
      </w:r>
      <w:r>
        <w:rPr>
          <w:color w:val="000000"/>
        </w:rPr>
        <w:t>.</w:t>
      </w:r>
      <w:r>
        <w:rPr>
          <w:rStyle w:val="FootnoteReference"/>
          <w:color w:val="000000"/>
        </w:rPr>
        <w:footnoteReference w:id="2"/>
      </w:r>
      <w:r w:rsidRPr="002053BB">
        <w:rPr>
          <w:color w:val="000000"/>
        </w:rPr>
        <w:t xml:space="preserve"> </w:t>
      </w:r>
      <w:r>
        <w:rPr>
          <w:color w:val="000000"/>
        </w:rPr>
        <w:t>Peoples filed its request for a declaratory statement after it initiated litigation against Leesburg and SSGC</w:t>
      </w:r>
      <w:r>
        <w:t xml:space="preserve"> in Docket No. 20180055-GU. Peoples’ </w:t>
      </w:r>
      <w:r w:rsidRPr="00A0260F">
        <w:t>Petition</w:t>
      </w:r>
      <w:r>
        <w:t xml:space="preserve"> then asks</w:t>
      </w:r>
      <w:r w:rsidR="00ED2DAD">
        <w:t xml:space="preserve"> us</w:t>
      </w:r>
      <w:r w:rsidRPr="00A0260F">
        <w:t xml:space="preserve"> to declare </w:t>
      </w:r>
      <w:r>
        <w:t xml:space="preserve">who it should litigate against, either </w:t>
      </w:r>
      <w:r w:rsidRPr="00A0260F">
        <w:t xml:space="preserve">Leesburg </w:t>
      </w:r>
      <w:r>
        <w:t>or</w:t>
      </w:r>
      <w:r w:rsidRPr="00A0260F">
        <w:t xml:space="preserve"> SSGC</w:t>
      </w:r>
      <w:r>
        <w:t>. However, it appears Peoples has already answered its own question as to whom to litigate against. Therefore, a declaratory statement is</w:t>
      </w:r>
      <w:r w:rsidR="00C2145C">
        <w:t xml:space="preserve"> not necessary and it </w:t>
      </w:r>
      <w:r>
        <w:t xml:space="preserve">would </w:t>
      </w:r>
      <w:r w:rsidR="00C2145C">
        <w:t>not</w:t>
      </w:r>
      <w:r>
        <w:t xml:space="preserve"> be helpful to avoid litigation.</w:t>
      </w:r>
    </w:p>
    <w:p w:rsidR="001E488D" w:rsidRDefault="001E488D" w:rsidP="00E76F5C">
      <w:pPr>
        <w:shd w:val="clear" w:color="auto" w:fill="FFFFFF"/>
        <w:jc w:val="both"/>
        <w:rPr>
          <w:color w:val="000000"/>
        </w:rPr>
      </w:pPr>
    </w:p>
    <w:p w:rsidR="001E488D" w:rsidRDefault="001E488D" w:rsidP="00E76F5C">
      <w:pPr>
        <w:pStyle w:val="BodyText"/>
        <w:spacing w:after="0"/>
        <w:ind w:firstLine="720"/>
        <w:jc w:val="both"/>
      </w:pPr>
      <w:r>
        <w:rPr>
          <w:color w:val="000000"/>
        </w:rPr>
        <w:t xml:space="preserve">Moreover, a </w:t>
      </w:r>
      <w:r w:rsidRPr="00A0260F">
        <w:rPr>
          <w:color w:val="000000"/>
        </w:rPr>
        <w:t>declaratory statement is not an appropriate remedy where ther</w:t>
      </w:r>
      <w:r>
        <w:rPr>
          <w:color w:val="000000"/>
        </w:rPr>
        <w:t>e is related pending litigation.</w:t>
      </w:r>
      <w:r w:rsidRPr="00A0260F">
        <w:rPr>
          <w:color w:val="000000"/>
        </w:rPr>
        <w:t xml:space="preserve"> </w:t>
      </w:r>
      <w:r w:rsidRPr="00A0260F">
        <w:rPr>
          <w:i/>
          <w:iCs/>
          <w:color w:val="000000"/>
        </w:rPr>
        <w:t>Couch v. Florida Dept. of Health and Rehabilitative Services,</w:t>
      </w:r>
      <w:r w:rsidRPr="00A0260F">
        <w:rPr>
          <w:color w:val="000000"/>
        </w:rPr>
        <w:t xml:space="preserve"> 377 So.</w:t>
      </w:r>
      <w:r>
        <w:rPr>
          <w:color w:val="000000"/>
        </w:rPr>
        <w:t xml:space="preserve"> </w:t>
      </w:r>
      <w:r w:rsidRPr="00A0260F">
        <w:rPr>
          <w:color w:val="000000"/>
        </w:rPr>
        <w:t>2d 32 (Fla. 1st DCA 1979).</w:t>
      </w:r>
      <w:r w:rsidRPr="00C9794F">
        <w:t xml:space="preserve"> </w:t>
      </w:r>
      <w:r>
        <w:rPr>
          <w:color w:val="000000"/>
        </w:rPr>
        <w:t>Because Peoples filed its request for a declaratory statement after it already initiated litigation against Leesburg and SSGC</w:t>
      </w:r>
      <w:r>
        <w:t xml:space="preserve"> in Docket No. 20180055-GU</w:t>
      </w:r>
      <w:r>
        <w:rPr>
          <w:color w:val="000000"/>
        </w:rPr>
        <w:t xml:space="preserve">, </w:t>
      </w:r>
      <w:r>
        <w:t xml:space="preserve">it is inappropriate for </w:t>
      </w:r>
      <w:r w:rsidR="00ED2DAD">
        <w:t>us</w:t>
      </w:r>
      <w:r>
        <w:t xml:space="preserve"> to opine in a declaratory statement on the same matters. “[T]he rule is declaratory statement proceedings are not properly filed on issues simultaneously litigated in judicial or other administrative proceedings.” </w:t>
      </w:r>
      <w:r w:rsidRPr="00DF5037">
        <w:rPr>
          <w:i/>
        </w:rPr>
        <w:t>Gopman v. Dep't of Educ.</w:t>
      </w:r>
      <w:r>
        <w:t>, 908 So. 2d 1118, 1123 (Fla. 1st DCA 2005).</w:t>
      </w:r>
      <w:r>
        <w:rPr>
          <w:rStyle w:val="FootnoteReference"/>
        </w:rPr>
        <w:footnoteReference w:id="3"/>
      </w:r>
      <w:r>
        <w:t xml:space="preserve">  </w:t>
      </w:r>
    </w:p>
    <w:p w:rsidR="006B662A" w:rsidRDefault="006B662A" w:rsidP="00E76F5C">
      <w:pPr>
        <w:pStyle w:val="BodyText"/>
        <w:spacing w:after="0"/>
        <w:ind w:firstLine="720"/>
        <w:jc w:val="both"/>
      </w:pPr>
    </w:p>
    <w:p w:rsidR="001E488D" w:rsidRDefault="003D3332" w:rsidP="00E76F5C">
      <w:pPr>
        <w:shd w:val="clear" w:color="auto" w:fill="FFFFFF"/>
        <w:ind w:firstLine="720"/>
        <w:jc w:val="both"/>
        <w:rPr>
          <w:color w:val="000000"/>
        </w:rPr>
      </w:pPr>
      <w:r>
        <w:rPr>
          <w:color w:val="000000"/>
        </w:rPr>
        <w:lastRenderedPageBreak/>
        <w:t>I</w:t>
      </w:r>
      <w:r w:rsidR="001E488D" w:rsidRPr="00A0260F">
        <w:t>t is</w:t>
      </w:r>
      <w:r w:rsidR="00AF1258">
        <w:t xml:space="preserve"> also</w:t>
      </w:r>
      <w:r w:rsidR="001E488D" w:rsidRPr="00A0260F">
        <w:t xml:space="preserve"> not proper for</w:t>
      </w:r>
      <w:r w:rsidR="00ED2DAD">
        <w:t xml:space="preserve"> us</w:t>
      </w:r>
      <w:r w:rsidR="001E488D" w:rsidRPr="00A0260F">
        <w:t xml:space="preserve"> to issue a declaratory statement determining the conduct of third p</w:t>
      </w:r>
      <w:r w:rsidR="001E488D">
        <w:t>ersons</w:t>
      </w:r>
      <w:r w:rsidR="001E488D" w:rsidRPr="00A0260F">
        <w:t xml:space="preserve">. </w:t>
      </w:r>
      <w:r w:rsidR="001E488D" w:rsidRPr="00AC16E3">
        <w:rPr>
          <w:color w:val="000000"/>
        </w:rPr>
        <w:t xml:space="preserve">Rule </w:t>
      </w:r>
      <w:r w:rsidR="001E488D">
        <w:rPr>
          <w:color w:val="000000"/>
        </w:rPr>
        <w:t>28-105.001, F.A.C.</w:t>
      </w:r>
      <w:r w:rsidR="001E488D" w:rsidRPr="000A0D29">
        <w:t xml:space="preserve"> </w:t>
      </w:r>
      <w:r w:rsidR="001E488D">
        <w:t>Peoples</w:t>
      </w:r>
      <w:r w:rsidR="00AA0180">
        <w:t>’</w:t>
      </w:r>
      <w:r w:rsidR="001E488D">
        <w:t xml:space="preserve"> request that </w:t>
      </w:r>
      <w:r w:rsidR="00AF1258">
        <w:t>the</w:t>
      </w:r>
      <w:r w:rsidR="001E488D">
        <w:t xml:space="preserve"> Commission</w:t>
      </w:r>
      <w:r w:rsidR="00AF1258">
        <w:t xml:space="preserve"> issue an order</w:t>
      </w:r>
      <w:r w:rsidR="001E488D">
        <w:t xml:space="preserve"> declaring who it should negotiate with would require</w:t>
      </w:r>
      <w:r w:rsidR="00AF1258">
        <w:t xml:space="preserve"> us</w:t>
      </w:r>
      <w:r w:rsidR="001E488D">
        <w:t xml:space="preserve"> to declare whether SSGC and/or Leesburg are public utilities. Thus,</w:t>
      </w:r>
      <w:r w:rsidR="001E488D" w:rsidRPr="00A0260F">
        <w:t xml:space="preserve"> a declaratory statement would affect the </w:t>
      </w:r>
      <w:r w:rsidR="001E488D">
        <w:t xml:space="preserve">legal obligations and </w:t>
      </w:r>
      <w:r w:rsidR="001E488D" w:rsidRPr="00A0260F">
        <w:t>conduct of Leesburg and S</w:t>
      </w:r>
      <w:r w:rsidR="001E488D">
        <w:t xml:space="preserve">SGC, in contravention of </w:t>
      </w:r>
      <w:r w:rsidR="001E488D" w:rsidRPr="00AC16E3">
        <w:rPr>
          <w:color w:val="000000"/>
        </w:rPr>
        <w:t>Rule 28-105.001, F.A.C.</w:t>
      </w:r>
    </w:p>
    <w:p w:rsidR="001E488D" w:rsidRDefault="001E488D" w:rsidP="00E76F5C">
      <w:pPr>
        <w:shd w:val="clear" w:color="auto" w:fill="FFFFFF"/>
        <w:jc w:val="both"/>
        <w:rPr>
          <w:color w:val="000000"/>
        </w:rPr>
      </w:pPr>
    </w:p>
    <w:p w:rsidR="001E488D" w:rsidRDefault="001E488D" w:rsidP="00E76F5C">
      <w:pPr>
        <w:shd w:val="clear" w:color="auto" w:fill="FFFFFF"/>
        <w:ind w:firstLine="720"/>
        <w:jc w:val="both"/>
      </w:pPr>
      <w:r>
        <w:t xml:space="preserve">Finally, </w:t>
      </w:r>
      <w:r w:rsidRPr="00AC16E3">
        <w:rPr>
          <w:color w:val="000000"/>
        </w:rPr>
        <w:t>Rule 28-105.001, F.A.C.</w:t>
      </w:r>
      <w:r>
        <w:t xml:space="preserve">, allows a declaratory statement as a means to resolve a controversy covering the applicability of statutory provisions over which the agency has authority. In its </w:t>
      </w:r>
      <w:r w:rsidR="00DA4647">
        <w:t>Petition, Peoples seems to ask us</w:t>
      </w:r>
      <w:r>
        <w:t xml:space="preserve"> to interpret Section 180.06, F.S., a statute that is not enforced by </w:t>
      </w:r>
      <w:r w:rsidR="009C23DD">
        <w:t>us</w:t>
      </w:r>
      <w:r>
        <w:t>. This would not be appropriate for a declaratory statement.</w:t>
      </w:r>
    </w:p>
    <w:p w:rsidR="001E488D" w:rsidRPr="00E76F5C" w:rsidRDefault="001E488D" w:rsidP="001E488D">
      <w:pPr>
        <w:shd w:val="clear" w:color="auto" w:fill="FFFFFF"/>
        <w:jc w:val="both"/>
        <w:rPr>
          <w:color w:val="000000"/>
        </w:rPr>
      </w:pPr>
    </w:p>
    <w:p w:rsidR="001E488D" w:rsidRDefault="001E488D" w:rsidP="00E76F5C">
      <w:pPr>
        <w:pStyle w:val="BodyText"/>
        <w:spacing w:after="0"/>
        <w:ind w:firstLine="720"/>
        <w:jc w:val="both"/>
      </w:pPr>
      <w:r>
        <w:t>For the reasons set forth above,</w:t>
      </w:r>
      <w:r w:rsidR="003D3332">
        <w:t xml:space="preserve"> we hereby </w:t>
      </w:r>
      <w:r>
        <w:t>grant SSGC’s and Leesburg’s Motions to Dismiss Peoples’ Petition.</w:t>
      </w:r>
    </w:p>
    <w:p w:rsidR="009C23DD" w:rsidRDefault="009C23DD" w:rsidP="00E76F5C">
      <w:pPr>
        <w:pStyle w:val="BodyText"/>
        <w:spacing w:after="0"/>
        <w:ind w:firstLine="720"/>
      </w:pPr>
    </w:p>
    <w:p w:rsidR="00E76F5C" w:rsidRDefault="00E76F5C" w:rsidP="00E76F5C">
      <w:pPr>
        <w:pStyle w:val="BodyText"/>
        <w:spacing w:after="0"/>
        <w:ind w:firstLine="720"/>
      </w:pPr>
      <w:r>
        <w:t>It is</w:t>
      </w:r>
      <w:r w:rsidR="00C2145C">
        <w:t>,</w:t>
      </w:r>
      <w:r>
        <w:t xml:space="preserve"> therefore,</w:t>
      </w:r>
    </w:p>
    <w:p w:rsidR="00E76F5C" w:rsidRDefault="00E76F5C" w:rsidP="00E76F5C">
      <w:pPr>
        <w:pStyle w:val="BodyText"/>
        <w:spacing w:after="0"/>
        <w:ind w:firstLine="720"/>
      </w:pPr>
    </w:p>
    <w:p w:rsidR="00CA7C6F" w:rsidRDefault="00E76F5C" w:rsidP="00E51835">
      <w:pPr>
        <w:pStyle w:val="BodyText"/>
        <w:spacing w:after="240"/>
        <w:ind w:firstLine="720"/>
        <w:jc w:val="both"/>
      </w:pPr>
      <w:r>
        <w:t>ORDERED by the Florida Public Service Commission that</w:t>
      </w:r>
      <w:r w:rsidR="00284069">
        <w:t xml:space="preserve"> South Sumter Gas Company’s and the City of Leesbur</w:t>
      </w:r>
      <w:r w:rsidR="009C23DD">
        <w:t>g’s Motions</w:t>
      </w:r>
      <w:r w:rsidR="00983BBB">
        <w:t xml:space="preserve"> for Oral Argument </w:t>
      </w:r>
      <w:r w:rsidR="00CA7C6F">
        <w:t>are granted. It is further</w:t>
      </w:r>
    </w:p>
    <w:p w:rsidR="00284069" w:rsidRDefault="00CA7C6F" w:rsidP="00E51835">
      <w:pPr>
        <w:pStyle w:val="BodyText"/>
        <w:spacing w:after="240"/>
        <w:ind w:firstLine="720"/>
        <w:jc w:val="both"/>
      </w:pPr>
      <w:r>
        <w:t>ORDERED</w:t>
      </w:r>
      <w:r w:rsidR="00983BBB">
        <w:t xml:space="preserve"> </w:t>
      </w:r>
      <w:r w:rsidR="00E51835">
        <w:t xml:space="preserve">that </w:t>
      </w:r>
      <w:r>
        <w:t xml:space="preserve">South Sumter Gas Company’s and the City of Leesburg’s </w:t>
      </w:r>
      <w:r w:rsidR="00983BBB">
        <w:t>Motions</w:t>
      </w:r>
      <w:r w:rsidR="009C23DD">
        <w:t xml:space="preserve"> to Dismiss Peoples Gas System’s </w:t>
      </w:r>
      <w:r w:rsidR="00284069">
        <w:t>Petition</w:t>
      </w:r>
      <w:r w:rsidR="00284069" w:rsidRPr="00B34F9D">
        <w:t xml:space="preserve"> </w:t>
      </w:r>
      <w:r>
        <w:t>are</w:t>
      </w:r>
      <w:r w:rsidR="006B662A">
        <w:t xml:space="preserve"> granted</w:t>
      </w:r>
      <w:r w:rsidR="009C23DD">
        <w:t xml:space="preserve">. It is further </w:t>
      </w:r>
    </w:p>
    <w:p w:rsidR="00E76F5C" w:rsidRDefault="00E76F5C" w:rsidP="00E51835">
      <w:pPr>
        <w:pStyle w:val="BodyText"/>
        <w:spacing w:after="240"/>
        <w:ind w:firstLine="720"/>
      </w:pPr>
      <w:r>
        <w:t>ORDERED that this docket shall be closed.</w:t>
      </w:r>
    </w:p>
    <w:p w:rsidR="00CB5276" w:rsidRDefault="00CB5276">
      <w:pPr>
        <w:pStyle w:val="OrderBody"/>
      </w:pPr>
    </w:p>
    <w:p w:rsidR="00E76F5C" w:rsidRDefault="00E76F5C">
      <w:pPr>
        <w:pStyle w:val="OrderBody"/>
      </w:pPr>
    </w:p>
    <w:p w:rsidR="00D57E57" w:rsidRDefault="00D57E57" w:rsidP="00D57E57"/>
    <w:p w:rsidR="0084689A" w:rsidRDefault="0084689A" w:rsidP="00B41039">
      <w:pPr>
        <w:sectPr w:rsidR="0084689A" w:rsidSect="00CD1A05">
          <w:headerReference w:type="default" r:id="rId8"/>
          <w:footerReference w:type="first" r:id="rId9"/>
          <w:pgSz w:w="12240" w:h="15840" w:code="1"/>
          <w:pgMar w:top="1440" w:right="1440" w:bottom="1440" w:left="1440" w:header="720" w:footer="720" w:gutter="0"/>
          <w:cols w:space="720"/>
          <w:titlePg/>
          <w:docGrid w:linePitch="360"/>
        </w:sectPr>
      </w:pPr>
    </w:p>
    <w:p w:rsidR="00B41039" w:rsidRDefault="00B41039" w:rsidP="00B41039"/>
    <w:p w:rsidR="00B26A0C" w:rsidRDefault="00B26A0C" w:rsidP="001D10C0">
      <w:pPr>
        <w:keepNext/>
        <w:keepLines/>
        <w:jc w:val="both"/>
      </w:pPr>
      <w:r>
        <w:tab/>
        <w:t xml:space="preserve">By ORDER of the Florida Public Service Commission this </w:t>
      </w:r>
      <w:bookmarkStart w:id="8" w:name="replaceDate"/>
      <w:bookmarkEnd w:id="8"/>
      <w:r w:rsidR="00341AAB">
        <w:rPr>
          <w:u w:val="single"/>
        </w:rPr>
        <w:t>27th</w:t>
      </w:r>
      <w:r w:rsidR="00341AAB">
        <w:t xml:space="preserve"> day of </w:t>
      </w:r>
      <w:r w:rsidR="00341AAB">
        <w:rPr>
          <w:u w:val="single"/>
        </w:rPr>
        <w:t>June</w:t>
      </w:r>
      <w:r w:rsidR="00341AAB">
        <w:t xml:space="preserve">, </w:t>
      </w:r>
      <w:r w:rsidR="00341AAB">
        <w:rPr>
          <w:u w:val="single"/>
        </w:rPr>
        <w:t>2018</w:t>
      </w:r>
      <w:r w:rsidR="00341AAB">
        <w:t>.</w:t>
      </w:r>
    </w:p>
    <w:p w:rsidR="00341AAB" w:rsidRPr="00341AAB" w:rsidRDefault="00341AAB" w:rsidP="001D10C0">
      <w:pPr>
        <w:keepNext/>
        <w:keepLines/>
        <w:jc w:val="both"/>
      </w:pPr>
    </w:p>
    <w:p w:rsidR="00B26A0C" w:rsidRDefault="00B26A0C" w:rsidP="00B26A0C">
      <w:pPr>
        <w:keepNext/>
        <w:keepLines/>
      </w:pPr>
    </w:p>
    <w:p w:rsidR="00B26A0C" w:rsidRDefault="00B26A0C" w:rsidP="00B26A0C">
      <w:pPr>
        <w:keepNext/>
        <w:keepLines/>
      </w:pPr>
    </w:p>
    <w:p w:rsidR="00B26A0C" w:rsidRDefault="00B26A0C" w:rsidP="00B26A0C">
      <w:pPr>
        <w:keepNext/>
        <w:keepLines/>
      </w:pPr>
    </w:p>
    <w:tbl>
      <w:tblPr>
        <w:tblW w:w="4720" w:type="dxa"/>
        <w:tblInd w:w="3800" w:type="dxa"/>
        <w:tblLayout w:type="fixed"/>
        <w:tblLook w:val="0000" w:firstRow="0" w:lastRow="0" w:firstColumn="0" w:lastColumn="0" w:noHBand="0" w:noVBand="0"/>
      </w:tblPr>
      <w:tblGrid>
        <w:gridCol w:w="686"/>
        <w:gridCol w:w="4034"/>
      </w:tblGrid>
      <w:tr w:rsidR="00B26A0C" w:rsidTr="00B26A0C">
        <w:tc>
          <w:tcPr>
            <w:tcW w:w="720" w:type="dxa"/>
            <w:shd w:val="clear" w:color="auto" w:fill="auto"/>
          </w:tcPr>
          <w:p w:rsidR="00B26A0C" w:rsidRDefault="00B26A0C" w:rsidP="00B26A0C">
            <w:pPr>
              <w:keepNext/>
              <w:keepLines/>
            </w:pPr>
            <w:bookmarkStart w:id="9" w:name="bkmrkSignature" w:colFirst="0" w:colLast="0"/>
          </w:p>
        </w:tc>
        <w:tc>
          <w:tcPr>
            <w:tcW w:w="4320" w:type="dxa"/>
            <w:tcBorders>
              <w:bottom w:val="single" w:sz="4" w:space="0" w:color="auto"/>
            </w:tcBorders>
            <w:shd w:val="clear" w:color="auto" w:fill="auto"/>
          </w:tcPr>
          <w:p w:rsidR="00B26A0C" w:rsidRDefault="00BA183A" w:rsidP="00B26A0C">
            <w:pPr>
              <w:keepNext/>
              <w:keepLines/>
            </w:pPr>
            <w:r>
              <w:t>/s/ Carlotta S. Stauffer</w:t>
            </w:r>
            <w:bookmarkStart w:id="10" w:name="_GoBack"/>
            <w:bookmarkEnd w:id="10"/>
          </w:p>
        </w:tc>
      </w:tr>
      <w:bookmarkEnd w:id="9"/>
      <w:tr w:rsidR="00B26A0C" w:rsidTr="00B26A0C">
        <w:tc>
          <w:tcPr>
            <w:tcW w:w="720" w:type="dxa"/>
            <w:shd w:val="clear" w:color="auto" w:fill="auto"/>
          </w:tcPr>
          <w:p w:rsidR="00B26A0C" w:rsidRDefault="00B26A0C" w:rsidP="00B26A0C">
            <w:pPr>
              <w:keepNext/>
              <w:keepLines/>
            </w:pPr>
          </w:p>
        </w:tc>
        <w:tc>
          <w:tcPr>
            <w:tcW w:w="4320" w:type="dxa"/>
            <w:tcBorders>
              <w:top w:val="single" w:sz="4" w:space="0" w:color="auto"/>
            </w:tcBorders>
            <w:shd w:val="clear" w:color="auto" w:fill="auto"/>
          </w:tcPr>
          <w:p w:rsidR="00B26A0C" w:rsidRDefault="00B26A0C" w:rsidP="00B26A0C">
            <w:pPr>
              <w:keepNext/>
              <w:keepLines/>
            </w:pPr>
            <w:r>
              <w:t>CARLOTTA S. STAUFFER</w:t>
            </w:r>
          </w:p>
          <w:p w:rsidR="00B26A0C" w:rsidRDefault="00B26A0C" w:rsidP="00B26A0C">
            <w:pPr>
              <w:keepNext/>
              <w:keepLines/>
            </w:pPr>
            <w:r>
              <w:t>Commission Clerk</w:t>
            </w:r>
          </w:p>
        </w:tc>
      </w:tr>
    </w:tbl>
    <w:p w:rsidR="00B26A0C" w:rsidRDefault="00B26A0C" w:rsidP="00B26A0C">
      <w:pPr>
        <w:pStyle w:val="OrderSigInfo"/>
        <w:keepNext/>
        <w:keepLines/>
      </w:pPr>
      <w:r>
        <w:t>Florida Public Service Commission</w:t>
      </w:r>
    </w:p>
    <w:p w:rsidR="00B26A0C" w:rsidRDefault="00B26A0C" w:rsidP="00B26A0C">
      <w:pPr>
        <w:pStyle w:val="OrderSigInfo"/>
        <w:keepNext/>
        <w:keepLines/>
      </w:pPr>
      <w:r>
        <w:t>2540 Shumard Oak Boulevard</w:t>
      </w:r>
    </w:p>
    <w:p w:rsidR="00B26A0C" w:rsidRDefault="00B26A0C" w:rsidP="00B26A0C">
      <w:pPr>
        <w:pStyle w:val="OrderSigInfo"/>
        <w:keepNext/>
        <w:keepLines/>
      </w:pPr>
      <w:r>
        <w:t>Tallahassee, Florida 32399</w:t>
      </w:r>
    </w:p>
    <w:p w:rsidR="00B26A0C" w:rsidRDefault="00B26A0C" w:rsidP="00B26A0C">
      <w:pPr>
        <w:pStyle w:val="OrderSigInfo"/>
        <w:keepNext/>
        <w:keepLines/>
      </w:pPr>
      <w:r>
        <w:t>(850) 413</w:t>
      </w:r>
      <w:r>
        <w:noBreakHyphen/>
        <w:t>6770</w:t>
      </w:r>
    </w:p>
    <w:p w:rsidR="00B26A0C" w:rsidRDefault="00B26A0C" w:rsidP="00B26A0C">
      <w:pPr>
        <w:pStyle w:val="OrderSigInfo"/>
        <w:keepNext/>
        <w:keepLines/>
      </w:pPr>
      <w:r>
        <w:t>www.floridapsc.com</w:t>
      </w:r>
    </w:p>
    <w:p w:rsidR="00B26A0C" w:rsidRDefault="00B26A0C" w:rsidP="00B26A0C">
      <w:pPr>
        <w:pStyle w:val="OrderSigInfo"/>
        <w:keepNext/>
        <w:keepLines/>
      </w:pPr>
    </w:p>
    <w:p w:rsidR="00B26A0C" w:rsidRDefault="00B26A0C" w:rsidP="00B26A0C">
      <w:pPr>
        <w:pStyle w:val="OrderSigInfo"/>
        <w:keepNext/>
        <w:keepLines/>
      </w:pPr>
      <w:r>
        <w:t>Copies furnished:  A copy of this document is provided to the parties of record at the time of issuance and, if applicable, interested persons.</w:t>
      </w:r>
    </w:p>
    <w:p w:rsidR="00B26A0C" w:rsidRDefault="00B26A0C" w:rsidP="00B26A0C">
      <w:pPr>
        <w:pStyle w:val="OrderBody"/>
        <w:keepNext/>
        <w:keepLines/>
      </w:pPr>
    </w:p>
    <w:p w:rsidR="00B26A0C" w:rsidRDefault="00B26A0C" w:rsidP="00B26A0C">
      <w:pPr>
        <w:keepNext/>
        <w:keepLines/>
      </w:pPr>
    </w:p>
    <w:p w:rsidR="00B26A0C" w:rsidRDefault="00B26A0C" w:rsidP="00B26A0C">
      <w:pPr>
        <w:keepNext/>
        <w:keepLines/>
      </w:pPr>
      <w:r>
        <w:t>AEH</w:t>
      </w:r>
    </w:p>
    <w:p w:rsidR="00B26A0C" w:rsidRDefault="00B26A0C" w:rsidP="00B41039"/>
    <w:p w:rsidR="00B26A0C" w:rsidRDefault="00B26A0C" w:rsidP="00B41039"/>
    <w:p w:rsidR="00CD1A05" w:rsidRDefault="00CD1A05" w:rsidP="00CD1A05">
      <w:pPr>
        <w:pStyle w:val="CenterUnderline"/>
      </w:pPr>
      <w:r>
        <w:t>NOTICE OF FURTHER PROCEEDINGS OR JUDICIAL REVIEW</w:t>
      </w:r>
    </w:p>
    <w:p w:rsidR="00B26A0C" w:rsidRDefault="00B26A0C" w:rsidP="00CD1A05">
      <w:pPr>
        <w:pStyle w:val="CenterUnderline"/>
      </w:pPr>
    </w:p>
    <w:p w:rsidR="00CD1A05" w:rsidRDefault="00CD1A05" w:rsidP="00CD1A05">
      <w:pPr>
        <w:pStyle w:val="OrderBody"/>
      </w:pPr>
    </w:p>
    <w:p w:rsidR="00CD1A05" w:rsidRDefault="00CD1A05" w:rsidP="00CD1A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1A05" w:rsidRDefault="00CD1A05" w:rsidP="00CD1A05">
      <w:pPr>
        <w:pStyle w:val="OrderBody"/>
      </w:pPr>
    </w:p>
    <w:p w:rsidR="00CD1A05" w:rsidRDefault="00CD1A05" w:rsidP="00CD1A0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D1A05" w:rsidRPr="00B26A0C" w:rsidRDefault="00CD1A05" w:rsidP="00CD1A05">
      <w:pPr>
        <w:pStyle w:val="OrderBody"/>
      </w:pPr>
    </w:p>
    <w:sectPr w:rsidR="00CD1A05" w:rsidRPr="00B26A0C" w:rsidSect="001D10C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0C" w:rsidRDefault="00B26A0C">
      <w:r>
        <w:separator/>
      </w:r>
    </w:p>
  </w:endnote>
  <w:endnote w:type="continuationSeparator" w:id="0">
    <w:p w:rsidR="00B26A0C" w:rsidRDefault="00B2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0C" w:rsidRDefault="00B26A0C">
      <w:r>
        <w:separator/>
      </w:r>
    </w:p>
  </w:footnote>
  <w:footnote w:type="continuationSeparator" w:id="0">
    <w:p w:rsidR="00B26A0C" w:rsidRDefault="00B26A0C">
      <w:r>
        <w:continuationSeparator/>
      </w:r>
    </w:p>
  </w:footnote>
  <w:footnote w:id="1">
    <w:p w:rsidR="001E488D" w:rsidRDefault="001E488D" w:rsidP="001E488D">
      <w:pPr>
        <w:pStyle w:val="FootnoteText"/>
      </w:pPr>
      <w:r>
        <w:rPr>
          <w:rStyle w:val="FootnoteReference"/>
        </w:rPr>
        <w:footnoteRef/>
      </w:r>
      <w:r w:rsidRPr="00031CAB">
        <w:rPr>
          <w:i/>
        </w:rPr>
        <w:t>See</w:t>
      </w:r>
      <w:r w:rsidRPr="00031CAB">
        <w:t xml:space="preserve"> </w:t>
      </w:r>
      <w:r>
        <w:t>Order No. PSC-10-0425-PCO-GU, i</w:t>
      </w:r>
      <w:r>
        <w:rPr>
          <w:color w:val="000000"/>
        </w:rPr>
        <w:t xml:space="preserve">ssued </w:t>
      </w:r>
      <w:r w:rsidRPr="00031CAB">
        <w:rPr>
          <w:color w:val="000000"/>
        </w:rPr>
        <w:t>Oct. 18, 2010</w:t>
      </w:r>
      <w:r>
        <w:rPr>
          <w:color w:val="000000"/>
        </w:rPr>
        <w:t xml:space="preserve">, in </w:t>
      </w:r>
      <w:r w:rsidRPr="00031CAB">
        <w:t>Docket No. 100315,</w:t>
      </w:r>
      <w:r w:rsidRPr="00031CAB">
        <w:rPr>
          <w:color w:val="000000"/>
        </w:rPr>
        <w:t xml:space="preserve"> </w:t>
      </w:r>
      <w:r>
        <w:rPr>
          <w:i/>
          <w:color w:val="000000"/>
        </w:rPr>
        <w:t>In r</w:t>
      </w:r>
      <w:r w:rsidRPr="00031CAB">
        <w:rPr>
          <w:i/>
          <w:color w:val="000000"/>
        </w:rPr>
        <w:t>e: Complaint by Miami-Dade Cty. for Order Requiring Fla. City Gas to Show Cause Why Tariff Rate Should Not Be Reduced &amp; for the Comm'n to Conduct A Rate Proceeding, Overearnings Proceeding, or Other Appropriate Proceeding Regarding Fla. City Gas' Acquisition Adjustment</w:t>
      </w:r>
      <w:r w:rsidRPr="00031CAB">
        <w:t xml:space="preserve"> </w:t>
      </w:r>
      <w:r>
        <w:t>where the Commission stated,</w:t>
      </w:r>
      <w:r w:rsidRPr="00031CAB">
        <w:t xml:space="preserve"> “</w:t>
      </w:r>
      <w:r w:rsidRPr="00031CAB">
        <w:rPr>
          <w:color w:val="000000"/>
        </w:rPr>
        <w:t xml:space="preserve">The purpose of our </w:t>
      </w:r>
      <w:r w:rsidRPr="00031CAB">
        <w:rPr>
          <w:color w:val="000000"/>
          <w:shd w:val="clear" w:color="auto" w:fill="FFFFFF"/>
        </w:rPr>
        <w:t>show</w:t>
      </w:r>
      <w:r w:rsidRPr="00031CAB">
        <w:rPr>
          <w:color w:val="000000"/>
        </w:rPr>
        <w:t xml:space="preserve"> </w:t>
      </w:r>
      <w:r w:rsidRPr="00031CAB">
        <w:rPr>
          <w:color w:val="000000"/>
          <w:shd w:val="clear" w:color="auto" w:fill="FFFFFF"/>
        </w:rPr>
        <w:t>cause</w:t>
      </w:r>
      <w:r w:rsidRPr="00031CAB">
        <w:rPr>
          <w:color w:val="000000"/>
        </w:rPr>
        <w:t xml:space="preserve"> procedures is to address specific instances where a utility knowingly refuses to comply with, or willfully violates, a specific </w:t>
      </w:r>
      <w:r w:rsidRPr="00031CAB">
        <w:rPr>
          <w:color w:val="000000"/>
          <w:shd w:val="clear" w:color="auto" w:fill="FFFFFF"/>
        </w:rPr>
        <w:t>Commission</w:t>
      </w:r>
      <w:r w:rsidRPr="00031CAB">
        <w:rPr>
          <w:color w:val="000000"/>
        </w:rPr>
        <w:t xml:space="preserve"> </w:t>
      </w:r>
      <w:r w:rsidRPr="00031CAB">
        <w:rPr>
          <w:color w:val="000000"/>
          <w:shd w:val="clear" w:color="auto" w:fill="FFFFFF"/>
        </w:rPr>
        <w:t>order</w:t>
      </w:r>
      <w:r w:rsidRPr="00031CAB">
        <w:rPr>
          <w:color w:val="000000"/>
        </w:rPr>
        <w:t>, rule or statute and to bring the utility into compliance…</w:t>
      </w:r>
      <w:r w:rsidR="00C2145C">
        <w:rPr>
          <w:color w:val="000000"/>
        </w:rPr>
        <w:t>[T]</w:t>
      </w:r>
      <w:r w:rsidRPr="00031CAB">
        <w:rPr>
          <w:color w:val="000000"/>
        </w:rPr>
        <w:t xml:space="preserve">he </w:t>
      </w:r>
      <w:r w:rsidRPr="00031CAB">
        <w:rPr>
          <w:color w:val="000000"/>
          <w:shd w:val="clear" w:color="auto" w:fill="FFFFFF"/>
        </w:rPr>
        <w:t>decision</w:t>
      </w:r>
      <w:r w:rsidRPr="00031CAB">
        <w:rPr>
          <w:color w:val="000000"/>
        </w:rPr>
        <w:t xml:space="preserve"> to invoke the </w:t>
      </w:r>
      <w:r w:rsidRPr="00031CAB">
        <w:rPr>
          <w:color w:val="000000"/>
          <w:shd w:val="clear" w:color="auto" w:fill="FFFFFF"/>
        </w:rPr>
        <w:t>Commission's</w:t>
      </w:r>
      <w:r w:rsidRPr="00031CAB">
        <w:rPr>
          <w:color w:val="000000"/>
        </w:rPr>
        <w:t xml:space="preserve"> </w:t>
      </w:r>
      <w:r w:rsidRPr="00031CAB">
        <w:rPr>
          <w:color w:val="000000"/>
          <w:shd w:val="clear" w:color="auto" w:fill="FFFFFF"/>
        </w:rPr>
        <w:t>show</w:t>
      </w:r>
      <w:r w:rsidRPr="00031CAB">
        <w:rPr>
          <w:color w:val="000000"/>
        </w:rPr>
        <w:t xml:space="preserve"> </w:t>
      </w:r>
      <w:r w:rsidRPr="00031CAB">
        <w:rPr>
          <w:color w:val="000000"/>
          <w:shd w:val="clear" w:color="auto" w:fill="FFFFFF"/>
        </w:rPr>
        <w:t>cause</w:t>
      </w:r>
      <w:r>
        <w:rPr>
          <w:color w:val="000000"/>
        </w:rPr>
        <w:t xml:space="preserve"> procedure is ultimately ours</w:t>
      </w:r>
      <w:r w:rsidRPr="00031CAB">
        <w:rPr>
          <w:color w:val="000000"/>
        </w:rPr>
        <w:t>.</w:t>
      </w:r>
      <w:r>
        <w:rPr>
          <w:color w:val="000000"/>
        </w:rPr>
        <w:t>”</w:t>
      </w:r>
    </w:p>
  </w:footnote>
  <w:footnote w:id="2">
    <w:p w:rsidR="001E488D" w:rsidRDefault="001E488D" w:rsidP="001E488D">
      <w:pPr>
        <w:pStyle w:val="FootnoteText"/>
      </w:pPr>
      <w:r>
        <w:rPr>
          <w:rStyle w:val="FootnoteReference"/>
        </w:rPr>
        <w:footnoteRef/>
      </w:r>
      <w:r w:rsidRPr="00F47239">
        <w:rPr>
          <w:i/>
        </w:rPr>
        <w:t>See also</w:t>
      </w:r>
      <w:r>
        <w:t xml:space="preserve"> </w:t>
      </w:r>
      <w:r w:rsidRPr="00E16AAE">
        <w:rPr>
          <w:i/>
        </w:rPr>
        <w:t>Dep</w:t>
      </w:r>
      <w:r>
        <w:rPr>
          <w:i/>
        </w:rPr>
        <w:t>artment</w:t>
      </w:r>
      <w:r w:rsidRPr="00E16AAE">
        <w:rPr>
          <w:i/>
        </w:rPr>
        <w:t xml:space="preserve"> of Bus</w:t>
      </w:r>
      <w:r>
        <w:rPr>
          <w:i/>
        </w:rPr>
        <w:t>iness</w:t>
      </w:r>
      <w:r w:rsidRPr="00E16AAE">
        <w:rPr>
          <w:i/>
        </w:rPr>
        <w:t xml:space="preserve"> and Prof</w:t>
      </w:r>
      <w:r>
        <w:rPr>
          <w:i/>
        </w:rPr>
        <w:t>essiona</w:t>
      </w:r>
      <w:r w:rsidRPr="00E16AAE">
        <w:rPr>
          <w:i/>
        </w:rPr>
        <w:t>l Regulation, Div. of Pari-Mutual Wagering v. Inv</w:t>
      </w:r>
      <w:r>
        <w:rPr>
          <w:i/>
        </w:rPr>
        <w:t>estment</w:t>
      </w:r>
      <w:r w:rsidRPr="00E16AAE">
        <w:rPr>
          <w:i/>
        </w:rPr>
        <w:t xml:space="preserve"> Corp. of Palm Beach</w:t>
      </w:r>
      <w:r w:rsidRPr="00E16AAE">
        <w:t xml:space="preserve">, </w:t>
      </w:r>
      <w:r>
        <w:t>747 So. 2d 374, 382 (Fla. 1999), where the court held, “</w:t>
      </w:r>
      <w:r w:rsidRPr="00E16AAE">
        <w:t>A declaratory statement procedure is intended to enable members of the public to definitively resolve ambiguities of law arising in the planning of their future affairs and to enable the public to secure definitive binding advice as to the applicability of agency-enforced law to a particular set of facts.</w:t>
      </w:r>
      <w:r>
        <w:t>”</w:t>
      </w:r>
    </w:p>
  </w:footnote>
  <w:footnote w:id="3">
    <w:p w:rsidR="001E488D" w:rsidRDefault="001E488D" w:rsidP="001E488D">
      <w:pPr>
        <w:pStyle w:val="FootnoteText"/>
      </w:pPr>
      <w:r>
        <w:rPr>
          <w:rStyle w:val="FootnoteReference"/>
        </w:rPr>
        <w:footnoteRef/>
      </w:r>
      <w:r w:rsidRPr="00A0260F">
        <w:rPr>
          <w:i/>
          <w:iCs/>
          <w:color w:val="000000"/>
        </w:rPr>
        <w:t>See also Fox v. State, Board of Osteopathic Medical Examiners,</w:t>
      </w:r>
      <w:r w:rsidRPr="00A0260F">
        <w:rPr>
          <w:color w:val="000000"/>
        </w:rPr>
        <w:t xml:space="preserve"> 395 So.2d 192 (Fla. 1st DCA 1981) (appropriate to deny petition for declaratory statement where issues raised currently pending in administrative hearings).</w:t>
      </w:r>
      <w:r w:rsidRPr="00B46396">
        <w:rPr>
          <w:color w:val="000000"/>
        </w:rPr>
        <w:t xml:space="preserve"> </w:t>
      </w:r>
      <w:r w:rsidRPr="00B46396">
        <w:rPr>
          <w:i/>
          <w:color w:val="000000"/>
          <w:shd w:val="clear" w:color="auto" w:fill="FFFFFF"/>
        </w:rPr>
        <w:t>See also Exxon Mobile Oil Corp. v. Dep't of Agric. &amp; Consumer Servs.</w:t>
      </w:r>
      <w:r w:rsidRPr="00B46396">
        <w:rPr>
          <w:color w:val="000000"/>
        </w:rPr>
        <w:t>, 50 So. 3d 755 (Fla. 1st DCA 2010)</w:t>
      </w:r>
      <w:r>
        <w:rPr>
          <w:color w:val="000000"/>
        </w:rPr>
        <w:t xml:space="preserve"> </w:t>
      </w:r>
      <w:r w:rsidRPr="00B46396">
        <w:rPr>
          <w:color w:val="000000"/>
        </w:rPr>
        <w:t xml:space="preserve">(stating that an administrative agency must decline to provide a </w:t>
      </w:r>
      <w:r w:rsidRPr="00B46396">
        <w:rPr>
          <w:color w:val="000000"/>
          <w:shd w:val="clear" w:color="auto" w:fill="FFFFFF"/>
        </w:rPr>
        <w:t>declaratory</w:t>
      </w:r>
      <w:r w:rsidRPr="00B46396">
        <w:rPr>
          <w:color w:val="000000"/>
        </w:rPr>
        <w:t xml:space="preserve"> </w:t>
      </w:r>
      <w:r w:rsidRPr="00B46396">
        <w:rPr>
          <w:color w:val="000000"/>
          <w:shd w:val="clear" w:color="auto" w:fill="FFFFFF"/>
        </w:rPr>
        <w:t>statement</w:t>
      </w:r>
      <w:r w:rsidRPr="00B46396">
        <w:rPr>
          <w:color w:val="000000"/>
        </w:rPr>
        <w:t xml:space="preserve"> when the </w:t>
      </w:r>
      <w:r w:rsidRPr="00B46396">
        <w:rPr>
          <w:color w:val="000000"/>
          <w:shd w:val="clear" w:color="auto" w:fill="FFFFFF"/>
        </w:rPr>
        <w:t>statement</w:t>
      </w:r>
      <w:r w:rsidRPr="00B46396">
        <w:rPr>
          <w:color w:val="000000"/>
        </w:rPr>
        <w:t xml:space="preserve"> would address </w:t>
      </w:r>
      <w:r w:rsidRPr="00B46396">
        <w:rPr>
          <w:color w:val="000000"/>
          <w:shd w:val="clear" w:color="auto" w:fill="FFFFFF"/>
        </w:rPr>
        <w:t>issues</w:t>
      </w:r>
      <w:r w:rsidRPr="00B46396">
        <w:rPr>
          <w:color w:val="000000"/>
        </w:rPr>
        <w:t xml:space="preserve"> currently pending in a judicial proceeding).</w:t>
      </w:r>
      <w:r w:rsidRPr="009A5C44">
        <w:rPr>
          <w:color w:val="000000"/>
        </w:rPr>
        <w:t xml:space="preserve"> </w:t>
      </w:r>
      <w:r w:rsidRPr="00F82A7F">
        <w:rPr>
          <w:color w:val="000000"/>
        </w:rPr>
        <w:t xml:space="preserve">The purpose of a </w:t>
      </w:r>
      <w:r w:rsidRPr="00F82A7F">
        <w:rPr>
          <w:color w:val="000000"/>
          <w:shd w:val="clear" w:color="auto" w:fill="FFFFFF"/>
        </w:rPr>
        <w:t>declaratory</w:t>
      </w:r>
      <w:r w:rsidRPr="00F82A7F">
        <w:rPr>
          <w:color w:val="000000"/>
        </w:rPr>
        <w:t xml:space="preserve"> </w:t>
      </w:r>
      <w:r w:rsidRPr="00F82A7F">
        <w:rPr>
          <w:color w:val="000000"/>
          <w:shd w:val="clear" w:color="auto" w:fill="FFFFFF"/>
        </w:rPr>
        <w:t>statement</w:t>
      </w:r>
      <w:r w:rsidRPr="00F82A7F">
        <w:rPr>
          <w:color w:val="000000"/>
        </w:rPr>
        <w:t xml:space="preserve"> is to answer the petitioner's questions about how the statutes or rules apply to his own circumstances so that he may select a proper course of action. </w:t>
      </w:r>
      <w:r w:rsidRPr="00F82A7F">
        <w:rPr>
          <w:i/>
          <w:color w:val="000000"/>
        </w:rPr>
        <w:t>Carr v. Old Port Cove Prop. Owners Ass'n, Inc.,</w:t>
      </w:r>
      <w:r w:rsidRPr="00F82A7F">
        <w:rPr>
          <w:color w:val="000000"/>
        </w:rPr>
        <w:t xml:space="preserve"> 8 So. 3d 403, 404 (Fla. 4th DCA 2009)</w:t>
      </w:r>
      <w:r>
        <w:rPr>
          <w:color w:val="000000"/>
        </w:rPr>
        <w:t xml:space="preserve">. </w:t>
      </w:r>
      <w:r w:rsidRPr="00F55CAA">
        <w:rPr>
          <w:i/>
          <w:color w:val="000000"/>
        </w:rPr>
        <w:t>See also</w:t>
      </w:r>
      <w:r w:rsidRPr="00F55CAA">
        <w:t xml:space="preserve"> In </w:t>
      </w:r>
      <w:r w:rsidRPr="00F55CAA">
        <w:rPr>
          <w:color w:val="000000"/>
        </w:rPr>
        <w:t>Commission Order 21301</w:t>
      </w:r>
      <w:r w:rsidRPr="00F55CAA">
        <w:t xml:space="preserve">, issued May 31, 1989, in Docket No. 890415-EI, </w:t>
      </w:r>
      <w:r w:rsidRPr="00F55CAA">
        <w:rPr>
          <w:i/>
        </w:rPr>
        <w:t>In re: Petition of Tampa Electric Company for a declaratory statement regarding proposed transfer of service,</w:t>
      </w:r>
      <w:r w:rsidRPr="00F55CAA">
        <w:t xml:space="preserve"> </w:t>
      </w:r>
      <w:r>
        <w:t>(</w:t>
      </w:r>
      <w:r w:rsidRPr="00F55CAA">
        <w:t xml:space="preserve">the Commission denied </w:t>
      </w:r>
      <w:r>
        <w:t>TECO</w:t>
      </w:r>
      <w:r w:rsidRPr="00F55CAA">
        <w:t>’s request for declaratory statement, because the Commission found answering the request for declaratory statement was not likely to resolve al</w:t>
      </w:r>
      <w:r>
        <w:t>l of previously pending 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A183A">
      <w:fldChar w:fldCharType="begin"/>
    </w:r>
    <w:r w:rsidR="00BA183A">
      <w:instrText xml:space="preserve"> REF OrderNo0333 </w:instrText>
    </w:r>
    <w:r w:rsidR="00BA183A">
      <w:fldChar w:fldCharType="separate"/>
    </w:r>
    <w:r w:rsidR="00341AAB">
      <w:t>PSC-2018-0333-FOF-GU</w:t>
    </w:r>
    <w:r w:rsidR="00BA183A">
      <w:fldChar w:fldCharType="end"/>
    </w:r>
  </w:p>
  <w:p w:rsidR="00FA6EFD" w:rsidRDefault="00B26A0C">
    <w:pPr>
      <w:pStyle w:val="OrderHeader"/>
    </w:pPr>
    <w:bookmarkStart w:id="7" w:name="HeaderDocketNo"/>
    <w:bookmarkEnd w:id="7"/>
    <w:r>
      <w:t>DOCKET NO. 20180085-GU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183A">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05" w:rsidRDefault="00CD1A05" w:rsidP="00CD1A05">
    <w:pPr>
      <w:pStyle w:val="OrderHeader"/>
    </w:pPr>
    <w:r>
      <w:t xml:space="preserve">ORDER NO. </w:t>
    </w:r>
    <w:r w:rsidR="00341AAB">
      <w:t>PSC-2018-0333-FOF-GU</w:t>
    </w:r>
  </w:p>
  <w:p w:rsidR="00CD1A05" w:rsidRDefault="00CD1A05" w:rsidP="00CD1A05">
    <w:pPr>
      <w:pStyle w:val="OrderHeader"/>
    </w:pPr>
    <w:r>
      <w:t>DOCKET NO. 20180085-GU</w:t>
    </w:r>
  </w:p>
  <w:p w:rsidR="00CD1A05" w:rsidRDefault="00CD1A05" w:rsidP="00CD1A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183A">
      <w:rPr>
        <w:rStyle w:val="PageNumber"/>
        <w:noProof/>
      </w:rPr>
      <w:t>7</w:t>
    </w:r>
    <w:r>
      <w:rPr>
        <w:rStyle w:val="PageNumber"/>
      </w:rPr>
      <w:fldChar w:fldCharType="end"/>
    </w:r>
  </w:p>
  <w:p w:rsidR="00CD1A05" w:rsidRDefault="00CD1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E4BE0"/>
    <w:multiLevelType w:val="hybridMultilevel"/>
    <w:tmpl w:val="40045E02"/>
    <w:lvl w:ilvl="0" w:tplc="DCB21B9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5-GU"/>
  </w:docVars>
  <w:rsids>
    <w:rsidRoot w:val="00B26A0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6BA7"/>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10C0"/>
    <w:rsid w:val="001E0152"/>
    <w:rsid w:val="001E0FF5"/>
    <w:rsid w:val="001E488D"/>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4069"/>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1AAB"/>
    <w:rsid w:val="00345434"/>
    <w:rsid w:val="0035495B"/>
    <w:rsid w:val="00355A93"/>
    <w:rsid w:val="00361522"/>
    <w:rsid w:val="0037196E"/>
    <w:rsid w:val="003744F5"/>
    <w:rsid w:val="00387BDE"/>
    <w:rsid w:val="00390DD8"/>
    <w:rsid w:val="00394DC6"/>
    <w:rsid w:val="00397C3E"/>
    <w:rsid w:val="003B1A09"/>
    <w:rsid w:val="003D3332"/>
    <w:rsid w:val="003D4CCA"/>
    <w:rsid w:val="003D52A6"/>
    <w:rsid w:val="003D6416"/>
    <w:rsid w:val="003E1D48"/>
    <w:rsid w:val="003F1D2B"/>
    <w:rsid w:val="00411DF2"/>
    <w:rsid w:val="00411E8F"/>
    <w:rsid w:val="004161B0"/>
    <w:rsid w:val="0042527B"/>
    <w:rsid w:val="0042741B"/>
    <w:rsid w:val="0045537F"/>
    <w:rsid w:val="00457DC7"/>
    <w:rsid w:val="00472BCC"/>
    <w:rsid w:val="004A25CD"/>
    <w:rsid w:val="004A26CC"/>
    <w:rsid w:val="004A7A9D"/>
    <w:rsid w:val="004B2108"/>
    <w:rsid w:val="004B3A2B"/>
    <w:rsid w:val="004B70D3"/>
    <w:rsid w:val="004C312D"/>
    <w:rsid w:val="004D2D1B"/>
    <w:rsid w:val="004D5067"/>
    <w:rsid w:val="004D6838"/>
    <w:rsid w:val="004D72BC"/>
    <w:rsid w:val="004E469D"/>
    <w:rsid w:val="004F2DDE"/>
    <w:rsid w:val="004F7826"/>
    <w:rsid w:val="0050097F"/>
    <w:rsid w:val="00501D41"/>
    <w:rsid w:val="00514B1F"/>
    <w:rsid w:val="00525E93"/>
    <w:rsid w:val="0052671D"/>
    <w:rsid w:val="005416EC"/>
    <w:rsid w:val="0055595D"/>
    <w:rsid w:val="00556A10"/>
    <w:rsid w:val="00557F50"/>
    <w:rsid w:val="00571D3D"/>
    <w:rsid w:val="0058264B"/>
    <w:rsid w:val="005868AA"/>
    <w:rsid w:val="00587BF4"/>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3591"/>
    <w:rsid w:val="006531A4"/>
    <w:rsid w:val="00660774"/>
    <w:rsid w:val="0066389A"/>
    <w:rsid w:val="0066495C"/>
    <w:rsid w:val="00665CC7"/>
    <w:rsid w:val="00672612"/>
    <w:rsid w:val="00677F18"/>
    <w:rsid w:val="00693483"/>
    <w:rsid w:val="006A0BF3"/>
    <w:rsid w:val="006B0DA6"/>
    <w:rsid w:val="006B662A"/>
    <w:rsid w:val="006C547E"/>
    <w:rsid w:val="006C69BB"/>
    <w:rsid w:val="006D2B51"/>
    <w:rsid w:val="006D5575"/>
    <w:rsid w:val="006E2DA1"/>
    <w:rsid w:val="006E42BE"/>
    <w:rsid w:val="006F6205"/>
    <w:rsid w:val="00704C5D"/>
    <w:rsid w:val="007072BC"/>
    <w:rsid w:val="007150DC"/>
    <w:rsid w:val="00715275"/>
    <w:rsid w:val="00721B44"/>
    <w:rsid w:val="007232A2"/>
    <w:rsid w:val="00726366"/>
    <w:rsid w:val="00733B6B"/>
    <w:rsid w:val="00740808"/>
    <w:rsid w:val="007467C4"/>
    <w:rsid w:val="0076170F"/>
    <w:rsid w:val="0076669C"/>
    <w:rsid w:val="00766E46"/>
    <w:rsid w:val="00777727"/>
    <w:rsid w:val="00782B79"/>
    <w:rsid w:val="00784FF6"/>
    <w:rsid w:val="007865E9"/>
    <w:rsid w:val="00792383"/>
    <w:rsid w:val="00794341"/>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689A"/>
    <w:rsid w:val="00847B45"/>
    <w:rsid w:val="00863A66"/>
    <w:rsid w:val="008703D7"/>
    <w:rsid w:val="00874429"/>
    <w:rsid w:val="00877BD7"/>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28D5"/>
    <w:rsid w:val="00983BBB"/>
    <w:rsid w:val="009924CF"/>
    <w:rsid w:val="00994100"/>
    <w:rsid w:val="009A6B17"/>
    <w:rsid w:val="009C23DD"/>
    <w:rsid w:val="009D4C29"/>
    <w:rsid w:val="009F6AD2"/>
    <w:rsid w:val="00A00D8D"/>
    <w:rsid w:val="00A01BB6"/>
    <w:rsid w:val="00A4303C"/>
    <w:rsid w:val="00A470FD"/>
    <w:rsid w:val="00A50488"/>
    <w:rsid w:val="00A62DAB"/>
    <w:rsid w:val="00A6757A"/>
    <w:rsid w:val="00A726A6"/>
    <w:rsid w:val="00A74842"/>
    <w:rsid w:val="00A8255A"/>
    <w:rsid w:val="00A97535"/>
    <w:rsid w:val="00AA0180"/>
    <w:rsid w:val="00AA2BAA"/>
    <w:rsid w:val="00AA3F6A"/>
    <w:rsid w:val="00AA73F1"/>
    <w:rsid w:val="00AB0E1A"/>
    <w:rsid w:val="00AB1A30"/>
    <w:rsid w:val="00AB3C36"/>
    <w:rsid w:val="00AD10EB"/>
    <w:rsid w:val="00AD1ED3"/>
    <w:rsid w:val="00AD4376"/>
    <w:rsid w:val="00AF1258"/>
    <w:rsid w:val="00B02001"/>
    <w:rsid w:val="00B03C50"/>
    <w:rsid w:val="00B0777D"/>
    <w:rsid w:val="00B11576"/>
    <w:rsid w:val="00B1195F"/>
    <w:rsid w:val="00B14D10"/>
    <w:rsid w:val="00B209C7"/>
    <w:rsid w:val="00B26A0C"/>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183A"/>
    <w:rsid w:val="00BA44A8"/>
    <w:rsid w:val="00BF6691"/>
    <w:rsid w:val="00C028FC"/>
    <w:rsid w:val="00C037F2"/>
    <w:rsid w:val="00C0386D"/>
    <w:rsid w:val="00C03F9D"/>
    <w:rsid w:val="00C065A1"/>
    <w:rsid w:val="00C10ED5"/>
    <w:rsid w:val="00C151A6"/>
    <w:rsid w:val="00C2145C"/>
    <w:rsid w:val="00C24098"/>
    <w:rsid w:val="00C30A4E"/>
    <w:rsid w:val="00C411F3"/>
    <w:rsid w:val="00C44105"/>
    <w:rsid w:val="00C55A33"/>
    <w:rsid w:val="00C66692"/>
    <w:rsid w:val="00C673B5"/>
    <w:rsid w:val="00C7063D"/>
    <w:rsid w:val="00C830BC"/>
    <w:rsid w:val="00C8524D"/>
    <w:rsid w:val="00C91123"/>
    <w:rsid w:val="00CA71FF"/>
    <w:rsid w:val="00CA7C6F"/>
    <w:rsid w:val="00CB5276"/>
    <w:rsid w:val="00CB5BFC"/>
    <w:rsid w:val="00CB68D7"/>
    <w:rsid w:val="00CC7E68"/>
    <w:rsid w:val="00CD1A05"/>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647"/>
    <w:rsid w:val="00DA4EDD"/>
    <w:rsid w:val="00DA6B78"/>
    <w:rsid w:val="00DC1D94"/>
    <w:rsid w:val="00DC3673"/>
    <w:rsid w:val="00DC42CF"/>
    <w:rsid w:val="00DE057F"/>
    <w:rsid w:val="00DE2082"/>
    <w:rsid w:val="00DE2289"/>
    <w:rsid w:val="00DF09A7"/>
    <w:rsid w:val="00E001D6"/>
    <w:rsid w:val="00E03A76"/>
    <w:rsid w:val="00E04410"/>
    <w:rsid w:val="00E07484"/>
    <w:rsid w:val="00E11351"/>
    <w:rsid w:val="00E4225C"/>
    <w:rsid w:val="00E44879"/>
    <w:rsid w:val="00E51835"/>
    <w:rsid w:val="00E72914"/>
    <w:rsid w:val="00E75AE0"/>
    <w:rsid w:val="00E76F5C"/>
    <w:rsid w:val="00E83C1F"/>
    <w:rsid w:val="00EA172C"/>
    <w:rsid w:val="00EA259B"/>
    <w:rsid w:val="00EA35A3"/>
    <w:rsid w:val="00EA3E6A"/>
    <w:rsid w:val="00EB18EF"/>
    <w:rsid w:val="00EB7951"/>
    <w:rsid w:val="00ED2DAD"/>
    <w:rsid w:val="00ED6A79"/>
    <w:rsid w:val="00EE17DF"/>
    <w:rsid w:val="00EE35F4"/>
    <w:rsid w:val="00EF17FB"/>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fr"/>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rsid w:val="001E488D"/>
    <w:rPr>
      <w:sz w:val="24"/>
      <w:szCs w:val="24"/>
    </w:rPr>
  </w:style>
  <w:style w:type="character" w:customStyle="1" w:styleId="FooterChar">
    <w:name w:val="Footer Char"/>
    <w:basedOn w:val="DefaultParagraphFont"/>
    <w:link w:val="Footer"/>
    <w:rsid w:val="001E488D"/>
    <w:rPr>
      <w:sz w:val="24"/>
      <w:szCs w:val="24"/>
    </w:rPr>
  </w:style>
  <w:style w:type="paragraph" w:customStyle="1" w:styleId="IssueHeading">
    <w:name w:val="Issue Heading"/>
    <w:basedOn w:val="Heading1"/>
    <w:next w:val="BodyText"/>
    <w:link w:val="IssueHeadingChar"/>
    <w:qFormat/>
    <w:rsid w:val="001E488D"/>
    <w:pPr>
      <w:keepNext w:val="0"/>
    </w:pPr>
    <w:rPr>
      <w:rFonts w:ascii="Arial" w:hAnsi="Arial"/>
      <w:b/>
      <w:i/>
    </w:rPr>
  </w:style>
  <w:style w:type="character" w:customStyle="1" w:styleId="IssueHeadingChar">
    <w:name w:val="Issue Heading Char"/>
    <w:link w:val="IssueHeading"/>
    <w:rsid w:val="001E488D"/>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1E488D"/>
    <w:pPr>
      <w:jc w:val="center"/>
    </w:pPr>
    <w:rPr>
      <w:rFonts w:ascii="Arial" w:hAnsi="Arial"/>
      <w:b/>
    </w:rPr>
  </w:style>
  <w:style w:type="paragraph" w:customStyle="1" w:styleId="IssueSubsectionHeading">
    <w:name w:val="Issue Subsection Heading"/>
    <w:basedOn w:val="Heading2"/>
    <w:next w:val="BodyText"/>
    <w:link w:val="IssueSubsectionHeadingChar"/>
    <w:qFormat/>
    <w:rsid w:val="001E488D"/>
    <w:pPr>
      <w:keepNext w:val="0"/>
    </w:pPr>
    <w:rPr>
      <w:rFonts w:ascii="Arial" w:hAnsi="Arial"/>
      <w:b/>
      <w:i/>
    </w:rPr>
  </w:style>
  <w:style w:type="character" w:customStyle="1" w:styleId="IssueSubsectionHeadingChar">
    <w:name w:val="Issue Subsection Heading Char"/>
    <w:link w:val="IssueSubsectionHeading"/>
    <w:rsid w:val="001E488D"/>
    <w:rPr>
      <w:rFonts w:ascii="Arial" w:hAnsi="Arial" w:cs="Arial"/>
      <w:b/>
      <w:bCs/>
      <w:i/>
      <w:iCs/>
      <w:sz w:val="24"/>
      <w:szCs w:val="28"/>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1E488D"/>
  </w:style>
  <w:style w:type="paragraph" w:styleId="BalloonText">
    <w:name w:val="Balloon Text"/>
    <w:basedOn w:val="Normal"/>
    <w:link w:val="BalloonTextChar"/>
    <w:rsid w:val="009728D5"/>
    <w:rPr>
      <w:rFonts w:ascii="Tahoma" w:hAnsi="Tahoma" w:cs="Tahoma"/>
      <w:sz w:val="16"/>
      <w:szCs w:val="16"/>
    </w:rPr>
  </w:style>
  <w:style w:type="character" w:customStyle="1" w:styleId="BalloonTextChar">
    <w:name w:val="Balloon Text Char"/>
    <w:basedOn w:val="DefaultParagraphFont"/>
    <w:link w:val="BalloonText"/>
    <w:rsid w:val="00972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fr"/>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rsid w:val="001E488D"/>
    <w:rPr>
      <w:sz w:val="24"/>
      <w:szCs w:val="24"/>
    </w:rPr>
  </w:style>
  <w:style w:type="character" w:customStyle="1" w:styleId="FooterChar">
    <w:name w:val="Footer Char"/>
    <w:basedOn w:val="DefaultParagraphFont"/>
    <w:link w:val="Footer"/>
    <w:rsid w:val="001E488D"/>
    <w:rPr>
      <w:sz w:val="24"/>
      <w:szCs w:val="24"/>
    </w:rPr>
  </w:style>
  <w:style w:type="paragraph" w:customStyle="1" w:styleId="IssueHeading">
    <w:name w:val="Issue Heading"/>
    <w:basedOn w:val="Heading1"/>
    <w:next w:val="BodyText"/>
    <w:link w:val="IssueHeadingChar"/>
    <w:qFormat/>
    <w:rsid w:val="001E488D"/>
    <w:pPr>
      <w:keepNext w:val="0"/>
    </w:pPr>
    <w:rPr>
      <w:rFonts w:ascii="Arial" w:hAnsi="Arial"/>
      <w:b/>
      <w:i/>
    </w:rPr>
  </w:style>
  <w:style w:type="character" w:customStyle="1" w:styleId="IssueHeadingChar">
    <w:name w:val="Issue Heading Char"/>
    <w:link w:val="IssueHeading"/>
    <w:rsid w:val="001E488D"/>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1E488D"/>
    <w:pPr>
      <w:jc w:val="center"/>
    </w:pPr>
    <w:rPr>
      <w:rFonts w:ascii="Arial" w:hAnsi="Arial"/>
      <w:b/>
    </w:rPr>
  </w:style>
  <w:style w:type="paragraph" w:customStyle="1" w:styleId="IssueSubsectionHeading">
    <w:name w:val="Issue Subsection Heading"/>
    <w:basedOn w:val="Heading2"/>
    <w:next w:val="BodyText"/>
    <w:link w:val="IssueSubsectionHeadingChar"/>
    <w:qFormat/>
    <w:rsid w:val="001E488D"/>
    <w:pPr>
      <w:keepNext w:val="0"/>
    </w:pPr>
    <w:rPr>
      <w:rFonts w:ascii="Arial" w:hAnsi="Arial"/>
      <w:b/>
      <w:i/>
    </w:rPr>
  </w:style>
  <w:style w:type="character" w:customStyle="1" w:styleId="IssueSubsectionHeadingChar">
    <w:name w:val="Issue Subsection Heading Char"/>
    <w:link w:val="IssueSubsectionHeading"/>
    <w:rsid w:val="001E488D"/>
    <w:rPr>
      <w:rFonts w:ascii="Arial" w:hAnsi="Arial" w:cs="Arial"/>
      <w:b/>
      <w:bCs/>
      <w:i/>
      <w:iCs/>
      <w:sz w:val="24"/>
      <w:szCs w:val="28"/>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1E488D"/>
  </w:style>
  <w:style w:type="paragraph" w:styleId="BalloonText">
    <w:name w:val="Balloon Text"/>
    <w:basedOn w:val="Normal"/>
    <w:link w:val="BalloonTextChar"/>
    <w:rsid w:val="009728D5"/>
    <w:rPr>
      <w:rFonts w:ascii="Tahoma" w:hAnsi="Tahoma" w:cs="Tahoma"/>
      <w:sz w:val="16"/>
      <w:szCs w:val="16"/>
    </w:rPr>
  </w:style>
  <w:style w:type="character" w:customStyle="1" w:styleId="BalloonTextChar">
    <w:name w:val="Balloon Text Char"/>
    <w:basedOn w:val="DefaultParagraphFont"/>
    <w:link w:val="BalloonText"/>
    <w:rsid w:val="00972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2680</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2018-06-27T16:54:00Z</dcterms:created>
  <dcterms:modified xsi:type="dcterms:W3CDTF">2018-06-27T18:54:00Z</dcterms:modified>
</cp:coreProperties>
</file>