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FC27" w14:textId="77777777" w:rsidR="00CB5276" w:rsidRDefault="00163854" w:rsidP="00163854">
      <w:pPr>
        <w:pStyle w:val="OrderHeading"/>
      </w:pPr>
      <w:r>
        <w:t>BEFORE THE FLORIDA PUBLIC SERVICE COMMISSION</w:t>
      </w:r>
    </w:p>
    <w:p w14:paraId="7CA71E02" w14:textId="77777777" w:rsidR="00163854" w:rsidRDefault="00163854" w:rsidP="00163854">
      <w:pPr>
        <w:pStyle w:val="OrderBody"/>
      </w:pPr>
    </w:p>
    <w:p w14:paraId="32373B9F" w14:textId="77777777" w:rsidR="00163854" w:rsidRDefault="00163854" w:rsidP="00163854">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163854" w:rsidRPr="00C63FCF" w14:paraId="44980BDC" w14:textId="77777777" w:rsidTr="00C63FCF">
        <w:trPr>
          <w:trHeight w:val="828"/>
        </w:trPr>
        <w:tc>
          <w:tcPr>
            <w:tcW w:w="4788" w:type="dxa"/>
            <w:tcBorders>
              <w:bottom w:val="single" w:sz="8" w:space="0" w:color="auto"/>
              <w:right w:val="double" w:sz="6" w:space="0" w:color="auto"/>
            </w:tcBorders>
            <w:shd w:val="clear" w:color="auto" w:fill="auto"/>
          </w:tcPr>
          <w:p w14:paraId="0BF71736" w14:textId="77777777" w:rsidR="00163854" w:rsidRDefault="00163854"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14:paraId="21421AEE" w14:textId="77777777" w:rsidR="00163854" w:rsidRDefault="00163854" w:rsidP="00163854">
            <w:pPr>
              <w:pStyle w:val="OrderBody"/>
            </w:pPr>
            <w:r>
              <w:t xml:space="preserve">DOCKET NO. </w:t>
            </w:r>
            <w:bookmarkStart w:id="1" w:name="SSDocketNo"/>
            <w:bookmarkEnd w:id="1"/>
            <w:r>
              <w:t>20210002-EG</w:t>
            </w:r>
          </w:p>
          <w:p w14:paraId="000FEBAA" w14:textId="32CF12A9" w:rsidR="00163854" w:rsidRDefault="00163854" w:rsidP="00C63FCF">
            <w:pPr>
              <w:pStyle w:val="OrderBody"/>
              <w:tabs>
                <w:tab w:val="center" w:pos="4320"/>
                <w:tab w:val="right" w:pos="8640"/>
              </w:tabs>
              <w:jc w:val="left"/>
            </w:pPr>
            <w:r>
              <w:t xml:space="preserve">ORDER NO. </w:t>
            </w:r>
            <w:bookmarkStart w:id="2" w:name="OrderNo0181"/>
            <w:r w:rsidR="007228A5">
              <w:t>PSC-2021-0181-PCO-EG</w:t>
            </w:r>
            <w:bookmarkEnd w:id="2"/>
          </w:p>
          <w:p w14:paraId="7DD08C01" w14:textId="4D0BA2DA" w:rsidR="00163854" w:rsidRDefault="00163854" w:rsidP="00C63FCF">
            <w:pPr>
              <w:pStyle w:val="OrderBody"/>
              <w:tabs>
                <w:tab w:val="center" w:pos="4320"/>
                <w:tab w:val="right" w:pos="8640"/>
              </w:tabs>
              <w:jc w:val="left"/>
            </w:pPr>
            <w:r>
              <w:t xml:space="preserve">ISSUED: </w:t>
            </w:r>
            <w:r w:rsidR="007228A5">
              <w:t>May 19, 2021</w:t>
            </w:r>
          </w:p>
        </w:tc>
      </w:tr>
    </w:tbl>
    <w:p w14:paraId="180BC407" w14:textId="77777777" w:rsidR="00163854" w:rsidRDefault="00163854" w:rsidP="00163854"/>
    <w:p w14:paraId="166BF080" w14:textId="77777777" w:rsidR="00163854" w:rsidRDefault="00163854" w:rsidP="00163854"/>
    <w:p w14:paraId="45F61B91" w14:textId="77777777" w:rsidR="00CB5276" w:rsidRDefault="00163854" w:rsidP="00163854">
      <w:pPr>
        <w:pStyle w:val="CenterUnderline"/>
      </w:pPr>
      <w:bookmarkStart w:id="3" w:name="Commissioners"/>
      <w:bookmarkEnd w:id="3"/>
      <w:r>
        <w:t>ORDER</w:t>
      </w:r>
      <w:bookmarkStart w:id="4" w:name="OrderTitle"/>
      <w:r>
        <w:t xml:space="preserve"> GRANTING INTERVENTION </w:t>
      </w:r>
      <w:bookmarkEnd w:id="4"/>
    </w:p>
    <w:p w14:paraId="0D8C64F1" w14:textId="77777777" w:rsidR="00163854" w:rsidRDefault="00163854" w:rsidP="00163854">
      <w:pPr>
        <w:pStyle w:val="CenterUnderline"/>
      </w:pPr>
    </w:p>
    <w:p w14:paraId="5E092E2B" w14:textId="77777777" w:rsidR="00163854" w:rsidRDefault="007B5BD5" w:rsidP="0083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Energy Conservation Cost Recovery (ECCR) Clause allows public utilities to seek recovery of costs for energy conservation programs on an annual basis, pursuant to Sections 366.80-366.83, Florida Statutes (F.S.), and Chapter 25-17.015, Florida Administrative Code (F.A.C.).  As part of the Florida Public Service Commission’s (Commission’s) continuing energy conservation cost recovery proceeding, the Commission has set a hearing in </w:t>
      </w:r>
      <w:r w:rsidR="00324108">
        <w:t xml:space="preserve">this </w:t>
      </w:r>
      <w:r>
        <w:t>docket for November 2 – 4, 2021.</w:t>
      </w:r>
      <w:r w:rsidR="005C59FF">
        <w:t xml:space="preserve"> Order No. PSC-2021-0075-PCO-EG, issued on February 10, 2021, set forth the procedural requirements for all parties to this docket.</w:t>
      </w:r>
      <w:r>
        <w:t xml:space="preserve"> </w:t>
      </w:r>
      <w:r w:rsidR="00836201">
        <w:t>The public utilities that are parties to this docket are Florida Power &amp; L</w:t>
      </w:r>
      <w:r w:rsidR="00900167">
        <w:t>ight Company (FPL), Gulf Power C</w:t>
      </w:r>
      <w:r w:rsidR="00836201">
        <w:t xml:space="preserve">ompany (Gulf), </w:t>
      </w:r>
      <w:r w:rsidR="00BB658C">
        <w:t xml:space="preserve">Duke Energy Florida, LLC (DEF), </w:t>
      </w:r>
      <w:r w:rsidR="00836201">
        <w:t xml:space="preserve">Tampa Electric Company (TECO), and Florida Public Utilities Company (FPUC). </w:t>
      </w:r>
      <w:r w:rsidR="00324108">
        <w:t xml:space="preserve">Other parties to this docket include the Office of Public Counsel (OPC), Florida Industrial Power Users Group (FIPUG), and White Springs Agricultural Chemicals, Inc. d/b/a PCS Phosphate (PCS Phosphate). </w:t>
      </w:r>
    </w:p>
    <w:p w14:paraId="213CFF70" w14:textId="77777777" w:rsidR="00836201" w:rsidRDefault="00836201" w:rsidP="00836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C204108" w14:textId="77777777" w:rsidR="00163854" w:rsidRPr="00173CF1" w:rsidRDefault="00163854" w:rsidP="00163854">
      <w:pPr>
        <w:jc w:val="both"/>
        <w:rPr>
          <w:u w:val="single"/>
        </w:rPr>
      </w:pPr>
      <w:r w:rsidRPr="00173CF1">
        <w:rPr>
          <w:u w:val="single"/>
        </w:rPr>
        <w:t>Petition for Intervention</w:t>
      </w:r>
    </w:p>
    <w:p w14:paraId="3C6BA57A" w14:textId="77777777" w:rsidR="00163854" w:rsidRDefault="00163854" w:rsidP="00163854">
      <w:pPr>
        <w:jc w:val="both"/>
      </w:pPr>
    </w:p>
    <w:p w14:paraId="08B7FD6F" w14:textId="77777777" w:rsidR="00C0597F" w:rsidRDefault="00163854" w:rsidP="00C0597F">
      <w:pPr>
        <w:ind w:firstLine="720"/>
        <w:jc w:val="both"/>
      </w:pPr>
      <w:r>
        <w:t xml:space="preserve">By motion dated April 12, 2021, </w:t>
      </w:r>
      <w:r w:rsidRPr="00EB5771">
        <w:t xml:space="preserve">the </w:t>
      </w:r>
      <w:r>
        <w:t>Southern Alliance for Clean Energy (SACE)</w:t>
      </w:r>
      <w:r w:rsidRPr="00EB5771">
        <w:t xml:space="preserve"> </w:t>
      </w:r>
      <w:r w:rsidR="007B5BD5">
        <w:t xml:space="preserve">filed </w:t>
      </w:r>
      <w:r w:rsidR="00900167">
        <w:t>its</w:t>
      </w:r>
      <w:r w:rsidR="007B5BD5">
        <w:t xml:space="preserve"> Petition for Intervention</w:t>
      </w:r>
      <w:r w:rsidRPr="00EB5771">
        <w:t>.</w:t>
      </w:r>
      <w:r w:rsidR="007B5BD5">
        <w:t xml:space="preserve"> </w:t>
      </w:r>
      <w:r w:rsidR="00781DC2">
        <w:t>SACE</w:t>
      </w:r>
      <w:r w:rsidR="0078230D">
        <w:t xml:space="preserve"> states that it</w:t>
      </w:r>
      <w:r w:rsidR="00781DC2">
        <w:t xml:space="preserve"> is a non-profit clean energy corporation organized under the laws of Tennessee and authorized to conduct operations in the State of Florida. SACE explains that its mission is to advocate for energy plans, policies, and systems that best serve the environmental, public health, and economic interest of communities in the Southeast, including Florida. </w:t>
      </w:r>
      <w:r w:rsidR="0078230D">
        <w:t>S</w:t>
      </w:r>
      <w:r w:rsidR="007B5BD5">
        <w:t xml:space="preserve">ACE </w:t>
      </w:r>
      <w:r w:rsidR="00836201">
        <w:t>affirms</w:t>
      </w:r>
      <w:r w:rsidR="007B5BD5">
        <w:t xml:space="preserve"> that</w:t>
      </w:r>
      <w:r w:rsidR="00781DC2">
        <w:t xml:space="preserve"> </w:t>
      </w:r>
      <w:r w:rsidR="0078230D">
        <w:t xml:space="preserve">as part of its mission, </w:t>
      </w:r>
      <w:r w:rsidR="00781DC2">
        <w:t xml:space="preserve">it advocates for scaling up implementation of energy efficiency as a resource for electric utilities. SACE provides that it has presented experts and provided technical and policy testimony in numerous forums throughout Florida, including </w:t>
      </w:r>
      <w:r w:rsidR="00900167">
        <w:t>before the</w:t>
      </w:r>
      <w:r w:rsidR="00781DC2">
        <w:t xml:space="preserve"> Commission.</w:t>
      </w:r>
      <w:r w:rsidR="00C0597F">
        <w:t xml:space="preserve"> </w:t>
      </w:r>
      <w:r w:rsidR="00781DC2">
        <w:t xml:space="preserve">SACE continues that it has been granted party status in numerous dockets </w:t>
      </w:r>
      <w:proofErr w:type="gramStart"/>
      <w:r w:rsidR="00781DC2">
        <w:t>that</w:t>
      </w:r>
      <w:proofErr w:type="gramEnd"/>
      <w:r w:rsidR="00781DC2">
        <w:t xml:space="preserve"> relate to economic impacts to customers, and was a party to the ECCR </w:t>
      </w:r>
      <w:r w:rsidR="00C0597F">
        <w:t xml:space="preserve">Clause </w:t>
      </w:r>
      <w:r w:rsidR="00781DC2">
        <w:t xml:space="preserve">docket </w:t>
      </w:r>
      <w:r w:rsidR="00D00593">
        <w:t xml:space="preserve">from 2011 to 2014. </w:t>
      </w:r>
    </w:p>
    <w:p w14:paraId="15824313" w14:textId="77777777" w:rsidR="00C0597F" w:rsidRDefault="00C0597F" w:rsidP="00C0597F">
      <w:pPr>
        <w:ind w:firstLine="720"/>
        <w:jc w:val="both"/>
      </w:pPr>
    </w:p>
    <w:p w14:paraId="4153E8C6" w14:textId="77777777" w:rsidR="00DD40FB" w:rsidRDefault="00D00593" w:rsidP="00DD40FB">
      <w:pPr>
        <w:ind w:firstLine="720"/>
        <w:jc w:val="both"/>
      </w:pPr>
      <w:r>
        <w:t xml:space="preserve">SACE </w:t>
      </w:r>
      <w:r w:rsidR="0078230D">
        <w:t>contends</w:t>
      </w:r>
      <w:r w:rsidR="00836201">
        <w:t xml:space="preserve"> that there are a substantial number of SACE members residing in FPL</w:t>
      </w:r>
      <w:r w:rsidR="00BB658C">
        <w:t xml:space="preserve">, Gulf, </w:t>
      </w:r>
      <w:r w:rsidR="00030697">
        <w:t xml:space="preserve">DEF, and </w:t>
      </w:r>
      <w:r w:rsidR="00BB658C">
        <w:t>TECO’s service territories.</w:t>
      </w:r>
      <w:r w:rsidR="0078230D">
        <w:t xml:space="preserve"> </w:t>
      </w:r>
      <w:r w:rsidR="00BB658C">
        <w:t xml:space="preserve">SACE </w:t>
      </w:r>
      <w:r w:rsidR="0078230D">
        <w:t xml:space="preserve">asserts </w:t>
      </w:r>
      <w:r w:rsidR="00324108">
        <w:t>t</w:t>
      </w:r>
      <w:r w:rsidR="00BB658C">
        <w:t>ha</w:t>
      </w:r>
      <w:r w:rsidR="00790A24">
        <w:t>t in this proceeding</w:t>
      </w:r>
      <w:r w:rsidR="00C90A5E">
        <w:t>,</w:t>
      </w:r>
      <w:r w:rsidR="00790A24">
        <w:t xml:space="preserve"> </w:t>
      </w:r>
      <w:r w:rsidR="00BB658C" w:rsidRPr="007D3810">
        <w:t>the Commission</w:t>
      </w:r>
      <w:r w:rsidR="00790A24">
        <w:t xml:space="preserve"> will decide which DSM program costs have been prudently incurred by utilities, and the conservation cost recovery factors that will be applied to and recovered through electricity bills. SACE </w:t>
      </w:r>
      <w:r w:rsidR="0078230D">
        <w:t>argues</w:t>
      </w:r>
      <w:r w:rsidR="00C90A5E">
        <w:t xml:space="preserve"> that</w:t>
      </w:r>
      <w:r w:rsidR="00790A24">
        <w:t xml:space="preserve"> </w:t>
      </w:r>
      <w:r w:rsidR="00C90A5E">
        <w:t xml:space="preserve">residential customers of the electric utilities that are parties to this proceeding, including those that are SACE members, will be affected by the decisions that flow from this docket. </w:t>
      </w:r>
    </w:p>
    <w:p w14:paraId="4B15C899" w14:textId="77777777" w:rsidR="00DD40FB" w:rsidRDefault="00DD40FB" w:rsidP="00DD40FB">
      <w:pPr>
        <w:ind w:firstLine="720"/>
        <w:jc w:val="both"/>
      </w:pPr>
    </w:p>
    <w:p w14:paraId="1DBD792A" w14:textId="77777777" w:rsidR="00BB658C" w:rsidRDefault="00C90A5E" w:rsidP="00DD40FB">
      <w:pPr>
        <w:ind w:firstLine="720"/>
        <w:jc w:val="both"/>
      </w:pPr>
      <w:r>
        <w:lastRenderedPageBreak/>
        <w:t xml:space="preserve">SACE </w:t>
      </w:r>
      <w:r w:rsidR="00D85A30">
        <w:t xml:space="preserve">avers that </w:t>
      </w:r>
      <w:r w:rsidR="009D3D0C">
        <w:t>this proceeding substantially affects the purpose and mission of SACE and its members in advocating for responsible and equitable energy choices that best serve the economic and environmental interests of Floridians, includ</w:t>
      </w:r>
      <w:r w:rsidR="00DD40FB">
        <w:t>ing those that are SACE members</w:t>
      </w:r>
      <w:r w:rsidR="00635442">
        <w:t xml:space="preserve">. SACE alleges that its interests are exactly the type this proceeding is designed to protect. </w:t>
      </w:r>
      <w:r w:rsidR="00BB658C">
        <w:t>SACE contends that the type of relief requested is appropriate on behalf of SACE members</w:t>
      </w:r>
      <w:r w:rsidR="00C0597F">
        <w:t>,</w:t>
      </w:r>
      <w:r w:rsidR="00BB658C">
        <w:t xml:space="preserve"> because</w:t>
      </w:r>
      <w:r w:rsidR="00635442">
        <w:t xml:space="preserve"> the subject matter of this proceeding </w:t>
      </w:r>
      <w:r w:rsidR="00BB658C">
        <w:t>is within the scope and interest of the activities of SACE as set forth above.</w:t>
      </w:r>
      <w:r w:rsidR="00324108" w:rsidRPr="00324108">
        <w:t xml:space="preserve"> </w:t>
      </w:r>
      <w:r w:rsidR="00324108">
        <w:t>SACE is authorized by its bylaws to represent its interests and the interests of its members in administrative proceedings.</w:t>
      </w:r>
    </w:p>
    <w:p w14:paraId="08DE0319" w14:textId="77777777" w:rsidR="00BB658C" w:rsidRDefault="00BB658C" w:rsidP="00BB658C">
      <w:pPr>
        <w:ind w:firstLine="720"/>
        <w:jc w:val="both"/>
      </w:pPr>
    </w:p>
    <w:p w14:paraId="48298A75" w14:textId="77777777" w:rsidR="00BB658C" w:rsidRPr="00C922FD" w:rsidRDefault="00BB658C" w:rsidP="00BB658C">
      <w:pPr>
        <w:ind w:firstLine="720"/>
        <w:jc w:val="both"/>
      </w:pPr>
      <w:r>
        <w:t xml:space="preserve">Pursuant to Rule 28-106.204(3), Florida Administrative Code (F.A.C.), SACE contacted </w:t>
      </w:r>
      <w:r w:rsidR="00635442">
        <w:t xml:space="preserve">the parties to this proceeding, and states that FPL, Gulf, DEF, TECO, FPUC, FIPUG, and PCS Phosphate take no position on its Petition for Intervention. </w:t>
      </w:r>
      <w:r>
        <w:t xml:space="preserve">SACE </w:t>
      </w:r>
      <w:r w:rsidR="00635442">
        <w:t xml:space="preserve">also contacted the </w:t>
      </w:r>
      <w:r>
        <w:t>Office of Public Counsel</w:t>
      </w:r>
      <w:r w:rsidRPr="000B1CFC">
        <w:t xml:space="preserve"> </w:t>
      </w:r>
      <w:r w:rsidR="00635442">
        <w:t xml:space="preserve">but was not able to identify its position by the time it filed its Petition. </w:t>
      </w:r>
    </w:p>
    <w:p w14:paraId="7CB18311" w14:textId="77777777" w:rsidR="00781DC2" w:rsidRDefault="00781DC2" w:rsidP="00781DC2">
      <w:pPr>
        <w:ind w:firstLine="720"/>
        <w:jc w:val="both"/>
      </w:pPr>
    </w:p>
    <w:p w14:paraId="40FE17D7" w14:textId="77777777" w:rsidR="00163854" w:rsidRPr="00173CF1" w:rsidRDefault="00163854" w:rsidP="00163854">
      <w:pPr>
        <w:jc w:val="both"/>
        <w:rPr>
          <w:u w:val="single"/>
        </w:rPr>
      </w:pPr>
      <w:r w:rsidRPr="00173CF1">
        <w:rPr>
          <w:u w:val="single"/>
        </w:rPr>
        <w:t>Standards for Intervention</w:t>
      </w:r>
    </w:p>
    <w:p w14:paraId="6EE565E6" w14:textId="77777777" w:rsidR="00163854" w:rsidRDefault="00163854" w:rsidP="00163854">
      <w:pPr>
        <w:jc w:val="both"/>
      </w:pPr>
    </w:p>
    <w:p w14:paraId="71831DBD" w14:textId="77777777" w:rsidR="00163854" w:rsidRDefault="00163854" w:rsidP="00163854">
      <w:pPr>
        <w:ind w:firstLine="720"/>
        <w:jc w:val="both"/>
      </w:pPr>
      <w:r>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w:t>
      </w:r>
      <w:proofErr w:type="spellStart"/>
      <w:r>
        <w:t>intervenor</w:t>
      </w:r>
      <w:proofErr w:type="spellEnd"/>
      <w:r>
        <w:t xml:space="preserve"> is entitled to participate in the proceeding as a matter of constitutional or statutory right or pursuant to Commission rule, or that the substantial interests of the </w:t>
      </w:r>
      <w:proofErr w:type="spellStart"/>
      <w:r>
        <w:t>intervenor</w:t>
      </w:r>
      <w:proofErr w:type="spellEnd"/>
      <w:r>
        <w:t xml:space="preserve"> are subject to determination or will be affected through the proceeding.  </w:t>
      </w:r>
      <w:proofErr w:type="spellStart"/>
      <w:r>
        <w:t>Intervenors</w:t>
      </w:r>
      <w:proofErr w:type="spellEnd"/>
      <w:r>
        <w:t xml:space="preserve"> take the case as they find it.</w:t>
      </w:r>
    </w:p>
    <w:p w14:paraId="4E18DF29" w14:textId="77777777" w:rsidR="00163854" w:rsidRDefault="00163854" w:rsidP="00163854">
      <w:pPr>
        <w:ind w:firstLine="720"/>
        <w:jc w:val="both"/>
      </w:pPr>
    </w:p>
    <w:p w14:paraId="2B35F958" w14:textId="77777777" w:rsidR="00900167" w:rsidRDefault="00163854" w:rsidP="00DD40FB">
      <w:pPr>
        <w:ind w:firstLine="720"/>
        <w:jc w:val="both"/>
      </w:pPr>
      <w:r>
        <w:t xml:space="preserve">To have standing, the </w:t>
      </w:r>
      <w:proofErr w:type="spellStart"/>
      <w:r>
        <w:t>intervenor</w:t>
      </w:r>
      <w:proofErr w:type="spellEnd"/>
      <w:r>
        <w:t xml:space="preserve"> must meet the three-prong standing test set forth in </w:t>
      </w:r>
      <w:r w:rsidRPr="00030697">
        <w:rPr>
          <w:i/>
        </w:rPr>
        <w:t>Florida Home Builders Association v. Department of Labor and Employment Security</w:t>
      </w:r>
      <w:r>
        <w:t xml:space="preserve">, 412 So. 2d 351, 353-54 (Fla. 1982), and </w:t>
      </w:r>
      <w:r w:rsidRPr="00030697">
        <w:rPr>
          <w:i/>
        </w:rPr>
        <w:t>Farmworker Rights Organization, Inc. v. Department of Health and Rehabilitative Services</w:t>
      </w:r>
      <w:r>
        <w:t xml:space="preserve">, 417 So. 2d 753, 754 (Fla. 1st DCA 1982), which is based on the basic standing principles established in </w:t>
      </w:r>
      <w:r w:rsidRPr="00030697">
        <w:rPr>
          <w:i/>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030697">
        <w:rPr>
          <w:i/>
        </w:rPr>
        <w:t>Fla. Home Builders</w:t>
      </w:r>
      <w:r>
        <w:t xml:space="preserve">, 412 So. 2d at 353-54; </w:t>
      </w:r>
      <w:r w:rsidRPr="00030697">
        <w:rPr>
          <w:i/>
        </w:rPr>
        <w:t>Farmworker Rights Org.</w:t>
      </w:r>
      <w:proofErr w:type="gramStart"/>
      <w:r>
        <w:t>,417</w:t>
      </w:r>
      <w:proofErr w:type="gramEnd"/>
      <w:r>
        <w:t xml:space="preserve"> So. 2d at 754.</w:t>
      </w:r>
    </w:p>
    <w:p w14:paraId="50AB6974" w14:textId="77777777" w:rsidR="00030697" w:rsidRPr="00D85A30" w:rsidRDefault="00900167" w:rsidP="00030697">
      <w:pPr>
        <w:jc w:val="both"/>
        <w:rPr>
          <w:u w:val="single"/>
        </w:rPr>
      </w:pPr>
      <w:r w:rsidRPr="00D85A30">
        <w:rPr>
          <w:u w:val="single"/>
        </w:rPr>
        <w:t>Analysis &amp; Ruling</w:t>
      </w:r>
    </w:p>
    <w:p w14:paraId="5AF961BA" w14:textId="77777777" w:rsidR="00900167" w:rsidRDefault="00900167" w:rsidP="00030697">
      <w:pPr>
        <w:jc w:val="both"/>
      </w:pPr>
    </w:p>
    <w:p w14:paraId="2C270D90" w14:textId="77777777" w:rsidR="00030697" w:rsidRPr="00EE7546" w:rsidRDefault="00030697" w:rsidP="00030697">
      <w:pPr>
        <w:ind w:firstLine="720"/>
        <w:jc w:val="both"/>
      </w:pPr>
      <w:r>
        <w:t xml:space="preserve">Based on the above representations, it appears SACE has met the associational standing requirements of </w:t>
      </w:r>
      <w:r w:rsidRPr="00030697">
        <w:rPr>
          <w:i/>
        </w:rPr>
        <w:t>Florida Home Builders</w:t>
      </w:r>
      <w:r>
        <w:t xml:space="preserve"> as stated above. As to the first prong, SACE asserts that a substantial number of its Florida members reside in </w:t>
      </w:r>
      <w:r w:rsidR="000E2FCD">
        <w:t xml:space="preserve">FPL, </w:t>
      </w:r>
      <w:r w:rsidR="00324108">
        <w:t xml:space="preserve">Gulf, </w:t>
      </w:r>
      <w:r w:rsidR="000E2FCD">
        <w:t>DEF, and TECO’s</w:t>
      </w:r>
      <w:r>
        <w:t xml:space="preserve"> service territories</w:t>
      </w:r>
      <w:r w:rsidR="000E2FCD">
        <w:t xml:space="preserve">, </w:t>
      </w:r>
      <w:r>
        <w:t>and that the substantial interests of those members will be affected by th</w:t>
      </w:r>
      <w:r w:rsidR="00324108">
        <w:t xml:space="preserve">e decision in this proceeding. </w:t>
      </w:r>
      <w:r>
        <w:t>As to the second prong, the subject matter of this proceeding falls within the purview of SACE’s general scope of interest</w:t>
      </w:r>
      <w:r w:rsidR="00172338">
        <w:t xml:space="preserve">. </w:t>
      </w:r>
      <w:r w:rsidR="00324108">
        <w:t xml:space="preserve">Also, </w:t>
      </w:r>
      <w:r w:rsidR="00172338">
        <w:t xml:space="preserve">SACE has represented its members’ interests before this Commission, </w:t>
      </w:r>
      <w:r w:rsidR="00F64143">
        <w:t>including</w:t>
      </w:r>
      <w:r w:rsidR="00172338">
        <w:t xml:space="preserve"> in this docket in previous years.</w:t>
      </w:r>
      <w:r>
        <w:t xml:space="preserve"> As to the third prong, the type of relief requested is appropriate for SACE to receive on behalf of its members</w:t>
      </w:r>
      <w:r w:rsidR="00172338">
        <w:t>,</w:t>
      </w:r>
      <w:r>
        <w:t xml:space="preserve"> as SACE is seeking a decision in this proceeding that considers SACE’s interests and the interests of SACE’s members. </w:t>
      </w:r>
    </w:p>
    <w:p w14:paraId="714023DA" w14:textId="77777777" w:rsidR="00163854" w:rsidRDefault="00163854" w:rsidP="00163854">
      <w:pPr>
        <w:ind w:firstLine="720"/>
        <w:jc w:val="both"/>
      </w:pPr>
    </w:p>
    <w:p w14:paraId="44AC5A88" w14:textId="77777777" w:rsidR="00163854" w:rsidRPr="00826D5E" w:rsidRDefault="00163854" w:rsidP="00163854">
      <w:pPr>
        <w:jc w:val="both"/>
      </w:pPr>
      <w:r w:rsidRPr="00826D5E">
        <w:tab/>
      </w:r>
      <w:r>
        <w:t>Based on the above representations,</w:t>
      </w:r>
      <w:r w:rsidRPr="00826D5E">
        <w:t xml:space="preserve"> it is</w:t>
      </w:r>
    </w:p>
    <w:p w14:paraId="2319E275" w14:textId="77777777" w:rsidR="00163854" w:rsidRPr="00826D5E" w:rsidRDefault="00163854" w:rsidP="00163854">
      <w:pPr>
        <w:jc w:val="both"/>
      </w:pPr>
    </w:p>
    <w:p w14:paraId="33116E2F" w14:textId="77777777" w:rsidR="00163854" w:rsidRDefault="00163854" w:rsidP="00163854">
      <w:pPr>
        <w:ind w:firstLine="720"/>
        <w:jc w:val="both"/>
      </w:pPr>
      <w:r>
        <w:t xml:space="preserve">ORDERED by Commissioner Andrew Giles Fay, as Prehearing Officer, that the Motion to Intervene filed by </w:t>
      </w:r>
      <w:r w:rsidR="00C0597F">
        <w:t xml:space="preserve">the </w:t>
      </w:r>
      <w:r>
        <w:t xml:space="preserve">Southern Alliance for Clean Energy is hereby granted as set forth in </w:t>
      </w:r>
      <w:proofErr w:type="gramStart"/>
      <w:r>
        <w:t>the  body</w:t>
      </w:r>
      <w:proofErr w:type="gramEnd"/>
      <w:r>
        <w:t xml:space="preserve"> of this Order. It is further</w:t>
      </w:r>
    </w:p>
    <w:p w14:paraId="3EBCC615" w14:textId="77777777" w:rsidR="00163854" w:rsidRDefault="00163854" w:rsidP="00163854">
      <w:pPr>
        <w:ind w:firstLine="720"/>
        <w:jc w:val="both"/>
      </w:pPr>
    </w:p>
    <w:p w14:paraId="6B07F8A1" w14:textId="77777777" w:rsidR="00163854" w:rsidRDefault="00163854" w:rsidP="00163854">
      <w:pPr>
        <w:ind w:firstLine="720"/>
        <w:jc w:val="both"/>
      </w:pPr>
      <w:r>
        <w:t xml:space="preserve">ORDERED that </w:t>
      </w:r>
      <w:r w:rsidR="00C0597F">
        <w:t xml:space="preserve">the </w:t>
      </w:r>
      <w:r>
        <w:t xml:space="preserve">Southern Alliance for Clean Energy takes the case as it finds it. It is further </w:t>
      </w:r>
    </w:p>
    <w:p w14:paraId="2BDA32FF" w14:textId="77777777" w:rsidR="00163854" w:rsidRDefault="00163854" w:rsidP="00163854">
      <w:pPr>
        <w:ind w:firstLine="720"/>
        <w:jc w:val="both"/>
      </w:pPr>
    </w:p>
    <w:p w14:paraId="6CE339E0" w14:textId="77777777" w:rsidR="00163854" w:rsidRDefault="00163854" w:rsidP="00163854">
      <w:pPr>
        <w:ind w:firstLine="720"/>
        <w:jc w:val="both"/>
      </w:pPr>
      <w:r>
        <w:t>ORDERED that all parties to this proceeding shall furnish copies of all testimony, exhibits, pleadings, and other documents which may hereinafter be filed in this proceeding to:</w:t>
      </w:r>
    </w:p>
    <w:p w14:paraId="64302D06" w14:textId="77777777" w:rsidR="00163854" w:rsidRDefault="00163854" w:rsidP="00163854">
      <w:pPr>
        <w:ind w:firstLine="720"/>
        <w:jc w:val="both"/>
      </w:pPr>
    </w:p>
    <w:p w14:paraId="273C39B0" w14:textId="77777777" w:rsidR="00172338" w:rsidRPr="00084667" w:rsidRDefault="00172338" w:rsidP="00172338">
      <w:pPr>
        <w:pStyle w:val="Default"/>
        <w:jc w:val="center"/>
        <w:rPr>
          <w:szCs w:val="28"/>
        </w:rPr>
      </w:pPr>
      <w:r w:rsidRPr="00084667">
        <w:rPr>
          <w:szCs w:val="28"/>
        </w:rPr>
        <w:t>George Cavros</w:t>
      </w:r>
    </w:p>
    <w:p w14:paraId="4C7DEE1A" w14:textId="77777777" w:rsidR="00172338" w:rsidRPr="00084667" w:rsidRDefault="00172338" w:rsidP="00172338">
      <w:pPr>
        <w:pStyle w:val="Default"/>
        <w:jc w:val="center"/>
        <w:rPr>
          <w:szCs w:val="28"/>
        </w:rPr>
      </w:pPr>
      <w:r w:rsidRPr="00084667">
        <w:rPr>
          <w:szCs w:val="28"/>
        </w:rPr>
        <w:t>Southern Alliance for Clean Energy</w:t>
      </w:r>
    </w:p>
    <w:p w14:paraId="16243B22" w14:textId="77777777" w:rsidR="00172338" w:rsidRPr="00084667" w:rsidRDefault="00172338" w:rsidP="00172338">
      <w:pPr>
        <w:pStyle w:val="Default"/>
        <w:jc w:val="center"/>
        <w:rPr>
          <w:szCs w:val="28"/>
        </w:rPr>
      </w:pPr>
      <w:r w:rsidRPr="00084667">
        <w:rPr>
          <w:szCs w:val="28"/>
        </w:rPr>
        <w:t>120 E. Oakland Park Blvd., Suite 105</w:t>
      </w:r>
    </w:p>
    <w:p w14:paraId="06FD391C" w14:textId="77777777" w:rsidR="00172338" w:rsidRPr="00084667" w:rsidRDefault="00172338" w:rsidP="00172338">
      <w:pPr>
        <w:pStyle w:val="Default"/>
        <w:jc w:val="center"/>
        <w:rPr>
          <w:sz w:val="22"/>
          <w:szCs w:val="23"/>
        </w:rPr>
      </w:pPr>
      <w:r w:rsidRPr="00084667">
        <w:rPr>
          <w:szCs w:val="28"/>
        </w:rPr>
        <w:t>Fort Lauderdale, FL 33334</w:t>
      </w:r>
    </w:p>
    <w:p w14:paraId="3B848BAA" w14:textId="77777777" w:rsidR="00172338" w:rsidRPr="00084667" w:rsidRDefault="00172338" w:rsidP="00172338">
      <w:pPr>
        <w:pStyle w:val="Default"/>
        <w:jc w:val="center"/>
        <w:rPr>
          <w:szCs w:val="28"/>
        </w:rPr>
      </w:pPr>
      <w:r w:rsidRPr="00084667">
        <w:rPr>
          <w:szCs w:val="28"/>
        </w:rPr>
        <w:t>(954) 295-5714</w:t>
      </w:r>
    </w:p>
    <w:p w14:paraId="66EEBDD7" w14:textId="77777777" w:rsidR="00172338" w:rsidRDefault="00706A1B" w:rsidP="00172338">
      <w:pPr>
        <w:pStyle w:val="Default"/>
        <w:jc w:val="center"/>
        <w:rPr>
          <w:szCs w:val="28"/>
        </w:rPr>
      </w:pPr>
      <w:hyperlink r:id="rId7" w:history="1">
        <w:r w:rsidR="00172338" w:rsidRPr="0058605B">
          <w:rPr>
            <w:rStyle w:val="Hyperlink"/>
            <w:szCs w:val="28"/>
          </w:rPr>
          <w:t>george@cavros-law.com</w:t>
        </w:r>
      </w:hyperlink>
    </w:p>
    <w:p w14:paraId="6FF5CD13" w14:textId="77777777" w:rsidR="00163854" w:rsidRDefault="00163854" w:rsidP="00163854">
      <w:pPr>
        <w:jc w:val="both"/>
      </w:pPr>
    </w:p>
    <w:p w14:paraId="02ED250D" w14:textId="636BB93C" w:rsidR="007228A5" w:rsidRDefault="00163854" w:rsidP="00163854">
      <w:pPr>
        <w:keepNext/>
        <w:keepLines/>
        <w:jc w:val="both"/>
      </w:pPr>
      <w:r>
        <w:lastRenderedPageBreak/>
        <w:tab/>
        <w:t xml:space="preserve">By ORDER of Commissioner Andrew Giles Fay, as Prehearing Officer, this </w:t>
      </w:r>
      <w:bookmarkStart w:id="5" w:name="replaceDate"/>
      <w:bookmarkEnd w:id="5"/>
      <w:r w:rsidR="00706A1B">
        <w:rPr>
          <w:u w:val="single"/>
        </w:rPr>
        <w:t>19th</w:t>
      </w:r>
      <w:r w:rsidR="00706A1B">
        <w:t xml:space="preserve"> day of </w:t>
      </w:r>
      <w:r w:rsidR="00706A1B">
        <w:rPr>
          <w:u w:val="single"/>
        </w:rPr>
        <w:t>May</w:t>
      </w:r>
      <w:r w:rsidR="00706A1B">
        <w:t xml:space="preserve">, </w:t>
      </w:r>
      <w:r w:rsidR="00706A1B">
        <w:rPr>
          <w:u w:val="single"/>
        </w:rPr>
        <w:t>2021</w:t>
      </w:r>
      <w:r w:rsidR="00706A1B">
        <w:t>.</w:t>
      </w:r>
    </w:p>
    <w:p w14:paraId="36AE2849" w14:textId="77777777" w:rsidR="00706A1B" w:rsidRPr="00706A1B" w:rsidRDefault="00706A1B" w:rsidP="00163854">
      <w:pPr>
        <w:keepNext/>
        <w:keepLines/>
        <w:jc w:val="both"/>
      </w:pPr>
    </w:p>
    <w:p w14:paraId="0BA0C366" w14:textId="77777777" w:rsidR="00163854" w:rsidRDefault="00163854" w:rsidP="00163854">
      <w:pPr>
        <w:keepNext/>
        <w:keepLines/>
        <w:jc w:val="both"/>
      </w:pPr>
    </w:p>
    <w:p w14:paraId="3174E391" w14:textId="77777777" w:rsidR="00163854" w:rsidRDefault="00163854" w:rsidP="00163854">
      <w:pPr>
        <w:keepNext/>
        <w:keepLines/>
        <w:jc w:val="both"/>
      </w:pPr>
    </w:p>
    <w:p w14:paraId="6C4AFE66" w14:textId="424B526F" w:rsidR="00163854" w:rsidRDefault="007228A5" w:rsidP="007228A5">
      <w:pPr>
        <w:keepNext/>
        <w:keepLines/>
        <w:tabs>
          <w:tab w:val="left" w:pos="5697"/>
        </w:tabs>
        <w:jc w:val="both"/>
      </w:pPr>
      <w:r>
        <w:tab/>
      </w:r>
    </w:p>
    <w:tbl>
      <w:tblPr>
        <w:tblW w:w="4720" w:type="dxa"/>
        <w:tblInd w:w="3640" w:type="dxa"/>
        <w:tblLayout w:type="fixed"/>
        <w:tblLook w:val="0000" w:firstRow="0" w:lastRow="0" w:firstColumn="0" w:lastColumn="0" w:noHBand="0" w:noVBand="0"/>
      </w:tblPr>
      <w:tblGrid>
        <w:gridCol w:w="686"/>
        <w:gridCol w:w="4034"/>
      </w:tblGrid>
      <w:tr w:rsidR="00163854" w14:paraId="0147A192" w14:textId="77777777" w:rsidTr="0018442D">
        <w:tc>
          <w:tcPr>
            <w:tcW w:w="686" w:type="dxa"/>
            <w:shd w:val="clear" w:color="auto" w:fill="auto"/>
          </w:tcPr>
          <w:p w14:paraId="140E8F43" w14:textId="77777777" w:rsidR="00163854" w:rsidRDefault="00163854" w:rsidP="00163854">
            <w:pPr>
              <w:keepNext/>
              <w:keepLines/>
              <w:jc w:val="both"/>
            </w:pPr>
            <w:bookmarkStart w:id="6" w:name="bkmrkSignature" w:colFirst="0" w:colLast="0"/>
          </w:p>
        </w:tc>
        <w:tc>
          <w:tcPr>
            <w:tcW w:w="4034" w:type="dxa"/>
            <w:tcBorders>
              <w:bottom w:val="single" w:sz="4" w:space="0" w:color="auto"/>
            </w:tcBorders>
            <w:shd w:val="clear" w:color="auto" w:fill="auto"/>
          </w:tcPr>
          <w:p w14:paraId="0D9AA8BA" w14:textId="08E023F5" w:rsidR="00163854" w:rsidRDefault="00706A1B" w:rsidP="00163854">
            <w:pPr>
              <w:keepNext/>
              <w:keepLines/>
              <w:jc w:val="both"/>
            </w:pPr>
            <w:r>
              <w:rPr>
                <w:noProof/>
              </w:rPr>
              <w:t>/s/ Andrew Giles Fay</w:t>
            </w:r>
            <w:bookmarkStart w:id="7" w:name="_GoBack"/>
            <w:bookmarkEnd w:id="7"/>
          </w:p>
        </w:tc>
      </w:tr>
      <w:bookmarkEnd w:id="6"/>
      <w:tr w:rsidR="00163854" w14:paraId="450E24BF" w14:textId="77777777" w:rsidTr="0018442D">
        <w:tc>
          <w:tcPr>
            <w:tcW w:w="686" w:type="dxa"/>
            <w:shd w:val="clear" w:color="auto" w:fill="auto"/>
          </w:tcPr>
          <w:p w14:paraId="340E01C8" w14:textId="77777777" w:rsidR="00163854" w:rsidRDefault="00163854" w:rsidP="00163854">
            <w:pPr>
              <w:keepNext/>
              <w:keepLines/>
              <w:jc w:val="both"/>
            </w:pPr>
          </w:p>
        </w:tc>
        <w:tc>
          <w:tcPr>
            <w:tcW w:w="4034" w:type="dxa"/>
            <w:tcBorders>
              <w:top w:val="single" w:sz="4" w:space="0" w:color="auto"/>
            </w:tcBorders>
            <w:shd w:val="clear" w:color="auto" w:fill="auto"/>
          </w:tcPr>
          <w:p w14:paraId="186721CA" w14:textId="77777777" w:rsidR="00163854" w:rsidRDefault="00163854" w:rsidP="00163854">
            <w:pPr>
              <w:keepNext/>
              <w:keepLines/>
              <w:jc w:val="both"/>
            </w:pPr>
            <w:r>
              <w:t>ANDREW GILES FAY</w:t>
            </w:r>
          </w:p>
          <w:p w14:paraId="4787EFFA" w14:textId="77777777" w:rsidR="00163854" w:rsidRDefault="00163854" w:rsidP="00163854">
            <w:pPr>
              <w:keepNext/>
              <w:keepLines/>
              <w:jc w:val="both"/>
            </w:pPr>
            <w:r>
              <w:t>Commissioner and Prehearing Officer</w:t>
            </w:r>
          </w:p>
        </w:tc>
      </w:tr>
    </w:tbl>
    <w:p w14:paraId="4AA48A27" w14:textId="77777777" w:rsidR="00163854" w:rsidRDefault="00163854" w:rsidP="00163854">
      <w:pPr>
        <w:pStyle w:val="OrderSigInfo"/>
        <w:keepNext/>
        <w:keepLines/>
      </w:pPr>
      <w:r>
        <w:t>Florida Public Service Commission</w:t>
      </w:r>
    </w:p>
    <w:p w14:paraId="2554E10C" w14:textId="77777777" w:rsidR="00163854" w:rsidRDefault="00163854" w:rsidP="00163854">
      <w:pPr>
        <w:pStyle w:val="OrderSigInfo"/>
        <w:keepNext/>
        <w:keepLines/>
      </w:pPr>
      <w:r>
        <w:t>2540 Shumard Oak Boulevard</w:t>
      </w:r>
    </w:p>
    <w:p w14:paraId="444A4BE5" w14:textId="77777777" w:rsidR="00163854" w:rsidRDefault="00163854" w:rsidP="00163854">
      <w:pPr>
        <w:pStyle w:val="OrderSigInfo"/>
        <w:keepNext/>
        <w:keepLines/>
      </w:pPr>
      <w:r>
        <w:t>Tallahassee, Florida 32399</w:t>
      </w:r>
    </w:p>
    <w:p w14:paraId="714E756B" w14:textId="77777777" w:rsidR="00163854" w:rsidRDefault="00163854" w:rsidP="00163854">
      <w:pPr>
        <w:pStyle w:val="OrderSigInfo"/>
        <w:keepNext/>
        <w:keepLines/>
      </w:pPr>
      <w:r>
        <w:t>(850) 413</w:t>
      </w:r>
      <w:r>
        <w:noBreakHyphen/>
        <w:t>6770</w:t>
      </w:r>
    </w:p>
    <w:p w14:paraId="69FB72EB" w14:textId="77777777" w:rsidR="00163854" w:rsidRDefault="00163854" w:rsidP="00163854">
      <w:pPr>
        <w:pStyle w:val="OrderSigInfo"/>
        <w:keepNext/>
        <w:keepLines/>
      </w:pPr>
      <w:r>
        <w:t>www.floridapsc.com</w:t>
      </w:r>
    </w:p>
    <w:p w14:paraId="6E7494AF" w14:textId="77777777" w:rsidR="00163854" w:rsidRDefault="00163854" w:rsidP="00163854">
      <w:pPr>
        <w:pStyle w:val="OrderSigInfo"/>
        <w:keepNext/>
        <w:keepLines/>
      </w:pPr>
    </w:p>
    <w:p w14:paraId="0978EC52" w14:textId="77777777" w:rsidR="00163854" w:rsidRDefault="00163854" w:rsidP="00163854">
      <w:pPr>
        <w:pStyle w:val="OrderSigInfo"/>
        <w:keepNext/>
        <w:keepLines/>
      </w:pPr>
      <w:r>
        <w:t>Copies furnished:  A copy of this document is provided to the parties of record at the time of issuance and, if applicable, interested persons.</w:t>
      </w:r>
    </w:p>
    <w:p w14:paraId="7F0ECB3E" w14:textId="77777777" w:rsidR="00163854" w:rsidRDefault="00163854" w:rsidP="00163854">
      <w:pPr>
        <w:pStyle w:val="OrderBody"/>
        <w:keepNext/>
        <w:keepLines/>
      </w:pPr>
    </w:p>
    <w:p w14:paraId="75981855" w14:textId="77777777" w:rsidR="00163854" w:rsidRDefault="00163854" w:rsidP="00163854">
      <w:pPr>
        <w:keepNext/>
        <w:keepLines/>
        <w:jc w:val="both"/>
      </w:pPr>
    </w:p>
    <w:p w14:paraId="66EA7D2C" w14:textId="77777777" w:rsidR="00163854" w:rsidRDefault="00163854" w:rsidP="00163854">
      <w:pPr>
        <w:keepNext/>
        <w:keepLines/>
        <w:jc w:val="both"/>
      </w:pPr>
      <w:r>
        <w:t>AJW</w:t>
      </w:r>
    </w:p>
    <w:p w14:paraId="4CD0EA68" w14:textId="77777777" w:rsidR="00163854" w:rsidRDefault="00163854" w:rsidP="00163854">
      <w:pPr>
        <w:jc w:val="both"/>
      </w:pPr>
    </w:p>
    <w:p w14:paraId="05BD876E" w14:textId="77777777" w:rsidR="00163854" w:rsidRDefault="00163854" w:rsidP="00163854"/>
    <w:p w14:paraId="53012CCD" w14:textId="77777777" w:rsidR="00163854" w:rsidRDefault="00163854" w:rsidP="00163854">
      <w:pPr>
        <w:pStyle w:val="CenterUnderline"/>
      </w:pPr>
      <w:r>
        <w:t>NOTICE OF FURTHER PROCEEDINGS OR JUDICIAL REVIEW</w:t>
      </w:r>
    </w:p>
    <w:p w14:paraId="6F2083E5" w14:textId="77777777" w:rsidR="00163854" w:rsidRDefault="00163854" w:rsidP="00163854">
      <w:pPr>
        <w:pStyle w:val="CenterUnderline"/>
      </w:pPr>
    </w:p>
    <w:p w14:paraId="4D70D6B6" w14:textId="3CA650F5" w:rsidR="00163854" w:rsidRDefault="00163854" w:rsidP="00163854">
      <w:pPr>
        <w:pStyle w:val="OrderBody"/>
      </w:pPr>
      <w:r>
        <w:tab/>
        <w:t>The Florida Public Service Commission is required by S</w:t>
      </w:r>
      <w:r w:rsidR="0018442D">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CE9DAF5" w14:textId="77777777" w:rsidR="00163854" w:rsidRDefault="00163854" w:rsidP="00163854">
      <w:pPr>
        <w:pStyle w:val="OrderBody"/>
      </w:pPr>
    </w:p>
    <w:p w14:paraId="3281D6DA" w14:textId="77777777" w:rsidR="00163854" w:rsidRDefault="00163854" w:rsidP="00163854">
      <w:pPr>
        <w:pStyle w:val="OrderBody"/>
      </w:pPr>
      <w:r>
        <w:tab/>
        <w:t>Mediation may be available on a case-by-case basis.  If mediation is conducted, it does not affect a substantially interested person's right to a hearing.</w:t>
      </w:r>
    </w:p>
    <w:p w14:paraId="3A1C27C3" w14:textId="77777777" w:rsidR="00163854" w:rsidRDefault="00163854" w:rsidP="00163854">
      <w:pPr>
        <w:pStyle w:val="OrderBody"/>
      </w:pPr>
    </w:p>
    <w:p w14:paraId="652E3104" w14:textId="77777777" w:rsidR="00163854" w:rsidRDefault="00163854" w:rsidP="0016385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81B43BD" w14:textId="77777777" w:rsidR="006E21C4" w:rsidRDefault="006E21C4" w:rsidP="00D57E57"/>
    <w:sectPr w:rsidR="006E21C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55189" w14:textId="77777777" w:rsidR="004352DB" w:rsidRDefault="004352DB">
      <w:r>
        <w:separator/>
      </w:r>
    </w:p>
  </w:endnote>
  <w:endnote w:type="continuationSeparator" w:id="0">
    <w:p w14:paraId="6B34B03B" w14:textId="77777777" w:rsidR="004352DB" w:rsidRDefault="0043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1A404" w14:textId="77777777" w:rsidR="00FA6EFD" w:rsidRDefault="00FA6EFD">
    <w:pPr>
      <w:pStyle w:val="Footer"/>
    </w:pPr>
  </w:p>
  <w:p w14:paraId="628DEC9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E1DB0" w14:textId="77777777" w:rsidR="004352DB" w:rsidRDefault="004352DB">
      <w:r>
        <w:separator/>
      </w:r>
    </w:p>
  </w:footnote>
  <w:footnote w:type="continuationSeparator" w:id="0">
    <w:p w14:paraId="5050B14B" w14:textId="77777777" w:rsidR="004352DB" w:rsidRDefault="004352DB">
      <w:r>
        <w:continuationSeparator/>
      </w:r>
    </w:p>
  </w:footnote>
  <w:footnote w:id="1">
    <w:p w14:paraId="2CC9E82E" w14:textId="77777777" w:rsidR="00163854" w:rsidRDefault="00163854" w:rsidP="00163854">
      <w:pPr>
        <w:pStyle w:val="FootnoteText"/>
      </w:pPr>
      <w:r>
        <w:rPr>
          <w:rStyle w:val="FootnoteReference"/>
        </w:rPr>
        <w:footnoteRef/>
      </w:r>
      <w:r w:rsidR="00C87E10">
        <w:t xml:space="preserve"> </w:t>
      </w:r>
      <w:r>
        <w:t xml:space="preserve">Under </w:t>
      </w:r>
      <w:r w:rsidRPr="00030697">
        <w:rPr>
          <w:i/>
        </w:rPr>
        <w:t>Agrico</w:t>
      </w:r>
      <w:r>
        <w:t xml:space="preserve">, the </w:t>
      </w:r>
      <w:proofErr w:type="spellStart"/>
      <w:r>
        <w:t>intervenor</w:t>
      </w:r>
      <w:proofErr w:type="spellEnd"/>
      <w:r>
        <w:t xml:space="preserve">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sidRPr="00030697">
        <w:rPr>
          <w:i/>
        </w:rPr>
        <w:t>International Jai-Alai Players Assn. v. Florida Pari-Mutuel Commission</w:t>
      </w:r>
      <w:r>
        <w:t xml:space="preserve">, 561 So. 2d 1224, 1225-26 (Fla. 3d DCA 1990).  </w:t>
      </w:r>
      <w:r w:rsidRPr="00030697">
        <w:rPr>
          <w:i/>
        </w:rPr>
        <w:t>See also</w:t>
      </w:r>
      <w:r w:rsidRPr="00030697">
        <w:t xml:space="preserve"> </w:t>
      </w:r>
      <w:r w:rsidRPr="00030697">
        <w:rPr>
          <w:i/>
        </w:rPr>
        <w:t>Village Park Mobile Home Assn., Inc. v. State Dept. of Business Regulation</w:t>
      </w:r>
      <w:r>
        <w:t xml:space="preserve">, 506 </w:t>
      </w:r>
      <w:proofErr w:type="gramStart"/>
      <w:r>
        <w:t>So</w:t>
      </w:r>
      <w:proofErr w:type="gramEnd"/>
      <w:r>
        <w:t xml:space="preserve">. 2d 426, 434 (Fla. 1st DCA 1987), </w:t>
      </w:r>
      <w:r w:rsidRPr="00030697">
        <w:rPr>
          <w:i/>
        </w:rPr>
        <w:t xml:space="preserve">rev. </w:t>
      </w:r>
      <w:proofErr w:type="gramStart"/>
      <w:r w:rsidRPr="00030697">
        <w:rPr>
          <w:i/>
        </w:rPr>
        <w:t>den</w:t>
      </w:r>
      <w:proofErr w:type="gramEnd"/>
      <w:r w:rsidRPr="00030697">
        <w:rPr>
          <w:i/>
        </w:rPr>
        <w:t>.</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43812" w14:textId="2E8BACE9" w:rsidR="00FA6EFD" w:rsidRDefault="00FA6EFD">
    <w:pPr>
      <w:pStyle w:val="OrderHeader"/>
    </w:pPr>
    <w:r>
      <w:t xml:space="preserve">ORDER NO. </w:t>
    </w:r>
    <w:fldSimple w:instr=" REF OrderNo0181 ">
      <w:r w:rsidR="00706A1B">
        <w:t>PSC-2021-0181-PCO-EG</w:t>
      </w:r>
    </w:fldSimple>
  </w:p>
  <w:p w14:paraId="6F37E041" w14:textId="77777777" w:rsidR="00FA6EFD" w:rsidRDefault="00163854">
    <w:pPr>
      <w:pStyle w:val="OrderHeader"/>
    </w:pPr>
    <w:bookmarkStart w:id="8" w:name="HeaderDocketNo"/>
    <w:bookmarkEnd w:id="8"/>
    <w:r>
      <w:t>DOCKET NO. 20210002-EG</w:t>
    </w:r>
  </w:p>
  <w:p w14:paraId="4DA31606" w14:textId="11E96D1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6A1B">
      <w:rPr>
        <w:rStyle w:val="PageNumber"/>
        <w:noProof/>
      </w:rPr>
      <w:t>3</w:t>
    </w:r>
    <w:r>
      <w:rPr>
        <w:rStyle w:val="PageNumber"/>
      </w:rPr>
      <w:fldChar w:fldCharType="end"/>
    </w:r>
  </w:p>
  <w:p w14:paraId="0490BA20"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2-EG"/>
  </w:docVars>
  <w:rsids>
    <w:rsidRoot w:val="00163854"/>
    <w:rsid w:val="000022B8"/>
    <w:rsid w:val="00011251"/>
    <w:rsid w:val="00025C9D"/>
    <w:rsid w:val="00030697"/>
    <w:rsid w:val="0003433F"/>
    <w:rsid w:val="00035A8C"/>
    <w:rsid w:val="00036BDD"/>
    <w:rsid w:val="00053AB9"/>
    <w:rsid w:val="00053D2F"/>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2FCD"/>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3854"/>
    <w:rsid w:val="001655D4"/>
    <w:rsid w:val="00165803"/>
    <w:rsid w:val="00172338"/>
    <w:rsid w:val="0018442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15C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4108"/>
    <w:rsid w:val="003270C4"/>
    <w:rsid w:val="00331ED0"/>
    <w:rsid w:val="00332B0A"/>
    <w:rsid w:val="00333A41"/>
    <w:rsid w:val="00345434"/>
    <w:rsid w:val="0035495B"/>
    <w:rsid w:val="00355A93"/>
    <w:rsid w:val="00357E27"/>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352DB"/>
    <w:rsid w:val="00436900"/>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54D7"/>
    <w:rsid w:val="005B63EA"/>
    <w:rsid w:val="005C1A88"/>
    <w:rsid w:val="005C5033"/>
    <w:rsid w:val="005C59FF"/>
    <w:rsid w:val="005D4E1B"/>
    <w:rsid w:val="005E751B"/>
    <w:rsid w:val="005F3354"/>
    <w:rsid w:val="005F4AD6"/>
    <w:rsid w:val="0060005E"/>
    <w:rsid w:val="0060095B"/>
    <w:rsid w:val="00601266"/>
    <w:rsid w:val="00610221"/>
    <w:rsid w:val="00610E73"/>
    <w:rsid w:val="00613B43"/>
    <w:rsid w:val="00616DF2"/>
    <w:rsid w:val="00622B7E"/>
    <w:rsid w:val="0062385D"/>
    <w:rsid w:val="0063168D"/>
    <w:rsid w:val="00635442"/>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6A1B"/>
    <w:rsid w:val="007072BC"/>
    <w:rsid w:val="00715275"/>
    <w:rsid w:val="00717A97"/>
    <w:rsid w:val="00721B44"/>
    <w:rsid w:val="007228A5"/>
    <w:rsid w:val="007232A2"/>
    <w:rsid w:val="00726366"/>
    <w:rsid w:val="00733B6B"/>
    <w:rsid w:val="00740808"/>
    <w:rsid w:val="007467C4"/>
    <w:rsid w:val="0076170F"/>
    <w:rsid w:val="0076669C"/>
    <w:rsid w:val="00766E46"/>
    <w:rsid w:val="00777727"/>
    <w:rsid w:val="0078166A"/>
    <w:rsid w:val="007816A6"/>
    <w:rsid w:val="00781DC2"/>
    <w:rsid w:val="0078230D"/>
    <w:rsid w:val="00782B79"/>
    <w:rsid w:val="00783811"/>
    <w:rsid w:val="007865E9"/>
    <w:rsid w:val="00790A24"/>
    <w:rsid w:val="0079237D"/>
    <w:rsid w:val="00792383"/>
    <w:rsid w:val="00794D5A"/>
    <w:rsid w:val="00794DD9"/>
    <w:rsid w:val="007A060F"/>
    <w:rsid w:val="007B350E"/>
    <w:rsid w:val="007B5BD5"/>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201"/>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0167"/>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3D0C"/>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1FA"/>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48D9"/>
    <w:rsid w:val="00B67A43"/>
    <w:rsid w:val="00B71D1F"/>
    <w:rsid w:val="00B72CFF"/>
    <w:rsid w:val="00B73DE6"/>
    <w:rsid w:val="00B761CD"/>
    <w:rsid w:val="00B76B66"/>
    <w:rsid w:val="00B86EF0"/>
    <w:rsid w:val="00B96969"/>
    <w:rsid w:val="00B97900"/>
    <w:rsid w:val="00BA1229"/>
    <w:rsid w:val="00BA44A8"/>
    <w:rsid w:val="00BA49C5"/>
    <w:rsid w:val="00BB0182"/>
    <w:rsid w:val="00BB658C"/>
    <w:rsid w:val="00BC786E"/>
    <w:rsid w:val="00BD5C92"/>
    <w:rsid w:val="00BE50E6"/>
    <w:rsid w:val="00BE7A0C"/>
    <w:rsid w:val="00BF2928"/>
    <w:rsid w:val="00BF6691"/>
    <w:rsid w:val="00C028FC"/>
    <w:rsid w:val="00C037F2"/>
    <w:rsid w:val="00C0386D"/>
    <w:rsid w:val="00C0597F"/>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87E10"/>
    <w:rsid w:val="00C90904"/>
    <w:rsid w:val="00C90A5E"/>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593"/>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5A30"/>
    <w:rsid w:val="00D8758F"/>
    <w:rsid w:val="00DA4EDD"/>
    <w:rsid w:val="00DA6B78"/>
    <w:rsid w:val="00DC1D94"/>
    <w:rsid w:val="00DC42CF"/>
    <w:rsid w:val="00DD40FB"/>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D44"/>
    <w:rsid w:val="00F37E07"/>
    <w:rsid w:val="00F4182A"/>
    <w:rsid w:val="00F54380"/>
    <w:rsid w:val="00F54B47"/>
    <w:rsid w:val="00F61247"/>
    <w:rsid w:val="00F61F61"/>
    <w:rsid w:val="00F63191"/>
    <w:rsid w:val="00F64143"/>
    <w:rsid w:val="00F6702E"/>
    <w:rsid w:val="00F70E84"/>
    <w:rsid w:val="00FA092B"/>
    <w:rsid w:val="00FA4F6C"/>
    <w:rsid w:val="00FA6EFD"/>
    <w:rsid w:val="00FB3791"/>
    <w:rsid w:val="00FB6780"/>
    <w:rsid w:val="00FB74EA"/>
    <w:rsid w:val="00FD2C9E"/>
    <w:rsid w:val="00FD40D2"/>
    <w:rsid w:val="00FD4786"/>
    <w:rsid w:val="00FD616C"/>
    <w:rsid w:val="00FE53F2"/>
    <w:rsid w:val="00FF07E1"/>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9C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63854"/>
  </w:style>
  <w:style w:type="paragraph" w:customStyle="1" w:styleId="Default">
    <w:name w:val="Default"/>
    <w:rsid w:val="00172338"/>
    <w:pPr>
      <w:autoSpaceDE w:val="0"/>
      <w:autoSpaceDN w:val="0"/>
      <w:adjustRightInd w:val="0"/>
    </w:pPr>
    <w:rPr>
      <w:color w:val="000000"/>
      <w:sz w:val="24"/>
      <w:szCs w:val="24"/>
    </w:rPr>
  </w:style>
  <w:style w:type="character" w:styleId="Hyperlink">
    <w:name w:val="Hyperlink"/>
    <w:basedOn w:val="DefaultParagraphFont"/>
    <w:rsid w:val="00172338"/>
    <w:rPr>
      <w:color w:val="0000FF" w:themeColor="hyperlink"/>
      <w:u w:val="single"/>
    </w:rPr>
  </w:style>
  <w:style w:type="paragraph" w:styleId="BalloonText">
    <w:name w:val="Balloon Text"/>
    <w:basedOn w:val="Normal"/>
    <w:link w:val="BalloonTextChar"/>
    <w:semiHidden/>
    <w:unhideWhenUsed/>
    <w:rsid w:val="007816A6"/>
    <w:rPr>
      <w:rFonts w:ascii="Segoe UI" w:hAnsi="Segoe UI" w:cs="Segoe UI"/>
      <w:sz w:val="18"/>
      <w:szCs w:val="18"/>
    </w:rPr>
  </w:style>
  <w:style w:type="character" w:customStyle="1" w:styleId="BalloonTextChar">
    <w:name w:val="Balloon Text Char"/>
    <w:basedOn w:val="DefaultParagraphFont"/>
    <w:link w:val="BalloonText"/>
    <w:semiHidden/>
    <w:rsid w:val="00781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orge@cavros-law.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CA08-317D-4220-B9F5-F5F387CD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1420</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2021-05-19T19:54:00Z</dcterms:created>
  <dcterms:modified xsi:type="dcterms:W3CDTF">2021-05-19T20:57:00Z</dcterms:modified>
</cp:coreProperties>
</file>