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6DAA" w14:textId="77777777" w:rsidR="00CB5276" w:rsidRDefault="00996DFB" w:rsidP="00996DFB">
      <w:pPr>
        <w:pStyle w:val="OrderHeading"/>
      </w:pPr>
      <w:r>
        <w:t>BEFORE THE FLORIDA PUBLIC SERVICE COMMISSION</w:t>
      </w:r>
    </w:p>
    <w:p w14:paraId="26E3EFE5" w14:textId="77777777" w:rsidR="00996DFB" w:rsidRDefault="00996DFB" w:rsidP="00996DFB">
      <w:pPr>
        <w:pStyle w:val="OrderBody"/>
      </w:pPr>
    </w:p>
    <w:p w14:paraId="1176F591" w14:textId="77777777" w:rsidR="00996DFB" w:rsidRDefault="00996DFB" w:rsidP="00996DFB">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996DFB" w:rsidRPr="00C63FCF" w14:paraId="5AAFDA88" w14:textId="77777777" w:rsidTr="00C63FCF">
        <w:trPr>
          <w:trHeight w:val="828"/>
        </w:trPr>
        <w:tc>
          <w:tcPr>
            <w:tcW w:w="4788" w:type="dxa"/>
            <w:tcBorders>
              <w:bottom w:val="nil"/>
              <w:right w:val="double" w:sz="6" w:space="0" w:color="auto"/>
            </w:tcBorders>
            <w:shd w:val="clear" w:color="auto" w:fill="auto"/>
          </w:tcPr>
          <w:p w14:paraId="1BB77932" w14:textId="77777777" w:rsidR="00996DFB" w:rsidRDefault="00996DFB" w:rsidP="00C63FCF">
            <w:pPr>
              <w:pStyle w:val="OrderBody"/>
              <w:tabs>
                <w:tab w:val="center" w:pos="4320"/>
                <w:tab w:val="right" w:pos="8640"/>
              </w:tabs>
              <w:jc w:val="left"/>
            </w:pPr>
            <w:r>
              <w:t xml:space="preserve">In re: </w:t>
            </w:r>
            <w:bookmarkStart w:id="0" w:name="SMInRe"/>
            <w:bookmarkEnd w:id="0"/>
            <w:r>
              <w:t>Petition for approval of a regulatory asset to record costs incurred due to COVID-19, by Gulf Power Company.</w:t>
            </w:r>
          </w:p>
          <w:p w14:paraId="68B12B82" w14:textId="77777777" w:rsidR="00996DFB" w:rsidRDefault="00996D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FDF0AD7" w14:textId="77777777" w:rsidR="00996DFB" w:rsidRDefault="00996DFB" w:rsidP="00C63FCF">
            <w:pPr>
              <w:pStyle w:val="OrderBody"/>
              <w:tabs>
                <w:tab w:val="center" w:pos="4320"/>
                <w:tab w:val="right" w:pos="8640"/>
              </w:tabs>
              <w:jc w:val="left"/>
            </w:pPr>
            <w:r>
              <w:t xml:space="preserve">DOCKET NO. </w:t>
            </w:r>
            <w:bookmarkStart w:id="1" w:name="SMDocketNo"/>
            <w:bookmarkEnd w:id="1"/>
            <w:r>
              <w:t>20200151-EI</w:t>
            </w:r>
          </w:p>
        </w:tc>
      </w:tr>
      <w:tr w:rsidR="00996DFB" w:rsidRPr="00C63FCF" w14:paraId="4DA18B99" w14:textId="77777777" w:rsidTr="00C63FCF">
        <w:trPr>
          <w:trHeight w:val="828"/>
        </w:trPr>
        <w:tc>
          <w:tcPr>
            <w:tcW w:w="4788" w:type="dxa"/>
            <w:tcBorders>
              <w:bottom w:val="nil"/>
              <w:right w:val="double" w:sz="6" w:space="0" w:color="auto"/>
            </w:tcBorders>
            <w:shd w:val="clear" w:color="auto" w:fill="auto"/>
          </w:tcPr>
          <w:p w14:paraId="275F7A23" w14:textId="77777777" w:rsidR="00996DFB" w:rsidRDefault="00996DFB" w:rsidP="00C63FCF">
            <w:pPr>
              <w:pStyle w:val="OrderBody"/>
              <w:tabs>
                <w:tab w:val="center" w:pos="4320"/>
                <w:tab w:val="right" w:pos="8640"/>
              </w:tabs>
              <w:jc w:val="left"/>
            </w:pPr>
            <w:r>
              <w:t>In re: Petition for approval of a regulatory asset to record costs incurred due to COVID-19, by Utilities, Inc. of Florida.</w:t>
            </w:r>
          </w:p>
          <w:p w14:paraId="14DD4551" w14:textId="77777777" w:rsidR="00996DFB" w:rsidRDefault="00996D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07B8FB89" w14:textId="77777777" w:rsidR="00996DFB" w:rsidRDefault="00996DFB" w:rsidP="00C63FCF">
            <w:pPr>
              <w:pStyle w:val="OrderBody"/>
              <w:tabs>
                <w:tab w:val="center" w:pos="4320"/>
                <w:tab w:val="right" w:pos="8640"/>
              </w:tabs>
              <w:jc w:val="left"/>
            </w:pPr>
            <w:r>
              <w:t>DOCKET NO. 20200189-WS</w:t>
            </w:r>
          </w:p>
          <w:p w14:paraId="5E9678B4" w14:textId="77777777" w:rsidR="00996DFB" w:rsidRDefault="00996DFB" w:rsidP="00C63FCF">
            <w:pPr>
              <w:pStyle w:val="OrderBody"/>
              <w:tabs>
                <w:tab w:val="center" w:pos="4320"/>
                <w:tab w:val="right" w:pos="8640"/>
              </w:tabs>
              <w:jc w:val="left"/>
            </w:pPr>
          </w:p>
        </w:tc>
      </w:tr>
      <w:tr w:rsidR="00996DFB" w:rsidRPr="00C63FCF" w14:paraId="5461B3BB" w14:textId="77777777" w:rsidTr="00C63FCF">
        <w:trPr>
          <w:trHeight w:val="828"/>
        </w:trPr>
        <w:tc>
          <w:tcPr>
            <w:tcW w:w="4788" w:type="dxa"/>
            <w:tcBorders>
              <w:top w:val="nil"/>
              <w:bottom w:val="single" w:sz="8" w:space="0" w:color="auto"/>
              <w:right w:val="double" w:sz="6" w:space="0" w:color="auto"/>
            </w:tcBorders>
            <w:shd w:val="clear" w:color="auto" w:fill="auto"/>
          </w:tcPr>
          <w:p w14:paraId="4975503D" w14:textId="77777777" w:rsidR="00996DFB" w:rsidRDefault="00996DFB" w:rsidP="00C63FCF">
            <w:pPr>
              <w:pStyle w:val="OrderBody"/>
              <w:tabs>
                <w:tab w:val="center" w:pos="4320"/>
                <w:tab w:val="right" w:pos="8640"/>
              </w:tabs>
              <w:jc w:val="left"/>
            </w:pPr>
            <w: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tc>
        <w:tc>
          <w:tcPr>
            <w:tcW w:w="4788" w:type="dxa"/>
            <w:tcBorders>
              <w:left w:val="double" w:sz="6" w:space="0" w:color="auto"/>
            </w:tcBorders>
            <w:shd w:val="clear" w:color="auto" w:fill="auto"/>
          </w:tcPr>
          <w:p w14:paraId="3493FDF7" w14:textId="77777777" w:rsidR="00996DFB" w:rsidRDefault="00996DFB" w:rsidP="00996DFB">
            <w:pPr>
              <w:pStyle w:val="OrderBody"/>
            </w:pPr>
            <w:r>
              <w:t xml:space="preserve">DOCKET NO. </w:t>
            </w:r>
            <w:bookmarkStart w:id="2" w:name="SMDocketNo2"/>
            <w:bookmarkEnd w:id="2"/>
            <w:r>
              <w:t>20200194-PU</w:t>
            </w:r>
          </w:p>
          <w:p w14:paraId="2C82C359" w14:textId="1378D02B" w:rsidR="00996DFB" w:rsidRDefault="00996DFB" w:rsidP="00C63FCF">
            <w:pPr>
              <w:pStyle w:val="OrderBody"/>
              <w:tabs>
                <w:tab w:val="center" w:pos="4320"/>
                <w:tab w:val="right" w:pos="8640"/>
              </w:tabs>
              <w:jc w:val="left"/>
            </w:pPr>
            <w:r>
              <w:t xml:space="preserve">ORDER NO. </w:t>
            </w:r>
            <w:bookmarkStart w:id="3" w:name="OrderNo0214"/>
            <w:r w:rsidR="001E7AF4">
              <w:t>PSC-2021-0214-PHO-PU</w:t>
            </w:r>
            <w:bookmarkEnd w:id="3"/>
          </w:p>
          <w:p w14:paraId="2F8D0646" w14:textId="1CD6CA61" w:rsidR="00996DFB" w:rsidRDefault="00996DFB" w:rsidP="00C63FCF">
            <w:pPr>
              <w:pStyle w:val="OrderBody"/>
              <w:tabs>
                <w:tab w:val="center" w:pos="4320"/>
                <w:tab w:val="right" w:pos="8640"/>
              </w:tabs>
              <w:jc w:val="left"/>
            </w:pPr>
            <w:r>
              <w:t xml:space="preserve">ISSUED: </w:t>
            </w:r>
            <w:r w:rsidR="001E7AF4">
              <w:t>June 8, 2021</w:t>
            </w:r>
          </w:p>
          <w:p w14:paraId="50367635" w14:textId="77777777" w:rsidR="00996DFB" w:rsidRDefault="00996DFB" w:rsidP="00C63FCF">
            <w:pPr>
              <w:pStyle w:val="OrderBody"/>
              <w:tabs>
                <w:tab w:val="center" w:pos="4320"/>
                <w:tab w:val="right" w:pos="8640"/>
              </w:tabs>
              <w:jc w:val="left"/>
            </w:pPr>
          </w:p>
        </w:tc>
      </w:tr>
    </w:tbl>
    <w:p w14:paraId="4338FD07" w14:textId="77777777" w:rsidR="00996DFB" w:rsidRDefault="00996DFB" w:rsidP="00996DFB"/>
    <w:p w14:paraId="7C4FC530" w14:textId="77777777" w:rsidR="00CB5276" w:rsidRPr="00841ECB" w:rsidRDefault="00CB5276">
      <w:pPr>
        <w:pStyle w:val="OrderBody"/>
      </w:pPr>
    </w:p>
    <w:p w14:paraId="1B4CC5DD" w14:textId="77777777" w:rsidR="00996DFB" w:rsidRPr="00841ECB" w:rsidRDefault="00996DFB" w:rsidP="00996DFB">
      <w:pPr>
        <w:pStyle w:val="CenterUnderline"/>
      </w:pPr>
      <w:bookmarkStart w:id="4" w:name="OrderTitle"/>
      <w:r w:rsidRPr="00841ECB">
        <w:t xml:space="preserve">PREHEARING ORDER </w:t>
      </w:r>
      <w:bookmarkEnd w:id="4"/>
    </w:p>
    <w:p w14:paraId="6B4F79D6" w14:textId="77777777" w:rsidR="00996DFB" w:rsidRDefault="00996DFB" w:rsidP="00996DFB">
      <w:pPr>
        <w:pStyle w:val="OrderBody"/>
      </w:pPr>
    </w:p>
    <w:p w14:paraId="6301FCAD" w14:textId="77777777" w:rsidR="00996DFB" w:rsidRPr="00701945" w:rsidRDefault="00996DFB" w:rsidP="00996DFB">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Pr="00996DFB">
        <w:t>June 2, 2021</w:t>
      </w:r>
      <w:r w:rsidRPr="00701945">
        <w:t xml:space="preserve">, in Tallahassee, Florida, before Commissioner </w:t>
      </w:r>
      <w:r>
        <w:t>Andrew Giles Fay</w:t>
      </w:r>
      <w:r w:rsidRPr="00701945">
        <w:t>, as Prehearing Officer.</w:t>
      </w:r>
    </w:p>
    <w:p w14:paraId="5E477574" w14:textId="77777777" w:rsidR="00996DFB" w:rsidRPr="00701945" w:rsidRDefault="00996DFB" w:rsidP="00996DFB">
      <w:pPr>
        <w:jc w:val="both"/>
      </w:pPr>
    </w:p>
    <w:p w14:paraId="7671BF99" w14:textId="77777777" w:rsidR="00996DFB" w:rsidRPr="00701945" w:rsidRDefault="00996DFB" w:rsidP="00996DFB">
      <w:pPr>
        <w:jc w:val="both"/>
      </w:pPr>
      <w:r w:rsidRPr="00701945">
        <w:t>APPEARANCES:</w:t>
      </w:r>
    </w:p>
    <w:p w14:paraId="04D05655" w14:textId="77777777" w:rsidR="00996DFB" w:rsidRPr="00701945" w:rsidRDefault="00996DFB" w:rsidP="00996DFB">
      <w:pPr>
        <w:jc w:val="both"/>
      </w:pPr>
    </w:p>
    <w:p w14:paraId="478CB732" w14:textId="7BD6461E" w:rsidR="00996DFB" w:rsidRDefault="00996DFB" w:rsidP="00996DFB">
      <w:pPr>
        <w:ind w:left="1440"/>
        <w:jc w:val="both"/>
      </w:pPr>
      <w:r>
        <w:t>JOEL T</w:t>
      </w:r>
      <w:r w:rsidR="005162DA">
        <w:t>.</w:t>
      </w:r>
      <w:r>
        <w:t xml:space="preserve"> BAKER</w:t>
      </w:r>
      <w:r w:rsidR="00A04A59">
        <w:t>,</w:t>
      </w:r>
      <w:r w:rsidR="00A04A59" w:rsidRPr="00A04A59">
        <w:t xml:space="preserve"> </w:t>
      </w:r>
      <w:r w:rsidR="00A04A59">
        <w:t>KEN HOFFMAN,</w:t>
      </w:r>
      <w:r w:rsidR="006A24C7">
        <w:t xml:space="preserve"> AND RUSSELL BADDERS,</w:t>
      </w:r>
      <w:r w:rsidRPr="00701945">
        <w:t xml:space="preserve"> ESQUIRE</w:t>
      </w:r>
      <w:r>
        <w:t>S</w:t>
      </w:r>
      <w:r w:rsidRPr="00701945">
        <w:t>,</w:t>
      </w:r>
      <w:r>
        <w:t xml:space="preserve"> Gulf Power Company, One Energy Place, Pensacola, Florida, 32520-0100</w:t>
      </w:r>
      <w:r w:rsidRPr="00701945">
        <w:t xml:space="preserve"> </w:t>
      </w:r>
    </w:p>
    <w:p w14:paraId="7C5CDB77" w14:textId="44153B48" w:rsidR="00996DFB" w:rsidRPr="00701945" w:rsidRDefault="00996DFB" w:rsidP="00996DFB">
      <w:pPr>
        <w:ind w:left="720" w:firstLine="720"/>
        <w:jc w:val="both"/>
      </w:pPr>
      <w:r>
        <w:rPr>
          <w:u w:val="single"/>
        </w:rPr>
        <w:t xml:space="preserve">On behalf of </w:t>
      </w:r>
      <w:r w:rsidR="005539F2">
        <w:rPr>
          <w:u w:val="single"/>
        </w:rPr>
        <w:t>Gulf Power Company</w:t>
      </w:r>
      <w:r>
        <w:rPr>
          <w:u w:val="single"/>
        </w:rPr>
        <w:t xml:space="preserve"> (GULF)</w:t>
      </w:r>
      <w:r w:rsidRPr="00701945">
        <w:t>.</w:t>
      </w:r>
    </w:p>
    <w:p w14:paraId="115C706D" w14:textId="77777777" w:rsidR="00996DFB" w:rsidRPr="00701945" w:rsidRDefault="00996DFB" w:rsidP="00996DFB">
      <w:pPr>
        <w:jc w:val="both"/>
      </w:pPr>
    </w:p>
    <w:p w14:paraId="2251B362" w14:textId="77777777" w:rsidR="00996DFB" w:rsidRPr="00701945" w:rsidRDefault="00996DFB" w:rsidP="00996DFB">
      <w:pPr>
        <w:ind w:left="1440"/>
        <w:jc w:val="both"/>
      </w:pPr>
      <w:r>
        <w:t>BETH KEATING</w:t>
      </w:r>
      <w:r w:rsidRPr="00701945">
        <w:t xml:space="preserve">, ESQUIRE, </w:t>
      </w:r>
      <w:proofErr w:type="spellStart"/>
      <w:r w:rsidR="005539F2">
        <w:t>Gunster</w:t>
      </w:r>
      <w:proofErr w:type="spellEnd"/>
      <w:r w:rsidR="005539F2">
        <w:t xml:space="preserve">, </w:t>
      </w:r>
      <w:proofErr w:type="spellStart"/>
      <w:r w:rsidR="005539F2">
        <w:t>Yoakley</w:t>
      </w:r>
      <w:proofErr w:type="spellEnd"/>
      <w:r w:rsidR="005539F2">
        <w:t xml:space="preserve"> &amp; Stewart P.A., </w:t>
      </w:r>
      <w:r>
        <w:t>215 South Monroe</w:t>
      </w:r>
      <w:r w:rsidR="00876E8D">
        <w:t xml:space="preserve"> Street</w:t>
      </w:r>
      <w:r w:rsidR="005539F2">
        <w:t>, Suite 601, Tallahassee, Florida 32301</w:t>
      </w:r>
    </w:p>
    <w:p w14:paraId="335B6967" w14:textId="77777777" w:rsidR="00996DFB" w:rsidRDefault="005539F2" w:rsidP="00996DFB">
      <w:pPr>
        <w:ind w:left="720" w:firstLine="720"/>
        <w:jc w:val="both"/>
      </w:pPr>
      <w:r>
        <w:rPr>
          <w:u w:val="single"/>
        </w:rPr>
        <w:t>On behalf of Florida Public Utilities Companies</w:t>
      </w:r>
      <w:r w:rsidR="00996DFB">
        <w:rPr>
          <w:u w:val="single"/>
        </w:rPr>
        <w:t xml:space="preserve"> (</w:t>
      </w:r>
      <w:r>
        <w:rPr>
          <w:u w:val="single"/>
        </w:rPr>
        <w:t>FPUC</w:t>
      </w:r>
      <w:r w:rsidR="00996DFB">
        <w:rPr>
          <w:u w:val="single"/>
        </w:rPr>
        <w:t>)</w:t>
      </w:r>
      <w:r w:rsidR="00996DFB" w:rsidRPr="00701945">
        <w:t xml:space="preserve">. </w:t>
      </w:r>
    </w:p>
    <w:p w14:paraId="54E7741A" w14:textId="77777777" w:rsidR="008726B3" w:rsidRDefault="008726B3" w:rsidP="00996DFB">
      <w:pPr>
        <w:ind w:left="720" w:firstLine="720"/>
        <w:jc w:val="both"/>
      </w:pPr>
    </w:p>
    <w:p w14:paraId="4E5DE18F" w14:textId="60484245" w:rsidR="005539F2" w:rsidRDefault="005539F2" w:rsidP="005539F2">
      <w:pPr>
        <w:ind w:left="1440"/>
        <w:jc w:val="both"/>
      </w:pPr>
      <w:r>
        <w:t xml:space="preserve">RICHARD GENTRY, </w:t>
      </w:r>
      <w:r w:rsidR="00AD4D37">
        <w:t>CHARLES REHWINK</w:t>
      </w:r>
      <w:r w:rsidR="008726B3">
        <w:t>E</w:t>
      </w:r>
      <w:r w:rsidR="00AD4D37">
        <w:t>L</w:t>
      </w:r>
      <w:r w:rsidR="008726B3">
        <w:t xml:space="preserve">, </w:t>
      </w:r>
      <w:r>
        <w:t xml:space="preserve">STEPHANIE MORSE, ANASTACIA PIRRELLO, </w:t>
      </w:r>
      <w:r w:rsidR="008726B3">
        <w:t xml:space="preserve">AND </w:t>
      </w:r>
      <w:r>
        <w:t>PATRICIA A. CHRISTENSEN, ESQUIRES, Office of Public Counsel, c/o The Florida Legislature, 111 West Madison Street, Room 812, Tallahassee, Florida 32399-1400</w:t>
      </w:r>
    </w:p>
    <w:p w14:paraId="02A31C2C" w14:textId="77777777" w:rsidR="005539F2" w:rsidRPr="008726B3" w:rsidRDefault="005539F2" w:rsidP="005539F2">
      <w:pPr>
        <w:ind w:left="720" w:firstLine="720"/>
        <w:jc w:val="both"/>
      </w:pPr>
      <w:r w:rsidRPr="008726B3">
        <w:rPr>
          <w:u w:val="single"/>
        </w:rPr>
        <w:t>On behalf of the Citizens of the State of Florida (OPC)</w:t>
      </w:r>
      <w:r w:rsidR="008726B3">
        <w:t>.</w:t>
      </w:r>
    </w:p>
    <w:p w14:paraId="467C62B4" w14:textId="77777777" w:rsidR="00996DFB" w:rsidRPr="00701945" w:rsidRDefault="00996DFB" w:rsidP="00996DFB">
      <w:pPr>
        <w:jc w:val="both"/>
      </w:pPr>
    </w:p>
    <w:p w14:paraId="2CE37F5E" w14:textId="77777777" w:rsidR="00996DFB" w:rsidRPr="00701945" w:rsidRDefault="005539F2" w:rsidP="00996DFB">
      <w:pPr>
        <w:ind w:left="1440"/>
        <w:jc w:val="both"/>
      </w:pPr>
      <w:r>
        <w:t>SHAW P. STILLER</w:t>
      </w:r>
      <w:r w:rsidR="008726B3">
        <w:t>, WALTER TRIERWEILER,</w:t>
      </w:r>
      <w:r>
        <w:t xml:space="preserve"> AND JENNIFER S. CRAWFORD</w:t>
      </w:r>
      <w:r w:rsidR="00996DFB" w:rsidRPr="00701945">
        <w:t>, ESQUIRE</w:t>
      </w:r>
      <w:r>
        <w:t>S</w:t>
      </w:r>
      <w:r w:rsidR="00996DFB" w:rsidRPr="00701945">
        <w:t>, Florida Public Service Commission, 2540 Shumard Oak Boulevard, Tallahassee, Florida 32399-0850</w:t>
      </w:r>
    </w:p>
    <w:p w14:paraId="2E99F9D0" w14:textId="77777777" w:rsidR="00996DFB" w:rsidRPr="00701945" w:rsidRDefault="00996DFB" w:rsidP="00996DFB">
      <w:pPr>
        <w:ind w:left="720" w:firstLine="720"/>
        <w:jc w:val="both"/>
      </w:pPr>
      <w:r w:rsidRPr="00701945">
        <w:rPr>
          <w:u w:val="single"/>
        </w:rPr>
        <w:t>On behalf of the Florida Public Service Commission</w:t>
      </w:r>
      <w:r>
        <w:rPr>
          <w:u w:val="single"/>
        </w:rPr>
        <w:t xml:space="preserve"> (Staff)</w:t>
      </w:r>
      <w:r w:rsidRPr="00701945">
        <w:t>.</w:t>
      </w:r>
    </w:p>
    <w:p w14:paraId="64117109" w14:textId="77777777" w:rsidR="00996DFB" w:rsidRPr="00701945" w:rsidRDefault="00996DFB" w:rsidP="00996DFB">
      <w:pPr>
        <w:jc w:val="both"/>
      </w:pPr>
    </w:p>
    <w:p w14:paraId="0C2A4342" w14:textId="18CEE0E5" w:rsidR="00996DFB" w:rsidRPr="00701945" w:rsidRDefault="00996DFB" w:rsidP="00996DFB">
      <w:pPr>
        <w:ind w:left="1440"/>
        <w:jc w:val="both"/>
      </w:pPr>
      <w:r>
        <w:t>MARY ANNE HELTON, ESQUIRE, Deputy General Counsel,</w:t>
      </w:r>
      <w:r w:rsidRPr="00701945">
        <w:t xml:space="preserve"> </w:t>
      </w:r>
      <w:r w:rsidR="005C5A97">
        <w:t>and</w:t>
      </w:r>
      <w:r w:rsidR="0009196D">
        <w:t xml:space="preserve"> SAMANTHA CIBULA, Attorney Supervisor</w:t>
      </w:r>
      <w:r w:rsidR="005C5A97">
        <w:t xml:space="preserve">, </w:t>
      </w:r>
      <w:r w:rsidRPr="00701945">
        <w:t>Florida Public Service Commission, 2540 Shumard Oak Boulevard, Tallahassee, Florida 32399-0850</w:t>
      </w:r>
    </w:p>
    <w:p w14:paraId="4C62FE69" w14:textId="2EBCF928" w:rsidR="00996DFB" w:rsidRDefault="00996DFB" w:rsidP="00996DFB">
      <w:pPr>
        <w:ind w:left="720" w:firstLine="720"/>
        <w:jc w:val="both"/>
      </w:pPr>
      <w:r>
        <w:rPr>
          <w:u w:val="single"/>
        </w:rPr>
        <w:t>Advisor to the</w:t>
      </w:r>
      <w:r w:rsidRPr="00701945">
        <w:rPr>
          <w:u w:val="single"/>
        </w:rPr>
        <w:t xml:space="preserve"> Florida Public Service Commission</w:t>
      </w:r>
      <w:r w:rsidRPr="00701945">
        <w:t>.</w:t>
      </w:r>
    </w:p>
    <w:p w14:paraId="22AF4355" w14:textId="000AFE4A" w:rsidR="00A04A59" w:rsidRDefault="00A04A59" w:rsidP="00996DFB">
      <w:pPr>
        <w:ind w:left="720" w:firstLine="720"/>
        <w:jc w:val="both"/>
      </w:pPr>
    </w:p>
    <w:p w14:paraId="32FFFC3B" w14:textId="683C84C1" w:rsidR="00A04A59" w:rsidRPr="00D033EB" w:rsidRDefault="00A04A59" w:rsidP="00A04A59">
      <w:pPr>
        <w:ind w:left="1440"/>
        <w:jc w:val="both"/>
      </w:pPr>
      <w:r>
        <w:t>KEITH HETRICK</w:t>
      </w:r>
      <w:r w:rsidRPr="00D033EB">
        <w:t xml:space="preserve">, </w:t>
      </w:r>
      <w:r>
        <w:t>ESQUIRE, General</w:t>
      </w:r>
      <w:r w:rsidRPr="00D033EB">
        <w:t xml:space="preserve"> Counsel, Florida Public Service Commission, 2540 Shumard Oak Boulevard, Tallahassee, Florida 32399-0850</w:t>
      </w:r>
    </w:p>
    <w:p w14:paraId="217C4358" w14:textId="77777777" w:rsidR="00A04A59" w:rsidRPr="00D033EB" w:rsidRDefault="00A04A59" w:rsidP="00A04A59">
      <w:pPr>
        <w:ind w:left="720" w:firstLine="720"/>
        <w:jc w:val="both"/>
      </w:pPr>
      <w:r w:rsidRPr="00D033EB">
        <w:rPr>
          <w:u w:val="single"/>
        </w:rPr>
        <w:t>Florida Public Service Commission General Counsel</w:t>
      </w:r>
    </w:p>
    <w:p w14:paraId="40CA1C46" w14:textId="77777777" w:rsidR="00A04A59" w:rsidRPr="00701945" w:rsidRDefault="00A04A59" w:rsidP="00674FF4">
      <w:pPr>
        <w:jc w:val="both"/>
      </w:pPr>
    </w:p>
    <w:p w14:paraId="0CC6EE45" w14:textId="77777777" w:rsidR="00996DFB" w:rsidRPr="00701945" w:rsidRDefault="00996DFB" w:rsidP="00674FF4">
      <w:pPr>
        <w:rPr>
          <w:b/>
          <w:bCs/>
          <w:u w:val="single"/>
        </w:rPr>
      </w:pPr>
    </w:p>
    <w:p w14:paraId="7FFD9177" w14:textId="77777777" w:rsidR="002F5E95" w:rsidRPr="00D033EB" w:rsidRDefault="002F5E95" w:rsidP="00674FF4">
      <w:pPr>
        <w:jc w:val="both"/>
      </w:pPr>
    </w:p>
    <w:p w14:paraId="3DC27279" w14:textId="77777777" w:rsidR="00996DFB" w:rsidRPr="00A32DC5" w:rsidRDefault="00996DFB" w:rsidP="00996DFB">
      <w:pPr>
        <w:jc w:val="both"/>
        <w:rPr>
          <w:b/>
        </w:rPr>
      </w:pPr>
      <w:r w:rsidRPr="00A32DC5">
        <w:rPr>
          <w:b/>
        </w:rPr>
        <w:t>I.</w:t>
      </w:r>
      <w:r w:rsidRPr="00A32DC5">
        <w:rPr>
          <w:b/>
        </w:rPr>
        <w:tab/>
      </w:r>
      <w:r w:rsidRPr="00A32DC5">
        <w:rPr>
          <w:b/>
          <w:u w:val="single"/>
        </w:rPr>
        <w:t>CASE BACKGROUND</w:t>
      </w:r>
    </w:p>
    <w:p w14:paraId="67AE69B1" w14:textId="77777777" w:rsidR="00996DFB" w:rsidRPr="00701945" w:rsidRDefault="00996DFB" w:rsidP="00996DFB">
      <w:pPr>
        <w:jc w:val="both"/>
      </w:pPr>
    </w:p>
    <w:p w14:paraId="29198E0F" w14:textId="77777777" w:rsidR="002F5E95" w:rsidRDefault="002F5E95" w:rsidP="002F5E95">
      <w:pPr>
        <w:ind w:firstLine="720"/>
        <w:jc w:val="both"/>
      </w:pPr>
      <w:r w:rsidRPr="008A0852">
        <w:t>On May 22, 2020, Gulf Power Company (Gulf) filed a petition for approval to establish a regulatory asset to record costs incurred due to Coron</w:t>
      </w:r>
      <w:r>
        <w:t>avirus Disease 2019 (COVID-19), and</w:t>
      </w:r>
      <w:r w:rsidRPr="008A0852">
        <w:t xml:space="preserve"> </w:t>
      </w:r>
      <w:r>
        <w:t xml:space="preserve">therein </w:t>
      </w:r>
      <w:r w:rsidRPr="008A0852">
        <w:t>requested deferral of incremental bad debt expense and safety-related costs attributable to COVID-19.</w:t>
      </w:r>
      <w:r>
        <w:t xml:space="preserve"> On October 27, 2020, the Commission issued</w:t>
      </w:r>
      <w:r w:rsidRPr="00B23F86">
        <w:t xml:space="preserve"> </w:t>
      </w:r>
      <w:r>
        <w:t>PAA Order PSC-2020-0406-PAA-EI, approving Gulf’s request. On November 17, 2020, the Office of Public Counsel (OPC) filed a Petition Protesting a Proposed Agency Action and requested an administrative hearing on the proposed action.</w:t>
      </w:r>
    </w:p>
    <w:p w14:paraId="546B985C" w14:textId="77777777" w:rsidR="002F5E95" w:rsidRDefault="002F5E95" w:rsidP="002F5E95">
      <w:pPr>
        <w:ind w:firstLine="720"/>
        <w:jc w:val="both"/>
      </w:pPr>
    </w:p>
    <w:p w14:paraId="3EC0E321" w14:textId="77777777" w:rsidR="002F5E95" w:rsidRDefault="002F5E95" w:rsidP="002F5E95">
      <w:pPr>
        <w:ind w:firstLine="720"/>
        <w:jc w:val="both"/>
      </w:pPr>
      <w:r w:rsidRPr="00B84447">
        <w:t>On August 3, 2020, Utilities</w:t>
      </w:r>
      <w:r>
        <w:t xml:space="preserve"> Inc. of Florida (UIF</w:t>
      </w:r>
      <w:r w:rsidRPr="00B84447">
        <w:t>) filed a petition for approval to establish a regulatory asset to record costs incurred due to COVID-19</w:t>
      </w:r>
      <w:r>
        <w:t>, and therein</w:t>
      </w:r>
      <w:r w:rsidRPr="00B84447">
        <w:t xml:space="preserve"> requested deferral of incremental bad debt expense, assorted operating expenses, and safety-related costs attributable to COVID-19.</w:t>
      </w:r>
      <w:r>
        <w:t xml:space="preserve"> On October 26, 2020, the Commission issued</w:t>
      </w:r>
      <w:r w:rsidRPr="002D0AC0">
        <w:t xml:space="preserve"> </w:t>
      </w:r>
      <w:r>
        <w:t>PAA Order PSC-2020-0403-PAA-WS, approving UIF’s request. On November 16, 2020, OPC filed a Petition Protesting a Proposed Agency Action and requested an administrative hearing on the proposed action.</w:t>
      </w:r>
    </w:p>
    <w:p w14:paraId="08D63D70" w14:textId="77777777" w:rsidR="002F5E95" w:rsidRDefault="002F5E95" w:rsidP="002F5E95">
      <w:pPr>
        <w:autoSpaceDE w:val="0"/>
        <w:autoSpaceDN w:val="0"/>
        <w:adjustRightInd w:val="0"/>
        <w:ind w:firstLine="720"/>
        <w:jc w:val="both"/>
      </w:pPr>
    </w:p>
    <w:p w14:paraId="1DFF9A00" w14:textId="77777777" w:rsidR="00996DFB" w:rsidRDefault="002F5E95" w:rsidP="002F5E95">
      <w:pPr>
        <w:ind w:firstLine="720"/>
        <w:jc w:val="both"/>
      </w:pPr>
      <w:r w:rsidRPr="00916925">
        <w:t>On August 11, 2020, Florida Public Utilities Company, Florida Public Utilities Company – Indiantown Division, Florida Public Utilities Company – Fort Meade, and Florida Public Utilities Company – Electric Division, as well as the Florida Division of Chesapeake Utilities Corporation (</w:t>
      </w:r>
      <w:r>
        <w:t>collectively FPUC/</w:t>
      </w:r>
      <w:r w:rsidRPr="00916925">
        <w:t xml:space="preserve">CFG) filed a petition for approval to establish regulatory assets for each entity listed above to record costs incurred due to </w:t>
      </w:r>
      <w:r>
        <w:t>COVID-19</w:t>
      </w:r>
      <w:r w:rsidRPr="00916925">
        <w:t>.</w:t>
      </w:r>
      <w:r>
        <w:t xml:space="preserve"> FPUC/CFG</w:t>
      </w:r>
      <w:r w:rsidRPr="00916925">
        <w:t xml:space="preserve"> requested deferral of incremental bad debt expense, incremental operating expenses, and safety-related costs attributable to COVID-19.</w:t>
      </w:r>
      <w:r>
        <w:t xml:space="preserve"> On October 26, 2020, the Commission issued PAA Order PSC-2020-0404-PAA-PU, approving the request of FPUC/CFG. On November 16, 2020, OPC filed a Petition Protesting a Proposed Agency Action and requested an administrative hearing on the proposed action.</w:t>
      </w:r>
    </w:p>
    <w:p w14:paraId="71C3C132" w14:textId="77777777" w:rsidR="002F5E95" w:rsidRDefault="002F5E95" w:rsidP="002F5E95">
      <w:pPr>
        <w:ind w:firstLine="720"/>
        <w:jc w:val="both"/>
      </w:pPr>
    </w:p>
    <w:p w14:paraId="7DD79B23" w14:textId="77777777" w:rsidR="002F5E95" w:rsidRDefault="007C42F6" w:rsidP="002F5E95">
      <w:pPr>
        <w:ind w:firstLine="720"/>
        <w:jc w:val="both"/>
      </w:pPr>
      <w:r>
        <w:t xml:space="preserve">On </w:t>
      </w:r>
      <w:r w:rsidR="00C858BF">
        <w:t xml:space="preserve">March 12, 2021, </w:t>
      </w:r>
      <w:r>
        <w:t>Docket</w:t>
      </w:r>
      <w:r w:rsidR="00C858BF">
        <w:t xml:space="preserve"> No</w:t>
      </w:r>
      <w:r>
        <w:t>s</w:t>
      </w:r>
      <w:r w:rsidR="00C858BF">
        <w:t>.</w:t>
      </w:r>
      <w:r>
        <w:t xml:space="preserve"> 20200151-EI, 20200189-WU, and 20200194-PU were consolidated </w:t>
      </w:r>
      <w:r w:rsidR="00C858BF">
        <w:t xml:space="preserve">and scheduled </w:t>
      </w:r>
      <w:r>
        <w:t xml:space="preserve">for final </w:t>
      </w:r>
      <w:r w:rsidR="00C858BF">
        <w:t>hearing to commence June 16, 2021.</w:t>
      </w:r>
      <w:r w:rsidR="00C858BF">
        <w:rPr>
          <w:rStyle w:val="FootnoteReference"/>
        </w:rPr>
        <w:footnoteReference w:id="1"/>
      </w:r>
    </w:p>
    <w:p w14:paraId="53679735" w14:textId="77777777" w:rsidR="00C858BF" w:rsidRDefault="00C858BF" w:rsidP="002F5E95">
      <w:pPr>
        <w:ind w:firstLine="720"/>
        <w:jc w:val="both"/>
      </w:pPr>
    </w:p>
    <w:p w14:paraId="4820B215" w14:textId="77777777" w:rsidR="00C858BF" w:rsidRDefault="00C858BF" w:rsidP="002F5E95">
      <w:pPr>
        <w:ind w:firstLine="720"/>
        <w:jc w:val="both"/>
      </w:pPr>
      <w:r>
        <w:lastRenderedPageBreak/>
        <w:t>On March 30, 2021, UIF filed a Notice of Voluntary Dismissal</w:t>
      </w:r>
      <w:r w:rsidR="00BE1852">
        <w:t xml:space="preserve"> </w:t>
      </w:r>
      <w:proofErr w:type="gramStart"/>
      <w:r w:rsidR="00BE1852">
        <w:t>Without</w:t>
      </w:r>
      <w:proofErr w:type="gramEnd"/>
      <w:r w:rsidR="00BE1852">
        <w:t xml:space="preserve"> Prejudice</w:t>
      </w:r>
      <w:r>
        <w:t xml:space="preserve"> in Docket No. 20200189-WS.</w:t>
      </w:r>
      <w:r w:rsidR="00BE1852">
        <w:t xml:space="preserve"> The Commission is scheduled to take action on that Notice at the Agenda Conference on June 15, 2021, prior to the final hearing.</w:t>
      </w:r>
    </w:p>
    <w:p w14:paraId="295CA3B3" w14:textId="77777777" w:rsidR="00996DFB" w:rsidRDefault="00996DFB" w:rsidP="00996DFB">
      <w:pPr>
        <w:jc w:val="both"/>
      </w:pPr>
    </w:p>
    <w:p w14:paraId="6200DC39" w14:textId="77777777" w:rsidR="00301A3D" w:rsidRDefault="00301A3D" w:rsidP="00996DFB">
      <w:pPr>
        <w:jc w:val="both"/>
      </w:pPr>
    </w:p>
    <w:p w14:paraId="560D5A83" w14:textId="77777777" w:rsidR="00996DFB" w:rsidRPr="00A32DC5" w:rsidRDefault="00996DFB" w:rsidP="00996DFB">
      <w:pPr>
        <w:jc w:val="both"/>
        <w:rPr>
          <w:b/>
        </w:rPr>
      </w:pPr>
      <w:r w:rsidRPr="00A32DC5">
        <w:rPr>
          <w:b/>
        </w:rPr>
        <w:t>II.</w:t>
      </w:r>
      <w:r w:rsidRPr="00A32DC5">
        <w:rPr>
          <w:b/>
        </w:rPr>
        <w:tab/>
      </w:r>
      <w:r w:rsidRPr="00A32DC5">
        <w:rPr>
          <w:b/>
          <w:u w:val="single"/>
        </w:rPr>
        <w:t>CONDUCT OF PROCEEDINGS</w:t>
      </w:r>
    </w:p>
    <w:p w14:paraId="59562B54" w14:textId="77777777" w:rsidR="00996DFB" w:rsidRPr="00701945" w:rsidRDefault="00996DFB" w:rsidP="00996DFB">
      <w:pPr>
        <w:jc w:val="both"/>
      </w:pPr>
    </w:p>
    <w:p w14:paraId="59C92A41" w14:textId="77777777" w:rsidR="00996DFB" w:rsidRPr="00701945" w:rsidRDefault="00996DFB" w:rsidP="00996DFB">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1566D94E" w14:textId="77777777" w:rsidR="00996DFB" w:rsidRDefault="00996DFB" w:rsidP="00996DFB">
      <w:pPr>
        <w:jc w:val="both"/>
      </w:pPr>
    </w:p>
    <w:p w14:paraId="25AB4913" w14:textId="77777777" w:rsidR="00996DFB" w:rsidRPr="00701945" w:rsidRDefault="00996DFB" w:rsidP="00996DFB">
      <w:pPr>
        <w:jc w:val="both"/>
      </w:pPr>
    </w:p>
    <w:p w14:paraId="371F192C" w14:textId="77777777" w:rsidR="00996DFB" w:rsidRPr="00A32DC5" w:rsidRDefault="00996DFB" w:rsidP="00996DFB">
      <w:pPr>
        <w:jc w:val="both"/>
        <w:rPr>
          <w:b/>
        </w:rPr>
      </w:pPr>
      <w:r w:rsidRPr="00A32DC5">
        <w:rPr>
          <w:b/>
        </w:rPr>
        <w:t>III.</w:t>
      </w:r>
      <w:r w:rsidRPr="00A32DC5">
        <w:rPr>
          <w:b/>
        </w:rPr>
        <w:tab/>
      </w:r>
      <w:r w:rsidRPr="00A32DC5">
        <w:rPr>
          <w:b/>
          <w:u w:val="single"/>
        </w:rPr>
        <w:t>JURISDICTION</w:t>
      </w:r>
    </w:p>
    <w:p w14:paraId="3F157A76" w14:textId="77777777" w:rsidR="00996DFB" w:rsidRPr="00701945" w:rsidRDefault="00996DFB" w:rsidP="00996DFB">
      <w:pPr>
        <w:jc w:val="both"/>
      </w:pPr>
    </w:p>
    <w:p w14:paraId="3607D3AA" w14:textId="77777777" w:rsidR="00996DFB" w:rsidRPr="00701945" w:rsidRDefault="00996DFB" w:rsidP="00996DFB">
      <w:pPr>
        <w:jc w:val="both"/>
      </w:pPr>
      <w:r w:rsidRPr="00701945">
        <w:tab/>
        <w:t>This Commission is vested with jurisdiction over the subject matter by the provisions of Chapter</w:t>
      </w:r>
      <w:r w:rsidR="00AE4679">
        <w:t>s 366 and 367</w:t>
      </w:r>
      <w:r w:rsidRPr="00701945">
        <w:t xml:space="preserve">, </w:t>
      </w:r>
      <w:r>
        <w:t>Florida Statutes (F.S</w:t>
      </w:r>
      <w:r w:rsidRPr="00701945">
        <w:t>.</w:t>
      </w:r>
      <w:r>
        <w:t>).</w:t>
      </w:r>
      <w:r w:rsidRPr="00701945">
        <w:t xml:space="preserve">  This hearing will be governed by said Chapter</w:t>
      </w:r>
      <w:r w:rsidR="00AE4679">
        <w:t>s</w:t>
      </w:r>
      <w:r w:rsidRPr="00701945">
        <w:t xml:space="preserve"> and Chapters</w:t>
      </w:r>
      <w:r>
        <w:t xml:space="preserve"> 25-6</w:t>
      </w:r>
      <w:r w:rsidRPr="00701945">
        <w:t xml:space="preserve">, 25-22, </w:t>
      </w:r>
      <w:r w:rsidR="003F4804">
        <w:t xml:space="preserve">25-30, 25-40, </w:t>
      </w:r>
      <w:r w:rsidRPr="00701945">
        <w:t xml:space="preserve">and 28-106, </w:t>
      </w:r>
      <w:r>
        <w:t>F.A.C., as well as any other applicable provisions of law</w:t>
      </w:r>
      <w:r w:rsidRPr="00701945">
        <w:t>.</w:t>
      </w:r>
    </w:p>
    <w:p w14:paraId="654FEF95" w14:textId="77777777" w:rsidR="00996DFB" w:rsidRDefault="00996DFB" w:rsidP="00996DFB">
      <w:pPr>
        <w:jc w:val="both"/>
      </w:pPr>
    </w:p>
    <w:p w14:paraId="46A70444" w14:textId="77777777" w:rsidR="00996DFB" w:rsidRPr="00701945" w:rsidRDefault="00996DFB" w:rsidP="00996DFB">
      <w:pPr>
        <w:jc w:val="both"/>
      </w:pPr>
    </w:p>
    <w:p w14:paraId="105B7614" w14:textId="77777777" w:rsidR="00996DFB" w:rsidRPr="00237584" w:rsidRDefault="00996DFB" w:rsidP="00996DFB">
      <w:pPr>
        <w:jc w:val="both"/>
        <w:rPr>
          <w:b/>
        </w:rPr>
      </w:pPr>
      <w:r w:rsidRPr="00237584">
        <w:rPr>
          <w:b/>
        </w:rPr>
        <w:t>IV.</w:t>
      </w:r>
      <w:r w:rsidRPr="00237584">
        <w:rPr>
          <w:b/>
        </w:rPr>
        <w:tab/>
      </w:r>
      <w:r w:rsidRPr="00237584">
        <w:rPr>
          <w:b/>
          <w:u w:val="single"/>
        </w:rPr>
        <w:t>PROCEDURE FOR HANDLING CONFIDENTIAL INFORMATION</w:t>
      </w:r>
    </w:p>
    <w:p w14:paraId="1FCD9AC9" w14:textId="77777777" w:rsidR="00996DFB" w:rsidRPr="00237584" w:rsidRDefault="00996DFB" w:rsidP="00996DFB">
      <w:pPr>
        <w:jc w:val="both"/>
        <w:rPr>
          <w:b/>
        </w:rPr>
      </w:pPr>
    </w:p>
    <w:p w14:paraId="72FA08F7" w14:textId="70657CD3" w:rsidR="00676014" w:rsidRDefault="00996DFB" w:rsidP="00676014">
      <w:pPr>
        <w:jc w:val="both"/>
      </w:pPr>
      <w:r w:rsidRPr="00701945">
        <w:tab/>
      </w:r>
      <w:r w:rsidR="00676014">
        <w:t>Information for which proprietary confidential business information status is requested</w:t>
      </w:r>
      <w:r w:rsidR="00676014" w:rsidRPr="00A72918">
        <w:t xml:space="preserve"> pursuant to</w:t>
      </w:r>
      <w:r w:rsidR="00676014">
        <w:t xml:space="preserve"> Section </w:t>
      </w:r>
      <w:r w:rsidR="00F82783">
        <w:t xml:space="preserve">366.093 or </w:t>
      </w:r>
      <w:r w:rsidR="00676014">
        <w:t>367.156, F.S.</w:t>
      </w:r>
      <w:r w:rsidR="00676014" w:rsidRPr="00A72918">
        <w:t xml:space="preserve">, and Rule 25-22.006, </w:t>
      </w:r>
      <w:r w:rsidR="00676014">
        <w:t>F.A.C.</w:t>
      </w:r>
      <w:r w:rsidR="00676014" w:rsidRPr="00A72918">
        <w:t>,</w:t>
      </w:r>
      <w:r w:rsidR="00676014">
        <w:t xml:space="preserve"> shall be treated by the Commission as confidential.  The information shall be exempt from S</w:t>
      </w:r>
      <w:r w:rsidR="008D1073">
        <w:t>ubs</w:t>
      </w:r>
      <w:r w:rsidR="00676014">
        <w:t xml:space="preserve">ection 119.07(1), F.S., pending a formal ruling on such request by the Commission or pending return of the information to the person providing the information.  </w:t>
      </w:r>
      <w:r w:rsidR="00676014" w:rsidRPr="005555EC">
        <w:t xml:space="preserve">If no determination of confidentiality has been made and the information has not been made a part </w:t>
      </w:r>
      <w:r w:rsidR="00676014">
        <w:t>of the evidentiary record in this</w:t>
      </w:r>
      <w:r w:rsidR="00676014" w:rsidRPr="005555EC">
        <w:t xml:space="preserve"> proceeding, it shall be returned to the person providing the information.  If a determination of confidentiality has been made and the information was no</w:t>
      </w:r>
      <w:r w:rsidR="00676014">
        <w:t>t entered into the record of this</w:t>
      </w:r>
      <w:r w:rsidR="00676014" w:rsidRPr="005555EC">
        <w:t xml:space="preserve"> proceeding, it shall be returned to the person providing the information with</w:t>
      </w:r>
      <w:r w:rsidR="00676014">
        <w:t xml:space="preserve">in the time period set forth in </w:t>
      </w:r>
      <w:r w:rsidR="00676014" w:rsidRPr="005555EC">
        <w:t>Section</w:t>
      </w:r>
      <w:r w:rsidR="00F2703F">
        <w:t xml:space="preserve"> 366.093 or</w:t>
      </w:r>
      <w:r w:rsidR="00676014">
        <w:t xml:space="preserve"> </w:t>
      </w:r>
      <w:r w:rsidR="00676014" w:rsidRPr="00C105E5">
        <w:t>367.156</w:t>
      </w:r>
      <w:r w:rsidR="00676014">
        <w:t>, F.S.  T</w:t>
      </w:r>
      <w:r w:rsidR="00676014" w:rsidRPr="00B2317F">
        <w:t>he Commission may determine that continued possession of the information is necessary for the Commission to conduct its business.</w:t>
      </w:r>
    </w:p>
    <w:p w14:paraId="7D36F15D" w14:textId="77777777" w:rsidR="00676014" w:rsidRDefault="00676014" w:rsidP="00676014">
      <w:pPr>
        <w:jc w:val="both"/>
      </w:pPr>
    </w:p>
    <w:p w14:paraId="3FD66828" w14:textId="12C7CF3C" w:rsidR="00676014" w:rsidRDefault="00676014" w:rsidP="0067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F2703F">
        <w:t>s</w:t>
      </w:r>
      <w:r>
        <w:t xml:space="preserve"> </w:t>
      </w:r>
      <w:r w:rsidR="00F2703F">
        <w:t xml:space="preserve">366.093 and </w:t>
      </w:r>
      <w:r w:rsidRPr="00C105E5">
        <w:t>367.156</w:t>
      </w:r>
      <w:r>
        <w:t xml:space="preserve">, F.S., to protect proprietary confidential business information from disclosure outside the proceeding.  Therefore, any party wishing to use any proprietary confidential business information, as that term is defined in Section </w:t>
      </w:r>
      <w:r w:rsidR="00F2703F">
        <w:t xml:space="preserve">366.093 or </w:t>
      </w:r>
      <w:r w:rsidRPr="00C105E5">
        <w:t>367.156</w:t>
      </w:r>
      <w:r>
        <w:t>, F.S., at the hearing shall adhere to the following:</w:t>
      </w:r>
    </w:p>
    <w:p w14:paraId="1F66AB9D" w14:textId="77777777" w:rsidR="00676014" w:rsidRDefault="00676014" w:rsidP="0067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D25AC9" w14:textId="77777777" w:rsidR="00676014" w:rsidRDefault="00676014" w:rsidP="00676014">
      <w:pPr>
        <w:spacing w:line="2" w:lineRule="exact"/>
        <w:jc w:val="both"/>
      </w:pPr>
    </w:p>
    <w:p w14:paraId="60F1A610" w14:textId="77777777" w:rsidR="00676014" w:rsidRDefault="00676014" w:rsidP="00676014">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follow the procedures for providing confidential electronic exhibits to the Commission Clerk prior to the hearing.</w:t>
      </w:r>
    </w:p>
    <w:p w14:paraId="317C93DF" w14:textId="77777777" w:rsidR="00676014" w:rsidRDefault="00676014" w:rsidP="0067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41A69C" w14:textId="77777777" w:rsidR="00676014" w:rsidRDefault="00676014" w:rsidP="0067601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must be presented by written exhibit.</w:t>
      </w:r>
    </w:p>
    <w:p w14:paraId="58A164EB" w14:textId="77777777" w:rsidR="00676014" w:rsidRDefault="00676014" w:rsidP="0067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985CCF" w14:textId="69D2DD04" w:rsidR="00996DFB" w:rsidRDefault="00676014" w:rsidP="0067601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14:paraId="062D2355" w14:textId="77777777" w:rsidR="00996DFB" w:rsidRDefault="00996DFB" w:rsidP="00996DFB">
      <w:pPr>
        <w:jc w:val="both"/>
      </w:pPr>
    </w:p>
    <w:p w14:paraId="0CB114DA" w14:textId="77777777" w:rsidR="00996DFB" w:rsidRDefault="00996DFB" w:rsidP="00996DFB">
      <w:pPr>
        <w:jc w:val="both"/>
      </w:pPr>
    </w:p>
    <w:p w14:paraId="00799FAE" w14:textId="77777777" w:rsidR="00996DFB" w:rsidRPr="00A32DC5" w:rsidRDefault="00996DFB" w:rsidP="00996DFB">
      <w:pPr>
        <w:jc w:val="both"/>
        <w:rPr>
          <w:b/>
        </w:rPr>
      </w:pPr>
      <w:r w:rsidRPr="00A32DC5">
        <w:rPr>
          <w:b/>
        </w:rPr>
        <w:t>V.</w:t>
      </w:r>
      <w:r w:rsidRPr="00A32DC5">
        <w:rPr>
          <w:b/>
        </w:rPr>
        <w:tab/>
      </w:r>
      <w:r w:rsidRPr="00A32DC5">
        <w:rPr>
          <w:b/>
          <w:u w:val="single"/>
        </w:rPr>
        <w:t>PREFILED TESTIMONY AND EXHIBITS; WITNESSES</w:t>
      </w:r>
    </w:p>
    <w:p w14:paraId="54EF7754" w14:textId="77777777" w:rsidR="00996DFB" w:rsidRPr="00701945" w:rsidRDefault="00996DFB" w:rsidP="00996DFB">
      <w:pPr>
        <w:jc w:val="both"/>
      </w:pPr>
    </w:p>
    <w:p w14:paraId="01C1B64D" w14:textId="571C2930" w:rsidR="00996DFB" w:rsidRDefault="00996DFB" w:rsidP="00996DFB">
      <w:pPr>
        <w:jc w:val="both"/>
      </w:pPr>
      <w:r w:rsidRPr="00701945">
        <w:tab/>
        <w:t xml:space="preserve">Testimony of all witnesses to be sponsored by the parties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7F7B4C4F" w14:textId="77777777" w:rsidR="00996DFB" w:rsidRDefault="00996DFB" w:rsidP="00996DFB">
      <w:pPr>
        <w:jc w:val="both"/>
      </w:pPr>
    </w:p>
    <w:p w14:paraId="382B7693" w14:textId="77777777" w:rsidR="00996DFB" w:rsidRPr="00701945" w:rsidRDefault="00996DFB" w:rsidP="00996DFB">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7670CA54" w14:textId="77777777" w:rsidR="00996DFB" w:rsidRPr="00701945" w:rsidRDefault="00996DFB" w:rsidP="00996DFB">
      <w:pPr>
        <w:jc w:val="both"/>
      </w:pPr>
    </w:p>
    <w:p w14:paraId="600EEC0E" w14:textId="77777777" w:rsidR="00996DFB" w:rsidRPr="00701945" w:rsidRDefault="00996DFB" w:rsidP="00996DFB">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3782B286" w14:textId="77777777" w:rsidR="00996DFB" w:rsidRPr="00B75F84" w:rsidRDefault="00996DFB" w:rsidP="00996DFB">
      <w:pPr>
        <w:jc w:val="both"/>
        <w:rPr>
          <w:color w:val="000000"/>
        </w:rPr>
      </w:pPr>
    </w:p>
    <w:p w14:paraId="2C078590" w14:textId="77777777" w:rsidR="00996DFB" w:rsidRPr="00B75F84" w:rsidRDefault="00996DFB" w:rsidP="00996DFB">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79BB8B5" w14:textId="77777777" w:rsidR="00996DFB" w:rsidRDefault="00996DFB" w:rsidP="00996DFB">
      <w:pPr>
        <w:jc w:val="both"/>
      </w:pPr>
    </w:p>
    <w:p w14:paraId="6C09D7F6" w14:textId="77777777" w:rsidR="00996DFB" w:rsidRPr="00701945" w:rsidRDefault="00996DFB" w:rsidP="00996DFB">
      <w:pPr>
        <w:jc w:val="both"/>
      </w:pPr>
    </w:p>
    <w:p w14:paraId="34C2774F" w14:textId="77777777" w:rsidR="00F01E07" w:rsidRDefault="00F01E07">
      <w:pPr>
        <w:rPr>
          <w:b/>
        </w:rPr>
      </w:pPr>
      <w:r>
        <w:rPr>
          <w:b/>
        </w:rPr>
        <w:br w:type="page"/>
      </w:r>
    </w:p>
    <w:p w14:paraId="50AEDAE6" w14:textId="48D1D418" w:rsidR="00996DFB" w:rsidRPr="00A32DC5" w:rsidRDefault="00996DFB" w:rsidP="00996DFB">
      <w:pPr>
        <w:jc w:val="both"/>
        <w:rPr>
          <w:b/>
        </w:rPr>
      </w:pPr>
      <w:r w:rsidRPr="00A32DC5">
        <w:rPr>
          <w:b/>
        </w:rPr>
        <w:lastRenderedPageBreak/>
        <w:t>VI.</w:t>
      </w:r>
      <w:r w:rsidRPr="00A32DC5">
        <w:rPr>
          <w:b/>
        </w:rPr>
        <w:tab/>
      </w:r>
      <w:r w:rsidRPr="00A32DC5">
        <w:rPr>
          <w:b/>
          <w:u w:val="single"/>
        </w:rPr>
        <w:t>ORDER OF WITNESSES</w:t>
      </w:r>
    </w:p>
    <w:p w14:paraId="16BE94AD" w14:textId="304F4619" w:rsidR="00996DFB" w:rsidRDefault="00996DFB" w:rsidP="00996DFB">
      <w:pPr>
        <w:jc w:val="both"/>
      </w:pPr>
    </w:p>
    <w:tbl>
      <w:tblPr>
        <w:tblW w:w="9564" w:type="dxa"/>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96DFB" w:rsidRPr="00701945" w14:paraId="00D4E1FE" w14:textId="77777777" w:rsidTr="00FA767B">
        <w:trPr>
          <w:cantSplit/>
          <w:trHeight w:val="362"/>
          <w:tblHeader/>
        </w:trPr>
        <w:tc>
          <w:tcPr>
            <w:tcW w:w="3507" w:type="dxa"/>
            <w:tcBorders>
              <w:top w:val="nil"/>
              <w:left w:val="nil"/>
              <w:bottom w:val="nil"/>
              <w:right w:val="nil"/>
            </w:tcBorders>
          </w:tcPr>
          <w:p w14:paraId="32EF25FA" w14:textId="77777777" w:rsidR="00996DFB" w:rsidRPr="00701945" w:rsidRDefault="00996DFB" w:rsidP="000F3A5A">
            <w:pPr>
              <w:jc w:val="both"/>
            </w:pPr>
            <w:r w:rsidRPr="00701945">
              <w:rPr>
                <w:u w:val="single"/>
              </w:rPr>
              <w:t>Witness</w:t>
            </w:r>
          </w:p>
        </w:tc>
        <w:tc>
          <w:tcPr>
            <w:tcW w:w="2511" w:type="dxa"/>
            <w:tcBorders>
              <w:top w:val="nil"/>
              <w:left w:val="nil"/>
              <w:bottom w:val="nil"/>
              <w:right w:val="nil"/>
            </w:tcBorders>
          </w:tcPr>
          <w:p w14:paraId="1B90A497" w14:textId="77777777" w:rsidR="00996DFB" w:rsidRPr="00701945" w:rsidRDefault="00996DFB" w:rsidP="000F3A5A">
            <w:pPr>
              <w:jc w:val="center"/>
            </w:pPr>
            <w:r w:rsidRPr="00701945">
              <w:rPr>
                <w:u w:val="single"/>
              </w:rPr>
              <w:t>Proffered By</w:t>
            </w:r>
          </w:p>
        </w:tc>
        <w:tc>
          <w:tcPr>
            <w:tcW w:w="3546" w:type="dxa"/>
            <w:tcBorders>
              <w:top w:val="nil"/>
              <w:left w:val="nil"/>
              <w:bottom w:val="nil"/>
              <w:right w:val="nil"/>
            </w:tcBorders>
          </w:tcPr>
          <w:p w14:paraId="1706F43F" w14:textId="77777777" w:rsidR="00996DFB" w:rsidRPr="00701945" w:rsidRDefault="00996DFB" w:rsidP="000F3A5A">
            <w:pPr>
              <w:jc w:val="both"/>
            </w:pPr>
            <w:r w:rsidRPr="00701945">
              <w:rPr>
                <w:u w:val="single"/>
              </w:rPr>
              <w:t>Issues #</w:t>
            </w:r>
          </w:p>
        </w:tc>
      </w:tr>
      <w:tr w:rsidR="00996DFB" w:rsidRPr="00701945" w14:paraId="39622AF7" w14:textId="77777777" w:rsidTr="00FA767B">
        <w:trPr>
          <w:cantSplit/>
          <w:trHeight w:val="362"/>
        </w:trPr>
        <w:tc>
          <w:tcPr>
            <w:tcW w:w="3507" w:type="dxa"/>
            <w:tcBorders>
              <w:top w:val="nil"/>
              <w:left w:val="nil"/>
              <w:bottom w:val="nil"/>
              <w:right w:val="nil"/>
            </w:tcBorders>
          </w:tcPr>
          <w:p w14:paraId="01EE7D3B" w14:textId="77777777" w:rsidR="00996DFB" w:rsidRPr="00AC105C" w:rsidRDefault="00996DFB" w:rsidP="000F3A5A">
            <w:pPr>
              <w:jc w:val="both"/>
              <w:rPr>
                <w:u w:val="single"/>
              </w:rPr>
            </w:pPr>
            <w:r w:rsidRPr="00AC105C">
              <w:tab/>
            </w:r>
            <w:r w:rsidRPr="00AC105C">
              <w:rPr>
                <w:u w:val="single"/>
              </w:rPr>
              <w:t>Direct</w:t>
            </w:r>
          </w:p>
        </w:tc>
        <w:tc>
          <w:tcPr>
            <w:tcW w:w="2511" w:type="dxa"/>
            <w:tcBorders>
              <w:top w:val="nil"/>
              <w:left w:val="nil"/>
              <w:bottom w:val="nil"/>
              <w:right w:val="nil"/>
            </w:tcBorders>
          </w:tcPr>
          <w:p w14:paraId="3546FD81" w14:textId="77777777" w:rsidR="00996DFB" w:rsidRPr="00701945" w:rsidRDefault="00996DFB" w:rsidP="000F3A5A">
            <w:pPr>
              <w:jc w:val="center"/>
            </w:pPr>
          </w:p>
        </w:tc>
        <w:tc>
          <w:tcPr>
            <w:tcW w:w="3546" w:type="dxa"/>
            <w:tcBorders>
              <w:top w:val="nil"/>
              <w:left w:val="nil"/>
              <w:bottom w:val="nil"/>
              <w:right w:val="nil"/>
            </w:tcBorders>
          </w:tcPr>
          <w:p w14:paraId="7F77FE42" w14:textId="77777777" w:rsidR="00996DFB" w:rsidRPr="00701945" w:rsidRDefault="00996DFB" w:rsidP="000F3A5A"/>
        </w:tc>
      </w:tr>
      <w:tr w:rsidR="002451A0" w:rsidRPr="00701945" w14:paraId="2C703DBB" w14:textId="77777777" w:rsidTr="00FA767B">
        <w:trPr>
          <w:cantSplit/>
          <w:trHeight w:val="382"/>
        </w:trPr>
        <w:tc>
          <w:tcPr>
            <w:tcW w:w="3507" w:type="dxa"/>
            <w:tcBorders>
              <w:top w:val="nil"/>
              <w:left w:val="nil"/>
              <w:bottom w:val="nil"/>
              <w:right w:val="nil"/>
            </w:tcBorders>
          </w:tcPr>
          <w:p w14:paraId="06172711" w14:textId="77777777" w:rsidR="002451A0" w:rsidRDefault="002451A0" w:rsidP="002451A0">
            <w:r>
              <w:t>Mitchell Goldstein</w:t>
            </w:r>
          </w:p>
        </w:tc>
        <w:tc>
          <w:tcPr>
            <w:tcW w:w="2511" w:type="dxa"/>
            <w:tcBorders>
              <w:top w:val="nil"/>
              <w:left w:val="nil"/>
              <w:bottom w:val="nil"/>
              <w:right w:val="nil"/>
            </w:tcBorders>
          </w:tcPr>
          <w:p w14:paraId="414268C7" w14:textId="61C5DAC7" w:rsidR="002451A0" w:rsidRPr="00701945" w:rsidRDefault="002451A0" w:rsidP="009613F3">
            <w:pPr>
              <w:jc w:val="center"/>
            </w:pPr>
            <w:r>
              <w:t>GULF</w:t>
            </w:r>
          </w:p>
        </w:tc>
        <w:tc>
          <w:tcPr>
            <w:tcW w:w="3546" w:type="dxa"/>
            <w:tcBorders>
              <w:top w:val="nil"/>
              <w:left w:val="nil"/>
              <w:bottom w:val="nil"/>
              <w:right w:val="nil"/>
            </w:tcBorders>
          </w:tcPr>
          <w:p w14:paraId="2BBA7D93" w14:textId="77777777" w:rsidR="002451A0" w:rsidRPr="00701945" w:rsidRDefault="002451A0" w:rsidP="002451A0">
            <w:r w:rsidRPr="002451A0">
              <w:t>1, 2, 3, 4, 5</w:t>
            </w:r>
          </w:p>
        </w:tc>
      </w:tr>
      <w:tr w:rsidR="002451A0" w:rsidRPr="00701945" w14:paraId="79B35EB1" w14:textId="77777777" w:rsidTr="00FA767B">
        <w:trPr>
          <w:cantSplit/>
          <w:trHeight w:val="362"/>
        </w:trPr>
        <w:tc>
          <w:tcPr>
            <w:tcW w:w="3507" w:type="dxa"/>
            <w:tcBorders>
              <w:top w:val="nil"/>
              <w:left w:val="nil"/>
              <w:bottom w:val="nil"/>
              <w:right w:val="nil"/>
            </w:tcBorders>
          </w:tcPr>
          <w:p w14:paraId="68FCF3CA" w14:textId="77777777" w:rsidR="002451A0" w:rsidRDefault="002451A0" w:rsidP="002451A0">
            <w:r>
              <w:t xml:space="preserve">J. Terry </w:t>
            </w:r>
            <w:proofErr w:type="spellStart"/>
            <w:r>
              <w:t>Deason</w:t>
            </w:r>
            <w:proofErr w:type="spellEnd"/>
          </w:p>
        </w:tc>
        <w:tc>
          <w:tcPr>
            <w:tcW w:w="2511" w:type="dxa"/>
            <w:tcBorders>
              <w:top w:val="nil"/>
              <w:left w:val="nil"/>
              <w:bottom w:val="nil"/>
              <w:right w:val="nil"/>
            </w:tcBorders>
          </w:tcPr>
          <w:p w14:paraId="4B2189D0" w14:textId="69C8E1D1" w:rsidR="002451A0" w:rsidRPr="00701945" w:rsidRDefault="002451A0" w:rsidP="009613F3">
            <w:pPr>
              <w:jc w:val="center"/>
            </w:pPr>
            <w:r w:rsidRPr="002451A0">
              <w:t>GULF</w:t>
            </w:r>
          </w:p>
        </w:tc>
        <w:tc>
          <w:tcPr>
            <w:tcW w:w="3546" w:type="dxa"/>
            <w:tcBorders>
              <w:top w:val="nil"/>
              <w:left w:val="nil"/>
              <w:bottom w:val="nil"/>
              <w:right w:val="nil"/>
            </w:tcBorders>
          </w:tcPr>
          <w:p w14:paraId="60B0CCF3" w14:textId="77777777" w:rsidR="002451A0" w:rsidRPr="00701945" w:rsidRDefault="002451A0" w:rsidP="002451A0">
            <w:r w:rsidRPr="002451A0">
              <w:t>1, 3, 4, 5</w:t>
            </w:r>
          </w:p>
        </w:tc>
      </w:tr>
      <w:tr w:rsidR="00520776" w:rsidRPr="00701945" w14:paraId="7A8B2703" w14:textId="77777777" w:rsidTr="00FA767B">
        <w:trPr>
          <w:cantSplit/>
          <w:trHeight w:val="362"/>
        </w:trPr>
        <w:tc>
          <w:tcPr>
            <w:tcW w:w="3507" w:type="dxa"/>
            <w:tcBorders>
              <w:top w:val="nil"/>
              <w:left w:val="nil"/>
              <w:bottom w:val="nil"/>
              <w:right w:val="nil"/>
            </w:tcBorders>
          </w:tcPr>
          <w:p w14:paraId="71449306" w14:textId="77777777" w:rsidR="00520776" w:rsidRPr="00701945" w:rsidRDefault="00520776" w:rsidP="00520776">
            <w:pPr>
              <w:jc w:val="both"/>
            </w:pPr>
            <w:r w:rsidRPr="007622D9">
              <w:t>Derrick M. Craig</w:t>
            </w:r>
          </w:p>
        </w:tc>
        <w:tc>
          <w:tcPr>
            <w:tcW w:w="2511" w:type="dxa"/>
            <w:tcBorders>
              <w:top w:val="nil"/>
              <w:left w:val="nil"/>
              <w:bottom w:val="nil"/>
              <w:right w:val="nil"/>
            </w:tcBorders>
          </w:tcPr>
          <w:p w14:paraId="6EC94E94" w14:textId="77777777" w:rsidR="00520776" w:rsidRPr="00701945" w:rsidRDefault="00520776" w:rsidP="00520776">
            <w:pPr>
              <w:jc w:val="center"/>
            </w:pPr>
            <w:r>
              <w:t>FPUC</w:t>
            </w:r>
          </w:p>
        </w:tc>
        <w:tc>
          <w:tcPr>
            <w:tcW w:w="3546" w:type="dxa"/>
            <w:tcBorders>
              <w:top w:val="nil"/>
              <w:left w:val="nil"/>
              <w:bottom w:val="nil"/>
              <w:right w:val="nil"/>
            </w:tcBorders>
          </w:tcPr>
          <w:p w14:paraId="3BD87848" w14:textId="6C40EC2B" w:rsidR="00520776" w:rsidRPr="00701945" w:rsidRDefault="00520776" w:rsidP="00520776">
            <w:r w:rsidRPr="007622D9">
              <w:t xml:space="preserve">Issues 1 </w:t>
            </w:r>
            <w:r w:rsidR="002B3AE7">
              <w:t>–</w:t>
            </w:r>
            <w:r w:rsidRPr="007622D9">
              <w:t xml:space="preserve"> 4</w:t>
            </w:r>
          </w:p>
        </w:tc>
      </w:tr>
      <w:tr w:rsidR="00520776" w:rsidRPr="00701945" w14:paraId="3525277F" w14:textId="77777777" w:rsidTr="00FA767B">
        <w:trPr>
          <w:cantSplit/>
          <w:trHeight w:val="362"/>
        </w:trPr>
        <w:tc>
          <w:tcPr>
            <w:tcW w:w="3507" w:type="dxa"/>
            <w:tcBorders>
              <w:top w:val="nil"/>
              <w:left w:val="nil"/>
              <w:bottom w:val="nil"/>
              <w:right w:val="nil"/>
            </w:tcBorders>
          </w:tcPr>
          <w:p w14:paraId="47649B85" w14:textId="483BED8E" w:rsidR="00520776" w:rsidRPr="00701945" w:rsidRDefault="00520776" w:rsidP="00520776">
            <w:pPr>
              <w:jc w:val="both"/>
            </w:pPr>
            <w:r w:rsidRPr="007622D9">
              <w:t xml:space="preserve">Michael D. </w:t>
            </w:r>
            <w:proofErr w:type="spellStart"/>
            <w:r w:rsidRPr="007622D9">
              <w:t>Galtman</w:t>
            </w:r>
            <w:proofErr w:type="spellEnd"/>
          </w:p>
        </w:tc>
        <w:tc>
          <w:tcPr>
            <w:tcW w:w="2511" w:type="dxa"/>
            <w:tcBorders>
              <w:top w:val="nil"/>
              <w:left w:val="nil"/>
              <w:bottom w:val="nil"/>
              <w:right w:val="nil"/>
            </w:tcBorders>
          </w:tcPr>
          <w:p w14:paraId="79AF19DA" w14:textId="77777777" w:rsidR="00520776" w:rsidRPr="00701945" w:rsidRDefault="00520776" w:rsidP="00520776">
            <w:pPr>
              <w:jc w:val="center"/>
            </w:pPr>
            <w:r>
              <w:t>FPUC</w:t>
            </w:r>
          </w:p>
        </w:tc>
        <w:tc>
          <w:tcPr>
            <w:tcW w:w="3546" w:type="dxa"/>
            <w:tcBorders>
              <w:top w:val="nil"/>
              <w:left w:val="nil"/>
              <w:bottom w:val="nil"/>
              <w:right w:val="nil"/>
            </w:tcBorders>
          </w:tcPr>
          <w:p w14:paraId="4D7FA68C" w14:textId="77777777" w:rsidR="00520776" w:rsidRPr="00701945" w:rsidRDefault="00520776" w:rsidP="00520776">
            <w:r w:rsidRPr="007622D9">
              <w:t>Issues 1 and 3</w:t>
            </w:r>
          </w:p>
        </w:tc>
      </w:tr>
      <w:tr w:rsidR="001D3E2F" w:rsidRPr="00701945" w14:paraId="14B45F66" w14:textId="77777777" w:rsidTr="00FA767B">
        <w:trPr>
          <w:cantSplit/>
          <w:trHeight w:val="382"/>
        </w:trPr>
        <w:tc>
          <w:tcPr>
            <w:tcW w:w="3507" w:type="dxa"/>
            <w:tcBorders>
              <w:top w:val="nil"/>
              <w:left w:val="nil"/>
              <w:bottom w:val="nil"/>
              <w:right w:val="nil"/>
            </w:tcBorders>
          </w:tcPr>
          <w:p w14:paraId="6D68F66B" w14:textId="77777777" w:rsidR="001D3E2F" w:rsidRPr="00701945" w:rsidRDefault="001D3E2F" w:rsidP="00520776">
            <w:pPr>
              <w:jc w:val="both"/>
            </w:pPr>
            <w:r>
              <w:t>Daniel J. Lawton</w:t>
            </w:r>
          </w:p>
        </w:tc>
        <w:tc>
          <w:tcPr>
            <w:tcW w:w="2511" w:type="dxa"/>
            <w:tcBorders>
              <w:top w:val="nil"/>
              <w:left w:val="nil"/>
              <w:bottom w:val="nil"/>
              <w:right w:val="nil"/>
            </w:tcBorders>
          </w:tcPr>
          <w:p w14:paraId="6EC26B6B" w14:textId="77777777" w:rsidR="001D3E2F" w:rsidRPr="00701945" w:rsidRDefault="001D3E2F" w:rsidP="00520776">
            <w:pPr>
              <w:jc w:val="center"/>
            </w:pPr>
            <w:r>
              <w:t>OPC</w:t>
            </w:r>
          </w:p>
        </w:tc>
        <w:tc>
          <w:tcPr>
            <w:tcW w:w="3546" w:type="dxa"/>
            <w:tcBorders>
              <w:top w:val="nil"/>
              <w:left w:val="nil"/>
              <w:bottom w:val="nil"/>
              <w:right w:val="nil"/>
            </w:tcBorders>
          </w:tcPr>
          <w:p w14:paraId="339FCE26" w14:textId="77777777" w:rsidR="001D3E2F" w:rsidRPr="00701945" w:rsidRDefault="001D3E2F" w:rsidP="00520776">
            <w:r>
              <w:t xml:space="preserve">1 </w:t>
            </w:r>
            <w:r w:rsidR="0066023A">
              <w:t>–</w:t>
            </w:r>
            <w:r>
              <w:t xml:space="preserve"> 4</w:t>
            </w:r>
          </w:p>
        </w:tc>
      </w:tr>
      <w:tr w:rsidR="00520776" w:rsidRPr="00701945" w14:paraId="53282C56" w14:textId="77777777" w:rsidTr="00FA767B">
        <w:trPr>
          <w:cantSplit/>
          <w:trHeight w:val="382"/>
        </w:trPr>
        <w:tc>
          <w:tcPr>
            <w:tcW w:w="3507" w:type="dxa"/>
            <w:tcBorders>
              <w:top w:val="nil"/>
              <w:left w:val="nil"/>
              <w:bottom w:val="nil"/>
              <w:right w:val="nil"/>
            </w:tcBorders>
          </w:tcPr>
          <w:p w14:paraId="66BC8C7E" w14:textId="77777777" w:rsidR="00520776" w:rsidRPr="00701945" w:rsidRDefault="00520776" w:rsidP="00520776">
            <w:pPr>
              <w:jc w:val="both"/>
            </w:pPr>
            <w:r w:rsidRPr="00701945">
              <w:tab/>
            </w:r>
            <w:r w:rsidRPr="00701945">
              <w:rPr>
                <w:u w:val="single"/>
              </w:rPr>
              <w:t>Rebuttal</w:t>
            </w:r>
          </w:p>
        </w:tc>
        <w:tc>
          <w:tcPr>
            <w:tcW w:w="2511" w:type="dxa"/>
            <w:tcBorders>
              <w:top w:val="nil"/>
              <w:left w:val="nil"/>
              <w:bottom w:val="nil"/>
              <w:right w:val="nil"/>
            </w:tcBorders>
          </w:tcPr>
          <w:p w14:paraId="6A669FB4" w14:textId="77777777" w:rsidR="00520776" w:rsidRPr="00701945" w:rsidRDefault="00520776" w:rsidP="00520776">
            <w:pPr>
              <w:jc w:val="center"/>
            </w:pPr>
          </w:p>
        </w:tc>
        <w:tc>
          <w:tcPr>
            <w:tcW w:w="3546" w:type="dxa"/>
            <w:tcBorders>
              <w:top w:val="nil"/>
              <w:left w:val="nil"/>
              <w:bottom w:val="nil"/>
              <w:right w:val="nil"/>
            </w:tcBorders>
          </w:tcPr>
          <w:p w14:paraId="7E09A5BD" w14:textId="77777777" w:rsidR="00520776" w:rsidRPr="00701945" w:rsidRDefault="00520776" w:rsidP="00520776"/>
        </w:tc>
      </w:tr>
      <w:tr w:rsidR="00520776" w:rsidRPr="00701945" w14:paraId="3BA5C776" w14:textId="77777777" w:rsidTr="00FA767B">
        <w:trPr>
          <w:cantSplit/>
          <w:trHeight w:val="362"/>
        </w:trPr>
        <w:tc>
          <w:tcPr>
            <w:tcW w:w="3507" w:type="dxa"/>
            <w:tcBorders>
              <w:top w:val="nil"/>
              <w:left w:val="nil"/>
              <w:bottom w:val="nil"/>
              <w:right w:val="nil"/>
            </w:tcBorders>
          </w:tcPr>
          <w:p w14:paraId="4739AFA4" w14:textId="77777777" w:rsidR="00520776" w:rsidRPr="00BB2401" w:rsidRDefault="00520776" w:rsidP="00520776">
            <w:r>
              <w:t>Mitchell Goldstein</w:t>
            </w:r>
          </w:p>
        </w:tc>
        <w:tc>
          <w:tcPr>
            <w:tcW w:w="2511" w:type="dxa"/>
            <w:tcBorders>
              <w:top w:val="nil"/>
              <w:left w:val="nil"/>
              <w:bottom w:val="nil"/>
              <w:right w:val="nil"/>
            </w:tcBorders>
          </w:tcPr>
          <w:p w14:paraId="0B13FC99" w14:textId="77777777" w:rsidR="00520776" w:rsidRPr="00701945" w:rsidRDefault="00520776" w:rsidP="00520776">
            <w:pPr>
              <w:jc w:val="center"/>
            </w:pPr>
            <w:r>
              <w:t>GULF</w:t>
            </w:r>
          </w:p>
        </w:tc>
        <w:tc>
          <w:tcPr>
            <w:tcW w:w="3546" w:type="dxa"/>
            <w:tcBorders>
              <w:top w:val="nil"/>
              <w:left w:val="nil"/>
              <w:bottom w:val="nil"/>
              <w:right w:val="nil"/>
            </w:tcBorders>
          </w:tcPr>
          <w:p w14:paraId="18CE4124" w14:textId="77777777" w:rsidR="00520776" w:rsidRPr="00701945" w:rsidRDefault="00520776" w:rsidP="00520776">
            <w:r w:rsidRPr="002451A0">
              <w:t>1, 2, 3, 4, 5</w:t>
            </w:r>
          </w:p>
        </w:tc>
      </w:tr>
      <w:tr w:rsidR="00520776" w:rsidRPr="00701945" w14:paraId="7792BAD0" w14:textId="77777777" w:rsidTr="00FA767B">
        <w:trPr>
          <w:cantSplit/>
          <w:trHeight w:val="362"/>
        </w:trPr>
        <w:tc>
          <w:tcPr>
            <w:tcW w:w="3507" w:type="dxa"/>
            <w:tcBorders>
              <w:top w:val="nil"/>
              <w:left w:val="nil"/>
              <w:bottom w:val="nil"/>
              <w:right w:val="nil"/>
            </w:tcBorders>
          </w:tcPr>
          <w:p w14:paraId="61E1DB59" w14:textId="77777777" w:rsidR="00520776" w:rsidRPr="00701945" w:rsidRDefault="00520776" w:rsidP="00520776">
            <w:pPr>
              <w:jc w:val="both"/>
            </w:pPr>
            <w:r w:rsidRPr="002451A0">
              <w:t xml:space="preserve">J. Terry </w:t>
            </w:r>
            <w:proofErr w:type="spellStart"/>
            <w:r w:rsidRPr="002451A0">
              <w:t>Deason</w:t>
            </w:r>
            <w:proofErr w:type="spellEnd"/>
          </w:p>
        </w:tc>
        <w:tc>
          <w:tcPr>
            <w:tcW w:w="2511" w:type="dxa"/>
            <w:tcBorders>
              <w:top w:val="nil"/>
              <w:left w:val="nil"/>
              <w:bottom w:val="nil"/>
              <w:right w:val="nil"/>
            </w:tcBorders>
          </w:tcPr>
          <w:p w14:paraId="30A8CB3C" w14:textId="77777777" w:rsidR="00520776" w:rsidRPr="00701945" w:rsidRDefault="00520776" w:rsidP="00520776">
            <w:pPr>
              <w:jc w:val="center"/>
            </w:pPr>
            <w:r>
              <w:t>GULF &amp; FPUC</w:t>
            </w:r>
          </w:p>
        </w:tc>
        <w:tc>
          <w:tcPr>
            <w:tcW w:w="3546" w:type="dxa"/>
            <w:tcBorders>
              <w:top w:val="nil"/>
              <w:left w:val="nil"/>
              <w:bottom w:val="nil"/>
              <w:right w:val="nil"/>
            </w:tcBorders>
          </w:tcPr>
          <w:p w14:paraId="568997D5" w14:textId="77777777" w:rsidR="00520776" w:rsidRPr="00701945" w:rsidRDefault="00520776" w:rsidP="00520776">
            <w:r w:rsidRPr="002451A0">
              <w:t>1, 3, 4, 5</w:t>
            </w:r>
          </w:p>
        </w:tc>
      </w:tr>
      <w:tr w:rsidR="00520776" w:rsidRPr="00701945" w14:paraId="3FD0B64D" w14:textId="77777777" w:rsidTr="00FA767B">
        <w:trPr>
          <w:cantSplit/>
          <w:trHeight w:val="362"/>
        </w:trPr>
        <w:tc>
          <w:tcPr>
            <w:tcW w:w="3507" w:type="dxa"/>
            <w:tcBorders>
              <w:top w:val="nil"/>
              <w:left w:val="nil"/>
              <w:bottom w:val="nil"/>
              <w:right w:val="nil"/>
            </w:tcBorders>
          </w:tcPr>
          <w:p w14:paraId="5315C81B" w14:textId="77777777" w:rsidR="00520776" w:rsidRPr="00701945" w:rsidRDefault="00520776" w:rsidP="000F3A5A">
            <w:pPr>
              <w:jc w:val="both"/>
            </w:pPr>
            <w:r w:rsidRPr="00E53D8D">
              <w:t xml:space="preserve">Michael D. </w:t>
            </w:r>
            <w:proofErr w:type="spellStart"/>
            <w:r w:rsidRPr="00E53D8D">
              <w:t>Galtman</w:t>
            </w:r>
            <w:proofErr w:type="spellEnd"/>
          </w:p>
        </w:tc>
        <w:tc>
          <w:tcPr>
            <w:tcW w:w="2511" w:type="dxa"/>
            <w:tcBorders>
              <w:top w:val="nil"/>
              <w:left w:val="nil"/>
              <w:bottom w:val="nil"/>
              <w:right w:val="nil"/>
            </w:tcBorders>
          </w:tcPr>
          <w:p w14:paraId="05AA881B" w14:textId="77777777" w:rsidR="00520776" w:rsidRPr="00701945" w:rsidRDefault="00520776" w:rsidP="000F3A5A">
            <w:pPr>
              <w:jc w:val="center"/>
            </w:pPr>
            <w:r>
              <w:t>FPUC</w:t>
            </w:r>
          </w:p>
        </w:tc>
        <w:tc>
          <w:tcPr>
            <w:tcW w:w="3546" w:type="dxa"/>
            <w:tcBorders>
              <w:top w:val="nil"/>
              <w:left w:val="nil"/>
              <w:bottom w:val="nil"/>
              <w:right w:val="nil"/>
            </w:tcBorders>
          </w:tcPr>
          <w:p w14:paraId="7A34348B" w14:textId="77777777" w:rsidR="00520776" w:rsidRPr="00701945" w:rsidRDefault="00520776" w:rsidP="000F3A5A">
            <w:r w:rsidRPr="00520776">
              <w:t>Issues 1, 3, and 4</w:t>
            </w:r>
          </w:p>
        </w:tc>
      </w:tr>
      <w:tr w:rsidR="00520776" w:rsidRPr="00701945" w14:paraId="328A0289" w14:textId="77777777" w:rsidTr="00FA767B">
        <w:trPr>
          <w:cantSplit/>
          <w:trHeight w:val="382"/>
        </w:trPr>
        <w:tc>
          <w:tcPr>
            <w:tcW w:w="3507" w:type="dxa"/>
            <w:tcBorders>
              <w:top w:val="nil"/>
              <w:left w:val="nil"/>
              <w:bottom w:val="nil"/>
              <w:right w:val="nil"/>
            </w:tcBorders>
          </w:tcPr>
          <w:p w14:paraId="7C13BFB0" w14:textId="77777777" w:rsidR="00520776" w:rsidRPr="00701945" w:rsidRDefault="00520776" w:rsidP="00520776">
            <w:pPr>
              <w:jc w:val="both"/>
            </w:pPr>
            <w:r w:rsidRPr="005F4D43">
              <w:t>Derrick M. Craig</w:t>
            </w:r>
          </w:p>
        </w:tc>
        <w:tc>
          <w:tcPr>
            <w:tcW w:w="2511" w:type="dxa"/>
            <w:tcBorders>
              <w:top w:val="nil"/>
              <w:left w:val="nil"/>
              <w:bottom w:val="nil"/>
              <w:right w:val="nil"/>
            </w:tcBorders>
          </w:tcPr>
          <w:p w14:paraId="1CADB3B5" w14:textId="77777777" w:rsidR="00520776" w:rsidRPr="00701945" w:rsidRDefault="00520776" w:rsidP="00520776">
            <w:pPr>
              <w:jc w:val="center"/>
            </w:pPr>
            <w:r>
              <w:t>FPUC</w:t>
            </w:r>
          </w:p>
        </w:tc>
        <w:tc>
          <w:tcPr>
            <w:tcW w:w="3546" w:type="dxa"/>
            <w:tcBorders>
              <w:top w:val="nil"/>
              <w:left w:val="nil"/>
              <w:bottom w:val="nil"/>
              <w:right w:val="nil"/>
            </w:tcBorders>
          </w:tcPr>
          <w:p w14:paraId="4ED3E877" w14:textId="77777777" w:rsidR="00520776" w:rsidRPr="008430C5" w:rsidRDefault="00520776" w:rsidP="00520776">
            <w:pPr>
              <w:pStyle w:val="PrehearingBody"/>
              <w:ind w:firstLine="0"/>
              <w:rPr>
                <w:lang w:val="en-US" w:eastAsia="en-US"/>
              </w:rPr>
            </w:pPr>
            <w:r>
              <w:rPr>
                <w:lang w:val="en-US" w:eastAsia="en-US"/>
              </w:rPr>
              <w:t>Issues 2 and 4</w:t>
            </w:r>
          </w:p>
        </w:tc>
      </w:tr>
    </w:tbl>
    <w:p w14:paraId="73900B6C" w14:textId="77777777" w:rsidR="00996DFB" w:rsidRDefault="00996DFB" w:rsidP="00996DFB">
      <w:pPr>
        <w:jc w:val="both"/>
      </w:pPr>
    </w:p>
    <w:p w14:paraId="78131D46" w14:textId="77777777" w:rsidR="00996DFB" w:rsidRDefault="00996DFB" w:rsidP="00996DFB">
      <w:pPr>
        <w:jc w:val="both"/>
      </w:pPr>
    </w:p>
    <w:p w14:paraId="10570E21" w14:textId="77777777" w:rsidR="00996DFB" w:rsidRPr="00A32DC5" w:rsidRDefault="00996DFB" w:rsidP="00996DFB">
      <w:pPr>
        <w:jc w:val="both"/>
        <w:rPr>
          <w:b/>
        </w:rPr>
      </w:pPr>
      <w:r w:rsidRPr="00A32DC5">
        <w:rPr>
          <w:b/>
        </w:rPr>
        <w:t>VII.</w:t>
      </w:r>
      <w:r w:rsidRPr="00A32DC5">
        <w:rPr>
          <w:b/>
        </w:rPr>
        <w:tab/>
      </w:r>
      <w:r w:rsidRPr="00A32DC5">
        <w:rPr>
          <w:b/>
          <w:u w:val="single"/>
        </w:rPr>
        <w:t>BASIC POSITIONS</w:t>
      </w:r>
    </w:p>
    <w:p w14:paraId="76C5B9AA" w14:textId="77777777" w:rsidR="00996DFB" w:rsidRPr="00701945" w:rsidRDefault="00996DFB" w:rsidP="00996DFB">
      <w:pPr>
        <w:jc w:val="both"/>
      </w:pPr>
    </w:p>
    <w:p w14:paraId="1A709902" w14:textId="77777777" w:rsidR="002451A0" w:rsidRPr="002451A0" w:rsidRDefault="002451A0" w:rsidP="000C5E09">
      <w:pPr>
        <w:autoSpaceDE w:val="0"/>
        <w:autoSpaceDN w:val="0"/>
        <w:adjustRightInd w:val="0"/>
        <w:ind w:left="1440" w:hanging="1440"/>
        <w:jc w:val="both"/>
      </w:pPr>
      <w:r>
        <w:rPr>
          <w:b/>
          <w:bCs/>
        </w:rPr>
        <w:t>GULF</w:t>
      </w:r>
      <w:r w:rsidR="00996DFB" w:rsidRPr="00701945">
        <w:rPr>
          <w:b/>
          <w:bCs/>
        </w:rPr>
        <w:t>:</w:t>
      </w:r>
      <w:r w:rsidR="00996DFB" w:rsidRPr="00701945">
        <w:tab/>
      </w:r>
      <w:r w:rsidRPr="002451A0">
        <w:t xml:space="preserve">In late 2019, a severe outbreak of the Novel Coronavirus Disease 2019, or COVID-19, began. Since the beginning of the outbreak, COVID-19 has spread internationally and to all 50 U.S. states. COVID-19’s severity and </w:t>
      </w:r>
      <w:r w:rsidRPr="002451A0">
        <w:rPr>
          <w:rFonts w:ascii="TimesNewRoman" w:hAnsi="TimesNewRoman" w:cs="TimesNewRoman"/>
        </w:rPr>
        <w:t>transmissibility caused the World Health Organization to classify COVID-19 as a pandemic.</w:t>
      </w:r>
    </w:p>
    <w:p w14:paraId="6CAAAB14" w14:textId="77777777" w:rsidR="002451A0" w:rsidRPr="002451A0" w:rsidRDefault="002451A0" w:rsidP="000C5E09">
      <w:pPr>
        <w:ind w:left="1440" w:hanging="1440"/>
        <w:rPr>
          <w:rFonts w:ascii="TimesNewRoman" w:hAnsi="TimesNewRoman" w:cs="TimesNewRoman"/>
        </w:rPr>
      </w:pPr>
    </w:p>
    <w:p w14:paraId="6A7217CC" w14:textId="77777777" w:rsidR="002451A0" w:rsidRPr="002451A0" w:rsidRDefault="002451A0" w:rsidP="000C5E09">
      <w:pPr>
        <w:autoSpaceDE w:val="0"/>
        <w:autoSpaceDN w:val="0"/>
        <w:adjustRightInd w:val="0"/>
        <w:ind w:left="1440"/>
        <w:jc w:val="both"/>
        <w:rPr>
          <w:rFonts w:ascii="TimesNewRoman" w:hAnsi="TimesNewRoman" w:cs="TimesNewRoman"/>
        </w:rPr>
      </w:pPr>
      <w:r w:rsidRPr="002451A0">
        <w:rPr>
          <w:rFonts w:ascii="TimesNewRoman" w:hAnsi="TimesNewRoman" w:cs="TimesNewRoman"/>
        </w:rPr>
        <w:t>The State of Florida has taken actions to reduce the virus’ impact on its residents. On March 1, 2020, Governor Ron DeSantis issued Executive Order number 20-51, directing the State Health Officer and Surgeon General to declare a public health emergency, and on March 9, 2020, the Governor issued Executive Order number 20-52 declaring the existence of a state of emergency in the State of Florida. On April 1, 2020, Governor DeSantis issued Executive Order number 2091 (the “Safer at Home Executive Order”), requiring that “all persons in Florida shall limit their movements and personal interactions outside of their home to only those necessary to obtain or provide essential services or conduct essential activities.” Most recently, on April 27, 2021, Governor DeSantis issued Executive Order number 21-94, extending the state of emergency declaration an additional 60 days.</w:t>
      </w:r>
    </w:p>
    <w:p w14:paraId="3607DEED" w14:textId="77777777" w:rsidR="002451A0" w:rsidRPr="002451A0" w:rsidRDefault="002451A0" w:rsidP="000C5E09">
      <w:pPr>
        <w:autoSpaceDE w:val="0"/>
        <w:autoSpaceDN w:val="0"/>
        <w:adjustRightInd w:val="0"/>
        <w:ind w:left="1440" w:hanging="1440"/>
        <w:rPr>
          <w:rFonts w:ascii="TimesNewRoman" w:hAnsi="TimesNewRoman" w:cs="TimesNewRoman"/>
        </w:rPr>
      </w:pPr>
    </w:p>
    <w:p w14:paraId="67000090" w14:textId="77777777" w:rsidR="002451A0" w:rsidRPr="002451A0" w:rsidRDefault="002451A0" w:rsidP="000C5E09">
      <w:pPr>
        <w:autoSpaceDE w:val="0"/>
        <w:autoSpaceDN w:val="0"/>
        <w:adjustRightInd w:val="0"/>
        <w:ind w:left="1440"/>
        <w:jc w:val="both"/>
        <w:rPr>
          <w:rFonts w:ascii="TimesNewRoman" w:hAnsi="TimesNewRoman" w:cs="TimesNewRoman"/>
        </w:rPr>
      </w:pPr>
      <w:r w:rsidRPr="002451A0">
        <w:rPr>
          <w:rFonts w:ascii="TimesNewRoman" w:hAnsi="TimesNewRoman" w:cs="TimesNewRoman"/>
        </w:rPr>
        <w:t>In response to the significant economic and societal impact and increased unemployment attributable to COVID-19, Gulf Power announced on March 17, 2020 that it would suspend customer disconnections. The Company’s decision to proactively suspend disconnections for non-payment of overdue balances was similar to actions taken by utilities across the country in response to COVID-19. The Company’s announcement served as an extension of then-existing disconnect suspension that had been necessitated by the Company’s implementation of its new customer billing system, Customer Account Management System (“CAMS”), in the first quarter of 2020.</w:t>
      </w:r>
    </w:p>
    <w:p w14:paraId="062285AF" w14:textId="77777777" w:rsidR="002451A0" w:rsidRPr="002451A0" w:rsidRDefault="002451A0" w:rsidP="000C5E09">
      <w:pPr>
        <w:autoSpaceDE w:val="0"/>
        <w:autoSpaceDN w:val="0"/>
        <w:adjustRightInd w:val="0"/>
        <w:ind w:left="1440" w:hanging="1440"/>
        <w:rPr>
          <w:rFonts w:ascii="TimesNewRoman" w:hAnsi="TimesNewRoman" w:cs="TimesNewRoman"/>
        </w:rPr>
      </w:pPr>
    </w:p>
    <w:p w14:paraId="756F373B" w14:textId="77777777" w:rsidR="002451A0" w:rsidRPr="002451A0" w:rsidRDefault="002451A0" w:rsidP="000C5E09">
      <w:pPr>
        <w:autoSpaceDE w:val="0"/>
        <w:autoSpaceDN w:val="0"/>
        <w:adjustRightInd w:val="0"/>
        <w:ind w:left="1440"/>
        <w:jc w:val="both"/>
        <w:rPr>
          <w:rFonts w:ascii="TimesNewRoman" w:hAnsi="TimesNewRoman" w:cs="TimesNewRoman"/>
        </w:rPr>
      </w:pPr>
      <w:r w:rsidRPr="002451A0">
        <w:rPr>
          <w:rFonts w:ascii="TimesNewRoman" w:hAnsi="TimesNewRoman" w:cs="TimesNewRoman"/>
        </w:rPr>
        <w:t>Gulf Power has undertaken and continues to undertake safety-related actions to ensure its employees, contractors, and customers are protected from COVID-19. To this end, the Company has obtained materials and equipment to limit the potential spread of COVID-19 and has implemented a variety of practices at its facilities based on recommendations from the United States Centers for Disease Control and Prevention and Florida Department of Health.</w:t>
      </w:r>
    </w:p>
    <w:p w14:paraId="46A6B62A" w14:textId="77777777" w:rsidR="002451A0" w:rsidRPr="002451A0" w:rsidRDefault="002451A0" w:rsidP="000C5E09">
      <w:pPr>
        <w:autoSpaceDE w:val="0"/>
        <w:autoSpaceDN w:val="0"/>
        <w:adjustRightInd w:val="0"/>
        <w:ind w:left="1440" w:hanging="1440"/>
        <w:jc w:val="both"/>
        <w:rPr>
          <w:rFonts w:ascii="TimesNewRoman" w:hAnsi="TimesNewRoman" w:cs="TimesNewRoman"/>
        </w:rPr>
      </w:pPr>
    </w:p>
    <w:p w14:paraId="04A73A1C" w14:textId="77777777" w:rsidR="002451A0" w:rsidRPr="002451A0" w:rsidRDefault="002451A0" w:rsidP="000C5E09">
      <w:pPr>
        <w:ind w:left="1440"/>
        <w:jc w:val="both"/>
        <w:rPr>
          <w:bCs/>
          <w:szCs w:val="20"/>
        </w:rPr>
      </w:pPr>
      <w:r w:rsidRPr="002451A0">
        <w:rPr>
          <w:bCs/>
          <w:szCs w:val="20"/>
        </w:rPr>
        <w:t>Although Gulf Power was able to implement various measures to assist its customers during the pandemic, Gulf Power has incurred incremental operating costs that were not contemplated when base rates were last reset.  These incremental costs were incurred due to this unique and unanticipated COVID-19 pandemic event beyond Gulf Power’s control.</w:t>
      </w:r>
    </w:p>
    <w:p w14:paraId="1E6CF746" w14:textId="77777777" w:rsidR="002451A0" w:rsidRPr="002451A0" w:rsidRDefault="002451A0" w:rsidP="000C5E09">
      <w:pPr>
        <w:ind w:left="1440" w:hanging="1440"/>
        <w:jc w:val="both"/>
        <w:rPr>
          <w:szCs w:val="20"/>
        </w:rPr>
      </w:pPr>
    </w:p>
    <w:p w14:paraId="55570D9F" w14:textId="77777777" w:rsidR="002451A0" w:rsidRPr="002451A0" w:rsidRDefault="002451A0" w:rsidP="000C5E09">
      <w:pPr>
        <w:ind w:left="1440"/>
        <w:jc w:val="both"/>
        <w:rPr>
          <w:szCs w:val="20"/>
        </w:rPr>
      </w:pPr>
      <w:r w:rsidRPr="002451A0">
        <w:rPr>
          <w:szCs w:val="20"/>
        </w:rPr>
        <w:t>On May 22, 2020, Gulf Power filed a petition for approval to establish a regulatory asset to record costs incurred due to COVID-19, and therein requested deferral of incremental bad debt expense and safety-related costs attributable to COVID-19. On October 27, 2020, the Commission issued PAA Order PSC-2020-0406-PAA-EI, approving Gulf’s request. On November 17, 2020, OPC filed a Petition Protesting a Proposed Agency Action and requested an administrative hearing on the proposed action.</w:t>
      </w:r>
    </w:p>
    <w:p w14:paraId="07B27AC3" w14:textId="77777777" w:rsidR="002451A0" w:rsidRPr="002451A0" w:rsidRDefault="002451A0" w:rsidP="000C5E09">
      <w:pPr>
        <w:ind w:left="1440" w:hanging="1440"/>
        <w:jc w:val="both"/>
        <w:rPr>
          <w:szCs w:val="20"/>
        </w:rPr>
      </w:pPr>
    </w:p>
    <w:p w14:paraId="651C30D4" w14:textId="77777777" w:rsidR="002451A0" w:rsidRPr="002451A0" w:rsidRDefault="002451A0" w:rsidP="000C5E09">
      <w:pPr>
        <w:ind w:left="1440"/>
        <w:jc w:val="both"/>
        <w:rPr>
          <w:szCs w:val="20"/>
        </w:rPr>
      </w:pPr>
      <w:r w:rsidRPr="002451A0">
        <w:rPr>
          <w:szCs w:val="20"/>
        </w:rPr>
        <w:t xml:space="preserve">Gulf Power has incurred two types of costs due to the impacts of COVID-19:  1) incremental bad debt expense and 2) incremental operating costs to preserve the health and safety of its employees, contractors and customers.  Both types of costs are being deferred in Account 182.3, Other Regulatory Assets.  As of February 28, 2021, the amount of the COVID-19 regulatory asset is $17.6 million, representing incremental bad debt expense and COVID-19-related operating expenses, reduced by savings for travel and meals expenses.  During March 2021, Gulf Power reviewed the status of savings on medical expenses achieved between April 2020 and February 2021.  These savings were initially anticipated due to changes in timing, with the likelihood that such costs would increase in early 2021.  Since no increase has occurred to date, Gulf Power made an entry in March 2021 to reduce the amount deferred to the COVID-19 regulatory asset by $1.6 million, based on </w:t>
      </w:r>
      <w:r w:rsidRPr="002451A0">
        <w:rPr>
          <w:szCs w:val="20"/>
        </w:rPr>
        <w:lastRenderedPageBreak/>
        <w:t>the medical expense savings achieved each month versus the planned expense for that month, for the period April 1, 2020 through March 31, 2021.</w:t>
      </w:r>
    </w:p>
    <w:p w14:paraId="058A1261" w14:textId="77777777" w:rsidR="002451A0" w:rsidRPr="002451A0" w:rsidRDefault="002451A0" w:rsidP="000C5E09">
      <w:pPr>
        <w:ind w:left="1440" w:hanging="1440"/>
        <w:jc w:val="both"/>
        <w:rPr>
          <w:szCs w:val="20"/>
        </w:rPr>
      </w:pPr>
    </w:p>
    <w:p w14:paraId="1CEFD328" w14:textId="77777777" w:rsidR="002451A0" w:rsidRPr="002451A0" w:rsidRDefault="002451A0" w:rsidP="000C5E09">
      <w:pPr>
        <w:ind w:left="1440"/>
        <w:jc w:val="both"/>
        <w:rPr>
          <w:szCs w:val="20"/>
        </w:rPr>
      </w:pPr>
      <w:r w:rsidRPr="002451A0">
        <w:rPr>
          <w:szCs w:val="20"/>
        </w:rPr>
        <w:t>Gulf Power proposes to cease deferring amounts to the COVID-19 regulatory asset on December 31, 2021, based on Gulf Power’s forecast that the most significant impacts of COVID-19 will be concluded at that time and the fact that accounts receivable and bad debt are returning to historic levels and less need for the strict COVID operating protocols, which are currently remain in place. Gulf Power forecasts its total costs eligible for inclusion in the regulatory asset to be $20.7 million at the end of 2021.</w:t>
      </w:r>
    </w:p>
    <w:p w14:paraId="378456AF" w14:textId="77777777" w:rsidR="002451A0" w:rsidRPr="002451A0" w:rsidRDefault="002451A0" w:rsidP="000C5E09">
      <w:pPr>
        <w:ind w:left="1440" w:hanging="1440"/>
        <w:jc w:val="both"/>
        <w:rPr>
          <w:szCs w:val="20"/>
        </w:rPr>
      </w:pPr>
    </w:p>
    <w:p w14:paraId="6AFE5768" w14:textId="77777777" w:rsidR="00520776" w:rsidRDefault="00D65F48" w:rsidP="000C5E09">
      <w:pPr>
        <w:ind w:left="1440" w:hanging="1440"/>
        <w:jc w:val="both"/>
      </w:pPr>
      <w:r w:rsidRPr="00D65F48">
        <w:rPr>
          <w:b/>
        </w:rPr>
        <w:t>FPUC:</w:t>
      </w:r>
      <w:r>
        <w:rPr>
          <w:b/>
        </w:rPr>
        <w:tab/>
      </w:r>
      <w:r w:rsidR="00520776">
        <w:t xml:space="preserve">As the Commission is well-aware, </w:t>
      </w:r>
      <w:r w:rsidR="00520776" w:rsidRPr="00042E80">
        <w:t xml:space="preserve">the </w:t>
      </w:r>
      <w:r w:rsidR="00520776">
        <w:t xml:space="preserve">impact of the </w:t>
      </w:r>
      <w:r w:rsidR="00520776" w:rsidRPr="00042E80">
        <w:t>Novel Coronavirus Disease 2019, or COVID</w:t>
      </w:r>
      <w:r w:rsidR="00520776">
        <w:t>-</w:t>
      </w:r>
      <w:r w:rsidR="00520776" w:rsidRPr="00042E80">
        <w:t>19</w:t>
      </w:r>
      <w:r w:rsidR="00520776">
        <w:t>, has been prolonged and devastating.  While in recent months circumstances have suggested that there is an end in sight, the long-term effects of this extraordinary pandemic will likely be felt across businesses and the healthcare sector f</w:t>
      </w:r>
      <w:r w:rsidR="00206978">
        <w:t>or an extended period of time.</w:t>
      </w:r>
    </w:p>
    <w:p w14:paraId="3A6C16D6" w14:textId="77777777" w:rsidR="00206978" w:rsidRDefault="00206978" w:rsidP="000C5E09">
      <w:pPr>
        <w:ind w:left="1440" w:hanging="1440"/>
        <w:jc w:val="both"/>
      </w:pPr>
    </w:p>
    <w:p w14:paraId="5FB4D280" w14:textId="4A96BB6A" w:rsidR="00520776" w:rsidRDefault="00520776" w:rsidP="000C5E09">
      <w:pPr>
        <w:ind w:left="1440"/>
        <w:jc w:val="both"/>
      </w:pPr>
      <w:r>
        <w:t xml:space="preserve">At the outset of the COVID-19 pandemic, </w:t>
      </w:r>
      <w:r w:rsidRPr="00914754">
        <w:t xml:space="preserve">the </w:t>
      </w:r>
      <w:r>
        <w:t xml:space="preserve">FPUC </w:t>
      </w:r>
      <w:r w:rsidRPr="00914754">
        <w:t>Companies</w:t>
      </w:r>
      <w:r>
        <w:t>,</w:t>
      </w:r>
      <w:r w:rsidRPr="00914754">
        <w:t xml:space="preserve"> </w:t>
      </w:r>
      <w:r>
        <w:t>c</w:t>
      </w:r>
      <w:r w:rsidRPr="00914754">
        <w:t xml:space="preserve">onsistent with the direction of </w:t>
      </w:r>
      <w:r>
        <w:t>their corporate parent Chesapeake’s</w:t>
      </w:r>
      <w:r w:rsidRPr="00914754">
        <w:t xml:space="preserve"> CEO and </w:t>
      </w:r>
      <w:r>
        <w:t>the corporation’s</w:t>
      </w:r>
      <w:r w:rsidRPr="00914754">
        <w:t xml:space="preserve"> Pandemic Response Plan</w:t>
      </w:r>
      <w:r>
        <w:t>,</w:t>
      </w:r>
      <w:r w:rsidRPr="00914754">
        <w:t xml:space="preserve"> responded quickly to the first indications that COVID-19 was spreading from other countries.  Th</w:t>
      </w:r>
      <w:r>
        <w:t>at response included a variety of</w:t>
      </w:r>
      <w:r w:rsidRPr="00914754">
        <w:t xml:space="preserve"> </w:t>
      </w:r>
      <w:r>
        <w:t xml:space="preserve">safety </w:t>
      </w:r>
      <w:r w:rsidRPr="00914754">
        <w:t>measures</w:t>
      </w:r>
      <w:r>
        <w:t xml:space="preserve"> on a multitude of fronts,</w:t>
      </w:r>
      <w:r w:rsidRPr="00914754">
        <w:t xml:space="preserve"> including</w:t>
      </w:r>
      <w:r>
        <w:t>, among other things,</w:t>
      </w:r>
      <w:r w:rsidRPr="00914754">
        <w:t xml:space="preserve"> enabling as many employees as possible to work from home</w:t>
      </w:r>
      <w:r>
        <w:t>,</w:t>
      </w:r>
      <w:r w:rsidRPr="00914754">
        <w:t xml:space="preserve"> cancelling all business travel, stopping movement of employees between offices, postponing face to face meetings and events, instituting health reporting protocols, providing paid time off to employees that become infected or exposed to COVID-19 and could not work, providing needed personal protective equipment (“PPE”) to employees, and implementing social distancing practices.  </w:t>
      </w:r>
      <w:r>
        <w:t>For those employees unable to work from home due to the nature of their role with the companies, namely</w:t>
      </w:r>
      <w:r w:rsidRPr="00914754">
        <w:t xml:space="preserve"> the Companies’ field operations teams</w:t>
      </w:r>
      <w:r>
        <w:t xml:space="preserve"> that must continue providing </w:t>
      </w:r>
      <w:r w:rsidRPr="00914754">
        <w:t>essential services</w:t>
      </w:r>
      <w:r>
        <w:t>,</w:t>
      </w:r>
      <w:r w:rsidRPr="00914754">
        <w:t xml:space="preserve"> the</w:t>
      </w:r>
      <w:r>
        <w:t xml:space="preserve"> FPUC</w:t>
      </w:r>
      <w:r w:rsidRPr="00914754">
        <w:t xml:space="preserve"> Companies provided each such employee with social distancing and health protection training, as well as necessary PPE and disinfectant supplies</w:t>
      </w:r>
      <w:r>
        <w:t xml:space="preserve"> consistent with the Centers for Disease Control (“CDC”) guidelines</w:t>
      </w:r>
      <w:r w:rsidRPr="00914754">
        <w:t>.</w:t>
      </w:r>
      <w:r>
        <w:t xml:space="preserve">  The FPUC Companies also effectuated a proactive economic response to the pandemic by</w:t>
      </w:r>
      <w:r w:rsidRPr="004250AD">
        <w:t xml:space="preserve"> </w:t>
      </w:r>
      <w:r>
        <w:t xml:space="preserve">temporarily suspending </w:t>
      </w:r>
      <w:r w:rsidRPr="00042E80">
        <w:t xml:space="preserve">customer </w:t>
      </w:r>
      <w:r>
        <w:t xml:space="preserve">late fees and </w:t>
      </w:r>
      <w:r w:rsidR="00206978">
        <w:t>disconnections.</w:t>
      </w:r>
    </w:p>
    <w:p w14:paraId="36FC72A2" w14:textId="77777777" w:rsidR="00206978" w:rsidRPr="007679EF" w:rsidRDefault="00206978" w:rsidP="000C5E09">
      <w:pPr>
        <w:ind w:left="1440" w:hanging="1440"/>
        <w:jc w:val="both"/>
        <w:rPr>
          <w:b/>
          <w:bCs/>
          <w:u w:val="single"/>
        </w:rPr>
      </w:pPr>
    </w:p>
    <w:p w14:paraId="0DC68D8B" w14:textId="77777777" w:rsidR="00520776" w:rsidRDefault="00520776" w:rsidP="000C5E09">
      <w:pPr>
        <w:ind w:left="1440"/>
        <w:jc w:val="both"/>
      </w:pPr>
      <w:r>
        <w:t xml:space="preserve">The FPUC Companies’ proactive response to COVID-19, as well as the economic impacts of the virus, have, however, resulted in increased safety-related costs and a projected overall </w:t>
      </w:r>
      <w:r w:rsidRPr="00042E80">
        <w:t xml:space="preserve">shortfall in customer bill payments.  </w:t>
      </w:r>
      <w:r>
        <w:t>Consequently, t</w:t>
      </w:r>
      <w:r w:rsidRPr="00042E80">
        <w:t>he</w:t>
      </w:r>
      <w:r>
        <w:t xml:space="preserve"> FPUC</w:t>
      </w:r>
      <w:r w:rsidRPr="00042E80">
        <w:t xml:space="preserve"> Companies </w:t>
      </w:r>
      <w:r>
        <w:t>anticipate their</w:t>
      </w:r>
      <w:r w:rsidRPr="00042E80">
        <w:t xml:space="preserve"> bad debt expense attributable to COVID-19</w:t>
      </w:r>
      <w:r>
        <w:t xml:space="preserve"> </w:t>
      </w:r>
      <w:r w:rsidRPr="00042E80">
        <w:t xml:space="preserve">will </w:t>
      </w:r>
      <w:r>
        <w:t xml:space="preserve">be incrementally higher than the previous, three-year average.  Coupled with the unusual, non-recurring safety-related expenses incurred to protect their customers and employees, the total COVID-19 related costs incurred by each of the FPUC Companies is expected to be notable and, in most cases, material.  These unanticipated, extraordinary expenses include the additional costs of acquiring </w:t>
      </w:r>
      <w:r>
        <w:lastRenderedPageBreak/>
        <w:t>PPE, as well as costs associated with enhanced cleaning and disinfecting, as well as the installation of protective barriers, at all office locations, in vehicles, and at associated utility facilities, consistent with CDC guidance.  These costs also include incremental “hazard pay” for those essential employees required to remain “customer facing,” which the Companies determined was necessary and appropriate given the heightened risks and uncertain conditions these employees have faced due to the highly infectious nature of the COVID-19 virus.  In addition, the amount that the Company seeks to include in the regulatory assets includes the loss of an insurance premium reduction that would have otherwise gone into effect but for the pandemic.  These unique and extraordinary circumstances support the Companies’ categorization of these extraordinary costs as COVID-19, safety-related expenses.</w:t>
      </w:r>
    </w:p>
    <w:p w14:paraId="1530B510" w14:textId="77777777" w:rsidR="00206978" w:rsidRDefault="00206978" w:rsidP="000C5E09">
      <w:pPr>
        <w:ind w:left="1440" w:hanging="1440"/>
        <w:jc w:val="both"/>
      </w:pPr>
    </w:p>
    <w:p w14:paraId="089ED6B2" w14:textId="77777777" w:rsidR="00520776" w:rsidRDefault="00520776" w:rsidP="000C5E09">
      <w:pPr>
        <w:ind w:left="1440"/>
        <w:jc w:val="both"/>
        <w:rPr>
          <w:rStyle w:val="LineNumber"/>
        </w:rPr>
      </w:pPr>
      <w:r w:rsidRPr="006E4599">
        <w:t xml:space="preserve">As reflected in the testimony of FPUC Company witness </w:t>
      </w:r>
      <w:proofErr w:type="spellStart"/>
      <w:r w:rsidRPr="006E4599">
        <w:t>Galtman</w:t>
      </w:r>
      <w:proofErr w:type="spellEnd"/>
      <w:r w:rsidRPr="006E4599">
        <w:t xml:space="preserve">, the incremental costs incurred in connection with the COVID-19 pandemic meet the requirements contained within the Uniform System of Accounts (“USOA”) </w:t>
      </w:r>
      <w:r>
        <w:t xml:space="preserve">for establishment of a regulatory asset.  </w:t>
      </w:r>
      <w:r w:rsidRPr="006E4599">
        <w:rPr>
          <w:rStyle w:val="LineNumber"/>
        </w:rPr>
        <w:t xml:space="preserve">The profound and widespread impact of the COVID-19 pandemic on businesses and </w:t>
      </w:r>
      <w:r>
        <w:rPr>
          <w:rStyle w:val="LineNumber"/>
        </w:rPr>
        <w:t xml:space="preserve">on </w:t>
      </w:r>
      <w:r w:rsidRPr="006E4599">
        <w:rPr>
          <w:rStyle w:val="LineNumber"/>
        </w:rPr>
        <w:t xml:space="preserve">day-to-day life demonstrates that the pandemic qualifies as an extraordinary event under applicable </w:t>
      </w:r>
      <w:r>
        <w:rPr>
          <w:rStyle w:val="LineNumber"/>
        </w:rPr>
        <w:t xml:space="preserve">USOA </w:t>
      </w:r>
      <w:r w:rsidRPr="006E4599">
        <w:rPr>
          <w:rStyle w:val="LineNumber"/>
        </w:rPr>
        <w:t>accounting guidance.</w:t>
      </w:r>
      <w:r w:rsidRPr="006E4599">
        <w:rPr>
          <w:rStyle w:val="FootnoteReference"/>
        </w:rPr>
        <w:t xml:space="preserve"> </w:t>
      </w:r>
      <w:r w:rsidRPr="006E4599">
        <w:t xml:space="preserve">The </w:t>
      </w:r>
      <w:r w:rsidRPr="006E4599">
        <w:rPr>
          <w:rStyle w:val="LineNumber"/>
        </w:rPr>
        <w:t>incremental costs the FPUC Companies have incurred in order to continue to safely carry on operations during this pandemic are clearly unrelated to the ordinary and typical activities of the entity. As such, the costs are appropriately deemed “unusual.”  Moreover, an event of this nature, scope</w:t>
      </w:r>
      <w:r>
        <w:rPr>
          <w:rStyle w:val="LineNumber"/>
        </w:rPr>
        <w:t>,</w:t>
      </w:r>
      <w:r w:rsidRPr="006E4599">
        <w:rPr>
          <w:rStyle w:val="LineNumber"/>
        </w:rPr>
        <w:t xml:space="preserve"> and impact has not previously occurred this century, and through the accelerated production of PPE and the distribution of vaccines, it is clear that efforts are being made to ensure that it does not recur.  Thus,</w:t>
      </w:r>
      <w:r>
        <w:rPr>
          <w:rStyle w:val="LineNumber"/>
        </w:rPr>
        <w:t xml:space="preserve"> the infrequency of an event of this nature further qualifies this pand</w:t>
      </w:r>
      <w:r w:rsidR="00206978">
        <w:rPr>
          <w:rStyle w:val="LineNumber"/>
        </w:rPr>
        <w:t xml:space="preserve">emic as being “extraordinary.” </w:t>
      </w:r>
    </w:p>
    <w:p w14:paraId="509F20C3" w14:textId="77777777" w:rsidR="00206978" w:rsidRDefault="00206978" w:rsidP="000C5E09">
      <w:pPr>
        <w:ind w:left="1440" w:hanging="1440"/>
        <w:jc w:val="both"/>
        <w:rPr>
          <w:rStyle w:val="LineNumber"/>
        </w:rPr>
      </w:pPr>
    </w:p>
    <w:p w14:paraId="03B8B83A" w14:textId="77777777" w:rsidR="00206978" w:rsidRDefault="00520776" w:rsidP="000C5E09">
      <w:pPr>
        <w:ind w:left="1440"/>
        <w:jc w:val="both"/>
        <w:rPr>
          <w:rStyle w:val="LineNumber"/>
        </w:rPr>
      </w:pPr>
      <w:r w:rsidRPr="00694D21">
        <w:rPr>
          <w:rStyle w:val="LineNumber"/>
        </w:rPr>
        <w:t xml:space="preserve">As </w:t>
      </w:r>
      <w:r>
        <w:rPr>
          <w:rStyle w:val="LineNumber"/>
        </w:rPr>
        <w:t xml:space="preserve">urged by </w:t>
      </w:r>
      <w:r w:rsidRPr="00694D21">
        <w:rPr>
          <w:rStyle w:val="LineNumber"/>
        </w:rPr>
        <w:t xml:space="preserve">joint rebuttal witness </w:t>
      </w:r>
      <w:proofErr w:type="spellStart"/>
      <w:r w:rsidRPr="00694D21">
        <w:rPr>
          <w:rStyle w:val="LineNumber"/>
        </w:rPr>
        <w:t>Deason</w:t>
      </w:r>
      <w:proofErr w:type="spellEnd"/>
      <w:r w:rsidRPr="00694D21">
        <w:rPr>
          <w:rStyle w:val="LineNumber"/>
        </w:rPr>
        <w:t>, the Commission should not accept the additional standards or criteria proposed by the Office of Public Counsel’s (“OPC”) witness Lawton, because application of these additional criteria</w:t>
      </w:r>
      <w:r>
        <w:rPr>
          <w:rStyle w:val="LineNumber"/>
        </w:rPr>
        <w:t xml:space="preserve"> would</w:t>
      </w:r>
      <w:r w:rsidRPr="00694D21">
        <w:rPr>
          <w:rStyle w:val="LineNumber"/>
        </w:rPr>
        <w:t xml:space="preserve"> distort the existing </w:t>
      </w:r>
      <w:r>
        <w:rPr>
          <w:rStyle w:val="LineNumber"/>
        </w:rPr>
        <w:t xml:space="preserve">regulatory </w:t>
      </w:r>
      <w:r w:rsidRPr="00694D21">
        <w:rPr>
          <w:rStyle w:val="LineNumber"/>
        </w:rPr>
        <w:t>balance between customers and shareholders and</w:t>
      </w:r>
      <w:r>
        <w:rPr>
          <w:rStyle w:val="LineNumber"/>
        </w:rPr>
        <w:t xml:space="preserve"> likely</w:t>
      </w:r>
      <w:r w:rsidRPr="00694D21">
        <w:rPr>
          <w:rStyle w:val="LineNumber"/>
        </w:rPr>
        <w:t xml:space="preserve"> impede the Commission’s ability to proactively respond to emergency conditions and set rates which are fair and reasonable. </w:t>
      </w:r>
      <w:r>
        <w:rPr>
          <w:rStyle w:val="LineNumber"/>
        </w:rPr>
        <w:t xml:space="preserve"> As also emphasized by witness </w:t>
      </w:r>
      <w:proofErr w:type="spellStart"/>
      <w:r>
        <w:rPr>
          <w:rStyle w:val="LineNumber"/>
        </w:rPr>
        <w:t>Deason</w:t>
      </w:r>
      <w:proofErr w:type="spellEnd"/>
      <w:r>
        <w:rPr>
          <w:rStyle w:val="LineNumber"/>
        </w:rPr>
        <w:t xml:space="preserve">, safety and </w:t>
      </w:r>
      <w:r w:rsidRPr="00694D21">
        <w:rPr>
          <w:rStyle w:val="LineNumber"/>
        </w:rPr>
        <w:t>customer protection should be</w:t>
      </w:r>
      <w:r>
        <w:rPr>
          <w:rStyle w:val="LineNumber"/>
        </w:rPr>
        <w:t xml:space="preserve"> any utility’s top</w:t>
      </w:r>
      <w:r w:rsidRPr="00694D21">
        <w:rPr>
          <w:rStyle w:val="LineNumber"/>
        </w:rPr>
        <w:t xml:space="preserve"> priority</w:t>
      </w:r>
      <w:r>
        <w:rPr>
          <w:rStyle w:val="LineNumber"/>
        </w:rPr>
        <w:t xml:space="preserve"> and a</w:t>
      </w:r>
      <w:r w:rsidRPr="00694D21">
        <w:rPr>
          <w:rStyle w:val="LineNumber"/>
        </w:rPr>
        <w:t xml:space="preserve"> utility’s management should </w:t>
      </w:r>
      <w:r>
        <w:rPr>
          <w:rStyle w:val="LineNumber"/>
        </w:rPr>
        <w:t xml:space="preserve">have the necessary </w:t>
      </w:r>
      <w:r w:rsidRPr="00694D21">
        <w:rPr>
          <w:rStyle w:val="LineNumber"/>
        </w:rPr>
        <w:t>tools</w:t>
      </w:r>
      <w:r>
        <w:rPr>
          <w:rStyle w:val="LineNumber"/>
        </w:rPr>
        <w:t xml:space="preserve"> in its toolbox</w:t>
      </w:r>
      <w:r w:rsidRPr="00694D21">
        <w:rPr>
          <w:rStyle w:val="LineNumber"/>
        </w:rPr>
        <w:t xml:space="preserve"> to achieve this objective without the utility having to diminish its return</w:t>
      </w:r>
      <w:r>
        <w:rPr>
          <w:rStyle w:val="LineNumber"/>
        </w:rPr>
        <w:t xml:space="preserve"> in order to do what is right.  The ability to establish a</w:t>
      </w:r>
      <w:r w:rsidRPr="00694D21">
        <w:rPr>
          <w:rStyle w:val="LineNumber"/>
        </w:rPr>
        <w:t xml:space="preserve"> regulatory asset</w:t>
      </w:r>
      <w:r>
        <w:rPr>
          <w:rStyle w:val="LineNumber"/>
        </w:rPr>
        <w:t xml:space="preserve"> is precisely that necessary tool</w:t>
      </w:r>
      <w:r w:rsidR="00206978">
        <w:rPr>
          <w:rStyle w:val="LineNumber"/>
        </w:rPr>
        <w:t>.</w:t>
      </w:r>
    </w:p>
    <w:p w14:paraId="60804550" w14:textId="77777777" w:rsidR="00520776" w:rsidRDefault="00520776" w:rsidP="000C5E09">
      <w:pPr>
        <w:ind w:left="1440" w:hanging="1440"/>
        <w:jc w:val="both"/>
        <w:rPr>
          <w:rStyle w:val="LineNumber"/>
        </w:rPr>
      </w:pPr>
    </w:p>
    <w:p w14:paraId="33EFE967" w14:textId="77777777" w:rsidR="00520776" w:rsidRPr="00694D21" w:rsidRDefault="00520776" w:rsidP="000C5E09">
      <w:pPr>
        <w:ind w:left="1440"/>
        <w:jc w:val="both"/>
        <w:rPr>
          <w:rStyle w:val="LineNumber"/>
        </w:rPr>
      </w:pPr>
      <w:r>
        <w:rPr>
          <w:rStyle w:val="LineNumber"/>
        </w:rPr>
        <w:t xml:space="preserve">Allowing the Companies to establish the requested regulatory assets does not guarantee that the Companies will be allowed to recover all of the costs included in those assets.  The Commission will have the ability to review the recoverability of the costs in an appropriate rate proceeding. Not allowing the Companies to establish the regulatory assets at all, whether by application of witness Lawton’s unnecessary additional criteria or not, would however turn the regulatory compact on its head </w:t>
      </w:r>
      <w:r>
        <w:rPr>
          <w:rStyle w:val="LineNumber"/>
        </w:rPr>
        <w:lastRenderedPageBreak/>
        <w:t>and virtually eliminate the usefulness of this accounting mechanism for the Companies.  Thus, the Companies respectfully request that the Commission allow the Companies to establish the requested regulatory assets.</w:t>
      </w:r>
    </w:p>
    <w:p w14:paraId="15D9D802" w14:textId="77777777" w:rsidR="00996DFB" w:rsidRDefault="00996DFB" w:rsidP="000C5E09">
      <w:pPr>
        <w:ind w:left="1440" w:hanging="1440"/>
        <w:jc w:val="both"/>
        <w:rPr>
          <w:b/>
        </w:rPr>
      </w:pPr>
    </w:p>
    <w:p w14:paraId="6140720E" w14:textId="77777777" w:rsidR="00996DFB" w:rsidRPr="00701945" w:rsidRDefault="00996DFB" w:rsidP="000C5E09">
      <w:pPr>
        <w:ind w:left="1440" w:hanging="1440"/>
        <w:jc w:val="both"/>
      </w:pPr>
    </w:p>
    <w:p w14:paraId="00647F2C" w14:textId="77777777" w:rsidR="00AB73A7" w:rsidRDefault="00D65F48" w:rsidP="00AB73A7">
      <w:pPr>
        <w:ind w:left="1440" w:hanging="1440"/>
        <w:jc w:val="both"/>
      </w:pPr>
      <w:r>
        <w:rPr>
          <w:b/>
          <w:bCs/>
        </w:rPr>
        <w:t>OPC</w:t>
      </w:r>
      <w:r w:rsidR="00996DFB" w:rsidRPr="005D4B47">
        <w:rPr>
          <w:b/>
          <w:bCs/>
        </w:rPr>
        <w:t>:</w:t>
      </w:r>
      <w:r w:rsidR="00996DFB" w:rsidRPr="005D4B47">
        <w:tab/>
      </w:r>
      <w:r w:rsidR="00AB73A7">
        <w:t>Utilities, Inc. of Florida (“UIF”) filed a Notice of Voluntary Dismissal on March 30, 2021, so its petition should not be considered at the hearing, and any issues proposed by UIF should be deemed denied.  Prior to the hearing, an Order should be entered dismissing UIF from the proceedings and closing PSC Docket No. 20200189-WS.</w:t>
      </w:r>
    </w:p>
    <w:p w14:paraId="2A6F66AB" w14:textId="77777777" w:rsidR="00AB73A7" w:rsidRDefault="00AB73A7" w:rsidP="00AB73A7">
      <w:pPr>
        <w:ind w:left="1440" w:hanging="1440"/>
        <w:jc w:val="both"/>
      </w:pPr>
    </w:p>
    <w:p w14:paraId="0EC283FE" w14:textId="77777777" w:rsidR="00AB73A7" w:rsidRDefault="00AB73A7" w:rsidP="00AB73A7">
      <w:pPr>
        <w:ind w:left="1440"/>
        <w:jc w:val="both"/>
      </w:pPr>
      <w:r>
        <w:t xml:space="preserve">As the Commission makes a determination on whether deferred accounting treatment should be approved, three basic standards or requirements should be applied, as follows: </w:t>
      </w:r>
      <w:proofErr w:type="spellStart"/>
      <w:r>
        <w:t>i</w:t>
      </w:r>
      <w:proofErr w:type="spellEnd"/>
      <w:r>
        <w:t xml:space="preserve">) accounting requirements, ii) financial integrity requirements, and iii) the equity balance between customers and shareholder interests that all regulatory authorities must constantly weigh and evaluate.  If a company’s proposal fails to satisfy any of these standards, then the request for this type of extraordinary deferral should be denied.  </w:t>
      </w:r>
    </w:p>
    <w:p w14:paraId="574E6F47" w14:textId="77777777" w:rsidR="00AB73A7" w:rsidRDefault="00AB73A7" w:rsidP="00AB73A7">
      <w:pPr>
        <w:ind w:left="1440" w:hanging="1440"/>
        <w:jc w:val="both"/>
      </w:pPr>
    </w:p>
    <w:p w14:paraId="770FE5FC" w14:textId="77777777" w:rsidR="00AB73A7" w:rsidRDefault="00AB73A7" w:rsidP="00AB73A7">
      <w:pPr>
        <w:ind w:left="1440"/>
        <w:jc w:val="both"/>
      </w:pPr>
      <w:r>
        <w:t xml:space="preserve">As to Gulf Power Company (“Gulf” or “the Company”), the Company has failed to meet its burden of proving that a regulatory asset should be established for the costs it claims to have incurred due to the COVID-19 pandemic.  COVID-19 related costs may have been unexpected – not only for Gulf, but for all its customers who already paid for these very same costs through the rates established in Order No. PSC-20170178-S-EI and who also continue to pay for their own COVID-19 safety and pandemic-related costs.  However, Gulf failed to show that its costs posed a threat to either Gulf’s financial integrity or that of Florida Power &amp; Light Co. (“FPL”) after the merger of Gulf and FPL.  In fact, the evidence indicates some of Gulf’s financial metrics improved during the pandemic, particularly as to cost savings and adjusted earnings.  Gulf has failed to fully account for savings offsets in its claims for cost deferrals.  Gulf earned well within its approved rate of return range during 2020, and is expected to earn in the upper half of its authorized equity return range in 2021.  Gulf’s own information reveals that without deferral, its earnings inclusive of the COVID-19 expenses would still remain within the 200-basis point range of reasonableness established by the Commission.  This means that Gulf will effectively already be recovering those costs.  Deferring them and recovering them again from future </w:t>
      </w:r>
      <w:proofErr w:type="gramStart"/>
      <w:r>
        <w:t>customers</w:t>
      </w:r>
      <w:proofErr w:type="gramEnd"/>
      <w:r>
        <w:t xml:space="preserve"> means that Gulf’s customers essentially pay for the same expenses twice. </w:t>
      </w:r>
    </w:p>
    <w:p w14:paraId="37F6E3AB" w14:textId="77777777" w:rsidR="00AB73A7" w:rsidRDefault="00AB73A7" w:rsidP="00AB73A7">
      <w:pPr>
        <w:ind w:left="1440" w:hanging="1440"/>
        <w:jc w:val="both"/>
      </w:pPr>
    </w:p>
    <w:p w14:paraId="1588D8FC" w14:textId="77777777" w:rsidR="00AB73A7" w:rsidRDefault="00AB73A7" w:rsidP="00AB73A7">
      <w:pPr>
        <w:ind w:left="1440"/>
        <w:jc w:val="both"/>
      </w:pPr>
      <w:r>
        <w:t xml:space="preserve">Simply put, Gulf does not need extraordinary assistance in the form of the accounting scheme requested in order to continue to operate safely and earn within the profit range that it agreed to in 2017.  In contrast, many customers found their financial conditions deteriorated dramatically during the pandemic – many customers lost hours from work or even lost their jobs and income entirely.  If Gulf is allowed to defer the claimed COVID-19 related costs, customers will suffer </w:t>
      </w:r>
      <w:r>
        <w:lastRenderedPageBreak/>
        <w:t>additional harm in the form of paying twice for the same costs; the result would render the rates Gulf agreed to unfair and unreasonable, and directly contrary to statutory requirements governing utility regulation and rates.</w:t>
      </w:r>
    </w:p>
    <w:p w14:paraId="3DF9086C" w14:textId="77777777" w:rsidR="00AB73A7" w:rsidRDefault="00AB73A7" w:rsidP="00AB73A7">
      <w:pPr>
        <w:ind w:left="1440" w:hanging="1440"/>
        <w:jc w:val="both"/>
      </w:pPr>
    </w:p>
    <w:p w14:paraId="15C4FF03" w14:textId="77777777" w:rsidR="00AB73A7" w:rsidRDefault="00AB73A7" w:rsidP="00AB73A7">
      <w:pPr>
        <w:ind w:left="1440"/>
        <w:jc w:val="both"/>
      </w:pPr>
      <w:r>
        <w:t xml:space="preserve">Even if Gulf is allowed to establish a regulatory asset, Gulf should only be allowed to defer costs directly related to COVID-19 related bad debt and tangible safety equipment and supplies.  Items such as incentive pay, insurance, meals and entertainment, etc. should be disallowed.  </w:t>
      </w:r>
    </w:p>
    <w:p w14:paraId="4177DF85" w14:textId="77777777" w:rsidR="00AB73A7" w:rsidRDefault="00AB73A7" w:rsidP="00AB73A7">
      <w:pPr>
        <w:ind w:left="1440" w:hanging="1440"/>
        <w:jc w:val="both"/>
      </w:pPr>
    </w:p>
    <w:p w14:paraId="2EC6CB75" w14:textId="77777777" w:rsidR="00AB73A7" w:rsidRDefault="00AB73A7" w:rsidP="00AB73A7">
      <w:pPr>
        <w:ind w:left="1440"/>
        <w:jc w:val="both"/>
      </w:pPr>
      <w:r>
        <w:t>As for Florida Public Utility Company (“FPUC”), i.e., Florida Public Utility Company (Electric Division), Florida Public Utilities Company (Gas Division), Florida Public Utilities Company – Indiantown (Gas Division), Florida Public Utilities Company – Ft. Meade (Gas Division), and Florida Division of Chesapeake Utilities Corporation, they have failed to provide sufficient support to justify extraordinary deferred accounting treatment.  FPUC’s requests fail to satisfy all three of the following standards – (</w:t>
      </w:r>
      <w:proofErr w:type="spellStart"/>
      <w:r>
        <w:t>i</w:t>
      </w:r>
      <w:proofErr w:type="spellEnd"/>
      <w:r>
        <w:t xml:space="preserve">) accounting requirements, ii) financial integrity requirements, and iii) the equity balance between customers and shareholder interests – therefore FPUC’s requests for extraordinary deferred accounting for COVID-19 related costs should be denied.  </w:t>
      </w:r>
    </w:p>
    <w:p w14:paraId="1B780EB0" w14:textId="77777777" w:rsidR="00AB73A7" w:rsidRDefault="00AB73A7" w:rsidP="00AB73A7">
      <w:pPr>
        <w:ind w:left="1440" w:hanging="1440"/>
        <w:jc w:val="both"/>
      </w:pPr>
    </w:p>
    <w:p w14:paraId="67D83ED7" w14:textId="77777777" w:rsidR="00AB73A7" w:rsidRDefault="00AB73A7" w:rsidP="00AB73A7">
      <w:pPr>
        <w:ind w:left="1440" w:hanging="1440"/>
        <w:jc w:val="both"/>
      </w:pPr>
      <w:r>
        <w:tab/>
        <w:t xml:space="preserve">FPUC’s requests include O&amp;M costs that are marginally related to, or unnecessary for its response to, the COVID-19 pandemic and therefore should be removed.  The remaining legitimate COVID-19 related O&amp;M expense category, when offset for COVID-19 related savings, yields an overall negative cost.  In addition, FPUC’s attempt to quantify actual bad debts is merely an estimate and not based on actual write-offs and are overstated; thus, it is difficult to determine a reasonable level of bad debt for 2020.  If a regulatory asset is to be contemplated, FPUC should be required to provide actual 2020 write-offs for 2020 and limit costs to only safety-related COVID-19 costs.  However, FPUC has not provided sufficient evidence that the COVID-19 impact is material and qualifies for a deferral.  In any case, FPUC has failed to satisfy the financial integrity requirement, in that FPUC acknowledged its financial integrity is not threatened by the claimed COVID-19 costs.  Thus, there is no basis for FPUC to be granted deferred accounting in this case.  </w:t>
      </w:r>
    </w:p>
    <w:p w14:paraId="6DEFB431" w14:textId="77777777" w:rsidR="00AB73A7" w:rsidRDefault="00AB73A7" w:rsidP="00AB73A7">
      <w:pPr>
        <w:ind w:left="1440" w:hanging="1440"/>
        <w:jc w:val="both"/>
      </w:pPr>
    </w:p>
    <w:p w14:paraId="1FE09FD5" w14:textId="77777777" w:rsidR="00996DFB" w:rsidRPr="005D4B47" w:rsidRDefault="00AB73A7" w:rsidP="00AB73A7">
      <w:pPr>
        <w:ind w:left="1440" w:hanging="1440"/>
        <w:jc w:val="both"/>
      </w:pPr>
      <w:r>
        <w:tab/>
        <w:t xml:space="preserve">Since the temporary downturn of the U.S. economy in March 2020, both the country and Florida have made substantial, albeit not complete, recovery.  While some electric utilities did see stock price declines in 2020, NextEra (Gulf’s parent company) did not suffer stock price losses.  Given the continued improvement from June 2020 through the first quarter of 2021, FPUC’s projections of worsening costs through the end of 2020 is highly questionable.  Moreover, it is highly suspect that either utility will experience any significant on-going COVID-19 expenses as the economy continues to reopen fully.  On May 3, 2021 Florida’s Governor issued executive orders which invalidated local emergency orders (effective July 1, 2021) and suspended local mandates and restrictions (effective immediately).  As such, </w:t>
      </w:r>
      <w:r>
        <w:lastRenderedPageBreak/>
        <w:t xml:space="preserve">Gulf and FPUC (“the Utilities”) should be prohibited from deferring to a regulatory asset any costs incurred after July 1, 2021.  Moreover, utility cost of capital actually declined during 2020 as a result of COVID-19 impacts on the economy and Federal Reserve’s monetary policy responses.  In general, no particular hardship impacts have directly affected the utility industry.  However, individuals and small businesses, the Utilities’ customers, have suffered significant economic impacts from COVID-19.  If the deferred regulatory assets for COVID-19 costs are authorized for Gulf and FPUC, in lieu of their normal, required expensing in the period incurred, the costs will be recovered again from these suffering customers in future rates just so that these Companies can enhance their average overall rate of return during a pandemic.  Therefore, Gulf’s and FPUC’s requests for deferred accounting treatments should be denied.  </w:t>
      </w:r>
    </w:p>
    <w:p w14:paraId="076074BE" w14:textId="77777777" w:rsidR="00996DFB" w:rsidRPr="00701945" w:rsidRDefault="00996DFB" w:rsidP="000C5E09">
      <w:pPr>
        <w:ind w:left="1440" w:hanging="1440"/>
        <w:jc w:val="both"/>
      </w:pPr>
    </w:p>
    <w:p w14:paraId="1A6B3FA5" w14:textId="77777777" w:rsidR="00996DFB" w:rsidRDefault="00996DFB" w:rsidP="000C5E09">
      <w:pPr>
        <w:ind w:left="1440" w:hanging="1440"/>
        <w:jc w:val="both"/>
      </w:pPr>
      <w:r w:rsidRPr="005D4B47">
        <w:rPr>
          <w:b/>
          <w:bCs/>
        </w:rPr>
        <w:t>STAFF</w:t>
      </w:r>
      <w:r w:rsidRPr="00701945">
        <w:rPr>
          <w:b/>
          <w:bCs/>
        </w:rPr>
        <w:t>:</w:t>
      </w:r>
      <w:r>
        <w:rPr>
          <w:b/>
          <w:bCs/>
        </w:rPr>
        <w:tab/>
      </w:r>
      <w:r w:rsidR="00F82C72" w:rsidRPr="00F82C72">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14:paraId="1F754D46" w14:textId="77777777" w:rsidR="00996DFB" w:rsidRDefault="00996DFB" w:rsidP="00996DFB">
      <w:pPr>
        <w:ind w:left="1440" w:hanging="1440"/>
        <w:jc w:val="both"/>
      </w:pPr>
    </w:p>
    <w:p w14:paraId="72222FF9" w14:textId="77777777" w:rsidR="00AB73A7" w:rsidRPr="00701945" w:rsidRDefault="00AB73A7" w:rsidP="00996DFB">
      <w:pPr>
        <w:ind w:left="1440" w:hanging="1440"/>
        <w:jc w:val="both"/>
      </w:pPr>
    </w:p>
    <w:p w14:paraId="2497507B" w14:textId="77777777" w:rsidR="00996DFB" w:rsidRPr="00A32DC5" w:rsidRDefault="00996DFB" w:rsidP="00996DFB">
      <w:pPr>
        <w:jc w:val="both"/>
        <w:rPr>
          <w:b/>
        </w:rPr>
      </w:pPr>
      <w:r w:rsidRPr="00A32DC5">
        <w:rPr>
          <w:b/>
        </w:rPr>
        <w:t>VIII.</w:t>
      </w:r>
      <w:r w:rsidRPr="00A32DC5">
        <w:rPr>
          <w:b/>
        </w:rPr>
        <w:tab/>
      </w:r>
      <w:r w:rsidRPr="00A32DC5">
        <w:rPr>
          <w:b/>
          <w:u w:val="single"/>
        </w:rPr>
        <w:t>ISSUES AND POSITIONS</w:t>
      </w:r>
    </w:p>
    <w:p w14:paraId="5BF73D3F" w14:textId="77777777" w:rsidR="00996DFB" w:rsidRDefault="00996DFB" w:rsidP="00996DFB">
      <w:pPr>
        <w:jc w:val="both"/>
      </w:pPr>
    </w:p>
    <w:p w14:paraId="36F58D6D" w14:textId="77777777" w:rsidR="00D65F48" w:rsidRPr="00D65F48" w:rsidRDefault="00996DFB" w:rsidP="00D65F48">
      <w:pPr>
        <w:ind w:left="1440" w:hanging="1440"/>
        <w:rPr>
          <w:b/>
          <w:szCs w:val="20"/>
        </w:rPr>
      </w:pPr>
      <w:r w:rsidRPr="005D4B47">
        <w:rPr>
          <w:b/>
          <w:bCs/>
        </w:rPr>
        <w:t>ISSUE 1</w:t>
      </w:r>
      <w:r w:rsidRPr="00701945">
        <w:rPr>
          <w:b/>
          <w:bCs/>
        </w:rPr>
        <w:t>:</w:t>
      </w:r>
      <w:r w:rsidRPr="00701945">
        <w:tab/>
      </w:r>
      <w:r w:rsidR="00D65F48" w:rsidRPr="00D65F48">
        <w:rPr>
          <w:b/>
          <w:szCs w:val="20"/>
        </w:rPr>
        <w:t xml:space="preserve">Should the Commission approve the Companies’ requests to establish regulatory assets to defer, track, and record COVID-19 related costs? </w:t>
      </w:r>
    </w:p>
    <w:p w14:paraId="053F6BE3" w14:textId="77777777" w:rsidR="00996DFB" w:rsidRPr="00701945" w:rsidRDefault="00996DFB" w:rsidP="00996DFB">
      <w:pPr>
        <w:jc w:val="both"/>
      </w:pPr>
    </w:p>
    <w:p w14:paraId="6D1A9C68" w14:textId="77777777" w:rsidR="00D65F48" w:rsidRPr="00D65F48" w:rsidRDefault="00D65F48" w:rsidP="00D65F48">
      <w:pPr>
        <w:ind w:left="1440" w:hanging="1440"/>
        <w:jc w:val="both"/>
        <w:rPr>
          <w:b/>
        </w:rPr>
      </w:pPr>
      <w:r>
        <w:rPr>
          <w:b/>
          <w:bCs/>
        </w:rPr>
        <w:t>GULF</w:t>
      </w:r>
      <w:r w:rsidR="00996DFB" w:rsidRPr="005D4B47">
        <w:rPr>
          <w:b/>
          <w:bCs/>
        </w:rPr>
        <w:t>:</w:t>
      </w:r>
      <w:r w:rsidR="00996DFB" w:rsidRPr="005D4B47">
        <w:tab/>
      </w:r>
      <w:r w:rsidRPr="00D65F48">
        <w:rPr>
          <w:bCs/>
        </w:rPr>
        <w:t xml:space="preserve">Yes. Such approval is consistent with the Commission’s ratemaking authority and its prior decisions, and approval of the request is appropriate under the circumstances presented by the pandemic.  Gulf Power’s current rates were not set to recover an unanticipated increase in costs such as those incurred due to the pandemic; and, as such, these costs will never be recovered in rates unless they are identified and booked to a regulatory asset. Approval of Gulf Power’s request sends the message that the Commission encourages its utilities to expeditiously take all reasonable steps as Gulf Power did in an emergency situation to protect customers, employees, and contractors, and to continue to provide customers with reliable service.   (Goldstein, </w:t>
      </w:r>
      <w:proofErr w:type="spellStart"/>
      <w:r w:rsidRPr="00D65F48">
        <w:rPr>
          <w:bCs/>
        </w:rPr>
        <w:t>Deason</w:t>
      </w:r>
      <w:proofErr w:type="spellEnd"/>
      <w:r w:rsidRPr="00D65F48">
        <w:rPr>
          <w:bCs/>
        </w:rPr>
        <w:t>)</w:t>
      </w:r>
    </w:p>
    <w:p w14:paraId="30EF43C8" w14:textId="77777777" w:rsidR="00D65F48" w:rsidRDefault="00D65F48" w:rsidP="00996DFB">
      <w:pPr>
        <w:jc w:val="both"/>
      </w:pPr>
    </w:p>
    <w:p w14:paraId="66082F30" w14:textId="0E3048AA" w:rsidR="00D65F48" w:rsidRDefault="00D65F48" w:rsidP="00520776">
      <w:pPr>
        <w:ind w:left="1440" w:hanging="1440"/>
        <w:jc w:val="both"/>
      </w:pPr>
      <w:r w:rsidRPr="00D65F48">
        <w:rPr>
          <w:b/>
        </w:rPr>
        <w:t>FPUC:</w:t>
      </w:r>
      <w:r w:rsidR="00520776" w:rsidRPr="00520776">
        <w:t xml:space="preserve"> </w:t>
      </w:r>
      <w:r w:rsidR="00520776">
        <w:tab/>
      </w:r>
      <w:r w:rsidR="00206978" w:rsidRPr="00206978">
        <w:t>Yes.  The identified costs are incremental, not recovered in the Companies’ current rates, are the product of an unusual, infrequent event, and are appro</w:t>
      </w:r>
      <w:r w:rsidR="00AB73A7">
        <w:t>priately deemed extraordinary.</w:t>
      </w:r>
      <w:r w:rsidR="00643F0B">
        <w:t xml:space="preserve"> (Craig, </w:t>
      </w:r>
      <w:proofErr w:type="spellStart"/>
      <w:r w:rsidR="00643F0B">
        <w:t>Galtman</w:t>
      </w:r>
      <w:proofErr w:type="spellEnd"/>
      <w:r w:rsidR="00643F0B">
        <w:t xml:space="preserve">, </w:t>
      </w:r>
      <w:proofErr w:type="spellStart"/>
      <w:r w:rsidR="00643F0B">
        <w:t>Deason</w:t>
      </w:r>
      <w:proofErr w:type="spellEnd"/>
      <w:r w:rsidR="00643F0B">
        <w:t>)</w:t>
      </w:r>
    </w:p>
    <w:p w14:paraId="630734FA" w14:textId="77777777" w:rsidR="00AB73A7" w:rsidRPr="00520776" w:rsidRDefault="00AB73A7" w:rsidP="00520776">
      <w:pPr>
        <w:ind w:left="1440" w:hanging="1440"/>
        <w:jc w:val="both"/>
      </w:pPr>
    </w:p>
    <w:p w14:paraId="5716127D" w14:textId="4B19AF67" w:rsidR="00996DFB" w:rsidRPr="00AB73A7" w:rsidRDefault="00D65F48" w:rsidP="007A0F21">
      <w:pPr>
        <w:ind w:left="1440" w:hanging="1440"/>
        <w:jc w:val="both"/>
      </w:pPr>
      <w:r>
        <w:rPr>
          <w:b/>
        </w:rPr>
        <w:t>OPC:</w:t>
      </w:r>
      <w:r>
        <w:rPr>
          <w:b/>
        </w:rPr>
        <w:tab/>
      </w:r>
      <w:r w:rsidR="00AB73A7" w:rsidRPr="00AB73A7">
        <w:t>No.  The Commission should not approve the establishment of a regulatory asset unless each Company satisfies its burden of proof regarding accounting standard requirements, financial integrity criteria, and the appropriate balancing of equities between the Company and its customers.  Gulf and FPUC failed to prove requisite elements of their requests; therefore, the Commission should not authorize deferral or establishment of regulatory assets.</w:t>
      </w:r>
      <w:r w:rsidR="00643F0B">
        <w:t xml:space="preserve"> (Lawton)</w:t>
      </w:r>
    </w:p>
    <w:p w14:paraId="04D0386E" w14:textId="77777777" w:rsidR="00AB73A7" w:rsidRDefault="00996DFB" w:rsidP="00AB73A7">
      <w:pPr>
        <w:autoSpaceDE w:val="0"/>
        <w:autoSpaceDN w:val="0"/>
        <w:adjustRightInd w:val="0"/>
        <w:ind w:left="1440" w:hanging="1440"/>
        <w:jc w:val="both"/>
        <w:rPr>
          <w:b/>
        </w:rPr>
      </w:pPr>
      <w:r w:rsidRPr="005D4B47">
        <w:rPr>
          <w:b/>
          <w:bCs/>
        </w:rPr>
        <w:lastRenderedPageBreak/>
        <w:t>STAFF:</w:t>
      </w:r>
      <w:r w:rsidR="00D65F48">
        <w:rPr>
          <w:b/>
          <w:bCs/>
        </w:rPr>
        <w:tab/>
      </w:r>
      <w:r w:rsidR="00AB73A7" w:rsidRPr="00290666">
        <w:t>No position at this time pending evidence adduced at hearing</w:t>
      </w:r>
      <w:r w:rsidR="00AB73A7">
        <w:t>.</w:t>
      </w:r>
    </w:p>
    <w:p w14:paraId="43118078" w14:textId="77777777" w:rsidR="00AB73A7" w:rsidRDefault="00AB73A7" w:rsidP="00AB73A7">
      <w:pPr>
        <w:ind w:left="1440" w:hanging="1440"/>
        <w:jc w:val="both"/>
        <w:rPr>
          <w:b/>
          <w:u w:val="single"/>
        </w:rPr>
      </w:pPr>
    </w:p>
    <w:p w14:paraId="117A5164" w14:textId="77777777" w:rsidR="00D65F48" w:rsidRDefault="00D65F48" w:rsidP="00996DFB">
      <w:pPr>
        <w:jc w:val="both"/>
      </w:pPr>
    </w:p>
    <w:p w14:paraId="1C911BFB" w14:textId="77777777" w:rsidR="00D65F48" w:rsidRPr="00D65F48" w:rsidRDefault="00D65F48" w:rsidP="00D65F48">
      <w:pPr>
        <w:tabs>
          <w:tab w:val="left" w:pos="8571"/>
        </w:tabs>
        <w:autoSpaceDE w:val="0"/>
        <w:autoSpaceDN w:val="0"/>
        <w:adjustRightInd w:val="0"/>
        <w:ind w:left="1440" w:hanging="1440"/>
        <w:jc w:val="both"/>
        <w:rPr>
          <w:b/>
          <w:szCs w:val="20"/>
        </w:rPr>
      </w:pPr>
      <w:r>
        <w:rPr>
          <w:b/>
          <w:bCs/>
        </w:rPr>
        <w:t>ISSUE 2</w:t>
      </w:r>
      <w:r w:rsidRPr="00701945">
        <w:rPr>
          <w:b/>
          <w:bCs/>
        </w:rPr>
        <w:t>:</w:t>
      </w:r>
      <w:r w:rsidRPr="00701945">
        <w:tab/>
      </w:r>
      <w:r w:rsidRPr="00D65F48">
        <w:rPr>
          <w:b/>
          <w:szCs w:val="20"/>
        </w:rPr>
        <w:t>If the Commission approves the requests, when should the recording of costs included in the regulatory assets commence?</w:t>
      </w:r>
    </w:p>
    <w:p w14:paraId="05EB3DEF" w14:textId="77777777" w:rsidR="00D65F48" w:rsidRPr="0066023A" w:rsidRDefault="00D65F48" w:rsidP="00D65F48">
      <w:pPr>
        <w:jc w:val="both"/>
        <w:rPr>
          <w:b/>
        </w:rPr>
      </w:pPr>
    </w:p>
    <w:p w14:paraId="2CB3B3D2" w14:textId="77777777" w:rsidR="00D65F48" w:rsidRPr="0066023A" w:rsidRDefault="00D65F48" w:rsidP="00D65F48">
      <w:pPr>
        <w:tabs>
          <w:tab w:val="left" w:pos="8571"/>
        </w:tabs>
        <w:autoSpaceDE w:val="0"/>
        <w:autoSpaceDN w:val="0"/>
        <w:adjustRightInd w:val="0"/>
        <w:ind w:left="1440" w:hanging="1440"/>
        <w:jc w:val="both"/>
      </w:pPr>
      <w:r w:rsidRPr="0066023A">
        <w:rPr>
          <w:b/>
          <w:bCs/>
        </w:rPr>
        <w:t>GULF:</w:t>
      </w:r>
      <w:r w:rsidRPr="0066023A">
        <w:tab/>
        <w:t>As preliminarily approved by the Commission in Order No. PSC-2020-0406-PAA-EI, the recording of COVID-19-related c</w:t>
      </w:r>
      <w:r w:rsidRPr="0066023A">
        <w:rPr>
          <w:szCs w:val="20"/>
        </w:rPr>
        <w:t xml:space="preserve">osts included in the regulatory asset should commence on </w:t>
      </w:r>
      <w:r w:rsidRPr="0066023A">
        <w:t xml:space="preserve">April 1, 2020. Such amounts have been reported to the Commission in a schedule included along with Gulf Power’s monthly earnings surveillance reports, beginning in July 2020. </w:t>
      </w:r>
      <w:r w:rsidRPr="0066023A">
        <w:rPr>
          <w:szCs w:val="20"/>
        </w:rPr>
        <w:t>(Goldstein)</w:t>
      </w:r>
    </w:p>
    <w:p w14:paraId="05064966" w14:textId="77777777" w:rsidR="00D65F48" w:rsidRPr="0066023A" w:rsidRDefault="00D65F48" w:rsidP="00D65F48">
      <w:pPr>
        <w:jc w:val="both"/>
      </w:pPr>
    </w:p>
    <w:p w14:paraId="62763E9A" w14:textId="77777777" w:rsidR="002B3AE7" w:rsidRDefault="00D65F48" w:rsidP="002B3AE7">
      <w:pPr>
        <w:jc w:val="both"/>
      </w:pPr>
      <w:r w:rsidRPr="0066023A">
        <w:rPr>
          <w:b/>
        </w:rPr>
        <w:t>FPUC:</w:t>
      </w:r>
      <w:r w:rsidRPr="0066023A">
        <w:rPr>
          <w:b/>
        </w:rPr>
        <w:tab/>
      </w:r>
      <w:r w:rsidRPr="0066023A">
        <w:rPr>
          <w:b/>
        </w:rPr>
        <w:tab/>
      </w:r>
      <w:r w:rsidR="00206978">
        <w:t>The Companies should be allowed to record costs beginning March 9, 2020.</w:t>
      </w:r>
      <w:r w:rsidR="002B3AE7" w:rsidRPr="002B3AE7">
        <w:t xml:space="preserve"> </w:t>
      </w:r>
    </w:p>
    <w:p w14:paraId="35AD1A6D" w14:textId="77777777" w:rsidR="002B3AE7" w:rsidRDefault="002B3AE7" w:rsidP="002B3AE7">
      <w:pPr>
        <w:jc w:val="both"/>
      </w:pPr>
      <w:r>
        <w:tab/>
      </w:r>
      <w:r>
        <w:tab/>
        <w:t>(Craig)</w:t>
      </w:r>
      <w:r w:rsidDel="002B3AE7">
        <w:t xml:space="preserve"> </w:t>
      </w:r>
    </w:p>
    <w:p w14:paraId="5D3A73D1" w14:textId="1F1C3565" w:rsidR="00D65F48" w:rsidRPr="00206978" w:rsidRDefault="00D65F48" w:rsidP="002B3AE7">
      <w:pPr>
        <w:jc w:val="both"/>
      </w:pPr>
    </w:p>
    <w:p w14:paraId="267A07BF" w14:textId="6D9ED5CC" w:rsidR="00D65F48" w:rsidRPr="00AB73A7" w:rsidRDefault="00D65F48" w:rsidP="00D65F48">
      <w:pPr>
        <w:ind w:left="1440" w:hanging="1440"/>
        <w:jc w:val="both"/>
      </w:pPr>
      <w:r>
        <w:rPr>
          <w:b/>
        </w:rPr>
        <w:t>OPC:</w:t>
      </w:r>
      <w:r>
        <w:rPr>
          <w:b/>
        </w:rPr>
        <w:tab/>
      </w:r>
      <w:r w:rsidR="00AB73A7" w:rsidRPr="00AB73A7">
        <w:t>No earlier than the effective date of the order in this docket.</w:t>
      </w:r>
      <w:r w:rsidR="00643F0B">
        <w:t xml:space="preserve"> (Lawton)</w:t>
      </w:r>
    </w:p>
    <w:p w14:paraId="3287F6AA" w14:textId="77777777" w:rsidR="00D65F48" w:rsidRPr="00AB73A7" w:rsidRDefault="00D65F48" w:rsidP="00D65F48">
      <w:pPr>
        <w:jc w:val="both"/>
      </w:pPr>
    </w:p>
    <w:p w14:paraId="250EAE27" w14:textId="77777777" w:rsidR="00D65F48" w:rsidRPr="00AB73A7" w:rsidRDefault="00D65F48" w:rsidP="00AB73A7">
      <w:pPr>
        <w:autoSpaceDE w:val="0"/>
        <w:autoSpaceDN w:val="0"/>
        <w:adjustRightInd w:val="0"/>
        <w:ind w:left="1440" w:hanging="1440"/>
        <w:jc w:val="both"/>
        <w:rPr>
          <w:b/>
        </w:rPr>
      </w:pPr>
      <w:r w:rsidRPr="005D4B47">
        <w:rPr>
          <w:b/>
          <w:bCs/>
        </w:rPr>
        <w:t>STAFF:</w:t>
      </w:r>
      <w:r>
        <w:rPr>
          <w:b/>
          <w:bCs/>
        </w:rPr>
        <w:tab/>
      </w:r>
      <w:r w:rsidR="00AB73A7" w:rsidRPr="00290666">
        <w:t>No position at this time pending evidence adduced at hearing</w:t>
      </w:r>
      <w:r w:rsidR="00AB73A7">
        <w:t>.</w:t>
      </w:r>
    </w:p>
    <w:p w14:paraId="3F3BD234" w14:textId="77777777" w:rsidR="00D65F48" w:rsidRDefault="00D65F48" w:rsidP="00D65F48">
      <w:pPr>
        <w:jc w:val="both"/>
      </w:pPr>
    </w:p>
    <w:p w14:paraId="74FBEC08" w14:textId="77777777" w:rsidR="00D65F48" w:rsidRDefault="00D65F48" w:rsidP="00D65F48">
      <w:pPr>
        <w:jc w:val="both"/>
      </w:pPr>
    </w:p>
    <w:p w14:paraId="7F9AD242" w14:textId="77777777" w:rsidR="00D65F48" w:rsidRPr="00D65F48" w:rsidRDefault="00D65F48" w:rsidP="00D65F48">
      <w:pPr>
        <w:tabs>
          <w:tab w:val="left" w:pos="8571"/>
        </w:tabs>
        <w:autoSpaceDE w:val="0"/>
        <w:autoSpaceDN w:val="0"/>
        <w:adjustRightInd w:val="0"/>
        <w:ind w:left="1440" w:hanging="1440"/>
        <w:jc w:val="both"/>
        <w:rPr>
          <w:b/>
          <w:szCs w:val="20"/>
        </w:rPr>
      </w:pPr>
      <w:r>
        <w:rPr>
          <w:b/>
          <w:bCs/>
        </w:rPr>
        <w:t>ISSUE 3</w:t>
      </w:r>
      <w:r w:rsidRPr="00701945">
        <w:rPr>
          <w:b/>
          <w:bCs/>
        </w:rPr>
        <w:t>:</w:t>
      </w:r>
      <w:r w:rsidRPr="00701945">
        <w:tab/>
      </w:r>
      <w:r w:rsidRPr="00D65F48">
        <w:rPr>
          <w:b/>
          <w:szCs w:val="20"/>
        </w:rPr>
        <w:t>If the Commission approves the requests, what type of costs should be eligible for inclusion in the regulatory assets?</w:t>
      </w:r>
    </w:p>
    <w:p w14:paraId="718128C8" w14:textId="77777777" w:rsidR="00D65F48" w:rsidRPr="00701945" w:rsidRDefault="00D65F48" w:rsidP="00D65F48">
      <w:pPr>
        <w:jc w:val="both"/>
      </w:pPr>
    </w:p>
    <w:p w14:paraId="030675C6" w14:textId="77777777" w:rsidR="00D65F48" w:rsidRPr="00D65F48" w:rsidRDefault="00D65F48" w:rsidP="00D65F48">
      <w:pPr>
        <w:tabs>
          <w:tab w:val="left" w:pos="8571"/>
        </w:tabs>
        <w:autoSpaceDE w:val="0"/>
        <w:autoSpaceDN w:val="0"/>
        <w:adjustRightInd w:val="0"/>
        <w:ind w:left="1440" w:hanging="1440"/>
        <w:jc w:val="both"/>
        <w:rPr>
          <w:bCs/>
        </w:rPr>
      </w:pPr>
      <w:r>
        <w:rPr>
          <w:b/>
          <w:bCs/>
        </w:rPr>
        <w:t>GULF</w:t>
      </w:r>
      <w:r w:rsidRPr="005D4B47">
        <w:rPr>
          <w:b/>
          <w:bCs/>
        </w:rPr>
        <w:t>:</w:t>
      </w:r>
      <w:r w:rsidRPr="005D4B47">
        <w:tab/>
      </w:r>
      <w:r w:rsidRPr="00D65F48">
        <w:t xml:space="preserve">The types of costs that should be eligible for inclusion in the regulatory asset </w:t>
      </w:r>
      <w:r w:rsidRPr="00D65F48">
        <w:rPr>
          <w:bCs/>
        </w:rPr>
        <w:t>due to the impacts of COVID-19 include incremental bad debt expense and incremental safety-related costs to preserve the health and safety of Gulf Power’s employees, contractors and customers, reduced by savings for travel and meals expenses, and medical expenses.</w:t>
      </w:r>
      <w:r w:rsidRPr="00D65F48">
        <w:t xml:space="preserve"> (</w:t>
      </w:r>
      <w:r w:rsidRPr="00D65F48">
        <w:rPr>
          <w:szCs w:val="20"/>
        </w:rPr>
        <w:t xml:space="preserve">Goldstein, </w:t>
      </w:r>
      <w:proofErr w:type="spellStart"/>
      <w:r w:rsidRPr="00D65F48">
        <w:rPr>
          <w:szCs w:val="20"/>
        </w:rPr>
        <w:t>Deason</w:t>
      </w:r>
      <w:proofErr w:type="spellEnd"/>
      <w:r w:rsidRPr="00D65F48">
        <w:rPr>
          <w:szCs w:val="20"/>
        </w:rPr>
        <w:t>)</w:t>
      </w:r>
    </w:p>
    <w:p w14:paraId="29E0DCD0" w14:textId="77777777" w:rsidR="00D65F48" w:rsidRDefault="00D65F48" w:rsidP="00D65F48">
      <w:pPr>
        <w:jc w:val="both"/>
      </w:pPr>
    </w:p>
    <w:p w14:paraId="3283CDAA" w14:textId="0DA08B2C" w:rsidR="00D65F48" w:rsidRPr="00206978" w:rsidRDefault="00D65F48" w:rsidP="00206978">
      <w:pPr>
        <w:tabs>
          <w:tab w:val="left" w:pos="8571"/>
        </w:tabs>
        <w:autoSpaceDE w:val="0"/>
        <w:autoSpaceDN w:val="0"/>
        <w:adjustRightInd w:val="0"/>
        <w:ind w:left="1440" w:hanging="1440"/>
        <w:jc w:val="both"/>
      </w:pPr>
      <w:r w:rsidRPr="00D65F48">
        <w:rPr>
          <w:b/>
        </w:rPr>
        <w:t>FPUC:</w:t>
      </w:r>
      <w:r>
        <w:rPr>
          <w:b/>
        </w:rPr>
        <w:tab/>
      </w:r>
      <w:r w:rsidR="00206978" w:rsidRPr="00206978">
        <w:t xml:space="preserve">The Companies should be allowed to include COVID-19 safety-related costs such as those described in the Direct Testimony of Witness Derrick Craig and the Rebuttal Testimony of Witness Michael </w:t>
      </w:r>
      <w:proofErr w:type="spellStart"/>
      <w:r w:rsidR="00206978" w:rsidRPr="00206978">
        <w:t>Galtman</w:t>
      </w:r>
      <w:proofErr w:type="spellEnd"/>
      <w:r w:rsidR="00206978" w:rsidRPr="00206978">
        <w:t>.  Those costs should include costs associated with acquiring PPE, implementing enhanced safety and cleaning protocols, and bad debt expense.  Given the unique nature of this event, the Companies should also be allowed to include hazard pay for its essential, customer-facing employees, and its loss of an otherwise certain insurance premium reduction, as COVID-19 safety-related costs.</w:t>
      </w:r>
      <w:r w:rsidR="00643F0B">
        <w:t xml:space="preserve"> (Craig, </w:t>
      </w:r>
      <w:proofErr w:type="spellStart"/>
      <w:r w:rsidR="00643F0B">
        <w:t>Galtman</w:t>
      </w:r>
      <w:proofErr w:type="spellEnd"/>
      <w:r w:rsidR="00643F0B">
        <w:t xml:space="preserve">, </w:t>
      </w:r>
      <w:proofErr w:type="spellStart"/>
      <w:r w:rsidR="00643F0B">
        <w:t>Deason</w:t>
      </w:r>
      <w:proofErr w:type="spellEnd"/>
      <w:r w:rsidR="00643F0B">
        <w:t>)</w:t>
      </w:r>
    </w:p>
    <w:p w14:paraId="0575C2C9" w14:textId="77777777" w:rsidR="00D65F48" w:rsidRDefault="00D65F48" w:rsidP="00D65F48">
      <w:pPr>
        <w:jc w:val="both"/>
        <w:rPr>
          <w:b/>
        </w:rPr>
      </w:pPr>
    </w:p>
    <w:p w14:paraId="11BE4C33" w14:textId="70793AC5" w:rsidR="00D65F48" w:rsidRPr="00AB73A7" w:rsidRDefault="00D65F48" w:rsidP="00D65F48">
      <w:pPr>
        <w:ind w:left="1440" w:hanging="1440"/>
        <w:jc w:val="both"/>
      </w:pPr>
      <w:r>
        <w:rPr>
          <w:b/>
        </w:rPr>
        <w:t>OPC:</w:t>
      </w:r>
      <w:r>
        <w:rPr>
          <w:b/>
        </w:rPr>
        <w:tab/>
      </w:r>
      <w:r w:rsidR="00AB73A7" w:rsidRPr="00AB73A7">
        <w:t>COVID-19 related bad debt, COVID-19 related safety equipment and supplies.  The Commission should deny carrying charges for the subject COVID-19 related costs.</w:t>
      </w:r>
      <w:r w:rsidR="00643F0B">
        <w:t xml:space="preserve"> (Lawton)</w:t>
      </w:r>
    </w:p>
    <w:p w14:paraId="4C7DF653" w14:textId="77777777" w:rsidR="00D65F48" w:rsidRPr="00AB73A7" w:rsidRDefault="00D65F48" w:rsidP="00D65F48">
      <w:pPr>
        <w:jc w:val="both"/>
      </w:pPr>
    </w:p>
    <w:p w14:paraId="175FB807" w14:textId="77777777" w:rsidR="00D65F48" w:rsidRPr="00AB73A7" w:rsidRDefault="00D65F48" w:rsidP="00AB73A7">
      <w:pPr>
        <w:autoSpaceDE w:val="0"/>
        <w:autoSpaceDN w:val="0"/>
        <w:adjustRightInd w:val="0"/>
        <w:ind w:left="1440" w:hanging="1440"/>
        <w:jc w:val="both"/>
        <w:rPr>
          <w:b/>
        </w:rPr>
      </w:pPr>
      <w:r w:rsidRPr="005D4B47">
        <w:rPr>
          <w:b/>
          <w:bCs/>
        </w:rPr>
        <w:t>STAFF:</w:t>
      </w:r>
      <w:r>
        <w:rPr>
          <w:b/>
          <w:bCs/>
        </w:rPr>
        <w:tab/>
      </w:r>
      <w:r w:rsidR="00AB73A7" w:rsidRPr="00290666">
        <w:t>No position at this time pending evidence adduced at hearing</w:t>
      </w:r>
      <w:r w:rsidR="00AB73A7">
        <w:t>.</w:t>
      </w:r>
    </w:p>
    <w:p w14:paraId="4E23B145" w14:textId="77777777" w:rsidR="00D65F48" w:rsidRDefault="00D65F48" w:rsidP="00D65F48">
      <w:pPr>
        <w:jc w:val="both"/>
      </w:pPr>
    </w:p>
    <w:p w14:paraId="4A547DE8" w14:textId="77777777" w:rsidR="00D65F48" w:rsidRDefault="00D65F48" w:rsidP="00D65F48">
      <w:pPr>
        <w:jc w:val="both"/>
      </w:pPr>
    </w:p>
    <w:p w14:paraId="266EFEF4" w14:textId="77777777" w:rsidR="00D65F48" w:rsidRPr="0066023A" w:rsidRDefault="00D65F48" w:rsidP="00D65F48">
      <w:pPr>
        <w:ind w:left="1440" w:hanging="1440"/>
        <w:jc w:val="both"/>
        <w:rPr>
          <w:b/>
          <w:szCs w:val="20"/>
        </w:rPr>
      </w:pPr>
      <w:r>
        <w:rPr>
          <w:b/>
          <w:bCs/>
        </w:rPr>
        <w:lastRenderedPageBreak/>
        <w:t>ISSUE 4</w:t>
      </w:r>
      <w:r w:rsidRPr="00701945">
        <w:rPr>
          <w:b/>
          <w:bCs/>
        </w:rPr>
        <w:t>:</w:t>
      </w:r>
      <w:r w:rsidRPr="00701945">
        <w:tab/>
      </w:r>
      <w:r w:rsidRPr="00D65F48">
        <w:rPr>
          <w:b/>
          <w:szCs w:val="20"/>
        </w:rPr>
        <w:t xml:space="preserve">If the Commission approves the requests, should the Companies be required to file reports detailing the status of their respective regulatory assets? If so, what information should be included in these reports, and how frequently should the reports </w:t>
      </w:r>
      <w:r w:rsidRPr="0066023A">
        <w:rPr>
          <w:b/>
          <w:szCs w:val="20"/>
        </w:rPr>
        <w:t>be filed?</w:t>
      </w:r>
    </w:p>
    <w:p w14:paraId="0B37B009" w14:textId="77777777" w:rsidR="00D65F48" w:rsidRPr="0066023A" w:rsidRDefault="00D65F48" w:rsidP="00D65F48">
      <w:pPr>
        <w:jc w:val="both"/>
        <w:rPr>
          <w:b/>
        </w:rPr>
      </w:pPr>
    </w:p>
    <w:p w14:paraId="7268F121" w14:textId="77777777" w:rsidR="00D65F48" w:rsidRPr="0066023A" w:rsidRDefault="00D65F48" w:rsidP="00D65F48">
      <w:pPr>
        <w:tabs>
          <w:tab w:val="left" w:pos="8571"/>
        </w:tabs>
        <w:autoSpaceDE w:val="0"/>
        <w:autoSpaceDN w:val="0"/>
        <w:adjustRightInd w:val="0"/>
        <w:ind w:left="1440" w:hanging="1440"/>
        <w:jc w:val="both"/>
        <w:rPr>
          <w:szCs w:val="20"/>
          <w:highlight w:val="yellow"/>
        </w:rPr>
      </w:pPr>
      <w:r w:rsidRPr="0066023A">
        <w:rPr>
          <w:b/>
          <w:bCs/>
        </w:rPr>
        <w:t>GULF:</w:t>
      </w:r>
      <w:r w:rsidRPr="0066023A">
        <w:tab/>
        <w:t>Such amounts have been reported to the Commission in a schedule included along with Gulf Power’s monthly earnings surveillance reports, beginning in July 2020.  Gulf Power anticipates that the last report will be filed with its December 2021 earnings surveillance report.</w:t>
      </w:r>
      <w:r w:rsidRPr="0066023A">
        <w:rPr>
          <w:b/>
        </w:rPr>
        <w:t xml:space="preserve"> (</w:t>
      </w:r>
      <w:r w:rsidRPr="0066023A">
        <w:rPr>
          <w:szCs w:val="20"/>
        </w:rPr>
        <w:t xml:space="preserve">Goldstein, </w:t>
      </w:r>
      <w:proofErr w:type="spellStart"/>
      <w:r w:rsidRPr="0066023A">
        <w:rPr>
          <w:szCs w:val="20"/>
        </w:rPr>
        <w:t>Deason</w:t>
      </w:r>
      <w:proofErr w:type="spellEnd"/>
      <w:r w:rsidRPr="0066023A">
        <w:rPr>
          <w:szCs w:val="20"/>
        </w:rPr>
        <w:t>)</w:t>
      </w:r>
    </w:p>
    <w:p w14:paraId="3EF7711B" w14:textId="77777777" w:rsidR="00D65F48" w:rsidRPr="0066023A" w:rsidRDefault="00D65F48" w:rsidP="00D65F48">
      <w:pPr>
        <w:jc w:val="both"/>
      </w:pPr>
    </w:p>
    <w:p w14:paraId="35BAE4DD" w14:textId="68FA5865" w:rsidR="00D65F48" w:rsidRPr="00206978" w:rsidRDefault="00D65F48" w:rsidP="00206978">
      <w:pPr>
        <w:tabs>
          <w:tab w:val="left" w:pos="8571"/>
        </w:tabs>
        <w:autoSpaceDE w:val="0"/>
        <w:autoSpaceDN w:val="0"/>
        <w:adjustRightInd w:val="0"/>
        <w:ind w:left="1440" w:hanging="1440"/>
        <w:jc w:val="both"/>
      </w:pPr>
      <w:r w:rsidRPr="0066023A">
        <w:rPr>
          <w:b/>
        </w:rPr>
        <w:t>FPUC:</w:t>
      </w:r>
      <w:r w:rsidRPr="0066023A">
        <w:rPr>
          <w:b/>
        </w:rPr>
        <w:tab/>
      </w:r>
      <w:r w:rsidR="00206978" w:rsidRPr="0066023A">
        <w:t>The FPUC Companies agree that it would be appropriate to require the filing of reports.  The reports should detail the incremental amounts associated with the types of costs allow</w:t>
      </w:r>
      <w:r w:rsidR="00206978" w:rsidRPr="00206978">
        <w:t>ed to be included in the regulatory assets.  The incremental amounts should be based upon a three-year average for the Companies.  The reports should also detail incremental savings determined on the same, three-year-average basis.  The FPUC Companies should be required to maintain records supporting the entries so that they can furnish full information as to the nature and amount of each cost in the regulatory assets, including justification for inclusions of such amounts.  The Companies suggest that the reports be required on a quarterly basis, and that the Companies be allowed to cease filing such reports once they have ceased accruing amounts to the regulatory assets and have submitted a final report.</w:t>
      </w:r>
      <w:r w:rsidR="00643F0B">
        <w:t xml:space="preserve"> (Craig, </w:t>
      </w:r>
      <w:proofErr w:type="spellStart"/>
      <w:r w:rsidR="00643F0B">
        <w:t>Galtman</w:t>
      </w:r>
      <w:proofErr w:type="spellEnd"/>
      <w:r w:rsidR="00643F0B">
        <w:t xml:space="preserve">, </w:t>
      </w:r>
      <w:proofErr w:type="spellStart"/>
      <w:r w:rsidR="00643F0B">
        <w:t>Deason</w:t>
      </w:r>
      <w:proofErr w:type="spellEnd"/>
      <w:r w:rsidR="00643F0B">
        <w:t>)</w:t>
      </w:r>
    </w:p>
    <w:p w14:paraId="5DEAB3C5" w14:textId="77777777" w:rsidR="00D65F48" w:rsidRPr="00206978" w:rsidRDefault="00D65F48" w:rsidP="00D65F48">
      <w:pPr>
        <w:jc w:val="both"/>
      </w:pPr>
    </w:p>
    <w:p w14:paraId="0FFF8355" w14:textId="13C91196" w:rsidR="00D65F48" w:rsidRPr="00AB73A7" w:rsidRDefault="00D65F48" w:rsidP="00D65F48">
      <w:pPr>
        <w:ind w:left="1440" w:hanging="1440"/>
        <w:jc w:val="both"/>
      </w:pPr>
      <w:r>
        <w:rPr>
          <w:b/>
        </w:rPr>
        <w:t>OPC:</w:t>
      </w:r>
      <w:r>
        <w:rPr>
          <w:b/>
        </w:rPr>
        <w:tab/>
      </w:r>
      <w:r w:rsidR="00AB73A7" w:rsidRPr="00AB73A7">
        <w:t>Yes.  The Companies’ reports should be filed monthly to the respective open Regulatory Asset dockets (20200151 and 20200194).  Counsel for all parties and interested persons should be served directly, rather than Companies filing the reports in the “</w:t>
      </w:r>
      <w:proofErr w:type="spellStart"/>
      <w:r w:rsidR="00AB73A7" w:rsidRPr="00AB73A7">
        <w:t>undocketed</w:t>
      </w:r>
      <w:proofErr w:type="spellEnd"/>
      <w:r w:rsidR="00AB73A7" w:rsidRPr="00AB73A7">
        <w:t>” docket or as attachments to El</w:t>
      </w:r>
      <w:r w:rsidR="00AB73A7">
        <w:t>ectronic Surveillance Reports.</w:t>
      </w:r>
      <w:r w:rsidR="00643F0B">
        <w:t xml:space="preserve"> (</w:t>
      </w:r>
      <w:r w:rsidR="00EF55D0">
        <w:t>Lawton)</w:t>
      </w:r>
    </w:p>
    <w:p w14:paraId="585E0388" w14:textId="77777777" w:rsidR="00D65F48" w:rsidRPr="00701945" w:rsidRDefault="00D65F48" w:rsidP="00D65F48">
      <w:pPr>
        <w:jc w:val="both"/>
      </w:pPr>
    </w:p>
    <w:p w14:paraId="29BA6654" w14:textId="77777777" w:rsidR="00D65F48" w:rsidRPr="00AB73A7" w:rsidRDefault="00D65F48" w:rsidP="00AB73A7">
      <w:pPr>
        <w:autoSpaceDE w:val="0"/>
        <w:autoSpaceDN w:val="0"/>
        <w:adjustRightInd w:val="0"/>
        <w:ind w:left="1440" w:hanging="1440"/>
        <w:jc w:val="both"/>
        <w:rPr>
          <w:b/>
        </w:rPr>
      </w:pPr>
      <w:r w:rsidRPr="005D4B47">
        <w:rPr>
          <w:b/>
          <w:bCs/>
        </w:rPr>
        <w:t>STAFF:</w:t>
      </w:r>
      <w:r>
        <w:rPr>
          <w:b/>
          <w:bCs/>
        </w:rPr>
        <w:tab/>
      </w:r>
      <w:r w:rsidR="00AB73A7" w:rsidRPr="00290666">
        <w:t>No position at this time pending evidence adduced at hearing</w:t>
      </w:r>
      <w:r w:rsidR="00AB73A7">
        <w:t>.</w:t>
      </w:r>
    </w:p>
    <w:p w14:paraId="3693598C" w14:textId="77777777" w:rsidR="00D65F48" w:rsidRDefault="00D65F48" w:rsidP="00D65F48">
      <w:pPr>
        <w:jc w:val="both"/>
      </w:pPr>
    </w:p>
    <w:p w14:paraId="4DDF2188" w14:textId="77777777" w:rsidR="00996DFB" w:rsidRDefault="00996DFB" w:rsidP="00996DFB">
      <w:pPr>
        <w:jc w:val="both"/>
      </w:pPr>
    </w:p>
    <w:p w14:paraId="0F27BDFF" w14:textId="2637C84D" w:rsidR="007622D9" w:rsidRPr="00206978" w:rsidRDefault="00206978" w:rsidP="00206978">
      <w:pPr>
        <w:ind w:left="1440" w:hanging="1440"/>
        <w:rPr>
          <w:b/>
        </w:rPr>
      </w:pPr>
      <w:r w:rsidRPr="00842F97">
        <w:rPr>
          <w:b/>
        </w:rPr>
        <w:t xml:space="preserve">ISSUE </w:t>
      </w:r>
      <w:r w:rsidR="00842F97">
        <w:rPr>
          <w:b/>
        </w:rPr>
        <w:t>5</w:t>
      </w:r>
      <w:r w:rsidR="007622D9">
        <w:rPr>
          <w:b/>
        </w:rPr>
        <w:t>:</w:t>
      </w:r>
      <w:r w:rsidR="007622D9">
        <w:rPr>
          <w:b/>
        </w:rPr>
        <w:tab/>
      </w:r>
      <w:r w:rsidR="007622D9" w:rsidRPr="007622D9">
        <w:rPr>
          <w:b/>
          <w:szCs w:val="20"/>
        </w:rPr>
        <w:t>If the Commission approves the requests, what are the total costs eligible for recovery?</w:t>
      </w:r>
    </w:p>
    <w:p w14:paraId="02B0AB9E" w14:textId="77777777" w:rsidR="007622D9" w:rsidRDefault="007622D9" w:rsidP="007622D9">
      <w:pPr>
        <w:ind w:left="1440" w:hanging="1440"/>
        <w:rPr>
          <w:b/>
          <w:szCs w:val="20"/>
        </w:rPr>
      </w:pPr>
    </w:p>
    <w:p w14:paraId="4EB486EB" w14:textId="77777777" w:rsidR="007622D9" w:rsidRPr="007622D9" w:rsidRDefault="00206978" w:rsidP="007622D9">
      <w:pPr>
        <w:tabs>
          <w:tab w:val="left" w:pos="8571"/>
        </w:tabs>
        <w:autoSpaceDE w:val="0"/>
        <w:autoSpaceDN w:val="0"/>
        <w:adjustRightInd w:val="0"/>
        <w:ind w:left="1440" w:hanging="1440"/>
        <w:jc w:val="both"/>
      </w:pPr>
      <w:r>
        <w:rPr>
          <w:b/>
          <w:szCs w:val="20"/>
        </w:rPr>
        <w:t>GULF:</w:t>
      </w:r>
      <w:r w:rsidR="007622D9">
        <w:rPr>
          <w:b/>
          <w:szCs w:val="20"/>
        </w:rPr>
        <w:tab/>
      </w:r>
      <w:r w:rsidR="007622D9" w:rsidRPr="007622D9">
        <w:t xml:space="preserve">The </w:t>
      </w:r>
      <w:r w:rsidR="007622D9" w:rsidRPr="007622D9">
        <w:rPr>
          <w:szCs w:val="20"/>
        </w:rPr>
        <w:t>total amount of costs eligible for recovery is $20.7 million. This amount includes actual incremental bad debt expense and COVID-related safety costs, less savings, as of February 28, 2021 totaling $17.6 million, and Gulf Power’s reasonable forecast of costs, less forecasted savings, through the end of 2021.</w:t>
      </w:r>
      <w:r w:rsidR="007622D9" w:rsidRPr="007622D9">
        <w:t xml:space="preserve"> (Goldstein)</w:t>
      </w:r>
    </w:p>
    <w:p w14:paraId="7EA8B9E4" w14:textId="77777777" w:rsidR="007622D9" w:rsidRDefault="007622D9" w:rsidP="007622D9">
      <w:pPr>
        <w:ind w:left="1440" w:hanging="1440"/>
        <w:rPr>
          <w:b/>
          <w:szCs w:val="20"/>
        </w:rPr>
      </w:pPr>
    </w:p>
    <w:p w14:paraId="02B2A67C" w14:textId="54A86F00" w:rsidR="00206978" w:rsidRPr="007A0F21" w:rsidRDefault="00206978" w:rsidP="007A0F21">
      <w:pPr>
        <w:ind w:left="1440" w:hanging="1440"/>
        <w:jc w:val="both"/>
        <w:rPr>
          <w:szCs w:val="20"/>
        </w:rPr>
      </w:pPr>
      <w:r>
        <w:rPr>
          <w:b/>
          <w:szCs w:val="20"/>
        </w:rPr>
        <w:t>FPUC:</w:t>
      </w:r>
      <w:r>
        <w:rPr>
          <w:b/>
          <w:szCs w:val="20"/>
        </w:rPr>
        <w:tab/>
      </w:r>
      <w:r w:rsidRPr="00206978">
        <w:rPr>
          <w:szCs w:val="20"/>
        </w:rPr>
        <w:t>The FPUC Companies are unable to take a position on this issue at this time, as the Companies have not reached a final determination of the amounts at issue.  As such, the Companies respectfully ask that this issue, requested by Gulf, be treated as a Gulf-specific issue.</w:t>
      </w:r>
    </w:p>
    <w:p w14:paraId="1AA9A570" w14:textId="77777777" w:rsidR="00206978" w:rsidRPr="00AB73A7" w:rsidRDefault="00206978" w:rsidP="007622D9">
      <w:pPr>
        <w:ind w:left="1440" w:hanging="1440"/>
        <w:rPr>
          <w:szCs w:val="20"/>
        </w:rPr>
      </w:pPr>
      <w:r>
        <w:rPr>
          <w:b/>
          <w:szCs w:val="20"/>
        </w:rPr>
        <w:lastRenderedPageBreak/>
        <w:t>OPC:</w:t>
      </w:r>
      <w:r w:rsidR="00AB73A7">
        <w:rPr>
          <w:b/>
          <w:szCs w:val="20"/>
        </w:rPr>
        <w:tab/>
      </w:r>
      <w:r w:rsidR="00AB73A7" w:rsidRPr="00AB73A7">
        <w:rPr>
          <w:szCs w:val="20"/>
        </w:rPr>
        <w:t>The Companies have the burden of proof on this issue.  The total costs eligible for recovery will depend on the Commission’s determinations regarding Issue 3 and the sufficiency of proof submitted by each of the Companies.</w:t>
      </w:r>
    </w:p>
    <w:p w14:paraId="793C6A9D" w14:textId="77777777" w:rsidR="00206978" w:rsidRDefault="00206978" w:rsidP="007622D9">
      <w:pPr>
        <w:ind w:left="1440" w:hanging="1440"/>
        <w:rPr>
          <w:b/>
          <w:szCs w:val="20"/>
        </w:rPr>
      </w:pPr>
    </w:p>
    <w:p w14:paraId="1DD31155" w14:textId="6F803549" w:rsidR="00206978" w:rsidRPr="00AB73A7" w:rsidRDefault="00206978" w:rsidP="00AB73A7">
      <w:pPr>
        <w:autoSpaceDE w:val="0"/>
        <w:autoSpaceDN w:val="0"/>
        <w:adjustRightInd w:val="0"/>
        <w:ind w:left="1440" w:hanging="1440"/>
        <w:jc w:val="both"/>
        <w:rPr>
          <w:b/>
        </w:rPr>
      </w:pPr>
      <w:r>
        <w:rPr>
          <w:b/>
          <w:szCs w:val="20"/>
        </w:rPr>
        <w:t>STAFF:</w:t>
      </w:r>
      <w:r w:rsidR="00AB73A7">
        <w:rPr>
          <w:b/>
          <w:szCs w:val="20"/>
        </w:rPr>
        <w:tab/>
      </w:r>
      <w:r w:rsidR="00C236DC" w:rsidRPr="00290666">
        <w:t>No position at this time pending evidence adduced at hearing</w:t>
      </w:r>
      <w:r w:rsidR="00C236DC">
        <w:t>.</w:t>
      </w:r>
    </w:p>
    <w:p w14:paraId="454CACF1" w14:textId="77777777" w:rsidR="00D65F48" w:rsidRDefault="00D65F48" w:rsidP="007622D9">
      <w:pPr>
        <w:ind w:left="1440" w:hanging="1440"/>
        <w:jc w:val="both"/>
        <w:rPr>
          <w:b/>
        </w:rPr>
      </w:pPr>
    </w:p>
    <w:p w14:paraId="6F20F417" w14:textId="450C00F2" w:rsidR="00E103A3" w:rsidRDefault="00E103A3" w:rsidP="00AB73A7">
      <w:pPr>
        <w:autoSpaceDE w:val="0"/>
        <w:autoSpaceDN w:val="0"/>
        <w:adjustRightInd w:val="0"/>
        <w:ind w:left="1440" w:hanging="1440"/>
        <w:jc w:val="both"/>
        <w:rPr>
          <w:b/>
        </w:rPr>
      </w:pPr>
    </w:p>
    <w:p w14:paraId="5B50690A" w14:textId="4A3D5F2B" w:rsidR="00842F97" w:rsidRPr="00D65F48" w:rsidRDefault="00842F97" w:rsidP="00842F97">
      <w:pPr>
        <w:rPr>
          <w:b/>
          <w:szCs w:val="20"/>
        </w:rPr>
      </w:pPr>
      <w:r>
        <w:rPr>
          <w:b/>
          <w:bCs/>
        </w:rPr>
        <w:t>ISSUE 6</w:t>
      </w:r>
      <w:r w:rsidRPr="00701945">
        <w:rPr>
          <w:b/>
          <w:bCs/>
        </w:rPr>
        <w:t>:</w:t>
      </w:r>
      <w:r w:rsidRPr="00701945">
        <w:tab/>
      </w:r>
      <w:r w:rsidRPr="00D65F48">
        <w:rPr>
          <w:b/>
          <w:szCs w:val="20"/>
        </w:rPr>
        <w:t>Should these dockets be closed?</w:t>
      </w:r>
    </w:p>
    <w:p w14:paraId="36DA8943" w14:textId="77777777" w:rsidR="00842F97" w:rsidRPr="00701945" w:rsidRDefault="00842F97" w:rsidP="00842F97">
      <w:pPr>
        <w:jc w:val="both"/>
      </w:pPr>
    </w:p>
    <w:p w14:paraId="78D0A701" w14:textId="77777777" w:rsidR="00842F97" w:rsidRPr="00D65F48" w:rsidRDefault="00842F97" w:rsidP="00842F97">
      <w:pPr>
        <w:tabs>
          <w:tab w:val="left" w:pos="8571"/>
        </w:tabs>
        <w:autoSpaceDE w:val="0"/>
        <w:autoSpaceDN w:val="0"/>
        <w:adjustRightInd w:val="0"/>
        <w:ind w:left="1440" w:hanging="1440"/>
        <w:jc w:val="both"/>
      </w:pPr>
      <w:r>
        <w:rPr>
          <w:b/>
          <w:bCs/>
        </w:rPr>
        <w:t>GULF</w:t>
      </w:r>
      <w:r w:rsidRPr="005D4B47">
        <w:rPr>
          <w:b/>
          <w:bCs/>
        </w:rPr>
        <w:t>:</w:t>
      </w:r>
      <w:r w:rsidRPr="005D4B47">
        <w:tab/>
      </w:r>
      <w:r w:rsidRPr="00D65F48">
        <w:t xml:space="preserve">Yes. (Goldstein, </w:t>
      </w:r>
      <w:proofErr w:type="spellStart"/>
      <w:r w:rsidRPr="00D65F48">
        <w:t>Deason</w:t>
      </w:r>
      <w:proofErr w:type="spellEnd"/>
      <w:r w:rsidRPr="00D65F48">
        <w:t>)</w:t>
      </w:r>
    </w:p>
    <w:p w14:paraId="77A3BF21" w14:textId="77777777" w:rsidR="00842F97" w:rsidRDefault="00842F97" w:rsidP="00842F97">
      <w:pPr>
        <w:jc w:val="both"/>
      </w:pPr>
    </w:p>
    <w:p w14:paraId="5FE8593C" w14:textId="77777777" w:rsidR="00842F97" w:rsidRPr="00206978" w:rsidRDefault="00842F97" w:rsidP="00842F97">
      <w:pPr>
        <w:tabs>
          <w:tab w:val="left" w:pos="8571"/>
        </w:tabs>
        <w:autoSpaceDE w:val="0"/>
        <w:autoSpaceDN w:val="0"/>
        <w:adjustRightInd w:val="0"/>
        <w:ind w:left="1440" w:hanging="1440"/>
        <w:jc w:val="both"/>
      </w:pPr>
      <w:r w:rsidRPr="00D65F48">
        <w:rPr>
          <w:b/>
        </w:rPr>
        <w:t>FPUC:</w:t>
      </w:r>
      <w:r>
        <w:rPr>
          <w:b/>
        </w:rPr>
        <w:tab/>
      </w:r>
      <w:r w:rsidRPr="00206978">
        <w:t>Yes, once the Commission has issued its final decision in this proceeding and the time period for reconsideration and appeal have run.</w:t>
      </w:r>
      <w:r>
        <w:t xml:space="preserve"> (</w:t>
      </w:r>
      <w:proofErr w:type="spellStart"/>
      <w:r>
        <w:t>Deason</w:t>
      </w:r>
      <w:proofErr w:type="spellEnd"/>
      <w:r>
        <w:t>)</w:t>
      </w:r>
    </w:p>
    <w:p w14:paraId="6FB44390" w14:textId="77777777" w:rsidR="00842F97" w:rsidRPr="00206978" w:rsidRDefault="00842F97" w:rsidP="00842F97">
      <w:pPr>
        <w:jc w:val="both"/>
      </w:pPr>
    </w:p>
    <w:p w14:paraId="7190D34F" w14:textId="77777777" w:rsidR="00842F97" w:rsidRPr="00AB73A7" w:rsidRDefault="00842F97" w:rsidP="00842F97">
      <w:pPr>
        <w:ind w:left="1440" w:hanging="1440"/>
        <w:jc w:val="both"/>
      </w:pPr>
      <w:r>
        <w:rPr>
          <w:b/>
        </w:rPr>
        <w:t>OPC:</w:t>
      </w:r>
      <w:r>
        <w:rPr>
          <w:b/>
        </w:rPr>
        <w:tab/>
      </w:r>
      <w:r w:rsidRPr="00AB73A7">
        <w:t>No.</w:t>
      </w:r>
    </w:p>
    <w:p w14:paraId="5C078265" w14:textId="77777777" w:rsidR="00842F97" w:rsidRPr="00701945" w:rsidRDefault="00842F97" w:rsidP="00842F97">
      <w:pPr>
        <w:jc w:val="both"/>
      </w:pPr>
    </w:p>
    <w:p w14:paraId="272250E8" w14:textId="77777777" w:rsidR="00842F97" w:rsidRPr="00AB73A7" w:rsidRDefault="00842F97" w:rsidP="00842F97">
      <w:pPr>
        <w:autoSpaceDE w:val="0"/>
        <w:autoSpaceDN w:val="0"/>
        <w:adjustRightInd w:val="0"/>
        <w:ind w:left="1440" w:hanging="1440"/>
        <w:jc w:val="both"/>
        <w:rPr>
          <w:b/>
        </w:rPr>
      </w:pPr>
      <w:r w:rsidRPr="005D4B47">
        <w:rPr>
          <w:b/>
          <w:bCs/>
        </w:rPr>
        <w:t>STAFF:</w:t>
      </w:r>
      <w:r>
        <w:rPr>
          <w:b/>
          <w:bCs/>
        </w:rPr>
        <w:tab/>
      </w:r>
      <w:r w:rsidRPr="00290666">
        <w:t>No position at this time pending evidence adduced at hearing</w:t>
      </w:r>
      <w:r>
        <w:t>.</w:t>
      </w:r>
    </w:p>
    <w:p w14:paraId="788D2EFC" w14:textId="159E2A8F" w:rsidR="00842F97" w:rsidRDefault="00842F97" w:rsidP="00AB73A7">
      <w:pPr>
        <w:autoSpaceDE w:val="0"/>
        <w:autoSpaceDN w:val="0"/>
        <w:adjustRightInd w:val="0"/>
        <w:ind w:left="1440" w:hanging="1440"/>
        <w:jc w:val="both"/>
        <w:rPr>
          <w:b/>
        </w:rPr>
      </w:pPr>
    </w:p>
    <w:p w14:paraId="6FD37149" w14:textId="77777777" w:rsidR="003D2CCF" w:rsidRPr="00D65F48" w:rsidRDefault="003D2CCF" w:rsidP="00AB73A7">
      <w:pPr>
        <w:autoSpaceDE w:val="0"/>
        <w:autoSpaceDN w:val="0"/>
        <w:adjustRightInd w:val="0"/>
        <w:ind w:left="1440" w:hanging="1440"/>
        <w:jc w:val="both"/>
        <w:rPr>
          <w:b/>
        </w:rPr>
      </w:pPr>
    </w:p>
    <w:p w14:paraId="27B289E4" w14:textId="77777777" w:rsidR="00996DFB" w:rsidRPr="00A32DC5" w:rsidRDefault="00996DFB" w:rsidP="007622D9">
      <w:pPr>
        <w:ind w:left="1440" w:hanging="1440"/>
        <w:jc w:val="both"/>
        <w:rPr>
          <w:b/>
        </w:rPr>
      </w:pPr>
      <w:r w:rsidRPr="00A32DC5">
        <w:rPr>
          <w:b/>
        </w:rPr>
        <w:t>IX.</w:t>
      </w:r>
      <w:r w:rsidRPr="00A32DC5">
        <w:rPr>
          <w:b/>
        </w:rPr>
        <w:tab/>
      </w:r>
      <w:r w:rsidRPr="00A32DC5">
        <w:rPr>
          <w:b/>
          <w:u w:val="single"/>
        </w:rPr>
        <w:t>EXHIBIT LIST</w:t>
      </w:r>
    </w:p>
    <w:p w14:paraId="0760C613" w14:textId="77777777" w:rsidR="00996DFB" w:rsidRPr="00701945" w:rsidRDefault="00996DFB" w:rsidP="007622D9">
      <w:pPr>
        <w:ind w:left="1440" w:hanging="1440"/>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96DFB" w:rsidRPr="00701945" w14:paraId="301DB0CE" w14:textId="77777777" w:rsidTr="000F3A5A">
        <w:trPr>
          <w:cantSplit/>
          <w:trHeight w:val="373"/>
          <w:tblHeader/>
        </w:trPr>
        <w:tc>
          <w:tcPr>
            <w:tcW w:w="3198" w:type="dxa"/>
            <w:tcBorders>
              <w:top w:val="nil"/>
              <w:left w:val="nil"/>
              <w:bottom w:val="nil"/>
              <w:right w:val="nil"/>
            </w:tcBorders>
          </w:tcPr>
          <w:p w14:paraId="269B7D01" w14:textId="77777777" w:rsidR="00996DFB" w:rsidRPr="00701945" w:rsidRDefault="00996DFB" w:rsidP="000F3A5A">
            <w:pPr>
              <w:jc w:val="both"/>
            </w:pPr>
            <w:r w:rsidRPr="00701945">
              <w:rPr>
                <w:u w:val="single"/>
              </w:rPr>
              <w:t>Witness</w:t>
            </w:r>
          </w:p>
        </w:tc>
        <w:tc>
          <w:tcPr>
            <w:tcW w:w="1680" w:type="dxa"/>
            <w:tcBorders>
              <w:top w:val="nil"/>
              <w:left w:val="nil"/>
              <w:bottom w:val="nil"/>
              <w:right w:val="nil"/>
            </w:tcBorders>
          </w:tcPr>
          <w:p w14:paraId="36174862" w14:textId="77777777" w:rsidR="00996DFB" w:rsidRPr="00701945" w:rsidRDefault="00996DFB" w:rsidP="000F3A5A">
            <w:pPr>
              <w:jc w:val="center"/>
            </w:pPr>
            <w:r w:rsidRPr="00701945">
              <w:rPr>
                <w:u w:val="single"/>
              </w:rPr>
              <w:t>Proffered By</w:t>
            </w:r>
          </w:p>
        </w:tc>
        <w:tc>
          <w:tcPr>
            <w:tcW w:w="1482" w:type="dxa"/>
            <w:tcBorders>
              <w:top w:val="nil"/>
              <w:left w:val="nil"/>
              <w:bottom w:val="nil"/>
              <w:right w:val="nil"/>
            </w:tcBorders>
          </w:tcPr>
          <w:p w14:paraId="3640BA35" w14:textId="77777777" w:rsidR="00996DFB" w:rsidRPr="004515FB" w:rsidRDefault="00996DFB" w:rsidP="000F3A5A">
            <w:pPr>
              <w:jc w:val="center"/>
            </w:pPr>
          </w:p>
        </w:tc>
        <w:tc>
          <w:tcPr>
            <w:tcW w:w="3205" w:type="dxa"/>
            <w:tcBorders>
              <w:top w:val="nil"/>
              <w:left w:val="nil"/>
              <w:bottom w:val="nil"/>
              <w:right w:val="nil"/>
            </w:tcBorders>
          </w:tcPr>
          <w:p w14:paraId="6C345E97" w14:textId="77777777" w:rsidR="00996DFB" w:rsidRPr="00701945" w:rsidRDefault="00996DFB" w:rsidP="000F3A5A">
            <w:pPr>
              <w:jc w:val="both"/>
            </w:pPr>
            <w:r w:rsidRPr="00701945">
              <w:rPr>
                <w:u w:val="single"/>
              </w:rPr>
              <w:t>Description</w:t>
            </w:r>
          </w:p>
        </w:tc>
      </w:tr>
      <w:tr w:rsidR="00996DFB" w:rsidRPr="00701945" w14:paraId="4D7C0511" w14:textId="77777777" w:rsidTr="000F3A5A">
        <w:trPr>
          <w:cantSplit/>
          <w:trHeight w:val="353"/>
        </w:trPr>
        <w:tc>
          <w:tcPr>
            <w:tcW w:w="3198" w:type="dxa"/>
            <w:tcBorders>
              <w:top w:val="nil"/>
              <w:left w:val="nil"/>
              <w:bottom w:val="nil"/>
              <w:right w:val="nil"/>
            </w:tcBorders>
          </w:tcPr>
          <w:p w14:paraId="7E14A2AD" w14:textId="77777777" w:rsidR="00996DFB" w:rsidRPr="00701945" w:rsidRDefault="00996DFB" w:rsidP="000F3A5A">
            <w:pPr>
              <w:jc w:val="both"/>
            </w:pPr>
            <w:r w:rsidRPr="00701945">
              <w:tab/>
            </w:r>
            <w:r w:rsidRPr="00701945">
              <w:rPr>
                <w:u w:val="single"/>
              </w:rPr>
              <w:t>Direct</w:t>
            </w:r>
          </w:p>
        </w:tc>
        <w:tc>
          <w:tcPr>
            <w:tcW w:w="1680" w:type="dxa"/>
            <w:tcBorders>
              <w:top w:val="nil"/>
              <w:left w:val="nil"/>
              <w:bottom w:val="nil"/>
              <w:right w:val="nil"/>
            </w:tcBorders>
          </w:tcPr>
          <w:p w14:paraId="78B1D0DD" w14:textId="77777777" w:rsidR="00996DFB" w:rsidRPr="00701945" w:rsidRDefault="00996DFB" w:rsidP="000F3A5A">
            <w:pPr>
              <w:jc w:val="center"/>
            </w:pPr>
          </w:p>
        </w:tc>
        <w:tc>
          <w:tcPr>
            <w:tcW w:w="1482" w:type="dxa"/>
            <w:tcBorders>
              <w:top w:val="nil"/>
              <w:left w:val="nil"/>
              <w:bottom w:val="nil"/>
              <w:right w:val="nil"/>
            </w:tcBorders>
          </w:tcPr>
          <w:p w14:paraId="58A69E9A" w14:textId="77777777" w:rsidR="00996DFB" w:rsidRPr="004515FB" w:rsidRDefault="00996DFB" w:rsidP="000F3A5A">
            <w:pPr>
              <w:jc w:val="center"/>
            </w:pPr>
          </w:p>
        </w:tc>
        <w:tc>
          <w:tcPr>
            <w:tcW w:w="3205" w:type="dxa"/>
            <w:tcBorders>
              <w:top w:val="nil"/>
              <w:left w:val="nil"/>
              <w:bottom w:val="nil"/>
              <w:right w:val="nil"/>
            </w:tcBorders>
          </w:tcPr>
          <w:p w14:paraId="0B1F5E94" w14:textId="77777777" w:rsidR="00996DFB" w:rsidRPr="00701945" w:rsidRDefault="00996DFB" w:rsidP="000F3A5A"/>
        </w:tc>
      </w:tr>
      <w:tr w:rsidR="002451A0" w:rsidRPr="00701945" w14:paraId="250E9D1E" w14:textId="77777777" w:rsidTr="000F3A5A">
        <w:trPr>
          <w:cantSplit/>
          <w:trHeight w:val="726"/>
        </w:trPr>
        <w:tc>
          <w:tcPr>
            <w:tcW w:w="3198" w:type="dxa"/>
            <w:tcBorders>
              <w:top w:val="nil"/>
              <w:left w:val="nil"/>
              <w:bottom w:val="nil"/>
              <w:right w:val="nil"/>
            </w:tcBorders>
          </w:tcPr>
          <w:p w14:paraId="29DB4AF3" w14:textId="77777777" w:rsidR="002451A0" w:rsidRPr="00C813CF" w:rsidRDefault="002451A0" w:rsidP="002451A0">
            <w:r w:rsidRPr="00C813CF">
              <w:t>Mitchell Goldstein</w:t>
            </w:r>
          </w:p>
        </w:tc>
        <w:tc>
          <w:tcPr>
            <w:tcW w:w="1680" w:type="dxa"/>
            <w:tcBorders>
              <w:top w:val="nil"/>
              <w:left w:val="nil"/>
              <w:bottom w:val="nil"/>
              <w:right w:val="nil"/>
            </w:tcBorders>
          </w:tcPr>
          <w:p w14:paraId="5CD703B9" w14:textId="5E027DF9" w:rsidR="002451A0" w:rsidRPr="00C813CF" w:rsidRDefault="002451A0" w:rsidP="00E103A3">
            <w:r w:rsidRPr="00C813CF">
              <w:t>G</w:t>
            </w:r>
            <w:r w:rsidR="00E103A3">
              <w:t>ULF</w:t>
            </w:r>
          </w:p>
        </w:tc>
        <w:tc>
          <w:tcPr>
            <w:tcW w:w="1482" w:type="dxa"/>
            <w:tcBorders>
              <w:top w:val="nil"/>
              <w:left w:val="nil"/>
              <w:bottom w:val="nil"/>
              <w:right w:val="nil"/>
            </w:tcBorders>
          </w:tcPr>
          <w:p w14:paraId="3FB6B9EE" w14:textId="77777777" w:rsidR="002451A0" w:rsidRPr="00C813CF" w:rsidRDefault="002451A0" w:rsidP="002451A0">
            <w:r w:rsidRPr="00C813CF">
              <w:t>MG-1</w:t>
            </w:r>
          </w:p>
        </w:tc>
        <w:tc>
          <w:tcPr>
            <w:tcW w:w="3205" w:type="dxa"/>
            <w:tcBorders>
              <w:top w:val="nil"/>
              <w:left w:val="nil"/>
              <w:bottom w:val="nil"/>
              <w:right w:val="nil"/>
            </w:tcBorders>
          </w:tcPr>
          <w:p w14:paraId="6007C49D" w14:textId="77777777" w:rsidR="002451A0" w:rsidRDefault="002451A0" w:rsidP="002451A0">
            <w:r w:rsidRPr="00C813CF">
              <w:t>Gulf Power’s COVID costs by category</w:t>
            </w:r>
          </w:p>
        </w:tc>
      </w:tr>
      <w:tr w:rsidR="00996DFB" w:rsidRPr="00701945" w14:paraId="0D610817" w14:textId="77777777" w:rsidTr="000F3A5A">
        <w:trPr>
          <w:cantSplit/>
          <w:trHeight w:val="353"/>
        </w:trPr>
        <w:tc>
          <w:tcPr>
            <w:tcW w:w="3198" w:type="dxa"/>
            <w:tcBorders>
              <w:top w:val="nil"/>
              <w:left w:val="nil"/>
              <w:bottom w:val="nil"/>
              <w:right w:val="nil"/>
            </w:tcBorders>
          </w:tcPr>
          <w:p w14:paraId="3CAE58D2" w14:textId="77777777" w:rsidR="00996DFB" w:rsidRPr="00701945" w:rsidRDefault="002C754A" w:rsidP="000F3A5A">
            <w:pPr>
              <w:jc w:val="both"/>
            </w:pPr>
            <w:r w:rsidRPr="002C754A">
              <w:t>Daniel J. Lawton</w:t>
            </w:r>
          </w:p>
        </w:tc>
        <w:tc>
          <w:tcPr>
            <w:tcW w:w="1680" w:type="dxa"/>
            <w:tcBorders>
              <w:top w:val="nil"/>
              <w:left w:val="nil"/>
              <w:bottom w:val="nil"/>
              <w:right w:val="nil"/>
            </w:tcBorders>
          </w:tcPr>
          <w:p w14:paraId="079250BA" w14:textId="77777777" w:rsidR="00996DFB" w:rsidRPr="00701945" w:rsidRDefault="002C754A" w:rsidP="002C36B0">
            <w:r>
              <w:t>OPC</w:t>
            </w:r>
          </w:p>
        </w:tc>
        <w:tc>
          <w:tcPr>
            <w:tcW w:w="1482" w:type="dxa"/>
            <w:tcBorders>
              <w:top w:val="nil"/>
              <w:left w:val="nil"/>
              <w:bottom w:val="nil"/>
              <w:right w:val="nil"/>
            </w:tcBorders>
          </w:tcPr>
          <w:p w14:paraId="132F9A48" w14:textId="77777777" w:rsidR="00996DFB" w:rsidRPr="004515FB" w:rsidRDefault="002C754A" w:rsidP="002C36B0">
            <w:r w:rsidRPr="002C754A">
              <w:t>DJL-1</w:t>
            </w:r>
          </w:p>
        </w:tc>
        <w:tc>
          <w:tcPr>
            <w:tcW w:w="3205" w:type="dxa"/>
            <w:tcBorders>
              <w:top w:val="nil"/>
              <w:left w:val="nil"/>
              <w:bottom w:val="nil"/>
              <w:right w:val="nil"/>
            </w:tcBorders>
          </w:tcPr>
          <w:p w14:paraId="243E842A" w14:textId="77777777" w:rsidR="00996DFB" w:rsidRPr="00701945" w:rsidRDefault="002C754A" w:rsidP="000F3A5A">
            <w:r w:rsidRPr="002C754A">
              <w:t>Resume</w:t>
            </w:r>
          </w:p>
        </w:tc>
      </w:tr>
      <w:tr w:rsidR="00996DFB" w:rsidRPr="00701945" w14:paraId="44021942" w14:textId="77777777" w:rsidTr="000F3A5A">
        <w:trPr>
          <w:cantSplit/>
          <w:trHeight w:val="373"/>
        </w:trPr>
        <w:tc>
          <w:tcPr>
            <w:tcW w:w="3198" w:type="dxa"/>
            <w:tcBorders>
              <w:top w:val="nil"/>
              <w:left w:val="nil"/>
              <w:bottom w:val="nil"/>
              <w:right w:val="nil"/>
            </w:tcBorders>
          </w:tcPr>
          <w:p w14:paraId="5E80231C" w14:textId="77777777" w:rsidR="00996DFB" w:rsidRPr="00701945" w:rsidRDefault="002C754A" w:rsidP="000F3A5A">
            <w:pPr>
              <w:jc w:val="both"/>
            </w:pPr>
            <w:r w:rsidRPr="002C754A">
              <w:t>Daniel J. Lawton</w:t>
            </w:r>
          </w:p>
        </w:tc>
        <w:tc>
          <w:tcPr>
            <w:tcW w:w="1680" w:type="dxa"/>
            <w:tcBorders>
              <w:top w:val="nil"/>
              <w:left w:val="nil"/>
              <w:bottom w:val="nil"/>
              <w:right w:val="nil"/>
            </w:tcBorders>
          </w:tcPr>
          <w:p w14:paraId="74CFD152" w14:textId="77777777" w:rsidR="00996DFB" w:rsidRPr="00701945" w:rsidRDefault="00AB73A7" w:rsidP="002C36B0">
            <w:r>
              <w:t>OPC</w:t>
            </w:r>
          </w:p>
        </w:tc>
        <w:tc>
          <w:tcPr>
            <w:tcW w:w="1482" w:type="dxa"/>
            <w:tcBorders>
              <w:top w:val="nil"/>
              <w:left w:val="nil"/>
              <w:bottom w:val="nil"/>
              <w:right w:val="nil"/>
            </w:tcBorders>
          </w:tcPr>
          <w:p w14:paraId="639E230F" w14:textId="77777777" w:rsidR="00996DFB" w:rsidRPr="004515FB" w:rsidRDefault="00AB73A7" w:rsidP="002C36B0">
            <w:r w:rsidRPr="00AB73A7">
              <w:t>DJL-2</w:t>
            </w:r>
          </w:p>
        </w:tc>
        <w:tc>
          <w:tcPr>
            <w:tcW w:w="3205" w:type="dxa"/>
            <w:tcBorders>
              <w:top w:val="nil"/>
              <w:left w:val="nil"/>
              <w:bottom w:val="nil"/>
              <w:right w:val="nil"/>
            </w:tcBorders>
          </w:tcPr>
          <w:p w14:paraId="44B3E26C" w14:textId="77777777" w:rsidR="00996DFB" w:rsidRPr="00701945" w:rsidRDefault="00AB73A7" w:rsidP="000F3A5A">
            <w:r w:rsidRPr="00AB73A7">
              <w:t>Economic Reports and Statistics</w:t>
            </w:r>
          </w:p>
        </w:tc>
      </w:tr>
    </w:tbl>
    <w:p w14:paraId="1F8FD285" w14:textId="77777777" w:rsidR="00996DFB" w:rsidRPr="00701945" w:rsidRDefault="00996DFB" w:rsidP="00996DFB">
      <w:pPr>
        <w:jc w:val="both"/>
      </w:pPr>
    </w:p>
    <w:p w14:paraId="5D43EF4B" w14:textId="29C76A40" w:rsidR="00DD22BA" w:rsidRPr="00701945" w:rsidRDefault="00996DFB" w:rsidP="00996DFB">
      <w:pPr>
        <w:jc w:val="both"/>
      </w:pPr>
      <w:r w:rsidRPr="00701945">
        <w:tab/>
        <w:t>Parties and Staff reserve the right to identify additional exhibits for the purpose of cross-examination.</w:t>
      </w:r>
      <w:r w:rsidR="005C5A97">
        <w:t xml:space="preserve"> </w:t>
      </w:r>
      <w:r w:rsidR="00DD22BA">
        <w:t>The procedure for submitt</w:t>
      </w:r>
      <w:r w:rsidR="00F51446">
        <w:t>ing</w:t>
      </w:r>
      <w:r w:rsidR="00DD22BA">
        <w:t xml:space="preserve"> exhibits to be used during cross-examination are set forth in Attachment A to this Prehearing Order.</w:t>
      </w:r>
    </w:p>
    <w:p w14:paraId="723AB868" w14:textId="77777777" w:rsidR="00996DFB" w:rsidRDefault="00996DFB" w:rsidP="00996DFB">
      <w:pPr>
        <w:jc w:val="both"/>
      </w:pPr>
    </w:p>
    <w:p w14:paraId="51C160F2" w14:textId="77777777" w:rsidR="00996DFB" w:rsidRPr="00701945" w:rsidRDefault="00996DFB" w:rsidP="00996DFB">
      <w:pPr>
        <w:jc w:val="both"/>
      </w:pPr>
    </w:p>
    <w:p w14:paraId="02B104CD" w14:textId="77777777" w:rsidR="00996DFB" w:rsidRPr="00A32DC5" w:rsidRDefault="00996DFB" w:rsidP="00996DFB">
      <w:pPr>
        <w:jc w:val="both"/>
        <w:rPr>
          <w:b/>
        </w:rPr>
      </w:pPr>
      <w:r w:rsidRPr="00A32DC5">
        <w:rPr>
          <w:b/>
        </w:rPr>
        <w:t>X.</w:t>
      </w:r>
      <w:r w:rsidRPr="00A32DC5">
        <w:rPr>
          <w:b/>
        </w:rPr>
        <w:tab/>
      </w:r>
      <w:r w:rsidRPr="00A32DC5">
        <w:rPr>
          <w:b/>
          <w:u w:val="single"/>
        </w:rPr>
        <w:t>PROPOSED STIPULATIONS</w:t>
      </w:r>
    </w:p>
    <w:p w14:paraId="5C11DAA1" w14:textId="77777777" w:rsidR="00996DFB" w:rsidRDefault="00996DFB" w:rsidP="00996DFB">
      <w:pPr>
        <w:jc w:val="both"/>
      </w:pPr>
    </w:p>
    <w:p w14:paraId="33FD2822" w14:textId="77777777" w:rsidR="00996DFB" w:rsidRPr="007622D9" w:rsidRDefault="00996DFB" w:rsidP="00996DFB">
      <w:pPr>
        <w:ind w:firstLine="720"/>
        <w:jc w:val="both"/>
      </w:pPr>
      <w:r w:rsidRPr="007622D9">
        <w:t>There are no proposed stipulations at this time.</w:t>
      </w:r>
    </w:p>
    <w:p w14:paraId="11F98270" w14:textId="58951174" w:rsidR="00996DFB" w:rsidRDefault="00996DFB" w:rsidP="00996DFB">
      <w:pPr>
        <w:ind w:left="1440" w:hanging="1440"/>
        <w:jc w:val="both"/>
        <w:rPr>
          <w:bCs/>
        </w:rPr>
      </w:pPr>
    </w:p>
    <w:p w14:paraId="69CB6408" w14:textId="77777777" w:rsidR="00E103A3" w:rsidRDefault="00E103A3" w:rsidP="00996DFB">
      <w:pPr>
        <w:ind w:left="1440" w:hanging="1440"/>
        <w:jc w:val="both"/>
        <w:rPr>
          <w:bCs/>
        </w:rPr>
      </w:pPr>
    </w:p>
    <w:p w14:paraId="2C0DAD40" w14:textId="77777777" w:rsidR="00996DFB" w:rsidRPr="00A32DC5" w:rsidRDefault="00996DFB" w:rsidP="00996DFB">
      <w:pPr>
        <w:jc w:val="both"/>
        <w:rPr>
          <w:b/>
        </w:rPr>
      </w:pPr>
      <w:r w:rsidRPr="00A32DC5">
        <w:rPr>
          <w:b/>
        </w:rPr>
        <w:t>XI.</w:t>
      </w:r>
      <w:r w:rsidRPr="00A32DC5">
        <w:rPr>
          <w:b/>
        </w:rPr>
        <w:tab/>
      </w:r>
      <w:r w:rsidRPr="00A32DC5">
        <w:rPr>
          <w:b/>
          <w:u w:val="single"/>
        </w:rPr>
        <w:t>PENDING MOTIONS</w:t>
      </w:r>
    </w:p>
    <w:p w14:paraId="23BC2A52" w14:textId="77777777" w:rsidR="00996DFB" w:rsidRDefault="00996DFB" w:rsidP="007622D9">
      <w:pPr>
        <w:jc w:val="both"/>
      </w:pPr>
    </w:p>
    <w:p w14:paraId="04B05CDE" w14:textId="77777777" w:rsidR="00996DFB" w:rsidRPr="007622D9" w:rsidRDefault="00996DFB" w:rsidP="00996DFB">
      <w:pPr>
        <w:ind w:firstLine="720"/>
        <w:jc w:val="both"/>
      </w:pPr>
      <w:r w:rsidRPr="007622D9">
        <w:lastRenderedPageBreak/>
        <w:t>There are no pending motions at this time.</w:t>
      </w:r>
    </w:p>
    <w:p w14:paraId="7CE7524A" w14:textId="40698565" w:rsidR="00996DFB" w:rsidRDefault="00996DFB" w:rsidP="00996DFB">
      <w:pPr>
        <w:jc w:val="both"/>
      </w:pPr>
    </w:p>
    <w:p w14:paraId="2B2F3D7F" w14:textId="77777777" w:rsidR="005C5A97" w:rsidRPr="00701945" w:rsidRDefault="005C5A97" w:rsidP="00996DFB">
      <w:pPr>
        <w:jc w:val="both"/>
      </w:pPr>
    </w:p>
    <w:p w14:paraId="514CD013" w14:textId="77777777" w:rsidR="00996DFB" w:rsidRPr="00A32DC5" w:rsidRDefault="00996DFB" w:rsidP="00996DFB">
      <w:pPr>
        <w:jc w:val="both"/>
        <w:rPr>
          <w:b/>
        </w:rPr>
      </w:pPr>
      <w:r w:rsidRPr="00A32DC5">
        <w:rPr>
          <w:b/>
        </w:rPr>
        <w:t>XII.</w:t>
      </w:r>
      <w:r w:rsidRPr="00A32DC5">
        <w:rPr>
          <w:b/>
        </w:rPr>
        <w:tab/>
      </w:r>
      <w:r w:rsidRPr="00A32DC5">
        <w:rPr>
          <w:b/>
          <w:u w:val="single"/>
        </w:rPr>
        <w:t>PENDING CONFIDENTIALITY MATTERS</w:t>
      </w:r>
    </w:p>
    <w:p w14:paraId="0AD75806" w14:textId="77777777" w:rsidR="00996DFB" w:rsidRDefault="00996DFB" w:rsidP="00996DFB">
      <w:pPr>
        <w:jc w:val="both"/>
      </w:pPr>
    </w:p>
    <w:p w14:paraId="02589FF9" w14:textId="77777777" w:rsidR="00996DFB" w:rsidRDefault="00996DFB" w:rsidP="00996DFB">
      <w:pPr>
        <w:ind w:firstLine="720"/>
        <w:jc w:val="both"/>
      </w:pPr>
      <w:r w:rsidRPr="007622D9">
        <w:t>There are no pending confidentiality matters at this time.</w:t>
      </w:r>
    </w:p>
    <w:p w14:paraId="1CFDB301" w14:textId="704F1135" w:rsidR="007622D9" w:rsidRDefault="007622D9" w:rsidP="00996DFB">
      <w:pPr>
        <w:ind w:firstLine="720"/>
        <w:jc w:val="both"/>
      </w:pPr>
    </w:p>
    <w:p w14:paraId="245417DD" w14:textId="77777777" w:rsidR="00E103A3" w:rsidRPr="007622D9" w:rsidRDefault="00E103A3" w:rsidP="00996DFB">
      <w:pPr>
        <w:ind w:firstLine="720"/>
        <w:jc w:val="both"/>
      </w:pPr>
    </w:p>
    <w:p w14:paraId="4BC8F2E6" w14:textId="77777777" w:rsidR="00996DFB" w:rsidRPr="00A32DC5" w:rsidRDefault="00996DFB" w:rsidP="00996DFB">
      <w:pPr>
        <w:jc w:val="both"/>
        <w:rPr>
          <w:b/>
        </w:rPr>
      </w:pPr>
      <w:r w:rsidRPr="00A32DC5">
        <w:rPr>
          <w:b/>
        </w:rPr>
        <w:t>XIII.</w:t>
      </w:r>
      <w:r w:rsidRPr="00A32DC5">
        <w:rPr>
          <w:b/>
        </w:rPr>
        <w:tab/>
      </w:r>
      <w:r w:rsidRPr="00A32DC5">
        <w:rPr>
          <w:b/>
          <w:u w:val="single"/>
        </w:rPr>
        <w:t>POST-HEARING PROCEDURES</w:t>
      </w:r>
    </w:p>
    <w:p w14:paraId="771B419C" w14:textId="77777777" w:rsidR="00996DFB" w:rsidRPr="00701945" w:rsidRDefault="00996DFB" w:rsidP="00996DFB">
      <w:pPr>
        <w:jc w:val="both"/>
      </w:pPr>
    </w:p>
    <w:p w14:paraId="6BB0F8A0" w14:textId="668DC79D" w:rsidR="00996DFB" w:rsidRPr="00701945" w:rsidRDefault="00996DFB" w:rsidP="00996DFB">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w:t>
      </w:r>
      <w:r w:rsidR="00A43A55" w:rsidRPr="00CA655C">
        <w:t xml:space="preserve"> </w:t>
      </w:r>
      <w:r w:rsidR="00A43A55" w:rsidRPr="003C00AA">
        <w:t>The Office of Public Counsel may submit a post-hearing statement of no more than 7</w:t>
      </w:r>
      <w:r w:rsidR="006E5886" w:rsidRPr="003C00AA">
        <w:t>5</w:t>
      </w:r>
      <w:r w:rsidR="00A43A55" w:rsidRPr="003C00AA">
        <w:t xml:space="preserve"> words.</w:t>
      </w:r>
      <w:r w:rsidRPr="00701945">
        <w:t xml:space="preserve"> If a party fails to file a post-hearing statement, that party shall have waived all issues and may be dismissed from the proceeding.</w:t>
      </w:r>
    </w:p>
    <w:p w14:paraId="7F3F152C" w14:textId="77777777" w:rsidR="00996DFB" w:rsidRPr="00701945" w:rsidRDefault="00996DFB" w:rsidP="00996DFB">
      <w:pPr>
        <w:jc w:val="both"/>
      </w:pPr>
    </w:p>
    <w:p w14:paraId="321C2D59" w14:textId="2114ED5C" w:rsidR="00996DFB" w:rsidRPr="00701945" w:rsidRDefault="00996DFB" w:rsidP="00996DFB">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895CAA" w:rsidRPr="003C00AA">
        <w:t xml:space="preserve"> </w:t>
      </w:r>
      <w:r w:rsidRPr="00701945">
        <w:t>and shall be filed at the same time.</w:t>
      </w:r>
      <w:r w:rsidR="00A43A55" w:rsidRPr="003C00AA">
        <w:t xml:space="preserve"> The Office of Public Counsel may submit a brief of no more than </w:t>
      </w:r>
      <w:r w:rsidR="006E5886" w:rsidRPr="003C00AA">
        <w:t>6</w:t>
      </w:r>
      <w:r w:rsidR="00A43A55" w:rsidRPr="003C00AA">
        <w:t>0 pages.</w:t>
      </w:r>
    </w:p>
    <w:p w14:paraId="7E048C9D" w14:textId="77777777" w:rsidR="00996DFB" w:rsidRDefault="00996DFB" w:rsidP="00996DFB">
      <w:pPr>
        <w:jc w:val="both"/>
      </w:pPr>
    </w:p>
    <w:p w14:paraId="0F9368B6" w14:textId="77777777" w:rsidR="00996DFB" w:rsidRDefault="00996DFB" w:rsidP="00996DFB">
      <w:pPr>
        <w:jc w:val="both"/>
      </w:pPr>
    </w:p>
    <w:p w14:paraId="2524C365" w14:textId="77777777" w:rsidR="00996DFB" w:rsidRPr="003C00AA" w:rsidRDefault="00996DFB" w:rsidP="00996DFB">
      <w:pPr>
        <w:jc w:val="both"/>
      </w:pPr>
      <w:r w:rsidRPr="003C00AA">
        <w:t>XIV.</w:t>
      </w:r>
      <w:r w:rsidRPr="003C00AA">
        <w:tab/>
        <w:t>RULINGS</w:t>
      </w:r>
    </w:p>
    <w:p w14:paraId="0E68B2CA" w14:textId="77777777" w:rsidR="00996DFB" w:rsidRPr="00701945" w:rsidRDefault="00996DFB" w:rsidP="00996DFB">
      <w:pPr>
        <w:jc w:val="both"/>
      </w:pPr>
    </w:p>
    <w:p w14:paraId="619FB297" w14:textId="7DBFF18F" w:rsidR="00996DFB" w:rsidRDefault="00996DFB" w:rsidP="00AC4918">
      <w:pPr>
        <w:pStyle w:val="ListParagraph"/>
        <w:numPr>
          <w:ilvl w:val="0"/>
          <w:numId w:val="6"/>
        </w:numPr>
        <w:jc w:val="both"/>
      </w:pPr>
      <w:r w:rsidRPr="0064096B">
        <w:t>Opening statements, if any, shall not exceed five minutes per party.</w:t>
      </w:r>
      <w:r w:rsidR="005F7123" w:rsidRPr="003C00AA">
        <w:t xml:space="preserve"> The Office of Public Counsel’s opening statement, if any, may not ex</w:t>
      </w:r>
      <w:r w:rsidR="00213951" w:rsidRPr="003C00AA">
        <w:t>c</w:t>
      </w:r>
      <w:r w:rsidR="005F7123" w:rsidRPr="003C00AA">
        <w:t xml:space="preserve">eed </w:t>
      </w:r>
      <w:r w:rsidR="006E5886" w:rsidRPr="003C00AA">
        <w:t xml:space="preserve">seven </w:t>
      </w:r>
      <w:r w:rsidR="005F7123" w:rsidRPr="003C00AA">
        <w:t>minutes.</w:t>
      </w:r>
    </w:p>
    <w:p w14:paraId="70104102" w14:textId="3030E46C" w:rsidR="00C236DC" w:rsidRDefault="00C236DC" w:rsidP="002F47FA">
      <w:pPr>
        <w:jc w:val="both"/>
      </w:pPr>
    </w:p>
    <w:p w14:paraId="2E82252C" w14:textId="338DC255" w:rsidR="00912590" w:rsidRPr="003C00AA" w:rsidRDefault="00912590" w:rsidP="00AC4918">
      <w:pPr>
        <w:pStyle w:val="ListParagraph"/>
        <w:numPr>
          <w:ilvl w:val="0"/>
          <w:numId w:val="6"/>
        </w:numPr>
        <w:jc w:val="both"/>
      </w:pPr>
      <w:r w:rsidRPr="003C00AA">
        <w:t xml:space="preserve">Gulf has requested inclusion of Issue </w:t>
      </w:r>
      <w:r w:rsidR="00887CD2">
        <w:t>5</w:t>
      </w:r>
      <w:r w:rsidRPr="003C00AA">
        <w:t xml:space="preserve"> on the total amount of costs related to COVID-19 that are eligible for recovery. Because a determination of total costs was not pleaded by Gulf in its Petition, was not previously presented to the full Commission for consideration, and is not part of the PAA Order here under protest, due process and notice concerns preclude final adjudication of that issue in this docket. However, based on the representations by counsel for Gulf</w:t>
      </w:r>
      <w:r w:rsidR="00767093" w:rsidRPr="003C00AA">
        <w:t>/FPL</w:t>
      </w:r>
      <w:r w:rsidRPr="003C00AA">
        <w:t xml:space="preserve"> at the Prehearing Conference, and the concurrence of OPC, I find a limited consideration of total costs in this docket is appropriate and may assist the Commission in its deliberation of Issues 1-</w:t>
      </w:r>
      <w:r w:rsidR="00885D2C">
        <w:t xml:space="preserve"> </w:t>
      </w:r>
      <w:r w:rsidR="00887CD2">
        <w:t>4</w:t>
      </w:r>
      <w:r w:rsidRPr="003C00AA">
        <w:t xml:space="preserve">. Accordingly, Issue </w:t>
      </w:r>
      <w:r w:rsidR="00887CD2">
        <w:t>5</w:t>
      </w:r>
      <w:r w:rsidRPr="003C00AA">
        <w:t xml:space="preserve"> is included, with the following qualifications:</w:t>
      </w:r>
    </w:p>
    <w:p w14:paraId="51D8C9F2" w14:textId="77777777" w:rsidR="00912590" w:rsidRPr="003C00AA" w:rsidRDefault="00912590" w:rsidP="00912590">
      <w:pPr>
        <w:jc w:val="both"/>
      </w:pPr>
    </w:p>
    <w:p w14:paraId="04C83544" w14:textId="5F87E9B9" w:rsidR="00912590" w:rsidRPr="003C00AA" w:rsidRDefault="00912590" w:rsidP="00912590">
      <w:pPr>
        <w:pStyle w:val="ListParagraph"/>
        <w:numPr>
          <w:ilvl w:val="0"/>
          <w:numId w:val="3"/>
        </w:numPr>
        <w:jc w:val="both"/>
      </w:pPr>
      <w:r w:rsidRPr="003C00AA">
        <w:t xml:space="preserve">“Total costs eligible for recovery” represents a </w:t>
      </w:r>
      <w:r w:rsidR="00B13A45" w:rsidRPr="003C00AA">
        <w:t xml:space="preserve">presumptive </w:t>
      </w:r>
      <w:r w:rsidRPr="003C00AA">
        <w:t>maximum or ceiling above which recovery will not be sought as part of this regulatory asset;</w:t>
      </w:r>
    </w:p>
    <w:p w14:paraId="0FB017D8" w14:textId="77777777" w:rsidR="00912590" w:rsidRPr="003C00AA" w:rsidRDefault="00912590" w:rsidP="00912590">
      <w:pPr>
        <w:pStyle w:val="ListParagraph"/>
        <w:numPr>
          <w:ilvl w:val="0"/>
          <w:numId w:val="3"/>
        </w:numPr>
        <w:jc w:val="both"/>
      </w:pPr>
      <w:r w:rsidRPr="003C00AA">
        <w:t>All parties to the docket in which Gulf seeks cost recovery, as well as Commission staff, will be afforded the right to conduct full discovery regarding the individual costs that comprise total requested recovery;</w:t>
      </w:r>
    </w:p>
    <w:p w14:paraId="718F7E66" w14:textId="77777777" w:rsidR="00912590" w:rsidRPr="003C00AA" w:rsidRDefault="00912590" w:rsidP="00912590">
      <w:pPr>
        <w:pStyle w:val="ListParagraph"/>
        <w:numPr>
          <w:ilvl w:val="0"/>
          <w:numId w:val="3"/>
        </w:numPr>
        <w:jc w:val="both"/>
      </w:pPr>
      <w:r w:rsidRPr="003C00AA">
        <w:lastRenderedPageBreak/>
        <w:t>The Commission may modify or adjust any of the individual costs included in the total amount in a subsequent proceeding in which cost recovery is sought; and</w:t>
      </w:r>
    </w:p>
    <w:p w14:paraId="28F11374" w14:textId="726D50A0" w:rsidR="00912590" w:rsidRPr="003C00AA" w:rsidRDefault="00912590" w:rsidP="00912590">
      <w:pPr>
        <w:pStyle w:val="ListParagraph"/>
        <w:numPr>
          <w:ilvl w:val="0"/>
          <w:numId w:val="3"/>
        </w:numPr>
        <w:jc w:val="both"/>
      </w:pPr>
      <w:r w:rsidRPr="003C00AA">
        <w:t>The prudence of Gulf’s incurred costs is not at issue in this docket, nor does a finding of prudence attach to the amount of total costs ultimately decided by the Commission for this issue.</w:t>
      </w:r>
    </w:p>
    <w:p w14:paraId="4384217B" w14:textId="77777777" w:rsidR="00912590" w:rsidRPr="00DB590B" w:rsidRDefault="00912590" w:rsidP="00912590">
      <w:pPr>
        <w:jc w:val="both"/>
        <w:rPr>
          <w:highlight w:val="yellow"/>
        </w:rPr>
      </w:pPr>
    </w:p>
    <w:p w14:paraId="3F054B71" w14:textId="77777777" w:rsidR="00912590" w:rsidRDefault="00912590" w:rsidP="00AC4918">
      <w:pPr>
        <w:ind w:firstLine="720"/>
        <w:jc w:val="both"/>
      </w:pPr>
      <w:r w:rsidRPr="003C00AA">
        <w:t>This issue is specific to Gulf. FPUC is not seeking a determination of total costs.</w:t>
      </w:r>
    </w:p>
    <w:p w14:paraId="7723E447" w14:textId="34332F7C" w:rsidR="00C62F23" w:rsidRDefault="00C62F23" w:rsidP="00AC4918">
      <w:pPr>
        <w:jc w:val="both"/>
      </w:pPr>
    </w:p>
    <w:p w14:paraId="2AB17C58" w14:textId="32911F40" w:rsidR="00C62F23" w:rsidRPr="0064096B" w:rsidRDefault="00C62F23" w:rsidP="00AC4918">
      <w:pPr>
        <w:pStyle w:val="ListParagraph"/>
        <w:numPr>
          <w:ilvl w:val="0"/>
          <w:numId w:val="6"/>
        </w:numPr>
        <w:jc w:val="both"/>
      </w:pPr>
      <w:r w:rsidRPr="003C00AA">
        <w:t xml:space="preserve">OPC has requested inclusion of </w:t>
      </w:r>
      <w:r w:rsidR="005B4FF8" w:rsidRPr="003C00AA">
        <w:t xml:space="preserve">its proposed </w:t>
      </w:r>
      <w:r w:rsidRPr="003C00AA">
        <w:t xml:space="preserve">Issue, “What criteria should the Commission apply in determining whether to establish a Covid-19 regulatory asset?” Having heard the positions of the parties and staff at the Prehearing Conference, </w:t>
      </w:r>
      <w:r w:rsidR="005B4FF8" w:rsidRPr="003C00AA">
        <w:t xml:space="preserve">I find that </w:t>
      </w:r>
      <w:r w:rsidRPr="003C00AA">
        <w:t xml:space="preserve">the arguments OPC represents it will advance under its proposed Issue may be addressed in Issue 1. This additional issue is not necessary and will not promote a more efficient proceeding. Accordingly, </w:t>
      </w:r>
      <w:r w:rsidR="00887CD2">
        <w:t xml:space="preserve">this proposed </w:t>
      </w:r>
      <w:r w:rsidRPr="003C00AA">
        <w:t>Issue will not be included.</w:t>
      </w:r>
    </w:p>
    <w:p w14:paraId="6DED41D9" w14:textId="77777777" w:rsidR="00C60612" w:rsidRPr="0064096B" w:rsidRDefault="00C60612" w:rsidP="00996DFB">
      <w:pPr>
        <w:ind w:firstLine="720"/>
        <w:jc w:val="both"/>
      </w:pPr>
    </w:p>
    <w:p w14:paraId="604F6E5B" w14:textId="4FDEE15A" w:rsidR="00BF4DAB" w:rsidRPr="00BD7239" w:rsidRDefault="00BF4DAB" w:rsidP="00AC4918">
      <w:pPr>
        <w:pStyle w:val="ListParagraph"/>
        <w:numPr>
          <w:ilvl w:val="0"/>
          <w:numId w:val="6"/>
        </w:numPr>
        <w:jc w:val="both"/>
        <w:rPr>
          <w:u w:val="single"/>
        </w:rPr>
      </w:pPr>
      <w:r w:rsidRPr="0064096B">
        <w:t>The parties shall provide cross-examination exhibits, including impeachment exhibits, to the Commission Clerk by close of business on June</w:t>
      </w:r>
      <w:r>
        <w:t xml:space="preserve"> 9</w:t>
      </w:r>
      <w:r w:rsidRPr="00BF4DAB">
        <w:t>, 2021,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w:t>
      </w:r>
      <w:r w:rsidR="005F7123" w:rsidRPr="00CA655C">
        <w:t xml:space="preserve"> </w:t>
      </w:r>
    </w:p>
    <w:p w14:paraId="4693486F" w14:textId="77777777" w:rsidR="00996DFB" w:rsidRDefault="00996DFB" w:rsidP="00996DFB">
      <w:pPr>
        <w:jc w:val="both"/>
      </w:pPr>
    </w:p>
    <w:p w14:paraId="1B4EB4A6" w14:textId="77777777" w:rsidR="00996DFB" w:rsidRPr="00701945" w:rsidRDefault="00996DFB" w:rsidP="00996DFB">
      <w:pPr>
        <w:jc w:val="both"/>
      </w:pPr>
      <w:r w:rsidRPr="00701945">
        <w:tab/>
        <w:t>It is therefore,</w:t>
      </w:r>
    </w:p>
    <w:p w14:paraId="3575147B" w14:textId="77777777" w:rsidR="00996DFB" w:rsidRPr="00701945" w:rsidRDefault="00996DFB" w:rsidP="00996DFB">
      <w:pPr>
        <w:jc w:val="both"/>
      </w:pPr>
    </w:p>
    <w:p w14:paraId="679F73CB" w14:textId="6EF11365" w:rsidR="00996DFB" w:rsidRPr="00701945" w:rsidRDefault="00996DFB" w:rsidP="00996DFB">
      <w:pPr>
        <w:jc w:val="both"/>
      </w:pPr>
      <w:r w:rsidRPr="00701945">
        <w:tab/>
        <w:t xml:space="preserve">ORDERED by Commissioner </w:t>
      </w:r>
      <w:r w:rsidR="00AB73A7">
        <w:t>Andrew Giles Fay</w:t>
      </w:r>
      <w:r w:rsidRPr="00701945">
        <w:t>, as Prehearing Officer, that this Prehearing Order shall govern the conduct of these proceedings as set forth above unless modified by the Commission.</w:t>
      </w:r>
    </w:p>
    <w:p w14:paraId="6B2A2D07" w14:textId="77777777" w:rsidR="00996DFB" w:rsidRDefault="00996DFB" w:rsidP="00996DFB">
      <w:pPr>
        <w:jc w:val="both"/>
      </w:pPr>
    </w:p>
    <w:p w14:paraId="5C264761" w14:textId="7D4FD380" w:rsidR="007622D9" w:rsidRDefault="007622D9" w:rsidP="007622D9">
      <w:pPr>
        <w:keepNext/>
        <w:keepLines/>
        <w:jc w:val="both"/>
      </w:pPr>
      <w:r w:rsidRPr="007622D9">
        <w:lastRenderedPageBreak/>
        <w:tab/>
        <w:t xml:space="preserve">By ORDER of Commissioner Andrew Giles Fay, as Prehearing Officer, this </w:t>
      </w:r>
      <w:bookmarkStart w:id="6" w:name="replaceDate"/>
      <w:bookmarkEnd w:id="6"/>
      <w:r w:rsidR="001E7AF4">
        <w:rPr>
          <w:u w:val="single"/>
        </w:rPr>
        <w:t>8th</w:t>
      </w:r>
      <w:r w:rsidR="001E7AF4">
        <w:t xml:space="preserve"> day of </w:t>
      </w:r>
      <w:r w:rsidR="001E7AF4">
        <w:rPr>
          <w:u w:val="single"/>
        </w:rPr>
        <w:t>June</w:t>
      </w:r>
      <w:r w:rsidR="001E7AF4">
        <w:t xml:space="preserve">, </w:t>
      </w:r>
      <w:r w:rsidR="001E7AF4">
        <w:rPr>
          <w:u w:val="single"/>
        </w:rPr>
        <w:t>2021</w:t>
      </w:r>
      <w:r w:rsidR="001E7AF4">
        <w:t>.</w:t>
      </w:r>
    </w:p>
    <w:p w14:paraId="7A71D58D" w14:textId="77777777" w:rsidR="001E7AF4" w:rsidRPr="001E7AF4" w:rsidRDefault="001E7AF4" w:rsidP="007622D9">
      <w:pPr>
        <w:keepNext/>
        <w:keepLines/>
        <w:jc w:val="both"/>
      </w:pPr>
    </w:p>
    <w:p w14:paraId="438D3233" w14:textId="77777777" w:rsidR="007622D9" w:rsidRPr="007622D9" w:rsidRDefault="007622D9" w:rsidP="007622D9">
      <w:pPr>
        <w:keepNext/>
        <w:keepLines/>
        <w:jc w:val="both"/>
      </w:pPr>
    </w:p>
    <w:p w14:paraId="1ACB9FD4" w14:textId="77777777" w:rsidR="007622D9" w:rsidRPr="007622D9" w:rsidRDefault="007622D9" w:rsidP="007622D9">
      <w:pPr>
        <w:keepNext/>
        <w:keepLines/>
        <w:jc w:val="both"/>
      </w:pPr>
    </w:p>
    <w:p w14:paraId="10BF3E91" w14:textId="77777777" w:rsidR="007622D9" w:rsidRPr="007622D9" w:rsidRDefault="007622D9" w:rsidP="007622D9">
      <w:pPr>
        <w:keepNext/>
        <w:keepLines/>
        <w:jc w:val="both"/>
      </w:pPr>
    </w:p>
    <w:tbl>
      <w:tblPr>
        <w:tblW w:w="4720" w:type="dxa"/>
        <w:tblInd w:w="3634" w:type="dxa"/>
        <w:tblLayout w:type="fixed"/>
        <w:tblLook w:val="0000" w:firstRow="0" w:lastRow="0" w:firstColumn="0" w:lastColumn="0" w:noHBand="0" w:noVBand="0"/>
      </w:tblPr>
      <w:tblGrid>
        <w:gridCol w:w="686"/>
        <w:gridCol w:w="4034"/>
      </w:tblGrid>
      <w:tr w:rsidR="007622D9" w:rsidRPr="007622D9" w14:paraId="0876AD61" w14:textId="77777777" w:rsidTr="003C00AA">
        <w:tc>
          <w:tcPr>
            <w:tcW w:w="686" w:type="dxa"/>
            <w:shd w:val="clear" w:color="auto" w:fill="auto"/>
          </w:tcPr>
          <w:p w14:paraId="13CFFD25" w14:textId="77777777" w:rsidR="007622D9" w:rsidRPr="007622D9" w:rsidRDefault="007622D9" w:rsidP="007622D9">
            <w:pPr>
              <w:keepNext/>
              <w:keepLines/>
              <w:jc w:val="both"/>
            </w:pPr>
            <w:bookmarkStart w:id="7" w:name="bkmrkSignature" w:colFirst="0" w:colLast="0"/>
          </w:p>
        </w:tc>
        <w:tc>
          <w:tcPr>
            <w:tcW w:w="4034" w:type="dxa"/>
            <w:tcBorders>
              <w:bottom w:val="single" w:sz="4" w:space="0" w:color="auto"/>
            </w:tcBorders>
            <w:shd w:val="clear" w:color="auto" w:fill="auto"/>
          </w:tcPr>
          <w:p w14:paraId="2D2F3E52" w14:textId="1E376B21" w:rsidR="007622D9" w:rsidRPr="007622D9" w:rsidRDefault="00AA73D9" w:rsidP="007622D9">
            <w:pPr>
              <w:keepNext/>
              <w:keepLines/>
              <w:jc w:val="both"/>
            </w:pPr>
            <w:r>
              <w:rPr>
                <w:noProof/>
              </w:rPr>
              <w:t>/s/ Andrew Giles Fay</w:t>
            </w:r>
            <w:bookmarkStart w:id="8" w:name="_GoBack"/>
            <w:bookmarkEnd w:id="8"/>
          </w:p>
        </w:tc>
      </w:tr>
      <w:bookmarkEnd w:id="7"/>
      <w:tr w:rsidR="007622D9" w14:paraId="2F7EA297" w14:textId="77777777" w:rsidTr="003C00AA">
        <w:tc>
          <w:tcPr>
            <w:tcW w:w="686" w:type="dxa"/>
            <w:shd w:val="clear" w:color="auto" w:fill="auto"/>
          </w:tcPr>
          <w:p w14:paraId="4BE610B2" w14:textId="77777777" w:rsidR="007622D9" w:rsidRDefault="007622D9" w:rsidP="007622D9">
            <w:pPr>
              <w:keepNext/>
              <w:keepLines/>
              <w:jc w:val="both"/>
            </w:pPr>
          </w:p>
        </w:tc>
        <w:tc>
          <w:tcPr>
            <w:tcW w:w="4034" w:type="dxa"/>
            <w:tcBorders>
              <w:top w:val="single" w:sz="4" w:space="0" w:color="auto"/>
            </w:tcBorders>
            <w:shd w:val="clear" w:color="auto" w:fill="auto"/>
          </w:tcPr>
          <w:p w14:paraId="541B47D1" w14:textId="77777777" w:rsidR="007622D9" w:rsidRDefault="007622D9" w:rsidP="007622D9">
            <w:pPr>
              <w:keepNext/>
              <w:keepLines/>
              <w:jc w:val="both"/>
            </w:pPr>
            <w:r>
              <w:t>ANDREW GILES FAY</w:t>
            </w:r>
          </w:p>
          <w:p w14:paraId="359EFDE2" w14:textId="77777777" w:rsidR="007622D9" w:rsidRDefault="007622D9" w:rsidP="007622D9">
            <w:pPr>
              <w:keepNext/>
              <w:keepLines/>
              <w:jc w:val="both"/>
            </w:pPr>
            <w:r>
              <w:t>Commissioner and Prehearing Officer</w:t>
            </w:r>
          </w:p>
        </w:tc>
      </w:tr>
    </w:tbl>
    <w:p w14:paraId="28304C61" w14:textId="77777777" w:rsidR="007622D9" w:rsidRDefault="007622D9" w:rsidP="007622D9">
      <w:pPr>
        <w:pStyle w:val="OrderSigInfo"/>
        <w:keepNext/>
        <w:keepLines/>
      </w:pPr>
      <w:r>
        <w:t>Florida Public Service Commission</w:t>
      </w:r>
    </w:p>
    <w:p w14:paraId="5FEEF0B0" w14:textId="77777777" w:rsidR="007622D9" w:rsidRDefault="007622D9" w:rsidP="007622D9">
      <w:pPr>
        <w:pStyle w:val="OrderSigInfo"/>
        <w:keepNext/>
        <w:keepLines/>
      </w:pPr>
      <w:r>
        <w:t>2540 Shumard Oak Boulevard</w:t>
      </w:r>
    </w:p>
    <w:p w14:paraId="6C948CC4" w14:textId="77777777" w:rsidR="007622D9" w:rsidRDefault="007622D9" w:rsidP="007622D9">
      <w:pPr>
        <w:pStyle w:val="OrderSigInfo"/>
        <w:keepNext/>
        <w:keepLines/>
      </w:pPr>
      <w:r>
        <w:t>Tallahassee, Florida 32399</w:t>
      </w:r>
    </w:p>
    <w:p w14:paraId="19E92C93" w14:textId="77777777" w:rsidR="007622D9" w:rsidRDefault="007622D9" w:rsidP="007622D9">
      <w:pPr>
        <w:pStyle w:val="OrderSigInfo"/>
        <w:keepNext/>
        <w:keepLines/>
      </w:pPr>
      <w:r>
        <w:t>(850) 413</w:t>
      </w:r>
      <w:r>
        <w:noBreakHyphen/>
        <w:t>6770</w:t>
      </w:r>
    </w:p>
    <w:p w14:paraId="215FB023" w14:textId="77777777" w:rsidR="007622D9" w:rsidRDefault="007622D9" w:rsidP="007622D9">
      <w:pPr>
        <w:pStyle w:val="OrderSigInfo"/>
        <w:keepNext/>
        <w:keepLines/>
      </w:pPr>
      <w:r>
        <w:t>www.floridapsc.com</w:t>
      </w:r>
    </w:p>
    <w:p w14:paraId="6EF4F30C" w14:textId="77777777" w:rsidR="007622D9" w:rsidRDefault="007622D9" w:rsidP="007622D9">
      <w:pPr>
        <w:pStyle w:val="OrderSigInfo"/>
        <w:keepNext/>
        <w:keepLines/>
      </w:pPr>
    </w:p>
    <w:p w14:paraId="461D0660" w14:textId="77777777" w:rsidR="007622D9" w:rsidRDefault="007622D9" w:rsidP="007622D9">
      <w:pPr>
        <w:pStyle w:val="OrderSigInfo"/>
        <w:keepNext/>
        <w:keepLines/>
      </w:pPr>
      <w:r>
        <w:t>Copies furnished:  A copy of this document is provided to the parties of record at the time of issuance and, if applicable, interested persons.</w:t>
      </w:r>
    </w:p>
    <w:p w14:paraId="628A63D2" w14:textId="77777777" w:rsidR="007622D9" w:rsidRDefault="007622D9" w:rsidP="007622D9">
      <w:pPr>
        <w:keepNext/>
        <w:keepLines/>
        <w:jc w:val="both"/>
      </w:pPr>
    </w:p>
    <w:p w14:paraId="72244C0C" w14:textId="77777777" w:rsidR="007622D9" w:rsidRDefault="007622D9" w:rsidP="007622D9">
      <w:pPr>
        <w:keepNext/>
        <w:keepLines/>
        <w:jc w:val="both"/>
      </w:pPr>
      <w:r>
        <w:t>SPS</w:t>
      </w:r>
    </w:p>
    <w:p w14:paraId="7586639D" w14:textId="77777777" w:rsidR="005F2751" w:rsidRDefault="005F2751" w:rsidP="007622D9">
      <w:pPr>
        <w:jc w:val="both"/>
      </w:pPr>
    </w:p>
    <w:p w14:paraId="3FA87698" w14:textId="77777777" w:rsidR="007622D9" w:rsidRDefault="007622D9" w:rsidP="007622D9">
      <w:pPr>
        <w:pStyle w:val="CenterUnderline"/>
      </w:pPr>
      <w:r>
        <w:t>NOTICE OF FURTHER PROCEEDINGS OR JUDICIAL REVIEW</w:t>
      </w:r>
    </w:p>
    <w:p w14:paraId="3CDA8919" w14:textId="77777777" w:rsidR="007622D9" w:rsidRDefault="007622D9" w:rsidP="007622D9">
      <w:pPr>
        <w:pStyle w:val="CenterUnderline"/>
      </w:pPr>
    </w:p>
    <w:p w14:paraId="26CA62CB" w14:textId="03000092" w:rsidR="007622D9" w:rsidRDefault="007622D9" w:rsidP="007622D9">
      <w:pPr>
        <w:pStyle w:val="OrderBody"/>
      </w:pPr>
      <w:r>
        <w:tab/>
        <w:t>The Florida Public Service Commission is required by S</w:t>
      </w:r>
      <w:r w:rsidR="008D1073">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D3CD000" w14:textId="77777777" w:rsidR="007622D9" w:rsidRDefault="007622D9" w:rsidP="007622D9">
      <w:pPr>
        <w:pStyle w:val="OrderBody"/>
      </w:pPr>
    </w:p>
    <w:p w14:paraId="61046A10" w14:textId="77777777" w:rsidR="007622D9" w:rsidRDefault="007622D9" w:rsidP="007622D9">
      <w:pPr>
        <w:pStyle w:val="OrderBody"/>
      </w:pPr>
      <w:r>
        <w:tab/>
        <w:t>Mediation may be available on a case-by-case basis.  If mediation is conducted, it does not affect a substantially interested person's right to a hearing.</w:t>
      </w:r>
    </w:p>
    <w:p w14:paraId="0165CE65" w14:textId="77777777" w:rsidR="007622D9" w:rsidRDefault="007622D9" w:rsidP="007622D9">
      <w:pPr>
        <w:pStyle w:val="OrderBody"/>
      </w:pPr>
    </w:p>
    <w:p w14:paraId="7DC6C9CB" w14:textId="76A8184D" w:rsidR="00C0447D" w:rsidRDefault="007622D9" w:rsidP="007622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9B9476C" w14:textId="77777777" w:rsidR="00C0447D" w:rsidRDefault="00C0447D">
      <w:r>
        <w:br w:type="page"/>
      </w:r>
    </w:p>
    <w:p w14:paraId="0758675E" w14:textId="1A65E382" w:rsidR="00C0447D" w:rsidRPr="00C0447D" w:rsidRDefault="00C0447D" w:rsidP="00C0447D">
      <w:pPr>
        <w:pStyle w:val="OrderBody"/>
        <w:jc w:val="right"/>
      </w:pPr>
      <w:r>
        <w:rPr>
          <w:b/>
        </w:rPr>
        <w:lastRenderedPageBreak/>
        <w:t>ATTACHMENT A</w:t>
      </w:r>
    </w:p>
    <w:p w14:paraId="607E627B" w14:textId="77777777" w:rsidR="00C0447D" w:rsidRDefault="00C0447D" w:rsidP="00C0447D">
      <w:pPr>
        <w:pStyle w:val="OrderBody"/>
      </w:pPr>
    </w:p>
    <w:p w14:paraId="7F486AC1" w14:textId="6FE6E126" w:rsidR="00C0447D" w:rsidRPr="00C0447D" w:rsidRDefault="00C0447D" w:rsidP="00C0447D">
      <w:pPr>
        <w:pStyle w:val="OrderBody"/>
        <w:jc w:val="center"/>
        <w:rPr>
          <w:u w:val="single"/>
        </w:rPr>
      </w:pPr>
      <w:r w:rsidRPr="00C0447D">
        <w:rPr>
          <w:u w:val="single"/>
        </w:rPr>
        <w:t>Requirements related to providing Cross-Examination Exhibits prior to Hearing</w:t>
      </w:r>
    </w:p>
    <w:p w14:paraId="18347955" w14:textId="77777777" w:rsidR="00C0447D" w:rsidRDefault="00C0447D" w:rsidP="00C0447D">
      <w:pPr>
        <w:pStyle w:val="OrderBody"/>
      </w:pPr>
    </w:p>
    <w:p w14:paraId="301F783D" w14:textId="72BC449C" w:rsidR="00C0447D" w:rsidRDefault="00C0447D" w:rsidP="00C0447D">
      <w:pPr>
        <w:pStyle w:val="OrderBody"/>
      </w:pPr>
      <w:r>
        <w:tab/>
        <w:t xml:space="preserve">By June 9, 2021,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42548524" w14:textId="77777777" w:rsidR="00C0447D" w:rsidRDefault="00C0447D" w:rsidP="00C0447D">
      <w:pPr>
        <w:pStyle w:val="OrderBody"/>
      </w:pPr>
    </w:p>
    <w:p w14:paraId="3F848CC5" w14:textId="43F562C6" w:rsidR="00C0447D" w:rsidRDefault="00C0447D" w:rsidP="00C0447D">
      <w:pPr>
        <w:pStyle w:val="OrderBody"/>
        <w:ind w:firstLine="720"/>
      </w:pPr>
      <w:r>
        <w:t xml:space="preserve">Each party must also provide to the Clerk by </w:t>
      </w:r>
      <w:r w:rsidR="00BF4DAB">
        <w:t xml:space="preserve">close of business </w:t>
      </w:r>
      <w:r>
        <w:t>June 9, 2021, a table listing the exhibit numbers and short titles of each cross-examination exhibit provided to the Clerk. Pursuant to Rule 25-22.006(3), F.A.C., a notice of intent to request confidential classification must be filed for all confidential information.</w:t>
      </w:r>
    </w:p>
    <w:p w14:paraId="5B194179" w14:textId="77777777" w:rsidR="00C0447D" w:rsidRDefault="00C0447D" w:rsidP="00C0447D">
      <w:pPr>
        <w:pStyle w:val="OrderBody"/>
      </w:pPr>
    </w:p>
    <w:p w14:paraId="72F1ABFA" w14:textId="6243F3FD" w:rsidR="00C0447D" w:rsidRDefault="00C0447D" w:rsidP="00C0447D">
      <w:pPr>
        <w:pStyle w:val="OrderBody"/>
      </w:pPr>
      <w:r>
        <w:tab/>
        <w:t>Each party must pre-number each exhibit with the following sequential numbering system that clearly denotes confidential exhibits. For example, Gulf Power Company will pre-identify its cross-examination exhibits GULF-1, GULF-2, GULF-3, etc. All confidential exhibits must include the letter “C” placed after the number. Thus, if G</w:t>
      </w:r>
      <w:r w:rsidR="00C15C79">
        <w:t>ulf</w:t>
      </w:r>
      <w:r>
        <w:t>’s third exhibit is confidential, it will be labeled GULF-3C.</w:t>
      </w:r>
    </w:p>
    <w:p w14:paraId="3C5F7AAD" w14:textId="77777777" w:rsidR="00C0447D" w:rsidRDefault="00C0447D" w:rsidP="00C0447D">
      <w:pPr>
        <w:pStyle w:val="OrderBody"/>
      </w:pPr>
    </w:p>
    <w:p w14:paraId="35F20535" w14:textId="77777777" w:rsidR="00C0447D" w:rsidRDefault="00C0447D" w:rsidP="00C0447D">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14:paraId="20BE8B3C" w14:textId="77777777" w:rsidR="00C0447D" w:rsidRDefault="00C0447D" w:rsidP="00C0447D">
      <w:pPr>
        <w:pStyle w:val="OrderBody"/>
      </w:pPr>
    </w:p>
    <w:p w14:paraId="4269F9FC" w14:textId="3E16BC57" w:rsidR="007622D9" w:rsidRPr="007622D9" w:rsidRDefault="00C0447D" w:rsidP="007622D9">
      <w:pPr>
        <w:pStyle w:val="OrderBody"/>
      </w:pPr>
      <w:r>
        <w:tab/>
        <w:t xml:space="preserve">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 The parties must not view or read the exhibits prior to the hearing. Parties will be provided usernames and passwords by Commission staff that will give them access to the confidential exhibits and any other confidential information that will be used during the hearing.  By </w:t>
      </w:r>
      <w:r w:rsidR="00BF4DAB">
        <w:t xml:space="preserve">close of business </w:t>
      </w:r>
      <w:r>
        <w:t>June 9, 2021, parties must provide the Commission Clerk with the list of names of those persons who should be given a user name and password to access confidential information.</w:t>
      </w:r>
    </w:p>
    <w:sectPr w:rsidR="007622D9" w:rsidRPr="007622D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7B72" w14:textId="77777777" w:rsidR="006F1614" w:rsidRDefault="006F1614">
      <w:r>
        <w:separator/>
      </w:r>
    </w:p>
  </w:endnote>
  <w:endnote w:type="continuationSeparator" w:id="0">
    <w:p w14:paraId="07B357A3" w14:textId="77777777" w:rsidR="006F1614" w:rsidRDefault="006F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1C69" w14:textId="77777777" w:rsidR="00FA6EFD" w:rsidRDefault="00FA6EFD">
    <w:pPr>
      <w:pStyle w:val="Footer"/>
    </w:pPr>
  </w:p>
  <w:p w14:paraId="1A569E5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DF8C" w14:textId="77777777" w:rsidR="006F1614" w:rsidRDefault="006F1614">
      <w:r>
        <w:separator/>
      </w:r>
    </w:p>
  </w:footnote>
  <w:footnote w:type="continuationSeparator" w:id="0">
    <w:p w14:paraId="114487AA" w14:textId="77777777" w:rsidR="006F1614" w:rsidRDefault="006F1614">
      <w:r>
        <w:continuationSeparator/>
      </w:r>
    </w:p>
  </w:footnote>
  <w:footnote w:id="1">
    <w:p w14:paraId="323AC502" w14:textId="77777777" w:rsidR="00C858BF" w:rsidRDefault="00C858BF">
      <w:pPr>
        <w:pStyle w:val="FootnoteText"/>
      </w:pPr>
      <w:r>
        <w:rPr>
          <w:rStyle w:val="FootnoteReference"/>
        </w:rPr>
        <w:footnoteRef/>
      </w:r>
      <w:r>
        <w:t xml:space="preserve"> Order No. PSC-2021-0104-PCO-PU.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7389" w14:textId="2A936395" w:rsidR="00FA6EFD" w:rsidRDefault="00FA6EFD">
    <w:pPr>
      <w:pStyle w:val="OrderHeader"/>
    </w:pPr>
    <w:r>
      <w:t xml:space="preserve">ORDER NO. </w:t>
    </w:r>
    <w:fldSimple w:instr=" REF OrderNo0214 ">
      <w:r w:rsidR="00AA73D9">
        <w:t>PSC-2021-0214-PHO-PU</w:t>
      </w:r>
    </w:fldSimple>
  </w:p>
  <w:p w14:paraId="16AF1189" w14:textId="77777777" w:rsidR="00FA6EFD" w:rsidRDefault="00996DFB">
    <w:pPr>
      <w:pStyle w:val="OrderHeader"/>
    </w:pPr>
    <w:bookmarkStart w:id="9" w:name="HeaderDocketNo"/>
    <w:bookmarkEnd w:id="9"/>
    <w:r>
      <w:t>DOCKET NOS. 20200151-EI, 20200189-WS, 20200194-PU</w:t>
    </w:r>
  </w:p>
  <w:p w14:paraId="5540622D" w14:textId="471561D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73D9">
      <w:rPr>
        <w:rStyle w:val="PageNumber"/>
        <w:noProof/>
      </w:rPr>
      <w:t>18</w:t>
    </w:r>
    <w:r>
      <w:rPr>
        <w:rStyle w:val="PageNumber"/>
      </w:rPr>
      <w:fldChar w:fldCharType="end"/>
    </w:r>
  </w:p>
  <w:p w14:paraId="22033509"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5A4261A0"/>
    <w:multiLevelType w:val="hybridMultilevel"/>
    <w:tmpl w:val="CCA4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B7026"/>
    <w:multiLevelType w:val="hybridMultilevel"/>
    <w:tmpl w:val="9BA6D06E"/>
    <w:lvl w:ilvl="0" w:tplc="B65A3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3D662B"/>
    <w:multiLevelType w:val="hybridMultilevel"/>
    <w:tmpl w:val="239680C6"/>
    <w:lvl w:ilvl="0" w:tplc="3A30D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31EF3"/>
    <w:multiLevelType w:val="hybridMultilevel"/>
    <w:tmpl w:val="E5A806AA"/>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00151-EI, 20200189-WS, 20200194-PU"/>
  </w:docVars>
  <w:rsids>
    <w:rsidRoot w:val="00996DF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687D"/>
    <w:rsid w:val="00090AFC"/>
    <w:rsid w:val="0009196D"/>
    <w:rsid w:val="000963E6"/>
    <w:rsid w:val="00096507"/>
    <w:rsid w:val="000B783E"/>
    <w:rsid w:val="000B7D81"/>
    <w:rsid w:val="000C1994"/>
    <w:rsid w:val="000C5E09"/>
    <w:rsid w:val="000C6926"/>
    <w:rsid w:val="000D02B8"/>
    <w:rsid w:val="000D02D2"/>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391"/>
    <w:rsid w:val="00187E32"/>
    <w:rsid w:val="00194A97"/>
    <w:rsid w:val="00194E81"/>
    <w:rsid w:val="001A15E7"/>
    <w:rsid w:val="001A33C9"/>
    <w:rsid w:val="001A58F3"/>
    <w:rsid w:val="001B034E"/>
    <w:rsid w:val="001C2847"/>
    <w:rsid w:val="001C3BB5"/>
    <w:rsid w:val="001C3F8C"/>
    <w:rsid w:val="001C6097"/>
    <w:rsid w:val="001C7126"/>
    <w:rsid w:val="001D008A"/>
    <w:rsid w:val="001D3E2F"/>
    <w:rsid w:val="001E0152"/>
    <w:rsid w:val="001E0FF5"/>
    <w:rsid w:val="001E7AF4"/>
    <w:rsid w:val="001F120B"/>
    <w:rsid w:val="001F36B0"/>
    <w:rsid w:val="001F4CA3"/>
    <w:rsid w:val="001F59E0"/>
    <w:rsid w:val="001F61CF"/>
    <w:rsid w:val="002002ED"/>
    <w:rsid w:val="002044DD"/>
    <w:rsid w:val="00206978"/>
    <w:rsid w:val="00213951"/>
    <w:rsid w:val="002170E5"/>
    <w:rsid w:val="00220D57"/>
    <w:rsid w:val="0022721A"/>
    <w:rsid w:val="00227407"/>
    <w:rsid w:val="00230BB9"/>
    <w:rsid w:val="00241CEF"/>
    <w:rsid w:val="002451A0"/>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3AE7"/>
    <w:rsid w:val="002C118E"/>
    <w:rsid w:val="002C2096"/>
    <w:rsid w:val="002C36B0"/>
    <w:rsid w:val="002C754A"/>
    <w:rsid w:val="002C7908"/>
    <w:rsid w:val="002D391B"/>
    <w:rsid w:val="002D4B1F"/>
    <w:rsid w:val="002D7D15"/>
    <w:rsid w:val="002E1B2E"/>
    <w:rsid w:val="002E27EB"/>
    <w:rsid w:val="002E4EF4"/>
    <w:rsid w:val="002F2A9D"/>
    <w:rsid w:val="002F31C2"/>
    <w:rsid w:val="002F47FA"/>
    <w:rsid w:val="002F5E95"/>
    <w:rsid w:val="002F7BF6"/>
    <w:rsid w:val="00301A3D"/>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42E6"/>
    <w:rsid w:val="003875A9"/>
    <w:rsid w:val="00387BDE"/>
    <w:rsid w:val="00390DD8"/>
    <w:rsid w:val="00394DC6"/>
    <w:rsid w:val="00397C3E"/>
    <w:rsid w:val="003A3F97"/>
    <w:rsid w:val="003B1A09"/>
    <w:rsid w:val="003C00AA"/>
    <w:rsid w:val="003C0431"/>
    <w:rsid w:val="003D2CCF"/>
    <w:rsid w:val="003D3989"/>
    <w:rsid w:val="003D4CCA"/>
    <w:rsid w:val="003D52A6"/>
    <w:rsid w:val="003D6416"/>
    <w:rsid w:val="003E1D48"/>
    <w:rsid w:val="003E711F"/>
    <w:rsid w:val="003E7234"/>
    <w:rsid w:val="003F1D2B"/>
    <w:rsid w:val="003F4804"/>
    <w:rsid w:val="003F49A6"/>
    <w:rsid w:val="003F7445"/>
    <w:rsid w:val="00411DF2"/>
    <w:rsid w:val="00411E8F"/>
    <w:rsid w:val="004247F5"/>
    <w:rsid w:val="0042527B"/>
    <w:rsid w:val="00427EAC"/>
    <w:rsid w:val="004431B4"/>
    <w:rsid w:val="0045537F"/>
    <w:rsid w:val="00457DC7"/>
    <w:rsid w:val="004640B3"/>
    <w:rsid w:val="00472BCC"/>
    <w:rsid w:val="004739EF"/>
    <w:rsid w:val="004A25CD"/>
    <w:rsid w:val="004A26CC"/>
    <w:rsid w:val="004B2108"/>
    <w:rsid w:val="004B3A2B"/>
    <w:rsid w:val="004B70D3"/>
    <w:rsid w:val="004C312D"/>
    <w:rsid w:val="004C556F"/>
    <w:rsid w:val="004D2D1B"/>
    <w:rsid w:val="004D5067"/>
    <w:rsid w:val="004D6838"/>
    <w:rsid w:val="004D72BC"/>
    <w:rsid w:val="004E469D"/>
    <w:rsid w:val="004E7F4F"/>
    <w:rsid w:val="004F2DDE"/>
    <w:rsid w:val="004F5A55"/>
    <w:rsid w:val="004F7826"/>
    <w:rsid w:val="0050097F"/>
    <w:rsid w:val="00503A49"/>
    <w:rsid w:val="00514B1F"/>
    <w:rsid w:val="005162DA"/>
    <w:rsid w:val="00520776"/>
    <w:rsid w:val="00523C5C"/>
    <w:rsid w:val="00525E93"/>
    <w:rsid w:val="0052671D"/>
    <w:rsid w:val="005300C0"/>
    <w:rsid w:val="00540E6B"/>
    <w:rsid w:val="005539F2"/>
    <w:rsid w:val="0055595D"/>
    <w:rsid w:val="00556A10"/>
    <w:rsid w:val="00557F50"/>
    <w:rsid w:val="00571D3D"/>
    <w:rsid w:val="0058264B"/>
    <w:rsid w:val="00586368"/>
    <w:rsid w:val="005868AA"/>
    <w:rsid w:val="00590845"/>
    <w:rsid w:val="005963C2"/>
    <w:rsid w:val="005A0D69"/>
    <w:rsid w:val="005A31F4"/>
    <w:rsid w:val="005A7330"/>
    <w:rsid w:val="005A73EA"/>
    <w:rsid w:val="005B45F7"/>
    <w:rsid w:val="005B4FF8"/>
    <w:rsid w:val="005B63EA"/>
    <w:rsid w:val="005C1A88"/>
    <w:rsid w:val="005C5033"/>
    <w:rsid w:val="005C5A97"/>
    <w:rsid w:val="005D4E1B"/>
    <w:rsid w:val="005E751B"/>
    <w:rsid w:val="005F2751"/>
    <w:rsid w:val="005F3354"/>
    <w:rsid w:val="005F4AD6"/>
    <w:rsid w:val="005F7123"/>
    <w:rsid w:val="0060005E"/>
    <w:rsid w:val="0060095B"/>
    <w:rsid w:val="00601266"/>
    <w:rsid w:val="00604E0C"/>
    <w:rsid w:val="00610221"/>
    <w:rsid w:val="00610E73"/>
    <w:rsid w:val="00616DF2"/>
    <w:rsid w:val="0062385D"/>
    <w:rsid w:val="0063168D"/>
    <w:rsid w:val="00635C79"/>
    <w:rsid w:val="0064096B"/>
    <w:rsid w:val="00643F0B"/>
    <w:rsid w:val="006455DF"/>
    <w:rsid w:val="00647025"/>
    <w:rsid w:val="0064730A"/>
    <w:rsid w:val="006531A4"/>
    <w:rsid w:val="0066023A"/>
    <w:rsid w:val="00660774"/>
    <w:rsid w:val="0066389A"/>
    <w:rsid w:val="0066495C"/>
    <w:rsid w:val="00665CC7"/>
    <w:rsid w:val="00672612"/>
    <w:rsid w:val="00674FF4"/>
    <w:rsid w:val="00676014"/>
    <w:rsid w:val="00677F18"/>
    <w:rsid w:val="00693483"/>
    <w:rsid w:val="006A0BF3"/>
    <w:rsid w:val="006A1BBD"/>
    <w:rsid w:val="006A24C7"/>
    <w:rsid w:val="006B0036"/>
    <w:rsid w:val="006B0DA6"/>
    <w:rsid w:val="006C547E"/>
    <w:rsid w:val="006C7D74"/>
    <w:rsid w:val="006D2B51"/>
    <w:rsid w:val="006D5575"/>
    <w:rsid w:val="006D7191"/>
    <w:rsid w:val="006E21C4"/>
    <w:rsid w:val="006E42BE"/>
    <w:rsid w:val="006E5886"/>
    <w:rsid w:val="006E5D4D"/>
    <w:rsid w:val="006E6D16"/>
    <w:rsid w:val="006F1614"/>
    <w:rsid w:val="00703F2A"/>
    <w:rsid w:val="00704C5D"/>
    <w:rsid w:val="007072BC"/>
    <w:rsid w:val="007105FA"/>
    <w:rsid w:val="00715275"/>
    <w:rsid w:val="00721B44"/>
    <w:rsid w:val="007232A2"/>
    <w:rsid w:val="00726366"/>
    <w:rsid w:val="00733B6B"/>
    <w:rsid w:val="00740808"/>
    <w:rsid w:val="007467C4"/>
    <w:rsid w:val="00757737"/>
    <w:rsid w:val="0076170F"/>
    <w:rsid w:val="007622D9"/>
    <w:rsid w:val="0076669C"/>
    <w:rsid w:val="00766E46"/>
    <w:rsid w:val="00767093"/>
    <w:rsid w:val="00777727"/>
    <w:rsid w:val="0078166A"/>
    <w:rsid w:val="00782B79"/>
    <w:rsid w:val="00783811"/>
    <w:rsid w:val="007865E9"/>
    <w:rsid w:val="007912B2"/>
    <w:rsid w:val="0079237D"/>
    <w:rsid w:val="00792383"/>
    <w:rsid w:val="0079370B"/>
    <w:rsid w:val="00794D5A"/>
    <w:rsid w:val="00794DD9"/>
    <w:rsid w:val="007A060F"/>
    <w:rsid w:val="007A0F21"/>
    <w:rsid w:val="007B350E"/>
    <w:rsid w:val="007C0FBC"/>
    <w:rsid w:val="007C29C9"/>
    <w:rsid w:val="007C35B8"/>
    <w:rsid w:val="007C36E3"/>
    <w:rsid w:val="007C3ABB"/>
    <w:rsid w:val="007C42F6"/>
    <w:rsid w:val="007C7134"/>
    <w:rsid w:val="007D3D20"/>
    <w:rsid w:val="007D44F9"/>
    <w:rsid w:val="007D4600"/>
    <w:rsid w:val="007D742E"/>
    <w:rsid w:val="007E3AFD"/>
    <w:rsid w:val="00801DAD"/>
    <w:rsid w:val="00803189"/>
    <w:rsid w:val="00804E7A"/>
    <w:rsid w:val="00805FBB"/>
    <w:rsid w:val="00814292"/>
    <w:rsid w:val="008169A4"/>
    <w:rsid w:val="008278FE"/>
    <w:rsid w:val="00832598"/>
    <w:rsid w:val="0083397E"/>
    <w:rsid w:val="0083534B"/>
    <w:rsid w:val="00841ECB"/>
    <w:rsid w:val="00842035"/>
    <w:rsid w:val="00842602"/>
    <w:rsid w:val="00842F97"/>
    <w:rsid w:val="008449F0"/>
    <w:rsid w:val="00847B45"/>
    <w:rsid w:val="00851FD0"/>
    <w:rsid w:val="00863A66"/>
    <w:rsid w:val="008703D7"/>
    <w:rsid w:val="008726AA"/>
    <w:rsid w:val="008726B3"/>
    <w:rsid w:val="00874429"/>
    <w:rsid w:val="00875D22"/>
    <w:rsid w:val="00876E8D"/>
    <w:rsid w:val="00883D9A"/>
    <w:rsid w:val="00885D2C"/>
    <w:rsid w:val="00887CD2"/>
    <w:rsid w:val="008919EF"/>
    <w:rsid w:val="00892B20"/>
    <w:rsid w:val="008931BC"/>
    <w:rsid w:val="00895CAA"/>
    <w:rsid w:val="0089695B"/>
    <w:rsid w:val="00897740"/>
    <w:rsid w:val="008A12EC"/>
    <w:rsid w:val="008B19A6"/>
    <w:rsid w:val="008B4EFB"/>
    <w:rsid w:val="008C21C8"/>
    <w:rsid w:val="008C6375"/>
    <w:rsid w:val="008C6A5B"/>
    <w:rsid w:val="008D1073"/>
    <w:rsid w:val="008D441D"/>
    <w:rsid w:val="008D498D"/>
    <w:rsid w:val="008D6D36"/>
    <w:rsid w:val="008E0693"/>
    <w:rsid w:val="008E26A5"/>
    <w:rsid w:val="008E42D2"/>
    <w:rsid w:val="008E6328"/>
    <w:rsid w:val="008F578F"/>
    <w:rsid w:val="008F5D04"/>
    <w:rsid w:val="009040EE"/>
    <w:rsid w:val="009057FD"/>
    <w:rsid w:val="00906FBA"/>
    <w:rsid w:val="00912590"/>
    <w:rsid w:val="0091314C"/>
    <w:rsid w:val="009163E8"/>
    <w:rsid w:val="00921817"/>
    <w:rsid w:val="00921BD3"/>
    <w:rsid w:val="009228C7"/>
    <w:rsid w:val="00922A7F"/>
    <w:rsid w:val="00923A5E"/>
    <w:rsid w:val="00924FE7"/>
    <w:rsid w:val="00926E27"/>
    <w:rsid w:val="00931C8C"/>
    <w:rsid w:val="00943D21"/>
    <w:rsid w:val="0094504B"/>
    <w:rsid w:val="009613F3"/>
    <w:rsid w:val="00964A38"/>
    <w:rsid w:val="00966A9D"/>
    <w:rsid w:val="0096742B"/>
    <w:rsid w:val="009718C5"/>
    <w:rsid w:val="00976AFF"/>
    <w:rsid w:val="009924CF"/>
    <w:rsid w:val="00994100"/>
    <w:rsid w:val="00996DFB"/>
    <w:rsid w:val="009A6B17"/>
    <w:rsid w:val="009B052E"/>
    <w:rsid w:val="009D4C29"/>
    <w:rsid w:val="009E58E9"/>
    <w:rsid w:val="009F6AD2"/>
    <w:rsid w:val="009F7C1B"/>
    <w:rsid w:val="00A00D8D"/>
    <w:rsid w:val="00A01BB6"/>
    <w:rsid w:val="00A04A59"/>
    <w:rsid w:val="00A22B28"/>
    <w:rsid w:val="00A4303C"/>
    <w:rsid w:val="00A43A55"/>
    <w:rsid w:val="00A46CAF"/>
    <w:rsid w:val="00A470FD"/>
    <w:rsid w:val="00A50B5E"/>
    <w:rsid w:val="00A62DAB"/>
    <w:rsid w:val="00A6757A"/>
    <w:rsid w:val="00A726A6"/>
    <w:rsid w:val="00A74842"/>
    <w:rsid w:val="00A8269A"/>
    <w:rsid w:val="00A9178A"/>
    <w:rsid w:val="00A93B73"/>
    <w:rsid w:val="00A9515B"/>
    <w:rsid w:val="00A97535"/>
    <w:rsid w:val="00AA2BAA"/>
    <w:rsid w:val="00AA467A"/>
    <w:rsid w:val="00AA6516"/>
    <w:rsid w:val="00AA73D9"/>
    <w:rsid w:val="00AA73F1"/>
    <w:rsid w:val="00AB0E1A"/>
    <w:rsid w:val="00AB1A30"/>
    <w:rsid w:val="00AB3C36"/>
    <w:rsid w:val="00AB3D30"/>
    <w:rsid w:val="00AB73A7"/>
    <w:rsid w:val="00AC4918"/>
    <w:rsid w:val="00AD10EB"/>
    <w:rsid w:val="00AD1ED3"/>
    <w:rsid w:val="00AD4D37"/>
    <w:rsid w:val="00AE4679"/>
    <w:rsid w:val="00B019C1"/>
    <w:rsid w:val="00B02001"/>
    <w:rsid w:val="00B023FC"/>
    <w:rsid w:val="00B03C50"/>
    <w:rsid w:val="00B0777D"/>
    <w:rsid w:val="00B11576"/>
    <w:rsid w:val="00B1195F"/>
    <w:rsid w:val="00B13A45"/>
    <w:rsid w:val="00B14D10"/>
    <w:rsid w:val="00B209C7"/>
    <w:rsid w:val="00B3644F"/>
    <w:rsid w:val="00B4057A"/>
    <w:rsid w:val="00B40894"/>
    <w:rsid w:val="00B41039"/>
    <w:rsid w:val="00B41613"/>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D7239"/>
    <w:rsid w:val="00BE1852"/>
    <w:rsid w:val="00BE2D4E"/>
    <w:rsid w:val="00BE50E6"/>
    <w:rsid w:val="00BE7A0C"/>
    <w:rsid w:val="00BF2928"/>
    <w:rsid w:val="00BF4DAB"/>
    <w:rsid w:val="00BF6691"/>
    <w:rsid w:val="00C028FC"/>
    <w:rsid w:val="00C037F2"/>
    <w:rsid w:val="00C0386D"/>
    <w:rsid w:val="00C0447D"/>
    <w:rsid w:val="00C065A1"/>
    <w:rsid w:val="00C10ED5"/>
    <w:rsid w:val="00C12574"/>
    <w:rsid w:val="00C151A6"/>
    <w:rsid w:val="00C15C79"/>
    <w:rsid w:val="00C236DC"/>
    <w:rsid w:val="00C24098"/>
    <w:rsid w:val="00C2631C"/>
    <w:rsid w:val="00C30A4E"/>
    <w:rsid w:val="00C33C69"/>
    <w:rsid w:val="00C411F3"/>
    <w:rsid w:val="00C44105"/>
    <w:rsid w:val="00C55A33"/>
    <w:rsid w:val="00C60612"/>
    <w:rsid w:val="00C62F23"/>
    <w:rsid w:val="00C66692"/>
    <w:rsid w:val="00C673B5"/>
    <w:rsid w:val="00C7063D"/>
    <w:rsid w:val="00C830BC"/>
    <w:rsid w:val="00C8524D"/>
    <w:rsid w:val="00C858BF"/>
    <w:rsid w:val="00C90904"/>
    <w:rsid w:val="00C91123"/>
    <w:rsid w:val="00CA655C"/>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443"/>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5F48"/>
    <w:rsid w:val="00D70752"/>
    <w:rsid w:val="00D80DA8"/>
    <w:rsid w:val="00D80E2D"/>
    <w:rsid w:val="00D84D5E"/>
    <w:rsid w:val="00D8560E"/>
    <w:rsid w:val="00D8758F"/>
    <w:rsid w:val="00DA4EDD"/>
    <w:rsid w:val="00DA6B78"/>
    <w:rsid w:val="00DB122B"/>
    <w:rsid w:val="00DB590B"/>
    <w:rsid w:val="00DC1D94"/>
    <w:rsid w:val="00DC42CF"/>
    <w:rsid w:val="00DD22BA"/>
    <w:rsid w:val="00DD382A"/>
    <w:rsid w:val="00DE057F"/>
    <w:rsid w:val="00DE2082"/>
    <w:rsid w:val="00DE2289"/>
    <w:rsid w:val="00DE7C7C"/>
    <w:rsid w:val="00DF09A7"/>
    <w:rsid w:val="00DF2B51"/>
    <w:rsid w:val="00E001D6"/>
    <w:rsid w:val="00E03A76"/>
    <w:rsid w:val="00E04410"/>
    <w:rsid w:val="00E07484"/>
    <w:rsid w:val="00E103A3"/>
    <w:rsid w:val="00E11351"/>
    <w:rsid w:val="00E201AC"/>
    <w:rsid w:val="00E21D30"/>
    <w:rsid w:val="00E362AE"/>
    <w:rsid w:val="00E4225C"/>
    <w:rsid w:val="00E44879"/>
    <w:rsid w:val="00E72914"/>
    <w:rsid w:val="00E75AE0"/>
    <w:rsid w:val="00E83C1F"/>
    <w:rsid w:val="00E85684"/>
    <w:rsid w:val="00E8794B"/>
    <w:rsid w:val="00E94080"/>
    <w:rsid w:val="00E97656"/>
    <w:rsid w:val="00EA172C"/>
    <w:rsid w:val="00EA259B"/>
    <w:rsid w:val="00EA35A3"/>
    <w:rsid w:val="00EA3E6A"/>
    <w:rsid w:val="00EB18EF"/>
    <w:rsid w:val="00EB58F4"/>
    <w:rsid w:val="00EB7951"/>
    <w:rsid w:val="00EC41A1"/>
    <w:rsid w:val="00ED6A79"/>
    <w:rsid w:val="00EE17DF"/>
    <w:rsid w:val="00EF1482"/>
    <w:rsid w:val="00EF4621"/>
    <w:rsid w:val="00EF4D52"/>
    <w:rsid w:val="00EF55D0"/>
    <w:rsid w:val="00EF6312"/>
    <w:rsid w:val="00F01E07"/>
    <w:rsid w:val="00F038B0"/>
    <w:rsid w:val="00F05F34"/>
    <w:rsid w:val="00F22B27"/>
    <w:rsid w:val="00F234A7"/>
    <w:rsid w:val="00F2703F"/>
    <w:rsid w:val="00F277B6"/>
    <w:rsid w:val="00F27DA5"/>
    <w:rsid w:val="00F37E07"/>
    <w:rsid w:val="00F4182A"/>
    <w:rsid w:val="00F43998"/>
    <w:rsid w:val="00F51446"/>
    <w:rsid w:val="00F54380"/>
    <w:rsid w:val="00F54B47"/>
    <w:rsid w:val="00F61247"/>
    <w:rsid w:val="00F61F61"/>
    <w:rsid w:val="00F63191"/>
    <w:rsid w:val="00F6702E"/>
    <w:rsid w:val="00F70E84"/>
    <w:rsid w:val="00F82783"/>
    <w:rsid w:val="00F82C72"/>
    <w:rsid w:val="00F922EC"/>
    <w:rsid w:val="00F9299B"/>
    <w:rsid w:val="00FA092B"/>
    <w:rsid w:val="00FA4F6C"/>
    <w:rsid w:val="00FA5535"/>
    <w:rsid w:val="00FA6EFD"/>
    <w:rsid w:val="00FA767B"/>
    <w:rsid w:val="00FB2D19"/>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3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96DFB"/>
    <w:pPr>
      <w:autoSpaceDE w:val="0"/>
      <w:autoSpaceDN w:val="0"/>
      <w:adjustRightInd w:val="0"/>
      <w:ind w:left="1440"/>
    </w:pPr>
    <w:rPr>
      <w:sz w:val="24"/>
      <w:szCs w:val="24"/>
    </w:rPr>
  </w:style>
  <w:style w:type="paragraph" w:customStyle="1" w:styleId="PrehearingBody">
    <w:name w:val="Prehearing Body"/>
    <w:basedOn w:val="Normal"/>
    <w:link w:val="PrehearingBodyCharChar"/>
    <w:rsid w:val="00520776"/>
    <w:pPr>
      <w:spacing w:after="240"/>
      <w:ind w:firstLine="720"/>
      <w:jc w:val="both"/>
    </w:pPr>
    <w:rPr>
      <w:lang w:val="x-none" w:eastAsia="x-none"/>
    </w:rPr>
  </w:style>
  <w:style w:type="character" w:customStyle="1" w:styleId="PrehearingBodyCharChar">
    <w:name w:val="Prehearing Body Char Char"/>
    <w:link w:val="PrehearingBody"/>
    <w:rsid w:val="00520776"/>
    <w:rPr>
      <w:sz w:val="24"/>
      <w:szCs w:val="24"/>
      <w:lang w:val="x-none" w:eastAsia="x-none"/>
    </w:rPr>
  </w:style>
  <w:style w:type="character" w:styleId="LineNumber">
    <w:name w:val="line number"/>
    <w:basedOn w:val="DefaultParagraphFont"/>
    <w:uiPriority w:val="99"/>
    <w:unhideWhenUsed/>
    <w:rsid w:val="00520776"/>
    <w:rPr>
      <w:rFonts w:ascii="Times New Roman" w:hAnsi="Times New Roman"/>
    </w:rPr>
  </w:style>
  <w:style w:type="paragraph" w:styleId="BalloonText">
    <w:name w:val="Balloon Text"/>
    <w:basedOn w:val="Normal"/>
    <w:link w:val="BalloonTextChar"/>
    <w:semiHidden/>
    <w:unhideWhenUsed/>
    <w:rsid w:val="000C5E09"/>
    <w:rPr>
      <w:rFonts w:ascii="Segoe UI" w:hAnsi="Segoe UI" w:cs="Segoe UI"/>
      <w:sz w:val="18"/>
      <w:szCs w:val="18"/>
    </w:rPr>
  </w:style>
  <w:style w:type="character" w:customStyle="1" w:styleId="BalloonTextChar">
    <w:name w:val="Balloon Text Char"/>
    <w:basedOn w:val="DefaultParagraphFont"/>
    <w:link w:val="BalloonText"/>
    <w:semiHidden/>
    <w:rsid w:val="000C5E09"/>
    <w:rPr>
      <w:rFonts w:ascii="Segoe UI" w:hAnsi="Segoe UI" w:cs="Segoe UI"/>
      <w:sz w:val="18"/>
      <w:szCs w:val="18"/>
    </w:rPr>
  </w:style>
  <w:style w:type="character" w:styleId="CommentReference">
    <w:name w:val="annotation reference"/>
    <w:basedOn w:val="DefaultParagraphFont"/>
    <w:semiHidden/>
    <w:unhideWhenUsed/>
    <w:rsid w:val="00301A3D"/>
    <w:rPr>
      <w:sz w:val="16"/>
      <w:szCs w:val="16"/>
    </w:rPr>
  </w:style>
  <w:style w:type="paragraph" w:styleId="CommentText">
    <w:name w:val="annotation text"/>
    <w:basedOn w:val="Normal"/>
    <w:link w:val="CommentTextChar"/>
    <w:semiHidden/>
    <w:unhideWhenUsed/>
    <w:rsid w:val="00301A3D"/>
    <w:rPr>
      <w:sz w:val="20"/>
      <w:szCs w:val="20"/>
    </w:rPr>
  </w:style>
  <w:style w:type="character" w:customStyle="1" w:styleId="CommentTextChar">
    <w:name w:val="Comment Text Char"/>
    <w:basedOn w:val="DefaultParagraphFont"/>
    <w:link w:val="CommentText"/>
    <w:semiHidden/>
    <w:rsid w:val="00301A3D"/>
  </w:style>
  <w:style w:type="paragraph" w:styleId="CommentSubject">
    <w:name w:val="annotation subject"/>
    <w:basedOn w:val="CommentText"/>
    <w:next w:val="CommentText"/>
    <w:link w:val="CommentSubjectChar"/>
    <w:semiHidden/>
    <w:unhideWhenUsed/>
    <w:rsid w:val="00301A3D"/>
    <w:rPr>
      <w:b/>
      <w:bCs/>
    </w:rPr>
  </w:style>
  <w:style w:type="character" w:customStyle="1" w:styleId="CommentSubjectChar">
    <w:name w:val="Comment Subject Char"/>
    <w:basedOn w:val="CommentTextChar"/>
    <w:link w:val="CommentSubject"/>
    <w:semiHidden/>
    <w:rsid w:val="00301A3D"/>
    <w:rPr>
      <w:b/>
      <w:bCs/>
    </w:rPr>
  </w:style>
  <w:style w:type="paragraph" w:styleId="ListParagraph">
    <w:name w:val="List Paragraph"/>
    <w:basedOn w:val="Normal"/>
    <w:uiPriority w:val="34"/>
    <w:qFormat/>
    <w:rsid w:val="00AA4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D63E-A1A3-4E41-9E74-82531164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18</Pages>
  <Words>6778</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2021-06-08T16:13:00Z</dcterms:created>
  <dcterms:modified xsi:type="dcterms:W3CDTF">2021-06-08T17:52:00Z</dcterms:modified>
</cp:coreProperties>
</file>