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47088" w:rsidP="00547088">
      <w:pPr>
        <w:pStyle w:val="OrderHeading"/>
      </w:pPr>
      <w:r>
        <w:t>BEFORE THE FLORIDA PUBLIC SERVICE COMMISSION</w:t>
      </w:r>
    </w:p>
    <w:p w:rsidR="00547088" w:rsidRDefault="00547088" w:rsidP="00547088">
      <w:pPr>
        <w:pStyle w:val="OrderBody"/>
      </w:pPr>
    </w:p>
    <w:p w:rsidR="00547088" w:rsidRDefault="00547088" w:rsidP="005470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7088" w:rsidRPr="00C63FCF" w:rsidTr="00C63FCF">
        <w:trPr>
          <w:trHeight w:val="828"/>
        </w:trPr>
        <w:tc>
          <w:tcPr>
            <w:tcW w:w="4788" w:type="dxa"/>
            <w:tcBorders>
              <w:bottom w:val="single" w:sz="8" w:space="0" w:color="auto"/>
              <w:right w:val="double" w:sz="6" w:space="0" w:color="auto"/>
            </w:tcBorders>
            <w:shd w:val="clear" w:color="auto" w:fill="auto"/>
          </w:tcPr>
          <w:p w:rsidR="00547088" w:rsidRDefault="00547088"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547088" w:rsidRDefault="00547088" w:rsidP="00547088">
            <w:pPr>
              <w:pStyle w:val="OrderBody"/>
            </w:pPr>
            <w:r>
              <w:t xml:space="preserve">DOCKET NO. </w:t>
            </w:r>
            <w:bookmarkStart w:id="1" w:name="SSDocketNo"/>
            <w:bookmarkEnd w:id="1"/>
            <w:r>
              <w:t>20210007-EI</w:t>
            </w:r>
          </w:p>
          <w:p w:rsidR="00547088" w:rsidRDefault="00547088" w:rsidP="00C63FCF">
            <w:pPr>
              <w:pStyle w:val="OrderBody"/>
              <w:tabs>
                <w:tab w:val="center" w:pos="4320"/>
                <w:tab w:val="right" w:pos="8640"/>
              </w:tabs>
              <w:jc w:val="left"/>
            </w:pPr>
            <w:r>
              <w:t xml:space="preserve">ORDER NO. </w:t>
            </w:r>
            <w:bookmarkStart w:id="2" w:name="OrderNo0426"/>
            <w:r w:rsidR="00B92132">
              <w:t>PSC-2021-0426-FOF-EI</w:t>
            </w:r>
            <w:bookmarkEnd w:id="2"/>
          </w:p>
          <w:p w:rsidR="00547088" w:rsidRDefault="00547088" w:rsidP="00C63FCF">
            <w:pPr>
              <w:pStyle w:val="OrderBody"/>
              <w:tabs>
                <w:tab w:val="center" w:pos="4320"/>
                <w:tab w:val="right" w:pos="8640"/>
              </w:tabs>
              <w:jc w:val="left"/>
            </w:pPr>
            <w:r>
              <w:t xml:space="preserve">ISSUED: </w:t>
            </w:r>
            <w:r w:rsidR="00B92132">
              <w:t>November 17, 2021</w:t>
            </w:r>
          </w:p>
        </w:tc>
      </w:tr>
    </w:tbl>
    <w:p w:rsidR="00547088" w:rsidRDefault="00547088" w:rsidP="00547088"/>
    <w:p w:rsidR="00547088" w:rsidRDefault="00547088" w:rsidP="00547088"/>
    <w:p w:rsidR="00547088" w:rsidRDefault="00547088" w:rsidP="00B67A43">
      <w:pPr>
        <w:ind w:firstLine="720"/>
        <w:jc w:val="both"/>
      </w:pPr>
      <w:bookmarkStart w:id="3" w:name="Commissioners"/>
      <w:bookmarkEnd w:id="3"/>
      <w:r>
        <w:t>The following Commissioners participated in the disposition of this matter:</w:t>
      </w:r>
    </w:p>
    <w:p w:rsidR="00547088" w:rsidRDefault="00547088" w:rsidP="00B67A43"/>
    <w:p w:rsidR="00547088" w:rsidRDefault="00547088" w:rsidP="00B67A43">
      <w:pPr>
        <w:jc w:val="center"/>
      </w:pPr>
      <w:r>
        <w:t>GARY F. CLARK, Chairman</w:t>
      </w:r>
    </w:p>
    <w:p w:rsidR="00547088" w:rsidRDefault="00547088" w:rsidP="00B67A43">
      <w:pPr>
        <w:jc w:val="center"/>
      </w:pPr>
      <w:r>
        <w:t>ART GRAHAM</w:t>
      </w:r>
    </w:p>
    <w:p w:rsidR="00547088" w:rsidRDefault="00547088" w:rsidP="00B67A43">
      <w:pPr>
        <w:jc w:val="center"/>
      </w:pPr>
      <w:r>
        <w:t>ANDREW GILES FAY</w:t>
      </w:r>
    </w:p>
    <w:p w:rsidR="00547088" w:rsidRDefault="00547088" w:rsidP="00B67A43">
      <w:pPr>
        <w:jc w:val="center"/>
      </w:pPr>
      <w:r>
        <w:t>MIKE LA ROSA</w:t>
      </w:r>
    </w:p>
    <w:p w:rsidR="00547088" w:rsidRPr="005F2751" w:rsidRDefault="00547088" w:rsidP="00B67A43">
      <w:pPr>
        <w:jc w:val="center"/>
      </w:pPr>
      <w:r w:rsidRPr="005F2751">
        <w:rPr>
          <w:lang w:val="en"/>
        </w:rPr>
        <w:t>GABRIELLA PASSIDOMO</w:t>
      </w:r>
    </w:p>
    <w:p w:rsidR="00547088" w:rsidRDefault="00547088" w:rsidP="00B67A43"/>
    <w:p w:rsidR="00547088" w:rsidRDefault="00547088" w:rsidP="00B67A43"/>
    <w:p w:rsidR="00CB5276" w:rsidRDefault="00CB5276">
      <w:pPr>
        <w:pStyle w:val="OrderBody"/>
      </w:pPr>
    </w:p>
    <w:p w:rsidR="00547088" w:rsidRDefault="00547088" w:rsidP="00547088">
      <w:pPr>
        <w:pStyle w:val="CenterUnderline"/>
      </w:pPr>
      <w:r>
        <w:t>FINAL ORDER</w:t>
      </w:r>
      <w:bookmarkStart w:id="4" w:name="OrderTitle"/>
    </w:p>
    <w:p w:rsidR="00547088" w:rsidRDefault="00547088" w:rsidP="00547088">
      <w:pPr>
        <w:pStyle w:val="CenterUnderline"/>
      </w:pPr>
      <w:r>
        <w:t xml:space="preserve"> APPROVING PROJECTED EXPENDITURES AND TRUE-UP </w:t>
      </w:r>
    </w:p>
    <w:p w:rsidR="00547088" w:rsidRDefault="00547088" w:rsidP="00547088">
      <w:pPr>
        <w:pStyle w:val="CenterUnderline"/>
      </w:pPr>
      <w:r>
        <w:t xml:space="preserve">AMOUNTS FOR ENVIRONMENTAL COST RECOVERY </w:t>
      </w:r>
      <w:bookmarkEnd w:id="4"/>
    </w:p>
    <w:p w:rsidR="00547088" w:rsidRDefault="00547088" w:rsidP="00547088">
      <w:pPr>
        <w:pStyle w:val="CenterUnderline"/>
      </w:pPr>
    </w:p>
    <w:p w:rsidR="00547088" w:rsidRDefault="00547088" w:rsidP="00547088">
      <w:pPr>
        <w:pStyle w:val="OrderBody"/>
      </w:pPr>
    </w:p>
    <w:p w:rsidR="00007079" w:rsidRPr="00701945" w:rsidRDefault="00007079" w:rsidP="00007079">
      <w:pPr>
        <w:jc w:val="both"/>
      </w:pPr>
      <w:r w:rsidRPr="00701945">
        <w:t>APPEARANCES:</w:t>
      </w:r>
    </w:p>
    <w:p w:rsidR="00007079" w:rsidRPr="00701945" w:rsidRDefault="00007079" w:rsidP="00007079">
      <w:pPr>
        <w:jc w:val="both"/>
      </w:pPr>
    </w:p>
    <w:p w:rsidR="00007079" w:rsidRDefault="00007079" w:rsidP="00007079">
      <w:pPr>
        <w:ind w:left="1440"/>
        <w:jc w:val="both"/>
      </w:pPr>
      <w:r>
        <w:t>MARIA JOSE MONCADA</w:t>
      </w:r>
      <w:r w:rsidRPr="00701945">
        <w:t xml:space="preserve">, </w:t>
      </w:r>
      <w:r>
        <w:t>DAVID LEE, RUSSELL A. BADDERS,</w:t>
      </w:r>
      <w:r w:rsidRPr="00701945">
        <w:t xml:space="preserve"> </w:t>
      </w:r>
      <w:r>
        <w:t xml:space="preserve">and WADE LITCHFIELD, </w:t>
      </w:r>
      <w:r w:rsidRPr="00701945">
        <w:t>ESQUIRE</w:t>
      </w:r>
      <w:r>
        <w:t>S</w:t>
      </w:r>
      <w:r w:rsidRPr="00701945">
        <w:t xml:space="preserve">, </w:t>
      </w:r>
      <w:r w:rsidRPr="008D429F">
        <w:t>700 Universe Boulevard</w:t>
      </w:r>
      <w:r>
        <w:t xml:space="preserve">, </w:t>
      </w:r>
      <w:r w:rsidRPr="008D429F">
        <w:t>Juno Beach, F</w:t>
      </w:r>
      <w:r>
        <w:t>lorida</w:t>
      </w:r>
      <w:r w:rsidRPr="008D429F">
        <w:t xml:space="preserve"> 33408</w:t>
      </w:r>
      <w:r>
        <w:t xml:space="preserve"> </w:t>
      </w:r>
    </w:p>
    <w:p w:rsidR="00007079" w:rsidRDefault="00007079" w:rsidP="00007079">
      <w:pPr>
        <w:ind w:left="1440"/>
        <w:jc w:val="both"/>
      </w:pPr>
      <w:r w:rsidRPr="00701945">
        <w:rPr>
          <w:u w:val="single"/>
        </w:rPr>
        <w:t xml:space="preserve">On behalf of </w:t>
      </w:r>
      <w:r>
        <w:rPr>
          <w:u w:val="single"/>
        </w:rPr>
        <w:t>FLORIDA POWER &amp; LIGHT COMPANY (FPL) and GULF POWER COMPANY (GULF)</w:t>
      </w:r>
      <w:r w:rsidRPr="00701945">
        <w:t>.</w:t>
      </w:r>
    </w:p>
    <w:p w:rsidR="00007079" w:rsidRDefault="00007079" w:rsidP="00007079">
      <w:pPr>
        <w:jc w:val="both"/>
      </w:pPr>
    </w:p>
    <w:p w:rsidR="00007079" w:rsidRDefault="00007079" w:rsidP="00007079">
      <w:pPr>
        <w:ind w:left="1440"/>
        <w:jc w:val="both"/>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 BERNIER, and STEPHANIE CUELLO, ESQUIRES, </w:t>
      </w:r>
      <w:r w:rsidRPr="002F20D1">
        <w:t>106 East College Avenue</w:t>
      </w:r>
      <w:r>
        <w:t xml:space="preserve">, </w:t>
      </w:r>
      <w:r w:rsidRPr="002F20D1">
        <w:t>Suite 800</w:t>
      </w:r>
      <w:r>
        <w:t xml:space="preserve">, </w:t>
      </w:r>
      <w:r w:rsidRPr="002F20D1">
        <w:t>Tallahassee, Florida 32301</w:t>
      </w:r>
    </w:p>
    <w:p w:rsidR="00007079" w:rsidRDefault="00007079" w:rsidP="00007079">
      <w:pPr>
        <w:ind w:left="1440"/>
        <w:jc w:val="both"/>
      </w:pPr>
      <w:r w:rsidRPr="00701945">
        <w:rPr>
          <w:u w:val="single"/>
        </w:rPr>
        <w:t xml:space="preserve">On behalf of </w:t>
      </w:r>
      <w:r>
        <w:rPr>
          <w:u w:val="single"/>
        </w:rPr>
        <w:t>DUKE ENERGY FLORIDA, LLC (DEF)</w:t>
      </w:r>
      <w:r w:rsidRPr="00701945">
        <w:t>.</w:t>
      </w:r>
    </w:p>
    <w:p w:rsidR="00007079" w:rsidRDefault="00007079" w:rsidP="00007079">
      <w:pPr>
        <w:ind w:left="1440"/>
        <w:jc w:val="both"/>
      </w:pPr>
    </w:p>
    <w:p w:rsidR="00007079" w:rsidRDefault="00007079" w:rsidP="00007079">
      <w:pPr>
        <w:ind w:left="1440"/>
        <w:jc w:val="both"/>
      </w:pPr>
      <w:r>
        <w:t>JAMES D. BEASLEY</w:t>
      </w:r>
      <w:r w:rsidRPr="00701945">
        <w:t xml:space="preserve">, </w:t>
      </w:r>
      <w:r>
        <w:t xml:space="preserve">J. JEFFRY WAHLEN, and MALCOLM N. MEANS, ESQUIRES, </w:t>
      </w:r>
      <w:r w:rsidRPr="00701945">
        <w:t xml:space="preserve"> </w:t>
      </w:r>
      <w:r w:rsidRPr="00051473">
        <w:t>Post Office Box 391</w:t>
      </w:r>
      <w:r>
        <w:t xml:space="preserve">, </w:t>
      </w:r>
      <w:r w:rsidRPr="00051473">
        <w:t>Tallahassee, Florida 32302</w:t>
      </w:r>
    </w:p>
    <w:p w:rsidR="00007079" w:rsidRDefault="00007079" w:rsidP="00007079">
      <w:pPr>
        <w:ind w:left="1440"/>
        <w:jc w:val="both"/>
      </w:pPr>
      <w:r w:rsidRPr="00701945">
        <w:rPr>
          <w:u w:val="single"/>
        </w:rPr>
        <w:t xml:space="preserve">On behalf of </w:t>
      </w:r>
      <w:r>
        <w:rPr>
          <w:u w:val="single"/>
        </w:rPr>
        <w:t>TAMPA ELECTRIC COMPANY (TECO)</w:t>
      </w:r>
      <w:r w:rsidRPr="00701945">
        <w:t>.</w:t>
      </w:r>
    </w:p>
    <w:p w:rsidR="00007079" w:rsidRDefault="00007079" w:rsidP="00007079">
      <w:pPr>
        <w:ind w:left="1440"/>
        <w:jc w:val="both"/>
      </w:pPr>
    </w:p>
    <w:p w:rsidR="00007079" w:rsidRPr="00701945" w:rsidRDefault="00007079" w:rsidP="00007079">
      <w:pPr>
        <w:ind w:left="1440"/>
        <w:jc w:val="both"/>
      </w:pPr>
      <w:r>
        <w:t>RICHARD GENTRY, CHARLES REHWINKEL, STEPHANIE A. MORSE, MARY A. WESSLING, PATRICIA A. CHRISTENSEN, and ANASTACIA PIRRELLO</w:t>
      </w:r>
      <w:r w:rsidRPr="00701945">
        <w:t>, ESQUIRE</w:t>
      </w:r>
      <w:r>
        <w:t>S</w:t>
      </w:r>
      <w:r w:rsidRPr="00701945">
        <w:t xml:space="preserve">, </w:t>
      </w:r>
      <w:r w:rsidRPr="000827FB">
        <w:t xml:space="preserve"> 111 West Madison Street, Room 812</w:t>
      </w:r>
      <w:r>
        <w:t>,</w:t>
      </w:r>
      <w:r w:rsidRPr="000827FB">
        <w:t xml:space="preserve"> Tallahassee, Florida 32399-1400</w:t>
      </w:r>
    </w:p>
    <w:p w:rsidR="00007079" w:rsidRDefault="00007079" w:rsidP="00007079">
      <w:pPr>
        <w:ind w:left="720" w:firstLine="720"/>
        <w:jc w:val="both"/>
      </w:pPr>
      <w:r w:rsidRPr="00701945">
        <w:rPr>
          <w:u w:val="single"/>
        </w:rPr>
        <w:t xml:space="preserve">On behalf of </w:t>
      </w:r>
      <w:r>
        <w:rPr>
          <w:u w:val="single"/>
        </w:rPr>
        <w:t>OFFICE OF PUBLIC COUNSEL (OPC)</w:t>
      </w:r>
      <w:r w:rsidRPr="00701945">
        <w:t xml:space="preserve">. </w:t>
      </w:r>
    </w:p>
    <w:p w:rsidR="00007079" w:rsidRDefault="00007079" w:rsidP="00007079">
      <w:pPr>
        <w:jc w:val="both"/>
      </w:pPr>
    </w:p>
    <w:p w:rsidR="00007079" w:rsidRDefault="00007079" w:rsidP="00007079">
      <w:pPr>
        <w:ind w:left="1440"/>
        <w:jc w:val="both"/>
      </w:pPr>
      <w:r>
        <w:lastRenderedPageBreak/>
        <w:t xml:space="preserve">JON C. MOYLE, JR. and KAREN PUTNAL, ESQUIRES, </w:t>
      </w:r>
      <w:r w:rsidRPr="00B2066A">
        <w:rPr>
          <w:bCs/>
        </w:rPr>
        <w:t>118 North Gadsden Street</w:t>
      </w:r>
      <w:r>
        <w:rPr>
          <w:bCs/>
        </w:rPr>
        <w:t xml:space="preserve">, </w:t>
      </w:r>
      <w:r w:rsidRPr="00B2066A">
        <w:rPr>
          <w:bCs/>
        </w:rPr>
        <w:t>Tallahassee, F</w:t>
      </w:r>
      <w:r>
        <w:rPr>
          <w:bCs/>
        </w:rPr>
        <w:t>lorida</w:t>
      </w:r>
      <w:r w:rsidRPr="00B2066A">
        <w:rPr>
          <w:bCs/>
        </w:rPr>
        <w:t xml:space="preserve">  32312</w:t>
      </w:r>
    </w:p>
    <w:p w:rsidR="00007079" w:rsidRDefault="00007079" w:rsidP="00007079">
      <w:pPr>
        <w:ind w:left="1440"/>
        <w:jc w:val="both"/>
      </w:pPr>
      <w:r w:rsidRPr="00701945">
        <w:rPr>
          <w:u w:val="single"/>
        </w:rPr>
        <w:t xml:space="preserve">On behalf of </w:t>
      </w:r>
      <w:r>
        <w:rPr>
          <w:u w:val="single"/>
        </w:rPr>
        <w:t>FLORIDA INDUSTRIAL POWER USERS GROUP (FIPUG)</w:t>
      </w:r>
      <w:r w:rsidRPr="00701945">
        <w:t>.</w:t>
      </w:r>
    </w:p>
    <w:p w:rsidR="00007079" w:rsidRDefault="00007079" w:rsidP="00007079">
      <w:pPr>
        <w:ind w:left="1440"/>
        <w:jc w:val="both"/>
      </w:pPr>
    </w:p>
    <w:p w:rsidR="00007079" w:rsidRPr="0014594E" w:rsidRDefault="00007079" w:rsidP="00007079">
      <w:pPr>
        <w:ind w:left="1440"/>
        <w:jc w:val="both"/>
      </w:pPr>
      <w:r>
        <w:t>JAMES W. BREW</w:t>
      </w:r>
      <w:r w:rsidRPr="00701945">
        <w:t>,</w:t>
      </w:r>
      <w:r>
        <w:t xml:space="preserve"> and LAURA WYNN BAKER, ESQUIRES, </w:t>
      </w:r>
      <w:r w:rsidRPr="0014594E">
        <w:t>1025 Thomas Jefferson Street, NW</w:t>
      </w:r>
      <w:r>
        <w:t xml:space="preserve">, </w:t>
      </w:r>
      <w:r w:rsidRPr="0014594E">
        <w:t>Eighth Floor, West Tower</w:t>
      </w:r>
      <w:r>
        <w:t xml:space="preserve">, </w:t>
      </w:r>
      <w:r w:rsidRPr="0014594E">
        <w:t>Washington, D.C. 20007</w:t>
      </w:r>
    </w:p>
    <w:p w:rsidR="00007079" w:rsidRDefault="00007079" w:rsidP="00007079">
      <w:pPr>
        <w:ind w:left="1440"/>
        <w:jc w:val="both"/>
      </w:pPr>
      <w:r w:rsidRPr="00701945">
        <w:rPr>
          <w:u w:val="single"/>
        </w:rPr>
        <w:t xml:space="preserve">On behalf of </w:t>
      </w:r>
      <w:r>
        <w:rPr>
          <w:u w:val="single"/>
        </w:rPr>
        <w:t>White Springs Agricultural Chemicals, Inc. d/b/a PCS Phosphate – White Springs (PCS)</w:t>
      </w:r>
      <w:r w:rsidRPr="00701945">
        <w:t>.</w:t>
      </w:r>
    </w:p>
    <w:p w:rsidR="00007079" w:rsidRDefault="00007079" w:rsidP="00007079">
      <w:pPr>
        <w:jc w:val="both"/>
      </w:pPr>
    </w:p>
    <w:p w:rsidR="00007079" w:rsidRDefault="00007079" w:rsidP="00007079">
      <w:pPr>
        <w:ind w:left="1440"/>
        <w:jc w:val="both"/>
      </w:pPr>
      <w:r>
        <w:t>PETER J. MATTHEIS, and MICHAEL K. LAVANGA, ESQUIRES, 1025 Thomas Jefferson Street, NW, Eighth Floor, West Tower, Washington D.C. 20007</w:t>
      </w:r>
    </w:p>
    <w:p w:rsidR="00007079" w:rsidRPr="00217FA8" w:rsidRDefault="00007079" w:rsidP="00007079">
      <w:pPr>
        <w:ind w:left="1440"/>
        <w:jc w:val="both"/>
      </w:pPr>
      <w:r>
        <w:rPr>
          <w:u w:val="single"/>
        </w:rPr>
        <w:t>On behalf of Nucor Steel Florida, Inc. (NUCOR)</w:t>
      </w:r>
      <w:r>
        <w:t>.</w:t>
      </w:r>
    </w:p>
    <w:p w:rsidR="00007079" w:rsidRDefault="00007079" w:rsidP="00007079">
      <w:pPr>
        <w:jc w:val="both"/>
      </w:pPr>
    </w:p>
    <w:p w:rsidR="00007079" w:rsidRPr="00701945" w:rsidRDefault="00007079" w:rsidP="00007079">
      <w:pPr>
        <w:ind w:left="1440"/>
        <w:jc w:val="both"/>
      </w:pPr>
      <w:r>
        <w:t>CHARLES MURPHY</w:t>
      </w:r>
      <w:r w:rsidRPr="00701945">
        <w:t xml:space="preserve">, </w:t>
      </w:r>
      <w:r>
        <w:t xml:space="preserve">and JACOB IMIG, ESQUIRES, </w:t>
      </w:r>
      <w:r w:rsidRPr="00701945">
        <w:t>Florida Public Service Commission, 2540 Shumard Oak Boulevard, Tallahassee, Florida 32399-0850</w:t>
      </w:r>
    </w:p>
    <w:p w:rsidR="00007079" w:rsidRPr="00701945" w:rsidRDefault="00007079" w:rsidP="00007079">
      <w:pPr>
        <w:ind w:left="720" w:firstLine="720"/>
        <w:jc w:val="both"/>
      </w:pPr>
      <w:r w:rsidRPr="00701945">
        <w:rPr>
          <w:u w:val="single"/>
        </w:rPr>
        <w:t>On behalf of the Florida Public Service Commission</w:t>
      </w:r>
      <w:r>
        <w:rPr>
          <w:u w:val="single"/>
        </w:rPr>
        <w:t xml:space="preserve"> (Staff)</w:t>
      </w:r>
      <w:r w:rsidRPr="00701945">
        <w:t>.</w:t>
      </w:r>
    </w:p>
    <w:p w:rsidR="00007079" w:rsidRPr="00701945" w:rsidRDefault="00007079" w:rsidP="00007079">
      <w:pPr>
        <w:jc w:val="both"/>
      </w:pPr>
    </w:p>
    <w:p w:rsidR="00007079" w:rsidRPr="00701945" w:rsidRDefault="00007079" w:rsidP="00007079">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007079" w:rsidRPr="00701945" w:rsidRDefault="00007079" w:rsidP="00007079">
      <w:pPr>
        <w:ind w:left="720" w:firstLine="720"/>
        <w:jc w:val="both"/>
      </w:pPr>
      <w:r>
        <w:rPr>
          <w:u w:val="single"/>
        </w:rPr>
        <w:t>Advisor to the</w:t>
      </w:r>
      <w:r w:rsidRPr="00701945">
        <w:rPr>
          <w:u w:val="single"/>
        </w:rPr>
        <w:t xml:space="preserve"> Florida Public Service Commission</w:t>
      </w:r>
      <w:r w:rsidRPr="00701945">
        <w:t>.</w:t>
      </w:r>
    </w:p>
    <w:p w:rsidR="00007079" w:rsidRPr="00701945" w:rsidRDefault="00007079" w:rsidP="00007079">
      <w:pPr>
        <w:jc w:val="center"/>
        <w:rPr>
          <w:b/>
          <w:bCs/>
          <w:u w:val="single"/>
        </w:rPr>
      </w:pPr>
    </w:p>
    <w:p w:rsidR="00007079" w:rsidRPr="00D033EB" w:rsidRDefault="00007079" w:rsidP="00007079">
      <w:pPr>
        <w:ind w:left="1440"/>
        <w:jc w:val="both"/>
      </w:pPr>
      <w:r w:rsidRPr="00D033EB">
        <w:t>K</w:t>
      </w:r>
      <w:r>
        <w:t>EITH C. HETRICK</w:t>
      </w:r>
      <w:r w:rsidRPr="00D033EB">
        <w:t>, ESQUIRE, General Counsel, Florida Public Service Commission, 2540 Shumard Oak Boulevard, Tallahassee, Florida 32399-0850</w:t>
      </w:r>
    </w:p>
    <w:p w:rsidR="00007079" w:rsidRPr="00217FA8" w:rsidRDefault="00007079" w:rsidP="00007079">
      <w:pPr>
        <w:ind w:left="1440"/>
        <w:jc w:val="both"/>
      </w:pPr>
      <w:r w:rsidRPr="00D033EB">
        <w:rPr>
          <w:u w:val="single"/>
        </w:rPr>
        <w:t>Florida Public Service Commission General Counsel</w:t>
      </w:r>
      <w:r>
        <w:t>.</w:t>
      </w:r>
    </w:p>
    <w:p w:rsidR="00007079" w:rsidRPr="00D033EB" w:rsidRDefault="00007079" w:rsidP="00007079">
      <w:pPr>
        <w:ind w:left="720" w:firstLine="720"/>
        <w:jc w:val="both"/>
      </w:pPr>
    </w:p>
    <w:p w:rsidR="00547088" w:rsidRDefault="00547088" w:rsidP="00547088">
      <w:pPr>
        <w:pStyle w:val="OrderBody"/>
      </w:pPr>
    </w:p>
    <w:p w:rsidR="00007079" w:rsidRDefault="00007079" w:rsidP="00007079">
      <w:pPr>
        <w:ind w:left="720" w:hanging="720"/>
        <w:jc w:val="center"/>
        <w:rPr>
          <w:u w:val="single"/>
        </w:rPr>
      </w:pPr>
      <w:bookmarkStart w:id="5" w:name="OrderText"/>
      <w:bookmarkEnd w:id="5"/>
      <w:r w:rsidRPr="00242C64">
        <w:rPr>
          <w:u w:val="single"/>
        </w:rPr>
        <w:t>BACKGROUND</w:t>
      </w:r>
    </w:p>
    <w:p w:rsidR="00007079" w:rsidRDefault="00007079" w:rsidP="00007079">
      <w:pPr>
        <w:ind w:left="720" w:hanging="720"/>
        <w:jc w:val="center"/>
        <w:rPr>
          <w:u w:val="single"/>
        </w:rPr>
      </w:pPr>
    </w:p>
    <w:p w:rsidR="00007079" w:rsidRDefault="00007079" w:rsidP="00007079">
      <w:pPr>
        <w:ind w:firstLine="720"/>
        <w:jc w:val="both"/>
      </w:pPr>
      <w:r>
        <w:t>As part of the Florida Public Service Commission’s (Commission) continuing Environmental Cost Recovery Clause (ECRC) proceeding, undertaken pursuant to Section 366.8255, Florida Statute</w:t>
      </w:r>
      <w:r w:rsidR="00632664">
        <w:t>s (F.S.), a hearing was held in this Docket on</w:t>
      </w:r>
      <w:r>
        <w:t xml:space="preserve"> </w:t>
      </w:r>
      <w:r w:rsidRPr="001C6958">
        <w:t xml:space="preserve">November </w:t>
      </w:r>
      <w:r w:rsidR="00632664">
        <w:t>2</w:t>
      </w:r>
      <w:r>
        <w:t>, 2021</w:t>
      </w:r>
      <w:r w:rsidRPr="001C6958">
        <w:t>.</w:t>
      </w:r>
      <w:r>
        <w:t xml:space="preserve">  The ECRC proceeding allows investor-owned electric utilities to seek recovery of their costs for approved environmental programs on an annual bas</w:t>
      </w:r>
      <w:r w:rsidRPr="000F306D">
        <w:t>is.</w:t>
      </w:r>
    </w:p>
    <w:p w:rsidR="00CB5276" w:rsidRDefault="00CB5276">
      <w:pPr>
        <w:pStyle w:val="OrderBody"/>
      </w:pPr>
    </w:p>
    <w:p w:rsidR="005F2751" w:rsidRDefault="00007079" w:rsidP="00007079">
      <w:pPr>
        <w:jc w:val="center"/>
        <w:rPr>
          <w:u w:val="single"/>
        </w:rPr>
      </w:pPr>
      <w:r>
        <w:rPr>
          <w:u w:val="single"/>
        </w:rPr>
        <w:t>DECISION</w:t>
      </w:r>
    </w:p>
    <w:p w:rsidR="00007079" w:rsidRDefault="00007079" w:rsidP="00007079">
      <w:pPr>
        <w:jc w:val="center"/>
        <w:rPr>
          <w:u w:val="single"/>
        </w:rPr>
      </w:pPr>
    </w:p>
    <w:p w:rsidR="00F54BD4" w:rsidRPr="00DC48B2" w:rsidRDefault="00F54BD4" w:rsidP="00F54BD4">
      <w:pPr>
        <w:autoSpaceDE w:val="0"/>
        <w:autoSpaceDN w:val="0"/>
        <w:adjustRightInd w:val="0"/>
        <w:ind w:firstLine="720"/>
        <w:jc w:val="both"/>
      </w:pPr>
      <w:r>
        <w:t>We approve the Type 2</w:t>
      </w:r>
      <w:r w:rsidRPr="00DC48B2">
        <w:rPr>
          <w:bCs/>
          <w:vertAlign w:val="superscript"/>
        </w:rPr>
        <w:footnoteReference w:id="1"/>
      </w:r>
      <w:r w:rsidRPr="00DC48B2">
        <w:t xml:space="preserve"> </w:t>
      </w:r>
      <w:r>
        <w:t>stipulation</w:t>
      </w:r>
      <w:r w:rsidR="00143C3D">
        <w:t>s</w:t>
      </w:r>
      <w:r>
        <w:t xml:space="preserve"> </w:t>
      </w:r>
      <w:r w:rsidR="00143C3D">
        <w:t>for</w:t>
      </w:r>
      <w:r>
        <w:t xml:space="preserve"> all issues</w:t>
      </w:r>
      <w:r w:rsidR="0039698F">
        <w:t>,</w:t>
      </w:r>
      <w:r>
        <w:t xml:space="preserve"> as set forth below</w:t>
      </w:r>
      <w:r w:rsidR="0039698F">
        <w:t>,</w:t>
      </w:r>
      <w:r w:rsidR="005510C1">
        <w:t xml:space="preserve"> as reasonable and supported by competent and substantial evidence</w:t>
      </w:r>
      <w:r>
        <w:t>. D</w:t>
      </w:r>
      <w:r w:rsidR="00143C3D">
        <w:t xml:space="preserve">uke </w:t>
      </w:r>
      <w:r>
        <w:t>E</w:t>
      </w:r>
      <w:r w:rsidR="00143C3D">
        <w:t xml:space="preserve">nergy </w:t>
      </w:r>
      <w:r>
        <w:t>F</w:t>
      </w:r>
      <w:r w:rsidR="00143C3D">
        <w:t>lorida (DEF)</w:t>
      </w:r>
      <w:r>
        <w:t>, F</w:t>
      </w:r>
      <w:r w:rsidR="00143C3D">
        <w:t xml:space="preserve">lorida </w:t>
      </w:r>
      <w:r>
        <w:t>P</w:t>
      </w:r>
      <w:r w:rsidR="00143C3D">
        <w:t xml:space="preserve">ower &amp; </w:t>
      </w:r>
      <w:r>
        <w:t>L</w:t>
      </w:r>
      <w:r w:rsidR="00143C3D">
        <w:t>ight Company (FPL)</w:t>
      </w:r>
      <w:r>
        <w:t>, Gulf</w:t>
      </w:r>
      <w:r w:rsidR="00143C3D">
        <w:t xml:space="preserve"> Power Company (Gulf)</w:t>
      </w:r>
      <w:r>
        <w:t>, T</w:t>
      </w:r>
      <w:r w:rsidR="00143C3D">
        <w:t xml:space="preserve">ampa </w:t>
      </w:r>
      <w:r>
        <w:t>E</w:t>
      </w:r>
      <w:r w:rsidR="00143C3D">
        <w:t>lectric Company (TECO),</w:t>
      </w:r>
      <w:r>
        <w:t xml:space="preserve"> and </w:t>
      </w:r>
      <w:r>
        <w:lastRenderedPageBreak/>
        <w:t>Commission staff supported the proposed stipulations. F</w:t>
      </w:r>
      <w:r w:rsidR="00143C3D">
        <w:t xml:space="preserve">lorida </w:t>
      </w:r>
      <w:r>
        <w:t>I</w:t>
      </w:r>
      <w:r w:rsidR="00143C3D">
        <w:t xml:space="preserve">ndustrial </w:t>
      </w:r>
      <w:r>
        <w:t>P</w:t>
      </w:r>
      <w:r w:rsidR="00143C3D">
        <w:t xml:space="preserve">ower </w:t>
      </w:r>
      <w:r>
        <w:t>U</w:t>
      </w:r>
      <w:r w:rsidR="00143C3D">
        <w:t xml:space="preserve">sers </w:t>
      </w:r>
      <w:r>
        <w:t>G</w:t>
      </w:r>
      <w:r w:rsidR="00143C3D">
        <w:t>roup (FIPUG)</w:t>
      </w:r>
      <w:r>
        <w:t>, PCS Phosphate and O</w:t>
      </w:r>
      <w:r w:rsidR="00143C3D">
        <w:t xml:space="preserve">ffice of </w:t>
      </w:r>
      <w:r>
        <w:t>P</w:t>
      </w:r>
      <w:r w:rsidR="00143C3D">
        <w:t xml:space="preserve">ublic </w:t>
      </w:r>
      <w:r>
        <w:t>C</w:t>
      </w:r>
      <w:r w:rsidR="00143C3D">
        <w:t>ounsel (OPC)</w:t>
      </w:r>
      <w:r>
        <w:t xml:space="preserve"> took no positions on the issues. </w:t>
      </w:r>
      <w:r w:rsidRPr="00DC48B2">
        <w:t xml:space="preserve">The OPC position on each Type 2 </w:t>
      </w:r>
      <w:r>
        <w:t xml:space="preserve">stipulation </w:t>
      </w:r>
      <w:r w:rsidRPr="00DC48B2">
        <w:t>follows:</w:t>
      </w:r>
    </w:p>
    <w:p w:rsidR="00F54BD4" w:rsidRPr="00DC48B2" w:rsidRDefault="00F54BD4" w:rsidP="00F54BD4"/>
    <w:p w:rsidR="00F54BD4" w:rsidRDefault="00F54BD4" w:rsidP="00F54BD4">
      <w:pPr>
        <w:autoSpaceDE w:val="0"/>
        <w:autoSpaceDN w:val="0"/>
        <w:adjustRightInd w:val="0"/>
        <w:ind w:left="720" w:right="720"/>
        <w:jc w:val="both"/>
        <w:rPr>
          <w:bCs/>
        </w:rPr>
      </w:pPr>
      <w:r w:rsidRPr="00DC48B2">
        <w:rPr>
          <w:bCs/>
        </w:rPr>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w:t>
      </w:r>
      <w:r w:rsidR="0039698F">
        <w:rPr>
          <w:bCs/>
        </w:rPr>
        <w:t>,</w:t>
      </w:r>
      <w:r w:rsidRPr="00DC48B2">
        <w:rPr>
          <w:bCs/>
        </w:rPr>
        <w:t xml:space="preserve"> or in a representation to a Court.  </w:t>
      </w:r>
    </w:p>
    <w:p w:rsidR="00F54BD4" w:rsidRPr="00E41B60" w:rsidRDefault="00F54BD4" w:rsidP="00F54BD4">
      <w:pPr>
        <w:autoSpaceDE w:val="0"/>
        <w:autoSpaceDN w:val="0"/>
        <w:adjustRightInd w:val="0"/>
        <w:ind w:left="720" w:right="720"/>
        <w:jc w:val="both"/>
        <w:rPr>
          <w:bCs/>
        </w:rPr>
      </w:pPr>
    </w:p>
    <w:p w:rsidR="00F54BD4" w:rsidRDefault="00F54BD4" w:rsidP="00F54BD4">
      <w:pPr>
        <w:rPr>
          <w:u w:val="single"/>
        </w:rPr>
      </w:pPr>
    </w:p>
    <w:p w:rsidR="00B31A1B" w:rsidRDefault="00B31A1B" w:rsidP="00B31A1B">
      <w:pPr>
        <w:jc w:val="both"/>
        <w:rPr>
          <w:b/>
          <w:u w:val="single"/>
        </w:rPr>
      </w:pPr>
      <w:r>
        <w:rPr>
          <w:b/>
          <w:u w:val="single"/>
        </w:rPr>
        <w:t xml:space="preserve">Generic Issues </w:t>
      </w:r>
    </w:p>
    <w:p w:rsidR="00B31A1B" w:rsidRDefault="00B31A1B" w:rsidP="00B31A1B">
      <w:pPr>
        <w:jc w:val="both"/>
        <w:rPr>
          <w:b/>
          <w:u w:val="single"/>
        </w:rPr>
      </w:pPr>
    </w:p>
    <w:p w:rsidR="00B31A1B" w:rsidRDefault="00B31A1B" w:rsidP="00B31A1B">
      <w:pPr>
        <w:jc w:val="both"/>
        <w:rPr>
          <w:b/>
          <w:u w:val="single"/>
        </w:rPr>
      </w:pPr>
    </w:p>
    <w:p w:rsidR="00B31A1B" w:rsidRDefault="00B31A1B" w:rsidP="00143C3D">
      <w:pPr>
        <w:pStyle w:val="ListParagraph"/>
        <w:numPr>
          <w:ilvl w:val="0"/>
          <w:numId w:val="4"/>
        </w:numPr>
        <w:ind w:left="1440" w:hanging="1440"/>
        <w:jc w:val="both"/>
        <w:rPr>
          <w:b/>
        </w:rPr>
      </w:pPr>
      <w:r w:rsidRPr="00B31A1B">
        <w:rPr>
          <w:b/>
        </w:rPr>
        <w:t>Environmental Cost Recovery True-Up Amounts for the Period January 2020 Through December 2020</w:t>
      </w:r>
    </w:p>
    <w:p w:rsidR="00143C3D" w:rsidRDefault="00143C3D" w:rsidP="00143C3D">
      <w:pPr>
        <w:jc w:val="both"/>
        <w:rPr>
          <w:b/>
        </w:rPr>
      </w:pPr>
    </w:p>
    <w:p w:rsidR="00143C3D" w:rsidRPr="00143C3D" w:rsidRDefault="00143C3D" w:rsidP="001827AD">
      <w:pPr>
        <w:ind w:left="1440"/>
        <w:jc w:val="both"/>
      </w:pPr>
      <w:r>
        <w:t>The final environmental cost recovery true-up amounts for period ending December 31, 2020, are:</w:t>
      </w:r>
    </w:p>
    <w:p w:rsidR="00B31A1B" w:rsidRPr="00B31A1B" w:rsidRDefault="00B31A1B" w:rsidP="00B31A1B">
      <w:pPr>
        <w:spacing w:line="276" w:lineRule="auto"/>
        <w:ind w:left="360"/>
        <w:jc w:val="both"/>
        <w:rPr>
          <w:rFonts w:eastAsia="Calibri"/>
          <w:b/>
        </w:rPr>
      </w:pPr>
    </w:p>
    <w:tbl>
      <w:tblPr>
        <w:tblW w:w="462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0"/>
        <w:gridCol w:w="1729"/>
      </w:tblGrid>
      <w:tr w:rsidR="00B31A1B" w:rsidRPr="00D90DAE" w:rsidTr="00A243A1">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31A1B" w:rsidRPr="00D90DAE" w:rsidRDefault="00B31A1B" w:rsidP="00A243A1">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B31A1B" w:rsidRPr="00D90DAE" w:rsidRDefault="00B31A1B" w:rsidP="00A243A1">
            <w:pPr>
              <w:jc w:val="both"/>
              <w:rPr>
                <w:sz w:val="22"/>
                <w:szCs w:val="22"/>
              </w:rPr>
            </w:pPr>
            <w:r w:rsidRPr="00125542">
              <w:rPr>
                <w:sz w:val="22"/>
                <w:szCs w:val="22"/>
              </w:rPr>
              <w:t>$14,657,307</w:t>
            </w:r>
          </w:p>
        </w:tc>
        <w:tc>
          <w:tcPr>
            <w:tcW w:w="1729" w:type="dxa"/>
            <w:tcBorders>
              <w:top w:val="single" w:sz="4" w:space="0" w:color="auto"/>
              <w:left w:val="single" w:sz="4" w:space="0" w:color="auto"/>
              <w:bottom w:val="single" w:sz="4" w:space="0" w:color="auto"/>
              <w:right w:val="single" w:sz="4" w:space="0" w:color="auto"/>
            </w:tcBorders>
            <w:noWrap/>
            <w:vAlign w:val="bottom"/>
          </w:tcPr>
          <w:p w:rsidR="00B31A1B" w:rsidRPr="00D90DAE" w:rsidRDefault="00B31A1B" w:rsidP="00A243A1">
            <w:pPr>
              <w:jc w:val="both"/>
              <w:rPr>
                <w:sz w:val="22"/>
                <w:szCs w:val="22"/>
              </w:rPr>
            </w:pPr>
            <w:r>
              <w:rPr>
                <w:sz w:val="22"/>
                <w:szCs w:val="22"/>
              </w:rPr>
              <w:t>Over-recovery</w:t>
            </w:r>
          </w:p>
        </w:tc>
      </w:tr>
      <w:tr w:rsidR="00B31A1B" w:rsidRPr="00D90DAE" w:rsidTr="00A243A1">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B31A1B" w:rsidRPr="00D90DAE" w:rsidRDefault="00B31A1B" w:rsidP="00A243A1">
            <w:pPr>
              <w:jc w:val="both"/>
              <w:rPr>
                <w:sz w:val="22"/>
                <w:szCs w:val="22"/>
              </w:rPr>
            </w:pPr>
            <w:r w:rsidRPr="00D90DAE">
              <w:rPr>
                <w:sz w:val="22"/>
                <w:szCs w:val="22"/>
              </w:rPr>
              <w:t xml:space="preserve">GULF </w:t>
            </w:r>
          </w:p>
        </w:tc>
        <w:tc>
          <w:tcPr>
            <w:tcW w:w="1530" w:type="dxa"/>
            <w:tcBorders>
              <w:top w:val="single" w:sz="4" w:space="0" w:color="auto"/>
              <w:left w:val="single" w:sz="4" w:space="0" w:color="auto"/>
              <w:bottom w:val="single" w:sz="4" w:space="0" w:color="auto"/>
              <w:right w:val="single" w:sz="4" w:space="0" w:color="auto"/>
            </w:tcBorders>
            <w:noWrap/>
            <w:vAlign w:val="bottom"/>
          </w:tcPr>
          <w:p w:rsidR="00B31A1B" w:rsidRPr="00D90DAE" w:rsidRDefault="00B31A1B" w:rsidP="00A243A1">
            <w:pPr>
              <w:jc w:val="both"/>
              <w:rPr>
                <w:sz w:val="22"/>
                <w:szCs w:val="22"/>
              </w:rPr>
            </w:pPr>
            <w:r w:rsidRPr="00823565">
              <w:rPr>
                <w:sz w:val="22"/>
                <w:szCs w:val="22"/>
              </w:rPr>
              <w:t>$</w:t>
            </w:r>
            <w:r>
              <w:rPr>
                <w:sz w:val="22"/>
                <w:szCs w:val="22"/>
              </w:rPr>
              <w:t>2,150,848</w:t>
            </w:r>
          </w:p>
        </w:tc>
        <w:tc>
          <w:tcPr>
            <w:tcW w:w="1729" w:type="dxa"/>
            <w:tcBorders>
              <w:top w:val="single" w:sz="4" w:space="0" w:color="auto"/>
              <w:left w:val="single" w:sz="4" w:space="0" w:color="auto"/>
              <w:bottom w:val="single" w:sz="4" w:space="0" w:color="auto"/>
              <w:right w:val="single" w:sz="4" w:space="0" w:color="auto"/>
            </w:tcBorders>
            <w:noWrap/>
            <w:vAlign w:val="bottom"/>
          </w:tcPr>
          <w:p w:rsidR="00B31A1B" w:rsidRPr="00D90DAE" w:rsidRDefault="00B31A1B" w:rsidP="00A243A1">
            <w:pPr>
              <w:jc w:val="both"/>
              <w:rPr>
                <w:sz w:val="22"/>
                <w:szCs w:val="22"/>
              </w:rPr>
            </w:pPr>
            <w:r>
              <w:rPr>
                <w:sz w:val="22"/>
                <w:szCs w:val="22"/>
              </w:rPr>
              <w:t>Under-recovery</w:t>
            </w:r>
          </w:p>
        </w:tc>
      </w:tr>
      <w:tr w:rsidR="00B31A1B" w:rsidRPr="00D90DAE" w:rsidTr="00A243A1">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31A1B" w:rsidRPr="00D90DAE" w:rsidRDefault="00B31A1B" w:rsidP="00A243A1">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B31A1B" w:rsidRPr="00D90DAE" w:rsidRDefault="00B31A1B" w:rsidP="00A243A1">
            <w:pPr>
              <w:jc w:val="both"/>
              <w:rPr>
                <w:sz w:val="22"/>
                <w:szCs w:val="22"/>
              </w:rPr>
            </w:pPr>
            <w:r>
              <w:rPr>
                <w:sz w:val="22"/>
                <w:szCs w:val="22"/>
              </w:rPr>
              <w:t>$</w:t>
            </w:r>
            <w:r w:rsidRPr="00F26183">
              <w:rPr>
                <w:sz w:val="22"/>
                <w:szCs w:val="22"/>
              </w:rPr>
              <w:t>231,488</w:t>
            </w:r>
          </w:p>
        </w:tc>
        <w:tc>
          <w:tcPr>
            <w:tcW w:w="1729" w:type="dxa"/>
            <w:tcBorders>
              <w:top w:val="single" w:sz="4" w:space="0" w:color="auto"/>
              <w:left w:val="single" w:sz="4" w:space="0" w:color="auto"/>
              <w:bottom w:val="single" w:sz="4" w:space="0" w:color="auto"/>
              <w:right w:val="single" w:sz="4" w:space="0" w:color="auto"/>
            </w:tcBorders>
            <w:noWrap/>
            <w:vAlign w:val="bottom"/>
          </w:tcPr>
          <w:p w:rsidR="00B31A1B" w:rsidRPr="00D90DAE" w:rsidRDefault="00B31A1B" w:rsidP="00A243A1">
            <w:pPr>
              <w:jc w:val="both"/>
              <w:rPr>
                <w:sz w:val="22"/>
                <w:szCs w:val="22"/>
              </w:rPr>
            </w:pPr>
            <w:r>
              <w:rPr>
                <w:sz w:val="22"/>
                <w:szCs w:val="22"/>
              </w:rPr>
              <w:t>Over-recovery</w:t>
            </w:r>
          </w:p>
        </w:tc>
      </w:tr>
      <w:tr w:rsidR="00B31A1B" w:rsidRPr="00D90DAE" w:rsidTr="00A243A1">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31A1B" w:rsidRPr="00D90DAE" w:rsidRDefault="00B31A1B" w:rsidP="00A243A1">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B31A1B" w:rsidRPr="00D90DAE" w:rsidRDefault="00B31A1B" w:rsidP="00A243A1">
            <w:pPr>
              <w:jc w:val="both"/>
              <w:rPr>
                <w:sz w:val="22"/>
                <w:szCs w:val="22"/>
              </w:rPr>
            </w:pPr>
            <w:r>
              <w:rPr>
                <w:sz w:val="22"/>
                <w:szCs w:val="22"/>
              </w:rPr>
              <w:t>$</w:t>
            </w:r>
            <w:r w:rsidRPr="00F26183">
              <w:rPr>
                <w:sz w:val="22"/>
                <w:szCs w:val="22"/>
              </w:rPr>
              <w:t>4,237,191</w:t>
            </w:r>
          </w:p>
        </w:tc>
        <w:tc>
          <w:tcPr>
            <w:tcW w:w="1729" w:type="dxa"/>
            <w:tcBorders>
              <w:top w:val="single" w:sz="4" w:space="0" w:color="auto"/>
              <w:left w:val="single" w:sz="4" w:space="0" w:color="auto"/>
              <w:bottom w:val="single" w:sz="4" w:space="0" w:color="auto"/>
              <w:right w:val="single" w:sz="4" w:space="0" w:color="auto"/>
            </w:tcBorders>
            <w:noWrap/>
            <w:vAlign w:val="bottom"/>
          </w:tcPr>
          <w:p w:rsidR="00B31A1B" w:rsidRPr="00D90DAE" w:rsidRDefault="00B31A1B" w:rsidP="00A243A1">
            <w:pPr>
              <w:jc w:val="both"/>
              <w:rPr>
                <w:sz w:val="22"/>
                <w:szCs w:val="22"/>
              </w:rPr>
            </w:pPr>
            <w:r w:rsidRPr="00F26183">
              <w:rPr>
                <w:sz w:val="22"/>
                <w:szCs w:val="22"/>
              </w:rPr>
              <w:t>Over-recovery</w:t>
            </w:r>
          </w:p>
        </w:tc>
      </w:tr>
    </w:tbl>
    <w:p w:rsidR="00B31A1B" w:rsidRDefault="00B31A1B" w:rsidP="00B31A1B">
      <w:pPr>
        <w:jc w:val="both"/>
        <w:rPr>
          <w:b/>
        </w:rPr>
      </w:pPr>
    </w:p>
    <w:p w:rsidR="00B31A1B" w:rsidRPr="00143C3D" w:rsidRDefault="009E7EF7" w:rsidP="00143C3D">
      <w:pPr>
        <w:pStyle w:val="ListParagraph"/>
        <w:numPr>
          <w:ilvl w:val="0"/>
          <w:numId w:val="4"/>
        </w:numPr>
        <w:ind w:left="1440" w:hanging="1440"/>
        <w:jc w:val="both"/>
        <w:rPr>
          <w:b/>
        </w:rPr>
      </w:pPr>
      <w:r w:rsidRPr="00143C3D">
        <w:rPr>
          <w:b/>
        </w:rPr>
        <w:t>Actual/Estimated Environmental Cost Recovery True-Up Amounts for the Period January 2021 Through December 2021</w:t>
      </w:r>
    </w:p>
    <w:p w:rsidR="00143C3D" w:rsidRDefault="00143C3D" w:rsidP="00143C3D">
      <w:pPr>
        <w:jc w:val="both"/>
        <w:rPr>
          <w:b/>
        </w:rPr>
      </w:pPr>
    </w:p>
    <w:p w:rsidR="00143C3D" w:rsidRPr="00143C3D" w:rsidRDefault="00143C3D" w:rsidP="001827AD">
      <w:pPr>
        <w:ind w:left="1440"/>
        <w:jc w:val="both"/>
      </w:pPr>
      <w:r>
        <w:t>The estimated/actual environmental cost recovery true-up amounts for the period of January 2021</w:t>
      </w:r>
      <w:r w:rsidR="00E7262C">
        <w:t>, through December 2021, are:</w:t>
      </w:r>
    </w:p>
    <w:p w:rsidR="009E7EF7" w:rsidRPr="00D90DAE" w:rsidRDefault="009E7EF7" w:rsidP="009E7EF7">
      <w:pPr>
        <w:ind w:left="1080" w:hanging="1080"/>
        <w:jc w:val="both"/>
        <w:rPr>
          <w:rFonts w:eastAsia="Calibri"/>
          <w:b/>
        </w:rPr>
      </w:pPr>
    </w:p>
    <w:tbl>
      <w:tblPr>
        <w:tblW w:w="46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gridCol w:w="1800"/>
      </w:tblGrid>
      <w:tr w:rsidR="009E7EF7" w:rsidRPr="00D90DAE" w:rsidTr="00A243A1">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E7EF7" w:rsidRPr="00D90DAE" w:rsidRDefault="009E7EF7" w:rsidP="00A243A1">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sidRPr="00125542">
              <w:rPr>
                <w:sz w:val="22"/>
                <w:szCs w:val="22"/>
              </w:rPr>
              <w:t>$2,748,378</w:t>
            </w:r>
          </w:p>
        </w:tc>
        <w:tc>
          <w:tcPr>
            <w:tcW w:w="1800"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Pr>
                <w:sz w:val="22"/>
                <w:szCs w:val="22"/>
              </w:rPr>
              <w:t>Over-recovery</w:t>
            </w:r>
          </w:p>
        </w:tc>
      </w:tr>
      <w:tr w:rsidR="009E7EF7" w:rsidRPr="00D90DAE" w:rsidTr="00A243A1">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E7EF7" w:rsidRPr="00D90DAE" w:rsidRDefault="009E7EF7" w:rsidP="00A243A1">
            <w:pPr>
              <w:jc w:val="both"/>
              <w:rPr>
                <w:sz w:val="22"/>
                <w:szCs w:val="22"/>
              </w:rPr>
            </w:pPr>
            <w:r w:rsidRPr="00D90DAE">
              <w:rPr>
                <w:sz w:val="22"/>
                <w:szCs w:val="22"/>
              </w:rPr>
              <w:t xml:space="preserve">GULF </w:t>
            </w:r>
          </w:p>
        </w:tc>
        <w:tc>
          <w:tcPr>
            <w:tcW w:w="1530"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sidRPr="00E84D6C">
              <w:rPr>
                <w:sz w:val="22"/>
                <w:szCs w:val="22"/>
              </w:rPr>
              <w:t>$</w:t>
            </w:r>
            <w:r>
              <w:rPr>
                <w:sz w:val="22"/>
                <w:szCs w:val="22"/>
              </w:rPr>
              <w:t>3,816,668</w:t>
            </w:r>
          </w:p>
        </w:tc>
        <w:tc>
          <w:tcPr>
            <w:tcW w:w="1800"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Pr>
                <w:sz w:val="22"/>
                <w:szCs w:val="22"/>
              </w:rPr>
              <w:t>Over-recovery</w:t>
            </w:r>
          </w:p>
        </w:tc>
      </w:tr>
      <w:tr w:rsidR="009E7EF7" w:rsidRPr="00D90DAE" w:rsidTr="00A243A1">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9E7EF7" w:rsidRPr="00D90DAE" w:rsidRDefault="009E7EF7" w:rsidP="00A243A1">
            <w:pPr>
              <w:jc w:val="both"/>
              <w:rPr>
                <w:sz w:val="22"/>
                <w:szCs w:val="22"/>
              </w:rPr>
            </w:pPr>
            <w:r w:rsidRPr="00D90DAE">
              <w:rPr>
                <w:sz w:val="22"/>
                <w:szCs w:val="22"/>
              </w:rPr>
              <w:t>DEF</w:t>
            </w:r>
          </w:p>
        </w:tc>
        <w:tc>
          <w:tcPr>
            <w:tcW w:w="1530" w:type="dxa"/>
            <w:tcBorders>
              <w:top w:val="single" w:sz="4" w:space="0" w:color="auto"/>
              <w:left w:val="single" w:sz="4" w:space="0" w:color="auto"/>
              <w:bottom w:val="single" w:sz="4" w:space="0" w:color="auto"/>
              <w:right w:val="single" w:sz="4" w:space="0" w:color="auto"/>
            </w:tcBorders>
            <w:noWrap/>
            <w:vAlign w:val="bottom"/>
          </w:tcPr>
          <w:p w:rsidR="009E7EF7" w:rsidRDefault="009E7EF7" w:rsidP="00A243A1">
            <w:pPr>
              <w:jc w:val="both"/>
              <w:rPr>
                <w:sz w:val="22"/>
                <w:szCs w:val="22"/>
              </w:rPr>
            </w:pPr>
            <w:r>
              <w:rPr>
                <w:sz w:val="22"/>
                <w:szCs w:val="22"/>
              </w:rPr>
              <w:t>$</w:t>
            </w:r>
            <w:r w:rsidRPr="00F26183">
              <w:rPr>
                <w:sz w:val="22"/>
                <w:szCs w:val="22"/>
              </w:rPr>
              <w:t>1,596,750</w:t>
            </w:r>
          </w:p>
        </w:tc>
        <w:tc>
          <w:tcPr>
            <w:tcW w:w="1800" w:type="dxa"/>
            <w:tcBorders>
              <w:top w:val="single" w:sz="4" w:space="0" w:color="auto"/>
              <w:left w:val="single" w:sz="4" w:space="0" w:color="auto"/>
              <w:bottom w:val="single" w:sz="4" w:space="0" w:color="auto"/>
              <w:right w:val="single" w:sz="4" w:space="0" w:color="auto"/>
            </w:tcBorders>
            <w:noWrap/>
            <w:vAlign w:val="bottom"/>
          </w:tcPr>
          <w:p w:rsidR="009E7EF7" w:rsidRDefault="009E7EF7" w:rsidP="00A243A1">
            <w:pPr>
              <w:jc w:val="both"/>
              <w:rPr>
                <w:sz w:val="22"/>
                <w:szCs w:val="22"/>
              </w:rPr>
            </w:pPr>
            <w:r>
              <w:rPr>
                <w:sz w:val="22"/>
                <w:szCs w:val="22"/>
              </w:rPr>
              <w:t>Over-recovery</w:t>
            </w:r>
          </w:p>
        </w:tc>
      </w:tr>
      <w:tr w:rsidR="009E7EF7" w:rsidRPr="00D90DAE" w:rsidTr="00A243A1">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E7EF7" w:rsidRPr="00D90DAE" w:rsidRDefault="009E7EF7" w:rsidP="00A243A1">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Pr>
                <w:sz w:val="22"/>
                <w:szCs w:val="22"/>
              </w:rPr>
              <w:t>$</w:t>
            </w:r>
            <w:r w:rsidRPr="00F26183">
              <w:rPr>
                <w:sz w:val="22"/>
                <w:szCs w:val="22"/>
              </w:rPr>
              <w:t>4,289,623</w:t>
            </w:r>
          </w:p>
        </w:tc>
        <w:tc>
          <w:tcPr>
            <w:tcW w:w="1800"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Pr>
                <w:sz w:val="22"/>
                <w:szCs w:val="22"/>
              </w:rPr>
              <w:t>Under-recovery</w:t>
            </w:r>
          </w:p>
        </w:tc>
      </w:tr>
    </w:tbl>
    <w:p w:rsidR="009E7EF7" w:rsidRDefault="009E7EF7" w:rsidP="009E7EF7">
      <w:pPr>
        <w:ind w:left="1440" w:hanging="1440"/>
        <w:jc w:val="both"/>
        <w:rPr>
          <w:b/>
        </w:rPr>
      </w:pPr>
    </w:p>
    <w:p w:rsidR="001827AD" w:rsidRDefault="001827AD">
      <w:pPr>
        <w:rPr>
          <w:b/>
        </w:rPr>
      </w:pPr>
      <w:r>
        <w:rPr>
          <w:b/>
        </w:rPr>
        <w:br w:type="page"/>
      </w:r>
    </w:p>
    <w:p w:rsidR="009E7EF7" w:rsidRDefault="009E7EF7" w:rsidP="009E7EF7">
      <w:pPr>
        <w:ind w:left="1440" w:hanging="1440"/>
        <w:jc w:val="both"/>
        <w:rPr>
          <w:b/>
        </w:rPr>
      </w:pPr>
      <w:r>
        <w:rPr>
          <w:b/>
        </w:rPr>
        <w:lastRenderedPageBreak/>
        <w:t xml:space="preserve">3. </w:t>
      </w:r>
      <w:r>
        <w:rPr>
          <w:b/>
        </w:rPr>
        <w:tab/>
        <w:t>Projected Environmental Cost Recovery Amoun</w:t>
      </w:r>
      <w:r w:rsidR="001827AD">
        <w:rPr>
          <w:b/>
        </w:rPr>
        <w:t>ts for the Period January 2022 T</w:t>
      </w:r>
      <w:r>
        <w:rPr>
          <w:b/>
        </w:rPr>
        <w:t>hrough December 2022</w:t>
      </w:r>
    </w:p>
    <w:p w:rsidR="001827AD" w:rsidRDefault="001827AD" w:rsidP="001827AD">
      <w:pPr>
        <w:spacing w:after="200"/>
        <w:jc w:val="both"/>
        <w:rPr>
          <w:rFonts w:eastAsia="Calibri"/>
        </w:rPr>
      </w:pPr>
    </w:p>
    <w:p w:rsidR="001827AD" w:rsidRPr="001827AD" w:rsidRDefault="001827AD" w:rsidP="001827AD">
      <w:pPr>
        <w:spacing w:after="200"/>
        <w:ind w:left="1440"/>
        <w:jc w:val="both"/>
        <w:rPr>
          <w:rFonts w:eastAsia="Calibri"/>
        </w:rPr>
      </w:pPr>
      <w:r>
        <w:rPr>
          <w:rFonts w:eastAsia="Calibri"/>
        </w:rPr>
        <w:t>The projected environmental cost recovery amounts for the period of January 2022, through December 2022, are:</w:t>
      </w:r>
    </w:p>
    <w:tbl>
      <w:tblPr>
        <w:tblW w:w="25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36"/>
      </w:tblGrid>
      <w:tr w:rsidR="009E7EF7" w:rsidRPr="00D90DAE" w:rsidTr="00A243A1">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E7EF7" w:rsidRPr="00D90DAE" w:rsidRDefault="009E7EF7" w:rsidP="00A243A1">
            <w:pPr>
              <w:jc w:val="both"/>
              <w:rPr>
                <w:sz w:val="22"/>
                <w:szCs w:val="22"/>
              </w:rPr>
            </w:pPr>
            <w:r w:rsidRPr="00D90DAE">
              <w:rPr>
                <w:sz w:val="22"/>
                <w:szCs w:val="22"/>
              </w:rPr>
              <w:t>FPL</w:t>
            </w:r>
            <w:r>
              <w:rPr>
                <w:sz w:val="22"/>
                <w:szCs w:val="22"/>
              </w:rPr>
              <w:t>/GULF</w:t>
            </w:r>
            <w:r w:rsidRPr="00D90DAE">
              <w:rPr>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sidRPr="00F26183">
              <w:rPr>
                <w:sz w:val="22"/>
                <w:szCs w:val="22"/>
              </w:rPr>
              <w:t>$364,050,992</w:t>
            </w:r>
          </w:p>
        </w:tc>
      </w:tr>
      <w:tr w:rsidR="009E7EF7" w:rsidRPr="00D90DAE" w:rsidTr="00A243A1">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E7EF7" w:rsidRPr="00D90DAE" w:rsidRDefault="009E7EF7" w:rsidP="00A243A1">
            <w:pPr>
              <w:jc w:val="both"/>
              <w:rPr>
                <w:sz w:val="22"/>
                <w:szCs w:val="22"/>
              </w:rPr>
            </w:pPr>
            <w:r w:rsidRPr="00D90DAE">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Pr>
                <w:sz w:val="22"/>
                <w:szCs w:val="22"/>
              </w:rPr>
              <w:t>$</w:t>
            </w:r>
            <w:r w:rsidRPr="00F26183">
              <w:rPr>
                <w:sz w:val="22"/>
                <w:szCs w:val="22"/>
              </w:rPr>
              <w:t>12,277,061</w:t>
            </w:r>
          </w:p>
        </w:tc>
      </w:tr>
      <w:tr w:rsidR="009E7EF7" w:rsidRPr="00D90DAE" w:rsidTr="00A243A1">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E7EF7" w:rsidRPr="00D90DAE" w:rsidRDefault="009E7EF7" w:rsidP="00A243A1">
            <w:pPr>
              <w:jc w:val="both"/>
              <w:rPr>
                <w:sz w:val="22"/>
                <w:szCs w:val="22"/>
              </w:rPr>
            </w:pPr>
            <w:r w:rsidRPr="00D90DAE">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9E7EF7" w:rsidRPr="00D90DAE" w:rsidRDefault="009E7EF7" w:rsidP="00A243A1">
            <w:pPr>
              <w:jc w:val="both"/>
              <w:rPr>
                <w:sz w:val="22"/>
                <w:szCs w:val="22"/>
              </w:rPr>
            </w:pPr>
            <w:r w:rsidRPr="00125542">
              <w:rPr>
                <w:sz w:val="22"/>
                <w:szCs w:val="22"/>
              </w:rPr>
              <w:t>$26,342,444</w:t>
            </w:r>
          </w:p>
        </w:tc>
      </w:tr>
    </w:tbl>
    <w:p w:rsidR="004B3C76" w:rsidRDefault="004B3C76">
      <w:pPr>
        <w:rPr>
          <w:b/>
        </w:rPr>
      </w:pPr>
    </w:p>
    <w:p w:rsidR="009E7EF7" w:rsidRDefault="009E7EF7" w:rsidP="009E7EF7">
      <w:pPr>
        <w:ind w:left="1440" w:hanging="1440"/>
        <w:jc w:val="both"/>
        <w:rPr>
          <w:b/>
        </w:rPr>
      </w:pPr>
      <w:r>
        <w:rPr>
          <w:b/>
        </w:rPr>
        <w:t xml:space="preserve">4. </w:t>
      </w:r>
      <w:r>
        <w:rPr>
          <w:b/>
        </w:rPr>
        <w:tab/>
        <w:t xml:space="preserve">Environmental Cost Recovery Amounts, Including True-Up Amounts, for the Period January </w:t>
      </w:r>
      <w:r w:rsidR="001827AD">
        <w:rPr>
          <w:b/>
        </w:rPr>
        <w:t>2022 T</w:t>
      </w:r>
      <w:r w:rsidR="009610F9">
        <w:rPr>
          <w:b/>
        </w:rPr>
        <w:t>hrough December 2022</w:t>
      </w:r>
    </w:p>
    <w:p w:rsidR="001827AD" w:rsidRDefault="001827AD" w:rsidP="009E7EF7">
      <w:pPr>
        <w:ind w:left="1440" w:hanging="1440"/>
        <w:jc w:val="both"/>
        <w:rPr>
          <w:b/>
        </w:rPr>
      </w:pPr>
    </w:p>
    <w:p w:rsidR="001827AD" w:rsidRPr="001827AD" w:rsidRDefault="001827AD" w:rsidP="001827AD">
      <w:pPr>
        <w:ind w:left="1440"/>
        <w:jc w:val="both"/>
      </w:pPr>
      <w:r>
        <w:t>The environmental cost recovery amounts, including true-up amounts, for the period January 2022, through December 2022, are:</w:t>
      </w:r>
    </w:p>
    <w:p w:rsidR="009610F9" w:rsidRDefault="009610F9" w:rsidP="009E7EF7">
      <w:pPr>
        <w:ind w:left="1440" w:hanging="1440"/>
        <w:jc w:val="both"/>
        <w:rPr>
          <w:b/>
        </w:rPr>
      </w:pPr>
    </w:p>
    <w:tbl>
      <w:tblPr>
        <w:tblW w:w="28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77"/>
      </w:tblGrid>
      <w:tr w:rsidR="009610F9" w:rsidRPr="00D90DAE" w:rsidTr="00A243A1">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610F9" w:rsidRPr="00D90DAE" w:rsidRDefault="009610F9" w:rsidP="00A243A1">
            <w:pPr>
              <w:jc w:val="both"/>
              <w:rPr>
                <w:sz w:val="22"/>
                <w:szCs w:val="22"/>
              </w:rPr>
            </w:pPr>
            <w:r w:rsidRPr="00D90DAE">
              <w:rPr>
                <w:sz w:val="22"/>
                <w:szCs w:val="22"/>
              </w:rPr>
              <w:t>FPL</w:t>
            </w:r>
            <w:r>
              <w:rPr>
                <w:sz w:val="22"/>
                <w:szCs w:val="22"/>
              </w:rPr>
              <w:t>/GULF</w:t>
            </w:r>
          </w:p>
        </w:tc>
        <w:tc>
          <w:tcPr>
            <w:tcW w:w="1577" w:type="dxa"/>
            <w:tcBorders>
              <w:top w:val="single" w:sz="4" w:space="0" w:color="auto"/>
              <w:left w:val="single" w:sz="4" w:space="0" w:color="auto"/>
              <w:bottom w:val="single" w:sz="4" w:space="0" w:color="auto"/>
              <w:right w:val="single" w:sz="4" w:space="0" w:color="auto"/>
            </w:tcBorders>
            <w:noWrap/>
            <w:vAlign w:val="bottom"/>
          </w:tcPr>
          <w:p w:rsidR="009610F9" w:rsidRPr="00D90DAE" w:rsidRDefault="009610F9" w:rsidP="00A243A1">
            <w:pPr>
              <w:jc w:val="both"/>
              <w:rPr>
                <w:sz w:val="22"/>
                <w:szCs w:val="22"/>
              </w:rPr>
            </w:pPr>
            <w:r w:rsidRPr="00F26183">
              <w:rPr>
                <w:sz w:val="22"/>
                <w:szCs w:val="22"/>
              </w:rPr>
              <w:t>$344,979,487</w:t>
            </w:r>
          </w:p>
        </w:tc>
      </w:tr>
      <w:tr w:rsidR="009610F9" w:rsidRPr="00D90DAE" w:rsidTr="00A243A1">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610F9" w:rsidRPr="00D90DAE" w:rsidRDefault="009610F9" w:rsidP="00A243A1">
            <w:pPr>
              <w:jc w:val="both"/>
              <w:rPr>
                <w:sz w:val="22"/>
                <w:szCs w:val="22"/>
              </w:rPr>
            </w:pPr>
            <w:r w:rsidRPr="00D90DAE">
              <w:rPr>
                <w:sz w:val="22"/>
                <w:szCs w:val="22"/>
              </w:rPr>
              <w:t xml:space="preserve">DEF </w:t>
            </w:r>
          </w:p>
        </w:tc>
        <w:tc>
          <w:tcPr>
            <w:tcW w:w="1577" w:type="dxa"/>
            <w:tcBorders>
              <w:top w:val="single" w:sz="4" w:space="0" w:color="auto"/>
              <w:left w:val="single" w:sz="4" w:space="0" w:color="auto"/>
              <w:bottom w:val="single" w:sz="4" w:space="0" w:color="auto"/>
              <w:right w:val="single" w:sz="4" w:space="0" w:color="auto"/>
            </w:tcBorders>
            <w:noWrap/>
            <w:vAlign w:val="bottom"/>
          </w:tcPr>
          <w:p w:rsidR="009610F9" w:rsidRPr="00D90DAE" w:rsidRDefault="009610F9" w:rsidP="00A243A1">
            <w:pPr>
              <w:jc w:val="both"/>
              <w:rPr>
                <w:sz w:val="22"/>
                <w:szCs w:val="22"/>
              </w:rPr>
            </w:pPr>
            <w:r w:rsidRPr="00F26183">
              <w:rPr>
                <w:sz w:val="22"/>
                <w:szCs w:val="22"/>
              </w:rPr>
              <w:t>$10,448,824</w:t>
            </w:r>
          </w:p>
        </w:tc>
      </w:tr>
      <w:tr w:rsidR="009610F9" w:rsidRPr="00D90DAE" w:rsidTr="00A243A1">
        <w:trPr>
          <w:trHeight w:val="315"/>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610F9" w:rsidRPr="00D90DAE" w:rsidRDefault="009610F9" w:rsidP="00A243A1">
            <w:pPr>
              <w:jc w:val="both"/>
              <w:rPr>
                <w:sz w:val="22"/>
                <w:szCs w:val="22"/>
              </w:rPr>
            </w:pPr>
            <w:r w:rsidRPr="00D90DAE">
              <w:rPr>
                <w:sz w:val="22"/>
                <w:szCs w:val="22"/>
              </w:rPr>
              <w:t xml:space="preserve">TECO </w:t>
            </w:r>
          </w:p>
        </w:tc>
        <w:tc>
          <w:tcPr>
            <w:tcW w:w="1577" w:type="dxa"/>
            <w:tcBorders>
              <w:top w:val="single" w:sz="4" w:space="0" w:color="auto"/>
              <w:left w:val="single" w:sz="4" w:space="0" w:color="auto"/>
              <w:bottom w:val="single" w:sz="4" w:space="0" w:color="auto"/>
              <w:right w:val="single" w:sz="4" w:space="0" w:color="auto"/>
            </w:tcBorders>
            <w:noWrap/>
            <w:vAlign w:val="bottom"/>
          </w:tcPr>
          <w:p w:rsidR="009610F9" w:rsidRPr="00D90DAE" w:rsidRDefault="009610F9" w:rsidP="00A243A1">
            <w:pPr>
              <w:jc w:val="both"/>
              <w:rPr>
                <w:sz w:val="22"/>
                <w:szCs w:val="22"/>
              </w:rPr>
            </w:pPr>
            <w:r w:rsidRPr="00F26183">
              <w:rPr>
                <w:sz w:val="22"/>
                <w:szCs w:val="22"/>
              </w:rPr>
              <w:t>$</w:t>
            </w:r>
            <w:r>
              <w:rPr>
                <w:sz w:val="22"/>
                <w:szCs w:val="22"/>
              </w:rPr>
              <w:t>26,413,881</w:t>
            </w:r>
          </w:p>
        </w:tc>
      </w:tr>
    </w:tbl>
    <w:p w:rsidR="009610F9" w:rsidRDefault="009610F9" w:rsidP="009E7EF7">
      <w:pPr>
        <w:ind w:left="1440" w:hanging="1440"/>
        <w:jc w:val="both"/>
        <w:rPr>
          <w:b/>
        </w:rPr>
      </w:pPr>
    </w:p>
    <w:p w:rsidR="009610F9" w:rsidRPr="00D90DAE" w:rsidRDefault="009610F9" w:rsidP="009610F9">
      <w:pPr>
        <w:keepNext/>
        <w:spacing w:after="200"/>
        <w:ind w:left="1440" w:hanging="1440"/>
        <w:jc w:val="both"/>
        <w:rPr>
          <w:rFonts w:eastAsia="Calibri"/>
          <w:b/>
        </w:rPr>
      </w:pPr>
      <w:r>
        <w:rPr>
          <w:b/>
        </w:rPr>
        <w:t>5.</w:t>
      </w:r>
      <w:r>
        <w:rPr>
          <w:b/>
        </w:rPr>
        <w:tab/>
      </w:r>
      <w:r>
        <w:rPr>
          <w:rFonts w:eastAsia="Calibri"/>
          <w:b/>
        </w:rPr>
        <w:t>Depreciation Rates to be Used to Develop the Depreciation Expense Included in the Total Environmental Cost Recovery Amounts for the P</w:t>
      </w:r>
      <w:r w:rsidRPr="00C26029">
        <w:rPr>
          <w:rFonts w:eastAsia="Calibri"/>
          <w:b/>
        </w:rPr>
        <w:t>eriod January 202</w:t>
      </w:r>
      <w:r>
        <w:rPr>
          <w:rFonts w:eastAsia="Calibri"/>
          <w:b/>
        </w:rPr>
        <w:t>2</w:t>
      </w:r>
      <w:r w:rsidRPr="00C26029">
        <w:rPr>
          <w:rFonts w:eastAsia="Calibri"/>
          <w:b/>
        </w:rPr>
        <w:t xml:space="preserve"> through December 202</w:t>
      </w:r>
      <w:r>
        <w:rPr>
          <w:rFonts w:eastAsia="Calibri"/>
          <w:b/>
        </w:rPr>
        <w:t>2</w:t>
      </w:r>
    </w:p>
    <w:p w:rsidR="009610F9" w:rsidRDefault="009610F9" w:rsidP="009610F9">
      <w:pPr>
        <w:keepNext/>
        <w:spacing w:after="200"/>
        <w:ind w:left="1440"/>
        <w:jc w:val="both"/>
        <w:rPr>
          <w:rFonts w:eastAsia="Calibri"/>
        </w:rPr>
      </w:pPr>
      <w:r w:rsidRPr="00D90DAE">
        <w:rPr>
          <w:rFonts w:eastAsia="Calibri"/>
        </w:rPr>
        <w:t>The depreciation rates used to calculate depreciation expense sh</w:t>
      </w:r>
      <w:r>
        <w:rPr>
          <w:rFonts w:eastAsia="Calibri"/>
        </w:rPr>
        <w:t>all</w:t>
      </w:r>
      <w:r w:rsidRPr="00D90DAE">
        <w:rPr>
          <w:rFonts w:eastAsia="Calibri"/>
        </w:rPr>
        <w:t xml:space="preserve"> be the rates </w:t>
      </w:r>
      <w:r w:rsidRPr="00125542">
        <w:rPr>
          <w:rFonts w:eastAsia="Calibri"/>
        </w:rPr>
        <w:t>that are in effect during the period the allowed capital investment is in service.</w:t>
      </w:r>
      <w:r w:rsidRPr="00125542">
        <w:rPr>
          <w:rFonts w:eastAsia="Calibri"/>
          <w:color w:val="FF0000"/>
        </w:rPr>
        <w:t xml:space="preserve"> </w:t>
      </w:r>
      <w:r w:rsidRPr="00125542">
        <w:rPr>
          <w:rFonts w:eastAsia="Calibri"/>
        </w:rPr>
        <w:t>FPL will use the depreciation rates that are ultimately approved by the Commission in Docket No. 20210015-EI. Depreciation rates agreed to in TECO’s 2021 Settlement Agreement, and effective January 1, 2022 were applied to TECO’s 2022 projection.</w:t>
      </w:r>
    </w:p>
    <w:p w:rsidR="009610F9" w:rsidRDefault="009610F9" w:rsidP="009E7EF7">
      <w:pPr>
        <w:ind w:left="1440" w:hanging="1440"/>
        <w:jc w:val="both"/>
        <w:rPr>
          <w:b/>
        </w:rPr>
      </w:pPr>
    </w:p>
    <w:p w:rsidR="001827AD" w:rsidRDefault="001827AD">
      <w:pPr>
        <w:rPr>
          <w:b/>
        </w:rPr>
      </w:pPr>
      <w:r>
        <w:rPr>
          <w:b/>
        </w:rPr>
        <w:br w:type="page"/>
      </w:r>
    </w:p>
    <w:p w:rsidR="009610F9" w:rsidRDefault="009610F9" w:rsidP="009610F9">
      <w:pPr>
        <w:spacing w:after="200"/>
        <w:ind w:left="1440" w:hanging="1440"/>
        <w:jc w:val="both"/>
        <w:rPr>
          <w:rFonts w:eastAsia="Calibri"/>
          <w:b/>
          <w:bCs/>
        </w:rPr>
      </w:pPr>
      <w:r>
        <w:rPr>
          <w:b/>
        </w:rPr>
        <w:lastRenderedPageBreak/>
        <w:t>6.</w:t>
      </w:r>
      <w:r>
        <w:rPr>
          <w:b/>
        </w:rPr>
        <w:tab/>
      </w:r>
      <w:r>
        <w:rPr>
          <w:rFonts w:eastAsia="Calibri"/>
          <w:b/>
          <w:bCs/>
        </w:rPr>
        <w:t>Jurisdictional Separation Factors for the P</w:t>
      </w:r>
      <w:r w:rsidRPr="00DC48B2">
        <w:rPr>
          <w:rFonts w:eastAsia="Calibri"/>
          <w:b/>
          <w:bCs/>
        </w:rPr>
        <w:t xml:space="preserve">rojected </w:t>
      </w:r>
      <w:r>
        <w:rPr>
          <w:rFonts w:eastAsia="Calibri"/>
          <w:b/>
          <w:bCs/>
        </w:rPr>
        <w:t>P</w:t>
      </w:r>
      <w:r w:rsidRPr="00DC48B2">
        <w:rPr>
          <w:rFonts w:eastAsia="Calibri"/>
          <w:b/>
          <w:bCs/>
        </w:rPr>
        <w:t>eriod Jan</w:t>
      </w:r>
      <w:r>
        <w:rPr>
          <w:rFonts w:eastAsia="Calibri"/>
          <w:b/>
          <w:bCs/>
        </w:rPr>
        <w:t>uary 2022 through December 2022</w:t>
      </w:r>
    </w:p>
    <w:p w:rsidR="00C1146E" w:rsidRDefault="00C1146E" w:rsidP="00C1146E">
      <w:pPr>
        <w:spacing w:after="200" w:line="276" w:lineRule="auto"/>
        <w:ind w:left="1440"/>
        <w:jc w:val="both"/>
        <w:rPr>
          <w:rFonts w:eastAsia="Calibri"/>
        </w:rPr>
      </w:pPr>
      <w:r w:rsidRPr="00D90DAE">
        <w:rPr>
          <w:rFonts w:eastAsia="Calibri"/>
        </w:rPr>
        <w:t>The appropriate jurisdictional separation factors for the period January 20</w:t>
      </w:r>
      <w:r>
        <w:rPr>
          <w:rFonts w:eastAsia="Calibri"/>
        </w:rPr>
        <w:t>22</w:t>
      </w:r>
      <w:r w:rsidR="00A7034C">
        <w:rPr>
          <w:rFonts w:eastAsia="Calibri"/>
        </w:rPr>
        <w:t>,</w:t>
      </w:r>
      <w:r w:rsidRPr="00D90DAE">
        <w:rPr>
          <w:rFonts w:eastAsia="Calibri"/>
        </w:rPr>
        <w:t xml:space="preserve"> through December 20</w:t>
      </w:r>
      <w:r>
        <w:rPr>
          <w:rFonts w:eastAsia="Calibri"/>
        </w:rPr>
        <w:t>22</w:t>
      </w:r>
      <w:r w:rsidR="00A7034C">
        <w:rPr>
          <w:rFonts w:eastAsia="Calibri"/>
        </w:rPr>
        <w:t>,</w:t>
      </w:r>
      <w:r w:rsidRPr="00D90DAE">
        <w:rPr>
          <w:rFonts w:eastAsia="Calibri"/>
        </w:rPr>
        <w:t xml:space="preserve"> are as follows:</w:t>
      </w:r>
    </w:p>
    <w:p w:rsidR="00C1146E" w:rsidRPr="00F56D41" w:rsidRDefault="00C1146E" w:rsidP="00C1146E">
      <w:pPr>
        <w:spacing w:line="276" w:lineRule="auto"/>
        <w:jc w:val="both"/>
        <w:rPr>
          <w:rFonts w:eastAsia="Calibri"/>
        </w:rPr>
      </w:pPr>
      <w:r w:rsidRPr="00D90DAE">
        <w:rPr>
          <w:rFonts w:eastAsia="Calibri"/>
          <w:b/>
          <w:bCs/>
        </w:rPr>
        <w:t>FPL</w:t>
      </w:r>
      <w:r>
        <w:rPr>
          <w:rFonts w:eastAsia="Calibri"/>
          <w:b/>
          <w:bCs/>
        </w:rPr>
        <w:t>/GULF:</w:t>
      </w:r>
      <w:r w:rsidRPr="004A4383">
        <w:rPr>
          <w:rFonts w:eastAsia="Calibri"/>
          <w:b/>
          <w:bCs/>
        </w:rPr>
        <w:t xml:space="preserve"> </w:t>
      </w:r>
      <w:r>
        <w:rPr>
          <w:rFonts w:eastAsia="Calibri"/>
          <w:b/>
          <w:bCs/>
        </w:rPr>
        <w:tab/>
      </w:r>
      <w:r w:rsidRPr="00F56D41">
        <w:rPr>
          <w:rFonts w:eastAsia="Calibri"/>
        </w:rPr>
        <w:t>Retail Energy Jurisdictional Factor - Base/Solar 95.</w:t>
      </w:r>
      <w:r>
        <w:rPr>
          <w:rFonts w:eastAsia="Calibri"/>
        </w:rPr>
        <w:t>8917</w:t>
      </w:r>
      <w:r w:rsidRPr="00F56D41">
        <w:rPr>
          <w:rFonts w:eastAsia="Calibri"/>
        </w:rPr>
        <w:t>%</w:t>
      </w:r>
    </w:p>
    <w:p w:rsidR="00C1146E" w:rsidRPr="00F56D41" w:rsidRDefault="00C1146E" w:rsidP="00C1146E">
      <w:pPr>
        <w:spacing w:line="276" w:lineRule="auto"/>
        <w:ind w:left="1440"/>
        <w:jc w:val="both"/>
        <w:rPr>
          <w:rFonts w:eastAsia="Calibri"/>
        </w:rPr>
      </w:pPr>
      <w:r w:rsidRPr="00F56D41">
        <w:rPr>
          <w:rFonts w:eastAsia="Calibri"/>
        </w:rPr>
        <w:t>Retail Energy Jurisdictional Factor - Intermediate 94.</w:t>
      </w:r>
      <w:r>
        <w:rPr>
          <w:rFonts w:eastAsia="Calibri"/>
        </w:rPr>
        <w:t>7558</w:t>
      </w:r>
      <w:r w:rsidRPr="00F56D41">
        <w:rPr>
          <w:rFonts w:eastAsia="Calibri"/>
        </w:rPr>
        <w:t>%</w:t>
      </w:r>
    </w:p>
    <w:p w:rsidR="00C1146E" w:rsidRPr="00F56D41" w:rsidRDefault="00C1146E" w:rsidP="00C1146E">
      <w:pPr>
        <w:spacing w:line="276" w:lineRule="auto"/>
        <w:ind w:left="1440"/>
        <w:jc w:val="both"/>
        <w:rPr>
          <w:rFonts w:eastAsia="Calibri"/>
        </w:rPr>
      </w:pPr>
      <w:r w:rsidRPr="00F56D41">
        <w:rPr>
          <w:rFonts w:eastAsia="Calibri"/>
        </w:rPr>
        <w:t>Retail Energy Jurisdictional Factor - Peaking 95.</w:t>
      </w:r>
      <w:r>
        <w:rPr>
          <w:rFonts w:eastAsia="Calibri"/>
        </w:rPr>
        <w:t>7721</w:t>
      </w:r>
      <w:r w:rsidRPr="00F56D41">
        <w:rPr>
          <w:rFonts w:eastAsia="Calibri"/>
        </w:rPr>
        <w:t>%</w:t>
      </w:r>
    </w:p>
    <w:p w:rsidR="00C1146E" w:rsidRPr="00F56D41" w:rsidRDefault="00C1146E" w:rsidP="00C1146E">
      <w:pPr>
        <w:spacing w:line="276" w:lineRule="auto"/>
        <w:ind w:left="1440"/>
        <w:jc w:val="both"/>
        <w:rPr>
          <w:rFonts w:eastAsia="Calibri"/>
        </w:rPr>
      </w:pPr>
      <w:r w:rsidRPr="00F56D41">
        <w:rPr>
          <w:rFonts w:eastAsia="Calibri"/>
        </w:rPr>
        <w:t>Retail Demand Jurisdictional Factor - Transmission 90.</w:t>
      </w:r>
      <w:r>
        <w:rPr>
          <w:rFonts w:eastAsia="Calibri"/>
        </w:rPr>
        <w:t>2581</w:t>
      </w:r>
      <w:r w:rsidRPr="00F56D41">
        <w:rPr>
          <w:rFonts w:eastAsia="Calibri"/>
        </w:rPr>
        <w:t>%</w:t>
      </w:r>
    </w:p>
    <w:p w:rsidR="00C1146E" w:rsidRPr="00F56D41" w:rsidRDefault="00C1146E" w:rsidP="00C1146E">
      <w:pPr>
        <w:spacing w:line="276" w:lineRule="auto"/>
        <w:ind w:left="1440"/>
        <w:jc w:val="both"/>
        <w:rPr>
          <w:rFonts w:eastAsia="Calibri"/>
        </w:rPr>
      </w:pPr>
      <w:r w:rsidRPr="00F56D41">
        <w:rPr>
          <w:rFonts w:eastAsia="Calibri"/>
        </w:rPr>
        <w:t>Retail Demand Jurisdictional Factor - Base/Solar 95.</w:t>
      </w:r>
      <w:r>
        <w:rPr>
          <w:rFonts w:eastAsia="Calibri"/>
        </w:rPr>
        <w:t>9314</w:t>
      </w:r>
      <w:r w:rsidRPr="00F56D41">
        <w:rPr>
          <w:rFonts w:eastAsia="Calibri"/>
        </w:rPr>
        <w:t>%</w:t>
      </w:r>
    </w:p>
    <w:p w:rsidR="00C1146E" w:rsidRPr="00F56D41" w:rsidRDefault="00C1146E" w:rsidP="00C1146E">
      <w:pPr>
        <w:spacing w:line="276" w:lineRule="auto"/>
        <w:ind w:left="1440"/>
        <w:jc w:val="both"/>
        <w:rPr>
          <w:rFonts w:eastAsia="Calibri"/>
        </w:rPr>
      </w:pPr>
      <w:r w:rsidRPr="00F56D41">
        <w:rPr>
          <w:rFonts w:eastAsia="Calibri"/>
        </w:rPr>
        <w:t>Retail Demand Jurisdictional Factor - Intermediate 95.</w:t>
      </w:r>
      <w:r>
        <w:rPr>
          <w:rFonts w:eastAsia="Calibri"/>
        </w:rPr>
        <w:t>4287</w:t>
      </w:r>
      <w:r w:rsidRPr="00F56D41">
        <w:rPr>
          <w:rFonts w:eastAsia="Calibri"/>
        </w:rPr>
        <w:t>%</w:t>
      </w:r>
    </w:p>
    <w:p w:rsidR="00C1146E" w:rsidRPr="00F56D41" w:rsidRDefault="00C1146E" w:rsidP="00C1146E">
      <w:pPr>
        <w:spacing w:line="276" w:lineRule="auto"/>
        <w:ind w:left="1440"/>
        <w:jc w:val="both"/>
        <w:rPr>
          <w:rFonts w:eastAsia="Calibri"/>
        </w:rPr>
      </w:pPr>
      <w:r w:rsidRPr="00F56D41">
        <w:rPr>
          <w:rFonts w:eastAsia="Calibri"/>
        </w:rPr>
        <w:t>Retail Demand Jurisdictional Factor - Peaking 95.</w:t>
      </w:r>
      <w:r>
        <w:rPr>
          <w:rFonts w:eastAsia="Calibri"/>
        </w:rPr>
        <w:t>1837</w:t>
      </w:r>
      <w:r w:rsidRPr="00F56D41">
        <w:rPr>
          <w:rFonts w:eastAsia="Calibri"/>
        </w:rPr>
        <w:t>%</w:t>
      </w:r>
    </w:p>
    <w:p w:rsidR="00C1146E" w:rsidRPr="00F56D41" w:rsidRDefault="00C1146E" w:rsidP="00C1146E">
      <w:pPr>
        <w:spacing w:line="276" w:lineRule="auto"/>
        <w:ind w:left="1440"/>
        <w:jc w:val="both"/>
        <w:rPr>
          <w:rFonts w:eastAsia="Calibri"/>
        </w:rPr>
      </w:pPr>
      <w:r w:rsidRPr="00F56D41">
        <w:rPr>
          <w:rFonts w:eastAsia="Calibri"/>
        </w:rPr>
        <w:t>Retail Demand Jurisdictional Factor - General Plant 96.</w:t>
      </w:r>
      <w:r>
        <w:rPr>
          <w:rFonts w:eastAsia="Calibri"/>
        </w:rPr>
        <w:t>9001</w:t>
      </w:r>
      <w:r w:rsidRPr="00F56D41">
        <w:rPr>
          <w:rFonts w:eastAsia="Calibri"/>
        </w:rPr>
        <w:t>%</w:t>
      </w:r>
    </w:p>
    <w:p w:rsidR="00C1146E" w:rsidRDefault="00C1146E" w:rsidP="00C1146E">
      <w:pPr>
        <w:spacing w:after="200" w:line="276" w:lineRule="auto"/>
        <w:ind w:left="1440"/>
        <w:jc w:val="both"/>
        <w:rPr>
          <w:rFonts w:eastAsia="Calibri"/>
          <w:b/>
          <w:bCs/>
        </w:rPr>
      </w:pPr>
      <w:r w:rsidRPr="00F56D41">
        <w:rPr>
          <w:rFonts w:eastAsia="Calibri"/>
        </w:rPr>
        <w:t>Retail Demand Jurisdictional Factor - Distribution 100.0000%</w:t>
      </w:r>
      <w:r>
        <w:rPr>
          <w:rFonts w:eastAsia="Calibri"/>
          <w:b/>
          <w:bCs/>
        </w:rPr>
        <w:tab/>
      </w:r>
    </w:p>
    <w:p w:rsidR="00C1146E" w:rsidRPr="008726B2" w:rsidRDefault="00C1146E" w:rsidP="00C1146E">
      <w:pPr>
        <w:spacing w:after="200" w:line="276" w:lineRule="auto"/>
        <w:ind w:left="1440"/>
        <w:jc w:val="both"/>
        <w:rPr>
          <w:rFonts w:eastAsia="Calibri"/>
          <w:b/>
          <w:bCs/>
        </w:rPr>
      </w:pPr>
      <w:r>
        <w:rPr>
          <w:rFonts w:eastAsia="Calibri"/>
          <w:b/>
          <w:bCs/>
        </w:rPr>
        <w:tab/>
      </w:r>
    </w:p>
    <w:p w:rsidR="00C1146E" w:rsidRPr="002F26EC" w:rsidRDefault="00C1146E" w:rsidP="00C1146E">
      <w:pPr>
        <w:ind w:left="1440" w:hanging="1440"/>
        <w:jc w:val="both"/>
        <w:rPr>
          <w:rFonts w:eastAsia="Calibri"/>
        </w:rPr>
      </w:pPr>
      <w:r w:rsidRPr="00D90DAE">
        <w:rPr>
          <w:rFonts w:eastAsia="Calibri"/>
          <w:b/>
          <w:bCs/>
        </w:rPr>
        <w:t>DEF</w:t>
      </w:r>
      <w:r>
        <w:rPr>
          <w:rFonts w:eastAsia="Calibri"/>
          <w:b/>
          <w:bCs/>
        </w:rPr>
        <w:t>:</w:t>
      </w:r>
      <w:r>
        <w:rPr>
          <w:rFonts w:eastAsia="Calibri"/>
          <w:b/>
          <w:bCs/>
        </w:rPr>
        <w:tab/>
      </w:r>
      <w:r w:rsidRPr="002F26EC">
        <w:rPr>
          <w:rFonts w:eastAsia="Calibri"/>
        </w:rPr>
        <w:t>Transmission Average 12 CP Demand – 71.994%</w:t>
      </w:r>
    </w:p>
    <w:p w:rsidR="00C1146E" w:rsidRPr="002F26EC" w:rsidRDefault="00C1146E" w:rsidP="00C1146E">
      <w:pPr>
        <w:ind w:left="2880" w:hanging="1440"/>
        <w:jc w:val="both"/>
        <w:rPr>
          <w:rFonts w:eastAsia="Calibri"/>
        </w:rPr>
      </w:pPr>
      <w:r w:rsidRPr="002F26EC">
        <w:rPr>
          <w:rFonts w:eastAsia="Calibri"/>
        </w:rPr>
        <w:t>Distribution Primary Demand – 100.000%</w:t>
      </w:r>
    </w:p>
    <w:p w:rsidR="00C1146E" w:rsidRPr="002F26EC" w:rsidRDefault="00C1146E" w:rsidP="00C1146E">
      <w:pPr>
        <w:ind w:left="2880" w:hanging="1440"/>
        <w:jc w:val="both"/>
        <w:rPr>
          <w:rFonts w:eastAsia="Calibri"/>
        </w:rPr>
      </w:pPr>
    </w:p>
    <w:p w:rsidR="00C1146E" w:rsidRPr="002F26EC" w:rsidRDefault="00C1146E" w:rsidP="00C1146E">
      <w:pPr>
        <w:ind w:left="2880" w:hanging="1440"/>
        <w:jc w:val="both"/>
        <w:rPr>
          <w:rFonts w:eastAsia="Calibri"/>
        </w:rPr>
      </w:pPr>
      <w:r w:rsidRPr="002F26EC">
        <w:rPr>
          <w:rFonts w:eastAsia="Calibri"/>
        </w:rPr>
        <w:t>Production Demand:</w:t>
      </w:r>
    </w:p>
    <w:p w:rsidR="00C1146E" w:rsidRPr="002F26EC" w:rsidRDefault="00C1146E" w:rsidP="00C1146E">
      <w:pPr>
        <w:ind w:left="2880" w:hanging="1440"/>
        <w:jc w:val="both"/>
        <w:rPr>
          <w:rFonts w:eastAsia="Calibri"/>
        </w:rPr>
      </w:pPr>
      <w:r w:rsidRPr="002F26EC">
        <w:rPr>
          <w:rFonts w:eastAsia="Calibri"/>
        </w:rPr>
        <w:t>Production Base – 92.865%</w:t>
      </w:r>
    </w:p>
    <w:p w:rsidR="00C1146E" w:rsidRPr="002F26EC" w:rsidRDefault="00C1146E" w:rsidP="00C1146E">
      <w:pPr>
        <w:ind w:left="2880" w:hanging="1440"/>
        <w:jc w:val="both"/>
        <w:rPr>
          <w:rFonts w:eastAsia="Calibri"/>
        </w:rPr>
      </w:pPr>
      <w:r w:rsidRPr="002F26EC">
        <w:rPr>
          <w:rFonts w:eastAsia="Calibri"/>
        </w:rPr>
        <w:t>Production Intermediate – 88.321%</w:t>
      </w:r>
    </w:p>
    <w:p w:rsidR="00C1146E" w:rsidRPr="002F26EC" w:rsidRDefault="00C1146E" w:rsidP="00C1146E">
      <w:pPr>
        <w:ind w:left="2880" w:hanging="1440"/>
        <w:jc w:val="both"/>
        <w:rPr>
          <w:rFonts w:eastAsia="Calibri"/>
        </w:rPr>
      </w:pPr>
      <w:r w:rsidRPr="002F26EC">
        <w:rPr>
          <w:rFonts w:eastAsia="Calibri"/>
        </w:rPr>
        <w:t>Production Peaking – 90.678%</w:t>
      </w:r>
    </w:p>
    <w:p w:rsidR="00C1146E" w:rsidRPr="00135BDA" w:rsidRDefault="00C1146E" w:rsidP="00C1146E">
      <w:pPr>
        <w:ind w:left="1440"/>
        <w:jc w:val="both"/>
        <w:rPr>
          <w:rFonts w:eastAsia="Calibri"/>
          <w:bCs/>
        </w:rPr>
      </w:pPr>
    </w:p>
    <w:p w:rsidR="00C1146E" w:rsidRPr="008726B2" w:rsidRDefault="00C1146E" w:rsidP="00C1146E">
      <w:pPr>
        <w:jc w:val="both"/>
        <w:rPr>
          <w:rFonts w:eastAsia="Calibri"/>
          <w:b/>
          <w:bCs/>
        </w:rPr>
      </w:pPr>
      <w:r w:rsidRPr="00D90DAE">
        <w:rPr>
          <w:rFonts w:eastAsia="Calibri"/>
          <w:b/>
          <w:bCs/>
        </w:rPr>
        <w:t>TECO</w:t>
      </w:r>
      <w:r>
        <w:rPr>
          <w:rFonts w:eastAsia="Calibri"/>
          <w:b/>
          <w:bCs/>
        </w:rPr>
        <w:t>:</w:t>
      </w:r>
      <w:r>
        <w:rPr>
          <w:rFonts w:eastAsia="Calibri"/>
          <w:b/>
          <w:bCs/>
        </w:rPr>
        <w:tab/>
      </w:r>
      <w:r w:rsidRPr="00D90DAE">
        <w:rPr>
          <w:rFonts w:eastAsia="Calibri"/>
        </w:rPr>
        <w:t>Energy: 100.00%</w:t>
      </w:r>
    </w:p>
    <w:p w:rsidR="00C1146E" w:rsidRPr="00D90DAE" w:rsidRDefault="00C1146E" w:rsidP="00C1146E">
      <w:pPr>
        <w:ind w:left="1440"/>
        <w:jc w:val="both"/>
        <w:rPr>
          <w:rFonts w:eastAsia="Calibri"/>
        </w:rPr>
      </w:pPr>
      <w:r w:rsidRPr="00D90DAE">
        <w:rPr>
          <w:rFonts w:eastAsia="Calibri"/>
        </w:rPr>
        <w:t>Demand: 100.00%</w:t>
      </w:r>
    </w:p>
    <w:p w:rsidR="009610F9" w:rsidRDefault="009610F9" w:rsidP="009610F9">
      <w:pPr>
        <w:spacing w:after="200"/>
        <w:ind w:left="1440" w:hanging="1440"/>
        <w:jc w:val="both"/>
        <w:rPr>
          <w:rFonts w:eastAsia="Calibri"/>
          <w:b/>
          <w:bCs/>
        </w:rPr>
      </w:pPr>
    </w:p>
    <w:p w:rsidR="001827AD" w:rsidRDefault="001827AD">
      <w:pPr>
        <w:rPr>
          <w:rFonts w:eastAsia="Calibri"/>
          <w:b/>
          <w:bCs/>
        </w:rPr>
      </w:pPr>
      <w:r>
        <w:rPr>
          <w:rFonts w:eastAsia="Calibri"/>
          <w:b/>
          <w:bCs/>
        </w:rPr>
        <w:br w:type="page"/>
      </w:r>
    </w:p>
    <w:p w:rsidR="009610F9" w:rsidRDefault="009610F9" w:rsidP="009610F9">
      <w:pPr>
        <w:spacing w:after="200"/>
        <w:ind w:left="1440" w:hanging="1440"/>
        <w:jc w:val="both"/>
        <w:rPr>
          <w:rFonts w:eastAsia="Calibri"/>
          <w:b/>
        </w:rPr>
      </w:pPr>
      <w:r>
        <w:rPr>
          <w:rFonts w:eastAsia="Calibri"/>
          <w:b/>
          <w:bCs/>
        </w:rPr>
        <w:lastRenderedPageBreak/>
        <w:t>7.</w:t>
      </w:r>
      <w:r>
        <w:rPr>
          <w:rFonts w:eastAsia="Calibri"/>
          <w:b/>
          <w:bCs/>
        </w:rPr>
        <w:tab/>
      </w:r>
      <w:r>
        <w:rPr>
          <w:rFonts w:eastAsia="Calibri"/>
          <w:b/>
        </w:rPr>
        <w:t>Environmental Cost Recovery Factors for the P</w:t>
      </w:r>
      <w:r w:rsidRPr="00DC48B2">
        <w:rPr>
          <w:rFonts w:eastAsia="Calibri"/>
          <w:b/>
        </w:rPr>
        <w:t xml:space="preserve">eriod January </w:t>
      </w:r>
      <w:r>
        <w:rPr>
          <w:rFonts w:eastAsia="Calibri"/>
          <w:b/>
        </w:rPr>
        <w:t>2022 through December 2022 for Each Rate Group</w:t>
      </w:r>
    </w:p>
    <w:p w:rsidR="00C1146E" w:rsidRDefault="00C1146E" w:rsidP="00C1146E">
      <w:pPr>
        <w:ind w:left="1440"/>
        <w:jc w:val="both"/>
        <w:rPr>
          <w:rFonts w:eastAsia="Calibri"/>
          <w:bCs/>
        </w:rPr>
      </w:pPr>
      <w:r w:rsidRPr="00D90DAE">
        <w:rPr>
          <w:rFonts w:eastAsia="Calibri"/>
          <w:bCs/>
        </w:rPr>
        <w:t xml:space="preserve">The appropriate environmental cost recovery factors for the period January </w:t>
      </w:r>
      <w:r>
        <w:rPr>
          <w:rFonts w:eastAsia="Calibri"/>
          <w:bCs/>
        </w:rPr>
        <w:t>2022</w:t>
      </w:r>
      <w:r w:rsidR="00A7034C">
        <w:rPr>
          <w:rFonts w:eastAsia="Calibri"/>
          <w:bCs/>
        </w:rPr>
        <w:t>,</w:t>
      </w:r>
      <w:r w:rsidRPr="00D90DAE">
        <w:rPr>
          <w:rFonts w:eastAsia="Calibri"/>
          <w:bCs/>
        </w:rPr>
        <w:t xml:space="preserve"> through December </w:t>
      </w:r>
      <w:r>
        <w:rPr>
          <w:rFonts w:eastAsia="Calibri"/>
          <w:bCs/>
        </w:rPr>
        <w:t>2022</w:t>
      </w:r>
      <w:r w:rsidR="00A7034C">
        <w:rPr>
          <w:rFonts w:eastAsia="Calibri"/>
          <w:bCs/>
        </w:rPr>
        <w:t>,</w:t>
      </w:r>
      <w:r w:rsidRPr="00D90DAE">
        <w:rPr>
          <w:rFonts w:eastAsia="Calibri"/>
          <w:bCs/>
        </w:rPr>
        <w:t xml:space="preserve"> for each rate group are as follows:</w:t>
      </w:r>
    </w:p>
    <w:p w:rsidR="00C1146E" w:rsidRDefault="00C1146E" w:rsidP="00C1146E">
      <w:pPr>
        <w:ind w:left="1440"/>
        <w:jc w:val="both"/>
        <w:rPr>
          <w:rFonts w:eastAsia="Calibri"/>
          <w:bCs/>
        </w:rPr>
      </w:pPr>
    </w:p>
    <w:p w:rsidR="00C1146E" w:rsidRDefault="00C1146E">
      <w:pPr>
        <w:rPr>
          <w:rFonts w:eastAsia="Calibri"/>
          <w:bCs/>
        </w:rPr>
      </w:pPr>
    </w:p>
    <w:p w:rsidR="00C1146E" w:rsidRDefault="00C1146E" w:rsidP="00C1146E">
      <w:pPr>
        <w:ind w:left="1440"/>
        <w:jc w:val="both"/>
        <w:rPr>
          <w:rFonts w:eastAsia="Calibri"/>
          <w:bCs/>
        </w:rPr>
      </w:pPr>
    </w:p>
    <w:p w:rsidR="00C1146E" w:rsidRDefault="00C1146E" w:rsidP="00C1146E">
      <w:pPr>
        <w:spacing w:line="276" w:lineRule="auto"/>
        <w:jc w:val="both"/>
        <w:rPr>
          <w:rFonts w:eastAsia="Calibri"/>
        </w:rPr>
      </w:pPr>
      <w:r w:rsidRPr="00D90DAE">
        <w:rPr>
          <w:rFonts w:eastAsia="Calibri"/>
          <w:b/>
          <w:bCs/>
        </w:rPr>
        <w:t>FPL</w:t>
      </w:r>
      <w:r>
        <w:rPr>
          <w:rFonts w:eastAsia="Calibri"/>
          <w:b/>
          <w:bCs/>
        </w:rPr>
        <w:t>/GULF</w:t>
      </w:r>
      <w:r w:rsidRPr="00D90DAE">
        <w:rPr>
          <w:rFonts w:eastAsia="Calibri"/>
          <w:b/>
          <w:bCs/>
        </w:rPr>
        <w:t>:</w:t>
      </w:r>
      <w:r w:rsidRPr="00D90DAE">
        <w:rPr>
          <w:rFonts w:eastAsia="Calibri"/>
          <w:b/>
          <w:bCs/>
        </w:rPr>
        <w:tab/>
      </w:r>
      <w:r>
        <w:rPr>
          <w:rFonts w:eastAsia="Calibri"/>
          <w:b/>
          <w:bCs/>
        </w:rPr>
        <w:tab/>
      </w:r>
    </w:p>
    <w:tbl>
      <w:tblPr>
        <w:tblW w:w="7894" w:type="dxa"/>
        <w:jc w:val="center"/>
        <w:tblLook w:val="04A0" w:firstRow="1" w:lastRow="0" w:firstColumn="1" w:lastColumn="0" w:noHBand="0" w:noVBand="1"/>
      </w:tblPr>
      <w:tblGrid>
        <w:gridCol w:w="5474"/>
        <w:gridCol w:w="2420"/>
      </w:tblGrid>
      <w:tr w:rsidR="00C1146E" w:rsidRPr="00D033EB" w:rsidTr="00A243A1">
        <w:trPr>
          <w:trHeight w:val="915"/>
          <w:tblHeader/>
          <w:jc w:val="center"/>
        </w:trPr>
        <w:tc>
          <w:tcPr>
            <w:tcW w:w="547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1146E" w:rsidRPr="00D033EB" w:rsidRDefault="00C1146E" w:rsidP="00A243A1">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1146E" w:rsidRPr="00D033EB" w:rsidRDefault="00C1146E" w:rsidP="00A243A1">
            <w:pPr>
              <w:jc w:val="both"/>
              <w:rPr>
                <w:b/>
              </w:rPr>
            </w:pPr>
            <w:r w:rsidRPr="00D033EB">
              <w:rPr>
                <w:b/>
              </w:rPr>
              <w:t>Environmental Cost</w:t>
            </w:r>
          </w:p>
          <w:p w:rsidR="00C1146E" w:rsidRPr="00D033EB" w:rsidRDefault="00C1146E" w:rsidP="00A243A1">
            <w:pPr>
              <w:jc w:val="both"/>
              <w:rPr>
                <w:b/>
              </w:rPr>
            </w:pPr>
            <w:r>
              <w:rPr>
                <w:b/>
              </w:rPr>
              <w:t>Recovery Factor</w:t>
            </w:r>
          </w:p>
          <w:p w:rsidR="00C1146E" w:rsidRPr="00D033EB" w:rsidRDefault="00C1146E" w:rsidP="00A243A1">
            <w:pPr>
              <w:jc w:val="both"/>
              <w:rPr>
                <w:b/>
              </w:rPr>
            </w:pPr>
            <w:r w:rsidRPr="00D033EB">
              <w:rPr>
                <w:b/>
              </w:rPr>
              <w:t>(cents/kWh)</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RS1/RTR1</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0.299</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GS1/GST1</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0.309</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0.267</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OS2</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0.205</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GSLD1/GSLDT1/CS1/CST1/HLFT2/GSLD1-EV</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0.269</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0.234</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GSLD3/GSLDT3/CS3/CST3</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0.216</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SST1T</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0.277</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SST1D1/SST1D2/SST1D3</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0.511</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CILC D/CILC G</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0.224</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CILC T</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0.199</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MET</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0.247</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OL1/SL1/SL1M/PL1</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0.046</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pPr>
            <w:r w:rsidRPr="00AA1BFE">
              <w:t>SL2/SL2M/GSCU1</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0.206</w:t>
            </w:r>
          </w:p>
        </w:tc>
      </w:tr>
      <w:tr w:rsidR="00C1146E" w:rsidRPr="00D033EB" w:rsidTr="00A243A1">
        <w:trPr>
          <w:trHeight w:val="285"/>
          <w:jc w:val="center"/>
        </w:trPr>
        <w:tc>
          <w:tcPr>
            <w:tcW w:w="5474" w:type="dxa"/>
            <w:tcBorders>
              <w:top w:val="nil"/>
              <w:left w:val="single" w:sz="8" w:space="0" w:color="auto"/>
              <w:bottom w:val="nil"/>
              <w:right w:val="nil"/>
            </w:tcBorders>
            <w:shd w:val="clear" w:color="auto" w:fill="auto"/>
            <w:noWrap/>
            <w:vAlign w:val="bottom"/>
            <w:hideMark/>
          </w:tcPr>
          <w:p w:rsidR="00C1146E" w:rsidRPr="00AA1BFE" w:rsidRDefault="00C1146E" w:rsidP="00A243A1">
            <w:pPr>
              <w:jc w:val="both"/>
              <w:rPr>
                <w:color w:val="000000"/>
              </w:rPr>
            </w:pPr>
            <w:r w:rsidRPr="00AA1BFE">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C1146E" w:rsidRPr="00AA1BFE" w:rsidRDefault="00C1146E" w:rsidP="00A243A1">
            <w:pPr>
              <w:jc w:val="both"/>
              <w:rPr>
                <w:color w:val="000000"/>
              </w:rPr>
            </w:pPr>
          </w:p>
        </w:tc>
      </w:tr>
      <w:tr w:rsidR="00C1146E" w:rsidRPr="00D033EB" w:rsidTr="00A243A1">
        <w:trPr>
          <w:trHeight w:val="300"/>
          <w:jc w:val="center"/>
        </w:trPr>
        <w:tc>
          <w:tcPr>
            <w:tcW w:w="5474" w:type="dxa"/>
            <w:tcBorders>
              <w:top w:val="nil"/>
              <w:left w:val="single" w:sz="8" w:space="0" w:color="auto"/>
              <w:bottom w:val="single" w:sz="8" w:space="0" w:color="auto"/>
              <w:right w:val="nil"/>
            </w:tcBorders>
            <w:shd w:val="clear" w:color="auto" w:fill="auto"/>
            <w:noWrap/>
            <w:vAlign w:val="bottom"/>
            <w:hideMark/>
          </w:tcPr>
          <w:p w:rsidR="00C1146E" w:rsidRPr="00AA1BFE" w:rsidRDefault="00C1146E" w:rsidP="00A243A1">
            <w:pPr>
              <w:jc w:val="both"/>
            </w:pPr>
            <w:r w:rsidRPr="00AA1BFE">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C1146E" w:rsidRPr="00AA1BFE" w:rsidRDefault="00C1146E" w:rsidP="00A243A1">
            <w:pPr>
              <w:jc w:val="both"/>
              <w:rPr>
                <w:color w:val="000000"/>
              </w:rPr>
            </w:pPr>
            <w:r w:rsidRPr="00AA1BFE">
              <w:rPr>
                <w:color w:val="000000"/>
              </w:rPr>
              <w:t>0.283</w:t>
            </w:r>
          </w:p>
        </w:tc>
      </w:tr>
    </w:tbl>
    <w:p w:rsidR="00C1146E" w:rsidRDefault="00C1146E" w:rsidP="00C1146E">
      <w:pPr>
        <w:rPr>
          <w:rFonts w:eastAsia="Calibri"/>
          <w:b/>
          <w:bCs/>
        </w:rPr>
      </w:pPr>
    </w:p>
    <w:p w:rsidR="00C1146E" w:rsidRDefault="00C1146E">
      <w:pPr>
        <w:rPr>
          <w:rFonts w:eastAsia="Calibri"/>
          <w:b/>
          <w:bCs/>
        </w:rPr>
      </w:pPr>
    </w:p>
    <w:p w:rsidR="00C1146E" w:rsidRDefault="00C1146E" w:rsidP="00C1146E">
      <w:pPr>
        <w:rPr>
          <w:rFonts w:eastAsia="Calibri"/>
          <w:b/>
          <w:bCs/>
        </w:rPr>
      </w:pPr>
    </w:p>
    <w:p w:rsidR="001827AD" w:rsidRDefault="001827AD">
      <w:pPr>
        <w:rPr>
          <w:rFonts w:eastAsia="Calibri"/>
          <w:b/>
          <w:bCs/>
        </w:rPr>
      </w:pPr>
      <w:r>
        <w:rPr>
          <w:rFonts w:eastAsia="Calibri"/>
          <w:b/>
          <w:bCs/>
        </w:rPr>
        <w:br w:type="page"/>
      </w:r>
    </w:p>
    <w:p w:rsidR="00C1146E" w:rsidRPr="00A12A23" w:rsidRDefault="00C1146E" w:rsidP="00C1146E">
      <w:pPr>
        <w:rPr>
          <w:rFonts w:eastAsia="Calibri"/>
          <w:b/>
          <w:bCs/>
        </w:rPr>
      </w:pPr>
      <w:r w:rsidRPr="00D90DAE">
        <w:rPr>
          <w:rFonts w:eastAsia="Calibri"/>
          <w:b/>
          <w:bCs/>
        </w:rPr>
        <w:lastRenderedPageBreak/>
        <w:t>DEF</w:t>
      </w:r>
      <w:r>
        <w:rPr>
          <w:rFonts w:eastAsia="Calibri"/>
          <w:b/>
          <w:bCs/>
        </w:rPr>
        <w:t>:</w:t>
      </w:r>
    </w:p>
    <w:tbl>
      <w:tblPr>
        <w:tblW w:w="53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tblGrid>
      <w:tr w:rsidR="00C1146E" w:rsidRPr="00D90DAE" w:rsidTr="00A243A1">
        <w:trPr>
          <w:trHeight w:val="534"/>
        </w:trPr>
        <w:tc>
          <w:tcPr>
            <w:tcW w:w="3348" w:type="dxa"/>
            <w:tcBorders>
              <w:top w:val="single" w:sz="4" w:space="0" w:color="auto"/>
              <w:left w:val="single" w:sz="4" w:space="0" w:color="auto"/>
              <w:bottom w:val="single" w:sz="4" w:space="0" w:color="auto"/>
              <w:right w:val="single" w:sz="4" w:space="0" w:color="auto"/>
            </w:tcBorders>
            <w:vAlign w:val="center"/>
            <w:hideMark/>
          </w:tcPr>
          <w:p w:rsidR="00C1146E" w:rsidRPr="00D90DAE" w:rsidRDefault="00C1146E" w:rsidP="00A243A1">
            <w:pPr>
              <w:keepNext/>
              <w:suppressLineNumbers/>
              <w:jc w:val="both"/>
              <w:rPr>
                <w:rFonts w:eastAsia="Calibri"/>
                <w:b/>
              </w:rPr>
            </w:pPr>
            <w:r w:rsidRPr="00D90DAE">
              <w:rPr>
                <w:rFonts w:eastAsia="Calibri"/>
                <w:b/>
              </w:rPr>
              <w:t>RATE CLASS</w:t>
            </w:r>
          </w:p>
        </w:tc>
        <w:tc>
          <w:tcPr>
            <w:tcW w:w="1980" w:type="dxa"/>
            <w:tcBorders>
              <w:top w:val="single" w:sz="4" w:space="0" w:color="auto"/>
              <w:left w:val="single" w:sz="4" w:space="0" w:color="auto"/>
              <w:bottom w:val="single" w:sz="4" w:space="0" w:color="auto"/>
              <w:right w:val="single" w:sz="4" w:space="0" w:color="auto"/>
            </w:tcBorders>
            <w:vAlign w:val="center"/>
            <w:hideMark/>
          </w:tcPr>
          <w:p w:rsidR="00C1146E" w:rsidRPr="00D90DAE" w:rsidRDefault="00C1146E" w:rsidP="00A243A1">
            <w:pPr>
              <w:keepNext/>
              <w:suppressLineNumbers/>
              <w:jc w:val="both"/>
              <w:rPr>
                <w:rFonts w:eastAsia="Calibri"/>
                <w:b/>
              </w:rPr>
            </w:pPr>
            <w:r w:rsidRPr="00D90DAE">
              <w:rPr>
                <w:rFonts w:eastAsia="Calibri"/>
                <w:b/>
              </w:rPr>
              <w:t>ECRC FACTORS</w:t>
            </w:r>
          </w:p>
        </w:tc>
      </w:tr>
      <w:tr w:rsidR="00C1146E" w:rsidRPr="00D90DAE" w:rsidTr="00A243A1">
        <w:trPr>
          <w:trHeight w:val="282"/>
        </w:trPr>
        <w:tc>
          <w:tcPr>
            <w:tcW w:w="3348" w:type="dxa"/>
            <w:tcBorders>
              <w:top w:val="single" w:sz="4" w:space="0" w:color="auto"/>
              <w:left w:val="single" w:sz="4" w:space="0" w:color="auto"/>
              <w:bottom w:val="single" w:sz="4" w:space="0" w:color="auto"/>
              <w:right w:val="single" w:sz="4" w:space="0" w:color="auto"/>
            </w:tcBorders>
            <w:hideMark/>
          </w:tcPr>
          <w:p w:rsidR="00C1146E" w:rsidRPr="00D90DAE" w:rsidRDefault="00C1146E" w:rsidP="00A243A1">
            <w:pPr>
              <w:keepNext/>
              <w:suppressLineNumbers/>
              <w:jc w:val="both"/>
              <w:rPr>
                <w:rFonts w:eastAsia="Calibri"/>
              </w:rPr>
            </w:pPr>
            <w:r w:rsidRPr="00D90DAE">
              <w:rPr>
                <w:rFonts w:eastAsia="Calibri"/>
              </w:rPr>
              <w:t>Residential</w:t>
            </w:r>
          </w:p>
        </w:tc>
        <w:tc>
          <w:tcPr>
            <w:tcW w:w="1980" w:type="dxa"/>
            <w:tcBorders>
              <w:top w:val="single" w:sz="4" w:space="0" w:color="auto"/>
              <w:left w:val="single" w:sz="4" w:space="0" w:color="auto"/>
              <w:bottom w:val="single" w:sz="4" w:space="0" w:color="auto"/>
              <w:right w:val="single" w:sz="4" w:space="0" w:color="auto"/>
            </w:tcBorders>
            <w:hideMark/>
          </w:tcPr>
          <w:p w:rsidR="00C1146E" w:rsidRPr="00A63EEA" w:rsidRDefault="00C1146E" w:rsidP="00A243A1">
            <w:pPr>
              <w:keepNext/>
              <w:suppressLineNumbers/>
              <w:jc w:val="both"/>
              <w:rPr>
                <w:rFonts w:eastAsia="Calibri"/>
              </w:rPr>
            </w:pPr>
            <w:r w:rsidRPr="00A63EEA">
              <w:rPr>
                <w:rFonts w:eastAsia="Calibri"/>
              </w:rPr>
              <w:t>0.028 cents/kWh</w:t>
            </w:r>
          </w:p>
        </w:tc>
      </w:tr>
      <w:tr w:rsidR="00C1146E" w:rsidRPr="00D90DAE" w:rsidTr="00A243A1">
        <w:trPr>
          <w:trHeight w:val="1138"/>
        </w:trPr>
        <w:tc>
          <w:tcPr>
            <w:tcW w:w="3348" w:type="dxa"/>
            <w:tcBorders>
              <w:top w:val="single" w:sz="4" w:space="0" w:color="auto"/>
              <w:left w:val="single" w:sz="4" w:space="0" w:color="auto"/>
              <w:bottom w:val="single" w:sz="4" w:space="0" w:color="auto"/>
              <w:right w:val="single" w:sz="4" w:space="0" w:color="auto"/>
            </w:tcBorders>
            <w:hideMark/>
          </w:tcPr>
          <w:p w:rsidR="00C1146E" w:rsidRPr="00D90DAE" w:rsidRDefault="00C1146E" w:rsidP="00A243A1">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rsidR="00C1146E" w:rsidRPr="00D90DAE" w:rsidRDefault="00C1146E" w:rsidP="00A243A1">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rsidR="00C1146E" w:rsidRPr="00D90DAE" w:rsidRDefault="00C1146E" w:rsidP="00A243A1">
            <w:pPr>
              <w:keepNext/>
              <w:suppressLineNumbers/>
              <w:tabs>
                <w:tab w:val="left" w:pos="576"/>
                <w:tab w:val="left" w:pos="1440"/>
                <w:tab w:val="left" w:pos="1728"/>
                <w:tab w:val="left" w:pos="5904"/>
              </w:tabs>
              <w:jc w:val="both"/>
              <w:rPr>
                <w:rFonts w:eastAsia="Calibri"/>
              </w:rPr>
            </w:pPr>
            <w:r w:rsidRPr="00D90DAE">
              <w:rPr>
                <w:rFonts w:eastAsia="Calibri"/>
              </w:rPr>
              <w:t>@ Primary Voltage</w:t>
            </w:r>
          </w:p>
          <w:p w:rsidR="00C1146E" w:rsidRPr="00D90DAE" w:rsidRDefault="00C1146E" w:rsidP="00A243A1">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C1146E" w:rsidRPr="00A63EEA" w:rsidRDefault="00C1146E" w:rsidP="00A243A1">
            <w:pPr>
              <w:keepNext/>
              <w:suppressLineNumbers/>
              <w:jc w:val="both"/>
              <w:rPr>
                <w:rFonts w:eastAsia="Calibri"/>
              </w:rPr>
            </w:pPr>
          </w:p>
          <w:p w:rsidR="00C1146E" w:rsidRPr="00A63EEA" w:rsidRDefault="00C1146E" w:rsidP="00A243A1">
            <w:pPr>
              <w:keepNext/>
              <w:suppressLineNumbers/>
              <w:jc w:val="both"/>
              <w:rPr>
                <w:rFonts w:eastAsia="Calibri"/>
              </w:rPr>
            </w:pPr>
            <w:r w:rsidRPr="00A63EEA">
              <w:rPr>
                <w:rFonts w:eastAsia="Calibri"/>
              </w:rPr>
              <w:t>0.027 cents/kWh</w:t>
            </w:r>
          </w:p>
          <w:p w:rsidR="00C1146E" w:rsidRPr="00A63EEA" w:rsidRDefault="00C1146E" w:rsidP="00A243A1">
            <w:pPr>
              <w:keepNext/>
              <w:suppressLineNumbers/>
              <w:jc w:val="both"/>
              <w:rPr>
                <w:rFonts w:eastAsia="Calibri"/>
              </w:rPr>
            </w:pPr>
            <w:r w:rsidRPr="00A63EEA">
              <w:rPr>
                <w:rFonts w:eastAsia="Calibri"/>
              </w:rPr>
              <w:t>0.027 cents/kWh</w:t>
            </w:r>
          </w:p>
          <w:p w:rsidR="00C1146E" w:rsidRPr="00A63EEA" w:rsidRDefault="00C1146E" w:rsidP="00A243A1">
            <w:pPr>
              <w:keepNext/>
              <w:suppressLineNumbers/>
              <w:jc w:val="both"/>
              <w:rPr>
                <w:rFonts w:eastAsia="Calibri"/>
              </w:rPr>
            </w:pPr>
            <w:r w:rsidRPr="00A63EEA">
              <w:rPr>
                <w:rFonts w:eastAsia="Calibri"/>
              </w:rPr>
              <w:t>0.026 cents/kWh</w:t>
            </w:r>
          </w:p>
        </w:tc>
      </w:tr>
      <w:tr w:rsidR="00C1146E" w:rsidRPr="00D90DAE" w:rsidTr="00A243A1">
        <w:trPr>
          <w:trHeight w:val="282"/>
        </w:trPr>
        <w:tc>
          <w:tcPr>
            <w:tcW w:w="3348" w:type="dxa"/>
            <w:tcBorders>
              <w:top w:val="single" w:sz="4" w:space="0" w:color="auto"/>
              <w:left w:val="single" w:sz="4" w:space="0" w:color="auto"/>
              <w:bottom w:val="single" w:sz="4" w:space="0" w:color="auto"/>
              <w:right w:val="single" w:sz="4" w:space="0" w:color="auto"/>
            </w:tcBorders>
            <w:hideMark/>
          </w:tcPr>
          <w:p w:rsidR="00C1146E" w:rsidRPr="00D90DAE" w:rsidRDefault="00C1146E" w:rsidP="00A243A1">
            <w:pPr>
              <w:keepNext/>
              <w:suppressLineNumbers/>
              <w:jc w:val="both"/>
              <w:rPr>
                <w:rFonts w:eastAsia="Calibri"/>
              </w:rPr>
            </w:pPr>
            <w:r w:rsidRPr="00D90DAE">
              <w:rPr>
                <w:rFonts w:eastAsia="Calibri"/>
              </w:rPr>
              <w:t>General Service 100% Load Factor</w:t>
            </w:r>
          </w:p>
        </w:tc>
        <w:tc>
          <w:tcPr>
            <w:tcW w:w="1980" w:type="dxa"/>
            <w:tcBorders>
              <w:top w:val="single" w:sz="4" w:space="0" w:color="auto"/>
              <w:left w:val="single" w:sz="4" w:space="0" w:color="auto"/>
              <w:bottom w:val="single" w:sz="4" w:space="0" w:color="auto"/>
              <w:right w:val="single" w:sz="4" w:space="0" w:color="auto"/>
            </w:tcBorders>
            <w:hideMark/>
          </w:tcPr>
          <w:p w:rsidR="00C1146E" w:rsidRPr="00A63EEA" w:rsidRDefault="00C1146E" w:rsidP="00A243A1">
            <w:pPr>
              <w:keepNext/>
              <w:suppressLineNumbers/>
              <w:jc w:val="both"/>
              <w:rPr>
                <w:rFonts w:eastAsia="Calibri"/>
              </w:rPr>
            </w:pPr>
            <w:r w:rsidRPr="00A63EEA">
              <w:rPr>
                <w:rFonts w:eastAsia="Calibri"/>
              </w:rPr>
              <w:t>0.024 cents/kWh</w:t>
            </w:r>
          </w:p>
        </w:tc>
      </w:tr>
      <w:tr w:rsidR="00C1146E" w:rsidRPr="00D90DAE" w:rsidTr="00A243A1">
        <w:trPr>
          <w:trHeight w:val="1171"/>
        </w:trPr>
        <w:tc>
          <w:tcPr>
            <w:tcW w:w="3348" w:type="dxa"/>
            <w:tcBorders>
              <w:top w:val="single" w:sz="4" w:space="0" w:color="auto"/>
              <w:left w:val="single" w:sz="4" w:space="0" w:color="auto"/>
              <w:bottom w:val="single" w:sz="4" w:space="0" w:color="auto"/>
              <w:right w:val="single" w:sz="4" w:space="0" w:color="auto"/>
            </w:tcBorders>
            <w:hideMark/>
          </w:tcPr>
          <w:p w:rsidR="00C1146E" w:rsidRPr="00D90DAE" w:rsidRDefault="00C1146E" w:rsidP="00A243A1">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rsidR="00C1146E" w:rsidRPr="00D90DAE" w:rsidRDefault="00C1146E" w:rsidP="00A243A1">
            <w:pPr>
              <w:keepNext/>
              <w:suppressLineNumbers/>
              <w:jc w:val="both"/>
              <w:rPr>
                <w:rFonts w:eastAsia="Calibri"/>
              </w:rPr>
            </w:pPr>
            <w:r w:rsidRPr="00D90DAE">
              <w:rPr>
                <w:rFonts w:eastAsia="Calibri"/>
              </w:rPr>
              <w:t>@ Secondary Voltage</w:t>
            </w:r>
          </w:p>
          <w:p w:rsidR="00C1146E" w:rsidRPr="00D90DAE" w:rsidRDefault="00C1146E" w:rsidP="00A243A1">
            <w:pPr>
              <w:keepNext/>
              <w:suppressLineNumbers/>
              <w:jc w:val="both"/>
              <w:rPr>
                <w:rFonts w:eastAsia="Calibri"/>
              </w:rPr>
            </w:pPr>
            <w:r w:rsidRPr="00D90DAE">
              <w:rPr>
                <w:rFonts w:eastAsia="Calibri"/>
              </w:rPr>
              <w:t>@ Primary Voltage</w:t>
            </w:r>
          </w:p>
          <w:p w:rsidR="00C1146E" w:rsidRPr="00D90DAE" w:rsidRDefault="00C1146E" w:rsidP="00A243A1">
            <w:pPr>
              <w:keepNext/>
              <w:suppressLineNumbers/>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C1146E" w:rsidRPr="00F26183" w:rsidRDefault="00C1146E" w:rsidP="00A243A1">
            <w:pPr>
              <w:keepNext/>
              <w:suppressLineNumbers/>
              <w:suppressAutoHyphens/>
              <w:jc w:val="both"/>
              <w:outlineLvl w:val="2"/>
              <w:rPr>
                <w:rFonts w:eastAsia="Calibri"/>
                <w:highlight w:val="yellow"/>
              </w:rPr>
            </w:pPr>
          </w:p>
          <w:p w:rsidR="00C1146E" w:rsidRPr="00A63EEA" w:rsidRDefault="00C1146E" w:rsidP="00A243A1">
            <w:pPr>
              <w:keepNext/>
              <w:suppressLineNumbers/>
              <w:jc w:val="both"/>
              <w:rPr>
                <w:rFonts w:eastAsia="Calibri"/>
              </w:rPr>
            </w:pPr>
            <w:r w:rsidRPr="00A63EEA">
              <w:rPr>
                <w:rFonts w:eastAsia="Calibri"/>
              </w:rPr>
              <w:t>0.025 cents/kWh</w:t>
            </w:r>
          </w:p>
          <w:p w:rsidR="00C1146E" w:rsidRPr="00A63EEA" w:rsidRDefault="00C1146E" w:rsidP="00A243A1">
            <w:pPr>
              <w:keepNext/>
              <w:suppressLineNumbers/>
              <w:jc w:val="both"/>
              <w:rPr>
                <w:rFonts w:eastAsia="Calibri"/>
              </w:rPr>
            </w:pPr>
            <w:r w:rsidRPr="00A63EEA">
              <w:rPr>
                <w:rFonts w:eastAsia="Calibri"/>
              </w:rPr>
              <w:t>0.025 cents/kWh</w:t>
            </w:r>
          </w:p>
          <w:p w:rsidR="00C1146E" w:rsidRPr="00F26183" w:rsidRDefault="00C1146E" w:rsidP="00A243A1">
            <w:pPr>
              <w:keepNext/>
              <w:suppressLineNumbers/>
              <w:jc w:val="both"/>
              <w:rPr>
                <w:rFonts w:eastAsia="Calibri"/>
                <w:highlight w:val="yellow"/>
              </w:rPr>
            </w:pPr>
            <w:r w:rsidRPr="00A63EEA">
              <w:rPr>
                <w:rFonts w:eastAsia="Calibri"/>
              </w:rPr>
              <w:t>0.025 cents/kWh</w:t>
            </w:r>
          </w:p>
        </w:tc>
      </w:tr>
      <w:tr w:rsidR="00C1146E" w:rsidRPr="00D90DAE" w:rsidTr="00A243A1">
        <w:trPr>
          <w:trHeight w:val="1138"/>
        </w:trPr>
        <w:tc>
          <w:tcPr>
            <w:tcW w:w="3348" w:type="dxa"/>
            <w:tcBorders>
              <w:top w:val="single" w:sz="4" w:space="0" w:color="auto"/>
              <w:left w:val="single" w:sz="4" w:space="0" w:color="auto"/>
              <w:bottom w:val="single" w:sz="4" w:space="0" w:color="auto"/>
              <w:right w:val="single" w:sz="4" w:space="0" w:color="auto"/>
            </w:tcBorders>
            <w:hideMark/>
          </w:tcPr>
          <w:p w:rsidR="00C1146E" w:rsidRPr="00A63EEA" w:rsidRDefault="00C1146E" w:rsidP="00A243A1">
            <w:pPr>
              <w:keepNext/>
              <w:suppressLineNumbers/>
              <w:tabs>
                <w:tab w:val="left" w:pos="576"/>
                <w:tab w:val="left" w:pos="1440"/>
                <w:tab w:val="left" w:pos="1728"/>
                <w:tab w:val="left" w:pos="5904"/>
              </w:tabs>
              <w:ind w:firstLine="90"/>
              <w:jc w:val="both"/>
              <w:rPr>
                <w:rFonts w:eastAsia="Calibri"/>
              </w:rPr>
            </w:pPr>
            <w:r w:rsidRPr="00A63EEA">
              <w:rPr>
                <w:rFonts w:eastAsia="Calibri"/>
              </w:rPr>
              <w:t>Curtailable</w:t>
            </w:r>
          </w:p>
          <w:p w:rsidR="00C1146E" w:rsidRPr="00A63EEA" w:rsidRDefault="00C1146E" w:rsidP="00A243A1">
            <w:pPr>
              <w:keepNext/>
              <w:suppressLineNumbers/>
              <w:tabs>
                <w:tab w:val="left" w:pos="576"/>
                <w:tab w:val="left" w:pos="1440"/>
                <w:tab w:val="left" w:pos="1728"/>
                <w:tab w:val="left" w:pos="5904"/>
              </w:tabs>
              <w:ind w:firstLine="90"/>
              <w:jc w:val="both"/>
              <w:rPr>
                <w:rFonts w:eastAsia="Calibri"/>
              </w:rPr>
            </w:pPr>
            <w:r w:rsidRPr="00A63EEA">
              <w:rPr>
                <w:rFonts w:eastAsia="Calibri"/>
              </w:rPr>
              <w:t>@ Secondary Voltage</w:t>
            </w:r>
          </w:p>
          <w:p w:rsidR="00C1146E" w:rsidRPr="00A63EEA" w:rsidRDefault="00C1146E" w:rsidP="00A243A1">
            <w:pPr>
              <w:keepNext/>
              <w:suppressLineNumbers/>
              <w:tabs>
                <w:tab w:val="left" w:pos="576"/>
                <w:tab w:val="left" w:pos="1440"/>
                <w:tab w:val="left" w:pos="1728"/>
                <w:tab w:val="left" w:pos="5904"/>
              </w:tabs>
              <w:ind w:firstLine="90"/>
              <w:jc w:val="both"/>
              <w:rPr>
                <w:rFonts w:eastAsia="Calibri"/>
              </w:rPr>
            </w:pPr>
            <w:r w:rsidRPr="00A63EEA">
              <w:rPr>
                <w:rFonts w:eastAsia="Calibri"/>
              </w:rPr>
              <w:t>@ Primary Voltage</w:t>
            </w:r>
          </w:p>
          <w:p w:rsidR="00C1146E" w:rsidRPr="00A63EEA" w:rsidRDefault="00C1146E" w:rsidP="00A243A1">
            <w:pPr>
              <w:keepNext/>
              <w:suppressLineNumbers/>
              <w:tabs>
                <w:tab w:val="left" w:pos="576"/>
                <w:tab w:val="left" w:pos="1440"/>
                <w:tab w:val="left" w:pos="1728"/>
                <w:tab w:val="left" w:pos="5904"/>
              </w:tabs>
              <w:ind w:firstLine="90"/>
              <w:jc w:val="both"/>
              <w:rPr>
                <w:rFonts w:eastAsia="Calibri"/>
              </w:rPr>
            </w:pPr>
            <w:r w:rsidRPr="00A63EEA">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C1146E" w:rsidRPr="00A63EEA" w:rsidRDefault="00C1146E" w:rsidP="00A243A1">
            <w:pPr>
              <w:keepNext/>
              <w:suppressLineNumbers/>
              <w:jc w:val="both"/>
              <w:rPr>
                <w:rFonts w:eastAsia="Calibri"/>
              </w:rPr>
            </w:pPr>
          </w:p>
          <w:p w:rsidR="00C1146E" w:rsidRPr="00A63EEA" w:rsidRDefault="00C1146E" w:rsidP="00A243A1">
            <w:pPr>
              <w:keepNext/>
              <w:suppressLineNumbers/>
              <w:jc w:val="both"/>
              <w:rPr>
                <w:rFonts w:eastAsia="Calibri"/>
              </w:rPr>
            </w:pPr>
            <w:r w:rsidRPr="00A63EEA">
              <w:rPr>
                <w:rFonts w:eastAsia="Calibri"/>
              </w:rPr>
              <w:t>0.022 cents/kWh</w:t>
            </w:r>
          </w:p>
          <w:p w:rsidR="00C1146E" w:rsidRPr="00A63EEA" w:rsidRDefault="00C1146E" w:rsidP="00A243A1">
            <w:pPr>
              <w:keepNext/>
              <w:suppressLineNumbers/>
              <w:jc w:val="both"/>
              <w:rPr>
                <w:rFonts w:eastAsia="Calibri"/>
              </w:rPr>
            </w:pPr>
            <w:r w:rsidRPr="00A63EEA">
              <w:rPr>
                <w:rFonts w:eastAsia="Calibri"/>
              </w:rPr>
              <w:t>0.022 cents/kWh</w:t>
            </w:r>
          </w:p>
          <w:p w:rsidR="00C1146E" w:rsidRPr="00A63EEA" w:rsidRDefault="00C1146E" w:rsidP="00A243A1">
            <w:pPr>
              <w:keepNext/>
              <w:suppressLineNumbers/>
              <w:jc w:val="both"/>
              <w:rPr>
                <w:rFonts w:eastAsia="Calibri"/>
              </w:rPr>
            </w:pPr>
            <w:r w:rsidRPr="00A63EEA">
              <w:rPr>
                <w:rFonts w:eastAsia="Calibri"/>
              </w:rPr>
              <w:t>0.022 cents/kWh</w:t>
            </w:r>
          </w:p>
        </w:tc>
      </w:tr>
      <w:tr w:rsidR="00C1146E" w:rsidRPr="00D90DAE" w:rsidTr="00A243A1">
        <w:trPr>
          <w:trHeight w:val="291"/>
        </w:trPr>
        <w:tc>
          <w:tcPr>
            <w:tcW w:w="3348" w:type="dxa"/>
            <w:tcBorders>
              <w:top w:val="single" w:sz="4" w:space="0" w:color="auto"/>
              <w:left w:val="single" w:sz="4" w:space="0" w:color="auto"/>
              <w:bottom w:val="single" w:sz="4" w:space="0" w:color="auto"/>
              <w:right w:val="single" w:sz="4" w:space="0" w:color="auto"/>
            </w:tcBorders>
            <w:hideMark/>
          </w:tcPr>
          <w:p w:rsidR="00C1146E" w:rsidRPr="00D90DAE" w:rsidRDefault="00C1146E" w:rsidP="00A243A1">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rsidR="00C1146E" w:rsidRPr="00D90DAE" w:rsidRDefault="00C1146E" w:rsidP="00A243A1">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C1146E" w:rsidRPr="00D90DAE" w:rsidRDefault="00C1146E" w:rsidP="00A243A1">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C1146E" w:rsidRPr="00D90DAE" w:rsidRDefault="00C1146E" w:rsidP="00A243A1">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C1146E" w:rsidRPr="00A63EEA" w:rsidRDefault="00C1146E" w:rsidP="00A243A1">
            <w:pPr>
              <w:keepNext/>
              <w:suppressLineNumbers/>
              <w:jc w:val="both"/>
              <w:rPr>
                <w:rFonts w:eastAsia="Calibri"/>
              </w:rPr>
            </w:pPr>
          </w:p>
          <w:p w:rsidR="00C1146E" w:rsidRPr="00A63EEA" w:rsidRDefault="00C1146E" w:rsidP="00A243A1">
            <w:pPr>
              <w:keepNext/>
              <w:suppressLineNumbers/>
              <w:jc w:val="both"/>
              <w:rPr>
                <w:rFonts w:eastAsia="Calibri"/>
              </w:rPr>
            </w:pPr>
            <w:r w:rsidRPr="00A63EEA">
              <w:rPr>
                <w:rFonts w:eastAsia="Calibri"/>
              </w:rPr>
              <w:t>0.023 cents/kWh</w:t>
            </w:r>
          </w:p>
          <w:p w:rsidR="00C1146E" w:rsidRPr="00A63EEA" w:rsidRDefault="00C1146E" w:rsidP="00A243A1">
            <w:pPr>
              <w:keepNext/>
              <w:suppressLineNumbers/>
              <w:jc w:val="both"/>
              <w:rPr>
                <w:rFonts w:eastAsia="Calibri"/>
              </w:rPr>
            </w:pPr>
            <w:r w:rsidRPr="00A63EEA">
              <w:rPr>
                <w:rFonts w:eastAsia="Calibri"/>
              </w:rPr>
              <w:t>0.023 cents/kWh</w:t>
            </w:r>
          </w:p>
          <w:p w:rsidR="00C1146E" w:rsidRPr="00A63EEA" w:rsidRDefault="00C1146E" w:rsidP="00A243A1">
            <w:pPr>
              <w:keepNext/>
              <w:suppressLineNumbers/>
              <w:jc w:val="both"/>
              <w:rPr>
                <w:rFonts w:eastAsia="Calibri"/>
              </w:rPr>
            </w:pPr>
            <w:r w:rsidRPr="00A63EEA">
              <w:rPr>
                <w:rFonts w:eastAsia="Calibri"/>
              </w:rPr>
              <w:t>0.023 cents/kWh</w:t>
            </w:r>
          </w:p>
        </w:tc>
      </w:tr>
      <w:tr w:rsidR="00C1146E" w:rsidRPr="00D90DAE" w:rsidTr="00A243A1">
        <w:trPr>
          <w:trHeight w:val="291"/>
        </w:trPr>
        <w:tc>
          <w:tcPr>
            <w:tcW w:w="3348" w:type="dxa"/>
            <w:tcBorders>
              <w:top w:val="single" w:sz="4" w:space="0" w:color="auto"/>
              <w:left w:val="single" w:sz="4" w:space="0" w:color="auto"/>
              <w:bottom w:val="single" w:sz="4" w:space="0" w:color="auto"/>
              <w:right w:val="single" w:sz="4" w:space="0" w:color="auto"/>
            </w:tcBorders>
            <w:hideMark/>
          </w:tcPr>
          <w:p w:rsidR="00C1146E" w:rsidRPr="00D90DAE" w:rsidRDefault="00C1146E" w:rsidP="00A243A1">
            <w:pPr>
              <w:suppressLineNumbers/>
              <w:jc w:val="both"/>
              <w:rPr>
                <w:rFonts w:eastAsia="Calibri"/>
              </w:rPr>
            </w:pPr>
            <w:r w:rsidRPr="00D90DAE">
              <w:rPr>
                <w:rFonts w:eastAsia="Calibri"/>
              </w:rPr>
              <w:t>Lighting</w:t>
            </w:r>
          </w:p>
        </w:tc>
        <w:tc>
          <w:tcPr>
            <w:tcW w:w="1980" w:type="dxa"/>
            <w:tcBorders>
              <w:top w:val="single" w:sz="4" w:space="0" w:color="auto"/>
              <w:left w:val="single" w:sz="4" w:space="0" w:color="auto"/>
              <w:bottom w:val="single" w:sz="4" w:space="0" w:color="auto"/>
              <w:right w:val="single" w:sz="4" w:space="0" w:color="auto"/>
            </w:tcBorders>
            <w:hideMark/>
          </w:tcPr>
          <w:p w:rsidR="00C1146E" w:rsidRPr="00A63EEA" w:rsidRDefault="00C1146E" w:rsidP="00A243A1">
            <w:pPr>
              <w:suppressLineNumbers/>
              <w:jc w:val="both"/>
              <w:rPr>
                <w:rFonts w:eastAsia="Calibri"/>
              </w:rPr>
            </w:pPr>
            <w:r w:rsidRPr="00A63EEA">
              <w:rPr>
                <w:rFonts w:eastAsia="Calibri"/>
              </w:rPr>
              <w:t>0.020 cents/kWh</w:t>
            </w:r>
          </w:p>
        </w:tc>
      </w:tr>
    </w:tbl>
    <w:p w:rsidR="00C1146E" w:rsidRDefault="00C1146E" w:rsidP="00C1146E">
      <w:pPr>
        <w:ind w:right="-360"/>
        <w:jc w:val="both"/>
        <w:rPr>
          <w:rFonts w:eastAsia="Calibri"/>
          <w:b/>
          <w:bCs/>
        </w:rPr>
      </w:pPr>
    </w:p>
    <w:p w:rsidR="00C1146E" w:rsidRDefault="00C1146E" w:rsidP="00C1146E">
      <w:pPr>
        <w:ind w:right="-360"/>
        <w:jc w:val="both"/>
        <w:rPr>
          <w:rFonts w:eastAsia="Calibri"/>
          <w:b/>
          <w:bCs/>
        </w:rPr>
      </w:pPr>
    </w:p>
    <w:p w:rsidR="00C1146E" w:rsidRDefault="00C1146E" w:rsidP="00C1146E">
      <w:pPr>
        <w:ind w:right="-360"/>
        <w:jc w:val="both"/>
        <w:rPr>
          <w:rFonts w:eastAsia="Calibri"/>
          <w:b/>
          <w:bCs/>
        </w:rPr>
      </w:pPr>
    </w:p>
    <w:p w:rsidR="00C1146E" w:rsidRDefault="00C1146E" w:rsidP="00C1146E">
      <w:pPr>
        <w:ind w:right="-360"/>
        <w:jc w:val="both"/>
        <w:rPr>
          <w:rFonts w:eastAsia="Calibri"/>
          <w:b/>
          <w:bCs/>
        </w:rPr>
      </w:pPr>
    </w:p>
    <w:p w:rsidR="00C1146E" w:rsidRPr="00D90DAE" w:rsidRDefault="00C1146E" w:rsidP="00C1146E">
      <w:pPr>
        <w:ind w:right="-360"/>
        <w:jc w:val="both"/>
        <w:rPr>
          <w:rFonts w:eastAsia="Calibri"/>
          <w:b/>
          <w:bCs/>
        </w:rPr>
      </w:pPr>
      <w:r w:rsidRPr="00D90DAE">
        <w:rPr>
          <w:rFonts w:eastAsia="Calibri"/>
          <w:b/>
          <w:bCs/>
        </w:rPr>
        <w:t>TECO</w:t>
      </w:r>
      <w:r>
        <w:rPr>
          <w:rFonts w:eastAsia="Calibri"/>
          <w:b/>
          <w:bCs/>
        </w:rPr>
        <w:t>:</w:t>
      </w:r>
      <w:r w:rsidRPr="00D90DAE">
        <w:rPr>
          <w:rFonts w:eastAsia="Calibri"/>
          <w:b/>
          <w:bCs/>
        </w:rPr>
        <w:tab/>
      </w:r>
      <w:r w:rsidRPr="00D90DAE">
        <w:rPr>
          <w:rFonts w:eastAsia="Calibri"/>
          <w:b/>
          <w:bCs/>
        </w:rPr>
        <w:tab/>
      </w:r>
    </w:p>
    <w:p w:rsidR="00C1146E" w:rsidRPr="00D90DAE" w:rsidRDefault="00C1146E" w:rsidP="00C1146E">
      <w:pPr>
        <w:ind w:left="720" w:right="-360" w:firstLine="720"/>
        <w:jc w:val="both"/>
        <w:rPr>
          <w:rFonts w:eastAsia="Calibri"/>
          <w:b/>
          <w:color w:val="000000" w:themeColor="text1"/>
          <w:u w:val="single"/>
        </w:rPr>
      </w:pPr>
      <w:r w:rsidRPr="00D90DAE">
        <w:rPr>
          <w:rFonts w:eastAsia="Calibri"/>
          <w:b/>
          <w:u w:val="single"/>
        </w:rPr>
        <w:t>Rate Class</w:t>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b/>
          <w:u w:val="single"/>
        </w:rPr>
        <w:t>Factor (¢/kWh</w:t>
      </w:r>
      <w:r w:rsidRPr="00D90DAE">
        <w:rPr>
          <w:rFonts w:eastAsia="Calibri"/>
          <w:b/>
          <w:color w:val="000000" w:themeColor="text1"/>
          <w:u w:val="single"/>
        </w:rPr>
        <w:t>)</w:t>
      </w:r>
    </w:p>
    <w:p w:rsidR="00C1146E" w:rsidRPr="00D90DAE" w:rsidRDefault="00C1146E" w:rsidP="00C1146E">
      <w:pPr>
        <w:ind w:left="720" w:right="-360" w:hanging="720"/>
        <w:jc w:val="both"/>
        <w:rPr>
          <w:rFonts w:eastAsia="Calibri"/>
          <w:b/>
          <w:u w:val="single"/>
        </w:rPr>
      </w:pPr>
    </w:p>
    <w:p w:rsidR="00C1146E" w:rsidRPr="003C367E" w:rsidRDefault="00C1146E" w:rsidP="00C1146E">
      <w:pPr>
        <w:tabs>
          <w:tab w:val="left" w:pos="-1440"/>
          <w:tab w:val="left" w:pos="-720"/>
          <w:tab w:val="left" w:pos="720"/>
          <w:tab w:val="left" w:pos="1440"/>
          <w:tab w:val="left" w:pos="7200"/>
        </w:tabs>
        <w:ind w:right="-360" w:firstLine="1440"/>
        <w:jc w:val="both"/>
        <w:rPr>
          <w:rFonts w:eastAsia="Calibri"/>
        </w:rPr>
      </w:pPr>
      <w:r w:rsidRPr="003C367E">
        <w:rPr>
          <w:rFonts w:eastAsia="Calibri"/>
        </w:rPr>
        <w:t>RS</w:t>
      </w:r>
      <w:r w:rsidRPr="003C367E">
        <w:rPr>
          <w:rFonts w:eastAsia="Calibri"/>
        </w:rPr>
        <w:tab/>
        <w:t>0.</w:t>
      </w:r>
      <w:r>
        <w:rPr>
          <w:rFonts w:eastAsia="Calibri"/>
        </w:rPr>
        <w:t>138</w:t>
      </w:r>
    </w:p>
    <w:p w:rsidR="00C1146E" w:rsidRPr="003C367E" w:rsidRDefault="00C1146E" w:rsidP="00C1146E">
      <w:pPr>
        <w:tabs>
          <w:tab w:val="left" w:pos="-1440"/>
          <w:tab w:val="left" w:pos="-720"/>
          <w:tab w:val="left" w:pos="720"/>
          <w:tab w:val="left" w:pos="1440"/>
          <w:tab w:val="left" w:pos="7200"/>
        </w:tabs>
        <w:ind w:right="-360" w:firstLine="1440"/>
        <w:jc w:val="both"/>
        <w:rPr>
          <w:rFonts w:eastAsia="Calibri"/>
        </w:rPr>
      </w:pPr>
      <w:r w:rsidRPr="003C367E">
        <w:rPr>
          <w:rFonts w:eastAsia="Calibri"/>
        </w:rPr>
        <w:t>GS, CS</w:t>
      </w:r>
      <w:r w:rsidRPr="003C367E">
        <w:rPr>
          <w:rFonts w:eastAsia="Calibri"/>
        </w:rPr>
        <w:tab/>
      </w:r>
      <w:r>
        <w:rPr>
          <w:rFonts w:eastAsia="Calibri"/>
        </w:rPr>
        <w:t>0.135</w:t>
      </w:r>
    </w:p>
    <w:p w:rsidR="00C1146E" w:rsidRPr="003C367E" w:rsidRDefault="00C1146E" w:rsidP="00C1146E">
      <w:pPr>
        <w:tabs>
          <w:tab w:val="left" w:pos="-1440"/>
          <w:tab w:val="left" w:pos="-720"/>
          <w:tab w:val="left" w:pos="720"/>
          <w:tab w:val="left" w:pos="1440"/>
          <w:tab w:val="left" w:pos="6840"/>
        </w:tabs>
        <w:ind w:right="-360" w:firstLine="1440"/>
        <w:jc w:val="both"/>
        <w:rPr>
          <w:rFonts w:eastAsia="Calibri"/>
        </w:rPr>
      </w:pPr>
      <w:r w:rsidRPr="003C367E">
        <w:rPr>
          <w:rFonts w:eastAsia="Calibri"/>
        </w:rPr>
        <w:t>GSD, SBF</w:t>
      </w:r>
    </w:p>
    <w:p w:rsidR="00C1146E" w:rsidRPr="003C367E" w:rsidRDefault="00C1146E" w:rsidP="00C1146E">
      <w:pPr>
        <w:tabs>
          <w:tab w:val="left" w:pos="-1440"/>
          <w:tab w:val="left" w:pos="-720"/>
          <w:tab w:val="left" w:pos="720"/>
          <w:tab w:val="left" w:pos="1440"/>
          <w:tab w:val="left" w:pos="1800"/>
          <w:tab w:val="left" w:pos="7200"/>
        </w:tabs>
        <w:ind w:right="-360"/>
        <w:jc w:val="both"/>
        <w:rPr>
          <w:rFonts w:eastAsia="Calibri"/>
        </w:rPr>
      </w:pPr>
      <w:r w:rsidRPr="003C367E">
        <w:rPr>
          <w:rFonts w:eastAsia="Calibri"/>
        </w:rPr>
        <w:tab/>
      </w:r>
      <w:r w:rsidRPr="003C367E">
        <w:rPr>
          <w:rFonts w:eastAsia="Calibri"/>
        </w:rPr>
        <w:tab/>
      </w:r>
      <w:r w:rsidRPr="003C367E">
        <w:rPr>
          <w:rFonts w:eastAsia="Calibri"/>
        </w:rPr>
        <w:tab/>
        <w:t>Secondary</w:t>
      </w:r>
      <w:r w:rsidRPr="003C367E">
        <w:rPr>
          <w:rFonts w:eastAsia="Calibri"/>
        </w:rPr>
        <w:tab/>
        <w:t>0.</w:t>
      </w:r>
      <w:r>
        <w:rPr>
          <w:rFonts w:eastAsia="Calibri"/>
        </w:rPr>
        <w:t>130</w:t>
      </w:r>
    </w:p>
    <w:p w:rsidR="00C1146E" w:rsidRPr="003C367E" w:rsidRDefault="00C1146E" w:rsidP="00C1146E">
      <w:pPr>
        <w:tabs>
          <w:tab w:val="left" w:pos="-1440"/>
          <w:tab w:val="left" w:pos="-720"/>
          <w:tab w:val="left" w:pos="720"/>
          <w:tab w:val="left" w:pos="1440"/>
          <w:tab w:val="left" w:pos="1800"/>
          <w:tab w:val="left" w:pos="7200"/>
        </w:tabs>
        <w:ind w:right="-360"/>
        <w:jc w:val="both"/>
        <w:rPr>
          <w:rFonts w:eastAsia="Calibri"/>
        </w:rPr>
      </w:pPr>
      <w:r w:rsidRPr="003C367E">
        <w:rPr>
          <w:rFonts w:eastAsia="Calibri"/>
        </w:rPr>
        <w:tab/>
      </w:r>
      <w:r w:rsidRPr="003C367E">
        <w:rPr>
          <w:rFonts w:eastAsia="Calibri"/>
        </w:rPr>
        <w:tab/>
      </w:r>
      <w:r w:rsidRPr="003C367E">
        <w:rPr>
          <w:rFonts w:eastAsia="Calibri"/>
        </w:rPr>
        <w:tab/>
        <w:t>Primary</w:t>
      </w:r>
      <w:r w:rsidRPr="003C367E">
        <w:rPr>
          <w:rFonts w:eastAsia="Calibri"/>
        </w:rPr>
        <w:tab/>
        <w:t>0.</w:t>
      </w:r>
      <w:r>
        <w:rPr>
          <w:rFonts w:eastAsia="Calibri"/>
        </w:rPr>
        <w:t>129</w:t>
      </w:r>
    </w:p>
    <w:p w:rsidR="00C1146E" w:rsidRDefault="00C1146E" w:rsidP="00C1146E">
      <w:pPr>
        <w:tabs>
          <w:tab w:val="left" w:pos="-1440"/>
          <w:tab w:val="left" w:pos="-720"/>
          <w:tab w:val="left" w:pos="720"/>
          <w:tab w:val="left" w:pos="1440"/>
          <w:tab w:val="left" w:pos="1800"/>
          <w:tab w:val="left" w:pos="7200"/>
        </w:tabs>
        <w:ind w:right="-360"/>
        <w:jc w:val="both"/>
        <w:rPr>
          <w:rFonts w:eastAsia="Calibri"/>
        </w:rPr>
      </w:pPr>
      <w:r w:rsidRPr="003C367E">
        <w:rPr>
          <w:rFonts w:eastAsia="Calibri"/>
        </w:rPr>
        <w:tab/>
      </w:r>
      <w:r w:rsidRPr="003C367E">
        <w:rPr>
          <w:rFonts w:eastAsia="Calibri"/>
        </w:rPr>
        <w:tab/>
      </w:r>
      <w:r w:rsidRPr="003C367E">
        <w:rPr>
          <w:rFonts w:eastAsia="Calibri"/>
        </w:rPr>
        <w:tab/>
        <w:t>Transmission</w:t>
      </w:r>
      <w:r w:rsidRPr="003C367E">
        <w:rPr>
          <w:rFonts w:eastAsia="Calibri"/>
        </w:rPr>
        <w:tab/>
      </w:r>
      <w:r>
        <w:rPr>
          <w:rFonts w:eastAsia="Calibri"/>
        </w:rPr>
        <w:t>0.128</w:t>
      </w:r>
    </w:p>
    <w:p w:rsidR="00C1146E" w:rsidRDefault="00C1146E" w:rsidP="00C1146E">
      <w:pPr>
        <w:tabs>
          <w:tab w:val="left" w:pos="4590"/>
          <w:tab w:val="left" w:pos="6660"/>
          <w:tab w:val="left" w:pos="6840"/>
        </w:tabs>
        <w:ind w:right="-360" w:firstLine="1440"/>
        <w:jc w:val="both"/>
        <w:rPr>
          <w:rFonts w:eastAsia="Calibri"/>
        </w:rPr>
      </w:pPr>
      <w:r>
        <w:rPr>
          <w:rFonts w:eastAsia="Calibri"/>
        </w:rPr>
        <w:t>GSLDPR</w:t>
      </w:r>
      <w:r>
        <w:rPr>
          <w:rFonts w:eastAsia="Calibri"/>
        </w:rPr>
        <w:tab/>
      </w:r>
      <w:r>
        <w:rPr>
          <w:rFonts w:eastAsia="Calibri"/>
        </w:rPr>
        <w:tab/>
      </w:r>
      <w:r>
        <w:rPr>
          <w:rFonts w:eastAsia="Calibri"/>
        </w:rPr>
        <w:tab/>
      </w:r>
      <w:r>
        <w:rPr>
          <w:rFonts w:eastAsia="Calibri"/>
        </w:rPr>
        <w:tab/>
        <w:t>0.123</w:t>
      </w:r>
    </w:p>
    <w:p w:rsidR="00C1146E" w:rsidRPr="003C367E" w:rsidRDefault="00C1146E" w:rsidP="00C1146E">
      <w:pPr>
        <w:tabs>
          <w:tab w:val="left" w:pos="1800"/>
          <w:tab w:val="left" w:pos="4590"/>
          <w:tab w:val="left" w:pos="6840"/>
        </w:tabs>
        <w:ind w:right="-360" w:firstLine="1440"/>
        <w:jc w:val="both"/>
        <w:rPr>
          <w:rFonts w:eastAsia="Calibri"/>
        </w:rPr>
      </w:pPr>
      <w:r>
        <w:rPr>
          <w:rFonts w:eastAsia="Calibri"/>
        </w:rPr>
        <w:t>GSLDSU</w:t>
      </w:r>
      <w:r w:rsidRPr="003C367E">
        <w:rPr>
          <w:rFonts w:eastAsia="Calibri"/>
        </w:rPr>
        <w:tab/>
      </w:r>
      <w:r w:rsidRPr="003C367E">
        <w:rPr>
          <w:rFonts w:eastAsia="Calibri"/>
        </w:rPr>
        <w:tab/>
      </w:r>
      <w:r w:rsidRPr="003C367E">
        <w:rPr>
          <w:rFonts w:eastAsia="Calibri"/>
        </w:rPr>
        <w:tab/>
      </w:r>
      <w:r>
        <w:rPr>
          <w:rFonts w:eastAsia="Calibri"/>
        </w:rPr>
        <w:t>0.120</w:t>
      </w:r>
    </w:p>
    <w:p w:rsidR="00C1146E" w:rsidRPr="003C367E" w:rsidRDefault="00C1146E" w:rsidP="00C1146E">
      <w:pPr>
        <w:tabs>
          <w:tab w:val="left" w:pos="-1440"/>
          <w:tab w:val="left" w:pos="-720"/>
          <w:tab w:val="left" w:pos="720"/>
          <w:tab w:val="left" w:pos="1440"/>
          <w:tab w:val="left" w:pos="7200"/>
        </w:tabs>
        <w:ind w:right="-360" w:firstLine="1440"/>
        <w:jc w:val="both"/>
        <w:rPr>
          <w:rFonts w:eastAsia="Calibri"/>
        </w:rPr>
      </w:pPr>
      <w:r w:rsidRPr="003C367E">
        <w:rPr>
          <w:rFonts w:eastAsia="Calibri"/>
        </w:rPr>
        <w:t>LS1</w:t>
      </w:r>
      <w:r>
        <w:rPr>
          <w:rFonts w:eastAsia="Calibri"/>
        </w:rPr>
        <w:t>, LS2</w:t>
      </w:r>
      <w:r w:rsidRPr="003C367E">
        <w:rPr>
          <w:rFonts w:eastAsia="Calibri"/>
        </w:rPr>
        <w:tab/>
        <w:t>0.</w:t>
      </w:r>
      <w:r>
        <w:rPr>
          <w:rFonts w:eastAsia="Calibri"/>
        </w:rPr>
        <w:t>113</w:t>
      </w:r>
    </w:p>
    <w:p w:rsidR="00C1146E" w:rsidRPr="00D90DAE" w:rsidRDefault="00C1146E" w:rsidP="00C1146E">
      <w:pPr>
        <w:tabs>
          <w:tab w:val="left" w:pos="-1440"/>
          <w:tab w:val="left" w:pos="-720"/>
          <w:tab w:val="left" w:pos="720"/>
          <w:tab w:val="left" w:pos="1440"/>
          <w:tab w:val="left" w:pos="7200"/>
          <w:tab w:val="right" w:pos="8640"/>
        </w:tabs>
        <w:ind w:right="-360" w:firstLine="1440"/>
        <w:jc w:val="both"/>
      </w:pPr>
      <w:r>
        <w:t>Average Factor</w:t>
      </w:r>
      <w:r w:rsidRPr="003C367E">
        <w:tab/>
        <w:t>0.</w:t>
      </w:r>
      <w:r>
        <w:t>133</w:t>
      </w:r>
    </w:p>
    <w:p w:rsidR="009610F9" w:rsidRDefault="009610F9" w:rsidP="009610F9">
      <w:pPr>
        <w:spacing w:after="200"/>
        <w:ind w:left="1440" w:hanging="1440"/>
        <w:jc w:val="both"/>
        <w:rPr>
          <w:rFonts w:eastAsia="Calibri"/>
          <w:b/>
        </w:rPr>
      </w:pPr>
    </w:p>
    <w:p w:rsidR="001827AD" w:rsidRDefault="001827AD">
      <w:pPr>
        <w:rPr>
          <w:rFonts w:eastAsia="Calibri"/>
          <w:b/>
          <w:bCs/>
        </w:rPr>
      </w:pPr>
      <w:r>
        <w:rPr>
          <w:rFonts w:eastAsia="Calibri"/>
          <w:b/>
          <w:bCs/>
        </w:rPr>
        <w:br w:type="page"/>
      </w:r>
    </w:p>
    <w:p w:rsidR="009610F9" w:rsidRPr="00DC48B2" w:rsidRDefault="009610F9" w:rsidP="009610F9">
      <w:pPr>
        <w:spacing w:after="200"/>
        <w:ind w:left="1440" w:hanging="1440"/>
        <w:jc w:val="both"/>
        <w:rPr>
          <w:rFonts w:eastAsia="Calibri"/>
          <w:b/>
        </w:rPr>
      </w:pPr>
      <w:r w:rsidRPr="00CA3721">
        <w:rPr>
          <w:rFonts w:eastAsia="Calibri"/>
          <w:b/>
          <w:bCs/>
        </w:rPr>
        <w:lastRenderedPageBreak/>
        <w:t>8.</w:t>
      </w:r>
      <w:r w:rsidRPr="00DC48B2">
        <w:rPr>
          <w:rFonts w:eastAsia="Calibri"/>
          <w:b/>
        </w:rPr>
        <w:tab/>
      </w:r>
      <w:r>
        <w:rPr>
          <w:rFonts w:eastAsia="Calibri"/>
          <w:b/>
        </w:rPr>
        <w:t>E</w:t>
      </w:r>
      <w:r w:rsidRPr="00DC48B2">
        <w:rPr>
          <w:rFonts w:eastAsia="Calibri"/>
          <w:b/>
        </w:rPr>
        <w:t xml:space="preserve">ffective </w:t>
      </w:r>
      <w:r>
        <w:rPr>
          <w:rFonts w:eastAsia="Calibri"/>
          <w:b/>
        </w:rPr>
        <w:t>Date of the New Environmental Cost Recovery Factors for Billing Purposes</w:t>
      </w:r>
    </w:p>
    <w:p w:rsidR="00C1146E" w:rsidRDefault="00C1146E" w:rsidP="00C1146E">
      <w:pPr>
        <w:spacing w:after="200"/>
        <w:ind w:left="1440"/>
        <w:jc w:val="both"/>
        <w:rPr>
          <w:rFonts w:eastAsia="Calibri"/>
        </w:rPr>
      </w:pPr>
      <w:r w:rsidRPr="00D90DAE">
        <w:rPr>
          <w:rFonts w:eastAsia="Calibri"/>
        </w:rPr>
        <w:t>The factors sh</w:t>
      </w:r>
      <w:r>
        <w:rPr>
          <w:rFonts w:eastAsia="Calibri"/>
        </w:rPr>
        <w:t>all</w:t>
      </w:r>
      <w:r w:rsidRPr="00D90DAE">
        <w:rPr>
          <w:rFonts w:eastAsia="Calibri"/>
        </w:rPr>
        <w:t xml:space="preserve"> be effective beginning with the specified environmental cost recovery cycle and thereafter for the period January 20</w:t>
      </w:r>
      <w:r>
        <w:rPr>
          <w:rFonts w:eastAsia="Calibri"/>
        </w:rPr>
        <w:t>22</w:t>
      </w:r>
      <w:r w:rsidRPr="00D90DAE">
        <w:rPr>
          <w:rFonts w:eastAsia="Calibri"/>
        </w:rPr>
        <w:t xml:space="preserve"> through December 20</w:t>
      </w:r>
      <w:r>
        <w:rPr>
          <w:rFonts w:eastAsia="Calibri"/>
        </w:rPr>
        <w:t>22</w:t>
      </w:r>
      <w:r w:rsidRPr="00D90DAE">
        <w:rPr>
          <w:rFonts w:eastAsia="Calibri"/>
        </w:rPr>
        <w:t>. Billing cycles may start before January 1, 20</w:t>
      </w:r>
      <w:r>
        <w:rPr>
          <w:rFonts w:eastAsia="Calibri"/>
        </w:rPr>
        <w:t>22</w:t>
      </w:r>
      <w:r w:rsidRPr="00D90DAE">
        <w:rPr>
          <w:rFonts w:eastAsia="Calibri"/>
        </w:rPr>
        <w:t xml:space="preserve"> and the last cycle may read after December 31, 20</w:t>
      </w:r>
      <w:r>
        <w:rPr>
          <w:rFonts w:eastAsia="Calibri"/>
        </w:rPr>
        <w:t>22</w:t>
      </w:r>
      <w:r w:rsidRPr="00D90DAE">
        <w:rPr>
          <w:rFonts w:eastAsia="Calibri"/>
        </w:rPr>
        <w:t>, so that each customer is billed for twelve months regardless of when the adjustment factor became effective. These charges will continue in effect until modified by the Commission.</w:t>
      </w:r>
    </w:p>
    <w:p w:rsidR="009610F9" w:rsidRDefault="009610F9" w:rsidP="009610F9">
      <w:pPr>
        <w:spacing w:after="200"/>
        <w:ind w:left="1440" w:hanging="1440"/>
        <w:jc w:val="both"/>
        <w:rPr>
          <w:rFonts w:eastAsia="Calibri"/>
          <w:b/>
          <w:bCs/>
        </w:rPr>
      </w:pPr>
    </w:p>
    <w:p w:rsidR="009610F9" w:rsidRPr="00DC48B2" w:rsidRDefault="009610F9" w:rsidP="009610F9">
      <w:pPr>
        <w:ind w:left="1440" w:hanging="1440"/>
        <w:jc w:val="both"/>
        <w:rPr>
          <w:b/>
          <w:bCs/>
        </w:rPr>
      </w:pPr>
      <w:r>
        <w:rPr>
          <w:b/>
        </w:rPr>
        <w:t>9.</w:t>
      </w:r>
      <w:r>
        <w:rPr>
          <w:b/>
        </w:rPr>
        <w:tab/>
      </w:r>
      <w:r>
        <w:rPr>
          <w:b/>
          <w:bCs/>
        </w:rPr>
        <w:t>Commission Approval</w:t>
      </w:r>
      <w:r w:rsidRPr="00DC48B2">
        <w:rPr>
          <w:b/>
          <w:bCs/>
        </w:rPr>
        <w:t xml:space="preserve"> </w:t>
      </w:r>
      <w:r>
        <w:rPr>
          <w:b/>
          <w:bCs/>
        </w:rPr>
        <w:t>of Revised Tariffs Reflecting the Environmental Cost Recovery Amounts and Environmental Cost Recovery Factors Determined to be Appropriate in this Proceeding</w:t>
      </w:r>
    </w:p>
    <w:p w:rsidR="00C1146E" w:rsidRDefault="00C1146E" w:rsidP="009610F9">
      <w:pPr>
        <w:spacing w:after="200"/>
        <w:ind w:left="1440" w:hanging="1440"/>
        <w:jc w:val="both"/>
        <w:rPr>
          <w:bCs/>
        </w:rPr>
      </w:pPr>
    </w:p>
    <w:p w:rsidR="009610F9" w:rsidRDefault="00C1146E" w:rsidP="00C1146E">
      <w:pPr>
        <w:spacing w:after="200"/>
        <w:ind w:left="1440"/>
        <w:jc w:val="both"/>
        <w:rPr>
          <w:rFonts w:eastAsia="Calibri"/>
          <w:b/>
          <w:bCs/>
        </w:rPr>
      </w:pPr>
      <w:r w:rsidRPr="00BF0BF5">
        <w:rPr>
          <w:bCs/>
        </w:rPr>
        <w:t>The Commission shall approve revised tariffs reflecting the environmental cost recovery factors determined to be appropriate in this proceeding. Staff shall verify that the revised tariffs are consistent with the Commission’s decision</w:t>
      </w:r>
      <w:r>
        <w:rPr>
          <w:bCs/>
        </w:rPr>
        <w:t>.</w:t>
      </w:r>
    </w:p>
    <w:p w:rsidR="00C1146E" w:rsidRPr="00691E49" w:rsidRDefault="00C1146E" w:rsidP="00C1146E">
      <w:pPr>
        <w:ind w:left="1440" w:hanging="1440"/>
        <w:jc w:val="both"/>
        <w:rPr>
          <w:rFonts w:eastAsia="Calibri"/>
          <w:b/>
        </w:rPr>
      </w:pPr>
      <w:r>
        <w:rPr>
          <w:rFonts w:eastAsia="Calibri"/>
          <w:b/>
        </w:rPr>
        <w:t>10</w:t>
      </w:r>
      <w:r w:rsidRPr="00691E49">
        <w:rPr>
          <w:rFonts w:eastAsia="Calibri"/>
          <w:b/>
        </w:rPr>
        <w:t>.</w:t>
      </w:r>
      <w:r w:rsidRPr="00691E49">
        <w:rPr>
          <w:rFonts w:eastAsia="Calibri"/>
        </w:rPr>
        <w:tab/>
      </w:r>
      <w:r w:rsidRPr="00691E49">
        <w:rPr>
          <w:rFonts w:eastAsia="Calibri"/>
          <w:b/>
        </w:rPr>
        <w:t>Docket to Remain Open</w:t>
      </w:r>
    </w:p>
    <w:p w:rsidR="00C1146E" w:rsidRPr="00691E49" w:rsidRDefault="00C1146E" w:rsidP="00C1146E">
      <w:pPr>
        <w:jc w:val="both"/>
        <w:rPr>
          <w:rFonts w:eastAsia="Calibri"/>
          <w:b/>
        </w:rPr>
      </w:pPr>
    </w:p>
    <w:p w:rsidR="00C1146E" w:rsidRDefault="00C1146E" w:rsidP="00C1146E">
      <w:pPr>
        <w:ind w:left="1440"/>
        <w:jc w:val="both"/>
        <w:rPr>
          <w:rFonts w:eastAsia="Calibri"/>
        </w:rPr>
      </w:pPr>
      <w:r w:rsidRPr="00691E49">
        <w:rPr>
          <w:rFonts w:eastAsia="Calibri"/>
        </w:rPr>
        <w:t>While a separate docket number is assigned each year for administrative convenience, this is a continuing docket and shall remain open.</w:t>
      </w:r>
    </w:p>
    <w:p w:rsidR="00D90BBF" w:rsidRDefault="00D90BBF" w:rsidP="00D90BBF">
      <w:pPr>
        <w:jc w:val="both"/>
        <w:rPr>
          <w:rFonts w:eastAsia="Calibri"/>
        </w:rPr>
      </w:pPr>
    </w:p>
    <w:p w:rsidR="00D90BBF" w:rsidRDefault="00D90BBF" w:rsidP="00D90BBF">
      <w:pPr>
        <w:jc w:val="both"/>
        <w:rPr>
          <w:b/>
          <w:u w:val="single"/>
        </w:rPr>
      </w:pPr>
      <w:r>
        <w:rPr>
          <w:b/>
          <w:u w:val="single"/>
        </w:rPr>
        <w:t xml:space="preserve">FPL/Gulf Specific Issues </w:t>
      </w:r>
    </w:p>
    <w:p w:rsidR="00D90BBF" w:rsidRPr="006D1C2F" w:rsidRDefault="00D90BBF" w:rsidP="00D90BBF">
      <w:pPr>
        <w:jc w:val="both"/>
        <w:rPr>
          <w:rFonts w:eastAsia="Calibri"/>
        </w:rPr>
      </w:pPr>
    </w:p>
    <w:p w:rsidR="00C1146E" w:rsidRPr="00DC48B2" w:rsidRDefault="00C1146E" w:rsidP="00C1146E">
      <w:pPr>
        <w:ind w:left="1440" w:hanging="1440"/>
        <w:jc w:val="both"/>
      </w:pPr>
    </w:p>
    <w:p w:rsidR="00C1146E" w:rsidRPr="00D858C1" w:rsidRDefault="00C1146E" w:rsidP="00C1146E">
      <w:pPr>
        <w:ind w:left="1440" w:hanging="1440"/>
        <w:jc w:val="both"/>
        <w:rPr>
          <w:rFonts w:eastAsia="Calibri"/>
          <w:b/>
        </w:rPr>
      </w:pPr>
      <w:r>
        <w:rPr>
          <w:rFonts w:eastAsia="Calibri"/>
          <w:b/>
          <w:bCs/>
        </w:rPr>
        <w:t>11.</w:t>
      </w:r>
      <w:r>
        <w:rPr>
          <w:rFonts w:eastAsia="Calibri"/>
          <w:b/>
          <w:bCs/>
        </w:rPr>
        <w:tab/>
      </w:r>
      <w:r w:rsidR="00D90BBF">
        <w:rPr>
          <w:rFonts w:eastAsia="Calibri"/>
          <w:b/>
        </w:rPr>
        <w:t xml:space="preserve">FPL’s </w:t>
      </w:r>
      <w:r w:rsidRPr="00F26183">
        <w:rPr>
          <w:rFonts w:eastAsia="Calibri"/>
          <w:b/>
        </w:rPr>
        <w:t>Miami-Dade Clean Wat</w:t>
      </w:r>
      <w:r w:rsidR="008A0EFA">
        <w:rPr>
          <w:rFonts w:eastAsia="Calibri"/>
          <w:b/>
        </w:rPr>
        <w:t xml:space="preserve">er Recovery Center Project </w:t>
      </w:r>
    </w:p>
    <w:p w:rsidR="00C1146E" w:rsidRDefault="00C1146E" w:rsidP="00C1146E">
      <w:pPr>
        <w:jc w:val="both"/>
        <w:rPr>
          <w:rFonts w:eastAsia="Calibri"/>
          <w:b/>
        </w:rPr>
      </w:pPr>
    </w:p>
    <w:p w:rsidR="00C1146E" w:rsidRPr="00173B17" w:rsidRDefault="00C1146E" w:rsidP="00C1146E">
      <w:pPr>
        <w:ind w:left="1440"/>
        <w:jc w:val="both"/>
        <w:rPr>
          <w:rFonts w:eastAsia="Calibri"/>
        </w:rPr>
      </w:pPr>
      <w:r w:rsidRPr="00173B17">
        <w:rPr>
          <w:rFonts w:eastAsia="Calibri"/>
        </w:rPr>
        <w:t>In accordance with Section 366.8255(1)(d)9., F.S., FPL shall be allowed to recover, through the ECRC, prudently incurred costs associated with its proposed Miami-Dade Clean Water Recovery Center Project. The total capital costs are estimated to be approximately $315 million, incurred between August 2021</w:t>
      </w:r>
      <w:r w:rsidR="00F11AF2">
        <w:rPr>
          <w:rFonts w:eastAsia="Calibri"/>
        </w:rPr>
        <w:t>,</w:t>
      </w:r>
      <w:r w:rsidRPr="00173B17">
        <w:rPr>
          <w:rFonts w:eastAsia="Calibri"/>
        </w:rPr>
        <w:t xml:space="preserve"> and the end of 2025. </w:t>
      </w:r>
    </w:p>
    <w:p w:rsidR="00C1146E" w:rsidRPr="00173B17" w:rsidRDefault="00C1146E" w:rsidP="00C1146E">
      <w:pPr>
        <w:ind w:left="1440"/>
        <w:jc w:val="both"/>
        <w:rPr>
          <w:rFonts w:eastAsia="Calibri"/>
        </w:rPr>
      </w:pPr>
    </w:p>
    <w:p w:rsidR="00C1146E" w:rsidRPr="00E81C70" w:rsidRDefault="00C1146E" w:rsidP="00C1146E">
      <w:pPr>
        <w:ind w:left="1440"/>
        <w:jc w:val="both"/>
        <w:rPr>
          <w:rFonts w:eastAsia="Calibri"/>
        </w:rPr>
      </w:pPr>
      <w:r w:rsidRPr="00173B17">
        <w:rPr>
          <w:rFonts w:eastAsia="Calibri"/>
        </w:rPr>
        <w:t>O&amp;M expenses are not anticipated until the facility becomes operational (estimated to be at the end of 2024). Thereupon, FPL shall be allowed to recover prudently-incurred O&amp;M expenses that exceed $6.5 million on an annual basis.</w:t>
      </w:r>
    </w:p>
    <w:p w:rsidR="00C1146E" w:rsidRDefault="00C1146E" w:rsidP="009610F9">
      <w:pPr>
        <w:spacing w:after="200"/>
        <w:ind w:left="1440" w:hanging="1440"/>
        <w:jc w:val="both"/>
        <w:rPr>
          <w:rFonts w:eastAsia="Calibri"/>
          <w:b/>
          <w:bCs/>
        </w:rPr>
      </w:pPr>
    </w:p>
    <w:p w:rsidR="00D90BBF" w:rsidRDefault="00D90BBF">
      <w:pPr>
        <w:rPr>
          <w:rFonts w:eastAsia="Calibri"/>
          <w:b/>
          <w:bCs/>
        </w:rPr>
      </w:pPr>
      <w:r>
        <w:rPr>
          <w:rFonts w:eastAsia="Calibri"/>
          <w:b/>
          <w:bCs/>
        </w:rPr>
        <w:br w:type="page"/>
      </w:r>
    </w:p>
    <w:p w:rsidR="00C1146E" w:rsidRPr="00D858C1" w:rsidRDefault="00C1146E" w:rsidP="00C1146E">
      <w:pPr>
        <w:ind w:left="1440" w:hanging="1440"/>
        <w:jc w:val="both"/>
        <w:rPr>
          <w:rFonts w:eastAsia="Calibri"/>
          <w:b/>
        </w:rPr>
      </w:pPr>
      <w:r>
        <w:rPr>
          <w:rFonts w:eastAsia="Calibri"/>
          <w:b/>
          <w:bCs/>
        </w:rPr>
        <w:lastRenderedPageBreak/>
        <w:t>12.</w:t>
      </w:r>
      <w:r>
        <w:rPr>
          <w:rFonts w:eastAsia="Calibri"/>
          <w:b/>
          <w:bCs/>
        </w:rPr>
        <w:tab/>
      </w:r>
      <w:r w:rsidR="00D90BBF">
        <w:rPr>
          <w:rFonts w:eastAsia="Calibri"/>
          <w:b/>
        </w:rPr>
        <w:t>Allocation of</w:t>
      </w:r>
      <w:r w:rsidR="008A0EFA">
        <w:rPr>
          <w:rFonts w:eastAsia="Calibri"/>
          <w:b/>
        </w:rPr>
        <w:t xml:space="preserve"> Costs Associated W</w:t>
      </w:r>
      <w:r w:rsidRPr="00F26183">
        <w:rPr>
          <w:rFonts w:eastAsia="Calibri"/>
          <w:b/>
        </w:rPr>
        <w:t>ith FPL’s Miami-Dade Clean Water Recovery Center Project</w:t>
      </w:r>
      <w:r w:rsidR="008A0EFA">
        <w:rPr>
          <w:rFonts w:eastAsia="Calibri"/>
          <w:b/>
        </w:rPr>
        <w:t xml:space="preserve"> </w:t>
      </w:r>
    </w:p>
    <w:p w:rsidR="00C1146E" w:rsidRDefault="00C1146E" w:rsidP="00C1146E">
      <w:pPr>
        <w:jc w:val="both"/>
      </w:pPr>
    </w:p>
    <w:p w:rsidR="00C1146E" w:rsidRPr="003D0D86" w:rsidRDefault="00C1146E" w:rsidP="00C1146E">
      <w:pPr>
        <w:spacing w:after="240"/>
        <w:ind w:left="1440"/>
        <w:jc w:val="both"/>
        <w:rPr>
          <w:rFonts w:eastAsia="Calibri"/>
          <w:b/>
        </w:rPr>
      </w:pPr>
      <w:r w:rsidRPr="00125542">
        <w:t>O&amp;M and Capital costs associated with FPL’s proposed Miami-Dade Clean Water Recovery Center Project sh</w:t>
      </w:r>
      <w:r>
        <w:t>all</w:t>
      </w:r>
      <w:r w:rsidRPr="00125542">
        <w:t xml:space="preserve"> be allocated to rate classes based on 100% CP Demand.</w:t>
      </w:r>
    </w:p>
    <w:p w:rsidR="00C1146E" w:rsidRPr="00D858C1" w:rsidRDefault="00C1146E" w:rsidP="00C1146E">
      <w:pPr>
        <w:ind w:left="1440" w:hanging="1440"/>
        <w:jc w:val="both"/>
        <w:rPr>
          <w:rFonts w:eastAsia="Calibri"/>
          <w:b/>
        </w:rPr>
      </w:pPr>
      <w:r>
        <w:rPr>
          <w:rFonts w:eastAsia="Calibri"/>
          <w:b/>
          <w:bCs/>
        </w:rPr>
        <w:t>13.</w:t>
      </w:r>
      <w:r>
        <w:rPr>
          <w:rFonts w:eastAsia="Calibri"/>
          <w:b/>
          <w:bCs/>
        </w:rPr>
        <w:tab/>
      </w:r>
      <w:r w:rsidR="008A0EFA">
        <w:rPr>
          <w:rFonts w:eastAsia="Calibri"/>
          <w:b/>
        </w:rPr>
        <w:t>M</w:t>
      </w:r>
      <w:r w:rsidR="00D90BBF">
        <w:rPr>
          <w:rFonts w:eastAsia="Calibri"/>
          <w:b/>
        </w:rPr>
        <w:t>odification to FPL’s</w:t>
      </w:r>
      <w:r w:rsidRPr="004158F3">
        <w:rPr>
          <w:rFonts w:eastAsia="Calibri"/>
          <w:b/>
        </w:rPr>
        <w:t xml:space="preserve"> Lowe</w:t>
      </w:r>
      <w:r w:rsidR="00F11AF2">
        <w:rPr>
          <w:rFonts w:eastAsia="Calibri"/>
          <w:b/>
        </w:rPr>
        <w:t>st Quality Water Source Project</w:t>
      </w:r>
    </w:p>
    <w:p w:rsidR="00C1146E" w:rsidRDefault="00C1146E" w:rsidP="00C1146E">
      <w:pPr>
        <w:jc w:val="both"/>
      </w:pPr>
    </w:p>
    <w:p w:rsidR="00C1146E" w:rsidRPr="00121789" w:rsidRDefault="00C1146E" w:rsidP="00C1146E">
      <w:pPr>
        <w:spacing w:after="240"/>
        <w:ind w:left="1440"/>
        <w:jc w:val="both"/>
      </w:pPr>
      <w:r w:rsidRPr="00121789">
        <w:t>In Order No. PSC-03-1348-FOF-EI, the Commission approved cost recovery of FPL’s Lowest Quality Water Source Project through the ECRC. The proposed modifications to the Lowest Quali</w:t>
      </w:r>
      <w:r>
        <w:t>ty Water Source Project meet</w:t>
      </w:r>
      <w:r w:rsidRPr="00121789">
        <w:t xml:space="preserve"> the criteria for recovery through the ECRC</w:t>
      </w:r>
      <w:r w:rsidR="0011469F">
        <w:t>,</w:t>
      </w:r>
      <w:r w:rsidRPr="00121789">
        <w:t xml:space="preserve"> and the associated costs shall be approved.</w:t>
      </w:r>
    </w:p>
    <w:p w:rsidR="00C1146E" w:rsidRPr="009610F9" w:rsidRDefault="00C1146E" w:rsidP="009610F9">
      <w:pPr>
        <w:spacing w:after="200"/>
        <w:ind w:left="1440" w:hanging="1440"/>
        <w:jc w:val="both"/>
        <w:rPr>
          <w:rFonts w:eastAsia="Calibri"/>
          <w:b/>
          <w:bCs/>
        </w:rPr>
      </w:pPr>
    </w:p>
    <w:p w:rsidR="00007079" w:rsidRDefault="00007079" w:rsidP="00137662">
      <w:pPr>
        <w:pStyle w:val="OrderBody"/>
        <w:ind w:firstLine="720"/>
      </w:pPr>
      <w:r>
        <w:t>Based on the foregoing, it is</w:t>
      </w:r>
    </w:p>
    <w:p w:rsidR="00007079" w:rsidRDefault="00007079" w:rsidP="00007079">
      <w:pPr>
        <w:pStyle w:val="OrderBody"/>
      </w:pPr>
    </w:p>
    <w:p w:rsidR="00007079" w:rsidRDefault="00007079" w:rsidP="00007079">
      <w:pPr>
        <w:pStyle w:val="OrderBody"/>
      </w:pPr>
      <w:r>
        <w:tab/>
        <w:t>ORDERED by the Florida Public Service Commission that the stipulations and findings set forth in the body of this order are hereby approved.  It is further</w:t>
      </w:r>
    </w:p>
    <w:p w:rsidR="00007079" w:rsidRDefault="00007079" w:rsidP="00007079">
      <w:pPr>
        <w:pStyle w:val="OrderBody"/>
      </w:pPr>
    </w:p>
    <w:p w:rsidR="00007079" w:rsidRDefault="00007079" w:rsidP="00007079">
      <w:pPr>
        <w:pStyle w:val="OrderBody"/>
      </w:pPr>
      <w:r>
        <w:tab/>
        <w:t>ORDERED that each utility that was a party to this docket shall abide by the stipulations and findings herein which are applicable to it.  It is further</w:t>
      </w:r>
    </w:p>
    <w:p w:rsidR="00007079" w:rsidRDefault="00007079" w:rsidP="00007079">
      <w:pPr>
        <w:pStyle w:val="OrderBody"/>
      </w:pPr>
    </w:p>
    <w:p w:rsidR="00007079" w:rsidRDefault="00007079" w:rsidP="00007079">
      <w:pPr>
        <w:pStyle w:val="OrderBody"/>
      </w:pPr>
      <w:r>
        <w:tab/>
      </w:r>
      <w:r w:rsidRPr="00650AAC">
        <w:t xml:space="preserve">ORDERED that the utilities named herein are authorized to collect the environmental cost recovery amounts and use the factors approved herein beginning with the first billing cycle for </w:t>
      </w:r>
      <w:r w:rsidR="006C7730">
        <w:t>2022</w:t>
      </w:r>
      <w:r w:rsidRPr="00650AAC">
        <w:t>. The first billing cycle may start before</w:t>
      </w:r>
      <w:r w:rsidR="006C7730">
        <w:t xml:space="preserve"> January 1, 2022</w:t>
      </w:r>
      <w:r w:rsidRPr="00650AAC">
        <w:t>, and thereafter, the environmental cost recovery factors shall remain in effect until modified by this Commission.  It is further</w:t>
      </w:r>
      <w:r>
        <w:t xml:space="preserve"> </w:t>
      </w:r>
    </w:p>
    <w:p w:rsidR="00007079" w:rsidRDefault="00007079" w:rsidP="00007079">
      <w:pPr>
        <w:pStyle w:val="OrderBody"/>
      </w:pPr>
    </w:p>
    <w:p w:rsidR="00007079" w:rsidRDefault="00007079" w:rsidP="00007079">
      <w:pPr>
        <w:pStyle w:val="OrderBody"/>
      </w:pPr>
      <w:r>
        <w:tab/>
        <w:t xml:space="preserve">ORDERED that the </w:t>
      </w:r>
      <w:r>
        <w:rPr>
          <w:color w:val="000000"/>
        </w:rPr>
        <w:t>Environmental Cost Recovery</w:t>
      </w:r>
      <w:r>
        <w:t xml:space="preserve"> Clause docket is an on-going docket and shall remain open. </w:t>
      </w:r>
    </w:p>
    <w:p w:rsidR="00007079" w:rsidRDefault="00007079" w:rsidP="00007079"/>
    <w:p w:rsidR="00007079" w:rsidRDefault="00007079" w:rsidP="00007079">
      <w:pPr>
        <w:keepNext/>
        <w:keepLines/>
        <w:jc w:val="both"/>
      </w:pPr>
      <w:r>
        <w:lastRenderedPageBreak/>
        <w:tab/>
        <w:t xml:space="preserve">By ORDER of the Florida Public Service Commission this </w:t>
      </w:r>
      <w:bookmarkStart w:id="6" w:name="replaceDate"/>
      <w:bookmarkEnd w:id="6"/>
      <w:r w:rsidR="00B92132">
        <w:rPr>
          <w:u w:val="single"/>
        </w:rPr>
        <w:t>17th</w:t>
      </w:r>
      <w:r w:rsidR="00B92132">
        <w:t xml:space="preserve"> day of </w:t>
      </w:r>
      <w:r w:rsidR="00B92132">
        <w:rPr>
          <w:u w:val="single"/>
        </w:rPr>
        <w:t>November</w:t>
      </w:r>
      <w:r w:rsidR="00B92132">
        <w:t xml:space="preserve">, </w:t>
      </w:r>
      <w:r w:rsidR="00B92132">
        <w:rPr>
          <w:u w:val="single"/>
        </w:rPr>
        <w:t>2021</w:t>
      </w:r>
      <w:r w:rsidR="00B92132">
        <w:t>.</w:t>
      </w:r>
    </w:p>
    <w:p w:rsidR="00B92132" w:rsidRPr="00B92132" w:rsidRDefault="00B92132" w:rsidP="00007079">
      <w:pPr>
        <w:keepNext/>
        <w:keepLines/>
        <w:jc w:val="both"/>
      </w:pPr>
    </w:p>
    <w:p w:rsidR="00007079" w:rsidRDefault="00007079" w:rsidP="00007079">
      <w:pPr>
        <w:keepNext/>
        <w:keepLines/>
        <w:jc w:val="both"/>
      </w:pPr>
    </w:p>
    <w:p w:rsidR="00007079" w:rsidRDefault="00007079" w:rsidP="000070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7079" w:rsidTr="00007079">
        <w:tc>
          <w:tcPr>
            <w:tcW w:w="720" w:type="dxa"/>
            <w:shd w:val="clear" w:color="auto" w:fill="auto"/>
          </w:tcPr>
          <w:p w:rsidR="00007079" w:rsidRDefault="00007079" w:rsidP="00007079">
            <w:pPr>
              <w:keepNext/>
              <w:keepLines/>
              <w:jc w:val="both"/>
            </w:pPr>
            <w:bookmarkStart w:id="7" w:name="bkmrkSignature" w:colFirst="0" w:colLast="0"/>
          </w:p>
        </w:tc>
        <w:tc>
          <w:tcPr>
            <w:tcW w:w="4320" w:type="dxa"/>
            <w:tcBorders>
              <w:bottom w:val="single" w:sz="4" w:space="0" w:color="auto"/>
            </w:tcBorders>
            <w:shd w:val="clear" w:color="auto" w:fill="auto"/>
          </w:tcPr>
          <w:p w:rsidR="00007079" w:rsidRDefault="00A45E0A" w:rsidP="00007079">
            <w:pPr>
              <w:keepNext/>
              <w:keepLines/>
              <w:jc w:val="both"/>
            </w:pPr>
            <w:r>
              <w:t>/s/ Adam J. Teitzman</w:t>
            </w:r>
            <w:bookmarkStart w:id="8" w:name="_GoBack"/>
            <w:bookmarkEnd w:id="8"/>
          </w:p>
        </w:tc>
      </w:tr>
      <w:bookmarkEnd w:id="7"/>
      <w:tr w:rsidR="00007079" w:rsidTr="00007079">
        <w:tc>
          <w:tcPr>
            <w:tcW w:w="720" w:type="dxa"/>
            <w:shd w:val="clear" w:color="auto" w:fill="auto"/>
          </w:tcPr>
          <w:p w:rsidR="00007079" w:rsidRDefault="00007079" w:rsidP="00007079">
            <w:pPr>
              <w:keepNext/>
              <w:keepLines/>
              <w:jc w:val="both"/>
            </w:pPr>
          </w:p>
        </w:tc>
        <w:tc>
          <w:tcPr>
            <w:tcW w:w="4320" w:type="dxa"/>
            <w:tcBorders>
              <w:top w:val="single" w:sz="4" w:space="0" w:color="auto"/>
            </w:tcBorders>
            <w:shd w:val="clear" w:color="auto" w:fill="auto"/>
          </w:tcPr>
          <w:p w:rsidR="00007079" w:rsidRDefault="00007079" w:rsidP="00007079">
            <w:pPr>
              <w:keepNext/>
              <w:keepLines/>
              <w:jc w:val="both"/>
            </w:pPr>
            <w:r>
              <w:t>ADAM J. TEITZMAN</w:t>
            </w:r>
          </w:p>
          <w:p w:rsidR="00007079" w:rsidRDefault="00007079" w:rsidP="00007079">
            <w:pPr>
              <w:keepNext/>
              <w:keepLines/>
              <w:jc w:val="both"/>
            </w:pPr>
            <w:r>
              <w:t>Commission Clerk</w:t>
            </w:r>
          </w:p>
        </w:tc>
      </w:tr>
    </w:tbl>
    <w:p w:rsidR="00007079" w:rsidRDefault="00007079" w:rsidP="00007079">
      <w:pPr>
        <w:pStyle w:val="OrderSigInfo"/>
        <w:keepNext/>
        <w:keepLines/>
      </w:pPr>
      <w:r>
        <w:t>Florida Public Service Commission</w:t>
      </w:r>
    </w:p>
    <w:p w:rsidR="00007079" w:rsidRDefault="00007079" w:rsidP="00007079">
      <w:pPr>
        <w:pStyle w:val="OrderSigInfo"/>
        <w:keepNext/>
        <w:keepLines/>
      </w:pPr>
      <w:r>
        <w:t>2540 Shumard Oak Boulevard</w:t>
      </w:r>
    </w:p>
    <w:p w:rsidR="00007079" w:rsidRDefault="00007079" w:rsidP="00007079">
      <w:pPr>
        <w:pStyle w:val="OrderSigInfo"/>
        <w:keepNext/>
        <w:keepLines/>
      </w:pPr>
      <w:r>
        <w:t>Tallahassee, Florida 32399</w:t>
      </w:r>
    </w:p>
    <w:p w:rsidR="00007079" w:rsidRDefault="00007079" w:rsidP="00007079">
      <w:pPr>
        <w:pStyle w:val="OrderSigInfo"/>
        <w:keepNext/>
        <w:keepLines/>
      </w:pPr>
      <w:r>
        <w:t>(850) 413</w:t>
      </w:r>
      <w:r>
        <w:noBreakHyphen/>
        <w:t>6770</w:t>
      </w:r>
    </w:p>
    <w:p w:rsidR="00007079" w:rsidRDefault="00007079" w:rsidP="00007079">
      <w:pPr>
        <w:pStyle w:val="OrderSigInfo"/>
        <w:keepNext/>
        <w:keepLines/>
      </w:pPr>
      <w:r>
        <w:t>www.floridapsc.com</w:t>
      </w:r>
    </w:p>
    <w:p w:rsidR="00007079" w:rsidRDefault="00007079" w:rsidP="00007079">
      <w:pPr>
        <w:pStyle w:val="OrderSigInfo"/>
        <w:keepNext/>
        <w:keepLines/>
      </w:pPr>
    </w:p>
    <w:p w:rsidR="00007079" w:rsidRDefault="00007079" w:rsidP="00007079">
      <w:pPr>
        <w:pStyle w:val="OrderSigInfo"/>
        <w:keepNext/>
        <w:keepLines/>
      </w:pPr>
      <w:r>
        <w:t>Copies furnished:  A copy of this document is provided to the parties of record at the time of issuance and, if applicable, interested persons.</w:t>
      </w:r>
    </w:p>
    <w:p w:rsidR="00007079" w:rsidRDefault="00007079" w:rsidP="00007079">
      <w:pPr>
        <w:pStyle w:val="OrderBody"/>
        <w:keepNext/>
        <w:keepLines/>
      </w:pPr>
    </w:p>
    <w:p w:rsidR="00007079" w:rsidRDefault="00007079" w:rsidP="00007079">
      <w:pPr>
        <w:keepNext/>
        <w:keepLines/>
        <w:jc w:val="both"/>
      </w:pPr>
    </w:p>
    <w:p w:rsidR="00007079" w:rsidRDefault="00007079" w:rsidP="00007079">
      <w:pPr>
        <w:keepNext/>
        <w:keepLines/>
        <w:jc w:val="both"/>
      </w:pPr>
      <w:r>
        <w:t>CWM/JDI</w:t>
      </w:r>
    </w:p>
    <w:p w:rsidR="00007079" w:rsidRDefault="00007079" w:rsidP="00007079">
      <w:pPr>
        <w:jc w:val="both"/>
      </w:pPr>
    </w:p>
    <w:p w:rsidR="00007079" w:rsidRDefault="00007079" w:rsidP="00007079">
      <w:pPr>
        <w:jc w:val="both"/>
      </w:pPr>
    </w:p>
    <w:p w:rsidR="00007079" w:rsidRDefault="00007079" w:rsidP="00007079">
      <w:pPr>
        <w:jc w:val="both"/>
      </w:pPr>
    </w:p>
    <w:p w:rsidR="00007079" w:rsidRDefault="00007079" w:rsidP="00007079">
      <w:pPr>
        <w:jc w:val="both"/>
      </w:pPr>
    </w:p>
    <w:p w:rsidR="00007079" w:rsidRDefault="00007079" w:rsidP="00007079">
      <w:pPr>
        <w:pStyle w:val="CenterUnderline"/>
      </w:pPr>
      <w:r>
        <w:t>NOTICE OF FURTHER PROCEEDINGS OR JUDICIAL REVIEW</w:t>
      </w:r>
    </w:p>
    <w:p w:rsidR="00007079" w:rsidRDefault="00007079" w:rsidP="00007079">
      <w:pPr>
        <w:pStyle w:val="CenterUnderline"/>
        <w:rPr>
          <w:u w:val="none"/>
        </w:rPr>
      </w:pPr>
    </w:p>
    <w:p w:rsidR="00007079" w:rsidRDefault="00007079" w:rsidP="00007079">
      <w:pPr>
        <w:pStyle w:val="OrderBody"/>
      </w:pPr>
    </w:p>
    <w:p w:rsidR="00007079" w:rsidRDefault="00007079" w:rsidP="000070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7079" w:rsidRDefault="00007079" w:rsidP="00007079">
      <w:pPr>
        <w:pStyle w:val="OrderBody"/>
      </w:pPr>
    </w:p>
    <w:p w:rsidR="00007079" w:rsidRPr="00007079" w:rsidRDefault="00007079" w:rsidP="0000707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007079" w:rsidRPr="0000707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088" w:rsidRDefault="00547088">
      <w:r>
        <w:separator/>
      </w:r>
    </w:p>
  </w:endnote>
  <w:endnote w:type="continuationSeparator" w:id="0">
    <w:p w:rsidR="00547088" w:rsidRDefault="0054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088" w:rsidRDefault="00547088">
      <w:r>
        <w:separator/>
      </w:r>
    </w:p>
  </w:footnote>
  <w:footnote w:type="continuationSeparator" w:id="0">
    <w:p w:rsidR="00547088" w:rsidRDefault="00547088">
      <w:r>
        <w:continuationSeparator/>
      </w:r>
    </w:p>
  </w:footnote>
  <w:footnote w:id="1">
    <w:p w:rsidR="00F54BD4" w:rsidRDefault="00F54BD4" w:rsidP="00F54BD4">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w:t>
      </w:r>
      <w:r w:rsidR="004B3C76">
        <w:t xml:space="preserve">ining parties (including staff </w:t>
      </w:r>
      <w:r>
        <w:t>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45E0A">
      <w:fldChar w:fldCharType="begin"/>
    </w:r>
    <w:r w:rsidR="00A45E0A">
      <w:instrText xml:space="preserve"> REF OrderNo0426 </w:instrText>
    </w:r>
    <w:r w:rsidR="00A45E0A">
      <w:fldChar w:fldCharType="separate"/>
    </w:r>
    <w:r w:rsidR="008E7BD0">
      <w:t>PSC-2021-0426-FOF-EI</w:t>
    </w:r>
    <w:r w:rsidR="00A45E0A">
      <w:fldChar w:fldCharType="end"/>
    </w:r>
  </w:p>
  <w:p w:rsidR="00FA6EFD" w:rsidRDefault="00547088">
    <w:pPr>
      <w:pStyle w:val="OrderHeader"/>
    </w:pPr>
    <w:bookmarkStart w:id="9" w:name="HeaderDocketNo"/>
    <w:bookmarkEnd w:id="9"/>
    <w:r>
      <w:t>DOCKET NO.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5E0A">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FF0"/>
    <w:multiLevelType w:val="hybridMultilevel"/>
    <w:tmpl w:val="794A68DA"/>
    <w:lvl w:ilvl="0" w:tplc="A6A6A8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896266"/>
    <w:multiLevelType w:val="hybridMultilevel"/>
    <w:tmpl w:val="683AF332"/>
    <w:lvl w:ilvl="0" w:tplc="1B2CCBA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9604E"/>
    <w:multiLevelType w:val="hybridMultilevel"/>
    <w:tmpl w:val="C808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C561A"/>
    <w:multiLevelType w:val="hybridMultilevel"/>
    <w:tmpl w:val="F29E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547088"/>
    <w:rsid w:val="000022B8"/>
    <w:rsid w:val="00003883"/>
    <w:rsid w:val="00007079"/>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469F"/>
    <w:rsid w:val="00116AD3"/>
    <w:rsid w:val="00121957"/>
    <w:rsid w:val="0012387E"/>
    <w:rsid w:val="001259EC"/>
    <w:rsid w:val="00126593"/>
    <w:rsid w:val="00134177"/>
    <w:rsid w:val="00136087"/>
    <w:rsid w:val="00137662"/>
    <w:rsid w:val="00142A96"/>
    <w:rsid w:val="00143C3D"/>
    <w:rsid w:val="001513DE"/>
    <w:rsid w:val="00154A71"/>
    <w:rsid w:val="001655D4"/>
    <w:rsid w:val="00165803"/>
    <w:rsid w:val="001827A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17BB1"/>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98F"/>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3C76"/>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7088"/>
    <w:rsid w:val="005510C1"/>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2664"/>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7730"/>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B74"/>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8BF"/>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0EFA"/>
    <w:rsid w:val="008A12EC"/>
    <w:rsid w:val="008B19A6"/>
    <w:rsid w:val="008B4EFB"/>
    <w:rsid w:val="008C21C8"/>
    <w:rsid w:val="008C48A8"/>
    <w:rsid w:val="008C6375"/>
    <w:rsid w:val="008C6A5B"/>
    <w:rsid w:val="008D441D"/>
    <w:rsid w:val="008D498D"/>
    <w:rsid w:val="008D6D36"/>
    <w:rsid w:val="008E0693"/>
    <w:rsid w:val="008E26A5"/>
    <w:rsid w:val="008E42D2"/>
    <w:rsid w:val="008E6328"/>
    <w:rsid w:val="008E7BD0"/>
    <w:rsid w:val="008F578F"/>
    <w:rsid w:val="008F5D04"/>
    <w:rsid w:val="009040EE"/>
    <w:rsid w:val="009057FD"/>
    <w:rsid w:val="00906FBA"/>
    <w:rsid w:val="009163E8"/>
    <w:rsid w:val="00921BD3"/>
    <w:rsid w:val="009228C7"/>
    <w:rsid w:val="00922A7F"/>
    <w:rsid w:val="00923A5E"/>
    <w:rsid w:val="00924FE7"/>
    <w:rsid w:val="00926236"/>
    <w:rsid w:val="00926E27"/>
    <w:rsid w:val="00931C8C"/>
    <w:rsid w:val="00943D21"/>
    <w:rsid w:val="0094504B"/>
    <w:rsid w:val="009610F9"/>
    <w:rsid w:val="00964A38"/>
    <w:rsid w:val="00966A9D"/>
    <w:rsid w:val="0096742B"/>
    <w:rsid w:val="009718C5"/>
    <w:rsid w:val="00976AFF"/>
    <w:rsid w:val="009924CF"/>
    <w:rsid w:val="00994100"/>
    <w:rsid w:val="009A6B17"/>
    <w:rsid w:val="009B052E"/>
    <w:rsid w:val="009D4C29"/>
    <w:rsid w:val="009E58E9"/>
    <w:rsid w:val="009E7EF7"/>
    <w:rsid w:val="009F31FD"/>
    <w:rsid w:val="009F6AD2"/>
    <w:rsid w:val="009F7C1B"/>
    <w:rsid w:val="00A00D8D"/>
    <w:rsid w:val="00A01BB6"/>
    <w:rsid w:val="00A22B28"/>
    <w:rsid w:val="00A4303C"/>
    <w:rsid w:val="00A45E0A"/>
    <w:rsid w:val="00A46CAF"/>
    <w:rsid w:val="00A470FD"/>
    <w:rsid w:val="00A50B5E"/>
    <w:rsid w:val="00A62DAB"/>
    <w:rsid w:val="00A6757A"/>
    <w:rsid w:val="00A7034C"/>
    <w:rsid w:val="00A726A6"/>
    <w:rsid w:val="00A74842"/>
    <w:rsid w:val="00A8269A"/>
    <w:rsid w:val="00A9178A"/>
    <w:rsid w:val="00A9515B"/>
    <w:rsid w:val="00A97535"/>
    <w:rsid w:val="00AA2BAA"/>
    <w:rsid w:val="00AA6516"/>
    <w:rsid w:val="00AA73F1"/>
    <w:rsid w:val="00AB0E1A"/>
    <w:rsid w:val="00AB1A30"/>
    <w:rsid w:val="00AB3C36"/>
    <w:rsid w:val="00AB3D30"/>
    <w:rsid w:val="00AC0AD6"/>
    <w:rsid w:val="00AD10EB"/>
    <w:rsid w:val="00AD1ED3"/>
    <w:rsid w:val="00B019C1"/>
    <w:rsid w:val="00B02001"/>
    <w:rsid w:val="00B03C50"/>
    <w:rsid w:val="00B0777D"/>
    <w:rsid w:val="00B11576"/>
    <w:rsid w:val="00B1195F"/>
    <w:rsid w:val="00B14D10"/>
    <w:rsid w:val="00B209C7"/>
    <w:rsid w:val="00B31A1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2132"/>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146E"/>
    <w:rsid w:val="00C12574"/>
    <w:rsid w:val="00C151A6"/>
    <w:rsid w:val="00C24098"/>
    <w:rsid w:val="00C30A4E"/>
    <w:rsid w:val="00C411F3"/>
    <w:rsid w:val="00C44105"/>
    <w:rsid w:val="00C55A33"/>
    <w:rsid w:val="00C66692"/>
    <w:rsid w:val="00C673B5"/>
    <w:rsid w:val="00C7063D"/>
    <w:rsid w:val="00C82715"/>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BB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62C"/>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AF2"/>
    <w:rsid w:val="00F22B27"/>
    <w:rsid w:val="00F234A7"/>
    <w:rsid w:val="00F277B6"/>
    <w:rsid w:val="00F27DA5"/>
    <w:rsid w:val="00F37E07"/>
    <w:rsid w:val="00F4182A"/>
    <w:rsid w:val="00F54380"/>
    <w:rsid w:val="00F54B47"/>
    <w:rsid w:val="00F54BD4"/>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31A1B"/>
    <w:pPr>
      <w:ind w:left="720"/>
      <w:contextualSpacing/>
    </w:pPr>
  </w:style>
  <w:style w:type="character" w:customStyle="1" w:styleId="FootnoteTextChar">
    <w:name w:val="Footnote Text Char"/>
    <w:basedOn w:val="DefaultParagraphFont"/>
    <w:link w:val="FootnoteText"/>
    <w:uiPriority w:val="99"/>
    <w:rsid w:val="00F54BD4"/>
  </w:style>
  <w:style w:type="paragraph" w:styleId="BalloonText">
    <w:name w:val="Balloon Text"/>
    <w:basedOn w:val="Normal"/>
    <w:link w:val="BalloonTextChar"/>
    <w:semiHidden/>
    <w:unhideWhenUsed/>
    <w:rsid w:val="00217BB1"/>
    <w:rPr>
      <w:rFonts w:ascii="Segoe UI" w:hAnsi="Segoe UI" w:cs="Segoe UI"/>
      <w:sz w:val="18"/>
      <w:szCs w:val="18"/>
    </w:rPr>
  </w:style>
  <w:style w:type="character" w:customStyle="1" w:styleId="BalloonTextChar">
    <w:name w:val="Balloon Text Char"/>
    <w:basedOn w:val="DefaultParagraphFont"/>
    <w:link w:val="BalloonText"/>
    <w:semiHidden/>
    <w:rsid w:val="00217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10</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2021-11-16T19:32:00Z</dcterms:created>
  <dcterms:modified xsi:type="dcterms:W3CDTF">2021-11-17T15:35:00Z</dcterms:modified>
</cp:coreProperties>
</file>