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5270" w:rsidP="00D95270">
      <w:pPr>
        <w:pStyle w:val="OrderHeading"/>
      </w:pPr>
      <w:r>
        <w:t>BEFORE THE FLORIDA PUBLIC SERVICE COMMISSION</w:t>
      </w:r>
    </w:p>
    <w:p w:rsidR="00D95270" w:rsidRDefault="00D95270" w:rsidP="00D95270">
      <w:pPr>
        <w:pStyle w:val="OrderBody"/>
      </w:pPr>
    </w:p>
    <w:p w:rsidR="00D95270" w:rsidRDefault="00D95270" w:rsidP="00D952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5270" w:rsidRPr="00C63FCF" w:rsidTr="00C63FCF">
        <w:trPr>
          <w:trHeight w:val="828"/>
        </w:trPr>
        <w:tc>
          <w:tcPr>
            <w:tcW w:w="4788" w:type="dxa"/>
            <w:tcBorders>
              <w:bottom w:val="single" w:sz="8" w:space="0" w:color="auto"/>
              <w:right w:val="double" w:sz="6" w:space="0" w:color="auto"/>
            </w:tcBorders>
            <w:shd w:val="clear" w:color="auto" w:fill="auto"/>
          </w:tcPr>
          <w:p w:rsidR="00D95270" w:rsidRDefault="00D95270"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rsidR="00D95270" w:rsidRDefault="00D95270" w:rsidP="00C63FCF">
            <w:pPr>
              <w:pStyle w:val="OrderBody"/>
              <w:tabs>
                <w:tab w:val="center" w:pos="4320"/>
                <w:tab w:val="right" w:pos="8640"/>
              </w:tabs>
              <w:jc w:val="left"/>
            </w:pPr>
          </w:p>
          <w:p w:rsidR="00D95270" w:rsidRDefault="00D95270" w:rsidP="00D95270">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rsidR="00D95270" w:rsidRDefault="00D95270" w:rsidP="00D95270">
            <w:pPr>
              <w:pStyle w:val="OrderBody"/>
              <w:tabs>
                <w:tab w:val="center" w:pos="4320"/>
                <w:tab w:val="right" w:pos="8640"/>
              </w:tabs>
              <w:jc w:val="left"/>
            </w:pPr>
          </w:p>
          <w:p w:rsidR="00D95270" w:rsidRDefault="00D95270" w:rsidP="00D95270">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rsidR="00D95270" w:rsidRDefault="00D95270" w:rsidP="00D95270">
            <w:pPr>
              <w:pStyle w:val="OrderBody"/>
            </w:pPr>
            <w:r>
              <w:t xml:space="preserve">DOCKET NO. </w:t>
            </w:r>
            <w:bookmarkStart w:id="1" w:name="SSDocketNo"/>
            <w:bookmarkEnd w:id="1"/>
            <w:r>
              <w:t>20200241-EI</w:t>
            </w:r>
          </w:p>
          <w:p w:rsidR="00D95270" w:rsidRDefault="00D95270" w:rsidP="00D95270">
            <w:pPr>
              <w:pStyle w:val="OrderBody"/>
            </w:pPr>
            <w:r>
              <w:t>DOCKET NO. 20210178-EI</w:t>
            </w:r>
          </w:p>
          <w:p w:rsidR="00D95270" w:rsidRDefault="00D95270" w:rsidP="00D95270">
            <w:pPr>
              <w:pStyle w:val="OrderBody"/>
            </w:pPr>
            <w:r>
              <w:t>DOCKET NO. 20210179-EI</w:t>
            </w:r>
          </w:p>
          <w:p w:rsidR="00D95270" w:rsidRDefault="00D95270" w:rsidP="00C63FCF">
            <w:pPr>
              <w:pStyle w:val="OrderBody"/>
              <w:tabs>
                <w:tab w:val="center" w:pos="4320"/>
                <w:tab w:val="right" w:pos="8640"/>
              </w:tabs>
              <w:jc w:val="left"/>
            </w:pPr>
            <w:r>
              <w:t xml:space="preserve">ORDER NO. </w:t>
            </w:r>
            <w:bookmarkStart w:id="2" w:name="OrderNo0042"/>
            <w:r w:rsidR="00F71B01">
              <w:t>PSC-2022-0042-PCO-EI</w:t>
            </w:r>
            <w:bookmarkEnd w:id="2"/>
          </w:p>
          <w:p w:rsidR="00D95270" w:rsidRDefault="00D95270" w:rsidP="00C63FCF">
            <w:pPr>
              <w:pStyle w:val="OrderBody"/>
              <w:tabs>
                <w:tab w:val="center" w:pos="4320"/>
                <w:tab w:val="right" w:pos="8640"/>
              </w:tabs>
              <w:jc w:val="left"/>
            </w:pPr>
            <w:r>
              <w:t xml:space="preserve">ISSUED: </w:t>
            </w:r>
            <w:r w:rsidR="00F71B01">
              <w:t>January 26, 2022</w:t>
            </w:r>
          </w:p>
        </w:tc>
      </w:tr>
    </w:tbl>
    <w:p w:rsidR="00D95270" w:rsidRDefault="00D95270" w:rsidP="00D95270"/>
    <w:p w:rsidR="00D95270" w:rsidRDefault="00D95270" w:rsidP="00D95270"/>
    <w:p w:rsidR="000F3176" w:rsidRDefault="00D95270" w:rsidP="00D95270">
      <w:pPr>
        <w:pStyle w:val="CenterUnderline"/>
      </w:pPr>
      <w:bookmarkStart w:id="3" w:name="Commissioners"/>
      <w:bookmarkEnd w:id="3"/>
      <w:r>
        <w:t>ORDER</w:t>
      </w:r>
      <w:bookmarkStart w:id="4" w:name="OrderTitle"/>
      <w:r>
        <w:t xml:space="preserve"> </w:t>
      </w:r>
      <w:r w:rsidR="000F3176">
        <w:t>CONSOLIDATING DOCKETS</w:t>
      </w:r>
    </w:p>
    <w:p w:rsidR="00CB5276" w:rsidRDefault="000F3176" w:rsidP="00D95270">
      <w:pPr>
        <w:pStyle w:val="CenterUnderline"/>
      </w:pPr>
      <w:r>
        <w:t>AND ESTABLISHING PROCEDURE</w:t>
      </w:r>
      <w:r w:rsidR="00D95270">
        <w:t xml:space="preserve"> </w:t>
      </w:r>
      <w:bookmarkEnd w:id="4"/>
    </w:p>
    <w:p w:rsidR="00D95270" w:rsidRDefault="00D95270" w:rsidP="00D95270">
      <w:pPr>
        <w:pStyle w:val="CenterUnderline"/>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95270" w:rsidRDefault="00D95270" w:rsidP="00F14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142C0" w:rsidRDefault="00F142C0" w:rsidP="00F142C0">
      <w:pPr>
        <w:pStyle w:val="ListParagraph"/>
        <w:ind w:left="0"/>
        <w:jc w:val="both"/>
      </w:pPr>
      <w:r>
        <w:tab/>
      </w:r>
      <w:r w:rsidR="00754DD5">
        <w:t xml:space="preserve">On November 12, 2021, </w:t>
      </w:r>
      <w:r>
        <w:t xml:space="preserve">Gulf </w:t>
      </w:r>
      <w:r w:rsidR="0066457B">
        <w:t xml:space="preserve">Power Company (Gulf) </w:t>
      </w:r>
      <w:r w:rsidR="004A11B0">
        <w:t>fil</w:t>
      </w:r>
      <w:r>
        <w:t>ed a Petition for Approval of Final/Actual Storm Restoration Costs and Associated True-Up Pr</w:t>
      </w:r>
      <w:r w:rsidR="00754DD5">
        <w:t>ocess Related to Hurricane Sally in Docket No. 20200241-EI.  In this Petition, Gulf requests</w:t>
      </w:r>
      <w:r>
        <w:t xml:space="preserve"> final reconciliation of actual recoverable costs with the amount </w:t>
      </w:r>
      <w:r w:rsidR="00BF286B">
        <w:t xml:space="preserve">it has collected </w:t>
      </w:r>
      <w:r w:rsidR="004A11B0">
        <w:t>pursuant to t</w:t>
      </w:r>
      <w:r w:rsidR="004A11B0">
        <w:rPr>
          <w:color w:val="131313"/>
          <w:w w:val="105"/>
        </w:rPr>
        <w:t>he</w:t>
      </w:r>
      <w:r w:rsidR="00191A31">
        <w:rPr>
          <w:color w:val="131313"/>
          <w:w w:val="105"/>
        </w:rPr>
        <w:t xml:space="preserve"> Commission</w:t>
      </w:r>
      <w:r w:rsidR="004A11B0">
        <w:rPr>
          <w:color w:val="131313"/>
          <w:w w:val="105"/>
        </w:rPr>
        <w:t>’s</w:t>
      </w:r>
      <w:r w:rsidR="0032656E">
        <w:rPr>
          <w:color w:val="131313"/>
          <w:w w:val="105"/>
        </w:rPr>
        <w:t xml:space="preserve"> </w:t>
      </w:r>
      <w:r>
        <w:rPr>
          <w:color w:val="131313"/>
          <w:w w:val="105"/>
        </w:rPr>
        <w:t xml:space="preserve">previous </w:t>
      </w:r>
      <w:r w:rsidR="007C69FE">
        <w:rPr>
          <w:color w:val="131313"/>
          <w:w w:val="105"/>
        </w:rPr>
        <w:t xml:space="preserve">approval of </w:t>
      </w:r>
      <w:r>
        <w:rPr>
          <w:color w:val="131313"/>
          <w:spacing w:val="-1"/>
          <w:w w:val="105"/>
        </w:rPr>
        <w:t xml:space="preserve">interim recovery </w:t>
      </w:r>
      <w:r w:rsidRPr="00FB315B">
        <w:rPr>
          <w:color w:val="131313"/>
          <w:spacing w:val="-1"/>
          <w:w w:val="105"/>
        </w:rPr>
        <w:t xml:space="preserve">in Order </w:t>
      </w:r>
      <w:r w:rsidRPr="00FB315B">
        <w:rPr>
          <w:color w:val="282828"/>
          <w:spacing w:val="-1"/>
          <w:w w:val="105"/>
        </w:rPr>
        <w:t xml:space="preserve">No. </w:t>
      </w:r>
      <w:r>
        <w:rPr>
          <w:color w:val="131313"/>
          <w:spacing w:val="-1"/>
          <w:w w:val="105"/>
        </w:rPr>
        <w:t>PSC-2021-0112-PC-EI, issued March 22, 2021.</w:t>
      </w:r>
    </w:p>
    <w:p w:rsidR="00F142C0" w:rsidRPr="006274C5" w:rsidRDefault="00F142C0" w:rsidP="00F142C0">
      <w:pPr>
        <w:pStyle w:val="ListParagraph"/>
        <w:ind w:left="0"/>
        <w:jc w:val="both"/>
        <w:rPr>
          <w:color w:val="131313"/>
          <w:spacing w:val="-1"/>
          <w:w w:val="105"/>
        </w:rPr>
      </w:pPr>
    </w:p>
    <w:p w:rsidR="00F142C0" w:rsidRDefault="00F142C0" w:rsidP="00F142C0">
      <w:pPr>
        <w:pStyle w:val="ListParagraph"/>
        <w:ind w:left="0"/>
        <w:jc w:val="both"/>
      </w:pPr>
      <w:r>
        <w:tab/>
        <w:t xml:space="preserve">Also on November 12, 2021, Gulf </w:t>
      </w:r>
      <w:r w:rsidRPr="00CA0488">
        <w:t xml:space="preserve">filed </w:t>
      </w:r>
      <w:r>
        <w:t>a Petition for Limited Proceeding for Recovery of Incremental Storm Restoration Costs and Associated True-Up Process Related to Hurricane Ze</w:t>
      </w:r>
      <w:r w:rsidR="002B1473">
        <w:t>ta.  This Petition was assigned</w:t>
      </w:r>
      <w:r w:rsidR="0032656E">
        <w:t xml:space="preserve"> </w:t>
      </w:r>
      <w:r>
        <w:t>Docket No. 20210179-EI.</w:t>
      </w:r>
      <w:r w:rsidR="007C69FE">
        <w:t xml:space="preserve"> </w:t>
      </w:r>
      <w:r>
        <w:t xml:space="preserve"> Gulf requests in this Petition that the Commission approve the proposed recoverable interim storm restoration costs related to Hurricane Zeta, the storm restoration recovery surcharge, the recovery period, and the process to be used for true-up.</w:t>
      </w:r>
    </w:p>
    <w:p w:rsidR="007C69FE" w:rsidRDefault="007C69FE" w:rsidP="00F142C0">
      <w:pPr>
        <w:pStyle w:val="ListParagraph"/>
        <w:ind w:left="0"/>
        <w:jc w:val="both"/>
      </w:pPr>
    </w:p>
    <w:p w:rsidR="00F142C0" w:rsidRDefault="00F142C0" w:rsidP="00F142C0">
      <w:pPr>
        <w:pStyle w:val="ListParagraph"/>
        <w:ind w:left="0"/>
        <w:jc w:val="both"/>
      </w:pPr>
      <w:r>
        <w:tab/>
        <w:t xml:space="preserve">Separate from these two Gulf filings and also on November 12, 2021, </w:t>
      </w:r>
      <w:r w:rsidR="0066457B">
        <w:t>Florida Power &amp; Light Company (</w:t>
      </w:r>
      <w:r>
        <w:t>FPL</w:t>
      </w:r>
      <w:r w:rsidR="0066457B">
        <w:t>)</w:t>
      </w:r>
      <w:r>
        <w:t xml:space="preserve"> filed a Petition for Evaluation of Hurricane Isaias and Tropical Storm Eta Storm Costs.</w:t>
      </w:r>
      <w:r w:rsidR="007C69FE">
        <w:t xml:space="preserve"> </w:t>
      </w:r>
      <w:r>
        <w:t xml:space="preserve"> This Petition was assigned Do</w:t>
      </w:r>
      <w:r w:rsidR="002B1473">
        <w:t>cket No. 20210178-EI.  Because it</w:t>
      </w:r>
      <w:r>
        <w:t xml:space="preserve"> recorded the storm costs related to Isaias and Eta as base O &amp; M expense, FPL is not seeking recovery through an interim storm charge.  FPL’s only request in this Petition is that the Commission evaluate the storm costs and determine whether the activities undertaken were prudent and the associated costs reasonable.</w:t>
      </w:r>
    </w:p>
    <w:p w:rsidR="007C69FE" w:rsidRDefault="007C69FE" w:rsidP="00F142C0">
      <w:pPr>
        <w:pStyle w:val="ListParagraph"/>
        <w:ind w:left="0"/>
        <w:jc w:val="both"/>
      </w:pPr>
    </w:p>
    <w:p w:rsidR="00F142C0" w:rsidRDefault="00F142C0" w:rsidP="00F142C0">
      <w:pPr>
        <w:pStyle w:val="ListParagraph"/>
        <w:ind w:left="0"/>
        <w:jc w:val="both"/>
      </w:pPr>
      <w:r>
        <w:lastRenderedPageBreak/>
        <w:tab/>
        <w:t xml:space="preserve">The Office of Public Counsel (OPC) has intervened in all three dockets. </w:t>
      </w:r>
      <w:r w:rsidR="007C69FE">
        <w:t xml:space="preserve"> </w:t>
      </w:r>
      <w:r>
        <w:t>There are currently no other parties or interested persons in any of these dockets.</w:t>
      </w:r>
    </w:p>
    <w:p w:rsidR="00D95270" w:rsidRDefault="00D95270" w:rsidP="00F14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9D353A" w:rsidRPr="008F2E24" w:rsidRDefault="009D353A" w:rsidP="00F14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008F2E24">
        <w:t>The Commission has set a hearing in these dockets for</w:t>
      </w:r>
      <w:r w:rsidR="00B85A55">
        <w:t xml:space="preserve"> July 7-8</w:t>
      </w:r>
      <w:r w:rsidR="008F2E24">
        <w:t>, 2022.</w:t>
      </w:r>
    </w:p>
    <w:p w:rsidR="00D95270" w:rsidRDefault="00D95270" w:rsidP="00F14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66457B"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Pr>
          <w:b/>
          <w:bCs/>
        </w:rPr>
        <w:t>II.</w:t>
      </w:r>
      <w:r w:rsidR="00283F09">
        <w:rPr>
          <w:b/>
          <w:bCs/>
        </w:rPr>
        <w:tab/>
      </w:r>
      <w:r w:rsidR="00283F09">
        <w:rPr>
          <w:b/>
          <w:bCs/>
          <w:u w:val="single"/>
        </w:rPr>
        <w:t>Consolidation of Dockets</w:t>
      </w:r>
    </w:p>
    <w:p w:rsidR="00283F09" w:rsidRDefault="00283F09"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354174" w:rsidRDefault="00283F09" w:rsidP="000F3176">
      <w:pPr>
        <w:pStyle w:val="ListParagraph"/>
        <w:ind w:left="0"/>
        <w:jc w:val="both"/>
        <w:rPr>
          <w:bCs/>
        </w:rPr>
      </w:pPr>
      <w:r>
        <w:rPr>
          <w:bCs/>
        </w:rPr>
        <w:tab/>
      </w:r>
      <w:r w:rsidR="00354174">
        <w:rPr>
          <w:spacing w:val="-1"/>
        </w:rPr>
        <w:t>Contemporaneously with filing the three Petitions discussed immediately above, FPL and Gulf (Utilities) filed a Motion to Consolidate Docket Nos. 20200241-EI, 20210178-EI, and 20210179-EI.  In support of the Motion, the Utilities state that t</w:t>
      </w:r>
      <w:r w:rsidR="00354174" w:rsidRPr="00CA0488">
        <w:rPr>
          <w:spacing w:val="-1"/>
        </w:rPr>
        <w:t>he</w:t>
      </w:r>
      <w:r w:rsidR="00354174" w:rsidRPr="00CA0488">
        <w:rPr>
          <w:spacing w:val="-14"/>
        </w:rPr>
        <w:t xml:space="preserve"> </w:t>
      </w:r>
      <w:r w:rsidR="00354174" w:rsidRPr="00CA0488">
        <w:t>subject</w:t>
      </w:r>
      <w:r w:rsidR="00354174" w:rsidRPr="00CA0488">
        <w:rPr>
          <w:spacing w:val="-14"/>
        </w:rPr>
        <w:t xml:space="preserve"> </w:t>
      </w:r>
      <w:r w:rsidR="00354174" w:rsidRPr="00CA0488">
        <w:t>matter</w:t>
      </w:r>
      <w:r w:rsidR="00354174" w:rsidRPr="00CA0488">
        <w:rPr>
          <w:spacing w:val="-14"/>
        </w:rPr>
        <w:t xml:space="preserve"> </w:t>
      </w:r>
      <w:r w:rsidR="00354174" w:rsidRPr="00CA0488">
        <w:t>addressed</w:t>
      </w:r>
      <w:r w:rsidR="00354174" w:rsidRPr="00CA0488">
        <w:rPr>
          <w:spacing w:val="-15"/>
        </w:rPr>
        <w:t xml:space="preserve"> </w:t>
      </w:r>
      <w:r w:rsidR="00354174" w:rsidRPr="00CA0488">
        <w:t>by</w:t>
      </w:r>
      <w:r w:rsidR="00354174" w:rsidRPr="00CA0488">
        <w:rPr>
          <w:spacing w:val="-13"/>
        </w:rPr>
        <w:t xml:space="preserve"> </w:t>
      </w:r>
      <w:r w:rsidR="00354174" w:rsidRPr="00CA0488">
        <w:t>each</w:t>
      </w:r>
      <w:r w:rsidR="00354174" w:rsidRPr="00CA0488">
        <w:rPr>
          <w:spacing w:val="-13"/>
        </w:rPr>
        <w:t xml:space="preserve"> </w:t>
      </w:r>
      <w:r w:rsidR="00354174" w:rsidRPr="00CA0488">
        <w:t>witness</w:t>
      </w:r>
      <w:r w:rsidR="00354174" w:rsidRPr="00CA0488">
        <w:rPr>
          <w:spacing w:val="-13"/>
        </w:rPr>
        <w:t xml:space="preserve"> </w:t>
      </w:r>
      <w:r w:rsidR="00354174" w:rsidRPr="00CA0488">
        <w:t>with</w:t>
      </w:r>
      <w:r w:rsidR="00354174" w:rsidRPr="00CA0488">
        <w:rPr>
          <w:spacing w:val="-14"/>
        </w:rPr>
        <w:t xml:space="preserve"> </w:t>
      </w:r>
      <w:r w:rsidR="00354174" w:rsidRPr="00CA0488">
        <w:t>respect</w:t>
      </w:r>
      <w:r w:rsidR="00354174" w:rsidRPr="00CA0488">
        <w:rPr>
          <w:spacing w:val="-13"/>
        </w:rPr>
        <w:t xml:space="preserve"> </w:t>
      </w:r>
      <w:r w:rsidR="00354174" w:rsidRPr="00CA0488">
        <w:t>to</w:t>
      </w:r>
      <w:r w:rsidR="00354174" w:rsidRPr="00CA0488">
        <w:rPr>
          <w:spacing w:val="-14"/>
        </w:rPr>
        <w:t xml:space="preserve"> </w:t>
      </w:r>
      <w:r w:rsidR="00354174" w:rsidRPr="00CA0488">
        <w:t>Hurricane</w:t>
      </w:r>
      <w:r w:rsidR="00354174" w:rsidRPr="00CA0488">
        <w:rPr>
          <w:spacing w:val="-13"/>
        </w:rPr>
        <w:t xml:space="preserve"> </w:t>
      </w:r>
      <w:r w:rsidR="00354174" w:rsidRPr="00CA0488">
        <w:t>Sally</w:t>
      </w:r>
      <w:r w:rsidR="00354174" w:rsidRPr="00CA0488">
        <w:rPr>
          <w:spacing w:val="-15"/>
        </w:rPr>
        <w:t xml:space="preserve"> </w:t>
      </w:r>
      <w:r w:rsidR="00354174">
        <w:rPr>
          <w:spacing w:val="-15"/>
        </w:rPr>
        <w:t xml:space="preserve">(20200241-EI) </w:t>
      </w:r>
      <w:r w:rsidR="00354174" w:rsidRPr="00CA0488">
        <w:t>is</w:t>
      </w:r>
      <w:r w:rsidR="00354174" w:rsidRPr="00CA0488">
        <w:rPr>
          <w:spacing w:val="-15"/>
        </w:rPr>
        <w:t xml:space="preserve"> </w:t>
      </w:r>
      <w:r w:rsidR="00354174" w:rsidRPr="00CA0488">
        <w:t>e</w:t>
      </w:r>
      <w:r w:rsidR="00354174">
        <w:t xml:space="preserve">ssentially the same, </w:t>
      </w:r>
      <w:r w:rsidR="00354174" w:rsidRPr="00CA0488">
        <w:t>and</w:t>
      </w:r>
      <w:r w:rsidR="00354174" w:rsidRPr="00CA0488">
        <w:rPr>
          <w:spacing w:val="-8"/>
        </w:rPr>
        <w:t xml:space="preserve"> </w:t>
      </w:r>
      <w:r w:rsidR="00354174" w:rsidRPr="00CA0488">
        <w:t>in</w:t>
      </w:r>
      <w:r w:rsidR="00354174" w:rsidRPr="00CA0488">
        <w:rPr>
          <w:spacing w:val="-7"/>
        </w:rPr>
        <w:t xml:space="preserve"> </w:t>
      </w:r>
      <w:r w:rsidR="00354174" w:rsidRPr="00CA0488">
        <w:t>some</w:t>
      </w:r>
      <w:r w:rsidR="00354174" w:rsidRPr="00CA0488">
        <w:rPr>
          <w:spacing w:val="-9"/>
        </w:rPr>
        <w:t xml:space="preserve"> </w:t>
      </w:r>
      <w:r w:rsidR="00354174" w:rsidRPr="00CA0488">
        <w:t>cases</w:t>
      </w:r>
      <w:r w:rsidR="00354174" w:rsidRPr="00CA0488">
        <w:rPr>
          <w:spacing w:val="-7"/>
        </w:rPr>
        <w:t xml:space="preserve"> </w:t>
      </w:r>
      <w:r w:rsidR="00354174" w:rsidRPr="00CA0488">
        <w:t>identical,</w:t>
      </w:r>
      <w:r w:rsidR="00354174" w:rsidRPr="00CA0488">
        <w:rPr>
          <w:spacing w:val="-8"/>
        </w:rPr>
        <w:t xml:space="preserve"> </w:t>
      </w:r>
      <w:r w:rsidR="00354174" w:rsidRPr="00CA0488">
        <w:t>to</w:t>
      </w:r>
      <w:r w:rsidR="00354174" w:rsidRPr="00CA0488">
        <w:rPr>
          <w:spacing w:val="-9"/>
        </w:rPr>
        <w:t xml:space="preserve"> </w:t>
      </w:r>
      <w:r w:rsidR="00354174" w:rsidRPr="00CA0488">
        <w:t>the</w:t>
      </w:r>
      <w:r w:rsidR="00354174" w:rsidRPr="00CA0488">
        <w:rPr>
          <w:spacing w:val="-8"/>
        </w:rPr>
        <w:t xml:space="preserve"> </w:t>
      </w:r>
      <w:r w:rsidR="00354174" w:rsidRPr="00CA0488">
        <w:t>subject</w:t>
      </w:r>
      <w:r w:rsidR="00354174" w:rsidRPr="00CA0488">
        <w:rPr>
          <w:spacing w:val="-9"/>
        </w:rPr>
        <w:t xml:space="preserve"> </w:t>
      </w:r>
      <w:r w:rsidR="00354174" w:rsidRPr="00CA0488">
        <w:t>matter</w:t>
      </w:r>
      <w:r w:rsidR="00354174" w:rsidRPr="00CA0488">
        <w:rPr>
          <w:spacing w:val="-7"/>
        </w:rPr>
        <w:t xml:space="preserve"> </w:t>
      </w:r>
      <w:r w:rsidR="00354174" w:rsidRPr="00CA0488">
        <w:t>addressed</w:t>
      </w:r>
      <w:r w:rsidR="00354174" w:rsidRPr="00CA0488">
        <w:rPr>
          <w:spacing w:val="-9"/>
        </w:rPr>
        <w:t xml:space="preserve"> </w:t>
      </w:r>
      <w:r w:rsidR="00354174" w:rsidRPr="00CA0488">
        <w:t>by</w:t>
      </w:r>
      <w:r w:rsidR="00354174" w:rsidRPr="00CA0488">
        <w:rPr>
          <w:spacing w:val="-8"/>
        </w:rPr>
        <w:t xml:space="preserve"> </w:t>
      </w:r>
      <w:r w:rsidR="00354174" w:rsidRPr="00CA0488">
        <w:t>each</w:t>
      </w:r>
      <w:r w:rsidR="00354174" w:rsidRPr="00CA0488">
        <w:rPr>
          <w:spacing w:val="-8"/>
        </w:rPr>
        <w:t xml:space="preserve"> </w:t>
      </w:r>
      <w:r w:rsidR="00354174" w:rsidRPr="00CA0488">
        <w:t>witness</w:t>
      </w:r>
      <w:r w:rsidR="00354174" w:rsidRPr="00CA0488">
        <w:rPr>
          <w:spacing w:val="-9"/>
        </w:rPr>
        <w:t xml:space="preserve"> </w:t>
      </w:r>
      <w:r w:rsidR="00354174">
        <w:t xml:space="preserve">with respect to </w:t>
      </w:r>
      <w:r w:rsidR="00354174" w:rsidRPr="00CA0488">
        <w:t>Hurricane Zeta</w:t>
      </w:r>
      <w:r w:rsidR="00354174">
        <w:t xml:space="preserve"> (20210179-EI), and that </w:t>
      </w:r>
      <w:r w:rsidR="00354174" w:rsidRPr="00CA0488">
        <w:t>litigation of the</w:t>
      </w:r>
      <w:r w:rsidR="00354174">
        <w:t xml:space="preserve"> petitions seeking recovery for Sally and Zeta</w:t>
      </w:r>
      <w:r w:rsidR="00354174" w:rsidRPr="00CA0488">
        <w:t xml:space="preserve"> </w:t>
      </w:r>
      <w:r w:rsidR="00354174">
        <w:t xml:space="preserve">costs </w:t>
      </w:r>
      <w:r w:rsidR="00354174" w:rsidRPr="00CA0488">
        <w:t>involve similar</w:t>
      </w:r>
      <w:r w:rsidR="00354174" w:rsidRPr="00CA0488">
        <w:rPr>
          <w:spacing w:val="1"/>
        </w:rPr>
        <w:t xml:space="preserve"> </w:t>
      </w:r>
      <w:r w:rsidR="00354174" w:rsidRPr="00CA0488">
        <w:t>issues</w:t>
      </w:r>
      <w:r w:rsidR="00354174" w:rsidRPr="00CA0488">
        <w:rPr>
          <w:spacing w:val="-10"/>
        </w:rPr>
        <w:t xml:space="preserve"> </w:t>
      </w:r>
      <w:r w:rsidR="00354174" w:rsidRPr="00CA0488">
        <w:t>of</w:t>
      </w:r>
      <w:r w:rsidR="00354174" w:rsidRPr="00CA0488">
        <w:rPr>
          <w:spacing w:val="-7"/>
        </w:rPr>
        <w:t xml:space="preserve"> </w:t>
      </w:r>
      <w:r w:rsidR="00354174" w:rsidRPr="00CA0488">
        <w:t>both</w:t>
      </w:r>
      <w:r w:rsidR="00354174" w:rsidRPr="00CA0488">
        <w:rPr>
          <w:spacing w:val="-7"/>
        </w:rPr>
        <w:t xml:space="preserve"> </w:t>
      </w:r>
      <w:r w:rsidR="00354174" w:rsidRPr="00CA0488">
        <w:t>law</w:t>
      </w:r>
      <w:r w:rsidR="00354174" w:rsidRPr="00CA0488">
        <w:rPr>
          <w:spacing w:val="-8"/>
        </w:rPr>
        <w:t xml:space="preserve"> </w:t>
      </w:r>
      <w:r w:rsidR="00354174" w:rsidRPr="00CA0488">
        <w:t>and</w:t>
      </w:r>
      <w:r w:rsidR="00354174" w:rsidRPr="00CA0488">
        <w:rPr>
          <w:spacing w:val="-9"/>
        </w:rPr>
        <w:t xml:space="preserve"> </w:t>
      </w:r>
      <w:r w:rsidR="00354174" w:rsidRPr="00CA0488">
        <w:t>fact</w:t>
      </w:r>
      <w:r w:rsidR="00354174">
        <w:t>,</w:t>
      </w:r>
      <w:r w:rsidR="00354174" w:rsidRPr="00CA0488">
        <w:rPr>
          <w:spacing w:val="-7"/>
        </w:rPr>
        <w:t xml:space="preserve"> </w:t>
      </w:r>
      <w:r w:rsidR="00354174">
        <w:t xml:space="preserve">many of the same </w:t>
      </w:r>
      <w:r w:rsidR="00354174" w:rsidRPr="00CA0488">
        <w:t>witnesses,</w:t>
      </w:r>
      <w:r w:rsidR="00354174" w:rsidRPr="00CA0488">
        <w:rPr>
          <w:spacing w:val="-8"/>
        </w:rPr>
        <w:t xml:space="preserve"> </w:t>
      </w:r>
      <w:r w:rsidR="00354174" w:rsidRPr="00CA0488">
        <w:t>and</w:t>
      </w:r>
      <w:r w:rsidR="00354174" w:rsidRPr="00CA0488">
        <w:rPr>
          <w:spacing w:val="-9"/>
        </w:rPr>
        <w:t xml:space="preserve"> </w:t>
      </w:r>
      <w:r w:rsidR="00354174" w:rsidRPr="00CA0488">
        <w:t>similar</w:t>
      </w:r>
      <w:r w:rsidR="00354174">
        <w:t xml:space="preserve"> requests related</w:t>
      </w:r>
      <w:r w:rsidR="00354174" w:rsidRPr="00CA0488">
        <w:rPr>
          <w:spacing w:val="-1"/>
        </w:rPr>
        <w:t xml:space="preserve"> </w:t>
      </w:r>
      <w:r w:rsidR="00354174" w:rsidRPr="00CA0488">
        <w:t>to surcharges</w:t>
      </w:r>
      <w:r w:rsidR="00354174" w:rsidRPr="00CA0488">
        <w:rPr>
          <w:spacing w:val="-1"/>
        </w:rPr>
        <w:t xml:space="preserve"> </w:t>
      </w:r>
      <w:r w:rsidR="00354174" w:rsidRPr="00CA0488">
        <w:t>and</w:t>
      </w:r>
      <w:r w:rsidR="00354174" w:rsidRPr="00CA0488">
        <w:rPr>
          <w:spacing w:val="-1"/>
        </w:rPr>
        <w:t xml:space="preserve"> </w:t>
      </w:r>
      <w:r w:rsidR="00354174" w:rsidRPr="00CA0488">
        <w:t>true-up</w:t>
      </w:r>
      <w:r w:rsidR="00354174" w:rsidRPr="00CA0488">
        <w:rPr>
          <w:spacing w:val="-2"/>
        </w:rPr>
        <w:t xml:space="preserve"> </w:t>
      </w:r>
      <w:r w:rsidR="00354174" w:rsidRPr="00CA0488">
        <w:t>processes.</w:t>
      </w:r>
      <w:r w:rsidR="006D340F">
        <w:t xml:space="preserve"> </w:t>
      </w:r>
      <w:r w:rsidR="00354174">
        <w:t xml:space="preserve"> </w:t>
      </w:r>
      <w:r w:rsidR="00354174" w:rsidRPr="00CA0488">
        <w:t>T</w:t>
      </w:r>
      <w:r w:rsidR="00354174">
        <w:t>he Utilities continue that t</w:t>
      </w:r>
      <w:r w:rsidR="00354174" w:rsidRPr="00CA0488">
        <w:t>he Commission’s assessment and evaluation of FPL’s storm costs</w:t>
      </w:r>
      <w:r w:rsidR="00354174">
        <w:t xml:space="preserve"> for Hurricane Isaias and Tropical Storm Eta (20210178-EI)</w:t>
      </w:r>
      <w:r w:rsidR="00354174" w:rsidRPr="00CA0488">
        <w:t xml:space="preserve"> to make a prudence</w:t>
      </w:r>
      <w:r w:rsidR="00354174" w:rsidRPr="00CA0488">
        <w:rPr>
          <w:spacing w:val="1"/>
        </w:rPr>
        <w:t xml:space="preserve"> </w:t>
      </w:r>
      <w:r w:rsidR="00354174" w:rsidRPr="00CA0488">
        <w:t>determination will involve the same legal issues and will follow the same processes the</w:t>
      </w:r>
      <w:r w:rsidR="00354174" w:rsidRPr="00CA0488">
        <w:rPr>
          <w:spacing w:val="1"/>
        </w:rPr>
        <w:t xml:space="preserve"> </w:t>
      </w:r>
      <w:r w:rsidR="00354174" w:rsidRPr="00CA0488">
        <w:t>Commission</w:t>
      </w:r>
      <w:r w:rsidR="00354174" w:rsidRPr="00CA0488">
        <w:rPr>
          <w:spacing w:val="-4"/>
        </w:rPr>
        <w:t xml:space="preserve"> </w:t>
      </w:r>
      <w:r w:rsidR="00354174" w:rsidRPr="00CA0488">
        <w:t>and</w:t>
      </w:r>
      <w:r w:rsidR="00354174" w:rsidRPr="00CA0488">
        <w:rPr>
          <w:spacing w:val="-1"/>
        </w:rPr>
        <w:t xml:space="preserve"> </w:t>
      </w:r>
      <w:r w:rsidR="00354174" w:rsidRPr="00CA0488">
        <w:t>the</w:t>
      </w:r>
      <w:r w:rsidR="00354174" w:rsidRPr="00CA0488">
        <w:rPr>
          <w:spacing w:val="-1"/>
        </w:rPr>
        <w:t xml:space="preserve"> </w:t>
      </w:r>
      <w:r w:rsidR="00354174" w:rsidRPr="00CA0488">
        <w:t>parties</w:t>
      </w:r>
      <w:r w:rsidR="00354174" w:rsidRPr="00CA0488">
        <w:rPr>
          <w:spacing w:val="-1"/>
        </w:rPr>
        <w:t xml:space="preserve"> </w:t>
      </w:r>
      <w:r w:rsidR="00354174" w:rsidRPr="00CA0488">
        <w:t>will</w:t>
      </w:r>
      <w:r w:rsidR="00354174" w:rsidRPr="00CA0488">
        <w:rPr>
          <w:spacing w:val="-3"/>
        </w:rPr>
        <w:t xml:space="preserve"> </w:t>
      </w:r>
      <w:r w:rsidR="00354174" w:rsidRPr="00CA0488">
        <w:t>employ</w:t>
      </w:r>
      <w:r w:rsidR="00354174" w:rsidRPr="00CA0488">
        <w:rPr>
          <w:spacing w:val="-1"/>
        </w:rPr>
        <w:t xml:space="preserve"> </w:t>
      </w:r>
      <w:r w:rsidR="00354174" w:rsidRPr="00CA0488">
        <w:t>to</w:t>
      </w:r>
      <w:r w:rsidR="00354174" w:rsidRPr="00CA0488">
        <w:rPr>
          <w:spacing w:val="-3"/>
        </w:rPr>
        <w:t xml:space="preserve"> </w:t>
      </w:r>
      <w:r w:rsidR="00354174" w:rsidRPr="00CA0488">
        <w:t>assess</w:t>
      </w:r>
      <w:r w:rsidR="00354174" w:rsidRPr="00CA0488">
        <w:rPr>
          <w:spacing w:val="-2"/>
        </w:rPr>
        <w:t xml:space="preserve"> </w:t>
      </w:r>
      <w:r w:rsidR="00354174" w:rsidRPr="00CA0488">
        <w:t>and</w:t>
      </w:r>
      <w:r w:rsidR="00354174" w:rsidRPr="00CA0488">
        <w:rPr>
          <w:spacing w:val="-1"/>
        </w:rPr>
        <w:t xml:space="preserve"> </w:t>
      </w:r>
      <w:r w:rsidR="00354174" w:rsidRPr="00CA0488">
        <w:t>evaluate</w:t>
      </w:r>
      <w:r w:rsidR="00354174" w:rsidRPr="00CA0488">
        <w:rPr>
          <w:spacing w:val="-1"/>
        </w:rPr>
        <w:t xml:space="preserve"> </w:t>
      </w:r>
      <w:r w:rsidR="00354174" w:rsidRPr="00CA0488">
        <w:t>Gulf’s</w:t>
      </w:r>
      <w:r w:rsidR="00354174" w:rsidRPr="00CA0488">
        <w:rPr>
          <w:spacing w:val="-2"/>
        </w:rPr>
        <w:t xml:space="preserve"> </w:t>
      </w:r>
      <w:r w:rsidR="00354174" w:rsidRPr="00CA0488">
        <w:t>storm</w:t>
      </w:r>
      <w:r w:rsidR="00354174" w:rsidRPr="00CA0488">
        <w:rPr>
          <w:spacing w:val="-2"/>
        </w:rPr>
        <w:t xml:space="preserve"> </w:t>
      </w:r>
      <w:r w:rsidR="00354174" w:rsidRPr="00CA0488">
        <w:t>costs.</w:t>
      </w:r>
    </w:p>
    <w:p w:rsidR="00354174" w:rsidRDefault="00354174" w:rsidP="000F3176">
      <w:pPr>
        <w:pStyle w:val="ListParagraph"/>
        <w:ind w:left="0"/>
        <w:jc w:val="both"/>
        <w:rPr>
          <w:bCs/>
        </w:rPr>
      </w:pPr>
    </w:p>
    <w:p w:rsidR="00283F09" w:rsidRPr="000F3176" w:rsidRDefault="00354174" w:rsidP="000F3176">
      <w:pPr>
        <w:pStyle w:val="ListParagraph"/>
        <w:ind w:left="0"/>
        <w:jc w:val="both"/>
      </w:pPr>
      <w:r>
        <w:rPr>
          <w:bCs/>
        </w:rPr>
        <w:tab/>
      </w:r>
      <w:r w:rsidR="000F3176" w:rsidRPr="00D0003E">
        <w:t>Pursuant to Rule 28-106.108, F.A.C., matters may be consolidated when separate proceedings involve similar issues of law or fact, it appears that consolidation would promote the just, speedy, and inexpensive resolution of the proceedings, and consolidation would not unduly prejudice the rights of a party.  Docket Nos. 20200241-EI, 20210178-EI, and 2021079-EI involve similar issues of law and fact, common parties, and overlapping witnesses</w:t>
      </w:r>
      <w:r w:rsidR="00E5409D">
        <w:t xml:space="preserve">.  </w:t>
      </w:r>
      <w:r w:rsidR="00E5409D" w:rsidRPr="00D0003E">
        <w:t>The only party to these dockets other than the Utilities, OPC, does not object to consolidation and there is no indication that doing so would unduly prejudice any party.</w:t>
      </w:r>
      <w:r w:rsidR="00E5409D">
        <w:t xml:space="preserve">  Accordingly</w:t>
      </w:r>
      <w:r w:rsidR="000F3176" w:rsidRPr="00D0003E">
        <w:t>, I find that consolidation will promote the just, speedy, and inexpensive resolution of these proceedings</w:t>
      </w:r>
      <w:r w:rsidR="00E5409D">
        <w:t>, and grant the Motion to Consolidate</w:t>
      </w:r>
      <w:r w:rsidR="000F3176" w:rsidRPr="00D0003E">
        <w:t>. From the date this order is issued, Docket No</w:t>
      </w:r>
      <w:r w:rsidR="000F3176">
        <w:t>. 20200241</w:t>
      </w:r>
      <w:r w:rsidR="000F3176" w:rsidRPr="00D0003E">
        <w:t>-EI shall become the primary docket, and all future filings for all three dockets shall be filed in Docket No. 20</w:t>
      </w:r>
      <w:r w:rsidR="000F3176">
        <w:t>200241</w:t>
      </w:r>
      <w:r w:rsidR="000F3176" w:rsidRPr="00D0003E">
        <w:t>-EI.</w:t>
      </w:r>
    </w:p>
    <w:p w:rsidR="0066457B" w:rsidRDefault="0066457B"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95270" w:rsidRDefault="0066457B"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III.</w:t>
      </w:r>
      <w:r w:rsidR="00D95270">
        <w:rPr>
          <w:b/>
          <w:bCs/>
        </w:rPr>
        <w:tab/>
      </w:r>
      <w:r w:rsidR="00D95270">
        <w:rPr>
          <w:b/>
          <w:bCs/>
          <w:u w:val="single"/>
        </w:rPr>
        <w:t>General Filing Procedures</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addressed to:</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95270" w:rsidRDefault="0066457B"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sidR="00D95270">
        <w:rPr>
          <w:b/>
        </w:rPr>
        <w:t>.</w:t>
      </w:r>
      <w:r w:rsidR="00D95270">
        <w:rPr>
          <w:b/>
        </w:rPr>
        <w:tab/>
      </w:r>
      <w:r w:rsidR="00D95270">
        <w:rPr>
          <w:b/>
          <w:u w:val="single"/>
        </w:rPr>
        <w:t>Prefiled Testimony and Exhibits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0F3176">
        <w:t xml:space="preserve">IX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D95270" w:rsidRPr="00C75702"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D95270" w:rsidRDefault="00D95270" w:rsidP="00D9527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D95270" w:rsidRDefault="00D95270" w:rsidP="00D9527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8D196A">
        <w:tab/>
      </w:r>
      <w:r>
        <w:t>Each exhibit sponsored by a witness in support of his or her prefiled testimony shall be:</w:t>
      </w:r>
    </w:p>
    <w:p w:rsidR="00D95270" w:rsidRDefault="00D95270" w:rsidP="00D9527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95270" w:rsidRDefault="00D95270" w:rsidP="00D95270">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D95270" w:rsidRPr="00C75702" w:rsidRDefault="00D95270" w:rsidP="00D95270">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D95270" w:rsidRDefault="00D95270" w:rsidP="00D95270">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D95270" w:rsidRDefault="00D95270" w:rsidP="00D95270">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D95270" w:rsidRDefault="00D95270" w:rsidP="00D95270">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D95270" w:rsidRDefault="00D95270" w:rsidP="00D9527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95270" w:rsidRDefault="00D95270" w:rsidP="00D9527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216DC2"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D95270">
        <w:rPr>
          <w:b/>
        </w:rPr>
        <w:t>.</w:t>
      </w:r>
      <w:r w:rsidR="00D95270">
        <w:rPr>
          <w:b/>
        </w:rPr>
        <w:tab/>
      </w:r>
      <w:r w:rsidR="00D95270">
        <w:rPr>
          <w:b/>
          <w:u w:val="single"/>
        </w:rPr>
        <w:t>Discovery Procedures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216DC2">
        <w:t xml:space="preserve"> 366. F.S.</w:t>
      </w:r>
      <w:r>
        <w:t>, Rules 25-22, 25-40, and 28-106, F.A.C., and the Florida Rules of Civil Procedure (as applicable), as modified herein or as may be subsequently modified by the Prehearing Officer.</w:t>
      </w:r>
    </w:p>
    <w:p w:rsidR="00D95270" w:rsidRDefault="00D95270" w:rsidP="00D95270">
      <w:pPr>
        <w:jc w:val="both"/>
        <w:rPr>
          <w:rFonts w:cs="Courier New"/>
        </w:rPr>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spacing w:line="2" w:lineRule="exact"/>
        <w:jc w:val="both"/>
      </w:pPr>
    </w:p>
    <w:p w:rsidR="00D95270"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0530C8">
        <w:t xml:space="preserve"> </w:t>
      </w:r>
      <w:r w:rsidR="00435113">
        <w:t>June 21</w:t>
      </w:r>
      <w:r w:rsidR="00030238">
        <w:t>, 2022</w:t>
      </w:r>
      <w:r>
        <w:t>.</w:t>
      </w:r>
    </w:p>
    <w:p w:rsidR="00D95270" w:rsidRPr="007659C3"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D95270"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95270"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95270"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95270" w:rsidRPr="007659C3"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w:t>
      </w:r>
      <w:r w:rsidR="001F740E">
        <w:t>sponses shall be served within 3</w:t>
      </w:r>
      <w:r w:rsidRPr="007659C3">
        <w:t xml:space="preserve">0 days (inclusive of mailing) of receipt of the discovery request. </w:t>
      </w:r>
      <w:r>
        <w:t xml:space="preserve"> </w:t>
      </w:r>
      <w:r w:rsidRPr="007659C3">
        <w:t xml:space="preserve">For discovery </w:t>
      </w:r>
      <w:r w:rsidRPr="0046024F">
        <w:t>requests</w:t>
      </w:r>
      <w:r w:rsidRPr="007659C3">
        <w:t xml:space="preserve"> related to matters addressed in the utility’s rebuttal testimony, discovery responses shall be served within</w:t>
      </w:r>
      <w:r w:rsidRPr="007475AE">
        <w:rPr>
          <w:b/>
        </w:rPr>
        <w:t xml:space="preserve"> </w:t>
      </w:r>
      <w:r w:rsidR="007A7038">
        <w:t>7</w:t>
      </w:r>
      <w:r w:rsidR="0046024F">
        <w:rPr>
          <w:b/>
        </w:rPr>
        <w:t xml:space="preserve"> </w:t>
      </w:r>
      <w:r w:rsidRPr="007659C3">
        <w:t>days of receipt of the discovery request.</w:t>
      </w:r>
    </w:p>
    <w:p w:rsidR="00D95270"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Each page of every document produced pursuant to requests for production of documents shall be identified individually through the use of a Bates Stamp or other equivalent method of sequential </w:t>
      </w:r>
      <w:r w:rsidR="0046024F">
        <w:t xml:space="preserve">identification.  Parties should number </w:t>
      </w:r>
      <w:r>
        <w:t>produced documents in an unbroken sequence through the final hearing.</w:t>
      </w:r>
    </w:p>
    <w:p w:rsidR="00D95270" w:rsidRPr="007E338F"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D95270" w:rsidRPr="00972F91" w:rsidRDefault="00D95270" w:rsidP="00D9527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spacing w:line="2" w:lineRule="exact"/>
        <w:jc w:val="both"/>
      </w:pPr>
    </w:p>
    <w:p w:rsidR="00D95270" w:rsidRDefault="00D95270" w:rsidP="00D9527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284A1A">
        <w:t xml:space="preserve"> </w:t>
      </w:r>
      <w:r w:rsidR="00037889">
        <w:t>3</w:t>
      </w:r>
      <w:r w:rsidR="00422377">
        <w:t>00</w:t>
      </w:r>
      <w:r>
        <w:t>.</w:t>
      </w:r>
    </w:p>
    <w:p w:rsidR="00D95270" w:rsidRDefault="00D95270" w:rsidP="00D9527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w:t>
      </w:r>
      <w:r w:rsidR="00037889">
        <w:t xml:space="preserve"> 3</w:t>
      </w:r>
      <w:r w:rsidR="00422377">
        <w:t>00</w:t>
      </w:r>
      <w:r>
        <w:t>.</w:t>
      </w:r>
    </w:p>
    <w:p w:rsidR="00D95270" w:rsidRDefault="00D95270" w:rsidP="00D9527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422377">
        <w:t xml:space="preserve"> 100</w:t>
      </w:r>
      <w:r>
        <w:t>.</w:t>
      </w:r>
    </w:p>
    <w:p w:rsidR="00D95270" w:rsidRDefault="00D95270" w:rsidP="00D9527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95270" w:rsidRDefault="00D95270" w:rsidP="00D95270">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64589D">
        <w:rPr>
          <w:rFonts w:cs="Courier New"/>
        </w:rPr>
        <w:t>10</w:t>
      </w:r>
      <w:r>
        <w:rPr>
          <w:rFonts w:cs="Courier New"/>
        </w:rPr>
        <w:t xml:space="preserve"> days of service of the discovery request.  </w:t>
      </w:r>
      <w:r w:rsidRPr="0064589D">
        <w:rPr>
          <w:rFonts w:cs="Courier New"/>
        </w:rPr>
        <w:t xml:space="preserve">For discovery requests served after the date for rebuttal testimony, such clarification must be requested within </w:t>
      </w:r>
      <w:r w:rsidR="00CF6142">
        <w:rPr>
          <w:rFonts w:cs="Courier New"/>
        </w:rPr>
        <w:t>3</w:t>
      </w:r>
      <w:r w:rsidRPr="0064589D">
        <w:rPr>
          <w:rFonts w:cs="Courier New"/>
        </w:rPr>
        <w:t xml:space="preserve"> days.</w:t>
      </w:r>
      <w:r>
        <w:rPr>
          <w:rFonts w:cs="Courier New"/>
        </w:rPr>
        <w:t xml:space="preserve">  This procedure is intended to reduce delay in resolving discovery disputes.</w:t>
      </w:r>
    </w:p>
    <w:p w:rsidR="00D95270" w:rsidRDefault="00D95270" w:rsidP="00D95270">
      <w:pPr>
        <w:ind w:firstLine="720"/>
        <w:jc w:val="both"/>
        <w:rPr>
          <w:rFonts w:cs="Courier New"/>
        </w:rPr>
      </w:pPr>
    </w:p>
    <w:p w:rsidR="00D95270" w:rsidRDefault="00D95270" w:rsidP="00D9527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95270" w:rsidRDefault="00D95270" w:rsidP="00D9527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D95270" w:rsidRDefault="00D95270" w:rsidP="00D9527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2C6C74">
        <w:t xml:space="preserve"> 366.093</w:t>
      </w:r>
      <w:r>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C75D7A">
        <w:t xml:space="preserve"> 366.093</w:t>
      </w:r>
      <w:r>
        <w:t>, F.S.  The Commission may determine that continued possession of the information is necessary for the Commission to conduct its business.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Pr="00AD5F83"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95270" w:rsidRDefault="006072FE"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66457B">
        <w:rPr>
          <w:b/>
          <w:bCs/>
        </w:rPr>
        <w:t>I</w:t>
      </w:r>
      <w:r w:rsidR="00D95270">
        <w:rPr>
          <w:b/>
          <w:bCs/>
        </w:rPr>
        <w:t>.</w:t>
      </w:r>
      <w:r w:rsidR="00D95270">
        <w:tab/>
      </w:r>
      <w:r w:rsidR="00D95270">
        <w:rPr>
          <w:b/>
          <w:bCs/>
          <w:u w:val="single"/>
        </w:rPr>
        <w:t>Prehearing Procedures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C75D7A">
        <w:t xml:space="preserve"> IX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95270" w:rsidTr="00AE7A48">
        <w:tc>
          <w:tcPr>
            <w:tcW w:w="3060" w:type="dxa"/>
            <w:shd w:val="clear" w:color="auto" w:fill="auto"/>
          </w:tcPr>
          <w:p w:rsidR="00D95270" w:rsidRPr="004306A8"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D95270" w:rsidRPr="004306A8"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D95270" w:rsidRPr="004306A8"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D95270" w:rsidTr="00AE7A48">
        <w:tc>
          <w:tcPr>
            <w:tcW w:w="3060" w:type="dxa"/>
            <w:shd w:val="clear" w:color="auto" w:fill="auto"/>
          </w:tcPr>
          <w:p w:rsidR="00D95270" w:rsidRPr="004306A8"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D95270" w:rsidRPr="00A2428E"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95270" w:rsidRPr="00A2428E"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95270" w:rsidTr="00AE7A48">
        <w:tc>
          <w:tcPr>
            <w:tcW w:w="3060" w:type="dxa"/>
            <w:shd w:val="clear" w:color="auto" w:fill="auto"/>
          </w:tcPr>
          <w:p w:rsidR="00D95270" w:rsidRPr="00A2428E"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D95270" w:rsidRPr="00A2428E"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D95270" w:rsidRPr="00A2428E"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(2)</w:t>
      </w:r>
      <w:r>
        <w:tab/>
        <w:t>A description of all prefiled exhibits and other exhibits that may be used by the party in presenting its direct case (including individual components of a composite exhibit) and the witness sponsoring each in the following format:</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95270" w:rsidRPr="00B95E83" w:rsidTr="00AE7A48">
        <w:tc>
          <w:tcPr>
            <w:tcW w:w="974"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D95270" w:rsidRPr="00B95E83" w:rsidRDefault="00D95270" w:rsidP="00AE7A48">
            <w:pPr>
              <w:rPr>
                <w:b/>
              </w:rPr>
            </w:pPr>
            <w:r w:rsidRPr="00B95E83">
              <w:rPr>
                <w:b/>
              </w:rPr>
              <w:t>Proffered By</w:t>
            </w:r>
          </w:p>
        </w:tc>
        <w:tc>
          <w:tcPr>
            <w:tcW w:w="1505" w:type="dxa"/>
            <w:shd w:val="clear" w:color="auto" w:fill="auto"/>
          </w:tcPr>
          <w:p w:rsidR="00D95270" w:rsidRPr="00B95E83" w:rsidRDefault="00D95270" w:rsidP="00AE7A48">
            <w:pPr>
              <w:rPr>
                <w:b/>
              </w:rPr>
            </w:pPr>
            <w:r w:rsidRPr="00B95E83">
              <w:rPr>
                <w:b/>
              </w:rPr>
              <w:t>Exhibit No.</w:t>
            </w:r>
          </w:p>
        </w:tc>
        <w:tc>
          <w:tcPr>
            <w:tcW w:w="2123"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D95270" w:rsidRPr="00B95E83" w:rsidRDefault="00D95270" w:rsidP="00AE7A48">
            <w:pPr>
              <w:rPr>
                <w:b/>
              </w:rPr>
            </w:pPr>
            <w:r w:rsidRPr="00B95E83">
              <w:rPr>
                <w:b/>
              </w:rPr>
              <w:t>Issue  #</w:t>
            </w:r>
          </w:p>
        </w:tc>
      </w:tr>
      <w:tr w:rsidR="00D95270" w:rsidRPr="00B95E83" w:rsidTr="00AE7A48">
        <w:tc>
          <w:tcPr>
            <w:tcW w:w="974" w:type="dxa"/>
            <w:shd w:val="clear" w:color="auto" w:fill="auto"/>
          </w:tcPr>
          <w:p w:rsidR="00D95270" w:rsidRPr="00B95E83" w:rsidRDefault="00D95270" w:rsidP="00AE7A48">
            <w:pPr>
              <w:jc w:val="center"/>
              <w:rPr>
                <w:b/>
              </w:rPr>
            </w:pPr>
            <w:r w:rsidRPr="00B95E83">
              <w:rPr>
                <w:b/>
              </w:rPr>
              <w:t>Direct</w:t>
            </w:r>
          </w:p>
        </w:tc>
        <w:tc>
          <w:tcPr>
            <w:tcW w:w="2086" w:type="dxa"/>
            <w:tcBorders>
              <w:top w:val="single" w:sz="4" w:space="0" w:color="auto"/>
            </w:tcBorders>
            <w:shd w:val="clear" w:color="auto" w:fill="auto"/>
          </w:tcPr>
          <w:p w:rsidR="00D95270" w:rsidRPr="00B95E83" w:rsidRDefault="00D95270" w:rsidP="00AE7A48"/>
        </w:tc>
        <w:tc>
          <w:tcPr>
            <w:tcW w:w="1505"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95270" w:rsidRPr="00B95E83" w:rsidTr="00AE7A48">
        <w:tc>
          <w:tcPr>
            <w:tcW w:w="974" w:type="dxa"/>
            <w:shd w:val="clear" w:color="auto" w:fill="auto"/>
          </w:tcPr>
          <w:p w:rsidR="00D95270" w:rsidRPr="00B95E83" w:rsidRDefault="00D95270" w:rsidP="00AE7A48">
            <w:r w:rsidRPr="00B95E83">
              <w:t>John Smith</w:t>
            </w:r>
          </w:p>
        </w:tc>
        <w:tc>
          <w:tcPr>
            <w:tcW w:w="2086" w:type="dxa"/>
            <w:shd w:val="clear" w:color="auto" w:fill="auto"/>
          </w:tcPr>
          <w:p w:rsidR="00D95270" w:rsidRPr="00B95E83" w:rsidRDefault="00D95270" w:rsidP="00AE7A48">
            <w:r w:rsidRPr="00B95E83">
              <w:t>Party/Utility Name</w:t>
            </w:r>
          </w:p>
        </w:tc>
        <w:tc>
          <w:tcPr>
            <w:tcW w:w="1505" w:type="dxa"/>
            <w:shd w:val="clear" w:color="auto" w:fill="auto"/>
          </w:tcPr>
          <w:p w:rsidR="00D95270" w:rsidRPr="00B95E83" w:rsidRDefault="00D95270" w:rsidP="00AE7A48">
            <w:r w:rsidRPr="00B95E83">
              <w:t>ABC-1</w:t>
            </w:r>
          </w:p>
        </w:tc>
        <w:tc>
          <w:tcPr>
            <w:tcW w:w="2123" w:type="dxa"/>
            <w:shd w:val="clear" w:color="auto" w:fill="auto"/>
          </w:tcPr>
          <w:p w:rsidR="00D95270" w:rsidRPr="00B95E83" w:rsidRDefault="00D95270" w:rsidP="00AE7A48">
            <w:r w:rsidRPr="00B95E83">
              <w:t>Title ......</w:t>
            </w:r>
          </w:p>
        </w:tc>
        <w:tc>
          <w:tcPr>
            <w:tcW w:w="1862" w:type="dxa"/>
            <w:shd w:val="clear" w:color="auto" w:fill="auto"/>
          </w:tcPr>
          <w:p w:rsidR="00D95270" w:rsidRPr="00B95E83" w:rsidRDefault="00D95270" w:rsidP="00AE7A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95270" w:rsidRDefault="00D95270" w:rsidP="00D95270">
      <w:pPr>
        <w:spacing w:line="2" w:lineRule="exact"/>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5E2A8B">
        <w:t xml:space="preserve"> June 21</w:t>
      </w:r>
      <w:r w:rsidR="00CD3ACF">
        <w:t>, 2022</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spacing w:line="2" w:lineRule="exact"/>
        <w:jc w:val="both"/>
      </w:pPr>
    </w:p>
    <w:p w:rsidR="00D95270" w:rsidRDefault="00D95270" w:rsidP="00D95270">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D95270" w:rsidRDefault="00D95270" w:rsidP="00D95270">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D95270" w:rsidRDefault="00D95270" w:rsidP="00D95270">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D95270" w:rsidRDefault="00D95270" w:rsidP="00D95270">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D95270" w:rsidRDefault="00D95270" w:rsidP="00D95270">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w:t>
      </w:r>
      <w:r>
        <w:lastRenderedPageBreak/>
        <w:t>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w:t>
      </w:r>
      <w:r w:rsidR="00BD15EF">
        <w:t xml:space="preserve">staff in writing no later than </w:t>
      </w:r>
      <w:r w:rsidRPr="00BD15EF">
        <w:t>two business days</w:t>
      </w:r>
      <w:r>
        <w:t xml:space="preserve"> prior to the first scheduled hearing date.  Such notification shall identify all materials for which the party seeks official recognition, and such materials shall be provided along with the notification.</w:t>
      </w:r>
    </w:p>
    <w:p w:rsidR="00D95270" w:rsidRDefault="00D95270" w:rsidP="00D95270"/>
    <w:p w:rsidR="00D95270" w:rsidRPr="00205CA9"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BD15EF">
        <w:t xml:space="preserve">IX </w:t>
      </w:r>
      <w:r>
        <w:t>of this Order.  The Notice shall include the following information for each deposition:</w:t>
      </w:r>
    </w:p>
    <w:p w:rsidR="00D95270" w:rsidRDefault="00D95270" w:rsidP="00D95270">
      <w:pPr>
        <w:pStyle w:val="ListParagraph"/>
        <w:ind w:left="1080"/>
        <w:jc w:val="both"/>
      </w:pPr>
    </w:p>
    <w:p w:rsidR="00D95270" w:rsidRDefault="00D95270" w:rsidP="00D95270">
      <w:pPr>
        <w:pStyle w:val="ListParagraph"/>
        <w:numPr>
          <w:ilvl w:val="0"/>
          <w:numId w:val="8"/>
        </w:numPr>
        <w:jc w:val="both"/>
      </w:pPr>
      <w:r>
        <w:t>Name of witness deposed;</w:t>
      </w:r>
    </w:p>
    <w:p w:rsidR="00D95270" w:rsidRDefault="00D95270" w:rsidP="00D95270">
      <w:pPr>
        <w:pStyle w:val="ListParagraph"/>
        <w:numPr>
          <w:ilvl w:val="0"/>
          <w:numId w:val="8"/>
        </w:numPr>
        <w:jc w:val="both"/>
      </w:pPr>
      <w:r>
        <w:t>Date deposition was taken; and</w:t>
      </w:r>
    </w:p>
    <w:p w:rsidR="00D95270" w:rsidRDefault="00D95270" w:rsidP="00D95270">
      <w:pPr>
        <w:pStyle w:val="ListParagraph"/>
        <w:numPr>
          <w:ilvl w:val="0"/>
          <w:numId w:val="8"/>
        </w:numPr>
        <w:jc w:val="both"/>
      </w:pPr>
      <w:r>
        <w:t xml:space="preserve">Page and line numbers of each deposition the party seeks to introduce, </w:t>
      </w:r>
      <w:r w:rsidRPr="00BD15EF">
        <w:t>when available.</w:t>
      </w:r>
      <w:r>
        <w:t xml:space="preserve"> </w:t>
      </w:r>
    </w:p>
    <w:p w:rsidR="00D95270" w:rsidRDefault="00D95270" w:rsidP="00D95270"/>
    <w:p w:rsidR="00D95270" w:rsidRDefault="00D95270" w:rsidP="00D95270">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D95270" w:rsidRDefault="00D95270" w:rsidP="00D95270">
      <w:pPr>
        <w:ind w:firstLine="720"/>
        <w:jc w:val="both"/>
      </w:pPr>
    </w:p>
    <w:p w:rsidR="00D95270" w:rsidRDefault="00D95270" w:rsidP="00D95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6072FE"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66457B">
        <w:rPr>
          <w:b/>
          <w:bCs/>
        </w:rPr>
        <w:t>I</w:t>
      </w:r>
      <w:r w:rsidR="00D95270">
        <w:rPr>
          <w:b/>
          <w:bCs/>
        </w:rPr>
        <w:t>.</w:t>
      </w:r>
      <w:r w:rsidR="00D95270">
        <w:rPr>
          <w:b/>
          <w:bCs/>
        </w:rPr>
        <w:tab/>
      </w:r>
      <w:r w:rsidR="00D95270">
        <w:rPr>
          <w:b/>
          <w:bCs/>
          <w:u w:val="single"/>
        </w:rPr>
        <w:t>Hearing Procedures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spacing w:line="2" w:lineRule="exact"/>
        <w:jc w:val="both"/>
      </w:pPr>
    </w:p>
    <w:p w:rsidR="00D95270" w:rsidRDefault="00D95270" w:rsidP="00D95270">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D95270" w:rsidRDefault="00D95270" w:rsidP="00D95270">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4F5B67">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004F5B67">
        <w:t xml:space="preserve"> 366.093</w:t>
      </w:r>
      <w:r>
        <w:t>, F.S., shall adhere to the following: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spacing w:line="2" w:lineRule="exact"/>
        <w:jc w:val="both"/>
      </w:pPr>
    </w:p>
    <w:p w:rsidR="00D95270" w:rsidRDefault="00C703A3" w:rsidP="00D95270">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A </w:t>
      </w:r>
      <w:r w:rsidR="00932A99" w:rsidRPr="0040181F">
        <w:t xml:space="preserve">party </w:t>
      </w:r>
      <w:r>
        <w:t xml:space="preserve">who </w:t>
      </w:r>
      <w:r w:rsidR="00932A99" w:rsidRPr="0040181F">
        <w:t xml:space="preserve">wishes to use confidential information in a hearing that has not been filed as prefiled testimony or prefiled exhibits </w:t>
      </w:r>
      <w:r>
        <w:t xml:space="preserve">will be required to </w:t>
      </w:r>
      <w:r w:rsidR="00932A99" w:rsidRPr="0040181F">
        <w:t xml:space="preserve">provide an </w:t>
      </w:r>
      <w:r w:rsidR="00932A99" w:rsidRPr="0040181F">
        <w:lastRenderedPageBreak/>
        <w:t>electronic copy of this material to the Commission Clerk marked as confidential</w:t>
      </w:r>
      <w:r>
        <w:t xml:space="preserve">. The </w:t>
      </w:r>
      <w:r w:rsidR="007B0F34">
        <w:t>instructions for filing these materials</w:t>
      </w:r>
      <w:r>
        <w:t xml:space="preserve"> will be provided in the Prehearing Order</w:t>
      </w:r>
      <w:r w:rsidR="00932A99" w:rsidRPr="0040181F">
        <w:t>.  Any party wishing to examine confidential material that is not subject to an order granting confidentiality shall be provided access to this material subject to execution of an appropriate protective agreement with the owner of the material</w:t>
      </w:r>
      <w:r w:rsidR="00D95270">
        <w:t>.</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003A0" w:rsidRPr="0040181F" w:rsidRDefault="00D95270" w:rsidP="00700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003A0" w:rsidRPr="0040181F">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r>
        <w:t>.</w:t>
      </w:r>
      <w:r w:rsidR="007003A0" w:rsidRPr="007003A0">
        <w:t xml:space="preserve"> </w:t>
      </w:r>
    </w:p>
    <w:p w:rsidR="007003A0" w:rsidRPr="0040181F" w:rsidRDefault="007003A0" w:rsidP="00700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7003A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0181F">
        <w:tab/>
      </w:r>
      <w:r w:rsidR="002B1473">
        <w:rPr>
          <w:b/>
          <w:bCs/>
        </w:rPr>
        <w:t>VII</w:t>
      </w:r>
      <w:r w:rsidR="0066457B">
        <w:rPr>
          <w:b/>
          <w:bCs/>
        </w:rPr>
        <w:t>I</w:t>
      </w:r>
      <w:r w:rsidR="00D95270">
        <w:rPr>
          <w:b/>
          <w:bCs/>
        </w:rPr>
        <w:t>.</w:t>
      </w:r>
      <w:r w:rsidR="00D95270">
        <w:rPr>
          <w:b/>
          <w:bCs/>
        </w:rPr>
        <w:tab/>
      </w:r>
      <w:r w:rsidR="00D95270">
        <w:rPr>
          <w:b/>
          <w:bCs/>
          <w:u w:val="single"/>
        </w:rPr>
        <w:t>Post-Hearing Procedures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B02925">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CD3ACF">
        <w:t>40</w:t>
      </w:r>
      <w:r>
        <w:t xml:space="preserve"> pages and shall be filed at the same time, unless modified by the Presiding Officer. </w:t>
      </w:r>
    </w:p>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(1)</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s>
              <w:spacing w:before="120" w:after="57"/>
              <w:jc w:val="both"/>
            </w:pPr>
            <w:r>
              <w:t>Filed with Petition</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(2)</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655199" w:rsidRPr="006E770C" w:rsidRDefault="00655199" w:rsidP="0097131F">
            <w:pPr>
              <w:numPr>
                <w:ilvl w:val="12"/>
                <w:numId w:val="0"/>
              </w:numPr>
              <w:tabs>
                <w:tab w:val="left" w:pos="0"/>
                <w:tab w:val="left" w:pos="720"/>
                <w:tab w:val="left" w:pos="1440"/>
                <w:tab w:val="left" w:pos="2160"/>
                <w:tab w:val="left" w:pos="2880"/>
              </w:tabs>
              <w:spacing w:before="120" w:after="57"/>
              <w:jc w:val="both"/>
            </w:pPr>
            <w:r>
              <w:t>May 16,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lastRenderedPageBreak/>
              <w:t>(3)</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s>
              <w:spacing w:before="120" w:after="57"/>
              <w:jc w:val="both"/>
            </w:pPr>
            <w:r>
              <w:t>May 20,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(4)</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s>
              <w:spacing w:before="120" w:after="57"/>
              <w:jc w:val="both"/>
            </w:pPr>
            <w:r>
              <w:t>June 6,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(5)</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655199" w:rsidRDefault="005E2A8B" w:rsidP="0097131F">
            <w:pPr>
              <w:numPr>
                <w:ilvl w:val="12"/>
                <w:numId w:val="0"/>
              </w:numPr>
              <w:tabs>
                <w:tab w:val="left" w:pos="0"/>
                <w:tab w:val="left" w:pos="720"/>
                <w:tab w:val="left" w:pos="1440"/>
                <w:tab w:val="left" w:pos="2160"/>
                <w:tab w:val="left" w:pos="2880"/>
              </w:tabs>
              <w:spacing w:before="120" w:after="57"/>
              <w:jc w:val="both"/>
            </w:pPr>
            <w:r>
              <w:t>June 14</w:t>
            </w:r>
            <w:r w:rsidR="00655199">
              <w:t>,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(6)</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655199" w:rsidRDefault="005E2A8B" w:rsidP="0097131F">
            <w:pPr>
              <w:numPr>
                <w:ilvl w:val="12"/>
                <w:numId w:val="0"/>
              </w:numPr>
              <w:tabs>
                <w:tab w:val="left" w:pos="0"/>
                <w:tab w:val="left" w:pos="720"/>
                <w:tab w:val="left" w:pos="1440"/>
                <w:tab w:val="left" w:pos="2160"/>
                <w:tab w:val="left" w:pos="2880"/>
              </w:tabs>
              <w:spacing w:before="120" w:after="57"/>
              <w:jc w:val="both"/>
            </w:pPr>
            <w:r>
              <w:t>June 21</w:t>
            </w:r>
            <w:r w:rsidR="00655199">
              <w:t>,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(7)</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655199" w:rsidRDefault="005E2A8B" w:rsidP="0097131F">
            <w:pPr>
              <w:numPr>
                <w:ilvl w:val="12"/>
                <w:numId w:val="0"/>
              </w:numPr>
              <w:tabs>
                <w:tab w:val="left" w:pos="0"/>
                <w:tab w:val="left" w:pos="720"/>
                <w:tab w:val="left" w:pos="1440"/>
                <w:tab w:val="left" w:pos="2160"/>
                <w:tab w:val="left" w:pos="2880"/>
              </w:tabs>
              <w:spacing w:before="120" w:after="57"/>
              <w:jc w:val="both"/>
            </w:pPr>
            <w:r>
              <w:t>June 21</w:t>
            </w:r>
            <w:r w:rsidR="00655199">
              <w:t>, 2022</w:t>
            </w:r>
          </w:p>
        </w:tc>
      </w:tr>
      <w:tr w:rsidR="00655199" w:rsidTr="0097131F">
        <w:trPr>
          <w:cantSplit/>
          <w:trHeight w:val="454"/>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(8)</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655199" w:rsidRPr="006E770C" w:rsidRDefault="005E2A8B" w:rsidP="0097131F">
            <w:pPr>
              <w:numPr>
                <w:ilvl w:val="12"/>
                <w:numId w:val="0"/>
              </w:numPr>
              <w:tabs>
                <w:tab w:val="left" w:pos="0"/>
                <w:tab w:val="left" w:pos="720"/>
                <w:tab w:val="left" w:pos="1440"/>
                <w:tab w:val="left" w:pos="2160"/>
                <w:tab w:val="left" w:pos="2880"/>
              </w:tabs>
              <w:spacing w:before="120" w:after="57"/>
              <w:jc w:val="both"/>
            </w:pPr>
            <w:r>
              <w:t>July 7-8</w:t>
            </w:r>
            <w:r w:rsidR="00655199">
              <w:t>, 2022</w:t>
            </w:r>
          </w:p>
        </w:tc>
      </w:tr>
      <w:tr w:rsidR="00655199" w:rsidTr="0097131F">
        <w:trPr>
          <w:cantSplit/>
        </w:trPr>
        <w:tc>
          <w:tcPr>
            <w:tcW w:w="630" w:type="dxa"/>
            <w:tcBorders>
              <w:top w:val="nil"/>
              <w:left w:val="nil"/>
              <w:bottom w:val="nil"/>
              <w:right w:val="nil"/>
            </w:tcBorders>
          </w:tcPr>
          <w:p w:rsidR="00655199" w:rsidRDefault="00655199" w:rsidP="0097131F">
            <w:pPr>
              <w:numPr>
                <w:ilvl w:val="12"/>
                <w:numId w:val="0"/>
              </w:numPr>
              <w:tabs>
                <w:tab w:val="left" w:pos="0"/>
              </w:tabs>
              <w:spacing w:before="120" w:after="57"/>
              <w:jc w:val="both"/>
            </w:pPr>
            <w:r>
              <w:t>(9)</w:t>
            </w:r>
          </w:p>
        </w:tc>
        <w:tc>
          <w:tcPr>
            <w:tcW w:w="5310" w:type="dxa"/>
            <w:tcBorders>
              <w:top w:val="nil"/>
              <w:left w:val="nil"/>
              <w:bottom w:val="nil"/>
              <w:right w:val="nil"/>
            </w:tcBorders>
          </w:tcPr>
          <w:p w:rsidR="00655199" w:rsidRDefault="00655199" w:rsidP="009713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655199" w:rsidRPr="006E770C" w:rsidRDefault="000D4508" w:rsidP="0097131F">
            <w:pPr>
              <w:numPr>
                <w:ilvl w:val="12"/>
                <w:numId w:val="0"/>
              </w:numPr>
              <w:tabs>
                <w:tab w:val="left" w:pos="0"/>
                <w:tab w:val="left" w:pos="720"/>
                <w:tab w:val="left" w:pos="1440"/>
                <w:tab w:val="left" w:pos="2160"/>
                <w:tab w:val="left" w:pos="2880"/>
              </w:tabs>
              <w:spacing w:before="120" w:after="57"/>
              <w:jc w:val="both"/>
            </w:pPr>
            <w:r>
              <w:t>August 15</w:t>
            </w:r>
            <w:r w:rsidR="00655199">
              <w:t>, 2022</w:t>
            </w:r>
          </w:p>
        </w:tc>
      </w:tr>
    </w:tbl>
    <w:p w:rsidR="00655199" w:rsidRDefault="00655199" w:rsidP="00655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74207" w:rsidRDefault="00D95270"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w:t>
      </w:r>
      <w:r w:rsidR="00B02925">
        <w:t xml:space="preserve"> </w:t>
      </w:r>
      <w:r w:rsidR="00B02925" w:rsidRPr="00240C59">
        <w:rPr>
          <w:color w:val="000000" w:themeColor="text1"/>
        </w:rPr>
        <w:t>Art Graham</w:t>
      </w:r>
      <w:r>
        <w:t xml:space="preserve">, as Prehearing Officer, </w:t>
      </w:r>
      <w:r w:rsidR="00B74207">
        <w:t>that Docket Nos. 2020</w:t>
      </w:r>
      <w:r w:rsidR="00E170E8">
        <w:t>0</w:t>
      </w:r>
      <w:r w:rsidR="00B74207">
        <w:t>241-EI, 20210178-EI, and 20210179-EI are hereby consolidated for purposes of administrative efficiency, including for hearing, as set forth in the body of this Order. It is further</w:t>
      </w:r>
    </w:p>
    <w:p w:rsidR="00B74207"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74207"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Docket No. 2020</w:t>
      </w:r>
      <w:r w:rsidR="00E170E8">
        <w:t>0</w:t>
      </w:r>
      <w:r>
        <w:t>241-EI shall be the primary docket. It is further</w:t>
      </w:r>
    </w:p>
    <w:p w:rsidR="00B74207"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74207"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all future filings for all three dockets shall be filed in Docket No. 20200241-EI. It is further</w:t>
      </w:r>
    </w:p>
    <w:p w:rsidR="00B74207"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5270" w:rsidRDefault="00B74207" w:rsidP="00B742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w:t>
      </w:r>
      <w:r w:rsidR="00D95270">
        <w:t>that the provisions of this Order shall govern this proceeding unless modified by the Commission.</w:t>
      </w:r>
    </w:p>
    <w:p w:rsidR="00D95270" w:rsidRDefault="00D95270" w:rsidP="00D952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40C59" w:rsidRDefault="00240C59" w:rsidP="00240C59">
      <w:pPr>
        <w:keepNext/>
        <w:keepLines/>
        <w:jc w:val="both"/>
        <w:rPr>
          <w:color w:val="000000" w:themeColor="text1"/>
        </w:rPr>
      </w:pPr>
      <w:r>
        <w:rPr>
          <w:b/>
          <w:color w:val="000000" w:themeColor="text1"/>
        </w:rPr>
        <w:lastRenderedPageBreak/>
        <w:tab/>
      </w:r>
      <w:r w:rsidRPr="00240C59">
        <w:rPr>
          <w:color w:val="000000" w:themeColor="text1"/>
        </w:rPr>
        <w:t xml:space="preserve">By ORDER of Commissioner Art Graham, as Prehearing Officer, this </w:t>
      </w:r>
      <w:bookmarkStart w:id="5" w:name="replaceDate"/>
      <w:bookmarkEnd w:id="5"/>
      <w:r w:rsidR="00F71B01">
        <w:rPr>
          <w:color w:val="000000" w:themeColor="text1"/>
          <w:u w:val="single"/>
        </w:rPr>
        <w:t>2</w:t>
      </w:r>
      <w:bookmarkStart w:id="6" w:name="_GoBack"/>
      <w:bookmarkEnd w:id="6"/>
      <w:r w:rsidR="00F71B01">
        <w:rPr>
          <w:color w:val="000000" w:themeColor="text1"/>
          <w:u w:val="single"/>
        </w:rPr>
        <w:t>6th</w:t>
      </w:r>
      <w:r w:rsidR="00F71B01">
        <w:rPr>
          <w:color w:val="000000" w:themeColor="text1"/>
        </w:rPr>
        <w:t xml:space="preserve"> day of </w:t>
      </w:r>
      <w:r w:rsidR="00F71B01">
        <w:rPr>
          <w:color w:val="000000" w:themeColor="text1"/>
          <w:u w:val="single"/>
        </w:rPr>
        <w:t>January</w:t>
      </w:r>
      <w:r w:rsidR="00F71B01">
        <w:rPr>
          <w:color w:val="000000" w:themeColor="text1"/>
        </w:rPr>
        <w:t xml:space="preserve">, </w:t>
      </w:r>
      <w:r w:rsidR="00F71B01">
        <w:rPr>
          <w:color w:val="000000" w:themeColor="text1"/>
          <w:u w:val="single"/>
        </w:rPr>
        <w:t>2022</w:t>
      </w:r>
      <w:r w:rsidR="00F71B01">
        <w:rPr>
          <w:color w:val="000000" w:themeColor="text1"/>
        </w:rPr>
        <w:t>.</w:t>
      </w:r>
    </w:p>
    <w:p w:rsidR="00F71B01" w:rsidRPr="00F71B01" w:rsidRDefault="00F71B01" w:rsidP="00240C59">
      <w:pPr>
        <w:keepNext/>
        <w:keepLines/>
        <w:jc w:val="both"/>
        <w:rPr>
          <w:b/>
          <w:color w:val="000000" w:themeColor="text1"/>
        </w:rPr>
      </w:pPr>
    </w:p>
    <w:p w:rsidR="00240C59" w:rsidRDefault="00240C59" w:rsidP="00240C59">
      <w:pPr>
        <w:keepNext/>
        <w:keepLines/>
        <w:jc w:val="both"/>
        <w:rPr>
          <w:b/>
          <w:color w:val="000000" w:themeColor="text1"/>
        </w:rPr>
      </w:pPr>
    </w:p>
    <w:p w:rsidR="00240C59" w:rsidRDefault="00240C59" w:rsidP="00240C59">
      <w:pPr>
        <w:keepNext/>
        <w:keepLines/>
        <w:jc w:val="both"/>
        <w:rPr>
          <w:b/>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240C59" w:rsidTr="00240C59">
        <w:tc>
          <w:tcPr>
            <w:tcW w:w="720" w:type="dxa"/>
            <w:shd w:val="clear" w:color="auto" w:fill="auto"/>
          </w:tcPr>
          <w:p w:rsidR="00240C59" w:rsidRDefault="00240C59" w:rsidP="00240C59">
            <w:pPr>
              <w:keepNext/>
              <w:keepLines/>
              <w:jc w:val="both"/>
              <w:rPr>
                <w:b/>
                <w:color w:val="000000" w:themeColor="text1"/>
              </w:rPr>
            </w:pPr>
            <w:bookmarkStart w:id="7" w:name="bkmrkSignature" w:colFirst="0" w:colLast="0"/>
          </w:p>
        </w:tc>
        <w:tc>
          <w:tcPr>
            <w:tcW w:w="4320" w:type="dxa"/>
            <w:tcBorders>
              <w:bottom w:val="single" w:sz="4" w:space="0" w:color="auto"/>
            </w:tcBorders>
            <w:shd w:val="clear" w:color="auto" w:fill="auto"/>
          </w:tcPr>
          <w:p w:rsidR="00240C59" w:rsidRDefault="00F71B01" w:rsidP="00240C59">
            <w:pPr>
              <w:keepNext/>
              <w:keepLines/>
              <w:jc w:val="both"/>
              <w:rPr>
                <w:b/>
                <w:color w:val="000000" w:themeColor="text1"/>
              </w:rPr>
            </w:pPr>
            <w:r w:rsidRPr="00F71B01">
              <w:rPr>
                <w:b/>
                <w:noProof/>
                <w:color w:val="000000" w:themeColor="text1"/>
              </w:rPr>
              <w:drawing>
                <wp:inline distT="0" distB="0" distL="0" distR="0">
                  <wp:extent cx="2011763" cy="471536"/>
                  <wp:effectExtent l="0" t="0" r="7620" b="5080"/>
                  <wp:docPr id="1" name="Picture 1" descr="I:\GCORDERS\Comm Sig\G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Grah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194" cy="477262"/>
                          </a:xfrm>
                          <a:prstGeom prst="rect">
                            <a:avLst/>
                          </a:prstGeom>
                          <a:noFill/>
                          <a:ln>
                            <a:noFill/>
                          </a:ln>
                        </pic:spPr>
                      </pic:pic>
                    </a:graphicData>
                  </a:graphic>
                </wp:inline>
              </w:drawing>
            </w:r>
          </w:p>
        </w:tc>
      </w:tr>
      <w:bookmarkEnd w:id="7"/>
      <w:tr w:rsidR="00240C59" w:rsidTr="00240C59">
        <w:tc>
          <w:tcPr>
            <w:tcW w:w="720" w:type="dxa"/>
            <w:shd w:val="clear" w:color="auto" w:fill="auto"/>
          </w:tcPr>
          <w:p w:rsidR="00240C59" w:rsidRDefault="00240C59" w:rsidP="00240C59">
            <w:pPr>
              <w:keepNext/>
              <w:keepLines/>
              <w:jc w:val="both"/>
              <w:rPr>
                <w:b/>
                <w:color w:val="000000" w:themeColor="text1"/>
              </w:rPr>
            </w:pPr>
          </w:p>
        </w:tc>
        <w:tc>
          <w:tcPr>
            <w:tcW w:w="4320" w:type="dxa"/>
            <w:tcBorders>
              <w:top w:val="single" w:sz="4" w:space="0" w:color="auto"/>
            </w:tcBorders>
            <w:shd w:val="clear" w:color="auto" w:fill="auto"/>
          </w:tcPr>
          <w:p w:rsidR="00240C59" w:rsidRPr="00240C59" w:rsidRDefault="00240C59" w:rsidP="00240C59">
            <w:pPr>
              <w:keepNext/>
              <w:keepLines/>
              <w:jc w:val="both"/>
              <w:rPr>
                <w:color w:val="000000" w:themeColor="text1"/>
              </w:rPr>
            </w:pPr>
            <w:r w:rsidRPr="00240C59">
              <w:rPr>
                <w:color w:val="000000" w:themeColor="text1"/>
              </w:rPr>
              <w:t>ART GRAHAM</w:t>
            </w:r>
          </w:p>
          <w:p w:rsidR="00240C59" w:rsidRDefault="00240C59" w:rsidP="00240C59">
            <w:pPr>
              <w:keepNext/>
              <w:keepLines/>
              <w:jc w:val="both"/>
              <w:rPr>
                <w:b/>
                <w:color w:val="000000" w:themeColor="text1"/>
              </w:rPr>
            </w:pPr>
            <w:r w:rsidRPr="00240C59">
              <w:rPr>
                <w:color w:val="000000" w:themeColor="text1"/>
              </w:rPr>
              <w:t>Commissioner and Prehearing Officer</w:t>
            </w:r>
          </w:p>
        </w:tc>
      </w:tr>
    </w:tbl>
    <w:p w:rsidR="00240C59" w:rsidRDefault="00240C59" w:rsidP="00240C59">
      <w:pPr>
        <w:pStyle w:val="OrderSigInfo"/>
        <w:keepNext/>
        <w:keepLines/>
      </w:pPr>
      <w:r>
        <w:t>Florida Public Service Commission</w:t>
      </w:r>
    </w:p>
    <w:p w:rsidR="00240C59" w:rsidRDefault="00240C59" w:rsidP="00240C59">
      <w:pPr>
        <w:pStyle w:val="OrderSigInfo"/>
        <w:keepNext/>
        <w:keepLines/>
      </w:pPr>
      <w:r>
        <w:t>2540 Shumard Oak Boulevard</w:t>
      </w:r>
    </w:p>
    <w:p w:rsidR="00240C59" w:rsidRDefault="00240C59" w:rsidP="00240C59">
      <w:pPr>
        <w:pStyle w:val="OrderSigInfo"/>
        <w:keepNext/>
        <w:keepLines/>
      </w:pPr>
      <w:r>
        <w:t>Tallahassee, Florida 32399</w:t>
      </w:r>
    </w:p>
    <w:p w:rsidR="00240C59" w:rsidRDefault="00240C59" w:rsidP="00240C59">
      <w:pPr>
        <w:pStyle w:val="OrderSigInfo"/>
        <w:keepNext/>
        <w:keepLines/>
      </w:pPr>
      <w:r>
        <w:t>(850) 413</w:t>
      </w:r>
      <w:r>
        <w:noBreakHyphen/>
        <w:t>6770</w:t>
      </w:r>
    </w:p>
    <w:p w:rsidR="00240C59" w:rsidRDefault="00240C59" w:rsidP="00240C59">
      <w:pPr>
        <w:pStyle w:val="OrderSigInfo"/>
        <w:keepNext/>
        <w:keepLines/>
      </w:pPr>
      <w:r>
        <w:t>www.floridapsc.com</w:t>
      </w:r>
    </w:p>
    <w:p w:rsidR="00240C59" w:rsidRDefault="00240C59" w:rsidP="00240C59">
      <w:pPr>
        <w:pStyle w:val="OrderSigInfo"/>
        <w:keepNext/>
        <w:keepLines/>
      </w:pPr>
    </w:p>
    <w:p w:rsidR="00240C59" w:rsidRDefault="00240C59" w:rsidP="00240C59">
      <w:pPr>
        <w:pStyle w:val="OrderSigInfo"/>
        <w:keepNext/>
        <w:keepLines/>
      </w:pPr>
      <w:r>
        <w:t>Copies furnished:  A copy of this document is provided to the parties of record at the time of issuance and, if applicable, interested persons.</w:t>
      </w:r>
    </w:p>
    <w:p w:rsidR="00240C59" w:rsidRDefault="00240C59" w:rsidP="00240C59">
      <w:pPr>
        <w:pStyle w:val="OrderBody"/>
        <w:keepNext/>
        <w:keepLines/>
      </w:pPr>
    </w:p>
    <w:p w:rsidR="00240C59" w:rsidRDefault="00240C59" w:rsidP="00240C59">
      <w:pPr>
        <w:keepNext/>
        <w:keepLines/>
        <w:jc w:val="both"/>
        <w:rPr>
          <w:b/>
          <w:color w:val="000000" w:themeColor="text1"/>
        </w:rPr>
      </w:pPr>
    </w:p>
    <w:p w:rsidR="00240C59" w:rsidRPr="00240C59" w:rsidRDefault="00240C59" w:rsidP="00240C59">
      <w:pPr>
        <w:keepNext/>
        <w:keepLines/>
        <w:jc w:val="both"/>
        <w:rPr>
          <w:color w:val="000000" w:themeColor="text1"/>
        </w:rPr>
      </w:pPr>
      <w:r>
        <w:rPr>
          <w:color w:val="000000" w:themeColor="text1"/>
        </w:rPr>
        <w:t>SPS</w:t>
      </w:r>
    </w:p>
    <w:p w:rsidR="00240C59" w:rsidRDefault="00240C59" w:rsidP="00240C59">
      <w:pPr>
        <w:jc w:val="both"/>
        <w:rPr>
          <w:b/>
          <w:color w:val="000000" w:themeColor="text1"/>
        </w:rPr>
      </w:pPr>
    </w:p>
    <w:p w:rsidR="00240C59" w:rsidRDefault="00240C59" w:rsidP="00240C59">
      <w:pPr>
        <w:jc w:val="both"/>
        <w:rPr>
          <w:b/>
          <w:color w:val="000000" w:themeColor="text1"/>
        </w:rPr>
      </w:pPr>
    </w:p>
    <w:p w:rsidR="00240C59" w:rsidRDefault="00240C59" w:rsidP="00240C59">
      <w:pPr>
        <w:jc w:val="both"/>
        <w:rPr>
          <w:b/>
          <w:color w:val="000000" w:themeColor="text1"/>
        </w:rPr>
      </w:pPr>
    </w:p>
    <w:p w:rsidR="00240C59" w:rsidRDefault="00240C59" w:rsidP="00240C59">
      <w:pPr>
        <w:jc w:val="both"/>
        <w:rPr>
          <w:b/>
          <w:color w:val="000000" w:themeColor="text1"/>
        </w:rPr>
      </w:pPr>
    </w:p>
    <w:p w:rsidR="00240C59" w:rsidRDefault="00240C59" w:rsidP="00240C59">
      <w:pPr>
        <w:pStyle w:val="CenterUnderline"/>
      </w:pPr>
      <w:r>
        <w:t>NOTICE OF FURTHER PROCEEDINGS OR JUDICIAL REVIEW</w:t>
      </w:r>
    </w:p>
    <w:p w:rsidR="00240C59" w:rsidRDefault="00240C59" w:rsidP="00240C59">
      <w:pPr>
        <w:pStyle w:val="CenterUnderline"/>
      </w:pPr>
    </w:p>
    <w:p w:rsidR="00240C59" w:rsidRDefault="00240C59" w:rsidP="00240C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0C59" w:rsidRDefault="00240C59" w:rsidP="00240C59">
      <w:pPr>
        <w:pStyle w:val="OrderBody"/>
      </w:pPr>
    </w:p>
    <w:p w:rsidR="00240C59" w:rsidRDefault="00240C59" w:rsidP="00240C59">
      <w:pPr>
        <w:pStyle w:val="OrderBody"/>
      </w:pPr>
      <w:r>
        <w:tab/>
        <w:t>Mediation may be available on a case-by-case basis.  If mediation is conducted, it does not affect a substantially interested person's right to a hearing.</w:t>
      </w:r>
    </w:p>
    <w:p w:rsidR="00240C59" w:rsidRDefault="00240C59" w:rsidP="00240C59">
      <w:pPr>
        <w:pStyle w:val="OrderBody"/>
      </w:pPr>
    </w:p>
    <w:p w:rsidR="005F2751" w:rsidRDefault="00240C59" w:rsidP="00B0292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70" w:rsidRDefault="00D95270">
      <w:r>
        <w:separator/>
      </w:r>
    </w:p>
  </w:endnote>
  <w:endnote w:type="continuationSeparator" w:id="0">
    <w:p w:rsidR="00D95270" w:rsidRDefault="00D9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70" w:rsidRDefault="00D95270">
      <w:r>
        <w:separator/>
      </w:r>
    </w:p>
  </w:footnote>
  <w:footnote w:type="continuationSeparator" w:id="0">
    <w:p w:rsidR="00D95270" w:rsidRDefault="00D9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2 ">
      <w:r w:rsidR="004B483E">
        <w:t>PSC-2022-0042-PCO-EI</w:t>
      </w:r>
    </w:fldSimple>
  </w:p>
  <w:p w:rsidR="00FA6EFD" w:rsidRDefault="00D95270">
    <w:pPr>
      <w:pStyle w:val="OrderHeader"/>
    </w:pPr>
    <w:bookmarkStart w:id="8" w:name="HeaderDocketNo"/>
    <w:bookmarkEnd w:id="8"/>
    <w:r>
      <w:t>DOCKET NO. 20200241-EI</w:t>
    </w:r>
  </w:p>
  <w:p w:rsidR="00497E94" w:rsidRDefault="00497E94">
    <w:pPr>
      <w:pStyle w:val="OrderHeader"/>
    </w:pPr>
    <w:r>
      <w:t>DOCKET NO. 20210178-EI</w:t>
    </w:r>
  </w:p>
  <w:p w:rsidR="00497E94" w:rsidRDefault="00497E94">
    <w:pPr>
      <w:pStyle w:val="OrderHeader"/>
    </w:pPr>
    <w:r>
      <w:t>DOCKET NO. 20210179-EI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03A0">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D95270"/>
    <w:rsid w:val="000022B8"/>
    <w:rsid w:val="00003883"/>
    <w:rsid w:val="00006801"/>
    <w:rsid w:val="00011251"/>
    <w:rsid w:val="00025C9D"/>
    <w:rsid w:val="00030238"/>
    <w:rsid w:val="0003433F"/>
    <w:rsid w:val="00035A8C"/>
    <w:rsid w:val="00036BDD"/>
    <w:rsid w:val="00037889"/>
    <w:rsid w:val="00041FFD"/>
    <w:rsid w:val="000530C8"/>
    <w:rsid w:val="00053AB9"/>
    <w:rsid w:val="00056229"/>
    <w:rsid w:val="00057AF1"/>
    <w:rsid w:val="00065FC2"/>
    <w:rsid w:val="00067685"/>
    <w:rsid w:val="00067B07"/>
    <w:rsid w:val="000730D7"/>
    <w:rsid w:val="00076E6B"/>
    <w:rsid w:val="00081AE4"/>
    <w:rsid w:val="0008247D"/>
    <w:rsid w:val="00090AFC"/>
    <w:rsid w:val="00096507"/>
    <w:rsid w:val="000A0E94"/>
    <w:rsid w:val="000B783E"/>
    <w:rsid w:val="000B7D81"/>
    <w:rsid w:val="000C1994"/>
    <w:rsid w:val="000C6926"/>
    <w:rsid w:val="000D02B8"/>
    <w:rsid w:val="000D06E8"/>
    <w:rsid w:val="000D4508"/>
    <w:rsid w:val="000D6E65"/>
    <w:rsid w:val="000D78FB"/>
    <w:rsid w:val="000E050C"/>
    <w:rsid w:val="000E20F0"/>
    <w:rsid w:val="000E2593"/>
    <w:rsid w:val="000E344D"/>
    <w:rsid w:val="000E3F6D"/>
    <w:rsid w:val="000F3176"/>
    <w:rsid w:val="000F359F"/>
    <w:rsid w:val="000F3B2C"/>
    <w:rsid w:val="000F3F6C"/>
    <w:rsid w:val="000F63EB"/>
    <w:rsid w:val="000F648A"/>
    <w:rsid w:val="000F7BE3"/>
    <w:rsid w:val="00104333"/>
    <w:rsid w:val="001052BA"/>
    <w:rsid w:val="001107B3"/>
    <w:rsid w:val="001114B1"/>
    <w:rsid w:val="001139D8"/>
    <w:rsid w:val="00113A4B"/>
    <w:rsid w:val="00116AD3"/>
    <w:rsid w:val="00121957"/>
    <w:rsid w:val="0012387E"/>
    <w:rsid w:val="001259EC"/>
    <w:rsid w:val="00126593"/>
    <w:rsid w:val="00134177"/>
    <w:rsid w:val="00136087"/>
    <w:rsid w:val="00142A96"/>
    <w:rsid w:val="001513DE"/>
    <w:rsid w:val="00154A71"/>
    <w:rsid w:val="001655D4"/>
    <w:rsid w:val="00165803"/>
    <w:rsid w:val="00187E32"/>
    <w:rsid w:val="00191A3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78A"/>
    <w:rsid w:val="001F36B0"/>
    <w:rsid w:val="001F4CA3"/>
    <w:rsid w:val="001F59E0"/>
    <w:rsid w:val="001F740E"/>
    <w:rsid w:val="002002ED"/>
    <w:rsid w:val="002044DD"/>
    <w:rsid w:val="00216DC2"/>
    <w:rsid w:val="002170E5"/>
    <w:rsid w:val="00220D57"/>
    <w:rsid w:val="0022721A"/>
    <w:rsid w:val="00230BB9"/>
    <w:rsid w:val="00240C59"/>
    <w:rsid w:val="00241CEF"/>
    <w:rsid w:val="0025124E"/>
    <w:rsid w:val="00252B30"/>
    <w:rsid w:val="002613E4"/>
    <w:rsid w:val="00262C43"/>
    <w:rsid w:val="002647AD"/>
    <w:rsid w:val="0026544B"/>
    <w:rsid w:val="00270F89"/>
    <w:rsid w:val="00276CDC"/>
    <w:rsid w:val="00277655"/>
    <w:rsid w:val="002824B7"/>
    <w:rsid w:val="00282AC4"/>
    <w:rsid w:val="00283F09"/>
    <w:rsid w:val="00284A1A"/>
    <w:rsid w:val="00293DC9"/>
    <w:rsid w:val="00297C37"/>
    <w:rsid w:val="002A11AC"/>
    <w:rsid w:val="002A6F30"/>
    <w:rsid w:val="002B1473"/>
    <w:rsid w:val="002B3111"/>
    <w:rsid w:val="002C118E"/>
    <w:rsid w:val="002C2096"/>
    <w:rsid w:val="002C6C74"/>
    <w:rsid w:val="002C7908"/>
    <w:rsid w:val="002D0F14"/>
    <w:rsid w:val="002D391B"/>
    <w:rsid w:val="002D4B1F"/>
    <w:rsid w:val="002D7D15"/>
    <w:rsid w:val="002E1B2E"/>
    <w:rsid w:val="002E27EB"/>
    <w:rsid w:val="002E2B65"/>
    <w:rsid w:val="002E4EF4"/>
    <w:rsid w:val="002F2A9D"/>
    <w:rsid w:val="002F31C2"/>
    <w:rsid w:val="002F7BF6"/>
    <w:rsid w:val="00303FDE"/>
    <w:rsid w:val="00313C5B"/>
    <w:rsid w:val="003140E8"/>
    <w:rsid w:val="003231C7"/>
    <w:rsid w:val="00323839"/>
    <w:rsid w:val="0032656E"/>
    <w:rsid w:val="003270C4"/>
    <w:rsid w:val="00331ED0"/>
    <w:rsid w:val="00332B0A"/>
    <w:rsid w:val="00333A41"/>
    <w:rsid w:val="00345434"/>
    <w:rsid w:val="00354174"/>
    <w:rsid w:val="0035495B"/>
    <w:rsid w:val="00355A93"/>
    <w:rsid w:val="00361522"/>
    <w:rsid w:val="0037196E"/>
    <w:rsid w:val="003744F5"/>
    <w:rsid w:val="00383FDB"/>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2377"/>
    <w:rsid w:val="004247F5"/>
    <w:rsid w:val="0042527B"/>
    <w:rsid w:val="00427EAC"/>
    <w:rsid w:val="00435113"/>
    <w:rsid w:val="004431B4"/>
    <w:rsid w:val="00444E77"/>
    <w:rsid w:val="0045537F"/>
    <w:rsid w:val="00457DC7"/>
    <w:rsid w:val="0046024F"/>
    <w:rsid w:val="004640B3"/>
    <w:rsid w:val="00472BCC"/>
    <w:rsid w:val="00497E94"/>
    <w:rsid w:val="004A11B0"/>
    <w:rsid w:val="004A25CD"/>
    <w:rsid w:val="004A26CC"/>
    <w:rsid w:val="004A3F7F"/>
    <w:rsid w:val="004B2108"/>
    <w:rsid w:val="004B3A2B"/>
    <w:rsid w:val="004B483E"/>
    <w:rsid w:val="004B70D3"/>
    <w:rsid w:val="004C312D"/>
    <w:rsid w:val="004D2D1B"/>
    <w:rsid w:val="004D5067"/>
    <w:rsid w:val="004D6838"/>
    <w:rsid w:val="004D72BC"/>
    <w:rsid w:val="004E469D"/>
    <w:rsid w:val="004E7F4F"/>
    <w:rsid w:val="004F17C7"/>
    <w:rsid w:val="004F2DDE"/>
    <w:rsid w:val="004F5A55"/>
    <w:rsid w:val="004F5B67"/>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A56"/>
    <w:rsid w:val="005C5033"/>
    <w:rsid w:val="005D4E1B"/>
    <w:rsid w:val="005D6B0D"/>
    <w:rsid w:val="005E2A8B"/>
    <w:rsid w:val="005E751B"/>
    <w:rsid w:val="005F2751"/>
    <w:rsid w:val="005F3354"/>
    <w:rsid w:val="005F4AD6"/>
    <w:rsid w:val="0060005E"/>
    <w:rsid w:val="0060095B"/>
    <w:rsid w:val="00601266"/>
    <w:rsid w:val="006072FE"/>
    <w:rsid w:val="00610221"/>
    <w:rsid w:val="00610E73"/>
    <w:rsid w:val="00616DF2"/>
    <w:rsid w:val="0062385D"/>
    <w:rsid w:val="006260EB"/>
    <w:rsid w:val="006266A5"/>
    <w:rsid w:val="0063168D"/>
    <w:rsid w:val="00635C79"/>
    <w:rsid w:val="006455DF"/>
    <w:rsid w:val="0064589D"/>
    <w:rsid w:val="00647025"/>
    <w:rsid w:val="0064730A"/>
    <w:rsid w:val="006531A4"/>
    <w:rsid w:val="00655199"/>
    <w:rsid w:val="00660774"/>
    <w:rsid w:val="0066389A"/>
    <w:rsid w:val="0066457B"/>
    <w:rsid w:val="0066495C"/>
    <w:rsid w:val="00665CC7"/>
    <w:rsid w:val="00672612"/>
    <w:rsid w:val="00677F18"/>
    <w:rsid w:val="00693483"/>
    <w:rsid w:val="006A0BF3"/>
    <w:rsid w:val="006B0036"/>
    <w:rsid w:val="006B0DA6"/>
    <w:rsid w:val="006C547E"/>
    <w:rsid w:val="006D2B51"/>
    <w:rsid w:val="006D340F"/>
    <w:rsid w:val="006D5575"/>
    <w:rsid w:val="006D7191"/>
    <w:rsid w:val="006E21C4"/>
    <w:rsid w:val="006E42BE"/>
    <w:rsid w:val="006E5D4D"/>
    <w:rsid w:val="006E6D16"/>
    <w:rsid w:val="006E770C"/>
    <w:rsid w:val="007003A0"/>
    <w:rsid w:val="0070114B"/>
    <w:rsid w:val="00703F2A"/>
    <w:rsid w:val="00704C5D"/>
    <w:rsid w:val="007072BC"/>
    <w:rsid w:val="00715275"/>
    <w:rsid w:val="00721B44"/>
    <w:rsid w:val="007232A2"/>
    <w:rsid w:val="00726366"/>
    <w:rsid w:val="00733B6B"/>
    <w:rsid w:val="00740808"/>
    <w:rsid w:val="007467C4"/>
    <w:rsid w:val="00747879"/>
    <w:rsid w:val="00754DD5"/>
    <w:rsid w:val="0076170F"/>
    <w:rsid w:val="0076669C"/>
    <w:rsid w:val="00766E46"/>
    <w:rsid w:val="00777727"/>
    <w:rsid w:val="0078166A"/>
    <w:rsid w:val="00782B79"/>
    <w:rsid w:val="00783811"/>
    <w:rsid w:val="007865E9"/>
    <w:rsid w:val="0079237D"/>
    <w:rsid w:val="00792383"/>
    <w:rsid w:val="00794D5A"/>
    <w:rsid w:val="00794DD9"/>
    <w:rsid w:val="007A060F"/>
    <w:rsid w:val="007A7038"/>
    <w:rsid w:val="007B0F34"/>
    <w:rsid w:val="007B350E"/>
    <w:rsid w:val="007C0FBC"/>
    <w:rsid w:val="007C29C9"/>
    <w:rsid w:val="007C35B8"/>
    <w:rsid w:val="007C36E3"/>
    <w:rsid w:val="007C3ABB"/>
    <w:rsid w:val="007C69FE"/>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135C"/>
    <w:rsid w:val="008B19A6"/>
    <w:rsid w:val="008B4EFB"/>
    <w:rsid w:val="008C21C8"/>
    <w:rsid w:val="008C6375"/>
    <w:rsid w:val="008C6A5B"/>
    <w:rsid w:val="008D196A"/>
    <w:rsid w:val="008D441D"/>
    <w:rsid w:val="008D498D"/>
    <w:rsid w:val="008D6D36"/>
    <w:rsid w:val="008E0693"/>
    <w:rsid w:val="008E26A5"/>
    <w:rsid w:val="008E42D2"/>
    <w:rsid w:val="008E6328"/>
    <w:rsid w:val="008F2E24"/>
    <w:rsid w:val="008F578F"/>
    <w:rsid w:val="008F5D04"/>
    <w:rsid w:val="009040EE"/>
    <w:rsid w:val="009057FD"/>
    <w:rsid w:val="00906FBA"/>
    <w:rsid w:val="009163E8"/>
    <w:rsid w:val="00921BD3"/>
    <w:rsid w:val="009228C7"/>
    <w:rsid w:val="00922A7F"/>
    <w:rsid w:val="00923A5E"/>
    <w:rsid w:val="00924FE7"/>
    <w:rsid w:val="00926E27"/>
    <w:rsid w:val="00931C8C"/>
    <w:rsid w:val="00932A99"/>
    <w:rsid w:val="0093616B"/>
    <w:rsid w:val="009423B1"/>
    <w:rsid w:val="00943D21"/>
    <w:rsid w:val="0094504B"/>
    <w:rsid w:val="00947677"/>
    <w:rsid w:val="00950CB6"/>
    <w:rsid w:val="00964A38"/>
    <w:rsid w:val="00966A9D"/>
    <w:rsid w:val="0096742B"/>
    <w:rsid w:val="009718C5"/>
    <w:rsid w:val="00976AFF"/>
    <w:rsid w:val="00987F95"/>
    <w:rsid w:val="009924CF"/>
    <w:rsid w:val="00994100"/>
    <w:rsid w:val="009A6B17"/>
    <w:rsid w:val="009B052E"/>
    <w:rsid w:val="009D353A"/>
    <w:rsid w:val="009D4C29"/>
    <w:rsid w:val="009E4449"/>
    <w:rsid w:val="009E58E9"/>
    <w:rsid w:val="009F6AD2"/>
    <w:rsid w:val="009F7C1B"/>
    <w:rsid w:val="00A00D8D"/>
    <w:rsid w:val="00A01BB6"/>
    <w:rsid w:val="00A22B28"/>
    <w:rsid w:val="00A4303C"/>
    <w:rsid w:val="00A46CAF"/>
    <w:rsid w:val="00A470FD"/>
    <w:rsid w:val="00A50B5E"/>
    <w:rsid w:val="00A60A70"/>
    <w:rsid w:val="00A62DAB"/>
    <w:rsid w:val="00A67315"/>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03A0"/>
    <w:rsid w:val="00B019C1"/>
    <w:rsid w:val="00B02001"/>
    <w:rsid w:val="00B02925"/>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207"/>
    <w:rsid w:val="00B761CD"/>
    <w:rsid w:val="00B76B66"/>
    <w:rsid w:val="00B85A55"/>
    <w:rsid w:val="00B86EF0"/>
    <w:rsid w:val="00B96969"/>
    <w:rsid w:val="00B97900"/>
    <w:rsid w:val="00BA1229"/>
    <w:rsid w:val="00BA44A8"/>
    <w:rsid w:val="00BA49C5"/>
    <w:rsid w:val="00BB0182"/>
    <w:rsid w:val="00BC786E"/>
    <w:rsid w:val="00BD15EF"/>
    <w:rsid w:val="00BD5C92"/>
    <w:rsid w:val="00BE50E6"/>
    <w:rsid w:val="00BE7A0C"/>
    <w:rsid w:val="00BF286B"/>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6EA8"/>
    <w:rsid w:val="00C66692"/>
    <w:rsid w:val="00C673B5"/>
    <w:rsid w:val="00C703A3"/>
    <w:rsid w:val="00C7063D"/>
    <w:rsid w:val="00C75D7A"/>
    <w:rsid w:val="00C830BC"/>
    <w:rsid w:val="00C8524D"/>
    <w:rsid w:val="00C90904"/>
    <w:rsid w:val="00C91123"/>
    <w:rsid w:val="00CA71FF"/>
    <w:rsid w:val="00CB5276"/>
    <w:rsid w:val="00CB5BFC"/>
    <w:rsid w:val="00CB68D7"/>
    <w:rsid w:val="00CB785B"/>
    <w:rsid w:val="00CC7E68"/>
    <w:rsid w:val="00CD3ACF"/>
    <w:rsid w:val="00CD3D74"/>
    <w:rsid w:val="00CD7132"/>
    <w:rsid w:val="00CE0E6F"/>
    <w:rsid w:val="00CE3B21"/>
    <w:rsid w:val="00CE56FC"/>
    <w:rsid w:val="00CE7A4D"/>
    <w:rsid w:val="00CF32D2"/>
    <w:rsid w:val="00CF4CFE"/>
    <w:rsid w:val="00CF6142"/>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270"/>
    <w:rsid w:val="00DA4EDD"/>
    <w:rsid w:val="00DA6B78"/>
    <w:rsid w:val="00DB122B"/>
    <w:rsid w:val="00DC0640"/>
    <w:rsid w:val="00DC1D94"/>
    <w:rsid w:val="00DC42CF"/>
    <w:rsid w:val="00DD382A"/>
    <w:rsid w:val="00DE057F"/>
    <w:rsid w:val="00DE2082"/>
    <w:rsid w:val="00DE2289"/>
    <w:rsid w:val="00DF09A7"/>
    <w:rsid w:val="00DF2B51"/>
    <w:rsid w:val="00E001D6"/>
    <w:rsid w:val="00E03A76"/>
    <w:rsid w:val="00E04410"/>
    <w:rsid w:val="00E07484"/>
    <w:rsid w:val="00E11351"/>
    <w:rsid w:val="00E170E8"/>
    <w:rsid w:val="00E4225C"/>
    <w:rsid w:val="00E44879"/>
    <w:rsid w:val="00E5409D"/>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3059"/>
    <w:rsid w:val="00EF1482"/>
    <w:rsid w:val="00EF4621"/>
    <w:rsid w:val="00EF4D52"/>
    <w:rsid w:val="00EF6312"/>
    <w:rsid w:val="00F038B0"/>
    <w:rsid w:val="00F05F34"/>
    <w:rsid w:val="00F142C0"/>
    <w:rsid w:val="00F22B27"/>
    <w:rsid w:val="00F234A7"/>
    <w:rsid w:val="00F277B6"/>
    <w:rsid w:val="00F27DA5"/>
    <w:rsid w:val="00F37E07"/>
    <w:rsid w:val="00F4182A"/>
    <w:rsid w:val="00F54380"/>
    <w:rsid w:val="00F54B47"/>
    <w:rsid w:val="00F61247"/>
    <w:rsid w:val="00F61F61"/>
    <w:rsid w:val="00F63191"/>
    <w:rsid w:val="00F6702E"/>
    <w:rsid w:val="00F70E84"/>
    <w:rsid w:val="00F71B01"/>
    <w:rsid w:val="00FA092B"/>
    <w:rsid w:val="00FA4F6C"/>
    <w:rsid w:val="00FA6EFD"/>
    <w:rsid w:val="00FB3040"/>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95270"/>
    <w:pPr>
      <w:autoSpaceDE w:val="0"/>
      <w:autoSpaceDN w:val="0"/>
      <w:adjustRightInd w:val="0"/>
      <w:ind w:left="720"/>
    </w:pPr>
    <w:rPr>
      <w:sz w:val="24"/>
      <w:szCs w:val="24"/>
    </w:rPr>
  </w:style>
  <w:style w:type="paragraph" w:customStyle="1" w:styleId="Level2">
    <w:name w:val="Level 2"/>
    <w:rsid w:val="00D95270"/>
    <w:pPr>
      <w:autoSpaceDE w:val="0"/>
      <w:autoSpaceDN w:val="0"/>
      <w:adjustRightInd w:val="0"/>
      <w:ind w:left="1440"/>
    </w:pPr>
    <w:rPr>
      <w:sz w:val="24"/>
      <w:szCs w:val="24"/>
    </w:rPr>
  </w:style>
  <w:style w:type="character" w:styleId="Hyperlink">
    <w:name w:val="Hyperlink"/>
    <w:uiPriority w:val="99"/>
    <w:unhideWhenUsed/>
    <w:rsid w:val="00D95270"/>
    <w:rPr>
      <w:color w:val="0000FF"/>
      <w:u w:val="single"/>
    </w:rPr>
  </w:style>
  <w:style w:type="paragraph" w:styleId="ListParagraph">
    <w:name w:val="List Paragraph"/>
    <w:basedOn w:val="Normal"/>
    <w:uiPriority w:val="1"/>
    <w:qFormat/>
    <w:rsid w:val="00D95270"/>
    <w:pPr>
      <w:ind w:left="720"/>
      <w:contextualSpacing/>
    </w:pPr>
  </w:style>
  <w:style w:type="character" w:customStyle="1" w:styleId="FootnoteTextChar">
    <w:name w:val="Footnote Text Char"/>
    <w:basedOn w:val="DefaultParagraphFont"/>
    <w:link w:val="FootnoteText"/>
    <w:uiPriority w:val="99"/>
    <w:rsid w:val="002E2B65"/>
  </w:style>
  <w:style w:type="paragraph" w:styleId="BalloonText">
    <w:name w:val="Balloon Text"/>
    <w:basedOn w:val="Normal"/>
    <w:link w:val="BalloonTextChar"/>
    <w:semiHidden/>
    <w:unhideWhenUsed/>
    <w:rsid w:val="006266A5"/>
    <w:rPr>
      <w:rFonts w:ascii="Segoe UI" w:hAnsi="Segoe UI" w:cs="Segoe UI"/>
      <w:sz w:val="18"/>
      <w:szCs w:val="18"/>
    </w:rPr>
  </w:style>
  <w:style w:type="character" w:customStyle="1" w:styleId="BalloonTextChar">
    <w:name w:val="Balloon Text Char"/>
    <w:basedOn w:val="DefaultParagraphFont"/>
    <w:link w:val="BalloonText"/>
    <w:semiHidden/>
    <w:rsid w:val="0062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2022-01-26T16:19:00Z</dcterms:created>
  <dcterms:modified xsi:type="dcterms:W3CDTF">2022-01-26T18:10:00Z</dcterms:modified>
</cp:coreProperties>
</file>