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52192" w:rsidP="00C52192">
      <w:pPr>
        <w:pStyle w:val="OrderHeading"/>
      </w:pPr>
      <w:r>
        <w:t>BEFORE THE FLORIDA PUBLIC SERVICE COMMISSION</w:t>
      </w:r>
    </w:p>
    <w:p w:rsidR="00C52192" w:rsidRDefault="00C52192" w:rsidP="00C52192">
      <w:pPr>
        <w:pStyle w:val="OrderBody"/>
      </w:pPr>
    </w:p>
    <w:p w:rsidR="00C52192" w:rsidRDefault="00C52192" w:rsidP="00C521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2192" w:rsidRPr="00C63FCF" w:rsidTr="00C63FCF">
        <w:trPr>
          <w:trHeight w:val="828"/>
        </w:trPr>
        <w:tc>
          <w:tcPr>
            <w:tcW w:w="4788" w:type="dxa"/>
            <w:tcBorders>
              <w:bottom w:val="single" w:sz="8" w:space="0" w:color="auto"/>
              <w:right w:val="double" w:sz="6" w:space="0" w:color="auto"/>
            </w:tcBorders>
            <w:shd w:val="clear" w:color="auto" w:fill="auto"/>
          </w:tcPr>
          <w:p w:rsidR="00C52192" w:rsidRDefault="00C52192" w:rsidP="00C63FCF">
            <w:pPr>
              <w:pStyle w:val="OrderBody"/>
              <w:tabs>
                <w:tab w:val="center" w:pos="4320"/>
                <w:tab w:val="right" w:pos="8640"/>
              </w:tabs>
              <w:jc w:val="left"/>
            </w:pPr>
            <w:r>
              <w:t xml:space="preserve">In re: </w:t>
            </w:r>
            <w:bookmarkStart w:id="0" w:name="SSInRe"/>
            <w:bookmarkEnd w:id="0"/>
            <w:r>
              <w:t>Review of Storm Protection Plan, pursuant to Rule 25-6.030, F.A.C., Florida Power &amp; Light Company.</w:t>
            </w:r>
          </w:p>
        </w:tc>
        <w:tc>
          <w:tcPr>
            <w:tcW w:w="4788" w:type="dxa"/>
            <w:tcBorders>
              <w:left w:val="double" w:sz="6" w:space="0" w:color="auto"/>
            </w:tcBorders>
            <w:shd w:val="clear" w:color="auto" w:fill="auto"/>
          </w:tcPr>
          <w:p w:rsidR="00C52192" w:rsidRDefault="00C52192" w:rsidP="00C52192">
            <w:pPr>
              <w:pStyle w:val="OrderBody"/>
            </w:pPr>
            <w:r>
              <w:t xml:space="preserve">DOCKET NO. </w:t>
            </w:r>
            <w:bookmarkStart w:id="1" w:name="SSDocketNo"/>
            <w:bookmarkEnd w:id="1"/>
            <w:r>
              <w:t>20220051-EI</w:t>
            </w:r>
          </w:p>
          <w:p w:rsidR="00C52192" w:rsidRDefault="00C52192" w:rsidP="00C63FCF">
            <w:pPr>
              <w:pStyle w:val="OrderBody"/>
              <w:tabs>
                <w:tab w:val="center" w:pos="4320"/>
                <w:tab w:val="right" w:pos="8640"/>
              </w:tabs>
              <w:jc w:val="left"/>
            </w:pPr>
            <w:r>
              <w:t xml:space="preserve">ORDER NO. </w:t>
            </w:r>
            <w:bookmarkStart w:id="2" w:name="OrderNo0214"/>
            <w:r w:rsidR="00357EB7">
              <w:t>PSC-2022-0214-PCO-EI</w:t>
            </w:r>
            <w:bookmarkEnd w:id="2"/>
          </w:p>
          <w:p w:rsidR="00C52192" w:rsidRDefault="00C52192" w:rsidP="00C63FCF">
            <w:pPr>
              <w:pStyle w:val="OrderBody"/>
              <w:tabs>
                <w:tab w:val="center" w:pos="4320"/>
                <w:tab w:val="right" w:pos="8640"/>
              </w:tabs>
              <w:jc w:val="left"/>
            </w:pPr>
            <w:r>
              <w:t xml:space="preserve">ISSUED: </w:t>
            </w:r>
            <w:r w:rsidR="00357EB7">
              <w:t>June 17, 2022</w:t>
            </w:r>
          </w:p>
        </w:tc>
      </w:tr>
    </w:tbl>
    <w:p w:rsidR="00C52192" w:rsidRDefault="00C52192" w:rsidP="00C52192"/>
    <w:p w:rsidR="00C52192" w:rsidRDefault="00C52192" w:rsidP="00C52192"/>
    <w:p w:rsidR="00C52192" w:rsidRDefault="00C52192" w:rsidP="00C52192">
      <w:pPr>
        <w:pStyle w:val="CenterUnderline"/>
      </w:pPr>
      <w:bookmarkStart w:id="3" w:name="Commissioners"/>
      <w:bookmarkEnd w:id="3"/>
      <w:r>
        <w:t>ORDER</w:t>
      </w:r>
      <w:bookmarkStart w:id="4" w:name="OrderTitle"/>
      <w:r>
        <w:t xml:space="preserve"> GRANTING </w:t>
      </w:r>
      <w:r w:rsidRPr="00C52192">
        <w:t>SOUTHERN</w:t>
      </w:r>
      <w:r>
        <w:t xml:space="preserve"> </w:t>
      </w:r>
      <w:r w:rsidRPr="00C52192">
        <w:t>ALLIANCE FOR CLEAN ENERGY</w:t>
      </w:r>
      <w:r>
        <w:t>’S</w:t>
      </w:r>
    </w:p>
    <w:p w:rsidR="00CB5276" w:rsidRDefault="00C52192" w:rsidP="00C52192">
      <w:pPr>
        <w:pStyle w:val="CenterUnderline"/>
      </w:pPr>
      <w:r>
        <w:t>MOTION FOR LEAVE TO FILE</w:t>
      </w:r>
      <w:r w:rsidRPr="00C52192">
        <w:t xml:space="preserve"> </w:t>
      </w:r>
      <w:r>
        <w:t xml:space="preserve">AMENDED PETITION TO INTERVENE AND GRANTING AMENDED PETITION TO INTERVENE </w:t>
      </w:r>
      <w:bookmarkEnd w:id="4"/>
    </w:p>
    <w:p w:rsidR="00C52192" w:rsidRDefault="00C52192" w:rsidP="00C52192">
      <w:pPr>
        <w:pStyle w:val="CenterUnderline"/>
      </w:pPr>
    </w:p>
    <w:p w:rsidR="00105592" w:rsidRDefault="00836009" w:rsidP="00105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r>
      <w:r w:rsidR="00DB4F87">
        <w:t xml:space="preserve">Docket No. 20220051-EI </w:t>
      </w:r>
      <w:r w:rsidR="00104895">
        <w:t xml:space="preserve">was opened </w:t>
      </w:r>
      <w:r w:rsidR="00DB4F87">
        <w:t>to</w:t>
      </w:r>
      <w:r w:rsidR="00AA4623">
        <w:t xml:space="preserve"> review the </w:t>
      </w:r>
      <w:r w:rsidR="00AA4623" w:rsidRPr="00AA4623">
        <w:t>Storm Protection Plan (SPP)</w:t>
      </w:r>
      <w:r w:rsidR="00DB4F87">
        <w:t xml:space="preserve"> </w:t>
      </w:r>
      <w:r w:rsidR="00AA4623">
        <w:t>filed by</w:t>
      </w:r>
      <w:r w:rsidR="00DB4F87">
        <w:t xml:space="preserve"> Florida Power &amp; Light</w:t>
      </w:r>
      <w:r w:rsidR="00104895">
        <w:t xml:space="preserve"> </w:t>
      </w:r>
      <w:r w:rsidR="00BD274B">
        <w:t xml:space="preserve">Company </w:t>
      </w:r>
      <w:r w:rsidR="00DB4F87">
        <w:t xml:space="preserve">(FPL) </w:t>
      </w:r>
      <w:r w:rsidR="00AA4623">
        <w:t>under</w:t>
      </w:r>
      <w:r w:rsidR="00DB4F87">
        <w:t xml:space="preserve"> Section 366.95(5), Florida Statutes (F.S.). </w:t>
      </w:r>
      <w:r w:rsidR="000C66E5" w:rsidRPr="000C66E5">
        <w:t>FPL</w:t>
      </w:r>
      <w:r w:rsidR="000C66E5">
        <w:t>’s SPP docket is</w:t>
      </w:r>
      <w:r w:rsidR="000C66E5" w:rsidRPr="000C66E5">
        <w:t xml:space="preserve"> consolidated </w:t>
      </w:r>
      <w:r w:rsidR="00C63FDA" w:rsidRPr="00C63FDA">
        <w:t xml:space="preserve">for purposes of hearing </w:t>
      </w:r>
      <w:r w:rsidR="000C66E5" w:rsidRPr="000C66E5">
        <w:t xml:space="preserve">with the SPP dockets for </w:t>
      </w:r>
      <w:r w:rsidR="000C66E5">
        <w:t xml:space="preserve">Florida’s other investor-owned electric utilities by </w:t>
      </w:r>
      <w:r w:rsidR="00DB4F87">
        <w:t>Order No. PSC-2022-0119-PCO-EI, issued on March 17, 2022</w:t>
      </w:r>
      <w:r w:rsidR="000C66E5">
        <w:t xml:space="preserve">. </w:t>
      </w:r>
      <w:r w:rsidR="00AA4623">
        <w:t>T</w:t>
      </w:r>
      <w:r w:rsidR="00105592">
        <w:t>he</w:t>
      </w:r>
      <w:r w:rsidR="00AA4623">
        <w:t xml:space="preserve"> Office of Public Counsel (OPC)</w:t>
      </w:r>
      <w:r w:rsidR="00105592">
        <w:t xml:space="preserve"> </w:t>
      </w:r>
      <w:r w:rsidR="00157868">
        <w:t xml:space="preserve">and </w:t>
      </w:r>
      <w:r w:rsidR="00105592">
        <w:t>Florida Industrial Power Users Group (FIPUG)</w:t>
      </w:r>
      <w:r w:rsidR="00235D64">
        <w:t xml:space="preserve"> are parties to the </w:t>
      </w:r>
      <w:r w:rsidR="00AA4623">
        <w:t>FPL docket.</w:t>
      </w:r>
      <w:r w:rsidR="00105592">
        <w:t xml:space="preserve"> </w:t>
      </w:r>
    </w:p>
    <w:p w:rsidR="00DB4F87" w:rsidRDefault="00DB4F87" w:rsidP="00DB4F87">
      <w:pPr>
        <w:jc w:val="both"/>
      </w:pPr>
    </w:p>
    <w:p w:rsidR="00836009" w:rsidRDefault="00DB4F87" w:rsidP="00836009">
      <w:pPr>
        <w:ind w:firstLine="720"/>
        <w:jc w:val="both"/>
      </w:pPr>
      <w:r>
        <w:t xml:space="preserve">By petition dated </w:t>
      </w:r>
      <w:r w:rsidR="00105592">
        <w:t>May 19, 2022</w:t>
      </w:r>
      <w:r>
        <w:t xml:space="preserve">, </w:t>
      </w:r>
      <w:r w:rsidR="00066EEA">
        <w:t xml:space="preserve">the </w:t>
      </w:r>
      <w:r w:rsidRPr="00C52192">
        <w:t>S</w:t>
      </w:r>
      <w:r w:rsidR="00836009">
        <w:t xml:space="preserve">outhern Alliance for Clean Energy </w:t>
      </w:r>
      <w:r>
        <w:t xml:space="preserve">(SACE) </w:t>
      </w:r>
      <w:r w:rsidR="00235D64">
        <w:t>seeks</w:t>
      </w:r>
      <w:r w:rsidRPr="00EB5771">
        <w:t xml:space="preserve"> permission to intervene.</w:t>
      </w:r>
      <w:r>
        <w:t xml:space="preserve"> </w:t>
      </w:r>
      <w:r w:rsidR="00105592">
        <w:t xml:space="preserve">FPL </w:t>
      </w:r>
      <w:r w:rsidR="00066EEA">
        <w:t>responded in o</w:t>
      </w:r>
      <w:r w:rsidR="00105592">
        <w:t>pposition on May 23, 2022. On May 25, 2022, S</w:t>
      </w:r>
      <w:r>
        <w:t xml:space="preserve">ACE </w:t>
      </w:r>
      <w:r w:rsidR="00105592">
        <w:t>file</w:t>
      </w:r>
      <w:r w:rsidR="000C66E5">
        <w:t>d a</w:t>
      </w:r>
      <w:r w:rsidR="00105592">
        <w:t xml:space="preserve"> Motion for Leave to Amend </w:t>
      </w:r>
      <w:r w:rsidR="000C66E5">
        <w:t>along with its</w:t>
      </w:r>
      <w:r w:rsidR="00105592">
        <w:t xml:space="preserve"> Amended Petition. </w:t>
      </w:r>
      <w:r w:rsidR="00836009">
        <w:t>OPC and FIPUG do not</w:t>
      </w:r>
      <w:r w:rsidR="00066EEA">
        <w:t xml:space="preserve"> oppose SACE’</w:t>
      </w:r>
      <w:r w:rsidR="00B01E61">
        <w:t>s intervention</w:t>
      </w:r>
      <w:r w:rsidR="00836009">
        <w:t xml:space="preserve">. </w:t>
      </w:r>
    </w:p>
    <w:p w:rsidR="00DB4F87" w:rsidRDefault="00DB4F87" w:rsidP="00DB4F87">
      <w:pPr>
        <w:autoSpaceDE w:val="0"/>
        <w:autoSpaceDN w:val="0"/>
        <w:adjustRightInd w:val="0"/>
        <w:jc w:val="both"/>
      </w:pPr>
    </w:p>
    <w:p w:rsidR="00DB4F87" w:rsidRDefault="00104895" w:rsidP="00DB4F87">
      <w:pPr>
        <w:autoSpaceDE w:val="0"/>
        <w:autoSpaceDN w:val="0"/>
        <w:adjustRightInd w:val="0"/>
        <w:jc w:val="both"/>
      </w:pPr>
      <w:r>
        <w:rPr>
          <w:u w:val="single"/>
        </w:rPr>
        <w:t xml:space="preserve">SACE </w:t>
      </w:r>
      <w:r w:rsidR="00105592" w:rsidRPr="00173CF1">
        <w:rPr>
          <w:u w:val="single"/>
        </w:rPr>
        <w:t>Petition</w:t>
      </w:r>
      <w:r>
        <w:rPr>
          <w:u w:val="single"/>
        </w:rPr>
        <w:t xml:space="preserve"> to</w:t>
      </w:r>
      <w:r w:rsidR="00105592" w:rsidRPr="00173CF1">
        <w:rPr>
          <w:u w:val="single"/>
        </w:rPr>
        <w:t xml:space="preserve"> Interve</w:t>
      </w:r>
      <w:r>
        <w:rPr>
          <w:u w:val="single"/>
        </w:rPr>
        <w:t>ne</w:t>
      </w:r>
    </w:p>
    <w:p w:rsidR="00105592" w:rsidRDefault="00105592" w:rsidP="00DB4F87">
      <w:pPr>
        <w:autoSpaceDE w:val="0"/>
        <w:autoSpaceDN w:val="0"/>
        <w:adjustRightInd w:val="0"/>
        <w:jc w:val="both"/>
      </w:pPr>
    </w:p>
    <w:p w:rsidR="00400594" w:rsidRDefault="00105592" w:rsidP="00105592">
      <w:pPr>
        <w:autoSpaceDE w:val="0"/>
        <w:autoSpaceDN w:val="0"/>
        <w:adjustRightInd w:val="0"/>
        <w:ind w:firstLine="720"/>
        <w:jc w:val="both"/>
      </w:pPr>
      <w:r>
        <w:t>SACE allege</w:t>
      </w:r>
      <w:r w:rsidR="00602462">
        <w:t>s</w:t>
      </w:r>
      <w:r>
        <w:t xml:space="preserve"> it is a non-profit</w:t>
      </w:r>
      <w:r w:rsidR="007050FE">
        <w:t>,</w:t>
      </w:r>
      <w:r>
        <w:t xml:space="preserve"> clean energy corporation </w:t>
      </w:r>
      <w:r w:rsidR="00B01E61">
        <w:t xml:space="preserve">whose purpose </w:t>
      </w:r>
      <w:r w:rsidR="00B01E61" w:rsidRPr="00B01E61">
        <w:t>is to advocate for energy plans, policies, and systems that best serve the environmental, public health, and economic interest of communities in the Southeast, including Florida, and recovery of costs associated with such plans, policies, and systems.</w:t>
      </w:r>
      <w:r w:rsidR="00B01E61">
        <w:t xml:space="preserve"> SACE’s</w:t>
      </w:r>
      <w:r>
        <w:t xml:space="preserve"> guiding mission is to promote reasonable and equitable energy choices to ensure clean, safe, and healthy communities. </w:t>
      </w:r>
      <w:r w:rsidR="00400594">
        <w:t xml:space="preserve">According to SACE, it has over 200 members who are FPL customers, and their electric rates will be affected if the Commission approves the winterization programs </w:t>
      </w:r>
      <w:r w:rsidR="00104895">
        <w:t xml:space="preserve">proposed by </w:t>
      </w:r>
      <w:r w:rsidR="00400594">
        <w:t>FPL.</w:t>
      </w:r>
      <w:r w:rsidR="00104895">
        <w:t xml:space="preserve"> SACE also argues that any decisions related to system relia</w:t>
      </w:r>
      <w:r w:rsidR="000C66E5">
        <w:t>bility will affect the health and</w:t>
      </w:r>
      <w:r w:rsidR="00104895">
        <w:t xml:space="preserve"> safety of the SACE members</w:t>
      </w:r>
      <w:r w:rsidR="00104895" w:rsidRPr="00104895">
        <w:t xml:space="preserve"> </w:t>
      </w:r>
      <w:r w:rsidR="00104895">
        <w:t xml:space="preserve">who are </w:t>
      </w:r>
      <w:r w:rsidR="00104895" w:rsidRPr="00104895">
        <w:t>FPL customers</w:t>
      </w:r>
      <w:r w:rsidR="00104895">
        <w:t xml:space="preserve">. </w:t>
      </w:r>
      <w:r w:rsidR="00C63FDA">
        <w:t>In addition</w:t>
      </w:r>
      <w:r w:rsidR="00104895">
        <w:t>, SACE argues th</w:t>
      </w:r>
      <w:r w:rsidR="008024FA">
        <w:t>e Commission’s decision in thi</w:t>
      </w:r>
      <w:r w:rsidR="00104895">
        <w:t xml:space="preserve">s docket will affect the substantial interests of its </w:t>
      </w:r>
      <w:r w:rsidR="008024FA">
        <w:t>members</w:t>
      </w:r>
      <w:r w:rsidR="00C63FDA">
        <w:t>, and consistent with other</w:t>
      </w:r>
      <w:r w:rsidR="00104895">
        <w:t xml:space="preserve"> </w:t>
      </w:r>
      <w:r w:rsidR="000C66E5">
        <w:t xml:space="preserve">Commission </w:t>
      </w:r>
      <w:r w:rsidR="00C63FDA">
        <w:t>dockets</w:t>
      </w:r>
      <w:r w:rsidR="000C66E5">
        <w:t xml:space="preserve"> where SACE was granted </w:t>
      </w:r>
      <w:r w:rsidR="00104895">
        <w:t xml:space="preserve">intervention, </w:t>
      </w:r>
      <w:r w:rsidR="000C66E5">
        <w:t xml:space="preserve">the association </w:t>
      </w:r>
      <w:r w:rsidR="00104895">
        <w:t>has standing to intervene.</w:t>
      </w:r>
    </w:p>
    <w:p w:rsidR="00104895" w:rsidRDefault="00104895" w:rsidP="00105592">
      <w:pPr>
        <w:autoSpaceDE w:val="0"/>
        <w:autoSpaceDN w:val="0"/>
        <w:adjustRightInd w:val="0"/>
        <w:ind w:firstLine="720"/>
        <w:jc w:val="both"/>
      </w:pPr>
    </w:p>
    <w:p w:rsidR="00104895" w:rsidRDefault="00104895" w:rsidP="00104895">
      <w:pPr>
        <w:jc w:val="both"/>
      </w:pPr>
      <w:r>
        <w:rPr>
          <w:u w:val="single"/>
        </w:rPr>
        <w:t>FPL Response in Opposition</w:t>
      </w:r>
    </w:p>
    <w:p w:rsidR="00104895" w:rsidRDefault="00104895" w:rsidP="00104895">
      <w:pPr>
        <w:jc w:val="both"/>
      </w:pPr>
    </w:p>
    <w:p w:rsidR="00235D64" w:rsidRDefault="00235D64" w:rsidP="00104895">
      <w:pPr>
        <w:autoSpaceDE w:val="0"/>
        <w:autoSpaceDN w:val="0"/>
        <w:adjustRightInd w:val="0"/>
        <w:ind w:firstLine="720"/>
        <w:jc w:val="both"/>
      </w:pPr>
      <w:r>
        <w:t xml:space="preserve">FPL argues </w:t>
      </w:r>
      <w:r w:rsidR="007050FE">
        <w:t xml:space="preserve">that </w:t>
      </w:r>
      <w:r>
        <w:t>SACE’s petition should be denied because SACE’s purpose, mission, and allegations of affected interests are beyond the transmission and storm hardening programs and pro</w:t>
      </w:r>
      <w:r w:rsidR="00C63FDA">
        <w:t>jects</w:t>
      </w:r>
      <w:r>
        <w:t xml:space="preserve"> at issue. </w:t>
      </w:r>
      <w:r w:rsidR="008024FA">
        <w:t xml:space="preserve">According to FPL, the fundamental flaw </w:t>
      </w:r>
      <w:r w:rsidR="004740A4">
        <w:t>in</w:t>
      </w:r>
      <w:r w:rsidR="008024FA">
        <w:t xml:space="preserve"> SACE’s argument is that the Commission</w:t>
      </w:r>
      <w:r w:rsidR="00F75BF8">
        <w:t xml:space="preserve"> does not </w:t>
      </w:r>
      <w:r w:rsidR="008024FA">
        <w:t>approv</w:t>
      </w:r>
      <w:r w:rsidR="00F75BF8">
        <w:t>e</w:t>
      </w:r>
      <w:r w:rsidR="008024FA">
        <w:t xml:space="preserve"> or set rates that customers will pay</w:t>
      </w:r>
      <w:r w:rsidR="00F75BF8">
        <w:t xml:space="preserve"> in the SPP dockets</w:t>
      </w:r>
      <w:r w:rsidR="008024FA">
        <w:t xml:space="preserve">. The prudence and reasonableness of costs, and resulting rates, for any approved plans or projects </w:t>
      </w:r>
      <w:r w:rsidR="00F75BF8">
        <w:t xml:space="preserve">will </w:t>
      </w:r>
      <w:r w:rsidR="00F75BF8">
        <w:lastRenderedPageBreak/>
        <w:t>be addressed</w:t>
      </w:r>
      <w:r w:rsidR="008024FA">
        <w:t xml:space="preserve"> in the annual Storm Protection Plan Cost Recovery Clause (SPPCRC) docket.</w:t>
      </w:r>
      <w:r w:rsidR="00F75BF8">
        <w:t xml:space="preserve"> In addition, FPL argues that SACE’s allegations that the resolution of reliability issues will affect the health and safety of SACE’s members is also off point. The statutory objective of this proceeding is to strengthen electrical transmission and distribution facilities to withstand extreme weather conditions, but the purpose and mission of SACE is directed to energy choices, which are</w:t>
      </w:r>
      <w:r w:rsidR="00C65A71">
        <w:t xml:space="preserve"> outside the scope of the SPP docket.</w:t>
      </w:r>
      <w:r w:rsidR="00C63FDA">
        <w:t xml:space="preserve"> </w:t>
      </w:r>
      <w:r w:rsidR="00C65A71">
        <w:t xml:space="preserve">According to FPL, all </w:t>
      </w:r>
      <w:r w:rsidR="00C63FDA">
        <w:t xml:space="preserve">prior </w:t>
      </w:r>
      <w:r w:rsidR="00C65A71">
        <w:t xml:space="preserve">cases where SACE was granted intervention dealt with generation, renewable energy sources, conservation, fuel costs, environmental issues, or energy efficiency. Notwithstanding the prior dockets where the Commission determined SACE had standing to participate, SACE must prove it has </w:t>
      </w:r>
      <w:r w:rsidR="00EF1D8A">
        <w:t>standing to intervene in this</w:t>
      </w:r>
      <w:r w:rsidR="00C65A71">
        <w:t xml:space="preserve"> SPP docket.</w:t>
      </w:r>
    </w:p>
    <w:p w:rsidR="00602462" w:rsidRDefault="00602462" w:rsidP="00105592">
      <w:pPr>
        <w:autoSpaceDE w:val="0"/>
        <w:autoSpaceDN w:val="0"/>
        <w:adjustRightInd w:val="0"/>
        <w:ind w:firstLine="720"/>
        <w:jc w:val="both"/>
      </w:pPr>
    </w:p>
    <w:p w:rsidR="007314AA" w:rsidRDefault="00235D64" w:rsidP="00DB4F87">
      <w:pPr>
        <w:jc w:val="both"/>
      </w:pPr>
      <w:r>
        <w:rPr>
          <w:u w:val="single"/>
        </w:rPr>
        <w:t xml:space="preserve">SACE’s </w:t>
      </w:r>
      <w:r w:rsidR="007314AA">
        <w:rPr>
          <w:u w:val="single"/>
        </w:rPr>
        <w:t xml:space="preserve">Motion for Leave to Amend and Amended </w:t>
      </w:r>
      <w:r w:rsidR="007314AA" w:rsidRPr="00173CF1">
        <w:rPr>
          <w:u w:val="single"/>
        </w:rPr>
        <w:t>Petition</w:t>
      </w:r>
    </w:p>
    <w:p w:rsidR="007314AA" w:rsidRDefault="007314AA" w:rsidP="00DB4F87">
      <w:pPr>
        <w:jc w:val="both"/>
      </w:pPr>
    </w:p>
    <w:p w:rsidR="00114036" w:rsidRDefault="007314AA" w:rsidP="009D3630">
      <w:pPr>
        <w:autoSpaceDE w:val="0"/>
        <w:autoSpaceDN w:val="0"/>
        <w:adjustRightInd w:val="0"/>
        <w:jc w:val="both"/>
      </w:pPr>
      <w:r>
        <w:tab/>
      </w:r>
      <w:r w:rsidR="00C9491B">
        <w:t xml:space="preserve">SACE </w:t>
      </w:r>
      <w:r w:rsidR="00AF07B7">
        <w:t xml:space="preserve">seeks permission to amend its petition to clarify how its substantial interests are </w:t>
      </w:r>
      <w:r w:rsidR="004740A4">
        <w:t>affected</w:t>
      </w:r>
      <w:r w:rsidR="00AF07B7">
        <w:t xml:space="preserve"> and thus has associational standing.</w:t>
      </w:r>
      <w:r w:rsidR="00EF1D8A">
        <w:t xml:space="preserve"> SACE attached its Bylaws, as amended October 1, 2017</w:t>
      </w:r>
      <w:r w:rsidR="00114036">
        <w:t>, to its amended petition</w:t>
      </w:r>
      <w:r w:rsidR="00EF1D8A">
        <w:t xml:space="preserve">. </w:t>
      </w:r>
      <w:r w:rsidR="00114036">
        <w:t>The Bylaws, in Article II, specifically state that among the purposes of SACE is “</w:t>
      </w:r>
      <w:r w:rsidR="00114036" w:rsidRPr="00114036">
        <w:t xml:space="preserve">to perform educational research and programs concerning the environment, public health, and </w:t>
      </w:r>
      <w:r w:rsidR="00114036" w:rsidRPr="00114036">
        <w:rPr>
          <w:i/>
        </w:rPr>
        <w:t>economic impacts of the energy use and policy</w:t>
      </w:r>
      <w:r w:rsidR="00114036" w:rsidRPr="00114036">
        <w:t xml:space="preserve"> in the Southeast; and </w:t>
      </w:r>
      <w:r w:rsidR="00114036">
        <w:t xml:space="preserve">to advocate for energy plans, policies, and systems that best serve the environmental, public health, and </w:t>
      </w:r>
      <w:r w:rsidR="00114036" w:rsidRPr="001B6F52">
        <w:rPr>
          <w:i/>
        </w:rPr>
        <w:t>economic interest,</w:t>
      </w:r>
      <w:r w:rsidR="00114036">
        <w:t xml:space="preserve"> </w:t>
      </w:r>
      <w:r w:rsidR="00114036" w:rsidRPr="00114036">
        <w:rPr>
          <w:i/>
        </w:rPr>
        <w:t>including recovery of costs associated with such plans</w:t>
      </w:r>
      <w:r w:rsidR="00114036">
        <w:t xml:space="preserve">, policies and systems, of communities in the Southeast.” (Emphasis added). SACE </w:t>
      </w:r>
      <w:r w:rsidR="00C63FDA">
        <w:t>clarifies</w:t>
      </w:r>
      <w:r w:rsidR="00114036">
        <w:t xml:space="preserve"> that </w:t>
      </w:r>
      <w:r w:rsidR="00425913">
        <w:t xml:space="preserve">because </w:t>
      </w:r>
      <w:r w:rsidR="004740A4">
        <w:t>the Commission’s decision</w:t>
      </w:r>
      <w:r w:rsidR="00114036">
        <w:t xml:space="preserve"> in th</w:t>
      </w:r>
      <w:r w:rsidR="00C63FDA">
        <w:t>e SPP</w:t>
      </w:r>
      <w:r w:rsidR="00114036">
        <w:t xml:space="preserve"> docket will affect the scope of costs in subsequent cost recovery proceedings</w:t>
      </w:r>
      <w:r w:rsidR="00425913">
        <w:t xml:space="preserve">, intervention is appropriate because this is the </w:t>
      </w:r>
      <w:r w:rsidR="00C63FDA">
        <w:t>proceeding</w:t>
      </w:r>
      <w:r w:rsidR="00425913">
        <w:t xml:space="preserve"> where the Commission will determine whether FPL </w:t>
      </w:r>
      <w:r w:rsidR="00C63FDA">
        <w:t>has approval</w:t>
      </w:r>
      <w:r w:rsidR="00425913">
        <w:t xml:space="preserve"> to go forward with its plan or a modified plan</w:t>
      </w:r>
      <w:r w:rsidR="00114036">
        <w:t xml:space="preserve">. According to SACE, it intends to protect the </w:t>
      </w:r>
      <w:r w:rsidR="00425913">
        <w:t>economic interest</w:t>
      </w:r>
      <w:r w:rsidR="00C63FDA">
        <w:t>s</w:t>
      </w:r>
      <w:r w:rsidR="00425913">
        <w:t xml:space="preserve"> of its members related to FPL’s proposed SPP, consistent with its Bylaws.</w:t>
      </w:r>
    </w:p>
    <w:p w:rsidR="001575EF" w:rsidRPr="001575EF" w:rsidRDefault="008A6D6A" w:rsidP="00DB4F87">
      <w:pPr>
        <w:jc w:val="both"/>
      </w:pPr>
      <w:r>
        <w:t xml:space="preserve">  </w:t>
      </w:r>
      <w:r w:rsidR="001B51EF">
        <w:t xml:space="preserve">  </w:t>
      </w:r>
      <w:r w:rsidR="001575EF">
        <w:t xml:space="preserve">  </w:t>
      </w:r>
    </w:p>
    <w:p w:rsidR="00DB4F87" w:rsidRPr="00173CF1" w:rsidRDefault="00DB4F87" w:rsidP="00DB4F87">
      <w:pPr>
        <w:jc w:val="both"/>
        <w:rPr>
          <w:u w:val="single"/>
        </w:rPr>
      </w:pPr>
      <w:r w:rsidRPr="00173CF1">
        <w:rPr>
          <w:u w:val="single"/>
        </w:rPr>
        <w:t>Standards for Intervention</w:t>
      </w:r>
    </w:p>
    <w:p w:rsidR="00DB4F87" w:rsidRDefault="00DB4F87" w:rsidP="00DB4F87">
      <w:pPr>
        <w:jc w:val="both"/>
      </w:pPr>
    </w:p>
    <w:p w:rsidR="00622149" w:rsidRDefault="00622149" w:rsidP="00622149">
      <w:pPr>
        <w:ind w:firstLine="720"/>
        <w:jc w:val="both"/>
      </w:pPr>
      <w:r>
        <w:t xml:space="preserve">Pursuant to Rule 28-106.205, </w:t>
      </w:r>
      <w:r w:rsidR="007050FE">
        <w:t>Florida Administrative Code (</w:t>
      </w:r>
      <w:r>
        <w:t>F.A.C.</w:t>
      </w:r>
      <w:r w:rsidR="007050FE">
        <w:t>)</w:t>
      </w:r>
      <w:r>
        <w:t>,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622149" w:rsidRDefault="00622149" w:rsidP="00622149">
      <w:pPr>
        <w:ind w:firstLine="720"/>
        <w:jc w:val="both"/>
      </w:pPr>
    </w:p>
    <w:p w:rsidR="00622149" w:rsidRDefault="00622149" w:rsidP="00622149">
      <w:pPr>
        <w:ind w:firstLine="720"/>
        <w:jc w:val="both"/>
      </w:pPr>
      <w:r>
        <w:t xml:space="preserve">To have standing, the intervenor must meet the three-prong standing test set forth in </w:t>
      </w:r>
      <w:r w:rsidRPr="00030697">
        <w:rPr>
          <w:i/>
        </w:rPr>
        <w:t>Florida Home Builders Association v. Department of Labor and Employment Security</w:t>
      </w:r>
      <w:r>
        <w:t xml:space="preserve">, 412 So. 2d 351, 353-54 (Fla. 1982), and </w:t>
      </w:r>
      <w:r w:rsidRPr="00030697">
        <w:rPr>
          <w:i/>
        </w:rPr>
        <w:t>Farmworker Rights Organization, Inc. v. Department of Health and Rehabilitative Services</w:t>
      </w:r>
      <w:r>
        <w:t xml:space="preserve">, 417 So. 2d 753, 754 (Fla. 1st DCA 1982), which is based on the basic standing principles established in </w:t>
      </w:r>
      <w:r w:rsidRPr="00030697">
        <w:rPr>
          <w:i/>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030697">
        <w:rPr>
          <w:i/>
        </w:rPr>
        <w:t>Fla. Home Builders</w:t>
      </w:r>
      <w:r>
        <w:t xml:space="preserve">, 412 So. 2d at 353-54; </w:t>
      </w:r>
      <w:r w:rsidRPr="00030697">
        <w:rPr>
          <w:i/>
        </w:rPr>
        <w:t>Farmworker Rights Org.</w:t>
      </w:r>
      <w:r>
        <w:t>,</w:t>
      </w:r>
      <w:r w:rsidR="00371D4C">
        <w:t xml:space="preserve"> </w:t>
      </w:r>
      <w:r>
        <w:t>417 So. 2d at 754.</w:t>
      </w:r>
    </w:p>
    <w:p w:rsidR="00DB4F87" w:rsidRDefault="00DB4F87" w:rsidP="00DB4F87">
      <w:pPr>
        <w:ind w:firstLine="720"/>
        <w:jc w:val="both"/>
      </w:pPr>
    </w:p>
    <w:p w:rsidR="00622149" w:rsidRDefault="00622149" w:rsidP="00622149">
      <w:pPr>
        <w:jc w:val="both"/>
        <w:rPr>
          <w:u w:val="single"/>
        </w:rPr>
      </w:pPr>
      <w:r w:rsidRPr="00D85A30">
        <w:rPr>
          <w:u w:val="single"/>
        </w:rPr>
        <w:t>Analysis &amp; Ruling</w:t>
      </w:r>
    </w:p>
    <w:p w:rsidR="00622149" w:rsidRDefault="00622149" w:rsidP="00622149">
      <w:pPr>
        <w:jc w:val="both"/>
      </w:pPr>
    </w:p>
    <w:p w:rsidR="00622149" w:rsidRDefault="00371D4C" w:rsidP="00622149">
      <w:pPr>
        <w:ind w:firstLine="720"/>
        <w:jc w:val="both"/>
      </w:pPr>
      <w:r>
        <w:t xml:space="preserve">SACE’s </w:t>
      </w:r>
      <w:r w:rsidR="004B4FC6">
        <w:t xml:space="preserve">Motion for </w:t>
      </w:r>
      <w:r>
        <w:t xml:space="preserve">Leave to </w:t>
      </w:r>
      <w:r w:rsidR="004B4FC6">
        <w:t>F</w:t>
      </w:r>
      <w:r>
        <w:t xml:space="preserve">ile an </w:t>
      </w:r>
      <w:r w:rsidR="004B4FC6">
        <w:t>A</w:t>
      </w:r>
      <w:r>
        <w:t>mended Petition is granted</w:t>
      </w:r>
      <w:r w:rsidR="00565648">
        <w:t>, and thu</w:t>
      </w:r>
      <w:r w:rsidR="00E325C4">
        <w:t xml:space="preserve">s, the Amended Petition </w:t>
      </w:r>
      <w:r w:rsidR="00565648">
        <w:t xml:space="preserve">will </w:t>
      </w:r>
      <w:r w:rsidR="00E325C4">
        <w:t>be considered</w:t>
      </w:r>
      <w:r>
        <w:t xml:space="preserve">. </w:t>
      </w:r>
      <w:r w:rsidR="00425913">
        <w:t>Having reviewed the pleadings and arguments raised by SACE and FPL,</w:t>
      </w:r>
      <w:r w:rsidR="00622149">
        <w:t xml:space="preserve"> it appears SACE has met the </w:t>
      </w:r>
      <w:r w:rsidR="004C46B4">
        <w:t>three</w:t>
      </w:r>
      <w:r w:rsidR="004E7ACC">
        <w:t xml:space="preserve">-prong </w:t>
      </w:r>
      <w:r w:rsidR="00622149">
        <w:t xml:space="preserve">associational standing requirements of </w:t>
      </w:r>
      <w:r w:rsidR="00622149" w:rsidRPr="00030697">
        <w:rPr>
          <w:i/>
        </w:rPr>
        <w:t>Florida Home Builders</w:t>
      </w:r>
      <w:r w:rsidR="00622149">
        <w:t xml:space="preserve">. As to the first prong, a substantial number of </w:t>
      </w:r>
      <w:r w:rsidR="004E7ACC">
        <w:t>SACE’s</w:t>
      </w:r>
      <w:r w:rsidR="00622149">
        <w:t xml:space="preserve"> Florida members reside in FPL</w:t>
      </w:r>
      <w:r w:rsidR="004E7ACC">
        <w:t>’s</w:t>
      </w:r>
      <w:r w:rsidR="00622149">
        <w:t xml:space="preserve"> service territories, </w:t>
      </w:r>
      <w:r w:rsidR="004E7ACC">
        <w:t>and their</w:t>
      </w:r>
      <w:r w:rsidR="00622149">
        <w:t xml:space="preserve"> substantial interests will be affected by the </w:t>
      </w:r>
      <w:r w:rsidR="004E7ACC">
        <w:t>Commission’s decision because any agency action concerning FPL’s SPP will affect the scope of costs</w:t>
      </w:r>
      <w:r w:rsidR="001B6F52">
        <w:t xml:space="preserve"> </w:t>
      </w:r>
      <w:r w:rsidR="004E7ACC">
        <w:t>in subsequent cost recovery proceedings</w:t>
      </w:r>
      <w:r w:rsidR="00622149">
        <w:t>.</w:t>
      </w:r>
      <w:r w:rsidR="004E7ACC">
        <w:t xml:space="preserve"> In particular, since FPL included new Winterization Programs as part of i</w:t>
      </w:r>
      <w:r w:rsidR="00C63FDA">
        <w:t>t</w:t>
      </w:r>
      <w:r w:rsidR="004E7ACC">
        <w:t>s SPP</w:t>
      </w:r>
      <w:r w:rsidR="001B6F52">
        <w:t xml:space="preserve">, it appears the $215 </w:t>
      </w:r>
      <w:r w:rsidR="007337BF">
        <w:t xml:space="preserve">million </w:t>
      </w:r>
      <w:r w:rsidR="001B6F52">
        <w:t xml:space="preserve">projected cost of these programs could affect </w:t>
      </w:r>
      <w:r w:rsidR="004740A4">
        <w:t xml:space="preserve">the </w:t>
      </w:r>
      <w:r w:rsidR="004740A4" w:rsidRPr="004740A4">
        <w:t xml:space="preserve">substantial interests </w:t>
      </w:r>
      <w:r w:rsidR="004740A4">
        <w:t xml:space="preserve">of </w:t>
      </w:r>
      <w:r w:rsidR="001B6F52">
        <w:t>SACE</w:t>
      </w:r>
      <w:r w:rsidR="004740A4">
        <w:t>’s members</w:t>
      </w:r>
      <w:r w:rsidR="001B6F52">
        <w:t>. As to the second prong, SACE’s Bylaws direct SACE to advocate concerning the economic interests of its members and communities in the Southeast. Because the scope of future cost recovery proceedings will be impacted by the</w:t>
      </w:r>
      <w:r w:rsidR="00C63FDA">
        <w:t xml:space="preserve"> Commission’s decision</w:t>
      </w:r>
      <w:r w:rsidR="001B6F52">
        <w:t xml:space="preserve">, the </w:t>
      </w:r>
      <w:r w:rsidR="00BD274B">
        <w:t xml:space="preserve">SPP </w:t>
      </w:r>
      <w:r w:rsidR="001B6F52" w:rsidRPr="001B6F52">
        <w:t>subject matter of</w:t>
      </w:r>
      <w:r w:rsidR="004740A4">
        <w:t xml:space="preserve"> this</w:t>
      </w:r>
      <w:r w:rsidR="001B6F52" w:rsidRPr="001B6F52">
        <w:t xml:space="preserve"> proceeding is within the association’s general scope of interest and activity</w:t>
      </w:r>
      <w:r w:rsidR="001B6F52">
        <w:t xml:space="preserve">. In addition, </w:t>
      </w:r>
      <w:r w:rsidR="00BD274B">
        <w:t xml:space="preserve">this SPP </w:t>
      </w:r>
      <w:r w:rsidR="00D35896">
        <w:t xml:space="preserve">proceeding </w:t>
      </w:r>
      <w:r w:rsidR="00BD274B">
        <w:t>i</w:t>
      </w:r>
      <w:r w:rsidR="00BD274B" w:rsidRPr="00BD274B">
        <w:t>s the appropriate</w:t>
      </w:r>
      <w:r w:rsidR="00BD274B">
        <w:t xml:space="preserve"> venue </w:t>
      </w:r>
      <w:r w:rsidR="004E7ACC">
        <w:t xml:space="preserve">for SACE to provide input concerning the validity </w:t>
      </w:r>
      <w:r w:rsidR="00BD274B">
        <w:t xml:space="preserve">and scope </w:t>
      </w:r>
      <w:r w:rsidR="004E7ACC">
        <w:t xml:space="preserve">of FPL’s </w:t>
      </w:r>
      <w:r w:rsidR="00D35896">
        <w:t xml:space="preserve">new </w:t>
      </w:r>
      <w:r w:rsidR="004E7ACC">
        <w:t xml:space="preserve">underlying </w:t>
      </w:r>
      <w:r w:rsidR="004740A4">
        <w:t xml:space="preserve">winter </w:t>
      </w:r>
      <w:r w:rsidR="004E7ACC">
        <w:t>weather and load forecasts</w:t>
      </w:r>
      <w:r w:rsidR="00BD274B">
        <w:t>, which ultimately affects the economic interests of SACE’s members</w:t>
      </w:r>
      <w:r w:rsidR="00D35896">
        <w:t>.</w:t>
      </w:r>
      <w:r w:rsidR="00622149">
        <w:t xml:space="preserve"> As to the third prong, </w:t>
      </w:r>
      <w:r w:rsidR="00D35896">
        <w:t>SACE seeks the ability to advocate on behalf of its members</w:t>
      </w:r>
      <w:r w:rsidR="004740A4">
        <w:t>’</w:t>
      </w:r>
      <w:r w:rsidR="00C63FDA">
        <w:t xml:space="preserve"> economic interests concerning the </w:t>
      </w:r>
      <w:r w:rsidR="004740A4">
        <w:t xml:space="preserve">economic </w:t>
      </w:r>
      <w:r w:rsidR="00C63FDA">
        <w:t>impact of FPL’s SPP</w:t>
      </w:r>
      <w:r w:rsidR="00D35896">
        <w:t xml:space="preserve">, which is the type of relief authorized by </w:t>
      </w:r>
      <w:r w:rsidR="007337BF">
        <w:t>SACE’s</w:t>
      </w:r>
      <w:r w:rsidR="00D35896">
        <w:t xml:space="preserve"> </w:t>
      </w:r>
      <w:r w:rsidR="00622149">
        <w:t>bylaws.</w:t>
      </w:r>
      <w:r>
        <w:t xml:space="preserve"> </w:t>
      </w:r>
      <w:r w:rsidR="00D35896">
        <w:t xml:space="preserve">For these reasons, SACE’s amended petition to intervene is granted. </w:t>
      </w:r>
      <w:r>
        <w:t>As an intervenor, SACE take</w:t>
      </w:r>
      <w:r w:rsidR="004C46B4">
        <w:t>s</w:t>
      </w:r>
      <w:r>
        <w:t xml:space="preserve"> the case as it finds it. </w:t>
      </w:r>
    </w:p>
    <w:p w:rsidR="00DB4F87" w:rsidRDefault="00622149" w:rsidP="00DB4F87">
      <w:pPr>
        <w:ind w:firstLine="720"/>
        <w:jc w:val="both"/>
      </w:pPr>
      <w:r>
        <w:t xml:space="preserve"> </w:t>
      </w:r>
    </w:p>
    <w:p w:rsidR="00DB4F87" w:rsidRPr="00826D5E" w:rsidRDefault="00DB4F87" w:rsidP="00DB4F87">
      <w:pPr>
        <w:jc w:val="both"/>
      </w:pPr>
      <w:r w:rsidRPr="00826D5E">
        <w:tab/>
      </w:r>
      <w:r>
        <w:t>Based on the above representations,</w:t>
      </w:r>
      <w:r w:rsidRPr="00826D5E">
        <w:t xml:space="preserve"> it is</w:t>
      </w:r>
    </w:p>
    <w:p w:rsidR="00DB4F87" w:rsidRPr="00826D5E" w:rsidRDefault="00DB4F87" w:rsidP="00DB4F87">
      <w:pPr>
        <w:jc w:val="both"/>
      </w:pPr>
    </w:p>
    <w:p w:rsidR="00DB4F87" w:rsidRDefault="00DB4F87" w:rsidP="00DB4F87">
      <w:pPr>
        <w:pStyle w:val="ListParagraph"/>
        <w:ind w:left="0" w:firstLine="720"/>
        <w:jc w:val="both"/>
        <w:rPr>
          <w:rFonts w:ascii="Times New Roman" w:hAnsi="Times New Roman"/>
          <w:iCs/>
          <w:color w:val="212121"/>
        </w:rPr>
      </w:pPr>
      <w:r w:rsidRPr="00817318">
        <w:rPr>
          <w:rFonts w:ascii="Times New Roman" w:hAnsi="Times New Roman"/>
          <w:iCs/>
          <w:color w:val="212121"/>
        </w:rPr>
        <w:t>ORDERED by Commissioner</w:t>
      </w:r>
      <w:r>
        <w:rPr>
          <w:rFonts w:ascii="Times New Roman" w:hAnsi="Times New Roman"/>
          <w:iCs/>
          <w:color w:val="212121"/>
        </w:rPr>
        <w:t xml:space="preserve"> Mike La</w:t>
      </w:r>
      <w:r w:rsidR="00836009">
        <w:rPr>
          <w:rFonts w:ascii="Times New Roman" w:hAnsi="Times New Roman"/>
          <w:iCs/>
          <w:color w:val="212121"/>
        </w:rPr>
        <w:t xml:space="preserve"> </w:t>
      </w:r>
      <w:r>
        <w:rPr>
          <w:rFonts w:ascii="Times New Roman" w:hAnsi="Times New Roman"/>
          <w:iCs/>
          <w:color w:val="212121"/>
        </w:rPr>
        <w:t>Rosa</w:t>
      </w:r>
      <w:r w:rsidRPr="00817318">
        <w:rPr>
          <w:rFonts w:ascii="Times New Roman" w:hAnsi="Times New Roman"/>
          <w:iCs/>
          <w:color w:val="212121"/>
        </w:rPr>
        <w:t xml:space="preserve">, as Prehearing Officer, that </w:t>
      </w:r>
      <w:r w:rsidR="00D35896" w:rsidRPr="00D35896">
        <w:rPr>
          <w:rFonts w:ascii="Times New Roman" w:hAnsi="Times New Roman"/>
          <w:iCs/>
          <w:color w:val="212121"/>
        </w:rPr>
        <w:t>Southern Alliance for Clean Energy</w:t>
      </w:r>
      <w:r w:rsidR="00D35896">
        <w:rPr>
          <w:rFonts w:ascii="Times New Roman" w:hAnsi="Times New Roman"/>
          <w:iCs/>
          <w:color w:val="212121"/>
        </w:rPr>
        <w:t>’s</w:t>
      </w:r>
      <w:r w:rsidRPr="00817318">
        <w:rPr>
          <w:rFonts w:ascii="Times New Roman" w:hAnsi="Times New Roman"/>
          <w:iCs/>
          <w:color w:val="212121"/>
        </w:rPr>
        <w:t xml:space="preserve"> </w:t>
      </w:r>
      <w:r>
        <w:rPr>
          <w:rFonts w:ascii="Times New Roman" w:hAnsi="Times New Roman"/>
          <w:iCs/>
          <w:color w:val="212121"/>
        </w:rPr>
        <w:t>Motion for Leave to File an Amended Petition for Intervention is granted</w:t>
      </w:r>
      <w:r w:rsidRPr="00817318">
        <w:rPr>
          <w:rFonts w:ascii="Times New Roman" w:hAnsi="Times New Roman"/>
          <w:iCs/>
          <w:color w:val="212121"/>
        </w:rPr>
        <w:t xml:space="preserve">. </w:t>
      </w:r>
      <w:r w:rsidR="00E325C4">
        <w:rPr>
          <w:rFonts w:ascii="Times New Roman" w:hAnsi="Times New Roman"/>
          <w:iCs/>
          <w:color w:val="212121"/>
        </w:rPr>
        <w:t>It is further</w:t>
      </w:r>
      <w:r w:rsidRPr="00817318">
        <w:rPr>
          <w:rFonts w:ascii="Times New Roman" w:hAnsi="Times New Roman"/>
          <w:iCs/>
          <w:color w:val="212121"/>
        </w:rPr>
        <w:t xml:space="preserve"> </w:t>
      </w:r>
    </w:p>
    <w:p w:rsidR="00DB4F87" w:rsidRDefault="00DB4F87" w:rsidP="00DB4F87">
      <w:pPr>
        <w:pStyle w:val="ListParagraph"/>
        <w:ind w:left="0"/>
        <w:jc w:val="both"/>
        <w:rPr>
          <w:rFonts w:ascii="Times New Roman" w:hAnsi="Times New Roman"/>
          <w:iCs/>
          <w:color w:val="212121"/>
        </w:rPr>
      </w:pPr>
    </w:p>
    <w:p w:rsidR="00DB4F87" w:rsidRDefault="00DB4F87" w:rsidP="00DB4F87">
      <w:pPr>
        <w:ind w:firstLine="720"/>
        <w:jc w:val="both"/>
      </w:pPr>
      <w:r>
        <w:t xml:space="preserve">ORDERED that </w:t>
      </w:r>
      <w:r w:rsidR="00D35896" w:rsidRPr="00D35896">
        <w:t>Southern Alliance for Clean Energy’</w:t>
      </w:r>
      <w:r>
        <w:t xml:space="preserve"> </w:t>
      </w:r>
      <w:r w:rsidR="00E325C4">
        <w:t xml:space="preserve">Amended Petition </w:t>
      </w:r>
      <w:r>
        <w:t>to Intervene is granted. It is further</w:t>
      </w:r>
    </w:p>
    <w:p w:rsidR="00DB4F87" w:rsidRDefault="00DB4F87" w:rsidP="00DB4F87">
      <w:pPr>
        <w:ind w:firstLine="720"/>
        <w:jc w:val="both"/>
      </w:pPr>
    </w:p>
    <w:p w:rsidR="00DB4F87" w:rsidRDefault="00DB4F87" w:rsidP="00DB4F87">
      <w:pPr>
        <w:ind w:firstLine="720"/>
        <w:jc w:val="both"/>
      </w:pPr>
      <w:r>
        <w:t xml:space="preserve">ORDERED that </w:t>
      </w:r>
      <w:r w:rsidRPr="00C52192">
        <w:t>S</w:t>
      </w:r>
      <w:r w:rsidR="00371D4C">
        <w:t>outhern Alliance for Clean Energy</w:t>
      </w:r>
      <w:r>
        <w:t xml:space="preserve"> takes the case as it finds it. It is further </w:t>
      </w:r>
    </w:p>
    <w:p w:rsidR="00DB4F87" w:rsidRDefault="00DB4F87" w:rsidP="00DB4F87">
      <w:pPr>
        <w:ind w:firstLine="720"/>
        <w:jc w:val="both"/>
      </w:pPr>
    </w:p>
    <w:p w:rsidR="00F5208B" w:rsidRPr="00DB4F87" w:rsidRDefault="00DB4F87" w:rsidP="00DB4F87">
      <w:pPr>
        <w:ind w:firstLine="720"/>
        <w:jc w:val="both"/>
      </w:pPr>
      <w:r>
        <w:t>ORDERED that all parties to this proceeding shall furnish copies of all testimony, exhibits, pleadings, and other documents which may hereinafter be filed in this proceeding to:</w:t>
      </w:r>
    </w:p>
    <w:p w:rsidR="0069061A" w:rsidRDefault="0069061A" w:rsidP="0069061A">
      <w:pPr>
        <w:autoSpaceDE w:val="0"/>
        <w:autoSpaceDN w:val="0"/>
        <w:adjustRightInd w:val="0"/>
      </w:pPr>
    </w:p>
    <w:p w:rsidR="0069061A" w:rsidRPr="0069061A" w:rsidRDefault="0069061A" w:rsidP="00E325C4">
      <w:pPr>
        <w:autoSpaceDE w:val="0"/>
        <w:autoSpaceDN w:val="0"/>
        <w:adjustRightInd w:val="0"/>
        <w:ind w:firstLine="720"/>
      </w:pPr>
      <w:r w:rsidRPr="0069061A">
        <w:t>George Cavros</w:t>
      </w:r>
    </w:p>
    <w:p w:rsidR="0069061A" w:rsidRPr="0069061A" w:rsidRDefault="0069061A" w:rsidP="00E325C4">
      <w:pPr>
        <w:autoSpaceDE w:val="0"/>
        <w:autoSpaceDN w:val="0"/>
        <w:adjustRightInd w:val="0"/>
        <w:ind w:firstLine="720"/>
      </w:pPr>
      <w:r w:rsidRPr="0069061A">
        <w:t>Southern Alliance for Clean Energy</w:t>
      </w:r>
    </w:p>
    <w:p w:rsidR="0069061A" w:rsidRPr="0069061A" w:rsidRDefault="0069061A" w:rsidP="00E325C4">
      <w:pPr>
        <w:autoSpaceDE w:val="0"/>
        <w:autoSpaceDN w:val="0"/>
        <w:adjustRightInd w:val="0"/>
        <w:ind w:firstLine="720"/>
      </w:pPr>
      <w:r w:rsidRPr="0069061A">
        <w:t>120 E. Oakland Park Blvd., Suite 105</w:t>
      </w:r>
    </w:p>
    <w:p w:rsidR="0069061A" w:rsidRDefault="0069061A" w:rsidP="00E325C4">
      <w:pPr>
        <w:autoSpaceDE w:val="0"/>
        <w:autoSpaceDN w:val="0"/>
        <w:adjustRightInd w:val="0"/>
        <w:ind w:firstLine="720"/>
      </w:pPr>
      <w:r w:rsidRPr="0069061A">
        <w:t>Fort Lauderdale, Florida 33334</w:t>
      </w:r>
    </w:p>
    <w:p w:rsidR="0069061A" w:rsidRDefault="00357EB7" w:rsidP="00E325C4">
      <w:pPr>
        <w:autoSpaceDE w:val="0"/>
        <w:autoSpaceDN w:val="0"/>
        <w:adjustRightInd w:val="0"/>
        <w:ind w:firstLine="720"/>
      </w:pPr>
      <w:hyperlink r:id="rId6" w:history="1">
        <w:r w:rsidR="0069061A" w:rsidRPr="005669B4">
          <w:rPr>
            <w:rStyle w:val="Hyperlink"/>
          </w:rPr>
          <w:t>george@cavros-law.com</w:t>
        </w:r>
      </w:hyperlink>
    </w:p>
    <w:p w:rsidR="0069061A" w:rsidRDefault="0069061A" w:rsidP="0069061A">
      <w:pPr>
        <w:autoSpaceDE w:val="0"/>
        <w:autoSpaceDN w:val="0"/>
        <w:adjustRightInd w:val="0"/>
      </w:pPr>
    </w:p>
    <w:p w:rsidR="00F5208B" w:rsidRDefault="00F5208B" w:rsidP="00357EB7">
      <w:pPr>
        <w:autoSpaceDE w:val="0"/>
        <w:autoSpaceDN w:val="0"/>
        <w:adjustRightInd w:val="0"/>
        <w:ind w:firstLine="720"/>
        <w:rPr>
          <w:iCs/>
          <w:color w:val="212121"/>
        </w:rPr>
      </w:pPr>
      <w:r>
        <w:rPr>
          <w:iCs/>
          <w:color w:val="212121"/>
        </w:rPr>
        <w:t xml:space="preserve">By ORDER of Commissioner Mike La Rosa, as Prehearing Officer, this </w:t>
      </w:r>
      <w:bookmarkStart w:id="6" w:name="replaceDate"/>
      <w:bookmarkEnd w:id="6"/>
      <w:r w:rsidR="00357EB7">
        <w:rPr>
          <w:iCs/>
          <w:color w:val="212121"/>
          <w:u w:val="single"/>
        </w:rPr>
        <w:t>17th</w:t>
      </w:r>
      <w:r w:rsidR="00357EB7">
        <w:rPr>
          <w:iCs/>
          <w:color w:val="212121"/>
        </w:rPr>
        <w:t xml:space="preserve"> day of </w:t>
      </w:r>
      <w:r w:rsidR="00357EB7">
        <w:rPr>
          <w:iCs/>
          <w:color w:val="212121"/>
          <w:u w:val="single"/>
        </w:rPr>
        <w:t>June</w:t>
      </w:r>
      <w:r w:rsidR="00357EB7">
        <w:rPr>
          <w:iCs/>
          <w:color w:val="212121"/>
        </w:rPr>
        <w:t xml:space="preserve">, </w:t>
      </w:r>
      <w:r w:rsidR="00357EB7">
        <w:rPr>
          <w:iCs/>
          <w:color w:val="212121"/>
          <w:u w:val="single"/>
        </w:rPr>
        <w:t>2022</w:t>
      </w:r>
      <w:r w:rsidR="00357EB7">
        <w:rPr>
          <w:iCs/>
          <w:color w:val="212121"/>
        </w:rPr>
        <w:t>.</w:t>
      </w:r>
    </w:p>
    <w:p w:rsidR="00357EB7" w:rsidRPr="00357EB7" w:rsidRDefault="00357EB7" w:rsidP="00357EB7">
      <w:pPr>
        <w:autoSpaceDE w:val="0"/>
        <w:autoSpaceDN w:val="0"/>
        <w:adjustRightInd w:val="0"/>
        <w:ind w:firstLine="720"/>
        <w:rPr>
          <w:iCs/>
          <w:color w:val="212121"/>
        </w:rPr>
      </w:pPr>
    </w:p>
    <w:p w:rsidR="00F5208B" w:rsidRDefault="00F5208B" w:rsidP="00F5208B">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F5208B" w:rsidTr="00F5208B">
        <w:tc>
          <w:tcPr>
            <w:tcW w:w="720" w:type="dxa"/>
            <w:shd w:val="clear" w:color="auto" w:fill="auto"/>
          </w:tcPr>
          <w:p w:rsidR="00F5208B" w:rsidRDefault="00F5208B" w:rsidP="00F5208B">
            <w:pPr>
              <w:pStyle w:val="ListParagraph"/>
              <w:keepNext/>
              <w:keepLines/>
              <w:ind w:left="0"/>
              <w:jc w:val="both"/>
              <w:rPr>
                <w:rFonts w:ascii="Times New Roman" w:hAnsi="Times New Roman"/>
                <w:iCs/>
                <w:color w:val="212121"/>
              </w:rPr>
            </w:pPr>
            <w:bookmarkStart w:id="7" w:name="bkmrkSignature" w:colFirst="0" w:colLast="0"/>
          </w:p>
        </w:tc>
        <w:tc>
          <w:tcPr>
            <w:tcW w:w="4320" w:type="dxa"/>
            <w:tcBorders>
              <w:bottom w:val="single" w:sz="4" w:space="0" w:color="auto"/>
            </w:tcBorders>
            <w:shd w:val="clear" w:color="auto" w:fill="auto"/>
          </w:tcPr>
          <w:p w:rsidR="00F5208B" w:rsidRDefault="00357EB7" w:rsidP="00F5208B">
            <w:pPr>
              <w:pStyle w:val="ListParagraph"/>
              <w:keepNext/>
              <w:keepLines/>
              <w:ind w:left="0"/>
              <w:jc w:val="both"/>
              <w:rPr>
                <w:rFonts w:ascii="Times New Roman" w:hAnsi="Times New Roman"/>
                <w:iCs/>
                <w:color w:val="212121"/>
              </w:rPr>
            </w:pPr>
            <w:r>
              <w:rPr>
                <w:rFonts w:ascii="Times New Roman" w:hAnsi="Times New Roman"/>
                <w:iCs/>
                <w:color w:val="212121"/>
              </w:rPr>
              <w:t>/s/ Mike La Rosa</w:t>
            </w:r>
            <w:bookmarkStart w:id="8" w:name="_GoBack"/>
            <w:bookmarkEnd w:id="8"/>
          </w:p>
        </w:tc>
      </w:tr>
      <w:bookmarkEnd w:id="7"/>
      <w:tr w:rsidR="00F5208B" w:rsidTr="00F5208B">
        <w:tc>
          <w:tcPr>
            <w:tcW w:w="720" w:type="dxa"/>
            <w:shd w:val="clear" w:color="auto" w:fill="auto"/>
          </w:tcPr>
          <w:p w:rsidR="00F5208B" w:rsidRDefault="00F5208B" w:rsidP="00F5208B">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F5208B" w:rsidRDefault="00F5208B" w:rsidP="00F5208B">
            <w:pPr>
              <w:pStyle w:val="ListParagraph"/>
              <w:keepNext/>
              <w:keepLines/>
              <w:ind w:left="0"/>
              <w:jc w:val="both"/>
              <w:rPr>
                <w:rFonts w:ascii="Times New Roman" w:hAnsi="Times New Roman"/>
                <w:iCs/>
                <w:color w:val="212121"/>
              </w:rPr>
            </w:pPr>
            <w:r>
              <w:rPr>
                <w:rFonts w:ascii="Times New Roman" w:hAnsi="Times New Roman"/>
                <w:iCs/>
                <w:color w:val="212121"/>
              </w:rPr>
              <w:t>Mike La Rosa</w:t>
            </w:r>
          </w:p>
          <w:p w:rsidR="00F5208B" w:rsidRDefault="00F5208B" w:rsidP="00F5208B">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F5208B" w:rsidRDefault="00F5208B" w:rsidP="00F5208B">
      <w:pPr>
        <w:pStyle w:val="OrderSigInfo"/>
        <w:keepNext/>
        <w:keepLines/>
      </w:pPr>
      <w:r>
        <w:t>Florida Public Service Commission</w:t>
      </w:r>
    </w:p>
    <w:p w:rsidR="00F5208B" w:rsidRDefault="00F5208B" w:rsidP="00F5208B">
      <w:pPr>
        <w:pStyle w:val="OrderSigInfo"/>
        <w:keepNext/>
        <w:keepLines/>
      </w:pPr>
      <w:r>
        <w:t>2540 Shumard Oak Boulevard</w:t>
      </w:r>
    </w:p>
    <w:p w:rsidR="00F5208B" w:rsidRDefault="00F5208B" w:rsidP="00F5208B">
      <w:pPr>
        <w:pStyle w:val="OrderSigInfo"/>
        <w:keepNext/>
        <w:keepLines/>
      </w:pPr>
      <w:r>
        <w:t>Tallahassee, Florida 32399</w:t>
      </w:r>
    </w:p>
    <w:p w:rsidR="00F5208B" w:rsidRDefault="00F5208B" w:rsidP="00F5208B">
      <w:pPr>
        <w:pStyle w:val="OrderSigInfo"/>
        <w:keepNext/>
        <w:keepLines/>
      </w:pPr>
      <w:r>
        <w:t>(850) 413</w:t>
      </w:r>
      <w:r>
        <w:noBreakHyphen/>
        <w:t>6770</w:t>
      </w:r>
    </w:p>
    <w:p w:rsidR="00F5208B" w:rsidRDefault="00F5208B" w:rsidP="00F5208B">
      <w:pPr>
        <w:pStyle w:val="OrderSigInfo"/>
        <w:keepNext/>
        <w:keepLines/>
      </w:pPr>
      <w:r>
        <w:t>www.floridapsc.com</w:t>
      </w:r>
    </w:p>
    <w:p w:rsidR="00F5208B" w:rsidRDefault="00F5208B" w:rsidP="00F5208B">
      <w:pPr>
        <w:pStyle w:val="OrderSigInfo"/>
        <w:keepNext/>
        <w:keepLines/>
      </w:pPr>
    </w:p>
    <w:p w:rsidR="00F5208B" w:rsidRDefault="00F5208B" w:rsidP="00F5208B">
      <w:pPr>
        <w:pStyle w:val="OrderSigInfo"/>
        <w:keepNext/>
        <w:keepLines/>
      </w:pPr>
      <w:r>
        <w:t>Copies furnished: A copy of this document is provided to the parties of record at the time of issuance and, if applicable, interested persons.</w:t>
      </w:r>
    </w:p>
    <w:p w:rsidR="00F5208B" w:rsidRDefault="00F5208B" w:rsidP="00F5208B">
      <w:pPr>
        <w:pStyle w:val="OrderBody"/>
        <w:keepNext/>
        <w:keepLines/>
      </w:pPr>
    </w:p>
    <w:p w:rsidR="00F5208B" w:rsidRDefault="00F5208B" w:rsidP="00F5208B">
      <w:pPr>
        <w:pStyle w:val="ListParagraph"/>
        <w:keepNext/>
        <w:keepLines/>
        <w:ind w:left="0"/>
        <w:jc w:val="both"/>
        <w:rPr>
          <w:rFonts w:ascii="Times New Roman" w:hAnsi="Times New Roman"/>
          <w:iCs/>
          <w:color w:val="212121"/>
        </w:rPr>
      </w:pPr>
    </w:p>
    <w:p w:rsidR="00F5208B" w:rsidRDefault="00F5208B" w:rsidP="00F5208B">
      <w:pPr>
        <w:pStyle w:val="ListParagraph"/>
        <w:keepNext/>
        <w:keepLines/>
        <w:ind w:left="0"/>
        <w:jc w:val="both"/>
        <w:rPr>
          <w:rFonts w:ascii="Times New Roman" w:hAnsi="Times New Roman"/>
          <w:iCs/>
          <w:color w:val="212121"/>
        </w:rPr>
      </w:pPr>
      <w:r>
        <w:rPr>
          <w:rFonts w:ascii="Times New Roman" w:hAnsi="Times New Roman"/>
          <w:iCs/>
          <w:color w:val="212121"/>
        </w:rPr>
        <w:t>W</w:t>
      </w:r>
      <w:r w:rsidR="00836009">
        <w:rPr>
          <w:rFonts w:ascii="Times New Roman" w:hAnsi="Times New Roman"/>
          <w:iCs/>
          <w:color w:val="212121"/>
        </w:rPr>
        <w:t>L</w:t>
      </w:r>
      <w:r>
        <w:rPr>
          <w:rFonts w:ascii="Times New Roman" w:hAnsi="Times New Roman"/>
          <w:iCs/>
          <w:color w:val="212121"/>
        </w:rPr>
        <w:t>T</w:t>
      </w:r>
    </w:p>
    <w:p w:rsidR="00F5208B" w:rsidRDefault="00F5208B" w:rsidP="00F5208B">
      <w:pPr>
        <w:pStyle w:val="ListParagraph"/>
        <w:ind w:left="0"/>
        <w:jc w:val="both"/>
        <w:rPr>
          <w:rFonts w:ascii="Times New Roman" w:hAnsi="Times New Roman"/>
          <w:iCs/>
          <w:color w:val="212121"/>
        </w:rPr>
      </w:pPr>
    </w:p>
    <w:p w:rsidR="002254A3" w:rsidRDefault="002254A3" w:rsidP="00F5208B">
      <w:pPr>
        <w:pStyle w:val="ListParagraph"/>
        <w:ind w:left="0"/>
        <w:jc w:val="both"/>
        <w:rPr>
          <w:rFonts w:ascii="Times New Roman" w:hAnsi="Times New Roman"/>
          <w:iCs/>
          <w:color w:val="212121"/>
        </w:rPr>
      </w:pPr>
    </w:p>
    <w:p w:rsidR="00DB4F87" w:rsidRDefault="00DB4F87" w:rsidP="00836009">
      <w:pPr>
        <w:pStyle w:val="ListParagraph"/>
        <w:ind w:left="0"/>
        <w:jc w:val="center"/>
        <w:rPr>
          <w:rFonts w:ascii="Times New Roman" w:eastAsia="Times New Roman" w:hAnsi="Times New Roman"/>
          <w:u w:val="single"/>
        </w:rPr>
      </w:pPr>
      <w:r>
        <w:rPr>
          <w:rFonts w:ascii="Times New Roman" w:eastAsia="Times New Roman" w:hAnsi="Times New Roman"/>
          <w:u w:val="single"/>
        </w:rPr>
        <w:t>NOTICE OF FURTHER PROCEEDINGS OR JUDICIAL REVIEW</w:t>
      </w:r>
    </w:p>
    <w:p w:rsidR="00DB4F87" w:rsidRDefault="00DB4F87" w:rsidP="00F5208B">
      <w:pPr>
        <w:pStyle w:val="ListParagraph"/>
        <w:ind w:left="0"/>
        <w:jc w:val="both"/>
        <w:rPr>
          <w:rFonts w:ascii="Times New Roman" w:hAnsi="Times New Roman"/>
          <w:iCs/>
          <w:color w:val="212121"/>
        </w:rPr>
      </w:pPr>
    </w:p>
    <w:p w:rsidR="00DB4F87" w:rsidRDefault="00DB4F87" w:rsidP="00DB4F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4F87" w:rsidRDefault="00DB4F87" w:rsidP="00DB4F87">
      <w:pPr>
        <w:pStyle w:val="OrderBody"/>
      </w:pPr>
    </w:p>
    <w:p w:rsidR="00DB4F87" w:rsidRDefault="00DB4F87" w:rsidP="00DB4F87">
      <w:pPr>
        <w:pStyle w:val="OrderBody"/>
      </w:pPr>
      <w:r>
        <w:tab/>
        <w:t>Mediation may be available on a case-by-case basis. If mediation is conducted, it does not affect a substantially interested person's right to a hearing.</w:t>
      </w:r>
    </w:p>
    <w:p w:rsidR="00DB4F87" w:rsidRDefault="00DB4F87" w:rsidP="00DB4F87">
      <w:pPr>
        <w:pStyle w:val="OrderBody"/>
      </w:pPr>
    </w:p>
    <w:p w:rsidR="005F2751" w:rsidRDefault="00DB4F87" w:rsidP="00DB4F8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w:t>
      </w:r>
      <w:r w:rsidR="00F166AB">
        <w:t xml:space="preserve">, Florida Administrative Code. </w:t>
      </w:r>
      <w:r>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420" w:rsidRDefault="003D6420">
      <w:r>
        <w:separator/>
      </w:r>
    </w:p>
  </w:endnote>
  <w:endnote w:type="continuationSeparator" w:id="0">
    <w:p w:rsidR="003D6420" w:rsidRDefault="003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420" w:rsidRDefault="003D6420">
      <w:r>
        <w:separator/>
      </w:r>
    </w:p>
  </w:footnote>
  <w:footnote w:type="continuationSeparator" w:id="0">
    <w:p w:rsidR="003D6420" w:rsidRDefault="003D6420">
      <w:r>
        <w:continuationSeparator/>
      </w:r>
    </w:p>
  </w:footnote>
  <w:footnote w:id="1">
    <w:p w:rsidR="00622149" w:rsidRDefault="00622149" w:rsidP="00622149">
      <w:pPr>
        <w:pStyle w:val="FootnoteText"/>
      </w:pPr>
      <w:r>
        <w:rPr>
          <w:rStyle w:val="FootnoteReference"/>
        </w:rPr>
        <w:footnoteRef/>
      </w:r>
      <w:r>
        <w:t xml:space="preserve"> Under </w:t>
      </w:r>
      <w:r w:rsidRPr="00030697">
        <w:rPr>
          <w:i/>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sidRPr="00030697">
        <w:rPr>
          <w:i/>
        </w:rPr>
        <w:t>International Jai-Alai Players Assn. v. Florida Pari-Mutuel Commission</w:t>
      </w:r>
      <w:r>
        <w:t xml:space="preserve">, 561 So. 2d 1224, 1225-26 (Fla. 3d DCA 1990). </w:t>
      </w:r>
      <w:r w:rsidRPr="00030697">
        <w:rPr>
          <w:i/>
        </w:rPr>
        <w:t>See also</w:t>
      </w:r>
      <w:r w:rsidRPr="00030697">
        <w:t xml:space="preserve"> </w:t>
      </w:r>
      <w:r w:rsidRPr="00030697">
        <w:rPr>
          <w:i/>
        </w:rPr>
        <w:t>Village Park Mobile Home Assn., Inc. v. State Dept. of Business Regulation</w:t>
      </w:r>
      <w:r>
        <w:t xml:space="preserve">, 506 So. 2d 426, 434 (Fla. 1st DCA 1987), </w:t>
      </w:r>
      <w:r w:rsidRPr="00030697">
        <w:rPr>
          <w:i/>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4 ">
      <w:r w:rsidR="00357EB7">
        <w:t>PSC-2022-0214-PCO-EI</w:t>
      </w:r>
    </w:fldSimple>
  </w:p>
  <w:p w:rsidR="00FA6EFD" w:rsidRDefault="00C52192">
    <w:pPr>
      <w:pStyle w:val="OrderHeader"/>
    </w:pPr>
    <w:bookmarkStart w:id="9" w:name="HeaderDocketNo"/>
    <w:bookmarkEnd w:id="9"/>
    <w:r>
      <w:t>DOCKET NO.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7EB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C5219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6EEA"/>
    <w:rsid w:val="00067685"/>
    <w:rsid w:val="00067B07"/>
    <w:rsid w:val="000730D7"/>
    <w:rsid w:val="00076E6B"/>
    <w:rsid w:val="00081AE4"/>
    <w:rsid w:val="0008247D"/>
    <w:rsid w:val="00090AFC"/>
    <w:rsid w:val="00096507"/>
    <w:rsid w:val="000A6B47"/>
    <w:rsid w:val="000A774F"/>
    <w:rsid w:val="000B783E"/>
    <w:rsid w:val="000B7D81"/>
    <w:rsid w:val="000C1994"/>
    <w:rsid w:val="000C66E5"/>
    <w:rsid w:val="000C6926"/>
    <w:rsid w:val="000D02B8"/>
    <w:rsid w:val="000D06E8"/>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895"/>
    <w:rsid w:val="001052BA"/>
    <w:rsid w:val="00105592"/>
    <w:rsid w:val="001107B3"/>
    <w:rsid w:val="001114B1"/>
    <w:rsid w:val="001139D8"/>
    <w:rsid w:val="00114036"/>
    <w:rsid w:val="00116AD3"/>
    <w:rsid w:val="00121957"/>
    <w:rsid w:val="0012387E"/>
    <w:rsid w:val="001259EC"/>
    <w:rsid w:val="00126593"/>
    <w:rsid w:val="00134177"/>
    <w:rsid w:val="00136087"/>
    <w:rsid w:val="00142A96"/>
    <w:rsid w:val="001513DE"/>
    <w:rsid w:val="001521A5"/>
    <w:rsid w:val="00154A71"/>
    <w:rsid w:val="001575EF"/>
    <w:rsid w:val="00157868"/>
    <w:rsid w:val="001655D4"/>
    <w:rsid w:val="00165803"/>
    <w:rsid w:val="00187E32"/>
    <w:rsid w:val="00194A97"/>
    <w:rsid w:val="00194E81"/>
    <w:rsid w:val="00195DFB"/>
    <w:rsid w:val="001A15E7"/>
    <w:rsid w:val="001A33C9"/>
    <w:rsid w:val="001A3CDB"/>
    <w:rsid w:val="001A4CEC"/>
    <w:rsid w:val="001A58F3"/>
    <w:rsid w:val="001B034E"/>
    <w:rsid w:val="001B2EB5"/>
    <w:rsid w:val="001B51EF"/>
    <w:rsid w:val="001B6F52"/>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54A3"/>
    <w:rsid w:val="0022721A"/>
    <w:rsid w:val="00230BB9"/>
    <w:rsid w:val="00235D64"/>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5834"/>
    <w:rsid w:val="002F7BF6"/>
    <w:rsid w:val="00303FDE"/>
    <w:rsid w:val="00313C5B"/>
    <w:rsid w:val="003140E8"/>
    <w:rsid w:val="003175EB"/>
    <w:rsid w:val="003231C7"/>
    <w:rsid w:val="00323839"/>
    <w:rsid w:val="003270C4"/>
    <w:rsid w:val="00331ED0"/>
    <w:rsid w:val="00332B0A"/>
    <w:rsid w:val="00333A41"/>
    <w:rsid w:val="00345434"/>
    <w:rsid w:val="0035495B"/>
    <w:rsid w:val="00355A93"/>
    <w:rsid w:val="00357EB7"/>
    <w:rsid w:val="00361522"/>
    <w:rsid w:val="0037196E"/>
    <w:rsid w:val="00371D4C"/>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D6420"/>
    <w:rsid w:val="003E1D48"/>
    <w:rsid w:val="003E711F"/>
    <w:rsid w:val="003F1D2B"/>
    <w:rsid w:val="003F49A6"/>
    <w:rsid w:val="003F518F"/>
    <w:rsid w:val="003F7445"/>
    <w:rsid w:val="00400594"/>
    <w:rsid w:val="00411DF2"/>
    <w:rsid w:val="00411E8F"/>
    <w:rsid w:val="0041369A"/>
    <w:rsid w:val="004247F5"/>
    <w:rsid w:val="0042527B"/>
    <w:rsid w:val="00425913"/>
    <w:rsid w:val="00427EAC"/>
    <w:rsid w:val="004431B4"/>
    <w:rsid w:val="0045537F"/>
    <w:rsid w:val="00457DC7"/>
    <w:rsid w:val="004640B3"/>
    <w:rsid w:val="00472BCC"/>
    <w:rsid w:val="004740A4"/>
    <w:rsid w:val="00477699"/>
    <w:rsid w:val="004A25CD"/>
    <w:rsid w:val="004A26CC"/>
    <w:rsid w:val="004B2108"/>
    <w:rsid w:val="004B3A2B"/>
    <w:rsid w:val="004B4FC6"/>
    <w:rsid w:val="004B70D3"/>
    <w:rsid w:val="004C312D"/>
    <w:rsid w:val="004C46B4"/>
    <w:rsid w:val="004D2D1B"/>
    <w:rsid w:val="004D5067"/>
    <w:rsid w:val="004D6838"/>
    <w:rsid w:val="004D72BC"/>
    <w:rsid w:val="004E2BD0"/>
    <w:rsid w:val="004E469D"/>
    <w:rsid w:val="004E7ACC"/>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35E2"/>
    <w:rsid w:val="0055595D"/>
    <w:rsid w:val="00556A10"/>
    <w:rsid w:val="00557F50"/>
    <w:rsid w:val="00565648"/>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2462"/>
    <w:rsid w:val="00610221"/>
    <w:rsid w:val="00610E73"/>
    <w:rsid w:val="00615F9B"/>
    <w:rsid w:val="00616DF2"/>
    <w:rsid w:val="00622149"/>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061A"/>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50FE"/>
    <w:rsid w:val="007072BC"/>
    <w:rsid w:val="00715275"/>
    <w:rsid w:val="00721B44"/>
    <w:rsid w:val="007232A2"/>
    <w:rsid w:val="00726366"/>
    <w:rsid w:val="007314AA"/>
    <w:rsid w:val="00731AB6"/>
    <w:rsid w:val="007337BF"/>
    <w:rsid w:val="00733B6B"/>
    <w:rsid w:val="00740808"/>
    <w:rsid w:val="007467C4"/>
    <w:rsid w:val="0076170F"/>
    <w:rsid w:val="0076669C"/>
    <w:rsid w:val="00766E46"/>
    <w:rsid w:val="00772099"/>
    <w:rsid w:val="00772CCB"/>
    <w:rsid w:val="00777727"/>
    <w:rsid w:val="0078166A"/>
    <w:rsid w:val="00782B79"/>
    <w:rsid w:val="00783811"/>
    <w:rsid w:val="007865E9"/>
    <w:rsid w:val="0079237D"/>
    <w:rsid w:val="00792383"/>
    <w:rsid w:val="00794D5A"/>
    <w:rsid w:val="00794DD9"/>
    <w:rsid w:val="007A060F"/>
    <w:rsid w:val="007B1C5E"/>
    <w:rsid w:val="007B28CA"/>
    <w:rsid w:val="007B350E"/>
    <w:rsid w:val="007C0FBC"/>
    <w:rsid w:val="007C29C9"/>
    <w:rsid w:val="007C35B8"/>
    <w:rsid w:val="007C36E3"/>
    <w:rsid w:val="007C3ABB"/>
    <w:rsid w:val="007C7134"/>
    <w:rsid w:val="007C7ECF"/>
    <w:rsid w:val="007D3D20"/>
    <w:rsid w:val="007D44F9"/>
    <w:rsid w:val="007D742E"/>
    <w:rsid w:val="007E1990"/>
    <w:rsid w:val="007E3AFD"/>
    <w:rsid w:val="00801DAD"/>
    <w:rsid w:val="008024FA"/>
    <w:rsid w:val="00803189"/>
    <w:rsid w:val="00804E7A"/>
    <w:rsid w:val="00805FBB"/>
    <w:rsid w:val="00814292"/>
    <w:rsid w:val="008169A4"/>
    <w:rsid w:val="008278FE"/>
    <w:rsid w:val="00832598"/>
    <w:rsid w:val="0083397E"/>
    <w:rsid w:val="0083534B"/>
    <w:rsid w:val="00836009"/>
    <w:rsid w:val="00842035"/>
    <w:rsid w:val="00842602"/>
    <w:rsid w:val="008449F0"/>
    <w:rsid w:val="00846F11"/>
    <w:rsid w:val="00847B45"/>
    <w:rsid w:val="00863A66"/>
    <w:rsid w:val="00864087"/>
    <w:rsid w:val="008703D7"/>
    <w:rsid w:val="00874429"/>
    <w:rsid w:val="00875D22"/>
    <w:rsid w:val="00883D9A"/>
    <w:rsid w:val="008919EF"/>
    <w:rsid w:val="00892B20"/>
    <w:rsid w:val="008931BC"/>
    <w:rsid w:val="0089695B"/>
    <w:rsid w:val="00897740"/>
    <w:rsid w:val="008A12EC"/>
    <w:rsid w:val="008A6D6A"/>
    <w:rsid w:val="008B14BE"/>
    <w:rsid w:val="008B19A6"/>
    <w:rsid w:val="008B4EFB"/>
    <w:rsid w:val="008B5E16"/>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3630"/>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4C12"/>
    <w:rsid w:val="00A86A50"/>
    <w:rsid w:val="00A9178A"/>
    <w:rsid w:val="00A9515B"/>
    <w:rsid w:val="00A97535"/>
    <w:rsid w:val="00AA2BAA"/>
    <w:rsid w:val="00AA4623"/>
    <w:rsid w:val="00AA6516"/>
    <w:rsid w:val="00AA73F1"/>
    <w:rsid w:val="00AB0E1A"/>
    <w:rsid w:val="00AB1A30"/>
    <w:rsid w:val="00AB3C36"/>
    <w:rsid w:val="00AB3D30"/>
    <w:rsid w:val="00AC4B09"/>
    <w:rsid w:val="00AC5A01"/>
    <w:rsid w:val="00AD10EB"/>
    <w:rsid w:val="00AD1ED3"/>
    <w:rsid w:val="00AD3717"/>
    <w:rsid w:val="00AF07B7"/>
    <w:rsid w:val="00B019C1"/>
    <w:rsid w:val="00B01E6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8A"/>
    <w:rsid w:val="00B761CD"/>
    <w:rsid w:val="00B76B66"/>
    <w:rsid w:val="00B86EF0"/>
    <w:rsid w:val="00B96969"/>
    <w:rsid w:val="00B97900"/>
    <w:rsid w:val="00BA1229"/>
    <w:rsid w:val="00BA14EF"/>
    <w:rsid w:val="00BA44A8"/>
    <w:rsid w:val="00BA49C5"/>
    <w:rsid w:val="00BB0182"/>
    <w:rsid w:val="00BC5CDB"/>
    <w:rsid w:val="00BC786E"/>
    <w:rsid w:val="00BD274B"/>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192"/>
    <w:rsid w:val="00C523EC"/>
    <w:rsid w:val="00C55A33"/>
    <w:rsid w:val="00C63FDA"/>
    <w:rsid w:val="00C65A71"/>
    <w:rsid w:val="00C66692"/>
    <w:rsid w:val="00C673B5"/>
    <w:rsid w:val="00C7063D"/>
    <w:rsid w:val="00C72339"/>
    <w:rsid w:val="00C830BC"/>
    <w:rsid w:val="00C8524D"/>
    <w:rsid w:val="00C90904"/>
    <w:rsid w:val="00C91123"/>
    <w:rsid w:val="00C9491B"/>
    <w:rsid w:val="00CA71FF"/>
    <w:rsid w:val="00CB5276"/>
    <w:rsid w:val="00CB5BE2"/>
    <w:rsid w:val="00CB5BFC"/>
    <w:rsid w:val="00CB68D7"/>
    <w:rsid w:val="00CB785B"/>
    <w:rsid w:val="00CC7E68"/>
    <w:rsid w:val="00CD3D74"/>
    <w:rsid w:val="00CD7132"/>
    <w:rsid w:val="00CE0E6F"/>
    <w:rsid w:val="00CE3B21"/>
    <w:rsid w:val="00CE5028"/>
    <w:rsid w:val="00CE56FC"/>
    <w:rsid w:val="00CE7A4D"/>
    <w:rsid w:val="00CF32D2"/>
    <w:rsid w:val="00CF4CFE"/>
    <w:rsid w:val="00D00E8E"/>
    <w:rsid w:val="00D02E0F"/>
    <w:rsid w:val="00D03EE8"/>
    <w:rsid w:val="00D13535"/>
    <w:rsid w:val="00D15497"/>
    <w:rsid w:val="00D17B79"/>
    <w:rsid w:val="00D205F5"/>
    <w:rsid w:val="00D21AAD"/>
    <w:rsid w:val="00D23FEA"/>
    <w:rsid w:val="00D269CA"/>
    <w:rsid w:val="00D30B48"/>
    <w:rsid w:val="00D3168A"/>
    <w:rsid w:val="00D340F9"/>
    <w:rsid w:val="00D35896"/>
    <w:rsid w:val="00D46FAA"/>
    <w:rsid w:val="00D47A40"/>
    <w:rsid w:val="00D51D33"/>
    <w:rsid w:val="00D57BB2"/>
    <w:rsid w:val="00D57E57"/>
    <w:rsid w:val="00D70752"/>
    <w:rsid w:val="00D80E2D"/>
    <w:rsid w:val="00D84D5E"/>
    <w:rsid w:val="00D8560E"/>
    <w:rsid w:val="00D8758F"/>
    <w:rsid w:val="00DA4EDD"/>
    <w:rsid w:val="00DA6B78"/>
    <w:rsid w:val="00DB122B"/>
    <w:rsid w:val="00DB4F87"/>
    <w:rsid w:val="00DC1D94"/>
    <w:rsid w:val="00DC42CF"/>
    <w:rsid w:val="00DD382A"/>
    <w:rsid w:val="00DE057F"/>
    <w:rsid w:val="00DE2082"/>
    <w:rsid w:val="00DE2289"/>
    <w:rsid w:val="00DF09A7"/>
    <w:rsid w:val="00DF2B51"/>
    <w:rsid w:val="00E001D6"/>
    <w:rsid w:val="00E03A76"/>
    <w:rsid w:val="00E04410"/>
    <w:rsid w:val="00E07484"/>
    <w:rsid w:val="00E11351"/>
    <w:rsid w:val="00E325C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1D8A"/>
    <w:rsid w:val="00EF4621"/>
    <w:rsid w:val="00EF4D52"/>
    <w:rsid w:val="00EF6312"/>
    <w:rsid w:val="00F038B0"/>
    <w:rsid w:val="00F05F34"/>
    <w:rsid w:val="00F166AB"/>
    <w:rsid w:val="00F22B27"/>
    <w:rsid w:val="00F234A7"/>
    <w:rsid w:val="00F277B6"/>
    <w:rsid w:val="00F27DA5"/>
    <w:rsid w:val="00F37E07"/>
    <w:rsid w:val="00F4182A"/>
    <w:rsid w:val="00F5208B"/>
    <w:rsid w:val="00F54380"/>
    <w:rsid w:val="00F54B47"/>
    <w:rsid w:val="00F61247"/>
    <w:rsid w:val="00F61F61"/>
    <w:rsid w:val="00F63191"/>
    <w:rsid w:val="00F6702E"/>
    <w:rsid w:val="00F70E84"/>
    <w:rsid w:val="00F75BF8"/>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5208B"/>
    <w:pPr>
      <w:ind w:left="720"/>
      <w:contextualSpacing/>
    </w:pPr>
    <w:rPr>
      <w:rFonts w:ascii="Calibri" w:eastAsia="Calibri" w:hAnsi="Calibri"/>
    </w:rPr>
  </w:style>
  <w:style w:type="character" w:styleId="Hyperlink">
    <w:name w:val="Hyperlink"/>
    <w:basedOn w:val="DefaultParagraphFont"/>
    <w:unhideWhenUsed/>
    <w:rsid w:val="0069061A"/>
    <w:rPr>
      <w:color w:val="0000FF" w:themeColor="hyperlink"/>
      <w:u w:val="single"/>
    </w:rPr>
  </w:style>
  <w:style w:type="character" w:customStyle="1" w:styleId="FootnoteTextChar">
    <w:name w:val="Footnote Text Char"/>
    <w:basedOn w:val="DefaultParagraphFont"/>
    <w:link w:val="FootnoteText"/>
    <w:rsid w:val="00622149"/>
  </w:style>
  <w:style w:type="paragraph" w:styleId="BalloonText">
    <w:name w:val="Balloon Text"/>
    <w:basedOn w:val="Normal"/>
    <w:link w:val="BalloonTextChar"/>
    <w:semiHidden/>
    <w:unhideWhenUsed/>
    <w:rsid w:val="00772099"/>
    <w:rPr>
      <w:rFonts w:ascii="Segoe UI" w:hAnsi="Segoe UI" w:cs="Segoe UI"/>
      <w:sz w:val="18"/>
      <w:szCs w:val="18"/>
    </w:rPr>
  </w:style>
  <w:style w:type="character" w:customStyle="1" w:styleId="BalloonTextChar">
    <w:name w:val="Balloon Text Char"/>
    <w:basedOn w:val="DefaultParagraphFont"/>
    <w:link w:val="BalloonText"/>
    <w:semiHidden/>
    <w:rsid w:val="00772099"/>
    <w:rPr>
      <w:rFonts w:ascii="Segoe UI" w:hAnsi="Segoe UI" w:cs="Segoe UI"/>
      <w:sz w:val="18"/>
      <w:szCs w:val="18"/>
    </w:rPr>
  </w:style>
  <w:style w:type="character" w:styleId="FollowedHyperlink">
    <w:name w:val="FollowedHyperlink"/>
    <w:basedOn w:val="DefaultParagraphFont"/>
    <w:semiHidden/>
    <w:unhideWhenUsed/>
    <w:rsid w:val="00E325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35876206">
      <w:bodyDiv w:val="1"/>
      <w:marLeft w:val="0"/>
      <w:marRight w:val="0"/>
      <w:marTop w:val="0"/>
      <w:marBottom w:val="0"/>
      <w:divBdr>
        <w:top w:val="none" w:sz="0" w:space="0" w:color="auto"/>
        <w:left w:val="none" w:sz="0" w:space="0" w:color="auto"/>
        <w:bottom w:val="none" w:sz="0" w:space="0" w:color="auto"/>
        <w:right w:val="none" w:sz="0" w:space="0" w:color="auto"/>
      </w:divBdr>
    </w:div>
    <w:div w:id="1086416655">
      <w:bodyDiv w:val="1"/>
      <w:marLeft w:val="0"/>
      <w:marRight w:val="0"/>
      <w:marTop w:val="0"/>
      <w:marBottom w:val="0"/>
      <w:divBdr>
        <w:top w:val="none" w:sz="0" w:space="0" w:color="auto"/>
        <w:left w:val="none" w:sz="0" w:space="0" w:color="auto"/>
        <w:bottom w:val="none" w:sz="0" w:space="0" w:color="auto"/>
        <w:right w:val="none" w:sz="0" w:space="0" w:color="auto"/>
      </w:divBdr>
    </w:div>
    <w:div w:id="14874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rge@cavros-law.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5</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2022-06-17T13:32:00Z</dcterms:created>
  <dcterms:modified xsi:type="dcterms:W3CDTF">2022-06-17T13:44:00Z</dcterms:modified>
</cp:coreProperties>
</file>