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C125E" w:rsidP="006C125E">
      <w:pPr>
        <w:pStyle w:val="OrderHeading"/>
      </w:pPr>
      <w:r>
        <w:t>BEFORE THE FLORIDA PUBLIC SERVICE COMMISSION</w:t>
      </w:r>
    </w:p>
    <w:p w:rsidR="006C125E" w:rsidRDefault="006C125E" w:rsidP="006C125E">
      <w:pPr>
        <w:pStyle w:val="OrderBody"/>
      </w:pPr>
    </w:p>
    <w:p w:rsidR="006C125E" w:rsidRDefault="006C125E" w:rsidP="006C125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C125E" w:rsidRPr="00C63FCF" w:rsidTr="00C63FCF">
        <w:trPr>
          <w:trHeight w:val="828"/>
        </w:trPr>
        <w:tc>
          <w:tcPr>
            <w:tcW w:w="4788" w:type="dxa"/>
            <w:tcBorders>
              <w:bottom w:val="nil"/>
              <w:right w:val="double" w:sz="6" w:space="0" w:color="auto"/>
            </w:tcBorders>
            <w:shd w:val="clear" w:color="auto" w:fill="auto"/>
          </w:tcPr>
          <w:p w:rsidR="006C125E" w:rsidRDefault="006C125E" w:rsidP="00C63FCF">
            <w:pPr>
              <w:pStyle w:val="OrderBody"/>
              <w:tabs>
                <w:tab w:val="center" w:pos="4320"/>
                <w:tab w:val="right" w:pos="8640"/>
              </w:tabs>
              <w:jc w:val="left"/>
            </w:pPr>
            <w:r>
              <w:t xml:space="preserve">In re: </w:t>
            </w:r>
            <w:bookmarkStart w:id="0" w:name="SMInRe"/>
            <w:bookmarkEnd w:id="0"/>
            <w:r>
              <w:t>Commission review of numeric conservation goals (Florida Power &amp; Light Company).</w:t>
            </w:r>
          </w:p>
          <w:p w:rsidR="006C125E" w:rsidRDefault="006C125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C125E" w:rsidRDefault="006C125E" w:rsidP="00C63FCF">
            <w:pPr>
              <w:pStyle w:val="OrderBody"/>
              <w:tabs>
                <w:tab w:val="center" w:pos="4320"/>
                <w:tab w:val="right" w:pos="8640"/>
              </w:tabs>
              <w:jc w:val="left"/>
            </w:pPr>
            <w:r>
              <w:t xml:space="preserve">DOCKET NO. </w:t>
            </w:r>
            <w:bookmarkStart w:id="1" w:name="SMDocketNo"/>
            <w:bookmarkEnd w:id="1"/>
            <w:r>
              <w:t>20240012-EG</w:t>
            </w:r>
          </w:p>
        </w:tc>
      </w:tr>
      <w:tr w:rsidR="006C125E" w:rsidRPr="00C63FCF" w:rsidTr="00C63FCF">
        <w:trPr>
          <w:trHeight w:val="828"/>
        </w:trPr>
        <w:tc>
          <w:tcPr>
            <w:tcW w:w="4788" w:type="dxa"/>
            <w:tcBorders>
              <w:bottom w:val="nil"/>
              <w:right w:val="double" w:sz="6" w:space="0" w:color="auto"/>
            </w:tcBorders>
            <w:shd w:val="clear" w:color="auto" w:fill="auto"/>
          </w:tcPr>
          <w:p w:rsidR="006C125E" w:rsidRDefault="006C125E" w:rsidP="00C63FCF">
            <w:pPr>
              <w:pStyle w:val="OrderBody"/>
              <w:tabs>
                <w:tab w:val="center" w:pos="4320"/>
                <w:tab w:val="right" w:pos="8640"/>
              </w:tabs>
              <w:jc w:val="left"/>
            </w:pPr>
            <w:r>
              <w:t>In re: Commission review of numeric conservation goals (Duke Energy Florida, LLC).</w:t>
            </w:r>
          </w:p>
          <w:p w:rsidR="006C125E" w:rsidRDefault="006C125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C125E" w:rsidRDefault="006C125E" w:rsidP="00C63FCF">
            <w:pPr>
              <w:pStyle w:val="OrderBody"/>
              <w:tabs>
                <w:tab w:val="center" w:pos="4320"/>
                <w:tab w:val="right" w:pos="8640"/>
              </w:tabs>
              <w:jc w:val="left"/>
            </w:pPr>
            <w:r>
              <w:t>DOCKET NO. 20240013-EG</w:t>
            </w:r>
          </w:p>
          <w:p w:rsidR="006C125E" w:rsidRDefault="006C125E" w:rsidP="00C63FCF">
            <w:pPr>
              <w:pStyle w:val="OrderBody"/>
              <w:tabs>
                <w:tab w:val="center" w:pos="4320"/>
                <w:tab w:val="right" w:pos="8640"/>
              </w:tabs>
              <w:jc w:val="left"/>
            </w:pPr>
          </w:p>
        </w:tc>
      </w:tr>
      <w:tr w:rsidR="006C125E" w:rsidRPr="00C63FCF" w:rsidTr="00C63FCF">
        <w:trPr>
          <w:trHeight w:val="828"/>
        </w:trPr>
        <w:tc>
          <w:tcPr>
            <w:tcW w:w="4788" w:type="dxa"/>
            <w:tcBorders>
              <w:bottom w:val="nil"/>
              <w:right w:val="double" w:sz="6" w:space="0" w:color="auto"/>
            </w:tcBorders>
            <w:shd w:val="clear" w:color="auto" w:fill="auto"/>
          </w:tcPr>
          <w:p w:rsidR="006C125E" w:rsidRDefault="006C125E" w:rsidP="00C63FCF">
            <w:pPr>
              <w:pStyle w:val="OrderBody"/>
              <w:tabs>
                <w:tab w:val="center" w:pos="4320"/>
                <w:tab w:val="right" w:pos="8640"/>
              </w:tabs>
              <w:jc w:val="left"/>
            </w:pPr>
            <w:r>
              <w:t>In re: Commission review of numeric conservation goals (Tampa Electric Company).</w:t>
            </w:r>
          </w:p>
          <w:p w:rsidR="006C125E" w:rsidRDefault="006C125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C125E" w:rsidRDefault="006C125E" w:rsidP="00C63FCF">
            <w:pPr>
              <w:pStyle w:val="OrderBody"/>
              <w:tabs>
                <w:tab w:val="center" w:pos="4320"/>
                <w:tab w:val="right" w:pos="8640"/>
              </w:tabs>
              <w:jc w:val="left"/>
            </w:pPr>
            <w:r>
              <w:t>DOCKET NO. 20240014-EG</w:t>
            </w:r>
          </w:p>
          <w:p w:rsidR="006C125E" w:rsidRDefault="006C125E" w:rsidP="00C63FCF">
            <w:pPr>
              <w:pStyle w:val="OrderBody"/>
              <w:tabs>
                <w:tab w:val="center" w:pos="4320"/>
                <w:tab w:val="right" w:pos="8640"/>
              </w:tabs>
              <w:jc w:val="left"/>
            </w:pPr>
          </w:p>
        </w:tc>
      </w:tr>
      <w:tr w:rsidR="006C125E" w:rsidRPr="00C63FCF" w:rsidTr="00C63FCF">
        <w:trPr>
          <w:trHeight w:val="828"/>
        </w:trPr>
        <w:tc>
          <w:tcPr>
            <w:tcW w:w="4788" w:type="dxa"/>
            <w:tcBorders>
              <w:bottom w:val="nil"/>
              <w:right w:val="double" w:sz="6" w:space="0" w:color="auto"/>
            </w:tcBorders>
            <w:shd w:val="clear" w:color="auto" w:fill="auto"/>
          </w:tcPr>
          <w:p w:rsidR="006C125E" w:rsidRDefault="006C125E" w:rsidP="00C63FCF">
            <w:pPr>
              <w:pStyle w:val="OrderBody"/>
              <w:tabs>
                <w:tab w:val="center" w:pos="4320"/>
                <w:tab w:val="right" w:pos="8640"/>
              </w:tabs>
              <w:jc w:val="left"/>
            </w:pPr>
            <w:r>
              <w:t>In re: Commission review of numeric conservation goals (JEA).</w:t>
            </w:r>
          </w:p>
          <w:p w:rsidR="006C125E" w:rsidRDefault="006C125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C125E" w:rsidRDefault="006C125E" w:rsidP="00C63FCF">
            <w:pPr>
              <w:pStyle w:val="OrderBody"/>
              <w:tabs>
                <w:tab w:val="center" w:pos="4320"/>
                <w:tab w:val="right" w:pos="8640"/>
              </w:tabs>
              <w:jc w:val="left"/>
            </w:pPr>
            <w:r>
              <w:t>DOCKET NO. 20240016-EG</w:t>
            </w:r>
          </w:p>
          <w:p w:rsidR="006C125E" w:rsidRDefault="006C125E" w:rsidP="00C63FCF">
            <w:pPr>
              <w:pStyle w:val="OrderBody"/>
              <w:tabs>
                <w:tab w:val="center" w:pos="4320"/>
                <w:tab w:val="right" w:pos="8640"/>
              </w:tabs>
              <w:jc w:val="left"/>
            </w:pPr>
          </w:p>
        </w:tc>
      </w:tr>
      <w:tr w:rsidR="006C125E" w:rsidRPr="00C63FCF" w:rsidTr="00C63FCF">
        <w:trPr>
          <w:trHeight w:val="828"/>
        </w:trPr>
        <w:tc>
          <w:tcPr>
            <w:tcW w:w="4788" w:type="dxa"/>
            <w:tcBorders>
              <w:top w:val="nil"/>
              <w:bottom w:val="single" w:sz="8" w:space="0" w:color="auto"/>
              <w:right w:val="double" w:sz="6" w:space="0" w:color="auto"/>
            </w:tcBorders>
            <w:shd w:val="clear" w:color="auto" w:fill="auto"/>
          </w:tcPr>
          <w:p w:rsidR="006C125E" w:rsidRDefault="006C125E" w:rsidP="00C63FCF">
            <w:pPr>
              <w:pStyle w:val="OrderBody"/>
              <w:tabs>
                <w:tab w:val="center" w:pos="4320"/>
                <w:tab w:val="right" w:pos="8640"/>
              </w:tabs>
              <w:jc w:val="left"/>
            </w:pPr>
            <w:r>
              <w:t>In re: Commission review of numeric conservation goals (Orlando Utilities Commission).</w:t>
            </w:r>
          </w:p>
        </w:tc>
        <w:tc>
          <w:tcPr>
            <w:tcW w:w="4788" w:type="dxa"/>
            <w:tcBorders>
              <w:left w:val="double" w:sz="6" w:space="0" w:color="auto"/>
            </w:tcBorders>
            <w:shd w:val="clear" w:color="auto" w:fill="auto"/>
          </w:tcPr>
          <w:p w:rsidR="006C125E" w:rsidRDefault="006C125E" w:rsidP="006C125E">
            <w:pPr>
              <w:pStyle w:val="OrderBody"/>
            </w:pPr>
            <w:r>
              <w:t xml:space="preserve">DOCKET NO. </w:t>
            </w:r>
            <w:bookmarkStart w:id="2" w:name="SMDocketNo2"/>
            <w:bookmarkEnd w:id="2"/>
            <w:r>
              <w:t>20240017-EG</w:t>
            </w:r>
          </w:p>
          <w:p w:rsidR="006C125E" w:rsidRDefault="006C125E" w:rsidP="00C63FCF">
            <w:pPr>
              <w:pStyle w:val="OrderBody"/>
              <w:tabs>
                <w:tab w:val="center" w:pos="4320"/>
                <w:tab w:val="right" w:pos="8640"/>
              </w:tabs>
              <w:jc w:val="left"/>
            </w:pPr>
            <w:r>
              <w:t xml:space="preserve">ORDER NO. </w:t>
            </w:r>
            <w:bookmarkStart w:id="3" w:name="OrderNo0135"/>
            <w:r w:rsidR="00840F52">
              <w:t>PSC-2024-0135-PCO-EG</w:t>
            </w:r>
            <w:bookmarkEnd w:id="3"/>
          </w:p>
          <w:p w:rsidR="006C125E" w:rsidRDefault="006C125E" w:rsidP="00C63FCF">
            <w:pPr>
              <w:pStyle w:val="OrderBody"/>
              <w:tabs>
                <w:tab w:val="center" w:pos="4320"/>
                <w:tab w:val="right" w:pos="8640"/>
              </w:tabs>
              <w:jc w:val="left"/>
            </w:pPr>
            <w:r>
              <w:t xml:space="preserve">ISSUED: </w:t>
            </w:r>
            <w:r w:rsidR="00840F52">
              <w:t>April 25, 2024</w:t>
            </w:r>
          </w:p>
          <w:p w:rsidR="006C125E" w:rsidRDefault="006C125E" w:rsidP="00C63FCF">
            <w:pPr>
              <w:pStyle w:val="OrderBody"/>
              <w:tabs>
                <w:tab w:val="center" w:pos="4320"/>
                <w:tab w:val="right" w:pos="8640"/>
              </w:tabs>
              <w:jc w:val="left"/>
            </w:pPr>
          </w:p>
        </w:tc>
      </w:tr>
    </w:tbl>
    <w:p w:rsidR="006C125E" w:rsidRDefault="006C125E" w:rsidP="006C125E"/>
    <w:p w:rsidR="006C125E" w:rsidRDefault="006C125E" w:rsidP="006C125E"/>
    <w:p w:rsidR="006C125E" w:rsidRDefault="006C125E" w:rsidP="006C125E">
      <w:pPr>
        <w:pStyle w:val="CenterUnderline"/>
      </w:pPr>
      <w:bookmarkStart w:id="4" w:name="Commissioners"/>
      <w:bookmarkEnd w:id="4"/>
      <w:r>
        <w:t>ORDER</w:t>
      </w:r>
      <w:bookmarkStart w:id="5" w:name="OrderTitle"/>
      <w:r>
        <w:t xml:space="preserve"> GRANTING INTERVENTION </w:t>
      </w:r>
    </w:p>
    <w:p w:rsidR="006C125E" w:rsidRPr="00082A0B" w:rsidRDefault="006C125E" w:rsidP="006C125E">
      <w:pPr>
        <w:pStyle w:val="CenterUnderline"/>
      </w:pPr>
      <w:r w:rsidRPr="00082A0B">
        <w:t xml:space="preserve">FOR </w:t>
      </w:r>
      <w:r>
        <w:t>FLORIDA RISING, INC.</w:t>
      </w:r>
    </w:p>
    <w:p w:rsidR="006C125E" w:rsidRDefault="006C125E">
      <w:pPr>
        <w:pStyle w:val="CenterUnderline"/>
      </w:pPr>
    </w:p>
    <w:bookmarkEnd w:id="5"/>
    <w:p w:rsidR="00197340" w:rsidRPr="00C44333" w:rsidRDefault="00AA0709" w:rsidP="00197340">
      <w:pPr>
        <w:ind w:firstLine="720"/>
        <w:jc w:val="both"/>
      </w:pPr>
      <w:r w:rsidRPr="00AA0709">
        <w:t>On January 5, 2024, Docket Nos. 20240012-EG, 20240013-EG, 20240014-EG, 20240015-EG, 20240016-EG, and 20240017-EG were established to review and adopt the corresponding utility’s conservation goals pursuant to Sections 366.80-366.83 and 403.519, Florida Statutes. (F.S.), known collectively as the Florida Energy Efficiency and Conservation Act (FEECA). By the Order Consolidating Dockets and Establishing Procedure, Order No. PSC-</w:t>
      </w:r>
      <w:r w:rsidR="00B75845" w:rsidRPr="00C44333">
        <w:t>2024-</w:t>
      </w:r>
      <w:r w:rsidR="00B75845">
        <w:t>0022-PCO-EG</w:t>
      </w:r>
      <w:r w:rsidRPr="00AA0709">
        <w:t>, issued January 23, 2024, the dockets were consolidated for purposes of hearing and contr</w:t>
      </w:r>
      <w:r w:rsidR="00E643C5">
        <w:t>olling dates were established.</w:t>
      </w:r>
      <w:r w:rsidR="00197340">
        <w:t xml:space="preserve"> These</w:t>
      </w:r>
      <w:r w:rsidR="00197340" w:rsidRPr="00C44333">
        <w:t xml:space="preserve"> docket</w:t>
      </w:r>
      <w:r w:rsidR="00197340">
        <w:t>s are</w:t>
      </w:r>
      <w:r w:rsidR="00197340" w:rsidRPr="00C44333">
        <w:t xml:space="preserve"> currently scheduled for hearing on August 6-9, 2024.</w:t>
      </w:r>
    </w:p>
    <w:p w:rsidR="006C125E" w:rsidRDefault="006C125E" w:rsidP="006C125E">
      <w:pPr>
        <w:jc w:val="both"/>
      </w:pPr>
    </w:p>
    <w:p w:rsidR="006C125E" w:rsidRPr="00173CF1" w:rsidRDefault="006C125E" w:rsidP="006C125E">
      <w:pPr>
        <w:jc w:val="both"/>
        <w:rPr>
          <w:u w:val="single"/>
        </w:rPr>
      </w:pPr>
      <w:r w:rsidRPr="00173CF1">
        <w:rPr>
          <w:u w:val="single"/>
        </w:rPr>
        <w:t>Petition for Intervention</w:t>
      </w:r>
    </w:p>
    <w:p w:rsidR="006C125E" w:rsidRDefault="006C125E" w:rsidP="006C125E">
      <w:pPr>
        <w:jc w:val="both"/>
      </w:pPr>
    </w:p>
    <w:p w:rsidR="00AA0709" w:rsidRPr="00AA0709" w:rsidRDefault="00E643C5" w:rsidP="00D43BA1">
      <w:pPr>
        <w:jc w:val="both"/>
      </w:pPr>
      <w:r>
        <w:tab/>
      </w:r>
      <w:r w:rsidR="00D43BA1">
        <w:t xml:space="preserve">On March 15, 2024, </w:t>
      </w:r>
      <w:r>
        <w:t>Florida Rising, Inc. (“Florida Rising”) filed its Petition to Intervene</w:t>
      </w:r>
      <w:r w:rsidR="00B75845">
        <w:t xml:space="preserve"> in Docket </w:t>
      </w:r>
      <w:r w:rsidR="00B75845" w:rsidRPr="00C44333">
        <w:t>Nos. 20240012-EG, 20240013-EG, 20240014-EG</w:t>
      </w:r>
      <w:r w:rsidR="00B75845">
        <w:t>, 20240016-EG, and 20240017-EG</w:t>
      </w:r>
      <w:r w:rsidR="00D43BA1">
        <w:t xml:space="preserve">. </w:t>
      </w:r>
      <w:r w:rsidR="00DB3E6A">
        <w:t>Florida Rising is a member</w:t>
      </w:r>
      <w:r w:rsidR="00AA0709" w:rsidRPr="00AA0709">
        <w:t xml:space="preserve">ship-based organization dedicated, under </w:t>
      </w:r>
      <w:r>
        <w:t>its</w:t>
      </w:r>
      <w:r w:rsidR="00AA0709" w:rsidRPr="00AA0709">
        <w:t xml:space="preserve"> </w:t>
      </w:r>
      <w:r>
        <w:t>A</w:t>
      </w:r>
      <w:r w:rsidR="00AA0709" w:rsidRPr="00AA0709">
        <w:t xml:space="preserve">rticles of </w:t>
      </w:r>
      <w:r>
        <w:t>I</w:t>
      </w:r>
      <w:r w:rsidR="00AA0709" w:rsidRPr="00AA0709">
        <w:t xml:space="preserve">ncorporation, to building “broader multiracial movements with individuals from historically marginalized communities to seize power and govern to advance social, economic, and racial justice.” Florida Rising </w:t>
      </w:r>
      <w:r>
        <w:t>alleges</w:t>
      </w:r>
      <w:r w:rsidR="00AA0709" w:rsidRPr="00AA0709">
        <w:t xml:space="preserve"> that a substantial number of its members reside in the service territories of Florida Power &amp; Light Company (FPL)</w:t>
      </w:r>
      <w:r w:rsidR="00DB3E6A">
        <w:t>,</w:t>
      </w:r>
      <w:r w:rsidR="00AA0709" w:rsidRPr="00AA0709">
        <w:t xml:space="preserve"> Duke Energy Florida, LLC (DEF), Tampa Electric Company (TECO), JEA, and Orlando Utility Commission (OUC). Florida Rising alleges that its members face high electricity bills that can be mitigated by the use of cost-effective energy efficiency and </w:t>
      </w:r>
      <w:r w:rsidR="00AA0709" w:rsidRPr="00AA0709">
        <w:lastRenderedPageBreak/>
        <w:t>demand-side m</w:t>
      </w:r>
      <w:r w:rsidR="00DB3E6A">
        <w:t>anagement measures and programs</w:t>
      </w:r>
      <w:r w:rsidR="00AA0709" w:rsidRPr="00AA0709">
        <w:t xml:space="preserve"> with the goals set by this proceeding.</w:t>
      </w:r>
      <w:r w:rsidR="00D43BA1" w:rsidRPr="00D43BA1">
        <w:t xml:space="preserve"> </w:t>
      </w:r>
      <w:r w:rsidR="00D43BA1">
        <w:t>N</w:t>
      </w:r>
      <w:r w:rsidR="00D43BA1" w:rsidRPr="00AA0709">
        <w:t>o party indicated an objection to Florida Rising’s intervention.</w:t>
      </w:r>
    </w:p>
    <w:p w:rsidR="006C125E" w:rsidRDefault="006C125E" w:rsidP="006C125E">
      <w:pPr>
        <w:jc w:val="both"/>
      </w:pPr>
    </w:p>
    <w:p w:rsidR="006C125E" w:rsidRPr="00173CF1" w:rsidRDefault="006C125E" w:rsidP="006C125E">
      <w:pPr>
        <w:jc w:val="both"/>
        <w:rPr>
          <w:u w:val="single"/>
        </w:rPr>
      </w:pPr>
      <w:r w:rsidRPr="00173CF1">
        <w:rPr>
          <w:u w:val="single"/>
        </w:rPr>
        <w:t>Standards for Intervention</w:t>
      </w:r>
    </w:p>
    <w:p w:rsidR="006C125E" w:rsidRDefault="006C125E" w:rsidP="006C125E">
      <w:pPr>
        <w:jc w:val="both"/>
      </w:pPr>
    </w:p>
    <w:p w:rsidR="00E643C5" w:rsidRDefault="00E643C5" w:rsidP="00E643C5">
      <w:pPr>
        <w:ind w:firstLine="720"/>
        <w:jc w:val="both"/>
      </w:pPr>
      <w:r>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pursuant to Florida Public Service Commission (“Commission”) rule, or that the substantial interests of the intervenor are subject to determination or will be affected through the proceeding. Intervenors take the case as they find it.</w:t>
      </w:r>
    </w:p>
    <w:p w:rsidR="00E643C5" w:rsidRDefault="00E643C5" w:rsidP="00E643C5">
      <w:pPr>
        <w:jc w:val="both"/>
      </w:pPr>
    </w:p>
    <w:p w:rsidR="006C125E" w:rsidRDefault="00E643C5" w:rsidP="00E643C5">
      <w:pPr>
        <w:ind w:firstLine="720"/>
        <w:jc w:val="both"/>
      </w:pPr>
      <w:r>
        <w:t xml:space="preserve">The test for associational standing was established in </w:t>
      </w:r>
      <w:r w:rsidRPr="00AB18AA">
        <w:rPr>
          <w:i/>
        </w:rPr>
        <w:t>Florida Home Builders Association v. Department of Labor and Employment Security</w:t>
      </w:r>
      <w:r w:rsidRPr="00FC6F0D">
        <w:rPr>
          <w:rStyle w:val="FootnoteReference"/>
        </w:rPr>
        <w:footnoteReference w:id="1"/>
      </w:r>
      <w:r>
        <w:t xml:space="preserve"> and </w:t>
      </w:r>
      <w:r w:rsidRPr="00AB18AA">
        <w:rPr>
          <w:i/>
        </w:rPr>
        <w:t>Farmworker Rights Organization, Inc. v. Department of Health and Rehabilitative Services</w:t>
      </w:r>
      <w:r>
        <w:t>,</w:t>
      </w:r>
      <w:r w:rsidRPr="00547B1C">
        <w:rPr>
          <w:rStyle w:val="FootnoteReference"/>
        </w:rPr>
        <w:footnoteReference w:id="2"/>
      </w:r>
      <w:r>
        <w:t xml:space="preserve"> which is based on the basic standing principles established in </w:t>
      </w:r>
      <w:r w:rsidRPr="00734C37">
        <w:rPr>
          <w:i/>
        </w:rPr>
        <w:t>Agrico Chemical Company v. Department of Environmental Regulation</w:t>
      </w:r>
      <w:r>
        <w:t>.</w:t>
      </w:r>
      <w:r>
        <w:rPr>
          <w:rStyle w:val="FootnoteReference"/>
        </w:rPr>
        <w:footnoteReference w:id="3"/>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r>
        <w:rPr>
          <w:rStyle w:val="FootnoteReference"/>
        </w:rPr>
        <w:footnoteReference w:id="4"/>
      </w:r>
    </w:p>
    <w:p w:rsidR="006C125E" w:rsidRDefault="006C125E" w:rsidP="006C125E">
      <w:pPr>
        <w:ind w:firstLine="720"/>
        <w:jc w:val="both"/>
      </w:pPr>
    </w:p>
    <w:p w:rsidR="00AA0709" w:rsidRPr="00AA0709" w:rsidRDefault="00AA0709" w:rsidP="00AA0709">
      <w:pPr>
        <w:jc w:val="both"/>
        <w:rPr>
          <w:u w:val="single"/>
        </w:rPr>
      </w:pPr>
      <w:r w:rsidRPr="00AA0709">
        <w:rPr>
          <w:u w:val="single"/>
        </w:rPr>
        <w:t>Analysis and Ruling</w:t>
      </w:r>
    </w:p>
    <w:p w:rsidR="00AA0709" w:rsidRPr="00AA0709" w:rsidRDefault="00AA0709" w:rsidP="00AA0709">
      <w:pPr>
        <w:jc w:val="both"/>
      </w:pPr>
    </w:p>
    <w:p w:rsidR="00AA0709" w:rsidRPr="00AA0709" w:rsidRDefault="00E643C5" w:rsidP="00E643C5">
      <w:pPr>
        <w:ind w:firstLine="720"/>
        <w:jc w:val="both"/>
      </w:pPr>
      <w:r>
        <w:t>Based on a</w:t>
      </w:r>
      <w:r w:rsidR="00D43BA1">
        <w:t>bove representations</w:t>
      </w:r>
      <w:r>
        <w:t>, it app</w:t>
      </w:r>
      <w:r w:rsidR="00D43BA1">
        <w:t>ears that Florida Rising meets the associational standing requirements of</w:t>
      </w:r>
      <w:r>
        <w:t xml:space="preserve"> </w:t>
      </w:r>
      <w:r w:rsidRPr="0095036F">
        <w:rPr>
          <w:i/>
        </w:rPr>
        <w:t>Florida Home Builders</w:t>
      </w:r>
      <w:r>
        <w:t xml:space="preserve">. </w:t>
      </w:r>
      <w:r w:rsidR="00CD1C6A" w:rsidRPr="00AA0709">
        <w:t>Florida Rising has demonstrated that a substant</w:t>
      </w:r>
      <w:r w:rsidR="00CD1C6A">
        <w:t>ial number of its members may be</w:t>
      </w:r>
      <w:r w:rsidR="00CD1C6A" w:rsidRPr="00AA0709">
        <w:t xml:space="preserve"> substantially affected by the Commission’s decisions as to the appropriate conservation goals and programs.</w:t>
      </w:r>
      <w:r w:rsidR="00CD1C6A" w:rsidRPr="00E643C5">
        <w:t xml:space="preserve"> </w:t>
      </w:r>
      <w:r w:rsidR="00CD1C6A">
        <w:t>T</w:t>
      </w:r>
      <w:r w:rsidR="00CD1C6A" w:rsidRPr="00AA0709">
        <w:t>he conservation goals in this proceeding are within Florida Rising’s general scope of interest and activity.</w:t>
      </w:r>
      <w:r w:rsidR="00CD1C6A" w:rsidRPr="00E643C5">
        <w:t xml:space="preserve"> </w:t>
      </w:r>
      <w:r w:rsidR="00CD1C6A" w:rsidRPr="00AA0709">
        <w:t xml:space="preserve">Florida Rising seeks to mitigate </w:t>
      </w:r>
      <w:r w:rsidR="00CD1C6A" w:rsidRPr="00AA0709">
        <w:lastRenderedPageBreak/>
        <w:t>high electric bills by the use of cost-effective energy efficiency and demand-side management measures and programs with goals set by this proceeding, which is appropriate relief for Florida Rising to receive on behalf of its members</w:t>
      </w:r>
      <w:r w:rsidRPr="00AA0709">
        <w:t xml:space="preserve">. </w:t>
      </w:r>
      <w:r w:rsidR="00DB6308">
        <w:t>Florida Rising meets the requirements for associational standing and will be permitted to intervene</w:t>
      </w:r>
      <w:r w:rsidR="00B75845" w:rsidRPr="00B75845">
        <w:t xml:space="preserve"> </w:t>
      </w:r>
      <w:r w:rsidR="00B75845">
        <w:t xml:space="preserve">in Docket </w:t>
      </w:r>
      <w:r w:rsidR="00B75845" w:rsidRPr="00C44333">
        <w:t>Nos. 20240012-EG, 20240013-EG, 20240014-EG</w:t>
      </w:r>
      <w:r w:rsidR="00B75845">
        <w:t>, 20240016-EG, and 20240017-EG</w:t>
      </w:r>
      <w:r w:rsidR="00DB6308">
        <w:t xml:space="preserve"> as a party in this proceeding. </w:t>
      </w:r>
      <w:r>
        <w:t xml:space="preserve">Florida Rising </w:t>
      </w:r>
      <w:r w:rsidR="00DB6308">
        <w:t>takes the case as it finds it.</w:t>
      </w:r>
    </w:p>
    <w:p w:rsidR="006C125E" w:rsidRDefault="006C125E" w:rsidP="006C125E">
      <w:pPr>
        <w:ind w:firstLine="720"/>
        <w:jc w:val="both"/>
      </w:pPr>
    </w:p>
    <w:p w:rsidR="006C125E" w:rsidRPr="00826D5E" w:rsidRDefault="006C125E" w:rsidP="006C125E">
      <w:pPr>
        <w:jc w:val="both"/>
      </w:pPr>
      <w:r w:rsidRPr="00826D5E">
        <w:tab/>
      </w:r>
      <w:r>
        <w:t>Based on the above representations,</w:t>
      </w:r>
      <w:r w:rsidRPr="00826D5E">
        <w:t xml:space="preserve"> it is</w:t>
      </w:r>
    </w:p>
    <w:p w:rsidR="006C125E" w:rsidRPr="00826D5E" w:rsidRDefault="006C125E" w:rsidP="006C125E">
      <w:pPr>
        <w:jc w:val="both"/>
      </w:pPr>
    </w:p>
    <w:p w:rsidR="006C125E" w:rsidRDefault="006C125E" w:rsidP="006C125E">
      <w:pPr>
        <w:ind w:firstLine="720"/>
        <w:jc w:val="both"/>
      </w:pPr>
      <w:r>
        <w:t xml:space="preserve">ORDERED by Commissioner Arthur graham, as Prehearing Officer, that the </w:t>
      </w:r>
      <w:r w:rsidR="00DB3E6A">
        <w:t>Petition</w:t>
      </w:r>
      <w:r>
        <w:t xml:space="preserve"> to Intervene filed by Florida Rising, Inc. is here</w:t>
      </w:r>
      <w:r w:rsidR="008862E8">
        <w:t xml:space="preserve">by granted as set forth in the </w:t>
      </w:r>
      <w:r>
        <w:t>body of this Order. It is further</w:t>
      </w:r>
    </w:p>
    <w:p w:rsidR="006C125E" w:rsidRDefault="006C125E" w:rsidP="006C125E">
      <w:pPr>
        <w:ind w:firstLine="720"/>
        <w:jc w:val="both"/>
      </w:pPr>
    </w:p>
    <w:p w:rsidR="006C125E" w:rsidRDefault="006C125E" w:rsidP="006C125E">
      <w:pPr>
        <w:ind w:firstLine="720"/>
        <w:jc w:val="both"/>
      </w:pPr>
      <w:r>
        <w:t xml:space="preserve">ORDERED that Florida Rising, Inc. takes the case as it finds it. It is further </w:t>
      </w:r>
    </w:p>
    <w:p w:rsidR="006C125E" w:rsidRDefault="006C125E" w:rsidP="006C125E">
      <w:pPr>
        <w:ind w:firstLine="720"/>
        <w:jc w:val="both"/>
      </w:pPr>
    </w:p>
    <w:p w:rsidR="006C125E" w:rsidRDefault="006C125E" w:rsidP="006C125E">
      <w:pPr>
        <w:ind w:firstLine="720"/>
        <w:jc w:val="both"/>
      </w:pPr>
      <w:r>
        <w:t>ORDERED that all parties to this proceeding shall furnish copies of all testimony, exhibits, pleadings, and other documents which may hereinafter be filed in this proceeding to:</w:t>
      </w:r>
    </w:p>
    <w:p w:rsidR="006C125E" w:rsidRDefault="006C125E" w:rsidP="006C125E">
      <w:pPr>
        <w:ind w:firstLine="720"/>
        <w:jc w:val="both"/>
      </w:pPr>
    </w:p>
    <w:p w:rsidR="00806419" w:rsidRDefault="00806419" w:rsidP="00806419">
      <w:pPr>
        <w:autoSpaceDE w:val="0"/>
        <w:autoSpaceDN w:val="0"/>
        <w:adjustRightInd w:val="0"/>
        <w:ind w:firstLine="720"/>
        <w:rPr>
          <w:rFonts w:ascii="TimesNewRomanPSMT" w:hAnsi="TimesNewRomanPSMT" w:cs="TimesNewRomanPSMT"/>
        </w:rPr>
      </w:pPr>
      <w:r>
        <w:rPr>
          <w:rFonts w:ascii="TimesNewRomanPSMT" w:hAnsi="TimesNewRomanPSMT" w:cs="TimesNewRomanPSMT"/>
        </w:rPr>
        <w:t>Bradley Marshall</w:t>
      </w:r>
    </w:p>
    <w:p w:rsidR="00806419" w:rsidRDefault="00806419" w:rsidP="00806419">
      <w:pPr>
        <w:autoSpaceDE w:val="0"/>
        <w:autoSpaceDN w:val="0"/>
        <w:adjustRightInd w:val="0"/>
        <w:ind w:firstLine="720"/>
        <w:rPr>
          <w:rFonts w:ascii="TimesNewRomanPSMT" w:hAnsi="TimesNewRomanPSMT" w:cs="TimesNewRomanPSMT"/>
        </w:rPr>
      </w:pPr>
      <w:r>
        <w:rPr>
          <w:rFonts w:ascii="TimesNewRomanPSMT" w:hAnsi="TimesNewRomanPSMT" w:cs="TimesNewRomanPSMT"/>
        </w:rPr>
        <w:t>Jordan Luebkemann</w:t>
      </w:r>
    </w:p>
    <w:p w:rsidR="00806419" w:rsidRDefault="00806419" w:rsidP="00806419">
      <w:pPr>
        <w:autoSpaceDE w:val="0"/>
        <w:autoSpaceDN w:val="0"/>
        <w:adjustRightInd w:val="0"/>
        <w:ind w:firstLine="720"/>
        <w:rPr>
          <w:rFonts w:ascii="TimesNewRomanPSMT" w:hAnsi="TimesNewRomanPSMT" w:cs="TimesNewRomanPSMT"/>
        </w:rPr>
      </w:pPr>
      <w:r>
        <w:rPr>
          <w:rFonts w:ascii="TimesNewRomanPSMT" w:hAnsi="TimesNewRomanPSMT" w:cs="TimesNewRomanPSMT"/>
        </w:rPr>
        <w:t>EarthJustice</w:t>
      </w:r>
    </w:p>
    <w:p w:rsidR="00806419" w:rsidRDefault="00806419" w:rsidP="00806419">
      <w:pPr>
        <w:autoSpaceDE w:val="0"/>
        <w:autoSpaceDN w:val="0"/>
        <w:adjustRightInd w:val="0"/>
        <w:ind w:firstLine="720"/>
        <w:rPr>
          <w:rFonts w:ascii="TimesNewRomanPSMT" w:hAnsi="TimesNewRomanPSMT" w:cs="TimesNewRomanPSMT"/>
        </w:rPr>
      </w:pPr>
      <w:r>
        <w:rPr>
          <w:rFonts w:ascii="TimesNewRomanPSMT" w:hAnsi="TimesNewRomanPSMT" w:cs="TimesNewRomanPSMT"/>
        </w:rPr>
        <w:t>111 S. Martin Luther King Jr. Blvd.</w:t>
      </w:r>
    </w:p>
    <w:p w:rsidR="00806419" w:rsidRDefault="00806419" w:rsidP="00806419">
      <w:pPr>
        <w:autoSpaceDE w:val="0"/>
        <w:autoSpaceDN w:val="0"/>
        <w:adjustRightInd w:val="0"/>
        <w:ind w:firstLine="720"/>
        <w:rPr>
          <w:rFonts w:ascii="TimesNewRomanPSMT" w:hAnsi="TimesNewRomanPSMT" w:cs="TimesNewRomanPSMT"/>
        </w:rPr>
      </w:pPr>
      <w:r>
        <w:rPr>
          <w:rFonts w:ascii="TimesNewRomanPSMT" w:hAnsi="TimesNewRomanPSMT" w:cs="TimesNewRomanPSMT"/>
        </w:rPr>
        <w:t>Tallahassee, Florida 32301</w:t>
      </w:r>
    </w:p>
    <w:p w:rsidR="00806419" w:rsidRDefault="00806419" w:rsidP="00806419">
      <w:pPr>
        <w:autoSpaceDE w:val="0"/>
        <w:autoSpaceDN w:val="0"/>
        <w:adjustRightInd w:val="0"/>
        <w:ind w:firstLine="720"/>
        <w:rPr>
          <w:rFonts w:ascii="TimesNewRomanPSMT" w:hAnsi="TimesNewRomanPSMT" w:cs="TimesNewRomanPSMT"/>
        </w:rPr>
      </w:pPr>
      <w:r>
        <w:rPr>
          <w:rFonts w:ascii="TimesNewRomanPSMT" w:hAnsi="TimesNewRomanPSMT" w:cs="TimesNewRomanPSMT"/>
        </w:rPr>
        <w:t>bmarshall@earthjustice.org</w:t>
      </w:r>
    </w:p>
    <w:p w:rsidR="00806419" w:rsidRDefault="00806419" w:rsidP="00806419">
      <w:pPr>
        <w:autoSpaceDE w:val="0"/>
        <w:autoSpaceDN w:val="0"/>
        <w:adjustRightInd w:val="0"/>
        <w:ind w:firstLine="720"/>
        <w:rPr>
          <w:rFonts w:ascii="TimesNewRomanPSMT" w:hAnsi="TimesNewRomanPSMT" w:cs="TimesNewRomanPSMT"/>
        </w:rPr>
      </w:pPr>
      <w:r>
        <w:rPr>
          <w:rFonts w:ascii="TimesNewRomanPSMT" w:hAnsi="TimesNewRomanPSMT" w:cs="TimesNewRomanPSMT"/>
        </w:rPr>
        <w:t>jluebkemann@earthjustice.org</w:t>
      </w:r>
    </w:p>
    <w:p w:rsidR="00806419" w:rsidRDefault="00840F52" w:rsidP="00806419">
      <w:pPr>
        <w:ind w:firstLine="720"/>
        <w:jc w:val="both"/>
        <w:rPr>
          <w:rFonts w:ascii="TimesNewRomanPSMT" w:hAnsi="TimesNewRomanPSMT" w:cs="TimesNewRomanPSMT"/>
        </w:rPr>
      </w:pPr>
      <w:hyperlink r:id="rId7" w:history="1">
        <w:r w:rsidR="009C3167" w:rsidRPr="002307A8">
          <w:rPr>
            <w:rStyle w:val="Hyperlink"/>
            <w:rFonts w:ascii="TimesNewRomanPSMT" w:hAnsi="TimesNewRomanPSMT" w:cs="TimesNewRomanPSMT"/>
          </w:rPr>
          <w:t>flcaseupdates@earthjustice.org</w:t>
        </w:r>
      </w:hyperlink>
    </w:p>
    <w:p w:rsidR="009C3167" w:rsidRDefault="009C3167" w:rsidP="00806419">
      <w:pPr>
        <w:ind w:firstLine="720"/>
        <w:jc w:val="both"/>
      </w:pPr>
    </w:p>
    <w:p w:rsidR="006C125E" w:rsidRDefault="006C125E" w:rsidP="006C125E">
      <w:pPr>
        <w:keepNext/>
        <w:keepLines/>
        <w:jc w:val="both"/>
        <w:rPr>
          <w:color w:val="000000" w:themeColor="text1"/>
        </w:rPr>
      </w:pPr>
      <w:r w:rsidRPr="00900C50">
        <w:rPr>
          <w:color w:val="FF0000"/>
        </w:rPr>
        <w:lastRenderedPageBreak/>
        <w:tab/>
      </w:r>
      <w:r w:rsidRPr="001450C1">
        <w:rPr>
          <w:color w:val="000000" w:themeColor="text1"/>
        </w:rPr>
        <w:t xml:space="preserve">By ORDER of Commissioner Art Graham, as Prehearing Officer, this </w:t>
      </w:r>
      <w:bookmarkStart w:id="6" w:name="replaceDate"/>
      <w:bookmarkEnd w:id="6"/>
      <w:r w:rsidR="00840F52">
        <w:rPr>
          <w:color w:val="000000" w:themeColor="text1"/>
          <w:u w:val="single"/>
        </w:rPr>
        <w:t>25th</w:t>
      </w:r>
      <w:r w:rsidR="00840F52">
        <w:rPr>
          <w:color w:val="000000" w:themeColor="text1"/>
        </w:rPr>
        <w:t xml:space="preserve"> day of </w:t>
      </w:r>
      <w:r w:rsidR="00840F52">
        <w:rPr>
          <w:color w:val="000000" w:themeColor="text1"/>
          <w:u w:val="single"/>
        </w:rPr>
        <w:t>April</w:t>
      </w:r>
      <w:r w:rsidR="00840F52">
        <w:rPr>
          <w:color w:val="000000" w:themeColor="text1"/>
        </w:rPr>
        <w:t xml:space="preserve">, </w:t>
      </w:r>
      <w:r w:rsidR="00840F52">
        <w:rPr>
          <w:color w:val="000000" w:themeColor="text1"/>
          <w:u w:val="single"/>
        </w:rPr>
        <w:t>2024</w:t>
      </w:r>
      <w:r w:rsidR="00840F52">
        <w:rPr>
          <w:color w:val="000000" w:themeColor="text1"/>
        </w:rPr>
        <w:t>.</w:t>
      </w:r>
    </w:p>
    <w:p w:rsidR="00840F52" w:rsidRDefault="00840F52" w:rsidP="006C125E">
      <w:pPr>
        <w:keepNext/>
        <w:keepLines/>
        <w:jc w:val="both"/>
        <w:rPr>
          <w:color w:val="FF0000"/>
        </w:rPr>
      </w:pPr>
    </w:p>
    <w:p w:rsidR="00840F52" w:rsidRDefault="00840F52" w:rsidP="006C125E">
      <w:pPr>
        <w:keepNext/>
        <w:keepLines/>
        <w:jc w:val="both"/>
        <w:rPr>
          <w:color w:val="FF0000"/>
        </w:rPr>
      </w:pPr>
    </w:p>
    <w:p w:rsidR="00840F52" w:rsidRPr="00840F52" w:rsidRDefault="00840F52" w:rsidP="006C125E">
      <w:pPr>
        <w:keepNext/>
        <w:keepLines/>
        <w:jc w:val="both"/>
        <w:rPr>
          <w:color w:val="FF0000"/>
        </w:rPr>
      </w:pPr>
    </w:p>
    <w:tbl>
      <w:tblPr>
        <w:tblW w:w="4720" w:type="dxa"/>
        <w:tblInd w:w="3800" w:type="dxa"/>
        <w:tblLayout w:type="fixed"/>
        <w:tblLook w:val="0000" w:firstRow="0" w:lastRow="0" w:firstColumn="0" w:lastColumn="0" w:noHBand="0" w:noVBand="0"/>
      </w:tblPr>
      <w:tblGrid>
        <w:gridCol w:w="686"/>
        <w:gridCol w:w="4034"/>
      </w:tblGrid>
      <w:tr w:rsidR="006C125E" w:rsidTr="006C125E">
        <w:tc>
          <w:tcPr>
            <w:tcW w:w="720" w:type="dxa"/>
            <w:shd w:val="clear" w:color="auto" w:fill="auto"/>
          </w:tcPr>
          <w:p w:rsidR="006C125E" w:rsidRDefault="006C125E" w:rsidP="006C125E">
            <w:pPr>
              <w:keepNext/>
              <w:keepLines/>
              <w:jc w:val="both"/>
              <w:rPr>
                <w:color w:val="FF0000"/>
              </w:rPr>
            </w:pPr>
            <w:bookmarkStart w:id="7" w:name="bkmrkSignature" w:colFirst="0" w:colLast="0"/>
          </w:p>
        </w:tc>
        <w:tc>
          <w:tcPr>
            <w:tcW w:w="4320" w:type="dxa"/>
            <w:tcBorders>
              <w:bottom w:val="single" w:sz="4" w:space="0" w:color="auto"/>
            </w:tcBorders>
            <w:shd w:val="clear" w:color="auto" w:fill="auto"/>
          </w:tcPr>
          <w:p w:rsidR="006C125E" w:rsidRPr="00840F52" w:rsidRDefault="00840F52" w:rsidP="006C125E">
            <w:pPr>
              <w:keepNext/>
              <w:keepLines/>
              <w:jc w:val="both"/>
              <w:rPr>
                <w:color w:val="000000" w:themeColor="text1"/>
              </w:rPr>
            </w:pPr>
            <w:r w:rsidRPr="00840F52">
              <w:rPr>
                <w:color w:val="000000" w:themeColor="text1"/>
              </w:rPr>
              <w:t>/s/ Art Graham</w:t>
            </w:r>
          </w:p>
        </w:tc>
      </w:tr>
      <w:bookmarkEnd w:id="7"/>
      <w:tr w:rsidR="006C125E" w:rsidTr="006C125E">
        <w:tc>
          <w:tcPr>
            <w:tcW w:w="720" w:type="dxa"/>
            <w:shd w:val="clear" w:color="auto" w:fill="auto"/>
          </w:tcPr>
          <w:p w:rsidR="006C125E" w:rsidRDefault="006C125E" w:rsidP="006C125E">
            <w:pPr>
              <w:keepNext/>
              <w:keepLines/>
              <w:jc w:val="both"/>
              <w:rPr>
                <w:color w:val="FF0000"/>
              </w:rPr>
            </w:pPr>
          </w:p>
        </w:tc>
        <w:tc>
          <w:tcPr>
            <w:tcW w:w="4320" w:type="dxa"/>
            <w:tcBorders>
              <w:top w:val="single" w:sz="4" w:space="0" w:color="auto"/>
            </w:tcBorders>
            <w:shd w:val="clear" w:color="auto" w:fill="auto"/>
          </w:tcPr>
          <w:p w:rsidR="006C125E" w:rsidRPr="001450C1" w:rsidRDefault="006C125E" w:rsidP="006C125E">
            <w:pPr>
              <w:keepNext/>
              <w:keepLines/>
              <w:jc w:val="both"/>
              <w:rPr>
                <w:color w:val="000000" w:themeColor="text1"/>
              </w:rPr>
            </w:pPr>
            <w:r w:rsidRPr="001450C1">
              <w:rPr>
                <w:color w:val="000000" w:themeColor="text1"/>
              </w:rPr>
              <w:t>ART GRAHAM</w:t>
            </w:r>
          </w:p>
          <w:p w:rsidR="006C125E" w:rsidRDefault="006C125E" w:rsidP="006C125E">
            <w:pPr>
              <w:keepNext/>
              <w:keepLines/>
              <w:jc w:val="both"/>
              <w:rPr>
                <w:color w:val="FF0000"/>
              </w:rPr>
            </w:pPr>
            <w:r w:rsidRPr="001450C1">
              <w:rPr>
                <w:color w:val="000000" w:themeColor="text1"/>
              </w:rPr>
              <w:t>Commissioner and Prehearing Officer</w:t>
            </w:r>
          </w:p>
        </w:tc>
      </w:tr>
    </w:tbl>
    <w:p w:rsidR="006C125E" w:rsidRDefault="006C125E" w:rsidP="006C125E">
      <w:pPr>
        <w:pStyle w:val="OrderSigInfo"/>
        <w:keepNext/>
        <w:keepLines/>
      </w:pPr>
      <w:r>
        <w:t>Florida Public Service Commission</w:t>
      </w:r>
    </w:p>
    <w:p w:rsidR="006C125E" w:rsidRDefault="006C125E" w:rsidP="006C125E">
      <w:pPr>
        <w:pStyle w:val="OrderSigInfo"/>
        <w:keepNext/>
        <w:keepLines/>
      </w:pPr>
      <w:r>
        <w:t>2540 Shumard Oak Boulevard</w:t>
      </w:r>
    </w:p>
    <w:p w:rsidR="006C125E" w:rsidRDefault="006C125E" w:rsidP="006C125E">
      <w:pPr>
        <w:pStyle w:val="OrderSigInfo"/>
        <w:keepNext/>
        <w:keepLines/>
      </w:pPr>
      <w:r>
        <w:t>Tallahassee, Florida 32399</w:t>
      </w:r>
    </w:p>
    <w:p w:rsidR="006C125E" w:rsidRDefault="006C125E" w:rsidP="006C125E">
      <w:pPr>
        <w:pStyle w:val="OrderSigInfo"/>
        <w:keepNext/>
        <w:keepLines/>
      </w:pPr>
      <w:r>
        <w:t>(850) 413</w:t>
      </w:r>
      <w:r>
        <w:noBreakHyphen/>
        <w:t>6770</w:t>
      </w:r>
    </w:p>
    <w:p w:rsidR="006C125E" w:rsidRDefault="006C125E" w:rsidP="006C125E">
      <w:pPr>
        <w:pStyle w:val="OrderSigInfo"/>
        <w:keepNext/>
        <w:keepLines/>
      </w:pPr>
      <w:r>
        <w:t>www.floridapsc.com</w:t>
      </w:r>
    </w:p>
    <w:p w:rsidR="006C125E" w:rsidRDefault="006C125E" w:rsidP="006C125E">
      <w:pPr>
        <w:pStyle w:val="OrderSigInfo"/>
        <w:keepNext/>
        <w:keepLines/>
      </w:pPr>
      <w:bookmarkStart w:id="8" w:name="_GoBack"/>
      <w:bookmarkEnd w:id="8"/>
    </w:p>
    <w:p w:rsidR="006C125E" w:rsidRDefault="006C125E" w:rsidP="006C125E">
      <w:pPr>
        <w:pStyle w:val="OrderSigInfo"/>
        <w:keepNext/>
        <w:keepLines/>
      </w:pPr>
      <w:r>
        <w:t>Copies furnished:  A copy of this document is provided to the parties of record at the time of issuance and, if applicable, interested persons.</w:t>
      </w:r>
    </w:p>
    <w:p w:rsidR="006C125E" w:rsidRDefault="006C125E" w:rsidP="006C125E">
      <w:pPr>
        <w:pStyle w:val="OrderBody"/>
        <w:keepNext/>
        <w:keepLines/>
      </w:pPr>
    </w:p>
    <w:p w:rsidR="006C125E" w:rsidRDefault="006C125E" w:rsidP="006C125E">
      <w:pPr>
        <w:keepNext/>
        <w:keepLines/>
        <w:jc w:val="both"/>
        <w:rPr>
          <w:color w:val="FF0000"/>
        </w:rPr>
      </w:pPr>
    </w:p>
    <w:p w:rsidR="006C125E" w:rsidRPr="001450C1" w:rsidRDefault="006C125E" w:rsidP="006C125E">
      <w:pPr>
        <w:rPr>
          <w:color w:val="000000" w:themeColor="text1"/>
        </w:rPr>
      </w:pPr>
      <w:r w:rsidRPr="001450C1">
        <w:rPr>
          <w:color w:val="000000" w:themeColor="text1"/>
        </w:rPr>
        <w:t>JDI</w:t>
      </w:r>
    </w:p>
    <w:p w:rsidR="006821FF" w:rsidRDefault="006821FF"/>
    <w:p w:rsidR="006C125E" w:rsidRDefault="006C125E" w:rsidP="006C125E">
      <w:pPr>
        <w:pStyle w:val="CenterUnderline"/>
      </w:pPr>
      <w:r>
        <w:t>NOTICE OF FURTHER PROCEEDINGS OR JUDICIAL REVIEW</w:t>
      </w:r>
    </w:p>
    <w:p w:rsidR="006C125E" w:rsidRDefault="006C125E" w:rsidP="006C125E">
      <w:pPr>
        <w:pStyle w:val="CenterUnderline"/>
      </w:pPr>
    </w:p>
    <w:p w:rsidR="006C125E" w:rsidRDefault="006C125E" w:rsidP="006C125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8862E8">
        <w:t xml:space="preserve">. </w:t>
      </w:r>
      <w:r>
        <w:t>This notice should not be construed to mean all requests for an administrative hearing or judicial review will be granted or result in the relief sought.</w:t>
      </w:r>
    </w:p>
    <w:p w:rsidR="006C125E" w:rsidRDefault="006C125E" w:rsidP="006C125E">
      <w:pPr>
        <w:pStyle w:val="OrderBody"/>
      </w:pPr>
    </w:p>
    <w:p w:rsidR="006C125E" w:rsidRDefault="006C125E" w:rsidP="006C125E">
      <w:pPr>
        <w:pStyle w:val="OrderBody"/>
      </w:pPr>
      <w:r>
        <w:tab/>
        <w:t>Mediation may be available on a case-by-case basis</w:t>
      </w:r>
      <w:r w:rsidR="008862E8">
        <w:t xml:space="preserve">. </w:t>
      </w:r>
      <w:r>
        <w:t>If mediation is conducted, it does not affect a substantially interested person's right to a hearing.</w:t>
      </w:r>
    </w:p>
    <w:p w:rsidR="006C125E" w:rsidRDefault="006C125E" w:rsidP="006C125E">
      <w:pPr>
        <w:pStyle w:val="OrderBody"/>
      </w:pPr>
    </w:p>
    <w:p w:rsidR="00CB5276" w:rsidRDefault="006C125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8862E8">
        <w:t xml:space="preserve">. </w:t>
      </w:r>
      <w:r>
        <w:t>A motion for reconsideration shall be filed with the Office of Commission Clerk, in the form prescribed by Rule 25-22.0376, Florida Administrative Code</w:t>
      </w:r>
      <w:r w:rsidR="008862E8">
        <w:t xml:space="preserve">. </w:t>
      </w:r>
      <w:r>
        <w:t>Judicial review of a preliminary, procedural or intermediate ruling or order is available if review of the final action will not provide an adequate remedy</w:t>
      </w:r>
      <w:r w:rsidR="008862E8">
        <w:t xml:space="preserve">. </w:t>
      </w:r>
      <w:r>
        <w:t>Such review may be requested from the appropriate court, as described above, pursuant to Rule 9.100, Florida Rules of Appellate Procedure.</w:t>
      </w:r>
      <w:bookmarkStart w:id="9" w:name="OrderText"/>
      <w:bookmarkEnd w:id="9"/>
    </w:p>
    <w:p w:rsidR="005F2751" w:rsidRDefault="005F2751"/>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302" w:rsidRDefault="00F70302">
      <w:r>
        <w:separator/>
      </w:r>
    </w:p>
  </w:endnote>
  <w:endnote w:type="continuationSeparator" w:id="0">
    <w:p w:rsidR="00F70302" w:rsidRDefault="00F7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302" w:rsidRDefault="00F70302">
      <w:r>
        <w:separator/>
      </w:r>
    </w:p>
  </w:footnote>
  <w:footnote w:type="continuationSeparator" w:id="0">
    <w:p w:rsidR="00F70302" w:rsidRDefault="00F70302">
      <w:r>
        <w:continuationSeparator/>
      </w:r>
    </w:p>
  </w:footnote>
  <w:footnote w:id="1">
    <w:p w:rsidR="00E643C5" w:rsidRPr="00FC6F0D" w:rsidRDefault="00E643C5" w:rsidP="00E643C5">
      <w:pPr>
        <w:pStyle w:val="FootnoteText"/>
      </w:pPr>
      <w:r>
        <w:rPr>
          <w:rStyle w:val="FootnoteReference"/>
        </w:rPr>
        <w:footnoteRef/>
      </w:r>
      <w:r>
        <w:t xml:space="preserve"> </w:t>
      </w:r>
      <w:r w:rsidRPr="00AB18AA">
        <w:rPr>
          <w:i/>
        </w:rPr>
        <w:t>Fl</w:t>
      </w:r>
      <w:r>
        <w:rPr>
          <w:i/>
        </w:rPr>
        <w:t xml:space="preserve">a. </w:t>
      </w:r>
      <w:r w:rsidRPr="00AB18AA">
        <w:rPr>
          <w:i/>
        </w:rPr>
        <w:t>Home Builders Ass</w:t>
      </w:r>
      <w:r>
        <w:rPr>
          <w:i/>
        </w:rPr>
        <w:t>’n</w:t>
      </w:r>
      <w:r w:rsidRPr="00AB18AA">
        <w:rPr>
          <w:i/>
        </w:rPr>
        <w:t xml:space="preserve"> v. Dep</w:t>
      </w:r>
      <w:r>
        <w:rPr>
          <w:i/>
        </w:rPr>
        <w:t>’t</w:t>
      </w:r>
      <w:r w:rsidRPr="00AB18AA">
        <w:rPr>
          <w:i/>
        </w:rPr>
        <w:t xml:space="preserve"> of Labor </w:t>
      </w:r>
      <w:r>
        <w:rPr>
          <w:i/>
        </w:rPr>
        <w:t>&amp;</w:t>
      </w:r>
      <w:r w:rsidRPr="00AB18AA">
        <w:rPr>
          <w:i/>
        </w:rPr>
        <w:t xml:space="preserve"> Emp</w:t>
      </w:r>
      <w:r>
        <w:rPr>
          <w:i/>
        </w:rPr>
        <w:t>’</w:t>
      </w:r>
      <w:r w:rsidRPr="00AB18AA">
        <w:rPr>
          <w:i/>
        </w:rPr>
        <w:t>t Sec</w:t>
      </w:r>
      <w:r>
        <w:rPr>
          <w:i/>
        </w:rPr>
        <w:t>.</w:t>
      </w:r>
      <w:r>
        <w:t xml:space="preserve">, </w:t>
      </w:r>
      <w:r w:rsidRPr="00FC6F0D">
        <w:t>412 So.2d 351 (Fla. 1982)</w:t>
      </w:r>
      <w:r>
        <w:t>.</w:t>
      </w:r>
    </w:p>
  </w:footnote>
  <w:footnote w:id="2">
    <w:p w:rsidR="00E643C5" w:rsidRDefault="00E643C5" w:rsidP="00E643C5">
      <w:pPr>
        <w:pStyle w:val="FootnoteText"/>
      </w:pPr>
      <w:r>
        <w:rPr>
          <w:rStyle w:val="FootnoteReference"/>
        </w:rPr>
        <w:footnoteRef/>
      </w:r>
      <w:r>
        <w:t xml:space="preserve"> </w:t>
      </w:r>
      <w:r w:rsidRPr="006B26A6">
        <w:rPr>
          <w:i/>
        </w:rPr>
        <w:t>Farmworker Rights Org., Inc. v. Dep’t of Health &amp; Rehab. Servs.</w:t>
      </w:r>
      <w:r>
        <w:t xml:space="preserve">, </w:t>
      </w:r>
      <w:r w:rsidRPr="00547B1C">
        <w:t>417 So.2d 753 (Fla. 1st DCA 1982)</w:t>
      </w:r>
      <w:r>
        <w:t>.</w:t>
      </w:r>
    </w:p>
  </w:footnote>
  <w:footnote w:id="3">
    <w:p w:rsidR="00E643C5" w:rsidRDefault="00E643C5" w:rsidP="00E643C5">
      <w:pPr>
        <w:pStyle w:val="FootnoteText"/>
      </w:pPr>
      <w:r>
        <w:rPr>
          <w:rStyle w:val="FootnoteReference"/>
        </w:rPr>
        <w:footnoteRef/>
      </w:r>
      <w:r>
        <w:t xml:space="preserve"> </w:t>
      </w:r>
      <w:r w:rsidRPr="00986DA3">
        <w:rPr>
          <w:i/>
        </w:rPr>
        <w:t>Agrico Chem. Co. v. Dep’t of Envtl. Regulation</w:t>
      </w:r>
      <w:r w:rsidRPr="008F1743">
        <w:t>, 406 So. 2d 478, 481–82 (Fla. 2d DCA 1981).</w:t>
      </w:r>
      <w:r>
        <w:t xml:space="preserve"> Under </w:t>
      </w:r>
      <w:r w:rsidRPr="00734C37">
        <w:rPr>
          <w:i/>
        </w:rPr>
        <w:t>Agrico</w:t>
      </w:r>
      <w:r>
        <w:t xml:space="preserve">, the individual intervenor must show that (1) they will suffer injury in fact which is of sufficient immediacy to entitle them to a Section 120.57, Florida Statutes (“F.S.”), hearing, and (2) this substantial injury is of a type or nature which the proceeding is designed to protect. The first aspect of the test deals with the degree of injury. The second deals with the nature of the injury. </w:t>
      </w:r>
      <w:r w:rsidRPr="00383378">
        <w:rPr>
          <w:i/>
        </w:rPr>
        <w:t>Id.</w:t>
      </w:r>
      <w:r>
        <w:t xml:space="preserve"> at 482. The "injury in fact" must be both real and immediate and not speculative or conjectural. </w:t>
      </w:r>
      <w:r w:rsidRPr="00383378">
        <w:rPr>
          <w:i/>
        </w:rPr>
        <w:t>Int</w:t>
      </w:r>
      <w:r>
        <w:rPr>
          <w:i/>
        </w:rPr>
        <w:t>’</w:t>
      </w:r>
      <w:r w:rsidRPr="00383378">
        <w:rPr>
          <w:i/>
        </w:rPr>
        <w:t>l Jai-Alai Players Ass</w:t>
      </w:r>
      <w:r>
        <w:rPr>
          <w:i/>
        </w:rPr>
        <w:t>’</w:t>
      </w:r>
      <w:r w:rsidRPr="00383378">
        <w:rPr>
          <w:i/>
        </w:rPr>
        <w:t>n v. Fl</w:t>
      </w:r>
      <w:r>
        <w:rPr>
          <w:i/>
        </w:rPr>
        <w:t>a.</w:t>
      </w:r>
      <w:r w:rsidRPr="00383378">
        <w:rPr>
          <w:i/>
        </w:rPr>
        <w:t xml:space="preserve"> Pari-Mutuel Comm</w:t>
      </w:r>
      <w:r>
        <w:rPr>
          <w:i/>
        </w:rPr>
        <w:t>’n</w:t>
      </w:r>
      <w:r>
        <w:t xml:space="preserve">, 561 So.2d 1224, 1225–26 (Fla. 3d DCA 1990); </w:t>
      </w:r>
      <w:r w:rsidRPr="001808EA">
        <w:rPr>
          <w:i/>
        </w:rPr>
        <w:t>see also Vill</w:t>
      </w:r>
      <w:r>
        <w:rPr>
          <w:i/>
        </w:rPr>
        <w:t>.</w:t>
      </w:r>
      <w:r w:rsidRPr="001808EA">
        <w:rPr>
          <w:i/>
        </w:rPr>
        <w:t xml:space="preserve"> Park Mobile Home Ass</w:t>
      </w:r>
      <w:r>
        <w:rPr>
          <w:i/>
        </w:rPr>
        <w:t>’</w:t>
      </w:r>
      <w:r w:rsidRPr="001808EA">
        <w:rPr>
          <w:i/>
        </w:rPr>
        <w:t>n, Inc. v. State Dep</w:t>
      </w:r>
      <w:r>
        <w:rPr>
          <w:i/>
        </w:rPr>
        <w:t>’</w:t>
      </w:r>
      <w:r w:rsidRPr="001808EA">
        <w:rPr>
          <w:i/>
        </w:rPr>
        <w:t>t of Bus</w:t>
      </w:r>
      <w:r>
        <w:rPr>
          <w:i/>
        </w:rPr>
        <w:t>.</w:t>
      </w:r>
      <w:r w:rsidRPr="001808EA">
        <w:rPr>
          <w:i/>
        </w:rPr>
        <w:t xml:space="preserve"> Regulation</w:t>
      </w:r>
      <w:r>
        <w:t xml:space="preserve">, 506 So.2d 426, 434 (Fla. 1st DCA 1987), </w:t>
      </w:r>
      <w:r w:rsidRPr="00F24AF0">
        <w:rPr>
          <w:i/>
        </w:rPr>
        <w:t>rev. den.</w:t>
      </w:r>
      <w:r>
        <w:t>, 513 So.2d 1063 (Fla. 1987) (noting speculation on the possible occurrence of injurious events was too remote).</w:t>
      </w:r>
    </w:p>
  </w:footnote>
  <w:footnote w:id="4">
    <w:p w:rsidR="00E643C5" w:rsidRDefault="00E643C5" w:rsidP="00E643C5">
      <w:pPr>
        <w:pStyle w:val="FootnoteText"/>
      </w:pPr>
      <w:r>
        <w:rPr>
          <w:rStyle w:val="FootnoteReference"/>
        </w:rPr>
        <w:footnoteRef/>
      </w:r>
      <w:r>
        <w:t xml:space="preserve"> </w:t>
      </w:r>
      <w:r w:rsidRPr="00412A7E">
        <w:rPr>
          <w:i/>
        </w:rPr>
        <w:t>Fla. Home Builders Ass’n</w:t>
      </w:r>
      <w:r w:rsidRPr="00412A7E">
        <w:t xml:space="preserve">, 412 So.2d at 353–54; </w:t>
      </w:r>
      <w:r w:rsidRPr="00412A7E">
        <w:rPr>
          <w:i/>
        </w:rPr>
        <w:t>Farmworker Rights Org., Inc.</w:t>
      </w:r>
      <w:r w:rsidRPr="00412A7E">
        <w:t>, 417 So.2d at 754.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5 ">
      <w:r w:rsidR="00840F52">
        <w:t>PSC-2024-0135-PCO-EG</w:t>
      </w:r>
    </w:fldSimple>
  </w:p>
  <w:p w:rsidR="00B75845" w:rsidRDefault="006C125E">
    <w:pPr>
      <w:pStyle w:val="OrderHeader"/>
    </w:pPr>
    <w:bookmarkStart w:id="10" w:name="HeaderDocketNo"/>
    <w:bookmarkEnd w:id="10"/>
    <w:r>
      <w:t xml:space="preserve">DOCKET NOS. 20240012-EG, </w:t>
    </w:r>
  </w:p>
  <w:p w:rsidR="00B75845" w:rsidRDefault="006C125E">
    <w:pPr>
      <w:pStyle w:val="OrderHeader"/>
    </w:pPr>
    <w:r>
      <w:t xml:space="preserve">20240013-EG, 20240014-EG, </w:t>
    </w:r>
  </w:p>
  <w:p w:rsidR="00FA6EFD" w:rsidRDefault="006C125E">
    <w:pPr>
      <w:pStyle w:val="OrderHeader"/>
    </w:pPr>
    <w:r>
      <w:t>20240016-EG, 20240017-EG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40F52">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2-EG, 20240013-EG, 20240014-EG, 20240016-EG, 20240017-EG"/>
  </w:docVars>
  <w:rsids>
    <w:rsidRoot w:val="006C125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5ED1"/>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50C1"/>
    <w:rsid w:val="001513DE"/>
    <w:rsid w:val="00154A71"/>
    <w:rsid w:val="001655D4"/>
    <w:rsid w:val="00165803"/>
    <w:rsid w:val="00187E32"/>
    <w:rsid w:val="001918FF"/>
    <w:rsid w:val="00194A97"/>
    <w:rsid w:val="00194E81"/>
    <w:rsid w:val="00197340"/>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09B6"/>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2BD1"/>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0321"/>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24E2"/>
    <w:rsid w:val="005C5033"/>
    <w:rsid w:val="005D4E1B"/>
    <w:rsid w:val="005E751B"/>
    <w:rsid w:val="005F2751"/>
    <w:rsid w:val="005F3354"/>
    <w:rsid w:val="005F4AD6"/>
    <w:rsid w:val="0060005E"/>
    <w:rsid w:val="0060095B"/>
    <w:rsid w:val="00601266"/>
    <w:rsid w:val="00610221"/>
    <w:rsid w:val="00610E73"/>
    <w:rsid w:val="006146D5"/>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21FF"/>
    <w:rsid w:val="00693483"/>
    <w:rsid w:val="006A0BF3"/>
    <w:rsid w:val="006B0036"/>
    <w:rsid w:val="006B0DA6"/>
    <w:rsid w:val="006B3FA9"/>
    <w:rsid w:val="006C125E"/>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06419"/>
    <w:rsid w:val="00814292"/>
    <w:rsid w:val="008169A4"/>
    <w:rsid w:val="008278FE"/>
    <w:rsid w:val="00832598"/>
    <w:rsid w:val="0083397E"/>
    <w:rsid w:val="0083534B"/>
    <w:rsid w:val="00840F52"/>
    <w:rsid w:val="00842035"/>
    <w:rsid w:val="00842602"/>
    <w:rsid w:val="008449F0"/>
    <w:rsid w:val="00846F11"/>
    <w:rsid w:val="00847B45"/>
    <w:rsid w:val="00863A66"/>
    <w:rsid w:val="008703D7"/>
    <w:rsid w:val="00874429"/>
    <w:rsid w:val="00875D22"/>
    <w:rsid w:val="00883D9A"/>
    <w:rsid w:val="008862E8"/>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C3167"/>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0709"/>
    <w:rsid w:val="00AA2BAA"/>
    <w:rsid w:val="00AA6516"/>
    <w:rsid w:val="00AA73F1"/>
    <w:rsid w:val="00AB0E1A"/>
    <w:rsid w:val="00AB1A30"/>
    <w:rsid w:val="00AB3C36"/>
    <w:rsid w:val="00AB3D30"/>
    <w:rsid w:val="00AC4B09"/>
    <w:rsid w:val="00AC5A01"/>
    <w:rsid w:val="00AD10EB"/>
    <w:rsid w:val="00AD1ED3"/>
    <w:rsid w:val="00AD3717"/>
    <w:rsid w:val="00AD74F4"/>
    <w:rsid w:val="00AF79F2"/>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564"/>
    <w:rsid w:val="00B50876"/>
    <w:rsid w:val="00B51074"/>
    <w:rsid w:val="00B54DAA"/>
    <w:rsid w:val="00B552E0"/>
    <w:rsid w:val="00B55AB0"/>
    <w:rsid w:val="00B55EE5"/>
    <w:rsid w:val="00B61D42"/>
    <w:rsid w:val="00B67A43"/>
    <w:rsid w:val="00B71D1F"/>
    <w:rsid w:val="00B72CFF"/>
    <w:rsid w:val="00B73DE6"/>
    <w:rsid w:val="00B75845"/>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4A6B"/>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1C6A"/>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3BA1"/>
    <w:rsid w:val="00D46FAA"/>
    <w:rsid w:val="00D47A40"/>
    <w:rsid w:val="00D51D33"/>
    <w:rsid w:val="00D57BB2"/>
    <w:rsid w:val="00D57E57"/>
    <w:rsid w:val="00D70752"/>
    <w:rsid w:val="00D80E2D"/>
    <w:rsid w:val="00D84D5E"/>
    <w:rsid w:val="00D8560E"/>
    <w:rsid w:val="00D8758F"/>
    <w:rsid w:val="00DA4EDD"/>
    <w:rsid w:val="00DA6B78"/>
    <w:rsid w:val="00DB122B"/>
    <w:rsid w:val="00DB3E6A"/>
    <w:rsid w:val="00DB6308"/>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5E13"/>
    <w:rsid w:val="00E33F44"/>
    <w:rsid w:val="00E37D48"/>
    <w:rsid w:val="00E4225C"/>
    <w:rsid w:val="00E44879"/>
    <w:rsid w:val="00E643C5"/>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302"/>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8B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6C125E"/>
    <w:pPr>
      <w:numPr>
        <w:numId w:val="1"/>
      </w:numPr>
    </w:pPr>
  </w:style>
  <w:style w:type="character" w:customStyle="1" w:styleId="FootnoteTextChar">
    <w:name w:val="Footnote Text Char"/>
    <w:basedOn w:val="DefaultParagraphFont"/>
    <w:link w:val="FootnoteText"/>
    <w:rsid w:val="006C125E"/>
  </w:style>
  <w:style w:type="paragraph" w:styleId="BalloonText">
    <w:name w:val="Balloon Text"/>
    <w:basedOn w:val="Normal"/>
    <w:link w:val="BalloonTextChar"/>
    <w:semiHidden/>
    <w:unhideWhenUsed/>
    <w:rsid w:val="008862E8"/>
    <w:rPr>
      <w:rFonts w:ascii="Segoe UI" w:hAnsi="Segoe UI" w:cs="Segoe UI"/>
      <w:sz w:val="18"/>
      <w:szCs w:val="18"/>
    </w:rPr>
  </w:style>
  <w:style w:type="character" w:customStyle="1" w:styleId="BalloonTextChar">
    <w:name w:val="Balloon Text Char"/>
    <w:basedOn w:val="DefaultParagraphFont"/>
    <w:link w:val="BalloonText"/>
    <w:semiHidden/>
    <w:rsid w:val="008862E8"/>
    <w:rPr>
      <w:rFonts w:ascii="Segoe UI" w:hAnsi="Segoe UI" w:cs="Segoe UI"/>
      <w:sz w:val="18"/>
      <w:szCs w:val="18"/>
    </w:rPr>
  </w:style>
  <w:style w:type="character" w:styleId="Hyperlink">
    <w:name w:val="Hyperlink"/>
    <w:basedOn w:val="DefaultParagraphFont"/>
    <w:unhideWhenUsed/>
    <w:rsid w:val="009C31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lcaseupdates@earthjusti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2024-04-24T20:43:00Z</dcterms:created>
  <dcterms:modified xsi:type="dcterms:W3CDTF">2024-04-25T13:06:00Z</dcterms:modified>
</cp:coreProperties>
</file>