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080E7" w14:textId="77777777" w:rsidR="00CB5276" w:rsidRDefault="00CE2C9A" w:rsidP="00CE2C9A">
      <w:pPr>
        <w:pStyle w:val="OrderHeading"/>
      </w:pPr>
      <w:r>
        <w:t>BEFORE THE FLORIDA PUBLIC SERVICE COMMISSION</w:t>
      </w:r>
    </w:p>
    <w:p w14:paraId="2C3E065F" w14:textId="77777777" w:rsidR="00CE2C9A" w:rsidRDefault="00CE2C9A" w:rsidP="00CE2C9A">
      <w:pPr>
        <w:pStyle w:val="OrderBody"/>
      </w:pPr>
    </w:p>
    <w:p w14:paraId="628725EE" w14:textId="77777777" w:rsidR="00CE2C9A" w:rsidRDefault="00CE2C9A" w:rsidP="00CE2C9A">
      <w:pPr>
        <w:pStyle w:val="OrderBody"/>
      </w:pPr>
    </w:p>
    <w:tbl>
      <w:tblPr>
        <w:tblW w:w="0" w:type="auto"/>
        <w:tblBorders>
          <w:insideV w:val="double" w:sz="4" w:space="0" w:color="auto"/>
        </w:tblBorders>
        <w:tblLook w:val="01E0" w:firstRow="1" w:lastRow="1" w:firstColumn="1" w:lastColumn="1" w:noHBand="0" w:noVBand="0"/>
      </w:tblPr>
      <w:tblGrid>
        <w:gridCol w:w="4681"/>
        <w:gridCol w:w="4679"/>
      </w:tblGrid>
      <w:tr w:rsidR="00CE2C9A" w:rsidRPr="00C63FCF" w14:paraId="560F8212" w14:textId="77777777" w:rsidTr="00C63FCF">
        <w:trPr>
          <w:trHeight w:val="828"/>
        </w:trPr>
        <w:tc>
          <w:tcPr>
            <w:tcW w:w="4788" w:type="dxa"/>
            <w:tcBorders>
              <w:bottom w:val="single" w:sz="8" w:space="0" w:color="auto"/>
              <w:right w:val="double" w:sz="6" w:space="0" w:color="auto"/>
            </w:tcBorders>
            <w:shd w:val="clear" w:color="auto" w:fill="auto"/>
          </w:tcPr>
          <w:p w14:paraId="75C6F6DF" w14:textId="77777777" w:rsidR="00CE2C9A" w:rsidRDefault="00CE2C9A"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6CF9B9ED" w14:textId="77777777" w:rsidR="00CE2C9A" w:rsidRDefault="00CE2C9A" w:rsidP="00CE2C9A">
            <w:pPr>
              <w:pStyle w:val="OrderBody"/>
            </w:pPr>
            <w:r>
              <w:t xml:space="preserve">DOCKET NO. </w:t>
            </w:r>
            <w:bookmarkStart w:id="1" w:name="SSDocketNo"/>
            <w:bookmarkEnd w:id="1"/>
            <w:r>
              <w:t>20240068-WS</w:t>
            </w:r>
          </w:p>
          <w:p w14:paraId="435EAF1C" w14:textId="63273222" w:rsidR="00CE2C9A" w:rsidRDefault="00CE2C9A" w:rsidP="00C63FCF">
            <w:pPr>
              <w:pStyle w:val="OrderBody"/>
              <w:tabs>
                <w:tab w:val="center" w:pos="4320"/>
                <w:tab w:val="right" w:pos="8640"/>
              </w:tabs>
              <w:jc w:val="left"/>
            </w:pPr>
            <w:r>
              <w:t xml:space="preserve">ORDER NO. </w:t>
            </w:r>
            <w:bookmarkStart w:id="2" w:name="OrderNo0259"/>
            <w:r w:rsidR="00E01DA2">
              <w:t>PSC-2024-0259-PCO-WS</w:t>
            </w:r>
            <w:bookmarkEnd w:id="2"/>
          </w:p>
          <w:p w14:paraId="2270A24F" w14:textId="71BB34FD" w:rsidR="00CE2C9A" w:rsidRDefault="00CE2C9A" w:rsidP="00C63FCF">
            <w:pPr>
              <w:pStyle w:val="OrderBody"/>
              <w:tabs>
                <w:tab w:val="center" w:pos="4320"/>
                <w:tab w:val="right" w:pos="8640"/>
              </w:tabs>
              <w:jc w:val="left"/>
            </w:pPr>
            <w:r>
              <w:t xml:space="preserve">ISSUED: </w:t>
            </w:r>
            <w:r w:rsidR="00E01DA2">
              <w:t>July 23, 2024</w:t>
            </w:r>
          </w:p>
        </w:tc>
      </w:tr>
    </w:tbl>
    <w:p w14:paraId="2BFDD06C" w14:textId="77777777" w:rsidR="00CE2C9A" w:rsidRDefault="00CE2C9A" w:rsidP="00CE2C9A"/>
    <w:p w14:paraId="43317795" w14:textId="77777777" w:rsidR="00CE2C9A" w:rsidRDefault="00CE2C9A" w:rsidP="00CE2C9A"/>
    <w:p w14:paraId="5BC55962" w14:textId="77777777" w:rsidR="00CB5276" w:rsidRDefault="00CE2C9A" w:rsidP="00CE2C9A">
      <w:pPr>
        <w:pStyle w:val="CenterUnderline"/>
      </w:pPr>
      <w:bookmarkStart w:id="3" w:name="Commissioners"/>
      <w:bookmarkEnd w:id="3"/>
      <w:r>
        <w:t>ORDER</w:t>
      </w:r>
      <w:bookmarkStart w:id="4" w:name="OrderTitle"/>
      <w:r>
        <w:t xml:space="preserve"> ESTABLISHING PROCEDURE </w:t>
      </w:r>
      <w:bookmarkEnd w:id="4"/>
    </w:p>
    <w:p w14:paraId="3D02DEAA" w14:textId="77777777" w:rsidR="00CE2C9A" w:rsidRDefault="00CE2C9A" w:rsidP="00CE2C9A">
      <w:pPr>
        <w:pStyle w:val="OrderBody"/>
      </w:pPr>
    </w:p>
    <w:p w14:paraId="32250656" w14:textId="77777777" w:rsidR="007E5860" w:rsidRDefault="007E5860" w:rsidP="00CE2C9A">
      <w:pPr>
        <w:pStyle w:val="OrderBody"/>
      </w:pPr>
    </w:p>
    <w:p w14:paraId="5170DE45"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CE2C9A">
        <w:rPr>
          <w:b/>
          <w:bCs/>
        </w:rPr>
        <w:t>I.</w:t>
      </w:r>
      <w:r w:rsidRPr="00CE2C9A">
        <w:rPr>
          <w:b/>
          <w:bCs/>
        </w:rPr>
        <w:tab/>
      </w:r>
      <w:r w:rsidRPr="00CE2C9A">
        <w:rPr>
          <w:b/>
          <w:bCs/>
          <w:u w:val="single"/>
        </w:rPr>
        <w:t>Case Background</w:t>
      </w:r>
    </w:p>
    <w:p w14:paraId="720BCC6A"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ADE60F" w14:textId="77777777" w:rsidR="0034666A" w:rsidRDefault="0034666A" w:rsidP="00E6016D">
      <w:pPr>
        <w:ind w:firstLine="720"/>
        <w:jc w:val="both"/>
      </w:pPr>
      <w:r>
        <w:t xml:space="preserve">Sunshine Water Services </w:t>
      </w:r>
      <w:r w:rsidR="003040A7">
        <w:t>Company</w:t>
      </w:r>
      <w:r>
        <w:t xml:space="preserve"> (Sunshine</w:t>
      </w:r>
      <w:r w:rsidR="003040A7">
        <w:t xml:space="preserve"> or </w:t>
      </w:r>
      <w:r w:rsidR="00D7400E">
        <w:t>Utility</w:t>
      </w:r>
      <w:r>
        <w:t>) is a Cl</w:t>
      </w:r>
      <w:r w:rsidR="00D7400E">
        <w:t>ass A U</w:t>
      </w:r>
      <w:r w:rsidR="00E6016D">
        <w:t xml:space="preserve">tility that operates 27 </w:t>
      </w:r>
      <w:r>
        <w:t>water and wastewater facilities in Charlotte, Highlands, Lake, Lee, Marion, Orange, Pasco, Pinellas, Polk, and Seminole Counties.</w:t>
      </w:r>
      <w:r w:rsidRPr="00D12988">
        <w:t xml:space="preserve"> </w:t>
      </w:r>
      <w:r>
        <w:t>On April 19, 2024, Sunshine filed a letter, requesting approval of a historic test year ending on December 31, 2023 for purposes of establishing final rates. Sunshine’s test year request was approved on May 6, 2024 for the purposes of filing a rate increase petition and Minim</w:t>
      </w:r>
      <w:r w:rsidR="00D7400E">
        <w:t>um</w:t>
      </w:r>
      <w:r>
        <w:t xml:space="preserve"> Filing Requirement (MFRs). </w:t>
      </w:r>
      <w:r w:rsidR="003040A7">
        <w:t xml:space="preserve">Based on its approved test year, Sunshine filed a petition and MFRs on </w:t>
      </w:r>
      <w:r w:rsidR="00D05DE7">
        <w:t>June 28, 2024.</w:t>
      </w:r>
    </w:p>
    <w:p w14:paraId="2F5FA87D" w14:textId="77777777" w:rsidR="0034666A" w:rsidRDefault="0034666A" w:rsidP="00E6016D">
      <w:pPr>
        <w:ind w:firstLine="720"/>
        <w:jc w:val="both"/>
      </w:pPr>
    </w:p>
    <w:p w14:paraId="03CF917D" w14:textId="77777777" w:rsidR="0034666A" w:rsidRDefault="0034666A" w:rsidP="00E6016D">
      <w:pPr>
        <w:spacing w:after="240"/>
        <w:jc w:val="both"/>
      </w:pPr>
      <w:r>
        <w:tab/>
        <w:t xml:space="preserve">This proceeding has been scheduled for an administrative hearing beginning on </w:t>
      </w:r>
      <w:r w:rsidR="002948EF">
        <w:t>February 11</w:t>
      </w:r>
      <w:r w:rsidR="003040A7" w:rsidRPr="00150D9E">
        <w:t>, 2025</w:t>
      </w:r>
      <w:r w:rsidRPr="00150D9E">
        <w:t xml:space="preserve">. </w:t>
      </w:r>
      <w:r w:rsidR="002948EF">
        <w:t>February 12-13</w:t>
      </w:r>
      <w:r w:rsidR="003040A7" w:rsidRPr="00150D9E">
        <w:t>, 2025</w:t>
      </w:r>
      <w:r>
        <w:t xml:space="preserve"> are reserved for continuation of the hearing</w:t>
      </w:r>
      <w:r w:rsidR="00D05DE7">
        <w:t xml:space="preserve"> if needed</w:t>
      </w:r>
      <w:r>
        <w:t xml:space="preserve">. </w:t>
      </w:r>
    </w:p>
    <w:p w14:paraId="4D0D263A" w14:textId="77777777" w:rsidR="00CE2C9A" w:rsidRPr="00CE2C9A" w:rsidRDefault="0034666A" w:rsidP="00E60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E2C9A" w:rsidRPr="00CE2C9A">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0C80534B" w14:textId="77777777" w:rsidR="00CE2C9A" w:rsidRPr="00CE2C9A" w:rsidRDefault="00CE2C9A" w:rsidP="00E60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2081E04"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rPr>
          <w:b/>
          <w:bCs/>
        </w:rPr>
        <w:t>II.</w:t>
      </w:r>
      <w:r w:rsidRPr="00CE2C9A">
        <w:rPr>
          <w:b/>
          <w:bCs/>
        </w:rPr>
        <w:tab/>
      </w:r>
      <w:r w:rsidRPr="00CE2C9A">
        <w:rPr>
          <w:b/>
          <w:bCs/>
          <w:u w:val="single"/>
        </w:rPr>
        <w:t>General Filing Procedures</w:t>
      </w:r>
    </w:p>
    <w:p w14:paraId="7C745B03"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D480F2"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CE2C9A">
          <w:rPr>
            <w:color w:val="0000FF"/>
            <w:u w:val="single"/>
          </w:rPr>
          <w:t>www.floridapsc.com</w:t>
        </w:r>
      </w:hyperlink>
      <w:r w:rsidRPr="00CE2C9A">
        <w:t>.  If filing via mail, hand delivery, or courier</w:t>
      </w:r>
      <w:r w:rsidR="00E6016D">
        <w:t xml:space="preserve"> service, the filing should be </w:t>
      </w:r>
      <w:r w:rsidRPr="00CE2C9A">
        <w:t>addressed to:</w:t>
      </w:r>
    </w:p>
    <w:p w14:paraId="71638B5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E4A69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Office of Commission Clerk </w:t>
      </w:r>
    </w:p>
    <w:p w14:paraId="68D8254E"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Florida Public Service Commission</w:t>
      </w:r>
    </w:p>
    <w:p w14:paraId="471C067D"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2540 Shumard Oak Boulevard</w:t>
      </w:r>
    </w:p>
    <w:p w14:paraId="1931CB7E" w14:textId="77777777" w:rsidR="00BD4EE9"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Tallahassee, Florida  32399-0850</w:t>
      </w:r>
    </w:p>
    <w:p w14:paraId="265871B3" w14:textId="77777777" w:rsidR="00BD4EE9" w:rsidRDefault="00BD4EE9"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A0008A" w14:textId="77777777" w:rsidR="00CE2C9A" w:rsidRPr="00CE2C9A" w:rsidRDefault="00BD4EE9"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E2C9A" w:rsidRPr="00CE2C9A">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w:t>
      </w:r>
      <w:r w:rsidR="00CE2C9A" w:rsidRPr="00CE2C9A">
        <w:lastRenderedPageBreak/>
        <w:t>filing, an electronic copy of all filings shall also be provided to parties and Commission staff in Microsoft Word format and all schedules shall be provided in Microsoft Excel format with formulas intact and unlocked.</w:t>
      </w:r>
    </w:p>
    <w:p w14:paraId="4D4176F6"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7DAA7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rPr>
          <w:b/>
        </w:rPr>
        <w:t>III.</w:t>
      </w:r>
      <w:r w:rsidRPr="00CE2C9A">
        <w:rPr>
          <w:b/>
        </w:rPr>
        <w:tab/>
      </w:r>
      <w:r w:rsidRPr="00CE2C9A">
        <w:rPr>
          <w:b/>
          <w:u w:val="single"/>
        </w:rPr>
        <w:t>Notice and Public Information</w:t>
      </w:r>
    </w:p>
    <w:p w14:paraId="67023F32" w14:textId="77777777" w:rsidR="003040A7" w:rsidRPr="003D4770" w:rsidRDefault="00CE2C9A" w:rsidP="003040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r>
    </w:p>
    <w:p w14:paraId="5C3F4D6F" w14:textId="77777777" w:rsidR="00352E91" w:rsidRPr="00E61EA2" w:rsidRDefault="003040A7" w:rsidP="00352E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D4770">
        <w:tab/>
      </w:r>
      <w:r w:rsidR="00352E91" w:rsidRPr="00E61EA2">
        <w:t xml:space="preserve">The </w:t>
      </w:r>
      <w:r w:rsidR="00D7400E">
        <w:t xml:space="preserve">Utility </w:t>
      </w:r>
      <w:r w:rsidR="00352E91" w:rsidRPr="00E61EA2">
        <w:t xml:space="preserve">shall comply with the requirements of Rule </w:t>
      </w:r>
      <w:r w:rsidR="00352E91" w:rsidRPr="001C0EBF">
        <w:t xml:space="preserve">25-22.0407, F.A.C. </w:t>
      </w:r>
    </w:p>
    <w:p w14:paraId="038A873A" w14:textId="77777777" w:rsidR="00352E91" w:rsidRPr="00E61EA2" w:rsidRDefault="00352E91" w:rsidP="00352E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725EC2" w14:textId="77777777" w:rsidR="00352E91" w:rsidRPr="00E61EA2" w:rsidRDefault="00352E91" w:rsidP="00352E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notice required by Rule </w:t>
      </w:r>
      <w:r w:rsidRPr="001C0EBF">
        <w:t xml:space="preserve">25-22.0407, </w:t>
      </w:r>
      <w:r w:rsidRPr="00E61EA2">
        <w:t xml:space="preserve">F.A.C., shall also include a statement that any customer comments regarding the </w:t>
      </w:r>
      <w:r w:rsidR="00D7400E">
        <w:t>Utility</w:t>
      </w:r>
      <w:r w:rsidRPr="00E61EA2">
        <w:t>'s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14:paraId="62AA3C80" w14:textId="77777777" w:rsidR="00352E91" w:rsidRPr="00E61EA2" w:rsidRDefault="00352E91" w:rsidP="00352E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7DFD670" w14:textId="77777777" w:rsidR="00352E91" w:rsidRPr="00E61EA2" w:rsidRDefault="00352E91" w:rsidP="00352E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In addition to the requirements of Rule </w:t>
      </w:r>
      <w:r w:rsidRPr="00F0613E">
        <w:t xml:space="preserve">25-22.0407, </w:t>
      </w:r>
      <w:r w:rsidRPr="00E61EA2">
        <w:t xml:space="preserve">F.A.C., the </w:t>
      </w:r>
      <w:r w:rsidR="00D7400E">
        <w:t xml:space="preserve">Utility </w:t>
      </w:r>
      <w:r w:rsidRPr="00E61EA2">
        <w:t xml:space="preserve">shall give written notice of the date, time, location, and purpose of the hearing to each of its customers no less than </w:t>
      </w:r>
      <w:r>
        <w:t>14</w:t>
      </w:r>
      <w:r w:rsidRPr="00E61EA2">
        <w:t xml:space="preserve"> days </w:t>
      </w:r>
      <w:r w:rsidR="00D05DE7">
        <w:t xml:space="preserve">and no more than 30 days </w:t>
      </w:r>
      <w:r w:rsidRPr="00E61EA2">
        <w:t xml:space="preserve">prior to the first day of the hearing. The </w:t>
      </w:r>
      <w:r w:rsidR="00D7400E">
        <w:t xml:space="preserve">Utility </w:t>
      </w:r>
      <w:r w:rsidRPr="00E61EA2">
        <w:t>shall utilize first class mail for notices sent to customers with out-of-town mailing addresses.</w:t>
      </w:r>
    </w:p>
    <w:p w14:paraId="21325BA9"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F3151F" w14:textId="77777777" w:rsidR="00CE2C9A" w:rsidRPr="00CE2C9A" w:rsidRDefault="00D05DE7"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CE2C9A" w:rsidRPr="00CE2C9A">
        <w:rPr>
          <w:b/>
        </w:rPr>
        <w:t>V.</w:t>
      </w:r>
      <w:r w:rsidR="00CE2C9A" w:rsidRPr="00CE2C9A">
        <w:rPr>
          <w:b/>
        </w:rPr>
        <w:tab/>
      </w:r>
      <w:r w:rsidR="00CE2C9A" w:rsidRPr="00CE2C9A">
        <w:rPr>
          <w:b/>
          <w:u w:val="single"/>
        </w:rPr>
        <w:t>Prefiled Testimony and Exhibits</w:t>
      </w:r>
    </w:p>
    <w:p w14:paraId="3F7E1EF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77390E" w14:textId="77777777" w:rsidR="00CE2C9A" w:rsidRPr="00E6016D"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Each party shall file all testimony and exhibits that it intends to sponsor, pursuant to the schedule set forth in </w:t>
      </w:r>
      <w:r w:rsidR="00352E91" w:rsidRPr="00150D9E">
        <w:t xml:space="preserve">Section </w:t>
      </w:r>
      <w:r w:rsidR="00D05DE7" w:rsidRPr="00150D9E">
        <w:t>I</w:t>
      </w:r>
      <w:r w:rsidR="00352E91" w:rsidRPr="00150D9E">
        <w:t>X</w:t>
      </w:r>
      <w:r w:rsidR="00352E91" w:rsidRPr="00CE2C9A" w:rsidDel="00352E91">
        <w:t xml:space="preserve"> </w:t>
      </w:r>
      <w:r w:rsidRPr="00CE2C9A">
        <w:t xml:space="preserve">of this Order.  Testimony and exhibits may be filed electronically. </w:t>
      </w:r>
      <w:r w:rsidRPr="00E6016D">
        <w:t>If filing electronically, each set of testimony and accompanying exhibits must be saved as distinct and separate electronic files; multiple sets of testimony and exhibits combined in a single electronic file are not acceptable.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w:t>
      </w:r>
    </w:p>
    <w:p w14:paraId="4CD4BEED" w14:textId="77777777" w:rsidR="00CE2C9A" w:rsidRPr="00E6016D"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AD7912" w14:textId="77777777" w:rsidR="00CE2C9A" w:rsidRDefault="00CE2C9A" w:rsidP="00BD4E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016D">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14:paraId="520A5B63" w14:textId="77777777" w:rsidR="00AA0934" w:rsidRPr="00CE2C9A" w:rsidRDefault="00AA0934"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60D97A"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08840879"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C45B3D7" w14:textId="77777777" w:rsidR="00CE2C9A" w:rsidRPr="00CE2C9A" w:rsidRDefault="00E6016D"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b/>
      </w:r>
      <w:r w:rsidR="00CE2C9A" w:rsidRPr="00CE2C9A">
        <w:t>Each exhibit sponsored by a witness in support of his or her prefiled testimony shall be:</w:t>
      </w:r>
    </w:p>
    <w:p w14:paraId="29112D8D"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130D4A06" w14:textId="77777777" w:rsidR="00CE2C9A" w:rsidRPr="00CE2C9A" w:rsidRDefault="00CE2C9A" w:rsidP="00CE2C9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Attached to that witness’ testimony when filed;</w:t>
      </w:r>
    </w:p>
    <w:p w14:paraId="7FDD8CCF" w14:textId="77777777" w:rsidR="00CE2C9A" w:rsidRPr="00CE2C9A" w:rsidRDefault="00CE2C9A" w:rsidP="00CE2C9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If filing paper copies, on three-holed paper, unbound, and without tabs;</w:t>
      </w:r>
    </w:p>
    <w:p w14:paraId="716FF016" w14:textId="77777777" w:rsidR="00CE2C9A" w:rsidRPr="00CE2C9A" w:rsidRDefault="00CE2C9A" w:rsidP="00CE2C9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lastRenderedPageBreak/>
        <w:t>Sequentially numbered beginning with 1 (any exhibits attached to subsequently filed testimony of the same witness shall continue the sequential numbering system);</w:t>
      </w:r>
    </w:p>
    <w:p w14:paraId="6E5A64D0" w14:textId="77777777" w:rsidR="00CE2C9A" w:rsidRPr="00CE2C9A" w:rsidRDefault="00CE2C9A" w:rsidP="00CE2C9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Identified in the upper right-hand corner of each page by the docket number, a brief title, and the witness’ initials followed by the exhibit’s number; and</w:t>
      </w:r>
    </w:p>
    <w:p w14:paraId="1CDA8443" w14:textId="77777777" w:rsidR="00CE2C9A" w:rsidRPr="00CE2C9A" w:rsidRDefault="00CE2C9A" w:rsidP="00CE2C9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Paginated by showing in the upper right-hand corner of each page the page number followed by the total number of pages in the exhibit.</w:t>
      </w:r>
    </w:p>
    <w:p w14:paraId="0610CC32"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D764313"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ab/>
        <w:t>An example of the information to appear in the upper right-hand corner of the exhibit is as follows:</w:t>
      </w:r>
    </w:p>
    <w:p w14:paraId="4CF8107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9D440E"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tab/>
      </w:r>
      <w:r w:rsidRPr="00CE2C9A">
        <w:tab/>
        <w:t>Docket No. 20012345-EI</w:t>
      </w:r>
    </w:p>
    <w:p w14:paraId="2348B337"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tab/>
      </w:r>
      <w:r w:rsidRPr="00CE2C9A">
        <w:tab/>
        <w:t>Foreign Coal Shipments to Port of Tampa</w:t>
      </w:r>
    </w:p>
    <w:p w14:paraId="37100E9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tab/>
      </w:r>
      <w:r w:rsidRPr="00CE2C9A">
        <w:tab/>
        <w:t>Exhibit BLW-1, Page 1 of 2</w:t>
      </w:r>
    </w:p>
    <w:p w14:paraId="7E0B6C05"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3C077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After an opportunity for opposing parties to object to introduction of the exhibits and to cross-examine the witness sponsoring them, exhibits may be offered into evidence at the hearing.</w:t>
      </w:r>
    </w:p>
    <w:p w14:paraId="74F7E9B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CD6712"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rPr>
          <w:b/>
        </w:rPr>
        <w:t>V.</w:t>
      </w:r>
      <w:r w:rsidRPr="00CE2C9A">
        <w:rPr>
          <w:b/>
        </w:rPr>
        <w:tab/>
      </w:r>
      <w:r w:rsidRPr="00CE2C9A">
        <w:rPr>
          <w:b/>
          <w:u w:val="single"/>
        </w:rPr>
        <w:t>Discovery Procedures</w:t>
      </w:r>
    </w:p>
    <w:p w14:paraId="13F7FEE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F988F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A.</w:t>
      </w:r>
      <w:r w:rsidRPr="00CE2C9A">
        <w:tab/>
      </w:r>
      <w:r w:rsidRPr="00CE2C9A">
        <w:rPr>
          <w:u w:val="single"/>
        </w:rPr>
        <w:t>General Requirements</w:t>
      </w:r>
    </w:p>
    <w:p w14:paraId="1F08C21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0B2CC6" w14:textId="0A1DC0BD"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r>
      <w:r w:rsidR="003B261B">
        <w:t>Discovery shall be conducted in accordance with the provisions of Chapter 120,</w:t>
      </w:r>
      <w:r w:rsidR="0001703C" w:rsidRPr="0001703C">
        <w:t xml:space="preserve"> </w:t>
      </w:r>
      <w:r w:rsidR="0001703C" w:rsidRPr="00EF753E">
        <w:t>Florida Statutes (F.S.)</w:t>
      </w:r>
      <w:r w:rsidR="003B261B">
        <w:t>, and the relevant provisions of Chapter 366, F.S.; Rules 25-22, 25-40, and 28-106, F.A.C., and the Florida Rules of Civil Procedure (as applicable), as modified herein or as may be subsequently modified by the Prehearing Officer.</w:t>
      </w:r>
    </w:p>
    <w:p w14:paraId="7DC16CC9" w14:textId="77777777" w:rsidR="00BD548B" w:rsidRDefault="00BD548B" w:rsidP="00BD4E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775874" w14:textId="77777777" w:rsidR="00CE2C9A" w:rsidRPr="00CE2C9A" w:rsidRDefault="00BD548B"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E2C9A" w:rsidRPr="00CE2C9A">
        <w:t>Unless subsequently modified by the Prehearing Officer, the following shall apply:</w:t>
      </w:r>
    </w:p>
    <w:p w14:paraId="7D89104F"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43B36B" w14:textId="77777777" w:rsidR="00CE2C9A" w:rsidRPr="00CE2C9A" w:rsidRDefault="00CE2C9A" w:rsidP="00CE2C9A">
      <w:pPr>
        <w:spacing w:line="2" w:lineRule="exact"/>
        <w:jc w:val="both"/>
      </w:pPr>
    </w:p>
    <w:p w14:paraId="5646D388"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 xml:space="preserve">Discovery shall be completed by </w:t>
      </w:r>
      <w:r w:rsidR="002948EF">
        <w:t>January 16</w:t>
      </w:r>
      <w:r w:rsidR="003B261B" w:rsidRPr="00150D9E">
        <w:t>, 2025.</w:t>
      </w:r>
      <w:r w:rsidR="003B261B" w:rsidRPr="00FB31D5">
        <w:t xml:space="preserve"> </w:t>
      </w:r>
    </w:p>
    <w:p w14:paraId="762DE311"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596CFB22"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Each electronic discovery response shall be given a separate electronic file name that is no longer than 60 characters.</w:t>
      </w:r>
    </w:p>
    <w:p w14:paraId="44EB4036"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Sets of interrogatories, requests for admissions, requests for production of documents, or other forms of discovery shall be numbered sequentially in order to facilitate identification.</w:t>
      </w:r>
    </w:p>
    <w:p w14:paraId="100B30EF"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Within each set, discovery requests shall be numbered sequentially, and any discovery requests in subsequent sets shall continue the sequential numbering system.</w:t>
      </w:r>
    </w:p>
    <w:p w14:paraId="18610815" w14:textId="77777777" w:rsidR="00CE2C9A" w:rsidRPr="00CE2C9A" w:rsidRDefault="003B261B" w:rsidP="00FB31D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lastRenderedPageBreak/>
        <w:t xml:space="preserve">Discovery responses shall be served within </w:t>
      </w:r>
      <w:r w:rsidRPr="00C2391C">
        <w:t>20 days</w:t>
      </w:r>
      <w:r w:rsidRPr="007659C3">
        <w:t xml:space="preserve"> (inclusive of mailing) of re</w:t>
      </w:r>
      <w:r>
        <w:t xml:space="preserve">ceipt of the discovery request. </w:t>
      </w:r>
      <w:r w:rsidRPr="007659C3">
        <w:t xml:space="preserve"> </w:t>
      </w:r>
      <w:r w:rsidRPr="00544D0C">
        <w:t xml:space="preserve">For discovery requests related to matters addressed in the </w:t>
      </w:r>
      <w:r w:rsidR="00D7400E">
        <w:t>Utility</w:t>
      </w:r>
      <w:r w:rsidRPr="00544D0C">
        <w:t>’s rebuttal testimony, discovery responses shall be served within</w:t>
      </w:r>
      <w:r w:rsidRPr="00544D0C">
        <w:rPr>
          <w:b/>
        </w:rPr>
        <w:t xml:space="preserve"> </w:t>
      </w:r>
      <w:r w:rsidRPr="00544D0C">
        <w:t>7 days of receipt of the discovery request.</w:t>
      </w:r>
      <w:r w:rsidR="00CE2C9A" w:rsidRPr="00CE2C9A">
        <w:t xml:space="preserve"> </w:t>
      </w:r>
    </w:p>
    <w:p w14:paraId="5D7FDD80"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 xml:space="preserve">Each page of every document produced pursuant to requests for production of documents shall be identified individually through the use of a Bates Stamp or other equivalent method of sequential identification.  Parties should </w:t>
      </w:r>
      <w:r w:rsidR="00E6016D" w:rsidRPr="00CE2C9A">
        <w:t>number produced</w:t>
      </w:r>
      <w:r w:rsidRPr="00CE2C9A">
        <w:t xml:space="preserve"> documents in an unbroken sequence through the final hearing.</w:t>
      </w:r>
    </w:p>
    <w:p w14:paraId="0D616978" w14:textId="77777777" w:rsidR="00CE2C9A" w:rsidRPr="00E6016D"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6016D">
        <w:t xml:space="preserve">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  The address block for Commission staff shall include the email address </w:t>
      </w:r>
      <w:hyperlink r:id="rId9" w:history="1">
        <w:r w:rsidRPr="00E6016D">
          <w:rPr>
            <w:color w:val="0000FF"/>
            <w:u w:val="single"/>
          </w:rPr>
          <w:t>discovery-gcl@psc.state.fl.us</w:t>
        </w:r>
      </w:hyperlink>
      <w:r w:rsidRPr="00E6016D">
        <w:t xml:space="preserve"> in addition to the email address for staff counsel.</w:t>
      </w:r>
    </w:p>
    <w:p w14:paraId="6D17DEA2" w14:textId="77777777" w:rsidR="00CE2C9A" w:rsidRPr="00CE2C9A" w:rsidRDefault="00CE2C9A" w:rsidP="00CE2C9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47C4D5F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51ABA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Unless subsequently modified by the Prehearing Officer, the following shall apply:</w:t>
      </w:r>
    </w:p>
    <w:p w14:paraId="09337C6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38B851" w14:textId="77777777" w:rsidR="00CE2C9A" w:rsidRPr="00CE2C9A" w:rsidRDefault="00CE2C9A" w:rsidP="00CE2C9A">
      <w:pPr>
        <w:spacing w:line="2" w:lineRule="exact"/>
        <w:jc w:val="both"/>
      </w:pPr>
    </w:p>
    <w:p w14:paraId="7603ABAD" w14:textId="77777777" w:rsidR="00CE2C9A" w:rsidRPr="00CE2C9A" w:rsidRDefault="00CE2C9A" w:rsidP="00CE2C9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 xml:space="preserve">Interrogatories, including all subparts, shall be limited </w:t>
      </w:r>
      <w:r w:rsidR="003B261B">
        <w:t>to 500.</w:t>
      </w:r>
    </w:p>
    <w:p w14:paraId="05DE0B28" w14:textId="77777777" w:rsidR="00CE2C9A" w:rsidRPr="00CE2C9A" w:rsidRDefault="00CE2C9A" w:rsidP="00CE2C9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 xml:space="preserve">Requests for production of documents, including all subparts, shall be limited </w:t>
      </w:r>
      <w:r w:rsidR="00E6016D" w:rsidRPr="00CE2C9A">
        <w:t>to 500</w:t>
      </w:r>
      <w:r w:rsidR="003B261B">
        <w:t xml:space="preserve">. </w:t>
      </w:r>
    </w:p>
    <w:p w14:paraId="325EA206" w14:textId="77777777" w:rsidR="00CE2C9A" w:rsidRPr="00CE2C9A" w:rsidRDefault="00CE2C9A" w:rsidP="00CE2C9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Requests for admissions, including all subparts, shall be limited to</w:t>
      </w:r>
      <w:r w:rsidR="003B261B">
        <w:t xml:space="preserve"> 500</w:t>
      </w:r>
      <w:r w:rsidRPr="00CE2C9A">
        <w:t>.</w:t>
      </w:r>
    </w:p>
    <w:p w14:paraId="737A8543"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E574750" w14:textId="77777777" w:rsidR="003B261B" w:rsidRPr="00E61EA2" w:rsidRDefault="003B261B" w:rsidP="003B261B">
      <w:pPr>
        <w:ind w:firstLine="720"/>
        <w:jc w:val="both"/>
        <w:rPr>
          <w:rFonts w:cs="Courier New"/>
        </w:rPr>
      </w:pPr>
      <w:r w:rsidRPr="00E61EA2">
        <w:rPr>
          <w:rFonts w:cs="Courier New"/>
        </w:rPr>
        <w:t xml:space="preserve">When a discovery request is served and the respondent intends to seek clarification of any portion of the discovery request, the respondent shall request such clarification within </w:t>
      </w:r>
      <w:r w:rsidR="00E6016D">
        <w:rPr>
          <w:rFonts w:cs="Courier New"/>
        </w:rPr>
        <w:t>5</w:t>
      </w:r>
      <w:r w:rsidRPr="00E61EA2">
        <w:rPr>
          <w:rFonts w:cs="Courier New"/>
        </w:rPr>
        <w:t xml:space="preserve"> days of service of the discovery request. </w:t>
      </w:r>
      <w:r w:rsidRPr="00671D30">
        <w:rPr>
          <w:rFonts w:cs="Courier New"/>
        </w:rPr>
        <w:t xml:space="preserve">For discovery requests served after the date for rebuttal testimony, such clarification must be requested within </w:t>
      </w:r>
      <w:r w:rsidR="00E6016D">
        <w:rPr>
          <w:rFonts w:cs="Courier New"/>
        </w:rPr>
        <w:t>2</w:t>
      </w:r>
      <w:r w:rsidRPr="00671D30">
        <w:rPr>
          <w:rFonts w:cs="Courier New"/>
        </w:rPr>
        <w:t xml:space="preserve"> days.</w:t>
      </w:r>
      <w:r w:rsidRPr="00E61EA2">
        <w:rPr>
          <w:rFonts w:cs="Courier New"/>
        </w:rPr>
        <w:t xml:space="preserve"> This procedure is intended to reduce delay in resolving discovery disputes.</w:t>
      </w:r>
    </w:p>
    <w:p w14:paraId="35579829"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C753D66"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ab/>
        <w:t>B.</w:t>
      </w:r>
      <w:r w:rsidRPr="00CE2C9A">
        <w:tab/>
      </w:r>
      <w:r w:rsidRPr="00CE2C9A">
        <w:rPr>
          <w:u w:val="single"/>
        </w:rPr>
        <w:t>Confidential Information Provided Pursuant to Discovery</w:t>
      </w:r>
      <w:r w:rsidRPr="00CE2C9A">
        <w:tab/>
      </w:r>
    </w:p>
    <w:p w14:paraId="38C17076" w14:textId="77777777" w:rsidR="00CE2C9A" w:rsidRPr="00CE2C9A" w:rsidRDefault="00CE2C9A" w:rsidP="00CE2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00422D3"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Any information provided to the Commission staff pursuant to a discovery request by the staff or any other person and for which proprietary confidential business information status is requested pursuant to Sect</w:t>
      </w:r>
      <w:r w:rsidRPr="00E6016D">
        <w:t xml:space="preserve">ion </w:t>
      </w:r>
      <w:r w:rsidR="00E6016D" w:rsidRPr="00E6016D">
        <w:rPr>
          <w:bCs/>
          <w:shd w:val="clear" w:color="auto" w:fill="FFFFFF"/>
        </w:rPr>
        <w:t>367.156</w:t>
      </w:r>
      <w:r w:rsidRPr="00E6016D">
        <w:t>,</w:t>
      </w:r>
      <w:r w:rsidRPr="00CE2C9A">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E6016D">
        <w:t>.</w:t>
      </w:r>
      <w:r w:rsidR="00E6016D" w:rsidRPr="00E61EA2">
        <w:t xml:space="preserve"> </w:t>
      </w:r>
      <w:r w:rsidR="00E6016D" w:rsidRPr="000767FE">
        <w:t>367.156(4)</w:t>
      </w:r>
      <w:r w:rsidR="00E6016D" w:rsidRPr="00E61EA2">
        <w:t xml:space="preserve">, </w:t>
      </w:r>
      <w:r w:rsidR="00E6016D" w:rsidRPr="00E61EA2">
        <w:lastRenderedPageBreak/>
        <w:t>F.S.</w:t>
      </w:r>
      <w:r w:rsidRPr="00CE2C9A">
        <w:t xml:space="preserve"> The Commission may determine that continued possession of the information is necessary for the Commission to conduct its business.</w:t>
      </w:r>
    </w:p>
    <w:p w14:paraId="69B8EF30"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BCEC0F"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48B903AB"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CE99A6"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1CE9700A"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7BF77D" w14:textId="77777777"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28D257AB" w14:textId="77777777" w:rsid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7A0C1F"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rPr>
          <w:b/>
          <w:bCs/>
        </w:rPr>
        <w:t>VI.</w:t>
      </w:r>
      <w:r w:rsidRPr="00CE2C9A">
        <w:tab/>
      </w:r>
      <w:r w:rsidRPr="00CE2C9A">
        <w:rPr>
          <w:b/>
          <w:bCs/>
          <w:u w:val="single"/>
        </w:rPr>
        <w:t>Prehearing Procedures</w:t>
      </w:r>
    </w:p>
    <w:p w14:paraId="6D2FC24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3DD0EC" w14:textId="77777777" w:rsidR="00CE2C9A" w:rsidRPr="00E6016D"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tab/>
      </w:r>
      <w:r w:rsidRPr="00E6016D">
        <w:t>A.</w:t>
      </w:r>
      <w:r w:rsidRPr="00E6016D">
        <w:tab/>
      </w:r>
      <w:r w:rsidRPr="00E6016D">
        <w:rPr>
          <w:u w:val="single"/>
        </w:rPr>
        <w:t>Settlements</w:t>
      </w:r>
    </w:p>
    <w:p w14:paraId="4A84DC8E" w14:textId="77777777" w:rsidR="00CE2C9A" w:rsidRPr="00E6016D"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DFFDC" w14:textId="17E22A5B" w:rsidR="00CE2C9A" w:rsidRPr="00CE2C9A" w:rsidRDefault="00CE2C9A" w:rsidP="00E601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016D">
        <w:tab/>
        <w:t>Section 120.57(4), F.S., recognizes that settlement agreements are a viable way to resolve disputes among parties.  The Commission has a history of considering settlements between parties, but there must be sufficient time for our review.  Accordingly, parties are encouraged to file comprehensive settlements as soon as practicable before the scheduled start date of the evidentiary hearing to allow time for discovery</w:t>
      </w:r>
      <w:r w:rsidR="00CE719C">
        <w:t>,</w:t>
      </w:r>
      <w:r w:rsidRPr="00E6016D">
        <w:t xml:space="preserve"> a hearing on the settlement</w:t>
      </w:r>
      <w:r w:rsidR="00CE719C">
        <w:t>, and a post-hearing decision</w:t>
      </w:r>
      <w:r w:rsidRPr="00E6016D">
        <w:t xml:space="preserve">.  Submittal of a settlement at least 6 weeks before the scheduled evidentiary hearing will avoid the possibility of the petitioning </w:t>
      </w:r>
      <w:r w:rsidR="00D7400E">
        <w:t xml:space="preserve">Utility </w:t>
      </w:r>
      <w:r w:rsidRPr="00E6016D">
        <w:t xml:space="preserve">exercising its right to implement rates as filed at the conclusion of the 8-month clock under Section </w:t>
      </w:r>
      <w:r w:rsidR="009955C6">
        <w:t>367.081(6),</w:t>
      </w:r>
      <w:r w:rsidRPr="00E6016D">
        <w:t xml:space="preserve">, F.S., or the need for the </w:t>
      </w:r>
      <w:r w:rsidR="00D7400E">
        <w:t xml:space="preserve">Utility </w:t>
      </w:r>
      <w:r w:rsidRPr="00E6016D">
        <w:t>to waive the 8-month clock.  Nothing herein is intended to limit the timing of the submittal of a settlement by parties, even a settlement submitted post-hearing.  However, regardless when a settlement is filed, the Commission will set aside sufficient time to review</w:t>
      </w:r>
      <w:r w:rsidR="00CE719C">
        <w:t>,</w:t>
      </w:r>
      <w:r w:rsidRPr="00E6016D">
        <w:t xml:space="preserve"> conduct a hearing</w:t>
      </w:r>
      <w:r w:rsidR="00CE719C">
        <w:t>, and render a post-hearing decision</w:t>
      </w:r>
      <w:r w:rsidRPr="00E6016D">
        <w:t xml:space="preserve"> on the settlement.</w:t>
      </w:r>
    </w:p>
    <w:p w14:paraId="421D97AD" w14:textId="77777777" w:rsidR="00CE2C9A" w:rsidRPr="00CE2C9A" w:rsidRDefault="00CE2C9A" w:rsidP="00F570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50B24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tab/>
        <w:t>B.</w:t>
      </w:r>
      <w:r w:rsidRPr="00CE2C9A">
        <w:tab/>
      </w:r>
      <w:r w:rsidRPr="00CE2C9A">
        <w:rPr>
          <w:u w:val="single"/>
        </w:rPr>
        <w:t>Prehearing Statements</w:t>
      </w:r>
    </w:p>
    <w:p w14:paraId="26D2F20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100BEF" w14:textId="77777777" w:rsidR="00CE2C9A" w:rsidRPr="00CE2C9A" w:rsidRDefault="00BD4EE9"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CE2C9A" w:rsidRPr="00CE2C9A">
        <w:t xml:space="preserve">All parties in this docket and the Commission staff shall file a Prehearing Statement pursuant to the schedule set forth in </w:t>
      </w:r>
      <w:r w:rsidR="00CE2C9A" w:rsidRPr="00150D9E">
        <w:t>Section</w:t>
      </w:r>
      <w:r w:rsidR="00F57070" w:rsidRPr="00150D9E">
        <w:t xml:space="preserve"> </w:t>
      </w:r>
      <w:r w:rsidR="00D05DE7" w:rsidRPr="00150D9E">
        <w:t>I</w:t>
      </w:r>
      <w:r w:rsidR="00F57070" w:rsidRPr="00150D9E">
        <w:t>X</w:t>
      </w:r>
      <w:r w:rsidR="00CE2C9A" w:rsidRPr="00CE2C9A">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28A6A74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6BB492"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Each party’s Prehearing Statement shall set forth the following information in the sequence listed below:</w:t>
      </w:r>
    </w:p>
    <w:p w14:paraId="6AFB08D9"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8F556F"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(1)</w:t>
      </w:r>
      <w:r w:rsidRPr="00CE2C9A">
        <w:tab/>
        <w:t>The name of all known witnesses whose testimony has been prefiled or who may be called by the party, along with subject matter of each such witness’ testimony and the corresponding issue numbers in the following format:</w:t>
      </w:r>
    </w:p>
    <w:p w14:paraId="04CD4CAF"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303826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All Known Witnesses:</w:t>
      </w:r>
    </w:p>
    <w:p w14:paraId="48ADB4E7"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880"/>
        <w:gridCol w:w="2535"/>
      </w:tblGrid>
      <w:tr w:rsidR="00CE2C9A" w:rsidRPr="00CE2C9A" w14:paraId="18901F5F" w14:textId="77777777" w:rsidTr="001D65F7">
        <w:tc>
          <w:tcPr>
            <w:tcW w:w="3060" w:type="dxa"/>
            <w:shd w:val="clear" w:color="auto" w:fill="auto"/>
          </w:tcPr>
          <w:p w14:paraId="4B01F0D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E2C9A">
              <w:rPr>
                <w:b/>
              </w:rPr>
              <w:t>Witness</w:t>
            </w:r>
          </w:p>
        </w:tc>
        <w:tc>
          <w:tcPr>
            <w:tcW w:w="2919" w:type="dxa"/>
            <w:shd w:val="clear" w:color="auto" w:fill="auto"/>
          </w:tcPr>
          <w:p w14:paraId="24802ECF"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E2C9A">
              <w:rPr>
                <w:b/>
              </w:rPr>
              <w:t>Subject Matter</w:t>
            </w:r>
          </w:p>
        </w:tc>
        <w:tc>
          <w:tcPr>
            <w:tcW w:w="2571" w:type="dxa"/>
            <w:shd w:val="clear" w:color="auto" w:fill="auto"/>
          </w:tcPr>
          <w:p w14:paraId="64908D7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E2C9A">
              <w:rPr>
                <w:b/>
              </w:rPr>
              <w:t>Issue #</w:t>
            </w:r>
          </w:p>
        </w:tc>
      </w:tr>
      <w:tr w:rsidR="00CE2C9A" w:rsidRPr="00CE2C9A" w14:paraId="6B1FC195" w14:textId="77777777" w:rsidTr="001D65F7">
        <w:tc>
          <w:tcPr>
            <w:tcW w:w="3060" w:type="dxa"/>
            <w:shd w:val="clear" w:color="auto" w:fill="auto"/>
          </w:tcPr>
          <w:p w14:paraId="6C102CC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E2C9A">
              <w:t xml:space="preserve">       </w:t>
            </w:r>
            <w:r w:rsidRPr="00CE2C9A">
              <w:rPr>
                <w:b/>
              </w:rPr>
              <w:t xml:space="preserve"> Direct</w:t>
            </w:r>
          </w:p>
        </w:tc>
        <w:tc>
          <w:tcPr>
            <w:tcW w:w="2919" w:type="dxa"/>
            <w:shd w:val="clear" w:color="auto" w:fill="auto"/>
          </w:tcPr>
          <w:p w14:paraId="4392505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5F2009A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E2C9A" w:rsidRPr="00CE2C9A" w14:paraId="1B180B58" w14:textId="77777777" w:rsidTr="001D65F7">
        <w:tc>
          <w:tcPr>
            <w:tcW w:w="3060" w:type="dxa"/>
            <w:shd w:val="clear" w:color="auto" w:fill="auto"/>
          </w:tcPr>
          <w:p w14:paraId="3C52508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E2C9A">
              <w:t>John Smith</w:t>
            </w:r>
          </w:p>
        </w:tc>
        <w:tc>
          <w:tcPr>
            <w:tcW w:w="2919" w:type="dxa"/>
            <w:shd w:val="clear" w:color="auto" w:fill="auto"/>
          </w:tcPr>
          <w:p w14:paraId="3CE79445"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E2C9A">
              <w:t xml:space="preserve">Subject . . . </w:t>
            </w:r>
          </w:p>
        </w:tc>
        <w:tc>
          <w:tcPr>
            <w:tcW w:w="2571" w:type="dxa"/>
            <w:shd w:val="clear" w:color="auto" w:fill="auto"/>
          </w:tcPr>
          <w:p w14:paraId="1B2FFD6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E2C9A">
              <w:t>1, 3-5</w:t>
            </w:r>
          </w:p>
        </w:tc>
      </w:tr>
    </w:tbl>
    <w:p w14:paraId="0477DCAE"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559AB0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(2)</w:t>
      </w:r>
      <w:r w:rsidRPr="00CE2C9A">
        <w:tab/>
        <w:t>A description of all prefiled exhibits and other exhibits that may be used by the party in presenting its direct case (including individual components of a composite exhibit) and the witness sponsoring each in the following format:</w:t>
      </w:r>
    </w:p>
    <w:p w14:paraId="5C03A8CD"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36F9837"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All Known Exhibits:</w:t>
      </w:r>
    </w:p>
    <w:p w14:paraId="3B2F445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74"/>
        <w:gridCol w:w="1260"/>
        <w:gridCol w:w="2123"/>
        <w:gridCol w:w="1525"/>
      </w:tblGrid>
      <w:tr w:rsidR="00CE2C9A" w:rsidRPr="00CE2C9A" w14:paraId="13460604" w14:textId="77777777" w:rsidTr="001D65F7">
        <w:tc>
          <w:tcPr>
            <w:tcW w:w="974" w:type="dxa"/>
            <w:shd w:val="clear" w:color="auto" w:fill="auto"/>
          </w:tcPr>
          <w:p w14:paraId="1F5E30C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E2C9A">
              <w:rPr>
                <w:b/>
              </w:rPr>
              <w:t>Witness</w:t>
            </w:r>
          </w:p>
        </w:tc>
        <w:tc>
          <w:tcPr>
            <w:tcW w:w="2086" w:type="dxa"/>
            <w:tcBorders>
              <w:bottom w:val="single" w:sz="4" w:space="0" w:color="auto"/>
            </w:tcBorders>
            <w:shd w:val="clear" w:color="auto" w:fill="auto"/>
          </w:tcPr>
          <w:p w14:paraId="7B80F97B" w14:textId="77777777" w:rsidR="00CE2C9A" w:rsidRPr="00CE2C9A" w:rsidRDefault="00CE2C9A" w:rsidP="00CE2C9A">
            <w:pPr>
              <w:rPr>
                <w:b/>
              </w:rPr>
            </w:pPr>
            <w:r w:rsidRPr="00CE2C9A">
              <w:rPr>
                <w:b/>
              </w:rPr>
              <w:t>Proffered By</w:t>
            </w:r>
          </w:p>
        </w:tc>
        <w:tc>
          <w:tcPr>
            <w:tcW w:w="1505" w:type="dxa"/>
            <w:shd w:val="clear" w:color="auto" w:fill="auto"/>
          </w:tcPr>
          <w:p w14:paraId="1DEFEBAE" w14:textId="77777777" w:rsidR="00CE2C9A" w:rsidRPr="00CE2C9A" w:rsidRDefault="00CE2C9A" w:rsidP="00CE2C9A">
            <w:pPr>
              <w:rPr>
                <w:b/>
              </w:rPr>
            </w:pPr>
            <w:r w:rsidRPr="00CE2C9A">
              <w:rPr>
                <w:b/>
              </w:rPr>
              <w:t>Exhibit No.</w:t>
            </w:r>
          </w:p>
        </w:tc>
        <w:tc>
          <w:tcPr>
            <w:tcW w:w="2123" w:type="dxa"/>
            <w:shd w:val="clear" w:color="auto" w:fill="auto"/>
          </w:tcPr>
          <w:p w14:paraId="18313FC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E2C9A">
              <w:rPr>
                <w:b/>
              </w:rPr>
              <w:t>Description</w:t>
            </w:r>
          </w:p>
        </w:tc>
        <w:tc>
          <w:tcPr>
            <w:tcW w:w="1862" w:type="dxa"/>
            <w:shd w:val="clear" w:color="auto" w:fill="auto"/>
          </w:tcPr>
          <w:p w14:paraId="3467F59B" w14:textId="77777777" w:rsidR="00CE2C9A" w:rsidRPr="00CE2C9A" w:rsidRDefault="00CE2C9A" w:rsidP="00CE2C9A">
            <w:pPr>
              <w:rPr>
                <w:b/>
              </w:rPr>
            </w:pPr>
            <w:r w:rsidRPr="00CE2C9A">
              <w:rPr>
                <w:b/>
              </w:rPr>
              <w:t>Issue  #</w:t>
            </w:r>
          </w:p>
        </w:tc>
      </w:tr>
      <w:tr w:rsidR="00CE2C9A" w:rsidRPr="00CE2C9A" w14:paraId="5A07C4C3" w14:textId="77777777" w:rsidTr="001D65F7">
        <w:tc>
          <w:tcPr>
            <w:tcW w:w="974" w:type="dxa"/>
            <w:shd w:val="clear" w:color="auto" w:fill="auto"/>
          </w:tcPr>
          <w:p w14:paraId="00617E9B" w14:textId="77777777" w:rsidR="00CE2C9A" w:rsidRPr="00CE2C9A" w:rsidRDefault="00CE2C9A" w:rsidP="00CE2C9A">
            <w:pPr>
              <w:jc w:val="center"/>
              <w:rPr>
                <w:b/>
              </w:rPr>
            </w:pPr>
            <w:r w:rsidRPr="00CE2C9A">
              <w:rPr>
                <w:b/>
              </w:rPr>
              <w:t>Direct</w:t>
            </w:r>
          </w:p>
        </w:tc>
        <w:tc>
          <w:tcPr>
            <w:tcW w:w="2086" w:type="dxa"/>
            <w:tcBorders>
              <w:top w:val="single" w:sz="4" w:space="0" w:color="auto"/>
            </w:tcBorders>
            <w:shd w:val="clear" w:color="auto" w:fill="auto"/>
          </w:tcPr>
          <w:p w14:paraId="3742A7CC" w14:textId="77777777" w:rsidR="00CE2C9A" w:rsidRPr="00CE2C9A" w:rsidRDefault="00CE2C9A" w:rsidP="00CE2C9A"/>
        </w:tc>
        <w:tc>
          <w:tcPr>
            <w:tcW w:w="1505" w:type="dxa"/>
            <w:shd w:val="clear" w:color="auto" w:fill="auto"/>
          </w:tcPr>
          <w:p w14:paraId="132C0C6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1BE3FA9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14108D4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E2C9A" w:rsidRPr="00CE2C9A" w14:paraId="0EDFDBAF" w14:textId="77777777" w:rsidTr="001D65F7">
        <w:tc>
          <w:tcPr>
            <w:tcW w:w="974" w:type="dxa"/>
            <w:shd w:val="clear" w:color="auto" w:fill="auto"/>
          </w:tcPr>
          <w:p w14:paraId="771457FC" w14:textId="77777777" w:rsidR="00CE2C9A" w:rsidRPr="00CE2C9A" w:rsidRDefault="00CE2C9A" w:rsidP="00CE2C9A">
            <w:r w:rsidRPr="00CE2C9A">
              <w:t>John Smith</w:t>
            </w:r>
          </w:p>
        </w:tc>
        <w:tc>
          <w:tcPr>
            <w:tcW w:w="2086" w:type="dxa"/>
            <w:shd w:val="clear" w:color="auto" w:fill="auto"/>
          </w:tcPr>
          <w:p w14:paraId="62805502" w14:textId="77777777" w:rsidR="00CE2C9A" w:rsidRPr="00CE2C9A" w:rsidRDefault="00CE2C9A" w:rsidP="00CE2C9A">
            <w:r w:rsidRPr="00CE2C9A">
              <w:t>Party/Utility Name</w:t>
            </w:r>
          </w:p>
        </w:tc>
        <w:tc>
          <w:tcPr>
            <w:tcW w:w="1505" w:type="dxa"/>
            <w:shd w:val="clear" w:color="auto" w:fill="auto"/>
          </w:tcPr>
          <w:p w14:paraId="704A0E4E" w14:textId="77777777" w:rsidR="00CE2C9A" w:rsidRPr="00CE2C9A" w:rsidRDefault="00CE2C9A" w:rsidP="00CE2C9A">
            <w:r w:rsidRPr="00CE2C9A">
              <w:t>ABC-1</w:t>
            </w:r>
          </w:p>
        </w:tc>
        <w:tc>
          <w:tcPr>
            <w:tcW w:w="2123" w:type="dxa"/>
            <w:shd w:val="clear" w:color="auto" w:fill="auto"/>
          </w:tcPr>
          <w:p w14:paraId="6413CBB5" w14:textId="77777777" w:rsidR="00CE2C9A" w:rsidRPr="00CE2C9A" w:rsidRDefault="00CE2C9A" w:rsidP="00CE2C9A">
            <w:r w:rsidRPr="00CE2C9A">
              <w:t>Title ......</w:t>
            </w:r>
          </w:p>
        </w:tc>
        <w:tc>
          <w:tcPr>
            <w:tcW w:w="1862" w:type="dxa"/>
            <w:shd w:val="clear" w:color="auto" w:fill="auto"/>
          </w:tcPr>
          <w:p w14:paraId="667AC4E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E2C9A">
              <w:t>1, 3-5</w:t>
            </w:r>
          </w:p>
        </w:tc>
      </w:tr>
    </w:tbl>
    <w:p w14:paraId="3CFB8A49"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8F4F7D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CE2C9A">
        <w:t>(3)</w:t>
      </w:r>
      <w:r w:rsidRPr="00CE2C9A">
        <w:tab/>
        <w:t>A statement of the party’s basic position in the proceeding;</w:t>
      </w:r>
    </w:p>
    <w:p w14:paraId="08D42350" w14:textId="78E0F78A"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(4)</w:t>
      </w:r>
      <w:r w:rsidRPr="00CE2C9A">
        <w:tab/>
        <w:t xml:space="preserve">A statement of each question of fact, question of law, and policy question that the party considers at issue, along with the party’s position on </w:t>
      </w:r>
      <w:r w:rsidR="00CB7FED" w:rsidRPr="00CE2C9A">
        <w:t>each issue</w:t>
      </w:r>
      <w:r w:rsidRPr="00CE2C9A">
        <w:t>, and, where applicable, the names of the party's witness(es) who will address each issue.  Parties who wish to maintain “no position at this time” on any particular issue or issues should refer to the requirements of subsection C, below;</w:t>
      </w:r>
    </w:p>
    <w:p w14:paraId="4D5B566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(5)</w:t>
      </w:r>
      <w:r w:rsidRPr="00CE2C9A">
        <w:tab/>
        <w:t>A statement of issues to which the parties have stipulated;</w:t>
      </w:r>
    </w:p>
    <w:p w14:paraId="440DA86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(6)</w:t>
      </w:r>
      <w:r w:rsidRPr="00CE2C9A">
        <w:tab/>
        <w:t>A statement of all pending motions or other matters the party seeks action upon;</w:t>
      </w:r>
    </w:p>
    <w:p w14:paraId="5B03014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(7)</w:t>
      </w:r>
      <w:r w:rsidRPr="00CE2C9A">
        <w:tab/>
        <w:t>A statement identifying the party’s pending requests or claims for confidentiality;</w:t>
      </w:r>
    </w:p>
    <w:p w14:paraId="1D5452DD"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(8)</w:t>
      </w:r>
      <w:r w:rsidRPr="00CE2C9A">
        <w:tab/>
        <w:t xml:space="preserve">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w:t>
      </w:r>
      <w:r w:rsidRPr="00CE2C9A">
        <w:lastRenderedPageBreak/>
        <w:t>a party’s ability to conduct voir dire absent a showing of good cause at the time the witness is offered for cross-examination at hearing;</w:t>
      </w:r>
    </w:p>
    <w:p w14:paraId="46FBB4DD" w14:textId="77777777" w:rsidR="00CE2C9A" w:rsidRPr="00CE2C9A" w:rsidRDefault="00CE2C9A" w:rsidP="00CE2C9A">
      <w:pPr>
        <w:spacing w:line="2" w:lineRule="exact"/>
        <w:jc w:val="both"/>
      </w:pPr>
    </w:p>
    <w:p w14:paraId="41564E3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(9)</w:t>
      </w:r>
      <w:r w:rsidRPr="00CE2C9A">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2702615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E2C9A">
        <w:t>(10)</w:t>
      </w:r>
      <w:r w:rsidRPr="00CE2C9A">
        <w:tab/>
        <w:t>A statement as to any requirement set forth in this order that cannot be complied with, and the reasons therefore.</w:t>
      </w:r>
    </w:p>
    <w:p w14:paraId="215D9256"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C3C28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7A09EA3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6A220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2C9A">
        <w:tab/>
        <w:t>C.</w:t>
      </w:r>
      <w:r w:rsidRPr="00CE2C9A">
        <w:tab/>
      </w:r>
      <w:r w:rsidRPr="00CE2C9A">
        <w:rPr>
          <w:u w:val="single"/>
        </w:rPr>
        <w:t>Attendance at Prehearing Conference</w:t>
      </w:r>
    </w:p>
    <w:p w14:paraId="27A86AA5"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0FF856"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Pursuant to Rule 28-106.209, F.A.C., a Prehearing Conference will be held </w:t>
      </w:r>
      <w:r w:rsidR="00F57070" w:rsidRPr="00150D9E">
        <w:t xml:space="preserve">January </w:t>
      </w:r>
      <w:r w:rsidR="002948EF">
        <w:t>23</w:t>
      </w:r>
      <w:r w:rsidR="00F57070" w:rsidRPr="00150D9E">
        <w:t>, 2025</w:t>
      </w:r>
      <w:r w:rsidRPr="00150D9E">
        <w:t>,</w:t>
      </w:r>
      <w:r w:rsidRPr="00CE2C9A">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16B6BE28" w14:textId="77777777" w:rsidR="00BD548B" w:rsidRPr="00CE2C9A" w:rsidRDefault="00BD548B"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A9BFE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D.</w:t>
      </w:r>
      <w:r w:rsidRPr="00CE2C9A">
        <w:tab/>
      </w:r>
      <w:r w:rsidRPr="00CE2C9A">
        <w:rPr>
          <w:u w:val="single"/>
        </w:rPr>
        <w:t>Waiver of Issues</w:t>
      </w:r>
    </w:p>
    <w:p w14:paraId="3A32DFD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C16769"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32A9051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35AE1C" w14:textId="77777777" w:rsidR="00CE2C9A" w:rsidRPr="00CE2C9A" w:rsidRDefault="00CE2C9A" w:rsidP="00CE2C9A">
      <w:pPr>
        <w:spacing w:line="2" w:lineRule="exact"/>
        <w:jc w:val="both"/>
      </w:pPr>
    </w:p>
    <w:p w14:paraId="3B651EB8" w14:textId="77777777" w:rsidR="00CE2C9A" w:rsidRPr="00CE2C9A" w:rsidRDefault="00CE2C9A" w:rsidP="00CE2C9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Whether the party was unable to identify the issue because of the complexity of the matter;</w:t>
      </w:r>
    </w:p>
    <w:p w14:paraId="31585BAD" w14:textId="77777777" w:rsidR="00CE2C9A" w:rsidRPr="00CE2C9A" w:rsidRDefault="00CE2C9A" w:rsidP="00CE2C9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Whether discovery or other prehearing procedures were not adequate to fully develop the issue;</w:t>
      </w:r>
    </w:p>
    <w:p w14:paraId="25C1C5BB" w14:textId="77777777" w:rsidR="00CE2C9A" w:rsidRPr="00CE2C9A" w:rsidRDefault="00CE2C9A" w:rsidP="00CE2C9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 xml:space="preserve">Whether due diligence was exercised to obtain facts touching on the issue; </w:t>
      </w:r>
    </w:p>
    <w:p w14:paraId="15CB4E29" w14:textId="77777777" w:rsidR="00CE2C9A" w:rsidRPr="00CE2C9A" w:rsidRDefault="00CE2C9A" w:rsidP="00CE2C9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Whether information obtained subsequent to the Prehearing Conference was not previously available to enable the party to identify the issue; and</w:t>
      </w:r>
    </w:p>
    <w:p w14:paraId="3382295A" w14:textId="77777777" w:rsidR="00CE2C9A" w:rsidRPr="00CE2C9A" w:rsidRDefault="00CE2C9A" w:rsidP="00CE2C9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Whether introduction of the issue would not be to the prejudice or surprise of any party.</w:t>
      </w:r>
    </w:p>
    <w:p w14:paraId="23792CD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BA61C9"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Specific reference shall be made to the information received and how it enabled the party to identify the issue.</w:t>
      </w:r>
    </w:p>
    <w:p w14:paraId="5B465DDE"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8C059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w:t>
      </w:r>
      <w:r w:rsidRPr="00CE2C9A">
        <w:lastRenderedPageBreak/>
        <w:t>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57C0041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69DF1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E.</w:t>
      </w:r>
      <w:r w:rsidRPr="00CE2C9A">
        <w:tab/>
      </w:r>
      <w:r w:rsidRPr="00CE2C9A">
        <w:rPr>
          <w:u w:val="single"/>
        </w:rPr>
        <w:t>Motions to Strike Prefiled Testimony and Exhibits</w:t>
      </w:r>
    </w:p>
    <w:p w14:paraId="049F5A8F"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61C93B" w14:textId="5AA507ED"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CB7FED" w:rsidRPr="00CE2C9A">
        <w:t>stricken</w:t>
      </w:r>
      <w:r w:rsidRPr="00CE2C9A">
        <w:t>.  Motions to strike any portion of prefiled testimony and related portions of exhibits at hearing shall be considered untimely, absent good cause shown.</w:t>
      </w:r>
    </w:p>
    <w:p w14:paraId="7271DFDB" w14:textId="77777777" w:rsidR="00BD548B" w:rsidRPr="00CE2C9A" w:rsidRDefault="00BD548B"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A5C57A"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F.</w:t>
      </w:r>
      <w:r w:rsidRPr="00CE2C9A">
        <w:tab/>
      </w:r>
      <w:r w:rsidRPr="00CE2C9A">
        <w:rPr>
          <w:u w:val="single"/>
        </w:rPr>
        <w:t>Demonstrative Exhibits</w:t>
      </w:r>
    </w:p>
    <w:p w14:paraId="1395A8F9" w14:textId="77777777" w:rsidR="00CE2C9A" w:rsidRPr="00CE2C9A" w:rsidRDefault="00CE2C9A" w:rsidP="00CE2C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800F27"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If a party wishes to use a demonstrative exhibit or other demonstrative tools at hearing, such materials must be identified by the time of the Prehearing Conference.</w:t>
      </w:r>
    </w:p>
    <w:p w14:paraId="1ED23BF0" w14:textId="77777777" w:rsidR="00086FF2" w:rsidRPr="00CE2C9A" w:rsidRDefault="00086FF2"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5227E7" w14:textId="01679505"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r>
      <w:r w:rsidRPr="00E877A1">
        <w:t>G.</w:t>
      </w:r>
      <w:r w:rsidRPr="00E877A1">
        <w:tab/>
      </w:r>
      <w:r w:rsidRPr="00E877A1">
        <w:rPr>
          <w:u w:val="single"/>
        </w:rPr>
        <w:t xml:space="preserve">Provision </w:t>
      </w:r>
      <w:r w:rsidR="00CB7FED" w:rsidRPr="00E877A1">
        <w:rPr>
          <w:u w:val="single"/>
        </w:rPr>
        <w:t>of Exhibits</w:t>
      </w:r>
    </w:p>
    <w:p w14:paraId="24D187DC"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55CC95"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ab/>
      </w:r>
      <w:r w:rsidR="00F57070" w:rsidRPr="00E877A1">
        <w:t>No later than</w:t>
      </w:r>
      <w:r w:rsidRPr="00E877A1">
        <w:t xml:space="preserve"> 7 days before hearing,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order may bar admission of such exhibits.</w:t>
      </w:r>
    </w:p>
    <w:p w14:paraId="17962974"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C0F8E4"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ab/>
        <w:t>Each exhibit must be saved as a distinct and separate electronic file; multiple exhibits combined in a single electronic file are not acceptable. No cover pages are required; however, as with all exhibits, a top margin of not less than one inch is required for stamping purposes. Each exhibit shall be named with the party’s acronym and sequential numbering as follows:</w:t>
      </w:r>
    </w:p>
    <w:p w14:paraId="6419340B"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EE7585"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ab/>
      </w:r>
      <w:r w:rsidRPr="00E877A1">
        <w:tab/>
        <w:t>FPL-1 – short document title, FPL-2 – short document title, etc.</w:t>
      </w:r>
    </w:p>
    <w:p w14:paraId="181F3BE5" w14:textId="7FEADE8E" w:rsid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ab/>
      </w:r>
      <w:r w:rsidRPr="00E877A1">
        <w:tab/>
        <w:t>OPC-1 – short document title, OPC-2 – short document title, etc.</w:t>
      </w:r>
    </w:p>
    <w:p w14:paraId="7068EEAF" w14:textId="77777777" w:rsidR="00F90C74" w:rsidRPr="00BD4EE9" w:rsidRDefault="00F90C74"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498C19"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73C7">
        <w:tab/>
        <w:t xml:space="preserve">Parties may use exhibits in their native Excel format for demonstrative purposes; however, any exhibits created in Excel that a party seeks to admit into the record must be converted to Adobe portable document format (pdf) and provided to the Commission as a separate electronic file.  Any </w:t>
      </w:r>
      <w:r w:rsidRPr="006973C7">
        <w:lastRenderedPageBreak/>
        <w:t>attachment to a discovery response that a party wishes to offer as an exhibit must be provided as a separate electronic file to be marked as a separate exhibit.  Cumulative or irrelevant attachments are not appropriate exhibits.</w:t>
      </w:r>
    </w:p>
    <w:p w14:paraId="7D904EA1"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25757F"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ab/>
        <w:t>Confidential information will be handled as described below in the following section.  However, parties must also provide an electronic, redacted, non-confidential version of each confidential exhibit they intend to use at the hearing.</w:t>
      </w:r>
    </w:p>
    <w:p w14:paraId="4C1943A8" w14:textId="77777777" w:rsidR="00CE2C9A" w:rsidRPr="00E877A1"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 xml:space="preserve"> </w:t>
      </w:r>
    </w:p>
    <w:p w14:paraId="0045588E"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877A1">
        <w:tab/>
        <w:t>All non-confidential exhibits and a list of these exhibits must be provided to the Commission Office of the General Counsel on either USB flash drives or CDs, or emailed to discovery-gcl@psc.state.fl.us.  A copy of all exhibits and the accompanying list shall also be served electronically or by regular mail, overnight mail, or hand delivery to all other parties no later than the date provided to the Commission’s Office of the General Counsel.</w:t>
      </w:r>
    </w:p>
    <w:p w14:paraId="7F62EEDD"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7285B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E2C9A">
        <w:tab/>
        <w:t>H.</w:t>
      </w:r>
      <w:r w:rsidRPr="00CE2C9A">
        <w:tab/>
      </w:r>
      <w:r w:rsidRPr="00CE2C9A">
        <w:rPr>
          <w:u w:val="single"/>
        </w:rPr>
        <w:t>Official Recognition</w:t>
      </w:r>
    </w:p>
    <w:p w14:paraId="718118F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A6D6BB" w14:textId="77777777" w:rsidR="00CE2C9A" w:rsidRDefault="00CE2C9A" w:rsidP="00BD5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Parties seeking official recognition of materials pursuant to Section 120.569(2)(i), F.S., shall notify all other parties and Commission staff in writing no later than </w:t>
      </w:r>
      <w:r w:rsidR="00E877A1">
        <w:t>2</w:t>
      </w:r>
      <w:r w:rsidR="00E877A1" w:rsidRPr="005C677D">
        <w:t xml:space="preserve"> business days</w:t>
      </w:r>
      <w:r w:rsidR="00E877A1" w:rsidRPr="00CE2C9A">
        <w:t xml:space="preserve"> </w:t>
      </w:r>
      <w:r w:rsidRPr="00CE2C9A">
        <w:t>prior to the first scheduled hearing date.  Such notification shall identify all materials for which the party seeks official recognition, and such materials shall be provided along with the notification.</w:t>
      </w:r>
    </w:p>
    <w:p w14:paraId="1B887D1B" w14:textId="77777777" w:rsidR="00340A43" w:rsidRPr="00CE2C9A" w:rsidRDefault="00340A43" w:rsidP="00BD5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343EFD"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E2C9A">
        <w:tab/>
        <w:t>I.</w:t>
      </w:r>
      <w:r w:rsidRPr="00CE2C9A">
        <w:tab/>
      </w:r>
      <w:r w:rsidRPr="00CE2C9A">
        <w:rPr>
          <w:u w:val="single"/>
        </w:rPr>
        <w:t>Use of Depositions at Hearing</w:t>
      </w:r>
    </w:p>
    <w:p w14:paraId="15614E8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0DA43F" w14:textId="77777777" w:rsidR="00CE2C9A" w:rsidRPr="00CE2C9A" w:rsidRDefault="00CE2C9A" w:rsidP="00CE2C9A">
      <w:pPr>
        <w:jc w:val="both"/>
      </w:pPr>
      <w:r w:rsidRPr="00CE2C9A">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150D9E">
        <w:t xml:space="preserve">Section </w:t>
      </w:r>
      <w:r w:rsidR="005F2A4D" w:rsidRPr="00150D9E">
        <w:t>I</w:t>
      </w:r>
      <w:r w:rsidR="0089450A" w:rsidRPr="00150D9E">
        <w:rPr>
          <w:bCs/>
          <w:iCs/>
        </w:rPr>
        <w:t>X</w:t>
      </w:r>
      <w:r w:rsidR="00E877A1">
        <w:rPr>
          <w:bCs/>
          <w:iCs/>
        </w:rPr>
        <w:t xml:space="preserve"> </w:t>
      </w:r>
      <w:r w:rsidRPr="00CE2C9A">
        <w:t>this Order.  The Notice shall include the following information for each deposition:</w:t>
      </w:r>
    </w:p>
    <w:p w14:paraId="1362E89F" w14:textId="77777777" w:rsidR="00CE2C9A" w:rsidRPr="00CE2C9A" w:rsidRDefault="00CE2C9A" w:rsidP="00CE2C9A">
      <w:pPr>
        <w:ind w:left="1080"/>
        <w:contextualSpacing/>
        <w:jc w:val="both"/>
      </w:pPr>
    </w:p>
    <w:p w14:paraId="5482C62C" w14:textId="77777777" w:rsidR="00CE2C9A" w:rsidRPr="00CE2C9A" w:rsidRDefault="00CE2C9A" w:rsidP="00CE2C9A">
      <w:pPr>
        <w:numPr>
          <w:ilvl w:val="0"/>
          <w:numId w:val="7"/>
        </w:numPr>
        <w:contextualSpacing/>
        <w:jc w:val="both"/>
      </w:pPr>
      <w:r w:rsidRPr="00CE2C9A">
        <w:t>Name of witness deposed;</w:t>
      </w:r>
    </w:p>
    <w:p w14:paraId="37F9587B" w14:textId="77777777" w:rsidR="00CE2C9A" w:rsidRPr="00CE2C9A" w:rsidRDefault="00CE2C9A" w:rsidP="00CE2C9A">
      <w:pPr>
        <w:numPr>
          <w:ilvl w:val="0"/>
          <w:numId w:val="7"/>
        </w:numPr>
        <w:contextualSpacing/>
        <w:jc w:val="both"/>
      </w:pPr>
      <w:r w:rsidRPr="00CE2C9A">
        <w:t>Date deposition was taken; and</w:t>
      </w:r>
    </w:p>
    <w:p w14:paraId="73C43FFF" w14:textId="77777777" w:rsidR="00CE2C9A" w:rsidRPr="00E877A1" w:rsidRDefault="00CE2C9A" w:rsidP="00CE2C9A">
      <w:pPr>
        <w:numPr>
          <w:ilvl w:val="0"/>
          <w:numId w:val="7"/>
        </w:numPr>
        <w:contextualSpacing/>
        <w:jc w:val="both"/>
      </w:pPr>
      <w:r w:rsidRPr="00CE2C9A">
        <w:t>Page and line numbers of each deposition the party seeks to introduce</w:t>
      </w:r>
      <w:r w:rsidRPr="00E877A1">
        <w:t xml:space="preserve">, when available. </w:t>
      </w:r>
    </w:p>
    <w:p w14:paraId="4AD80742" w14:textId="77777777" w:rsidR="00CE2C9A" w:rsidRPr="00CE2C9A" w:rsidRDefault="00CE2C9A" w:rsidP="00CE2C9A"/>
    <w:p w14:paraId="5C9B3EEC" w14:textId="77777777" w:rsidR="00CE2C9A" w:rsidRPr="00CE2C9A" w:rsidRDefault="00CE2C9A" w:rsidP="00CE2C9A">
      <w:pPr>
        <w:ind w:firstLine="720"/>
        <w:jc w:val="both"/>
      </w:pPr>
      <w:r w:rsidRPr="00CE2C9A">
        <w:t>Objection(s) to the entry into the record of a deposition or portion thereof at hearing for purposes other than impeachment must be made in writing within three days of filing a Notice of Intent to use Deposition for resolution by the Prehearing Officer.</w:t>
      </w:r>
    </w:p>
    <w:p w14:paraId="4AC9DCAB" w14:textId="77777777" w:rsidR="00CE2C9A" w:rsidRPr="00CE2C9A" w:rsidRDefault="00CE2C9A" w:rsidP="00CE2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236C6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rPr>
          <w:b/>
          <w:bCs/>
        </w:rPr>
        <w:t>VII.</w:t>
      </w:r>
      <w:r w:rsidRPr="00CE2C9A">
        <w:rPr>
          <w:b/>
          <w:bCs/>
        </w:rPr>
        <w:tab/>
      </w:r>
      <w:r w:rsidRPr="00CE2C9A">
        <w:rPr>
          <w:b/>
          <w:bCs/>
          <w:u w:val="single"/>
        </w:rPr>
        <w:t>Hearing Procedures</w:t>
      </w:r>
    </w:p>
    <w:p w14:paraId="130294E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17CB9E"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A.</w:t>
      </w:r>
      <w:r w:rsidRPr="00CE2C9A">
        <w:tab/>
      </w:r>
      <w:r w:rsidRPr="00CE2C9A">
        <w:rPr>
          <w:u w:val="single"/>
        </w:rPr>
        <w:t>Attendance at Hearing</w:t>
      </w:r>
    </w:p>
    <w:p w14:paraId="5CEB5AD7"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08E04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0B907BB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E66A8D"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Likewise, all witnesses are expected to be present at the hearing unless excused by the Presiding Officer upon the staff attorney’s confirmation prior to the hearing date of the following: </w:t>
      </w:r>
    </w:p>
    <w:p w14:paraId="62928BF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10A6C0" w14:textId="77777777" w:rsidR="00CE2C9A" w:rsidRPr="00CE2C9A" w:rsidRDefault="00CE2C9A" w:rsidP="00CE2C9A">
      <w:pPr>
        <w:spacing w:line="2" w:lineRule="exact"/>
        <w:jc w:val="both"/>
      </w:pPr>
    </w:p>
    <w:p w14:paraId="38D9DEAE" w14:textId="77777777" w:rsidR="00CE2C9A" w:rsidRPr="00CE2C9A" w:rsidRDefault="00CE2C9A" w:rsidP="00CE2C9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All parties agree that the witness will not be needed for cross examination.</w:t>
      </w:r>
    </w:p>
    <w:p w14:paraId="19408544" w14:textId="77777777" w:rsidR="00CE2C9A" w:rsidRPr="00CE2C9A" w:rsidRDefault="00CE2C9A" w:rsidP="00CE2C9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E2C9A">
        <w:t>All Commissioners assigned to the panel do not have questions for the witness.</w:t>
      </w:r>
    </w:p>
    <w:p w14:paraId="5B45433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2F7F3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In the event a witness is excused in this manner, his or her testimony may be entered into the record as though read following the Commission’s approval of the proposed stipulation of that witness’s testimony.</w:t>
      </w:r>
    </w:p>
    <w:p w14:paraId="382F9D8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BBCB6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B.</w:t>
      </w:r>
      <w:r w:rsidRPr="00CE2C9A">
        <w:tab/>
      </w:r>
      <w:r w:rsidRPr="00CE2C9A">
        <w:rPr>
          <w:u w:val="single"/>
        </w:rPr>
        <w:t>Cross-Examination</w:t>
      </w:r>
    </w:p>
    <w:p w14:paraId="60778D4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72D81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01D8F6A0" w14:textId="77777777" w:rsidR="00BD548B" w:rsidRPr="00CE2C9A" w:rsidRDefault="00BD548B"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7A0CC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1449E28E"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85101D" w14:textId="77777777" w:rsidR="00CE2C9A" w:rsidRPr="00CE2C9A" w:rsidRDefault="00CE2C9A" w:rsidP="00CE2C9A">
      <w:pPr>
        <w:ind w:firstLine="720"/>
        <w:jc w:val="both"/>
        <w:rPr>
          <w:color w:val="1F497D"/>
          <w:sz w:val="22"/>
          <w:szCs w:val="22"/>
        </w:rPr>
      </w:pPr>
      <w:r w:rsidRPr="00CE2C9A">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w:t>
      </w:r>
      <w:r w:rsidRPr="00CE2C9A">
        <w:rPr>
          <w:color w:val="1F497D"/>
        </w:rPr>
        <w:t xml:space="preserve"> </w:t>
      </w:r>
      <w:r w:rsidRPr="00CE2C9A">
        <w:t>to be offered at the hearing.</w:t>
      </w:r>
    </w:p>
    <w:p w14:paraId="18C82106"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A799A7"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C.</w:t>
      </w:r>
      <w:r w:rsidRPr="00CE2C9A">
        <w:tab/>
      </w:r>
      <w:r w:rsidRPr="00CE2C9A">
        <w:rPr>
          <w:u w:val="single"/>
        </w:rPr>
        <w:t>Use of Confidential Information at Hearing</w:t>
      </w:r>
    </w:p>
    <w:p w14:paraId="48BE778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FC6A6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It is the policy of this Commission that all Commission hearings be open to the public at all times. The Commission also recognizes its obligation pursuant to Section </w:t>
      </w:r>
      <w:r w:rsidR="0074250C">
        <w:rPr>
          <w:bCs/>
          <w:iCs/>
        </w:rPr>
        <w:t xml:space="preserve">367.156 </w:t>
      </w:r>
      <w:r w:rsidRPr="00CE2C9A">
        <w:t xml:space="preserve">F.S., to protect proprietary confidential business information from disclosure outside the proceeding.  Therefore, any party wishing to use at the hearing any proprietary confidential business information, as that term is defined in Section </w:t>
      </w:r>
      <w:r w:rsidR="0074250C">
        <w:rPr>
          <w:bCs/>
          <w:iCs/>
        </w:rPr>
        <w:t>367.156</w:t>
      </w:r>
      <w:r w:rsidRPr="00CE2C9A">
        <w:t>, F.S., shall adhere to the following:</w:t>
      </w:r>
    </w:p>
    <w:p w14:paraId="678AF4FD"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E58C9D" w14:textId="77777777" w:rsidR="00CE2C9A" w:rsidRPr="00CE2C9A" w:rsidRDefault="00CE2C9A" w:rsidP="00CE2C9A">
      <w:pPr>
        <w:spacing w:line="2" w:lineRule="exact"/>
        <w:jc w:val="both"/>
      </w:pPr>
    </w:p>
    <w:p w14:paraId="795042CA" w14:textId="77777777" w:rsidR="00CE2C9A" w:rsidRPr="00CE2C9A" w:rsidRDefault="00CE2C9A" w:rsidP="00CE2C9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E2C9A">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71F44D5"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A06630" w14:textId="020FEC50" w:rsidR="00CE2C9A" w:rsidRDefault="00CE2C9A" w:rsidP="00CE2C9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E2C9A">
        <w:lastRenderedPageBreak/>
        <w:t>Counsel and witnesses are cautioned to avoid verbalizing confidential information in such a way that would compromise confidentiality.  Therefore, confidential information should be presented by written exhibit when reasonably possible.</w:t>
      </w:r>
    </w:p>
    <w:p w14:paraId="37E95BE8" w14:textId="77777777" w:rsidR="00F90C74" w:rsidRPr="00CE2C9A" w:rsidRDefault="00F90C74" w:rsidP="00F90C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14:paraId="793D019C" w14:textId="644E0B28"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w:t>
      </w:r>
      <w:r w:rsidR="00CB7FED">
        <w:t xml:space="preserve">on Clerk’s confidential files. </w:t>
      </w:r>
      <w:r w:rsidRPr="00CE2C9A">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3473C63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58871DD7" w14:textId="77777777" w:rsidR="00CE2C9A" w:rsidRPr="00CE2C9A" w:rsidRDefault="00D05DE7"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CE2C9A" w:rsidRPr="00CE2C9A">
        <w:rPr>
          <w:b/>
          <w:bCs/>
        </w:rPr>
        <w:t>I.</w:t>
      </w:r>
      <w:r w:rsidR="00CE2C9A" w:rsidRPr="00CE2C9A">
        <w:rPr>
          <w:b/>
          <w:bCs/>
        </w:rPr>
        <w:tab/>
      </w:r>
      <w:r w:rsidR="00CE2C9A" w:rsidRPr="00CE2C9A">
        <w:rPr>
          <w:b/>
          <w:bCs/>
          <w:u w:val="single"/>
        </w:rPr>
        <w:t>Post-Hearing Procedures</w:t>
      </w:r>
    </w:p>
    <w:p w14:paraId="5290AB5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0A8B4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If the Commission (or assigned panel) does not render a bench decision at the hearing, it may allow each party to file a post-hearing statement of issues and positions pursuant to the schedule set forth </w:t>
      </w:r>
      <w:r w:rsidRPr="00150D9E">
        <w:t xml:space="preserve">in Section </w:t>
      </w:r>
      <w:r w:rsidR="00150D9E" w:rsidRPr="00150D9E">
        <w:t>I</w:t>
      </w:r>
      <w:r w:rsidR="0074250C" w:rsidRPr="00150D9E">
        <w:rPr>
          <w:bCs/>
          <w:iCs/>
        </w:rPr>
        <w:t xml:space="preserve">X </w:t>
      </w:r>
      <w:r w:rsidRPr="00150D9E">
        <w:t>th</w:t>
      </w:r>
      <w:r w:rsidRPr="00CE2C9A">
        <w:t>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w:t>
      </w:r>
      <w:r w:rsidR="00E877A1">
        <w:t xml:space="preserve">e with Rule 28-106.215, F.A.C., </w:t>
      </w:r>
      <w:r w:rsidRPr="00CE2C9A">
        <w:t>that party shall have waived all issues and may be dismissed from the proceeding.</w:t>
      </w:r>
    </w:p>
    <w:p w14:paraId="168D74F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CBEEB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Further, pursuant to Rule 28-106.215, F.A.C., a party’s proposed findings of fact and conclusions of law, if any, statement of issues and positions, and brief, shall together total no more than </w:t>
      </w:r>
      <w:r w:rsidR="0074250C">
        <w:rPr>
          <w:bCs/>
          <w:iCs/>
        </w:rPr>
        <w:t>50 pages</w:t>
      </w:r>
      <w:r w:rsidRPr="00CE2C9A">
        <w:t xml:space="preserve"> and shall be filed at the same time, unless modified by the Presiding Officer. </w:t>
      </w:r>
    </w:p>
    <w:p w14:paraId="69926A13"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FC5B8E" w14:textId="77777777" w:rsidR="00CE2C9A" w:rsidRPr="00CE2C9A" w:rsidRDefault="00D05DE7"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CE2C9A" w:rsidRPr="00CE2C9A">
        <w:rPr>
          <w:b/>
          <w:bCs/>
        </w:rPr>
        <w:t>X.</w:t>
      </w:r>
      <w:r w:rsidR="00CE2C9A" w:rsidRPr="00CE2C9A">
        <w:rPr>
          <w:b/>
          <w:bCs/>
        </w:rPr>
        <w:tab/>
      </w:r>
      <w:r w:rsidR="00CE2C9A" w:rsidRPr="00CE2C9A">
        <w:rPr>
          <w:b/>
          <w:bCs/>
          <w:u w:val="single"/>
        </w:rPr>
        <w:t>Controlling Dates</w:t>
      </w:r>
    </w:p>
    <w:p w14:paraId="5C512BB4"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067F6B"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The following dates have been established to govern the key activities of this case:</w:t>
      </w:r>
    </w:p>
    <w:p w14:paraId="6152FC58"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CE2C9A" w:rsidRPr="00CE2C9A" w14:paraId="619F0928" w14:textId="77777777" w:rsidTr="00FB31D5">
        <w:trPr>
          <w:cantSplit/>
        </w:trPr>
        <w:tc>
          <w:tcPr>
            <w:tcW w:w="720" w:type="dxa"/>
          </w:tcPr>
          <w:p w14:paraId="47A798F4" w14:textId="77777777" w:rsidR="00CE2C9A" w:rsidRPr="00CE2C9A" w:rsidRDefault="00CE2C9A" w:rsidP="00CE2C9A">
            <w:pPr>
              <w:numPr>
                <w:ilvl w:val="12"/>
                <w:numId w:val="0"/>
              </w:numPr>
              <w:tabs>
                <w:tab w:val="left" w:pos="0"/>
              </w:tabs>
              <w:spacing w:before="120" w:after="57"/>
              <w:jc w:val="both"/>
            </w:pPr>
            <w:r w:rsidRPr="00CE2C9A">
              <w:t>(1)</w:t>
            </w:r>
          </w:p>
        </w:tc>
        <w:tc>
          <w:tcPr>
            <w:tcW w:w="5220" w:type="dxa"/>
          </w:tcPr>
          <w:p w14:paraId="03A3B272" w14:textId="77777777" w:rsidR="00CE2C9A" w:rsidRPr="00CE2C9A" w:rsidRDefault="00CE2C9A"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Utility’s</w:t>
            </w:r>
            <w:r w:rsidRPr="00CE2C9A">
              <w:rPr>
                <w:b/>
                <w:i/>
              </w:rPr>
              <w:t xml:space="preserve"> </w:t>
            </w:r>
            <w:r w:rsidRPr="00CE2C9A">
              <w:t>testimony and exhibits</w:t>
            </w:r>
          </w:p>
        </w:tc>
        <w:tc>
          <w:tcPr>
            <w:tcW w:w="3420" w:type="dxa"/>
          </w:tcPr>
          <w:p w14:paraId="3A015ECF" w14:textId="77777777" w:rsidR="00CE2C9A" w:rsidRPr="00CE2C9A" w:rsidRDefault="00D65218" w:rsidP="00150D9E">
            <w:pPr>
              <w:numPr>
                <w:ilvl w:val="12"/>
                <w:numId w:val="0"/>
              </w:numPr>
              <w:tabs>
                <w:tab w:val="left" w:pos="0"/>
                <w:tab w:val="left" w:pos="720"/>
                <w:tab w:val="left" w:pos="1440"/>
                <w:tab w:val="left" w:pos="2160"/>
                <w:tab w:val="left" w:pos="2880"/>
              </w:tabs>
              <w:spacing w:before="120" w:after="57"/>
              <w:jc w:val="both"/>
            </w:pPr>
            <w:r w:rsidRPr="00D65218">
              <w:t>June</w:t>
            </w:r>
            <w:r w:rsidR="00150D9E">
              <w:t xml:space="preserve"> 28,</w:t>
            </w:r>
            <w:r w:rsidR="00150D9E" w:rsidRPr="00D65218">
              <w:t xml:space="preserve"> </w:t>
            </w:r>
            <w:r w:rsidRPr="00D65218">
              <w:t>2024</w:t>
            </w:r>
          </w:p>
        </w:tc>
      </w:tr>
      <w:tr w:rsidR="00D65218" w:rsidRPr="00CE2C9A" w14:paraId="50FCB728" w14:textId="77777777" w:rsidTr="00FB31D5">
        <w:trPr>
          <w:cantSplit/>
        </w:trPr>
        <w:tc>
          <w:tcPr>
            <w:tcW w:w="720" w:type="dxa"/>
          </w:tcPr>
          <w:p w14:paraId="2D2F3B31" w14:textId="77777777" w:rsidR="00D65218" w:rsidRPr="00CE2C9A" w:rsidRDefault="00D65218" w:rsidP="00D65218">
            <w:pPr>
              <w:numPr>
                <w:ilvl w:val="12"/>
                <w:numId w:val="0"/>
              </w:numPr>
              <w:tabs>
                <w:tab w:val="left" w:pos="0"/>
              </w:tabs>
              <w:spacing w:before="120" w:after="57"/>
              <w:jc w:val="both"/>
            </w:pPr>
            <w:r w:rsidRPr="00CE2C9A">
              <w:t>(2)</w:t>
            </w:r>
          </w:p>
        </w:tc>
        <w:tc>
          <w:tcPr>
            <w:tcW w:w="5220" w:type="dxa"/>
          </w:tcPr>
          <w:p w14:paraId="07FEA3B7"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Intervenors’ testimony and exhibits</w:t>
            </w:r>
          </w:p>
        </w:tc>
        <w:tc>
          <w:tcPr>
            <w:tcW w:w="3420" w:type="dxa"/>
          </w:tcPr>
          <w:p w14:paraId="4EDB5FF2" w14:textId="77777777" w:rsidR="00D65218" w:rsidRPr="00D65218" w:rsidRDefault="00D65218" w:rsidP="00E877A1">
            <w:pPr>
              <w:numPr>
                <w:ilvl w:val="12"/>
                <w:numId w:val="0"/>
              </w:numPr>
              <w:tabs>
                <w:tab w:val="left" w:pos="0"/>
                <w:tab w:val="left" w:pos="720"/>
                <w:tab w:val="left" w:pos="1440"/>
                <w:tab w:val="left" w:pos="2160"/>
                <w:tab w:val="left" w:pos="2880"/>
              </w:tabs>
              <w:spacing w:before="120" w:after="57"/>
              <w:jc w:val="both"/>
              <w:rPr>
                <w:bCs/>
              </w:rPr>
            </w:pPr>
            <w:r w:rsidRPr="00FB31D5">
              <w:rPr>
                <w:bCs/>
              </w:rPr>
              <w:t>October 31, 2024</w:t>
            </w:r>
          </w:p>
        </w:tc>
      </w:tr>
      <w:tr w:rsidR="00D65218" w:rsidRPr="00CE2C9A" w14:paraId="31BCBEAC" w14:textId="77777777" w:rsidTr="00FB31D5">
        <w:trPr>
          <w:cantSplit/>
        </w:trPr>
        <w:tc>
          <w:tcPr>
            <w:tcW w:w="720" w:type="dxa"/>
          </w:tcPr>
          <w:p w14:paraId="0A0B571F" w14:textId="77777777" w:rsidR="00D65218" w:rsidRPr="00CE2C9A" w:rsidRDefault="00D65218" w:rsidP="00D65218">
            <w:pPr>
              <w:numPr>
                <w:ilvl w:val="12"/>
                <w:numId w:val="0"/>
              </w:numPr>
              <w:tabs>
                <w:tab w:val="left" w:pos="0"/>
              </w:tabs>
              <w:spacing w:before="120" w:after="57"/>
              <w:jc w:val="both"/>
            </w:pPr>
            <w:r w:rsidRPr="00CE2C9A">
              <w:t>(3)</w:t>
            </w:r>
          </w:p>
        </w:tc>
        <w:tc>
          <w:tcPr>
            <w:tcW w:w="5220" w:type="dxa"/>
          </w:tcPr>
          <w:p w14:paraId="7019EEB7"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Staff’s testimony and exhibits, if any</w:t>
            </w:r>
          </w:p>
        </w:tc>
        <w:tc>
          <w:tcPr>
            <w:tcW w:w="3420" w:type="dxa"/>
          </w:tcPr>
          <w:p w14:paraId="2DE7D400" w14:textId="77777777" w:rsidR="00D65218" w:rsidRPr="00D65218" w:rsidRDefault="00D65218" w:rsidP="00E877A1">
            <w:pPr>
              <w:numPr>
                <w:ilvl w:val="12"/>
                <w:numId w:val="0"/>
              </w:numPr>
              <w:tabs>
                <w:tab w:val="left" w:pos="0"/>
                <w:tab w:val="left" w:pos="720"/>
                <w:tab w:val="left" w:pos="1440"/>
                <w:tab w:val="left" w:pos="2160"/>
                <w:tab w:val="left" w:pos="2880"/>
              </w:tabs>
              <w:spacing w:before="120" w:after="57"/>
              <w:jc w:val="both"/>
              <w:rPr>
                <w:bCs/>
              </w:rPr>
            </w:pPr>
            <w:r w:rsidRPr="00FB31D5">
              <w:rPr>
                <w:bCs/>
              </w:rPr>
              <w:t>November 7, 2024</w:t>
            </w:r>
          </w:p>
        </w:tc>
      </w:tr>
      <w:tr w:rsidR="00D65218" w:rsidRPr="00CE2C9A" w14:paraId="41C8F2B9" w14:textId="77777777" w:rsidTr="00FB31D5">
        <w:trPr>
          <w:cantSplit/>
        </w:trPr>
        <w:tc>
          <w:tcPr>
            <w:tcW w:w="720" w:type="dxa"/>
          </w:tcPr>
          <w:p w14:paraId="30EB8894" w14:textId="77777777" w:rsidR="00D65218" w:rsidRPr="00CE2C9A" w:rsidRDefault="00D65218" w:rsidP="00D65218">
            <w:pPr>
              <w:numPr>
                <w:ilvl w:val="12"/>
                <w:numId w:val="0"/>
              </w:numPr>
              <w:tabs>
                <w:tab w:val="left" w:pos="0"/>
              </w:tabs>
              <w:spacing w:before="120" w:after="57"/>
              <w:jc w:val="both"/>
            </w:pPr>
            <w:r w:rsidRPr="00CE2C9A">
              <w:t>(4)</w:t>
            </w:r>
          </w:p>
        </w:tc>
        <w:tc>
          <w:tcPr>
            <w:tcW w:w="5220" w:type="dxa"/>
          </w:tcPr>
          <w:p w14:paraId="56E3632A"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 xml:space="preserve">Rebuttal testimony and exhibits </w:t>
            </w:r>
          </w:p>
        </w:tc>
        <w:tc>
          <w:tcPr>
            <w:tcW w:w="3420" w:type="dxa"/>
          </w:tcPr>
          <w:p w14:paraId="6C603472" w14:textId="77777777" w:rsidR="00D65218" w:rsidRPr="00CE2C9A" w:rsidRDefault="00D65218" w:rsidP="00E877A1">
            <w:pPr>
              <w:numPr>
                <w:ilvl w:val="12"/>
                <w:numId w:val="0"/>
              </w:numPr>
              <w:tabs>
                <w:tab w:val="left" w:pos="0"/>
                <w:tab w:val="left" w:pos="720"/>
                <w:tab w:val="left" w:pos="1440"/>
                <w:tab w:val="left" w:pos="2160"/>
                <w:tab w:val="left" w:pos="2880"/>
              </w:tabs>
              <w:spacing w:before="120" w:after="57"/>
              <w:jc w:val="both"/>
            </w:pPr>
            <w:r w:rsidRPr="00914B46">
              <w:t>December 5, 2024</w:t>
            </w:r>
          </w:p>
        </w:tc>
      </w:tr>
      <w:tr w:rsidR="00D65218" w:rsidRPr="00CE2C9A" w14:paraId="261594F2" w14:textId="77777777" w:rsidTr="00FB31D5">
        <w:trPr>
          <w:cantSplit/>
        </w:trPr>
        <w:tc>
          <w:tcPr>
            <w:tcW w:w="720" w:type="dxa"/>
          </w:tcPr>
          <w:p w14:paraId="5514800B" w14:textId="77777777" w:rsidR="00D65218" w:rsidRPr="00CE2C9A" w:rsidRDefault="00D65218" w:rsidP="00D65218">
            <w:pPr>
              <w:numPr>
                <w:ilvl w:val="12"/>
                <w:numId w:val="0"/>
              </w:numPr>
              <w:tabs>
                <w:tab w:val="left" w:pos="0"/>
              </w:tabs>
              <w:spacing w:before="120" w:after="57"/>
              <w:jc w:val="both"/>
            </w:pPr>
            <w:r w:rsidRPr="00CE2C9A">
              <w:t>(5)</w:t>
            </w:r>
          </w:p>
        </w:tc>
        <w:tc>
          <w:tcPr>
            <w:tcW w:w="5220" w:type="dxa"/>
          </w:tcPr>
          <w:p w14:paraId="0E8101DD"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Prehearing Statements</w:t>
            </w:r>
          </w:p>
        </w:tc>
        <w:tc>
          <w:tcPr>
            <w:tcW w:w="3420" w:type="dxa"/>
          </w:tcPr>
          <w:p w14:paraId="063122ED" w14:textId="77777777" w:rsidR="00D65218" w:rsidRPr="00CE2C9A" w:rsidRDefault="00D65218" w:rsidP="00E877A1">
            <w:pPr>
              <w:numPr>
                <w:ilvl w:val="12"/>
                <w:numId w:val="0"/>
              </w:numPr>
              <w:tabs>
                <w:tab w:val="left" w:pos="0"/>
                <w:tab w:val="left" w:pos="720"/>
                <w:tab w:val="left" w:pos="1440"/>
                <w:tab w:val="left" w:pos="2160"/>
                <w:tab w:val="left" w:pos="2880"/>
              </w:tabs>
              <w:spacing w:before="120" w:after="57"/>
              <w:jc w:val="both"/>
            </w:pPr>
            <w:r w:rsidRPr="00914B46">
              <w:t xml:space="preserve">January 2, 2025 </w:t>
            </w:r>
          </w:p>
        </w:tc>
      </w:tr>
      <w:tr w:rsidR="00D65218" w:rsidRPr="00CE2C9A" w14:paraId="53A82850" w14:textId="77777777" w:rsidTr="00FB31D5">
        <w:trPr>
          <w:cantSplit/>
        </w:trPr>
        <w:tc>
          <w:tcPr>
            <w:tcW w:w="720" w:type="dxa"/>
          </w:tcPr>
          <w:p w14:paraId="24FFE042" w14:textId="77777777" w:rsidR="00D65218" w:rsidRPr="00CE2C9A" w:rsidRDefault="00D65218" w:rsidP="00D65218">
            <w:pPr>
              <w:numPr>
                <w:ilvl w:val="12"/>
                <w:numId w:val="0"/>
              </w:numPr>
              <w:tabs>
                <w:tab w:val="left" w:pos="0"/>
              </w:tabs>
              <w:spacing w:before="120" w:after="57"/>
              <w:jc w:val="both"/>
            </w:pPr>
            <w:r w:rsidRPr="00CE2C9A">
              <w:t>(6)</w:t>
            </w:r>
          </w:p>
        </w:tc>
        <w:tc>
          <w:tcPr>
            <w:tcW w:w="5220" w:type="dxa"/>
          </w:tcPr>
          <w:p w14:paraId="074AFD60"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Discovery deadline</w:t>
            </w:r>
          </w:p>
        </w:tc>
        <w:tc>
          <w:tcPr>
            <w:tcW w:w="3420" w:type="dxa"/>
          </w:tcPr>
          <w:p w14:paraId="62E70498" w14:textId="77777777" w:rsidR="00D65218" w:rsidRPr="00D65218" w:rsidRDefault="00150D9E" w:rsidP="00E877A1">
            <w:pPr>
              <w:numPr>
                <w:ilvl w:val="12"/>
                <w:numId w:val="0"/>
              </w:numPr>
              <w:tabs>
                <w:tab w:val="left" w:pos="0"/>
                <w:tab w:val="left" w:pos="720"/>
                <w:tab w:val="left" w:pos="1440"/>
                <w:tab w:val="left" w:pos="2160"/>
                <w:tab w:val="left" w:pos="2880"/>
              </w:tabs>
              <w:spacing w:before="120" w:after="57"/>
              <w:jc w:val="both"/>
              <w:rPr>
                <w:bCs/>
              </w:rPr>
            </w:pPr>
            <w:r>
              <w:rPr>
                <w:bCs/>
              </w:rPr>
              <w:t>January 16</w:t>
            </w:r>
            <w:r w:rsidR="00D65218" w:rsidRPr="00FB31D5">
              <w:rPr>
                <w:bCs/>
              </w:rPr>
              <w:t>, 2025</w:t>
            </w:r>
          </w:p>
        </w:tc>
      </w:tr>
      <w:tr w:rsidR="00D65218" w:rsidRPr="00CE2C9A" w14:paraId="45E47E84" w14:textId="77777777" w:rsidTr="00FB31D5">
        <w:trPr>
          <w:cantSplit/>
        </w:trPr>
        <w:tc>
          <w:tcPr>
            <w:tcW w:w="720" w:type="dxa"/>
          </w:tcPr>
          <w:p w14:paraId="751F70E2" w14:textId="77777777" w:rsidR="00D65218" w:rsidRPr="00CE2C9A" w:rsidRDefault="00D65218" w:rsidP="00D65218">
            <w:pPr>
              <w:numPr>
                <w:ilvl w:val="12"/>
                <w:numId w:val="0"/>
              </w:numPr>
              <w:tabs>
                <w:tab w:val="left" w:pos="0"/>
              </w:tabs>
              <w:spacing w:before="120" w:after="57"/>
              <w:jc w:val="both"/>
            </w:pPr>
            <w:r w:rsidRPr="00CE2C9A">
              <w:t>(7)</w:t>
            </w:r>
          </w:p>
        </w:tc>
        <w:tc>
          <w:tcPr>
            <w:tcW w:w="5220" w:type="dxa"/>
          </w:tcPr>
          <w:p w14:paraId="523A768D"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Prehearing Conference</w:t>
            </w:r>
          </w:p>
        </w:tc>
        <w:tc>
          <w:tcPr>
            <w:tcW w:w="3420" w:type="dxa"/>
          </w:tcPr>
          <w:p w14:paraId="27E2E128" w14:textId="77777777" w:rsidR="00D65218" w:rsidRPr="00D65218" w:rsidRDefault="00D65218" w:rsidP="00150D9E">
            <w:pPr>
              <w:numPr>
                <w:ilvl w:val="12"/>
                <w:numId w:val="0"/>
              </w:numPr>
              <w:tabs>
                <w:tab w:val="left" w:pos="0"/>
                <w:tab w:val="left" w:pos="720"/>
                <w:tab w:val="left" w:pos="1440"/>
                <w:tab w:val="left" w:pos="2160"/>
                <w:tab w:val="left" w:pos="2880"/>
              </w:tabs>
              <w:spacing w:before="120" w:after="57"/>
              <w:jc w:val="both"/>
              <w:rPr>
                <w:bCs/>
              </w:rPr>
            </w:pPr>
            <w:r w:rsidRPr="00FB31D5">
              <w:rPr>
                <w:bCs/>
              </w:rPr>
              <w:t xml:space="preserve">January </w:t>
            </w:r>
            <w:r w:rsidR="00150D9E">
              <w:rPr>
                <w:bCs/>
              </w:rPr>
              <w:t>23</w:t>
            </w:r>
            <w:r w:rsidRPr="00FB31D5">
              <w:rPr>
                <w:bCs/>
              </w:rPr>
              <w:t>, 2025</w:t>
            </w:r>
          </w:p>
        </w:tc>
      </w:tr>
      <w:tr w:rsidR="00CE2C9A" w:rsidRPr="00CE2C9A" w14:paraId="05CAE2B7" w14:textId="77777777" w:rsidTr="00FB31D5">
        <w:trPr>
          <w:cantSplit/>
        </w:trPr>
        <w:tc>
          <w:tcPr>
            <w:tcW w:w="720" w:type="dxa"/>
          </w:tcPr>
          <w:p w14:paraId="69D676A0" w14:textId="77777777" w:rsidR="00CE2C9A" w:rsidRPr="00E877A1" w:rsidRDefault="00CE2C9A" w:rsidP="00CE2C9A">
            <w:pPr>
              <w:numPr>
                <w:ilvl w:val="12"/>
                <w:numId w:val="0"/>
              </w:numPr>
              <w:tabs>
                <w:tab w:val="left" w:pos="0"/>
              </w:tabs>
              <w:spacing w:before="120" w:after="57"/>
              <w:jc w:val="both"/>
            </w:pPr>
            <w:r w:rsidRPr="00E877A1">
              <w:t>(8)</w:t>
            </w:r>
          </w:p>
        </w:tc>
        <w:tc>
          <w:tcPr>
            <w:tcW w:w="5220" w:type="dxa"/>
          </w:tcPr>
          <w:p w14:paraId="6391CECF" w14:textId="77777777" w:rsidR="00CE2C9A" w:rsidRPr="00E877A1" w:rsidRDefault="00CE2C9A"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877A1">
              <w:t>Provision of Exhibits</w:t>
            </w:r>
          </w:p>
        </w:tc>
        <w:tc>
          <w:tcPr>
            <w:tcW w:w="3420" w:type="dxa"/>
          </w:tcPr>
          <w:p w14:paraId="6BB7D09C" w14:textId="77777777" w:rsidR="00CE2C9A" w:rsidRPr="00CE2C9A" w:rsidRDefault="00150D9E" w:rsidP="00E877A1">
            <w:pPr>
              <w:numPr>
                <w:ilvl w:val="12"/>
                <w:numId w:val="0"/>
              </w:numPr>
              <w:tabs>
                <w:tab w:val="left" w:pos="0"/>
                <w:tab w:val="left" w:pos="720"/>
                <w:tab w:val="left" w:pos="1440"/>
                <w:tab w:val="left" w:pos="2160"/>
                <w:tab w:val="left" w:pos="2880"/>
              </w:tabs>
              <w:spacing w:before="120" w:after="57"/>
              <w:jc w:val="both"/>
            </w:pPr>
            <w:r>
              <w:t>February 3</w:t>
            </w:r>
            <w:r w:rsidR="00D65218">
              <w:t>, 2025</w:t>
            </w:r>
          </w:p>
        </w:tc>
      </w:tr>
      <w:tr w:rsidR="00D65218" w:rsidRPr="00CE2C9A" w14:paraId="2FC6B53D" w14:textId="77777777" w:rsidTr="00FB31D5">
        <w:trPr>
          <w:cantSplit/>
          <w:trHeight w:val="454"/>
        </w:trPr>
        <w:tc>
          <w:tcPr>
            <w:tcW w:w="720" w:type="dxa"/>
          </w:tcPr>
          <w:p w14:paraId="53684BA3" w14:textId="77777777" w:rsidR="00D65218" w:rsidRPr="00CE2C9A" w:rsidRDefault="00D65218" w:rsidP="00D65218">
            <w:pPr>
              <w:numPr>
                <w:ilvl w:val="12"/>
                <w:numId w:val="0"/>
              </w:numPr>
              <w:tabs>
                <w:tab w:val="left" w:pos="0"/>
              </w:tabs>
              <w:spacing w:before="120" w:after="57"/>
              <w:jc w:val="both"/>
            </w:pPr>
            <w:r w:rsidRPr="00CE2C9A">
              <w:lastRenderedPageBreak/>
              <w:t>(9)</w:t>
            </w:r>
          </w:p>
        </w:tc>
        <w:tc>
          <w:tcPr>
            <w:tcW w:w="5220" w:type="dxa"/>
          </w:tcPr>
          <w:p w14:paraId="632A9F27"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Hearing</w:t>
            </w:r>
          </w:p>
        </w:tc>
        <w:tc>
          <w:tcPr>
            <w:tcW w:w="3420" w:type="dxa"/>
          </w:tcPr>
          <w:p w14:paraId="75288D6E" w14:textId="77777777" w:rsidR="00D65218" w:rsidRPr="00D65218" w:rsidRDefault="00150D9E" w:rsidP="00E877A1">
            <w:pPr>
              <w:numPr>
                <w:ilvl w:val="12"/>
                <w:numId w:val="0"/>
              </w:numPr>
              <w:tabs>
                <w:tab w:val="left" w:pos="0"/>
                <w:tab w:val="left" w:pos="720"/>
                <w:tab w:val="left" w:pos="1440"/>
                <w:tab w:val="left" w:pos="2160"/>
                <w:tab w:val="left" w:pos="2880"/>
              </w:tabs>
              <w:spacing w:before="120" w:after="57"/>
              <w:jc w:val="both"/>
              <w:rPr>
                <w:bCs/>
              </w:rPr>
            </w:pPr>
            <w:r>
              <w:rPr>
                <w:bCs/>
              </w:rPr>
              <w:t>February 11-13</w:t>
            </w:r>
            <w:r w:rsidR="00D65218" w:rsidRPr="00FB31D5">
              <w:rPr>
                <w:bCs/>
              </w:rPr>
              <w:t>, 2025</w:t>
            </w:r>
          </w:p>
        </w:tc>
      </w:tr>
      <w:tr w:rsidR="00D65218" w:rsidRPr="00CE2C9A" w14:paraId="4558B32C" w14:textId="77777777" w:rsidTr="00FB31D5">
        <w:trPr>
          <w:cantSplit/>
        </w:trPr>
        <w:tc>
          <w:tcPr>
            <w:tcW w:w="720" w:type="dxa"/>
          </w:tcPr>
          <w:p w14:paraId="7523BDCC" w14:textId="77777777" w:rsidR="00D65218" w:rsidRPr="00CE2C9A" w:rsidRDefault="00D65218" w:rsidP="00D65218">
            <w:pPr>
              <w:numPr>
                <w:ilvl w:val="12"/>
                <w:numId w:val="0"/>
              </w:numPr>
              <w:tabs>
                <w:tab w:val="left" w:pos="0"/>
              </w:tabs>
              <w:spacing w:before="120" w:after="57"/>
              <w:jc w:val="both"/>
            </w:pPr>
            <w:r w:rsidRPr="00CE2C9A">
              <w:t>(10)</w:t>
            </w:r>
          </w:p>
        </w:tc>
        <w:tc>
          <w:tcPr>
            <w:tcW w:w="5220" w:type="dxa"/>
          </w:tcPr>
          <w:p w14:paraId="773536BD" w14:textId="77777777" w:rsidR="00D65218" w:rsidRPr="00CE2C9A" w:rsidRDefault="00D65218" w:rsidP="00E877A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E2C9A">
              <w:t>Briefs</w:t>
            </w:r>
          </w:p>
        </w:tc>
        <w:tc>
          <w:tcPr>
            <w:tcW w:w="3420" w:type="dxa"/>
          </w:tcPr>
          <w:p w14:paraId="4F81E5C6" w14:textId="77777777" w:rsidR="00D65218" w:rsidRPr="00D65218" w:rsidRDefault="00150D9E" w:rsidP="00D7400E">
            <w:pPr>
              <w:numPr>
                <w:ilvl w:val="12"/>
                <w:numId w:val="0"/>
              </w:numPr>
              <w:tabs>
                <w:tab w:val="left" w:pos="0"/>
                <w:tab w:val="left" w:pos="720"/>
                <w:tab w:val="left" w:pos="1440"/>
                <w:tab w:val="left" w:pos="2160"/>
                <w:tab w:val="left" w:pos="2880"/>
              </w:tabs>
              <w:spacing w:before="120" w:after="57"/>
              <w:jc w:val="both"/>
              <w:rPr>
                <w:bCs/>
              </w:rPr>
            </w:pPr>
            <w:r>
              <w:rPr>
                <w:bCs/>
              </w:rPr>
              <w:t>March</w:t>
            </w:r>
            <w:r w:rsidR="00D65218" w:rsidRPr="00FB31D5">
              <w:rPr>
                <w:bCs/>
              </w:rPr>
              <w:t xml:space="preserve"> </w:t>
            </w:r>
            <w:r w:rsidR="00D7400E">
              <w:rPr>
                <w:bCs/>
              </w:rPr>
              <w:t>14</w:t>
            </w:r>
            <w:r w:rsidR="00D65218" w:rsidRPr="00FB31D5">
              <w:rPr>
                <w:bCs/>
              </w:rPr>
              <w:t>, 2025</w:t>
            </w:r>
          </w:p>
        </w:tc>
      </w:tr>
    </w:tbl>
    <w:p w14:paraId="76DE7B71"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32A3CC"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CE2C9A">
        <w:tab/>
      </w:r>
    </w:p>
    <w:p w14:paraId="41C2ABCA"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E2C9A">
        <w:tab/>
        <w:t>Based upon the foregoing, it is</w:t>
      </w:r>
    </w:p>
    <w:p w14:paraId="644546B0" w14:textId="77777777" w:rsidR="00CE2C9A" w:rsidRPr="00CE2C9A" w:rsidRDefault="00CE2C9A" w:rsidP="00CE2C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B5B3C4" w14:textId="77777777" w:rsidR="00CB5276" w:rsidRDefault="00CE2C9A" w:rsidP="00CE2C9A">
      <w:pPr>
        <w:pStyle w:val="OrderBody"/>
      </w:pPr>
      <w:r w:rsidRPr="00CE2C9A">
        <w:tab/>
        <w:t>ORDERED by Commissioner</w:t>
      </w:r>
      <w:r w:rsidR="00266A51">
        <w:t xml:space="preserve"> Andrew Giles Fay</w:t>
      </w:r>
      <w:r w:rsidRPr="00CE2C9A">
        <w:t>, as Prehearing Officer, that the provisions of this Order shall govern this proceeding unless modified by the Commission.</w:t>
      </w:r>
    </w:p>
    <w:p w14:paraId="65BE3A45" w14:textId="77777777" w:rsidR="00CE2C9A" w:rsidRDefault="00CE2C9A" w:rsidP="00CE2C9A">
      <w:pPr>
        <w:pStyle w:val="OrderBody"/>
      </w:pPr>
    </w:p>
    <w:p w14:paraId="01841AEF" w14:textId="4566D265" w:rsidR="00CE2C9A" w:rsidRDefault="00CE2C9A" w:rsidP="00CE2C9A">
      <w:pPr>
        <w:pStyle w:val="OrderBody"/>
        <w:keepNext/>
        <w:keepLines/>
      </w:pPr>
      <w:r>
        <w:tab/>
        <w:t xml:space="preserve">By ORDER of Commissioner Andrew Giles Fay, as Prehearing Officer, this </w:t>
      </w:r>
      <w:bookmarkStart w:id="6" w:name="replaceDate"/>
      <w:bookmarkEnd w:id="6"/>
      <w:r w:rsidR="00E01DA2">
        <w:rPr>
          <w:u w:val="single"/>
        </w:rPr>
        <w:t>23rd</w:t>
      </w:r>
      <w:r w:rsidR="00E01DA2">
        <w:t xml:space="preserve"> day of </w:t>
      </w:r>
      <w:r w:rsidR="00E01DA2">
        <w:rPr>
          <w:u w:val="single"/>
        </w:rPr>
        <w:t>July</w:t>
      </w:r>
      <w:r w:rsidR="00E01DA2">
        <w:t xml:space="preserve">, </w:t>
      </w:r>
      <w:r w:rsidR="00E01DA2">
        <w:rPr>
          <w:u w:val="single"/>
        </w:rPr>
        <w:t>2024</w:t>
      </w:r>
      <w:r w:rsidR="00E01DA2">
        <w:t>.</w:t>
      </w:r>
    </w:p>
    <w:p w14:paraId="14A24EC7" w14:textId="77777777" w:rsidR="00E01DA2" w:rsidRPr="00E01DA2" w:rsidRDefault="00E01DA2" w:rsidP="00CE2C9A">
      <w:pPr>
        <w:pStyle w:val="OrderBody"/>
        <w:keepNext/>
        <w:keepLines/>
      </w:pPr>
    </w:p>
    <w:p w14:paraId="4409F434" w14:textId="77777777" w:rsidR="00CE2C9A" w:rsidRDefault="00CE2C9A" w:rsidP="00CE2C9A">
      <w:pPr>
        <w:pStyle w:val="OrderBody"/>
        <w:keepNext/>
        <w:keepLines/>
      </w:pPr>
    </w:p>
    <w:p w14:paraId="4CEA3D44" w14:textId="77777777" w:rsidR="00CE2C9A" w:rsidRDefault="00CE2C9A" w:rsidP="00CE2C9A">
      <w:pPr>
        <w:pStyle w:val="OrderBody"/>
        <w:keepNext/>
        <w:keepLines/>
      </w:pPr>
    </w:p>
    <w:p w14:paraId="513D3EDB" w14:textId="77777777" w:rsidR="00CE2C9A" w:rsidRDefault="00CE2C9A" w:rsidP="00CE2C9A">
      <w:pPr>
        <w:pStyle w:val="OrderBody"/>
        <w:keepNext/>
        <w:keepLines/>
      </w:pPr>
    </w:p>
    <w:tbl>
      <w:tblPr>
        <w:tblW w:w="4720" w:type="dxa"/>
        <w:tblInd w:w="3800" w:type="dxa"/>
        <w:tblLayout w:type="fixed"/>
        <w:tblLook w:val="0000" w:firstRow="0" w:lastRow="0" w:firstColumn="0" w:lastColumn="0" w:noHBand="0" w:noVBand="0"/>
      </w:tblPr>
      <w:tblGrid>
        <w:gridCol w:w="520"/>
        <w:gridCol w:w="4200"/>
      </w:tblGrid>
      <w:tr w:rsidR="00CE2C9A" w14:paraId="2E3823EF" w14:textId="77777777" w:rsidTr="00E01DA2">
        <w:tc>
          <w:tcPr>
            <w:tcW w:w="520" w:type="dxa"/>
            <w:shd w:val="clear" w:color="auto" w:fill="auto"/>
          </w:tcPr>
          <w:p w14:paraId="35A139A4" w14:textId="77777777" w:rsidR="00CE2C9A" w:rsidRDefault="00CE2C9A" w:rsidP="00CE2C9A">
            <w:pPr>
              <w:pStyle w:val="OrderBody"/>
              <w:keepNext/>
              <w:keepLines/>
            </w:pPr>
            <w:bookmarkStart w:id="7" w:name="bkmrkSignature" w:colFirst="0" w:colLast="0"/>
          </w:p>
        </w:tc>
        <w:tc>
          <w:tcPr>
            <w:tcW w:w="4200" w:type="dxa"/>
            <w:tcBorders>
              <w:bottom w:val="single" w:sz="4" w:space="0" w:color="auto"/>
            </w:tcBorders>
            <w:shd w:val="clear" w:color="auto" w:fill="auto"/>
          </w:tcPr>
          <w:p w14:paraId="052D1981" w14:textId="6416AC4A" w:rsidR="00CE2C9A" w:rsidRDefault="00E01DA2" w:rsidP="00CE2C9A">
            <w:pPr>
              <w:pStyle w:val="OrderBody"/>
              <w:keepNext/>
              <w:keepLines/>
            </w:pPr>
            <w:r>
              <w:t>/s/ Andrew Giles Fay</w:t>
            </w:r>
            <w:bookmarkStart w:id="8" w:name="_GoBack"/>
            <w:bookmarkEnd w:id="8"/>
          </w:p>
        </w:tc>
      </w:tr>
      <w:bookmarkEnd w:id="7"/>
      <w:tr w:rsidR="00CE2C9A" w14:paraId="359C4C33" w14:textId="77777777" w:rsidTr="00E01DA2">
        <w:tc>
          <w:tcPr>
            <w:tcW w:w="520" w:type="dxa"/>
            <w:shd w:val="clear" w:color="auto" w:fill="auto"/>
          </w:tcPr>
          <w:p w14:paraId="3AC758E6" w14:textId="77777777" w:rsidR="00CE2C9A" w:rsidRDefault="00CE2C9A" w:rsidP="00CE2C9A">
            <w:pPr>
              <w:pStyle w:val="OrderBody"/>
              <w:keepNext/>
              <w:keepLines/>
            </w:pPr>
          </w:p>
        </w:tc>
        <w:tc>
          <w:tcPr>
            <w:tcW w:w="4200" w:type="dxa"/>
            <w:tcBorders>
              <w:top w:val="single" w:sz="4" w:space="0" w:color="auto"/>
            </w:tcBorders>
            <w:shd w:val="clear" w:color="auto" w:fill="auto"/>
          </w:tcPr>
          <w:p w14:paraId="0CAA3790" w14:textId="77777777" w:rsidR="00CE2C9A" w:rsidRDefault="00CE2C9A" w:rsidP="00CE2C9A">
            <w:pPr>
              <w:pStyle w:val="OrderBody"/>
              <w:keepNext/>
              <w:keepLines/>
            </w:pPr>
            <w:r>
              <w:t>ANDREW GILES FAY</w:t>
            </w:r>
          </w:p>
          <w:p w14:paraId="79225824" w14:textId="77777777" w:rsidR="00CE2C9A" w:rsidRDefault="00CE2C9A" w:rsidP="00CE2C9A">
            <w:pPr>
              <w:pStyle w:val="OrderBody"/>
              <w:keepNext/>
              <w:keepLines/>
            </w:pPr>
            <w:r>
              <w:t>Commissioner and Prehearing Officer</w:t>
            </w:r>
          </w:p>
        </w:tc>
      </w:tr>
    </w:tbl>
    <w:p w14:paraId="48240264" w14:textId="2C8E17EA" w:rsidR="00CE2C9A" w:rsidRDefault="00CE2C9A" w:rsidP="00CE2C9A">
      <w:pPr>
        <w:pStyle w:val="OrderSigInfo"/>
        <w:keepNext/>
        <w:keepLines/>
      </w:pPr>
      <w:r>
        <w:t>Florida Public Service Commission</w:t>
      </w:r>
    </w:p>
    <w:p w14:paraId="287C8335" w14:textId="77777777" w:rsidR="00CE2C9A" w:rsidRDefault="00CE2C9A" w:rsidP="00CE2C9A">
      <w:pPr>
        <w:pStyle w:val="OrderSigInfo"/>
        <w:keepNext/>
        <w:keepLines/>
      </w:pPr>
      <w:r>
        <w:t>2540 Shumard Oak Boulevard</w:t>
      </w:r>
    </w:p>
    <w:p w14:paraId="4BC249AA" w14:textId="77777777" w:rsidR="00CE2C9A" w:rsidRDefault="00CE2C9A" w:rsidP="00CE2C9A">
      <w:pPr>
        <w:pStyle w:val="OrderSigInfo"/>
        <w:keepNext/>
        <w:keepLines/>
      </w:pPr>
      <w:r>
        <w:t>Tallahassee, Florida 32399</w:t>
      </w:r>
    </w:p>
    <w:p w14:paraId="7790EE8C" w14:textId="77777777" w:rsidR="00CE2C9A" w:rsidRDefault="00CE2C9A" w:rsidP="00CE2C9A">
      <w:pPr>
        <w:pStyle w:val="OrderSigInfo"/>
        <w:keepNext/>
        <w:keepLines/>
      </w:pPr>
      <w:r>
        <w:t>(850) 413</w:t>
      </w:r>
      <w:r>
        <w:noBreakHyphen/>
        <w:t>6770</w:t>
      </w:r>
    </w:p>
    <w:p w14:paraId="0E1C715D" w14:textId="77777777" w:rsidR="00CE2C9A" w:rsidRDefault="00CE2C9A" w:rsidP="00CE2C9A">
      <w:pPr>
        <w:pStyle w:val="OrderSigInfo"/>
        <w:keepNext/>
        <w:keepLines/>
      </w:pPr>
      <w:r>
        <w:t>www.floridapsc.com</w:t>
      </w:r>
    </w:p>
    <w:p w14:paraId="7435C40A" w14:textId="77777777" w:rsidR="00CE2C9A" w:rsidRDefault="00CE2C9A" w:rsidP="00CE2C9A">
      <w:pPr>
        <w:pStyle w:val="OrderSigInfo"/>
        <w:keepNext/>
        <w:keepLines/>
      </w:pPr>
    </w:p>
    <w:p w14:paraId="4DAEA9DF" w14:textId="77777777" w:rsidR="00CE2C9A" w:rsidRDefault="00CE2C9A" w:rsidP="00CE2C9A">
      <w:pPr>
        <w:pStyle w:val="OrderSigInfo"/>
        <w:keepNext/>
        <w:keepLines/>
      </w:pPr>
      <w:r>
        <w:t>Copies furnished:  A copy of this document is provided to the parties of record at the time of issuance and, if applicable, interested persons.</w:t>
      </w:r>
    </w:p>
    <w:p w14:paraId="40B79BC4" w14:textId="77777777" w:rsidR="00CE2C9A" w:rsidRDefault="00CE2C9A" w:rsidP="00CE2C9A">
      <w:pPr>
        <w:pStyle w:val="OrderBody"/>
        <w:keepNext/>
        <w:keepLines/>
      </w:pPr>
    </w:p>
    <w:p w14:paraId="5EDF7A2E" w14:textId="77777777" w:rsidR="00CE2C9A" w:rsidRDefault="00CE2C9A" w:rsidP="00CE2C9A">
      <w:pPr>
        <w:pStyle w:val="OrderBody"/>
        <w:keepNext/>
        <w:keepLines/>
      </w:pPr>
    </w:p>
    <w:p w14:paraId="3E5F1798" w14:textId="77777777" w:rsidR="00CE2C9A" w:rsidRDefault="00CE2C9A" w:rsidP="00CE2C9A">
      <w:pPr>
        <w:pStyle w:val="OrderBody"/>
        <w:keepNext/>
        <w:keepLines/>
      </w:pPr>
      <w:r>
        <w:t>RPS</w:t>
      </w:r>
    </w:p>
    <w:p w14:paraId="6118F6BC" w14:textId="77777777" w:rsidR="00CE2C9A" w:rsidRDefault="00CE2C9A" w:rsidP="00CE2C9A">
      <w:pPr>
        <w:pStyle w:val="OrderBody"/>
      </w:pPr>
    </w:p>
    <w:p w14:paraId="15BE864E" w14:textId="77777777" w:rsidR="00CE2C9A" w:rsidRDefault="00CE2C9A" w:rsidP="00CE2C9A">
      <w:pPr>
        <w:pStyle w:val="OrderBody"/>
      </w:pPr>
    </w:p>
    <w:p w14:paraId="4933296A" w14:textId="77777777" w:rsidR="009128E5" w:rsidRDefault="009128E5">
      <w:pPr>
        <w:rPr>
          <w:u w:val="single"/>
        </w:rPr>
      </w:pPr>
      <w:r>
        <w:br w:type="page"/>
      </w:r>
    </w:p>
    <w:p w14:paraId="4AC8A17F" w14:textId="77777777" w:rsidR="00CE2C9A" w:rsidRDefault="00CE2C9A" w:rsidP="00CE2C9A">
      <w:pPr>
        <w:pStyle w:val="CenterUnderline"/>
      </w:pPr>
      <w:r>
        <w:lastRenderedPageBreak/>
        <w:t>NOTICE OF FURTHER PROCEEDINGS OR JUDICIAL REVIEW</w:t>
      </w:r>
    </w:p>
    <w:p w14:paraId="0DE864C0" w14:textId="77777777" w:rsidR="00CE2C9A" w:rsidRDefault="00CE2C9A" w:rsidP="00CE2C9A">
      <w:pPr>
        <w:pStyle w:val="CenterUnderline"/>
      </w:pPr>
    </w:p>
    <w:p w14:paraId="276DC489" w14:textId="77777777" w:rsidR="00CE2C9A" w:rsidRDefault="00CE2C9A" w:rsidP="00CE2C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9198ABF" w14:textId="77777777" w:rsidR="00CE2C9A" w:rsidRDefault="00CE2C9A" w:rsidP="00CE2C9A">
      <w:pPr>
        <w:pStyle w:val="OrderBody"/>
      </w:pPr>
    </w:p>
    <w:p w14:paraId="23EC8619" w14:textId="77777777" w:rsidR="00CE2C9A" w:rsidRDefault="00CE2C9A" w:rsidP="00CE2C9A">
      <w:pPr>
        <w:pStyle w:val="OrderBody"/>
      </w:pPr>
      <w:r>
        <w:tab/>
        <w:t>Mediation may be available on a case-by-case basis.  If mediation is conducted, it does not affect a substantially interested person's right to a hearing.</w:t>
      </w:r>
    </w:p>
    <w:p w14:paraId="43E13636" w14:textId="77777777" w:rsidR="00CE2C9A" w:rsidRDefault="00CE2C9A" w:rsidP="00CE2C9A">
      <w:pPr>
        <w:pStyle w:val="OrderBody"/>
      </w:pPr>
    </w:p>
    <w:p w14:paraId="31E99A3F" w14:textId="77777777" w:rsidR="00FB31D5" w:rsidRDefault="00CE2C9A" w:rsidP="00CE2C9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w:t>
      </w:r>
    </w:p>
    <w:p w14:paraId="69CF3A8D" w14:textId="77777777" w:rsidR="00CE2C9A" w:rsidRDefault="00CE2C9A" w:rsidP="009128E5">
      <w:r>
        <w:t>Procedure.</w:t>
      </w:r>
    </w:p>
    <w:p w14:paraId="4E0620FE" w14:textId="77777777" w:rsidR="00CE2C9A" w:rsidRDefault="00CE2C9A" w:rsidP="00CE2C9A">
      <w:pPr>
        <w:pStyle w:val="OrderBody"/>
      </w:pPr>
    </w:p>
    <w:p w14:paraId="5C2C8E15" w14:textId="77777777" w:rsidR="00CE2C9A" w:rsidRDefault="00CE2C9A" w:rsidP="00150D9E"/>
    <w:sectPr w:rsidR="00CE2C9A">
      <w:headerReference w:type="default" r:id="rId10"/>
      <w:footerReference w:type="first" r:id="rId11"/>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AB674F" w16cid:durableId="5B4FF6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F5209" w14:textId="77777777" w:rsidR="008221B2" w:rsidRDefault="008221B2">
      <w:r>
        <w:separator/>
      </w:r>
    </w:p>
  </w:endnote>
  <w:endnote w:type="continuationSeparator" w:id="0">
    <w:p w14:paraId="2792365C" w14:textId="77777777" w:rsidR="008221B2" w:rsidRDefault="0082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6E02" w14:textId="77777777" w:rsidR="00FA6EFD" w:rsidRDefault="00FA6EFD">
    <w:pPr>
      <w:pStyle w:val="Footer"/>
    </w:pPr>
  </w:p>
  <w:p w14:paraId="38F0069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6F7E5" w14:textId="77777777" w:rsidR="008221B2" w:rsidRDefault="008221B2">
      <w:r>
        <w:separator/>
      </w:r>
    </w:p>
  </w:footnote>
  <w:footnote w:type="continuationSeparator" w:id="0">
    <w:p w14:paraId="65F541B5" w14:textId="77777777" w:rsidR="008221B2" w:rsidRDefault="0082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7C0F" w14:textId="7C489DA1" w:rsidR="00FA6EFD" w:rsidRDefault="00FA6EFD">
    <w:pPr>
      <w:pStyle w:val="OrderHeader"/>
    </w:pPr>
    <w:r>
      <w:t xml:space="preserve">ORDER NO. </w:t>
    </w:r>
    <w:fldSimple w:instr=" REF OrderNo0259 ">
      <w:r w:rsidR="00E01DA2">
        <w:t>PSC-2024-0259-PCO-WS</w:t>
      </w:r>
    </w:fldSimple>
  </w:p>
  <w:p w14:paraId="2BC5291C" w14:textId="77777777" w:rsidR="00FA6EFD" w:rsidRDefault="00CE2C9A">
    <w:pPr>
      <w:pStyle w:val="OrderHeader"/>
    </w:pPr>
    <w:bookmarkStart w:id="9" w:name="HeaderDocketNo"/>
    <w:bookmarkEnd w:id="9"/>
    <w:r>
      <w:t>DOCKET NO. 20240068-WS</w:t>
    </w:r>
  </w:p>
  <w:p w14:paraId="45C6F2F6" w14:textId="6FADEB6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1DA2">
      <w:rPr>
        <w:rStyle w:val="PageNumber"/>
        <w:noProof/>
      </w:rPr>
      <w:t>13</w:t>
    </w:r>
    <w:r>
      <w:rPr>
        <w:rStyle w:val="PageNumber"/>
      </w:rPr>
      <w:fldChar w:fldCharType="end"/>
    </w:r>
  </w:p>
  <w:p w14:paraId="7C638E65"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40068-WS"/>
  </w:docVars>
  <w:rsids>
    <w:rsidRoot w:val="00CE2C9A"/>
    <w:rsid w:val="000022B8"/>
    <w:rsid w:val="00003883"/>
    <w:rsid w:val="00011251"/>
    <w:rsid w:val="0001703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6FF2"/>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E54"/>
    <w:rsid w:val="000E3F6D"/>
    <w:rsid w:val="000F11F1"/>
    <w:rsid w:val="000F359F"/>
    <w:rsid w:val="000F3B2C"/>
    <w:rsid w:val="000F3F6C"/>
    <w:rsid w:val="000F63EB"/>
    <w:rsid w:val="000F648A"/>
    <w:rsid w:val="000F7BE3"/>
    <w:rsid w:val="00103190"/>
    <w:rsid w:val="00104333"/>
    <w:rsid w:val="0010515B"/>
    <w:rsid w:val="001052BA"/>
    <w:rsid w:val="001107B3"/>
    <w:rsid w:val="001114B1"/>
    <w:rsid w:val="001139D8"/>
    <w:rsid w:val="00116AD3"/>
    <w:rsid w:val="00121957"/>
    <w:rsid w:val="0012387E"/>
    <w:rsid w:val="001259EC"/>
    <w:rsid w:val="00126593"/>
    <w:rsid w:val="00134177"/>
    <w:rsid w:val="00136087"/>
    <w:rsid w:val="00142A96"/>
    <w:rsid w:val="00150D9E"/>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6A51"/>
    <w:rsid w:val="00270F89"/>
    <w:rsid w:val="00276CDC"/>
    <w:rsid w:val="00277655"/>
    <w:rsid w:val="002824B7"/>
    <w:rsid w:val="00282AC4"/>
    <w:rsid w:val="00293DC9"/>
    <w:rsid w:val="002948EF"/>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40A7"/>
    <w:rsid w:val="00313C5B"/>
    <w:rsid w:val="003140E8"/>
    <w:rsid w:val="003231C7"/>
    <w:rsid w:val="00323839"/>
    <w:rsid w:val="003270C4"/>
    <w:rsid w:val="00331ED0"/>
    <w:rsid w:val="00332B0A"/>
    <w:rsid w:val="00333A41"/>
    <w:rsid w:val="00340A43"/>
    <w:rsid w:val="00341036"/>
    <w:rsid w:val="00345434"/>
    <w:rsid w:val="0034666A"/>
    <w:rsid w:val="00346D0E"/>
    <w:rsid w:val="00351C22"/>
    <w:rsid w:val="00352E91"/>
    <w:rsid w:val="0035495B"/>
    <w:rsid w:val="00355A93"/>
    <w:rsid w:val="00360F30"/>
    <w:rsid w:val="00361522"/>
    <w:rsid w:val="0037196E"/>
    <w:rsid w:val="003744F5"/>
    <w:rsid w:val="00382C6A"/>
    <w:rsid w:val="003875A9"/>
    <w:rsid w:val="00387BDE"/>
    <w:rsid w:val="00390DD8"/>
    <w:rsid w:val="00394DC6"/>
    <w:rsid w:val="00397C3E"/>
    <w:rsid w:val="003B1A09"/>
    <w:rsid w:val="003B261B"/>
    <w:rsid w:val="003B6F02"/>
    <w:rsid w:val="003C0431"/>
    <w:rsid w:val="003C29BB"/>
    <w:rsid w:val="003D3989"/>
    <w:rsid w:val="003D4CCA"/>
    <w:rsid w:val="003D52A6"/>
    <w:rsid w:val="003D6416"/>
    <w:rsid w:val="003E1D48"/>
    <w:rsid w:val="003E5B94"/>
    <w:rsid w:val="003E711F"/>
    <w:rsid w:val="003F1D2B"/>
    <w:rsid w:val="003F49A6"/>
    <w:rsid w:val="003F518F"/>
    <w:rsid w:val="003F6BA7"/>
    <w:rsid w:val="003F7445"/>
    <w:rsid w:val="00411DF2"/>
    <w:rsid w:val="00411E8F"/>
    <w:rsid w:val="00423E05"/>
    <w:rsid w:val="004247F5"/>
    <w:rsid w:val="0042527B"/>
    <w:rsid w:val="00427EAC"/>
    <w:rsid w:val="004431B4"/>
    <w:rsid w:val="00445604"/>
    <w:rsid w:val="00451158"/>
    <w:rsid w:val="0045537F"/>
    <w:rsid w:val="004564C2"/>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6F75"/>
    <w:rsid w:val="00514B1F"/>
    <w:rsid w:val="00523C5C"/>
    <w:rsid w:val="00524884"/>
    <w:rsid w:val="00525E93"/>
    <w:rsid w:val="0052671D"/>
    <w:rsid w:val="005300C0"/>
    <w:rsid w:val="00533EF6"/>
    <w:rsid w:val="005340AB"/>
    <w:rsid w:val="005340B8"/>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2A4D"/>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DD3"/>
    <w:rsid w:val="00677F18"/>
    <w:rsid w:val="00693483"/>
    <w:rsid w:val="006973C7"/>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5D2F"/>
    <w:rsid w:val="00721B44"/>
    <w:rsid w:val="007232A2"/>
    <w:rsid w:val="00726366"/>
    <w:rsid w:val="00731AB6"/>
    <w:rsid w:val="00733B6B"/>
    <w:rsid w:val="00740808"/>
    <w:rsid w:val="00740A1B"/>
    <w:rsid w:val="00741C45"/>
    <w:rsid w:val="0074250C"/>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860"/>
    <w:rsid w:val="00801DAD"/>
    <w:rsid w:val="00803189"/>
    <w:rsid w:val="00804E7A"/>
    <w:rsid w:val="00805FBB"/>
    <w:rsid w:val="00814292"/>
    <w:rsid w:val="008169A4"/>
    <w:rsid w:val="008221B2"/>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450A"/>
    <w:rsid w:val="0089695B"/>
    <w:rsid w:val="00897740"/>
    <w:rsid w:val="008A12EC"/>
    <w:rsid w:val="008A4931"/>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28E5"/>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5C6"/>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4FC2"/>
    <w:rsid w:val="00A46CAF"/>
    <w:rsid w:val="00A470FD"/>
    <w:rsid w:val="00A50B5E"/>
    <w:rsid w:val="00A62DAB"/>
    <w:rsid w:val="00A6757A"/>
    <w:rsid w:val="00A726A6"/>
    <w:rsid w:val="00A74842"/>
    <w:rsid w:val="00A8269A"/>
    <w:rsid w:val="00A86A50"/>
    <w:rsid w:val="00A9178A"/>
    <w:rsid w:val="00A9515B"/>
    <w:rsid w:val="00A97535"/>
    <w:rsid w:val="00AA0934"/>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F83"/>
    <w:rsid w:val="00BC786E"/>
    <w:rsid w:val="00BD4EE9"/>
    <w:rsid w:val="00BD548B"/>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0B4A"/>
    <w:rsid w:val="00C523EC"/>
    <w:rsid w:val="00C55A33"/>
    <w:rsid w:val="00C64D49"/>
    <w:rsid w:val="00C66692"/>
    <w:rsid w:val="00C673B5"/>
    <w:rsid w:val="00C7063D"/>
    <w:rsid w:val="00C72339"/>
    <w:rsid w:val="00C74593"/>
    <w:rsid w:val="00C820BC"/>
    <w:rsid w:val="00C830BC"/>
    <w:rsid w:val="00C8524D"/>
    <w:rsid w:val="00C90904"/>
    <w:rsid w:val="00C91123"/>
    <w:rsid w:val="00C91268"/>
    <w:rsid w:val="00CA6CC2"/>
    <w:rsid w:val="00CA71FF"/>
    <w:rsid w:val="00CB2393"/>
    <w:rsid w:val="00CB2456"/>
    <w:rsid w:val="00CB5276"/>
    <w:rsid w:val="00CB5BFC"/>
    <w:rsid w:val="00CB68D7"/>
    <w:rsid w:val="00CB785B"/>
    <w:rsid w:val="00CB7FED"/>
    <w:rsid w:val="00CC7E68"/>
    <w:rsid w:val="00CD3D74"/>
    <w:rsid w:val="00CD7132"/>
    <w:rsid w:val="00CE0E6F"/>
    <w:rsid w:val="00CE2C9A"/>
    <w:rsid w:val="00CE3B21"/>
    <w:rsid w:val="00CE56FC"/>
    <w:rsid w:val="00CE719C"/>
    <w:rsid w:val="00CE7A4D"/>
    <w:rsid w:val="00CF32D2"/>
    <w:rsid w:val="00CF4CFE"/>
    <w:rsid w:val="00D00E8E"/>
    <w:rsid w:val="00D02E0F"/>
    <w:rsid w:val="00D03EE8"/>
    <w:rsid w:val="00D05DE7"/>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218"/>
    <w:rsid w:val="00D70752"/>
    <w:rsid w:val="00D7400E"/>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1DA2"/>
    <w:rsid w:val="00E03A76"/>
    <w:rsid w:val="00E04410"/>
    <w:rsid w:val="00E07484"/>
    <w:rsid w:val="00E11351"/>
    <w:rsid w:val="00E33F44"/>
    <w:rsid w:val="00E37D48"/>
    <w:rsid w:val="00E4225C"/>
    <w:rsid w:val="00E44879"/>
    <w:rsid w:val="00E6016D"/>
    <w:rsid w:val="00E72914"/>
    <w:rsid w:val="00E75AE0"/>
    <w:rsid w:val="00E83C1F"/>
    <w:rsid w:val="00E85684"/>
    <w:rsid w:val="00E877A1"/>
    <w:rsid w:val="00E8794B"/>
    <w:rsid w:val="00E97656"/>
    <w:rsid w:val="00EA004A"/>
    <w:rsid w:val="00EA172C"/>
    <w:rsid w:val="00EA259B"/>
    <w:rsid w:val="00EA35A3"/>
    <w:rsid w:val="00EA3E6A"/>
    <w:rsid w:val="00EB18EF"/>
    <w:rsid w:val="00EB2DF5"/>
    <w:rsid w:val="00EB58F4"/>
    <w:rsid w:val="00EB7951"/>
    <w:rsid w:val="00ED6A79"/>
    <w:rsid w:val="00EE17DF"/>
    <w:rsid w:val="00EF1482"/>
    <w:rsid w:val="00EF4621"/>
    <w:rsid w:val="00EF4D52"/>
    <w:rsid w:val="00EF6312"/>
    <w:rsid w:val="00F038B0"/>
    <w:rsid w:val="00F05F34"/>
    <w:rsid w:val="00F065A7"/>
    <w:rsid w:val="00F22B27"/>
    <w:rsid w:val="00F234A7"/>
    <w:rsid w:val="00F277B6"/>
    <w:rsid w:val="00F27DA5"/>
    <w:rsid w:val="00F37E07"/>
    <w:rsid w:val="00F4182A"/>
    <w:rsid w:val="00F464ED"/>
    <w:rsid w:val="00F54380"/>
    <w:rsid w:val="00F54B47"/>
    <w:rsid w:val="00F55D1E"/>
    <w:rsid w:val="00F57070"/>
    <w:rsid w:val="00F61247"/>
    <w:rsid w:val="00F61F61"/>
    <w:rsid w:val="00F63191"/>
    <w:rsid w:val="00F6702E"/>
    <w:rsid w:val="00F70E84"/>
    <w:rsid w:val="00F80685"/>
    <w:rsid w:val="00F90C74"/>
    <w:rsid w:val="00F94968"/>
    <w:rsid w:val="00FA092B"/>
    <w:rsid w:val="00FA4F6C"/>
    <w:rsid w:val="00FA6EFD"/>
    <w:rsid w:val="00FB31D5"/>
    <w:rsid w:val="00FB3791"/>
    <w:rsid w:val="00FB6780"/>
    <w:rsid w:val="00FB6D2B"/>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3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E2C9A"/>
    <w:pPr>
      <w:autoSpaceDE w:val="0"/>
      <w:autoSpaceDN w:val="0"/>
      <w:adjustRightInd w:val="0"/>
      <w:ind w:left="1440"/>
    </w:pPr>
    <w:rPr>
      <w:sz w:val="24"/>
      <w:szCs w:val="24"/>
    </w:rPr>
  </w:style>
  <w:style w:type="paragraph" w:styleId="BalloonText">
    <w:name w:val="Balloon Text"/>
    <w:basedOn w:val="Normal"/>
    <w:link w:val="BalloonTextChar"/>
    <w:semiHidden/>
    <w:unhideWhenUsed/>
    <w:rsid w:val="0034666A"/>
    <w:rPr>
      <w:rFonts w:ascii="Segoe UI" w:hAnsi="Segoe UI" w:cs="Segoe UI"/>
      <w:sz w:val="18"/>
      <w:szCs w:val="18"/>
    </w:rPr>
  </w:style>
  <w:style w:type="character" w:customStyle="1" w:styleId="BalloonTextChar">
    <w:name w:val="Balloon Text Char"/>
    <w:basedOn w:val="DefaultParagraphFont"/>
    <w:link w:val="BalloonText"/>
    <w:semiHidden/>
    <w:rsid w:val="0034666A"/>
    <w:rPr>
      <w:rFonts w:ascii="Segoe UI" w:hAnsi="Segoe UI" w:cs="Segoe UI"/>
      <w:sz w:val="18"/>
      <w:szCs w:val="18"/>
    </w:rPr>
  </w:style>
  <w:style w:type="character" w:styleId="CommentReference">
    <w:name w:val="annotation reference"/>
    <w:basedOn w:val="DefaultParagraphFont"/>
    <w:semiHidden/>
    <w:unhideWhenUsed/>
    <w:rsid w:val="00352E91"/>
    <w:rPr>
      <w:sz w:val="16"/>
      <w:szCs w:val="16"/>
    </w:rPr>
  </w:style>
  <w:style w:type="paragraph" w:styleId="CommentText">
    <w:name w:val="annotation text"/>
    <w:basedOn w:val="Normal"/>
    <w:link w:val="CommentTextChar"/>
    <w:semiHidden/>
    <w:unhideWhenUsed/>
    <w:rsid w:val="00352E91"/>
    <w:rPr>
      <w:sz w:val="20"/>
      <w:szCs w:val="20"/>
    </w:rPr>
  </w:style>
  <w:style w:type="character" w:customStyle="1" w:styleId="CommentTextChar">
    <w:name w:val="Comment Text Char"/>
    <w:basedOn w:val="DefaultParagraphFont"/>
    <w:link w:val="CommentText"/>
    <w:semiHidden/>
    <w:rsid w:val="00352E91"/>
  </w:style>
  <w:style w:type="paragraph" w:styleId="CommentSubject">
    <w:name w:val="annotation subject"/>
    <w:basedOn w:val="CommentText"/>
    <w:next w:val="CommentText"/>
    <w:link w:val="CommentSubjectChar"/>
    <w:semiHidden/>
    <w:unhideWhenUsed/>
    <w:rsid w:val="00352E91"/>
    <w:rPr>
      <w:b/>
      <w:bCs/>
    </w:rPr>
  </w:style>
  <w:style w:type="character" w:customStyle="1" w:styleId="CommentSubjectChar">
    <w:name w:val="Comment Subject Char"/>
    <w:basedOn w:val="CommentTextChar"/>
    <w:link w:val="CommentSubject"/>
    <w:semiHidden/>
    <w:rsid w:val="00352E91"/>
    <w:rPr>
      <w:b/>
      <w:bCs/>
    </w:rPr>
  </w:style>
  <w:style w:type="paragraph" w:customStyle="1" w:styleId="Level1">
    <w:name w:val="Level 1"/>
    <w:rsid w:val="003B261B"/>
    <w:pPr>
      <w:autoSpaceDE w:val="0"/>
      <w:autoSpaceDN w:val="0"/>
      <w:adjustRightInd w:val="0"/>
      <w:ind w:left="720"/>
    </w:pPr>
    <w:rPr>
      <w:sz w:val="24"/>
      <w:szCs w:val="24"/>
    </w:rPr>
  </w:style>
  <w:style w:type="paragraph" w:styleId="Revision">
    <w:name w:val="Revision"/>
    <w:hidden/>
    <w:uiPriority w:val="99"/>
    <w:semiHidden/>
    <w:rsid w:val="008945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466D-AF6C-434B-BA34-F5E64DAB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13</Pages>
  <Words>5012</Words>
  <Characters>27081</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2024-07-23T13:29:00Z</dcterms:created>
  <dcterms:modified xsi:type="dcterms:W3CDTF">2024-07-23T14:06:00Z</dcterms:modified>
</cp:coreProperties>
</file>