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00926" w14:textId="77777777" w:rsidR="00CB5276" w:rsidRDefault="00C7699A" w:rsidP="00C7699A">
      <w:pPr>
        <w:pStyle w:val="OrderHeading"/>
      </w:pPr>
      <w:r>
        <w:t>BEFORE THE FLORIDA PUBLIC SERVICE COMMISSION</w:t>
      </w:r>
    </w:p>
    <w:p w14:paraId="314BE1BB" w14:textId="77777777" w:rsidR="00C7699A" w:rsidRDefault="00C7699A" w:rsidP="00C7699A">
      <w:pPr>
        <w:pStyle w:val="OrderBody"/>
      </w:pPr>
    </w:p>
    <w:p w14:paraId="471F7E20" w14:textId="77777777" w:rsidR="00C7699A" w:rsidRDefault="00C7699A" w:rsidP="00C7699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7699A" w:rsidRPr="00C63FCF" w14:paraId="5DFEE06D" w14:textId="77777777" w:rsidTr="00E70A27">
        <w:trPr>
          <w:trHeight w:val="828"/>
        </w:trPr>
        <w:tc>
          <w:tcPr>
            <w:tcW w:w="4788" w:type="dxa"/>
            <w:tcBorders>
              <w:bottom w:val="nil"/>
              <w:right w:val="double" w:sz="6" w:space="0" w:color="auto"/>
            </w:tcBorders>
            <w:shd w:val="clear" w:color="auto" w:fill="auto"/>
          </w:tcPr>
          <w:p w14:paraId="1E367E80" w14:textId="77777777" w:rsidR="00C7699A" w:rsidRDefault="00C7699A" w:rsidP="00E70A27">
            <w:pPr>
              <w:pStyle w:val="OrderBody"/>
              <w:tabs>
                <w:tab w:val="center" w:pos="4320"/>
                <w:tab w:val="right" w:pos="8640"/>
              </w:tabs>
              <w:jc w:val="left"/>
            </w:pPr>
            <w:r>
              <w:t xml:space="preserve">In re: </w:t>
            </w:r>
            <w:bookmarkStart w:id="0" w:name="SMInRe"/>
            <w:bookmarkEnd w:id="0"/>
            <w:r>
              <w:t>Petition for rate increase by Tampa Electric Company.</w:t>
            </w:r>
          </w:p>
          <w:p w14:paraId="2B9FA50E" w14:textId="77777777" w:rsidR="00C7699A" w:rsidRDefault="00C7699A" w:rsidP="00E70A27">
            <w:pPr>
              <w:pStyle w:val="OrderBody"/>
              <w:tabs>
                <w:tab w:val="center" w:pos="4320"/>
                <w:tab w:val="right" w:pos="8640"/>
              </w:tabs>
              <w:jc w:val="left"/>
            </w:pPr>
          </w:p>
        </w:tc>
        <w:tc>
          <w:tcPr>
            <w:tcW w:w="4788" w:type="dxa"/>
            <w:tcBorders>
              <w:left w:val="double" w:sz="6" w:space="0" w:color="auto"/>
              <w:bottom w:val="nil"/>
            </w:tcBorders>
            <w:shd w:val="clear" w:color="auto" w:fill="auto"/>
          </w:tcPr>
          <w:p w14:paraId="268BD88A" w14:textId="77777777" w:rsidR="00C7699A" w:rsidRDefault="00C7699A" w:rsidP="00E70A27">
            <w:pPr>
              <w:pStyle w:val="OrderBody"/>
              <w:tabs>
                <w:tab w:val="center" w:pos="4320"/>
                <w:tab w:val="right" w:pos="8640"/>
              </w:tabs>
              <w:jc w:val="left"/>
            </w:pPr>
            <w:r>
              <w:t xml:space="preserve">DOCKET NO. </w:t>
            </w:r>
            <w:bookmarkStart w:id="1" w:name="SMDocketNo"/>
            <w:bookmarkEnd w:id="1"/>
            <w:r>
              <w:t>20240026-EI</w:t>
            </w:r>
          </w:p>
        </w:tc>
      </w:tr>
      <w:tr w:rsidR="00C7699A" w:rsidRPr="00C63FCF" w14:paraId="4A7BC2EA" w14:textId="77777777" w:rsidTr="00E70A27">
        <w:trPr>
          <w:trHeight w:val="828"/>
        </w:trPr>
        <w:tc>
          <w:tcPr>
            <w:tcW w:w="4788" w:type="dxa"/>
            <w:tcBorders>
              <w:bottom w:val="nil"/>
              <w:right w:val="double" w:sz="6" w:space="0" w:color="auto"/>
            </w:tcBorders>
            <w:shd w:val="clear" w:color="auto" w:fill="auto"/>
          </w:tcPr>
          <w:p w14:paraId="15F49B94" w14:textId="77777777" w:rsidR="00C7699A" w:rsidRDefault="00C7699A" w:rsidP="00E70A27">
            <w:pPr>
              <w:pStyle w:val="OrderBody"/>
              <w:tabs>
                <w:tab w:val="center" w:pos="4320"/>
                <w:tab w:val="right" w:pos="8640"/>
              </w:tabs>
              <w:jc w:val="left"/>
            </w:pPr>
            <w:r>
              <w:t>In re: Petition for approval of 2023 depreciation and dismantlement study, by Tampa Electric Company.</w:t>
            </w:r>
          </w:p>
          <w:p w14:paraId="64013868" w14:textId="77777777" w:rsidR="00C7699A" w:rsidRDefault="00C7699A" w:rsidP="00E70A27">
            <w:pPr>
              <w:pStyle w:val="OrderBody"/>
              <w:tabs>
                <w:tab w:val="center" w:pos="4320"/>
                <w:tab w:val="right" w:pos="8640"/>
              </w:tabs>
              <w:jc w:val="left"/>
            </w:pPr>
          </w:p>
        </w:tc>
        <w:tc>
          <w:tcPr>
            <w:tcW w:w="4788" w:type="dxa"/>
            <w:tcBorders>
              <w:left w:val="double" w:sz="6" w:space="0" w:color="auto"/>
              <w:bottom w:val="nil"/>
            </w:tcBorders>
            <w:shd w:val="clear" w:color="auto" w:fill="auto"/>
          </w:tcPr>
          <w:p w14:paraId="1DDDDE1A" w14:textId="77777777" w:rsidR="00C7699A" w:rsidRDefault="00C7699A" w:rsidP="00E70A27">
            <w:pPr>
              <w:pStyle w:val="OrderBody"/>
              <w:tabs>
                <w:tab w:val="center" w:pos="4320"/>
                <w:tab w:val="right" w:pos="8640"/>
              </w:tabs>
              <w:jc w:val="left"/>
            </w:pPr>
            <w:r>
              <w:t>DOCKET NO. 20230139-EI</w:t>
            </w:r>
          </w:p>
          <w:p w14:paraId="639E49A2" w14:textId="77777777" w:rsidR="00C7699A" w:rsidRDefault="00C7699A" w:rsidP="00E70A27">
            <w:pPr>
              <w:pStyle w:val="OrderBody"/>
              <w:tabs>
                <w:tab w:val="center" w:pos="4320"/>
                <w:tab w:val="right" w:pos="8640"/>
              </w:tabs>
              <w:jc w:val="left"/>
            </w:pPr>
          </w:p>
        </w:tc>
      </w:tr>
      <w:tr w:rsidR="00C7699A" w:rsidRPr="00C63FCF" w14:paraId="0B17C2C6" w14:textId="77777777" w:rsidTr="00E70A27">
        <w:trPr>
          <w:trHeight w:val="828"/>
        </w:trPr>
        <w:tc>
          <w:tcPr>
            <w:tcW w:w="4788" w:type="dxa"/>
            <w:tcBorders>
              <w:top w:val="nil"/>
              <w:bottom w:val="single" w:sz="8" w:space="0" w:color="auto"/>
              <w:right w:val="double" w:sz="6" w:space="0" w:color="auto"/>
            </w:tcBorders>
            <w:shd w:val="clear" w:color="auto" w:fill="auto"/>
          </w:tcPr>
          <w:p w14:paraId="08F1568A" w14:textId="77777777" w:rsidR="00C7699A" w:rsidRDefault="00C7699A" w:rsidP="00E70A27">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14:paraId="2D91A335" w14:textId="77777777" w:rsidR="00C7699A" w:rsidRDefault="00C7699A" w:rsidP="00C7699A">
            <w:pPr>
              <w:pStyle w:val="OrderBody"/>
            </w:pPr>
            <w:r>
              <w:t xml:space="preserve">DOCKET NO. </w:t>
            </w:r>
            <w:bookmarkStart w:id="2" w:name="SMDocketNo2"/>
            <w:bookmarkEnd w:id="2"/>
            <w:r>
              <w:t>20230090-EI</w:t>
            </w:r>
          </w:p>
          <w:p w14:paraId="472EEF23" w14:textId="408AD83D" w:rsidR="00C7699A" w:rsidRDefault="00C7699A" w:rsidP="00E70A27">
            <w:pPr>
              <w:pStyle w:val="OrderBody"/>
              <w:tabs>
                <w:tab w:val="center" w:pos="4320"/>
                <w:tab w:val="right" w:pos="8640"/>
              </w:tabs>
              <w:jc w:val="left"/>
            </w:pPr>
            <w:r>
              <w:t xml:space="preserve">ORDER NO. </w:t>
            </w:r>
            <w:bookmarkStart w:id="3" w:name="OrderNo0351"/>
            <w:r w:rsidR="007716CF">
              <w:t>PSC-2024-0351-PHO-EI</w:t>
            </w:r>
            <w:bookmarkEnd w:id="3"/>
          </w:p>
          <w:p w14:paraId="6E98E51C" w14:textId="29967DCB" w:rsidR="00C7699A" w:rsidRDefault="00C7699A" w:rsidP="00E70A27">
            <w:pPr>
              <w:pStyle w:val="OrderBody"/>
              <w:tabs>
                <w:tab w:val="center" w:pos="4320"/>
                <w:tab w:val="right" w:pos="8640"/>
              </w:tabs>
              <w:jc w:val="left"/>
            </w:pPr>
            <w:r>
              <w:t xml:space="preserve">ISSUED: </w:t>
            </w:r>
            <w:r w:rsidR="007716CF">
              <w:t>August 14, 2024</w:t>
            </w:r>
          </w:p>
          <w:p w14:paraId="7A9A4360" w14:textId="77777777" w:rsidR="00C7699A" w:rsidRDefault="00C7699A" w:rsidP="00E70A27">
            <w:pPr>
              <w:pStyle w:val="OrderBody"/>
              <w:tabs>
                <w:tab w:val="center" w:pos="4320"/>
                <w:tab w:val="right" w:pos="8640"/>
              </w:tabs>
              <w:jc w:val="left"/>
            </w:pPr>
          </w:p>
        </w:tc>
      </w:tr>
    </w:tbl>
    <w:p w14:paraId="2997D403" w14:textId="77777777" w:rsidR="00C7699A" w:rsidRDefault="00C7699A" w:rsidP="00C7699A"/>
    <w:p w14:paraId="40AD45C4" w14:textId="77777777" w:rsidR="00C7699A" w:rsidRPr="00701945" w:rsidRDefault="00C7699A" w:rsidP="00C7699A">
      <w:pPr>
        <w:jc w:val="center"/>
      </w:pPr>
      <w:bookmarkStart w:id="4" w:name="Commissioners"/>
      <w:bookmarkEnd w:id="4"/>
      <w:r w:rsidRPr="00701945">
        <w:rPr>
          <w:b/>
          <w:bCs/>
          <w:u w:val="single"/>
        </w:rPr>
        <w:t>PREHEARING ORDER</w:t>
      </w:r>
    </w:p>
    <w:p w14:paraId="525A3F67" w14:textId="77777777" w:rsidR="00C7699A" w:rsidRDefault="00C7699A" w:rsidP="00C7699A"/>
    <w:p w14:paraId="6B3F2C08" w14:textId="77777777" w:rsidR="00C7699A" w:rsidRPr="00701945" w:rsidRDefault="00C7699A" w:rsidP="00C7699A">
      <w:pPr>
        <w:ind w:firstLine="720"/>
        <w:jc w:val="both"/>
      </w:pPr>
      <w:r w:rsidRPr="00701945">
        <w:t xml:space="preserve">Pursuant to </w:t>
      </w:r>
      <w:r w:rsidR="00D15828">
        <w:t>n</w:t>
      </w:r>
      <w:r w:rsidRPr="00701945">
        <w:t xml:space="preserve">otice and in accordance with Rule 28-106.209, </w:t>
      </w:r>
      <w:r>
        <w:t>Florida Administrative Code (F.A.C.)</w:t>
      </w:r>
      <w:r w:rsidRPr="00701945">
        <w:t xml:space="preserve">, a Prehearing Conference was held on </w:t>
      </w:r>
      <w:r w:rsidR="002E3F62" w:rsidRPr="008C655B">
        <w:t xml:space="preserve">August </w:t>
      </w:r>
      <w:r w:rsidR="00D15828">
        <w:t>8</w:t>
      </w:r>
      <w:r w:rsidR="002E3F62" w:rsidRPr="008C655B">
        <w:t>, 2024</w:t>
      </w:r>
      <w:r w:rsidRPr="008C655B">
        <w:t>,</w:t>
      </w:r>
      <w:r w:rsidRPr="00701945">
        <w:t xml:space="preserve"> in Tallahassee, Florida, before Commissioner </w:t>
      </w:r>
      <w:r w:rsidR="002E3F62">
        <w:t>Gary F. Clark</w:t>
      </w:r>
      <w:r w:rsidRPr="00701945">
        <w:t>, as Prehearing Officer.</w:t>
      </w:r>
    </w:p>
    <w:p w14:paraId="71891209" w14:textId="77777777" w:rsidR="00C7699A" w:rsidRPr="00701945" w:rsidRDefault="00C7699A" w:rsidP="00C7699A">
      <w:pPr>
        <w:jc w:val="both"/>
      </w:pPr>
    </w:p>
    <w:p w14:paraId="3285C919" w14:textId="77777777" w:rsidR="00C7699A" w:rsidRPr="00701945" w:rsidRDefault="00C7699A" w:rsidP="00C7699A">
      <w:pPr>
        <w:jc w:val="both"/>
      </w:pPr>
      <w:r w:rsidRPr="00701945">
        <w:t>APPEARANCES:</w:t>
      </w:r>
    </w:p>
    <w:p w14:paraId="5180983A" w14:textId="77777777" w:rsidR="00C7699A" w:rsidRPr="00701945" w:rsidRDefault="00C7699A" w:rsidP="00C7699A">
      <w:pPr>
        <w:jc w:val="both"/>
      </w:pPr>
    </w:p>
    <w:p w14:paraId="4D5CC23C" w14:textId="77777777" w:rsidR="00C7699A" w:rsidRDefault="00354012" w:rsidP="00C7699A">
      <w:pPr>
        <w:ind w:left="1440"/>
        <w:jc w:val="both"/>
      </w:pPr>
      <w:r>
        <w:t>J.</w:t>
      </w:r>
      <w:r w:rsidR="008C655B">
        <w:t xml:space="preserve"> </w:t>
      </w:r>
      <w:r w:rsidR="00A57639">
        <w:t>JEFFR</w:t>
      </w:r>
      <w:r>
        <w:t>Y WAHLEN, MALCOM MEANS, and VIRGINIA PONDER</w:t>
      </w:r>
      <w:r w:rsidR="00C7699A" w:rsidRPr="00701945">
        <w:t>, ESQUIRE</w:t>
      </w:r>
      <w:r>
        <w:t>S</w:t>
      </w:r>
      <w:r w:rsidR="00C7699A" w:rsidRPr="00701945">
        <w:t xml:space="preserve">, </w:t>
      </w:r>
      <w:r w:rsidR="00D60837">
        <w:t xml:space="preserve">Ausley Law Firm, </w:t>
      </w:r>
      <w:r>
        <w:t>Post Office</w:t>
      </w:r>
      <w:r w:rsidR="00EC7614">
        <w:t xml:space="preserve"> Box 391, Tallahassee, FL 32302</w:t>
      </w:r>
    </w:p>
    <w:p w14:paraId="7A94577A" w14:textId="77777777" w:rsidR="00C7699A" w:rsidRPr="00701945" w:rsidRDefault="00C7699A" w:rsidP="00C7699A">
      <w:pPr>
        <w:ind w:left="720" w:firstLine="720"/>
        <w:jc w:val="both"/>
      </w:pPr>
      <w:r w:rsidRPr="00701945">
        <w:rPr>
          <w:u w:val="single"/>
        </w:rPr>
        <w:t xml:space="preserve">On behalf of </w:t>
      </w:r>
      <w:r w:rsidR="008C655B">
        <w:rPr>
          <w:u w:val="single"/>
        </w:rPr>
        <w:t>Tampa Electric Company</w:t>
      </w:r>
      <w:r>
        <w:rPr>
          <w:u w:val="single"/>
        </w:rPr>
        <w:t xml:space="preserve"> (</w:t>
      </w:r>
      <w:r w:rsidR="00354012">
        <w:rPr>
          <w:u w:val="single"/>
        </w:rPr>
        <w:t>TECO</w:t>
      </w:r>
      <w:r>
        <w:rPr>
          <w:u w:val="single"/>
        </w:rPr>
        <w:t>)</w:t>
      </w:r>
    </w:p>
    <w:p w14:paraId="27ECE1CD" w14:textId="77777777" w:rsidR="00C7699A" w:rsidRDefault="00C7699A" w:rsidP="00C7699A">
      <w:pPr>
        <w:jc w:val="both"/>
      </w:pPr>
    </w:p>
    <w:p w14:paraId="459F4053" w14:textId="77777777" w:rsidR="008C655B" w:rsidRDefault="008C655B" w:rsidP="008C655B">
      <w:pPr>
        <w:ind w:left="1440"/>
        <w:jc w:val="both"/>
      </w:pPr>
      <w:r>
        <w:t xml:space="preserve">WALT TRIERWEILER, PATRICIA A. CHRISTENSEN, </w:t>
      </w:r>
      <w:r w:rsidR="00835CAC">
        <w:t xml:space="preserve">OCTAVIO SIMOES-PONCE, CHARLES REHWINKEL, </w:t>
      </w:r>
      <w:r>
        <w:t>MARY A. WESSLING, and AUSTIN A. WATROUS</w:t>
      </w:r>
      <w:r w:rsidRPr="00701945">
        <w:t>, ESQUIRE</w:t>
      </w:r>
      <w:r>
        <w:t>S</w:t>
      </w:r>
      <w:r w:rsidRPr="00701945">
        <w:t xml:space="preserve">, </w:t>
      </w:r>
      <w:r>
        <w:t>Office of Public Counsel, c/o The Florida Legislature, 111 West Madison St., Suite 812, Tallahassee, FL  32399-1400</w:t>
      </w:r>
    </w:p>
    <w:p w14:paraId="09739B9A" w14:textId="77777777" w:rsidR="008C655B" w:rsidRPr="00701945" w:rsidRDefault="008C655B" w:rsidP="008C655B">
      <w:pPr>
        <w:ind w:left="720" w:firstLine="720"/>
        <w:jc w:val="both"/>
      </w:pPr>
      <w:r w:rsidRPr="00701945">
        <w:rPr>
          <w:u w:val="single"/>
        </w:rPr>
        <w:t xml:space="preserve">On behalf of </w:t>
      </w:r>
      <w:r w:rsidR="00D06239">
        <w:rPr>
          <w:u w:val="single"/>
        </w:rPr>
        <w:t xml:space="preserve">the </w:t>
      </w:r>
      <w:r>
        <w:rPr>
          <w:u w:val="single"/>
        </w:rPr>
        <w:t>Office of Public Counsel (OPC)</w:t>
      </w:r>
    </w:p>
    <w:p w14:paraId="3325288E" w14:textId="77777777" w:rsidR="008C655B" w:rsidRPr="00701945" w:rsidRDefault="008C655B" w:rsidP="00C7699A">
      <w:pPr>
        <w:jc w:val="both"/>
      </w:pPr>
    </w:p>
    <w:p w14:paraId="33919F9C" w14:textId="77777777" w:rsidR="00C7699A" w:rsidRDefault="00D60837" w:rsidP="00C7699A">
      <w:pPr>
        <w:ind w:left="1440"/>
        <w:jc w:val="both"/>
      </w:pPr>
      <w:r>
        <w:t>BRADLEY MARHSALL</w:t>
      </w:r>
      <w:r w:rsidR="00D06239">
        <w:t xml:space="preserve"> and</w:t>
      </w:r>
      <w:r w:rsidR="00B13E74">
        <w:t xml:space="preserve"> </w:t>
      </w:r>
      <w:r>
        <w:t>JORDAN LUEBKEMANN</w:t>
      </w:r>
      <w:r w:rsidR="00C7699A" w:rsidRPr="00701945">
        <w:t>, ESQUIRE</w:t>
      </w:r>
      <w:r>
        <w:t>S</w:t>
      </w:r>
      <w:r w:rsidR="00C7699A" w:rsidRPr="00701945">
        <w:t xml:space="preserve">, </w:t>
      </w:r>
      <w:r>
        <w:t>Earthjus</w:t>
      </w:r>
      <w:r w:rsidR="00F82521">
        <w:t>t</w:t>
      </w:r>
      <w:r>
        <w:t>ice, 111 S. Martin Luther King, J</w:t>
      </w:r>
      <w:r w:rsidR="00EC7614">
        <w:t>r. Blvd., Tallahassee, FL 32301</w:t>
      </w:r>
    </w:p>
    <w:p w14:paraId="74A4FD35" w14:textId="77777777" w:rsidR="00F82521" w:rsidRPr="00701945" w:rsidRDefault="00F82521" w:rsidP="00C7699A">
      <w:pPr>
        <w:ind w:left="1440"/>
        <w:jc w:val="both"/>
      </w:pPr>
      <w:r>
        <w:t>HEMA LOCHAN, ESQUIRE, Earthjustice, 48 Wall St., 15</w:t>
      </w:r>
      <w:r w:rsidRPr="00F82521">
        <w:rPr>
          <w:vertAlign w:val="superscript"/>
        </w:rPr>
        <w:t>th</w:t>
      </w:r>
      <w:r>
        <w:t xml:space="preserve"> F</w:t>
      </w:r>
      <w:r w:rsidR="00FF6705">
        <w:t>L</w:t>
      </w:r>
      <w:r>
        <w:t>, New York, NY 10005</w:t>
      </w:r>
    </w:p>
    <w:p w14:paraId="7892DCC7" w14:textId="77777777" w:rsidR="00C7699A" w:rsidRDefault="00C7699A" w:rsidP="0038335C">
      <w:pPr>
        <w:ind w:left="1440"/>
        <w:jc w:val="both"/>
      </w:pPr>
      <w:r w:rsidRPr="00701945">
        <w:rPr>
          <w:u w:val="single"/>
        </w:rPr>
        <w:t xml:space="preserve">On behalf of </w:t>
      </w:r>
      <w:r w:rsidR="008C655B" w:rsidRPr="0038335C">
        <w:rPr>
          <w:u w:val="single"/>
        </w:rPr>
        <w:t>Florida Rising, Inc.</w:t>
      </w:r>
      <w:r w:rsidR="008C655B">
        <w:rPr>
          <w:u w:val="single"/>
        </w:rPr>
        <w:t xml:space="preserve"> (</w:t>
      </w:r>
      <w:r w:rsidR="00D06239">
        <w:rPr>
          <w:u w:val="single"/>
        </w:rPr>
        <w:t xml:space="preserve">Florida </w:t>
      </w:r>
      <w:r w:rsidR="008C655B">
        <w:rPr>
          <w:u w:val="single"/>
        </w:rPr>
        <w:t>Rising)</w:t>
      </w:r>
      <w:r w:rsidR="008C655B" w:rsidRPr="0038335C">
        <w:rPr>
          <w:u w:val="single"/>
        </w:rPr>
        <w:t xml:space="preserve"> </w:t>
      </w:r>
      <w:r w:rsidR="008C655B">
        <w:rPr>
          <w:u w:val="single"/>
        </w:rPr>
        <w:t>a</w:t>
      </w:r>
      <w:r w:rsidR="008C655B" w:rsidRPr="0038335C">
        <w:rPr>
          <w:u w:val="single"/>
        </w:rPr>
        <w:t xml:space="preserve">nd League </w:t>
      </w:r>
      <w:r w:rsidR="00C854C6">
        <w:rPr>
          <w:u w:val="single"/>
        </w:rPr>
        <w:t>o</w:t>
      </w:r>
      <w:r w:rsidR="008C655B" w:rsidRPr="0038335C">
        <w:rPr>
          <w:u w:val="single"/>
        </w:rPr>
        <w:t xml:space="preserve">f United Latin American Citizens </w:t>
      </w:r>
      <w:r w:rsidR="008C655B">
        <w:rPr>
          <w:u w:val="single"/>
        </w:rPr>
        <w:t>o</w:t>
      </w:r>
      <w:r w:rsidR="008C655B" w:rsidRPr="0038335C">
        <w:rPr>
          <w:u w:val="single"/>
        </w:rPr>
        <w:t xml:space="preserve">f Florida </w:t>
      </w:r>
      <w:r w:rsidR="008C655B">
        <w:rPr>
          <w:u w:val="single"/>
        </w:rPr>
        <w:t>(</w:t>
      </w:r>
      <w:r w:rsidR="0038335C">
        <w:rPr>
          <w:u w:val="single"/>
        </w:rPr>
        <w:t>LULAC)</w:t>
      </w:r>
    </w:p>
    <w:p w14:paraId="352CA851" w14:textId="77777777" w:rsidR="0038335C" w:rsidRDefault="0038335C" w:rsidP="00C7699A">
      <w:pPr>
        <w:ind w:left="720" w:firstLine="720"/>
        <w:jc w:val="both"/>
      </w:pPr>
    </w:p>
    <w:p w14:paraId="0D42062B" w14:textId="77777777" w:rsidR="0038335C" w:rsidRPr="00701945" w:rsidRDefault="00D60837" w:rsidP="0038335C">
      <w:pPr>
        <w:ind w:left="1440"/>
        <w:jc w:val="both"/>
      </w:pPr>
      <w:r>
        <w:t>JON C. MOYLE, JR., and KAREN A. PUTNAL</w:t>
      </w:r>
      <w:r w:rsidR="0038335C" w:rsidRPr="00701945">
        <w:t>, ESQUIRE</w:t>
      </w:r>
      <w:r>
        <w:t>S</w:t>
      </w:r>
      <w:r w:rsidR="0038335C" w:rsidRPr="00701945">
        <w:t xml:space="preserve">, </w:t>
      </w:r>
      <w:r>
        <w:t>Moyle Law Firm, P.A., 118 North Gadsden Street., Tallahassee, FL 32301</w:t>
      </w:r>
    </w:p>
    <w:p w14:paraId="38F351D3" w14:textId="77777777" w:rsidR="0038335C" w:rsidRDefault="0038335C" w:rsidP="0038335C">
      <w:pPr>
        <w:ind w:left="720" w:firstLine="720"/>
        <w:jc w:val="both"/>
      </w:pPr>
      <w:r w:rsidRPr="00701945">
        <w:rPr>
          <w:u w:val="single"/>
        </w:rPr>
        <w:t xml:space="preserve">On behalf of </w:t>
      </w:r>
      <w:r w:rsidR="00AC1ED5">
        <w:rPr>
          <w:u w:val="single"/>
        </w:rPr>
        <w:t xml:space="preserve">the </w:t>
      </w:r>
      <w:r w:rsidR="008C655B" w:rsidRPr="0038335C">
        <w:rPr>
          <w:u w:val="single"/>
        </w:rPr>
        <w:t>Florida Industrial Power Users Group</w:t>
      </w:r>
      <w:r>
        <w:rPr>
          <w:u w:val="single"/>
        </w:rPr>
        <w:t xml:space="preserve"> (FIPUG)</w:t>
      </w:r>
    </w:p>
    <w:p w14:paraId="6996D9F3" w14:textId="77777777" w:rsidR="0038335C" w:rsidRPr="00701945" w:rsidRDefault="0038335C" w:rsidP="0038335C">
      <w:pPr>
        <w:ind w:left="720" w:firstLine="720"/>
        <w:jc w:val="both"/>
      </w:pPr>
    </w:p>
    <w:p w14:paraId="5B34385C" w14:textId="1787F824" w:rsidR="0038335C" w:rsidRDefault="005A6CF9" w:rsidP="0038335C">
      <w:pPr>
        <w:ind w:left="1440"/>
        <w:jc w:val="both"/>
      </w:pPr>
      <w:r>
        <w:lastRenderedPageBreak/>
        <w:t xml:space="preserve">LESLIE </w:t>
      </w:r>
      <w:r w:rsidR="0039247D">
        <w:t xml:space="preserve">R. NEWTON, ASHLEY N GEORGE, </w:t>
      </w:r>
      <w:r>
        <w:t>THOMAS A. JERNIGAN</w:t>
      </w:r>
      <w:r w:rsidR="0038335C" w:rsidRPr="00701945">
        <w:t xml:space="preserve">, </w:t>
      </w:r>
      <w:r w:rsidR="00FB6D50">
        <w:t xml:space="preserve">and </w:t>
      </w:r>
      <w:r w:rsidR="00FB6D50" w:rsidRPr="00FB6D50">
        <w:t>M</w:t>
      </w:r>
      <w:r w:rsidR="00FB6D50">
        <w:t>ICHAEL A. RIVERA</w:t>
      </w:r>
      <w:r w:rsidR="00FB6D50" w:rsidRPr="00FB6D50">
        <w:t xml:space="preserve"> </w:t>
      </w:r>
      <w:r w:rsidR="0038335C" w:rsidRPr="00701945">
        <w:t>ESQUIRE</w:t>
      </w:r>
      <w:r w:rsidR="0039247D">
        <w:t>S</w:t>
      </w:r>
      <w:r w:rsidR="0038335C" w:rsidRPr="00701945">
        <w:t xml:space="preserve">, </w:t>
      </w:r>
      <w:r w:rsidR="0039247D">
        <w:t>139 Barnes Drive, Suite 1, T</w:t>
      </w:r>
      <w:r w:rsidR="00EC7614">
        <w:t>yndall Air force Base, FL 32403</w:t>
      </w:r>
    </w:p>
    <w:p w14:paraId="7D630FA3" w14:textId="77777777" w:rsidR="0038335C" w:rsidRDefault="0038335C" w:rsidP="0038335C">
      <w:pPr>
        <w:ind w:left="720" w:firstLine="720"/>
        <w:jc w:val="both"/>
        <w:rPr>
          <w:u w:val="single"/>
        </w:rPr>
      </w:pPr>
      <w:r w:rsidRPr="00701945">
        <w:rPr>
          <w:u w:val="single"/>
        </w:rPr>
        <w:t xml:space="preserve">On behalf of </w:t>
      </w:r>
      <w:r w:rsidR="008C655B">
        <w:rPr>
          <w:u w:val="single"/>
        </w:rPr>
        <w:t>Federal Executive Agencies</w:t>
      </w:r>
      <w:r>
        <w:rPr>
          <w:u w:val="single"/>
        </w:rPr>
        <w:t xml:space="preserve"> (FEA)</w:t>
      </w:r>
    </w:p>
    <w:p w14:paraId="5C5BE7D5" w14:textId="77777777" w:rsidR="00E54797" w:rsidRDefault="00E54797" w:rsidP="0038335C">
      <w:pPr>
        <w:ind w:left="720" w:firstLine="720"/>
        <w:jc w:val="both"/>
      </w:pPr>
    </w:p>
    <w:p w14:paraId="4CD9CDE4" w14:textId="77777777" w:rsidR="001A0C77" w:rsidRDefault="001A0C77" w:rsidP="0038335C">
      <w:pPr>
        <w:ind w:left="1440"/>
        <w:jc w:val="both"/>
      </w:pPr>
      <w:r>
        <w:t>NIHAL SHRINATH, ESQUIRE, 2101 Webster St</w:t>
      </w:r>
      <w:r w:rsidR="00B43EDE">
        <w:t>reet</w:t>
      </w:r>
      <w:r>
        <w:t>, Suite 1300, Oakland, CA 94612</w:t>
      </w:r>
    </w:p>
    <w:p w14:paraId="5ABC72CD" w14:textId="77777777" w:rsidR="0038335C" w:rsidRPr="00701945" w:rsidRDefault="009E6D97" w:rsidP="0038335C">
      <w:pPr>
        <w:ind w:left="1440"/>
        <w:jc w:val="both"/>
      </w:pPr>
      <w:r>
        <w:t>SARI AMIEL</w:t>
      </w:r>
      <w:r w:rsidR="0038335C" w:rsidRPr="00701945">
        <w:t xml:space="preserve">, ESQUIRE, </w:t>
      </w:r>
      <w:r>
        <w:t>Sierra Club, 50 F St</w:t>
      </w:r>
      <w:r w:rsidR="00B43EDE">
        <w:t>reet</w:t>
      </w:r>
      <w:r>
        <w:t xml:space="preserve"> NW</w:t>
      </w:r>
      <w:r w:rsidR="00B43EDE">
        <w:t>,</w:t>
      </w:r>
      <w:r>
        <w:t xml:space="preserve"> Eig</w:t>
      </w:r>
      <w:r w:rsidR="00B43EDE">
        <w:t>hth Floor, Washington, DC 20001</w:t>
      </w:r>
    </w:p>
    <w:p w14:paraId="0A8D0D8C" w14:textId="70AE37B9" w:rsidR="0038335C" w:rsidRPr="00701945" w:rsidRDefault="0038335C" w:rsidP="0038335C">
      <w:pPr>
        <w:ind w:left="720" w:firstLine="720"/>
        <w:jc w:val="both"/>
      </w:pPr>
      <w:r w:rsidRPr="00701945">
        <w:rPr>
          <w:u w:val="single"/>
        </w:rPr>
        <w:t xml:space="preserve">On behalf of </w:t>
      </w:r>
      <w:r w:rsidR="008C655B">
        <w:rPr>
          <w:u w:val="single"/>
        </w:rPr>
        <w:t>Sierra Club</w:t>
      </w:r>
      <w:r w:rsidR="00A745F0">
        <w:rPr>
          <w:u w:val="single"/>
        </w:rPr>
        <w:t xml:space="preserve"> (S</w:t>
      </w:r>
      <w:r w:rsidR="00A60CE8">
        <w:rPr>
          <w:u w:val="single"/>
        </w:rPr>
        <w:t>ierra Club</w:t>
      </w:r>
      <w:r w:rsidR="00A745F0">
        <w:rPr>
          <w:u w:val="single"/>
        </w:rPr>
        <w:t>)</w:t>
      </w:r>
      <w:r w:rsidR="002D7DB3">
        <w:rPr>
          <w:rStyle w:val="FootnoteReference"/>
          <w:u w:val="single"/>
        </w:rPr>
        <w:footnoteReference w:customMarkFollows="1" w:id="1"/>
        <w:t>*</w:t>
      </w:r>
    </w:p>
    <w:p w14:paraId="604D7CFD" w14:textId="77777777" w:rsidR="0038335C" w:rsidRDefault="0038335C" w:rsidP="0038335C">
      <w:pPr>
        <w:ind w:left="720" w:firstLine="720"/>
        <w:jc w:val="both"/>
      </w:pPr>
    </w:p>
    <w:p w14:paraId="17C0DA8B" w14:textId="453F3A9E" w:rsidR="0038335C" w:rsidRPr="00701945" w:rsidRDefault="0046058A" w:rsidP="0038335C">
      <w:pPr>
        <w:ind w:left="1440"/>
        <w:jc w:val="both"/>
      </w:pPr>
      <w:r>
        <w:t>ROBERT SCHEFFEL WRIGHT and JOHN T. LAVIA, III</w:t>
      </w:r>
      <w:r w:rsidR="0038335C" w:rsidRPr="00701945">
        <w:t>, ESQUIRE</w:t>
      </w:r>
      <w:r>
        <w:t>S</w:t>
      </w:r>
      <w:r w:rsidR="0038335C" w:rsidRPr="00701945">
        <w:t xml:space="preserve">, </w:t>
      </w:r>
      <w:r>
        <w:t>Gardner, Bist, Bowden, Dee, LaVia, Wright,</w:t>
      </w:r>
      <w:r w:rsidR="000F3785">
        <w:t xml:space="preserve"> Perry &amp; Harper,</w:t>
      </w:r>
      <w:r>
        <w:t xml:space="preserve"> P.A. 1300 Thomaswood Drive, Tallahassee, FL 32308</w:t>
      </w:r>
    </w:p>
    <w:p w14:paraId="5C8CB7CC" w14:textId="77777777" w:rsidR="0038335C" w:rsidRDefault="0038335C" w:rsidP="0038335C">
      <w:pPr>
        <w:ind w:left="720" w:firstLine="720"/>
        <w:jc w:val="both"/>
      </w:pPr>
      <w:r w:rsidRPr="00701945">
        <w:rPr>
          <w:u w:val="single"/>
        </w:rPr>
        <w:t xml:space="preserve">On behalf of </w:t>
      </w:r>
      <w:r w:rsidR="00681102">
        <w:rPr>
          <w:u w:val="single"/>
        </w:rPr>
        <w:t xml:space="preserve">the </w:t>
      </w:r>
      <w:r w:rsidR="008C655B">
        <w:rPr>
          <w:u w:val="single"/>
        </w:rPr>
        <w:t>Florida Retail Federation</w:t>
      </w:r>
      <w:r>
        <w:rPr>
          <w:u w:val="single"/>
        </w:rPr>
        <w:t xml:space="preserve"> (FRF)</w:t>
      </w:r>
    </w:p>
    <w:p w14:paraId="1D73FAE2" w14:textId="77777777" w:rsidR="0038335C" w:rsidRPr="00701945" w:rsidRDefault="0038335C" w:rsidP="0038335C">
      <w:pPr>
        <w:ind w:left="720" w:firstLine="720"/>
        <w:jc w:val="both"/>
      </w:pPr>
    </w:p>
    <w:p w14:paraId="056C678D" w14:textId="77777777" w:rsidR="0038335C" w:rsidRPr="00701945" w:rsidRDefault="00787AAD" w:rsidP="0038335C">
      <w:pPr>
        <w:ind w:left="1440"/>
        <w:jc w:val="both"/>
      </w:pPr>
      <w:r>
        <w:t>FLOYD R. SELF and RUTH VAFEK</w:t>
      </w:r>
      <w:r w:rsidR="0038335C" w:rsidRPr="00701945">
        <w:t>, ESQUIRE</w:t>
      </w:r>
      <w:r>
        <w:t>S</w:t>
      </w:r>
      <w:r w:rsidR="0038335C" w:rsidRPr="00701945">
        <w:t xml:space="preserve">, </w:t>
      </w:r>
      <w:r>
        <w:t>Berger Singerman, LLP, 313 North Monroe Street, Suite 301, Tallahassee, FL 32301</w:t>
      </w:r>
    </w:p>
    <w:p w14:paraId="2ACD4F96" w14:textId="77777777" w:rsidR="0038335C" w:rsidRPr="00701945" w:rsidRDefault="0038335C" w:rsidP="0038335C">
      <w:pPr>
        <w:ind w:left="1440"/>
        <w:jc w:val="both"/>
      </w:pPr>
      <w:r w:rsidRPr="00701945">
        <w:rPr>
          <w:u w:val="single"/>
        </w:rPr>
        <w:t xml:space="preserve">On behalf of </w:t>
      </w:r>
      <w:r w:rsidR="00C56C30">
        <w:rPr>
          <w:u w:val="single"/>
        </w:rPr>
        <w:t>Americans f</w:t>
      </w:r>
      <w:r w:rsidR="008C655B">
        <w:rPr>
          <w:u w:val="single"/>
        </w:rPr>
        <w:t>or Affordable Clean Energy</w:t>
      </w:r>
      <w:r>
        <w:rPr>
          <w:u w:val="single"/>
        </w:rPr>
        <w:t>, I</w:t>
      </w:r>
      <w:r w:rsidR="008C655B">
        <w:rPr>
          <w:u w:val="single"/>
        </w:rPr>
        <w:t>nc.</w:t>
      </w:r>
      <w:r>
        <w:rPr>
          <w:u w:val="single"/>
        </w:rPr>
        <w:t xml:space="preserve"> (AACE)</w:t>
      </w:r>
      <w:r w:rsidR="00F744BB">
        <w:rPr>
          <w:u w:val="single"/>
        </w:rPr>
        <w:t>, Circle K Stores, Inc., RaceTrac Inc., and Wawa, Inc. (collectively hereinafter Fuel Retailers)</w:t>
      </w:r>
    </w:p>
    <w:p w14:paraId="2172EC49" w14:textId="77777777" w:rsidR="0038335C" w:rsidRDefault="0038335C" w:rsidP="0038335C">
      <w:pPr>
        <w:ind w:left="720" w:firstLine="720"/>
        <w:jc w:val="both"/>
      </w:pPr>
    </w:p>
    <w:p w14:paraId="50DF683D" w14:textId="77777777" w:rsidR="00442B43" w:rsidRDefault="00442B43" w:rsidP="00442B43">
      <w:pPr>
        <w:ind w:left="1440"/>
        <w:jc w:val="both"/>
      </w:pPr>
      <w:r>
        <w:t>STEPHANIE U. EATON</w:t>
      </w:r>
      <w:r w:rsidRPr="00701945">
        <w:t xml:space="preserve">, ESQUIRE, </w:t>
      </w:r>
      <w:r>
        <w:t>Spilman, Thomas &amp; Battle, PLLC, 110 Oakwood Drive, Suite 500, Winston-Salem, NC  27103</w:t>
      </w:r>
    </w:p>
    <w:p w14:paraId="25AEBD16" w14:textId="77777777" w:rsidR="00442B43" w:rsidRPr="00701945" w:rsidRDefault="00442B43" w:rsidP="00442B43">
      <w:pPr>
        <w:ind w:left="1440"/>
        <w:jc w:val="both"/>
      </w:pPr>
      <w:r>
        <w:t>STEVEN W. LEE, ESQUIRE, Qualified Representative, Spilman, Thomas &amp; Battle, PLLC, 1100 Bent Creek Blvd., Suite 101, Mechanicsburg, PA  17050</w:t>
      </w:r>
    </w:p>
    <w:p w14:paraId="3B98AF10" w14:textId="060FC126" w:rsidR="00442B43" w:rsidRPr="00701945" w:rsidRDefault="00442B43" w:rsidP="00442B43">
      <w:pPr>
        <w:ind w:left="1440"/>
        <w:jc w:val="both"/>
      </w:pPr>
      <w:r w:rsidRPr="00701945">
        <w:rPr>
          <w:u w:val="single"/>
        </w:rPr>
        <w:t xml:space="preserve">On behalf of </w:t>
      </w:r>
      <w:r>
        <w:rPr>
          <w:u w:val="single"/>
        </w:rPr>
        <w:t>Walmart, Inc. (</w:t>
      </w:r>
      <w:r w:rsidR="00FD408B">
        <w:rPr>
          <w:u w:val="single"/>
        </w:rPr>
        <w:t>W</w:t>
      </w:r>
      <w:r w:rsidR="00A60CE8">
        <w:rPr>
          <w:u w:val="single"/>
        </w:rPr>
        <w:t>almart</w:t>
      </w:r>
      <w:r>
        <w:rPr>
          <w:u w:val="single"/>
        </w:rPr>
        <w:t>)</w:t>
      </w:r>
    </w:p>
    <w:p w14:paraId="6B80C9E2" w14:textId="77777777" w:rsidR="00442B43" w:rsidRPr="00701945" w:rsidRDefault="00442B43" w:rsidP="0038335C">
      <w:pPr>
        <w:ind w:left="720" w:firstLine="720"/>
        <w:jc w:val="both"/>
      </w:pPr>
    </w:p>
    <w:p w14:paraId="46CDD179" w14:textId="77777777" w:rsidR="00C7699A" w:rsidRPr="00701945" w:rsidRDefault="00C76D96" w:rsidP="00C7699A">
      <w:pPr>
        <w:ind w:left="1440"/>
        <w:jc w:val="both"/>
      </w:pPr>
      <w:r>
        <w:t>TIMOTHY SPARKS</w:t>
      </w:r>
      <w:r w:rsidR="007A7C07">
        <w:t>,</w:t>
      </w:r>
      <w:r>
        <w:t xml:space="preserve"> CARLOS MARQUEZ</w:t>
      </w:r>
      <w:r w:rsidR="00C7699A" w:rsidRPr="00701945">
        <w:t>,</w:t>
      </w:r>
      <w:r w:rsidR="007A7C07">
        <w:t xml:space="preserve"> and ADRIA HARPER,</w:t>
      </w:r>
      <w:r w:rsidR="00C7699A" w:rsidRPr="00701945">
        <w:t xml:space="preserve"> ESQUIRE</w:t>
      </w:r>
      <w:r>
        <w:t>S</w:t>
      </w:r>
      <w:r w:rsidR="00C7699A" w:rsidRPr="00701945">
        <w:t xml:space="preserve">, </w:t>
      </w:r>
      <w:smartTag w:uri="urn:schemas-microsoft-com:office:smarttags" w:element="State">
        <w:smartTag w:uri="urn:schemas-microsoft-com:office:smarttags" w:element="place">
          <w:r w:rsidR="00C7699A" w:rsidRPr="00701945">
            <w:t>Florida</w:t>
          </w:r>
        </w:smartTag>
      </w:smartTag>
      <w:r w:rsidR="00C7699A" w:rsidRPr="00701945">
        <w:t xml:space="preserve"> Public Service Commission, 2540 Shumard Oak B</w:t>
      </w:r>
      <w:r w:rsidR="00D20A47">
        <w:t>lvd.</w:t>
      </w:r>
      <w:r w:rsidR="00C7699A" w:rsidRPr="00701945">
        <w:t xml:space="preserve">, </w:t>
      </w:r>
      <w:smartTag w:uri="urn:schemas-microsoft-com:office:smarttags" w:element="City">
        <w:r w:rsidR="00C7699A" w:rsidRPr="00701945">
          <w:t>Tallahassee</w:t>
        </w:r>
      </w:smartTag>
      <w:r w:rsidR="00C7699A" w:rsidRPr="00701945">
        <w:t xml:space="preserve">, </w:t>
      </w:r>
      <w:smartTag w:uri="urn:schemas-microsoft-com:office:smarttags" w:element="State">
        <w:r w:rsidR="00C7699A" w:rsidRPr="00701945">
          <w:t>Florida</w:t>
        </w:r>
      </w:smartTag>
      <w:r w:rsidR="00C7699A" w:rsidRPr="00701945">
        <w:t xml:space="preserve"> </w:t>
      </w:r>
      <w:smartTag w:uri="urn:schemas-microsoft-com:office:smarttags" w:element="PostalCode">
        <w:r w:rsidR="00C7699A" w:rsidRPr="00701945">
          <w:t>32399-0850</w:t>
        </w:r>
      </w:smartTag>
    </w:p>
    <w:p w14:paraId="60E9D7DC" w14:textId="77777777" w:rsidR="00C7699A" w:rsidRPr="00701945" w:rsidRDefault="00C7699A" w:rsidP="00C7699A">
      <w:pPr>
        <w:ind w:left="720" w:firstLine="720"/>
        <w:jc w:val="both"/>
      </w:pPr>
      <w:r w:rsidRPr="00701945">
        <w:rPr>
          <w:u w:val="single"/>
        </w:rPr>
        <w:t>On behalf of the Florida Public Service Commission</w:t>
      </w:r>
      <w:r>
        <w:rPr>
          <w:u w:val="single"/>
        </w:rPr>
        <w:t xml:space="preserve"> (Staff)</w:t>
      </w:r>
    </w:p>
    <w:p w14:paraId="060B0903" w14:textId="77777777" w:rsidR="00C7699A" w:rsidRPr="00701945" w:rsidRDefault="00C7699A" w:rsidP="00C7699A">
      <w:pPr>
        <w:jc w:val="both"/>
      </w:pPr>
    </w:p>
    <w:p w14:paraId="706575C1" w14:textId="77777777" w:rsidR="00C7699A" w:rsidRPr="00701945" w:rsidRDefault="00C7699A" w:rsidP="00C7699A">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14:paraId="7F6359C1" w14:textId="77777777" w:rsidR="00C7699A" w:rsidRPr="00701945" w:rsidRDefault="00C7699A" w:rsidP="00C7699A">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14:paraId="21775001" w14:textId="77777777" w:rsidR="00C7699A" w:rsidRPr="00701945" w:rsidRDefault="00C7699A" w:rsidP="00C7699A">
      <w:pPr>
        <w:jc w:val="center"/>
        <w:rPr>
          <w:b/>
          <w:bCs/>
          <w:u w:val="single"/>
        </w:rPr>
      </w:pPr>
    </w:p>
    <w:p w14:paraId="7944F8D2" w14:textId="77777777" w:rsidR="00C7699A" w:rsidRPr="00D033EB" w:rsidRDefault="00C7699A" w:rsidP="00C7699A">
      <w:pPr>
        <w:ind w:left="1440"/>
        <w:jc w:val="both"/>
      </w:pPr>
      <w:r w:rsidRPr="00D033EB">
        <w:t>K</w:t>
      </w:r>
      <w:r>
        <w:t>EITH C. HETRICK</w:t>
      </w:r>
      <w:r w:rsidRPr="00D033EB">
        <w:t>, ESQUIRE, General Counsel, Florida Public Service Commission, 2540 Shumard Oak Boulevard, Tallahassee, Florida 32399-0850</w:t>
      </w:r>
    </w:p>
    <w:p w14:paraId="660A94E9" w14:textId="77777777" w:rsidR="00C7699A" w:rsidRPr="00D033EB" w:rsidRDefault="00C7699A" w:rsidP="00C7699A">
      <w:pPr>
        <w:ind w:left="720" w:firstLine="720"/>
        <w:jc w:val="both"/>
      </w:pPr>
      <w:r w:rsidRPr="00D033EB">
        <w:rPr>
          <w:u w:val="single"/>
        </w:rPr>
        <w:t>Florida Public Service Commission General Counsel</w:t>
      </w:r>
    </w:p>
    <w:p w14:paraId="3EFF9BF7" w14:textId="77777777" w:rsidR="00C7699A" w:rsidRDefault="00C7699A" w:rsidP="00C7699A">
      <w:pPr>
        <w:jc w:val="both"/>
      </w:pPr>
    </w:p>
    <w:p w14:paraId="6F0F2D17" w14:textId="77777777" w:rsidR="00C7699A" w:rsidRDefault="00C7699A" w:rsidP="00C7699A">
      <w:pPr>
        <w:jc w:val="both"/>
      </w:pPr>
    </w:p>
    <w:p w14:paraId="07BA3BBF" w14:textId="77777777" w:rsidR="00C7699A" w:rsidRPr="00A32DC5" w:rsidRDefault="00C7699A" w:rsidP="00C7699A">
      <w:pPr>
        <w:jc w:val="both"/>
        <w:rPr>
          <w:b/>
        </w:rPr>
      </w:pPr>
      <w:r w:rsidRPr="00A32DC5">
        <w:rPr>
          <w:b/>
        </w:rPr>
        <w:lastRenderedPageBreak/>
        <w:t>I.</w:t>
      </w:r>
      <w:r w:rsidRPr="00A32DC5">
        <w:rPr>
          <w:b/>
        </w:rPr>
        <w:tab/>
      </w:r>
      <w:r w:rsidRPr="00A32DC5">
        <w:rPr>
          <w:b/>
          <w:u w:val="single"/>
        </w:rPr>
        <w:t>CASE BACKGROUND</w:t>
      </w:r>
    </w:p>
    <w:p w14:paraId="0E92BD5F" w14:textId="77777777" w:rsidR="00C7699A" w:rsidRPr="00701945" w:rsidRDefault="00C7699A" w:rsidP="00C7699A">
      <w:pPr>
        <w:jc w:val="both"/>
      </w:pPr>
    </w:p>
    <w:p w14:paraId="2E7794B8" w14:textId="77777777" w:rsidR="00C7699A" w:rsidRPr="00D41FE7" w:rsidRDefault="00C7699A" w:rsidP="00C7699A">
      <w:pPr>
        <w:jc w:val="both"/>
      </w:pPr>
      <w:r>
        <w:tab/>
      </w:r>
      <w:r w:rsidR="00BF61FA" w:rsidRPr="00BF61FA">
        <w:t xml:space="preserve">On April 2, 2024, Tampa Electric Company </w:t>
      </w:r>
      <w:r w:rsidR="00604616">
        <w:t>(TECO</w:t>
      </w:r>
      <w:r w:rsidR="00BF61FA" w:rsidRPr="00BF61FA">
        <w:t>) filed</w:t>
      </w:r>
      <w:r w:rsidR="00C04DEC">
        <w:t xml:space="preserve"> its Petition for Rate Increase</w:t>
      </w:r>
      <w:r w:rsidR="00BF61FA" w:rsidRPr="00BF61FA">
        <w:t>, minimum filing requirements (MFRs), and testimony. TECO provides service to approximately 844</w:t>
      </w:r>
      <w:r w:rsidR="00604616">
        <w:t>,000</w:t>
      </w:r>
      <w:r w:rsidR="00BF61FA" w:rsidRPr="00BF61FA">
        <w:t xml:space="preserve"> customers in a 2,000 square mile service territory in Hillsborough and portions of Polk, Pasco, and Pinellas counties, Florida. In compliance with Section 366.06(3), Florida Statutes (F.S.), an administrative hearing </w:t>
      </w:r>
      <w:r w:rsidR="00E906AF">
        <w:t>was</w:t>
      </w:r>
      <w:r w:rsidR="00BF61FA" w:rsidRPr="00BF61FA">
        <w:t xml:space="preserve"> scheduled for these matters for August 26</w:t>
      </w:r>
      <w:r w:rsidR="00E906AF">
        <w:t>–</w:t>
      </w:r>
      <w:r w:rsidR="00BF61FA" w:rsidRPr="00BF61FA">
        <w:t>30, 2024</w:t>
      </w:r>
      <w:r w:rsidR="00BF61FA" w:rsidRPr="00D41FE7">
        <w:t>.</w:t>
      </w:r>
    </w:p>
    <w:p w14:paraId="3C911AF4" w14:textId="77777777" w:rsidR="00C7699A" w:rsidRDefault="00C7699A" w:rsidP="00C7699A">
      <w:pPr>
        <w:jc w:val="both"/>
      </w:pPr>
    </w:p>
    <w:p w14:paraId="25C3E0C1" w14:textId="77777777" w:rsidR="00C7699A" w:rsidRDefault="00C7699A" w:rsidP="00C7699A">
      <w:pPr>
        <w:jc w:val="both"/>
      </w:pPr>
    </w:p>
    <w:p w14:paraId="669204FB" w14:textId="77777777" w:rsidR="00C7699A" w:rsidRPr="00A32DC5" w:rsidRDefault="00C7699A" w:rsidP="00C7699A">
      <w:pPr>
        <w:jc w:val="both"/>
        <w:rPr>
          <w:b/>
        </w:rPr>
      </w:pPr>
      <w:r w:rsidRPr="00A32DC5">
        <w:rPr>
          <w:b/>
        </w:rPr>
        <w:t>II.</w:t>
      </w:r>
      <w:r w:rsidRPr="00A32DC5">
        <w:rPr>
          <w:b/>
        </w:rPr>
        <w:tab/>
      </w:r>
      <w:r w:rsidRPr="00A32DC5">
        <w:rPr>
          <w:b/>
          <w:u w:val="single"/>
        </w:rPr>
        <w:t>CONDUCT OF PROCEEDINGS</w:t>
      </w:r>
    </w:p>
    <w:p w14:paraId="0AD60C38" w14:textId="77777777" w:rsidR="00C7699A" w:rsidRPr="00701945" w:rsidRDefault="00C7699A" w:rsidP="00C7699A">
      <w:pPr>
        <w:jc w:val="both"/>
      </w:pPr>
    </w:p>
    <w:p w14:paraId="509F7D8F" w14:textId="77777777" w:rsidR="00C7699A" w:rsidRPr="00701945" w:rsidRDefault="00C7699A" w:rsidP="00C7699A">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14:paraId="11A0C027" w14:textId="77777777" w:rsidR="00C7699A" w:rsidRDefault="00C7699A" w:rsidP="00C7699A">
      <w:pPr>
        <w:jc w:val="both"/>
      </w:pPr>
    </w:p>
    <w:p w14:paraId="5EF84C8B" w14:textId="77777777" w:rsidR="00C7699A" w:rsidRPr="00701945" w:rsidRDefault="00C7699A" w:rsidP="00C7699A">
      <w:pPr>
        <w:jc w:val="both"/>
      </w:pPr>
    </w:p>
    <w:p w14:paraId="769D490F" w14:textId="77777777" w:rsidR="00C7699A" w:rsidRPr="00A32DC5" w:rsidRDefault="00C7699A" w:rsidP="00C7699A">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14:paraId="0B08B91E" w14:textId="77777777" w:rsidR="00C7699A" w:rsidRPr="00701945" w:rsidRDefault="00C7699A" w:rsidP="00C7699A">
      <w:pPr>
        <w:jc w:val="both"/>
      </w:pPr>
    </w:p>
    <w:p w14:paraId="68B26054" w14:textId="7480BE67" w:rsidR="00C7699A" w:rsidRPr="00701945" w:rsidRDefault="0098051D" w:rsidP="00C7699A">
      <w:pPr>
        <w:jc w:val="both"/>
      </w:pPr>
      <w:r>
        <w:tab/>
        <w:t xml:space="preserve">The Florida Public Service </w:t>
      </w:r>
      <w:r w:rsidR="00C7699A" w:rsidRPr="00701945">
        <w:t xml:space="preserve">Commission </w:t>
      </w:r>
      <w:r>
        <w:t xml:space="preserve">(Commission) </w:t>
      </w:r>
      <w:r w:rsidR="00C7699A" w:rsidRPr="00701945">
        <w:t xml:space="preserve">is vested with jurisdiction over the subject matter </w:t>
      </w:r>
      <w:r w:rsidR="00CB3A2B">
        <w:t xml:space="preserve">of this proceeding </w:t>
      </w:r>
      <w:r w:rsidR="00C7699A" w:rsidRPr="00701945">
        <w:t>by the provisions of Chapter</w:t>
      </w:r>
      <w:r w:rsidR="00EC3A1E">
        <w:t>s 120 and</w:t>
      </w:r>
      <w:r w:rsidR="00C7699A" w:rsidRPr="00701945">
        <w:t xml:space="preserve"> </w:t>
      </w:r>
      <w:r w:rsidR="00BF61FA" w:rsidRPr="00BF61FA">
        <w:t>366</w:t>
      </w:r>
      <w:r w:rsidR="00C7699A" w:rsidRPr="00701945">
        <w:t xml:space="preserve">, </w:t>
      </w:r>
      <w:r w:rsidR="00C7699A">
        <w:t>F.S</w:t>
      </w:r>
      <w:r w:rsidR="00C7699A" w:rsidRPr="00701945">
        <w:t>. This hearing will be governed by said Chapter and Chapters</w:t>
      </w:r>
      <w:r w:rsidR="00C7699A">
        <w:rPr>
          <w:color w:val="FF0000"/>
        </w:rPr>
        <w:t xml:space="preserve"> </w:t>
      </w:r>
      <w:r w:rsidR="00C7699A">
        <w:t>25-6</w:t>
      </w:r>
      <w:r w:rsidR="00C7699A" w:rsidRPr="00701945">
        <w:t xml:space="preserve">, 25-22, and 28-106, </w:t>
      </w:r>
      <w:r w:rsidR="00C7699A">
        <w:t>F.A.C., as well as any other applicable provisions of law</w:t>
      </w:r>
      <w:r w:rsidR="00C7699A" w:rsidRPr="00701945">
        <w:t>.</w:t>
      </w:r>
    </w:p>
    <w:p w14:paraId="1E266BB5" w14:textId="77777777" w:rsidR="00C7699A" w:rsidRDefault="00C7699A" w:rsidP="00C7699A">
      <w:pPr>
        <w:jc w:val="both"/>
      </w:pPr>
    </w:p>
    <w:p w14:paraId="42FEB587" w14:textId="77777777" w:rsidR="00C7699A" w:rsidRPr="00701945" w:rsidRDefault="00C7699A" w:rsidP="00C7699A">
      <w:pPr>
        <w:jc w:val="both"/>
      </w:pPr>
    </w:p>
    <w:p w14:paraId="4086CD6A" w14:textId="77777777" w:rsidR="00C7699A" w:rsidRPr="00237584" w:rsidRDefault="00C7699A" w:rsidP="00C7699A">
      <w:pPr>
        <w:jc w:val="both"/>
        <w:rPr>
          <w:b/>
        </w:rPr>
      </w:pPr>
      <w:r w:rsidRPr="00237584">
        <w:rPr>
          <w:b/>
        </w:rPr>
        <w:t>IV.</w:t>
      </w:r>
      <w:r w:rsidRPr="00237584">
        <w:rPr>
          <w:b/>
        </w:rPr>
        <w:tab/>
      </w:r>
      <w:r w:rsidRPr="00237584">
        <w:rPr>
          <w:b/>
          <w:u w:val="single"/>
        </w:rPr>
        <w:t>PROCEDURE FOR HANDLING CONFIDENTIAL INFORMATION</w:t>
      </w:r>
    </w:p>
    <w:p w14:paraId="0E833F64" w14:textId="77777777" w:rsidR="00C7699A" w:rsidRPr="00237584" w:rsidRDefault="00C7699A" w:rsidP="00C7699A">
      <w:pPr>
        <w:jc w:val="both"/>
        <w:rPr>
          <w:b/>
        </w:rPr>
      </w:pPr>
    </w:p>
    <w:p w14:paraId="5C2397AC" w14:textId="77777777" w:rsidR="00C7699A" w:rsidRDefault="00C7699A" w:rsidP="00C7699A">
      <w:pPr>
        <w:jc w:val="both"/>
      </w:pPr>
      <w:r w:rsidRPr="00701945">
        <w:tab/>
      </w:r>
      <w:r>
        <w:t>Information for which proprietary confidential business information status is requested</w:t>
      </w:r>
      <w:r w:rsidRPr="00A72918">
        <w:t xml:space="preserve"> pursuant to</w:t>
      </w:r>
      <w:r>
        <w:t xml:space="preserve"> Section </w:t>
      </w:r>
      <w:r w:rsidR="00BF61FA" w:rsidRPr="00BF61FA">
        <w:t>366.093</w:t>
      </w:r>
      <w:r>
        <w:t xml:space="preserve">, </w:t>
      </w:r>
      <w:smartTag w:uri="urn:schemas:contacts" w:element="GivenName">
        <w:r>
          <w:t>F.S.</w:t>
        </w:r>
      </w:smartTag>
      <w:r w:rsidRPr="00A72918">
        <w:t xml:space="preserve">, and Rule 25-22.006, </w:t>
      </w:r>
      <w:r>
        <w:t>F.A.C.</w:t>
      </w:r>
      <w:r w:rsidRPr="00A72918">
        <w:t>,</w:t>
      </w:r>
      <w:r>
        <w:t xml:space="preserve"> shall be treated by the Commission as confidential. The information shall be exempt from Section 119.07(1), F.S.,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w:t>
      </w:r>
      <w:r w:rsidR="001A55A1">
        <w:t xml:space="preserve">son providing the information. </w:t>
      </w:r>
      <w:r w:rsidRPr="005555EC">
        <w:t>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BF61FA" w:rsidRPr="00BF61FA">
        <w:t>366.093</w:t>
      </w:r>
      <w:r>
        <w:t>, F.S.  T</w:t>
      </w:r>
      <w:r w:rsidRPr="00B2317F">
        <w:t>he Commission may determine that continued possession of the information is necessary for the Commission to conduct its business.</w:t>
      </w:r>
    </w:p>
    <w:p w14:paraId="5C7E921A" w14:textId="77777777" w:rsidR="00C7699A" w:rsidRDefault="00C7699A" w:rsidP="00C7699A">
      <w:pPr>
        <w:jc w:val="both"/>
      </w:pPr>
    </w:p>
    <w:p w14:paraId="7EB7C981" w14:textId="77777777" w:rsidR="00C7699A" w:rsidRDefault="00C7699A" w:rsidP="00C769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w:t>
      </w:r>
      <w:r w:rsidR="00BF61FA" w:rsidRPr="00BF61FA">
        <w:t>366.093</w:t>
      </w:r>
      <w:r w:rsidRPr="00BF61FA">
        <w:t>,</w:t>
      </w:r>
      <w:r>
        <w:t xml:space="preserve"> F.S., to protect proprietary confidential business information from disclosure outside the proceeding.  Therefore, any party wishing to use any proprietary confidential business information, as that term is defined in Section </w:t>
      </w:r>
      <w:r w:rsidR="00BF61FA" w:rsidRPr="00BF61FA">
        <w:t>366.093</w:t>
      </w:r>
      <w:r>
        <w:t xml:space="preserve">, </w:t>
      </w:r>
      <w:smartTag w:uri="urn:schemas:contacts" w:element="GivenName">
        <w:r>
          <w:t>F.S.</w:t>
        </w:r>
      </w:smartTag>
      <w:r>
        <w:t>, at the hearing shall adhere to the following:</w:t>
      </w:r>
    </w:p>
    <w:p w14:paraId="6BBA66CD" w14:textId="77777777" w:rsidR="00C7699A" w:rsidRDefault="00C7699A" w:rsidP="00C769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906B9EF" w14:textId="77777777" w:rsidR="00C7699A" w:rsidRDefault="00C7699A" w:rsidP="00C7699A">
      <w:pPr>
        <w:spacing w:line="2" w:lineRule="exact"/>
        <w:jc w:val="both"/>
      </w:pPr>
    </w:p>
    <w:p w14:paraId="42180294" w14:textId="77777777" w:rsidR="00C7699A" w:rsidRDefault="00C7699A" w:rsidP="00C7699A">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that has not been filed as prefiled testimony or prefiled exhibits, parties must have copies for the </w:t>
      </w:r>
      <w:r>
        <w:lastRenderedPageBreak/>
        <w:t>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2E27D22A" w14:textId="77777777" w:rsidR="00C7699A" w:rsidRDefault="00C7699A" w:rsidP="00C769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8B66C66" w14:textId="77777777" w:rsidR="00C7699A" w:rsidRDefault="00C7699A" w:rsidP="00C7699A">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14:paraId="1969686A" w14:textId="77777777" w:rsidR="00C7699A" w:rsidRDefault="00C7699A" w:rsidP="00C769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BD7586F" w14:textId="77777777" w:rsidR="00C7699A" w:rsidRDefault="00C7699A" w:rsidP="00C769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14:paraId="0F68A7CB" w14:textId="77777777" w:rsidR="00C7699A" w:rsidRDefault="00C7699A" w:rsidP="00C7699A">
      <w:pPr>
        <w:jc w:val="both"/>
      </w:pPr>
    </w:p>
    <w:p w14:paraId="3CF9C7D3" w14:textId="77777777" w:rsidR="00C7699A" w:rsidRDefault="00C7699A" w:rsidP="00C7699A">
      <w:pPr>
        <w:jc w:val="both"/>
      </w:pPr>
    </w:p>
    <w:p w14:paraId="5573C284" w14:textId="77777777" w:rsidR="00C7699A" w:rsidRPr="00A32DC5" w:rsidRDefault="00C7699A" w:rsidP="00C7699A">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14:paraId="54FA2C20" w14:textId="77777777" w:rsidR="00C7699A" w:rsidRPr="00701945" w:rsidRDefault="00C7699A" w:rsidP="00C7699A">
      <w:pPr>
        <w:jc w:val="both"/>
      </w:pPr>
    </w:p>
    <w:p w14:paraId="1C7BB03A" w14:textId="1D0B61A0" w:rsidR="00C7699A" w:rsidRDefault="00C7699A" w:rsidP="00C7699A">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rsidR="00FD4A9A">
        <w:t xml:space="preserve">a total of seven </w:t>
      </w:r>
      <w:r w:rsidR="005023AD">
        <w:t xml:space="preserve">minutes for </w:t>
      </w:r>
      <w:r w:rsidR="0010165D">
        <w:t>each</w:t>
      </w:r>
      <w:r w:rsidR="005023AD">
        <w:t xml:space="preserve"> witness, including </w:t>
      </w:r>
      <w:r w:rsidR="0010165D">
        <w:t>any witness</w:t>
      </w:r>
      <w:r w:rsidR="005023AD">
        <w:t xml:space="preserve"> present</w:t>
      </w:r>
      <w:r w:rsidR="0010165D">
        <w:t>ing</w:t>
      </w:r>
      <w:r w:rsidR="005023AD">
        <w:t xml:space="preserve"> direct and rebuttal </w:t>
      </w:r>
      <w:r w:rsidR="000643CF">
        <w:t xml:space="preserve">testimony </w:t>
      </w:r>
      <w:r w:rsidR="005023AD">
        <w:t>together.</w:t>
      </w:r>
    </w:p>
    <w:p w14:paraId="50246A6D" w14:textId="77777777" w:rsidR="00C7699A" w:rsidRDefault="00C7699A" w:rsidP="00C7699A">
      <w:pPr>
        <w:jc w:val="both"/>
      </w:pPr>
    </w:p>
    <w:p w14:paraId="2013AAC5" w14:textId="77777777" w:rsidR="00C7699A" w:rsidRPr="00701945" w:rsidRDefault="00C7699A" w:rsidP="00C7699A">
      <w:pPr>
        <w:ind w:firstLine="720"/>
        <w:jc w:val="both"/>
      </w:pPr>
      <w:r w:rsidRPr="00701945">
        <w:t xml:space="preserve">Witnesses are reminded that, on cross-examination, responses to questions calling for a simple </w:t>
      </w:r>
      <w:r w:rsidR="00E45DD6">
        <w:t>“Y</w:t>
      </w:r>
      <w:r w:rsidRPr="00701945">
        <w:t>es</w:t>
      </w:r>
      <w:r w:rsidR="00E45DD6">
        <w:t>” or “N</w:t>
      </w:r>
      <w:r w:rsidRPr="00701945">
        <w:t>o</w:t>
      </w:r>
      <w:r w:rsidR="00E45DD6">
        <w:t>”</w:t>
      </w:r>
      <w:r w:rsidRPr="00701945">
        <w:t xml:space="preserve">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14:paraId="2D8B12DF" w14:textId="77777777" w:rsidR="00C7699A" w:rsidRPr="00701945" w:rsidRDefault="00C7699A" w:rsidP="00C7699A">
      <w:pPr>
        <w:jc w:val="both"/>
      </w:pPr>
    </w:p>
    <w:p w14:paraId="4B5FBD8B" w14:textId="77777777" w:rsidR="00C7699A" w:rsidRPr="00701945" w:rsidRDefault="00C7699A" w:rsidP="00C7699A">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14:paraId="32F750BE" w14:textId="77777777" w:rsidR="00C7699A" w:rsidRPr="00B75F84" w:rsidRDefault="00C7699A" w:rsidP="00C7699A">
      <w:pPr>
        <w:jc w:val="both"/>
        <w:rPr>
          <w:color w:val="000000"/>
        </w:rPr>
      </w:pPr>
    </w:p>
    <w:p w14:paraId="54E15B4B" w14:textId="77777777" w:rsidR="00C7699A" w:rsidRPr="00B75F84" w:rsidRDefault="00C7699A" w:rsidP="00C7699A">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 xml:space="preserve">riendly cross-examination will not be allowed. Cross-examination shall be limited to witnesses whose testimony is adverse to the party desiring to cross-examine. Any party conducting what appears </w:t>
      </w:r>
      <w:r w:rsidRPr="00B75F84">
        <w:rPr>
          <w:color w:val="000000"/>
        </w:rPr>
        <w:lastRenderedPageBreak/>
        <w:t>to be a friendly cross-examination of a witness should be prepared to indicate why that witness'</w:t>
      </w:r>
      <w:r w:rsidR="008760BE">
        <w:rPr>
          <w:color w:val="000000"/>
        </w:rPr>
        <w:t xml:space="preserve"> </w:t>
      </w:r>
      <w:r w:rsidRPr="00B75F84">
        <w:rPr>
          <w:color w:val="000000"/>
        </w:rPr>
        <w:t>direct testimony is adverse to its interests.</w:t>
      </w:r>
    </w:p>
    <w:p w14:paraId="64783704" w14:textId="77777777" w:rsidR="00C7699A" w:rsidRDefault="00C7699A" w:rsidP="00C7699A">
      <w:pPr>
        <w:jc w:val="both"/>
      </w:pPr>
    </w:p>
    <w:p w14:paraId="72E38E6F" w14:textId="77777777" w:rsidR="00C7699A" w:rsidRPr="00701945" w:rsidRDefault="00C7699A" w:rsidP="00C7699A">
      <w:pPr>
        <w:jc w:val="both"/>
      </w:pPr>
    </w:p>
    <w:p w14:paraId="1EDC2D71" w14:textId="77777777" w:rsidR="00C7699A" w:rsidRPr="00A32DC5" w:rsidRDefault="00C7699A" w:rsidP="00C7699A">
      <w:pPr>
        <w:jc w:val="both"/>
        <w:rPr>
          <w:b/>
        </w:rPr>
      </w:pPr>
      <w:r w:rsidRPr="00A32DC5">
        <w:rPr>
          <w:b/>
        </w:rPr>
        <w:t>VI.</w:t>
      </w:r>
      <w:r w:rsidRPr="00A32DC5">
        <w:rPr>
          <w:b/>
        </w:rPr>
        <w:tab/>
      </w:r>
      <w:r w:rsidRPr="00A32DC5">
        <w:rPr>
          <w:b/>
          <w:u w:val="single"/>
        </w:rPr>
        <w:t>ORDER OF WITNESSES</w:t>
      </w:r>
    </w:p>
    <w:p w14:paraId="7FC7F7ED" w14:textId="77777777" w:rsidR="00C7699A" w:rsidRDefault="00C7699A" w:rsidP="00C7699A">
      <w:pPr>
        <w:jc w:val="both"/>
      </w:pPr>
    </w:p>
    <w:p w14:paraId="357F41EC" w14:textId="77777777" w:rsidR="00C7699A" w:rsidRDefault="00C7699A" w:rsidP="00C7699A">
      <w:pPr>
        <w:jc w:val="both"/>
      </w:pPr>
      <w:r>
        <w:tab/>
        <w:t>Each witness whose name is preceded by a plus sign (+) will present direct and rebuttal testimony together.</w:t>
      </w:r>
    </w:p>
    <w:p w14:paraId="6E10DA44" w14:textId="77777777" w:rsidR="00C7699A" w:rsidRDefault="00C7699A" w:rsidP="00C7699A">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C7699A" w:rsidRPr="00701945" w14:paraId="39C5C389" w14:textId="77777777" w:rsidTr="004E39C1">
        <w:trPr>
          <w:trHeight w:val="288"/>
          <w:tblHeader/>
        </w:trPr>
        <w:tc>
          <w:tcPr>
            <w:tcW w:w="3507" w:type="dxa"/>
          </w:tcPr>
          <w:p w14:paraId="17925340" w14:textId="77777777" w:rsidR="00C7699A" w:rsidRPr="00701945" w:rsidRDefault="00C7699A" w:rsidP="00E70A27">
            <w:pPr>
              <w:jc w:val="both"/>
            </w:pPr>
            <w:r w:rsidRPr="00701945">
              <w:rPr>
                <w:u w:val="single"/>
              </w:rPr>
              <w:t>Witness</w:t>
            </w:r>
          </w:p>
        </w:tc>
        <w:tc>
          <w:tcPr>
            <w:tcW w:w="2511" w:type="dxa"/>
          </w:tcPr>
          <w:p w14:paraId="63906B21" w14:textId="77777777" w:rsidR="00C7699A" w:rsidRPr="00701945" w:rsidRDefault="00C7699A" w:rsidP="00E70A27">
            <w:pPr>
              <w:jc w:val="center"/>
            </w:pPr>
            <w:r w:rsidRPr="00701945">
              <w:rPr>
                <w:u w:val="single"/>
              </w:rPr>
              <w:t>Proffered By</w:t>
            </w:r>
          </w:p>
        </w:tc>
        <w:tc>
          <w:tcPr>
            <w:tcW w:w="3546" w:type="dxa"/>
          </w:tcPr>
          <w:p w14:paraId="366AC9A0" w14:textId="77777777" w:rsidR="00C7699A" w:rsidRPr="00701945" w:rsidRDefault="00C7699A" w:rsidP="00E70A27">
            <w:pPr>
              <w:jc w:val="both"/>
            </w:pPr>
            <w:r w:rsidRPr="00701945">
              <w:rPr>
                <w:u w:val="single"/>
              </w:rPr>
              <w:t>Issues #</w:t>
            </w:r>
          </w:p>
        </w:tc>
      </w:tr>
      <w:tr w:rsidR="00C7699A" w:rsidRPr="00701945" w14:paraId="3FD815B0" w14:textId="77777777" w:rsidTr="004E39C1">
        <w:trPr>
          <w:trHeight w:val="288"/>
        </w:trPr>
        <w:tc>
          <w:tcPr>
            <w:tcW w:w="3507" w:type="dxa"/>
          </w:tcPr>
          <w:p w14:paraId="72EB3263" w14:textId="77777777" w:rsidR="00C7699A" w:rsidRPr="00AC105C" w:rsidRDefault="00C7699A" w:rsidP="00E70A27">
            <w:pPr>
              <w:jc w:val="both"/>
              <w:rPr>
                <w:u w:val="single"/>
              </w:rPr>
            </w:pPr>
            <w:r w:rsidRPr="00AC105C">
              <w:tab/>
            </w:r>
            <w:r w:rsidRPr="00AC105C">
              <w:rPr>
                <w:u w:val="single"/>
              </w:rPr>
              <w:t>Direct</w:t>
            </w:r>
          </w:p>
        </w:tc>
        <w:tc>
          <w:tcPr>
            <w:tcW w:w="2511" w:type="dxa"/>
          </w:tcPr>
          <w:p w14:paraId="43F8F514" w14:textId="77777777" w:rsidR="00C7699A" w:rsidRPr="00701945" w:rsidRDefault="00C7699A" w:rsidP="00E70A27">
            <w:pPr>
              <w:jc w:val="center"/>
            </w:pPr>
          </w:p>
        </w:tc>
        <w:tc>
          <w:tcPr>
            <w:tcW w:w="3546" w:type="dxa"/>
          </w:tcPr>
          <w:p w14:paraId="40DED682" w14:textId="77777777" w:rsidR="00C7699A" w:rsidRPr="00701945" w:rsidRDefault="00C7699A" w:rsidP="00E70A27"/>
        </w:tc>
      </w:tr>
      <w:tr w:rsidR="00C7699A" w:rsidRPr="00701945" w14:paraId="1A05287F" w14:textId="77777777" w:rsidTr="004E39C1">
        <w:trPr>
          <w:trHeight w:val="288"/>
        </w:trPr>
        <w:tc>
          <w:tcPr>
            <w:tcW w:w="3507" w:type="dxa"/>
          </w:tcPr>
          <w:p w14:paraId="5FC4E052" w14:textId="77777777" w:rsidR="00C7699A" w:rsidRPr="00A97965" w:rsidRDefault="00A97965" w:rsidP="00A97965">
            <w:pPr>
              <w:tabs>
                <w:tab w:val="left" w:pos="-720"/>
              </w:tabs>
              <w:suppressAutoHyphens/>
              <w:rPr>
                <w:spacing w:val="-3"/>
              </w:rPr>
            </w:pPr>
            <w:r w:rsidRPr="00F528AE">
              <w:rPr>
                <w:spacing w:val="-3"/>
              </w:rPr>
              <w:t>Archie Collins</w:t>
            </w:r>
          </w:p>
        </w:tc>
        <w:tc>
          <w:tcPr>
            <w:tcW w:w="2511" w:type="dxa"/>
          </w:tcPr>
          <w:p w14:paraId="1EDE8C66" w14:textId="77777777" w:rsidR="00C7699A" w:rsidRPr="00701945" w:rsidRDefault="00A97965" w:rsidP="00E70A27">
            <w:pPr>
              <w:jc w:val="center"/>
            </w:pPr>
            <w:r>
              <w:t>TECO</w:t>
            </w:r>
          </w:p>
        </w:tc>
        <w:tc>
          <w:tcPr>
            <w:tcW w:w="3546" w:type="dxa"/>
          </w:tcPr>
          <w:p w14:paraId="5ABCDA07" w14:textId="77777777" w:rsidR="00C7699A" w:rsidRPr="00701945" w:rsidRDefault="00A97965" w:rsidP="00E70A27">
            <w:r>
              <w:t>4, 69</w:t>
            </w:r>
          </w:p>
        </w:tc>
      </w:tr>
      <w:tr w:rsidR="00C7699A" w:rsidRPr="00701945" w14:paraId="69A1850A" w14:textId="77777777" w:rsidTr="004E39C1">
        <w:trPr>
          <w:trHeight w:val="288"/>
        </w:trPr>
        <w:tc>
          <w:tcPr>
            <w:tcW w:w="3507" w:type="dxa"/>
          </w:tcPr>
          <w:p w14:paraId="52EF3D78" w14:textId="77777777" w:rsidR="00C7699A" w:rsidRPr="00A97965" w:rsidRDefault="00A97965" w:rsidP="00A97965">
            <w:pPr>
              <w:tabs>
                <w:tab w:val="left" w:pos="-720"/>
              </w:tabs>
              <w:suppressAutoHyphens/>
              <w:rPr>
                <w:spacing w:val="-3"/>
              </w:rPr>
            </w:pPr>
            <w:r w:rsidRPr="00F528AE">
              <w:rPr>
                <w:spacing w:val="-3"/>
              </w:rPr>
              <w:t>Karen Sparkman</w:t>
            </w:r>
          </w:p>
        </w:tc>
        <w:tc>
          <w:tcPr>
            <w:tcW w:w="2511" w:type="dxa"/>
          </w:tcPr>
          <w:p w14:paraId="3F15FA50" w14:textId="77777777" w:rsidR="00C7699A" w:rsidRPr="00701945" w:rsidRDefault="00A97965" w:rsidP="00E70A27">
            <w:pPr>
              <w:jc w:val="center"/>
            </w:pPr>
            <w:r>
              <w:t>TECO</w:t>
            </w:r>
          </w:p>
        </w:tc>
        <w:tc>
          <w:tcPr>
            <w:tcW w:w="3546" w:type="dxa"/>
          </w:tcPr>
          <w:p w14:paraId="4930A11C" w14:textId="77777777" w:rsidR="00C7699A" w:rsidRPr="00701945" w:rsidRDefault="00A97965" w:rsidP="00EC7855">
            <w:r>
              <w:rPr>
                <w:spacing w:val="-3"/>
              </w:rPr>
              <w:t>4, 16, 85, 87</w:t>
            </w:r>
            <w:r w:rsidR="00EC7855">
              <w:rPr>
                <w:spacing w:val="-3"/>
              </w:rPr>
              <w:t>–</w:t>
            </w:r>
            <w:r>
              <w:rPr>
                <w:spacing w:val="-3"/>
              </w:rPr>
              <w:t xml:space="preserve">89, 92, 115, </w:t>
            </w:r>
            <w:r w:rsidR="008D7237">
              <w:rPr>
                <w:spacing w:val="-3"/>
              </w:rPr>
              <w:t>119</w:t>
            </w:r>
          </w:p>
        </w:tc>
      </w:tr>
      <w:tr w:rsidR="00C7699A" w:rsidRPr="00701945" w14:paraId="65E8C8AA" w14:textId="77777777" w:rsidTr="004E39C1">
        <w:trPr>
          <w:trHeight w:val="288"/>
        </w:trPr>
        <w:tc>
          <w:tcPr>
            <w:tcW w:w="3507" w:type="dxa"/>
          </w:tcPr>
          <w:p w14:paraId="7479B09D" w14:textId="77777777" w:rsidR="00C7699A" w:rsidRPr="00A97965" w:rsidRDefault="00501DC2" w:rsidP="00A97965">
            <w:pPr>
              <w:tabs>
                <w:tab w:val="left" w:pos="-720"/>
              </w:tabs>
              <w:suppressAutoHyphens/>
              <w:rPr>
                <w:spacing w:val="-3"/>
              </w:rPr>
            </w:pPr>
            <w:r>
              <w:rPr>
                <w:spacing w:val="-3"/>
              </w:rPr>
              <w:t xml:space="preserve">+ </w:t>
            </w:r>
            <w:r w:rsidR="00A97965" w:rsidRPr="00F528AE">
              <w:rPr>
                <w:spacing w:val="-3"/>
              </w:rPr>
              <w:t>Carlos Aldazabal</w:t>
            </w:r>
          </w:p>
        </w:tc>
        <w:tc>
          <w:tcPr>
            <w:tcW w:w="2511" w:type="dxa"/>
          </w:tcPr>
          <w:p w14:paraId="7B796B05" w14:textId="77777777" w:rsidR="00C7699A" w:rsidRPr="00701945" w:rsidRDefault="00A97965" w:rsidP="00E70A27">
            <w:pPr>
              <w:jc w:val="center"/>
            </w:pPr>
            <w:r>
              <w:t>TECO</w:t>
            </w:r>
          </w:p>
        </w:tc>
        <w:tc>
          <w:tcPr>
            <w:tcW w:w="3546" w:type="dxa"/>
          </w:tcPr>
          <w:p w14:paraId="7C0BA5E9" w14:textId="77777777" w:rsidR="00C7699A" w:rsidRPr="00701945" w:rsidRDefault="00A97965" w:rsidP="006E7AC9">
            <w:pPr>
              <w:tabs>
                <w:tab w:val="left" w:pos="-720"/>
              </w:tabs>
              <w:suppressAutoHyphens/>
            </w:pPr>
            <w:r>
              <w:rPr>
                <w:spacing w:val="-3"/>
              </w:rPr>
              <w:t>4, 21</w:t>
            </w:r>
            <w:r w:rsidR="00EC7855">
              <w:rPr>
                <w:spacing w:val="-3"/>
              </w:rPr>
              <w:t>–</w:t>
            </w:r>
            <w:r>
              <w:rPr>
                <w:spacing w:val="-3"/>
              </w:rPr>
              <w:t>24,</w:t>
            </w:r>
            <w:r w:rsidR="00345D20">
              <w:rPr>
                <w:spacing w:val="-3"/>
              </w:rPr>
              <w:t xml:space="preserve"> 30,</w:t>
            </w:r>
            <w:r>
              <w:rPr>
                <w:spacing w:val="-3"/>
              </w:rPr>
              <w:t xml:space="preserve"> 43</w:t>
            </w:r>
            <w:r w:rsidR="00EC7855">
              <w:rPr>
                <w:spacing w:val="-3"/>
              </w:rPr>
              <w:t>–</w:t>
            </w:r>
            <w:r>
              <w:rPr>
                <w:spacing w:val="-3"/>
              </w:rPr>
              <w:t>45, 97, 99</w:t>
            </w:r>
            <w:r w:rsidR="00EC7855">
              <w:rPr>
                <w:spacing w:val="-3"/>
              </w:rPr>
              <w:t>–</w:t>
            </w:r>
            <w:r w:rsidR="003F2EB4">
              <w:rPr>
                <w:spacing w:val="-3"/>
              </w:rPr>
              <w:t>102, 116</w:t>
            </w:r>
          </w:p>
        </w:tc>
      </w:tr>
      <w:tr w:rsidR="00A97965" w:rsidRPr="00701945" w14:paraId="25F90B9A" w14:textId="77777777" w:rsidTr="004E39C1">
        <w:trPr>
          <w:trHeight w:val="288"/>
        </w:trPr>
        <w:tc>
          <w:tcPr>
            <w:tcW w:w="3507" w:type="dxa"/>
          </w:tcPr>
          <w:p w14:paraId="2E6706B0" w14:textId="77777777" w:rsidR="00A97965" w:rsidRPr="00A97965" w:rsidRDefault="000D117A" w:rsidP="00A97965">
            <w:pPr>
              <w:tabs>
                <w:tab w:val="left" w:pos="-720"/>
              </w:tabs>
              <w:suppressAutoHyphens/>
              <w:rPr>
                <w:spacing w:val="-3"/>
              </w:rPr>
            </w:pPr>
            <w:r>
              <w:rPr>
                <w:spacing w:val="-3"/>
              </w:rPr>
              <w:t xml:space="preserve">+ </w:t>
            </w:r>
            <w:r w:rsidR="00A97965" w:rsidRPr="00F528AE">
              <w:rPr>
                <w:spacing w:val="-3"/>
              </w:rPr>
              <w:t>Kris Stryker</w:t>
            </w:r>
          </w:p>
        </w:tc>
        <w:tc>
          <w:tcPr>
            <w:tcW w:w="2511" w:type="dxa"/>
          </w:tcPr>
          <w:p w14:paraId="41785B1D" w14:textId="77777777" w:rsidR="00A97965" w:rsidRPr="00701945" w:rsidRDefault="00A97965" w:rsidP="00A97965">
            <w:pPr>
              <w:jc w:val="center"/>
            </w:pPr>
            <w:r>
              <w:t>TECO</w:t>
            </w:r>
          </w:p>
        </w:tc>
        <w:tc>
          <w:tcPr>
            <w:tcW w:w="3546" w:type="dxa"/>
          </w:tcPr>
          <w:p w14:paraId="414C44D2" w14:textId="77777777" w:rsidR="00A97965" w:rsidRPr="00701945" w:rsidRDefault="00A97965" w:rsidP="003F2EB4">
            <w:r>
              <w:rPr>
                <w:spacing w:val="-3"/>
              </w:rPr>
              <w:t>14, 1</w:t>
            </w:r>
            <w:r w:rsidR="003F2EB4">
              <w:rPr>
                <w:spacing w:val="-3"/>
              </w:rPr>
              <w:t>5, 18, 20, 43, 44, 95, 98, 116</w:t>
            </w:r>
          </w:p>
        </w:tc>
      </w:tr>
      <w:tr w:rsidR="00C7699A" w:rsidRPr="00701945" w14:paraId="22970094" w14:textId="77777777" w:rsidTr="004E39C1">
        <w:trPr>
          <w:trHeight w:val="288"/>
        </w:trPr>
        <w:tc>
          <w:tcPr>
            <w:tcW w:w="3507" w:type="dxa"/>
          </w:tcPr>
          <w:p w14:paraId="5E3EC838" w14:textId="77777777" w:rsidR="00C7699A" w:rsidRPr="00A97965" w:rsidRDefault="000D117A" w:rsidP="00A97965">
            <w:pPr>
              <w:tabs>
                <w:tab w:val="left" w:pos="-720"/>
              </w:tabs>
              <w:suppressAutoHyphens/>
              <w:rPr>
                <w:spacing w:val="-3"/>
              </w:rPr>
            </w:pPr>
            <w:r>
              <w:rPr>
                <w:spacing w:val="-3"/>
              </w:rPr>
              <w:t xml:space="preserve">+ </w:t>
            </w:r>
            <w:r w:rsidR="00A97965" w:rsidRPr="00F528AE">
              <w:rPr>
                <w:spacing w:val="-3"/>
              </w:rPr>
              <w:t>Jose Aponte</w:t>
            </w:r>
          </w:p>
        </w:tc>
        <w:tc>
          <w:tcPr>
            <w:tcW w:w="2511" w:type="dxa"/>
          </w:tcPr>
          <w:p w14:paraId="2993EBCE" w14:textId="77777777" w:rsidR="00C7699A" w:rsidRPr="00701945" w:rsidRDefault="00A97965" w:rsidP="00E70A27">
            <w:pPr>
              <w:jc w:val="center"/>
            </w:pPr>
            <w:r>
              <w:t>TECO</w:t>
            </w:r>
          </w:p>
        </w:tc>
        <w:tc>
          <w:tcPr>
            <w:tcW w:w="3546" w:type="dxa"/>
          </w:tcPr>
          <w:p w14:paraId="2ACA010C" w14:textId="77777777" w:rsidR="00C7699A" w:rsidRPr="00701945" w:rsidRDefault="00A97965" w:rsidP="00E70A27">
            <w:r>
              <w:rPr>
                <w:spacing w:val="-3"/>
              </w:rPr>
              <w:t>18, 20, 22, 24, 95, 97, 98, 101</w:t>
            </w:r>
          </w:p>
        </w:tc>
      </w:tr>
      <w:tr w:rsidR="00C7699A" w:rsidRPr="00701945" w14:paraId="7FC9FE6B" w14:textId="77777777" w:rsidTr="004E39C1">
        <w:trPr>
          <w:trHeight w:val="288"/>
        </w:trPr>
        <w:tc>
          <w:tcPr>
            <w:tcW w:w="3507" w:type="dxa"/>
          </w:tcPr>
          <w:p w14:paraId="15FDF1BA" w14:textId="77777777" w:rsidR="00C7699A" w:rsidRPr="00A97965" w:rsidRDefault="000D117A" w:rsidP="00A97965">
            <w:pPr>
              <w:tabs>
                <w:tab w:val="left" w:pos="-720"/>
              </w:tabs>
              <w:suppressAutoHyphens/>
              <w:rPr>
                <w:spacing w:val="-3"/>
              </w:rPr>
            </w:pPr>
            <w:r>
              <w:rPr>
                <w:spacing w:val="-3"/>
              </w:rPr>
              <w:t xml:space="preserve">+ </w:t>
            </w:r>
            <w:r w:rsidR="00A97965" w:rsidRPr="00F528AE">
              <w:rPr>
                <w:spacing w:val="-3"/>
              </w:rPr>
              <w:t>Chip Whitworth</w:t>
            </w:r>
          </w:p>
        </w:tc>
        <w:tc>
          <w:tcPr>
            <w:tcW w:w="2511" w:type="dxa"/>
          </w:tcPr>
          <w:p w14:paraId="4A2F3CBE" w14:textId="77777777" w:rsidR="00C7699A" w:rsidRPr="00701945" w:rsidRDefault="00A97965" w:rsidP="00E70A27">
            <w:pPr>
              <w:jc w:val="center"/>
            </w:pPr>
            <w:r>
              <w:t>TECO</w:t>
            </w:r>
          </w:p>
        </w:tc>
        <w:tc>
          <w:tcPr>
            <w:tcW w:w="3546" w:type="dxa"/>
          </w:tcPr>
          <w:p w14:paraId="113A2C81" w14:textId="77777777" w:rsidR="00C7699A" w:rsidRPr="00701945" w:rsidRDefault="00A97965" w:rsidP="00E70A27">
            <w:r>
              <w:rPr>
                <w:spacing w:val="-3"/>
              </w:rPr>
              <w:t xml:space="preserve">4, 19, 25, </w:t>
            </w:r>
            <w:r w:rsidR="00345D20">
              <w:rPr>
                <w:spacing w:val="-3"/>
              </w:rPr>
              <w:t xml:space="preserve">31, </w:t>
            </w:r>
            <w:r>
              <w:rPr>
                <w:spacing w:val="-3"/>
              </w:rPr>
              <w:t>46, 47, 96</w:t>
            </w:r>
          </w:p>
        </w:tc>
      </w:tr>
      <w:tr w:rsidR="00C7699A" w:rsidRPr="00701945" w14:paraId="7D04E577" w14:textId="77777777" w:rsidTr="004E39C1">
        <w:trPr>
          <w:trHeight w:val="288"/>
        </w:trPr>
        <w:tc>
          <w:tcPr>
            <w:tcW w:w="3507" w:type="dxa"/>
          </w:tcPr>
          <w:p w14:paraId="03323980" w14:textId="77777777" w:rsidR="00C7699A" w:rsidRPr="00C251FC" w:rsidRDefault="000D117A" w:rsidP="00C251FC">
            <w:pPr>
              <w:tabs>
                <w:tab w:val="left" w:pos="-720"/>
              </w:tabs>
              <w:suppressAutoHyphens/>
              <w:rPr>
                <w:spacing w:val="-3"/>
              </w:rPr>
            </w:pPr>
            <w:r>
              <w:rPr>
                <w:spacing w:val="-3"/>
              </w:rPr>
              <w:t xml:space="preserve">+ </w:t>
            </w:r>
            <w:r w:rsidR="00C251FC" w:rsidRPr="00F528AE">
              <w:rPr>
                <w:spacing w:val="-3"/>
              </w:rPr>
              <w:t>David Lukcic</w:t>
            </w:r>
          </w:p>
        </w:tc>
        <w:tc>
          <w:tcPr>
            <w:tcW w:w="2511" w:type="dxa"/>
          </w:tcPr>
          <w:p w14:paraId="38D482E5" w14:textId="77777777" w:rsidR="00C7699A" w:rsidRPr="00701945" w:rsidRDefault="00C251FC" w:rsidP="00E70A27">
            <w:pPr>
              <w:jc w:val="center"/>
            </w:pPr>
            <w:r>
              <w:t>TECO</w:t>
            </w:r>
          </w:p>
        </w:tc>
        <w:tc>
          <w:tcPr>
            <w:tcW w:w="3546" w:type="dxa"/>
          </w:tcPr>
          <w:p w14:paraId="4BAE6927" w14:textId="77777777" w:rsidR="00C7699A" w:rsidRPr="00701945" w:rsidRDefault="00C251FC" w:rsidP="00E70A27">
            <w:r>
              <w:t>19,</w:t>
            </w:r>
            <w:r w:rsidR="00C223ED">
              <w:t xml:space="preserve"> </w:t>
            </w:r>
            <w:r>
              <w:t>96</w:t>
            </w:r>
          </w:p>
        </w:tc>
      </w:tr>
      <w:tr w:rsidR="00C7699A" w:rsidRPr="00701945" w14:paraId="22926D71" w14:textId="77777777" w:rsidTr="004E39C1">
        <w:trPr>
          <w:trHeight w:val="288"/>
        </w:trPr>
        <w:tc>
          <w:tcPr>
            <w:tcW w:w="3507" w:type="dxa"/>
          </w:tcPr>
          <w:p w14:paraId="3FE40070" w14:textId="77777777" w:rsidR="00C7699A" w:rsidRPr="00C251FC" w:rsidRDefault="00C251FC" w:rsidP="00C251FC">
            <w:pPr>
              <w:tabs>
                <w:tab w:val="left" w:pos="-720"/>
              </w:tabs>
              <w:suppressAutoHyphens/>
              <w:rPr>
                <w:spacing w:val="-3"/>
              </w:rPr>
            </w:pPr>
            <w:r w:rsidRPr="00F528AE">
              <w:rPr>
                <w:spacing w:val="-3"/>
              </w:rPr>
              <w:t>Christopher Heck</w:t>
            </w:r>
          </w:p>
        </w:tc>
        <w:tc>
          <w:tcPr>
            <w:tcW w:w="2511" w:type="dxa"/>
          </w:tcPr>
          <w:p w14:paraId="28F1AC6B" w14:textId="77777777" w:rsidR="00C7699A" w:rsidRPr="00701945" w:rsidRDefault="00C251FC" w:rsidP="00E70A27">
            <w:pPr>
              <w:jc w:val="center"/>
            </w:pPr>
            <w:r>
              <w:t>TECO</w:t>
            </w:r>
          </w:p>
        </w:tc>
        <w:tc>
          <w:tcPr>
            <w:tcW w:w="3546" w:type="dxa"/>
          </w:tcPr>
          <w:p w14:paraId="5A7055A4" w14:textId="77777777" w:rsidR="00C7699A" w:rsidRPr="00701945" w:rsidRDefault="00C251FC" w:rsidP="00E70A27">
            <w:r>
              <w:t>17</w:t>
            </w:r>
          </w:p>
        </w:tc>
      </w:tr>
      <w:tr w:rsidR="00C7699A" w:rsidRPr="00701945" w14:paraId="7A4FABF7" w14:textId="77777777" w:rsidTr="004E39C1">
        <w:trPr>
          <w:trHeight w:val="288"/>
        </w:trPr>
        <w:tc>
          <w:tcPr>
            <w:tcW w:w="3507" w:type="dxa"/>
          </w:tcPr>
          <w:p w14:paraId="667D3B00" w14:textId="77777777" w:rsidR="00C7699A" w:rsidRPr="00C251FC" w:rsidRDefault="004166F5" w:rsidP="00C251FC">
            <w:pPr>
              <w:tabs>
                <w:tab w:val="left" w:pos="-720"/>
              </w:tabs>
              <w:suppressAutoHyphens/>
              <w:rPr>
                <w:spacing w:val="-3"/>
              </w:rPr>
            </w:pPr>
            <w:r>
              <w:rPr>
                <w:spacing w:val="-3"/>
              </w:rPr>
              <w:t xml:space="preserve">+ </w:t>
            </w:r>
            <w:r w:rsidR="00C251FC" w:rsidRPr="00F528AE">
              <w:rPr>
                <w:spacing w:val="-3"/>
              </w:rPr>
              <w:t>Marian Cacciatore</w:t>
            </w:r>
          </w:p>
        </w:tc>
        <w:tc>
          <w:tcPr>
            <w:tcW w:w="2511" w:type="dxa"/>
          </w:tcPr>
          <w:p w14:paraId="6D4D5C9E" w14:textId="77777777" w:rsidR="00C7699A" w:rsidRPr="00701945" w:rsidRDefault="00C251FC" w:rsidP="00E70A27">
            <w:pPr>
              <w:jc w:val="center"/>
            </w:pPr>
            <w:r>
              <w:t>TECO</w:t>
            </w:r>
          </w:p>
        </w:tc>
        <w:tc>
          <w:tcPr>
            <w:tcW w:w="3546" w:type="dxa"/>
          </w:tcPr>
          <w:p w14:paraId="4BE70FA3" w14:textId="77777777" w:rsidR="00C7699A" w:rsidRPr="00701945" w:rsidRDefault="00C251FC" w:rsidP="00E70A27">
            <w:r>
              <w:t>3, 53</w:t>
            </w:r>
          </w:p>
        </w:tc>
      </w:tr>
      <w:tr w:rsidR="00C251FC" w:rsidRPr="00701945" w14:paraId="2675808A" w14:textId="77777777" w:rsidTr="004E39C1">
        <w:trPr>
          <w:trHeight w:val="288"/>
        </w:trPr>
        <w:tc>
          <w:tcPr>
            <w:tcW w:w="3507" w:type="dxa"/>
          </w:tcPr>
          <w:p w14:paraId="5D851512" w14:textId="77777777" w:rsidR="00C251FC" w:rsidRPr="00C251FC" w:rsidRDefault="004166F5" w:rsidP="00C251FC">
            <w:pPr>
              <w:tabs>
                <w:tab w:val="left" w:pos="-720"/>
              </w:tabs>
              <w:suppressAutoHyphens/>
              <w:rPr>
                <w:spacing w:val="-3"/>
              </w:rPr>
            </w:pPr>
            <w:r>
              <w:rPr>
                <w:spacing w:val="-3"/>
              </w:rPr>
              <w:t xml:space="preserve">+ </w:t>
            </w:r>
            <w:r w:rsidR="00C251FC" w:rsidRPr="00F528AE">
              <w:rPr>
                <w:spacing w:val="-3"/>
              </w:rPr>
              <w:t>Lori Cifuentes</w:t>
            </w:r>
          </w:p>
        </w:tc>
        <w:tc>
          <w:tcPr>
            <w:tcW w:w="2511" w:type="dxa"/>
          </w:tcPr>
          <w:p w14:paraId="55863492" w14:textId="77777777" w:rsidR="00C251FC" w:rsidRPr="00701945" w:rsidRDefault="00C251FC" w:rsidP="00E70A27">
            <w:pPr>
              <w:jc w:val="center"/>
            </w:pPr>
            <w:r>
              <w:t>TECO</w:t>
            </w:r>
          </w:p>
        </w:tc>
        <w:tc>
          <w:tcPr>
            <w:tcW w:w="3546" w:type="dxa"/>
          </w:tcPr>
          <w:p w14:paraId="189BA77F" w14:textId="77777777" w:rsidR="00C251FC" w:rsidRPr="00701945" w:rsidRDefault="00C251FC" w:rsidP="00E70A27">
            <w:r>
              <w:rPr>
                <w:spacing w:val="-3"/>
              </w:rPr>
              <w:t>2, 3, 41, 42, 104</w:t>
            </w:r>
          </w:p>
        </w:tc>
      </w:tr>
      <w:tr w:rsidR="00C251FC" w:rsidRPr="00701945" w14:paraId="11F9558D" w14:textId="77777777" w:rsidTr="004E39C1">
        <w:trPr>
          <w:trHeight w:val="288"/>
        </w:trPr>
        <w:tc>
          <w:tcPr>
            <w:tcW w:w="3507" w:type="dxa"/>
          </w:tcPr>
          <w:p w14:paraId="04D0F9F7" w14:textId="77777777" w:rsidR="00C251FC" w:rsidRPr="00C251FC" w:rsidRDefault="004166F5" w:rsidP="00C251FC">
            <w:pPr>
              <w:tabs>
                <w:tab w:val="left" w:pos="-720"/>
              </w:tabs>
              <w:suppressAutoHyphens/>
              <w:rPr>
                <w:spacing w:val="-3"/>
              </w:rPr>
            </w:pPr>
            <w:r>
              <w:rPr>
                <w:spacing w:val="-3"/>
              </w:rPr>
              <w:t xml:space="preserve">+ </w:t>
            </w:r>
            <w:r w:rsidR="00C251FC" w:rsidRPr="00F528AE">
              <w:rPr>
                <w:spacing w:val="-3"/>
              </w:rPr>
              <w:t>Ned Allis</w:t>
            </w:r>
          </w:p>
        </w:tc>
        <w:tc>
          <w:tcPr>
            <w:tcW w:w="2511" w:type="dxa"/>
          </w:tcPr>
          <w:p w14:paraId="60122550" w14:textId="77777777" w:rsidR="00C251FC" w:rsidRPr="00701945" w:rsidRDefault="00C251FC" w:rsidP="00E70A27">
            <w:pPr>
              <w:jc w:val="center"/>
            </w:pPr>
            <w:r>
              <w:t>TECO</w:t>
            </w:r>
          </w:p>
        </w:tc>
        <w:tc>
          <w:tcPr>
            <w:tcW w:w="3546" w:type="dxa"/>
          </w:tcPr>
          <w:p w14:paraId="332E4AD3" w14:textId="77777777" w:rsidR="00C251FC" w:rsidRPr="00701945" w:rsidRDefault="00C251FC" w:rsidP="00E70A27">
            <w:r>
              <w:rPr>
                <w:spacing w:val="-3"/>
              </w:rPr>
              <w:t>5</w:t>
            </w:r>
            <w:r w:rsidR="00C223ED">
              <w:rPr>
                <w:spacing w:val="-3"/>
              </w:rPr>
              <w:t>–</w:t>
            </w:r>
            <w:r>
              <w:rPr>
                <w:spacing w:val="-3"/>
              </w:rPr>
              <w:t>9, 60</w:t>
            </w:r>
          </w:p>
        </w:tc>
      </w:tr>
      <w:tr w:rsidR="0048247F" w:rsidRPr="00701945" w14:paraId="49985B36" w14:textId="77777777" w:rsidTr="004E39C1">
        <w:trPr>
          <w:trHeight w:val="288"/>
        </w:trPr>
        <w:tc>
          <w:tcPr>
            <w:tcW w:w="3507" w:type="dxa"/>
          </w:tcPr>
          <w:p w14:paraId="2553ADFC" w14:textId="77777777" w:rsidR="0048247F" w:rsidRPr="00F528AE" w:rsidRDefault="004166F5" w:rsidP="00C251FC">
            <w:pPr>
              <w:tabs>
                <w:tab w:val="left" w:pos="-720"/>
              </w:tabs>
              <w:suppressAutoHyphens/>
              <w:rPr>
                <w:spacing w:val="-3"/>
              </w:rPr>
            </w:pPr>
            <w:r>
              <w:rPr>
                <w:spacing w:val="-3"/>
              </w:rPr>
              <w:t xml:space="preserve">+ </w:t>
            </w:r>
            <w:r w:rsidR="0048247F" w:rsidRPr="00F528AE">
              <w:rPr>
                <w:spacing w:val="-3"/>
              </w:rPr>
              <w:t>Jeff Kopp</w:t>
            </w:r>
          </w:p>
        </w:tc>
        <w:tc>
          <w:tcPr>
            <w:tcW w:w="2511" w:type="dxa"/>
          </w:tcPr>
          <w:p w14:paraId="16465306" w14:textId="77777777" w:rsidR="0048247F" w:rsidRDefault="0048247F" w:rsidP="00E70A27">
            <w:pPr>
              <w:jc w:val="center"/>
            </w:pPr>
            <w:r>
              <w:t>TECO</w:t>
            </w:r>
          </w:p>
        </w:tc>
        <w:tc>
          <w:tcPr>
            <w:tcW w:w="3546" w:type="dxa"/>
          </w:tcPr>
          <w:p w14:paraId="22EBC2AE" w14:textId="77777777" w:rsidR="0048247F" w:rsidRDefault="0048247F" w:rsidP="00E70A27">
            <w:pPr>
              <w:rPr>
                <w:spacing w:val="-3"/>
              </w:rPr>
            </w:pPr>
            <w:r>
              <w:rPr>
                <w:spacing w:val="-3"/>
              </w:rPr>
              <w:t>5, 11, 60</w:t>
            </w:r>
          </w:p>
        </w:tc>
      </w:tr>
      <w:tr w:rsidR="0048247F" w:rsidRPr="00701945" w14:paraId="10149EE2" w14:textId="77777777" w:rsidTr="004E39C1">
        <w:trPr>
          <w:trHeight w:val="288"/>
        </w:trPr>
        <w:tc>
          <w:tcPr>
            <w:tcW w:w="3507" w:type="dxa"/>
          </w:tcPr>
          <w:p w14:paraId="74F003D3" w14:textId="77777777" w:rsidR="0048247F" w:rsidRPr="00F528AE" w:rsidRDefault="004166F5" w:rsidP="00C251FC">
            <w:pPr>
              <w:tabs>
                <w:tab w:val="left" w:pos="-720"/>
              </w:tabs>
              <w:suppressAutoHyphens/>
              <w:rPr>
                <w:spacing w:val="-3"/>
              </w:rPr>
            </w:pPr>
            <w:r>
              <w:rPr>
                <w:spacing w:val="-3"/>
              </w:rPr>
              <w:t xml:space="preserve">+ </w:t>
            </w:r>
            <w:r w:rsidR="0048247F" w:rsidRPr="00F528AE">
              <w:rPr>
                <w:spacing w:val="-3"/>
              </w:rPr>
              <w:t>Dylan D’Ascendis</w:t>
            </w:r>
          </w:p>
        </w:tc>
        <w:tc>
          <w:tcPr>
            <w:tcW w:w="2511" w:type="dxa"/>
          </w:tcPr>
          <w:p w14:paraId="36CFB45B" w14:textId="77777777" w:rsidR="0048247F" w:rsidRDefault="0048247F" w:rsidP="00E70A27">
            <w:pPr>
              <w:jc w:val="center"/>
            </w:pPr>
            <w:r>
              <w:t>TECO</w:t>
            </w:r>
          </w:p>
        </w:tc>
        <w:tc>
          <w:tcPr>
            <w:tcW w:w="3546" w:type="dxa"/>
          </w:tcPr>
          <w:p w14:paraId="5946E6E4" w14:textId="77777777" w:rsidR="0048247F" w:rsidRDefault="0048247F" w:rsidP="00E70A27">
            <w:pPr>
              <w:rPr>
                <w:spacing w:val="-3"/>
              </w:rPr>
            </w:pPr>
            <w:r>
              <w:rPr>
                <w:spacing w:val="-3"/>
              </w:rPr>
              <w:t>39</w:t>
            </w:r>
          </w:p>
        </w:tc>
      </w:tr>
      <w:tr w:rsidR="00C251FC" w:rsidRPr="00701945" w14:paraId="736C1173" w14:textId="77777777" w:rsidTr="004E39C1">
        <w:trPr>
          <w:trHeight w:val="288"/>
        </w:trPr>
        <w:tc>
          <w:tcPr>
            <w:tcW w:w="3507" w:type="dxa"/>
          </w:tcPr>
          <w:p w14:paraId="022006B8" w14:textId="77777777" w:rsidR="00C251FC" w:rsidRPr="0048247F" w:rsidRDefault="004166F5" w:rsidP="0048247F">
            <w:pPr>
              <w:tabs>
                <w:tab w:val="left" w:pos="-720"/>
              </w:tabs>
              <w:suppressAutoHyphens/>
              <w:rPr>
                <w:spacing w:val="-3"/>
              </w:rPr>
            </w:pPr>
            <w:r>
              <w:rPr>
                <w:spacing w:val="-3"/>
              </w:rPr>
              <w:t xml:space="preserve">+ </w:t>
            </w:r>
            <w:r w:rsidR="0048247F" w:rsidRPr="00F528AE">
              <w:rPr>
                <w:spacing w:val="-3"/>
              </w:rPr>
              <w:t>John Heisey</w:t>
            </w:r>
          </w:p>
        </w:tc>
        <w:tc>
          <w:tcPr>
            <w:tcW w:w="2511" w:type="dxa"/>
          </w:tcPr>
          <w:p w14:paraId="21AE6051" w14:textId="77777777" w:rsidR="00C251FC" w:rsidRPr="00701945" w:rsidRDefault="0048247F" w:rsidP="00E70A27">
            <w:pPr>
              <w:jc w:val="center"/>
            </w:pPr>
            <w:r>
              <w:t>TECO</w:t>
            </w:r>
          </w:p>
        </w:tc>
        <w:tc>
          <w:tcPr>
            <w:tcW w:w="3546" w:type="dxa"/>
          </w:tcPr>
          <w:p w14:paraId="39B1C1FE" w14:textId="77777777" w:rsidR="00C251FC" w:rsidRPr="00701945" w:rsidRDefault="0048247F" w:rsidP="009339C6">
            <w:r>
              <w:rPr>
                <w:spacing w:val="-3"/>
              </w:rPr>
              <w:t>18, 95, 113</w:t>
            </w:r>
          </w:p>
        </w:tc>
      </w:tr>
      <w:tr w:rsidR="00C251FC" w:rsidRPr="00701945" w14:paraId="0F36E14C" w14:textId="77777777" w:rsidTr="004E39C1">
        <w:trPr>
          <w:trHeight w:val="288"/>
        </w:trPr>
        <w:tc>
          <w:tcPr>
            <w:tcW w:w="3507" w:type="dxa"/>
          </w:tcPr>
          <w:p w14:paraId="13E6635D" w14:textId="77777777" w:rsidR="00C251FC" w:rsidRPr="0048247F" w:rsidRDefault="004166F5" w:rsidP="0048247F">
            <w:pPr>
              <w:tabs>
                <w:tab w:val="left" w:pos="-720"/>
              </w:tabs>
              <w:suppressAutoHyphens/>
              <w:rPr>
                <w:spacing w:val="-3"/>
              </w:rPr>
            </w:pPr>
            <w:r>
              <w:rPr>
                <w:spacing w:val="-3"/>
              </w:rPr>
              <w:t xml:space="preserve">+ </w:t>
            </w:r>
            <w:r w:rsidR="0048247F" w:rsidRPr="00F528AE">
              <w:rPr>
                <w:spacing w:val="-3"/>
              </w:rPr>
              <w:t>Valerie Strickland</w:t>
            </w:r>
          </w:p>
        </w:tc>
        <w:tc>
          <w:tcPr>
            <w:tcW w:w="2511" w:type="dxa"/>
          </w:tcPr>
          <w:p w14:paraId="087EA08F" w14:textId="77777777" w:rsidR="00C251FC" w:rsidRPr="00701945" w:rsidRDefault="0048247F" w:rsidP="00E70A27">
            <w:pPr>
              <w:jc w:val="center"/>
            </w:pPr>
            <w:r>
              <w:t>TECO</w:t>
            </w:r>
          </w:p>
        </w:tc>
        <w:tc>
          <w:tcPr>
            <w:tcW w:w="3546" w:type="dxa"/>
          </w:tcPr>
          <w:p w14:paraId="7CE24325" w14:textId="77777777" w:rsidR="00C251FC" w:rsidRPr="00701945" w:rsidRDefault="0048247F" w:rsidP="009339C6">
            <w:r>
              <w:rPr>
                <w:spacing w:val="-3"/>
              </w:rPr>
              <w:t>10, 33, 34, 62</w:t>
            </w:r>
            <w:r w:rsidR="00C223ED">
              <w:rPr>
                <w:spacing w:val="-3"/>
              </w:rPr>
              <w:t>–</w:t>
            </w:r>
            <w:r>
              <w:rPr>
                <w:spacing w:val="-3"/>
              </w:rPr>
              <w:t>66, 106</w:t>
            </w:r>
          </w:p>
        </w:tc>
      </w:tr>
      <w:tr w:rsidR="0048247F" w:rsidRPr="00701945" w14:paraId="4C70E5F7" w14:textId="77777777" w:rsidTr="004E39C1">
        <w:trPr>
          <w:trHeight w:val="288"/>
        </w:trPr>
        <w:tc>
          <w:tcPr>
            <w:tcW w:w="3507" w:type="dxa"/>
          </w:tcPr>
          <w:p w14:paraId="476DE804" w14:textId="77777777" w:rsidR="0048247F" w:rsidRPr="00701945" w:rsidRDefault="0048247F" w:rsidP="00E70A27">
            <w:pPr>
              <w:jc w:val="both"/>
            </w:pPr>
            <w:r>
              <w:rPr>
                <w:spacing w:val="-3"/>
              </w:rPr>
              <w:t>J</w:t>
            </w:r>
            <w:r w:rsidRPr="00F528AE">
              <w:rPr>
                <w:spacing w:val="-3"/>
              </w:rPr>
              <w:t>eff Chronister</w:t>
            </w:r>
          </w:p>
        </w:tc>
        <w:tc>
          <w:tcPr>
            <w:tcW w:w="2511" w:type="dxa"/>
          </w:tcPr>
          <w:p w14:paraId="5E6ABF43" w14:textId="77777777" w:rsidR="0048247F" w:rsidRPr="00701945" w:rsidRDefault="0048247F" w:rsidP="00E70A27">
            <w:pPr>
              <w:jc w:val="center"/>
            </w:pPr>
            <w:r>
              <w:t>TECO</w:t>
            </w:r>
          </w:p>
        </w:tc>
        <w:tc>
          <w:tcPr>
            <w:tcW w:w="3546" w:type="dxa"/>
          </w:tcPr>
          <w:p w14:paraId="40385710" w14:textId="77777777" w:rsidR="0048247F" w:rsidRPr="00701945" w:rsidRDefault="0048247F" w:rsidP="006B4834">
            <w:r>
              <w:rPr>
                <w:spacing w:val="-3"/>
              </w:rPr>
              <w:t>1, 3, 5, 6, 10</w:t>
            </w:r>
            <w:r w:rsidR="00C223ED">
              <w:rPr>
                <w:spacing w:val="-3"/>
              </w:rPr>
              <w:t>–</w:t>
            </w:r>
            <w:r>
              <w:rPr>
                <w:spacing w:val="-3"/>
              </w:rPr>
              <w:t>13, 25</w:t>
            </w:r>
            <w:r w:rsidR="00C223ED">
              <w:rPr>
                <w:spacing w:val="-3"/>
              </w:rPr>
              <w:t>–</w:t>
            </w:r>
            <w:r>
              <w:rPr>
                <w:spacing w:val="-3"/>
              </w:rPr>
              <w:t>38, 40</w:t>
            </w:r>
            <w:r w:rsidR="00C223ED">
              <w:rPr>
                <w:spacing w:val="-3"/>
              </w:rPr>
              <w:t>–</w:t>
            </w:r>
            <w:r>
              <w:rPr>
                <w:spacing w:val="-3"/>
              </w:rPr>
              <w:t>69, 94</w:t>
            </w:r>
            <w:r w:rsidR="00C223ED">
              <w:rPr>
                <w:spacing w:val="-3"/>
              </w:rPr>
              <w:t>–</w:t>
            </w:r>
            <w:r>
              <w:rPr>
                <w:spacing w:val="-3"/>
              </w:rPr>
              <w:t>107</w:t>
            </w:r>
            <w:r w:rsidR="003F2EB4">
              <w:rPr>
                <w:spacing w:val="-3"/>
              </w:rPr>
              <w:t xml:space="preserve">, 109, 111, 112, 117, </w:t>
            </w:r>
            <w:r w:rsidR="006B4834">
              <w:rPr>
                <w:spacing w:val="-3"/>
              </w:rPr>
              <w:t>120</w:t>
            </w:r>
          </w:p>
        </w:tc>
      </w:tr>
      <w:tr w:rsidR="0048247F" w:rsidRPr="00701945" w14:paraId="29AF0AC2" w14:textId="77777777" w:rsidTr="004E39C1">
        <w:trPr>
          <w:trHeight w:val="288"/>
        </w:trPr>
        <w:tc>
          <w:tcPr>
            <w:tcW w:w="3507" w:type="dxa"/>
          </w:tcPr>
          <w:p w14:paraId="223316D0" w14:textId="77777777" w:rsidR="0048247F" w:rsidRPr="0048247F" w:rsidRDefault="0048247F" w:rsidP="0048247F">
            <w:pPr>
              <w:tabs>
                <w:tab w:val="left" w:pos="-720"/>
              </w:tabs>
              <w:suppressAutoHyphens/>
              <w:rPr>
                <w:spacing w:val="-3"/>
              </w:rPr>
            </w:pPr>
            <w:r w:rsidRPr="00F528AE">
              <w:rPr>
                <w:spacing w:val="-3"/>
              </w:rPr>
              <w:t>Ashley Sizemore</w:t>
            </w:r>
          </w:p>
        </w:tc>
        <w:tc>
          <w:tcPr>
            <w:tcW w:w="2511" w:type="dxa"/>
          </w:tcPr>
          <w:p w14:paraId="1CFEFA7D" w14:textId="77777777" w:rsidR="0048247F" w:rsidRPr="00701945" w:rsidRDefault="0048247F" w:rsidP="0048247F">
            <w:pPr>
              <w:jc w:val="center"/>
            </w:pPr>
            <w:r>
              <w:t>TECO</w:t>
            </w:r>
          </w:p>
        </w:tc>
        <w:tc>
          <w:tcPr>
            <w:tcW w:w="3546" w:type="dxa"/>
            <w:vAlign w:val="center"/>
          </w:tcPr>
          <w:p w14:paraId="7CDC477A" w14:textId="77777777" w:rsidR="0009211E" w:rsidRPr="00F528AE" w:rsidRDefault="0048247F" w:rsidP="009339C6">
            <w:pPr>
              <w:tabs>
                <w:tab w:val="left" w:pos="-720"/>
              </w:tabs>
              <w:suppressAutoHyphens/>
              <w:rPr>
                <w:spacing w:val="-3"/>
              </w:rPr>
            </w:pPr>
            <w:r>
              <w:rPr>
                <w:spacing w:val="-3"/>
              </w:rPr>
              <w:t>114, 118</w:t>
            </w:r>
          </w:p>
        </w:tc>
      </w:tr>
      <w:tr w:rsidR="0048247F" w:rsidRPr="00701945" w14:paraId="5BF45B54" w14:textId="77777777" w:rsidTr="004E39C1">
        <w:trPr>
          <w:trHeight w:val="288"/>
        </w:trPr>
        <w:tc>
          <w:tcPr>
            <w:tcW w:w="3507" w:type="dxa"/>
          </w:tcPr>
          <w:p w14:paraId="3B3C7CA2" w14:textId="77777777" w:rsidR="0048247F" w:rsidRPr="0048247F" w:rsidRDefault="0048247F" w:rsidP="0048247F">
            <w:pPr>
              <w:tabs>
                <w:tab w:val="left" w:pos="-720"/>
              </w:tabs>
              <w:suppressAutoHyphens/>
              <w:rPr>
                <w:spacing w:val="-3"/>
              </w:rPr>
            </w:pPr>
            <w:r w:rsidRPr="00F528AE">
              <w:rPr>
                <w:spacing w:val="-3"/>
              </w:rPr>
              <w:t>Jordan Williams</w:t>
            </w:r>
          </w:p>
        </w:tc>
        <w:tc>
          <w:tcPr>
            <w:tcW w:w="2511" w:type="dxa"/>
          </w:tcPr>
          <w:p w14:paraId="1A86299F" w14:textId="77777777" w:rsidR="0048247F" w:rsidRPr="00701945" w:rsidRDefault="0048247F" w:rsidP="0048247F">
            <w:pPr>
              <w:jc w:val="center"/>
            </w:pPr>
            <w:r>
              <w:t>TECO</w:t>
            </w:r>
          </w:p>
        </w:tc>
        <w:tc>
          <w:tcPr>
            <w:tcW w:w="3546" w:type="dxa"/>
          </w:tcPr>
          <w:p w14:paraId="27F77947" w14:textId="77777777" w:rsidR="0048247F" w:rsidRPr="0048247F" w:rsidRDefault="0048247F" w:rsidP="00466A6E">
            <w:pPr>
              <w:tabs>
                <w:tab w:val="left" w:pos="-720"/>
              </w:tabs>
              <w:suppressAutoHyphens/>
              <w:rPr>
                <w:spacing w:val="-3"/>
              </w:rPr>
            </w:pPr>
            <w:r>
              <w:rPr>
                <w:spacing w:val="-3"/>
              </w:rPr>
              <w:t>2, 41, 42, 70</w:t>
            </w:r>
            <w:r w:rsidR="00C223ED">
              <w:rPr>
                <w:spacing w:val="-3"/>
              </w:rPr>
              <w:t>–</w:t>
            </w:r>
            <w:r>
              <w:rPr>
                <w:spacing w:val="-3"/>
              </w:rPr>
              <w:t>93, 108</w:t>
            </w:r>
            <w:r w:rsidR="00C223ED">
              <w:rPr>
                <w:spacing w:val="-3"/>
              </w:rPr>
              <w:t>–</w:t>
            </w:r>
            <w:r w:rsidR="003F2EB4">
              <w:rPr>
                <w:spacing w:val="-3"/>
              </w:rPr>
              <w:t>110, 115, 117, 119</w:t>
            </w:r>
          </w:p>
        </w:tc>
      </w:tr>
      <w:tr w:rsidR="00534FEF" w:rsidRPr="00701945" w14:paraId="54DF6F32" w14:textId="77777777" w:rsidTr="004E39C1">
        <w:trPr>
          <w:trHeight w:val="288"/>
        </w:trPr>
        <w:tc>
          <w:tcPr>
            <w:tcW w:w="3507" w:type="dxa"/>
          </w:tcPr>
          <w:p w14:paraId="083C1C2D" w14:textId="77777777" w:rsidR="00534FEF" w:rsidRDefault="00534FEF" w:rsidP="0048247F">
            <w:pPr>
              <w:tabs>
                <w:tab w:val="left" w:pos="-720"/>
              </w:tabs>
              <w:suppressAutoHyphens/>
              <w:rPr>
                <w:spacing w:val="-3"/>
              </w:rPr>
            </w:pPr>
            <w:r>
              <w:rPr>
                <w:spacing w:val="-3"/>
              </w:rPr>
              <w:lastRenderedPageBreak/>
              <w:t>David E. Dismukes, Ph.D.</w:t>
            </w:r>
          </w:p>
          <w:p w14:paraId="48608ABE" w14:textId="039BF3FE" w:rsidR="005C71C9" w:rsidRPr="005C71C9" w:rsidRDefault="005C71C9" w:rsidP="0048247F">
            <w:pPr>
              <w:tabs>
                <w:tab w:val="left" w:pos="-720"/>
              </w:tabs>
              <w:suppressAutoHyphens/>
              <w:rPr>
                <w:i/>
                <w:spacing w:val="-3"/>
              </w:rPr>
            </w:pPr>
            <w:r>
              <w:rPr>
                <w:spacing w:val="-3"/>
              </w:rPr>
              <w:t xml:space="preserve">     </w:t>
            </w:r>
            <w:r w:rsidRPr="005C71C9">
              <w:rPr>
                <w:i/>
                <w:spacing w:val="-3"/>
              </w:rPr>
              <w:t>Available on 8/29</w:t>
            </w:r>
          </w:p>
        </w:tc>
        <w:tc>
          <w:tcPr>
            <w:tcW w:w="2511" w:type="dxa"/>
          </w:tcPr>
          <w:p w14:paraId="3AB78413" w14:textId="77777777" w:rsidR="00534FEF" w:rsidRDefault="00534FEF" w:rsidP="0048247F">
            <w:pPr>
              <w:jc w:val="center"/>
            </w:pPr>
            <w:r>
              <w:t>OPC</w:t>
            </w:r>
          </w:p>
        </w:tc>
        <w:tc>
          <w:tcPr>
            <w:tcW w:w="3546" w:type="dxa"/>
          </w:tcPr>
          <w:p w14:paraId="2D5299B5" w14:textId="77777777" w:rsidR="00534FEF" w:rsidRDefault="00534FEF" w:rsidP="0044406E">
            <w:pPr>
              <w:tabs>
                <w:tab w:val="left" w:pos="-720"/>
              </w:tabs>
              <w:suppressAutoHyphens/>
              <w:rPr>
                <w:spacing w:val="-3"/>
              </w:rPr>
            </w:pPr>
            <w:r>
              <w:rPr>
                <w:spacing w:val="-3"/>
              </w:rPr>
              <w:t>1</w:t>
            </w:r>
            <w:r w:rsidR="00C223ED">
              <w:rPr>
                <w:spacing w:val="-3"/>
              </w:rPr>
              <w:t>–</w:t>
            </w:r>
            <w:r>
              <w:rPr>
                <w:spacing w:val="-3"/>
              </w:rPr>
              <w:t xml:space="preserve">3, 41, </w:t>
            </w:r>
            <w:r w:rsidR="0044406E">
              <w:rPr>
                <w:spacing w:val="-3"/>
              </w:rPr>
              <w:t>119</w:t>
            </w:r>
          </w:p>
        </w:tc>
      </w:tr>
      <w:tr w:rsidR="00534FEF" w:rsidRPr="00701945" w14:paraId="09BF94BB" w14:textId="77777777" w:rsidTr="004E39C1">
        <w:trPr>
          <w:trHeight w:val="288"/>
        </w:trPr>
        <w:tc>
          <w:tcPr>
            <w:tcW w:w="3507" w:type="dxa"/>
          </w:tcPr>
          <w:p w14:paraId="20FB15ED" w14:textId="77777777" w:rsidR="00534FEF" w:rsidRPr="00F528AE" w:rsidRDefault="00534FEF" w:rsidP="0048247F">
            <w:pPr>
              <w:tabs>
                <w:tab w:val="left" w:pos="-720"/>
              </w:tabs>
              <w:suppressAutoHyphens/>
              <w:rPr>
                <w:spacing w:val="-3"/>
              </w:rPr>
            </w:pPr>
            <w:r>
              <w:rPr>
                <w:spacing w:val="-3"/>
              </w:rPr>
              <w:t>Kevin J. Mara, P.E.</w:t>
            </w:r>
          </w:p>
        </w:tc>
        <w:tc>
          <w:tcPr>
            <w:tcW w:w="2511" w:type="dxa"/>
          </w:tcPr>
          <w:p w14:paraId="5B84F45F" w14:textId="77777777" w:rsidR="00534FEF" w:rsidRDefault="00534FEF" w:rsidP="0048247F">
            <w:pPr>
              <w:jc w:val="center"/>
            </w:pPr>
            <w:r>
              <w:t>OPC</w:t>
            </w:r>
          </w:p>
        </w:tc>
        <w:tc>
          <w:tcPr>
            <w:tcW w:w="3546" w:type="dxa"/>
          </w:tcPr>
          <w:p w14:paraId="169FC119" w14:textId="77777777" w:rsidR="00534FEF" w:rsidRDefault="00534FEF" w:rsidP="009339C6">
            <w:pPr>
              <w:tabs>
                <w:tab w:val="left" w:pos="-720"/>
              </w:tabs>
              <w:suppressAutoHyphens/>
              <w:rPr>
                <w:spacing w:val="-3"/>
              </w:rPr>
            </w:pPr>
            <w:r>
              <w:rPr>
                <w:spacing w:val="-3"/>
              </w:rPr>
              <w:t>19, 31, 52, 97</w:t>
            </w:r>
          </w:p>
        </w:tc>
      </w:tr>
      <w:tr w:rsidR="00534FEF" w:rsidRPr="00701945" w14:paraId="133517E8" w14:textId="77777777" w:rsidTr="004E39C1">
        <w:trPr>
          <w:trHeight w:val="288"/>
        </w:trPr>
        <w:tc>
          <w:tcPr>
            <w:tcW w:w="3507" w:type="dxa"/>
          </w:tcPr>
          <w:p w14:paraId="15B989B3" w14:textId="77777777" w:rsidR="00534FEF" w:rsidRDefault="00534FEF" w:rsidP="0048247F">
            <w:pPr>
              <w:tabs>
                <w:tab w:val="left" w:pos="-720"/>
              </w:tabs>
              <w:suppressAutoHyphens/>
              <w:rPr>
                <w:spacing w:val="-3"/>
              </w:rPr>
            </w:pPr>
            <w:r>
              <w:rPr>
                <w:spacing w:val="-3"/>
              </w:rPr>
              <w:t>Bion C. Ostrander</w:t>
            </w:r>
          </w:p>
        </w:tc>
        <w:tc>
          <w:tcPr>
            <w:tcW w:w="2511" w:type="dxa"/>
          </w:tcPr>
          <w:p w14:paraId="09E4619C" w14:textId="77777777" w:rsidR="00534FEF" w:rsidRDefault="00534FEF" w:rsidP="0048247F">
            <w:pPr>
              <w:jc w:val="center"/>
            </w:pPr>
            <w:r>
              <w:t>OPC</w:t>
            </w:r>
          </w:p>
        </w:tc>
        <w:tc>
          <w:tcPr>
            <w:tcW w:w="3546" w:type="dxa"/>
          </w:tcPr>
          <w:p w14:paraId="19815F63" w14:textId="77777777" w:rsidR="00534FEF" w:rsidRDefault="00534FEF" w:rsidP="004A7035">
            <w:pPr>
              <w:tabs>
                <w:tab w:val="left" w:pos="-720"/>
              </w:tabs>
              <w:suppressAutoHyphens/>
              <w:rPr>
                <w:spacing w:val="-3"/>
              </w:rPr>
            </w:pPr>
            <w:r>
              <w:rPr>
                <w:spacing w:val="-3"/>
              </w:rPr>
              <w:t>55</w:t>
            </w:r>
          </w:p>
        </w:tc>
      </w:tr>
      <w:tr w:rsidR="00534FEF" w:rsidRPr="00701945" w14:paraId="7B6B6539" w14:textId="77777777" w:rsidTr="004E39C1">
        <w:trPr>
          <w:trHeight w:val="288"/>
        </w:trPr>
        <w:tc>
          <w:tcPr>
            <w:tcW w:w="3507" w:type="dxa"/>
          </w:tcPr>
          <w:p w14:paraId="76E2E8EF" w14:textId="77777777" w:rsidR="00534FEF" w:rsidRPr="00F528AE" w:rsidRDefault="00534FEF" w:rsidP="0048247F">
            <w:pPr>
              <w:tabs>
                <w:tab w:val="left" w:pos="-720"/>
              </w:tabs>
              <w:suppressAutoHyphens/>
              <w:rPr>
                <w:spacing w:val="-3"/>
              </w:rPr>
            </w:pPr>
            <w:r>
              <w:rPr>
                <w:spacing w:val="-3"/>
              </w:rPr>
              <w:t>J. Randall Woolridge, Ph.D.</w:t>
            </w:r>
          </w:p>
        </w:tc>
        <w:tc>
          <w:tcPr>
            <w:tcW w:w="2511" w:type="dxa"/>
          </w:tcPr>
          <w:p w14:paraId="7A0F07DD" w14:textId="77777777" w:rsidR="00534FEF" w:rsidRDefault="00534FEF" w:rsidP="0048247F">
            <w:pPr>
              <w:jc w:val="center"/>
            </w:pPr>
            <w:r>
              <w:t>OPC</w:t>
            </w:r>
          </w:p>
        </w:tc>
        <w:tc>
          <w:tcPr>
            <w:tcW w:w="3546" w:type="dxa"/>
          </w:tcPr>
          <w:p w14:paraId="2DADB0FB" w14:textId="77777777" w:rsidR="00534FEF" w:rsidRDefault="00534FEF" w:rsidP="009339C6">
            <w:pPr>
              <w:tabs>
                <w:tab w:val="left" w:pos="-720"/>
              </w:tabs>
              <w:suppressAutoHyphens/>
              <w:rPr>
                <w:spacing w:val="-3"/>
              </w:rPr>
            </w:pPr>
            <w:r>
              <w:rPr>
                <w:spacing w:val="-3"/>
              </w:rPr>
              <w:t>36</w:t>
            </w:r>
            <w:r w:rsidR="00C223ED">
              <w:rPr>
                <w:spacing w:val="-3"/>
              </w:rPr>
              <w:t>–</w:t>
            </w:r>
            <w:r>
              <w:rPr>
                <w:spacing w:val="-3"/>
              </w:rPr>
              <w:t>40, 104</w:t>
            </w:r>
          </w:p>
        </w:tc>
      </w:tr>
      <w:tr w:rsidR="009240EE" w:rsidRPr="00701945" w14:paraId="5AFFFD91" w14:textId="77777777" w:rsidTr="004E39C1">
        <w:trPr>
          <w:trHeight w:val="288"/>
        </w:trPr>
        <w:tc>
          <w:tcPr>
            <w:tcW w:w="3507" w:type="dxa"/>
          </w:tcPr>
          <w:p w14:paraId="7A5DBFAD" w14:textId="6A625170" w:rsidR="009240EE" w:rsidRDefault="009240EE" w:rsidP="009240EE">
            <w:pPr>
              <w:tabs>
                <w:tab w:val="left" w:pos="-720"/>
              </w:tabs>
              <w:suppressAutoHyphens/>
              <w:rPr>
                <w:spacing w:val="-3"/>
              </w:rPr>
            </w:pPr>
            <w:r>
              <w:rPr>
                <w:spacing w:val="-3"/>
              </w:rPr>
              <w:t>Lane Kollen</w:t>
            </w:r>
          </w:p>
        </w:tc>
        <w:tc>
          <w:tcPr>
            <w:tcW w:w="2511" w:type="dxa"/>
          </w:tcPr>
          <w:p w14:paraId="798F5046" w14:textId="58DB21A8" w:rsidR="009240EE" w:rsidRDefault="009240EE" w:rsidP="009240EE">
            <w:pPr>
              <w:jc w:val="center"/>
            </w:pPr>
            <w:r>
              <w:t>OPC</w:t>
            </w:r>
          </w:p>
        </w:tc>
        <w:tc>
          <w:tcPr>
            <w:tcW w:w="3546" w:type="dxa"/>
          </w:tcPr>
          <w:p w14:paraId="0A077429" w14:textId="69A7206A" w:rsidR="009240EE" w:rsidRDefault="009240EE" w:rsidP="009240EE">
            <w:pPr>
              <w:tabs>
                <w:tab w:val="left" w:pos="-720"/>
              </w:tabs>
              <w:suppressAutoHyphens/>
              <w:rPr>
                <w:spacing w:val="-3"/>
              </w:rPr>
            </w:pPr>
            <w:r>
              <w:rPr>
                <w:spacing w:val="-3"/>
              </w:rPr>
              <w:t>5, 7–8, 10–11, 18, 20, 26, 33–35, 40, 45, 53–56, 58, 62–65, 68–69, 95–96, 98–103, 105, 108, 112, 115</w:t>
            </w:r>
          </w:p>
        </w:tc>
      </w:tr>
      <w:tr w:rsidR="009240EE" w:rsidRPr="00701945" w14:paraId="4AAF7785" w14:textId="77777777" w:rsidTr="004E39C1">
        <w:trPr>
          <w:trHeight w:val="288"/>
        </w:trPr>
        <w:tc>
          <w:tcPr>
            <w:tcW w:w="3507" w:type="dxa"/>
          </w:tcPr>
          <w:p w14:paraId="4D6B0089" w14:textId="77777777" w:rsidR="009240EE" w:rsidRDefault="009240EE" w:rsidP="009240EE">
            <w:pPr>
              <w:jc w:val="both"/>
              <w:rPr>
                <w:lang w:eastAsia="ar-SA"/>
              </w:rPr>
            </w:pPr>
            <w:r>
              <w:rPr>
                <w:lang w:eastAsia="ar-SA"/>
              </w:rPr>
              <w:t>Karl Rábago</w:t>
            </w:r>
          </w:p>
          <w:p w14:paraId="621725F4" w14:textId="0761B1FE" w:rsidR="00A76578" w:rsidRPr="00A76578" w:rsidRDefault="00A76578" w:rsidP="001C5C03">
            <w:pPr>
              <w:jc w:val="both"/>
              <w:rPr>
                <w:i/>
              </w:rPr>
            </w:pPr>
            <w:r>
              <w:rPr>
                <w:lang w:eastAsia="ar-SA"/>
              </w:rPr>
              <w:t xml:space="preserve">     </w:t>
            </w:r>
            <w:r w:rsidRPr="00A76578">
              <w:rPr>
                <w:i/>
                <w:lang w:eastAsia="ar-SA"/>
              </w:rPr>
              <w:t>Available on 8/29 and 8/</w:t>
            </w:r>
            <w:r w:rsidR="001C5C03">
              <w:rPr>
                <w:i/>
                <w:lang w:eastAsia="ar-SA"/>
              </w:rPr>
              <w:t>3</w:t>
            </w:r>
            <w:r w:rsidRPr="00A76578">
              <w:rPr>
                <w:i/>
                <w:lang w:eastAsia="ar-SA"/>
              </w:rPr>
              <w:t>0</w:t>
            </w:r>
          </w:p>
        </w:tc>
        <w:tc>
          <w:tcPr>
            <w:tcW w:w="2511" w:type="dxa"/>
          </w:tcPr>
          <w:p w14:paraId="2D17F15C" w14:textId="77777777" w:rsidR="009240EE" w:rsidRPr="00701945" w:rsidRDefault="009240EE" w:rsidP="009240EE">
            <w:pPr>
              <w:jc w:val="center"/>
            </w:pPr>
            <w:r>
              <w:t>Florida Rising &amp; LULAC</w:t>
            </w:r>
          </w:p>
        </w:tc>
        <w:tc>
          <w:tcPr>
            <w:tcW w:w="3546" w:type="dxa"/>
          </w:tcPr>
          <w:p w14:paraId="0A932999" w14:textId="77777777" w:rsidR="009240EE" w:rsidRPr="00701945" w:rsidRDefault="009240EE" w:rsidP="009240EE">
            <w:r>
              <w:rPr>
                <w:lang w:eastAsia="ar-SA"/>
              </w:rPr>
              <w:t>14</w:t>
            </w:r>
            <w:r>
              <w:rPr>
                <w:spacing w:val="-3"/>
              </w:rPr>
              <w:t>–</w:t>
            </w:r>
            <w:r>
              <w:rPr>
                <w:lang w:eastAsia="ar-SA"/>
              </w:rPr>
              <w:t>25, 39, 53, 71</w:t>
            </w:r>
            <w:r>
              <w:rPr>
                <w:spacing w:val="-3"/>
              </w:rPr>
              <w:t>–</w:t>
            </w:r>
            <w:r>
              <w:rPr>
                <w:lang w:eastAsia="ar-SA"/>
              </w:rPr>
              <w:t>74, 76, 78</w:t>
            </w:r>
            <w:r>
              <w:rPr>
                <w:spacing w:val="-3"/>
              </w:rPr>
              <w:t>–</w:t>
            </w:r>
            <w:r>
              <w:rPr>
                <w:lang w:eastAsia="ar-SA"/>
              </w:rPr>
              <w:t>80, 96</w:t>
            </w:r>
            <w:r>
              <w:rPr>
                <w:spacing w:val="-3"/>
              </w:rPr>
              <w:t>–</w:t>
            </w:r>
            <w:r>
              <w:rPr>
                <w:lang w:eastAsia="ar-SA"/>
              </w:rPr>
              <w:t>103, 119, 120</w:t>
            </w:r>
          </w:p>
        </w:tc>
      </w:tr>
      <w:tr w:rsidR="009240EE" w:rsidRPr="00701945" w14:paraId="640D945B" w14:textId="77777777" w:rsidTr="004E39C1">
        <w:trPr>
          <w:trHeight w:val="288"/>
        </w:trPr>
        <w:tc>
          <w:tcPr>
            <w:tcW w:w="3507" w:type="dxa"/>
          </w:tcPr>
          <w:p w14:paraId="48891836" w14:textId="77777777" w:rsidR="009240EE" w:rsidRPr="00701945" w:rsidRDefault="009240EE" w:rsidP="009240EE">
            <w:pPr>
              <w:jc w:val="both"/>
            </w:pPr>
            <w:r>
              <w:rPr>
                <w:lang w:eastAsia="ar-SA"/>
              </w:rPr>
              <w:t>MacKenzie Marcelin</w:t>
            </w:r>
          </w:p>
        </w:tc>
        <w:tc>
          <w:tcPr>
            <w:tcW w:w="2511" w:type="dxa"/>
          </w:tcPr>
          <w:p w14:paraId="4E72A2DD" w14:textId="77777777" w:rsidR="009240EE" w:rsidRPr="00701945" w:rsidRDefault="009240EE" w:rsidP="009240EE">
            <w:pPr>
              <w:jc w:val="center"/>
            </w:pPr>
            <w:r>
              <w:t>Florida Rising &amp; LULAC</w:t>
            </w:r>
          </w:p>
        </w:tc>
        <w:tc>
          <w:tcPr>
            <w:tcW w:w="3546" w:type="dxa"/>
          </w:tcPr>
          <w:p w14:paraId="1EDECA8F" w14:textId="77777777" w:rsidR="009240EE" w:rsidRPr="00701945" w:rsidRDefault="009240EE" w:rsidP="009240EE">
            <w:r>
              <w:t>119, 120</w:t>
            </w:r>
          </w:p>
        </w:tc>
      </w:tr>
      <w:tr w:rsidR="009240EE" w:rsidRPr="00701945" w14:paraId="755E76F2" w14:textId="77777777" w:rsidTr="004E39C1">
        <w:trPr>
          <w:trHeight w:val="288"/>
        </w:trPr>
        <w:tc>
          <w:tcPr>
            <w:tcW w:w="3507" w:type="dxa"/>
          </w:tcPr>
          <w:p w14:paraId="64251968" w14:textId="77777777" w:rsidR="009240EE" w:rsidRDefault="009240EE" w:rsidP="009240EE">
            <w:pPr>
              <w:jc w:val="both"/>
            </w:pPr>
            <w:r>
              <w:t>Jeff Pollock</w:t>
            </w:r>
          </w:p>
          <w:p w14:paraId="7801610A" w14:textId="24AC29AE" w:rsidR="00EB76CD" w:rsidRPr="00EB76CD" w:rsidRDefault="00EB76CD" w:rsidP="009240EE">
            <w:pPr>
              <w:jc w:val="both"/>
              <w:rPr>
                <w:i/>
              </w:rPr>
            </w:pPr>
            <w:r>
              <w:t xml:space="preserve">     </w:t>
            </w:r>
            <w:r w:rsidRPr="00EB76CD">
              <w:rPr>
                <w:i/>
              </w:rPr>
              <w:t>Available on 8/29</w:t>
            </w:r>
          </w:p>
        </w:tc>
        <w:tc>
          <w:tcPr>
            <w:tcW w:w="2511" w:type="dxa"/>
          </w:tcPr>
          <w:p w14:paraId="67F4B1BE" w14:textId="77777777" w:rsidR="009240EE" w:rsidRPr="00701945" w:rsidRDefault="009240EE" w:rsidP="009240EE">
            <w:pPr>
              <w:jc w:val="center"/>
            </w:pPr>
            <w:r>
              <w:t>FIPUG</w:t>
            </w:r>
          </w:p>
        </w:tc>
        <w:tc>
          <w:tcPr>
            <w:tcW w:w="3546" w:type="dxa"/>
          </w:tcPr>
          <w:p w14:paraId="3153C2A1" w14:textId="77777777" w:rsidR="009240EE" w:rsidRPr="00701945" w:rsidRDefault="009240EE" w:rsidP="009240EE">
            <w:r>
              <w:t>39,71</w:t>
            </w:r>
            <w:r>
              <w:rPr>
                <w:spacing w:val="-3"/>
              </w:rPr>
              <w:t>–</w:t>
            </w:r>
            <w:r>
              <w:t>72,83,109</w:t>
            </w:r>
            <w:r>
              <w:rPr>
                <w:spacing w:val="-3"/>
              </w:rPr>
              <w:t>–</w:t>
            </w:r>
            <w:r>
              <w:t>111</w:t>
            </w:r>
          </w:p>
        </w:tc>
      </w:tr>
      <w:tr w:rsidR="009240EE" w:rsidRPr="00701945" w14:paraId="5E02EF14" w14:textId="77777777" w:rsidTr="004E39C1">
        <w:trPr>
          <w:trHeight w:val="288"/>
        </w:trPr>
        <w:tc>
          <w:tcPr>
            <w:tcW w:w="3507" w:type="dxa"/>
          </w:tcPr>
          <w:p w14:paraId="6B1150A0" w14:textId="77777777" w:rsidR="009240EE" w:rsidRDefault="009240EE" w:rsidP="009240EE">
            <w:pPr>
              <w:jc w:val="both"/>
            </w:pPr>
            <w:r>
              <w:t>Jonathan Ly</w:t>
            </w:r>
          </w:p>
          <w:p w14:paraId="440627A9" w14:textId="28046524" w:rsidR="00EB76CD" w:rsidRPr="00EB76CD" w:rsidRDefault="00EB76CD" w:rsidP="009240EE">
            <w:pPr>
              <w:jc w:val="both"/>
              <w:rPr>
                <w:i/>
              </w:rPr>
            </w:pPr>
            <w:r>
              <w:t xml:space="preserve">     </w:t>
            </w:r>
            <w:r w:rsidRPr="00EB76CD">
              <w:rPr>
                <w:i/>
              </w:rPr>
              <w:t>Available on 8/29</w:t>
            </w:r>
          </w:p>
        </w:tc>
        <w:tc>
          <w:tcPr>
            <w:tcW w:w="2511" w:type="dxa"/>
          </w:tcPr>
          <w:p w14:paraId="3B2C6113" w14:textId="77777777" w:rsidR="009240EE" w:rsidRPr="00701945" w:rsidRDefault="009240EE" w:rsidP="009240EE">
            <w:pPr>
              <w:jc w:val="center"/>
            </w:pPr>
            <w:r>
              <w:t>FIPUG</w:t>
            </w:r>
          </w:p>
        </w:tc>
        <w:tc>
          <w:tcPr>
            <w:tcW w:w="3546" w:type="dxa"/>
          </w:tcPr>
          <w:p w14:paraId="3094F836" w14:textId="77777777" w:rsidR="009240EE" w:rsidRPr="00701945" w:rsidRDefault="009240EE" w:rsidP="009240EE">
            <w:r>
              <w:t>18</w:t>
            </w:r>
          </w:p>
        </w:tc>
      </w:tr>
      <w:tr w:rsidR="009240EE" w:rsidRPr="00701945" w14:paraId="5D94F854" w14:textId="77777777" w:rsidTr="004E39C1">
        <w:trPr>
          <w:trHeight w:val="288"/>
        </w:trPr>
        <w:tc>
          <w:tcPr>
            <w:tcW w:w="3507" w:type="dxa"/>
          </w:tcPr>
          <w:p w14:paraId="319ACCB3" w14:textId="77777777" w:rsidR="009240EE" w:rsidRDefault="009240EE" w:rsidP="009240EE">
            <w:pPr>
              <w:jc w:val="both"/>
            </w:pPr>
            <w:r>
              <w:t>Christopher C. Walters</w:t>
            </w:r>
          </w:p>
        </w:tc>
        <w:tc>
          <w:tcPr>
            <w:tcW w:w="2511" w:type="dxa"/>
          </w:tcPr>
          <w:p w14:paraId="1AABC13A" w14:textId="77777777" w:rsidR="009240EE" w:rsidRDefault="009240EE" w:rsidP="009240EE">
            <w:pPr>
              <w:jc w:val="center"/>
            </w:pPr>
            <w:r>
              <w:t>FEA</w:t>
            </w:r>
          </w:p>
        </w:tc>
        <w:tc>
          <w:tcPr>
            <w:tcW w:w="3546" w:type="dxa"/>
          </w:tcPr>
          <w:p w14:paraId="4A208B83" w14:textId="77777777" w:rsidR="009240EE" w:rsidRDefault="009240EE" w:rsidP="009240EE">
            <w:r>
              <w:t>37</w:t>
            </w:r>
            <w:r>
              <w:rPr>
                <w:spacing w:val="-3"/>
              </w:rPr>
              <w:t>–</w:t>
            </w:r>
            <w:r>
              <w:t>40</w:t>
            </w:r>
          </w:p>
        </w:tc>
      </w:tr>
      <w:tr w:rsidR="009240EE" w:rsidRPr="00701945" w14:paraId="12DF762C" w14:textId="77777777" w:rsidTr="004E39C1">
        <w:trPr>
          <w:trHeight w:val="288"/>
        </w:trPr>
        <w:tc>
          <w:tcPr>
            <w:tcW w:w="3507" w:type="dxa"/>
          </w:tcPr>
          <w:p w14:paraId="3707A341" w14:textId="77777777" w:rsidR="009240EE" w:rsidRDefault="009240EE" w:rsidP="009240EE">
            <w:pPr>
              <w:jc w:val="both"/>
            </w:pPr>
            <w:r>
              <w:t>Brian C. Andrews</w:t>
            </w:r>
          </w:p>
        </w:tc>
        <w:tc>
          <w:tcPr>
            <w:tcW w:w="2511" w:type="dxa"/>
          </w:tcPr>
          <w:p w14:paraId="3B0ECE4E" w14:textId="77777777" w:rsidR="009240EE" w:rsidRDefault="009240EE" w:rsidP="009240EE">
            <w:pPr>
              <w:jc w:val="center"/>
            </w:pPr>
            <w:r>
              <w:t>FEA</w:t>
            </w:r>
          </w:p>
        </w:tc>
        <w:tc>
          <w:tcPr>
            <w:tcW w:w="3546" w:type="dxa"/>
          </w:tcPr>
          <w:p w14:paraId="420D4A12" w14:textId="77777777" w:rsidR="009240EE" w:rsidRDefault="009240EE" w:rsidP="009240EE">
            <w:r>
              <w:t>7</w:t>
            </w:r>
          </w:p>
        </w:tc>
      </w:tr>
      <w:tr w:rsidR="009240EE" w:rsidRPr="00701945" w14:paraId="341DF144" w14:textId="77777777" w:rsidTr="004E39C1">
        <w:trPr>
          <w:trHeight w:val="288"/>
        </w:trPr>
        <w:tc>
          <w:tcPr>
            <w:tcW w:w="3507" w:type="dxa"/>
          </w:tcPr>
          <w:p w14:paraId="21C54376" w14:textId="77777777" w:rsidR="009240EE" w:rsidRDefault="009240EE" w:rsidP="009240EE">
            <w:pPr>
              <w:jc w:val="both"/>
            </w:pPr>
            <w:r>
              <w:t>Michael P. Gorman</w:t>
            </w:r>
          </w:p>
        </w:tc>
        <w:tc>
          <w:tcPr>
            <w:tcW w:w="2511" w:type="dxa"/>
          </w:tcPr>
          <w:p w14:paraId="27B9D8AA" w14:textId="77777777" w:rsidR="009240EE" w:rsidRDefault="009240EE" w:rsidP="009240EE">
            <w:pPr>
              <w:jc w:val="center"/>
            </w:pPr>
            <w:r>
              <w:t>FEA</w:t>
            </w:r>
          </w:p>
        </w:tc>
        <w:tc>
          <w:tcPr>
            <w:tcW w:w="3546" w:type="dxa"/>
          </w:tcPr>
          <w:p w14:paraId="1FB9C096" w14:textId="77777777" w:rsidR="009240EE" w:rsidRDefault="009240EE" w:rsidP="009240EE">
            <w:r>
              <w:t>70</w:t>
            </w:r>
            <w:r>
              <w:rPr>
                <w:spacing w:val="-3"/>
              </w:rPr>
              <w:t>–</w:t>
            </w:r>
            <w:r>
              <w:t>74</w:t>
            </w:r>
          </w:p>
        </w:tc>
      </w:tr>
      <w:tr w:rsidR="009240EE" w:rsidRPr="00701945" w14:paraId="562A4246" w14:textId="77777777" w:rsidTr="004E39C1">
        <w:trPr>
          <w:trHeight w:val="288"/>
        </w:trPr>
        <w:tc>
          <w:tcPr>
            <w:tcW w:w="3507" w:type="dxa"/>
          </w:tcPr>
          <w:p w14:paraId="7BBD8F12" w14:textId="77777777" w:rsidR="009240EE" w:rsidRPr="008414DA" w:rsidRDefault="009240EE" w:rsidP="009240EE">
            <w:pPr>
              <w:widowControl w:val="0"/>
              <w:pBdr>
                <w:top w:val="nil"/>
                <w:left w:val="nil"/>
                <w:bottom w:val="nil"/>
                <w:right w:val="nil"/>
                <w:between w:val="nil"/>
              </w:pBdr>
            </w:pPr>
            <w:r w:rsidRPr="008414DA">
              <w:t>Devi Glick</w:t>
            </w:r>
          </w:p>
        </w:tc>
        <w:tc>
          <w:tcPr>
            <w:tcW w:w="2511" w:type="dxa"/>
          </w:tcPr>
          <w:p w14:paraId="3226AFC8" w14:textId="77777777" w:rsidR="009240EE" w:rsidRPr="008414DA" w:rsidRDefault="009240EE" w:rsidP="009240EE">
            <w:pPr>
              <w:widowControl w:val="0"/>
              <w:pBdr>
                <w:top w:val="nil"/>
                <w:left w:val="nil"/>
                <w:bottom w:val="nil"/>
                <w:right w:val="nil"/>
                <w:between w:val="nil"/>
              </w:pBdr>
              <w:jc w:val="center"/>
            </w:pPr>
            <w:r w:rsidRPr="008414DA">
              <w:t>Sierra Club</w:t>
            </w:r>
          </w:p>
        </w:tc>
        <w:tc>
          <w:tcPr>
            <w:tcW w:w="3546" w:type="dxa"/>
          </w:tcPr>
          <w:p w14:paraId="11326A72" w14:textId="77777777" w:rsidR="009240EE" w:rsidRPr="008414DA" w:rsidRDefault="009240EE" w:rsidP="009240EE">
            <w:pPr>
              <w:widowControl w:val="0"/>
            </w:pPr>
            <w:r w:rsidRPr="008414DA">
              <w:t>24, 32, 43</w:t>
            </w:r>
            <w:r w:rsidRPr="008414DA">
              <w:rPr>
                <w:spacing w:val="-3"/>
              </w:rPr>
              <w:t>–</w:t>
            </w:r>
            <w:r w:rsidRPr="008414DA">
              <w:t>45, 59, 97, 102, 116</w:t>
            </w:r>
          </w:p>
        </w:tc>
      </w:tr>
      <w:tr w:rsidR="009240EE" w:rsidRPr="00701945" w14:paraId="768AB761" w14:textId="77777777" w:rsidTr="004E39C1">
        <w:trPr>
          <w:trHeight w:val="288"/>
        </w:trPr>
        <w:tc>
          <w:tcPr>
            <w:tcW w:w="3507" w:type="dxa"/>
          </w:tcPr>
          <w:p w14:paraId="201DCC2D" w14:textId="77777777" w:rsidR="009240EE" w:rsidRPr="008414DA" w:rsidRDefault="009240EE" w:rsidP="009240EE">
            <w:pPr>
              <w:jc w:val="both"/>
              <w:rPr>
                <w:rFonts w:eastAsia="Calibri"/>
              </w:rPr>
            </w:pPr>
            <w:r w:rsidRPr="008414DA">
              <w:rPr>
                <w:rFonts w:eastAsia="Calibri"/>
              </w:rPr>
              <w:t>Steve W. Chriss</w:t>
            </w:r>
          </w:p>
          <w:p w14:paraId="2E3D4D60" w14:textId="1B2711A4" w:rsidR="008414DA" w:rsidRPr="008414DA" w:rsidRDefault="008414DA" w:rsidP="008414DA">
            <w:pPr>
              <w:jc w:val="both"/>
              <w:rPr>
                <w:i/>
              </w:rPr>
            </w:pPr>
            <w:r w:rsidRPr="008414DA">
              <w:rPr>
                <w:rFonts w:eastAsia="Calibri"/>
              </w:rPr>
              <w:t xml:space="preserve">     </w:t>
            </w:r>
            <w:r w:rsidRPr="008414DA">
              <w:rPr>
                <w:rFonts w:eastAsia="Calibri"/>
                <w:i/>
              </w:rPr>
              <w:t>Available 8/28</w:t>
            </w:r>
            <w:r>
              <w:rPr>
                <w:rFonts w:eastAsia="Calibri"/>
                <w:i/>
              </w:rPr>
              <w:t xml:space="preserve">, 8/29, and </w:t>
            </w:r>
            <w:r w:rsidRPr="008414DA">
              <w:rPr>
                <w:rFonts w:eastAsia="Calibri"/>
                <w:i/>
              </w:rPr>
              <w:t>8/30</w:t>
            </w:r>
          </w:p>
        </w:tc>
        <w:tc>
          <w:tcPr>
            <w:tcW w:w="2511" w:type="dxa"/>
          </w:tcPr>
          <w:p w14:paraId="00CE1C78" w14:textId="77777777" w:rsidR="009240EE" w:rsidRPr="008414DA" w:rsidRDefault="009240EE" w:rsidP="009240EE">
            <w:pPr>
              <w:jc w:val="center"/>
            </w:pPr>
            <w:r w:rsidRPr="008414DA">
              <w:t>FRF &amp;</w:t>
            </w:r>
          </w:p>
          <w:p w14:paraId="7E26CABB" w14:textId="77777777" w:rsidR="009240EE" w:rsidRPr="008414DA" w:rsidRDefault="009240EE" w:rsidP="009240EE">
            <w:pPr>
              <w:jc w:val="center"/>
            </w:pPr>
            <w:r w:rsidRPr="008414DA">
              <w:t>Walmart</w:t>
            </w:r>
          </w:p>
        </w:tc>
        <w:tc>
          <w:tcPr>
            <w:tcW w:w="3546" w:type="dxa"/>
          </w:tcPr>
          <w:p w14:paraId="313C6F68" w14:textId="77777777" w:rsidR="009240EE" w:rsidRPr="008414DA" w:rsidRDefault="009240EE" w:rsidP="009240EE">
            <w:r w:rsidRPr="008414DA">
              <w:rPr>
                <w:rFonts w:eastAsia="Calibri"/>
              </w:rPr>
              <w:t>1, 39, 70</w:t>
            </w:r>
            <w:r w:rsidRPr="008414DA">
              <w:rPr>
                <w:spacing w:val="-3"/>
              </w:rPr>
              <w:t>–</w:t>
            </w:r>
            <w:r w:rsidRPr="008414DA">
              <w:rPr>
                <w:rFonts w:eastAsia="Calibri"/>
              </w:rPr>
              <w:t>74, 79</w:t>
            </w:r>
            <w:r w:rsidRPr="008414DA">
              <w:rPr>
                <w:spacing w:val="-3"/>
              </w:rPr>
              <w:t>–</w:t>
            </w:r>
            <w:r w:rsidRPr="008414DA">
              <w:rPr>
                <w:rFonts w:eastAsia="Calibri"/>
              </w:rPr>
              <w:t>83, 119</w:t>
            </w:r>
          </w:p>
        </w:tc>
      </w:tr>
      <w:tr w:rsidR="009240EE" w:rsidRPr="00701945" w14:paraId="650CFA28" w14:textId="77777777" w:rsidTr="004E39C1">
        <w:trPr>
          <w:trHeight w:val="288"/>
        </w:trPr>
        <w:tc>
          <w:tcPr>
            <w:tcW w:w="3507" w:type="dxa"/>
          </w:tcPr>
          <w:p w14:paraId="42A9F2D5" w14:textId="77777777" w:rsidR="009240EE" w:rsidRPr="00701945" w:rsidRDefault="009240EE" w:rsidP="009240EE">
            <w:pPr>
              <w:jc w:val="both"/>
            </w:pPr>
            <w:r>
              <w:t>Tomer Kopelovich</w:t>
            </w:r>
          </w:p>
        </w:tc>
        <w:tc>
          <w:tcPr>
            <w:tcW w:w="2511" w:type="dxa"/>
          </w:tcPr>
          <w:p w14:paraId="0CD5B31E" w14:textId="77777777" w:rsidR="009240EE" w:rsidRPr="00701945" w:rsidRDefault="009240EE" w:rsidP="009240EE">
            <w:pPr>
              <w:jc w:val="center"/>
            </w:pPr>
            <w:r>
              <w:t>Staff</w:t>
            </w:r>
          </w:p>
        </w:tc>
        <w:tc>
          <w:tcPr>
            <w:tcW w:w="3546" w:type="dxa"/>
          </w:tcPr>
          <w:p w14:paraId="7D45424A" w14:textId="77777777" w:rsidR="009240EE" w:rsidRPr="00701945" w:rsidRDefault="009240EE" w:rsidP="009240EE">
            <w:r>
              <w:t>49</w:t>
            </w:r>
          </w:p>
        </w:tc>
      </w:tr>
      <w:tr w:rsidR="009240EE" w:rsidRPr="00701945" w14:paraId="36A9FCF3" w14:textId="77777777" w:rsidTr="004E39C1">
        <w:trPr>
          <w:trHeight w:val="288"/>
        </w:trPr>
        <w:tc>
          <w:tcPr>
            <w:tcW w:w="3507" w:type="dxa"/>
          </w:tcPr>
          <w:p w14:paraId="3DE5B250" w14:textId="77777777" w:rsidR="009240EE" w:rsidRPr="00701945" w:rsidRDefault="009240EE" w:rsidP="009240EE">
            <w:pPr>
              <w:jc w:val="both"/>
            </w:pPr>
            <w:r>
              <w:t>Angela L. Calhoun</w:t>
            </w:r>
          </w:p>
        </w:tc>
        <w:tc>
          <w:tcPr>
            <w:tcW w:w="2511" w:type="dxa"/>
          </w:tcPr>
          <w:p w14:paraId="2FF6827A" w14:textId="77777777" w:rsidR="009240EE" w:rsidRPr="00701945" w:rsidRDefault="009240EE" w:rsidP="009240EE">
            <w:pPr>
              <w:jc w:val="center"/>
            </w:pPr>
            <w:r>
              <w:t>Staff</w:t>
            </w:r>
          </w:p>
        </w:tc>
        <w:tc>
          <w:tcPr>
            <w:tcW w:w="3546" w:type="dxa"/>
          </w:tcPr>
          <w:p w14:paraId="1EF84CE0" w14:textId="77777777" w:rsidR="009240EE" w:rsidRPr="00701945" w:rsidRDefault="009240EE" w:rsidP="009240EE">
            <w:r>
              <w:t>4</w:t>
            </w:r>
          </w:p>
        </w:tc>
      </w:tr>
      <w:tr w:rsidR="009240EE" w:rsidRPr="00701945" w14:paraId="4858120C" w14:textId="77777777" w:rsidTr="004E39C1">
        <w:trPr>
          <w:trHeight w:val="288"/>
        </w:trPr>
        <w:tc>
          <w:tcPr>
            <w:tcW w:w="3507" w:type="dxa"/>
          </w:tcPr>
          <w:p w14:paraId="3259CC5F" w14:textId="77777777" w:rsidR="009240EE" w:rsidRPr="00701945" w:rsidRDefault="009240EE" w:rsidP="009240EE">
            <w:pPr>
              <w:jc w:val="both"/>
            </w:pPr>
            <w:r w:rsidRPr="00701945">
              <w:tab/>
            </w:r>
            <w:r w:rsidRPr="00701945">
              <w:rPr>
                <w:u w:val="single"/>
              </w:rPr>
              <w:t>Rebuttal</w:t>
            </w:r>
          </w:p>
        </w:tc>
        <w:tc>
          <w:tcPr>
            <w:tcW w:w="2511" w:type="dxa"/>
          </w:tcPr>
          <w:p w14:paraId="3A02270A" w14:textId="77777777" w:rsidR="009240EE" w:rsidRPr="00701945" w:rsidRDefault="009240EE" w:rsidP="009240EE">
            <w:pPr>
              <w:jc w:val="center"/>
            </w:pPr>
          </w:p>
        </w:tc>
        <w:tc>
          <w:tcPr>
            <w:tcW w:w="3546" w:type="dxa"/>
          </w:tcPr>
          <w:p w14:paraId="7FA06BE4" w14:textId="77777777" w:rsidR="009240EE" w:rsidRPr="00701945" w:rsidRDefault="009240EE" w:rsidP="009240EE"/>
        </w:tc>
      </w:tr>
      <w:tr w:rsidR="009240EE" w:rsidRPr="00701945" w14:paraId="6D161BDB" w14:textId="77777777" w:rsidTr="004E39C1">
        <w:trPr>
          <w:trHeight w:val="288"/>
        </w:trPr>
        <w:tc>
          <w:tcPr>
            <w:tcW w:w="3507" w:type="dxa"/>
          </w:tcPr>
          <w:p w14:paraId="75B938E3" w14:textId="77777777" w:rsidR="009240EE" w:rsidRPr="00701945" w:rsidRDefault="009240EE" w:rsidP="009240EE">
            <w:pPr>
              <w:jc w:val="both"/>
            </w:pPr>
            <w:r>
              <w:rPr>
                <w:spacing w:val="-3"/>
              </w:rPr>
              <w:t>J</w:t>
            </w:r>
            <w:r w:rsidRPr="00F528AE">
              <w:rPr>
                <w:spacing w:val="-3"/>
              </w:rPr>
              <w:t>eff Chronister</w:t>
            </w:r>
          </w:p>
        </w:tc>
        <w:tc>
          <w:tcPr>
            <w:tcW w:w="2511" w:type="dxa"/>
          </w:tcPr>
          <w:p w14:paraId="5DC85732" w14:textId="77777777" w:rsidR="009240EE" w:rsidRPr="00701945" w:rsidRDefault="009240EE" w:rsidP="009240EE">
            <w:pPr>
              <w:jc w:val="center"/>
            </w:pPr>
            <w:r>
              <w:t>TECO</w:t>
            </w:r>
          </w:p>
        </w:tc>
        <w:tc>
          <w:tcPr>
            <w:tcW w:w="3546" w:type="dxa"/>
          </w:tcPr>
          <w:p w14:paraId="69C60762" w14:textId="77777777" w:rsidR="009240EE" w:rsidRPr="00701945" w:rsidRDefault="009240EE" w:rsidP="009240EE">
            <w:r>
              <w:rPr>
                <w:spacing w:val="-3"/>
              </w:rPr>
              <w:t>1, 3, 5, 6, 10–13, 25–38, 40–69, 94–107, 109, 111, 112, 117, 120</w:t>
            </w:r>
          </w:p>
        </w:tc>
      </w:tr>
      <w:tr w:rsidR="009240EE" w:rsidRPr="00701945" w14:paraId="6EAE295F" w14:textId="77777777" w:rsidTr="004E39C1">
        <w:trPr>
          <w:trHeight w:val="288"/>
        </w:trPr>
        <w:tc>
          <w:tcPr>
            <w:tcW w:w="3507" w:type="dxa"/>
          </w:tcPr>
          <w:p w14:paraId="043797EC" w14:textId="77777777" w:rsidR="009240EE" w:rsidRPr="0048247F" w:rsidRDefault="009240EE" w:rsidP="009240EE">
            <w:pPr>
              <w:tabs>
                <w:tab w:val="left" w:pos="-720"/>
              </w:tabs>
              <w:suppressAutoHyphens/>
              <w:rPr>
                <w:spacing w:val="-3"/>
              </w:rPr>
            </w:pPr>
            <w:r w:rsidRPr="00F528AE">
              <w:rPr>
                <w:spacing w:val="-3"/>
              </w:rPr>
              <w:t>Jordan Williams</w:t>
            </w:r>
          </w:p>
        </w:tc>
        <w:tc>
          <w:tcPr>
            <w:tcW w:w="2511" w:type="dxa"/>
          </w:tcPr>
          <w:p w14:paraId="63CBF9D8" w14:textId="77777777" w:rsidR="009240EE" w:rsidRPr="00701945" w:rsidRDefault="009240EE" w:rsidP="009240EE">
            <w:pPr>
              <w:jc w:val="center"/>
            </w:pPr>
            <w:r>
              <w:t>TECO</w:t>
            </w:r>
          </w:p>
        </w:tc>
        <w:tc>
          <w:tcPr>
            <w:tcW w:w="3546" w:type="dxa"/>
          </w:tcPr>
          <w:p w14:paraId="233CCDC1" w14:textId="77777777" w:rsidR="009240EE" w:rsidRPr="0048247F" w:rsidRDefault="009240EE" w:rsidP="009240EE">
            <w:pPr>
              <w:tabs>
                <w:tab w:val="left" w:pos="-720"/>
              </w:tabs>
              <w:suppressAutoHyphens/>
              <w:rPr>
                <w:spacing w:val="-3"/>
              </w:rPr>
            </w:pPr>
            <w:r>
              <w:rPr>
                <w:spacing w:val="-3"/>
              </w:rPr>
              <w:t>2, 41, 42, 70–93, 108–110, 115, 117, 119</w:t>
            </w:r>
          </w:p>
        </w:tc>
      </w:tr>
    </w:tbl>
    <w:p w14:paraId="3804696A" w14:textId="2C87DCE7" w:rsidR="00294CFD" w:rsidRDefault="00294CFD" w:rsidP="00C7699A">
      <w:pPr>
        <w:jc w:val="both"/>
      </w:pPr>
    </w:p>
    <w:p w14:paraId="73325D9D" w14:textId="7DE67F58" w:rsidR="00787070" w:rsidRDefault="00787070" w:rsidP="00C7699A">
      <w:pPr>
        <w:jc w:val="both"/>
      </w:pPr>
    </w:p>
    <w:p w14:paraId="48AAF054" w14:textId="77777777" w:rsidR="00C7699A" w:rsidRPr="00A32DC5" w:rsidRDefault="00C7699A" w:rsidP="00C7699A">
      <w:pPr>
        <w:jc w:val="both"/>
        <w:rPr>
          <w:b/>
        </w:rPr>
      </w:pPr>
      <w:r w:rsidRPr="00A32DC5">
        <w:rPr>
          <w:b/>
        </w:rPr>
        <w:lastRenderedPageBreak/>
        <w:t>VII.</w:t>
      </w:r>
      <w:r w:rsidRPr="00A32DC5">
        <w:rPr>
          <w:b/>
        </w:rPr>
        <w:tab/>
      </w:r>
      <w:r w:rsidRPr="00A32DC5">
        <w:rPr>
          <w:b/>
          <w:u w:val="single"/>
        </w:rPr>
        <w:t>BASIC POSITIONS</w:t>
      </w:r>
    </w:p>
    <w:p w14:paraId="60D29F61" w14:textId="77777777" w:rsidR="00C7699A" w:rsidRPr="00701945" w:rsidRDefault="00C7699A" w:rsidP="00C7699A">
      <w:pPr>
        <w:jc w:val="both"/>
      </w:pPr>
    </w:p>
    <w:p w14:paraId="0B39366A" w14:textId="256BED35" w:rsidR="003C129C" w:rsidRDefault="00A87B30" w:rsidP="00AB531D">
      <w:pPr>
        <w:ind w:left="1440" w:hanging="1440"/>
        <w:jc w:val="both"/>
      </w:pPr>
      <w:r>
        <w:rPr>
          <w:b/>
          <w:bCs/>
        </w:rPr>
        <w:t>TECO</w:t>
      </w:r>
      <w:r w:rsidR="00C7699A" w:rsidRPr="00701945">
        <w:rPr>
          <w:b/>
          <w:bCs/>
        </w:rPr>
        <w:t>:</w:t>
      </w:r>
      <w:r w:rsidR="00C129DE">
        <w:rPr>
          <w:b/>
          <w:bCs/>
        </w:rPr>
        <w:tab/>
      </w:r>
      <w:r w:rsidR="003C129C" w:rsidRPr="00F528AE">
        <w:t xml:space="preserve">These consolidated dockets address three petitions filed by </w:t>
      </w:r>
      <w:r w:rsidR="007D36B7">
        <w:t>TECO</w:t>
      </w:r>
      <w:r w:rsidR="003C129C" w:rsidRPr="00F528AE">
        <w:t xml:space="preserve">: (1) a petition for approval of 2023 depreciation and dismantlement study [Docket No. 20230139-EI]; (2) a petition to implement 2024 generation base rate adjustment provisions in paragraph 4 of the 2021 stipulation and settlement agreement [Docket No. 20230090-EI]; and </w:t>
      </w:r>
      <w:r w:rsidR="003C129C">
        <w:t xml:space="preserve">(3) </w:t>
      </w:r>
      <w:r w:rsidR="003C129C" w:rsidRPr="00F528AE">
        <w:t>a Petition for Rate Increase [Docket No. 20240026-EI]. These dockets were consolidated by the Order Establishing Procedure</w:t>
      </w:r>
      <w:r w:rsidR="001C6B7F">
        <w:t xml:space="preserve"> and Consolidating Dockets</w:t>
      </w:r>
      <w:r w:rsidR="008879DE">
        <w:t xml:space="preserve"> (OEP)</w:t>
      </w:r>
      <w:r w:rsidR="003C129C" w:rsidRPr="00F528AE">
        <w:t>, Order No. PSC-2024-0096-PCO-EI, issued April 16, 2024.</w:t>
      </w:r>
    </w:p>
    <w:p w14:paraId="2CE942BF" w14:textId="77777777" w:rsidR="003C129C" w:rsidRDefault="003C129C" w:rsidP="003C129C">
      <w:pPr>
        <w:ind w:left="360"/>
      </w:pPr>
    </w:p>
    <w:p w14:paraId="0BB262BF" w14:textId="77777777" w:rsidR="003C129C" w:rsidRDefault="003C129C" w:rsidP="003C129C">
      <w:pPr>
        <w:ind w:left="1080" w:firstLine="360"/>
        <w:rPr>
          <w:u w:val="single"/>
        </w:rPr>
      </w:pPr>
      <w:r>
        <w:rPr>
          <w:u w:val="single"/>
        </w:rPr>
        <w:t>Introduction</w:t>
      </w:r>
    </w:p>
    <w:p w14:paraId="5582E631" w14:textId="77777777" w:rsidR="003C129C" w:rsidRDefault="003C129C" w:rsidP="003C129C">
      <w:pPr>
        <w:ind w:left="360"/>
        <w:rPr>
          <w:u w:val="single"/>
        </w:rPr>
      </w:pPr>
    </w:p>
    <w:p w14:paraId="19C5D778" w14:textId="77777777" w:rsidR="003C129C" w:rsidRDefault="00AB531D" w:rsidP="00AB531D">
      <w:pPr>
        <w:ind w:left="1440" w:hanging="1440"/>
        <w:jc w:val="both"/>
      </w:pPr>
      <w:r>
        <w:tab/>
      </w:r>
      <w:r w:rsidR="00A23A8A">
        <w:t xml:space="preserve">TECO </w:t>
      </w:r>
      <w:r w:rsidR="003C129C" w:rsidRPr="00CE7EF7">
        <w:t xml:space="preserve">is committed to being a trusted energy partner for </w:t>
      </w:r>
      <w:r w:rsidR="003C129C">
        <w:t xml:space="preserve">its </w:t>
      </w:r>
      <w:r w:rsidR="003C129C" w:rsidRPr="00CE7EF7">
        <w:t xml:space="preserve">customers now and in the future. </w:t>
      </w:r>
      <w:r w:rsidR="003C129C">
        <w:t xml:space="preserve">It </w:t>
      </w:r>
      <w:r w:rsidR="003C129C" w:rsidRPr="00CE7EF7">
        <w:t>focuse</w:t>
      </w:r>
      <w:r w:rsidR="003C129C">
        <w:t>s</w:t>
      </w:r>
      <w:r w:rsidR="003C129C" w:rsidRPr="00CE7EF7">
        <w:t xml:space="preserve"> on carefully and prudently managing </w:t>
      </w:r>
      <w:r w:rsidR="003C129C">
        <w:t xml:space="preserve">its </w:t>
      </w:r>
      <w:r w:rsidR="003C129C" w:rsidRPr="00CE7EF7">
        <w:t xml:space="preserve">operating expenses and capital spending to ensure that </w:t>
      </w:r>
      <w:r w:rsidR="003C129C">
        <w:t xml:space="preserve">it meets </w:t>
      </w:r>
      <w:r w:rsidR="003C129C" w:rsidRPr="00CE7EF7">
        <w:t xml:space="preserve">the growing and changing energy needs in </w:t>
      </w:r>
      <w:r w:rsidR="003C129C">
        <w:t xml:space="preserve">its </w:t>
      </w:r>
      <w:r w:rsidR="003C129C" w:rsidRPr="00CE7EF7">
        <w:t xml:space="preserve">service territory. Along the way, the company works diligently and thoughtfully to continuously improve the safety, reliability, and resilience of </w:t>
      </w:r>
      <w:r w:rsidR="003C129C">
        <w:t xml:space="preserve">its </w:t>
      </w:r>
      <w:r w:rsidR="003C129C" w:rsidRPr="00CE7EF7">
        <w:t xml:space="preserve">electric system, improve efficiency in all areas of </w:t>
      </w:r>
      <w:r w:rsidR="003C129C">
        <w:t>its</w:t>
      </w:r>
      <w:r w:rsidR="003C129C" w:rsidRPr="00CE7EF7">
        <w:t xml:space="preserve"> operations</w:t>
      </w:r>
      <w:r w:rsidR="00A23A8A">
        <w:t>—</w:t>
      </w:r>
      <w:r w:rsidR="003C129C" w:rsidRPr="00CE7EF7">
        <w:t xml:space="preserve">especially the generating efficiency of </w:t>
      </w:r>
      <w:r w:rsidR="003C129C">
        <w:t xml:space="preserve">its </w:t>
      </w:r>
      <w:r w:rsidR="003C129C" w:rsidRPr="00CE7EF7">
        <w:t>existing power plants</w:t>
      </w:r>
      <w:r w:rsidR="00A23A8A">
        <w:t>—</w:t>
      </w:r>
      <w:r w:rsidR="003C129C" w:rsidRPr="00CE7EF7">
        <w:t xml:space="preserve">and </w:t>
      </w:r>
      <w:r w:rsidR="003C129C">
        <w:t xml:space="preserve">to </w:t>
      </w:r>
      <w:r w:rsidR="003C129C" w:rsidRPr="00CE7EF7">
        <w:t xml:space="preserve">ensure that </w:t>
      </w:r>
      <w:r w:rsidR="003C129C">
        <w:t xml:space="preserve">it can </w:t>
      </w:r>
      <w:r w:rsidR="003C129C" w:rsidRPr="00CE7EF7">
        <w:t>continue serving customers at all times regardless of weather conditions.</w:t>
      </w:r>
      <w:r w:rsidR="003C129C">
        <w:t xml:space="preserve"> </w:t>
      </w:r>
    </w:p>
    <w:p w14:paraId="55E7DF20" w14:textId="77777777" w:rsidR="003C129C" w:rsidRDefault="003C129C" w:rsidP="003C129C">
      <w:pPr>
        <w:ind w:left="360"/>
      </w:pPr>
    </w:p>
    <w:p w14:paraId="3B67A1DF" w14:textId="77777777" w:rsidR="003C129C" w:rsidRDefault="00AB531D" w:rsidP="00AB531D">
      <w:pPr>
        <w:ind w:left="1440" w:hanging="1440"/>
        <w:jc w:val="both"/>
      </w:pPr>
      <w:r>
        <w:tab/>
      </w:r>
      <w:r w:rsidR="003C129C">
        <w:t xml:space="preserve">The impacts of inflation, higher interest rates, increased insurance premiums, customer growth, and the investments the company is making to improve its efficiency, reliability, and resilience have impacted the operations of the company. </w:t>
      </w:r>
      <w:r w:rsidR="00A23A8A">
        <w:t xml:space="preserve">TECO’s </w:t>
      </w:r>
      <w:r w:rsidR="00345D20">
        <w:t>original filing on April 2, 2024 requested</w:t>
      </w:r>
      <w:r w:rsidR="003C129C">
        <w:t xml:space="preserve"> a $293,634,910 annual increase in its general base rates and a $2,976,175 annual increase to its service charges for a total annual increase to its base rates and charges of $296,611,085 (Issue 69) to be effective with the first billing cycle of January 2025, plus incremental Subsequent Year Adjustments (SYA) of $100,074,841 and $71,847,925</w:t>
      </w:r>
      <w:r w:rsidR="00345D20">
        <w:t xml:space="preserve"> </w:t>
      </w:r>
      <w:r w:rsidR="003C129C">
        <w:t>(Issue 107) to become effective with the first billing cycles in January 2026 and 2027, respectively.</w:t>
      </w:r>
      <w:r w:rsidR="00345D20">
        <w:t xml:space="preserve"> On July 24, 2024, and August 1, 2024, the company filed updated revenue requirement calculations for its 2025 test year and 2026 and 2027 SYA to reflect changes identified and discussed during discovery and in the rebuttal testimony of Jeff Chronister (July Filing and August Filing).  Its revised requests for the 2025 test year and 2026 and 2027 SYA are $295,521965, $95,257,228 and $69,007,620.</w:t>
      </w:r>
    </w:p>
    <w:p w14:paraId="11B9BA49" w14:textId="77777777" w:rsidR="003C129C" w:rsidRDefault="003C129C" w:rsidP="003C129C">
      <w:pPr>
        <w:ind w:left="360"/>
      </w:pPr>
    </w:p>
    <w:p w14:paraId="1D2C46EE" w14:textId="77777777" w:rsidR="003C129C" w:rsidRDefault="003C129C" w:rsidP="003C129C">
      <w:pPr>
        <w:ind w:left="1440"/>
        <w:rPr>
          <w:u w:val="single"/>
        </w:rPr>
      </w:pPr>
      <w:r>
        <w:rPr>
          <w:u w:val="single"/>
        </w:rPr>
        <w:t>Safety, Reliability, and Customer Service</w:t>
      </w:r>
    </w:p>
    <w:p w14:paraId="46A9EC15" w14:textId="77777777" w:rsidR="003C129C" w:rsidRDefault="003C129C" w:rsidP="003C129C">
      <w:pPr>
        <w:rPr>
          <w:u w:val="single"/>
        </w:rPr>
      </w:pPr>
    </w:p>
    <w:p w14:paraId="7FD2B060" w14:textId="77777777" w:rsidR="003C129C" w:rsidRPr="00F72A9E" w:rsidRDefault="00AB531D" w:rsidP="00AB531D">
      <w:pPr>
        <w:pStyle w:val="ListParagraph"/>
        <w:ind w:left="1440" w:hanging="1440"/>
        <w:rPr>
          <w:rFonts w:cs="Arial"/>
          <w:szCs w:val="24"/>
        </w:rPr>
      </w:pPr>
      <w:r>
        <w:tab/>
      </w:r>
      <w:r w:rsidR="00A23A8A">
        <w:t xml:space="preserve">TECO’s </w:t>
      </w:r>
      <w:r w:rsidR="003C129C">
        <w:t>solid record of safety, reliability</w:t>
      </w:r>
      <w:r w:rsidR="00A23A8A">
        <w:t>,</w:t>
      </w:r>
      <w:r w:rsidR="003C129C">
        <w:t xml:space="preserve"> and customer service is not in dispute. </w:t>
      </w:r>
      <w:r w:rsidR="00A23A8A">
        <w:rPr>
          <w:rFonts w:cs="Arial"/>
          <w:szCs w:val="24"/>
        </w:rPr>
        <w:t xml:space="preserve">TECO’s </w:t>
      </w:r>
      <w:r w:rsidR="003C129C" w:rsidRPr="00F72A9E">
        <w:rPr>
          <w:rFonts w:cs="Arial"/>
          <w:szCs w:val="24"/>
        </w:rPr>
        <w:t xml:space="preserve">reportable </w:t>
      </w:r>
      <w:r w:rsidR="00A23A8A">
        <w:rPr>
          <w:rFonts w:cs="Arial"/>
          <w:szCs w:val="24"/>
        </w:rPr>
        <w:t xml:space="preserve">U.S. </w:t>
      </w:r>
      <w:r w:rsidR="003C129C" w:rsidRPr="00F72A9E">
        <w:rPr>
          <w:rFonts w:cs="Arial"/>
          <w:szCs w:val="24"/>
        </w:rPr>
        <w:t>O</w:t>
      </w:r>
      <w:r w:rsidR="00A23A8A">
        <w:rPr>
          <w:rFonts w:cs="Arial"/>
          <w:szCs w:val="24"/>
        </w:rPr>
        <w:t xml:space="preserve">ccupational </w:t>
      </w:r>
      <w:r w:rsidR="003C129C" w:rsidRPr="00F72A9E">
        <w:rPr>
          <w:rFonts w:cs="Arial"/>
          <w:szCs w:val="24"/>
        </w:rPr>
        <w:t>S</w:t>
      </w:r>
      <w:r w:rsidR="00A23A8A">
        <w:rPr>
          <w:rFonts w:cs="Arial"/>
          <w:szCs w:val="24"/>
        </w:rPr>
        <w:t>afety and Health Administration (OSHA)</w:t>
      </w:r>
      <w:r w:rsidR="003C129C" w:rsidRPr="00F72A9E">
        <w:rPr>
          <w:rFonts w:cs="Arial"/>
          <w:szCs w:val="24"/>
        </w:rPr>
        <w:t xml:space="preserve"> incidents declined from 24 in 2019 to a low of 17 in 2023. </w:t>
      </w:r>
      <w:r w:rsidR="003C129C">
        <w:rPr>
          <w:rFonts w:cs="Arial"/>
          <w:szCs w:val="24"/>
        </w:rPr>
        <w:t>Its</w:t>
      </w:r>
      <w:r w:rsidR="003C129C" w:rsidRPr="00F72A9E">
        <w:rPr>
          <w:rFonts w:cs="Arial"/>
          <w:szCs w:val="24"/>
        </w:rPr>
        <w:t xml:space="preserve"> OSHA incident rate declined from 1.02 in 2019 to a low of </w:t>
      </w:r>
      <w:r w:rsidR="003C129C" w:rsidRPr="00F72A9E">
        <w:rPr>
          <w:szCs w:val="24"/>
        </w:rPr>
        <w:t>0.</w:t>
      </w:r>
      <w:r w:rsidR="003C129C" w:rsidRPr="00F72A9E">
        <w:rPr>
          <w:rFonts w:cs="Arial"/>
          <w:szCs w:val="24"/>
        </w:rPr>
        <w:t>70 in 2023.</w:t>
      </w:r>
      <w:r w:rsidR="003C129C" w:rsidRPr="00F72A9E">
        <w:t xml:space="preserve"> </w:t>
      </w:r>
      <w:r w:rsidR="003C129C">
        <w:t xml:space="preserve">The company scored better than industry average for all six J.D. Power measures of customer satisfaction in </w:t>
      </w:r>
      <w:r w:rsidR="003C129C">
        <w:lastRenderedPageBreak/>
        <w:t xml:space="preserve">2023, and its </w:t>
      </w:r>
      <w:r w:rsidR="00D12B0F">
        <w:t>Commission</w:t>
      </w:r>
      <w:r w:rsidR="003C129C">
        <w:t xml:space="preserve"> complaint record and service hearings do not reveal systemic service problems. The company improved its </w:t>
      </w:r>
      <w:r w:rsidR="003C129C" w:rsidRPr="00C80428">
        <w:t xml:space="preserve">system heat rate </w:t>
      </w:r>
      <w:r w:rsidR="00744FE0">
        <w:t xml:space="preserve">by 20% </w:t>
      </w:r>
      <w:r w:rsidR="003C129C">
        <w:t>from 2017 to 2023, and during that same time period, re</w:t>
      </w:r>
      <w:r w:rsidR="003C129C" w:rsidRPr="00596157">
        <w:rPr>
          <w:szCs w:val="24"/>
        </w:rPr>
        <w:t xml:space="preserve">duced </w:t>
      </w:r>
      <w:r w:rsidR="003C129C">
        <w:rPr>
          <w:szCs w:val="24"/>
        </w:rPr>
        <w:t xml:space="preserve">outage </w:t>
      </w:r>
      <w:r w:rsidR="003C129C" w:rsidRPr="00596157">
        <w:rPr>
          <w:szCs w:val="24"/>
        </w:rPr>
        <w:t xml:space="preserve">frequency </w:t>
      </w:r>
      <w:r w:rsidR="003C129C">
        <w:rPr>
          <w:szCs w:val="24"/>
        </w:rPr>
        <w:t>and durations by</w:t>
      </w:r>
      <w:r w:rsidR="00744FE0">
        <w:rPr>
          <w:szCs w:val="24"/>
        </w:rPr>
        <w:t xml:space="preserve"> 21</w:t>
      </w:r>
      <w:r w:rsidR="00744FE0">
        <w:t xml:space="preserve">% </w:t>
      </w:r>
      <w:r w:rsidR="003C129C" w:rsidRPr="00596157">
        <w:rPr>
          <w:szCs w:val="24"/>
        </w:rPr>
        <w:t>and 22</w:t>
      </w:r>
      <w:r w:rsidR="00744FE0">
        <w:t>%</w:t>
      </w:r>
      <w:r w:rsidR="003C129C">
        <w:rPr>
          <w:szCs w:val="24"/>
        </w:rPr>
        <w:t>, respectively. The company’s “</w:t>
      </w:r>
      <w:r w:rsidR="00744FE0">
        <w:rPr>
          <w:szCs w:val="24"/>
        </w:rPr>
        <w:t>flickers” were 30</w:t>
      </w:r>
      <w:r w:rsidR="00744FE0">
        <w:t xml:space="preserve">% </w:t>
      </w:r>
      <w:r w:rsidR="003C129C" w:rsidRPr="00596157">
        <w:rPr>
          <w:szCs w:val="24"/>
        </w:rPr>
        <w:t>less frequent</w:t>
      </w:r>
      <w:r w:rsidR="003C129C">
        <w:rPr>
          <w:szCs w:val="24"/>
        </w:rPr>
        <w:t xml:space="preserve"> and it </w:t>
      </w:r>
      <w:r w:rsidR="003C129C" w:rsidRPr="00596157">
        <w:rPr>
          <w:szCs w:val="24"/>
        </w:rPr>
        <w:t>provide</w:t>
      </w:r>
      <w:r w:rsidR="003C129C">
        <w:rPr>
          <w:szCs w:val="24"/>
        </w:rPr>
        <w:t>s</w:t>
      </w:r>
      <w:r w:rsidR="00744FE0">
        <w:rPr>
          <w:szCs w:val="24"/>
        </w:rPr>
        <w:t xml:space="preserve"> 99.98</w:t>
      </w:r>
      <w:r w:rsidR="00744FE0">
        <w:t xml:space="preserve">% </w:t>
      </w:r>
      <w:r w:rsidR="003C129C" w:rsidRPr="00596157">
        <w:rPr>
          <w:szCs w:val="24"/>
        </w:rPr>
        <w:t>service reliability</w:t>
      </w:r>
      <w:r w:rsidR="003C129C">
        <w:rPr>
          <w:szCs w:val="24"/>
        </w:rPr>
        <w:t xml:space="preserve">. </w:t>
      </w:r>
    </w:p>
    <w:p w14:paraId="50C54F68" w14:textId="77777777" w:rsidR="003C129C" w:rsidRPr="00F72A9E" w:rsidRDefault="003C129C" w:rsidP="003C129C">
      <w:pPr>
        <w:ind w:left="360"/>
      </w:pPr>
    </w:p>
    <w:p w14:paraId="3C841E6D" w14:textId="77777777" w:rsidR="003C129C" w:rsidRDefault="003C129C" w:rsidP="003C129C">
      <w:pPr>
        <w:ind w:left="1080" w:firstLine="360"/>
        <w:rPr>
          <w:u w:val="single"/>
        </w:rPr>
      </w:pPr>
      <w:r>
        <w:rPr>
          <w:u w:val="single"/>
        </w:rPr>
        <w:t>Issues</w:t>
      </w:r>
    </w:p>
    <w:p w14:paraId="339006AD" w14:textId="77777777" w:rsidR="003C129C" w:rsidRDefault="003C129C" w:rsidP="003C129C">
      <w:pPr>
        <w:ind w:left="360"/>
        <w:rPr>
          <w:u w:val="single"/>
        </w:rPr>
      </w:pPr>
    </w:p>
    <w:p w14:paraId="375CF4D6" w14:textId="77777777" w:rsidR="003C129C" w:rsidRDefault="00AB531D" w:rsidP="00AB531D">
      <w:pPr>
        <w:ind w:left="1440" w:hanging="1440"/>
        <w:jc w:val="both"/>
      </w:pPr>
      <w:r>
        <w:tab/>
      </w:r>
      <w:r w:rsidR="003C129C">
        <w:t>The Parties have identified over 120 issues in this case and divided them into 10 categories, all of which are important and seven of which are highlighted below.</w:t>
      </w:r>
    </w:p>
    <w:p w14:paraId="0429955B" w14:textId="77777777" w:rsidR="003C129C" w:rsidRDefault="003C129C" w:rsidP="003C129C">
      <w:pPr>
        <w:ind w:left="360"/>
      </w:pPr>
    </w:p>
    <w:p w14:paraId="4A536ED8" w14:textId="77777777" w:rsidR="003C129C" w:rsidRDefault="003C129C" w:rsidP="00AB531D">
      <w:pPr>
        <w:ind w:left="1080" w:firstLine="360"/>
        <w:jc w:val="both"/>
        <w:rPr>
          <w:u w:val="single"/>
        </w:rPr>
      </w:pPr>
      <w:r>
        <w:t>1.</w:t>
      </w:r>
      <w:r>
        <w:tab/>
      </w:r>
      <w:r w:rsidRPr="00A413EB">
        <w:rPr>
          <w:u w:val="single"/>
        </w:rPr>
        <w:t>Depreciation and Dismantlement (Issues 5 through 12)</w:t>
      </w:r>
    </w:p>
    <w:p w14:paraId="7DD02371" w14:textId="77777777" w:rsidR="003C129C" w:rsidRDefault="003C129C" w:rsidP="00AB531D">
      <w:pPr>
        <w:ind w:left="360"/>
        <w:jc w:val="both"/>
        <w:rPr>
          <w:u w:val="single"/>
        </w:rPr>
      </w:pPr>
    </w:p>
    <w:p w14:paraId="34EC9120" w14:textId="77777777" w:rsidR="003C129C" w:rsidRDefault="003C129C" w:rsidP="00AB531D">
      <w:pPr>
        <w:ind w:left="1440"/>
        <w:jc w:val="both"/>
      </w:pPr>
      <w:r>
        <w:t>Consiste</w:t>
      </w:r>
      <w:r w:rsidR="00BF5B5D">
        <w:t xml:space="preserve">nt with its 2021 Agreement, TECO </w:t>
      </w:r>
      <w:r>
        <w:t xml:space="preserve">filed a depreciation and dismantlement study on December 27, 2023. Based on this study and its projected plant balances, the company seeks recovery of approximately $531.4 million </w:t>
      </w:r>
      <w:r w:rsidR="00642A6F">
        <w:t xml:space="preserve">(revised to </w:t>
      </w:r>
      <w:r w:rsidR="00DF33B9">
        <w:t>$</w:t>
      </w:r>
      <w:r w:rsidR="00642A6F">
        <w:t xml:space="preserve">530.9 million in Issue 60) </w:t>
      </w:r>
      <w:r>
        <w:t>of depreciation and amortization expense for its projected 2025 test year. The primary issues in this area include the company’s proposed book depreciation lives for combined cycle generating assets, solar facilities</w:t>
      </w:r>
      <w:r w:rsidR="00FD10D9">
        <w:t>,</w:t>
      </w:r>
      <w:r>
        <w:t xml:space="preserve"> and energy storage devices. The company’s proposed lives for these asset categories (35, 30, and 10 years, respectively) are reasonable and should not be lengthened as proposed by OPC and FEA. The company’s proposed net salvage percentages are reasonable and should not be reduced as proposed by FEA. The company’s proposed annual dismantlement expense accrual was calculated in accordance with Rule 25-6.04364, F.A.C., and properly considers escalation of costs, environmental remediation costs, and contingencies.</w:t>
      </w:r>
    </w:p>
    <w:p w14:paraId="728841D4" w14:textId="77777777" w:rsidR="003C129C" w:rsidRDefault="003C129C" w:rsidP="00AB531D">
      <w:pPr>
        <w:ind w:left="360"/>
        <w:jc w:val="both"/>
      </w:pPr>
    </w:p>
    <w:p w14:paraId="70524D9C" w14:textId="77777777" w:rsidR="003C129C" w:rsidRDefault="003C129C" w:rsidP="00AB531D">
      <w:pPr>
        <w:ind w:left="1080" w:firstLine="360"/>
        <w:jc w:val="both"/>
        <w:rPr>
          <w:u w:val="single"/>
        </w:rPr>
      </w:pPr>
      <w:r>
        <w:t>2.</w:t>
      </w:r>
      <w:r>
        <w:tab/>
      </w:r>
      <w:r>
        <w:rPr>
          <w:u w:val="single"/>
        </w:rPr>
        <w:t>2025 Rate Base (Issues 13 through 32)</w:t>
      </w:r>
    </w:p>
    <w:p w14:paraId="20785395" w14:textId="77777777" w:rsidR="003C129C" w:rsidRDefault="003C129C" w:rsidP="00AB531D">
      <w:pPr>
        <w:ind w:left="360"/>
        <w:jc w:val="both"/>
        <w:rPr>
          <w:u w:val="single"/>
        </w:rPr>
      </w:pPr>
    </w:p>
    <w:p w14:paraId="432B42FC" w14:textId="6F38BE54" w:rsidR="003C129C" w:rsidRDefault="003C129C" w:rsidP="00AB531D">
      <w:pPr>
        <w:ind w:left="1440"/>
        <w:jc w:val="both"/>
      </w:pPr>
      <w:r>
        <w:t xml:space="preserve">The primary issues in this area include the company’s proposed addition of 488.7 </w:t>
      </w:r>
      <w:r w:rsidR="0080783B">
        <w:t>megawatts (</w:t>
      </w:r>
      <w:r>
        <w:t>MW</w:t>
      </w:r>
      <w:r w:rsidR="0080783B">
        <w:t>)</w:t>
      </w:r>
      <w:r>
        <w:t xml:space="preserve"> of Future Solar projects (Issue 18), Grid Reliability and Resilience </w:t>
      </w:r>
      <w:r w:rsidR="00FE0D2A">
        <w:t>P</w:t>
      </w:r>
      <w:r>
        <w:t xml:space="preserve">rojects </w:t>
      </w:r>
      <w:r w:rsidR="003933FF">
        <w:t xml:space="preserve">(GRR Projects) </w:t>
      </w:r>
      <w:r>
        <w:t xml:space="preserve">(Issue 19), 115 MW of Energy Storage Capacity projects (Issue 20), a new corporate headquarters building (Issue 21), the South Tampa Resilience project (Issue 22), and the Polk 1 Flexibility project (Issue 24). These projects are cost-effective; are based on analyses of available options; promote efficiency, reliability, and resilience of the company’s system; provide other benefits such as fuel savings, fuel diversity, and better customer service; are prudent; and should be approved. </w:t>
      </w:r>
    </w:p>
    <w:p w14:paraId="6DB59ECD" w14:textId="77777777" w:rsidR="003C129C" w:rsidRDefault="003C129C" w:rsidP="00AB531D">
      <w:pPr>
        <w:ind w:left="360"/>
        <w:jc w:val="both"/>
      </w:pPr>
    </w:p>
    <w:p w14:paraId="6B9A15D5" w14:textId="77777777" w:rsidR="003C129C" w:rsidRDefault="003C129C" w:rsidP="00AB531D">
      <w:pPr>
        <w:ind w:left="1440"/>
        <w:jc w:val="both"/>
      </w:pPr>
      <w:r>
        <w:t xml:space="preserve">The company’s proposed Future Environmental Compliance project, which assesses the viability of underground carbon storage at Polk Power Station (Issue 14), is a prudent step to protect the long-term viability of gas-fired generation at Polk and to evaluate whether the company can and should invest in carbon capture technology for Polk Unit 2. </w:t>
      </w:r>
    </w:p>
    <w:p w14:paraId="114473DC" w14:textId="77777777" w:rsidR="003C129C" w:rsidRDefault="003C129C" w:rsidP="00AB531D">
      <w:pPr>
        <w:ind w:left="360"/>
        <w:jc w:val="both"/>
      </w:pPr>
    </w:p>
    <w:p w14:paraId="0A1D6C8F" w14:textId="77777777" w:rsidR="003C129C" w:rsidRDefault="003C129C" w:rsidP="00AB531D">
      <w:pPr>
        <w:ind w:left="1440"/>
        <w:jc w:val="both"/>
      </w:pPr>
      <w:r>
        <w:lastRenderedPageBreak/>
        <w:t>Sierra Club’s proposals to force early retirement of petcoke and coal generation assets at Polk Unit 1 and Big Bend Unit 4, respectively, are discussed in the “Other” issues and should be rejected because the assets provide needed operating flexibility and fuel diversity. These and other reasons are explained in Issues 43, 44, and 116.</w:t>
      </w:r>
    </w:p>
    <w:p w14:paraId="25DA4ED1" w14:textId="77777777" w:rsidR="003C129C" w:rsidRDefault="003C129C" w:rsidP="00AB531D">
      <w:pPr>
        <w:ind w:left="360"/>
        <w:jc w:val="both"/>
      </w:pPr>
    </w:p>
    <w:p w14:paraId="430E697D" w14:textId="77777777" w:rsidR="003C129C" w:rsidRDefault="003C129C" w:rsidP="00AB531D">
      <w:pPr>
        <w:ind w:left="1080" w:firstLine="360"/>
        <w:jc w:val="both"/>
        <w:rPr>
          <w:u w:val="single"/>
        </w:rPr>
      </w:pPr>
      <w:r>
        <w:t>3.</w:t>
      </w:r>
      <w:r>
        <w:tab/>
      </w:r>
      <w:r>
        <w:rPr>
          <w:u w:val="single"/>
        </w:rPr>
        <w:t>2025 Cost of Capital (Issues 33 through 40)</w:t>
      </w:r>
    </w:p>
    <w:p w14:paraId="1AF1B7C7" w14:textId="77777777" w:rsidR="003C129C" w:rsidRDefault="003C129C" w:rsidP="00AB531D">
      <w:pPr>
        <w:ind w:left="360"/>
        <w:jc w:val="both"/>
        <w:rPr>
          <w:u w:val="single"/>
        </w:rPr>
      </w:pPr>
    </w:p>
    <w:p w14:paraId="46241F31" w14:textId="05DBD85A" w:rsidR="003C129C" w:rsidRPr="00CE7EF7" w:rsidRDefault="003C129C" w:rsidP="00AB531D">
      <w:pPr>
        <w:ind w:left="1440"/>
        <w:jc w:val="both"/>
      </w:pPr>
      <w:r>
        <w:t xml:space="preserve">The two contested issues in this area are equity ratio (Issue 38) and Return on Equity (ROE) (Issue 39). </w:t>
      </w:r>
      <w:r w:rsidR="00B94F13">
        <w:t xml:space="preserve">TECO </w:t>
      </w:r>
      <w:r>
        <w:t>urges the Commission to approve the company’s proposed midpoint ROE of 11.5</w:t>
      </w:r>
      <w:r w:rsidR="009F47AB">
        <w:t>%</w:t>
      </w:r>
      <w:r>
        <w:t>, an authorized range of allowed ROE of plus or minus 100 basis points, and its curren</w:t>
      </w:r>
      <w:r w:rsidR="002B150C">
        <w:t xml:space="preserve">tly approved equity ratio of 54% </w:t>
      </w:r>
      <w:r>
        <w:t>(investor sources). The intervenor recommenda</w:t>
      </w:r>
      <w:r w:rsidR="009F47AB">
        <w:t xml:space="preserve">tions for a midpoint ROE of 9.5% </w:t>
      </w:r>
      <w:r w:rsidR="0031402E">
        <w:t xml:space="preserve">are too low. FEA’s proposed 52% </w:t>
      </w:r>
      <w:r>
        <w:t>equity ra</w:t>
      </w:r>
      <w:r w:rsidR="0031402E">
        <w:t xml:space="preserve">tio is not adequate to preserve TECO’s </w:t>
      </w:r>
      <w:r>
        <w:t xml:space="preserve">financial </w:t>
      </w:r>
      <w:r w:rsidR="00B47185">
        <w:t xml:space="preserve">integrity and a reduction to 52% </w:t>
      </w:r>
      <w:r>
        <w:t>from</w:t>
      </w:r>
      <w:r w:rsidR="00B47185">
        <w:t xml:space="preserve"> the company’s long-standing 54% </w:t>
      </w:r>
      <w:r>
        <w:t>equity ratio would be viewed as credit-nega</w:t>
      </w:r>
      <w:r w:rsidR="00B47185">
        <w:t>tive by credit rating agencies.</w:t>
      </w:r>
    </w:p>
    <w:p w14:paraId="72CD62BB" w14:textId="77777777" w:rsidR="003C129C" w:rsidRDefault="003C129C" w:rsidP="00AB531D">
      <w:pPr>
        <w:ind w:left="360"/>
        <w:jc w:val="both"/>
      </w:pPr>
    </w:p>
    <w:p w14:paraId="4C518829" w14:textId="77777777" w:rsidR="003C129C" w:rsidRDefault="003C129C" w:rsidP="00AB531D">
      <w:pPr>
        <w:ind w:left="1080" w:firstLine="360"/>
        <w:jc w:val="both"/>
        <w:rPr>
          <w:u w:val="single"/>
        </w:rPr>
      </w:pPr>
      <w:r>
        <w:t>4.</w:t>
      </w:r>
      <w:r>
        <w:tab/>
      </w:r>
      <w:r>
        <w:rPr>
          <w:u w:val="single"/>
        </w:rPr>
        <w:t>2025 Net Operating Income (Issues 41 through 67)</w:t>
      </w:r>
    </w:p>
    <w:p w14:paraId="6EE159D8" w14:textId="77777777" w:rsidR="003C129C" w:rsidRDefault="003C129C" w:rsidP="00AB531D">
      <w:pPr>
        <w:ind w:left="360"/>
        <w:jc w:val="both"/>
        <w:rPr>
          <w:u w:val="single"/>
        </w:rPr>
      </w:pPr>
    </w:p>
    <w:p w14:paraId="5640A236" w14:textId="56CEABB0" w:rsidR="003C129C" w:rsidRDefault="003C129C" w:rsidP="00AB531D">
      <w:pPr>
        <w:ind w:left="1440"/>
        <w:jc w:val="both"/>
      </w:pPr>
      <w:r>
        <w:t xml:space="preserve">The major issues in this area include the level of generation </w:t>
      </w:r>
      <w:r w:rsidR="007F2A16">
        <w:t>operations and maintenance (</w:t>
      </w:r>
      <w:r>
        <w:t>O&amp;M</w:t>
      </w:r>
      <w:r w:rsidR="007F2A16">
        <w:t>)</w:t>
      </w:r>
      <w:r>
        <w:t xml:space="preserve"> expense (Issue 45), the recovery of the company’s </w:t>
      </w:r>
      <w:r w:rsidR="00635B45">
        <w:t>short-term incentive plan (</w:t>
      </w:r>
      <w:r>
        <w:t>STIP</w:t>
      </w:r>
      <w:r w:rsidR="00635B45">
        <w:t>)</w:t>
      </w:r>
      <w:r>
        <w:t xml:space="preserve">, </w:t>
      </w:r>
      <w:r w:rsidR="00635B45">
        <w:t>long-term incentive plan (</w:t>
      </w:r>
      <w:r>
        <w:t>LTIP</w:t>
      </w:r>
      <w:r w:rsidR="00635B45">
        <w:t>)</w:t>
      </w:r>
      <w:r>
        <w:t xml:space="preserve">, and </w:t>
      </w:r>
      <w:r w:rsidR="00635B45">
        <w:t>supplemental employee retirement plan (</w:t>
      </w:r>
      <w:r>
        <w:t>SERP</w:t>
      </w:r>
      <w:r w:rsidR="00635B45">
        <w:t>)</w:t>
      </w:r>
      <w:r>
        <w:t xml:space="preserve"> as part of total salaries and benefits expense (Issue 53), adjustments for affiliate transactions (Issue 55), </w:t>
      </w:r>
      <w:r w:rsidR="00C81F64">
        <w:t xml:space="preserve">and </w:t>
      </w:r>
      <w:r>
        <w:t>the period for amortizing the regulatory liability associated with 2022 to 2024 solar production tax credits</w:t>
      </w:r>
      <w:r w:rsidR="008B7A40">
        <w:t xml:space="preserve"> </w:t>
      </w:r>
      <w:r>
        <w:t>(PTC</w:t>
      </w:r>
      <w:r w:rsidR="008B7A40">
        <w:t>s</w:t>
      </w:r>
      <w:r>
        <w:t xml:space="preserve">) (Issue 64). Other contested issues include whether to (a) adjust the company’s projected 2025 operating revenues (Issue 41), (b) disallow O&amp;M expenses associated with coal assets at Polk Unit 1 and Big Bend Unit 4 (Issues 43 and 44), and (c) disallow a portion of the company’s directors and officers insurance expense (Issue 56). Issue 65 on the amortization of </w:t>
      </w:r>
      <w:r w:rsidR="00C81F64">
        <w:t>investment tax credits (</w:t>
      </w:r>
      <w:r>
        <w:t>ITC</w:t>
      </w:r>
      <w:r w:rsidR="007335E8">
        <w:t>s</w:t>
      </w:r>
      <w:r w:rsidR="00C81F64">
        <w:t>)</w:t>
      </w:r>
      <w:r>
        <w:t xml:space="preserve"> includes OPC’s proposal to reject normalization of ITC for energy storage devices and amortize those ITCs over three years, but otherwise is largely a fall out issue based on the lives approved for solar facilities and energy storage devices in Issue 7. The Commission should approve the company’s proposals and reject the intervenor proposals for the reasons explained under each issue. </w:t>
      </w:r>
    </w:p>
    <w:p w14:paraId="089BDD71" w14:textId="6141B0F7" w:rsidR="003C129C" w:rsidRDefault="003C129C" w:rsidP="00AB531D">
      <w:pPr>
        <w:ind w:left="360"/>
        <w:jc w:val="both"/>
      </w:pPr>
    </w:p>
    <w:p w14:paraId="5E8AFA23" w14:textId="77777777" w:rsidR="003C129C" w:rsidRDefault="003C129C" w:rsidP="00AB531D">
      <w:pPr>
        <w:ind w:left="1080" w:firstLine="360"/>
        <w:jc w:val="both"/>
        <w:rPr>
          <w:u w:val="single"/>
        </w:rPr>
      </w:pPr>
      <w:r>
        <w:t>5.</w:t>
      </w:r>
      <w:r>
        <w:tab/>
      </w:r>
      <w:r>
        <w:rPr>
          <w:u w:val="single"/>
        </w:rPr>
        <w:t>2025 Cost of Service and Rates (Issues 70 through 93)</w:t>
      </w:r>
    </w:p>
    <w:p w14:paraId="14AAF280" w14:textId="77777777" w:rsidR="003C129C" w:rsidRDefault="003C129C" w:rsidP="00AB531D">
      <w:pPr>
        <w:ind w:left="360"/>
        <w:jc w:val="both"/>
        <w:rPr>
          <w:u w:val="single"/>
        </w:rPr>
      </w:pPr>
    </w:p>
    <w:p w14:paraId="7D25CD8C" w14:textId="0A228EB5" w:rsidR="003C129C" w:rsidRDefault="003C129C" w:rsidP="00AB531D">
      <w:pPr>
        <w:ind w:left="1440"/>
        <w:jc w:val="both"/>
      </w:pPr>
      <w:r>
        <w:t xml:space="preserve">The major issues in this area revolve around the cost of service methodology to be used to allocate production (Issue 71), transmission (Issue 72), and distribution (Issue 73) to rate classes. The company filed cost of service studies for production and transmission costs using a </w:t>
      </w:r>
      <w:r w:rsidR="00470270">
        <w:t>four Coincident Peak (</w:t>
      </w:r>
      <w:r>
        <w:t>CP</w:t>
      </w:r>
      <w:r w:rsidR="00470270">
        <w:t>)</w:t>
      </w:r>
      <w:r>
        <w:t xml:space="preserve"> methodology and distribution costs using a full </w:t>
      </w:r>
      <w:r w:rsidR="008937FE">
        <w:t>Minimum Distribution System (</w:t>
      </w:r>
      <w:r>
        <w:t>MDS</w:t>
      </w:r>
      <w:r w:rsidR="008937FE">
        <w:t>)</w:t>
      </w:r>
      <w:r>
        <w:t xml:space="preserve"> approach as required by the 2021 Agreement. The company also presented a 12CP and 1/13</w:t>
      </w:r>
      <w:r w:rsidRPr="00672A28">
        <w:rPr>
          <w:vertAlign w:val="superscript"/>
        </w:rPr>
        <w:t>th</w:t>
      </w:r>
      <w:r>
        <w:t xml:space="preserve"> </w:t>
      </w:r>
      <w:r w:rsidR="00D0787D">
        <w:t>Average Demand (</w:t>
      </w:r>
      <w:r>
        <w:t>AD</w:t>
      </w:r>
      <w:r w:rsidR="00D0787D">
        <w:t>)</w:t>
      </w:r>
      <w:r w:rsidR="00AD1A5D">
        <w:t xml:space="preserve"> </w:t>
      </w:r>
      <w:r>
        <w:t xml:space="preserve">method study for production as required by the </w:t>
      </w:r>
      <w:r>
        <w:lastRenderedPageBreak/>
        <w:t>Commission’s MFR rule. Although the company supports the cost of service methodologies as required by the 2021 Agreement, how to allocate production, transmission, and distribution costs to rate classes are issues to be decided by the Commission. In any event, the Big Bend Unit 4 scrubber and Polk 1 gasifier should continue to be allocated on an energy basis (not demand as advocated by FIPUG) (Issue 71). The Commission should approve the company’s propo</w:t>
      </w:r>
      <w:r w:rsidR="00140773">
        <w:t>sed tariff and program changes.</w:t>
      </w:r>
    </w:p>
    <w:p w14:paraId="2E4B64C7" w14:textId="77777777" w:rsidR="003C129C" w:rsidRDefault="003C129C" w:rsidP="00AB531D">
      <w:pPr>
        <w:ind w:left="360"/>
        <w:jc w:val="both"/>
      </w:pPr>
    </w:p>
    <w:p w14:paraId="1D65F5F2" w14:textId="77777777" w:rsidR="003C129C" w:rsidRDefault="003C129C" w:rsidP="00AB531D">
      <w:pPr>
        <w:ind w:left="1080" w:firstLine="360"/>
        <w:jc w:val="both"/>
        <w:rPr>
          <w:u w:val="single"/>
        </w:rPr>
      </w:pPr>
      <w:r>
        <w:t>6.</w:t>
      </w:r>
      <w:r>
        <w:tab/>
      </w:r>
      <w:r>
        <w:rPr>
          <w:u w:val="single"/>
        </w:rPr>
        <w:t>2026 and 2027 SYA (Issues 94 through 110)</w:t>
      </w:r>
    </w:p>
    <w:p w14:paraId="6B98FB9C" w14:textId="77777777" w:rsidR="003C129C" w:rsidRDefault="003C129C" w:rsidP="00AB531D">
      <w:pPr>
        <w:ind w:left="360"/>
        <w:jc w:val="both"/>
        <w:rPr>
          <w:u w:val="single"/>
        </w:rPr>
      </w:pPr>
    </w:p>
    <w:p w14:paraId="66F98070" w14:textId="77777777" w:rsidR="003C129C" w:rsidRDefault="003C129C" w:rsidP="00AB531D">
      <w:pPr>
        <w:ind w:left="1440"/>
        <w:jc w:val="both"/>
      </w:pPr>
      <w:r>
        <w:t xml:space="preserve">Some of the company’s proposed rate base additions in this case will be placed in service in 2025 but will not be in service for the entire year, so the company’s 2025 proposed revenue increase (Issue 69) does not reflect the full annual revenue </w:t>
      </w:r>
      <w:r w:rsidR="00570B17">
        <w:t>requirement for those projects.</w:t>
      </w:r>
    </w:p>
    <w:p w14:paraId="0CC130C4" w14:textId="77777777" w:rsidR="003C129C" w:rsidRDefault="003C129C" w:rsidP="00AB531D">
      <w:pPr>
        <w:ind w:left="360"/>
        <w:jc w:val="both"/>
      </w:pPr>
    </w:p>
    <w:p w14:paraId="6A788E24" w14:textId="77777777" w:rsidR="003C129C" w:rsidRDefault="003C129C" w:rsidP="00AB531D">
      <w:pPr>
        <w:ind w:left="1440"/>
        <w:jc w:val="both"/>
      </w:pPr>
      <w:r>
        <w:t>Other proposed rate base additions will go into service in 2026 and are not included in the company’s 2025 proposed revenue increase (Issue 69) at all; 2027 will be the first year that these additions will be in service for a full year.</w:t>
      </w:r>
    </w:p>
    <w:p w14:paraId="2DF1EB19" w14:textId="77777777" w:rsidR="003C129C" w:rsidRDefault="003C129C" w:rsidP="00AB531D">
      <w:pPr>
        <w:ind w:left="360"/>
        <w:jc w:val="both"/>
      </w:pPr>
    </w:p>
    <w:p w14:paraId="34D4E6C3" w14:textId="77777777" w:rsidR="003C129C" w:rsidRDefault="003C129C" w:rsidP="00AB531D">
      <w:pPr>
        <w:ind w:left="1440"/>
        <w:jc w:val="both"/>
      </w:pPr>
      <w:r>
        <w:t xml:space="preserve">The company’s proposed 2026 SYA is designed </w:t>
      </w:r>
      <w:bookmarkStart w:id="5" w:name="_Hlk172041975"/>
      <w:r>
        <w:t>to recover the portion of the annual revenue requirement for the additions going into service in 2025 not included in the company’s proposed 2025</w:t>
      </w:r>
      <w:bookmarkEnd w:id="5"/>
      <w:r>
        <w:t xml:space="preserve"> revenue increase (Issue 69) and the revenue requirement for additions going into service for the first time (but not a full year) in 2026. </w:t>
      </w:r>
    </w:p>
    <w:p w14:paraId="66A5A805" w14:textId="77777777" w:rsidR="003C129C" w:rsidRDefault="003C129C" w:rsidP="00AB531D">
      <w:pPr>
        <w:ind w:left="360"/>
        <w:jc w:val="both"/>
      </w:pPr>
    </w:p>
    <w:p w14:paraId="7C2BB835" w14:textId="77777777" w:rsidR="003C129C" w:rsidRDefault="003C129C" w:rsidP="00AB531D">
      <w:pPr>
        <w:ind w:left="1440"/>
        <w:jc w:val="both"/>
      </w:pPr>
      <w:r>
        <w:t xml:space="preserve">The company’s proposed 2027 SYA is designed to recover the portion of the annual revenue requirement for the additions going into service in 2026 for the first time that is not included in the company’s proposed 2026 SYA. </w:t>
      </w:r>
    </w:p>
    <w:p w14:paraId="3446B4C7" w14:textId="77777777" w:rsidR="003C129C" w:rsidRDefault="003C129C" w:rsidP="00AB531D">
      <w:pPr>
        <w:ind w:left="360"/>
        <w:jc w:val="both"/>
      </w:pPr>
    </w:p>
    <w:p w14:paraId="179202F3" w14:textId="4E791E00" w:rsidR="003C129C" w:rsidRDefault="003C129C" w:rsidP="00AB531D">
      <w:pPr>
        <w:ind w:left="1440"/>
        <w:jc w:val="both"/>
      </w:pPr>
      <w:r>
        <w:t xml:space="preserve">The projects included in the company’s proposed SYA are major projects, their costs are reasonable and prudent, placing them in service will have a material impact on the company’s ability to earn within its authorized range of returns, and including them in the proposed SYA will mitigate the company’s need for successive general rate increases; therefore, they should be approved. </w:t>
      </w:r>
      <w:bookmarkStart w:id="6" w:name="_Hlk172542370"/>
      <w:r>
        <w:t xml:space="preserve">There is nothing in Section 366.076, </w:t>
      </w:r>
      <w:r w:rsidR="008E2096">
        <w:t>F.S.</w:t>
      </w:r>
      <w:r>
        <w:t xml:space="preserve">, that limits SYA to cost recovery for generation projects, thus OPC’s proposal to disallow the GRR Projects (Issue 96) should be rejected. </w:t>
      </w:r>
      <w:bookmarkEnd w:id="6"/>
    </w:p>
    <w:p w14:paraId="5787D0C9" w14:textId="77777777" w:rsidR="003C129C" w:rsidRDefault="003C129C" w:rsidP="00AB531D">
      <w:pPr>
        <w:ind w:left="360"/>
        <w:jc w:val="both"/>
      </w:pPr>
    </w:p>
    <w:p w14:paraId="106184D1" w14:textId="77777777" w:rsidR="003C129C" w:rsidRDefault="003C129C" w:rsidP="00AB531D">
      <w:pPr>
        <w:ind w:left="1440"/>
        <w:jc w:val="both"/>
      </w:pPr>
      <w:r>
        <w:t>The calculation of the company’s proposed 2026 and 2027 SYA</w:t>
      </w:r>
      <w:r w:rsidR="00352EE4">
        <w:t>s</w:t>
      </w:r>
      <w:r>
        <w:t xml:space="preserve"> should be updated to reflect the overall rate of return approved in Issue 40 (Issue 103) and the deprecation lives and ITC amortization periods approved for the 2025 test year (Issue 108). The Commission should also approve the company’s positions on not imputing incremental revenue (Issue 104), including incremental O&amp;M expenses (Issue 105), rate design and development (Issues 108 and 110), and effective date (Issue 109).</w:t>
      </w:r>
    </w:p>
    <w:p w14:paraId="59BD1783" w14:textId="77777777" w:rsidR="003C129C" w:rsidRDefault="003C129C" w:rsidP="00AB531D">
      <w:pPr>
        <w:ind w:left="1080" w:firstLine="360"/>
        <w:jc w:val="both"/>
        <w:rPr>
          <w:u w:val="single"/>
        </w:rPr>
      </w:pPr>
      <w:r>
        <w:lastRenderedPageBreak/>
        <w:t>7.</w:t>
      </w:r>
      <w:r>
        <w:tab/>
      </w:r>
      <w:r w:rsidRPr="00AF0A26">
        <w:rPr>
          <w:u w:val="single"/>
        </w:rPr>
        <w:t>Other (Issues 11</w:t>
      </w:r>
      <w:r>
        <w:rPr>
          <w:u w:val="single"/>
        </w:rPr>
        <w:t>1</w:t>
      </w:r>
      <w:r w:rsidRPr="00AF0A26">
        <w:rPr>
          <w:u w:val="single"/>
        </w:rPr>
        <w:t xml:space="preserve"> to 12</w:t>
      </w:r>
      <w:r w:rsidR="00E04F45">
        <w:rPr>
          <w:u w:val="single"/>
        </w:rPr>
        <w:t>1</w:t>
      </w:r>
      <w:r w:rsidRPr="00AF0A26">
        <w:rPr>
          <w:u w:val="single"/>
        </w:rPr>
        <w:t>)</w:t>
      </w:r>
    </w:p>
    <w:p w14:paraId="463BDCF3" w14:textId="77777777" w:rsidR="003C129C" w:rsidRDefault="003C129C" w:rsidP="00AB531D">
      <w:pPr>
        <w:ind w:left="360"/>
        <w:jc w:val="both"/>
        <w:rPr>
          <w:u w:val="single"/>
        </w:rPr>
      </w:pPr>
    </w:p>
    <w:p w14:paraId="01982063" w14:textId="4EBC4381" w:rsidR="003C129C" w:rsidRDefault="003C129C" w:rsidP="00AB531D">
      <w:pPr>
        <w:ind w:left="1440"/>
        <w:jc w:val="both"/>
      </w:pPr>
      <w:r>
        <w:t xml:space="preserve">The Commission should approve the company’s proposal for a corporate tax change provision (Issue 111), storm cost recovery provision (Issue 112), asset optimism mechanism (Issue 113), updated </w:t>
      </w:r>
      <w:r w:rsidR="00BD0F34" w:rsidRPr="00BD0F34">
        <w:rPr>
          <w:bCs/>
        </w:rPr>
        <w:t>Clean Energy Transition Mechanism</w:t>
      </w:r>
      <w:r w:rsidR="00BD0F34" w:rsidRPr="00BD0F34">
        <w:t xml:space="preserve"> </w:t>
      </w:r>
      <w:r w:rsidR="00BD0F34">
        <w:t>(</w:t>
      </w:r>
      <w:r>
        <w:t>CETM</w:t>
      </w:r>
      <w:r w:rsidR="00BD0F34">
        <w:t>)</w:t>
      </w:r>
      <w:r>
        <w:t xml:space="preserve"> factors (Issue 114), Senior Care program (Issue 115)</w:t>
      </w:r>
      <w:r w:rsidR="00503478">
        <w:t>,</w:t>
      </w:r>
      <w:r>
        <w:t xml:space="preserve"> and other administrative matters (Issues 17, 120</w:t>
      </w:r>
      <w:r w:rsidR="003F2EB4">
        <w:t>, 121</w:t>
      </w:r>
      <w:r>
        <w:t xml:space="preserve">). The Commission should reject Sierra Club’s proposals for future studies and actions for the company’s coal assets at Polk Unit 1 and Big Bend Unit 4 (Issue 116). The company’s energy conservation performance under </w:t>
      </w:r>
      <w:r w:rsidR="004856BC">
        <w:t>the Florida Energy Efficiency and Conservation Act (</w:t>
      </w:r>
      <w:r>
        <w:t>FEECA</w:t>
      </w:r>
      <w:r w:rsidR="004856BC">
        <w:t>)</w:t>
      </w:r>
      <w:r>
        <w:t xml:space="preserve"> is outstanding and should be considered by the Commission when setting rates in this case (Issue 118).</w:t>
      </w:r>
    </w:p>
    <w:p w14:paraId="441F1BBB" w14:textId="77777777" w:rsidR="00C7699A" w:rsidRDefault="00C7699A" w:rsidP="00C7699A">
      <w:pPr>
        <w:jc w:val="both"/>
      </w:pPr>
    </w:p>
    <w:p w14:paraId="78779D63" w14:textId="3667754F" w:rsidR="00234857" w:rsidRDefault="00234857" w:rsidP="00234857">
      <w:pPr>
        <w:ind w:left="1440" w:hanging="1440"/>
        <w:jc w:val="both"/>
      </w:pPr>
      <w:r>
        <w:rPr>
          <w:b/>
        </w:rPr>
        <w:t>OPC:</w:t>
      </w:r>
      <w:r>
        <w:tab/>
      </w:r>
      <w:r w:rsidR="00920FE7">
        <w:rPr>
          <w:color w:val="000000"/>
        </w:rPr>
        <w:t>The burden of proof in a C</w:t>
      </w:r>
      <w:r w:rsidR="00920FE7" w:rsidRPr="005B753B">
        <w:rPr>
          <w:color w:val="000000"/>
        </w:rPr>
        <w:t xml:space="preserve">ommission proceeding is always on a utility seeking a rate change, and upon other parties seeking to change established rates. </w:t>
      </w:r>
      <w:r w:rsidR="00920FE7" w:rsidRPr="005B753B">
        <w:rPr>
          <w:i/>
          <w:color w:val="000000"/>
          <w:bdr w:val="none" w:sz="0" w:space="0" w:color="auto" w:frame="1"/>
          <w:shd w:val="clear" w:color="auto" w:fill="FFFFFF"/>
        </w:rPr>
        <w:t>Fla. Power Corp. v. Cresse</w:t>
      </w:r>
      <w:r w:rsidR="00920FE7" w:rsidRPr="005B753B">
        <w:rPr>
          <w:color w:val="000000"/>
          <w:bdr w:val="none" w:sz="0" w:space="0" w:color="auto" w:frame="1"/>
          <w:shd w:val="clear" w:color="auto" w:fill="FFFFFF"/>
        </w:rPr>
        <w:t>, 413 So.2d 1187, 1191 (Fla. 1982).</w:t>
      </w:r>
      <w:r w:rsidR="00920FE7" w:rsidRPr="005B753B">
        <w:t xml:space="preserve"> </w:t>
      </w:r>
      <w:r w:rsidR="00920FE7">
        <w:t xml:space="preserve">TECO </w:t>
      </w:r>
      <w:r w:rsidR="00920FE7" w:rsidRPr="005B753B">
        <w:t xml:space="preserve">has the burden to prove that every aspect of their requested rate increase is </w:t>
      </w:r>
      <w:r w:rsidR="00920FE7">
        <w:t>justified and supported by evidence at hearing. Further, pursuant t</w:t>
      </w:r>
      <w:r w:rsidR="00D535FF">
        <w:t xml:space="preserve">o Section 366.06(1), F.S., </w:t>
      </w:r>
      <w:r w:rsidR="00920FE7">
        <w:t>t</w:t>
      </w:r>
      <w:r w:rsidR="00920FE7" w:rsidRPr="005B753B">
        <w:t xml:space="preserve">he Commission may only approve the parts of </w:t>
      </w:r>
      <w:r w:rsidR="00920FE7">
        <w:t>TECO</w:t>
      </w:r>
      <w:r w:rsidR="00920FE7" w:rsidRPr="005B753B">
        <w:t>’s rate request which result</w:t>
      </w:r>
      <w:r w:rsidR="00920FE7">
        <w:t xml:space="preserve"> in rates that are </w:t>
      </w:r>
      <w:r w:rsidR="00920FE7" w:rsidRPr="005B753B">
        <w:t>fair, just, and reasonable</w:t>
      </w:r>
      <w:r w:rsidR="00920FE7">
        <w:t xml:space="preserve"> for each customer class</w:t>
      </w:r>
      <w:r w:rsidR="00920FE7" w:rsidRPr="005B753B">
        <w:t>.</w:t>
      </w:r>
      <w:r w:rsidR="00920FE7">
        <w:t xml:space="preserve"> TECO’s requested rate increase would translate to an over 50% increase in base rate. The policy for energy in the State is now to “ensure an adequate, reliable, and cost-effective supply of energy for the state in a manner that promotes the health and welfare of the public . . .” with goals including “[e]nsuring a cost-effective and affordable energy supply.” </w:t>
      </w:r>
      <w:r w:rsidR="00920FE7" w:rsidRPr="00462D70">
        <w:rPr>
          <w:i/>
        </w:rPr>
        <w:t>See</w:t>
      </w:r>
      <w:r w:rsidR="00920FE7">
        <w:t xml:space="preserve"> Section 377.601 (1) and (2)(a), F</w:t>
      </w:r>
      <w:r w:rsidR="00462D70">
        <w:t xml:space="preserve">.S. </w:t>
      </w:r>
      <w:r w:rsidR="00920FE7">
        <w:t>(2024). TECO’s bloated revenue request is contrary to the State’s goal of providing affordable, reasonable rates for each customer class.</w:t>
      </w:r>
    </w:p>
    <w:p w14:paraId="1FDDDD12" w14:textId="77777777" w:rsidR="00920FE7" w:rsidRDefault="00920FE7" w:rsidP="00234857">
      <w:pPr>
        <w:ind w:left="1440" w:hanging="1440"/>
        <w:jc w:val="both"/>
      </w:pPr>
    </w:p>
    <w:p w14:paraId="1D76C9FE" w14:textId="28435979" w:rsidR="00920FE7" w:rsidRDefault="00920FE7" w:rsidP="00920FE7">
      <w:pPr>
        <w:ind w:left="1440" w:hanging="1440"/>
        <w:jc w:val="both"/>
      </w:pPr>
      <w:r>
        <w:tab/>
      </w:r>
      <w:r w:rsidRPr="00920FE7">
        <w:t>TECO’s request grossly overstates the revenue requirement needed to provide safe and reliable service without even considering either SYA for 2026 and 2027. OPC’s experts will testify in depth about the flawed and excessive nature of TECO’s requested rate increase. Below are summaries of OPC witnesses’ major adjustments and areas of concern.</w:t>
      </w:r>
    </w:p>
    <w:p w14:paraId="38B79049" w14:textId="1F4A7241" w:rsidR="008C65C4" w:rsidRDefault="008C65C4" w:rsidP="00920FE7">
      <w:pPr>
        <w:ind w:left="1440" w:hanging="1440"/>
        <w:jc w:val="both"/>
      </w:pPr>
    </w:p>
    <w:p w14:paraId="523AD3A7" w14:textId="44471006" w:rsidR="00920FE7" w:rsidRPr="00355167" w:rsidRDefault="00920FE7" w:rsidP="00355167">
      <w:pPr>
        <w:ind w:left="720" w:firstLine="720"/>
        <w:rPr>
          <w:u w:val="single"/>
        </w:rPr>
      </w:pPr>
      <w:r w:rsidRPr="00355167">
        <w:rPr>
          <w:u w:val="single"/>
        </w:rPr>
        <w:t>Revenue Forecast Increases</w:t>
      </w:r>
    </w:p>
    <w:p w14:paraId="35D68FC0" w14:textId="77777777" w:rsidR="00920FE7" w:rsidRPr="00920FE7" w:rsidRDefault="00920FE7" w:rsidP="00920FE7">
      <w:pPr>
        <w:ind w:left="1440" w:hanging="1440"/>
        <w:jc w:val="both"/>
        <w:rPr>
          <w:u w:val="single"/>
        </w:rPr>
      </w:pPr>
    </w:p>
    <w:p w14:paraId="035589AD" w14:textId="20D39768" w:rsidR="00920FE7" w:rsidRDefault="00920FE7" w:rsidP="00920FE7">
      <w:pPr>
        <w:ind w:left="1440" w:hanging="1440"/>
        <w:jc w:val="both"/>
      </w:pPr>
      <w:r>
        <w:tab/>
      </w:r>
      <w:r w:rsidRPr="00920FE7">
        <w:t xml:space="preserve">OPC witness Dr. David Dismukes recommends after reviewing TECO’s retail revenue forecast that 2025 forecasted test year achieved revenues should be increased by at least $12 million and that the Commission should make the reasonable adjustment of simply excluding several proposed, yet poorly documented out-of-model adjustments. He also demonstrates that the forecasted achieved retail revenues should be increased of $20 million in 2026 and $26 million in 2027 by application of the same adjustment. He demonstrates that these adjustments are conservative based on historical under forecasting of TECO’s retail revenues by 2.1%. These OPC recommendations result in a revenue </w:t>
      </w:r>
      <w:r w:rsidRPr="00920FE7">
        <w:lastRenderedPageBreak/>
        <w:t>requirement reduction of $12 million in 2025, and an additional reduction of $7.994 million in 2026, and $6.123 million in 2027.</w:t>
      </w:r>
      <w:r w:rsidR="000204B1">
        <w:t xml:space="preserve"> </w:t>
      </w:r>
      <w:r w:rsidRPr="00920FE7">
        <w:t>Dr. Dismukes also recommends that the Commission consider energy affordability in this proceeding, and all future utility base rate proceedings, in evaluating rate increase requests consistent with the trends in other U.S. regulatory jurisdictions.</w:t>
      </w:r>
    </w:p>
    <w:p w14:paraId="038F6BEC" w14:textId="77777777" w:rsidR="00920FE7" w:rsidRPr="00920FE7" w:rsidRDefault="00920FE7" w:rsidP="00920FE7">
      <w:pPr>
        <w:ind w:left="1440" w:hanging="1440"/>
        <w:jc w:val="both"/>
      </w:pPr>
    </w:p>
    <w:p w14:paraId="302BE772" w14:textId="09B9EE34" w:rsidR="00920FE7" w:rsidRPr="00C61359" w:rsidRDefault="005F3228" w:rsidP="00C61359">
      <w:pPr>
        <w:ind w:left="720" w:firstLine="720"/>
        <w:rPr>
          <w:u w:val="single"/>
        </w:rPr>
      </w:pPr>
      <w:r w:rsidRPr="00C61359">
        <w:rPr>
          <w:u w:val="single"/>
        </w:rPr>
        <w:t>SYAs—</w:t>
      </w:r>
      <w:r w:rsidR="00920FE7" w:rsidRPr="00C61359">
        <w:rPr>
          <w:u w:val="single"/>
        </w:rPr>
        <w:t xml:space="preserve">Grid Reliability and Resiliency </w:t>
      </w:r>
      <w:r w:rsidRPr="00C61359">
        <w:rPr>
          <w:u w:val="single"/>
        </w:rPr>
        <w:t>Projects</w:t>
      </w:r>
    </w:p>
    <w:p w14:paraId="1F5AC86C" w14:textId="77777777" w:rsidR="00920FE7" w:rsidRPr="00920FE7" w:rsidRDefault="00920FE7" w:rsidP="00920FE7">
      <w:pPr>
        <w:ind w:left="1440" w:hanging="1440"/>
        <w:jc w:val="both"/>
        <w:rPr>
          <w:u w:val="single"/>
        </w:rPr>
      </w:pPr>
    </w:p>
    <w:p w14:paraId="78C7A010" w14:textId="753AFB24" w:rsidR="00920FE7" w:rsidRDefault="00920FE7" w:rsidP="00920FE7">
      <w:pPr>
        <w:ind w:left="1440" w:hanging="1440"/>
        <w:jc w:val="both"/>
      </w:pPr>
      <w:r>
        <w:tab/>
      </w:r>
      <w:r w:rsidRPr="00920FE7">
        <w:t xml:space="preserve">OPC witness Kevin Mara reviewed TECO’s proposal for projects in 2026 and 2027 that TECO included under its </w:t>
      </w:r>
      <w:r w:rsidR="008E3DF7">
        <w:t>GRR Projects</w:t>
      </w:r>
      <w:r w:rsidRPr="00920FE7">
        <w:t xml:space="preserve">. He recommends that the total costs associated with the </w:t>
      </w:r>
      <w:r w:rsidR="00016701">
        <w:t>GRR Projects</w:t>
      </w:r>
      <w:r w:rsidRPr="00920FE7">
        <w:t xml:space="preserve"> be excluded from the SYAs since the SYAs are not the proper funding mechanism for various reasons (</w:t>
      </w:r>
      <w:r w:rsidRPr="00276D9F">
        <w:rPr>
          <w:iCs/>
        </w:rPr>
        <w:t>i.e.</w:t>
      </w:r>
      <w:r w:rsidRPr="00276D9F">
        <w:t xml:space="preserve">, </w:t>
      </w:r>
      <w:r w:rsidRPr="00920FE7">
        <w:t>not completed by end of the SYA period, otherwise routine replacements, and not Board approved). He also recommends that $7.94 million be excluded for the excess number of spare power transformers and that all the Distribution Feeder Hardening cost be included for consideration in the storm protection plan (SPP) process and its clause recovery for a decrease of $7.97 million. These OPC recommendations result in a revenue reduction of $0.718 million in the 2025 test year, and $4.599 million in SYA 2026</w:t>
      </w:r>
      <w:r w:rsidR="00276D9F">
        <w:t>,</w:t>
      </w:r>
      <w:r w:rsidRPr="00920FE7">
        <w:t xml:space="preserve"> and $28.788 million in SYA 2027.</w:t>
      </w:r>
    </w:p>
    <w:p w14:paraId="1D5474EF" w14:textId="77777777" w:rsidR="00920FE7" w:rsidRPr="00920FE7" w:rsidRDefault="00920FE7" w:rsidP="00920FE7">
      <w:pPr>
        <w:ind w:left="1440" w:hanging="1440"/>
        <w:jc w:val="both"/>
      </w:pPr>
    </w:p>
    <w:p w14:paraId="4C16B6B0" w14:textId="77777777" w:rsidR="00920FE7" w:rsidRDefault="00920FE7" w:rsidP="00920FE7">
      <w:pPr>
        <w:ind w:left="1440" w:hanging="1440"/>
        <w:jc w:val="both"/>
        <w:rPr>
          <w:u w:val="single"/>
        </w:rPr>
      </w:pPr>
      <w:r w:rsidRPr="00920FE7">
        <w:tab/>
      </w:r>
      <w:r w:rsidRPr="00920FE7">
        <w:rPr>
          <w:u w:val="single"/>
        </w:rPr>
        <w:t>Cost of Capital</w:t>
      </w:r>
    </w:p>
    <w:p w14:paraId="1E6B4AD1" w14:textId="77777777" w:rsidR="00920FE7" w:rsidRPr="00920FE7" w:rsidRDefault="00920FE7" w:rsidP="00920FE7">
      <w:pPr>
        <w:ind w:left="1440" w:hanging="1440"/>
        <w:jc w:val="both"/>
        <w:rPr>
          <w:u w:val="single"/>
        </w:rPr>
      </w:pPr>
    </w:p>
    <w:p w14:paraId="1521F557" w14:textId="1372E6DA" w:rsidR="00920FE7" w:rsidRDefault="00920FE7" w:rsidP="00920FE7">
      <w:pPr>
        <w:ind w:left="1440" w:hanging="1440"/>
        <w:jc w:val="both"/>
      </w:pPr>
      <w:r>
        <w:tab/>
      </w:r>
      <w:r w:rsidRPr="00920FE7">
        <w:t>OPC witness Dr. Woolridge conducted a review of appropriate cost of equity and equity ratio for TECO. Based on his acceptance of TECO’s requested high equity ratio of 54%, he recommends a ROE of 9.50% yielding an overall fair rate of return (ROR) from investor capital of 7.19%. OPC’s ROE recommendation results in a revenue reduction of $126.379 million in 2025 and an additional revenue reduction of $9.273 million in SYA 2026 and $5.022 million in SYA 2027.</w:t>
      </w:r>
    </w:p>
    <w:p w14:paraId="39A79A5E" w14:textId="77777777" w:rsidR="00D112E7" w:rsidRDefault="00D112E7" w:rsidP="00920FE7">
      <w:pPr>
        <w:ind w:left="1440" w:hanging="1440"/>
        <w:jc w:val="both"/>
      </w:pPr>
    </w:p>
    <w:p w14:paraId="3D4C3769" w14:textId="77777777" w:rsidR="00920FE7" w:rsidRDefault="00920FE7" w:rsidP="00920FE7">
      <w:pPr>
        <w:ind w:left="1440" w:hanging="1440"/>
        <w:jc w:val="both"/>
        <w:rPr>
          <w:bCs/>
          <w:u w:val="single"/>
        </w:rPr>
      </w:pPr>
      <w:r w:rsidRPr="00920FE7">
        <w:rPr>
          <w:bCs/>
        </w:rPr>
        <w:tab/>
      </w:r>
      <w:r w:rsidRPr="00920FE7">
        <w:rPr>
          <w:bCs/>
          <w:u w:val="single"/>
        </w:rPr>
        <w:t xml:space="preserve">Affiliate Transactions </w:t>
      </w:r>
    </w:p>
    <w:p w14:paraId="2FF67E54" w14:textId="77777777" w:rsidR="00920FE7" w:rsidRPr="00920FE7" w:rsidRDefault="00920FE7" w:rsidP="00920FE7">
      <w:pPr>
        <w:ind w:left="1440" w:hanging="1440"/>
        <w:jc w:val="both"/>
        <w:rPr>
          <w:bCs/>
          <w:u w:val="single"/>
        </w:rPr>
      </w:pPr>
    </w:p>
    <w:p w14:paraId="1E59256C" w14:textId="7EFFAF5F" w:rsidR="00920FE7" w:rsidRDefault="00920FE7" w:rsidP="00920FE7">
      <w:pPr>
        <w:ind w:left="1440" w:hanging="1440"/>
        <w:jc w:val="both"/>
      </w:pPr>
      <w:r w:rsidRPr="00920FE7">
        <w:tab/>
        <w:t xml:space="preserve">OPC witness Bion Ostrander reviewed TECO’s affiliate transactions, the applicable Cost Allocation Manuals (CAMs) and reviewed TECO’s procedures related to affiliate transactions. Based on deficiencies in TECO’s affiliate processes, he recommends changing the allocation methodology factors in the Modified Massachusetts Method (MMM), putting into place a CAM for cost allocated from Emera to TECO, and disallowing one half of unsupported expense. He also recommends that the Commission require TECO to discontinue operating as the central service provider </w:t>
      </w:r>
      <w:r w:rsidR="00274DF6">
        <w:t xml:space="preserve">(CSP) </w:t>
      </w:r>
      <w:r w:rsidRPr="00920FE7">
        <w:t xml:space="preserve">or require the nine measures outlined more fully in his testimony. These are summarized as follows: (1) implement a plan for achieving recommendations; (2) identify costs saving as </w:t>
      </w:r>
      <w:r w:rsidR="00C33B81">
        <w:t xml:space="preserve">CSP </w:t>
      </w:r>
      <w:r w:rsidRPr="00920FE7">
        <w:t xml:space="preserve">and flow back to customers; (3) document and explain when affiliate takes back share service in-house; (4) change accounting to track and audit affiliate transactions easily; (5) reconcile accounting in (4) to FERC Form 1; (6) have an external audit of CSP </w:t>
      </w:r>
      <w:r w:rsidRPr="00920FE7">
        <w:lastRenderedPageBreak/>
        <w:t xml:space="preserve">role; (7) monthly invoices for CSP services; (8) Emera and TECO should have written internal controls; and (9) Emera should perform an internal audit of TECO as CSP. The overall effect of OPC’s affiliate transactions recommendations results in a revenue reduction of $6.313 million in the 2025 test year. </w:t>
      </w:r>
    </w:p>
    <w:p w14:paraId="5CFD6FF5" w14:textId="77777777" w:rsidR="00920FE7" w:rsidRPr="00920FE7" w:rsidRDefault="00920FE7" w:rsidP="00920FE7">
      <w:pPr>
        <w:ind w:left="1440" w:hanging="1440"/>
        <w:jc w:val="both"/>
        <w:rPr>
          <w:b/>
        </w:rPr>
      </w:pPr>
    </w:p>
    <w:p w14:paraId="01BCEE0A" w14:textId="7A189745" w:rsidR="00920FE7" w:rsidRDefault="00920FE7" w:rsidP="00920FE7">
      <w:pPr>
        <w:ind w:left="1440" w:hanging="1440"/>
        <w:jc w:val="both"/>
        <w:rPr>
          <w:u w:val="single"/>
        </w:rPr>
      </w:pPr>
      <w:r w:rsidRPr="00920FE7">
        <w:tab/>
      </w:r>
      <w:r w:rsidRPr="00920FE7">
        <w:rPr>
          <w:u w:val="single"/>
        </w:rPr>
        <w:t xml:space="preserve">Solar and Battery </w:t>
      </w:r>
      <w:r w:rsidR="0046607F">
        <w:rPr>
          <w:u w:val="single"/>
        </w:rPr>
        <w:t>L</w:t>
      </w:r>
      <w:r w:rsidRPr="00920FE7">
        <w:rPr>
          <w:u w:val="single"/>
        </w:rPr>
        <w:t xml:space="preserve">ives, </w:t>
      </w:r>
      <w:r w:rsidR="0046607F">
        <w:rPr>
          <w:u w:val="single"/>
        </w:rPr>
        <w:t>I</w:t>
      </w:r>
      <w:r w:rsidRPr="00920FE7">
        <w:rPr>
          <w:u w:val="single"/>
        </w:rPr>
        <w:t xml:space="preserve">nvestment and </w:t>
      </w:r>
      <w:r w:rsidR="0046607F">
        <w:rPr>
          <w:u w:val="single"/>
        </w:rPr>
        <w:t>P</w:t>
      </w:r>
      <w:r w:rsidRPr="00920FE7">
        <w:rPr>
          <w:u w:val="single"/>
        </w:rPr>
        <w:t xml:space="preserve">roduction </w:t>
      </w:r>
      <w:r w:rsidR="0046607F">
        <w:rPr>
          <w:u w:val="single"/>
        </w:rPr>
        <w:t>T</w:t>
      </w:r>
      <w:r w:rsidRPr="00920FE7">
        <w:rPr>
          <w:u w:val="single"/>
        </w:rPr>
        <w:t xml:space="preserve">ax </w:t>
      </w:r>
      <w:r w:rsidR="0046607F">
        <w:rPr>
          <w:u w:val="single"/>
        </w:rPr>
        <w:t>C</w:t>
      </w:r>
      <w:r w:rsidRPr="00920FE7">
        <w:rPr>
          <w:u w:val="single"/>
        </w:rPr>
        <w:t xml:space="preserve">redits, and </w:t>
      </w:r>
      <w:r w:rsidR="0046607F">
        <w:rPr>
          <w:u w:val="single"/>
        </w:rPr>
        <w:t>O</w:t>
      </w:r>
      <w:r w:rsidRPr="00920FE7">
        <w:rPr>
          <w:u w:val="single"/>
        </w:rPr>
        <w:t xml:space="preserve">ther </w:t>
      </w:r>
      <w:r w:rsidR="0046607F">
        <w:rPr>
          <w:u w:val="single"/>
        </w:rPr>
        <w:t>A</w:t>
      </w:r>
      <w:r w:rsidRPr="00920FE7">
        <w:rPr>
          <w:u w:val="single"/>
        </w:rPr>
        <w:t>djustments</w:t>
      </w:r>
    </w:p>
    <w:p w14:paraId="4804958D" w14:textId="77777777" w:rsidR="00920FE7" w:rsidRPr="00920FE7" w:rsidRDefault="00920FE7" w:rsidP="00920FE7">
      <w:pPr>
        <w:ind w:left="1440" w:hanging="1440"/>
        <w:jc w:val="both"/>
        <w:rPr>
          <w:u w:val="single"/>
        </w:rPr>
      </w:pPr>
    </w:p>
    <w:p w14:paraId="72EA2A99" w14:textId="56200E3D" w:rsidR="00920FE7" w:rsidRDefault="00920FE7" w:rsidP="00920FE7">
      <w:pPr>
        <w:ind w:left="1440" w:hanging="1440"/>
        <w:jc w:val="both"/>
      </w:pPr>
      <w:r>
        <w:tab/>
      </w:r>
      <w:r w:rsidRPr="00920FE7">
        <w:t>OPC witness Lane Kollen recommends maintaining th</w:t>
      </w:r>
      <w:r w:rsidRPr="00F11985">
        <w:t xml:space="preserve">e </w:t>
      </w:r>
      <w:r w:rsidRPr="00F11985">
        <w:rPr>
          <w:iCs/>
        </w:rPr>
        <w:t>status quo</w:t>
      </w:r>
      <w:r w:rsidRPr="00F11985">
        <w:t xml:space="preserve"> fo</w:t>
      </w:r>
      <w:r w:rsidRPr="00920FE7">
        <w:t>r the lives of the Solar facilities at 35 years and Battery Storage at 20 years based on the utility planning. He also recommends adjustments for amortizing over three years the deferred ITCs and deferred PTCs with carrying costs. Mr. Kollen also makes adjustments to reduce the revenue requirement for expense related to planned generation maintenance for major outages expense, pensions, portion of active employee</w:t>
      </w:r>
      <w:r w:rsidR="003705C9">
        <w:t xml:space="preserve"> </w:t>
      </w:r>
      <w:r w:rsidR="003705C9" w:rsidRPr="003705C9">
        <w:t>Other Post-retirement Employee Benefit</w:t>
      </w:r>
      <w:r w:rsidRPr="00920FE7">
        <w:t xml:space="preserve"> </w:t>
      </w:r>
      <w:r w:rsidR="003705C9">
        <w:t>(</w:t>
      </w:r>
      <w:r w:rsidRPr="00920FE7">
        <w:t>OPEB</w:t>
      </w:r>
      <w:r w:rsidR="003705C9">
        <w:t>)</w:t>
      </w:r>
      <w:r w:rsidRPr="00920FE7">
        <w:t xml:space="preserve">, long-term incentive compensation, SERP, 50% of </w:t>
      </w:r>
      <w:r w:rsidR="001E43D4" w:rsidRPr="00F528AE">
        <w:t>Directors and Officers</w:t>
      </w:r>
      <w:r w:rsidR="001E43D4" w:rsidRPr="00920FE7">
        <w:t xml:space="preserve"> </w:t>
      </w:r>
      <w:r w:rsidR="001E43D4">
        <w:t>(</w:t>
      </w:r>
      <w:r w:rsidRPr="00920FE7">
        <w:t>D&amp;O</w:t>
      </w:r>
      <w:r w:rsidR="001E43D4">
        <w:t>)</w:t>
      </w:r>
      <w:r w:rsidRPr="00920FE7">
        <w:t xml:space="preserve"> insurance premiums, and 50% of Board of Directors expense. These OPC</w:t>
      </w:r>
      <w:r w:rsidR="00092A31">
        <w:t xml:space="preserve"> </w:t>
      </w:r>
      <w:r w:rsidRPr="00920FE7">
        <w:t>recommendations result in a revenue reduction of at least $75.734 million in the 2025 test year revenue requirement. Some of the recommended adjustments result in an additional revenue requirement reduction of at least $17.952 million in SYA 2026 and at least $13.699 million in SYA 2027.</w:t>
      </w:r>
    </w:p>
    <w:p w14:paraId="1C712167" w14:textId="77777777" w:rsidR="00920FE7" w:rsidRPr="00920FE7" w:rsidRDefault="00920FE7" w:rsidP="00920FE7">
      <w:pPr>
        <w:ind w:left="1440" w:hanging="1440"/>
        <w:jc w:val="both"/>
      </w:pPr>
    </w:p>
    <w:p w14:paraId="3B1B1C99" w14:textId="77777777" w:rsidR="00920FE7" w:rsidRPr="00234857" w:rsidRDefault="00920FE7" w:rsidP="00920FE7">
      <w:pPr>
        <w:ind w:left="1440" w:hanging="1440"/>
        <w:jc w:val="both"/>
      </w:pPr>
      <w:r>
        <w:tab/>
      </w:r>
      <w:r w:rsidRPr="00920FE7">
        <w:t>OPC will demonstrate deficiencies in the testimony and evidence presented by TECO’s witnesses. In today’s tough economic climate, TECO’s customers are already under great financial pressure, so any increase will have a significant impact on them. Now, more than ever, the Commission must consider affordability of the customer’s bills when evaluating TECO’s rate request. Ultimately, the Commission must hold TECO to its burden and only approve the portions of TECO’s rate request which are fair, just, and reasonable.</w:t>
      </w:r>
    </w:p>
    <w:p w14:paraId="1A24EB8E" w14:textId="77777777" w:rsidR="00234857" w:rsidRPr="00701945" w:rsidRDefault="00234857" w:rsidP="00C7699A">
      <w:pPr>
        <w:jc w:val="both"/>
      </w:pPr>
    </w:p>
    <w:p w14:paraId="156D757D" w14:textId="77777777" w:rsidR="00AB531D" w:rsidRDefault="00B007A3" w:rsidP="00C7699A">
      <w:pPr>
        <w:ind w:left="1440" w:hanging="1440"/>
        <w:jc w:val="both"/>
        <w:rPr>
          <w:b/>
          <w:bCs/>
        </w:rPr>
      </w:pPr>
      <w:r>
        <w:rPr>
          <w:b/>
          <w:bCs/>
        </w:rPr>
        <w:t>FL</w:t>
      </w:r>
      <w:r w:rsidR="00A87B30">
        <w:rPr>
          <w:b/>
          <w:bCs/>
        </w:rPr>
        <w:t xml:space="preserve"> RISING/</w:t>
      </w:r>
    </w:p>
    <w:p w14:paraId="2340FA27" w14:textId="36858DA3" w:rsidR="00B007A3" w:rsidRDefault="00A87B30" w:rsidP="00AB531D">
      <w:pPr>
        <w:ind w:left="1440" w:hanging="1440"/>
        <w:jc w:val="both"/>
      </w:pPr>
      <w:r>
        <w:rPr>
          <w:b/>
          <w:bCs/>
        </w:rPr>
        <w:t>LULAC</w:t>
      </w:r>
      <w:r w:rsidR="00C7699A" w:rsidRPr="005D4B47">
        <w:rPr>
          <w:b/>
          <w:bCs/>
        </w:rPr>
        <w:t>:</w:t>
      </w:r>
      <w:r w:rsidR="00C7699A" w:rsidRPr="005D4B47">
        <w:tab/>
      </w:r>
      <w:r w:rsidR="00B007A3">
        <w:t>The Commission should deny TECO</w:t>
      </w:r>
      <w:r w:rsidR="00BF064E">
        <w:t>’s</w:t>
      </w:r>
      <w:r w:rsidR="00B007A3">
        <w:t xml:space="preserve"> request for increased rates. Last year, TECO had the third highest residential electricity bills in the nation, out of 149 utilities with more than 100,000 residential customers. Despite its already-high bills, TECO now requests a $296.6 million revenue increase for 2025 and recommends it receive an astounding midpoint ROE of 11.5%. Moreover, under TECO’s </w:t>
      </w:r>
      <w:r w:rsidR="00457165">
        <w:t xml:space="preserve">4CP </w:t>
      </w:r>
      <w:r w:rsidR="00B007A3">
        <w:t>and M</w:t>
      </w:r>
      <w:r w:rsidR="00457165">
        <w:t>DS</w:t>
      </w:r>
      <w:r w:rsidR="00B007A3">
        <w:t xml:space="preserve"> cost-of-service methodology, it wants to continue shifting a majority of its additional costs away from large commercial and industrial customers and onto residential customers.</w:t>
      </w:r>
    </w:p>
    <w:p w14:paraId="0EC9776C" w14:textId="77777777" w:rsidR="00B007A3" w:rsidRDefault="00B007A3" w:rsidP="00B007A3">
      <w:pPr>
        <w:ind w:left="1440"/>
      </w:pPr>
    </w:p>
    <w:p w14:paraId="61F72820" w14:textId="5BADEA6E" w:rsidR="00B007A3" w:rsidRDefault="00B007A3" w:rsidP="00AB531D">
      <w:pPr>
        <w:ind w:left="1440"/>
        <w:jc w:val="both"/>
      </w:pPr>
      <w:r>
        <w:t xml:space="preserve">First, the MDS approach TECO uses is economically regressive, defies cost causation principles, and forces lower energy usage customers—typically low-income customers—to subsidize wealthier, higher usage customers. The MDS approach classifies demand costs as customer-related despite the fact that these extrapolated costs do not reflect the actual cost of connecting a customer to the </w:t>
      </w:r>
      <w:r>
        <w:lastRenderedPageBreak/>
        <w:t xml:space="preserve">grid. TECO’s approach thus uses inflated fixed residential electricity charges, creating greater impacts on low-income customers given the high correlation among TECO customers between low usage rates and lower household income.  The </w:t>
      </w:r>
      <w:r w:rsidR="00267784">
        <w:t>4</w:t>
      </w:r>
      <w:r>
        <w:t xml:space="preserve">CP approach used by TECO also unduly burdens residential customers.  </w:t>
      </w:r>
      <w:r w:rsidR="00806995">
        <w:t>4</w:t>
      </w:r>
      <w:r>
        <w:t xml:space="preserve">CP focuses narrowly on peak demand, allowing residential customers to subsidize large commercial and industrial customers with relatively flat loads.  For instance, use of </w:t>
      </w:r>
      <w:r w:rsidR="00E57578">
        <w:t>4</w:t>
      </w:r>
      <w:r>
        <w:t xml:space="preserve">CP creates an additional $71 million in costs residential customers would not otherwise have to pay under a </w:t>
      </w:r>
      <w:r w:rsidR="00E57578">
        <w:t>12</w:t>
      </w:r>
      <w:r>
        <w:t>CP and 1/13</w:t>
      </w:r>
      <w:r w:rsidR="00E57578" w:rsidRPr="00E57578">
        <w:rPr>
          <w:vertAlign w:val="superscript"/>
        </w:rPr>
        <w:t>th</w:t>
      </w:r>
      <w:r w:rsidR="00E57578">
        <w:t xml:space="preserve"> </w:t>
      </w:r>
      <w:r>
        <w:t xml:space="preserve">AD method, without the use of MDS. </w:t>
      </w:r>
    </w:p>
    <w:p w14:paraId="61CB2ED0" w14:textId="77777777" w:rsidR="00B007A3" w:rsidRDefault="00B007A3" w:rsidP="00AB531D">
      <w:pPr>
        <w:ind w:left="1440"/>
        <w:jc w:val="both"/>
      </w:pPr>
    </w:p>
    <w:p w14:paraId="4ACFBD93" w14:textId="5F4C4579" w:rsidR="00B007A3" w:rsidRDefault="00B007A3" w:rsidP="00AB531D">
      <w:pPr>
        <w:ind w:left="1440"/>
        <w:jc w:val="both"/>
      </w:pPr>
      <w:r>
        <w:t xml:space="preserve">Additionally, TECO’s Future Solar Investments, totaling $786.4 million, reflect the bulk of its recent generation investments. Under its current cost-of-service methodology, TECO seeks to allocate </w:t>
      </w:r>
      <w:r>
        <w:rPr>
          <w:i/>
          <w:iCs/>
        </w:rPr>
        <w:t>all</w:t>
      </w:r>
      <w:r>
        <w:t xml:space="preserve"> of these investment costs based on capacity demands, pushing more of the costs onto residential customers contributing to peak load. This methodology does not promote just and reasonable rates. TECO readily acknowledges that the value of its solar investments comes from the total energy solar produces throughout the day, not its small contributions to peak demand. For instance, a 74.5 MW solar power plant placed in service in 2027 will contribute a mere 1.5% of its total nameplate capacity to meet the summer peak and will contribute nothing to the winter peak. Thus, to effect just and reasonable rates, TECO should not allocate most of these costs to residential customers when large commercial and industrial customers consistently use large amounts of energy throughout the day.</w:t>
      </w:r>
    </w:p>
    <w:p w14:paraId="1EA88C57" w14:textId="77777777" w:rsidR="00B007A3" w:rsidRDefault="00B007A3" w:rsidP="00AB531D">
      <w:pPr>
        <w:ind w:left="1440"/>
        <w:jc w:val="both"/>
      </w:pPr>
    </w:p>
    <w:p w14:paraId="431CBA93" w14:textId="207A601B" w:rsidR="00B007A3" w:rsidRDefault="00B007A3" w:rsidP="00AB531D">
      <w:pPr>
        <w:ind w:left="1440"/>
        <w:jc w:val="both"/>
      </w:pPr>
      <w:r>
        <w:t>In addition to TECO charging residential customers for solar investments that minimally contribute to peak demand, TECO requests that residential customers pay for the bulk of other new generating projects they will derive little to no benefit from and that are unnecessary for maintaining adequate reserve margins.  For example, TECO wants to recover costs for the roughly $200 million fossil-fueled South Tampa Resilience Project, which essentially acts like a subsidy to the U.S. government. TECO also wants to spend almost $54 million to increase TECO’s dependence on oil with its Polk Fuel Diversity Project, and TECO seeks to recover for its Polk 1 Flexibility Project even though retirement of the unit will yield savings for customers.</w:t>
      </w:r>
    </w:p>
    <w:p w14:paraId="11C5AA01" w14:textId="77777777" w:rsidR="00510C01" w:rsidRDefault="00510C01" w:rsidP="00AB531D">
      <w:pPr>
        <w:ind w:left="1440"/>
        <w:jc w:val="both"/>
      </w:pPr>
    </w:p>
    <w:p w14:paraId="50EB247D" w14:textId="224E4856" w:rsidR="00B007A3" w:rsidRDefault="00B007A3" w:rsidP="00AB531D">
      <w:pPr>
        <w:ind w:left="1440"/>
        <w:jc w:val="both"/>
      </w:pPr>
      <w:r w:rsidRPr="00E45B06">
        <w:t>TECO additionally requests rate recovery from mostly residential customers for other non-generating portions of its recent spending spree</w:t>
      </w:r>
      <w:r>
        <w:t xml:space="preserve">. TECO wants to recover the costs for a new Corporate Headquarters—coming in at a revenue requirement of over $1 billion—that weighs the importance of employee parking and nearby amenities above that of grid resilience and reliability. TECO also wants to charge customers over $33 million annually for short- and long-term employment compensation packages that encourage employees to forego affordability considerations and promote cost increases. Additionally, in 2025 alone, TECO will spend $716 million on new transmission and distribution projects. These projects include the </w:t>
      </w:r>
      <w:r w:rsidR="00D164FF">
        <w:t xml:space="preserve">GRR </w:t>
      </w:r>
      <w:r>
        <w:t xml:space="preserve">Projects, expensive transmission </w:t>
      </w:r>
      <w:r>
        <w:lastRenderedPageBreak/>
        <w:t xml:space="preserve">investments destined for quick obsolescence. Among other increased service charges, TECO also proposes to increase its Initial Service Connection fee to $168.00, well above Florida’s inflation rate last year and well above the other Florida </w:t>
      </w:r>
      <w:r w:rsidR="005200FA">
        <w:t>investor-owned utilities (</w:t>
      </w:r>
      <w:r>
        <w:t>IOUs</w:t>
      </w:r>
      <w:r w:rsidR="005200FA">
        <w:t>)</w:t>
      </w:r>
      <w:r>
        <w:t xml:space="preserve"> and public utilities.  </w:t>
      </w:r>
    </w:p>
    <w:p w14:paraId="67E3ABA5" w14:textId="77777777" w:rsidR="00B007A3" w:rsidRDefault="00B007A3" w:rsidP="00AB531D">
      <w:pPr>
        <w:ind w:left="1440"/>
        <w:jc w:val="both"/>
      </w:pPr>
    </w:p>
    <w:p w14:paraId="243CC9C9" w14:textId="6AD6A539" w:rsidR="00C7699A" w:rsidRDefault="00B007A3" w:rsidP="00AB531D">
      <w:pPr>
        <w:ind w:left="1440"/>
        <w:jc w:val="both"/>
      </w:pPr>
      <w:r>
        <w:t xml:space="preserve">The Commission should prohibit TECO from using its out-of-step and regressive MDS method that yields a $1.07 per customer per day charge, when that charge should be no higher than $0.43 per customer per day. The Commission should also approve a midpoint ROE of no higher than 9.50% to provide significant affordability improvements without sacrificing reliability. Additionally, the Commission should reject TECO’s use of </w:t>
      </w:r>
      <w:r w:rsidR="009A4DA8">
        <w:t>4</w:t>
      </w:r>
      <w:r>
        <w:t xml:space="preserve">CP and MDS and instead permit a </w:t>
      </w:r>
      <w:r w:rsidR="00EB7507">
        <w:t>12</w:t>
      </w:r>
      <w:r>
        <w:t>CP and 50% AD method, given, among other reasons, that most of TECO’s new generation is solar and thus contributes only minimally to capacity at peak load. As it stands, TECO’s current proposals in this rate case will result in unjust and unreasonable rates in defiance of basic ratemaking principles and Florida law.</w:t>
      </w:r>
    </w:p>
    <w:p w14:paraId="4B15ECA0" w14:textId="77777777" w:rsidR="00A87B30" w:rsidRDefault="00A87B30" w:rsidP="00C7699A">
      <w:pPr>
        <w:jc w:val="both"/>
      </w:pPr>
    </w:p>
    <w:p w14:paraId="23239057" w14:textId="2C232439" w:rsidR="00D2239E" w:rsidRPr="00D2239E" w:rsidRDefault="00A87B30" w:rsidP="00234857">
      <w:pPr>
        <w:ind w:left="1440" w:hanging="1440"/>
        <w:jc w:val="both"/>
      </w:pPr>
      <w:r w:rsidRPr="00D2239E">
        <w:rPr>
          <w:b/>
          <w:bCs/>
        </w:rPr>
        <w:t>FIPUG:</w:t>
      </w:r>
      <w:r w:rsidR="00D2239E" w:rsidRPr="00D2239E">
        <w:rPr>
          <w:b/>
          <w:bCs/>
        </w:rPr>
        <w:tab/>
      </w:r>
      <w:r w:rsidR="00D2239E" w:rsidRPr="00D2239E">
        <w:t xml:space="preserve">TECO’s total rate case request is overstated, as the company seeks to increase customer rates by nearly 30% during the next three years, featuring a significant 20% rate increase in 2025 alone. A host of adjustments are in order that will meaningfully reduce TECO’s total ask of $296.6 million dollars, adjustments that will be detailed by evidence adduced at the upcoming rate case hearing. For example, TECO’s requested </w:t>
      </w:r>
      <w:r w:rsidR="002A7402">
        <w:t>R</w:t>
      </w:r>
      <w:r w:rsidR="00D2239E" w:rsidRPr="00D2239E">
        <w:t xml:space="preserve">OE of 11.5% is 130 basis points, or approximately $130 million dollars higher than the 10.2% percent ROE that was unanimously agreed to by all the parties in the 2021 Settlement Agreement. The nationwide average for vertically-integrated electric </w:t>
      </w:r>
      <w:r w:rsidR="002951FE">
        <w:t>IOUs</w:t>
      </w:r>
      <w:r w:rsidR="00D2239E" w:rsidRPr="00D2239E">
        <w:t xml:space="preserve"> in rate case decisions during 2023 and through May of 2024 is 9.78%, 172 basis points less or approximately $106 million dollars less than TECO’s ROE request. </w:t>
      </w:r>
    </w:p>
    <w:p w14:paraId="266527C2" w14:textId="77777777" w:rsidR="00D2239E" w:rsidRDefault="00D2239E" w:rsidP="00D2239E">
      <w:pPr>
        <w:pStyle w:val="ListParagraph"/>
        <w:ind w:firstLine="720"/>
        <w:rPr>
          <w:szCs w:val="24"/>
        </w:rPr>
      </w:pPr>
    </w:p>
    <w:p w14:paraId="11B30244" w14:textId="54348E99" w:rsidR="00D2239E" w:rsidRDefault="00D2239E" w:rsidP="00D2239E">
      <w:pPr>
        <w:pStyle w:val="ListParagraph"/>
        <w:ind w:left="1440"/>
        <w:rPr>
          <w:szCs w:val="24"/>
        </w:rPr>
      </w:pPr>
      <w:r>
        <w:rPr>
          <w:szCs w:val="24"/>
        </w:rPr>
        <w:t xml:space="preserve">FIPUG supports the allocation of production and transmission plant using the </w:t>
      </w:r>
      <w:r w:rsidR="008A5A03">
        <w:rPr>
          <w:szCs w:val="24"/>
        </w:rPr>
        <w:t>4CP</w:t>
      </w:r>
      <w:r>
        <w:rPr>
          <w:szCs w:val="24"/>
        </w:rPr>
        <w:t xml:space="preserve"> approach, an approach that was agreed to unanimously in the 2021 Settlement Agreement and approved by the Commission. Put simply, 4CP measures TECO’s system peaks once a month during the system peak during the hottest months of June, July, and August, and once during the coldest month, January. Importantly, TECO’s cost of service study witness Jordon Williams states that the 4CP method reflects cost causation in relation to TECO’s peak demands. The 4CP approach is supported in this case by TECO, FIPUG, and </w:t>
      </w:r>
      <w:r w:rsidR="00292498">
        <w:rPr>
          <w:szCs w:val="24"/>
        </w:rPr>
        <w:t>FEA</w:t>
      </w:r>
      <w:r>
        <w:rPr>
          <w:szCs w:val="24"/>
        </w:rPr>
        <w:t>, and was supported in the 2021 rate case by Wal</w:t>
      </w:r>
      <w:r w:rsidR="003909C6">
        <w:rPr>
          <w:szCs w:val="24"/>
        </w:rPr>
        <w:t>m</w:t>
      </w:r>
      <w:r>
        <w:rPr>
          <w:szCs w:val="24"/>
        </w:rPr>
        <w:t xml:space="preserve">art and </w:t>
      </w:r>
      <w:r w:rsidR="003909C6">
        <w:rPr>
          <w:szCs w:val="24"/>
        </w:rPr>
        <w:t xml:space="preserve">also </w:t>
      </w:r>
      <w:r>
        <w:rPr>
          <w:szCs w:val="24"/>
        </w:rPr>
        <w:t xml:space="preserve">the West Central Florida Hospital Utility Association, </w:t>
      </w:r>
      <w:r w:rsidR="006004CA">
        <w:rPr>
          <w:szCs w:val="24"/>
        </w:rPr>
        <w:t xml:space="preserve">who </w:t>
      </w:r>
      <w:r>
        <w:rPr>
          <w:szCs w:val="24"/>
        </w:rPr>
        <w:t>has</w:t>
      </w:r>
      <w:r w:rsidR="006004CA">
        <w:rPr>
          <w:szCs w:val="24"/>
        </w:rPr>
        <w:t xml:space="preserve"> not</w:t>
      </w:r>
      <w:r>
        <w:rPr>
          <w:szCs w:val="24"/>
        </w:rPr>
        <w:t xml:space="preserve"> intervened in the 2024 rate case.</w:t>
      </w:r>
    </w:p>
    <w:p w14:paraId="1B6A9471" w14:textId="77777777" w:rsidR="00D2239E" w:rsidRDefault="00D2239E" w:rsidP="00D2239E">
      <w:pPr>
        <w:pStyle w:val="ListParagraph"/>
        <w:ind w:firstLine="720"/>
        <w:rPr>
          <w:szCs w:val="24"/>
        </w:rPr>
      </w:pPr>
    </w:p>
    <w:p w14:paraId="62CD6D31" w14:textId="43855D0D" w:rsidR="00D2239E" w:rsidRDefault="00D2239E" w:rsidP="00D2239E">
      <w:pPr>
        <w:pStyle w:val="ListParagraph"/>
        <w:ind w:left="1440"/>
        <w:rPr>
          <w:szCs w:val="24"/>
        </w:rPr>
      </w:pPr>
      <w:r>
        <w:rPr>
          <w:szCs w:val="24"/>
        </w:rPr>
        <w:t xml:space="preserve">FIPUG also supports the use of the MDS rate design approach, a methodology that the Commission has previously approved and which more fairly allocates utility costs to provide distribution service. The MDS approach recognizes that the distribution network must be ready to serve customers, irrespective of the amount of power and energy used by customers. Allocating a portion of distribution network costs on the number of customers recognizes the readiness to </w:t>
      </w:r>
      <w:r>
        <w:rPr>
          <w:szCs w:val="24"/>
        </w:rPr>
        <w:lastRenderedPageBreak/>
        <w:t xml:space="preserve">serve. Accordingly, using MDS to allocate distribution network costs based on the number of customers, which is consistent with cost causation, is the proper approach. </w:t>
      </w:r>
    </w:p>
    <w:p w14:paraId="7DE2EF34" w14:textId="77777777" w:rsidR="00D2239E" w:rsidRDefault="00D2239E" w:rsidP="00D2239E">
      <w:pPr>
        <w:pStyle w:val="ListParagraph"/>
        <w:ind w:firstLine="720"/>
        <w:rPr>
          <w:szCs w:val="24"/>
        </w:rPr>
      </w:pPr>
    </w:p>
    <w:p w14:paraId="05FF8825" w14:textId="77777777" w:rsidR="00D2239E" w:rsidRDefault="00D2239E" w:rsidP="00D2239E">
      <w:pPr>
        <w:pStyle w:val="ListParagraph"/>
        <w:ind w:left="1440"/>
        <w:rPr>
          <w:szCs w:val="24"/>
        </w:rPr>
      </w:pPr>
      <w:r w:rsidRPr="002B78BA">
        <w:rPr>
          <w:szCs w:val="24"/>
        </w:rPr>
        <w:t xml:space="preserve">FIPUG does not support the drastic changes in the time-of-use rating periods proposed by TECO.  Specifically, the proposed Super Off-Peak period would set very low energy prices during daytime hours.  The proposal, which relies solely on speculative projections of marginal energy prices, lacks foundation.  It would also be unprecedented.  No other utility in Florida (which also have significant solar capacity) has a similar low-cost rating period during daytime hours.  This change would be both disruptive (requiring customers to fundamentally change their usage patterns), and it would encourage more energy usage during daytime hours when TECO generally experiences its highest electricity demand, which is contrary to long-standing practice. </w:t>
      </w:r>
    </w:p>
    <w:p w14:paraId="3716966F" w14:textId="77777777" w:rsidR="00D2239E" w:rsidRDefault="00D2239E" w:rsidP="00D2239E">
      <w:pPr>
        <w:pStyle w:val="ListParagraph"/>
        <w:ind w:left="1440"/>
        <w:rPr>
          <w:szCs w:val="24"/>
        </w:rPr>
      </w:pPr>
      <w:r w:rsidRPr="002B78BA">
        <w:rPr>
          <w:szCs w:val="24"/>
        </w:rPr>
        <w:t xml:space="preserve"> </w:t>
      </w:r>
    </w:p>
    <w:p w14:paraId="7895F37E" w14:textId="77777777" w:rsidR="00D2239E" w:rsidRDefault="00D2239E" w:rsidP="00D2239E">
      <w:pPr>
        <w:ind w:left="1440"/>
        <w:jc w:val="both"/>
      </w:pPr>
      <w:r>
        <w:rPr>
          <w:bCs/>
        </w:rPr>
        <w:t>TECO’s cost-effectiveness analysis of its proposed solar projects is lacking and not robust. The benefits are overstated because it uses</w:t>
      </w:r>
      <w:r w:rsidRPr="0069262A">
        <w:rPr>
          <w:bCs/>
        </w:rPr>
        <w:t xml:space="preserve"> inflated natural gas prices and assume</w:t>
      </w:r>
      <w:r>
        <w:rPr>
          <w:bCs/>
        </w:rPr>
        <w:t>s</w:t>
      </w:r>
      <w:r w:rsidRPr="0069262A">
        <w:rPr>
          <w:bCs/>
        </w:rPr>
        <w:t xml:space="preserve"> a value for carbon emissions</w:t>
      </w:r>
      <w:r>
        <w:rPr>
          <w:bCs/>
        </w:rPr>
        <w:t>, a misplaced assumption given that</w:t>
      </w:r>
      <w:r w:rsidRPr="0069262A">
        <w:rPr>
          <w:bCs/>
        </w:rPr>
        <w:t xml:space="preserve"> a tax on fossil fuel emissions </w:t>
      </w:r>
      <w:r>
        <w:rPr>
          <w:bCs/>
        </w:rPr>
        <w:t>has not been enacted in Florida or at the</w:t>
      </w:r>
      <w:r>
        <w:t xml:space="preserve"> federal level.  Additionally, TECO has not provided any assurance or guarantee that it will not exceed the projected construction costs and that it will earn production tax credits as projected.  Absent such guarantees, customers have no certainty of receiving the promised benefits.</w:t>
      </w:r>
    </w:p>
    <w:p w14:paraId="2BAB1A71" w14:textId="77777777" w:rsidR="00DA1A31" w:rsidRDefault="00DA1A31" w:rsidP="00D2239E">
      <w:pPr>
        <w:ind w:left="1440"/>
        <w:jc w:val="both"/>
      </w:pPr>
    </w:p>
    <w:p w14:paraId="5E2229A8" w14:textId="77777777" w:rsidR="00D2239E" w:rsidRDefault="00D2239E" w:rsidP="00D2239E">
      <w:pPr>
        <w:ind w:left="1440"/>
        <w:jc w:val="both"/>
      </w:pPr>
      <w:r>
        <w:rPr>
          <w:bCs/>
        </w:rPr>
        <w:t xml:space="preserve">Should the Commission approve TECO’s Solar Projects, it should impose consumer protections, </w:t>
      </w:r>
      <w:r w:rsidRPr="0069262A">
        <w:rPr>
          <w:bCs/>
        </w:rPr>
        <w:t>including a $1,609/kW cost cap, ensure that TECO credits at least 100% of the production tax credits projected by TECO in its cost-effectiveness analysis (regardless of actual performance), and establish a minimum 26% annual operating capacity factor to ensure that customers receive the projected benefits</w:t>
      </w:r>
      <w:r>
        <w:rPr>
          <w:bCs/>
        </w:rPr>
        <w:t xml:space="preserve"> as suggested by FIPUG witness </w:t>
      </w:r>
      <w:r w:rsidRPr="0069262A">
        <w:rPr>
          <w:bCs/>
        </w:rPr>
        <w:t>Ly</w:t>
      </w:r>
      <w:r>
        <w:rPr>
          <w:bCs/>
        </w:rPr>
        <w:t>.</w:t>
      </w:r>
    </w:p>
    <w:p w14:paraId="5FA4EC3E" w14:textId="77777777" w:rsidR="00A87B30" w:rsidRDefault="00A87B30" w:rsidP="00C7699A">
      <w:pPr>
        <w:jc w:val="both"/>
      </w:pPr>
    </w:p>
    <w:p w14:paraId="5507FB09" w14:textId="0877D21C" w:rsidR="00A87B30" w:rsidRDefault="00A87B30" w:rsidP="000558EA">
      <w:pPr>
        <w:ind w:left="1440" w:hanging="1440"/>
        <w:jc w:val="both"/>
      </w:pPr>
      <w:r>
        <w:rPr>
          <w:b/>
          <w:bCs/>
        </w:rPr>
        <w:t>FEA</w:t>
      </w:r>
      <w:r w:rsidRPr="005D4B47">
        <w:rPr>
          <w:b/>
          <w:bCs/>
        </w:rPr>
        <w:t>:</w:t>
      </w:r>
      <w:r w:rsidR="000558EA">
        <w:rPr>
          <w:b/>
          <w:bCs/>
        </w:rPr>
        <w:tab/>
      </w:r>
      <w:r w:rsidR="000558EA">
        <w:t xml:space="preserve">FEA recommends </w:t>
      </w:r>
      <w:r w:rsidR="001D19D1">
        <w:t>TECO</w:t>
      </w:r>
      <w:r w:rsidR="000558EA">
        <w:t xml:space="preserve"> be awarded a ROE of 9.60%; a capital structure equity ratio of 52.0%; and an overall ROR of 6.36% which reduces TECO’s electric retail revenue requirements by approximately $134.7 million.</w:t>
      </w:r>
    </w:p>
    <w:p w14:paraId="2E36736B" w14:textId="77777777" w:rsidR="000558EA" w:rsidRDefault="000558EA" w:rsidP="000558EA">
      <w:pPr>
        <w:ind w:left="1440" w:hanging="1440"/>
        <w:jc w:val="both"/>
      </w:pPr>
    </w:p>
    <w:p w14:paraId="79F69FF7" w14:textId="32793AA6" w:rsidR="000558EA" w:rsidRDefault="000558EA" w:rsidP="000558EA">
      <w:pPr>
        <w:ind w:left="1440" w:hanging="1440"/>
        <w:jc w:val="both"/>
      </w:pPr>
      <w:r>
        <w:tab/>
        <w:t xml:space="preserve">FEA also proposes several adjustments to </w:t>
      </w:r>
      <w:r w:rsidR="00653E1B">
        <w:t>TECO’s</w:t>
      </w:r>
      <w:r>
        <w:t xml:space="preserve"> proposed</w:t>
      </w:r>
      <w:r w:rsidR="009243F9">
        <w:t xml:space="preserve"> depreciation rates. </w:t>
      </w:r>
      <w:r>
        <w:t xml:space="preserve">These adjustments include a recommendation to: </w:t>
      </w:r>
      <w:r w:rsidR="007F6A35">
        <w:t>(</w:t>
      </w:r>
      <w:r>
        <w:t xml:space="preserve">1) increase the life of the Big Bend and Bayside combined cycle plant from </w:t>
      </w:r>
      <w:r w:rsidR="007F6A35">
        <w:t>a</w:t>
      </w:r>
      <w:r>
        <w:t xml:space="preserve"> 35-year life to 40 years; </w:t>
      </w:r>
      <w:r w:rsidR="002C1CE3">
        <w:t>(</w:t>
      </w:r>
      <w:r>
        <w:t>2) make adjustments to the interim retirement survivor cure for Production plant accounts 312, 341, 342</w:t>
      </w:r>
      <w:r w:rsidR="002C1CE3">
        <w:t>,</w:t>
      </w:r>
      <w:r>
        <w:t xml:space="preserve"> and 343; </w:t>
      </w:r>
      <w:r w:rsidR="002C1CE3">
        <w:t>(</w:t>
      </w:r>
      <w:r>
        <w:t xml:space="preserve">3) maintain the Average Service Life of Account 367 at the current 45-year life and TECO’s proposal to shorten it; and </w:t>
      </w:r>
      <w:r w:rsidR="002C1CE3">
        <w:t>(</w:t>
      </w:r>
      <w:r>
        <w:t>4) make adjustments to the net salvage rates for Transmission, Distribution and General Plant (TD&amp;G) accounts 356, 362, 363, 365, 367, 392.02, 392.03, 392.12, and 392.13. These adjustments are captured in FEA Exhibit BCA-6 and result in a decrease in TECO’s 2024 depreciation expense by $31.38 million.</w:t>
      </w:r>
    </w:p>
    <w:p w14:paraId="60D364FC" w14:textId="700B3306" w:rsidR="000558EA" w:rsidRDefault="003444F6" w:rsidP="000558EA">
      <w:pPr>
        <w:ind w:left="1440" w:hanging="1440"/>
        <w:jc w:val="both"/>
        <w:rPr>
          <w:b/>
          <w:bCs/>
        </w:rPr>
      </w:pPr>
      <w:r>
        <w:lastRenderedPageBreak/>
        <w:tab/>
        <w:t xml:space="preserve">Lastly, FEA supports TECO’s </w:t>
      </w:r>
      <w:r w:rsidR="000558EA">
        <w:t>class cost of service study and TECO’s proposed revenue spread. However, FEA recommends an adjustment to the proposed rate design for the time-of-day rates. Specifically, FEA recommends the GSLDPR demand charge be increased, and the energy charge be reduced to appropriately reflect the demand-related cost that should be collected through demand rates.</w:t>
      </w:r>
    </w:p>
    <w:p w14:paraId="28D601CC" w14:textId="77777777" w:rsidR="00A87B30" w:rsidRDefault="00A87B30" w:rsidP="00C7699A">
      <w:pPr>
        <w:jc w:val="both"/>
        <w:rPr>
          <w:b/>
          <w:bCs/>
        </w:rPr>
      </w:pPr>
    </w:p>
    <w:p w14:paraId="4EB5E0C6" w14:textId="77777777" w:rsidR="00587334" w:rsidRDefault="00587334" w:rsidP="00234857">
      <w:pPr>
        <w:ind w:left="1440" w:hanging="1440"/>
        <w:jc w:val="both"/>
        <w:rPr>
          <w:b/>
          <w:bCs/>
        </w:rPr>
      </w:pPr>
      <w:r>
        <w:rPr>
          <w:b/>
          <w:bCs/>
        </w:rPr>
        <w:t>SIERRA</w:t>
      </w:r>
    </w:p>
    <w:p w14:paraId="350FB851" w14:textId="18614B76" w:rsidR="00A004C2" w:rsidRDefault="00587334" w:rsidP="00234857">
      <w:pPr>
        <w:ind w:left="1440" w:hanging="1440"/>
        <w:jc w:val="both"/>
      </w:pPr>
      <w:r>
        <w:rPr>
          <w:b/>
          <w:bCs/>
        </w:rPr>
        <w:t>CLUB:</w:t>
      </w:r>
      <w:r w:rsidR="00A004C2" w:rsidRPr="00A004C2">
        <w:t xml:space="preserve"> </w:t>
      </w:r>
      <w:r w:rsidR="00A004C2">
        <w:tab/>
      </w:r>
      <w:r w:rsidR="00A004C2" w:rsidRPr="001E3193">
        <w:t>TECO customers face some of the highest electricity rates in the country,</w:t>
      </w:r>
      <w:r w:rsidR="00A004C2">
        <w:t xml:space="preserve"> in part due to TECO’s continued operation of uneconomic and obsolete fossil-fueled generating units.</w:t>
      </w:r>
      <w:r w:rsidR="00A004C2" w:rsidRPr="001E3193">
        <w:t xml:space="preserve"> </w:t>
      </w:r>
      <w:r w:rsidR="00A004C2">
        <w:t>In particular, it is no longer reasonable for</w:t>
      </w:r>
      <w:r w:rsidR="00A004C2" w:rsidRPr="001E3193">
        <w:t xml:space="preserve"> TECO’s ratepayers to shoulder the costs of maintaining outdated coal and petcoke combustion equipment at the Polk Unit 1 and Big Bend Unit 4 generating station</w:t>
      </w:r>
      <w:r w:rsidR="00A004C2">
        <w:t>s</w:t>
      </w:r>
      <w:r w:rsidR="00A004C2" w:rsidRPr="001E3193">
        <w:t>.</w:t>
      </w:r>
      <w:r w:rsidR="00A004C2">
        <w:t xml:space="preserve"> </w:t>
      </w:r>
      <w:r w:rsidR="00A004C2" w:rsidRPr="001E3193">
        <w:t xml:space="preserve">Both plants </w:t>
      </w:r>
      <w:r w:rsidR="00A004C2">
        <w:t>have already been retrofitted such that they can</w:t>
      </w:r>
      <w:r w:rsidR="00A004C2" w:rsidRPr="001E3193">
        <w:t xml:space="preserve"> run </w:t>
      </w:r>
      <w:r w:rsidR="00A004C2">
        <w:t>exclusively</w:t>
      </w:r>
      <w:r w:rsidR="00A004C2" w:rsidRPr="001E3193">
        <w:t xml:space="preserve"> on gas, a lower</w:t>
      </w:r>
      <w:r w:rsidR="00A004C2">
        <w:t>-</w:t>
      </w:r>
      <w:r w:rsidR="00A004C2" w:rsidRPr="001E3193">
        <w:t xml:space="preserve">cost and less polluting fuel than coal and petcoke, yet TECO </w:t>
      </w:r>
      <w:r w:rsidR="00A004C2">
        <w:t>seeks to continue recovering</w:t>
      </w:r>
      <w:r w:rsidR="00A004C2" w:rsidRPr="001E3193">
        <w:t xml:space="preserve"> </w:t>
      </w:r>
      <w:r w:rsidR="00A004C2">
        <w:t>O&amp;M</w:t>
      </w:r>
      <w:r w:rsidR="00A004C2" w:rsidRPr="001E3193">
        <w:t xml:space="preserve"> costs to keep coal and petcoke equipment available</w:t>
      </w:r>
      <w:r w:rsidR="00A004C2">
        <w:t xml:space="preserve">, in addition to saddling TECO customers with the additional costs of fuel volatility and environmental compliance associated with coal production going forward. TECO should be required to retire all integrated gasification (IG) components at Polk </w:t>
      </w:r>
      <w:r w:rsidR="003F115E">
        <w:t xml:space="preserve">Unit </w:t>
      </w:r>
      <w:r w:rsidR="00A004C2">
        <w:t xml:space="preserve">1 by 2024 and cease all coal combustion at Big Bend </w:t>
      </w:r>
      <w:r w:rsidR="003F115E">
        <w:t xml:space="preserve">Unit </w:t>
      </w:r>
      <w:r w:rsidR="00A004C2">
        <w:t xml:space="preserve">4 by 2025. </w:t>
      </w:r>
    </w:p>
    <w:p w14:paraId="371EC0A9" w14:textId="77777777" w:rsidR="00A004C2" w:rsidRDefault="00A004C2" w:rsidP="00234857">
      <w:pPr>
        <w:jc w:val="both"/>
      </w:pPr>
    </w:p>
    <w:p w14:paraId="31D1E6F1" w14:textId="391C6669" w:rsidR="00A004C2" w:rsidRDefault="00A004C2" w:rsidP="00234857">
      <w:pPr>
        <w:ind w:left="1440"/>
        <w:jc w:val="both"/>
      </w:pPr>
      <w:r>
        <w:t xml:space="preserve">Even once coal combustion is retired at those plants, it is still unreasonable for TECO customers to shoulder the financial risks of operating Polk </w:t>
      </w:r>
      <w:r w:rsidR="00CB013A">
        <w:t xml:space="preserve">Unit </w:t>
      </w:r>
      <w:r>
        <w:t xml:space="preserve">1 and Big Bend </w:t>
      </w:r>
      <w:r w:rsidR="00CB013A">
        <w:t xml:space="preserve">Unit </w:t>
      </w:r>
      <w:r>
        <w:t xml:space="preserve">4 past 2030, due to projected operation costs and the risk of high environmental compliance costs. TECO should be required to shift the Polk </w:t>
      </w:r>
      <w:r w:rsidR="00CB013A">
        <w:t xml:space="preserve">Unit </w:t>
      </w:r>
      <w:r>
        <w:t xml:space="preserve">1 and Big Bend </w:t>
      </w:r>
      <w:r w:rsidR="00CB013A">
        <w:t xml:space="preserve">Unit </w:t>
      </w:r>
      <w:r>
        <w:t xml:space="preserve">4 retirement dates to 2030. At the very least, TECO should be required to study different retirement scenarios for Polk </w:t>
      </w:r>
      <w:r w:rsidR="00CB013A">
        <w:t xml:space="preserve">Unit </w:t>
      </w:r>
      <w:r>
        <w:t xml:space="preserve">1 and Big Bend </w:t>
      </w:r>
      <w:r w:rsidR="00CB013A">
        <w:t xml:space="preserve">Unit </w:t>
      </w:r>
      <w:r>
        <w:t xml:space="preserve">4, as compared against the costs of alternative replacement resources, and TECO should be prevented from recovering capital and O&amp;M costs for these units until it completes such analysis. </w:t>
      </w:r>
    </w:p>
    <w:p w14:paraId="5C957355" w14:textId="77777777" w:rsidR="00A004C2" w:rsidRDefault="00A004C2" w:rsidP="00234857">
      <w:pPr>
        <w:ind w:firstLine="720"/>
        <w:jc w:val="both"/>
      </w:pPr>
    </w:p>
    <w:p w14:paraId="6C765E2A" w14:textId="58F25135" w:rsidR="00A004C2" w:rsidRDefault="00A004C2" w:rsidP="00234857">
      <w:pPr>
        <w:ind w:left="1440"/>
        <w:jc w:val="both"/>
      </w:pPr>
      <w:r>
        <w:t xml:space="preserve">It would be unjust and unreasonable for customers to pay for costs associated with the proposed Polk </w:t>
      </w:r>
      <w:r w:rsidR="00CD1E8B">
        <w:t xml:space="preserve">Unit </w:t>
      </w:r>
      <w:r>
        <w:t>1 Flexibility project</w:t>
      </w:r>
      <w:r w:rsidRPr="001E3193">
        <w:t>.</w:t>
      </w:r>
      <w:r>
        <w:t xml:space="preserve"> </w:t>
      </w:r>
      <w:r w:rsidRPr="001E3193">
        <w:t xml:space="preserve">Polk </w:t>
      </w:r>
      <w:r w:rsidR="00CD1E8B">
        <w:t xml:space="preserve">Unit </w:t>
      </w:r>
      <w:r w:rsidRPr="001E3193">
        <w:t>1 is a 220</w:t>
      </w:r>
      <w:r w:rsidR="00CD1E8B">
        <w:t xml:space="preserve"> </w:t>
      </w:r>
      <w:r w:rsidRPr="001E3193">
        <w:t>MW dual-fuel plant that is capable of burning coal or petcoke using integrated gasification combined-cycle (IGCC) technology, but</w:t>
      </w:r>
      <w:r>
        <w:t xml:space="preserve"> </w:t>
      </w:r>
      <w:r w:rsidRPr="001E3193">
        <w:t xml:space="preserve">has </w:t>
      </w:r>
      <w:r>
        <w:t>combusted</w:t>
      </w:r>
      <w:r w:rsidRPr="00C70BAC">
        <w:t xml:space="preserve"> </w:t>
      </w:r>
      <w:r>
        <w:t>only gas</w:t>
      </w:r>
      <w:r w:rsidRPr="001E3193">
        <w:t xml:space="preserve"> since 2018</w:t>
      </w:r>
      <w:r>
        <w:t>.</w:t>
      </w:r>
      <w:r w:rsidRPr="001E3193">
        <w:t xml:space="preserve"> Through the Polk </w:t>
      </w:r>
      <w:r w:rsidR="00316B58">
        <w:t xml:space="preserve">Unit </w:t>
      </w:r>
      <w:r w:rsidRPr="001E3193">
        <w:t xml:space="preserve">1 Flexibility </w:t>
      </w:r>
      <w:r>
        <w:t>p</w:t>
      </w:r>
      <w:r w:rsidRPr="001E3193">
        <w:t xml:space="preserve">roject, TECO </w:t>
      </w:r>
      <w:r>
        <w:t>seeks to recover</w:t>
      </w:r>
      <w:r w:rsidRPr="001E3193">
        <w:t xml:space="preserve"> $80.5 million to convert </w:t>
      </w:r>
      <w:r>
        <w:t xml:space="preserve">Polk </w:t>
      </w:r>
      <w:r w:rsidR="00B0549A">
        <w:t xml:space="preserve">Unit </w:t>
      </w:r>
      <w:r>
        <w:t>1 into</w:t>
      </w:r>
      <w:r w:rsidRPr="001E3193">
        <w:t xml:space="preserve"> a simple</w:t>
      </w:r>
      <w:r>
        <w:t>-</w:t>
      </w:r>
      <w:r w:rsidRPr="001E3193">
        <w:t xml:space="preserve">cycle </w:t>
      </w:r>
      <w:r>
        <w:t>combustion turbine (CT), while retaining IG technology to burn petcoke or coal in the event of a gas crisis</w:t>
      </w:r>
      <w:r w:rsidRPr="001E3193">
        <w:t xml:space="preserve">. TECO has not justified </w:t>
      </w:r>
      <w:r>
        <w:t>incurring the</w:t>
      </w:r>
      <w:r w:rsidRPr="001E3193">
        <w:t xml:space="preserve"> steep cost</w:t>
      </w:r>
      <w:r>
        <w:t>s of</w:t>
      </w:r>
      <w:r w:rsidRPr="001E3193">
        <w:t xml:space="preserve"> convert</w:t>
      </w:r>
      <w:r>
        <w:t>ing</w:t>
      </w:r>
      <w:r w:rsidRPr="001E3193">
        <w:t xml:space="preserve"> a relatively small unit </w:t>
      </w:r>
      <w:r>
        <w:t xml:space="preserve">with a low capacity factor </w:t>
      </w:r>
      <w:r w:rsidRPr="001E3193">
        <w:t>from one gas combustion technology to another</w:t>
      </w:r>
      <w:r>
        <w:t>.</w:t>
      </w:r>
      <w:r w:rsidRPr="001E3193">
        <w:t xml:space="preserve"> </w:t>
      </w:r>
      <w:r>
        <w:t>Moreover, it has certainly not justified</w:t>
      </w:r>
      <w:r w:rsidRPr="001E3193">
        <w:t xml:space="preserve"> </w:t>
      </w:r>
      <w:r>
        <w:t>keeping IG</w:t>
      </w:r>
      <w:r w:rsidRPr="001E3193">
        <w:t xml:space="preserve"> components </w:t>
      </w:r>
      <w:r>
        <w:t>in long-term standby, with or without the CT conversion. And it has not justified the costs of keeping the IGCC steam turbine (ST) and heat recovery steam generators (HRSG) online after the CT conversion is completed. In fact, if TECO does convert Polk</w:t>
      </w:r>
      <w:r w:rsidR="00B0549A" w:rsidRPr="00B0549A">
        <w:t xml:space="preserve"> </w:t>
      </w:r>
      <w:r w:rsidR="00B0549A">
        <w:t>Unit</w:t>
      </w:r>
      <w:r>
        <w:t xml:space="preserve"> 1 to a CT, it would only be able to burn petcoke after an</w:t>
      </w:r>
      <w:r w:rsidRPr="001E3193">
        <w:t xml:space="preserve"> additional year-long upgrade. TECO is </w:t>
      </w:r>
      <w:r>
        <w:t>un</w:t>
      </w:r>
      <w:r w:rsidRPr="001E3193">
        <w:t>able</w:t>
      </w:r>
      <w:r>
        <w:t xml:space="preserve"> or unwilling</w:t>
      </w:r>
      <w:r w:rsidRPr="001E3193">
        <w:t xml:space="preserve"> to offer an estimate of the cost of </w:t>
      </w:r>
      <w:r>
        <w:t>that</w:t>
      </w:r>
      <w:r w:rsidRPr="001E3193">
        <w:t xml:space="preserve"> upgrade</w:t>
      </w:r>
      <w:r>
        <w:t xml:space="preserve">. Nor has </w:t>
      </w:r>
      <w:r>
        <w:lastRenderedPageBreak/>
        <w:t>TECO provided analysis demonstrating the reliability needs of a unit as small, expensive, and rarely utilized as Polk</w:t>
      </w:r>
      <w:r w:rsidR="004E4F80" w:rsidRPr="004E4F80">
        <w:t xml:space="preserve"> </w:t>
      </w:r>
      <w:r w:rsidR="004E4F80">
        <w:t>Unit</w:t>
      </w:r>
      <w:r>
        <w:t xml:space="preserve"> 1.</w:t>
      </w:r>
      <w:r w:rsidRPr="001E3193">
        <w:t xml:space="preserve"> Nonetheless, TECO unreasonably expects ratepayers to finance the ongoing </w:t>
      </w:r>
      <w:r>
        <w:t>O&amp;M</w:t>
      </w:r>
      <w:r w:rsidRPr="001E3193">
        <w:t xml:space="preserve"> costs of </w:t>
      </w:r>
      <w:r>
        <w:t>obsolete coal- and petcoke-burning equipment</w:t>
      </w:r>
      <w:r w:rsidRPr="001E3193">
        <w:t xml:space="preserve">, which </w:t>
      </w:r>
      <w:r>
        <w:t>it has not used since</w:t>
      </w:r>
      <w:r w:rsidRPr="001E3193">
        <w:t xml:space="preserve"> 2018</w:t>
      </w:r>
      <w:r>
        <w:t xml:space="preserve">. TECO further unreasonably expects ratepayers to finance an expensive conversion project without showing its cost-effectiveness compared to alternative replacement resources. If the Commission approves the Polk </w:t>
      </w:r>
      <w:r w:rsidR="0031791D">
        <w:t xml:space="preserve">Unit </w:t>
      </w:r>
      <w:r>
        <w:t>1 Flexibility project, TECO should nonetheless be required to</w:t>
      </w:r>
      <w:r w:rsidRPr="00BA5708">
        <w:t xml:space="preserve"> </w:t>
      </w:r>
      <w:r>
        <w:t xml:space="preserve">immediately retire the IG, ST, and HRSG components at Polk </w:t>
      </w:r>
      <w:r w:rsidR="0031791D">
        <w:t xml:space="preserve">Unit </w:t>
      </w:r>
      <w:r>
        <w:t xml:space="preserve">1.  </w:t>
      </w:r>
    </w:p>
    <w:p w14:paraId="14076CBE" w14:textId="77777777" w:rsidR="00A004C2" w:rsidRPr="001E3193" w:rsidRDefault="00A004C2" w:rsidP="00234857">
      <w:pPr>
        <w:ind w:firstLine="720"/>
        <w:jc w:val="both"/>
      </w:pPr>
    </w:p>
    <w:p w14:paraId="7BE375AF" w14:textId="00E589E4" w:rsidR="00A004C2" w:rsidRDefault="00A004C2" w:rsidP="00234857">
      <w:pPr>
        <w:ind w:left="1440"/>
        <w:jc w:val="both"/>
      </w:pPr>
      <w:r>
        <w:t xml:space="preserve">It would be unjust and unreasonable for TECO to recover the costs of burning coal at Big Bend </w:t>
      </w:r>
      <w:r w:rsidR="009B50C8">
        <w:t xml:space="preserve">Unit </w:t>
      </w:r>
      <w:r>
        <w:t xml:space="preserve">4 past 2025 and to recover the costs of keeping Big Bend </w:t>
      </w:r>
      <w:r w:rsidR="006B571E">
        <w:t xml:space="preserve">Unit </w:t>
      </w:r>
      <w:r>
        <w:t xml:space="preserve">4 online past 2030. </w:t>
      </w:r>
      <w:r w:rsidRPr="001E3193">
        <w:t xml:space="preserve">Big Bend </w:t>
      </w:r>
      <w:r w:rsidR="006B571E">
        <w:t xml:space="preserve">Unit </w:t>
      </w:r>
      <w:r w:rsidRPr="001E3193">
        <w:t xml:space="preserve">4 is a dual-fuel 486 MW generating unit that </w:t>
      </w:r>
      <w:r>
        <w:t>has historically burned both coal and gas, but which TECO</w:t>
      </w:r>
      <w:r w:rsidRPr="001E3193">
        <w:t xml:space="preserve"> plans to primarily power with gas due to</w:t>
      </w:r>
      <w:r>
        <w:t xml:space="preserve"> coal’s high fuel costs</w:t>
      </w:r>
      <w:r w:rsidRPr="001E3193">
        <w:t>.</w:t>
      </w:r>
      <w:r>
        <w:t xml:space="preserve"> For three of the past five years, Big Bend </w:t>
      </w:r>
      <w:r w:rsidR="0057636C">
        <w:t xml:space="preserve">Unit </w:t>
      </w:r>
      <w:r>
        <w:t xml:space="preserve">4 has been uneconomic for TECO’s ratepayers, with a net negative value. </w:t>
      </w:r>
      <w:r w:rsidRPr="001E3193">
        <w:t xml:space="preserve">TECO’s </w:t>
      </w:r>
      <w:r>
        <w:t xml:space="preserve">conservative </w:t>
      </w:r>
      <w:r w:rsidRPr="001E3193">
        <w:t xml:space="preserve">projections illustrate that Big Bend </w:t>
      </w:r>
      <w:r w:rsidR="0057636C">
        <w:t xml:space="preserve">Unit </w:t>
      </w:r>
      <w:r w:rsidRPr="001E3193">
        <w:t>4</w:t>
      </w:r>
      <w:r>
        <w:t xml:space="preserve"> will continue to be uneconomic, as its costs </w:t>
      </w:r>
      <w:r w:rsidRPr="001E3193">
        <w:t>will exceed its value to ratepayers over the period from 2024 to 2033</w:t>
      </w:r>
      <w:r>
        <w:t>,</w:t>
      </w:r>
      <w:r w:rsidRPr="001E3193">
        <w:t xml:space="preserve"> largely because the plant has </w:t>
      </w:r>
      <w:r>
        <w:t xml:space="preserve">high costs and </w:t>
      </w:r>
      <w:r w:rsidRPr="001E3193">
        <w:t xml:space="preserve">a low utilization factor. </w:t>
      </w:r>
      <w:r>
        <w:t>These projections do not factor in the very real risk of additional environmental compliance costs stemming from federal regulations.</w:t>
      </w:r>
    </w:p>
    <w:p w14:paraId="6026B169" w14:textId="77777777" w:rsidR="00A004C2" w:rsidRDefault="00A004C2" w:rsidP="00234857">
      <w:pPr>
        <w:jc w:val="both"/>
      </w:pPr>
    </w:p>
    <w:p w14:paraId="4770E648" w14:textId="3850733E" w:rsidR="00A004C2" w:rsidRPr="001E3193" w:rsidRDefault="00A004C2" w:rsidP="00234857">
      <w:pPr>
        <w:ind w:left="1440"/>
        <w:jc w:val="both"/>
      </w:pPr>
      <w:r>
        <w:t xml:space="preserve">Retiring Polk </w:t>
      </w:r>
      <w:r w:rsidR="0079226A">
        <w:t xml:space="preserve">Unit </w:t>
      </w:r>
      <w:r>
        <w:t xml:space="preserve">1 and Big Bend </w:t>
      </w:r>
      <w:r w:rsidR="0079226A">
        <w:t xml:space="preserve">Unit </w:t>
      </w:r>
      <w:r>
        <w:t>4 early would enable TECO to avoid the significant and unaffordable risk of incurring costs to comply with the U.S. Environmental Protection Agency</w:t>
      </w:r>
      <w:r w:rsidR="00090B88">
        <w:t>’s</w:t>
      </w:r>
      <w:r>
        <w:t xml:space="preserve"> (EPA) Section 111 greenhouse gas, Mercury and Air Toxics Standards, Effluent Limitation Guidelines (ELG), and Coal Combustion Residuals rules, each of which were finalized earlier this year. As an illustration, EPA </w:t>
      </w:r>
      <w:r w:rsidRPr="001E3193">
        <w:t xml:space="preserve">projects that, to comply with the federal </w:t>
      </w:r>
      <w:r>
        <w:t>ELG</w:t>
      </w:r>
      <w:r w:rsidRPr="001E3193">
        <w:t xml:space="preserve"> </w:t>
      </w:r>
      <w:r>
        <w:t>guidelines</w:t>
      </w:r>
      <w:r w:rsidRPr="001E3193">
        <w:t>,</w:t>
      </w:r>
      <w:r>
        <w:t xml:space="preserve"> which require zero discharges of coal combustion wastewaters by 2028,</w:t>
      </w:r>
      <w:r w:rsidRPr="001E3193">
        <w:t xml:space="preserve"> TECO </w:t>
      </w:r>
      <w:r>
        <w:t xml:space="preserve">could incur </w:t>
      </w:r>
      <w:r w:rsidRPr="001E3193">
        <w:t xml:space="preserve">$129 million in capital costs </w:t>
      </w:r>
      <w:r>
        <w:t xml:space="preserve">at Big Bend </w:t>
      </w:r>
      <w:r w:rsidR="00294984">
        <w:t xml:space="preserve">Unit </w:t>
      </w:r>
      <w:r>
        <w:t>4 and $9 million in capital costs at Polk</w:t>
      </w:r>
      <w:r w:rsidR="00294984">
        <w:t xml:space="preserve"> Unit</w:t>
      </w:r>
      <w:r>
        <w:t xml:space="preserve"> 1</w:t>
      </w:r>
      <w:r w:rsidRPr="001E3193">
        <w:t>.</w:t>
      </w:r>
      <w:r>
        <w:t xml:space="preserve"> TECO claims it can avoid these costs by utilizing deep injection wells, but it has not confirmed with EPA that such a plan is legally compliant, nor has it disclosed the costs of operating those wells or the risks and associated costs of leakage or other forms of well failure.</w:t>
      </w:r>
      <w:r w:rsidRPr="001E3193">
        <w:t xml:space="preserve"> EPA’s recently finalized Section 111 greenhouse gas standards may impose additional costs and restrictions on the operation </w:t>
      </w:r>
      <w:r>
        <w:t xml:space="preserve">and flexibility of Polk </w:t>
      </w:r>
      <w:r w:rsidR="000F484F">
        <w:t xml:space="preserve">Unit </w:t>
      </w:r>
      <w:r>
        <w:t>1 and Big Bend</w:t>
      </w:r>
      <w:r w:rsidR="000F484F">
        <w:t xml:space="preserve"> Unit</w:t>
      </w:r>
      <w:r>
        <w:t xml:space="preserve"> 4. These rules require </w:t>
      </w:r>
      <w:r w:rsidRPr="001E3193">
        <w:t>co-fir</w:t>
      </w:r>
      <w:r>
        <w:t>ing</w:t>
      </w:r>
      <w:r w:rsidRPr="001E3193">
        <w:t xml:space="preserve"> with gas at least 40% of the time</w:t>
      </w:r>
      <w:r>
        <w:t xml:space="preserve"> by 2030 or </w:t>
      </w:r>
      <w:r w:rsidRPr="001E3193">
        <w:t>install</w:t>
      </w:r>
      <w:r>
        <w:t>ing</w:t>
      </w:r>
      <w:r w:rsidRPr="001E3193">
        <w:t xml:space="preserve"> </w:t>
      </w:r>
      <w:r>
        <w:t>prohibitively expensive</w:t>
      </w:r>
      <w:r w:rsidRPr="001E3193">
        <w:t xml:space="preserve"> carbon capture and storage technology </w:t>
      </w:r>
      <w:r>
        <w:t>if plants operate past 2032</w:t>
      </w:r>
      <w:r w:rsidRPr="001E3193">
        <w:t>.</w:t>
      </w:r>
    </w:p>
    <w:p w14:paraId="513F2987" w14:textId="77777777" w:rsidR="00A004C2" w:rsidRPr="001E3193" w:rsidRDefault="00A004C2" w:rsidP="00234857">
      <w:pPr>
        <w:jc w:val="both"/>
      </w:pPr>
    </w:p>
    <w:p w14:paraId="7F2903EB" w14:textId="7ADE5792" w:rsidR="00A004C2" w:rsidRDefault="00A004C2" w:rsidP="00234857">
      <w:pPr>
        <w:ind w:left="1440"/>
        <w:jc w:val="both"/>
      </w:pPr>
      <w:r>
        <w:t>Last, TECO is not only saddling customers with unjust and unreasonable costs from uneconomic coal units; it has also has failed to capitalize on billions</w:t>
      </w:r>
      <w:r w:rsidRPr="001E3193">
        <w:t xml:space="preserve"> of dollars available under the federal </w:t>
      </w:r>
      <w:r>
        <w:t xml:space="preserve">Energy </w:t>
      </w:r>
      <w:r w:rsidRPr="001E3193">
        <w:t>Infrastructure Reinvestment (EIR) program</w:t>
      </w:r>
      <w:r>
        <w:t>. The EIR,</w:t>
      </w:r>
      <w:r w:rsidRPr="001E3193">
        <w:t xml:space="preserve"> administered by the </w:t>
      </w:r>
      <w:r>
        <w:t xml:space="preserve">U.S. </w:t>
      </w:r>
      <w:r w:rsidRPr="001E3193">
        <w:t>Department of Energy’s Loan Program</w:t>
      </w:r>
      <w:r>
        <w:t>s</w:t>
      </w:r>
      <w:r w:rsidRPr="001E3193">
        <w:t xml:space="preserve"> Office, </w:t>
      </w:r>
      <w:r>
        <w:t>could</w:t>
      </w:r>
      <w:r w:rsidRPr="001E3193">
        <w:t xml:space="preserve"> assist TECO in financing </w:t>
      </w:r>
      <w:r>
        <w:t xml:space="preserve">additional clean energy </w:t>
      </w:r>
      <w:r>
        <w:lastRenderedPageBreak/>
        <w:t xml:space="preserve">resources in lieu of Polk </w:t>
      </w:r>
      <w:r w:rsidR="005C3911">
        <w:t xml:space="preserve">Unit </w:t>
      </w:r>
      <w:r>
        <w:t xml:space="preserve">1 and Big Bend </w:t>
      </w:r>
      <w:r w:rsidR="005C3911">
        <w:t xml:space="preserve">Unit </w:t>
      </w:r>
      <w:r>
        <w:t>4</w:t>
      </w:r>
      <w:r w:rsidRPr="001E3193">
        <w:t>. EIR funds take the form of long-duration, low-cost loans for retiring fossil assets—which can assist utilities in financing the undepreciated capital costs of a plant—coupled with investments in clean renewable energy resources.</w:t>
      </w:r>
    </w:p>
    <w:p w14:paraId="63885371" w14:textId="77777777" w:rsidR="00A004C2" w:rsidRPr="001E3193" w:rsidRDefault="00A004C2" w:rsidP="00234857">
      <w:pPr>
        <w:ind w:firstLine="720"/>
        <w:jc w:val="both"/>
      </w:pPr>
    </w:p>
    <w:p w14:paraId="7FF606AA" w14:textId="7C2B5F6E" w:rsidR="00A87B30" w:rsidRDefault="00A004C2" w:rsidP="00234857">
      <w:pPr>
        <w:ind w:left="1440"/>
        <w:jc w:val="both"/>
        <w:rPr>
          <w:b/>
          <w:bCs/>
        </w:rPr>
      </w:pPr>
      <w:r>
        <w:t>In sum</w:t>
      </w:r>
      <w:r w:rsidRPr="001E3193">
        <w:t xml:space="preserve">, Sierra Club urges the Commission </w:t>
      </w:r>
      <w:r>
        <w:t xml:space="preserve">to reject the recovery of O&amp;M costs associated with </w:t>
      </w:r>
      <w:r w:rsidRPr="001E3193">
        <w:t xml:space="preserve">Polk </w:t>
      </w:r>
      <w:r w:rsidR="003F09B0">
        <w:t xml:space="preserve">Unit </w:t>
      </w:r>
      <w:r w:rsidRPr="001E3193">
        <w:t>1’s IG components</w:t>
      </w:r>
      <w:r>
        <w:t xml:space="preserve"> and to </w:t>
      </w:r>
      <w:r w:rsidRPr="001E3193">
        <w:t>require TECO to retire those components by 2024</w:t>
      </w:r>
      <w:r>
        <w:t>. The Commission should further reject</w:t>
      </w:r>
      <w:r w:rsidRPr="001E3193">
        <w:t xml:space="preserve"> recovery </w:t>
      </w:r>
      <w:r>
        <w:t>of</w:t>
      </w:r>
      <w:r w:rsidRPr="001E3193">
        <w:t xml:space="preserve"> the Polk </w:t>
      </w:r>
      <w:r w:rsidR="003F09B0">
        <w:t xml:space="preserve">Unit </w:t>
      </w:r>
      <w:r w:rsidRPr="001E3193">
        <w:t xml:space="preserve">1 Flexibility </w:t>
      </w:r>
      <w:r>
        <w:t>p</w:t>
      </w:r>
      <w:r w:rsidRPr="001E3193">
        <w:t>roject unless TECO demonstrates that the $80.5 million price tag to convert this unit to a simple cycle is lower-cost than replacing it with clean energy.</w:t>
      </w:r>
      <w:r>
        <w:t xml:space="preserve"> And even if the Flexibility project is approved, the Commission should require TECO to immediately</w:t>
      </w:r>
      <w:r w:rsidRPr="005F0C18">
        <w:t xml:space="preserve"> </w:t>
      </w:r>
      <w:r>
        <w:t xml:space="preserve">retire the IG, ST, and HSRG components at Polk </w:t>
      </w:r>
      <w:r w:rsidR="003F09B0">
        <w:t xml:space="preserve">Unit </w:t>
      </w:r>
      <w:r>
        <w:t>1.</w:t>
      </w:r>
      <w:r w:rsidRPr="001E3193">
        <w:t xml:space="preserve"> The Commission should similarly </w:t>
      </w:r>
      <w:r>
        <w:t>reject</w:t>
      </w:r>
      <w:r w:rsidRPr="001E3193">
        <w:t xml:space="preserve"> recovery of any spending on coal operations at Big Bend </w:t>
      </w:r>
      <w:r w:rsidR="003F09B0">
        <w:t xml:space="preserve">Unit </w:t>
      </w:r>
      <w:r w:rsidRPr="001E3193">
        <w:t xml:space="preserve">4 and require TECO to cease coal combustion at </w:t>
      </w:r>
      <w:r>
        <w:t xml:space="preserve">Big Bend </w:t>
      </w:r>
      <w:r w:rsidR="003F09B0">
        <w:t xml:space="preserve">Unit </w:t>
      </w:r>
      <w:r>
        <w:t>4</w:t>
      </w:r>
      <w:r w:rsidRPr="001E3193">
        <w:t xml:space="preserve"> by 2025. Finally, the Commission should</w:t>
      </w:r>
      <w:r>
        <w:t xml:space="preserve"> </w:t>
      </w:r>
      <w:r w:rsidRPr="001E3193">
        <w:t xml:space="preserve">direct TECO to apply for EIR funding to retire </w:t>
      </w:r>
      <w:r>
        <w:t xml:space="preserve">Polk </w:t>
      </w:r>
      <w:r w:rsidR="003F09B0">
        <w:t xml:space="preserve">Unit </w:t>
      </w:r>
      <w:r>
        <w:t xml:space="preserve">1 and </w:t>
      </w:r>
      <w:r w:rsidRPr="001E3193">
        <w:t xml:space="preserve">Big Bend </w:t>
      </w:r>
      <w:r w:rsidR="003F09B0">
        <w:t xml:space="preserve">Unit </w:t>
      </w:r>
      <w:r w:rsidRPr="001E3193">
        <w:t>4</w:t>
      </w:r>
      <w:r>
        <w:t>, study clean replacement resources,</w:t>
      </w:r>
      <w:r w:rsidRPr="001E3193">
        <w:t xml:space="preserve"> and replace </w:t>
      </w:r>
      <w:r>
        <w:t>their</w:t>
      </w:r>
      <w:r w:rsidRPr="001E3193">
        <w:t xml:space="preserve"> capacity with clean energy resources</w:t>
      </w:r>
      <w:r>
        <w:t xml:space="preserve"> by 2030.</w:t>
      </w:r>
    </w:p>
    <w:p w14:paraId="1C6AA830" w14:textId="77777777" w:rsidR="00A87B30" w:rsidRDefault="00A87B30" w:rsidP="00C7699A">
      <w:pPr>
        <w:jc w:val="both"/>
        <w:rPr>
          <w:b/>
          <w:bCs/>
        </w:rPr>
      </w:pPr>
    </w:p>
    <w:p w14:paraId="42C2F9CD" w14:textId="6BB2E3A4" w:rsidR="00A45291" w:rsidRPr="00AB0838" w:rsidRDefault="00A87B30" w:rsidP="00A45291">
      <w:pPr>
        <w:ind w:left="1440" w:hanging="1440"/>
        <w:jc w:val="both"/>
      </w:pPr>
      <w:r>
        <w:rPr>
          <w:b/>
          <w:bCs/>
        </w:rPr>
        <w:t>FRF:</w:t>
      </w:r>
      <w:r w:rsidR="00A45291">
        <w:rPr>
          <w:b/>
          <w:bCs/>
        </w:rPr>
        <w:tab/>
      </w:r>
      <w:r w:rsidR="00F95B57">
        <w:t xml:space="preserve">FRF </w:t>
      </w:r>
      <w:r w:rsidR="00A45291" w:rsidRPr="00AB0838">
        <w:t xml:space="preserve">is a statewide organization with more than 8,000 members in Florida, many of whom are retail customers of </w:t>
      </w:r>
      <w:r w:rsidR="00BD74D9">
        <w:t>TECO</w:t>
      </w:r>
      <w:r w:rsidR="00A45291" w:rsidRPr="00AB0838">
        <w:t xml:space="preserve">. FRF and its members support utilities’ needs for sufficient revenues to enable them to provide safe, adequate, and reliable service, and to earn a reasonable return on their prudently incurred investments in assets used and useful in providing that service. However, as customers in their own right and recognizing the needs of all Florida citizens for safe and reliable electric service at fair, just, and reasonable prices, the FRF opposes rates that are greater than necessary for the utility to provide safe and reliable service. </w:t>
      </w:r>
      <w:r w:rsidR="005902FC">
        <w:t xml:space="preserve">The Commission’s </w:t>
      </w:r>
      <w:r w:rsidR="00A45291" w:rsidRPr="00AB0838">
        <w:t>statutory task is to serve the public interest by ensuring that utilities provide safe and reliable service at the lowest possible cost.</w:t>
      </w:r>
    </w:p>
    <w:p w14:paraId="4CF6086F" w14:textId="77777777" w:rsidR="00A45291" w:rsidRPr="00AB0838" w:rsidRDefault="00A45291" w:rsidP="00A45291">
      <w:pPr>
        <w:ind w:left="1440" w:hanging="1440"/>
        <w:jc w:val="both"/>
      </w:pPr>
    </w:p>
    <w:p w14:paraId="15AE77CC" w14:textId="3EA13C60" w:rsidR="00A45291" w:rsidRPr="00AB0838" w:rsidRDefault="00A45291" w:rsidP="00A45291">
      <w:pPr>
        <w:ind w:left="1440"/>
        <w:jc w:val="both"/>
      </w:pPr>
      <w:r w:rsidRPr="00AB0838">
        <w:t xml:space="preserve">Thus, the question in this proceeding, as in all general public utility rate cases, is how much revenue TECO actually </w:t>
      </w:r>
      <w:r w:rsidRPr="00342338">
        <w:rPr>
          <w:i/>
        </w:rPr>
        <w:t>needs</w:t>
      </w:r>
      <w:r w:rsidRPr="00AB0838">
        <w:t xml:space="preserve"> to provide safe and reliable service and to earn a reasonable return on its investment. The evidence shows that TECO’s proposed rates would, if approved by the </w:t>
      </w:r>
      <w:r w:rsidR="00EC1596">
        <w:t>Commission</w:t>
      </w:r>
      <w:r w:rsidRPr="00AB0838">
        <w:t>, produce grossly excessive revenues to the detriment of TECO’s customers and to the Florida economy generally, and that TECO’s proposed rates are contrary to the public interest for these reasons.  Specifically, where TECO has requested $296.6 million per year in 2025, TECO can provide safe and reliable service and earn a reasonable return, consistent with the returns on common equity approved by regulatory bodies for many other electric utilities in the United States, with a total revenue increase of only $75.3 million per year in 2025. This is roughly one-fourth, or only 25</w:t>
      </w:r>
      <w:r w:rsidR="00EC1596">
        <w:t>%</w:t>
      </w:r>
      <w:r w:rsidRPr="00AB0838">
        <w:t xml:space="preserve">, of TECO’s excessive request. The evidence also demonstrates that TECO’s requested </w:t>
      </w:r>
      <w:r w:rsidR="006A7A4A">
        <w:t xml:space="preserve">SYAs </w:t>
      </w:r>
      <w:r w:rsidRPr="00AB0838">
        <w:t>for 2026 and 2027 are also excessive and should be limited to the minimum amounts necessary for TECO to provide safe and reliable service, including a reasonable return on its investment.</w:t>
      </w:r>
    </w:p>
    <w:p w14:paraId="61368F0B" w14:textId="77777777" w:rsidR="00234857" w:rsidRPr="00AB0838" w:rsidRDefault="00234857" w:rsidP="00A45291">
      <w:pPr>
        <w:ind w:left="1440"/>
        <w:jc w:val="both"/>
      </w:pPr>
    </w:p>
    <w:p w14:paraId="051A9335" w14:textId="366D6DFB" w:rsidR="00A45291" w:rsidRPr="00AB0838" w:rsidRDefault="00A45291" w:rsidP="00A45291">
      <w:pPr>
        <w:ind w:left="1440"/>
        <w:jc w:val="both"/>
      </w:pPr>
      <w:r w:rsidRPr="00AB0838">
        <w:lastRenderedPageBreak/>
        <w:t>TECO’s requested ROE is particularly excessive and accounts for a significant amount of its overstated and over-reaching rate increase request. TECO has requested a midpoint ROE of 11.50</w:t>
      </w:r>
      <w:r w:rsidR="00480B8A">
        <w:t>%</w:t>
      </w:r>
      <w:r w:rsidRPr="00AB0838">
        <w:t xml:space="preserve">, which is 155 basis points greater than its last authorized midpoint, 130 basis points greater than its current ROE, which was increased pursuant to a “trigger” provision in its 2021 settlement, and 200 basis points greater than the ROE recommended by </w:t>
      </w:r>
      <w:r w:rsidR="00480B8A">
        <w:t>OPC</w:t>
      </w:r>
      <w:r w:rsidRPr="00AB0838">
        <w:t xml:space="preserve"> witness Professor J. Randall Woolridge. Providing a return of TECO’s current “Trigger ROE” instead of its excessive request would save customers almost $80 million a year; providing a return based on Professor Woolridge’s recommendation, which is based on extensive analysis of other regulatory commissions, other utilities, and the risks that TECO actually faces, would save customers well over $100 million a year as opposed to TECO’s excessive request. Regarding the risks that TECO faces, the Commission must recognize that the use of a projected test year reduces TECO’s risk, and that all</w:t>
      </w:r>
      <w:r w:rsidR="004318D4">
        <w:t xml:space="preserve">owing TECO to recover nearly 40% </w:t>
      </w:r>
      <w:r w:rsidRPr="00AB0838">
        <w:t>of its total revenues through cost recovery clause charges</w:t>
      </w:r>
      <w:r w:rsidR="00B839DB">
        <w:t>—</w:t>
      </w:r>
      <w:r w:rsidRPr="00AB0838">
        <w:t>Fuel, Environmental, Energy Conservation, Capacity Cost, Storm, and so on</w:t>
      </w:r>
      <w:r w:rsidR="007C2DCE">
        <w:t>—</w:t>
      </w:r>
      <w:r w:rsidRPr="00AB0838">
        <w:t>similarly reduces TECO’s risks, and these factors must be recognized in setting an ROE upon which retail rates are to be based.</w:t>
      </w:r>
    </w:p>
    <w:p w14:paraId="678E158B" w14:textId="77777777" w:rsidR="00A45291" w:rsidRPr="00AB0838" w:rsidRDefault="00A45291" w:rsidP="00A45291">
      <w:pPr>
        <w:ind w:left="1440"/>
        <w:jc w:val="both"/>
      </w:pPr>
    </w:p>
    <w:p w14:paraId="50DD65AA" w14:textId="150E30C8" w:rsidR="00A87B30" w:rsidRPr="00AB0838" w:rsidRDefault="00A45291" w:rsidP="00A45291">
      <w:pPr>
        <w:ind w:left="1440"/>
        <w:jc w:val="both"/>
        <w:rPr>
          <w:b/>
          <w:bCs/>
        </w:rPr>
      </w:pPr>
      <w:r w:rsidRPr="00AB0838">
        <w:t xml:space="preserve">TECO has also overstated its expenses in many areas. The combined evidence submitted by witnesses for </w:t>
      </w:r>
      <w:r w:rsidR="001E6C63">
        <w:t>OPC</w:t>
      </w:r>
      <w:r w:rsidRPr="00AB0838">
        <w:t xml:space="preserve">, FRF, and other parties representing customer interests demonstrates that TECO can fulfill its job, and that the </w:t>
      </w:r>
      <w:r w:rsidR="003668EC">
        <w:t>Commission</w:t>
      </w:r>
      <w:r w:rsidRPr="00AB0838">
        <w:t xml:space="preserve"> can fulfill its statutory mandate of serving the public interest by ensuring that TECO has </w:t>
      </w:r>
      <w:r w:rsidRPr="003668EC">
        <w:rPr>
          <w:i/>
        </w:rPr>
        <w:t>sufficient</w:t>
      </w:r>
      <w:r w:rsidRPr="00AB0838">
        <w:t xml:space="preserve"> revenues but </w:t>
      </w:r>
      <w:r w:rsidRPr="003668EC">
        <w:rPr>
          <w:i/>
        </w:rPr>
        <w:t>not excessive</w:t>
      </w:r>
      <w:r w:rsidRPr="00AB0838">
        <w:t xml:space="preserve"> revenues, by basing TECO’s 2025 rates on a revenue increase of no more than $</w:t>
      </w:r>
      <w:r w:rsidR="00205AE6">
        <w:t>43.8</w:t>
      </w:r>
      <w:r w:rsidRPr="00AB0838">
        <w:t xml:space="preserve"> million per year.</w:t>
      </w:r>
    </w:p>
    <w:p w14:paraId="58920160" w14:textId="77777777" w:rsidR="00A87B30" w:rsidRPr="00AB0838" w:rsidRDefault="00A87B30" w:rsidP="00C7699A">
      <w:pPr>
        <w:jc w:val="both"/>
        <w:rPr>
          <w:b/>
          <w:bCs/>
        </w:rPr>
      </w:pPr>
    </w:p>
    <w:p w14:paraId="73AE665E" w14:textId="6D727AF8" w:rsidR="009F4942" w:rsidRDefault="00CE32DE" w:rsidP="00051F82">
      <w:pPr>
        <w:ind w:left="1440" w:hanging="1440"/>
        <w:jc w:val="both"/>
        <w:rPr>
          <w:b/>
          <w:bCs/>
        </w:rPr>
      </w:pPr>
      <w:r>
        <w:rPr>
          <w:b/>
          <w:bCs/>
        </w:rPr>
        <w:t>FUEL</w:t>
      </w:r>
    </w:p>
    <w:p w14:paraId="744B98D0" w14:textId="02774EF8" w:rsidR="00A87B30" w:rsidRDefault="00CE32DE" w:rsidP="00051F82">
      <w:pPr>
        <w:ind w:left="1440" w:hanging="1440"/>
        <w:jc w:val="both"/>
        <w:rPr>
          <w:bCs/>
        </w:rPr>
      </w:pPr>
      <w:r>
        <w:rPr>
          <w:b/>
          <w:bCs/>
        </w:rPr>
        <w:t>RETAILERS</w:t>
      </w:r>
      <w:r w:rsidR="009F4942">
        <w:rPr>
          <w:b/>
          <w:bCs/>
        </w:rPr>
        <w:t>:</w:t>
      </w:r>
      <w:r>
        <w:rPr>
          <w:b/>
          <w:bCs/>
        </w:rPr>
        <w:t xml:space="preserve"> </w:t>
      </w:r>
      <w:r w:rsidR="00051F82" w:rsidRPr="00576928">
        <w:rPr>
          <w:bCs/>
        </w:rPr>
        <w:t xml:space="preserve">The Fuel </w:t>
      </w:r>
      <w:r w:rsidR="004B7D27">
        <w:rPr>
          <w:bCs/>
        </w:rPr>
        <w:t>Retailers</w:t>
      </w:r>
      <w:r w:rsidR="00051F82" w:rsidRPr="00576928">
        <w:rPr>
          <w:bCs/>
        </w:rPr>
        <w:t xml:space="preserve"> </w:t>
      </w:r>
      <w:r w:rsidR="00051F82">
        <w:rPr>
          <w:bCs/>
        </w:rPr>
        <w:t xml:space="preserve">sought intervention in this matter for two purposes. First, to ensure that as electric retail customers of </w:t>
      </w:r>
      <w:r w:rsidR="00B63296">
        <w:rPr>
          <w:bCs/>
        </w:rPr>
        <w:t xml:space="preserve">TECO </w:t>
      </w:r>
      <w:r w:rsidR="00051F82">
        <w:rPr>
          <w:bCs/>
        </w:rPr>
        <w:t xml:space="preserve">that the rates and charges being proposed for large customers such as </w:t>
      </w:r>
      <w:r w:rsidR="00C31C71" w:rsidRPr="00C31C71">
        <w:rPr>
          <w:bCs/>
        </w:rPr>
        <w:t>Circle K Stores, Inc., RaceTrac Inc., and Wawa, Inc.</w:t>
      </w:r>
      <w:r w:rsidR="00051F82">
        <w:rPr>
          <w:bCs/>
        </w:rPr>
        <w:t xml:space="preserve"> were being fairly and reasonable set. Second, the Fuel Retailers had a special interest and concern regarding the Electric Vehicle (EV) Charging Pilot Program of </w:t>
      </w:r>
      <w:r w:rsidR="00C31C71">
        <w:rPr>
          <w:bCs/>
        </w:rPr>
        <w:t>TECO</w:t>
      </w:r>
      <w:r w:rsidR="00051F82">
        <w:rPr>
          <w:bCs/>
        </w:rPr>
        <w:t xml:space="preserve">, especially given the actions in the </w:t>
      </w:r>
      <w:r w:rsidR="00C31C71">
        <w:rPr>
          <w:bCs/>
        </w:rPr>
        <w:t>c</w:t>
      </w:r>
      <w:r w:rsidR="00051F82">
        <w:rPr>
          <w:bCs/>
        </w:rPr>
        <w:t xml:space="preserve">ompany’s 2021 rate case, and, specifically, whether in this rate case </w:t>
      </w:r>
      <w:r w:rsidR="00C31C71">
        <w:rPr>
          <w:bCs/>
        </w:rPr>
        <w:t>TECO</w:t>
      </w:r>
      <w:r w:rsidR="00051F82">
        <w:rPr>
          <w:bCs/>
        </w:rPr>
        <w:t xml:space="preserve"> was proposing any changes that could be in violation of </w:t>
      </w:r>
      <w:r w:rsidR="00051F82" w:rsidRPr="002B7BFD">
        <w:rPr>
          <w:bCs/>
        </w:rPr>
        <w:t>the requirements of HB 1645, Section 6 (to be codified at 366.94, F.S.) (Chapter 2024-186, Laws of Florida)</w:t>
      </w:r>
      <w:r w:rsidR="00051F82">
        <w:rPr>
          <w:bCs/>
        </w:rPr>
        <w:t xml:space="preserve">, which would adversely impact the Fuel Retailers as retail electric customers and as providers of EV charging services. Just one day before filing its MFRs and other required documents were filed in this general rate case docket, </w:t>
      </w:r>
      <w:r w:rsidR="00C31C71">
        <w:rPr>
          <w:bCs/>
        </w:rPr>
        <w:t xml:space="preserve">TECO </w:t>
      </w:r>
      <w:r w:rsidR="00051F82">
        <w:rPr>
          <w:bCs/>
        </w:rPr>
        <w:t>on April 1, 2024, filed in Docket No. 20240054</w:t>
      </w:r>
      <w:r w:rsidR="00D74401">
        <w:rPr>
          <w:bCs/>
        </w:rPr>
        <w:t>-EI</w:t>
      </w:r>
      <w:r w:rsidR="00051F82">
        <w:rPr>
          <w:bCs/>
        </w:rPr>
        <w:t xml:space="preserve"> a request to extend and expand its </w:t>
      </w:r>
      <w:r w:rsidR="00C31C71">
        <w:rPr>
          <w:bCs/>
        </w:rPr>
        <w:t>EV C</w:t>
      </w:r>
      <w:r w:rsidR="00051F82">
        <w:rPr>
          <w:bCs/>
        </w:rPr>
        <w:t xml:space="preserve">harging </w:t>
      </w:r>
      <w:r w:rsidR="00C31C71">
        <w:rPr>
          <w:bCs/>
        </w:rPr>
        <w:t>P</w:t>
      </w:r>
      <w:r w:rsidR="00051F82">
        <w:rPr>
          <w:bCs/>
        </w:rPr>
        <w:t xml:space="preserve">ilot </w:t>
      </w:r>
      <w:r w:rsidR="00C31C71">
        <w:rPr>
          <w:bCs/>
        </w:rPr>
        <w:t>P</w:t>
      </w:r>
      <w:r w:rsidR="00051F82">
        <w:rPr>
          <w:bCs/>
        </w:rPr>
        <w:t>rogram. Before the Fuel Retailers could file an intervention in this new EV charging docket, given th</w:t>
      </w:r>
      <w:r w:rsidR="00C31C71">
        <w:rPr>
          <w:bCs/>
        </w:rPr>
        <w:t xml:space="preserve">e Fuel Retailers’ notice to TECO </w:t>
      </w:r>
      <w:r w:rsidR="00051F82">
        <w:rPr>
          <w:bCs/>
        </w:rPr>
        <w:t xml:space="preserve">of their intent to intervene and challenge that extension and expansion, </w:t>
      </w:r>
      <w:r w:rsidR="00C31C71">
        <w:rPr>
          <w:bCs/>
        </w:rPr>
        <w:t xml:space="preserve">TECO </w:t>
      </w:r>
      <w:r w:rsidR="00051F82">
        <w:rPr>
          <w:bCs/>
        </w:rPr>
        <w:t>withdrew its request in Docket 202400</w:t>
      </w:r>
      <w:r w:rsidR="004845CD">
        <w:rPr>
          <w:bCs/>
        </w:rPr>
        <w:t>54</w:t>
      </w:r>
      <w:r w:rsidR="004A666F">
        <w:rPr>
          <w:bCs/>
        </w:rPr>
        <w:t>-EI</w:t>
      </w:r>
      <w:r w:rsidR="00051F82">
        <w:rPr>
          <w:bCs/>
        </w:rPr>
        <w:t xml:space="preserve">. The Fuel Retailers appreciate this action by </w:t>
      </w:r>
      <w:r w:rsidR="004A666F">
        <w:rPr>
          <w:bCs/>
        </w:rPr>
        <w:t>TECO</w:t>
      </w:r>
      <w:r w:rsidR="00051F82">
        <w:rPr>
          <w:bCs/>
        </w:rPr>
        <w:t xml:space="preserve">. Consistent with the scope of the Order granting the Fuel Retailers intervention into this rate case, </w:t>
      </w:r>
      <w:r w:rsidR="00051F82">
        <w:rPr>
          <w:bCs/>
        </w:rPr>
        <w:lastRenderedPageBreak/>
        <w:t xml:space="preserve">the Fuel Retailers believe that thus far </w:t>
      </w:r>
      <w:r w:rsidR="004A666F">
        <w:rPr>
          <w:bCs/>
        </w:rPr>
        <w:t xml:space="preserve">TECO </w:t>
      </w:r>
      <w:r w:rsidR="00051F82">
        <w:rPr>
          <w:bCs/>
        </w:rPr>
        <w:t xml:space="preserve">has not pursued any EV charging activities in this docket that would be in violation of HB 1645 or the order granting intervention. Going forward, the Fuel Retailers intend to continue to participate in these proceedings to ensure that actions are not taken that would adversely impact or otherwise discriminate against the electric services that the Fuel Retailers take from </w:t>
      </w:r>
      <w:r w:rsidR="004A666F">
        <w:rPr>
          <w:bCs/>
        </w:rPr>
        <w:t>TECO</w:t>
      </w:r>
      <w:r w:rsidR="00051F82">
        <w:rPr>
          <w:bCs/>
        </w:rPr>
        <w:t>.</w:t>
      </w:r>
    </w:p>
    <w:p w14:paraId="133254B5" w14:textId="77777777" w:rsidR="00B14BE0" w:rsidRDefault="00B14BE0" w:rsidP="00051F82">
      <w:pPr>
        <w:ind w:left="1440" w:hanging="1440"/>
        <w:jc w:val="both"/>
        <w:rPr>
          <w:bCs/>
        </w:rPr>
      </w:pPr>
    </w:p>
    <w:p w14:paraId="0CE86206" w14:textId="6C4611E8" w:rsidR="00B14BE0" w:rsidRPr="00B14BE0" w:rsidRDefault="00DA3E20" w:rsidP="00051F82">
      <w:pPr>
        <w:ind w:left="1440" w:hanging="1440"/>
        <w:jc w:val="both"/>
        <w:rPr>
          <w:bCs/>
        </w:rPr>
      </w:pPr>
      <w:r>
        <w:rPr>
          <w:b/>
          <w:bCs/>
        </w:rPr>
        <w:t>WALMART</w:t>
      </w:r>
      <w:r w:rsidR="00B14BE0">
        <w:rPr>
          <w:b/>
          <w:bCs/>
        </w:rPr>
        <w:t>:</w:t>
      </w:r>
      <w:r w:rsidR="00B14BE0">
        <w:rPr>
          <w:b/>
          <w:bCs/>
        </w:rPr>
        <w:tab/>
      </w:r>
      <w:r w:rsidR="00B14BE0" w:rsidRPr="00B23BF7">
        <w:t>Walmart adopts FRF</w:t>
      </w:r>
      <w:r w:rsidR="00B14BE0">
        <w:t>'</w:t>
      </w:r>
      <w:r w:rsidR="00B14BE0" w:rsidRPr="00B23BF7">
        <w:t>s Statement of Basic Position</w:t>
      </w:r>
      <w:r w:rsidR="00B14BE0">
        <w:t xml:space="preserve"> except where noted otherwise in the Issues below</w:t>
      </w:r>
      <w:r w:rsidR="00B14BE0" w:rsidRPr="00B23BF7">
        <w:t>.</w:t>
      </w:r>
    </w:p>
    <w:p w14:paraId="4A05317B" w14:textId="77777777" w:rsidR="00A87B30" w:rsidRPr="00701945" w:rsidRDefault="00A87B30" w:rsidP="00C7699A">
      <w:pPr>
        <w:jc w:val="both"/>
      </w:pPr>
    </w:p>
    <w:p w14:paraId="44482974" w14:textId="74D433FB" w:rsidR="00C7699A" w:rsidRDefault="00DA3E20" w:rsidP="00C7699A">
      <w:pPr>
        <w:ind w:left="1440" w:hanging="1440"/>
        <w:jc w:val="both"/>
      </w:pPr>
      <w:r>
        <w:rPr>
          <w:b/>
          <w:bCs/>
        </w:rPr>
        <w:t>STAFF</w:t>
      </w:r>
      <w:r w:rsidR="00C7699A" w:rsidRPr="00701945">
        <w:rPr>
          <w:b/>
          <w:bCs/>
        </w:rPr>
        <w:t>:</w:t>
      </w:r>
      <w:r w:rsidR="00C7699A">
        <w:rPr>
          <w:b/>
          <w:bCs/>
        </w:rPr>
        <w:tab/>
      </w:r>
      <w:r w:rsidR="00C7699A" w:rsidRPr="00701945">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w:t>
      </w:r>
      <w:r w:rsidR="00086EFB">
        <w:t xml:space="preserve"> stated herein</w:t>
      </w:r>
      <w:r w:rsidR="00C7699A" w:rsidRPr="00701945">
        <w:t xml:space="preserve">.  </w:t>
      </w:r>
    </w:p>
    <w:p w14:paraId="1F6B24F4" w14:textId="77777777" w:rsidR="00D04730" w:rsidRDefault="00D04730" w:rsidP="00C7699A">
      <w:pPr>
        <w:ind w:left="1440" w:hanging="1440"/>
        <w:jc w:val="both"/>
      </w:pPr>
    </w:p>
    <w:p w14:paraId="6C756800" w14:textId="77777777" w:rsidR="00D04730" w:rsidRPr="00701945" w:rsidRDefault="00D04730" w:rsidP="00C7699A">
      <w:pPr>
        <w:ind w:left="1440" w:hanging="1440"/>
        <w:jc w:val="both"/>
      </w:pPr>
    </w:p>
    <w:p w14:paraId="6F23AD27" w14:textId="77777777" w:rsidR="00C7699A" w:rsidRPr="00A32DC5" w:rsidRDefault="00C7699A" w:rsidP="00C7699A">
      <w:pPr>
        <w:jc w:val="both"/>
        <w:rPr>
          <w:b/>
        </w:rPr>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14:paraId="46B69366" w14:textId="77777777" w:rsidR="00C7699A" w:rsidRDefault="00C7699A" w:rsidP="00C7699A">
      <w:pPr>
        <w:jc w:val="both"/>
      </w:pPr>
    </w:p>
    <w:p w14:paraId="65418EFD" w14:textId="77777777" w:rsidR="007D1994" w:rsidRPr="007D1994" w:rsidRDefault="007D1994" w:rsidP="007D1994">
      <w:pPr>
        <w:jc w:val="center"/>
        <w:rPr>
          <w:b/>
        </w:rPr>
      </w:pPr>
      <w:r w:rsidRPr="007D1994">
        <w:rPr>
          <w:b/>
          <w:u w:val="single"/>
        </w:rPr>
        <w:t>2025 TEST PERIOD AND FORECASTING</w:t>
      </w:r>
    </w:p>
    <w:p w14:paraId="1F175F12" w14:textId="77777777" w:rsidR="007D1994" w:rsidRDefault="007D1994" w:rsidP="00C7699A">
      <w:pPr>
        <w:jc w:val="both"/>
      </w:pPr>
    </w:p>
    <w:p w14:paraId="5EA7033D" w14:textId="77777777" w:rsidR="00C7699A" w:rsidRPr="007D1994" w:rsidRDefault="00C7699A" w:rsidP="00804BF2">
      <w:pPr>
        <w:ind w:left="1440" w:hanging="1440"/>
        <w:jc w:val="both"/>
        <w:rPr>
          <w:b/>
        </w:rPr>
      </w:pPr>
      <w:r w:rsidRPr="005D4B47">
        <w:rPr>
          <w:b/>
          <w:bCs/>
        </w:rPr>
        <w:t>ISSUE 1</w:t>
      </w:r>
      <w:r w:rsidRPr="00701945">
        <w:rPr>
          <w:b/>
          <w:bCs/>
        </w:rPr>
        <w:t>:</w:t>
      </w:r>
      <w:r w:rsidRPr="00701945">
        <w:tab/>
      </w:r>
      <w:r w:rsidR="007D1994" w:rsidRPr="007D1994">
        <w:rPr>
          <w:b/>
        </w:rPr>
        <w:t>Is TECO's projected test period for the twelve months ending December 31, 2025, appropriate?</w:t>
      </w:r>
    </w:p>
    <w:p w14:paraId="483422DC" w14:textId="77777777" w:rsidR="00C7699A" w:rsidRPr="00701945" w:rsidRDefault="00C7699A" w:rsidP="00C7699A">
      <w:pPr>
        <w:jc w:val="both"/>
      </w:pPr>
    </w:p>
    <w:p w14:paraId="132A3AC0" w14:textId="193E1ACC" w:rsidR="00C7699A" w:rsidRDefault="00804BF2" w:rsidP="00804BF2">
      <w:pPr>
        <w:ind w:left="1440" w:hanging="1440"/>
        <w:jc w:val="both"/>
      </w:pPr>
      <w:r>
        <w:rPr>
          <w:b/>
          <w:bCs/>
        </w:rPr>
        <w:t>TECO</w:t>
      </w:r>
      <w:r w:rsidR="00C7699A" w:rsidRPr="005D4B47">
        <w:rPr>
          <w:b/>
          <w:bCs/>
        </w:rPr>
        <w:t>:</w:t>
      </w:r>
      <w:r w:rsidR="00C7699A" w:rsidRPr="005D4B47">
        <w:tab/>
      </w:r>
      <w:r w:rsidR="007D1994">
        <w:t xml:space="preserve">Yes. </w:t>
      </w:r>
      <w:r w:rsidR="00F71378">
        <w:t xml:space="preserve">TECO’s </w:t>
      </w:r>
      <w:r w:rsidR="007D1994">
        <w:t xml:space="preserve">proposed test period of the twelve months ending December 31, 2025 is appropriate for use as a test year because (1) 2025 is the first year the company’s proposed rates are proposed to be in effect and (2) the company’s financial budget for that period is representative of </w:t>
      </w:r>
      <w:r w:rsidR="00F71378">
        <w:t>TECO</w:t>
      </w:r>
      <w:r w:rsidR="007D1994">
        <w:t>’s projected revenues and costs of service, capital structure, and rate base needed to provide safe, reliable and cost-effective electric service to its customers. (Chronister)</w:t>
      </w:r>
    </w:p>
    <w:p w14:paraId="7E96CBE3" w14:textId="77777777" w:rsidR="003F2EEB" w:rsidRPr="005D4B47" w:rsidRDefault="003F2EEB" w:rsidP="00804BF2">
      <w:pPr>
        <w:ind w:left="1440" w:hanging="1440"/>
        <w:jc w:val="both"/>
      </w:pPr>
    </w:p>
    <w:p w14:paraId="20BF9A1D" w14:textId="77777777" w:rsidR="00C7699A" w:rsidRDefault="00804BF2" w:rsidP="00804BF2">
      <w:pPr>
        <w:ind w:left="1440" w:hanging="1440"/>
        <w:jc w:val="both"/>
      </w:pPr>
      <w:r>
        <w:rPr>
          <w:b/>
          <w:bCs/>
        </w:rPr>
        <w:t>OPC</w:t>
      </w:r>
      <w:r w:rsidR="00C7699A" w:rsidRPr="00701945">
        <w:rPr>
          <w:b/>
          <w:bCs/>
        </w:rPr>
        <w:t>:</w:t>
      </w:r>
      <w:r>
        <w:tab/>
      </w:r>
      <w:r w:rsidR="003E3438">
        <w:t>Yes, with adjustments.</w:t>
      </w:r>
    </w:p>
    <w:p w14:paraId="718816F6" w14:textId="77777777" w:rsidR="00804BF2" w:rsidRDefault="00804BF2" w:rsidP="00804BF2">
      <w:pPr>
        <w:ind w:left="1440" w:hanging="1440"/>
        <w:jc w:val="both"/>
      </w:pPr>
    </w:p>
    <w:p w14:paraId="0CE5BFB3" w14:textId="77777777" w:rsidR="00804BF2" w:rsidRDefault="00804BF2" w:rsidP="00804BF2">
      <w:pPr>
        <w:ind w:left="1440" w:hanging="1440"/>
        <w:jc w:val="both"/>
        <w:rPr>
          <w:b/>
        </w:rPr>
      </w:pPr>
      <w:r>
        <w:rPr>
          <w:b/>
        </w:rPr>
        <w:t>FL RISING/</w:t>
      </w:r>
    </w:p>
    <w:p w14:paraId="64F7F1E5" w14:textId="02B6DD27" w:rsidR="00804BF2" w:rsidRDefault="00804BF2" w:rsidP="00804BF2">
      <w:pPr>
        <w:ind w:left="1440" w:hanging="1440"/>
        <w:jc w:val="both"/>
      </w:pPr>
      <w:r>
        <w:rPr>
          <w:b/>
        </w:rPr>
        <w:t>LULAC:</w:t>
      </w:r>
      <w:r>
        <w:rPr>
          <w:b/>
        </w:rPr>
        <w:tab/>
      </w:r>
      <w:r w:rsidR="00C96E52">
        <w:t>Yes, with adjustments.</w:t>
      </w:r>
    </w:p>
    <w:p w14:paraId="3C4ECD9A" w14:textId="77777777" w:rsidR="00F43300" w:rsidRDefault="00F43300" w:rsidP="00804BF2">
      <w:pPr>
        <w:ind w:left="1440" w:hanging="1440"/>
        <w:jc w:val="both"/>
        <w:rPr>
          <w:b/>
        </w:rPr>
      </w:pPr>
    </w:p>
    <w:p w14:paraId="1EEC73EA" w14:textId="32558B92" w:rsidR="00804BF2" w:rsidRDefault="00804BF2" w:rsidP="00804BF2">
      <w:pPr>
        <w:ind w:left="1440" w:hanging="1440"/>
        <w:jc w:val="both"/>
        <w:rPr>
          <w:b/>
        </w:rPr>
      </w:pPr>
      <w:r>
        <w:rPr>
          <w:b/>
        </w:rPr>
        <w:t>FIPUG:</w:t>
      </w:r>
      <w:r>
        <w:rPr>
          <w:b/>
        </w:rPr>
        <w:tab/>
      </w:r>
      <w:r w:rsidR="00DA1A31" w:rsidRPr="006C7A7C">
        <w:rPr>
          <w:bCs/>
        </w:rPr>
        <w:t>Yes. However, adjustments recommended by OPC should be made.</w:t>
      </w:r>
    </w:p>
    <w:p w14:paraId="7027A9D4" w14:textId="77777777" w:rsidR="00804BF2" w:rsidRDefault="00804BF2" w:rsidP="00804BF2">
      <w:pPr>
        <w:ind w:left="1440" w:hanging="1440"/>
        <w:jc w:val="both"/>
        <w:rPr>
          <w:b/>
        </w:rPr>
      </w:pPr>
    </w:p>
    <w:p w14:paraId="3CAB1158" w14:textId="45B2F508" w:rsidR="00804BF2" w:rsidRDefault="00361142" w:rsidP="00804BF2">
      <w:pPr>
        <w:ind w:left="1440" w:hanging="1440"/>
        <w:jc w:val="both"/>
        <w:rPr>
          <w:b/>
        </w:rPr>
      </w:pPr>
      <w:r>
        <w:rPr>
          <w:b/>
        </w:rPr>
        <w:t>FEA:</w:t>
      </w:r>
      <w:r>
        <w:rPr>
          <w:b/>
        </w:rPr>
        <w:tab/>
      </w:r>
      <w:r w:rsidR="000B76B4">
        <w:t>No position</w:t>
      </w:r>
      <w:r w:rsidR="00480A03">
        <w:t>.</w:t>
      </w:r>
    </w:p>
    <w:p w14:paraId="09C52308" w14:textId="77777777" w:rsidR="00361142" w:rsidRDefault="00361142" w:rsidP="00804BF2">
      <w:pPr>
        <w:ind w:left="1440" w:hanging="1440"/>
        <w:jc w:val="both"/>
        <w:rPr>
          <w:b/>
        </w:rPr>
      </w:pPr>
    </w:p>
    <w:p w14:paraId="4C2C8A16" w14:textId="77777777" w:rsidR="00F7398A" w:rsidRDefault="00361142" w:rsidP="00804BF2">
      <w:pPr>
        <w:ind w:left="1440" w:hanging="1440"/>
        <w:jc w:val="both"/>
        <w:rPr>
          <w:b/>
        </w:rPr>
      </w:pPr>
      <w:r>
        <w:rPr>
          <w:b/>
        </w:rPr>
        <w:t>SIERRA</w:t>
      </w:r>
    </w:p>
    <w:p w14:paraId="6ADD9703" w14:textId="155698DF" w:rsidR="00361142" w:rsidRDefault="00F7398A" w:rsidP="00804BF2">
      <w:pPr>
        <w:ind w:left="1440" w:hanging="1440"/>
        <w:jc w:val="both"/>
        <w:rPr>
          <w:b/>
        </w:rPr>
      </w:pPr>
      <w:r>
        <w:rPr>
          <w:b/>
        </w:rPr>
        <w:t>CLUB</w:t>
      </w:r>
      <w:r w:rsidR="00361142">
        <w:rPr>
          <w:b/>
        </w:rPr>
        <w:t>:</w:t>
      </w:r>
      <w:r w:rsidR="00361142">
        <w:rPr>
          <w:b/>
        </w:rPr>
        <w:tab/>
      </w:r>
      <w:r w:rsidR="00417678">
        <w:t>No position.</w:t>
      </w:r>
    </w:p>
    <w:p w14:paraId="51F73544" w14:textId="77777777" w:rsidR="00361142" w:rsidRDefault="00361142" w:rsidP="00804BF2">
      <w:pPr>
        <w:ind w:left="1440" w:hanging="1440"/>
        <w:jc w:val="both"/>
        <w:rPr>
          <w:b/>
        </w:rPr>
      </w:pPr>
    </w:p>
    <w:p w14:paraId="13C35031" w14:textId="7CE3968D" w:rsidR="00361142" w:rsidRDefault="00361142" w:rsidP="00804BF2">
      <w:pPr>
        <w:ind w:left="1440" w:hanging="1440"/>
        <w:jc w:val="both"/>
        <w:rPr>
          <w:b/>
        </w:rPr>
      </w:pPr>
      <w:r>
        <w:rPr>
          <w:b/>
        </w:rPr>
        <w:t>FRF:</w:t>
      </w:r>
      <w:r>
        <w:rPr>
          <w:b/>
        </w:rPr>
        <w:tab/>
      </w:r>
      <w:r w:rsidR="0083182E">
        <w:t xml:space="preserve">A projected test year is consistent with </w:t>
      </w:r>
      <w:r w:rsidR="004651D1">
        <w:t>Commission</w:t>
      </w:r>
      <w:r w:rsidR="0083182E">
        <w:t xml:space="preserve"> practice. </w:t>
      </w:r>
      <w:r w:rsidR="004651D1">
        <w:t>The Commission</w:t>
      </w:r>
      <w:r w:rsidR="0083182E">
        <w:t xml:space="preserve"> must recognize that using a projected test year reduces risks faced by the utility, </w:t>
      </w:r>
      <w:r w:rsidR="0083182E">
        <w:lastRenderedPageBreak/>
        <w:t>TECO in this case, and this reduced risk must be reflected in the ROE used to set rates.</w:t>
      </w:r>
    </w:p>
    <w:p w14:paraId="46E81D26" w14:textId="77777777" w:rsidR="00361142" w:rsidRDefault="00361142" w:rsidP="00804BF2">
      <w:pPr>
        <w:ind w:left="1440" w:hanging="1440"/>
        <w:jc w:val="both"/>
        <w:rPr>
          <w:b/>
        </w:rPr>
      </w:pPr>
    </w:p>
    <w:p w14:paraId="40616C5C" w14:textId="77777777" w:rsidR="003E2E80" w:rsidRDefault="003E2E80" w:rsidP="00804BF2">
      <w:pPr>
        <w:ind w:left="1440" w:hanging="1440"/>
        <w:jc w:val="both"/>
        <w:rPr>
          <w:b/>
        </w:rPr>
      </w:pPr>
      <w:r>
        <w:rPr>
          <w:b/>
        </w:rPr>
        <w:t>FUEL</w:t>
      </w:r>
    </w:p>
    <w:p w14:paraId="51B3213B" w14:textId="22B3D82E" w:rsidR="00361142" w:rsidRDefault="003E2E80" w:rsidP="00804BF2">
      <w:pPr>
        <w:ind w:left="1440" w:hanging="1440"/>
        <w:jc w:val="both"/>
      </w:pPr>
      <w:r>
        <w:rPr>
          <w:b/>
        </w:rPr>
        <w:t>RETAILERS</w:t>
      </w:r>
      <w:r w:rsidR="00361142">
        <w:rPr>
          <w:b/>
        </w:rPr>
        <w:t>:</w:t>
      </w:r>
      <w:r>
        <w:rPr>
          <w:b/>
        </w:rPr>
        <w:t xml:space="preserve"> </w:t>
      </w:r>
      <w:r w:rsidR="00813C91">
        <w:t>Agree</w:t>
      </w:r>
      <w:r w:rsidR="004F42C1">
        <w:t>s</w:t>
      </w:r>
      <w:r w:rsidR="00813C91">
        <w:t xml:space="preserve"> with </w:t>
      </w:r>
      <w:r w:rsidR="004651D1">
        <w:t>OPC.</w:t>
      </w:r>
    </w:p>
    <w:p w14:paraId="600EB9E3" w14:textId="77777777" w:rsidR="00230560" w:rsidRDefault="00230560" w:rsidP="00804BF2">
      <w:pPr>
        <w:ind w:left="1440" w:hanging="1440"/>
        <w:jc w:val="both"/>
      </w:pPr>
    </w:p>
    <w:p w14:paraId="2FFE110F" w14:textId="0BA9D9D0" w:rsidR="00230560" w:rsidRPr="00230560" w:rsidRDefault="003E2E80" w:rsidP="00804BF2">
      <w:pPr>
        <w:ind w:left="1440" w:hanging="1440"/>
        <w:jc w:val="both"/>
      </w:pPr>
      <w:r>
        <w:rPr>
          <w:b/>
        </w:rPr>
        <w:t>WALMART</w:t>
      </w:r>
      <w:r w:rsidR="00230560">
        <w:rPr>
          <w:b/>
        </w:rPr>
        <w:t>:</w:t>
      </w:r>
      <w:r w:rsidR="00230560">
        <w:rPr>
          <w:b/>
        </w:rPr>
        <w:tab/>
      </w:r>
      <w:r w:rsidR="004651D1" w:rsidRPr="004651D1">
        <w:t>A</w:t>
      </w:r>
      <w:r w:rsidR="00230560">
        <w:t>dopts the position of FRF.</w:t>
      </w:r>
    </w:p>
    <w:p w14:paraId="40E12CE3" w14:textId="77777777" w:rsidR="00C7699A" w:rsidRPr="00701945" w:rsidRDefault="00C7699A" w:rsidP="00C7699A">
      <w:pPr>
        <w:jc w:val="both"/>
      </w:pPr>
    </w:p>
    <w:p w14:paraId="1983E266" w14:textId="77777777" w:rsidR="00C7699A" w:rsidRPr="005D4B47" w:rsidRDefault="00804BF2" w:rsidP="00804BF2">
      <w:pPr>
        <w:ind w:left="1440" w:hanging="1440"/>
        <w:jc w:val="both"/>
        <w:rPr>
          <w:b/>
          <w:bCs/>
        </w:rPr>
      </w:pPr>
      <w:r>
        <w:rPr>
          <w:b/>
          <w:bCs/>
        </w:rPr>
        <w:t>STAFF:</w:t>
      </w:r>
      <w:r>
        <w:rPr>
          <w:b/>
          <w:bCs/>
        </w:rPr>
        <w:tab/>
      </w:r>
      <w:r w:rsidR="00AB600F">
        <w:t>No position at this time.</w:t>
      </w:r>
    </w:p>
    <w:p w14:paraId="7391260A" w14:textId="77777777" w:rsidR="00C7699A" w:rsidRDefault="00C7699A" w:rsidP="00C7699A">
      <w:pPr>
        <w:jc w:val="both"/>
      </w:pPr>
    </w:p>
    <w:p w14:paraId="226D364F" w14:textId="77777777" w:rsidR="00361142" w:rsidRDefault="00361142" w:rsidP="00C7699A">
      <w:pPr>
        <w:jc w:val="both"/>
      </w:pPr>
    </w:p>
    <w:p w14:paraId="52C94519" w14:textId="77777777" w:rsidR="00361142" w:rsidRPr="007D1994" w:rsidRDefault="00361142" w:rsidP="00361142">
      <w:pPr>
        <w:ind w:left="1440" w:hanging="1440"/>
        <w:jc w:val="both"/>
        <w:rPr>
          <w:b/>
        </w:rPr>
      </w:pPr>
      <w:r w:rsidRPr="005D4B47">
        <w:rPr>
          <w:b/>
          <w:bCs/>
        </w:rPr>
        <w:t xml:space="preserve">ISSUE </w:t>
      </w:r>
      <w:r w:rsidR="0003402E">
        <w:rPr>
          <w:b/>
          <w:bCs/>
        </w:rPr>
        <w:t>2</w:t>
      </w:r>
      <w:r w:rsidRPr="00701945">
        <w:rPr>
          <w:b/>
          <w:bCs/>
        </w:rPr>
        <w:t>:</w:t>
      </w:r>
      <w:r w:rsidRPr="00701945">
        <w:tab/>
      </w:r>
      <w:r w:rsidR="007D1994" w:rsidRPr="007D1994">
        <w:rPr>
          <w:b/>
        </w:rPr>
        <w:t>Are TECO’s forecasts of customers, KWH, and KW by revenue and rate class, appropriate?</w:t>
      </w:r>
    </w:p>
    <w:p w14:paraId="0E6CA61A" w14:textId="77777777" w:rsidR="00361142" w:rsidRPr="00701945" w:rsidRDefault="00361142" w:rsidP="00361142">
      <w:pPr>
        <w:jc w:val="both"/>
      </w:pPr>
    </w:p>
    <w:p w14:paraId="792CFB00" w14:textId="77777777" w:rsidR="00361142" w:rsidRPr="005D4B47" w:rsidRDefault="00361142" w:rsidP="00361142">
      <w:pPr>
        <w:ind w:left="1440" w:hanging="1440"/>
        <w:jc w:val="both"/>
      </w:pPr>
      <w:r>
        <w:rPr>
          <w:b/>
          <w:bCs/>
        </w:rPr>
        <w:t>TECO</w:t>
      </w:r>
      <w:r w:rsidRPr="005D4B47">
        <w:rPr>
          <w:b/>
          <w:bCs/>
        </w:rPr>
        <w:t>:</w:t>
      </w:r>
      <w:r w:rsidRPr="005D4B47">
        <w:tab/>
      </w:r>
      <w:r w:rsidR="007D1994">
        <w:t>Yes. The company’s customer, demand, and energy forecast for 2025 was based on assumptions developed by industry experts that were the most recent assumptions available at the time the forecasts were prepared. The company used theoretically and statistically sound forecasting methods previously reviewed and approved by the Commission. The company’s use of “out of model” adjustments for changes in energy efficiency, electric vehicle charging, and private rooftop solar is reasonable and appropriate. OPC’s proposed base revenue adjustments for 2025, 2026, and 2027 rely on a methodology that overlooks key facts, has severe shortcomings, is inaccurate, and therefore should be rejected. (Cifuentes, Williams)</w:t>
      </w:r>
    </w:p>
    <w:p w14:paraId="4DA61ABF" w14:textId="77777777" w:rsidR="00361142" w:rsidRPr="00701945" w:rsidRDefault="00361142" w:rsidP="00361142">
      <w:pPr>
        <w:jc w:val="both"/>
      </w:pPr>
    </w:p>
    <w:p w14:paraId="785CF304" w14:textId="5D7E0BF6" w:rsidR="00361142" w:rsidRDefault="00361142" w:rsidP="00361142">
      <w:pPr>
        <w:ind w:left="1440" w:hanging="1440"/>
        <w:jc w:val="both"/>
      </w:pPr>
      <w:r>
        <w:rPr>
          <w:b/>
          <w:bCs/>
        </w:rPr>
        <w:t>OPC</w:t>
      </w:r>
      <w:r w:rsidRPr="00701945">
        <w:rPr>
          <w:b/>
          <w:bCs/>
        </w:rPr>
        <w:t>:</w:t>
      </w:r>
      <w:r>
        <w:tab/>
      </w:r>
      <w:r w:rsidR="003E3438">
        <w:t>No. TECO’s forecasting fails to conform to historic trends and is biased by TECO’s usage of out-of-model adjustments. As a result, TECO’s forecasts are consistently lower than actuals. For example, the average forecast variance in TECO’s prior two rate cases was 2.1</w:t>
      </w:r>
      <w:r w:rsidR="00A326DF">
        <w:t>%</w:t>
      </w:r>
      <w:r w:rsidR="003E3438">
        <w:t xml:space="preserve">, which, if applied to this case, would result in higher forecasted achieved retail revenue of </w:t>
      </w:r>
      <w:r w:rsidR="003E3438" w:rsidRPr="002353D0">
        <w:t>$31 million in 2025, $37 million in 2026, and $39 million in 2027.</w:t>
      </w:r>
    </w:p>
    <w:p w14:paraId="479DC92A" w14:textId="77777777" w:rsidR="007D504B" w:rsidRDefault="007D504B" w:rsidP="00361142">
      <w:pPr>
        <w:ind w:left="1440" w:hanging="1440"/>
        <w:jc w:val="both"/>
      </w:pPr>
    </w:p>
    <w:p w14:paraId="5F541431" w14:textId="77777777" w:rsidR="00361142" w:rsidRDefault="00361142" w:rsidP="00361142">
      <w:pPr>
        <w:ind w:left="1440" w:hanging="1440"/>
        <w:jc w:val="both"/>
        <w:rPr>
          <w:b/>
        </w:rPr>
      </w:pPr>
      <w:r>
        <w:rPr>
          <w:b/>
        </w:rPr>
        <w:t>FL RISING/</w:t>
      </w:r>
    </w:p>
    <w:p w14:paraId="37977890" w14:textId="77777777" w:rsidR="00361142" w:rsidRDefault="00361142" w:rsidP="00361142">
      <w:pPr>
        <w:ind w:left="1440" w:hanging="1440"/>
        <w:jc w:val="both"/>
        <w:rPr>
          <w:b/>
        </w:rPr>
      </w:pPr>
      <w:r>
        <w:rPr>
          <w:b/>
        </w:rPr>
        <w:t>LULAC:</w:t>
      </w:r>
      <w:r>
        <w:rPr>
          <w:b/>
        </w:rPr>
        <w:tab/>
      </w:r>
      <w:r w:rsidR="00C96E52">
        <w:rPr>
          <w:bCs/>
        </w:rPr>
        <w:t>No.</w:t>
      </w:r>
    </w:p>
    <w:p w14:paraId="48F90135" w14:textId="77777777" w:rsidR="00361142" w:rsidRDefault="00361142" w:rsidP="00361142">
      <w:pPr>
        <w:ind w:left="1440" w:hanging="1440"/>
        <w:jc w:val="both"/>
        <w:rPr>
          <w:b/>
        </w:rPr>
      </w:pPr>
    </w:p>
    <w:p w14:paraId="13B02061" w14:textId="69F68E73" w:rsidR="00361142" w:rsidRDefault="00361142" w:rsidP="00361142">
      <w:pPr>
        <w:ind w:left="1440" w:hanging="1440"/>
        <w:jc w:val="both"/>
        <w:rPr>
          <w:bCs/>
        </w:rPr>
      </w:pPr>
      <w:r>
        <w:rPr>
          <w:b/>
        </w:rPr>
        <w:t>FIPUG:</w:t>
      </w:r>
      <w:r>
        <w:rPr>
          <w:b/>
        </w:rPr>
        <w:tab/>
      </w:r>
      <w:r w:rsidR="00DA1A31" w:rsidRPr="006C7A7C">
        <w:rPr>
          <w:bCs/>
        </w:rPr>
        <w:t>Adopt</w:t>
      </w:r>
      <w:r w:rsidR="004F42C1">
        <w:rPr>
          <w:bCs/>
        </w:rPr>
        <w:t>s</w:t>
      </w:r>
      <w:r w:rsidR="00DA1A31" w:rsidRPr="006C7A7C">
        <w:rPr>
          <w:bCs/>
        </w:rPr>
        <w:t xml:space="preserve"> the position of OPC.</w:t>
      </w:r>
    </w:p>
    <w:p w14:paraId="32C3C039" w14:textId="77777777" w:rsidR="007D504B" w:rsidRDefault="007D504B" w:rsidP="00361142">
      <w:pPr>
        <w:ind w:left="1440" w:hanging="1440"/>
        <w:jc w:val="both"/>
        <w:rPr>
          <w:b/>
        </w:rPr>
      </w:pPr>
    </w:p>
    <w:p w14:paraId="5C5124FA" w14:textId="1BE3FEDE" w:rsidR="00361142" w:rsidRDefault="00361142" w:rsidP="00361142">
      <w:pPr>
        <w:ind w:left="1440" w:hanging="1440"/>
        <w:jc w:val="both"/>
        <w:rPr>
          <w:b/>
        </w:rPr>
      </w:pPr>
      <w:r>
        <w:rPr>
          <w:b/>
        </w:rPr>
        <w:t>FEA:</w:t>
      </w:r>
      <w:r>
        <w:rPr>
          <w:b/>
        </w:rPr>
        <w:tab/>
      </w:r>
      <w:r w:rsidR="00F45E43">
        <w:t>No position.</w:t>
      </w:r>
    </w:p>
    <w:p w14:paraId="30047F2F" w14:textId="77777777" w:rsidR="00361142" w:rsidRDefault="00361142" w:rsidP="00361142">
      <w:pPr>
        <w:ind w:left="1440" w:hanging="1440"/>
        <w:jc w:val="both"/>
        <w:rPr>
          <w:b/>
        </w:rPr>
      </w:pPr>
    </w:p>
    <w:p w14:paraId="07931F99" w14:textId="77777777" w:rsidR="00F45E43" w:rsidRDefault="00361142" w:rsidP="00361142">
      <w:pPr>
        <w:ind w:left="1440" w:hanging="1440"/>
        <w:jc w:val="both"/>
        <w:rPr>
          <w:b/>
        </w:rPr>
      </w:pPr>
      <w:r>
        <w:rPr>
          <w:b/>
        </w:rPr>
        <w:t>SIERRA</w:t>
      </w:r>
    </w:p>
    <w:p w14:paraId="37900B49" w14:textId="2008153C" w:rsidR="00361142" w:rsidRDefault="00F45E43" w:rsidP="00361142">
      <w:pPr>
        <w:ind w:left="1440" w:hanging="1440"/>
        <w:jc w:val="both"/>
        <w:rPr>
          <w:b/>
        </w:rPr>
      </w:pPr>
      <w:r>
        <w:rPr>
          <w:b/>
        </w:rPr>
        <w:t>CLUB</w:t>
      </w:r>
      <w:r w:rsidR="00361142">
        <w:rPr>
          <w:b/>
        </w:rPr>
        <w:t>:</w:t>
      </w:r>
      <w:r w:rsidR="00361142">
        <w:rPr>
          <w:b/>
        </w:rPr>
        <w:tab/>
      </w:r>
      <w:r>
        <w:t>No position</w:t>
      </w:r>
      <w:r w:rsidR="0049497E" w:rsidRPr="001E3193">
        <w:t>.</w:t>
      </w:r>
    </w:p>
    <w:p w14:paraId="2C0DC7DD" w14:textId="77777777" w:rsidR="00361142" w:rsidRDefault="00361142" w:rsidP="00361142">
      <w:pPr>
        <w:ind w:left="1440" w:hanging="1440"/>
        <w:jc w:val="both"/>
        <w:rPr>
          <w:b/>
        </w:rPr>
      </w:pPr>
    </w:p>
    <w:p w14:paraId="27B922AF" w14:textId="5A589A93" w:rsidR="00361142" w:rsidRDefault="00361142" w:rsidP="00361142">
      <w:pPr>
        <w:ind w:left="1440" w:hanging="1440"/>
        <w:jc w:val="both"/>
        <w:rPr>
          <w:b/>
        </w:rPr>
      </w:pPr>
      <w:r>
        <w:rPr>
          <w:b/>
        </w:rPr>
        <w:t>FRF:</w:t>
      </w:r>
      <w:r>
        <w:rPr>
          <w:b/>
        </w:rPr>
        <w:tab/>
      </w:r>
      <w:r w:rsidR="0083182E">
        <w:t>No.  Agree</w:t>
      </w:r>
      <w:r w:rsidR="00CD206F">
        <w:t>s</w:t>
      </w:r>
      <w:r w:rsidR="0083182E">
        <w:t xml:space="preserve"> with OPC as to appropriate corrections to TECO’s forecasts.</w:t>
      </w:r>
    </w:p>
    <w:p w14:paraId="04744C4D" w14:textId="2DCDD658" w:rsidR="00361142" w:rsidRDefault="00361142" w:rsidP="00361142">
      <w:pPr>
        <w:ind w:left="1440" w:hanging="1440"/>
        <w:jc w:val="both"/>
        <w:rPr>
          <w:b/>
        </w:rPr>
      </w:pPr>
    </w:p>
    <w:p w14:paraId="4CA4A81D" w14:textId="77777777" w:rsidR="00CD206F" w:rsidRDefault="00CD206F" w:rsidP="00361142">
      <w:pPr>
        <w:ind w:left="1440" w:hanging="1440"/>
        <w:jc w:val="both"/>
        <w:rPr>
          <w:b/>
        </w:rPr>
      </w:pPr>
    </w:p>
    <w:p w14:paraId="12154807" w14:textId="77777777" w:rsidR="00CD206F" w:rsidRDefault="00CD206F" w:rsidP="00361142">
      <w:pPr>
        <w:ind w:left="1440" w:hanging="1440"/>
        <w:jc w:val="both"/>
        <w:rPr>
          <w:b/>
        </w:rPr>
      </w:pPr>
      <w:r>
        <w:rPr>
          <w:b/>
        </w:rPr>
        <w:lastRenderedPageBreak/>
        <w:t>FUEL</w:t>
      </w:r>
    </w:p>
    <w:p w14:paraId="7C9FC657" w14:textId="6F41A4D2" w:rsidR="00361142" w:rsidRDefault="00CD206F" w:rsidP="00361142">
      <w:pPr>
        <w:ind w:left="1440" w:hanging="1440"/>
        <w:jc w:val="both"/>
      </w:pPr>
      <w:r>
        <w:rPr>
          <w:b/>
        </w:rPr>
        <w:t>RETAILERS</w:t>
      </w:r>
      <w:r w:rsidR="00361142">
        <w:rPr>
          <w:b/>
        </w:rPr>
        <w:t>:</w:t>
      </w:r>
      <w:r>
        <w:rPr>
          <w:b/>
        </w:rPr>
        <w:t xml:space="preserve"> </w:t>
      </w:r>
      <w:r w:rsidR="00813C91">
        <w:t xml:space="preserve">No </w:t>
      </w:r>
      <w:r w:rsidR="00764D74">
        <w:t>p</w:t>
      </w:r>
      <w:r w:rsidR="00813C91">
        <w:t>osition.</w:t>
      </w:r>
    </w:p>
    <w:p w14:paraId="1888E36E" w14:textId="77777777" w:rsidR="00230560" w:rsidRDefault="00230560" w:rsidP="00361142">
      <w:pPr>
        <w:ind w:left="1440" w:hanging="1440"/>
        <w:jc w:val="both"/>
      </w:pPr>
    </w:p>
    <w:p w14:paraId="5689B51F" w14:textId="04A04AE6" w:rsidR="00230560" w:rsidRPr="00230560" w:rsidRDefault="007232BE" w:rsidP="00361142">
      <w:pPr>
        <w:ind w:left="1440" w:hanging="1440"/>
        <w:jc w:val="both"/>
        <w:rPr>
          <w:b/>
        </w:rPr>
      </w:pPr>
      <w:r>
        <w:rPr>
          <w:b/>
        </w:rPr>
        <w:t>WALMART</w:t>
      </w:r>
      <w:r w:rsidR="00230560">
        <w:rPr>
          <w:b/>
        </w:rPr>
        <w:t>:</w:t>
      </w:r>
      <w:r w:rsidR="00230560">
        <w:rPr>
          <w:b/>
        </w:rPr>
        <w:tab/>
      </w:r>
      <w:r>
        <w:t>A</w:t>
      </w:r>
      <w:r w:rsidR="00230560">
        <w:t>dopts the position of FRF.</w:t>
      </w:r>
    </w:p>
    <w:p w14:paraId="7BF64F02" w14:textId="77777777" w:rsidR="00361142" w:rsidRPr="00701945" w:rsidRDefault="00361142" w:rsidP="00361142">
      <w:pPr>
        <w:jc w:val="both"/>
      </w:pPr>
    </w:p>
    <w:p w14:paraId="3341FD62" w14:textId="77777777" w:rsidR="00361142" w:rsidRPr="005D4B47" w:rsidRDefault="00361142" w:rsidP="00361142">
      <w:pPr>
        <w:ind w:left="1440" w:hanging="1440"/>
        <w:jc w:val="both"/>
        <w:rPr>
          <w:b/>
          <w:bCs/>
        </w:rPr>
      </w:pPr>
      <w:r>
        <w:rPr>
          <w:b/>
          <w:bCs/>
        </w:rPr>
        <w:t>STAFF:</w:t>
      </w:r>
      <w:r>
        <w:rPr>
          <w:b/>
          <w:bCs/>
        </w:rPr>
        <w:tab/>
      </w:r>
      <w:r w:rsidR="00AB600F">
        <w:t>No position at this time.</w:t>
      </w:r>
    </w:p>
    <w:p w14:paraId="05A2639C" w14:textId="77777777" w:rsidR="00361142" w:rsidRDefault="00361142" w:rsidP="00C7699A">
      <w:pPr>
        <w:jc w:val="both"/>
      </w:pPr>
    </w:p>
    <w:p w14:paraId="41D40454" w14:textId="77777777" w:rsidR="00361142" w:rsidRDefault="00361142" w:rsidP="00C7699A">
      <w:pPr>
        <w:jc w:val="both"/>
      </w:pPr>
    </w:p>
    <w:p w14:paraId="7DB6EE3E" w14:textId="77777777" w:rsidR="00361142" w:rsidRPr="007D1994" w:rsidRDefault="00361142" w:rsidP="00361142">
      <w:pPr>
        <w:ind w:left="1440" w:hanging="1440"/>
        <w:jc w:val="both"/>
        <w:rPr>
          <w:b/>
        </w:rPr>
      </w:pPr>
      <w:r w:rsidRPr="005D4B47">
        <w:rPr>
          <w:b/>
          <w:bCs/>
        </w:rPr>
        <w:t xml:space="preserve">ISSUE </w:t>
      </w:r>
      <w:r w:rsidR="0003402E">
        <w:rPr>
          <w:b/>
          <w:bCs/>
        </w:rPr>
        <w:t>3</w:t>
      </w:r>
      <w:r w:rsidRPr="00701945">
        <w:rPr>
          <w:b/>
          <w:bCs/>
        </w:rPr>
        <w:t>:</w:t>
      </w:r>
      <w:r w:rsidRPr="00701945">
        <w:tab/>
      </w:r>
      <w:r w:rsidR="007D1994" w:rsidRPr="007D1994">
        <w:rPr>
          <w:b/>
        </w:rPr>
        <w:t>What are the inflation, customer growth, and other trend factors that should be approved for use in forecasting the test year budget?</w:t>
      </w:r>
    </w:p>
    <w:p w14:paraId="6DDEB7A8" w14:textId="77777777" w:rsidR="00361142" w:rsidRPr="00701945" w:rsidRDefault="00361142" w:rsidP="00361142">
      <w:pPr>
        <w:jc w:val="both"/>
      </w:pPr>
    </w:p>
    <w:p w14:paraId="1438A10B" w14:textId="3B42A22C" w:rsidR="00361142" w:rsidRPr="005D4B47" w:rsidRDefault="00361142" w:rsidP="00361142">
      <w:pPr>
        <w:ind w:left="1440" w:hanging="1440"/>
        <w:jc w:val="both"/>
      </w:pPr>
      <w:r>
        <w:rPr>
          <w:b/>
          <w:bCs/>
        </w:rPr>
        <w:t>TECO</w:t>
      </w:r>
      <w:r w:rsidRPr="005D4B47">
        <w:rPr>
          <w:b/>
          <w:bCs/>
        </w:rPr>
        <w:t>:</w:t>
      </w:r>
      <w:r w:rsidRPr="005D4B47">
        <w:tab/>
      </w:r>
      <w:r w:rsidR="00EF6924">
        <w:t>TECO’s</w:t>
      </w:r>
      <w:r w:rsidR="007D1994">
        <w:t xml:space="preserve"> 2025 forecast was prepared using a </w:t>
      </w:r>
      <w:r w:rsidR="007D1994" w:rsidRPr="007C4CE0">
        <w:t>2.1</w:t>
      </w:r>
      <w:r w:rsidR="00EF6924">
        <w:t xml:space="preserve">% inflation rate, a 1.7% </w:t>
      </w:r>
      <w:r w:rsidR="007D1994">
        <w:t>incr</w:t>
      </w:r>
      <w:r w:rsidR="00EF6924">
        <w:t xml:space="preserve">ease in customer growth, a 3.75% </w:t>
      </w:r>
      <w:r w:rsidR="007D1994">
        <w:t>increase</w:t>
      </w:r>
      <w:r w:rsidR="00EF6924">
        <w:t xml:space="preserve"> for non-union labor, and a 3.5% </w:t>
      </w:r>
      <w:r w:rsidR="007D1994">
        <w:t>increase for union labor. These factors are reasonable and should be approved. (Cifuentes, Chronister, Cacciatore)</w:t>
      </w:r>
    </w:p>
    <w:p w14:paraId="5B86E3F5" w14:textId="77777777" w:rsidR="00361142" w:rsidRPr="00701945" w:rsidRDefault="00361142" w:rsidP="00361142">
      <w:pPr>
        <w:jc w:val="both"/>
      </w:pPr>
    </w:p>
    <w:p w14:paraId="60E41A59" w14:textId="77777777" w:rsidR="00361142" w:rsidRDefault="00361142" w:rsidP="00361142">
      <w:pPr>
        <w:ind w:left="1440" w:hanging="1440"/>
        <w:jc w:val="both"/>
      </w:pPr>
      <w:r>
        <w:rPr>
          <w:b/>
          <w:bCs/>
        </w:rPr>
        <w:t>OPC</w:t>
      </w:r>
      <w:r w:rsidRPr="00701945">
        <w:rPr>
          <w:b/>
          <w:bCs/>
        </w:rPr>
        <w:t>:</w:t>
      </w:r>
      <w:r>
        <w:tab/>
      </w:r>
      <w:r w:rsidR="003E3438">
        <w:rPr>
          <w:bCs/>
        </w:rPr>
        <w:t>A</w:t>
      </w:r>
      <w:r w:rsidR="003E3438" w:rsidRPr="00A90F37">
        <w:rPr>
          <w:bCs/>
        </w:rPr>
        <w:t xml:space="preserve"> moderate sales/revenue adjustment which simply excludes several</w:t>
      </w:r>
      <w:r w:rsidR="003E3438">
        <w:rPr>
          <w:bCs/>
        </w:rPr>
        <w:t xml:space="preserve"> of TECO’s</w:t>
      </w:r>
      <w:r w:rsidR="003E3438" w:rsidRPr="00A90F37">
        <w:rPr>
          <w:bCs/>
        </w:rPr>
        <w:t xml:space="preserve"> proposed out-of-model adjustments</w:t>
      </w:r>
      <w:r w:rsidR="003E3438">
        <w:rPr>
          <w:bCs/>
        </w:rPr>
        <w:t xml:space="preserve"> </w:t>
      </w:r>
      <w:r w:rsidR="003E3438" w:rsidRPr="00A90F37">
        <w:rPr>
          <w:bCs/>
        </w:rPr>
        <w:t>is reasonable</w:t>
      </w:r>
      <w:r w:rsidR="003E3438">
        <w:rPr>
          <w:bCs/>
        </w:rPr>
        <w:t>.</w:t>
      </w:r>
    </w:p>
    <w:p w14:paraId="29D3BB33" w14:textId="77777777" w:rsidR="00361142" w:rsidRDefault="00361142" w:rsidP="00361142">
      <w:pPr>
        <w:ind w:left="1440" w:hanging="1440"/>
        <w:jc w:val="both"/>
      </w:pPr>
    </w:p>
    <w:p w14:paraId="3AC15876" w14:textId="77777777" w:rsidR="00361142" w:rsidRDefault="00361142" w:rsidP="00361142">
      <w:pPr>
        <w:ind w:left="1440" w:hanging="1440"/>
        <w:jc w:val="both"/>
        <w:rPr>
          <w:b/>
        </w:rPr>
      </w:pPr>
      <w:r>
        <w:rPr>
          <w:b/>
        </w:rPr>
        <w:t>FL RISING/</w:t>
      </w:r>
    </w:p>
    <w:p w14:paraId="266B84E7" w14:textId="1082BB81" w:rsidR="00361142" w:rsidRDefault="00361142" w:rsidP="00361142">
      <w:pPr>
        <w:ind w:left="1440" w:hanging="1440"/>
        <w:jc w:val="both"/>
        <w:rPr>
          <w:b/>
        </w:rPr>
      </w:pPr>
      <w:r>
        <w:rPr>
          <w:b/>
        </w:rPr>
        <w:t>LULAC:</w:t>
      </w:r>
      <w:r>
        <w:rPr>
          <w:b/>
        </w:rPr>
        <w:tab/>
      </w:r>
      <w:r w:rsidR="00C96E52">
        <w:t>Assumptions used for forecasting customer growth should include Hillsborough County population estimates, Hillsborough County Commercial and Manufacturing employment, building permits, and time-trend variables. Inflation continues to come down and should be assumed to be approximately 2%. Energy sales growth assumptions must not rely on 20-year normalized weather patterns, but should assume that the increasing heat that the Tampa-area is experiencing from climate change will continue and will continue to get worse. If it is TECO’s position that this pattern will not continue, then none of the investments TECO is making for “resiliency” (the vast majority of their investments) should be allowed. Customer growth should be assumed to continue at approximately at least 1% per year.</w:t>
      </w:r>
    </w:p>
    <w:p w14:paraId="05D66A30" w14:textId="77777777" w:rsidR="00361142" w:rsidRDefault="00361142" w:rsidP="00361142">
      <w:pPr>
        <w:ind w:left="1440" w:hanging="1440"/>
        <w:jc w:val="both"/>
        <w:rPr>
          <w:b/>
        </w:rPr>
      </w:pPr>
    </w:p>
    <w:p w14:paraId="0DB465DE" w14:textId="3D859FCF" w:rsidR="00361142" w:rsidRDefault="00361142" w:rsidP="00361142">
      <w:pPr>
        <w:ind w:left="1440" w:hanging="1440"/>
        <w:jc w:val="both"/>
        <w:rPr>
          <w:b/>
        </w:rPr>
      </w:pPr>
      <w:r>
        <w:rPr>
          <w:b/>
        </w:rPr>
        <w:t>FIPUG:</w:t>
      </w:r>
      <w:r>
        <w:rPr>
          <w:b/>
        </w:rPr>
        <w:tab/>
      </w:r>
      <w:r w:rsidR="00DA1A31" w:rsidRPr="006C7A7C">
        <w:rPr>
          <w:bCs/>
        </w:rPr>
        <w:t>Adopt</w:t>
      </w:r>
      <w:r w:rsidR="006252DF">
        <w:rPr>
          <w:bCs/>
        </w:rPr>
        <w:t>s</w:t>
      </w:r>
      <w:r w:rsidR="00DA1A31" w:rsidRPr="006C7A7C">
        <w:rPr>
          <w:bCs/>
        </w:rPr>
        <w:t xml:space="preserve"> the position of OPC.</w:t>
      </w:r>
    </w:p>
    <w:p w14:paraId="5CB4B27D" w14:textId="77777777" w:rsidR="00361142" w:rsidRDefault="00361142" w:rsidP="00361142">
      <w:pPr>
        <w:ind w:left="1440" w:hanging="1440"/>
        <w:jc w:val="both"/>
        <w:rPr>
          <w:b/>
        </w:rPr>
      </w:pPr>
    </w:p>
    <w:p w14:paraId="1B305222" w14:textId="0D6EFD0E" w:rsidR="00361142" w:rsidRDefault="00361142" w:rsidP="00361142">
      <w:pPr>
        <w:ind w:left="1440" w:hanging="1440"/>
        <w:jc w:val="both"/>
        <w:rPr>
          <w:b/>
        </w:rPr>
      </w:pPr>
      <w:r>
        <w:rPr>
          <w:b/>
        </w:rPr>
        <w:t>FEA:</w:t>
      </w:r>
      <w:r>
        <w:rPr>
          <w:b/>
        </w:rPr>
        <w:tab/>
      </w:r>
      <w:r w:rsidR="005136DE">
        <w:t>No position</w:t>
      </w:r>
      <w:r w:rsidR="006252DF">
        <w:t>.</w:t>
      </w:r>
    </w:p>
    <w:p w14:paraId="2EC983FC" w14:textId="77777777" w:rsidR="00F51E44" w:rsidRDefault="00F51E44" w:rsidP="00361142">
      <w:pPr>
        <w:ind w:left="1440" w:hanging="1440"/>
        <w:jc w:val="both"/>
        <w:rPr>
          <w:b/>
        </w:rPr>
      </w:pPr>
    </w:p>
    <w:p w14:paraId="45F0B985" w14:textId="77777777" w:rsidR="00737152" w:rsidRDefault="00361142" w:rsidP="00361142">
      <w:pPr>
        <w:ind w:left="1440" w:hanging="1440"/>
        <w:jc w:val="both"/>
        <w:rPr>
          <w:b/>
        </w:rPr>
      </w:pPr>
      <w:r>
        <w:rPr>
          <w:b/>
        </w:rPr>
        <w:t>SIERRA</w:t>
      </w:r>
    </w:p>
    <w:p w14:paraId="4B78B292" w14:textId="48949E39" w:rsidR="00361142" w:rsidRDefault="00737152" w:rsidP="00361142">
      <w:pPr>
        <w:ind w:left="1440" w:hanging="1440"/>
        <w:jc w:val="both"/>
        <w:rPr>
          <w:b/>
        </w:rPr>
      </w:pPr>
      <w:r>
        <w:rPr>
          <w:b/>
        </w:rPr>
        <w:t>CLUB</w:t>
      </w:r>
      <w:r w:rsidR="00361142">
        <w:rPr>
          <w:b/>
        </w:rPr>
        <w:t>:</w:t>
      </w:r>
      <w:r w:rsidR="00361142">
        <w:rPr>
          <w:b/>
        </w:rPr>
        <w:tab/>
      </w:r>
      <w:r w:rsidR="005136DE">
        <w:t>No position</w:t>
      </w:r>
      <w:r w:rsidR="0049497E" w:rsidRPr="001E3193">
        <w:t>.</w:t>
      </w:r>
    </w:p>
    <w:p w14:paraId="70676AF2" w14:textId="77777777" w:rsidR="00361142" w:rsidRDefault="00361142" w:rsidP="00361142">
      <w:pPr>
        <w:ind w:left="1440" w:hanging="1440"/>
        <w:jc w:val="both"/>
        <w:rPr>
          <w:b/>
        </w:rPr>
      </w:pPr>
    </w:p>
    <w:p w14:paraId="4A7EB2EF" w14:textId="77777777" w:rsidR="00361142" w:rsidRDefault="00361142" w:rsidP="00361142">
      <w:pPr>
        <w:ind w:left="1440" w:hanging="1440"/>
        <w:jc w:val="both"/>
        <w:rPr>
          <w:b/>
        </w:rPr>
      </w:pPr>
      <w:r>
        <w:rPr>
          <w:b/>
        </w:rPr>
        <w:t>FRF:</w:t>
      </w:r>
      <w:r>
        <w:rPr>
          <w:b/>
        </w:rPr>
        <w:tab/>
      </w:r>
      <w:r w:rsidR="0083182E">
        <w:t>The inflation, customer growth, sales growth, and other trend factors used in forecasting for TECO’s test year budget are those recommended by OPC’s witnesses.</w:t>
      </w:r>
    </w:p>
    <w:p w14:paraId="79A35FC0" w14:textId="77777777" w:rsidR="00361142" w:rsidRDefault="00361142" w:rsidP="00361142">
      <w:pPr>
        <w:ind w:left="1440" w:hanging="1440"/>
        <w:jc w:val="both"/>
        <w:rPr>
          <w:b/>
        </w:rPr>
      </w:pPr>
    </w:p>
    <w:p w14:paraId="07F8FCA4" w14:textId="77777777" w:rsidR="00737152" w:rsidRDefault="00737152" w:rsidP="00361142">
      <w:pPr>
        <w:ind w:left="1440" w:hanging="1440"/>
        <w:jc w:val="both"/>
        <w:rPr>
          <w:b/>
        </w:rPr>
      </w:pPr>
      <w:r>
        <w:rPr>
          <w:b/>
        </w:rPr>
        <w:t>FUEL</w:t>
      </w:r>
    </w:p>
    <w:p w14:paraId="0B9D3C4B" w14:textId="2833E2D5" w:rsidR="00361142" w:rsidRDefault="00737152" w:rsidP="00361142">
      <w:pPr>
        <w:ind w:left="1440" w:hanging="1440"/>
        <w:jc w:val="both"/>
      </w:pPr>
      <w:r>
        <w:rPr>
          <w:b/>
        </w:rPr>
        <w:t>RETAILERS</w:t>
      </w:r>
      <w:r w:rsidR="00361142">
        <w:rPr>
          <w:b/>
        </w:rPr>
        <w:t>:</w:t>
      </w:r>
      <w:r>
        <w:rPr>
          <w:b/>
        </w:rPr>
        <w:t xml:space="preserve"> </w:t>
      </w:r>
      <w:r w:rsidR="00813C91">
        <w:t xml:space="preserve">No </w:t>
      </w:r>
      <w:r w:rsidR="00764D74">
        <w:t>p</w:t>
      </w:r>
      <w:r w:rsidR="00813C91">
        <w:t>osition.</w:t>
      </w:r>
    </w:p>
    <w:p w14:paraId="78C4D0AB" w14:textId="144B4165" w:rsidR="00230560" w:rsidRPr="00230560" w:rsidRDefault="00D52448" w:rsidP="00361142">
      <w:pPr>
        <w:ind w:left="1440" w:hanging="1440"/>
        <w:jc w:val="both"/>
        <w:rPr>
          <w:b/>
        </w:rPr>
      </w:pPr>
      <w:r>
        <w:rPr>
          <w:b/>
        </w:rPr>
        <w:lastRenderedPageBreak/>
        <w:t>WALMART</w:t>
      </w:r>
      <w:r w:rsidR="00230560">
        <w:rPr>
          <w:b/>
        </w:rPr>
        <w:t>:</w:t>
      </w:r>
      <w:r w:rsidR="00230560">
        <w:rPr>
          <w:b/>
        </w:rPr>
        <w:tab/>
      </w:r>
      <w:r w:rsidRPr="00D52448">
        <w:t>A</w:t>
      </w:r>
      <w:r w:rsidR="00230560">
        <w:t>dopts the position of FRF.</w:t>
      </w:r>
    </w:p>
    <w:p w14:paraId="318629E1" w14:textId="77777777" w:rsidR="00361142" w:rsidRPr="00701945" w:rsidRDefault="00361142" w:rsidP="00361142">
      <w:pPr>
        <w:jc w:val="both"/>
      </w:pPr>
    </w:p>
    <w:p w14:paraId="03017D06" w14:textId="77777777" w:rsidR="00361142" w:rsidRPr="005D4B47" w:rsidRDefault="00361142" w:rsidP="00361142">
      <w:pPr>
        <w:ind w:left="1440" w:hanging="1440"/>
        <w:jc w:val="both"/>
        <w:rPr>
          <w:b/>
          <w:bCs/>
        </w:rPr>
      </w:pPr>
      <w:r>
        <w:rPr>
          <w:b/>
          <w:bCs/>
        </w:rPr>
        <w:t>STAFF:</w:t>
      </w:r>
      <w:r>
        <w:rPr>
          <w:b/>
          <w:bCs/>
        </w:rPr>
        <w:tab/>
      </w:r>
      <w:r w:rsidR="00AB600F">
        <w:t>No position at this time.</w:t>
      </w:r>
    </w:p>
    <w:p w14:paraId="6B261250" w14:textId="77777777" w:rsidR="00361142" w:rsidRDefault="00361142" w:rsidP="00C7699A">
      <w:pPr>
        <w:jc w:val="both"/>
      </w:pPr>
    </w:p>
    <w:p w14:paraId="2E997DAD" w14:textId="77777777" w:rsidR="00361142" w:rsidRDefault="00361142" w:rsidP="00C7699A">
      <w:pPr>
        <w:jc w:val="both"/>
      </w:pPr>
    </w:p>
    <w:p w14:paraId="517734EE" w14:textId="77777777" w:rsidR="007D1994" w:rsidRPr="007D1994" w:rsidRDefault="007D1994" w:rsidP="007D1994">
      <w:pPr>
        <w:jc w:val="center"/>
        <w:rPr>
          <w:b/>
        </w:rPr>
      </w:pPr>
      <w:r w:rsidRPr="007D1994">
        <w:rPr>
          <w:b/>
          <w:u w:val="single"/>
        </w:rPr>
        <w:t>QUALITY OF SERVICE</w:t>
      </w:r>
    </w:p>
    <w:p w14:paraId="65367B8E" w14:textId="77777777" w:rsidR="007D1994" w:rsidRDefault="007D1994" w:rsidP="00C7699A">
      <w:pPr>
        <w:jc w:val="both"/>
      </w:pPr>
    </w:p>
    <w:p w14:paraId="762EE268" w14:textId="77777777" w:rsidR="00361142" w:rsidRPr="00701945" w:rsidRDefault="00361142" w:rsidP="00361142">
      <w:pPr>
        <w:ind w:left="1440" w:hanging="1440"/>
        <w:jc w:val="both"/>
      </w:pPr>
      <w:r w:rsidRPr="005D4B47">
        <w:rPr>
          <w:b/>
          <w:bCs/>
        </w:rPr>
        <w:t xml:space="preserve">ISSUE </w:t>
      </w:r>
      <w:r w:rsidR="0003402E">
        <w:rPr>
          <w:b/>
          <w:bCs/>
        </w:rPr>
        <w:t>4</w:t>
      </w:r>
      <w:r w:rsidRPr="00701945">
        <w:rPr>
          <w:b/>
          <w:bCs/>
        </w:rPr>
        <w:t>:</w:t>
      </w:r>
      <w:r w:rsidRPr="00701945">
        <w:tab/>
      </w:r>
      <w:r w:rsidR="00981376" w:rsidRPr="00981376">
        <w:rPr>
          <w:b/>
        </w:rPr>
        <w:t>Is the quality of electric service provided by TECO adequate?</w:t>
      </w:r>
    </w:p>
    <w:p w14:paraId="7FB0983A" w14:textId="77777777" w:rsidR="00361142" w:rsidRPr="00701945" w:rsidRDefault="00361142" w:rsidP="00361142">
      <w:pPr>
        <w:jc w:val="both"/>
      </w:pPr>
    </w:p>
    <w:p w14:paraId="34CCF15E" w14:textId="22B07C8A" w:rsidR="00361142" w:rsidRPr="005D4B47" w:rsidRDefault="00361142" w:rsidP="00361142">
      <w:pPr>
        <w:ind w:left="1440" w:hanging="1440"/>
        <w:jc w:val="both"/>
      </w:pPr>
      <w:r>
        <w:rPr>
          <w:b/>
          <w:bCs/>
        </w:rPr>
        <w:t>TECO</w:t>
      </w:r>
      <w:r w:rsidRPr="005D4B47">
        <w:rPr>
          <w:b/>
          <w:bCs/>
        </w:rPr>
        <w:t>:</w:t>
      </w:r>
      <w:r w:rsidRPr="005D4B47">
        <w:tab/>
      </w:r>
      <w:r w:rsidR="00981376">
        <w:t xml:space="preserve">Yes. </w:t>
      </w:r>
      <w:r w:rsidR="00471441">
        <w:t xml:space="preserve">TECO </w:t>
      </w:r>
      <w:r w:rsidR="00981376">
        <w:t xml:space="preserve">provides excellent customer service. The company scored better than industry average for all six J.D. Power measures of customer satisfaction in 2023. Its </w:t>
      </w:r>
      <w:r w:rsidR="00E26242">
        <w:t>Commission</w:t>
      </w:r>
      <w:r w:rsidR="00981376">
        <w:t xml:space="preserve"> complaint record and service hearings do not reveal systemic service problems. The company improved its </w:t>
      </w:r>
      <w:r w:rsidR="00981376" w:rsidRPr="00C80428">
        <w:t xml:space="preserve">system heat rate </w:t>
      </w:r>
      <w:r w:rsidR="00981376">
        <w:t xml:space="preserve">by 20 percent from 2017 to 2023. </w:t>
      </w:r>
      <w:bookmarkStart w:id="7" w:name="_Hlk172033640"/>
      <w:r w:rsidR="00981376">
        <w:t xml:space="preserve">Since 2017, </w:t>
      </w:r>
      <w:r w:rsidR="00E26242">
        <w:t xml:space="preserve">TECO </w:t>
      </w:r>
      <w:r w:rsidR="00981376" w:rsidRPr="00596157">
        <w:t>reduced the f</w:t>
      </w:r>
      <w:r w:rsidR="006E5D68">
        <w:t xml:space="preserve">requency of power outages by 21% </w:t>
      </w:r>
      <w:r w:rsidR="00981376" w:rsidRPr="00596157">
        <w:t>and shortened the duration of those outages by 22</w:t>
      </w:r>
      <w:r w:rsidR="006E5D68">
        <w:t>%</w:t>
      </w:r>
      <w:r w:rsidR="00981376" w:rsidRPr="00596157">
        <w:t xml:space="preserve">. </w:t>
      </w:r>
      <w:r w:rsidR="00981376">
        <w:t>It’s “</w:t>
      </w:r>
      <w:r w:rsidR="006E5D68">
        <w:t xml:space="preserve">flickers” were 30% </w:t>
      </w:r>
      <w:r w:rsidR="00981376" w:rsidRPr="00596157">
        <w:t>less frequent</w:t>
      </w:r>
      <w:r w:rsidR="00981376">
        <w:t xml:space="preserve"> and it </w:t>
      </w:r>
      <w:r w:rsidR="00981376" w:rsidRPr="00596157">
        <w:t>provide</w:t>
      </w:r>
      <w:r w:rsidR="00981376">
        <w:t>s</w:t>
      </w:r>
      <w:r w:rsidR="006E5D68">
        <w:t xml:space="preserve"> 99.98% </w:t>
      </w:r>
      <w:r w:rsidR="00981376" w:rsidRPr="00596157">
        <w:t>service reliability</w:t>
      </w:r>
      <w:r w:rsidR="00981376">
        <w:t xml:space="preserve">. </w:t>
      </w:r>
      <w:bookmarkEnd w:id="7"/>
      <w:r w:rsidR="00981376">
        <w:t>(Sparkman, Aldazabal, Whitworth, Collins)</w:t>
      </w:r>
    </w:p>
    <w:p w14:paraId="35546636" w14:textId="77777777" w:rsidR="00361142" w:rsidRPr="00701945" w:rsidRDefault="00361142" w:rsidP="00361142">
      <w:pPr>
        <w:jc w:val="both"/>
      </w:pPr>
    </w:p>
    <w:p w14:paraId="01E1EEE7" w14:textId="77777777" w:rsidR="00361142" w:rsidRDefault="00361142" w:rsidP="00361142">
      <w:pPr>
        <w:ind w:left="1440" w:hanging="1440"/>
        <w:jc w:val="both"/>
      </w:pPr>
      <w:r>
        <w:rPr>
          <w:b/>
          <w:bCs/>
        </w:rPr>
        <w:t>OPC</w:t>
      </w:r>
      <w:r w:rsidRPr="00701945">
        <w:rPr>
          <w:b/>
          <w:bCs/>
        </w:rPr>
        <w:t>:</w:t>
      </w:r>
      <w:r>
        <w:tab/>
      </w:r>
      <w:r w:rsidR="003E3438">
        <w:rPr>
          <w:bCs/>
        </w:rPr>
        <w:t>The Commission held several customer service meetings in this matter in which the sworn testimony provided by TECO’s customers was overwhelmingly negative. While TECO’s electric service may be adequate for ratemaking purposes, the Commission should bear this testimony in mind.</w:t>
      </w:r>
    </w:p>
    <w:p w14:paraId="5396B9C2" w14:textId="77777777" w:rsidR="00361142" w:rsidRDefault="00361142" w:rsidP="00361142">
      <w:pPr>
        <w:ind w:left="1440" w:hanging="1440"/>
        <w:jc w:val="both"/>
      </w:pPr>
    </w:p>
    <w:p w14:paraId="586116E7" w14:textId="77777777" w:rsidR="00361142" w:rsidRDefault="00361142" w:rsidP="00361142">
      <w:pPr>
        <w:ind w:left="1440" w:hanging="1440"/>
        <w:jc w:val="both"/>
        <w:rPr>
          <w:b/>
        </w:rPr>
      </w:pPr>
      <w:r>
        <w:rPr>
          <w:b/>
        </w:rPr>
        <w:t>FL RISING/</w:t>
      </w:r>
    </w:p>
    <w:p w14:paraId="1FB87B14" w14:textId="77777777" w:rsidR="00361142" w:rsidRDefault="00361142" w:rsidP="00361142">
      <w:pPr>
        <w:ind w:left="1440" w:hanging="1440"/>
        <w:jc w:val="both"/>
        <w:rPr>
          <w:b/>
        </w:rPr>
      </w:pPr>
      <w:r>
        <w:rPr>
          <w:b/>
        </w:rPr>
        <w:t>LULAC:</w:t>
      </w:r>
      <w:r>
        <w:rPr>
          <w:b/>
        </w:rPr>
        <w:tab/>
      </w:r>
      <w:r w:rsidR="00C96E52">
        <w:t>No.  Per the customer service hearings, there is significant room for improvement.  (Service hearing witnesses).</w:t>
      </w:r>
    </w:p>
    <w:p w14:paraId="03567BF8" w14:textId="77777777" w:rsidR="00361142" w:rsidRDefault="00361142" w:rsidP="00361142">
      <w:pPr>
        <w:ind w:left="1440" w:hanging="1440"/>
        <w:jc w:val="both"/>
        <w:rPr>
          <w:b/>
        </w:rPr>
      </w:pPr>
    </w:p>
    <w:p w14:paraId="27DE9A6F" w14:textId="77777777" w:rsidR="00361142" w:rsidRDefault="00361142" w:rsidP="00361142">
      <w:pPr>
        <w:ind w:left="1440" w:hanging="1440"/>
        <w:jc w:val="both"/>
        <w:rPr>
          <w:b/>
        </w:rPr>
      </w:pPr>
      <w:r>
        <w:rPr>
          <w:b/>
        </w:rPr>
        <w:t>FIPUG:</w:t>
      </w:r>
      <w:r>
        <w:rPr>
          <w:b/>
        </w:rPr>
        <w:tab/>
      </w:r>
      <w:r w:rsidR="00DA1A31" w:rsidRPr="006C7A7C">
        <w:rPr>
          <w:bCs/>
        </w:rPr>
        <w:t>Yes</w:t>
      </w:r>
      <w:r w:rsidR="00DA1A31">
        <w:rPr>
          <w:bCs/>
        </w:rPr>
        <w:t>.</w:t>
      </w:r>
    </w:p>
    <w:p w14:paraId="21D756CA" w14:textId="77777777" w:rsidR="00361142" w:rsidRDefault="00361142" w:rsidP="00361142">
      <w:pPr>
        <w:ind w:left="1440" w:hanging="1440"/>
        <w:jc w:val="both"/>
        <w:rPr>
          <w:b/>
        </w:rPr>
      </w:pPr>
    </w:p>
    <w:p w14:paraId="5D293B47" w14:textId="7145B709" w:rsidR="00361142" w:rsidRDefault="00361142" w:rsidP="00361142">
      <w:pPr>
        <w:ind w:left="1440" w:hanging="1440"/>
        <w:jc w:val="both"/>
        <w:rPr>
          <w:b/>
        </w:rPr>
      </w:pPr>
      <w:r>
        <w:rPr>
          <w:b/>
        </w:rPr>
        <w:t>FEA:</w:t>
      </w:r>
      <w:r>
        <w:rPr>
          <w:b/>
        </w:rPr>
        <w:tab/>
      </w:r>
      <w:r w:rsidR="009555FD">
        <w:t>No position.</w:t>
      </w:r>
    </w:p>
    <w:p w14:paraId="11D3FFF7" w14:textId="77777777" w:rsidR="00361142" w:rsidRDefault="00361142" w:rsidP="00361142">
      <w:pPr>
        <w:ind w:left="1440" w:hanging="1440"/>
        <w:jc w:val="both"/>
        <w:rPr>
          <w:b/>
        </w:rPr>
      </w:pPr>
    </w:p>
    <w:p w14:paraId="30AA61E1" w14:textId="77777777" w:rsidR="009555FD" w:rsidRDefault="00361142" w:rsidP="00361142">
      <w:pPr>
        <w:ind w:left="1440" w:hanging="1440"/>
        <w:jc w:val="both"/>
        <w:rPr>
          <w:b/>
        </w:rPr>
      </w:pPr>
      <w:r>
        <w:rPr>
          <w:b/>
        </w:rPr>
        <w:t>SIERRA</w:t>
      </w:r>
    </w:p>
    <w:p w14:paraId="0D0F7329" w14:textId="1F289A57" w:rsidR="00361142" w:rsidRDefault="009555FD" w:rsidP="00361142">
      <w:pPr>
        <w:ind w:left="1440" w:hanging="1440"/>
        <w:jc w:val="both"/>
        <w:rPr>
          <w:b/>
        </w:rPr>
      </w:pPr>
      <w:r>
        <w:rPr>
          <w:b/>
        </w:rPr>
        <w:t>CLUB</w:t>
      </w:r>
      <w:r w:rsidR="00361142">
        <w:rPr>
          <w:b/>
        </w:rPr>
        <w:t>:</w:t>
      </w:r>
      <w:r w:rsidR="00361142">
        <w:rPr>
          <w:b/>
        </w:rPr>
        <w:tab/>
      </w:r>
      <w:r>
        <w:t>No position.</w:t>
      </w:r>
    </w:p>
    <w:p w14:paraId="24C1A9DD" w14:textId="77777777" w:rsidR="00361142" w:rsidRDefault="00361142" w:rsidP="00361142">
      <w:pPr>
        <w:ind w:left="1440" w:hanging="1440"/>
        <w:jc w:val="both"/>
        <w:rPr>
          <w:b/>
        </w:rPr>
      </w:pPr>
    </w:p>
    <w:p w14:paraId="349E3F14" w14:textId="57B1C71B" w:rsidR="00361142" w:rsidRDefault="00361142" w:rsidP="00361142">
      <w:pPr>
        <w:ind w:left="1440" w:hanging="1440"/>
        <w:jc w:val="both"/>
      </w:pPr>
      <w:r>
        <w:rPr>
          <w:b/>
        </w:rPr>
        <w:t>FRF:</w:t>
      </w:r>
      <w:r>
        <w:rPr>
          <w:b/>
        </w:rPr>
        <w:tab/>
      </w:r>
      <w:r w:rsidR="0054177F">
        <w:t>Agree</w:t>
      </w:r>
      <w:r w:rsidR="009555FD">
        <w:t>s</w:t>
      </w:r>
      <w:r w:rsidR="0054177F">
        <w:t xml:space="preserve"> with OPC.</w:t>
      </w:r>
    </w:p>
    <w:p w14:paraId="5A302A47" w14:textId="77777777" w:rsidR="006A7AC9" w:rsidRDefault="006A7AC9" w:rsidP="00361142">
      <w:pPr>
        <w:ind w:left="1440" w:hanging="1440"/>
        <w:jc w:val="both"/>
        <w:rPr>
          <w:b/>
        </w:rPr>
      </w:pPr>
    </w:p>
    <w:p w14:paraId="3394E0C8" w14:textId="77777777" w:rsidR="0071389C" w:rsidRDefault="0071389C" w:rsidP="00361142">
      <w:pPr>
        <w:ind w:left="1440" w:hanging="1440"/>
        <w:jc w:val="both"/>
        <w:rPr>
          <w:b/>
        </w:rPr>
      </w:pPr>
      <w:r>
        <w:rPr>
          <w:b/>
        </w:rPr>
        <w:t>FUEL</w:t>
      </w:r>
    </w:p>
    <w:p w14:paraId="6F806CD7" w14:textId="32C76C9C" w:rsidR="00361142" w:rsidRDefault="0071389C" w:rsidP="00361142">
      <w:pPr>
        <w:ind w:left="1440" w:hanging="1440"/>
        <w:jc w:val="both"/>
      </w:pPr>
      <w:r>
        <w:rPr>
          <w:b/>
        </w:rPr>
        <w:t>RETAILERS</w:t>
      </w:r>
      <w:r w:rsidR="00361142">
        <w:rPr>
          <w:b/>
        </w:rPr>
        <w:t>:</w:t>
      </w:r>
      <w:r>
        <w:rPr>
          <w:b/>
        </w:rPr>
        <w:t xml:space="preserve"> </w:t>
      </w:r>
      <w:r w:rsidR="00813C91">
        <w:t xml:space="preserve">No </w:t>
      </w:r>
      <w:r w:rsidR="00764D74">
        <w:t>p</w:t>
      </w:r>
      <w:r w:rsidR="00813C91">
        <w:t>osition.</w:t>
      </w:r>
    </w:p>
    <w:p w14:paraId="2CDC6BEB" w14:textId="77777777" w:rsidR="00230560" w:rsidRDefault="00230560" w:rsidP="00361142">
      <w:pPr>
        <w:ind w:left="1440" w:hanging="1440"/>
        <w:jc w:val="both"/>
      </w:pPr>
    </w:p>
    <w:p w14:paraId="1F24DAEF" w14:textId="16CA441A" w:rsidR="00230560" w:rsidRPr="00230560" w:rsidRDefault="0071389C" w:rsidP="00361142">
      <w:pPr>
        <w:ind w:left="1440" w:hanging="1440"/>
        <w:jc w:val="both"/>
        <w:rPr>
          <w:b/>
        </w:rPr>
      </w:pPr>
      <w:r>
        <w:rPr>
          <w:b/>
        </w:rPr>
        <w:t>WALMART</w:t>
      </w:r>
      <w:r w:rsidR="00230560">
        <w:rPr>
          <w:b/>
        </w:rPr>
        <w:t>:</w:t>
      </w:r>
      <w:r w:rsidR="00230560">
        <w:rPr>
          <w:b/>
        </w:rPr>
        <w:tab/>
      </w:r>
      <w:r w:rsidRPr="0071389C">
        <w:t>A</w:t>
      </w:r>
      <w:r w:rsidR="00230560">
        <w:t>grees with OPC.</w:t>
      </w:r>
    </w:p>
    <w:p w14:paraId="63EFBE04" w14:textId="77777777" w:rsidR="00361142" w:rsidRPr="00701945" w:rsidRDefault="00361142" w:rsidP="00361142">
      <w:pPr>
        <w:jc w:val="both"/>
      </w:pPr>
    </w:p>
    <w:p w14:paraId="7F598C52" w14:textId="77777777" w:rsidR="00361142" w:rsidRPr="005D4B47" w:rsidRDefault="00361142" w:rsidP="00361142">
      <w:pPr>
        <w:ind w:left="1440" w:hanging="1440"/>
        <w:jc w:val="both"/>
        <w:rPr>
          <w:b/>
          <w:bCs/>
        </w:rPr>
      </w:pPr>
      <w:r>
        <w:rPr>
          <w:b/>
          <w:bCs/>
        </w:rPr>
        <w:t>STAFF:</w:t>
      </w:r>
      <w:r>
        <w:rPr>
          <w:b/>
          <w:bCs/>
        </w:rPr>
        <w:tab/>
      </w:r>
      <w:r w:rsidR="00AB600F">
        <w:t>No position at this time.</w:t>
      </w:r>
    </w:p>
    <w:p w14:paraId="29692312" w14:textId="77777777" w:rsidR="00361142" w:rsidRDefault="00361142" w:rsidP="00C7699A">
      <w:pPr>
        <w:jc w:val="both"/>
      </w:pPr>
    </w:p>
    <w:p w14:paraId="417337FD" w14:textId="30D67C6C" w:rsidR="00981376" w:rsidRDefault="00981376" w:rsidP="00C7699A">
      <w:pPr>
        <w:jc w:val="both"/>
      </w:pPr>
    </w:p>
    <w:p w14:paraId="2F6FF8AD" w14:textId="77777777" w:rsidR="00840C53" w:rsidRDefault="00840C53" w:rsidP="00C7699A">
      <w:pPr>
        <w:jc w:val="both"/>
      </w:pPr>
    </w:p>
    <w:p w14:paraId="7C37C590" w14:textId="77777777" w:rsidR="00981376" w:rsidRDefault="00981376" w:rsidP="00981376">
      <w:pPr>
        <w:jc w:val="center"/>
      </w:pPr>
      <w:r w:rsidRPr="00981376">
        <w:rPr>
          <w:b/>
          <w:u w:val="single"/>
        </w:rPr>
        <w:lastRenderedPageBreak/>
        <w:t>DEPRECIATION AND DISMANTLEMENT STUDY</w:t>
      </w:r>
    </w:p>
    <w:p w14:paraId="02A331A8" w14:textId="77777777" w:rsidR="00361142" w:rsidRDefault="00361142" w:rsidP="00C7699A">
      <w:pPr>
        <w:jc w:val="both"/>
      </w:pPr>
    </w:p>
    <w:p w14:paraId="49B4B5C0" w14:textId="77777777" w:rsidR="00361142" w:rsidRPr="00981376" w:rsidRDefault="00361142" w:rsidP="00361142">
      <w:pPr>
        <w:ind w:left="1440" w:hanging="1440"/>
        <w:jc w:val="both"/>
        <w:rPr>
          <w:b/>
        </w:rPr>
      </w:pPr>
      <w:r w:rsidRPr="005D4B47">
        <w:rPr>
          <w:b/>
          <w:bCs/>
        </w:rPr>
        <w:t xml:space="preserve">ISSUE </w:t>
      </w:r>
      <w:r w:rsidR="0003402E">
        <w:rPr>
          <w:b/>
          <w:bCs/>
        </w:rPr>
        <w:t>5</w:t>
      </w:r>
      <w:r w:rsidRPr="00701945">
        <w:rPr>
          <w:b/>
          <w:bCs/>
        </w:rPr>
        <w:t>:</w:t>
      </w:r>
      <w:r w:rsidRPr="00701945">
        <w:tab/>
      </w:r>
      <w:r w:rsidR="00981376" w:rsidRPr="00981376">
        <w:rPr>
          <w:b/>
        </w:rPr>
        <w:t>Should currently prescribed depreciation rates and provision for dismantlement of TECO be revised?</w:t>
      </w:r>
    </w:p>
    <w:p w14:paraId="34AD57AD" w14:textId="77777777" w:rsidR="00361142" w:rsidRPr="00701945" w:rsidRDefault="00361142" w:rsidP="00361142">
      <w:pPr>
        <w:jc w:val="both"/>
      </w:pPr>
    </w:p>
    <w:p w14:paraId="790958EB" w14:textId="514B5829" w:rsidR="00361142" w:rsidRPr="005D4B47" w:rsidRDefault="00361142" w:rsidP="00361142">
      <w:pPr>
        <w:ind w:left="1440" w:hanging="1440"/>
        <w:jc w:val="both"/>
      </w:pPr>
      <w:r>
        <w:rPr>
          <w:b/>
          <w:bCs/>
        </w:rPr>
        <w:t>TECO</w:t>
      </w:r>
      <w:r w:rsidRPr="005D4B47">
        <w:rPr>
          <w:b/>
          <w:bCs/>
        </w:rPr>
        <w:t>:</w:t>
      </w:r>
      <w:r w:rsidRPr="005D4B47">
        <w:tab/>
      </w:r>
      <w:r w:rsidR="00981376">
        <w:t xml:space="preserve">Yes. The 2023 Depreciation Study filed by </w:t>
      </w:r>
      <w:r w:rsidR="00C32D05">
        <w:t xml:space="preserve">TECO </w:t>
      </w:r>
      <w:r w:rsidR="00981376">
        <w:t>on December 27, 2023 shows that the company’s currently prescribed depreciation rates and provision for dismantlement should be revised. (Allis, Kopp, Chronister)</w:t>
      </w:r>
    </w:p>
    <w:p w14:paraId="76A51DBD" w14:textId="77777777" w:rsidR="00361142" w:rsidRPr="00701945" w:rsidRDefault="00361142" w:rsidP="00361142">
      <w:pPr>
        <w:jc w:val="both"/>
      </w:pPr>
    </w:p>
    <w:p w14:paraId="3772CAEE" w14:textId="77777777" w:rsidR="00361142" w:rsidRDefault="00361142" w:rsidP="00361142">
      <w:pPr>
        <w:ind w:left="1440" w:hanging="1440"/>
        <w:jc w:val="both"/>
      </w:pPr>
      <w:r>
        <w:rPr>
          <w:b/>
          <w:bCs/>
        </w:rPr>
        <w:t>OPC</w:t>
      </w:r>
      <w:r w:rsidRPr="00701945">
        <w:rPr>
          <w:b/>
          <w:bCs/>
        </w:rPr>
        <w:t>:</w:t>
      </w:r>
      <w:r>
        <w:tab/>
      </w:r>
      <w:r w:rsidR="003E3438">
        <w:t>The present approved service life for solar assets is a 35-year service life and should be retained.</w:t>
      </w:r>
    </w:p>
    <w:p w14:paraId="49DFDC42" w14:textId="77777777" w:rsidR="00361142" w:rsidRDefault="00361142" w:rsidP="00361142">
      <w:pPr>
        <w:ind w:left="1440" w:hanging="1440"/>
        <w:jc w:val="both"/>
      </w:pPr>
    </w:p>
    <w:p w14:paraId="2C11BAFA" w14:textId="77777777" w:rsidR="00361142" w:rsidRDefault="00361142" w:rsidP="00361142">
      <w:pPr>
        <w:ind w:left="1440" w:hanging="1440"/>
        <w:jc w:val="both"/>
        <w:rPr>
          <w:b/>
        </w:rPr>
      </w:pPr>
      <w:r>
        <w:rPr>
          <w:b/>
        </w:rPr>
        <w:t>FL RISING/</w:t>
      </w:r>
    </w:p>
    <w:p w14:paraId="3F3ECAFB" w14:textId="366B866A" w:rsidR="00361142" w:rsidRDefault="00361142" w:rsidP="00361142">
      <w:pPr>
        <w:ind w:left="1440" w:hanging="1440"/>
        <w:jc w:val="both"/>
        <w:rPr>
          <w:b/>
        </w:rPr>
      </w:pPr>
      <w:r>
        <w:rPr>
          <w:b/>
        </w:rPr>
        <w:t>LULAC:</w:t>
      </w:r>
      <w:r>
        <w:rPr>
          <w:b/>
        </w:rPr>
        <w:tab/>
      </w:r>
      <w:r w:rsidR="00C96E52">
        <w:t>Yes. The depreciation rates should be revised to reflect the presently approved service lives for solar assets. The provision for dismantlement should be reduced to remove post-test year escalations of estimated costs, reduce estimated solar site restoration costs, and reflect longer service lives for solar and battery assets. (Kollen)</w:t>
      </w:r>
    </w:p>
    <w:p w14:paraId="66FDE7EE" w14:textId="77777777" w:rsidR="00361142" w:rsidRDefault="00361142" w:rsidP="00361142">
      <w:pPr>
        <w:ind w:left="1440" w:hanging="1440"/>
        <w:jc w:val="both"/>
        <w:rPr>
          <w:b/>
        </w:rPr>
      </w:pPr>
    </w:p>
    <w:p w14:paraId="35B7931E" w14:textId="7AB80ED0" w:rsidR="00361142" w:rsidRDefault="00361142" w:rsidP="00361142">
      <w:pPr>
        <w:ind w:left="1440" w:hanging="1440"/>
        <w:jc w:val="both"/>
        <w:rPr>
          <w:b/>
        </w:rPr>
      </w:pPr>
      <w:r>
        <w:rPr>
          <w:b/>
        </w:rPr>
        <w:t>FIPUG:</w:t>
      </w:r>
      <w:r>
        <w:rPr>
          <w:b/>
        </w:rPr>
        <w:tab/>
      </w:r>
      <w:r w:rsidR="00DA1A31">
        <w:rPr>
          <w:bCs/>
        </w:rPr>
        <w:t>Adopt</w:t>
      </w:r>
      <w:r w:rsidR="00977D6B">
        <w:rPr>
          <w:bCs/>
        </w:rPr>
        <w:t>s</w:t>
      </w:r>
      <w:r w:rsidR="00DA1A31">
        <w:rPr>
          <w:bCs/>
        </w:rPr>
        <w:t xml:space="preserve"> the position of OPC.</w:t>
      </w:r>
    </w:p>
    <w:p w14:paraId="5E93B0D3" w14:textId="77777777" w:rsidR="00361142" w:rsidRDefault="00361142" w:rsidP="00361142">
      <w:pPr>
        <w:ind w:left="1440" w:hanging="1440"/>
        <w:jc w:val="both"/>
        <w:rPr>
          <w:b/>
        </w:rPr>
      </w:pPr>
    </w:p>
    <w:p w14:paraId="62F38111" w14:textId="65A7AC17" w:rsidR="00361142" w:rsidRDefault="00361142" w:rsidP="00361142">
      <w:pPr>
        <w:ind w:left="1440" w:hanging="1440"/>
        <w:jc w:val="both"/>
        <w:rPr>
          <w:b/>
        </w:rPr>
      </w:pPr>
      <w:r>
        <w:rPr>
          <w:b/>
        </w:rPr>
        <w:t>FEA:</w:t>
      </w:r>
      <w:r>
        <w:rPr>
          <w:b/>
        </w:rPr>
        <w:tab/>
      </w:r>
      <w:r w:rsidR="008F558E" w:rsidRPr="008F558E">
        <w:t>No position</w:t>
      </w:r>
      <w:r w:rsidR="00202DF7" w:rsidRPr="008F558E">
        <w:t>.</w:t>
      </w:r>
    </w:p>
    <w:p w14:paraId="32AB5107" w14:textId="77777777" w:rsidR="00361142" w:rsidRDefault="00361142" w:rsidP="00361142">
      <w:pPr>
        <w:ind w:left="1440" w:hanging="1440"/>
        <w:jc w:val="both"/>
        <w:rPr>
          <w:b/>
        </w:rPr>
      </w:pPr>
    </w:p>
    <w:p w14:paraId="131BE1D0" w14:textId="77777777" w:rsidR="003D1F0F" w:rsidRDefault="00361142" w:rsidP="00361142">
      <w:pPr>
        <w:ind w:left="1440" w:hanging="1440"/>
        <w:jc w:val="both"/>
        <w:rPr>
          <w:b/>
        </w:rPr>
      </w:pPr>
      <w:r>
        <w:rPr>
          <w:b/>
        </w:rPr>
        <w:t>SIERRA</w:t>
      </w:r>
    </w:p>
    <w:p w14:paraId="715049F0" w14:textId="4B37A9EA" w:rsidR="00361142" w:rsidRDefault="003D1F0F" w:rsidP="00361142">
      <w:pPr>
        <w:ind w:left="1440" w:hanging="1440"/>
        <w:jc w:val="both"/>
        <w:rPr>
          <w:b/>
        </w:rPr>
      </w:pPr>
      <w:r>
        <w:rPr>
          <w:b/>
        </w:rPr>
        <w:t>CLUB</w:t>
      </w:r>
      <w:r w:rsidR="00361142">
        <w:rPr>
          <w:b/>
        </w:rPr>
        <w:t>:</w:t>
      </w:r>
      <w:r w:rsidR="00361142">
        <w:rPr>
          <w:b/>
        </w:rPr>
        <w:tab/>
      </w:r>
      <w:r w:rsidR="008F558E" w:rsidRPr="008F558E">
        <w:t>No position.</w:t>
      </w:r>
    </w:p>
    <w:p w14:paraId="30317892" w14:textId="77777777" w:rsidR="00361142" w:rsidRDefault="00361142" w:rsidP="00361142">
      <w:pPr>
        <w:ind w:left="1440" w:hanging="1440"/>
        <w:jc w:val="both"/>
        <w:rPr>
          <w:b/>
        </w:rPr>
      </w:pPr>
    </w:p>
    <w:p w14:paraId="74EB4098" w14:textId="0D29B674" w:rsidR="00361142" w:rsidRDefault="00361142" w:rsidP="00361142">
      <w:pPr>
        <w:ind w:left="1440" w:hanging="1440"/>
        <w:jc w:val="both"/>
        <w:rPr>
          <w:b/>
        </w:rPr>
      </w:pPr>
      <w:r>
        <w:rPr>
          <w:b/>
        </w:rPr>
        <w:t>FRF:</w:t>
      </w:r>
      <w:r>
        <w:rPr>
          <w:b/>
        </w:rPr>
        <w:tab/>
      </w:r>
      <w:r w:rsidR="0054177F">
        <w:t>Agree</w:t>
      </w:r>
      <w:r w:rsidR="006962EE">
        <w:t>s</w:t>
      </w:r>
      <w:r w:rsidR="0054177F">
        <w:t xml:space="preserve"> with OPC.</w:t>
      </w:r>
    </w:p>
    <w:p w14:paraId="0019F2F8" w14:textId="77777777" w:rsidR="00361142" w:rsidRDefault="00361142" w:rsidP="00361142">
      <w:pPr>
        <w:ind w:left="1440" w:hanging="1440"/>
        <w:jc w:val="both"/>
        <w:rPr>
          <w:b/>
        </w:rPr>
      </w:pPr>
    </w:p>
    <w:p w14:paraId="11B88989" w14:textId="77777777" w:rsidR="003D1F0F" w:rsidRDefault="003D1F0F" w:rsidP="00361142">
      <w:pPr>
        <w:ind w:left="1440" w:hanging="1440"/>
        <w:jc w:val="both"/>
        <w:rPr>
          <w:b/>
        </w:rPr>
      </w:pPr>
      <w:r>
        <w:rPr>
          <w:b/>
        </w:rPr>
        <w:t>FUEL</w:t>
      </w:r>
    </w:p>
    <w:p w14:paraId="7E8ACF5C" w14:textId="72CEF22A" w:rsidR="00361142" w:rsidRDefault="003D1F0F" w:rsidP="00361142">
      <w:pPr>
        <w:ind w:left="1440" w:hanging="1440"/>
        <w:jc w:val="both"/>
      </w:pPr>
      <w:r>
        <w:rPr>
          <w:b/>
        </w:rPr>
        <w:t>RETAILERS</w:t>
      </w:r>
      <w:r w:rsidR="00361142">
        <w:rPr>
          <w:b/>
        </w:rPr>
        <w:t>:</w:t>
      </w:r>
      <w:r>
        <w:rPr>
          <w:b/>
        </w:rPr>
        <w:t xml:space="preserve"> </w:t>
      </w:r>
      <w:r w:rsidR="00813C91">
        <w:t>The Commission should ensure that Account 370.7 – EV Charging Stations, should include only EV charging stations and relate</w:t>
      </w:r>
      <w:r w:rsidR="006962EE">
        <w:t xml:space="preserve">d equipment associated with TECO’s </w:t>
      </w:r>
      <w:r w:rsidR="00813C91">
        <w:t>public offering of EV charging consistent with the intent of HB 1645, Section 6 (to be codified at 366.94, F.S.) (Chapter 2024-186, Laws of Florida).</w:t>
      </w:r>
    </w:p>
    <w:p w14:paraId="2E41F044" w14:textId="77777777" w:rsidR="00230560" w:rsidRDefault="00230560" w:rsidP="00361142">
      <w:pPr>
        <w:ind w:left="1440" w:hanging="1440"/>
        <w:jc w:val="both"/>
      </w:pPr>
    </w:p>
    <w:p w14:paraId="32AB1AEC" w14:textId="6B39BF56" w:rsidR="00230560" w:rsidRPr="00230560" w:rsidRDefault="003D1F0F" w:rsidP="00361142">
      <w:pPr>
        <w:ind w:left="1440" w:hanging="1440"/>
        <w:jc w:val="both"/>
        <w:rPr>
          <w:b/>
        </w:rPr>
      </w:pPr>
      <w:r>
        <w:rPr>
          <w:b/>
        </w:rPr>
        <w:t>WALMART</w:t>
      </w:r>
      <w:r w:rsidR="00230560">
        <w:rPr>
          <w:b/>
        </w:rPr>
        <w:t>:</w:t>
      </w:r>
      <w:r w:rsidR="00230560">
        <w:rPr>
          <w:b/>
        </w:rPr>
        <w:tab/>
      </w:r>
      <w:r w:rsidR="006962EE" w:rsidRPr="006962EE">
        <w:t>A</w:t>
      </w:r>
      <w:r w:rsidR="00230560">
        <w:t>grees with OPC.</w:t>
      </w:r>
    </w:p>
    <w:p w14:paraId="6934AEBE" w14:textId="77777777" w:rsidR="00361142" w:rsidRPr="00701945" w:rsidRDefault="00361142" w:rsidP="00361142">
      <w:pPr>
        <w:jc w:val="both"/>
      </w:pPr>
    </w:p>
    <w:p w14:paraId="25209527" w14:textId="1D2FFD8A" w:rsidR="00361142" w:rsidRDefault="00361142" w:rsidP="00361142">
      <w:pPr>
        <w:ind w:left="1440" w:hanging="1440"/>
        <w:jc w:val="both"/>
      </w:pPr>
      <w:r>
        <w:rPr>
          <w:b/>
          <w:bCs/>
        </w:rPr>
        <w:t>STAFF:</w:t>
      </w:r>
      <w:r>
        <w:rPr>
          <w:b/>
          <w:bCs/>
        </w:rPr>
        <w:tab/>
      </w:r>
      <w:r w:rsidR="00AB600F">
        <w:t>No position at this time.</w:t>
      </w:r>
    </w:p>
    <w:p w14:paraId="551E4656" w14:textId="7C169937" w:rsidR="002221D1" w:rsidRDefault="002221D1" w:rsidP="00361142">
      <w:pPr>
        <w:ind w:left="1440" w:hanging="1440"/>
        <w:jc w:val="both"/>
      </w:pPr>
    </w:p>
    <w:p w14:paraId="0A00D00A" w14:textId="77777777" w:rsidR="002221D1" w:rsidRPr="006E7AC9" w:rsidRDefault="002221D1" w:rsidP="00361142">
      <w:pPr>
        <w:ind w:left="1440" w:hanging="1440"/>
        <w:jc w:val="both"/>
        <w:rPr>
          <w:bCs/>
        </w:rPr>
      </w:pPr>
    </w:p>
    <w:p w14:paraId="41C6F13F" w14:textId="77777777" w:rsidR="00361142" w:rsidRPr="00981376" w:rsidRDefault="00361142" w:rsidP="00361142">
      <w:pPr>
        <w:ind w:left="1440" w:hanging="1440"/>
        <w:jc w:val="both"/>
        <w:rPr>
          <w:b/>
        </w:rPr>
      </w:pPr>
      <w:r w:rsidRPr="005D4B47">
        <w:rPr>
          <w:b/>
          <w:bCs/>
        </w:rPr>
        <w:t xml:space="preserve">ISSUE </w:t>
      </w:r>
      <w:r w:rsidR="0003402E">
        <w:rPr>
          <w:b/>
          <w:bCs/>
        </w:rPr>
        <w:t>6</w:t>
      </w:r>
      <w:r w:rsidRPr="00701945">
        <w:rPr>
          <w:b/>
          <w:bCs/>
        </w:rPr>
        <w:t>:</w:t>
      </w:r>
      <w:r w:rsidRPr="00701945">
        <w:tab/>
      </w:r>
      <w:r w:rsidR="00981376" w:rsidRPr="00981376">
        <w:rPr>
          <w:b/>
        </w:rPr>
        <w:t>What should be the implementation date for new depreciation rates and the provision for dismantlement?</w:t>
      </w:r>
    </w:p>
    <w:p w14:paraId="0821CE83" w14:textId="77777777" w:rsidR="00361142" w:rsidRPr="00701945" w:rsidRDefault="00361142" w:rsidP="00361142">
      <w:pPr>
        <w:jc w:val="both"/>
      </w:pPr>
    </w:p>
    <w:p w14:paraId="13FC3C27" w14:textId="77777777" w:rsidR="00361142" w:rsidRPr="005D4B47" w:rsidRDefault="00361142" w:rsidP="00361142">
      <w:pPr>
        <w:ind w:left="1440" w:hanging="1440"/>
        <w:jc w:val="both"/>
      </w:pPr>
      <w:r>
        <w:rPr>
          <w:b/>
          <w:bCs/>
        </w:rPr>
        <w:t>TECO</w:t>
      </w:r>
      <w:r w:rsidRPr="005D4B47">
        <w:rPr>
          <w:b/>
          <w:bCs/>
        </w:rPr>
        <w:t>:</w:t>
      </w:r>
      <w:r w:rsidRPr="005D4B47">
        <w:tab/>
      </w:r>
      <w:r w:rsidR="00981376">
        <w:t>January 1, 2025. This effective date matches the proposed effective date of the company’s proposed new 2025 customer rates. (Chronister, Allis)</w:t>
      </w:r>
    </w:p>
    <w:p w14:paraId="4E9C5F5C" w14:textId="77777777" w:rsidR="00361142" w:rsidRPr="00701945" w:rsidRDefault="00361142" w:rsidP="00361142">
      <w:pPr>
        <w:jc w:val="both"/>
      </w:pPr>
    </w:p>
    <w:p w14:paraId="6003394B" w14:textId="77777777" w:rsidR="00361142" w:rsidRDefault="00361142" w:rsidP="00361142">
      <w:pPr>
        <w:ind w:left="1440" w:hanging="1440"/>
        <w:jc w:val="both"/>
      </w:pPr>
      <w:r>
        <w:rPr>
          <w:b/>
          <w:bCs/>
        </w:rPr>
        <w:lastRenderedPageBreak/>
        <w:t>OPC</w:t>
      </w:r>
      <w:r w:rsidRPr="00701945">
        <w:rPr>
          <w:b/>
          <w:bCs/>
        </w:rPr>
        <w:t>:</w:t>
      </w:r>
      <w:r>
        <w:tab/>
      </w:r>
      <w:r w:rsidR="003E3438" w:rsidRPr="003651AA">
        <w:t>The new depreciation and dismantlement rates should be implemented with the change in base rates upon approval of the Commission.</w:t>
      </w:r>
    </w:p>
    <w:p w14:paraId="76B9C929" w14:textId="77777777" w:rsidR="00361142" w:rsidRDefault="00361142" w:rsidP="00361142">
      <w:pPr>
        <w:ind w:left="1440" w:hanging="1440"/>
        <w:jc w:val="both"/>
      </w:pPr>
    </w:p>
    <w:p w14:paraId="50671EB5" w14:textId="77777777" w:rsidR="00361142" w:rsidRDefault="00361142" w:rsidP="00361142">
      <w:pPr>
        <w:ind w:left="1440" w:hanging="1440"/>
        <w:jc w:val="both"/>
        <w:rPr>
          <w:b/>
        </w:rPr>
      </w:pPr>
      <w:r>
        <w:rPr>
          <w:b/>
        </w:rPr>
        <w:t>FL RISING/</w:t>
      </w:r>
    </w:p>
    <w:p w14:paraId="1F11E67D" w14:textId="77777777" w:rsidR="00361142" w:rsidRDefault="00361142" w:rsidP="00361142">
      <w:pPr>
        <w:ind w:left="1440" w:hanging="1440"/>
        <w:jc w:val="both"/>
        <w:rPr>
          <w:b/>
        </w:rPr>
      </w:pPr>
      <w:r>
        <w:rPr>
          <w:b/>
        </w:rPr>
        <w:t>LULAC:</w:t>
      </w:r>
      <w:r>
        <w:rPr>
          <w:b/>
        </w:rPr>
        <w:tab/>
      </w:r>
      <w:r w:rsidR="00C96E52">
        <w:t>January 1, 2025.</w:t>
      </w:r>
    </w:p>
    <w:p w14:paraId="0CC40FFF" w14:textId="77777777" w:rsidR="00361142" w:rsidRDefault="00361142" w:rsidP="00361142">
      <w:pPr>
        <w:ind w:left="1440" w:hanging="1440"/>
        <w:jc w:val="both"/>
        <w:rPr>
          <w:b/>
        </w:rPr>
      </w:pPr>
    </w:p>
    <w:p w14:paraId="58A66128" w14:textId="77777777" w:rsidR="00361142" w:rsidRDefault="00361142" w:rsidP="00361142">
      <w:pPr>
        <w:ind w:left="1440" w:hanging="1440"/>
        <w:jc w:val="both"/>
        <w:rPr>
          <w:b/>
        </w:rPr>
      </w:pPr>
      <w:r>
        <w:rPr>
          <w:b/>
        </w:rPr>
        <w:t>FIPUG:</w:t>
      </w:r>
      <w:r>
        <w:rPr>
          <w:b/>
        </w:rPr>
        <w:tab/>
      </w:r>
      <w:r w:rsidR="00DA1A31" w:rsidRPr="006C7A7C">
        <w:rPr>
          <w:bCs/>
        </w:rPr>
        <w:t>The implementation date should be effective on the date that rate adjustments in this case are effective.</w:t>
      </w:r>
    </w:p>
    <w:p w14:paraId="01EA2C3A" w14:textId="77777777" w:rsidR="00361142" w:rsidRDefault="00361142" w:rsidP="00361142">
      <w:pPr>
        <w:ind w:left="1440" w:hanging="1440"/>
        <w:jc w:val="both"/>
        <w:rPr>
          <w:b/>
        </w:rPr>
      </w:pPr>
    </w:p>
    <w:p w14:paraId="0FAF67BE" w14:textId="2EF5C24E" w:rsidR="00361142" w:rsidRDefault="00361142" w:rsidP="00361142">
      <w:pPr>
        <w:ind w:left="1440" w:hanging="1440"/>
        <w:jc w:val="both"/>
        <w:rPr>
          <w:b/>
        </w:rPr>
      </w:pPr>
      <w:r>
        <w:rPr>
          <w:b/>
        </w:rPr>
        <w:t>FEA:</w:t>
      </w:r>
      <w:r>
        <w:rPr>
          <w:b/>
        </w:rPr>
        <w:tab/>
      </w:r>
      <w:r w:rsidR="006362F3">
        <w:t>No position.</w:t>
      </w:r>
    </w:p>
    <w:p w14:paraId="572BA01E" w14:textId="77777777" w:rsidR="00361142" w:rsidRDefault="00361142" w:rsidP="00361142">
      <w:pPr>
        <w:ind w:left="1440" w:hanging="1440"/>
        <w:jc w:val="both"/>
        <w:rPr>
          <w:b/>
        </w:rPr>
      </w:pPr>
    </w:p>
    <w:p w14:paraId="3DE6595E" w14:textId="77777777" w:rsidR="007E1A13" w:rsidRDefault="00361142" w:rsidP="00361142">
      <w:pPr>
        <w:ind w:left="1440" w:hanging="1440"/>
        <w:jc w:val="both"/>
        <w:rPr>
          <w:b/>
        </w:rPr>
      </w:pPr>
      <w:r>
        <w:rPr>
          <w:b/>
        </w:rPr>
        <w:t>SIERRA</w:t>
      </w:r>
    </w:p>
    <w:p w14:paraId="3FAA834D" w14:textId="6FB6C886" w:rsidR="00361142" w:rsidRDefault="007E1A13" w:rsidP="00361142">
      <w:pPr>
        <w:ind w:left="1440" w:hanging="1440"/>
        <w:jc w:val="both"/>
        <w:rPr>
          <w:b/>
        </w:rPr>
      </w:pPr>
      <w:r>
        <w:rPr>
          <w:b/>
        </w:rPr>
        <w:t>CLUB</w:t>
      </w:r>
      <w:r w:rsidR="00361142">
        <w:rPr>
          <w:b/>
        </w:rPr>
        <w:t>:</w:t>
      </w:r>
      <w:r w:rsidR="00361142">
        <w:rPr>
          <w:b/>
        </w:rPr>
        <w:tab/>
      </w:r>
      <w:r w:rsidR="006362F3">
        <w:t xml:space="preserve">No </w:t>
      </w:r>
      <w:r w:rsidR="0049497E" w:rsidRPr="001E3193">
        <w:t>position.</w:t>
      </w:r>
    </w:p>
    <w:p w14:paraId="0B7C0A1A" w14:textId="77777777" w:rsidR="00361142" w:rsidRDefault="00361142" w:rsidP="00361142">
      <w:pPr>
        <w:ind w:left="1440" w:hanging="1440"/>
        <w:jc w:val="both"/>
        <w:rPr>
          <w:b/>
        </w:rPr>
      </w:pPr>
    </w:p>
    <w:p w14:paraId="309C34DA" w14:textId="6B5EB3B1" w:rsidR="00361142" w:rsidRDefault="00361142" w:rsidP="00361142">
      <w:pPr>
        <w:ind w:left="1440" w:hanging="1440"/>
        <w:jc w:val="both"/>
        <w:rPr>
          <w:b/>
        </w:rPr>
      </w:pPr>
      <w:r>
        <w:rPr>
          <w:b/>
        </w:rPr>
        <w:t>FRF:</w:t>
      </w:r>
      <w:r>
        <w:rPr>
          <w:b/>
        </w:rPr>
        <w:tab/>
      </w:r>
      <w:r w:rsidR="0054177F">
        <w:t>Agree</w:t>
      </w:r>
      <w:r w:rsidR="00012F9C">
        <w:t>s</w:t>
      </w:r>
      <w:r w:rsidR="0054177F">
        <w:t xml:space="preserve"> with OPC.</w:t>
      </w:r>
    </w:p>
    <w:p w14:paraId="73A46BE1" w14:textId="77777777" w:rsidR="00361142" w:rsidRDefault="00361142" w:rsidP="00361142">
      <w:pPr>
        <w:ind w:left="1440" w:hanging="1440"/>
        <w:jc w:val="both"/>
        <w:rPr>
          <w:b/>
        </w:rPr>
      </w:pPr>
    </w:p>
    <w:p w14:paraId="0FBEA849" w14:textId="77777777" w:rsidR="00012F9C" w:rsidRDefault="00012F9C" w:rsidP="00361142">
      <w:pPr>
        <w:ind w:left="1440" w:hanging="1440"/>
        <w:jc w:val="both"/>
        <w:rPr>
          <w:b/>
        </w:rPr>
      </w:pPr>
      <w:r>
        <w:rPr>
          <w:b/>
        </w:rPr>
        <w:t>FUEL</w:t>
      </w:r>
    </w:p>
    <w:p w14:paraId="05CB8B08" w14:textId="51FC951C" w:rsidR="00361142" w:rsidRDefault="00012F9C" w:rsidP="00361142">
      <w:pPr>
        <w:ind w:left="1440" w:hanging="1440"/>
        <w:jc w:val="both"/>
      </w:pPr>
      <w:r>
        <w:rPr>
          <w:b/>
        </w:rPr>
        <w:t>RETAILERS</w:t>
      </w:r>
      <w:r w:rsidR="00361142">
        <w:rPr>
          <w:b/>
        </w:rPr>
        <w:t>:</w:t>
      </w:r>
      <w:r>
        <w:rPr>
          <w:b/>
        </w:rPr>
        <w:t xml:space="preserve"> </w:t>
      </w:r>
      <w:r w:rsidR="00742505" w:rsidRPr="00166D6A">
        <w:t>Agree</w:t>
      </w:r>
      <w:r>
        <w:t>s</w:t>
      </w:r>
      <w:r w:rsidR="00742505" w:rsidRPr="00166D6A">
        <w:t xml:space="preserve"> with </w:t>
      </w:r>
      <w:r>
        <w:t>OPC</w:t>
      </w:r>
      <w:r w:rsidR="00742505" w:rsidRPr="00166D6A">
        <w:t>.</w:t>
      </w:r>
    </w:p>
    <w:p w14:paraId="6CA161C8" w14:textId="77777777" w:rsidR="00230560" w:rsidRDefault="00230560" w:rsidP="00361142">
      <w:pPr>
        <w:ind w:left="1440" w:hanging="1440"/>
        <w:jc w:val="both"/>
      </w:pPr>
    </w:p>
    <w:p w14:paraId="0631387C" w14:textId="06F470F8" w:rsidR="00230560" w:rsidRPr="00230560" w:rsidRDefault="00012F9C" w:rsidP="00361142">
      <w:pPr>
        <w:ind w:left="1440" w:hanging="1440"/>
        <w:jc w:val="both"/>
        <w:rPr>
          <w:b/>
        </w:rPr>
      </w:pPr>
      <w:r>
        <w:rPr>
          <w:b/>
        </w:rPr>
        <w:t>WALMART</w:t>
      </w:r>
      <w:r w:rsidR="00230560">
        <w:rPr>
          <w:b/>
        </w:rPr>
        <w:t>:</w:t>
      </w:r>
      <w:r w:rsidR="00230560">
        <w:rPr>
          <w:b/>
        </w:rPr>
        <w:tab/>
      </w:r>
      <w:r w:rsidR="00987C24">
        <w:t>A</w:t>
      </w:r>
      <w:r w:rsidR="00230560">
        <w:t>grees with OPC.</w:t>
      </w:r>
    </w:p>
    <w:p w14:paraId="2950A638" w14:textId="77777777" w:rsidR="00361142" w:rsidRPr="00701945" w:rsidRDefault="00361142" w:rsidP="00361142">
      <w:pPr>
        <w:jc w:val="both"/>
      </w:pPr>
    </w:p>
    <w:p w14:paraId="16057C87" w14:textId="77777777" w:rsidR="00361142" w:rsidRPr="005D4B47" w:rsidRDefault="00361142" w:rsidP="00361142">
      <w:pPr>
        <w:ind w:left="1440" w:hanging="1440"/>
        <w:jc w:val="both"/>
        <w:rPr>
          <w:b/>
          <w:bCs/>
        </w:rPr>
      </w:pPr>
      <w:r>
        <w:rPr>
          <w:b/>
          <w:bCs/>
        </w:rPr>
        <w:t>STAFF:</w:t>
      </w:r>
      <w:r>
        <w:rPr>
          <w:b/>
          <w:bCs/>
        </w:rPr>
        <w:tab/>
      </w:r>
      <w:r w:rsidR="00AB600F">
        <w:t>No position at this time.</w:t>
      </w:r>
    </w:p>
    <w:p w14:paraId="6B86F3C6" w14:textId="77777777" w:rsidR="00361142" w:rsidRDefault="00361142" w:rsidP="00C7699A">
      <w:pPr>
        <w:jc w:val="both"/>
      </w:pPr>
    </w:p>
    <w:p w14:paraId="3342DDA1" w14:textId="77777777" w:rsidR="00361142" w:rsidRDefault="00361142" w:rsidP="00C7699A">
      <w:pPr>
        <w:jc w:val="both"/>
      </w:pPr>
    </w:p>
    <w:p w14:paraId="273D3624" w14:textId="77777777" w:rsidR="00361142" w:rsidRPr="00981376" w:rsidRDefault="00361142" w:rsidP="00361142">
      <w:pPr>
        <w:ind w:left="1440" w:hanging="1440"/>
        <w:jc w:val="both"/>
        <w:rPr>
          <w:b/>
        </w:rPr>
      </w:pPr>
      <w:r w:rsidRPr="005D4B47">
        <w:rPr>
          <w:b/>
          <w:bCs/>
        </w:rPr>
        <w:t xml:space="preserve">ISSUE </w:t>
      </w:r>
      <w:r w:rsidR="0003402E">
        <w:rPr>
          <w:b/>
          <w:bCs/>
        </w:rPr>
        <w:t>7</w:t>
      </w:r>
      <w:r w:rsidRPr="00701945">
        <w:rPr>
          <w:b/>
          <w:bCs/>
        </w:rPr>
        <w:t>:</w:t>
      </w:r>
      <w:r w:rsidRPr="00701945">
        <w:tab/>
      </w:r>
      <w:r w:rsidR="00981376" w:rsidRPr="00981376">
        <w:rPr>
          <w:b/>
        </w:rPr>
        <w:t>What depreciation parameters and resulting depreciation rates for each depreciable plant account should be approved?</w:t>
      </w:r>
    </w:p>
    <w:p w14:paraId="7252D5F2" w14:textId="77777777" w:rsidR="00361142" w:rsidRPr="00701945" w:rsidRDefault="00361142" w:rsidP="00361142">
      <w:pPr>
        <w:jc w:val="both"/>
      </w:pPr>
    </w:p>
    <w:p w14:paraId="6EE6A111" w14:textId="19EB5D95" w:rsidR="00361142" w:rsidRPr="005D4B47" w:rsidRDefault="00361142" w:rsidP="00361142">
      <w:pPr>
        <w:ind w:left="1440" w:hanging="1440"/>
        <w:jc w:val="both"/>
      </w:pPr>
      <w:r>
        <w:rPr>
          <w:b/>
          <w:bCs/>
        </w:rPr>
        <w:t>TECO</w:t>
      </w:r>
      <w:r w:rsidRPr="005D4B47">
        <w:rPr>
          <w:b/>
          <w:bCs/>
        </w:rPr>
        <w:t>:</w:t>
      </w:r>
      <w:r w:rsidRPr="005D4B47">
        <w:tab/>
      </w:r>
      <w:r w:rsidR="00981376">
        <w:t xml:space="preserve">The Commission should approve the parameters and depreciation rates for plant accounts as specified in </w:t>
      </w:r>
      <w:r w:rsidR="00981376" w:rsidRPr="00285409">
        <w:t xml:space="preserve">Document 4 of </w:t>
      </w:r>
      <w:r w:rsidR="00981376">
        <w:t xml:space="preserve">Exhibit </w:t>
      </w:r>
      <w:r w:rsidR="00981376" w:rsidRPr="00285409">
        <w:t>NA-1</w:t>
      </w:r>
      <w:r w:rsidR="00981376">
        <w:t>. The Commission should reject intervenor proposals and approve 35, 30, and 10 year lives for combined cycle, solar, and energy storage, respectively. The Commission should also reject FEA’s proposed interim survivor curves, its proposed survivor curve for account 367, and its net salvage estimates.</w:t>
      </w:r>
      <w:r w:rsidR="00E67FB7">
        <w:t xml:space="preserve"> As noted in Issues 43 and 44, the Commission should reject Sierra Club’s proposals to early retire the IGCC components at Polk Unit 1 and the coal c</w:t>
      </w:r>
      <w:r w:rsidR="00007C24">
        <w:t>o</w:t>
      </w:r>
      <w:r w:rsidR="00E67FB7">
        <w:t>mbustion assets at Big Bend Unit 4, so it should also reject Sierra Club’s proposed adjustments to depreciation parameters.</w:t>
      </w:r>
      <w:r w:rsidR="00981376">
        <w:t xml:space="preserve"> (Allis)</w:t>
      </w:r>
    </w:p>
    <w:p w14:paraId="20BE08A2" w14:textId="77777777" w:rsidR="00361142" w:rsidRPr="00701945" w:rsidRDefault="00361142" w:rsidP="00361142">
      <w:pPr>
        <w:jc w:val="both"/>
      </w:pPr>
    </w:p>
    <w:p w14:paraId="355DE147" w14:textId="7ADC529F" w:rsidR="003E3438" w:rsidRDefault="00361142" w:rsidP="003E3438">
      <w:pPr>
        <w:ind w:left="1440" w:hanging="1440"/>
        <w:jc w:val="both"/>
      </w:pPr>
      <w:r>
        <w:rPr>
          <w:b/>
          <w:bCs/>
        </w:rPr>
        <w:t>OPC</w:t>
      </w:r>
      <w:r w:rsidRPr="00701945">
        <w:rPr>
          <w:b/>
          <w:bCs/>
        </w:rPr>
        <w:t>:</w:t>
      </w:r>
      <w:r>
        <w:tab/>
      </w:r>
      <w:r w:rsidR="003E3438">
        <w:t>The present approved service life for solar assets is a 35-year service life and should be retained. While TECO has requested an acceleration of capital recovery through a reduction in the current depreciation study</w:t>
      </w:r>
      <w:r w:rsidR="00C4393A">
        <w:t xml:space="preserve"> to a 30-year service life, TECO </w:t>
      </w:r>
      <w:r w:rsidR="003E3438">
        <w:t xml:space="preserve">has relied on 35-year service life for planning purposes in its 2024 Ten Year Site Plan filed April 1, 2024. </w:t>
      </w:r>
      <w:r w:rsidR="00F02627">
        <w:t xml:space="preserve">TECO </w:t>
      </w:r>
      <w:r w:rsidR="003E3438">
        <w:t>has not provided evidence that solar assets will not operate 35-years and would not be harmed by continuing the  currently approved service life.</w:t>
      </w:r>
    </w:p>
    <w:p w14:paraId="6D9843FF" w14:textId="77777777" w:rsidR="003E3438" w:rsidRDefault="003E3438" w:rsidP="003E3438">
      <w:pPr>
        <w:ind w:left="1627" w:hanging="1627"/>
        <w:jc w:val="both"/>
      </w:pPr>
    </w:p>
    <w:p w14:paraId="05757A5D" w14:textId="39C6FCD5" w:rsidR="00361142" w:rsidRDefault="003E3438" w:rsidP="003E3438">
      <w:pPr>
        <w:ind w:left="1440" w:hanging="1440"/>
        <w:jc w:val="both"/>
        <w:rPr>
          <w:bCs/>
        </w:rPr>
      </w:pPr>
      <w:r>
        <w:rPr>
          <w:b/>
        </w:rPr>
        <w:lastRenderedPageBreak/>
        <w:tab/>
      </w:r>
      <w:r>
        <w:rPr>
          <w:bCs/>
        </w:rPr>
        <w:t xml:space="preserve">Further, the battery storage assets should reflect a 20-year service life. The 10-year service life proposed by TECO for battery storage is unduly short and inconsistent </w:t>
      </w:r>
      <w:r w:rsidR="00550898">
        <w:rPr>
          <w:bCs/>
        </w:rPr>
        <w:t>with the industry trend of a 15–</w:t>
      </w:r>
      <w:r>
        <w:rPr>
          <w:bCs/>
        </w:rPr>
        <w:t>20-year service life for planning and ratemaking. The depreciation expense should be reduced by $5.942 million for using 20-year service life for Battery Storage assets. Decrease the depreciation expense by $9.519 million by using the currently approved 35-year service life for solar assets.</w:t>
      </w:r>
    </w:p>
    <w:p w14:paraId="06E3E47B" w14:textId="77777777" w:rsidR="001D0585" w:rsidRDefault="001D0585" w:rsidP="003E3438">
      <w:pPr>
        <w:ind w:left="1440" w:hanging="1440"/>
        <w:jc w:val="both"/>
        <w:rPr>
          <w:bCs/>
        </w:rPr>
      </w:pPr>
    </w:p>
    <w:p w14:paraId="6FC0F9FA" w14:textId="77777777" w:rsidR="001D0585" w:rsidRDefault="001D0585" w:rsidP="003E3438">
      <w:pPr>
        <w:ind w:left="1440" w:hanging="1440"/>
        <w:jc w:val="both"/>
      </w:pPr>
      <w:r>
        <w:rPr>
          <w:bCs/>
        </w:rPr>
        <w:tab/>
        <w:t>The Commission should also consider reasonable production plant life spans and other parameters set forth by FEA’s witness.</w:t>
      </w:r>
    </w:p>
    <w:p w14:paraId="5942EDF8" w14:textId="77777777" w:rsidR="00361142" w:rsidRDefault="00361142" w:rsidP="00361142">
      <w:pPr>
        <w:ind w:left="1440" w:hanging="1440"/>
        <w:jc w:val="both"/>
      </w:pPr>
    </w:p>
    <w:p w14:paraId="77B03090" w14:textId="77777777" w:rsidR="00361142" w:rsidRDefault="00361142" w:rsidP="00361142">
      <w:pPr>
        <w:ind w:left="1440" w:hanging="1440"/>
        <w:jc w:val="both"/>
        <w:rPr>
          <w:b/>
        </w:rPr>
      </w:pPr>
      <w:r>
        <w:rPr>
          <w:b/>
        </w:rPr>
        <w:t>FL RISING/</w:t>
      </w:r>
    </w:p>
    <w:p w14:paraId="3D43EC9D" w14:textId="3BE0E96E" w:rsidR="00361142" w:rsidRDefault="00361142" w:rsidP="00361142">
      <w:pPr>
        <w:ind w:left="1440" w:hanging="1440"/>
        <w:jc w:val="both"/>
        <w:rPr>
          <w:b/>
        </w:rPr>
      </w:pPr>
      <w:r>
        <w:rPr>
          <w:b/>
        </w:rPr>
        <w:t>LULAC:</w:t>
      </w:r>
      <w:r>
        <w:rPr>
          <w:b/>
        </w:rPr>
        <w:tab/>
      </w:r>
      <w:r w:rsidR="00C96E52">
        <w:t xml:space="preserve">A 20-year service life should be used for Battery Energy Storage System assets.  A 35-year service life should be used for solar </w:t>
      </w:r>
      <w:r w:rsidR="00C96E52" w:rsidRPr="00853B12">
        <w:t>assets</w:t>
      </w:r>
      <w:r w:rsidR="00C96E52">
        <w:t xml:space="preserve">. For the depreciation rates for each depreciable plant account, </w:t>
      </w:r>
      <w:r w:rsidR="00034D96">
        <w:t xml:space="preserve">we </w:t>
      </w:r>
      <w:r w:rsidR="00C96E52">
        <w:t>adopt OPC</w:t>
      </w:r>
      <w:r w:rsidR="00034D96">
        <w:t>’s</w:t>
      </w:r>
      <w:r w:rsidR="00C96E52">
        <w:t xml:space="preserve"> position.</w:t>
      </w:r>
    </w:p>
    <w:p w14:paraId="71D916E1" w14:textId="77777777" w:rsidR="00361142" w:rsidRDefault="00361142" w:rsidP="00361142">
      <w:pPr>
        <w:ind w:left="1440" w:hanging="1440"/>
        <w:jc w:val="both"/>
        <w:rPr>
          <w:b/>
        </w:rPr>
      </w:pPr>
    </w:p>
    <w:p w14:paraId="304F9965" w14:textId="6394F63C" w:rsidR="00361142" w:rsidRDefault="00361142" w:rsidP="00361142">
      <w:pPr>
        <w:ind w:left="1440" w:hanging="1440"/>
        <w:jc w:val="both"/>
        <w:rPr>
          <w:b/>
        </w:rPr>
      </w:pPr>
      <w:r>
        <w:rPr>
          <w:b/>
        </w:rPr>
        <w:t>FIPUG:</w:t>
      </w:r>
      <w:r>
        <w:rPr>
          <w:b/>
        </w:rPr>
        <w:tab/>
      </w:r>
      <w:r w:rsidR="00DA1A31">
        <w:rPr>
          <w:bCs/>
        </w:rPr>
        <w:t>Adopt</w:t>
      </w:r>
      <w:r w:rsidR="009362F7">
        <w:rPr>
          <w:bCs/>
        </w:rPr>
        <w:t>s</w:t>
      </w:r>
      <w:r w:rsidR="00DA1A31">
        <w:rPr>
          <w:bCs/>
        </w:rPr>
        <w:t xml:space="preserve"> the position of OPC.</w:t>
      </w:r>
    </w:p>
    <w:p w14:paraId="78BC81A4" w14:textId="77777777" w:rsidR="00361142" w:rsidRDefault="00361142" w:rsidP="00361142">
      <w:pPr>
        <w:ind w:left="1440" w:hanging="1440"/>
        <w:jc w:val="both"/>
        <w:rPr>
          <w:b/>
        </w:rPr>
      </w:pPr>
    </w:p>
    <w:p w14:paraId="72C67B7E" w14:textId="77777777" w:rsidR="00361142" w:rsidRPr="00202DF7" w:rsidRDefault="00361142" w:rsidP="00361142">
      <w:pPr>
        <w:ind w:left="1440" w:hanging="1440"/>
        <w:jc w:val="both"/>
      </w:pPr>
      <w:r>
        <w:rPr>
          <w:b/>
        </w:rPr>
        <w:t>FEA:</w:t>
      </w:r>
      <w:r>
        <w:rPr>
          <w:b/>
        </w:rPr>
        <w:tab/>
      </w:r>
      <w:r w:rsidR="00202DF7" w:rsidRPr="00202DF7">
        <w:t>The depreciation parameters and depreciation rates presented in Exhibit BCA-6 should be approved.</w:t>
      </w:r>
    </w:p>
    <w:p w14:paraId="437C87FC" w14:textId="77777777" w:rsidR="00361142" w:rsidRDefault="00361142" w:rsidP="00361142">
      <w:pPr>
        <w:ind w:left="1440" w:hanging="1440"/>
        <w:jc w:val="both"/>
        <w:rPr>
          <w:b/>
        </w:rPr>
      </w:pPr>
    </w:p>
    <w:p w14:paraId="5694708C" w14:textId="77777777" w:rsidR="00180845" w:rsidRDefault="00361142" w:rsidP="00361142">
      <w:pPr>
        <w:ind w:left="1440" w:hanging="1440"/>
        <w:jc w:val="both"/>
        <w:rPr>
          <w:b/>
        </w:rPr>
      </w:pPr>
      <w:r>
        <w:rPr>
          <w:b/>
        </w:rPr>
        <w:t>SIERRA</w:t>
      </w:r>
    </w:p>
    <w:p w14:paraId="1B79A817" w14:textId="7A3D57AF" w:rsidR="00361142" w:rsidRDefault="00180845" w:rsidP="00361142">
      <w:pPr>
        <w:ind w:left="1440" w:hanging="1440"/>
        <w:jc w:val="both"/>
        <w:rPr>
          <w:b/>
        </w:rPr>
      </w:pPr>
      <w:r>
        <w:rPr>
          <w:b/>
        </w:rPr>
        <w:t>CLUB</w:t>
      </w:r>
      <w:r w:rsidR="00361142">
        <w:rPr>
          <w:b/>
        </w:rPr>
        <w:t>:</w:t>
      </w:r>
      <w:r w:rsidR="00361142">
        <w:rPr>
          <w:b/>
        </w:rPr>
        <w:tab/>
      </w:r>
      <w:r w:rsidR="0049497E">
        <w:t xml:space="preserve">Depreciation parameters and rates should be adjusted to reflect the 2024 retirement of IG technology at Polk </w:t>
      </w:r>
      <w:r w:rsidR="009362F7">
        <w:t xml:space="preserve">Unit </w:t>
      </w:r>
      <w:r w:rsidR="0049497E">
        <w:t xml:space="preserve">1, along with 2030 retirement dates for Polk </w:t>
      </w:r>
      <w:r w:rsidR="009362F7">
        <w:t xml:space="preserve">Unit </w:t>
      </w:r>
      <w:r w:rsidR="0049497E">
        <w:t xml:space="preserve">1 and Big Bend </w:t>
      </w:r>
      <w:r w:rsidR="009362F7">
        <w:t xml:space="preserve">Unit </w:t>
      </w:r>
      <w:r w:rsidR="0049497E">
        <w:t>4.</w:t>
      </w:r>
    </w:p>
    <w:p w14:paraId="25323028" w14:textId="77777777" w:rsidR="00361142" w:rsidRDefault="00361142" w:rsidP="00361142">
      <w:pPr>
        <w:ind w:left="1440" w:hanging="1440"/>
        <w:jc w:val="both"/>
        <w:rPr>
          <w:b/>
        </w:rPr>
      </w:pPr>
    </w:p>
    <w:p w14:paraId="116E320B" w14:textId="5CDC1370" w:rsidR="00361142" w:rsidRDefault="00361142" w:rsidP="00361142">
      <w:pPr>
        <w:ind w:left="1440" w:hanging="1440"/>
        <w:jc w:val="both"/>
        <w:rPr>
          <w:b/>
        </w:rPr>
      </w:pPr>
      <w:r>
        <w:rPr>
          <w:b/>
        </w:rPr>
        <w:t>FRF:</w:t>
      </w:r>
      <w:r>
        <w:rPr>
          <w:b/>
        </w:rPr>
        <w:tab/>
      </w:r>
      <w:r w:rsidR="0054177F">
        <w:t>Agree</w:t>
      </w:r>
      <w:r w:rsidR="009362F7">
        <w:t>s</w:t>
      </w:r>
      <w:r w:rsidR="0054177F">
        <w:t xml:space="preserve"> with OPC.</w:t>
      </w:r>
    </w:p>
    <w:p w14:paraId="4B829CB9" w14:textId="77777777" w:rsidR="00361142" w:rsidRDefault="00361142" w:rsidP="00361142">
      <w:pPr>
        <w:ind w:left="1440" w:hanging="1440"/>
        <w:jc w:val="both"/>
        <w:rPr>
          <w:b/>
        </w:rPr>
      </w:pPr>
    </w:p>
    <w:p w14:paraId="492C5C92" w14:textId="77777777" w:rsidR="009362F7" w:rsidRDefault="009362F7" w:rsidP="00361142">
      <w:pPr>
        <w:ind w:left="1440" w:hanging="1440"/>
        <w:jc w:val="both"/>
        <w:rPr>
          <w:b/>
        </w:rPr>
      </w:pPr>
      <w:r>
        <w:rPr>
          <w:b/>
        </w:rPr>
        <w:t>FUEL</w:t>
      </w:r>
    </w:p>
    <w:p w14:paraId="6CC33F0B" w14:textId="26AC1906" w:rsidR="00361142" w:rsidRDefault="009362F7" w:rsidP="00361142">
      <w:pPr>
        <w:ind w:left="1440" w:hanging="1440"/>
        <w:jc w:val="both"/>
      </w:pPr>
      <w:r>
        <w:rPr>
          <w:b/>
        </w:rPr>
        <w:t>RETAILERS</w:t>
      </w:r>
      <w:r w:rsidR="00361142">
        <w:rPr>
          <w:b/>
        </w:rPr>
        <w:t>:</w:t>
      </w:r>
      <w:r>
        <w:rPr>
          <w:b/>
        </w:rPr>
        <w:t xml:space="preserve"> </w:t>
      </w:r>
      <w:r w:rsidR="00742505" w:rsidRPr="00A1329C">
        <w:t xml:space="preserve">No </w:t>
      </w:r>
      <w:r w:rsidR="006F15F7">
        <w:t>p</w:t>
      </w:r>
      <w:r w:rsidR="00742505" w:rsidRPr="00A1329C">
        <w:t>osition.</w:t>
      </w:r>
    </w:p>
    <w:p w14:paraId="19568109" w14:textId="77777777" w:rsidR="00230560" w:rsidRDefault="00230560" w:rsidP="00361142">
      <w:pPr>
        <w:ind w:left="1440" w:hanging="1440"/>
        <w:jc w:val="both"/>
      </w:pPr>
    </w:p>
    <w:p w14:paraId="26A0E973" w14:textId="6D7027FA" w:rsidR="00230560" w:rsidRPr="00230560" w:rsidRDefault="009362F7" w:rsidP="00361142">
      <w:pPr>
        <w:ind w:left="1440" w:hanging="1440"/>
        <w:jc w:val="both"/>
        <w:rPr>
          <w:b/>
        </w:rPr>
      </w:pPr>
      <w:r>
        <w:rPr>
          <w:b/>
        </w:rPr>
        <w:t>WALMART</w:t>
      </w:r>
      <w:r w:rsidR="00230560">
        <w:rPr>
          <w:b/>
        </w:rPr>
        <w:t>:</w:t>
      </w:r>
      <w:r w:rsidR="00230560">
        <w:rPr>
          <w:b/>
        </w:rPr>
        <w:tab/>
      </w:r>
      <w:r w:rsidR="004E3B71" w:rsidRPr="004E3B71">
        <w:t>A</w:t>
      </w:r>
      <w:r w:rsidR="00230560">
        <w:t>grees with OPC.</w:t>
      </w:r>
    </w:p>
    <w:p w14:paraId="06289694" w14:textId="77777777" w:rsidR="00361142" w:rsidRPr="00701945" w:rsidRDefault="00361142" w:rsidP="00361142">
      <w:pPr>
        <w:jc w:val="both"/>
      </w:pPr>
    </w:p>
    <w:p w14:paraId="5E256F46" w14:textId="77777777" w:rsidR="00361142" w:rsidRPr="005D4B47" w:rsidRDefault="00361142" w:rsidP="00361142">
      <w:pPr>
        <w:ind w:left="1440" w:hanging="1440"/>
        <w:jc w:val="both"/>
        <w:rPr>
          <w:b/>
          <w:bCs/>
        </w:rPr>
      </w:pPr>
      <w:r>
        <w:rPr>
          <w:b/>
          <w:bCs/>
        </w:rPr>
        <w:t>STAFF:</w:t>
      </w:r>
      <w:r>
        <w:rPr>
          <w:b/>
          <w:bCs/>
        </w:rPr>
        <w:tab/>
      </w:r>
      <w:r w:rsidR="00AB600F">
        <w:t>No position at this time.</w:t>
      </w:r>
    </w:p>
    <w:p w14:paraId="5D2AC385" w14:textId="77777777" w:rsidR="00361142" w:rsidRDefault="00361142" w:rsidP="00C7699A">
      <w:pPr>
        <w:jc w:val="both"/>
      </w:pPr>
    </w:p>
    <w:p w14:paraId="2BAFBABB" w14:textId="77777777" w:rsidR="00DA5616" w:rsidRDefault="00DA5616" w:rsidP="00C7699A">
      <w:pPr>
        <w:jc w:val="both"/>
      </w:pPr>
    </w:p>
    <w:p w14:paraId="09359335" w14:textId="77777777" w:rsidR="00361142" w:rsidRPr="00981376" w:rsidRDefault="00361142" w:rsidP="00361142">
      <w:pPr>
        <w:ind w:left="1440" w:hanging="1440"/>
        <w:jc w:val="both"/>
        <w:rPr>
          <w:b/>
        </w:rPr>
      </w:pPr>
      <w:r w:rsidRPr="005D4B47">
        <w:rPr>
          <w:b/>
          <w:bCs/>
        </w:rPr>
        <w:t xml:space="preserve">ISSUE </w:t>
      </w:r>
      <w:r w:rsidR="0003402E">
        <w:rPr>
          <w:b/>
          <w:bCs/>
        </w:rPr>
        <w:t>8</w:t>
      </w:r>
      <w:r w:rsidRPr="00701945">
        <w:rPr>
          <w:b/>
          <w:bCs/>
        </w:rPr>
        <w:t>:</w:t>
      </w:r>
      <w:r w:rsidRPr="00701945">
        <w:tab/>
      </w:r>
      <w:r w:rsidR="00981376" w:rsidRPr="00981376">
        <w:rPr>
          <w:b/>
        </w:rPr>
        <w:t>Based on the application of the depreciation parameters and resulting depreciation rates that the Commission approves, and a comparison of the theoretical reserves to the book reserves, what are the resulting imbalances?</w:t>
      </w:r>
    </w:p>
    <w:p w14:paraId="675D0B47" w14:textId="77777777" w:rsidR="00361142" w:rsidRPr="00701945" w:rsidRDefault="00361142" w:rsidP="00361142">
      <w:pPr>
        <w:jc w:val="both"/>
      </w:pPr>
    </w:p>
    <w:p w14:paraId="77869761" w14:textId="77777777" w:rsidR="00361142" w:rsidRPr="005D4B47" w:rsidRDefault="00361142" w:rsidP="00361142">
      <w:pPr>
        <w:ind w:left="1440" w:hanging="1440"/>
        <w:jc w:val="both"/>
      </w:pPr>
      <w:r>
        <w:rPr>
          <w:b/>
          <w:bCs/>
        </w:rPr>
        <w:t>TECO</w:t>
      </w:r>
      <w:r w:rsidRPr="005D4B47">
        <w:rPr>
          <w:b/>
          <w:bCs/>
        </w:rPr>
        <w:t>:</w:t>
      </w:r>
      <w:r w:rsidRPr="005D4B47">
        <w:tab/>
      </w:r>
      <w:r w:rsidR="00981376">
        <w:t>As of December 31, 2024, the company’s book reserve is approximately $167 million lower than the theoretical reserve shown in the 2023 Depreciation Study, so the reserve imbalance is approximately negative $167 million. (Allis)</w:t>
      </w:r>
    </w:p>
    <w:p w14:paraId="016A565C" w14:textId="77777777" w:rsidR="00361142" w:rsidRPr="00701945" w:rsidRDefault="00361142" w:rsidP="00361142">
      <w:pPr>
        <w:jc w:val="both"/>
      </w:pPr>
    </w:p>
    <w:p w14:paraId="677FAD1C" w14:textId="079BBCBF" w:rsidR="00361142" w:rsidRDefault="00361142" w:rsidP="00361142">
      <w:pPr>
        <w:ind w:left="1440" w:hanging="1440"/>
        <w:jc w:val="both"/>
      </w:pPr>
      <w:r>
        <w:rPr>
          <w:b/>
          <w:bCs/>
        </w:rPr>
        <w:t>OPC</w:t>
      </w:r>
      <w:r w:rsidRPr="00701945">
        <w:rPr>
          <w:b/>
          <w:bCs/>
        </w:rPr>
        <w:t>:</w:t>
      </w:r>
      <w:r>
        <w:tab/>
      </w:r>
      <w:r w:rsidR="004A3F01">
        <w:t>This is a fall</w:t>
      </w:r>
      <w:r w:rsidR="00D349C3">
        <w:t xml:space="preserve"> </w:t>
      </w:r>
      <w:r w:rsidR="004A3F01">
        <w:t>out based on the resolution of Issue 7.</w:t>
      </w:r>
    </w:p>
    <w:p w14:paraId="1318090B" w14:textId="77777777" w:rsidR="00361142" w:rsidRDefault="00361142" w:rsidP="00361142">
      <w:pPr>
        <w:ind w:left="1440" w:hanging="1440"/>
        <w:jc w:val="both"/>
        <w:rPr>
          <w:b/>
        </w:rPr>
      </w:pPr>
      <w:r>
        <w:rPr>
          <w:b/>
        </w:rPr>
        <w:lastRenderedPageBreak/>
        <w:t>FL RISING/</w:t>
      </w:r>
    </w:p>
    <w:p w14:paraId="1C1FB900" w14:textId="39C92350" w:rsidR="00361142" w:rsidRDefault="00361142" w:rsidP="00361142">
      <w:pPr>
        <w:ind w:left="1440" w:hanging="1440"/>
        <w:jc w:val="both"/>
        <w:rPr>
          <w:b/>
        </w:rPr>
      </w:pPr>
      <w:r>
        <w:rPr>
          <w:b/>
        </w:rPr>
        <w:t>LULAC:</w:t>
      </w:r>
      <w:r>
        <w:rPr>
          <w:b/>
        </w:rPr>
        <w:tab/>
      </w:r>
      <w:r w:rsidR="00C96E52" w:rsidRPr="1F5F6781">
        <w:t>The Commission has not deemed any specific depreciation rates as appropriate yet,</w:t>
      </w:r>
      <w:r w:rsidR="00C96E52" w:rsidRPr="5D47E749">
        <w:t xml:space="preserve"> </w:t>
      </w:r>
      <w:r w:rsidR="00C96E52" w:rsidRPr="4B070ED2">
        <w:t>and therefore we</w:t>
      </w:r>
      <w:r w:rsidR="00C96E52" w:rsidRPr="0B7543B3">
        <w:t xml:space="preserve"> cannot calculate </w:t>
      </w:r>
      <w:r w:rsidR="00C96E52" w:rsidRPr="455008FD">
        <w:t xml:space="preserve">the resulting </w:t>
      </w:r>
      <w:r w:rsidR="00C96E52" w:rsidRPr="054C2D64">
        <w:t>imbalance.</w:t>
      </w:r>
      <w:r w:rsidR="00C96E52" w:rsidRPr="6FB0F541">
        <w:t xml:space="preserve"> </w:t>
      </w:r>
      <w:r w:rsidR="00C96E52" w:rsidRPr="11C10D71">
        <w:t xml:space="preserve">That being said, </w:t>
      </w:r>
      <w:r w:rsidR="00C96E52" w:rsidRPr="374B494A">
        <w:t xml:space="preserve">a 35-year </w:t>
      </w:r>
      <w:r w:rsidR="00C96E52" w:rsidRPr="42B8A4F1">
        <w:t xml:space="preserve">depreciation life </w:t>
      </w:r>
      <w:r w:rsidR="00C96E52" w:rsidRPr="43CC96E4">
        <w:t xml:space="preserve">for solar assets should </w:t>
      </w:r>
      <w:r w:rsidR="00C96E52" w:rsidRPr="5A4194F2">
        <w:t xml:space="preserve">be used, </w:t>
      </w:r>
      <w:r w:rsidR="00C96E52" w:rsidRPr="5B555373">
        <w:t xml:space="preserve">and a 20-year depreciation life for </w:t>
      </w:r>
      <w:r w:rsidR="00C96E52" w:rsidRPr="19FC4BCF">
        <w:t xml:space="preserve">battery </w:t>
      </w:r>
      <w:r w:rsidR="00C96E52" w:rsidRPr="0B08DBBA">
        <w:t>assets.</w:t>
      </w:r>
    </w:p>
    <w:p w14:paraId="0808EBDA" w14:textId="77777777" w:rsidR="00361142" w:rsidRDefault="00361142" w:rsidP="00361142">
      <w:pPr>
        <w:ind w:left="1440" w:hanging="1440"/>
        <w:jc w:val="both"/>
        <w:rPr>
          <w:b/>
        </w:rPr>
      </w:pPr>
    </w:p>
    <w:p w14:paraId="594CBC2C" w14:textId="32EC0394" w:rsidR="00361142" w:rsidRDefault="00361142" w:rsidP="00361142">
      <w:pPr>
        <w:ind w:left="1440" w:hanging="1440"/>
        <w:jc w:val="both"/>
        <w:rPr>
          <w:b/>
        </w:rPr>
      </w:pPr>
      <w:r>
        <w:rPr>
          <w:b/>
        </w:rPr>
        <w:t>FIPUG:</w:t>
      </w:r>
      <w:r>
        <w:rPr>
          <w:b/>
        </w:rPr>
        <w:tab/>
      </w:r>
      <w:r w:rsidR="00DA1A31">
        <w:rPr>
          <w:bCs/>
        </w:rPr>
        <w:t>Adopt</w:t>
      </w:r>
      <w:r w:rsidR="00D349C3">
        <w:rPr>
          <w:bCs/>
        </w:rPr>
        <w:t>s</w:t>
      </w:r>
      <w:r w:rsidR="00DA1A31">
        <w:rPr>
          <w:bCs/>
        </w:rPr>
        <w:t xml:space="preserve"> the position of OPC.</w:t>
      </w:r>
    </w:p>
    <w:p w14:paraId="6FDBC3BD" w14:textId="77777777" w:rsidR="00361142" w:rsidRDefault="00361142" w:rsidP="00361142">
      <w:pPr>
        <w:ind w:left="1440" w:hanging="1440"/>
        <w:jc w:val="both"/>
        <w:rPr>
          <w:b/>
        </w:rPr>
      </w:pPr>
    </w:p>
    <w:p w14:paraId="5CF12F1B" w14:textId="5E748854" w:rsidR="00361142" w:rsidRDefault="00361142" w:rsidP="00361142">
      <w:pPr>
        <w:ind w:left="1440" w:hanging="1440"/>
        <w:jc w:val="both"/>
        <w:rPr>
          <w:b/>
        </w:rPr>
      </w:pPr>
      <w:r>
        <w:rPr>
          <w:b/>
        </w:rPr>
        <w:t>FEA:</w:t>
      </w:r>
      <w:r>
        <w:rPr>
          <w:b/>
        </w:rPr>
        <w:tab/>
      </w:r>
      <w:r w:rsidR="00D349C3">
        <w:t>No position</w:t>
      </w:r>
      <w:r w:rsidR="00202DF7">
        <w:t>.</w:t>
      </w:r>
    </w:p>
    <w:p w14:paraId="2BA90BFB" w14:textId="77777777" w:rsidR="00361142" w:rsidRDefault="00361142" w:rsidP="00361142">
      <w:pPr>
        <w:ind w:left="1440" w:hanging="1440"/>
        <w:jc w:val="both"/>
        <w:rPr>
          <w:b/>
        </w:rPr>
      </w:pPr>
    </w:p>
    <w:p w14:paraId="2256E527" w14:textId="77777777" w:rsidR="000720BB" w:rsidRDefault="00764960" w:rsidP="00361142">
      <w:pPr>
        <w:ind w:left="1440" w:hanging="1440"/>
        <w:jc w:val="both"/>
        <w:rPr>
          <w:b/>
        </w:rPr>
      </w:pPr>
      <w:r>
        <w:rPr>
          <w:b/>
        </w:rPr>
        <w:t xml:space="preserve">SIERRA </w:t>
      </w:r>
    </w:p>
    <w:p w14:paraId="0F3D689D" w14:textId="49ECF3EF" w:rsidR="00361142" w:rsidRDefault="00764960" w:rsidP="00361142">
      <w:pPr>
        <w:ind w:left="1440" w:hanging="1440"/>
        <w:jc w:val="both"/>
        <w:rPr>
          <w:b/>
        </w:rPr>
      </w:pPr>
      <w:r>
        <w:rPr>
          <w:b/>
        </w:rPr>
        <w:t>CLUB</w:t>
      </w:r>
      <w:r w:rsidR="00361142">
        <w:rPr>
          <w:b/>
        </w:rPr>
        <w:t>:</w:t>
      </w:r>
      <w:r w:rsidR="00361142">
        <w:rPr>
          <w:b/>
        </w:rPr>
        <w:tab/>
      </w:r>
      <w:r w:rsidR="008B0CCC">
        <w:t>No position.</w:t>
      </w:r>
    </w:p>
    <w:p w14:paraId="41E30D00" w14:textId="77777777" w:rsidR="00361142" w:rsidRDefault="00361142" w:rsidP="00361142">
      <w:pPr>
        <w:ind w:left="1440" w:hanging="1440"/>
        <w:jc w:val="both"/>
        <w:rPr>
          <w:b/>
        </w:rPr>
      </w:pPr>
    </w:p>
    <w:p w14:paraId="3E769B28" w14:textId="6E843494" w:rsidR="00361142" w:rsidRDefault="00361142" w:rsidP="00361142">
      <w:pPr>
        <w:ind w:left="1440" w:hanging="1440"/>
        <w:jc w:val="both"/>
        <w:rPr>
          <w:b/>
        </w:rPr>
      </w:pPr>
      <w:r>
        <w:rPr>
          <w:b/>
        </w:rPr>
        <w:t>FRF:</w:t>
      </w:r>
      <w:r>
        <w:rPr>
          <w:b/>
        </w:rPr>
        <w:tab/>
      </w:r>
      <w:r w:rsidR="0054177F">
        <w:t>Agree</w:t>
      </w:r>
      <w:r w:rsidR="008B0CCC">
        <w:t>s</w:t>
      </w:r>
      <w:r w:rsidR="0054177F">
        <w:t xml:space="preserve"> with OPC.</w:t>
      </w:r>
    </w:p>
    <w:p w14:paraId="672B256C" w14:textId="77777777" w:rsidR="00361142" w:rsidRDefault="00361142" w:rsidP="00361142">
      <w:pPr>
        <w:ind w:left="1440" w:hanging="1440"/>
        <w:jc w:val="both"/>
        <w:rPr>
          <w:b/>
        </w:rPr>
      </w:pPr>
    </w:p>
    <w:p w14:paraId="4A6F73FE" w14:textId="77777777" w:rsidR="000720BB" w:rsidRDefault="00C0182D" w:rsidP="00361142">
      <w:pPr>
        <w:ind w:left="1440" w:hanging="1440"/>
        <w:jc w:val="both"/>
        <w:rPr>
          <w:b/>
        </w:rPr>
      </w:pPr>
      <w:r>
        <w:rPr>
          <w:b/>
        </w:rPr>
        <w:t xml:space="preserve">FUEL </w:t>
      </w:r>
    </w:p>
    <w:p w14:paraId="7D477C8B" w14:textId="32537658" w:rsidR="00361142" w:rsidRDefault="00C0182D" w:rsidP="00361142">
      <w:pPr>
        <w:ind w:left="1440" w:hanging="1440"/>
        <w:jc w:val="both"/>
      </w:pPr>
      <w:r>
        <w:rPr>
          <w:b/>
        </w:rPr>
        <w:t>RETAILERS</w:t>
      </w:r>
      <w:r w:rsidR="00361142">
        <w:rPr>
          <w:b/>
        </w:rPr>
        <w:t>:</w:t>
      </w:r>
      <w:r w:rsidR="000720BB">
        <w:rPr>
          <w:b/>
        </w:rPr>
        <w:t xml:space="preserve"> </w:t>
      </w:r>
      <w:r w:rsidR="00742505" w:rsidRPr="00A1329C">
        <w:t xml:space="preserve">No </w:t>
      </w:r>
      <w:r w:rsidR="008B0CCC">
        <w:t>p</w:t>
      </w:r>
      <w:r w:rsidR="00742505" w:rsidRPr="00A1329C">
        <w:t>osition.</w:t>
      </w:r>
    </w:p>
    <w:p w14:paraId="3A81D84F" w14:textId="77777777" w:rsidR="00FF772F" w:rsidRDefault="00FF772F" w:rsidP="00361142">
      <w:pPr>
        <w:ind w:left="1440" w:hanging="1440"/>
        <w:jc w:val="both"/>
      </w:pPr>
    </w:p>
    <w:p w14:paraId="22541343" w14:textId="77A64DC6" w:rsidR="00FF772F" w:rsidRPr="00FF772F" w:rsidRDefault="00FD408B" w:rsidP="00361142">
      <w:pPr>
        <w:ind w:left="1440" w:hanging="1440"/>
        <w:jc w:val="both"/>
        <w:rPr>
          <w:b/>
        </w:rPr>
      </w:pPr>
      <w:r>
        <w:rPr>
          <w:b/>
        </w:rPr>
        <w:t>WALMART</w:t>
      </w:r>
      <w:r w:rsidR="00FF772F">
        <w:rPr>
          <w:b/>
        </w:rPr>
        <w:t>:</w:t>
      </w:r>
      <w:r w:rsidR="00FF772F">
        <w:rPr>
          <w:b/>
        </w:rPr>
        <w:tab/>
      </w:r>
      <w:r w:rsidR="00EC73DA" w:rsidRPr="00EC73DA">
        <w:t>A</w:t>
      </w:r>
      <w:r w:rsidR="00FF772F">
        <w:t>grees with OPC.</w:t>
      </w:r>
    </w:p>
    <w:p w14:paraId="0E73AC89" w14:textId="77777777" w:rsidR="00361142" w:rsidRPr="00701945" w:rsidRDefault="00361142" w:rsidP="00361142">
      <w:pPr>
        <w:jc w:val="both"/>
      </w:pPr>
    </w:p>
    <w:p w14:paraId="06AECA48" w14:textId="77777777" w:rsidR="00361142" w:rsidRPr="005D4B47" w:rsidRDefault="00361142" w:rsidP="00361142">
      <w:pPr>
        <w:ind w:left="1440" w:hanging="1440"/>
        <w:jc w:val="both"/>
        <w:rPr>
          <w:b/>
          <w:bCs/>
        </w:rPr>
      </w:pPr>
      <w:r>
        <w:rPr>
          <w:b/>
          <w:bCs/>
        </w:rPr>
        <w:t>STAFF:</w:t>
      </w:r>
      <w:r>
        <w:rPr>
          <w:b/>
          <w:bCs/>
        </w:rPr>
        <w:tab/>
      </w:r>
      <w:r w:rsidR="00AB600F">
        <w:t>No position at this time.</w:t>
      </w:r>
    </w:p>
    <w:p w14:paraId="7A92DCB5" w14:textId="77777777" w:rsidR="00361142" w:rsidRDefault="00361142" w:rsidP="00C7699A">
      <w:pPr>
        <w:jc w:val="both"/>
      </w:pPr>
    </w:p>
    <w:p w14:paraId="6F2A0091" w14:textId="77777777" w:rsidR="00361142" w:rsidRDefault="00361142" w:rsidP="00C7699A">
      <w:pPr>
        <w:jc w:val="both"/>
      </w:pPr>
    </w:p>
    <w:p w14:paraId="39649B69" w14:textId="77777777" w:rsidR="00361142" w:rsidRPr="00981376" w:rsidRDefault="00361142" w:rsidP="00361142">
      <w:pPr>
        <w:ind w:left="1440" w:hanging="1440"/>
        <w:jc w:val="both"/>
        <w:rPr>
          <w:b/>
        </w:rPr>
      </w:pPr>
      <w:r w:rsidRPr="005D4B47">
        <w:rPr>
          <w:b/>
          <w:bCs/>
        </w:rPr>
        <w:t xml:space="preserve">ISSUE </w:t>
      </w:r>
      <w:r w:rsidR="0003402E">
        <w:rPr>
          <w:b/>
          <w:bCs/>
        </w:rPr>
        <w:t>9</w:t>
      </w:r>
      <w:r w:rsidRPr="00701945">
        <w:rPr>
          <w:b/>
          <w:bCs/>
        </w:rPr>
        <w:t>:</w:t>
      </w:r>
      <w:r w:rsidRPr="00701945">
        <w:tab/>
      </w:r>
      <w:r w:rsidR="00981376" w:rsidRPr="00981376">
        <w:rPr>
          <w:b/>
          <w:bCs/>
        </w:rPr>
        <w:t>W</w:t>
      </w:r>
      <w:r w:rsidR="00981376" w:rsidRPr="00981376">
        <w:rPr>
          <w:b/>
        </w:rPr>
        <w:t>hat, if any, corrective reserve measures should be taken with respect to the imbalances identified in Issue 8?</w:t>
      </w:r>
    </w:p>
    <w:p w14:paraId="63AAD1CD" w14:textId="77777777" w:rsidR="00361142" w:rsidRPr="00701945" w:rsidRDefault="00361142" w:rsidP="00361142">
      <w:pPr>
        <w:jc w:val="both"/>
      </w:pPr>
    </w:p>
    <w:p w14:paraId="2B3F8A54" w14:textId="77777777" w:rsidR="00361142" w:rsidRPr="005D4B47" w:rsidRDefault="00361142" w:rsidP="00361142">
      <w:pPr>
        <w:ind w:left="1440" w:hanging="1440"/>
        <w:jc w:val="both"/>
      </w:pPr>
      <w:r>
        <w:rPr>
          <w:b/>
          <w:bCs/>
        </w:rPr>
        <w:t>TECO</w:t>
      </w:r>
      <w:r w:rsidRPr="005D4B47">
        <w:rPr>
          <w:b/>
          <w:bCs/>
        </w:rPr>
        <w:t>:</w:t>
      </w:r>
      <w:r w:rsidRPr="005D4B47">
        <w:tab/>
      </w:r>
      <w:r w:rsidR="00981376">
        <w:t>The theoretical reserve balance identified in Issue 8 should be addressed through remaining life depreciation rates. There is no need for reserve balance transfers. (Allis)</w:t>
      </w:r>
    </w:p>
    <w:p w14:paraId="3FAA7EB9" w14:textId="77777777" w:rsidR="00361142" w:rsidRPr="00701945" w:rsidRDefault="00361142" w:rsidP="00361142">
      <w:pPr>
        <w:jc w:val="both"/>
      </w:pPr>
    </w:p>
    <w:p w14:paraId="0ACC609E" w14:textId="77777777" w:rsidR="00361142" w:rsidRDefault="00361142" w:rsidP="00361142">
      <w:pPr>
        <w:ind w:left="1440" w:hanging="1440"/>
        <w:jc w:val="both"/>
      </w:pPr>
      <w:r>
        <w:rPr>
          <w:b/>
          <w:bCs/>
        </w:rPr>
        <w:t>OPC</w:t>
      </w:r>
      <w:r w:rsidRPr="00701945">
        <w:rPr>
          <w:b/>
          <w:bCs/>
        </w:rPr>
        <w:t>:</w:t>
      </w:r>
      <w:r>
        <w:tab/>
      </w:r>
      <w:r w:rsidR="00A81692">
        <w:t>All imbalances should be corrected using the remaining life technique in this case.</w:t>
      </w:r>
    </w:p>
    <w:p w14:paraId="5DA345F8" w14:textId="77777777" w:rsidR="00361142" w:rsidRDefault="00361142" w:rsidP="00361142">
      <w:pPr>
        <w:ind w:left="1440" w:hanging="1440"/>
        <w:jc w:val="both"/>
      </w:pPr>
    </w:p>
    <w:p w14:paraId="5BC01A40" w14:textId="77777777" w:rsidR="00361142" w:rsidRDefault="00361142" w:rsidP="00361142">
      <w:pPr>
        <w:ind w:left="1440" w:hanging="1440"/>
        <w:jc w:val="both"/>
        <w:rPr>
          <w:b/>
        </w:rPr>
      </w:pPr>
      <w:r>
        <w:rPr>
          <w:b/>
        </w:rPr>
        <w:t>FL RISING/</w:t>
      </w:r>
    </w:p>
    <w:p w14:paraId="73BBFD50" w14:textId="77777777" w:rsidR="00361142" w:rsidRDefault="00361142" w:rsidP="00361142">
      <w:pPr>
        <w:ind w:left="1440" w:hanging="1440"/>
        <w:jc w:val="both"/>
        <w:rPr>
          <w:b/>
        </w:rPr>
      </w:pPr>
      <w:r>
        <w:rPr>
          <w:b/>
        </w:rPr>
        <w:t>LULAC:</w:t>
      </w:r>
      <w:r>
        <w:rPr>
          <w:b/>
        </w:rPr>
        <w:tab/>
      </w:r>
      <w:r w:rsidR="00C96E52" w:rsidRPr="2FBECB49">
        <w:t>Remaining life technique</w:t>
      </w:r>
      <w:r w:rsidR="00C96E52" w:rsidRPr="20E9B9C2">
        <w:t>.</w:t>
      </w:r>
    </w:p>
    <w:p w14:paraId="0DF1CDC4" w14:textId="77777777" w:rsidR="00361142" w:rsidRDefault="00361142" w:rsidP="00361142">
      <w:pPr>
        <w:ind w:left="1440" w:hanging="1440"/>
        <w:jc w:val="both"/>
        <w:rPr>
          <w:b/>
        </w:rPr>
      </w:pPr>
    </w:p>
    <w:p w14:paraId="106F9AAB" w14:textId="77777777" w:rsidR="00361142" w:rsidRDefault="00361142" w:rsidP="00361142">
      <w:pPr>
        <w:ind w:left="1440" w:hanging="1440"/>
        <w:jc w:val="both"/>
        <w:rPr>
          <w:b/>
        </w:rPr>
      </w:pPr>
      <w:r>
        <w:rPr>
          <w:b/>
        </w:rPr>
        <w:t>FIPUG:</w:t>
      </w:r>
      <w:r>
        <w:rPr>
          <w:b/>
        </w:rPr>
        <w:tab/>
      </w:r>
      <w:r w:rsidR="00DA1A31" w:rsidRPr="006C7A7C">
        <w:rPr>
          <w:bCs/>
        </w:rPr>
        <w:t>Imbalances should be via the remaining life approach.</w:t>
      </w:r>
    </w:p>
    <w:p w14:paraId="248D4A05" w14:textId="77777777" w:rsidR="00361142" w:rsidRDefault="00361142" w:rsidP="00361142">
      <w:pPr>
        <w:ind w:left="1440" w:hanging="1440"/>
        <w:jc w:val="both"/>
        <w:rPr>
          <w:b/>
        </w:rPr>
      </w:pPr>
    </w:p>
    <w:p w14:paraId="5B5D689F" w14:textId="1C62E366" w:rsidR="00361142" w:rsidRDefault="00361142" w:rsidP="00361142">
      <w:pPr>
        <w:ind w:left="1440" w:hanging="1440"/>
        <w:jc w:val="both"/>
        <w:rPr>
          <w:b/>
        </w:rPr>
      </w:pPr>
      <w:r>
        <w:rPr>
          <w:b/>
        </w:rPr>
        <w:t>FEA:</w:t>
      </w:r>
      <w:r>
        <w:rPr>
          <w:b/>
        </w:rPr>
        <w:tab/>
      </w:r>
      <w:r w:rsidR="00D9069C">
        <w:t>No position.</w:t>
      </w:r>
    </w:p>
    <w:p w14:paraId="29838E8E" w14:textId="77777777" w:rsidR="00361142" w:rsidRDefault="00361142" w:rsidP="00361142">
      <w:pPr>
        <w:ind w:left="1440" w:hanging="1440"/>
        <w:jc w:val="both"/>
        <w:rPr>
          <w:b/>
        </w:rPr>
      </w:pPr>
    </w:p>
    <w:p w14:paraId="729945E6" w14:textId="77777777" w:rsidR="007E6DCF" w:rsidRDefault="00361142" w:rsidP="00361142">
      <w:pPr>
        <w:ind w:left="1440" w:hanging="1440"/>
        <w:jc w:val="both"/>
        <w:rPr>
          <w:b/>
        </w:rPr>
      </w:pPr>
      <w:r>
        <w:rPr>
          <w:b/>
        </w:rPr>
        <w:t>SIERRA</w:t>
      </w:r>
    </w:p>
    <w:p w14:paraId="37009B8D" w14:textId="0C21D68B" w:rsidR="00361142" w:rsidRDefault="007E6DCF" w:rsidP="00361142">
      <w:pPr>
        <w:ind w:left="1440" w:hanging="1440"/>
        <w:jc w:val="both"/>
        <w:rPr>
          <w:b/>
        </w:rPr>
      </w:pPr>
      <w:r>
        <w:rPr>
          <w:b/>
        </w:rPr>
        <w:t>CLUB</w:t>
      </w:r>
      <w:r w:rsidR="00361142">
        <w:rPr>
          <w:b/>
        </w:rPr>
        <w:t>:</w:t>
      </w:r>
      <w:r w:rsidR="00361142">
        <w:rPr>
          <w:b/>
        </w:rPr>
        <w:tab/>
      </w:r>
      <w:r w:rsidR="00D9069C">
        <w:t>No position.</w:t>
      </w:r>
    </w:p>
    <w:p w14:paraId="2D5C5261" w14:textId="77777777" w:rsidR="00361142" w:rsidRDefault="00361142" w:rsidP="00361142">
      <w:pPr>
        <w:ind w:left="1440" w:hanging="1440"/>
        <w:jc w:val="both"/>
        <w:rPr>
          <w:b/>
        </w:rPr>
      </w:pPr>
    </w:p>
    <w:p w14:paraId="49D12B21" w14:textId="7AF14063" w:rsidR="00361142" w:rsidRDefault="00361142" w:rsidP="00361142">
      <w:pPr>
        <w:ind w:left="1440" w:hanging="1440"/>
        <w:jc w:val="both"/>
        <w:rPr>
          <w:b/>
        </w:rPr>
      </w:pPr>
      <w:r>
        <w:rPr>
          <w:b/>
        </w:rPr>
        <w:t>FRF:</w:t>
      </w:r>
      <w:r>
        <w:rPr>
          <w:b/>
        </w:rPr>
        <w:tab/>
      </w:r>
      <w:r w:rsidR="0054177F">
        <w:t>Agree</w:t>
      </w:r>
      <w:r w:rsidR="00B33D5A">
        <w:t>s</w:t>
      </w:r>
      <w:r w:rsidR="0054177F">
        <w:t xml:space="preserve"> with OPC.</w:t>
      </w:r>
    </w:p>
    <w:p w14:paraId="78706D4C" w14:textId="104164CE" w:rsidR="00361142" w:rsidRDefault="00361142" w:rsidP="00361142">
      <w:pPr>
        <w:ind w:left="1440" w:hanging="1440"/>
        <w:jc w:val="both"/>
        <w:rPr>
          <w:b/>
        </w:rPr>
      </w:pPr>
    </w:p>
    <w:p w14:paraId="37C4F021" w14:textId="77777777" w:rsidR="00730301" w:rsidRDefault="00730301" w:rsidP="00361142">
      <w:pPr>
        <w:ind w:left="1440" w:hanging="1440"/>
        <w:jc w:val="both"/>
        <w:rPr>
          <w:b/>
        </w:rPr>
      </w:pPr>
    </w:p>
    <w:p w14:paraId="5D533FA9" w14:textId="77777777" w:rsidR="007E6DCF" w:rsidRDefault="007E6DCF" w:rsidP="00361142">
      <w:pPr>
        <w:ind w:left="1440" w:hanging="1440"/>
        <w:jc w:val="both"/>
        <w:rPr>
          <w:b/>
        </w:rPr>
      </w:pPr>
      <w:r>
        <w:rPr>
          <w:b/>
        </w:rPr>
        <w:lastRenderedPageBreak/>
        <w:t>FUEL</w:t>
      </w:r>
    </w:p>
    <w:p w14:paraId="0C1DF46C" w14:textId="275763D6" w:rsidR="00361142" w:rsidRDefault="007E6DCF" w:rsidP="00361142">
      <w:pPr>
        <w:ind w:left="1440" w:hanging="1440"/>
        <w:jc w:val="both"/>
      </w:pPr>
      <w:r>
        <w:rPr>
          <w:b/>
        </w:rPr>
        <w:t>RETAILERS</w:t>
      </w:r>
      <w:r w:rsidR="00361142">
        <w:rPr>
          <w:b/>
        </w:rPr>
        <w:t>:</w:t>
      </w:r>
      <w:r>
        <w:rPr>
          <w:b/>
        </w:rPr>
        <w:t xml:space="preserve"> </w:t>
      </w:r>
      <w:r w:rsidR="00742505" w:rsidRPr="00A1329C">
        <w:t xml:space="preserve">No </w:t>
      </w:r>
      <w:r w:rsidR="00B33D5A">
        <w:t>p</w:t>
      </w:r>
      <w:r w:rsidR="00742505" w:rsidRPr="00A1329C">
        <w:t>osition.</w:t>
      </w:r>
    </w:p>
    <w:p w14:paraId="743697CA" w14:textId="77777777" w:rsidR="00FF772F" w:rsidRDefault="00FF772F" w:rsidP="00361142">
      <w:pPr>
        <w:ind w:left="1440" w:hanging="1440"/>
        <w:jc w:val="both"/>
      </w:pPr>
    </w:p>
    <w:p w14:paraId="6D6A284D" w14:textId="1D23E811" w:rsidR="00FF772F" w:rsidRPr="00FF772F" w:rsidRDefault="00FD408B" w:rsidP="00361142">
      <w:pPr>
        <w:ind w:left="1440" w:hanging="1440"/>
        <w:jc w:val="both"/>
        <w:rPr>
          <w:b/>
        </w:rPr>
      </w:pPr>
      <w:r>
        <w:rPr>
          <w:b/>
        </w:rPr>
        <w:t>WALMART</w:t>
      </w:r>
      <w:r w:rsidR="00FF772F">
        <w:rPr>
          <w:b/>
        </w:rPr>
        <w:t>:</w:t>
      </w:r>
      <w:r w:rsidR="00FF772F">
        <w:rPr>
          <w:b/>
        </w:rPr>
        <w:tab/>
      </w:r>
      <w:r w:rsidR="00B33D5A" w:rsidRPr="00B33D5A">
        <w:t>A</w:t>
      </w:r>
      <w:r w:rsidR="00FF772F">
        <w:t>grees with OPC.</w:t>
      </w:r>
    </w:p>
    <w:p w14:paraId="1C98FEFF" w14:textId="77777777" w:rsidR="00361142" w:rsidRPr="00701945" w:rsidRDefault="00361142" w:rsidP="00361142">
      <w:pPr>
        <w:jc w:val="both"/>
      </w:pPr>
    </w:p>
    <w:p w14:paraId="347B3B34" w14:textId="77777777" w:rsidR="00361142" w:rsidRPr="005D4B47" w:rsidRDefault="00361142" w:rsidP="00361142">
      <w:pPr>
        <w:ind w:left="1440" w:hanging="1440"/>
        <w:jc w:val="both"/>
        <w:rPr>
          <w:b/>
          <w:bCs/>
        </w:rPr>
      </w:pPr>
      <w:r>
        <w:rPr>
          <w:b/>
          <w:bCs/>
        </w:rPr>
        <w:t>STAFF:</w:t>
      </w:r>
      <w:r>
        <w:rPr>
          <w:b/>
          <w:bCs/>
        </w:rPr>
        <w:tab/>
      </w:r>
      <w:r w:rsidR="00AB600F">
        <w:t>No position at this time.</w:t>
      </w:r>
    </w:p>
    <w:p w14:paraId="769B0710" w14:textId="77777777" w:rsidR="00361142" w:rsidRDefault="00361142" w:rsidP="00C7699A">
      <w:pPr>
        <w:jc w:val="both"/>
      </w:pPr>
    </w:p>
    <w:p w14:paraId="346AF476" w14:textId="77777777" w:rsidR="00361142" w:rsidRDefault="00361142" w:rsidP="00C7699A">
      <w:pPr>
        <w:jc w:val="both"/>
      </w:pPr>
    </w:p>
    <w:p w14:paraId="06313241" w14:textId="77777777" w:rsidR="00361142" w:rsidRPr="00981376" w:rsidRDefault="00361142" w:rsidP="00361142">
      <w:pPr>
        <w:ind w:left="1440" w:hanging="1440"/>
        <w:jc w:val="both"/>
        <w:rPr>
          <w:b/>
        </w:rPr>
      </w:pPr>
      <w:r w:rsidRPr="005D4B47">
        <w:rPr>
          <w:b/>
          <w:bCs/>
        </w:rPr>
        <w:t>ISSUE 1</w:t>
      </w:r>
      <w:r w:rsidR="0003402E">
        <w:rPr>
          <w:b/>
          <w:bCs/>
        </w:rPr>
        <w:t>0</w:t>
      </w:r>
      <w:r w:rsidRPr="00701945">
        <w:rPr>
          <w:b/>
          <w:bCs/>
        </w:rPr>
        <w:t>:</w:t>
      </w:r>
      <w:r w:rsidRPr="00701945">
        <w:tab/>
      </w:r>
      <w:r w:rsidR="00981376" w:rsidRPr="00981376">
        <w:rPr>
          <w:b/>
        </w:rPr>
        <w:t>Should the current amortization of investment tax credits (ITCs) and flow back of excess deferred income taxes (EDITs) be revised to reflect the approved depreciation rates?</w:t>
      </w:r>
    </w:p>
    <w:p w14:paraId="2861A3DB" w14:textId="77777777" w:rsidR="00361142" w:rsidRPr="00701945" w:rsidRDefault="00361142" w:rsidP="00361142">
      <w:pPr>
        <w:jc w:val="both"/>
      </w:pPr>
    </w:p>
    <w:p w14:paraId="44D7E3E5" w14:textId="77777777" w:rsidR="00361142" w:rsidRPr="005D4B47" w:rsidRDefault="00361142" w:rsidP="00361142">
      <w:pPr>
        <w:ind w:left="1440" w:hanging="1440"/>
        <w:jc w:val="both"/>
      </w:pPr>
      <w:r>
        <w:rPr>
          <w:b/>
          <w:bCs/>
        </w:rPr>
        <w:t>TECO</w:t>
      </w:r>
      <w:r w:rsidRPr="005D4B47">
        <w:rPr>
          <w:b/>
          <w:bCs/>
        </w:rPr>
        <w:t>:</w:t>
      </w:r>
      <w:r w:rsidRPr="005D4B47">
        <w:tab/>
      </w:r>
      <w:r w:rsidR="00981376">
        <w:t>Yes. (Chronister, Strickland)</w:t>
      </w:r>
    </w:p>
    <w:p w14:paraId="294EB224" w14:textId="77777777" w:rsidR="00361142" w:rsidRPr="00701945" w:rsidRDefault="00361142" w:rsidP="00361142">
      <w:pPr>
        <w:jc w:val="both"/>
      </w:pPr>
    </w:p>
    <w:p w14:paraId="4B14E2C6" w14:textId="77777777" w:rsidR="00361142" w:rsidRDefault="00361142" w:rsidP="00361142">
      <w:pPr>
        <w:ind w:left="1440" w:hanging="1440"/>
        <w:jc w:val="both"/>
      </w:pPr>
      <w:r>
        <w:rPr>
          <w:b/>
          <w:bCs/>
        </w:rPr>
        <w:t>OPC</w:t>
      </w:r>
      <w:r w:rsidRPr="00701945">
        <w:rPr>
          <w:b/>
          <w:bCs/>
        </w:rPr>
        <w:t>:</w:t>
      </w:r>
      <w:r>
        <w:tab/>
      </w:r>
      <w:r w:rsidR="00A81692">
        <w:t>Yes, the ITCs and EDITs should reflect OPC’s recommendation to retain the current 35-year service life for solar assets and the 20-year service life for batteries.</w:t>
      </w:r>
    </w:p>
    <w:p w14:paraId="7B4C9BA5" w14:textId="77777777" w:rsidR="00361142" w:rsidRDefault="00361142" w:rsidP="00361142">
      <w:pPr>
        <w:ind w:left="1440" w:hanging="1440"/>
        <w:jc w:val="both"/>
      </w:pPr>
    </w:p>
    <w:p w14:paraId="44FC015A" w14:textId="77777777" w:rsidR="00361142" w:rsidRDefault="00361142" w:rsidP="00361142">
      <w:pPr>
        <w:ind w:left="1440" w:hanging="1440"/>
        <w:jc w:val="both"/>
        <w:rPr>
          <w:b/>
        </w:rPr>
      </w:pPr>
      <w:r>
        <w:rPr>
          <w:b/>
        </w:rPr>
        <w:t>FL RISING/</w:t>
      </w:r>
    </w:p>
    <w:p w14:paraId="12CCAFA4" w14:textId="77777777" w:rsidR="00361142" w:rsidRDefault="00361142" w:rsidP="00361142">
      <w:pPr>
        <w:ind w:left="1440" w:hanging="1440"/>
        <w:jc w:val="both"/>
        <w:rPr>
          <w:b/>
        </w:rPr>
      </w:pPr>
      <w:r>
        <w:rPr>
          <w:b/>
        </w:rPr>
        <w:t>LULAC:</w:t>
      </w:r>
      <w:r>
        <w:rPr>
          <w:b/>
        </w:rPr>
        <w:tab/>
      </w:r>
      <w:r w:rsidR="00C96E52" w:rsidRPr="4BAF6BAE">
        <w:t xml:space="preserve">Yes, although the </w:t>
      </w:r>
      <w:r w:rsidR="00C96E52" w:rsidRPr="241D57D3">
        <w:t xml:space="preserve">flowback of ITCs should be </w:t>
      </w:r>
      <w:r w:rsidR="00C96E52" w:rsidRPr="5ABC493A">
        <w:t>accelerated.</w:t>
      </w:r>
    </w:p>
    <w:p w14:paraId="517AE72A" w14:textId="77777777" w:rsidR="00361142" w:rsidRDefault="00361142" w:rsidP="00361142">
      <w:pPr>
        <w:ind w:left="1440" w:hanging="1440"/>
        <w:jc w:val="both"/>
        <w:rPr>
          <w:b/>
        </w:rPr>
      </w:pPr>
    </w:p>
    <w:p w14:paraId="7303261F" w14:textId="77777777" w:rsidR="00361142" w:rsidRDefault="00361142" w:rsidP="00361142">
      <w:pPr>
        <w:ind w:left="1440" w:hanging="1440"/>
        <w:jc w:val="both"/>
        <w:rPr>
          <w:b/>
        </w:rPr>
      </w:pPr>
      <w:r>
        <w:rPr>
          <w:b/>
        </w:rPr>
        <w:t>FIPUG:</w:t>
      </w:r>
      <w:r>
        <w:rPr>
          <w:b/>
        </w:rPr>
        <w:tab/>
      </w:r>
      <w:r w:rsidR="00DA1A31" w:rsidRPr="006C7A7C">
        <w:rPr>
          <w:bCs/>
        </w:rPr>
        <w:t>Yes</w:t>
      </w:r>
      <w:r w:rsidR="00DA1A31">
        <w:rPr>
          <w:bCs/>
        </w:rPr>
        <w:t>.</w:t>
      </w:r>
    </w:p>
    <w:p w14:paraId="5ADA7ABB" w14:textId="77777777" w:rsidR="00361142" w:rsidRDefault="00361142" w:rsidP="00361142">
      <w:pPr>
        <w:ind w:left="1440" w:hanging="1440"/>
        <w:jc w:val="both"/>
        <w:rPr>
          <w:b/>
        </w:rPr>
      </w:pPr>
    </w:p>
    <w:p w14:paraId="0AA3415C" w14:textId="34297F0A" w:rsidR="00361142" w:rsidRDefault="00361142" w:rsidP="00361142">
      <w:pPr>
        <w:ind w:left="1440" w:hanging="1440"/>
        <w:jc w:val="both"/>
        <w:rPr>
          <w:b/>
        </w:rPr>
      </w:pPr>
      <w:r>
        <w:rPr>
          <w:b/>
        </w:rPr>
        <w:t>FEA:</w:t>
      </w:r>
      <w:r>
        <w:rPr>
          <w:b/>
        </w:rPr>
        <w:tab/>
      </w:r>
      <w:r w:rsidR="00390EC6">
        <w:t>No position.</w:t>
      </w:r>
    </w:p>
    <w:p w14:paraId="340F2FB4" w14:textId="77777777" w:rsidR="00361142" w:rsidRDefault="00361142" w:rsidP="00361142">
      <w:pPr>
        <w:ind w:left="1440" w:hanging="1440"/>
        <w:jc w:val="both"/>
        <w:rPr>
          <w:b/>
        </w:rPr>
      </w:pPr>
    </w:p>
    <w:p w14:paraId="21E40320" w14:textId="77777777" w:rsidR="007E6DCF" w:rsidRDefault="00361142" w:rsidP="00361142">
      <w:pPr>
        <w:ind w:left="1440" w:hanging="1440"/>
        <w:jc w:val="both"/>
        <w:rPr>
          <w:b/>
        </w:rPr>
      </w:pPr>
      <w:r>
        <w:rPr>
          <w:b/>
        </w:rPr>
        <w:t>SIERRA</w:t>
      </w:r>
    </w:p>
    <w:p w14:paraId="45A5D898" w14:textId="0CAABB0D" w:rsidR="00361142" w:rsidRDefault="007E6DCF" w:rsidP="00361142">
      <w:pPr>
        <w:ind w:left="1440" w:hanging="1440"/>
        <w:jc w:val="both"/>
        <w:rPr>
          <w:b/>
        </w:rPr>
      </w:pPr>
      <w:r>
        <w:rPr>
          <w:b/>
        </w:rPr>
        <w:t>CLUB</w:t>
      </w:r>
      <w:r w:rsidR="00361142">
        <w:rPr>
          <w:b/>
        </w:rPr>
        <w:t>:</w:t>
      </w:r>
      <w:r w:rsidR="00361142">
        <w:rPr>
          <w:b/>
        </w:rPr>
        <w:tab/>
      </w:r>
      <w:r w:rsidR="00390EC6">
        <w:t xml:space="preserve">No </w:t>
      </w:r>
      <w:r w:rsidR="0049497E" w:rsidRPr="001E3193">
        <w:t>position.</w:t>
      </w:r>
    </w:p>
    <w:p w14:paraId="06730EA6" w14:textId="77777777" w:rsidR="00361142" w:rsidRDefault="00361142" w:rsidP="00361142">
      <w:pPr>
        <w:ind w:left="1440" w:hanging="1440"/>
        <w:jc w:val="both"/>
        <w:rPr>
          <w:b/>
        </w:rPr>
      </w:pPr>
    </w:p>
    <w:p w14:paraId="0705981A" w14:textId="655BDE75" w:rsidR="00361142" w:rsidRDefault="00361142" w:rsidP="00361142">
      <w:pPr>
        <w:ind w:left="1440" w:hanging="1440"/>
        <w:jc w:val="both"/>
        <w:rPr>
          <w:b/>
        </w:rPr>
      </w:pPr>
      <w:r>
        <w:rPr>
          <w:b/>
        </w:rPr>
        <w:t>FRF:</w:t>
      </w:r>
      <w:r>
        <w:rPr>
          <w:b/>
        </w:rPr>
        <w:tab/>
      </w:r>
      <w:r w:rsidR="0054177F">
        <w:t>Agree</w:t>
      </w:r>
      <w:r w:rsidR="00723350">
        <w:t>s</w:t>
      </w:r>
      <w:r w:rsidR="0054177F">
        <w:t xml:space="preserve"> with OPC.</w:t>
      </w:r>
    </w:p>
    <w:p w14:paraId="7CA8CDD8" w14:textId="77777777" w:rsidR="00361142" w:rsidRDefault="00361142" w:rsidP="00361142">
      <w:pPr>
        <w:ind w:left="1440" w:hanging="1440"/>
        <w:jc w:val="both"/>
        <w:rPr>
          <w:b/>
        </w:rPr>
      </w:pPr>
    </w:p>
    <w:p w14:paraId="712699A3" w14:textId="77777777" w:rsidR="007E6DCF" w:rsidRDefault="007E6DCF" w:rsidP="00361142">
      <w:pPr>
        <w:ind w:left="1440" w:hanging="1440"/>
        <w:jc w:val="both"/>
        <w:rPr>
          <w:b/>
        </w:rPr>
      </w:pPr>
      <w:r>
        <w:rPr>
          <w:b/>
        </w:rPr>
        <w:t>FUEL</w:t>
      </w:r>
    </w:p>
    <w:p w14:paraId="72EDE4B5" w14:textId="59E88BB5" w:rsidR="00361142" w:rsidRDefault="007E6DCF" w:rsidP="00361142">
      <w:pPr>
        <w:ind w:left="1440" w:hanging="1440"/>
        <w:jc w:val="both"/>
      </w:pPr>
      <w:r>
        <w:rPr>
          <w:b/>
        </w:rPr>
        <w:t>RETAILERS</w:t>
      </w:r>
      <w:r w:rsidR="00361142">
        <w:rPr>
          <w:b/>
        </w:rPr>
        <w:t>:</w:t>
      </w:r>
      <w:r>
        <w:rPr>
          <w:b/>
        </w:rPr>
        <w:t xml:space="preserve"> </w:t>
      </w:r>
      <w:r w:rsidR="00742505" w:rsidRPr="00A1329C">
        <w:t xml:space="preserve">No </w:t>
      </w:r>
      <w:r w:rsidR="0056184E">
        <w:t>p</w:t>
      </w:r>
      <w:r w:rsidR="00742505" w:rsidRPr="00A1329C">
        <w:t>osition.</w:t>
      </w:r>
    </w:p>
    <w:p w14:paraId="2B6BDCBB" w14:textId="77777777" w:rsidR="00FF772F" w:rsidRDefault="00FF772F" w:rsidP="00361142">
      <w:pPr>
        <w:ind w:left="1440" w:hanging="1440"/>
        <w:jc w:val="both"/>
      </w:pPr>
    </w:p>
    <w:p w14:paraId="63FFB7D7" w14:textId="080DDE50" w:rsidR="00FF772F" w:rsidRPr="00FF772F" w:rsidRDefault="00FD408B" w:rsidP="00361142">
      <w:pPr>
        <w:ind w:left="1440" w:hanging="1440"/>
        <w:jc w:val="both"/>
        <w:rPr>
          <w:b/>
        </w:rPr>
      </w:pPr>
      <w:r>
        <w:rPr>
          <w:b/>
        </w:rPr>
        <w:t>WALMART</w:t>
      </w:r>
      <w:r w:rsidR="00FF772F">
        <w:rPr>
          <w:b/>
        </w:rPr>
        <w:t>:</w:t>
      </w:r>
      <w:r w:rsidR="00FF772F">
        <w:rPr>
          <w:b/>
        </w:rPr>
        <w:tab/>
      </w:r>
      <w:r w:rsidR="00723350" w:rsidRPr="00723350">
        <w:t>A</w:t>
      </w:r>
      <w:r w:rsidR="00FF772F">
        <w:t>grees with OPC.</w:t>
      </w:r>
    </w:p>
    <w:p w14:paraId="643C9F00" w14:textId="77777777" w:rsidR="00361142" w:rsidRPr="00701945" w:rsidRDefault="00361142" w:rsidP="00361142">
      <w:pPr>
        <w:jc w:val="both"/>
      </w:pPr>
    </w:p>
    <w:p w14:paraId="04ACB26C" w14:textId="711171A6" w:rsidR="00361142" w:rsidRDefault="00361142" w:rsidP="00361142">
      <w:pPr>
        <w:ind w:left="1440" w:hanging="1440"/>
        <w:jc w:val="both"/>
      </w:pPr>
      <w:r>
        <w:rPr>
          <w:b/>
          <w:bCs/>
        </w:rPr>
        <w:t>STAFF:</w:t>
      </w:r>
      <w:r>
        <w:rPr>
          <w:b/>
          <w:bCs/>
        </w:rPr>
        <w:tab/>
      </w:r>
      <w:r w:rsidR="00AB600F">
        <w:t>No position at this time.</w:t>
      </w:r>
    </w:p>
    <w:p w14:paraId="4541ED35" w14:textId="18A1C02A" w:rsidR="00C7298B" w:rsidRDefault="00C7298B" w:rsidP="00361142">
      <w:pPr>
        <w:ind w:left="1440" w:hanging="1440"/>
        <w:jc w:val="both"/>
        <w:rPr>
          <w:b/>
          <w:bCs/>
        </w:rPr>
      </w:pPr>
    </w:p>
    <w:p w14:paraId="1055DC8F" w14:textId="77777777" w:rsidR="0018657E" w:rsidRPr="005D4B47" w:rsidRDefault="0018657E" w:rsidP="00361142">
      <w:pPr>
        <w:ind w:left="1440" w:hanging="1440"/>
        <w:jc w:val="both"/>
        <w:rPr>
          <w:b/>
          <w:bCs/>
        </w:rPr>
      </w:pPr>
    </w:p>
    <w:p w14:paraId="57237E45" w14:textId="77777777" w:rsidR="00361142" w:rsidRPr="00981376" w:rsidRDefault="00361142" w:rsidP="00361142">
      <w:pPr>
        <w:ind w:left="1440" w:hanging="1440"/>
        <w:jc w:val="both"/>
        <w:rPr>
          <w:b/>
        </w:rPr>
      </w:pPr>
      <w:r w:rsidRPr="005D4B47">
        <w:rPr>
          <w:b/>
          <w:bCs/>
        </w:rPr>
        <w:t>ISSUE 1</w:t>
      </w:r>
      <w:r w:rsidR="0003402E">
        <w:rPr>
          <w:b/>
          <w:bCs/>
        </w:rPr>
        <w:t>1</w:t>
      </w:r>
      <w:r w:rsidRPr="00701945">
        <w:rPr>
          <w:b/>
          <w:bCs/>
        </w:rPr>
        <w:t>:</w:t>
      </w:r>
      <w:r w:rsidRPr="00701945">
        <w:tab/>
      </w:r>
      <w:r w:rsidR="00981376" w:rsidRPr="00981376">
        <w:rPr>
          <w:b/>
        </w:rPr>
        <w:t>What annual accrual for dismantlement should be approved?</w:t>
      </w:r>
    </w:p>
    <w:p w14:paraId="07B0055F" w14:textId="77777777" w:rsidR="00361142" w:rsidRPr="00701945" w:rsidRDefault="00361142" w:rsidP="00361142">
      <w:pPr>
        <w:jc w:val="both"/>
      </w:pPr>
    </w:p>
    <w:p w14:paraId="06CABAFF" w14:textId="77777777" w:rsidR="00361142" w:rsidRPr="005D4B47" w:rsidRDefault="00361142" w:rsidP="00361142">
      <w:pPr>
        <w:ind w:left="1440" w:hanging="1440"/>
        <w:jc w:val="both"/>
      </w:pPr>
      <w:r>
        <w:rPr>
          <w:b/>
          <w:bCs/>
        </w:rPr>
        <w:t>TECO</w:t>
      </w:r>
      <w:r w:rsidRPr="005D4B47">
        <w:rPr>
          <w:b/>
          <w:bCs/>
        </w:rPr>
        <w:t>:</w:t>
      </w:r>
      <w:r w:rsidRPr="005D4B47">
        <w:tab/>
      </w:r>
      <w:r w:rsidR="00981376">
        <w:t>$17,442,392 effective January 1, 2025. This amount was calculated in accordance with Rule 25-6.04364, F.A.C., and properly considers escalation of costs, environmental remediation costs, and contingencies. (Chronister, Kopp)</w:t>
      </w:r>
    </w:p>
    <w:p w14:paraId="2A7485EE" w14:textId="77777777" w:rsidR="00361142" w:rsidRPr="00701945" w:rsidRDefault="00361142" w:rsidP="00361142">
      <w:pPr>
        <w:jc w:val="both"/>
      </w:pPr>
    </w:p>
    <w:p w14:paraId="5342C544" w14:textId="664DE7E2" w:rsidR="00361142" w:rsidRDefault="00361142" w:rsidP="00361142">
      <w:pPr>
        <w:ind w:left="1440" w:hanging="1440"/>
        <w:jc w:val="both"/>
      </w:pPr>
      <w:r>
        <w:rPr>
          <w:b/>
          <w:bCs/>
        </w:rPr>
        <w:lastRenderedPageBreak/>
        <w:t>OPC</w:t>
      </w:r>
      <w:r w:rsidRPr="00701945">
        <w:rPr>
          <w:b/>
          <w:bCs/>
        </w:rPr>
        <w:t>:</w:t>
      </w:r>
      <w:r>
        <w:tab/>
      </w:r>
      <w:r w:rsidR="00A81692">
        <w:t>The annual accrual for dismantlement should exclude the cost and expense escalations after the end of the test year for dismantlement which reduces revenue requirement by $7.110 million. The dismantlement expense also should be reduced by $2.614 million to remove the solar site restoration environmental costs. Further, the dismantlement cost should be reduced by $0.955 million with the continuation of the currently approved 35-year service life for solar as recommend by OPC.</w:t>
      </w:r>
    </w:p>
    <w:p w14:paraId="43969852" w14:textId="77777777" w:rsidR="00361142" w:rsidRDefault="00361142" w:rsidP="00361142">
      <w:pPr>
        <w:ind w:left="1440" w:hanging="1440"/>
        <w:jc w:val="both"/>
      </w:pPr>
    </w:p>
    <w:p w14:paraId="035E5ABC" w14:textId="77777777" w:rsidR="00361142" w:rsidRDefault="00361142" w:rsidP="00361142">
      <w:pPr>
        <w:ind w:left="1440" w:hanging="1440"/>
        <w:jc w:val="both"/>
        <w:rPr>
          <w:b/>
        </w:rPr>
      </w:pPr>
      <w:r>
        <w:rPr>
          <w:b/>
        </w:rPr>
        <w:t>FL RISING/</w:t>
      </w:r>
    </w:p>
    <w:p w14:paraId="55CB82B6" w14:textId="77777777" w:rsidR="00361142" w:rsidRDefault="00361142" w:rsidP="00361142">
      <w:pPr>
        <w:ind w:left="1440" w:hanging="1440"/>
        <w:jc w:val="both"/>
        <w:rPr>
          <w:b/>
        </w:rPr>
      </w:pPr>
      <w:r>
        <w:rPr>
          <w:b/>
        </w:rPr>
        <w:t>LULAC:</w:t>
      </w:r>
      <w:r>
        <w:rPr>
          <w:b/>
        </w:rPr>
        <w:tab/>
      </w:r>
      <w:r w:rsidR="00C96E52" w:rsidRPr="2D6647D4">
        <w:t>$10,325,056</w:t>
      </w:r>
      <w:r w:rsidR="00C96E52" w:rsidRPr="56DD74F7">
        <w:t xml:space="preserve"> (Kollen</w:t>
      </w:r>
      <w:r w:rsidR="00C96E52" w:rsidRPr="1DB38920">
        <w:t>),</w:t>
      </w:r>
      <w:r w:rsidR="00C96E52" w:rsidRPr="36BD7B9E">
        <w:t xml:space="preserve"> </w:t>
      </w:r>
      <w:r w:rsidR="00C96E52" w:rsidRPr="4939E368">
        <w:t xml:space="preserve">adjusted to </w:t>
      </w:r>
      <w:r w:rsidR="00C96E52" w:rsidRPr="3958635A">
        <w:t xml:space="preserve">reflect removal of </w:t>
      </w:r>
      <w:r w:rsidR="00C96E52" w:rsidRPr="2B3BCBD8">
        <w:t>projects that should be</w:t>
      </w:r>
      <w:r w:rsidR="00C96E52" w:rsidRPr="0C00E32A">
        <w:t xml:space="preserve"> disallowed as per the </w:t>
      </w:r>
      <w:r w:rsidR="00C96E52" w:rsidRPr="12E735B7">
        <w:t>other issues.</w:t>
      </w:r>
    </w:p>
    <w:p w14:paraId="7B626498" w14:textId="77777777" w:rsidR="00361142" w:rsidRDefault="00361142" w:rsidP="00361142">
      <w:pPr>
        <w:ind w:left="1440" w:hanging="1440"/>
        <w:jc w:val="both"/>
        <w:rPr>
          <w:b/>
        </w:rPr>
      </w:pPr>
    </w:p>
    <w:p w14:paraId="08BA0B51" w14:textId="37275EDF" w:rsidR="00361142" w:rsidRDefault="00361142" w:rsidP="00361142">
      <w:pPr>
        <w:ind w:left="1440" w:hanging="1440"/>
        <w:jc w:val="both"/>
        <w:rPr>
          <w:b/>
        </w:rPr>
      </w:pPr>
      <w:r>
        <w:rPr>
          <w:b/>
        </w:rPr>
        <w:t>FIPUG:</w:t>
      </w:r>
      <w:r>
        <w:rPr>
          <w:b/>
        </w:rPr>
        <w:tab/>
      </w:r>
      <w:r w:rsidR="00DA1A31">
        <w:rPr>
          <w:bCs/>
        </w:rPr>
        <w:t>Adopt</w:t>
      </w:r>
      <w:r w:rsidR="00775C69">
        <w:rPr>
          <w:bCs/>
        </w:rPr>
        <w:t>s</w:t>
      </w:r>
      <w:r w:rsidR="00DA1A31">
        <w:rPr>
          <w:bCs/>
        </w:rPr>
        <w:t xml:space="preserve"> the position of OPC.</w:t>
      </w:r>
    </w:p>
    <w:p w14:paraId="6450CBB6" w14:textId="77777777" w:rsidR="00361142" w:rsidRDefault="00361142" w:rsidP="00361142">
      <w:pPr>
        <w:ind w:left="1440" w:hanging="1440"/>
        <w:jc w:val="both"/>
        <w:rPr>
          <w:b/>
        </w:rPr>
      </w:pPr>
    </w:p>
    <w:p w14:paraId="0AA3E22F" w14:textId="520D74C3" w:rsidR="00361142" w:rsidRDefault="00361142" w:rsidP="00361142">
      <w:pPr>
        <w:ind w:left="1440" w:hanging="1440"/>
        <w:jc w:val="both"/>
        <w:rPr>
          <w:b/>
        </w:rPr>
      </w:pPr>
      <w:r>
        <w:rPr>
          <w:b/>
        </w:rPr>
        <w:t>FEA:</w:t>
      </w:r>
      <w:r>
        <w:rPr>
          <w:b/>
        </w:rPr>
        <w:tab/>
      </w:r>
      <w:r w:rsidR="00283D26">
        <w:t>No position.</w:t>
      </w:r>
    </w:p>
    <w:p w14:paraId="4C28C91D" w14:textId="77777777" w:rsidR="00361142" w:rsidRDefault="00361142" w:rsidP="00361142">
      <w:pPr>
        <w:ind w:left="1440" w:hanging="1440"/>
        <w:jc w:val="both"/>
        <w:rPr>
          <w:b/>
        </w:rPr>
      </w:pPr>
    </w:p>
    <w:p w14:paraId="1B252B43" w14:textId="77777777" w:rsidR="007E6DCF" w:rsidRDefault="00361142" w:rsidP="00361142">
      <w:pPr>
        <w:ind w:left="1440" w:hanging="1440"/>
        <w:jc w:val="both"/>
        <w:rPr>
          <w:b/>
        </w:rPr>
      </w:pPr>
      <w:r>
        <w:rPr>
          <w:b/>
        </w:rPr>
        <w:t>SIERRA</w:t>
      </w:r>
    </w:p>
    <w:p w14:paraId="53B84589" w14:textId="396C541E" w:rsidR="00361142" w:rsidRDefault="007E6DCF" w:rsidP="00361142">
      <w:pPr>
        <w:ind w:left="1440" w:hanging="1440"/>
        <w:jc w:val="both"/>
        <w:rPr>
          <w:b/>
        </w:rPr>
      </w:pPr>
      <w:r>
        <w:rPr>
          <w:b/>
        </w:rPr>
        <w:t>CLUB</w:t>
      </w:r>
      <w:r w:rsidR="00361142">
        <w:rPr>
          <w:b/>
        </w:rPr>
        <w:t>:</w:t>
      </w:r>
      <w:r w:rsidR="00361142">
        <w:rPr>
          <w:b/>
        </w:rPr>
        <w:tab/>
      </w:r>
      <w:r w:rsidR="00283D26">
        <w:t>No position.</w:t>
      </w:r>
    </w:p>
    <w:p w14:paraId="5F50771A" w14:textId="77777777" w:rsidR="00361142" w:rsidRDefault="00361142" w:rsidP="00361142">
      <w:pPr>
        <w:ind w:left="1440" w:hanging="1440"/>
        <w:jc w:val="both"/>
        <w:rPr>
          <w:b/>
        </w:rPr>
      </w:pPr>
    </w:p>
    <w:p w14:paraId="2CF61496" w14:textId="04BFF03F" w:rsidR="00361142" w:rsidRDefault="00361142" w:rsidP="00361142">
      <w:pPr>
        <w:ind w:left="1440" w:hanging="1440"/>
        <w:jc w:val="both"/>
        <w:rPr>
          <w:b/>
        </w:rPr>
      </w:pPr>
      <w:r>
        <w:rPr>
          <w:b/>
        </w:rPr>
        <w:t>FRF:</w:t>
      </w:r>
      <w:r>
        <w:rPr>
          <w:b/>
        </w:rPr>
        <w:tab/>
      </w:r>
      <w:r w:rsidR="0054177F">
        <w:t>Agree</w:t>
      </w:r>
      <w:r w:rsidR="00283D26">
        <w:t>s</w:t>
      </w:r>
      <w:r w:rsidR="0054177F">
        <w:t xml:space="preserve"> with OPC.</w:t>
      </w:r>
    </w:p>
    <w:p w14:paraId="778086CC" w14:textId="77777777" w:rsidR="00361142" w:rsidRDefault="00361142" w:rsidP="00361142">
      <w:pPr>
        <w:ind w:left="1440" w:hanging="1440"/>
        <w:jc w:val="both"/>
        <w:rPr>
          <w:b/>
        </w:rPr>
      </w:pPr>
    </w:p>
    <w:p w14:paraId="6AAED3B8" w14:textId="77777777" w:rsidR="007E6DCF" w:rsidRDefault="007E6DCF" w:rsidP="00361142">
      <w:pPr>
        <w:ind w:left="1440" w:hanging="1440"/>
        <w:jc w:val="both"/>
        <w:rPr>
          <w:b/>
        </w:rPr>
      </w:pPr>
      <w:r>
        <w:rPr>
          <w:b/>
        </w:rPr>
        <w:t>FUEL</w:t>
      </w:r>
    </w:p>
    <w:p w14:paraId="18C024D1" w14:textId="37FD0213" w:rsidR="00361142" w:rsidRDefault="007E6DCF" w:rsidP="00361142">
      <w:pPr>
        <w:ind w:left="1440" w:hanging="1440"/>
        <w:jc w:val="both"/>
      </w:pPr>
      <w:r>
        <w:rPr>
          <w:b/>
        </w:rPr>
        <w:t>RETAILERS</w:t>
      </w:r>
      <w:r w:rsidR="00361142">
        <w:rPr>
          <w:b/>
        </w:rPr>
        <w:t>:</w:t>
      </w:r>
      <w:r>
        <w:rPr>
          <w:b/>
        </w:rPr>
        <w:t xml:space="preserve"> </w:t>
      </w:r>
      <w:r w:rsidR="00742505" w:rsidRPr="00A1329C">
        <w:t xml:space="preserve">No </w:t>
      </w:r>
      <w:r w:rsidR="00283D26">
        <w:t>p</w:t>
      </w:r>
      <w:r w:rsidR="00742505" w:rsidRPr="00A1329C">
        <w:t>osition.</w:t>
      </w:r>
    </w:p>
    <w:p w14:paraId="1E511E33" w14:textId="77777777" w:rsidR="00FF772F" w:rsidRDefault="00FF772F" w:rsidP="00361142">
      <w:pPr>
        <w:ind w:left="1440" w:hanging="1440"/>
        <w:jc w:val="both"/>
      </w:pPr>
    </w:p>
    <w:p w14:paraId="29004DD1" w14:textId="48A57D39" w:rsidR="00FF772F" w:rsidRPr="00FF772F" w:rsidRDefault="007E6DCF" w:rsidP="00361142">
      <w:pPr>
        <w:ind w:left="1440" w:hanging="1440"/>
        <w:jc w:val="both"/>
        <w:rPr>
          <w:b/>
        </w:rPr>
      </w:pPr>
      <w:r>
        <w:rPr>
          <w:b/>
        </w:rPr>
        <w:t>WALMART</w:t>
      </w:r>
      <w:r w:rsidR="00FF772F">
        <w:rPr>
          <w:b/>
        </w:rPr>
        <w:t>:</w:t>
      </w:r>
      <w:r w:rsidR="00FF772F">
        <w:rPr>
          <w:b/>
        </w:rPr>
        <w:tab/>
      </w:r>
      <w:r w:rsidR="00283D26">
        <w:t>A</w:t>
      </w:r>
      <w:r w:rsidR="00FF772F">
        <w:t>grees with OPC.</w:t>
      </w:r>
    </w:p>
    <w:p w14:paraId="0BB602C0" w14:textId="77777777" w:rsidR="00361142" w:rsidRPr="00701945" w:rsidRDefault="00361142" w:rsidP="00361142">
      <w:pPr>
        <w:jc w:val="both"/>
      </w:pPr>
    </w:p>
    <w:p w14:paraId="60943F96" w14:textId="77777777" w:rsidR="00361142" w:rsidRPr="005D4B47" w:rsidRDefault="00361142" w:rsidP="00361142">
      <w:pPr>
        <w:ind w:left="1440" w:hanging="1440"/>
        <w:jc w:val="both"/>
        <w:rPr>
          <w:b/>
          <w:bCs/>
        </w:rPr>
      </w:pPr>
      <w:r>
        <w:rPr>
          <w:b/>
          <w:bCs/>
        </w:rPr>
        <w:t>STAFF:</w:t>
      </w:r>
      <w:r>
        <w:rPr>
          <w:b/>
          <w:bCs/>
        </w:rPr>
        <w:tab/>
      </w:r>
      <w:r w:rsidR="00AB600F">
        <w:t>No position at this time.</w:t>
      </w:r>
    </w:p>
    <w:p w14:paraId="32585468" w14:textId="77777777" w:rsidR="00361142" w:rsidRDefault="00361142" w:rsidP="00C7699A">
      <w:pPr>
        <w:jc w:val="both"/>
      </w:pPr>
    </w:p>
    <w:p w14:paraId="01AAD760" w14:textId="77777777" w:rsidR="0003402E" w:rsidRDefault="0003402E" w:rsidP="00C7699A">
      <w:pPr>
        <w:jc w:val="both"/>
      </w:pPr>
    </w:p>
    <w:p w14:paraId="12153D31" w14:textId="77777777" w:rsidR="0003402E" w:rsidRPr="00981376" w:rsidRDefault="0003402E" w:rsidP="0003402E">
      <w:pPr>
        <w:ind w:left="1440" w:hanging="1440"/>
        <w:jc w:val="both"/>
        <w:rPr>
          <w:b/>
        </w:rPr>
      </w:pPr>
      <w:r w:rsidRPr="005D4B47">
        <w:rPr>
          <w:b/>
          <w:bCs/>
        </w:rPr>
        <w:t>ISSUE 1</w:t>
      </w:r>
      <w:r>
        <w:rPr>
          <w:b/>
          <w:bCs/>
        </w:rPr>
        <w:t>2</w:t>
      </w:r>
      <w:r w:rsidRPr="00701945">
        <w:rPr>
          <w:b/>
          <w:bCs/>
        </w:rPr>
        <w:t>:</w:t>
      </w:r>
      <w:r w:rsidRPr="00701945">
        <w:tab/>
      </w:r>
      <w:r w:rsidR="00981376" w:rsidRPr="00981376">
        <w:rPr>
          <w:b/>
        </w:rPr>
        <w:t>What, if any, corrective dismantlement reserve measures should be approved?</w:t>
      </w:r>
    </w:p>
    <w:p w14:paraId="53D946EF" w14:textId="77777777" w:rsidR="0003402E" w:rsidRPr="00701945" w:rsidRDefault="0003402E" w:rsidP="0003402E">
      <w:pPr>
        <w:jc w:val="both"/>
      </w:pPr>
    </w:p>
    <w:p w14:paraId="51833044" w14:textId="77777777" w:rsidR="0003402E" w:rsidRPr="005D4B47" w:rsidRDefault="0003402E" w:rsidP="0003402E">
      <w:pPr>
        <w:ind w:left="1440" w:hanging="1440"/>
        <w:jc w:val="both"/>
      </w:pPr>
      <w:r>
        <w:rPr>
          <w:b/>
          <w:bCs/>
        </w:rPr>
        <w:t>TECO</w:t>
      </w:r>
      <w:r w:rsidRPr="005D4B47">
        <w:rPr>
          <w:b/>
          <w:bCs/>
        </w:rPr>
        <w:t>:</w:t>
      </w:r>
      <w:r w:rsidRPr="005D4B47">
        <w:tab/>
      </w:r>
      <w:r w:rsidR="00981376" w:rsidRPr="00650CD0">
        <w:t>None.</w:t>
      </w:r>
      <w:r w:rsidR="00981376">
        <w:t xml:space="preserve"> (Chronister)</w:t>
      </w:r>
    </w:p>
    <w:p w14:paraId="30DF7AB1" w14:textId="77777777" w:rsidR="0003402E" w:rsidRPr="00701945" w:rsidRDefault="0003402E" w:rsidP="0003402E">
      <w:pPr>
        <w:jc w:val="both"/>
      </w:pPr>
    </w:p>
    <w:p w14:paraId="0872B7EA" w14:textId="0DE9F7DE" w:rsidR="0003402E" w:rsidRDefault="0003402E" w:rsidP="0003402E">
      <w:pPr>
        <w:ind w:left="1440" w:hanging="1440"/>
        <w:jc w:val="both"/>
      </w:pPr>
      <w:r>
        <w:rPr>
          <w:b/>
          <w:bCs/>
        </w:rPr>
        <w:t>OPC</w:t>
      </w:r>
      <w:r w:rsidRPr="00701945">
        <w:rPr>
          <w:b/>
          <w:bCs/>
        </w:rPr>
        <w:t>:</w:t>
      </w:r>
      <w:r>
        <w:tab/>
      </w:r>
      <w:r w:rsidR="00A81692">
        <w:t>All imbalances should be flowed back over the useful lives of the assets in this case.</w:t>
      </w:r>
    </w:p>
    <w:p w14:paraId="63D6C029" w14:textId="77777777" w:rsidR="0038144B" w:rsidRDefault="0038144B" w:rsidP="0003402E">
      <w:pPr>
        <w:ind w:left="1440" w:hanging="1440"/>
        <w:jc w:val="both"/>
      </w:pPr>
    </w:p>
    <w:p w14:paraId="6D70D8B8" w14:textId="77777777" w:rsidR="0003402E" w:rsidRDefault="0003402E" w:rsidP="0003402E">
      <w:pPr>
        <w:ind w:left="1440" w:hanging="1440"/>
        <w:jc w:val="both"/>
        <w:rPr>
          <w:b/>
        </w:rPr>
      </w:pPr>
      <w:r>
        <w:rPr>
          <w:b/>
        </w:rPr>
        <w:t>FL RISING/</w:t>
      </w:r>
    </w:p>
    <w:p w14:paraId="1D36F5EB" w14:textId="77777777" w:rsidR="0003402E" w:rsidRDefault="0003402E" w:rsidP="0003402E">
      <w:pPr>
        <w:ind w:left="1440" w:hanging="1440"/>
        <w:jc w:val="both"/>
        <w:rPr>
          <w:b/>
        </w:rPr>
      </w:pPr>
      <w:r>
        <w:rPr>
          <w:b/>
        </w:rPr>
        <w:t>LULAC:</w:t>
      </w:r>
      <w:r>
        <w:rPr>
          <w:b/>
        </w:rPr>
        <w:tab/>
      </w:r>
      <w:r w:rsidR="00C96E52" w:rsidRPr="7CDD8771">
        <w:t xml:space="preserve">The Commission </w:t>
      </w:r>
      <w:r w:rsidR="00C96E52" w:rsidRPr="66F7A243">
        <w:t>should</w:t>
      </w:r>
      <w:r w:rsidR="00C96E52" w:rsidRPr="0ADB6DE5">
        <w:t xml:space="preserve"> limit the dismantlement expense to costs escalated only</w:t>
      </w:r>
      <w:r w:rsidR="00C96E52">
        <w:t xml:space="preserve"> </w:t>
      </w:r>
      <w:r w:rsidR="00C96E52" w:rsidRPr="0ADB6DE5">
        <w:t>through the test year and exclude all forecast growth in the dismantlement cost</w:t>
      </w:r>
      <w:r w:rsidR="00C96E52">
        <w:t xml:space="preserve"> </w:t>
      </w:r>
      <w:r w:rsidR="00C96E52" w:rsidRPr="0ADB6DE5">
        <w:t>and</w:t>
      </w:r>
      <w:r w:rsidR="00C96E52">
        <w:t xml:space="preserve"> </w:t>
      </w:r>
      <w:r w:rsidR="00C96E52" w:rsidRPr="0ADB6DE5">
        <w:t>expense beyond the end of the test year.</w:t>
      </w:r>
      <w:r w:rsidR="00C96E52" w:rsidRPr="65E28C85">
        <w:t xml:space="preserve"> </w:t>
      </w:r>
      <w:r w:rsidR="00C96E52" w:rsidRPr="786AA710">
        <w:t>(Kollen)</w:t>
      </w:r>
    </w:p>
    <w:p w14:paraId="60850193" w14:textId="77777777" w:rsidR="0003402E" w:rsidRDefault="0003402E" w:rsidP="0003402E">
      <w:pPr>
        <w:ind w:left="1440" w:hanging="1440"/>
        <w:jc w:val="both"/>
        <w:rPr>
          <w:b/>
        </w:rPr>
      </w:pPr>
    </w:p>
    <w:p w14:paraId="699A4FFF" w14:textId="182DB1F4" w:rsidR="0003402E" w:rsidRDefault="0003402E" w:rsidP="0003402E">
      <w:pPr>
        <w:ind w:left="1440" w:hanging="1440"/>
        <w:jc w:val="both"/>
        <w:rPr>
          <w:b/>
        </w:rPr>
      </w:pPr>
      <w:r>
        <w:rPr>
          <w:b/>
        </w:rPr>
        <w:t>FIPUG:</w:t>
      </w:r>
      <w:r>
        <w:rPr>
          <w:b/>
        </w:rPr>
        <w:tab/>
      </w:r>
      <w:r w:rsidR="00DA1A31">
        <w:rPr>
          <w:bCs/>
        </w:rPr>
        <w:t>Adopt</w:t>
      </w:r>
      <w:r w:rsidR="00B80E96">
        <w:rPr>
          <w:bCs/>
        </w:rPr>
        <w:t>s</w:t>
      </w:r>
      <w:r w:rsidR="00DA1A31">
        <w:rPr>
          <w:bCs/>
        </w:rPr>
        <w:t xml:space="preserve"> the position of OPC.</w:t>
      </w:r>
    </w:p>
    <w:p w14:paraId="5FFBE38B" w14:textId="77777777" w:rsidR="0003402E" w:rsidRDefault="0003402E" w:rsidP="0003402E">
      <w:pPr>
        <w:ind w:left="1440" w:hanging="1440"/>
        <w:jc w:val="both"/>
        <w:rPr>
          <w:b/>
        </w:rPr>
      </w:pPr>
    </w:p>
    <w:p w14:paraId="5D5539A4" w14:textId="2574CBD7" w:rsidR="0003402E" w:rsidRDefault="0003402E" w:rsidP="0003402E">
      <w:pPr>
        <w:ind w:left="1440" w:hanging="1440"/>
        <w:jc w:val="both"/>
        <w:rPr>
          <w:b/>
        </w:rPr>
      </w:pPr>
      <w:r>
        <w:rPr>
          <w:b/>
        </w:rPr>
        <w:t>FEA:</w:t>
      </w:r>
      <w:r>
        <w:rPr>
          <w:b/>
        </w:rPr>
        <w:tab/>
      </w:r>
      <w:r w:rsidR="00B80E96">
        <w:t>No position.</w:t>
      </w:r>
    </w:p>
    <w:p w14:paraId="10E987CC" w14:textId="77777777" w:rsidR="007E6DCF" w:rsidRDefault="0003402E" w:rsidP="0003402E">
      <w:pPr>
        <w:ind w:left="1440" w:hanging="1440"/>
        <w:jc w:val="both"/>
        <w:rPr>
          <w:b/>
        </w:rPr>
      </w:pPr>
      <w:r>
        <w:rPr>
          <w:b/>
        </w:rPr>
        <w:lastRenderedPageBreak/>
        <w:t>SIERRA</w:t>
      </w:r>
    </w:p>
    <w:p w14:paraId="3FF373C4" w14:textId="7614B6D8" w:rsidR="0003402E" w:rsidRDefault="007E6DCF" w:rsidP="0003402E">
      <w:pPr>
        <w:ind w:left="1440" w:hanging="1440"/>
        <w:jc w:val="both"/>
        <w:rPr>
          <w:b/>
        </w:rPr>
      </w:pPr>
      <w:r>
        <w:rPr>
          <w:b/>
        </w:rPr>
        <w:t>CLUB</w:t>
      </w:r>
      <w:r w:rsidR="0003402E">
        <w:rPr>
          <w:b/>
        </w:rPr>
        <w:t>:</w:t>
      </w:r>
      <w:r w:rsidR="0003402E">
        <w:rPr>
          <w:b/>
        </w:rPr>
        <w:tab/>
      </w:r>
      <w:r w:rsidR="00B80E96">
        <w:t>No position.</w:t>
      </w:r>
    </w:p>
    <w:p w14:paraId="79AD0D3A" w14:textId="77777777" w:rsidR="0003402E" w:rsidRDefault="0003402E" w:rsidP="0003402E">
      <w:pPr>
        <w:ind w:left="1440" w:hanging="1440"/>
        <w:jc w:val="both"/>
        <w:rPr>
          <w:b/>
        </w:rPr>
      </w:pPr>
    </w:p>
    <w:p w14:paraId="7EE160E7" w14:textId="1481868E" w:rsidR="0003402E" w:rsidRDefault="0003402E" w:rsidP="0003402E">
      <w:pPr>
        <w:ind w:left="1440" w:hanging="1440"/>
        <w:jc w:val="both"/>
        <w:rPr>
          <w:b/>
        </w:rPr>
      </w:pPr>
      <w:r>
        <w:rPr>
          <w:b/>
        </w:rPr>
        <w:t>FRF:</w:t>
      </w:r>
      <w:r>
        <w:rPr>
          <w:b/>
        </w:rPr>
        <w:tab/>
      </w:r>
      <w:r w:rsidR="0054177F">
        <w:t>Agree</w:t>
      </w:r>
      <w:r w:rsidR="00B80E96">
        <w:t>s</w:t>
      </w:r>
      <w:r w:rsidR="0054177F">
        <w:t xml:space="preserve"> with OPC.</w:t>
      </w:r>
    </w:p>
    <w:p w14:paraId="274F816B" w14:textId="77777777" w:rsidR="0003402E" w:rsidRDefault="0003402E" w:rsidP="0003402E">
      <w:pPr>
        <w:ind w:left="1440" w:hanging="1440"/>
        <w:jc w:val="both"/>
        <w:rPr>
          <w:b/>
        </w:rPr>
      </w:pPr>
    </w:p>
    <w:p w14:paraId="669A97DA" w14:textId="77777777" w:rsidR="007E6DCF" w:rsidRDefault="007E6DCF" w:rsidP="0003402E">
      <w:pPr>
        <w:ind w:left="1440" w:hanging="1440"/>
        <w:jc w:val="both"/>
        <w:rPr>
          <w:b/>
        </w:rPr>
      </w:pPr>
      <w:r>
        <w:rPr>
          <w:b/>
        </w:rPr>
        <w:t>FUEL</w:t>
      </w:r>
    </w:p>
    <w:p w14:paraId="3024B752" w14:textId="2ECCF15A" w:rsidR="0003402E" w:rsidRDefault="007E6DCF" w:rsidP="0003402E">
      <w:pPr>
        <w:ind w:left="1440" w:hanging="1440"/>
        <w:jc w:val="both"/>
      </w:pPr>
      <w:r>
        <w:rPr>
          <w:b/>
        </w:rPr>
        <w:t>RETAILERS</w:t>
      </w:r>
      <w:r w:rsidR="0003402E">
        <w:rPr>
          <w:b/>
        </w:rPr>
        <w:t>:</w:t>
      </w:r>
      <w:r>
        <w:rPr>
          <w:b/>
        </w:rPr>
        <w:t xml:space="preserve"> </w:t>
      </w:r>
      <w:r w:rsidR="00742505" w:rsidRPr="00A1329C">
        <w:t xml:space="preserve">No </w:t>
      </w:r>
      <w:r w:rsidR="00B80E96">
        <w:t>p</w:t>
      </w:r>
      <w:r w:rsidR="00742505" w:rsidRPr="00A1329C">
        <w:t>osition.</w:t>
      </w:r>
    </w:p>
    <w:p w14:paraId="0B998947" w14:textId="77777777" w:rsidR="00FF772F" w:rsidRDefault="00FF772F" w:rsidP="0003402E">
      <w:pPr>
        <w:ind w:left="1440" w:hanging="1440"/>
        <w:jc w:val="both"/>
      </w:pPr>
    </w:p>
    <w:p w14:paraId="1C341D05" w14:textId="48091CD3" w:rsidR="00FF772F" w:rsidRPr="00FF772F" w:rsidRDefault="007E6DCF" w:rsidP="0003402E">
      <w:pPr>
        <w:ind w:left="1440" w:hanging="1440"/>
        <w:jc w:val="both"/>
        <w:rPr>
          <w:b/>
        </w:rPr>
      </w:pPr>
      <w:r>
        <w:rPr>
          <w:b/>
        </w:rPr>
        <w:t>WALMART</w:t>
      </w:r>
      <w:r w:rsidR="00FF772F">
        <w:rPr>
          <w:b/>
        </w:rPr>
        <w:t>:</w:t>
      </w:r>
      <w:r w:rsidR="00FF772F">
        <w:rPr>
          <w:b/>
        </w:rPr>
        <w:tab/>
      </w:r>
      <w:r w:rsidR="00E0730C">
        <w:t>A</w:t>
      </w:r>
      <w:r w:rsidR="00FF772F">
        <w:t>grees with OPC.</w:t>
      </w:r>
    </w:p>
    <w:p w14:paraId="164A1373" w14:textId="77777777" w:rsidR="0003402E" w:rsidRPr="00701945" w:rsidRDefault="0003402E" w:rsidP="0003402E">
      <w:pPr>
        <w:jc w:val="both"/>
      </w:pPr>
    </w:p>
    <w:p w14:paraId="32D8D2F5" w14:textId="77777777" w:rsidR="0003402E" w:rsidRPr="005D4B47" w:rsidRDefault="0003402E" w:rsidP="0003402E">
      <w:pPr>
        <w:ind w:left="1440" w:hanging="1440"/>
        <w:jc w:val="both"/>
        <w:rPr>
          <w:b/>
          <w:bCs/>
        </w:rPr>
      </w:pPr>
      <w:r>
        <w:rPr>
          <w:b/>
          <w:bCs/>
        </w:rPr>
        <w:t>STAFF:</w:t>
      </w:r>
      <w:r>
        <w:rPr>
          <w:b/>
          <w:bCs/>
        </w:rPr>
        <w:tab/>
      </w:r>
      <w:r w:rsidR="00AB600F">
        <w:t>No position at this time.</w:t>
      </w:r>
    </w:p>
    <w:p w14:paraId="4321D2FA" w14:textId="77777777" w:rsidR="0003402E" w:rsidRDefault="0003402E" w:rsidP="00C7699A">
      <w:pPr>
        <w:jc w:val="both"/>
      </w:pPr>
    </w:p>
    <w:p w14:paraId="03A78FB9" w14:textId="77777777" w:rsidR="00981376" w:rsidRDefault="00981376" w:rsidP="00C7699A">
      <w:pPr>
        <w:jc w:val="both"/>
      </w:pPr>
    </w:p>
    <w:p w14:paraId="4E4169F3" w14:textId="77777777" w:rsidR="00981376" w:rsidRPr="00981376" w:rsidRDefault="00981376" w:rsidP="00981376">
      <w:pPr>
        <w:jc w:val="center"/>
        <w:rPr>
          <w:b/>
        </w:rPr>
      </w:pPr>
      <w:r w:rsidRPr="00981376">
        <w:rPr>
          <w:b/>
          <w:u w:val="single"/>
        </w:rPr>
        <w:t>2025 RATE BASE</w:t>
      </w:r>
    </w:p>
    <w:p w14:paraId="3E8A5C87" w14:textId="77777777" w:rsidR="0003402E" w:rsidRDefault="0003402E" w:rsidP="00C7699A">
      <w:pPr>
        <w:jc w:val="both"/>
      </w:pPr>
    </w:p>
    <w:p w14:paraId="5D0C8B4C" w14:textId="77777777" w:rsidR="0003402E" w:rsidRPr="000878F8" w:rsidRDefault="0003402E" w:rsidP="0003402E">
      <w:pPr>
        <w:ind w:left="1440" w:hanging="1440"/>
        <w:jc w:val="both"/>
        <w:rPr>
          <w:b/>
        </w:rPr>
      </w:pPr>
      <w:r w:rsidRPr="005D4B47">
        <w:rPr>
          <w:b/>
          <w:bCs/>
        </w:rPr>
        <w:t>ISSUE 1</w:t>
      </w:r>
      <w:r>
        <w:rPr>
          <w:b/>
          <w:bCs/>
        </w:rPr>
        <w:t>3</w:t>
      </w:r>
      <w:r w:rsidRPr="00701945">
        <w:rPr>
          <w:b/>
          <w:bCs/>
        </w:rPr>
        <w:t>:</w:t>
      </w:r>
      <w:r w:rsidRPr="00701945">
        <w:tab/>
      </w:r>
      <w:r w:rsidR="000878F8" w:rsidRPr="000878F8">
        <w:rPr>
          <w:b/>
        </w:rPr>
        <w:t>Has TECO made the appropriate adjustments to remove all non-utility activities from Plant in Service, Accumulated Depreciation, and Working Capital in the 2025 projected test year? What, if any, adjustments should be made?</w:t>
      </w:r>
    </w:p>
    <w:p w14:paraId="4548BDCC" w14:textId="77777777" w:rsidR="0003402E" w:rsidRPr="00701945" w:rsidRDefault="0003402E" w:rsidP="0003402E">
      <w:pPr>
        <w:jc w:val="both"/>
      </w:pPr>
    </w:p>
    <w:p w14:paraId="12A61720" w14:textId="77777777" w:rsidR="0003402E" w:rsidRPr="005D4B47" w:rsidRDefault="0003402E" w:rsidP="0003402E">
      <w:pPr>
        <w:ind w:left="1440" w:hanging="1440"/>
        <w:jc w:val="both"/>
      </w:pPr>
      <w:r>
        <w:rPr>
          <w:b/>
          <w:bCs/>
        </w:rPr>
        <w:t>TECO</w:t>
      </w:r>
      <w:r w:rsidRPr="005D4B47">
        <w:rPr>
          <w:b/>
          <w:bCs/>
        </w:rPr>
        <w:t>:</w:t>
      </w:r>
      <w:r w:rsidRPr="005D4B47">
        <w:tab/>
      </w:r>
      <w:r w:rsidR="000878F8">
        <w:t>Yes. (Chronister)</w:t>
      </w:r>
    </w:p>
    <w:p w14:paraId="08D1DC34" w14:textId="77777777" w:rsidR="0003402E" w:rsidRPr="00701945" w:rsidRDefault="0003402E" w:rsidP="0003402E">
      <w:pPr>
        <w:jc w:val="both"/>
      </w:pPr>
    </w:p>
    <w:p w14:paraId="75F9657E" w14:textId="31979BCC" w:rsidR="0003402E" w:rsidRDefault="0003402E" w:rsidP="0003402E">
      <w:pPr>
        <w:ind w:left="1440" w:hanging="1440"/>
        <w:jc w:val="both"/>
      </w:pPr>
      <w:r>
        <w:rPr>
          <w:b/>
          <w:bCs/>
        </w:rPr>
        <w:t>OPC</w:t>
      </w:r>
      <w:r w:rsidRPr="00701945">
        <w:rPr>
          <w:b/>
          <w:bCs/>
        </w:rPr>
        <w:t>:</w:t>
      </w:r>
      <w:r>
        <w:tab/>
      </w:r>
      <w:r w:rsidR="00A81692">
        <w:t>No position</w:t>
      </w:r>
      <w:r w:rsidR="003C25A6">
        <w:t>.</w:t>
      </w:r>
    </w:p>
    <w:p w14:paraId="7BB79239" w14:textId="77777777" w:rsidR="0003402E" w:rsidRDefault="0003402E" w:rsidP="0003402E">
      <w:pPr>
        <w:ind w:left="1440" w:hanging="1440"/>
        <w:jc w:val="both"/>
      </w:pPr>
    </w:p>
    <w:p w14:paraId="4C7193DC" w14:textId="77777777" w:rsidR="0003402E" w:rsidRDefault="0003402E" w:rsidP="0003402E">
      <w:pPr>
        <w:ind w:left="1440" w:hanging="1440"/>
        <w:jc w:val="both"/>
        <w:rPr>
          <w:b/>
        </w:rPr>
      </w:pPr>
      <w:r>
        <w:rPr>
          <w:b/>
        </w:rPr>
        <w:t>FL RISING/</w:t>
      </w:r>
    </w:p>
    <w:p w14:paraId="3C424234" w14:textId="77D41D91" w:rsidR="0003402E" w:rsidRDefault="0003402E" w:rsidP="0003402E">
      <w:pPr>
        <w:ind w:left="1440" w:hanging="1440"/>
        <w:jc w:val="both"/>
        <w:rPr>
          <w:b/>
        </w:rPr>
      </w:pPr>
      <w:r>
        <w:rPr>
          <w:b/>
        </w:rPr>
        <w:t>LULAC:</w:t>
      </w:r>
      <w:r>
        <w:rPr>
          <w:b/>
        </w:rPr>
        <w:tab/>
      </w:r>
      <w:r w:rsidR="00C96E52">
        <w:rPr>
          <w:bCs/>
        </w:rPr>
        <w:t xml:space="preserve">No. </w:t>
      </w:r>
      <w:r w:rsidR="00C96E52" w:rsidRPr="3ACAEAC7">
        <w:t xml:space="preserve">Plant in Service, </w:t>
      </w:r>
      <w:r w:rsidR="00C96E52" w:rsidRPr="331A9FB3">
        <w:t xml:space="preserve">Accumulated Depreciation, </w:t>
      </w:r>
      <w:r w:rsidR="00C96E52" w:rsidRPr="41A616E3">
        <w:t>and Working Capital</w:t>
      </w:r>
      <w:r w:rsidR="00C96E52" w:rsidRPr="331A9FB3">
        <w:t xml:space="preserve"> </w:t>
      </w:r>
      <w:r w:rsidR="00C96E52" w:rsidRPr="61FE5899">
        <w:t>should be adjusted to reflect</w:t>
      </w:r>
      <w:r w:rsidR="00C96E52">
        <w:rPr>
          <w:bCs/>
        </w:rPr>
        <w:t xml:space="preserve"> the removal of </w:t>
      </w:r>
      <w:r w:rsidR="00C96E52" w:rsidRPr="1A02BB6B">
        <w:t>at least the</w:t>
      </w:r>
      <w:r w:rsidR="00C96E52">
        <w:rPr>
          <w:bCs/>
        </w:rPr>
        <w:t xml:space="preserve"> following projects from TECO’s proposed rate base: Future Environmental Compliance; Research and Development; Customer Experience Enhancement; Information Technology Capital; Grid Reliability and Resilience; Corporate Headquarters; South Tampa Resilience; Bearss Operation Center; and Polk 1 Flexibility.</w:t>
      </w:r>
    </w:p>
    <w:p w14:paraId="54F29237" w14:textId="77777777" w:rsidR="0003402E" w:rsidRDefault="0003402E" w:rsidP="0003402E">
      <w:pPr>
        <w:ind w:left="1440" w:hanging="1440"/>
        <w:jc w:val="both"/>
        <w:rPr>
          <w:b/>
        </w:rPr>
      </w:pPr>
    </w:p>
    <w:p w14:paraId="78E03333" w14:textId="665EAAD4" w:rsidR="0003402E" w:rsidRDefault="0003402E" w:rsidP="0003402E">
      <w:pPr>
        <w:ind w:left="1440" w:hanging="1440"/>
        <w:jc w:val="both"/>
        <w:rPr>
          <w:b/>
        </w:rPr>
      </w:pPr>
      <w:r>
        <w:rPr>
          <w:b/>
        </w:rPr>
        <w:t>FIPUG:</w:t>
      </w:r>
      <w:r>
        <w:rPr>
          <w:b/>
        </w:rPr>
        <w:tab/>
      </w:r>
      <w:r w:rsidR="002C1BF8">
        <w:rPr>
          <w:bCs/>
        </w:rPr>
        <w:t>No position.</w:t>
      </w:r>
    </w:p>
    <w:p w14:paraId="4C1928F5" w14:textId="77777777" w:rsidR="0003402E" w:rsidRDefault="0003402E" w:rsidP="0003402E">
      <w:pPr>
        <w:ind w:left="1440" w:hanging="1440"/>
        <w:jc w:val="both"/>
        <w:rPr>
          <w:b/>
        </w:rPr>
      </w:pPr>
    </w:p>
    <w:p w14:paraId="7C451B89" w14:textId="58BBAF6E" w:rsidR="0003402E" w:rsidRDefault="0003402E" w:rsidP="0003402E">
      <w:pPr>
        <w:ind w:left="1440" w:hanging="1440"/>
        <w:jc w:val="both"/>
        <w:rPr>
          <w:b/>
        </w:rPr>
      </w:pPr>
      <w:r>
        <w:rPr>
          <w:b/>
        </w:rPr>
        <w:t>FEA:</w:t>
      </w:r>
      <w:r>
        <w:rPr>
          <w:b/>
        </w:rPr>
        <w:tab/>
      </w:r>
      <w:r w:rsidR="00927E15">
        <w:t>No position</w:t>
      </w:r>
      <w:r w:rsidR="00202DF7">
        <w:t>.</w:t>
      </w:r>
    </w:p>
    <w:p w14:paraId="023E637D" w14:textId="77777777" w:rsidR="0003402E" w:rsidRDefault="0003402E" w:rsidP="0003402E">
      <w:pPr>
        <w:ind w:left="1440" w:hanging="1440"/>
        <w:jc w:val="both"/>
        <w:rPr>
          <w:b/>
        </w:rPr>
      </w:pPr>
    </w:p>
    <w:p w14:paraId="0D33FDFA" w14:textId="77777777" w:rsidR="007E6DCF" w:rsidRDefault="0003402E" w:rsidP="0003402E">
      <w:pPr>
        <w:ind w:left="1440" w:hanging="1440"/>
        <w:jc w:val="both"/>
        <w:rPr>
          <w:b/>
        </w:rPr>
      </w:pPr>
      <w:r>
        <w:rPr>
          <w:b/>
        </w:rPr>
        <w:t>SIERRA</w:t>
      </w:r>
    </w:p>
    <w:p w14:paraId="2E7B6AAF" w14:textId="68A5FFB5" w:rsidR="0003402E" w:rsidRDefault="007E6DCF" w:rsidP="0003402E">
      <w:pPr>
        <w:ind w:left="1440" w:hanging="1440"/>
        <w:jc w:val="both"/>
        <w:rPr>
          <w:b/>
        </w:rPr>
      </w:pPr>
      <w:r>
        <w:rPr>
          <w:b/>
        </w:rPr>
        <w:t>CLUB</w:t>
      </w:r>
      <w:r w:rsidR="0003402E">
        <w:rPr>
          <w:b/>
        </w:rPr>
        <w:t>:</w:t>
      </w:r>
      <w:r w:rsidR="0003402E">
        <w:rPr>
          <w:b/>
        </w:rPr>
        <w:tab/>
      </w:r>
      <w:r w:rsidR="00927E15">
        <w:t>No position.</w:t>
      </w:r>
    </w:p>
    <w:p w14:paraId="4FB87EDD" w14:textId="77777777" w:rsidR="0003402E" w:rsidRDefault="0003402E" w:rsidP="0003402E">
      <w:pPr>
        <w:ind w:left="1440" w:hanging="1440"/>
        <w:jc w:val="both"/>
        <w:rPr>
          <w:b/>
        </w:rPr>
      </w:pPr>
    </w:p>
    <w:p w14:paraId="73E7B31B" w14:textId="31C5B245" w:rsidR="0003402E" w:rsidRDefault="0003402E" w:rsidP="0003402E">
      <w:pPr>
        <w:ind w:left="1440" w:hanging="1440"/>
        <w:jc w:val="both"/>
        <w:rPr>
          <w:b/>
        </w:rPr>
      </w:pPr>
      <w:r>
        <w:rPr>
          <w:b/>
        </w:rPr>
        <w:t>FRF:</w:t>
      </w:r>
      <w:r>
        <w:rPr>
          <w:b/>
        </w:rPr>
        <w:tab/>
      </w:r>
      <w:r w:rsidR="00A75952">
        <w:t>No position.</w:t>
      </w:r>
    </w:p>
    <w:p w14:paraId="1ACF164F" w14:textId="77777777" w:rsidR="0003402E" w:rsidRDefault="0003402E" w:rsidP="0003402E">
      <w:pPr>
        <w:ind w:left="1440" w:hanging="1440"/>
        <w:jc w:val="both"/>
        <w:rPr>
          <w:b/>
        </w:rPr>
      </w:pPr>
    </w:p>
    <w:p w14:paraId="1A99C2F8" w14:textId="77777777" w:rsidR="007E6DCF" w:rsidRDefault="007E6DCF" w:rsidP="0003402E">
      <w:pPr>
        <w:ind w:left="1440" w:hanging="1440"/>
        <w:jc w:val="both"/>
        <w:rPr>
          <w:b/>
        </w:rPr>
      </w:pPr>
      <w:r>
        <w:rPr>
          <w:b/>
        </w:rPr>
        <w:t>FUEL</w:t>
      </w:r>
    </w:p>
    <w:p w14:paraId="1597A626" w14:textId="1243B22E" w:rsidR="0003402E" w:rsidRDefault="007E6DCF" w:rsidP="0003402E">
      <w:pPr>
        <w:ind w:left="1440" w:hanging="1440"/>
        <w:jc w:val="both"/>
      </w:pPr>
      <w:r>
        <w:rPr>
          <w:b/>
        </w:rPr>
        <w:t>RETAILERS</w:t>
      </w:r>
      <w:r w:rsidR="0003402E">
        <w:rPr>
          <w:b/>
        </w:rPr>
        <w:t>:</w:t>
      </w:r>
      <w:r>
        <w:rPr>
          <w:b/>
        </w:rPr>
        <w:t xml:space="preserve"> </w:t>
      </w:r>
      <w:r w:rsidR="00742505" w:rsidRPr="00A1329C">
        <w:t xml:space="preserve">No </w:t>
      </w:r>
      <w:r w:rsidR="00A75952">
        <w:t>p</w:t>
      </w:r>
      <w:r w:rsidR="00742505" w:rsidRPr="00A1329C">
        <w:t>osition.</w:t>
      </w:r>
    </w:p>
    <w:p w14:paraId="75CDC449" w14:textId="77777777" w:rsidR="00FF772F" w:rsidRDefault="00FF772F" w:rsidP="0003402E">
      <w:pPr>
        <w:ind w:left="1440" w:hanging="1440"/>
        <w:jc w:val="both"/>
      </w:pPr>
    </w:p>
    <w:p w14:paraId="71F02578" w14:textId="644AB475" w:rsidR="00FF772F" w:rsidRPr="00FF772F" w:rsidRDefault="007E6DCF" w:rsidP="0003402E">
      <w:pPr>
        <w:ind w:left="1440" w:hanging="1440"/>
        <w:jc w:val="both"/>
        <w:rPr>
          <w:b/>
        </w:rPr>
      </w:pPr>
      <w:r>
        <w:rPr>
          <w:b/>
        </w:rPr>
        <w:t>WALMART</w:t>
      </w:r>
      <w:r w:rsidR="00FF772F">
        <w:rPr>
          <w:b/>
        </w:rPr>
        <w:t>:</w:t>
      </w:r>
      <w:r w:rsidR="00FF772F">
        <w:rPr>
          <w:b/>
        </w:rPr>
        <w:tab/>
      </w:r>
      <w:r w:rsidR="0018694B">
        <w:t>No position.</w:t>
      </w:r>
    </w:p>
    <w:p w14:paraId="6847F9FA" w14:textId="77777777" w:rsidR="0003402E" w:rsidRPr="005D4B47" w:rsidRDefault="0003402E" w:rsidP="0003402E">
      <w:pPr>
        <w:ind w:left="1440" w:hanging="1440"/>
        <w:jc w:val="both"/>
        <w:rPr>
          <w:b/>
          <w:bCs/>
        </w:rPr>
      </w:pPr>
      <w:r>
        <w:rPr>
          <w:b/>
          <w:bCs/>
        </w:rPr>
        <w:lastRenderedPageBreak/>
        <w:t>STAFF:</w:t>
      </w:r>
      <w:r>
        <w:rPr>
          <w:b/>
          <w:bCs/>
        </w:rPr>
        <w:tab/>
      </w:r>
      <w:r w:rsidR="00AB600F">
        <w:t>No position at this time.</w:t>
      </w:r>
    </w:p>
    <w:p w14:paraId="2C4DE701" w14:textId="77777777" w:rsidR="0003402E" w:rsidRDefault="0003402E" w:rsidP="00C7699A">
      <w:pPr>
        <w:jc w:val="both"/>
      </w:pPr>
    </w:p>
    <w:p w14:paraId="43A3DC84" w14:textId="77777777" w:rsidR="0003402E" w:rsidRDefault="0003402E" w:rsidP="00C7699A">
      <w:pPr>
        <w:jc w:val="both"/>
      </w:pPr>
    </w:p>
    <w:p w14:paraId="004F94EA" w14:textId="77777777" w:rsidR="0003402E" w:rsidRPr="000878F8" w:rsidRDefault="0003402E" w:rsidP="0003402E">
      <w:pPr>
        <w:ind w:left="1440" w:hanging="1440"/>
        <w:jc w:val="both"/>
        <w:rPr>
          <w:b/>
        </w:rPr>
      </w:pPr>
      <w:r w:rsidRPr="005D4B47">
        <w:rPr>
          <w:b/>
          <w:bCs/>
        </w:rPr>
        <w:t>ISSUE 1</w:t>
      </w:r>
      <w:r>
        <w:rPr>
          <w:b/>
          <w:bCs/>
        </w:rPr>
        <w:t>4</w:t>
      </w:r>
      <w:r w:rsidRPr="00701945">
        <w:rPr>
          <w:b/>
          <w:bCs/>
        </w:rPr>
        <w:t>:</w:t>
      </w:r>
      <w:r w:rsidRPr="00701945">
        <w:tab/>
      </w:r>
      <w:r w:rsidR="000878F8" w:rsidRPr="000878F8">
        <w:rPr>
          <w:b/>
          <w:bCs/>
        </w:rPr>
        <w:t>Should TECO’s proposed Future Environmental Compliance Project be included in the 2025 projected test year? What, if any, adjustments should be made?</w:t>
      </w:r>
    </w:p>
    <w:p w14:paraId="08108A23" w14:textId="77777777" w:rsidR="0003402E" w:rsidRPr="00701945" w:rsidRDefault="0003402E" w:rsidP="0003402E">
      <w:pPr>
        <w:jc w:val="both"/>
      </w:pPr>
    </w:p>
    <w:p w14:paraId="7D900BDF" w14:textId="13D4A285" w:rsidR="0003402E" w:rsidRPr="005D4B47" w:rsidRDefault="0003402E" w:rsidP="0003402E">
      <w:pPr>
        <w:ind w:left="1440" w:hanging="1440"/>
        <w:jc w:val="both"/>
      </w:pPr>
      <w:r>
        <w:rPr>
          <w:b/>
          <w:bCs/>
        </w:rPr>
        <w:t>TECO</w:t>
      </w:r>
      <w:r w:rsidRPr="005D4B47">
        <w:rPr>
          <w:b/>
          <w:bCs/>
        </w:rPr>
        <w:t>:</w:t>
      </w:r>
      <w:r w:rsidRPr="005D4B47">
        <w:tab/>
      </w:r>
      <w:r w:rsidR="000878F8">
        <w:t>Yes. The company’s Future Environmental Compliance Project at Polk Power Station involves a detailed geological feasibility assessment of carbon storage at Polk</w:t>
      </w:r>
      <w:r w:rsidR="003C475E">
        <w:t xml:space="preserve"> Power Station</w:t>
      </w:r>
      <w:r w:rsidR="000878F8">
        <w:t>. Since the future of environmental regulations for carbon is uncertain, the project is a prudent step to protect the long-term viability of gas-fired generation at Polk</w:t>
      </w:r>
      <w:r w:rsidR="003C475E">
        <w:t xml:space="preserve"> Power Station</w:t>
      </w:r>
      <w:r w:rsidR="000878F8">
        <w:t xml:space="preserve"> at a significantly reduced cost to customers. The total cost of the project is estimated to be $126.5 million, of which $98.4 million will be paid</w:t>
      </w:r>
      <w:r w:rsidR="003C475E">
        <w:t xml:space="preserve"> for by a grant from the U.S. </w:t>
      </w:r>
      <w:r w:rsidR="000878F8">
        <w:t xml:space="preserve">Department of Energy, leaving only $28.1 million to be paid by </w:t>
      </w:r>
      <w:r w:rsidR="003C475E">
        <w:t xml:space="preserve">TECO </w:t>
      </w:r>
      <w:r w:rsidR="000878F8">
        <w:t>and $18.2 million of which the company proposes to be recovered through customer rates in this case. (Stryker)</w:t>
      </w:r>
    </w:p>
    <w:p w14:paraId="1A246A35" w14:textId="77777777" w:rsidR="0003402E" w:rsidRPr="00701945" w:rsidRDefault="0003402E" w:rsidP="0003402E">
      <w:pPr>
        <w:jc w:val="both"/>
      </w:pPr>
    </w:p>
    <w:p w14:paraId="020B35B8" w14:textId="3461838C" w:rsidR="0003402E" w:rsidRDefault="0003402E" w:rsidP="0003402E">
      <w:pPr>
        <w:ind w:left="1440" w:hanging="1440"/>
        <w:jc w:val="both"/>
      </w:pPr>
      <w:r>
        <w:rPr>
          <w:b/>
          <w:bCs/>
        </w:rPr>
        <w:t>OPC</w:t>
      </w:r>
      <w:r w:rsidRPr="00701945">
        <w:rPr>
          <w:b/>
          <w:bCs/>
        </w:rPr>
        <w:t>:</w:t>
      </w:r>
      <w:r>
        <w:tab/>
      </w:r>
      <w:r w:rsidR="00F10E45">
        <w:t>No position.</w:t>
      </w:r>
    </w:p>
    <w:p w14:paraId="03188BBF" w14:textId="77777777" w:rsidR="0003402E" w:rsidRDefault="0003402E" w:rsidP="0003402E">
      <w:pPr>
        <w:ind w:left="1440" w:hanging="1440"/>
        <w:jc w:val="both"/>
      </w:pPr>
    </w:p>
    <w:p w14:paraId="5FB5BED5" w14:textId="77777777" w:rsidR="0003402E" w:rsidRDefault="0003402E" w:rsidP="0003402E">
      <w:pPr>
        <w:ind w:left="1440" w:hanging="1440"/>
        <w:jc w:val="both"/>
        <w:rPr>
          <w:b/>
        </w:rPr>
      </w:pPr>
      <w:r>
        <w:rPr>
          <w:b/>
        </w:rPr>
        <w:t>FL RISING/</w:t>
      </w:r>
    </w:p>
    <w:p w14:paraId="5A66D4CE" w14:textId="77777777" w:rsidR="0003402E" w:rsidRDefault="0003402E" w:rsidP="0003402E">
      <w:pPr>
        <w:ind w:left="1440" w:hanging="1440"/>
        <w:jc w:val="both"/>
        <w:rPr>
          <w:b/>
        </w:rPr>
      </w:pPr>
      <w:r>
        <w:rPr>
          <w:b/>
        </w:rPr>
        <w:t>LULAC:</w:t>
      </w:r>
      <w:r>
        <w:rPr>
          <w:b/>
        </w:rPr>
        <w:tab/>
      </w:r>
      <w:r w:rsidR="00C96E52">
        <w:rPr>
          <w:bCs/>
        </w:rPr>
        <w:t>No, TECO has not met its burden to show this project is in the customer interest and is reasonable and prudent.</w:t>
      </w:r>
    </w:p>
    <w:p w14:paraId="35FEB675" w14:textId="77777777" w:rsidR="0003402E" w:rsidRDefault="0003402E" w:rsidP="0003402E">
      <w:pPr>
        <w:ind w:left="1440" w:hanging="1440"/>
        <w:jc w:val="both"/>
        <w:rPr>
          <w:b/>
        </w:rPr>
      </w:pPr>
    </w:p>
    <w:p w14:paraId="07AA7542" w14:textId="63C64325" w:rsidR="0003402E" w:rsidRDefault="0003402E" w:rsidP="0003402E">
      <w:pPr>
        <w:ind w:left="1440" w:hanging="1440"/>
        <w:jc w:val="both"/>
        <w:rPr>
          <w:b/>
        </w:rPr>
      </w:pPr>
      <w:r>
        <w:rPr>
          <w:b/>
        </w:rPr>
        <w:t>FIPUG:</w:t>
      </w:r>
      <w:r>
        <w:rPr>
          <w:b/>
        </w:rPr>
        <w:tab/>
      </w:r>
      <w:r w:rsidR="006F30A4">
        <w:rPr>
          <w:bCs/>
        </w:rPr>
        <w:t>No position.</w:t>
      </w:r>
    </w:p>
    <w:p w14:paraId="316114C8" w14:textId="77777777" w:rsidR="0003402E" w:rsidRDefault="0003402E" w:rsidP="0003402E">
      <w:pPr>
        <w:ind w:left="1440" w:hanging="1440"/>
        <w:jc w:val="both"/>
        <w:rPr>
          <w:b/>
        </w:rPr>
      </w:pPr>
    </w:p>
    <w:p w14:paraId="74671226" w14:textId="497D0A67" w:rsidR="0003402E" w:rsidRPr="003F1A3B" w:rsidRDefault="0003402E" w:rsidP="0003402E">
      <w:pPr>
        <w:ind w:left="1440" w:hanging="1440"/>
        <w:jc w:val="both"/>
      </w:pPr>
      <w:r>
        <w:rPr>
          <w:b/>
        </w:rPr>
        <w:t>FEA:</w:t>
      </w:r>
      <w:r>
        <w:rPr>
          <w:b/>
        </w:rPr>
        <w:tab/>
      </w:r>
      <w:r w:rsidR="003F1A3B" w:rsidRPr="003F1A3B">
        <w:t>No position.</w:t>
      </w:r>
    </w:p>
    <w:p w14:paraId="31301F50" w14:textId="77777777" w:rsidR="0003402E" w:rsidRDefault="0003402E" w:rsidP="0003402E">
      <w:pPr>
        <w:ind w:left="1440" w:hanging="1440"/>
        <w:jc w:val="both"/>
        <w:rPr>
          <w:b/>
        </w:rPr>
      </w:pPr>
    </w:p>
    <w:p w14:paraId="4C553E0C" w14:textId="77777777" w:rsidR="007E6DCF" w:rsidRDefault="0003402E" w:rsidP="0003402E">
      <w:pPr>
        <w:ind w:left="1440" w:hanging="1440"/>
        <w:jc w:val="both"/>
        <w:rPr>
          <w:b/>
        </w:rPr>
      </w:pPr>
      <w:r>
        <w:rPr>
          <w:b/>
        </w:rPr>
        <w:t>SIERRA</w:t>
      </w:r>
    </w:p>
    <w:p w14:paraId="1E2DFBEF" w14:textId="7C42193E" w:rsidR="0003402E" w:rsidRPr="003F1A3B" w:rsidRDefault="007E6DCF" w:rsidP="0003402E">
      <w:pPr>
        <w:ind w:left="1440" w:hanging="1440"/>
        <w:jc w:val="both"/>
      </w:pPr>
      <w:r>
        <w:rPr>
          <w:b/>
        </w:rPr>
        <w:t>CLUB</w:t>
      </w:r>
      <w:r w:rsidR="0003402E">
        <w:rPr>
          <w:b/>
        </w:rPr>
        <w:t>:</w:t>
      </w:r>
      <w:r w:rsidR="0003402E">
        <w:rPr>
          <w:b/>
        </w:rPr>
        <w:tab/>
      </w:r>
      <w:r w:rsidR="003F1A3B" w:rsidRPr="003F1A3B">
        <w:t>No position.</w:t>
      </w:r>
    </w:p>
    <w:p w14:paraId="6526B851" w14:textId="77777777" w:rsidR="0003402E" w:rsidRDefault="0003402E" w:rsidP="0003402E">
      <w:pPr>
        <w:ind w:left="1440" w:hanging="1440"/>
        <w:jc w:val="both"/>
        <w:rPr>
          <w:b/>
        </w:rPr>
      </w:pPr>
    </w:p>
    <w:p w14:paraId="1979F9FB" w14:textId="4153A642" w:rsidR="0003402E" w:rsidRPr="003F1A3B" w:rsidRDefault="0003402E" w:rsidP="0003402E">
      <w:pPr>
        <w:ind w:left="1440" w:hanging="1440"/>
        <w:jc w:val="both"/>
      </w:pPr>
      <w:r>
        <w:rPr>
          <w:b/>
        </w:rPr>
        <w:t>FRF:</w:t>
      </w:r>
      <w:r>
        <w:rPr>
          <w:b/>
        </w:rPr>
        <w:tab/>
      </w:r>
      <w:r w:rsidR="003F1A3B" w:rsidRPr="003F1A3B">
        <w:t>No position.</w:t>
      </w:r>
    </w:p>
    <w:p w14:paraId="7777E401" w14:textId="77777777" w:rsidR="0003402E" w:rsidRPr="003F1A3B" w:rsidRDefault="0003402E" w:rsidP="0003402E">
      <w:pPr>
        <w:ind w:left="1440" w:hanging="1440"/>
        <w:jc w:val="both"/>
      </w:pPr>
    </w:p>
    <w:p w14:paraId="23B61C6E" w14:textId="77777777" w:rsidR="007E6DCF" w:rsidRDefault="007E6DCF" w:rsidP="0003402E">
      <w:pPr>
        <w:ind w:left="1440" w:hanging="1440"/>
        <w:jc w:val="both"/>
        <w:rPr>
          <w:b/>
        </w:rPr>
      </w:pPr>
      <w:r>
        <w:rPr>
          <w:b/>
        </w:rPr>
        <w:t>FUEL</w:t>
      </w:r>
    </w:p>
    <w:p w14:paraId="4D72E1B0" w14:textId="748F0138" w:rsidR="0003402E" w:rsidRDefault="007E6DCF" w:rsidP="0003402E">
      <w:pPr>
        <w:ind w:left="1440" w:hanging="1440"/>
        <w:jc w:val="both"/>
      </w:pPr>
      <w:r>
        <w:rPr>
          <w:b/>
        </w:rPr>
        <w:t>RETAILERS</w:t>
      </w:r>
      <w:r w:rsidR="0003402E">
        <w:rPr>
          <w:b/>
        </w:rPr>
        <w:t>:</w:t>
      </w:r>
      <w:r>
        <w:rPr>
          <w:b/>
        </w:rPr>
        <w:t xml:space="preserve"> </w:t>
      </w:r>
      <w:r w:rsidR="003B49CB" w:rsidRPr="00A1329C">
        <w:t xml:space="preserve">No </w:t>
      </w:r>
      <w:r w:rsidR="00EE6426">
        <w:t>p</w:t>
      </w:r>
      <w:r w:rsidR="003B49CB" w:rsidRPr="00A1329C">
        <w:t>osition.</w:t>
      </w:r>
    </w:p>
    <w:p w14:paraId="4B49095C" w14:textId="77777777" w:rsidR="00FF772F" w:rsidRDefault="00FF772F" w:rsidP="0003402E">
      <w:pPr>
        <w:ind w:left="1440" w:hanging="1440"/>
        <w:jc w:val="both"/>
      </w:pPr>
    </w:p>
    <w:p w14:paraId="4BF8E1E4" w14:textId="612C5309" w:rsidR="00FF772F" w:rsidRPr="00FF772F" w:rsidRDefault="007E6DCF" w:rsidP="0003402E">
      <w:pPr>
        <w:ind w:left="1440" w:hanging="1440"/>
        <w:jc w:val="both"/>
        <w:rPr>
          <w:b/>
        </w:rPr>
      </w:pPr>
      <w:r>
        <w:rPr>
          <w:b/>
        </w:rPr>
        <w:t>WALMART</w:t>
      </w:r>
      <w:r w:rsidR="00FF772F">
        <w:rPr>
          <w:b/>
        </w:rPr>
        <w:t>:</w:t>
      </w:r>
      <w:r w:rsidR="00FF772F">
        <w:rPr>
          <w:b/>
        </w:rPr>
        <w:tab/>
      </w:r>
      <w:r w:rsidR="00EE6426">
        <w:t>No position</w:t>
      </w:r>
      <w:r w:rsidR="00FF772F">
        <w:t>.</w:t>
      </w:r>
    </w:p>
    <w:p w14:paraId="25FECF02" w14:textId="77777777" w:rsidR="0003402E" w:rsidRPr="00701945" w:rsidRDefault="0003402E" w:rsidP="0003402E">
      <w:pPr>
        <w:jc w:val="both"/>
      </w:pPr>
    </w:p>
    <w:p w14:paraId="3B5837C6" w14:textId="77777777" w:rsidR="0003402E" w:rsidRPr="005D4B47" w:rsidRDefault="0003402E" w:rsidP="0003402E">
      <w:pPr>
        <w:ind w:left="1440" w:hanging="1440"/>
        <w:jc w:val="both"/>
        <w:rPr>
          <w:b/>
          <w:bCs/>
        </w:rPr>
      </w:pPr>
      <w:r>
        <w:rPr>
          <w:b/>
          <w:bCs/>
        </w:rPr>
        <w:t>STAFF:</w:t>
      </w:r>
      <w:r>
        <w:rPr>
          <w:b/>
          <w:bCs/>
        </w:rPr>
        <w:tab/>
      </w:r>
      <w:r w:rsidR="00AB600F">
        <w:t>No position at this time.</w:t>
      </w:r>
    </w:p>
    <w:p w14:paraId="42607BAC" w14:textId="4DE79630" w:rsidR="0003402E" w:rsidRDefault="0003402E" w:rsidP="00C7699A">
      <w:pPr>
        <w:jc w:val="both"/>
      </w:pPr>
    </w:p>
    <w:p w14:paraId="0A756009" w14:textId="77777777" w:rsidR="0003402E" w:rsidRDefault="0003402E" w:rsidP="00C7699A">
      <w:pPr>
        <w:jc w:val="both"/>
      </w:pPr>
    </w:p>
    <w:p w14:paraId="53F1F7FC" w14:textId="77777777" w:rsidR="0003402E" w:rsidRPr="000878F8" w:rsidRDefault="0003402E" w:rsidP="0003402E">
      <w:pPr>
        <w:ind w:left="1440" w:hanging="1440"/>
        <w:jc w:val="both"/>
        <w:rPr>
          <w:b/>
        </w:rPr>
      </w:pPr>
      <w:r w:rsidRPr="005D4B47">
        <w:rPr>
          <w:b/>
          <w:bCs/>
        </w:rPr>
        <w:t>ISSUE 1</w:t>
      </w:r>
      <w:r>
        <w:rPr>
          <w:b/>
          <w:bCs/>
        </w:rPr>
        <w:t>5</w:t>
      </w:r>
      <w:r w:rsidRPr="00701945">
        <w:rPr>
          <w:b/>
          <w:bCs/>
        </w:rPr>
        <w:t>:</w:t>
      </w:r>
      <w:r w:rsidRPr="00701945">
        <w:tab/>
      </w:r>
      <w:r w:rsidR="000878F8" w:rsidRPr="000878F8">
        <w:rPr>
          <w:b/>
          <w:bCs/>
        </w:rPr>
        <w:t>Should TECO’s proposed Research and Development Projects be included in the 2025 projected test year? What, if any, adjustments should be made?</w:t>
      </w:r>
    </w:p>
    <w:p w14:paraId="04C359AA" w14:textId="77777777" w:rsidR="0003402E" w:rsidRPr="00701945" w:rsidRDefault="0003402E" w:rsidP="0003402E">
      <w:pPr>
        <w:jc w:val="both"/>
      </w:pPr>
    </w:p>
    <w:p w14:paraId="55537D70" w14:textId="77777777" w:rsidR="0003402E" w:rsidRPr="005D4B47" w:rsidRDefault="0003402E" w:rsidP="0003402E">
      <w:pPr>
        <w:ind w:left="1440" w:hanging="1440"/>
        <w:jc w:val="both"/>
      </w:pPr>
      <w:r>
        <w:rPr>
          <w:b/>
          <w:bCs/>
        </w:rPr>
        <w:t>TECO</w:t>
      </w:r>
      <w:r w:rsidRPr="005D4B47">
        <w:rPr>
          <w:b/>
          <w:bCs/>
        </w:rPr>
        <w:t>:</w:t>
      </w:r>
      <w:r w:rsidRPr="005D4B47">
        <w:tab/>
      </w:r>
      <w:r w:rsidR="000878F8">
        <w:t xml:space="preserve">Yes. The company is exploring a long duration energy storage project and a microgrid project, both of which will likely be used in the future. The </w:t>
      </w:r>
      <w:r w:rsidR="000878F8">
        <w:lastRenderedPageBreak/>
        <w:t>approximately $7.1 million of costs associated with these projects are prudent because they will help the company better understand their possibilities and limitations before it is necessary to implement them on a larger scale; therefore, they should be included in test year rate base. (Stryker)</w:t>
      </w:r>
    </w:p>
    <w:p w14:paraId="7F0011BE" w14:textId="77777777" w:rsidR="0003402E" w:rsidRPr="00701945" w:rsidRDefault="0003402E" w:rsidP="0003402E">
      <w:pPr>
        <w:jc w:val="both"/>
      </w:pPr>
    </w:p>
    <w:p w14:paraId="40B5A0FB" w14:textId="77777777" w:rsidR="0003402E" w:rsidRDefault="0003402E" w:rsidP="0003402E">
      <w:pPr>
        <w:ind w:left="1440" w:hanging="1440"/>
        <w:jc w:val="both"/>
      </w:pPr>
      <w:r>
        <w:rPr>
          <w:b/>
          <w:bCs/>
        </w:rPr>
        <w:t>OPC</w:t>
      </w:r>
      <w:r w:rsidRPr="00701945">
        <w:rPr>
          <w:b/>
          <w:bCs/>
        </w:rPr>
        <w:t>:</w:t>
      </w:r>
      <w:r>
        <w:tab/>
      </w:r>
      <w:r w:rsidR="002A7184">
        <w:t>No, all costs should be excluded.</w:t>
      </w:r>
    </w:p>
    <w:p w14:paraId="12ED99DF" w14:textId="77777777" w:rsidR="0003402E" w:rsidRDefault="0003402E" w:rsidP="0003402E">
      <w:pPr>
        <w:ind w:left="1440" w:hanging="1440"/>
        <w:jc w:val="both"/>
      </w:pPr>
    </w:p>
    <w:p w14:paraId="4034CDF0" w14:textId="77777777" w:rsidR="0003402E" w:rsidRDefault="0003402E" w:rsidP="0003402E">
      <w:pPr>
        <w:ind w:left="1440" w:hanging="1440"/>
        <w:jc w:val="both"/>
        <w:rPr>
          <w:b/>
        </w:rPr>
      </w:pPr>
      <w:r>
        <w:rPr>
          <w:b/>
        </w:rPr>
        <w:t>FL RISING/</w:t>
      </w:r>
    </w:p>
    <w:p w14:paraId="44CD466E" w14:textId="77777777" w:rsidR="0003402E" w:rsidRDefault="0003402E" w:rsidP="0003402E">
      <w:pPr>
        <w:ind w:left="1440" w:hanging="1440"/>
        <w:jc w:val="both"/>
        <w:rPr>
          <w:b/>
        </w:rPr>
      </w:pPr>
      <w:r>
        <w:rPr>
          <w:b/>
        </w:rPr>
        <w:t>LULAC:</w:t>
      </w:r>
      <w:r>
        <w:rPr>
          <w:b/>
        </w:rPr>
        <w:tab/>
      </w:r>
      <w:r w:rsidR="00C96E52">
        <w:rPr>
          <w:bCs/>
        </w:rPr>
        <w:t>No, TECO has not met its burden to show that these projects are in the customer interest and are reasonable and prudent.</w:t>
      </w:r>
    </w:p>
    <w:p w14:paraId="1213C66D" w14:textId="77777777" w:rsidR="0003402E" w:rsidRDefault="0003402E" w:rsidP="0003402E">
      <w:pPr>
        <w:ind w:left="1440" w:hanging="1440"/>
        <w:jc w:val="both"/>
        <w:rPr>
          <w:b/>
        </w:rPr>
      </w:pPr>
    </w:p>
    <w:p w14:paraId="1BAFFC9F" w14:textId="56F3025B" w:rsidR="0003402E" w:rsidRDefault="0003402E" w:rsidP="0003402E">
      <w:pPr>
        <w:ind w:left="1440" w:hanging="1440"/>
        <w:jc w:val="both"/>
        <w:rPr>
          <w:b/>
        </w:rPr>
      </w:pPr>
      <w:r>
        <w:rPr>
          <w:b/>
        </w:rPr>
        <w:t>FIPUG:</w:t>
      </w:r>
      <w:r>
        <w:rPr>
          <w:b/>
        </w:rPr>
        <w:tab/>
      </w:r>
      <w:r w:rsidR="00DA1A31">
        <w:rPr>
          <w:bCs/>
        </w:rPr>
        <w:t>Adopt</w:t>
      </w:r>
      <w:r w:rsidR="003455B1">
        <w:rPr>
          <w:bCs/>
        </w:rPr>
        <w:t>s</w:t>
      </w:r>
      <w:r w:rsidR="00DA1A31">
        <w:rPr>
          <w:bCs/>
        </w:rPr>
        <w:t xml:space="preserve"> the position of OPC.</w:t>
      </w:r>
    </w:p>
    <w:p w14:paraId="497B1C01" w14:textId="77777777" w:rsidR="0003402E" w:rsidRDefault="0003402E" w:rsidP="0003402E">
      <w:pPr>
        <w:ind w:left="1440" w:hanging="1440"/>
        <w:jc w:val="both"/>
        <w:rPr>
          <w:b/>
        </w:rPr>
      </w:pPr>
    </w:p>
    <w:p w14:paraId="12EE2DB4" w14:textId="793ED895" w:rsidR="0003402E" w:rsidRDefault="0003402E" w:rsidP="0003402E">
      <w:pPr>
        <w:ind w:left="1440" w:hanging="1440"/>
        <w:jc w:val="both"/>
        <w:rPr>
          <w:b/>
        </w:rPr>
      </w:pPr>
      <w:r>
        <w:rPr>
          <w:b/>
        </w:rPr>
        <w:t>FEA:</w:t>
      </w:r>
      <w:r>
        <w:rPr>
          <w:b/>
        </w:rPr>
        <w:tab/>
      </w:r>
      <w:r w:rsidR="00934964">
        <w:t>No position.</w:t>
      </w:r>
    </w:p>
    <w:p w14:paraId="565C15FA" w14:textId="77777777" w:rsidR="0003402E" w:rsidRDefault="0003402E" w:rsidP="0003402E">
      <w:pPr>
        <w:ind w:left="1440" w:hanging="1440"/>
        <w:jc w:val="both"/>
        <w:rPr>
          <w:b/>
        </w:rPr>
      </w:pPr>
    </w:p>
    <w:p w14:paraId="4973A263" w14:textId="77777777" w:rsidR="007E6DCF" w:rsidRDefault="0003402E" w:rsidP="0003402E">
      <w:pPr>
        <w:ind w:left="1440" w:hanging="1440"/>
        <w:jc w:val="both"/>
        <w:rPr>
          <w:b/>
        </w:rPr>
      </w:pPr>
      <w:r>
        <w:rPr>
          <w:b/>
        </w:rPr>
        <w:t>SIERRA</w:t>
      </w:r>
    </w:p>
    <w:p w14:paraId="25C3EB84" w14:textId="66CF329E" w:rsidR="0003402E" w:rsidRDefault="007E6DCF" w:rsidP="0003402E">
      <w:pPr>
        <w:ind w:left="1440" w:hanging="1440"/>
        <w:jc w:val="both"/>
        <w:rPr>
          <w:b/>
        </w:rPr>
      </w:pPr>
      <w:r>
        <w:rPr>
          <w:b/>
        </w:rPr>
        <w:t>CLUB</w:t>
      </w:r>
      <w:r w:rsidR="0003402E">
        <w:rPr>
          <w:b/>
        </w:rPr>
        <w:t>:</w:t>
      </w:r>
      <w:r w:rsidR="0003402E">
        <w:rPr>
          <w:b/>
        </w:rPr>
        <w:tab/>
      </w:r>
      <w:r w:rsidR="00934964">
        <w:t>No position.</w:t>
      </w:r>
    </w:p>
    <w:p w14:paraId="682EFCAB" w14:textId="77777777" w:rsidR="0003402E" w:rsidRDefault="0003402E" w:rsidP="0003402E">
      <w:pPr>
        <w:ind w:left="1440" w:hanging="1440"/>
        <w:jc w:val="both"/>
        <w:rPr>
          <w:b/>
        </w:rPr>
      </w:pPr>
    </w:p>
    <w:p w14:paraId="6DA02487" w14:textId="0B856650" w:rsidR="0003402E" w:rsidRDefault="0003402E" w:rsidP="0003402E">
      <w:pPr>
        <w:ind w:left="1440" w:hanging="1440"/>
        <w:jc w:val="both"/>
        <w:rPr>
          <w:b/>
        </w:rPr>
      </w:pPr>
      <w:r>
        <w:rPr>
          <w:b/>
        </w:rPr>
        <w:t>FRF:</w:t>
      </w:r>
      <w:r>
        <w:rPr>
          <w:b/>
        </w:rPr>
        <w:tab/>
      </w:r>
      <w:r w:rsidR="009533B2">
        <w:t>Agree</w:t>
      </w:r>
      <w:r w:rsidR="00934964">
        <w:t>s</w:t>
      </w:r>
      <w:r w:rsidR="009533B2">
        <w:t xml:space="preserve"> with OPC.</w:t>
      </w:r>
    </w:p>
    <w:p w14:paraId="33A64B46" w14:textId="77777777" w:rsidR="0003402E" w:rsidRDefault="0003402E" w:rsidP="0003402E">
      <w:pPr>
        <w:ind w:left="1440" w:hanging="1440"/>
        <w:jc w:val="both"/>
        <w:rPr>
          <w:b/>
        </w:rPr>
      </w:pPr>
    </w:p>
    <w:p w14:paraId="4356846F" w14:textId="77777777" w:rsidR="007E6DCF" w:rsidRDefault="007E6DCF" w:rsidP="0003402E">
      <w:pPr>
        <w:ind w:left="1440" w:hanging="1440"/>
        <w:jc w:val="both"/>
        <w:rPr>
          <w:b/>
        </w:rPr>
      </w:pPr>
      <w:r>
        <w:rPr>
          <w:b/>
        </w:rPr>
        <w:t>FUEL</w:t>
      </w:r>
    </w:p>
    <w:p w14:paraId="0DA29C91" w14:textId="7532A936" w:rsidR="0003402E" w:rsidRDefault="007E6DCF" w:rsidP="0003402E">
      <w:pPr>
        <w:ind w:left="1440" w:hanging="1440"/>
        <w:jc w:val="both"/>
        <w:rPr>
          <w:bCs/>
        </w:rPr>
      </w:pPr>
      <w:r>
        <w:rPr>
          <w:b/>
        </w:rPr>
        <w:t>RETAILERS</w:t>
      </w:r>
      <w:r w:rsidR="0003402E">
        <w:rPr>
          <w:b/>
        </w:rPr>
        <w:t>:</w:t>
      </w:r>
      <w:r>
        <w:rPr>
          <w:b/>
        </w:rPr>
        <w:t xml:space="preserve"> </w:t>
      </w:r>
      <w:r w:rsidR="003B49CB">
        <w:rPr>
          <w:bCs/>
        </w:rPr>
        <w:t>Agree</w:t>
      </w:r>
      <w:r w:rsidR="00934964">
        <w:rPr>
          <w:bCs/>
        </w:rPr>
        <w:t>s</w:t>
      </w:r>
      <w:r w:rsidR="003B49CB">
        <w:rPr>
          <w:bCs/>
        </w:rPr>
        <w:t xml:space="preserve"> with </w:t>
      </w:r>
      <w:r w:rsidR="00934964">
        <w:rPr>
          <w:bCs/>
        </w:rPr>
        <w:t>OPC</w:t>
      </w:r>
      <w:r w:rsidR="003B49CB">
        <w:rPr>
          <w:bCs/>
        </w:rPr>
        <w:t>.</w:t>
      </w:r>
    </w:p>
    <w:p w14:paraId="325D1BE0" w14:textId="77777777" w:rsidR="00FF772F" w:rsidRDefault="00FF772F" w:rsidP="0003402E">
      <w:pPr>
        <w:ind w:left="1440" w:hanging="1440"/>
        <w:jc w:val="both"/>
        <w:rPr>
          <w:bCs/>
        </w:rPr>
      </w:pPr>
    </w:p>
    <w:p w14:paraId="390338DE" w14:textId="15E70F1F" w:rsidR="00FF772F" w:rsidRPr="00FF772F" w:rsidRDefault="007E6DCF" w:rsidP="0003402E">
      <w:pPr>
        <w:ind w:left="1440" w:hanging="1440"/>
        <w:jc w:val="both"/>
        <w:rPr>
          <w:b/>
        </w:rPr>
      </w:pPr>
      <w:r>
        <w:rPr>
          <w:b/>
          <w:bCs/>
        </w:rPr>
        <w:t>WALMART</w:t>
      </w:r>
      <w:r w:rsidR="00FF772F">
        <w:rPr>
          <w:b/>
          <w:bCs/>
        </w:rPr>
        <w:t>:</w:t>
      </w:r>
      <w:r w:rsidR="00FF772F">
        <w:rPr>
          <w:b/>
          <w:bCs/>
        </w:rPr>
        <w:tab/>
      </w:r>
      <w:r w:rsidR="00934964">
        <w:t>A</w:t>
      </w:r>
      <w:r w:rsidR="00FF772F">
        <w:t>grees with OPC.</w:t>
      </w:r>
    </w:p>
    <w:p w14:paraId="4BA963FB" w14:textId="77777777" w:rsidR="0003402E" w:rsidRPr="00701945" w:rsidRDefault="0003402E" w:rsidP="0003402E">
      <w:pPr>
        <w:jc w:val="both"/>
      </w:pPr>
    </w:p>
    <w:p w14:paraId="3C6D6B07" w14:textId="77777777" w:rsidR="0003402E" w:rsidRPr="005D4B47" w:rsidRDefault="0003402E" w:rsidP="0003402E">
      <w:pPr>
        <w:ind w:left="1440" w:hanging="1440"/>
        <w:jc w:val="both"/>
        <w:rPr>
          <w:b/>
          <w:bCs/>
        </w:rPr>
      </w:pPr>
      <w:r>
        <w:rPr>
          <w:b/>
          <w:bCs/>
        </w:rPr>
        <w:t>STAFF:</w:t>
      </w:r>
      <w:r>
        <w:rPr>
          <w:b/>
          <w:bCs/>
        </w:rPr>
        <w:tab/>
      </w:r>
      <w:r w:rsidR="00AB600F">
        <w:t>No position at this time.</w:t>
      </w:r>
    </w:p>
    <w:p w14:paraId="4CAFB306" w14:textId="77777777" w:rsidR="0003402E" w:rsidRDefault="0003402E" w:rsidP="00C7699A">
      <w:pPr>
        <w:jc w:val="both"/>
      </w:pPr>
    </w:p>
    <w:p w14:paraId="0B73D1F6" w14:textId="77777777" w:rsidR="0003402E" w:rsidRDefault="0003402E" w:rsidP="00C7699A">
      <w:pPr>
        <w:jc w:val="both"/>
      </w:pPr>
    </w:p>
    <w:p w14:paraId="754A899B" w14:textId="77777777" w:rsidR="0003402E" w:rsidRPr="000878F8" w:rsidRDefault="0003402E" w:rsidP="0003402E">
      <w:pPr>
        <w:ind w:left="1440" w:hanging="1440"/>
        <w:jc w:val="both"/>
        <w:rPr>
          <w:b/>
        </w:rPr>
      </w:pPr>
      <w:r w:rsidRPr="005D4B47">
        <w:rPr>
          <w:b/>
          <w:bCs/>
        </w:rPr>
        <w:t>ISSUE 1</w:t>
      </w:r>
      <w:r>
        <w:rPr>
          <w:b/>
          <w:bCs/>
        </w:rPr>
        <w:t>6</w:t>
      </w:r>
      <w:r w:rsidRPr="00701945">
        <w:rPr>
          <w:b/>
          <w:bCs/>
        </w:rPr>
        <w:t>:</w:t>
      </w:r>
      <w:r w:rsidRPr="00701945">
        <w:tab/>
      </w:r>
      <w:r w:rsidR="000878F8" w:rsidRPr="000878F8">
        <w:rPr>
          <w:b/>
          <w:bCs/>
        </w:rPr>
        <w:t>Should TECO’s proposed Customer Experience Enhancement Projects be included in the 2025 projected test year? What, if any, adjustments should be made?</w:t>
      </w:r>
    </w:p>
    <w:p w14:paraId="478DE4D6" w14:textId="77777777" w:rsidR="0003402E" w:rsidRPr="00701945" w:rsidRDefault="0003402E" w:rsidP="0003402E">
      <w:pPr>
        <w:jc w:val="both"/>
      </w:pPr>
    </w:p>
    <w:p w14:paraId="2990C461" w14:textId="77777777" w:rsidR="0003402E" w:rsidRPr="005D4B47" w:rsidRDefault="0003402E" w:rsidP="0003402E">
      <w:pPr>
        <w:ind w:left="1440" w:hanging="1440"/>
        <w:jc w:val="both"/>
      </w:pPr>
      <w:r>
        <w:rPr>
          <w:b/>
          <w:bCs/>
        </w:rPr>
        <w:t>TECO</w:t>
      </w:r>
      <w:r w:rsidRPr="005D4B47">
        <w:rPr>
          <w:b/>
          <w:bCs/>
        </w:rPr>
        <w:t>:</w:t>
      </w:r>
      <w:r w:rsidRPr="005D4B47">
        <w:tab/>
      </w:r>
      <w:r w:rsidR="000878F8">
        <w:t>Yes. The company’s proposed Customer Digitization, Operational Efficiency, and Other Customer Programs are prudent and should be included in test year rate base. They will improve customer access to services, information, and support; allow the company to proactively present energy management solutions to customers; and give customers more choice and flexibility in how they use electric services. (Sparkman)</w:t>
      </w:r>
    </w:p>
    <w:p w14:paraId="31CA8086" w14:textId="77777777" w:rsidR="0003402E" w:rsidRPr="00701945" w:rsidRDefault="0003402E" w:rsidP="0003402E">
      <w:pPr>
        <w:jc w:val="both"/>
      </w:pPr>
    </w:p>
    <w:p w14:paraId="40B172DD" w14:textId="77777777" w:rsidR="0003402E" w:rsidRDefault="0003402E" w:rsidP="0003402E">
      <w:pPr>
        <w:ind w:left="1440" w:hanging="1440"/>
        <w:jc w:val="both"/>
      </w:pPr>
      <w:r>
        <w:rPr>
          <w:b/>
          <w:bCs/>
        </w:rPr>
        <w:t>OPC</w:t>
      </w:r>
      <w:r w:rsidRPr="00701945">
        <w:rPr>
          <w:b/>
          <w:bCs/>
        </w:rPr>
        <w:t>:</w:t>
      </w:r>
      <w:r>
        <w:tab/>
      </w:r>
      <w:r w:rsidR="00A10927">
        <w:t>No, all costs should be excluded</w:t>
      </w:r>
      <w:r w:rsidR="00A81692">
        <w:t>.</w:t>
      </w:r>
    </w:p>
    <w:p w14:paraId="72906E7C" w14:textId="77777777" w:rsidR="0003402E" w:rsidRDefault="0003402E" w:rsidP="0003402E">
      <w:pPr>
        <w:ind w:left="1440" w:hanging="1440"/>
        <w:jc w:val="both"/>
      </w:pPr>
    </w:p>
    <w:p w14:paraId="29EB81F6" w14:textId="77777777" w:rsidR="0003402E" w:rsidRDefault="0003402E" w:rsidP="0003402E">
      <w:pPr>
        <w:ind w:left="1440" w:hanging="1440"/>
        <w:jc w:val="both"/>
        <w:rPr>
          <w:b/>
        </w:rPr>
      </w:pPr>
      <w:r>
        <w:rPr>
          <w:b/>
        </w:rPr>
        <w:t>FL RISING/</w:t>
      </w:r>
    </w:p>
    <w:p w14:paraId="4AE57808" w14:textId="77777777" w:rsidR="0003402E" w:rsidRDefault="0003402E" w:rsidP="0003402E">
      <w:pPr>
        <w:ind w:left="1440" w:hanging="1440"/>
        <w:jc w:val="both"/>
        <w:rPr>
          <w:b/>
        </w:rPr>
      </w:pPr>
      <w:r>
        <w:rPr>
          <w:b/>
        </w:rPr>
        <w:t>LULAC:</w:t>
      </w:r>
      <w:r>
        <w:rPr>
          <w:b/>
        </w:rPr>
        <w:tab/>
      </w:r>
      <w:r w:rsidR="00664874" w:rsidRPr="00A85CF5">
        <w:rPr>
          <w:bCs/>
        </w:rPr>
        <w:t xml:space="preserve">No, TECO has not met its burden to show that </w:t>
      </w:r>
      <w:r w:rsidR="00664874">
        <w:rPr>
          <w:bCs/>
        </w:rPr>
        <w:t>these projects are</w:t>
      </w:r>
      <w:r w:rsidR="00664874" w:rsidRPr="00A85CF5">
        <w:rPr>
          <w:bCs/>
        </w:rPr>
        <w:t xml:space="preserve"> in the customer interest and </w:t>
      </w:r>
      <w:r w:rsidR="00664874">
        <w:rPr>
          <w:bCs/>
        </w:rPr>
        <w:t>are</w:t>
      </w:r>
      <w:r w:rsidR="00664874" w:rsidRPr="00A85CF5">
        <w:rPr>
          <w:bCs/>
        </w:rPr>
        <w:t xml:space="preserve"> reasonable and prudent.</w:t>
      </w:r>
    </w:p>
    <w:p w14:paraId="603AB78D" w14:textId="77777777" w:rsidR="0003402E" w:rsidRDefault="0003402E" w:rsidP="0003402E">
      <w:pPr>
        <w:ind w:left="1440" w:hanging="1440"/>
        <w:jc w:val="both"/>
        <w:rPr>
          <w:b/>
        </w:rPr>
      </w:pPr>
    </w:p>
    <w:p w14:paraId="47A08499" w14:textId="77BDB9B9" w:rsidR="0003402E" w:rsidRDefault="0003402E" w:rsidP="0003402E">
      <w:pPr>
        <w:ind w:left="1440" w:hanging="1440"/>
        <w:jc w:val="both"/>
        <w:rPr>
          <w:b/>
        </w:rPr>
      </w:pPr>
      <w:r>
        <w:rPr>
          <w:b/>
        </w:rPr>
        <w:lastRenderedPageBreak/>
        <w:t>FIPUG:</w:t>
      </w:r>
      <w:r>
        <w:rPr>
          <w:b/>
        </w:rPr>
        <w:tab/>
      </w:r>
      <w:r w:rsidR="00DA1A31">
        <w:rPr>
          <w:bCs/>
        </w:rPr>
        <w:t>Adopt</w:t>
      </w:r>
      <w:r w:rsidR="00922521">
        <w:rPr>
          <w:bCs/>
        </w:rPr>
        <w:t>s</w:t>
      </w:r>
      <w:r w:rsidR="00DA1A31">
        <w:rPr>
          <w:bCs/>
        </w:rPr>
        <w:t xml:space="preserve"> the position of OPC.</w:t>
      </w:r>
    </w:p>
    <w:p w14:paraId="740BBC64" w14:textId="77777777" w:rsidR="0003402E" w:rsidRDefault="0003402E" w:rsidP="0003402E">
      <w:pPr>
        <w:ind w:left="1440" w:hanging="1440"/>
        <w:jc w:val="both"/>
        <w:rPr>
          <w:b/>
        </w:rPr>
      </w:pPr>
    </w:p>
    <w:p w14:paraId="01474E3B" w14:textId="42C52A79" w:rsidR="0003402E" w:rsidRDefault="0003402E" w:rsidP="0003402E">
      <w:pPr>
        <w:ind w:left="1440" w:hanging="1440"/>
        <w:jc w:val="both"/>
        <w:rPr>
          <w:b/>
        </w:rPr>
      </w:pPr>
      <w:r>
        <w:rPr>
          <w:b/>
        </w:rPr>
        <w:t>FEA:</w:t>
      </w:r>
      <w:r>
        <w:rPr>
          <w:b/>
        </w:rPr>
        <w:tab/>
      </w:r>
      <w:r w:rsidR="00922521">
        <w:t>No position.</w:t>
      </w:r>
    </w:p>
    <w:p w14:paraId="2790D153" w14:textId="77777777" w:rsidR="0003402E" w:rsidRDefault="0003402E" w:rsidP="0003402E">
      <w:pPr>
        <w:ind w:left="1440" w:hanging="1440"/>
        <w:jc w:val="both"/>
        <w:rPr>
          <w:b/>
        </w:rPr>
      </w:pPr>
    </w:p>
    <w:p w14:paraId="607054FB" w14:textId="77777777" w:rsidR="007E6DCF" w:rsidRDefault="0003402E" w:rsidP="0003402E">
      <w:pPr>
        <w:ind w:left="1440" w:hanging="1440"/>
        <w:jc w:val="both"/>
        <w:rPr>
          <w:b/>
        </w:rPr>
      </w:pPr>
      <w:r>
        <w:rPr>
          <w:b/>
        </w:rPr>
        <w:t>SIERRA</w:t>
      </w:r>
    </w:p>
    <w:p w14:paraId="79BB3737" w14:textId="450336E2" w:rsidR="0003402E" w:rsidRDefault="007E6DCF" w:rsidP="0003402E">
      <w:pPr>
        <w:ind w:left="1440" w:hanging="1440"/>
        <w:jc w:val="both"/>
        <w:rPr>
          <w:b/>
        </w:rPr>
      </w:pPr>
      <w:r>
        <w:rPr>
          <w:b/>
        </w:rPr>
        <w:t>CLUB</w:t>
      </w:r>
      <w:r w:rsidR="0003402E">
        <w:rPr>
          <w:b/>
        </w:rPr>
        <w:t>:</w:t>
      </w:r>
      <w:r w:rsidR="0003402E">
        <w:rPr>
          <w:b/>
        </w:rPr>
        <w:tab/>
      </w:r>
      <w:r w:rsidR="00922521">
        <w:t>No position.</w:t>
      </w:r>
    </w:p>
    <w:p w14:paraId="1E422B10" w14:textId="77777777" w:rsidR="0003402E" w:rsidRDefault="0003402E" w:rsidP="0003402E">
      <w:pPr>
        <w:ind w:left="1440" w:hanging="1440"/>
        <w:jc w:val="both"/>
        <w:rPr>
          <w:b/>
        </w:rPr>
      </w:pPr>
    </w:p>
    <w:p w14:paraId="6B7ABA3C" w14:textId="4A7A77A6" w:rsidR="0003402E" w:rsidRDefault="0003402E" w:rsidP="0003402E">
      <w:pPr>
        <w:ind w:left="1440" w:hanging="1440"/>
        <w:jc w:val="both"/>
        <w:rPr>
          <w:b/>
        </w:rPr>
      </w:pPr>
      <w:r>
        <w:rPr>
          <w:b/>
        </w:rPr>
        <w:t>FRF:</w:t>
      </w:r>
      <w:r>
        <w:rPr>
          <w:b/>
        </w:rPr>
        <w:tab/>
      </w:r>
      <w:r w:rsidR="009533B2">
        <w:t>Agree</w:t>
      </w:r>
      <w:r w:rsidR="00922521">
        <w:t>s</w:t>
      </w:r>
      <w:r w:rsidR="009533B2">
        <w:t xml:space="preserve"> with OPC.</w:t>
      </w:r>
    </w:p>
    <w:p w14:paraId="5E477D31" w14:textId="77777777" w:rsidR="0003402E" w:rsidRDefault="0003402E" w:rsidP="0003402E">
      <w:pPr>
        <w:ind w:left="1440" w:hanging="1440"/>
        <w:jc w:val="both"/>
        <w:rPr>
          <w:b/>
        </w:rPr>
      </w:pPr>
    </w:p>
    <w:p w14:paraId="5C3C83A7" w14:textId="77777777" w:rsidR="007E6DCF" w:rsidRDefault="007E6DCF" w:rsidP="0003402E">
      <w:pPr>
        <w:ind w:left="1440" w:hanging="1440"/>
        <w:jc w:val="both"/>
        <w:rPr>
          <w:b/>
        </w:rPr>
      </w:pPr>
      <w:r>
        <w:rPr>
          <w:b/>
        </w:rPr>
        <w:t>FUEL</w:t>
      </w:r>
    </w:p>
    <w:p w14:paraId="779AA221" w14:textId="0D010C10" w:rsidR="0003402E" w:rsidRDefault="007E6DCF" w:rsidP="0003402E">
      <w:pPr>
        <w:ind w:left="1440" w:hanging="1440"/>
        <w:jc w:val="both"/>
        <w:rPr>
          <w:bCs/>
        </w:rPr>
      </w:pPr>
      <w:r>
        <w:rPr>
          <w:b/>
        </w:rPr>
        <w:t>RETAILERS</w:t>
      </w:r>
      <w:r w:rsidR="0003402E">
        <w:rPr>
          <w:b/>
        </w:rPr>
        <w:t>:</w:t>
      </w:r>
      <w:r>
        <w:rPr>
          <w:b/>
        </w:rPr>
        <w:t xml:space="preserve"> </w:t>
      </w:r>
      <w:r w:rsidR="003B49CB">
        <w:rPr>
          <w:bCs/>
        </w:rPr>
        <w:t>Agree</w:t>
      </w:r>
      <w:r w:rsidR="00922521">
        <w:rPr>
          <w:bCs/>
        </w:rPr>
        <w:t>s</w:t>
      </w:r>
      <w:r w:rsidR="003B49CB">
        <w:rPr>
          <w:bCs/>
        </w:rPr>
        <w:t xml:space="preserve"> with </w:t>
      </w:r>
      <w:r w:rsidR="00922521">
        <w:rPr>
          <w:bCs/>
        </w:rPr>
        <w:t>OPC</w:t>
      </w:r>
      <w:r w:rsidR="003B49CB">
        <w:rPr>
          <w:bCs/>
        </w:rPr>
        <w:t>.</w:t>
      </w:r>
    </w:p>
    <w:p w14:paraId="024ACA52" w14:textId="77777777" w:rsidR="00FF772F" w:rsidRDefault="00FF772F" w:rsidP="0003402E">
      <w:pPr>
        <w:ind w:left="1440" w:hanging="1440"/>
        <w:jc w:val="both"/>
        <w:rPr>
          <w:bCs/>
        </w:rPr>
      </w:pPr>
    </w:p>
    <w:p w14:paraId="0A4068DC" w14:textId="0CDB66EB" w:rsidR="00FF772F" w:rsidRPr="00FF772F" w:rsidRDefault="007E6DCF" w:rsidP="0003402E">
      <w:pPr>
        <w:ind w:left="1440" w:hanging="1440"/>
        <w:jc w:val="both"/>
        <w:rPr>
          <w:b/>
        </w:rPr>
      </w:pPr>
      <w:r>
        <w:rPr>
          <w:b/>
          <w:bCs/>
        </w:rPr>
        <w:t>WALMART</w:t>
      </w:r>
      <w:r w:rsidR="00FF772F">
        <w:rPr>
          <w:b/>
          <w:bCs/>
        </w:rPr>
        <w:t>:</w:t>
      </w:r>
      <w:r w:rsidR="00FF772F">
        <w:rPr>
          <w:b/>
          <w:bCs/>
        </w:rPr>
        <w:tab/>
      </w:r>
      <w:r w:rsidR="00922521">
        <w:t>A</w:t>
      </w:r>
      <w:r w:rsidR="00FF772F">
        <w:t>grees with OPC.</w:t>
      </w:r>
    </w:p>
    <w:p w14:paraId="640374D2" w14:textId="77777777" w:rsidR="0003402E" w:rsidRPr="00701945" w:rsidRDefault="0003402E" w:rsidP="0003402E">
      <w:pPr>
        <w:jc w:val="both"/>
      </w:pPr>
    </w:p>
    <w:p w14:paraId="73A59643" w14:textId="77777777" w:rsidR="0003402E" w:rsidRPr="005D4B47" w:rsidRDefault="0003402E" w:rsidP="0003402E">
      <w:pPr>
        <w:ind w:left="1440" w:hanging="1440"/>
        <w:jc w:val="both"/>
        <w:rPr>
          <w:b/>
          <w:bCs/>
        </w:rPr>
      </w:pPr>
      <w:r>
        <w:rPr>
          <w:b/>
          <w:bCs/>
        </w:rPr>
        <w:t>STAFF:</w:t>
      </w:r>
      <w:r>
        <w:rPr>
          <w:b/>
          <w:bCs/>
        </w:rPr>
        <w:tab/>
      </w:r>
      <w:r w:rsidR="00AB600F">
        <w:t>No position at this time.</w:t>
      </w:r>
    </w:p>
    <w:p w14:paraId="32826E2B" w14:textId="77777777" w:rsidR="0003402E" w:rsidRDefault="0003402E" w:rsidP="00C7699A">
      <w:pPr>
        <w:jc w:val="both"/>
      </w:pPr>
    </w:p>
    <w:p w14:paraId="50C93BC4" w14:textId="77777777" w:rsidR="0003402E" w:rsidRDefault="0003402E" w:rsidP="00C7699A">
      <w:pPr>
        <w:jc w:val="both"/>
      </w:pPr>
    </w:p>
    <w:p w14:paraId="5306A75E" w14:textId="77777777" w:rsidR="0003402E" w:rsidRPr="000878F8" w:rsidRDefault="0003402E" w:rsidP="0003402E">
      <w:pPr>
        <w:ind w:left="1440" w:hanging="1440"/>
        <w:jc w:val="both"/>
        <w:rPr>
          <w:b/>
        </w:rPr>
      </w:pPr>
      <w:r w:rsidRPr="005D4B47">
        <w:rPr>
          <w:b/>
          <w:bCs/>
        </w:rPr>
        <w:t>ISSUE 1</w:t>
      </w:r>
      <w:r>
        <w:rPr>
          <w:b/>
          <w:bCs/>
        </w:rPr>
        <w:t>7</w:t>
      </w:r>
      <w:r w:rsidRPr="00701945">
        <w:rPr>
          <w:b/>
          <w:bCs/>
        </w:rPr>
        <w:t>:</w:t>
      </w:r>
      <w:r w:rsidRPr="00701945">
        <w:tab/>
      </w:r>
      <w:r w:rsidR="000878F8" w:rsidRPr="000878F8">
        <w:rPr>
          <w:b/>
          <w:bCs/>
        </w:rPr>
        <w:t>Should TECO’s proposed Information Technology Capital Projects be included in the 2025 projected test year? What, if any, adjustments should be made?</w:t>
      </w:r>
    </w:p>
    <w:p w14:paraId="414FA0D5" w14:textId="77777777" w:rsidR="0003402E" w:rsidRPr="00701945" w:rsidRDefault="0003402E" w:rsidP="0003402E">
      <w:pPr>
        <w:jc w:val="both"/>
      </w:pPr>
    </w:p>
    <w:p w14:paraId="26D9E37F" w14:textId="77777777" w:rsidR="0003402E" w:rsidRPr="005D4B47" w:rsidRDefault="0003402E" w:rsidP="0003402E">
      <w:pPr>
        <w:ind w:left="1440" w:hanging="1440"/>
        <w:jc w:val="both"/>
      </w:pPr>
      <w:r>
        <w:rPr>
          <w:b/>
          <w:bCs/>
        </w:rPr>
        <w:t>TECO</w:t>
      </w:r>
      <w:r w:rsidRPr="005D4B47">
        <w:rPr>
          <w:b/>
          <w:bCs/>
        </w:rPr>
        <w:t>:</w:t>
      </w:r>
      <w:r w:rsidRPr="005D4B47">
        <w:tab/>
      </w:r>
      <w:r w:rsidR="000878F8">
        <w:t>Yes. The company’s proposed expenditures for IT capital projects are prudent and should be included in test year rate base. They will help create a modern, cloud-based IT Service platform, replace/upgrade end of life data center hardware and software, enhance cybersecurity, comply with NERC/CIP requirements, maintain the company’s Enterprise Resource Planning and Customer Systems platform, and improve other IT applications. (Heck)</w:t>
      </w:r>
    </w:p>
    <w:p w14:paraId="0FF949FE" w14:textId="77777777" w:rsidR="0003402E" w:rsidRPr="00701945" w:rsidRDefault="0003402E" w:rsidP="0003402E">
      <w:pPr>
        <w:jc w:val="both"/>
      </w:pPr>
    </w:p>
    <w:p w14:paraId="69985A5B" w14:textId="77777777" w:rsidR="0003402E" w:rsidRDefault="0003402E" w:rsidP="0003402E">
      <w:pPr>
        <w:ind w:left="1440" w:hanging="1440"/>
        <w:jc w:val="both"/>
      </w:pPr>
      <w:r>
        <w:rPr>
          <w:b/>
          <w:bCs/>
        </w:rPr>
        <w:t>OPC</w:t>
      </w:r>
      <w:r w:rsidRPr="00701945">
        <w:rPr>
          <w:b/>
          <w:bCs/>
        </w:rPr>
        <w:t>:</w:t>
      </w:r>
      <w:r>
        <w:tab/>
      </w:r>
      <w:r w:rsidR="00A10927">
        <w:t>No, all costs should be excluded</w:t>
      </w:r>
      <w:r w:rsidR="00A81692">
        <w:t>.</w:t>
      </w:r>
    </w:p>
    <w:p w14:paraId="14CF4109" w14:textId="77777777" w:rsidR="0003402E" w:rsidRDefault="0003402E" w:rsidP="0003402E">
      <w:pPr>
        <w:ind w:left="1440" w:hanging="1440"/>
        <w:jc w:val="both"/>
      </w:pPr>
    </w:p>
    <w:p w14:paraId="6DFE9FED" w14:textId="77777777" w:rsidR="0003402E" w:rsidRDefault="0003402E" w:rsidP="0003402E">
      <w:pPr>
        <w:ind w:left="1440" w:hanging="1440"/>
        <w:jc w:val="both"/>
        <w:rPr>
          <w:b/>
        </w:rPr>
      </w:pPr>
      <w:r>
        <w:rPr>
          <w:b/>
        </w:rPr>
        <w:t>FL RISING/</w:t>
      </w:r>
    </w:p>
    <w:p w14:paraId="5C4A4700" w14:textId="77777777" w:rsidR="0003402E" w:rsidRDefault="0003402E" w:rsidP="0003402E">
      <w:pPr>
        <w:ind w:left="1440" w:hanging="1440"/>
        <w:jc w:val="both"/>
        <w:rPr>
          <w:b/>
        </w:rPr>
      </w:pPr>
      <w:r>
        <w:rPr>
          <w:b/>
        </w:rPr>
        <w:t>LULAC:</w:t>
      </w:r>
      <w:r>
        <w:rPr>
          <w:b/>
        </w:rPr>
        <w:tab/>
      </w:r>
      <w:r w:rsidR="00664874" w:rsidRPr="00A85CF5">
        <w:rPr>
          <w:bCs/>
        </w:rPr>
        <w:t xml:space="preserve">No, TECO has not met its burden to show that </w:t>
      </w:r>
      <w:r w:rsidR="00664874">
        <w:rPr>
          <w:bCs/>
        </w:rPr>
        <w:t>these projects are</w:t>
      </w:r>
      <w:r w:rsidR="00664874" w:rsidRPr="00A85CF5">
        <w:rPr>
          <w:bCs/>
        </w:rPr>
        <w:t xml:space="preserve"> in the customer interest and </w:t>
      </w:r>
      <w:r w:rsidR="00664874">
        <w:rPr>
          <w:bCs/>
        </w:rPr>
        <w:t>are</w:t>
      </w:r>
      <w:r w:rsidR="00664874" w:rsidRPr="00A85CF5">
        <w:rPr>
          <w:bCs/>
        </w:rPr>
        <w:t xml:space="preserve"> reasonable and prudent.</w:t>
      </w:r>
    </w:p>
    <w:p w14:paraId="2892A73D" w14:textId="77777777" w:rsidR="0003402E" w:rsidRDefault="0003402E" w:rsidP="0003402E">
      <w:pPr>
        <w:ind w:left="1440" w:hanging="1440"/>
        <w:jc w:val="both"/>
        <w:rPr>
          <w:b/>
        </w:rPr>
      </w:pPr>
    </w:p>
    <w:p w14:paraId="1D2699A4" w14:textId="582211F7" w:rsidR="0003402E" w:rsidRDefault="0003402E" w:rsidP="0003402E">
      <w:pPr>
        <w:ind w:left="1440" w:hanging="1440"/>
        <w:jc w:val="both"/>
        <w:rPr>
          <w:bCs/>
        </w:rPr>
      </w:pPr>
      <w:r>
        <w:rPr>
          <w:b/>
        </w:rPr>
        <w:t>FIPUG:</w:t>
      </w:r>
      <w:r>
        <w:rPr>
          <w:b/>
        </w:rPr>
        <w:tab/>
      </w:r>
      <w:r w:rsidR="00DA1A31">
        <w:rPr>
          <w:bCs/>
        </w:rPr>
        <w:t>Adopt</w:t>
      </w:r>
      <w:r w:rsidR="00201F3B">
        <w:rPr>
          <w:bCs/>
        </w:rPr>
        <w:t>s</w:t>
      </w:r>
      <w:r w:rsidR="00DA1A31">
        <w:rPr>
          <w:bCs/>
        </w:rPr>
        <w:t xml:space="preserve"> the position of OPC.</w:t>
      </w:r>
    </w:p>
    <w:p w14:paraId="2E18119D" w14:textId="77777777" w:rsidR="00DD75AF" w:rsidRDefault="00DD75AF" w:rsidP="0003402E">
      <w:pPr>
        <w:ind w:left="1440" w:hanging="1440"/>
        <w:jc w:val="both"/>
        <w:rPr>
          <w:b/>
        </w:rPr>
      </w:pPr>
    </w:p>
    <w:p w14:paraId="0C91724B" w14:textId="4446C048" w:rsidR="0003402E" w:rsidRDefault="0003402E" w:rsidP="0003402E">
      <w:pPr>
        <w:ind w:left="1440" w:hanging="1440"/>
        <w:jc w:val="both"/>
        <w:rPr>
          <w:b/>
        </w:rPr>
      </w:pPr>
      <w:r>
        <w:rPr>
          <w:b/>
        </w:rPr>
        <w:t>FEA:</w:t>
      </w:r>
      <w:r>
        <w:rPr>
          <w:b/>
        </w:rPr>
        <w:tab/>
      </w:r>
      <w:r w:rsidR="00201F3B">
        <w:t>No position.</w:t>
      </w:r>
    </w:p>
    <w:p w14:paraId="42DA4F08" w14:textId="77777777" w:rsidR="0003402E" w:rsidRDefault="0003402E" w:rsidP="0003402E">
      <w:pPr>
        <w:ind w:left="1440" w:hanging="1440"/>
        <w:jc w:val="both"/>
        <w:rPr>
          <w:b/>
        </w:rPr>
      </w:pPr>
    </w:p>
    <w:p w14:paraId="01C0E73A" w14:textId="77777777" w:rsidR="007E6DCF" w:rsidRDefault="0003402E" w:rsidP="0003402E">
      <w:pPr>
        <w:ind w:left="1440" w:hanging="1440"/>
        <w:jc w:val="both"/>
        <w:rPr>
          <w:b/>
        </w:rPr>
      </w:pPr>
      <w:r>
        <w:rPr>
          <w:b/>
        </w:rPr>
        <w:t>SIERRA</w:t>
      </w:r>
    </w:p>
    <w:p w14:paraId="4C16D10E" w14:textId="0D3B3DC3" w:rsidR="0003402E" w:rsidRDefault="007E6DCF" w:rsidP="0003402E">
      <w:pPr>
        <w:ind w:left="1440" w:hanging="1440"/>
        <w:jc w:val="both"/>
        <w:rPr>
          <w:b/>
        </w:rPr>
      </w:pPr>
      <w:r>
        <w:rPr>
          <w:b/>
        </w:rPr>
        <w:t>CLUB</w:t>
      </w:r>
      <w:r w:rsidR="0003402E">
        <w:rPr>
          <w:b/>
        </w:rPr>
        <w:t>:</w:t>
      </w:r>
      <w:r w:rsidR="0003402E">
        <w:rPr>
          <w:b/>
        </w:rPr>
        <w:tab/>
      </w:r>
      <w:r w:rsidR="00201F3B">
        <w:t>No position.</w:t>
      </w:r>
    </w:p>
    <w:p w14:paraId="225ED630" w14:textId="77777777" w:rsidR="0003402E" w:rsidRDefault="0003402E" w:rsidP="0003402E">
      <w:pPr>
        <w:ind w:left="1440" w:hanging="1440"/>
        <w:jc w:val="both"/>
        <w:rPr>
          <w:b/>
        </w:rPr>
      </w:pPr>
    </w:p>
    <w:p w14:paraId="2B4BA995" w14:textId="4679C278" w:rsidR="0003402E" w:rsidRDefault="0003402E" w:rsidP="0003402E">
      <w:pPr>
        <w:ind w:left="1440" w:hanging="1440"/>
        <w:jc w:val="both"/>
        <w:rPr>
          <w:b/>
        </w:rPr>
      </w:pPr>
      <w:r>
        <w:rPr>
          <w:b/>
        </w:rPr>
        <w:t>FRF:</w:t>
      </w:r>
      <w:r>
        <w:rPr>
          <w:b/>
        </w:rPr>
        <w:tab/>
      </w:r>
      <w:r w:rsidR="009533B2">
        <w:t>Agree</w:t>
      </w:r>
      <w:r w:rsidR="006073B2">
        <w:t>s</w:t>
      </w:r>
      <w:r w:rsidR="009533B2">
        <w:t xml:space="preserve"> with OPC.</w:t>
      </w:r>
    </w:p>
    <w:p w14:paraId="10B5912C" w14:textId="77777777" w:rsidR="0003402E" w:rsidRDefault="0003402E" w:rsidP="0003402E">
      <w:pPr>
        <w:ind w:left="1440" w:hanging="1440"/>
        <w:jc w:val="both"/>
        <w:rPr>
          <w:b/>
        </w:rPr>
      </w:pPr>
    </w:p>
    <w:p w14:paraId="5F17D3B8" w14:textId="77777777" w:rsidR="007E6DCF" w:rsidRDefault="007E6DCF" w:rsidP="0003402E">
      <w:pPr>
        <w:ind w:left="1440" w:hanging="1440"/>
        <w:jc w:val="both"/>
        <w:rPr>
          <w:b/>
        </w:rPr>
      </w:pPr>
      <w:r>
        <w:rPr>
          <w:b/>
        </w:rPr>
        <w:t>FUEL</w:t>
      </w:r>
    </w:p>
    <w:p w14:paraId="208F08DF" w14:textId="74DA5F1C" w:rsidR="0003402E" w:rsidRDefault="007E6DCF" w:rsidP="0003402E">
      <w:pPr>
        <w:ind w:left="1440" w:hanging="1440"/>
        <w:jc w:val="both"/>
        <w:rPr>
          <w:bCs/>
        </w:rPr>
      </w:pPr>
      <w:r>
        <w:rPr>
          <w:b/>
        </w:rPr>
        <w:t>RETAILERS</w:t>
      </w:r>
      <w:r w:rsidR="0003402E">
        <w:rPr>
          <w:b/>
        </w:rPr>
        <w:t>:</w:t>
      </w:r>
      <w:r>
        <w:rPr>
          <w:b/>
        </w:rPr>
        <w:t xml:space="preserve"> </w:t>
      </w:r>
      <w:r w:rsidR="003B49CB">
        <w:rPr>
          <w:bCs/>
        </w:rPr>
        <w:t>Agree</w:t>
      </w:r>
      <w:r w:rsidR="006073B2">
        <w:rPr>
          <w:bCs/>
        </w:rPr>
        <w:t>s</w:t>
      </w:r>
      <w:r w:rsidR="003B49CB">
        <w:rPr>
          <w:bCs/>
        </w:rPr>
        <w:t xml:space="preserve"> with </w:t>
      </w:r>
      <w:r w:rsidR="006073B2">
        <w:rPr>
          <w:bCs/>
        </w:rPr>
        <w:t>OPC</w:t>
      </w:r>
      <w:r w:rsidR="003B49CB">
        <w:rPr>
          <w:bCs/>
        </w:rPr>
        <w:t>.</w:t>
      </w:r>
    </w:p>
    <w:p w14:paraId="77CB5593" w14:textId="64366F01" w:rsidR="00FF772F" w:rsidRPr="00FF772F" w:rsidRDefault="007E6DCF" w:rsidP="0003402E">
      <w:pPr>
        <w:ind w:left="1440" w:hanging="1440"/>
        <w:jc w:val="both"/>
        <w:rPr>
          <w:b/>
        </w:rPr>
      </w:pPr>
      <w:r>
        <w:rPr>
          <w:b/>
          <w:bCs/>
        </w:rPr>
        <w:lastRenderedPageBreak/>
        <w:t>WALMART</w:t>
      </w:r>
      <w:r w:rsidR="00FF772F">
        <w:rPr>
          <w:b/>
          <w:bCs/>
        </w:rPr>
        <w:t>:</w:t>
      </w:r>
      <w:r w:rsidR="00FF772F">
        <w:rPr>
          <w:b/>
          <w:bCs/>
        </w:rPr>
        <w:tab/>
      </w:r>
      <w:r w:rsidR="006073B2">
        <w:t>A</w:t>
      </w:r>
      <w:r w:rsidR="00FF772F">
        <w:t>grees with OPC.</w:t>
      </w:r>
    </w:p>
    <w:p w14:paraId="4E9EE24F" w14:textId="77777777" w:rsidR="0003402E" w:rsidRPr="00701945" w:rsidRDefault="0003402E" w:rsidP="0003402E">
      <w:pPr>
        <w:jc w:val="both"/>
      </w:pPr>
    </w:p>
    <w:p w14:paraId="405CDEEB" w14:textId="77777777" w:rsidR="0003402E" w:rsidRPr="005D4B47" w:rsidRDefault="0003402E" w:rsidP="0003402E">
      <w:pPr>
        <w:ind w:left="1440" w:hanging="1440"/>
        <w:jc w:val="both"/>
        <w:rPr>
          <w:b/>
          <w:bCs/>
        </w:rPr>
      </w:pPr>
      <w:r>
        <w:rPr>
          <w:b/>
          <w:bCs/>
        </w:rPr>
        <w:t>STAFF:</w:t>
      </w:r>
      <w:r>
        <w:rPr>
          <w:b/>
          <w:bCs/>
        </w:rPr>
        <w:tab/>
      </w:r>
      <w:r w:rsidR="00AB600F">
        <w:t>No position at this time.</w:t>
      </w:r>
    </w:p>
    <w:p w14:paraId="45E0BEA1" w14:textId="77777777" w:rsidR="0003402E" w:rsidRDefault="0003402E" w:rsidP="00C7699A">
      <w:pPr>
        <w:jc w:val="both"/>
      </w:pPr>
    </w:p>
    <w:p w14:paraId="59FDF77C" w14:textId="77777777" w:rsidR="0003402E" w:rsidRDefault="0003402E" w:rsidP="00C7699A">
      <w:pPr>
        <w:jc w:val="both"/>
      </w:pPr>
    </w:p>
    <w:p w14:paraId="7F0C3772" w14:textId="77777777" w:rsidR="0003402E" w:rsidRPr="000878F8" w:rsidRDefault="0003402E" w:rsidP="0003402E">
      <w:pPr>
        <w:ind w:left="1440" w:hanging="1440"/>
        <w:jc w:val="both"/>
        <w:rPr>
          <w:b/>
        </w:rPr>
      </w:pPr>
      <w:r w:rsidRPr="005D4B47">
        <w:rPr>
          <w:b/>
          <w:bCs/>
        </w:rPr>
        <w:t>ISSUE 1</w:t>
      </w:r>
      <w:r>
        <w:rPr>
          <w:b/>
          <w:bCs/>
        </w:rPr>
        <w:t>8</w:t>
      </w:r>
      <w:r w:rsidRPr="00701945">
        <w:rPr>
          <w:b/>
          <w:bCs/>
        </w:rPr>
        <w:t>:</w:t>
      </w:r>
      <w:r w:rsidRPr="00701945">
        <w:tab/>
      </w:r>
      <w:r w:rsidR="000878F8" w:rsidRPr="000878F8">
        <w:rPr>
          <w:b/>
          <w:bCs/>
        </w:rPr>
        <w:t>Should TECO’s proposed Solar Projects be included in the 2025 projected test year? What, if any, adjustments should be made</w:t>
      </w:r>
      <w:r w:rsidR="000878F8" w:rsidRPr="000878F8">
        <w:rPr>
          <w:b/>
        </w:rPr>
        <w:t>?</w:t>
      </w:r>
    </w:p>
    <w:p w14:paraId="12B803BB" w14:textId="77777777" w:rsidR="0003402E" w:rsidRPr="00701945" w:rsidRDefault="0003402E" w:rsidP="0003402E">
      <w:pPr>
        <w:jc w:val="both"/>
      </w:pPr>
    </w:p>
    <w:p w14:paraId="3873E564" w14:textId="77777777" w:rsidR="0003402E" w:rsidRPr="005D4B47" w:rsidRDefault="0003402E" w:rsidP="0003402E">
      <w:pPr>
        <w:ind w:left="1440" w:hanging="1440"/>
        <w:jc w:val="both"/>
      </w:pPr>
      <w:r>
        <w:rPr>
          <w:b/>
          <w:bCs/>
        </w:rPr>
        <w:t>TECO</w:t>
      </w:r>
      <w:r w:rsidRPr="005D4B47">
        <w:rPr>
          <w:b/>
          <w:bCs/>
        </w:rPr>
        <w:t>:</w:t>
      </w:r>
      <w:r w:rsidRPr="005D4B47">
        <w:tab/>
      </w:r>
      <w:r w:rsidR="000878F8">
        <w:t>Yes. The company’s 488.7 MW of Future Solar Projects are prudent and should be included in test year rate base. The projects will reduce customer exposure to volatile fuel prices, provide fuel diversity, and be built at the lowest reasonable cost. They are cost-effective additions to the company’s generating fleet that will moderate fuel costs to customers. The company’s cost-effectiveness analyses for Future Solar are based on a reasonable fuel forecast, include reasonable sensitivities, and show that the proposed solar additions will benefit customers.</w:t>
      </w:r>
      <w:r w:rsidR="00844BEB">
        <w:t xml:space="preserve">  FIPUG’s proposed conditions are not reasonable and should not be imposed by the Commission. </w:t>
      </w:r>
      <w:r w:rsidR="000878F8">
        <w:t xml:space="preserve"> (Stryker, Aponte, Heisey)</w:t>
      </w:r>
    </w:p>
    <w:p w14:paraId="5133F99B" w14:textId="77777777" w:rsidR="0003402E" w:rsidRPr="00701945" w:rsidRDefault="0003402E" w:rsidP="0003402E">
      <w:pPr>
        <w:jc w:val="both"/>
      </w:pPr>
    </w:p>
    <w:p w14:paraId="51FB85B3" w14:textId="26E60109" w:rsidR="0003402E" w:rsidRDefault="0003402E" w:rsidP="0003402E">
      <w:pPr>
        <w:ind w:left="1440" w:hanging="1440"/>
        <w:jc w:val="both"/>
      </w:pPr>
      <w:r>
        <w:rPr>
          <w:b/>
          <w:bCs/>
        </w:rPr>
        <w:t>OPC</w:t>
      </w:r>
      <w:r w:rsidRPr="00701945">
        <w:rPr>
          <w:b/>
          <w:bCs/>
        </w:rPr>
        <w:t>:</w:t>
      </w:r>
      <w:r>
        <w:tab/>
      </w:r>
      <w:r w:rsidR="00A81692">
        <w:t>OPC takes no position at this time on the prudence or cost-effectiveness or need of the Solar Projects, but to the extent they are included in rates, the depreciable lives should be increased from 30 to 35 years to maintain the current 35-year service lives. OPC is still conducting discovery and certain other specific adjustments may be required.</w:t>
      </w:r>
    </w:p>
    <w:p w14:paraId="39450E6D" w14:textId="77777777" w:rsidR="0003402E" w:rsidRDefault="0003402E" w:rsidP="0003402E">
      <w:pPr>
        <w:ind w:left="1440" w:hanging="1440"/>
        <w:jc w:val="both"/>
      </w:pPr>
    </w:p>
    <w:p w14:paraId="294742BE" w14:textId="77777777" w:rsidR="0003402E" w:rsidRDefault="0003402E" w:rsidP="0003402E">
      <w:pPr>
        <w:ind w:left="1440" w:hanging="1440"/>
        <w:jc w:val="both"/>
        <w:rPr>
          <w:b/>
        </w:rPr>
      </w:pPr>
      <w:r>
        <w:rPr>
          <w:b/>
        </w:rPr>
        <w:t>FL RISING/</w:t>
      </w:r>
    </w:p>
    <w:p w14:paraId="2DD83004" w14:textId="0EE95AD9" w:rsidR="0003402E" w:rsidRDefault="0003402E" w:rsidP="0003402E">
      <w:pPr>
        <w:ind w:left="1440" w:hanging="1440"/>
        <w:jc w:val="both"/>
        <w:rPr>
          <w:b/>
        </w:rPr>
      </w:pPr>
      <w:r>
        <w:rPr>
          <w:b/>
        </w:rPr>
        <w:t>LULAC:</w:t>
      </w:r>
      <w:r>
        <w:rPr>
          <w:b/>
        </w:rPr>
        <w:tab/>
      </w:r>
      <w:r w:rsidR="00664874" w:rsidRPr="0011123C">
        <w:rPr>
          <w:bCs/>
        </w:rPr>
        <w:t>Yes</w:t>
      </w:r>
      <w:r w:rsidR="00664874">
        <w:rPr>
          <w:bCs/>
        </w:rPr>
        <w:t>, as long as TECO can show the projects are cost effective. Any costs associated with these projects that TECO cannot demonstrate are prudent and reasonable should be removed from rate base thus adjusting rate base downward.</w:t>
      </w:r>
    </w:p>
    <w:p w14:paraId="59B6DDBF" w14:textId="77777777" w:rsidR="0003402E" w:rsidRDefault="0003402E" w:rsidP="0003402E">
      <w:pPr>
        <w:ind w:left="1440" w:hanging="1440"/>
        <w:jc w:val="both"/>
        <w:rPr>
          <w:b/>
        </w:rPr>
      </w:pPr>
    </w:p>
    <w:p w14:paraId="5765CF7D" w14:textId="7DCF4D5F" w:rsidR="0003402E" w:rsidRDefault="0003402E" w:rsidP="0003402E">
      <w:pPr>
        <w:ind w:left="1440" w:hanging="1440"/>
        <w:jc w:val="both"/>
      </w:pPr>
      <w:r>
        <w:rPr>
          <w:b/>
        </w:rPr>
        <w:t>FIPUG:</w:t>
      </w:r>
      <w:r>
        <w:rPr>
          <w:b/>
        </w:rPr>
        <w:tab/>
      </w:r>
      <w:r w:rsidR="00DA1A31">
        <w:t>N</w:t>
      </w:r>
      <w:r w:rsidR="00DA1A31">
        <w:rPr>
          <w:bCs/>
        </w:rPr>
        <w:t xml:space="preserve">o. </w:t>
      </w:r>
      <w:r w:rsidR="00DA1A31" w:rsidRPr="0069262A">
        <w:rPr>
          <w:bCs/>
        </w:rPr>
        <w:t>TECO has not demonstrated that the proposed Solar Projects are cost</w:t>
      </w:r>
      <w:r w:rsidR="00DA1A31">
        <w:rPr>
          <w:bCs/>
        </w:rPr>
        <w:t xml:space="preserve"> effective. </w:t>
      </w:r>
      <w:r w:rsidR="00DA1A31" w:rsidRPr="0069262A">
        <w:rPr>
          <w:bCs/>
        </w:rPr>
        <w:t>Further, TECO’s cost-effectiveness analysis used inflated natural gas prices and assumed a value for carbon emissions, despite the fact that a tax on fossil fuel emissions has never been</w:t>
      </w:r>
      <w:r w:rsidR="00DA1A31">
        <w:t xml:space="preserve"> enacted at the state or federal level and there is no pending legislation to do so. Further, accounting for reduced emissions while also recognizing production tax credits effectively disadvantages fossil fuel generation.</w:t>
      </w:r>
    </w:p>
    <w:p w14:paraId="77D5C5D9" w14:textId="77777777" w:rsidR="00DA1A31" w:rsidRDefault="00DA1A31" w:rsidP="0003402E">
      <w:pPr>
        <w:ind w:left="1440" w:hanging="1440"/>
        <w:jc w:val="both"/>
      </w:pPr>
    </w:p>
    <w:p w14:paraId="5F14150F" w14:textId="2B277303" w:rsidR="00DA1A31" w:rsidRDefault="00DA1A31" w:rsidP="0003402E">
      <w:pPr>
        <w:ind w:left="1440" w:hanging="1440"/>
        <w:jc w:val="both"/>
        <w:rPr>
          <w:b/>
        </w:rPr>
      </w:pPr>
      <w:r>
        <w:tab/>
      </w:r>
      <w:r w:rsidRPr="0069262A">
        <w:rPr>
          <w:bCs/>
        </w:rPr>
        <w:t xml:space="preserve">In the event that the Commission approves the Solar Projects, it should impose various consumer protections, including a $1,609/kW cost cap, ensure that TECO credits at least 100% of the </w:t>
      </w:r>
      <w:r w:rsidR="00181648">
        <w:rPr>
          <w:bCs/>
        </w:rPr>
        <w:t>PTCs</w:t>
      </w:r>
      <w:r w:rsidRPr="0069262A">
        <w:rPr>
          <w:bCs/>
        </w:rPr>
        <w:t xml:space="preserve"> projected by TECO in its cost-effectiveness analysis (regardless of actual performance), and establish a minimum 26% annual operating capacity factor to ensure that customers receive the projected benefits</w:t>
      </w:r>
      <w:r>
        <w:rPr>
          <w:bCs/>
        </w:rPr>
        <w:t xml:space="preserve"> as suggested by FIPUG witness </w:t>
      </w:r>
      <w:r w:rsidRPr="0069262A">
        <w:rPr>
          <w:bCs/>
        </w:rPr>
        <w:t>Ly</w:t>
      </w:r>
      <w:r>
        <w:rPr>
          <w:bCs/>
        </w:rPr>
        <w:t>.</w:t>
      </w:r>
    </w:p>
    <w:p w14:paraId="2078CAC6" w14:textId="77777777" w:rsidR="0003402E" w:rsidRDefault="0003402E" w:rsidP="0003402E">
      <w:pPr>
        <w:ind w:left="1440" w:hanging="1440"/>
        <w:jc w:val="both"/>
        <w:rPr>
          <w:b/>
        </w:rPr>
      </w:pPr>
    </w:p>
    <w:p w14:paraId="5507DE1A" w14:textId="32597AEE" w:rsidR="0003402E" w:rsidRDefault="0003402E" w:rsidP="0003402E">
      <w:pPr>
        <w:ind w:left="1440" w:hanging="1440"/>
        <w:jc w:val="both"/>
        <w:rPr>
          <w:b/>
        </w:rPr>
      </w:pPr>
      <w:r>
        <w:rPr>
          <w:b/>
        </w:rPr>
        <w:t>FEA:</w:t>
      </w:r>
      <w:r>
        <w:rPr>
          <w:b/>
        </w:rPr>
        <w:tab/>
      </w:r>
      <w:r w:rsidR="0069328D">
        <w:t>No position.</w:t>
      </w:r>
    </w:p>
    <w:p w14:paraId="7B217B19" w14:textId="77777777" w:rsidR="007E6DCF" w:rsidRDefault="0003402E" w:rsidP="0003402E">
      <w:pPr>
        <w:ind w:left="1440" w:hanging="1440"/>
        <w:jc w:val="both"/>
        <w:rPr>
          <w:b/>
        </w:rPr>
      </w:pPr>
      <w:r>
        <w:rPr>
          <w:b/>
        </w:rPr>
        <w:lastRenderedPageBreak/>
        <w:t>SIERRA</w:t>
      </w:r>
    </w:p>
    <w:p w14:paraId="22A59BA8" w14:textId="58CF33E5" w:rsidR="0003402E" w:rsidRDefault="007E6DCF" w:rsidP="0003402E">
      <w:pPr>
        <w:ind w:left="1440" w:hanging="1440"/>
        <w:jc w:val="both"/>
        <w:rPr>
          <w:b/>
        </w:rPr>
      </w:pPr>
      <w:r>
        <w:rPr>
          <w:b/>
        </w:rPr>
        <w:t>CLUB</w:t>
      </w:r>
      <w:r w:rsidR="0003402E">
        <w:rPr>
          <w:b/>
        </w:rPr>
        <w:t>:</w:t>
      </w:r>
      <w:r w:rsidR="0003402E">
        <w:rPr>
          <w:b/>
        </w:rPr>
        <w:tab/>
      </w:r>
      <w:r w:rsidR="0049497E" w:rsidRPr="001E3193">
        <w:t>Sierra Club supports the inclusion of TECO’s proposed Solar Projects in the 2025 projected test year.</w:t>
      </w:r>
    </w:p>
    <w:p w14:paraId="4651404A" w14:textId="77777777" w:rsidR="0003402E" w:rsidRDefault="0003402E" w:rsidP="0003402E">
      <w:pPr>
        <w:ind w:left="1440" w:hanging="1440"/>
        <w:jc w:val="both"/>
        <w:rPr>
          <w:b/>
        </w:rPr>
      </w:pPr>
    </w:p>
    <w:p w14:paraId="361C42EE" w14:textId="709C83A4" w:rsidR="0003402E" w:rsidRPr="009533B2" w:rsidRDefault="0003402E" w:rsidP="0003402E">
      <w:pPr>
        <w:ind w:left="1440" w:hanging="1440"/>
        <w:jc w:val="both"/>
      </w:pPr>
      <w:r>
        <w:rPr>
          <w:b/>
        </w:rPr>
        <w:t>FRF:</w:t>
      </w:r>
      <w:r>
        <w:rPr>
          <w:b/>
        </w:rPr>
        <w:tab/>
      </w:r>
      <w:r w:rsidR="00813E22" w:rsidRPr="00813E22">
        <w:t>The FRF supports the addition of solar generating resources into Florida’s power supply grid, provided that such resources satisfy normal standards of cost-effectiveness, and reasonableness and prudence of capital and operating costs.</w:t>
      </w:r>
    </w:p>
    <w:p w14:paraId="75407B73" w14:textId="77777777" w:rsidR="0003402E" w:rsidRDefault="0003402E" w:rsidP="0003402E">
      <w:pPr>
        <w:ind w:left="1440" w:hanging="1440"/>
        <w:jc w:val="both"/>
        <w:rPr>
          <w:b/>
        </w:rPr>
      </w:pPr>
    </w:p>
    <w:p w14:paraId="281D00A5" w14:textId="77777777" w:rsidR="007E6DCF" w:rsidRDefault="007E6DCF" w:rsidP="0003402E">
      <w:pPr>
        <w:ind w:left="1440" w:hanging="1440"/>
        <w:jc w:val="both"/>
        <w:rPr>
          <w:b/>
        </w:rPr>
      </w:pPr>
      <w:r>
        <w:rPr>
          <w:b/>
        </w:rPr>
        <w:t>FUEL</w:t>
      </w:r>
    </w:p>
    <w:p w14:paraId="45CCE68F" w14:textId="59D149D4" w:rsidR="0003402E" w:rsidRDefault="007E6DCF" w:rsidP="0003402E">
      <w:pPr>
        <w:ind w:left="1440" w:hanging="1440"/>
        <w:jc w:val="both"/>
      </w:pPr>
      <w:r>
        <w:rPr>
          <w:b/>
        </w:rPr>
        <w:t>RETAILERS</w:t>
      </w:r>
      <w:r w:rsidR="0003402E">
        <w:rPr>
          <w:b/>
        </w:rPr>
        <w:t>:</w:t>
      </w:r>
      <w:r>
        <w:rPr>
          <w:b/>
        </w:rPr>
        <w:t xml:space="preserve"> </w:t>
      </w:r>
      <w:r w:rsidR="003B49CB">
        <w:t>No position.</w:t>
      </w:r>
    </w:p>
    <w:p w14:paraId="60B5D87C" w14:textId="77777777" w:rsidR="00D52FA2" w:rsidRDefault="00D52FA2" w:rsidP="0003402E">
      <w:pPr>
        <w:ind w:left="1440" w:hanging="1440"/>
        <w:jc w:val="both"/>
      </w:pPr>
    </w:p>
    <w:p w14:paraId="3B3EF366" w14:textId="21E2F9ED" w:rsidR="00D52FA2" w:rsidRPr="00D52FA2" w:rsidRDefault="007E6DCF" w:rsidP="0003402E">
      <w:pPr>
        <w:ind w:left="1440" w:hanging="1440"/>
        <w:jc w:val="both"/>
        <w:rPr>
          <w:b/>
        </w:rPr>
      </w:pPr>
      <w:r>
        <w:rPr>
          <w:b/>
        </w:rPr>
        <w:t>WALMART</w:t>
      </w:r>
      <w:r w:rsidR="00D52FA2">
        <w:rPr>
          <w:b/>
        </w:rPr>
        <w:t>:</w:t>
      </w:r>
      <w:r w:rsidR="00D52FA2">
        <w:rPr>
          <w:b/>
        </w:rPr>
        <w:tab/>
      </w:r>
      <w:r w:rsidR="00D52FA2" w:rsidRPr="00CB179F">
        <w:rPr>
          <w:bCs/>
        </w:rPr>
        <w:t>In accordance with Walmart</w:t>
      </w:r>
      <w:r w:rsidR="00D52FA2">
        <w:rPr>
          <w:bCs/>
        </w:rPr>
        <w:t>'</w:t>
      </w:r>
      <w:r w:rsidR="00D52FA2" w:rsidRPr="00CB179F">
        <w:rPr>
          <w:bCs/>
        </w:rPr>
        <w:t xml:space="preserve">s significant and company-wide renewable energy goals set forth in the </w:t>
      </w:r>
      <w:r w:rsidR="00A83E1C">
        <w:rPr>
          <w:bCs/>
        </w:rPr>
        <w:t>d</w:t>
      </w:r>
      <w:r w:rsidR="00D52FA2" w:rsidRPr="00CB179F">
        <w:rPr>
          <w:bCs/>
        </w:rPr>
        <w:t xml:space="preserve">irect </w:t>
      </w:r>
      <w:r w:rsidR="00A83E1C">
        <w:rPr>
          <w:bCs/>
        </w:rPr>
        <w:t>t</w:t>
      </w:r>
      <w:r w:rsidR="00D52FA2" w:rsidRPr="00CB179F">
        <w:rPr>
          <w:bCs/>
        </w:rPr>
        <w:t xml:space="preserve">estimony of Steve W. Chriss in Docket </w:t>
      </w:r>
      <w:r w:rsidR="00D52FA2">
        <w:rPr>
          <w:bCs/>
        </w:rPr>
        <w:t xml:space="preserve">No. </w:t>
      </w:r>
      <w:r w:rsidR="00D52FA2" w:rsidRPr="00CB179F">
        <w:rPr>
          <w:bCs/>
        </w:rPr>
        <w:t>20240014-EG, Walmart supports solar and other renewable energy projects to the extent those projects are prudent, cost-effective</w:t>
      </w:r>
      <w:r w:rsidR="00923DA6">
        <w:rPr>
          <w:bCs/>
        </w:rPr>
        <w:t>,</w:t>
      </w:r>
      <w:r w:rsidR="00D52FA2" w:rsidRPr="00CB179F">
        <w:rPr>
          <w:bCs/>
        </w:rPr>
        <w:t xml:space="preserve"> and are relevant to Walmart</w:t>
      </w:r>
      <w:r w:rsidR="00D52FA2">
        <w:rPr>
          <w:bCs/>
        </w:rPr>
        <w:t>'</w:t>
      </w:r>
      <w:r w:rsidR="00D52FA2" w:rsidRPr="00CB179F">
        <w:rPr>
          <w:bCs/>
        </w:rPr>
        <w:t>s renewable energy goals.</w:t>
      </w:r>
    </w:p>
    <w:p w14:paraId="790C6E89" w14:textId="77777777" w:rsidR="0003402E" w:rsidRPr="00701945" w:rsidRDefault="0003402E" w:rsidP="0003402E">
      <w:pPr>
        <w:jc w:val="both"/>
      </w:pPr>
    </w:p>
    <w:p w14:paraId="6CF97FD8" w14:textId="77777777" w:rsidR="0003402E" w:rsidRPr="005D4B47" w:rsidRDefault="0003402E" w:rsidP="0003402E">
      <w:pPr>
        <w:ind w:left="1440" w:hanging="1440"/>
        <w:jc w:val="both"/>
        <w:rPr>
          <w:b/>
          <w:bCs/>
        </w:rPr>
      </w:pPr>
      <w:r>
        <w:rPr>
          <w:b/>
          <w:bCs/>
        </w:rPr>
        <w:t>STAFF:</w:t>
      </w:r>
      <w:r>
        <w:rPr>
          <w:b/>
          <w:bCs/>
        </w:rPr>
        <w:tab/>
      </w:r>
      <w:r w:rsidR="00AB600F">
        <w:t>No position at this time.</w:t>
      </w:r>
    </w:p>
    <w:p w14:paraId="3AAA67E5" w14:textId="77777777" w:rsidR="0003402E" w:rsidRDefault="0003402E" w:rsidP="00C7699A">
      <w:pPr>
        <w:jc w:val="both"/>
      </w:pPr>
    </w:p>
    <w:p w14:paraId="3660A1B8" w14:textId="77777777" w:rsidR="0003402E" w:rsidRDefault="0003402E" w:rsidP="00C7699A">
      <w:pPr>
        <w:jc w:val="both"/>
      </w:pPr>
    </w:p>
    <w:p w14:paraId="3428EE68" w14:textId="77777777" w:rsidR="0003402E" w:rsidRPr="00024AAA" w:rsidRDefault="0003402E" w:rsidP="0003402E">
      <w:pPr>
        <w:ind w:left="1440" w:hanging="1440"/>
        <w:jc w:val="both"/>
        <w:rPr>
          <w:b/>
        </w:rPr>
      </w:pPr>
      <w:r w:rsidRPr="005D4B47">
        <w:rPr>
          <w:b/>
          <w:bCs/>
        </w:rPr>
        <w:t>ISSUE 1</w:t>
      </w:r>
      <w:r>
        <w:rPr>
          <w:b/>
          <w:bCs/>
        </w:rPr>
        <w:t>9</w:t>
      </w:r>
      <w:r w:rsidRPr="00701945">
        <w:rPr>
          <w:b/>
          <w:bCs/>
        </w:rPr>
        <w:t>:</w:t>
      </w:r>
      <w:r w:rsidRPr="00701945">
        <w:tab/>
      </w:r>
      <w:r w:rsidR="00024AAA" w:rsidRPr="00024AAA">
        <w:rPr>
          <w:b/>
          <w:bCs/>
        </w:rPr>
        <w:t>Should TECO’s proposed Grid Reliability and Resilience Projects be included in the 2025 projected test year? What, if any, adjustments should be made</w:t>
      </w:r>
      <w:r w:rsidR="00024AAA" w:rsidRPr="00024AAA">
        <w:rPr>
          <w:b/>
        </w:rPr>
        <w:t>?</w:t>
      </w:r>
    </w:p>
    <w:p w14:paraId="214EC81A" w14:textId="77777777" w:rsidR="0003402E" w:rsidRPr="00701945" w:rsidRDefault="0003402E" w:rsidP="0003402E">
      <w:pPr>
        <w:jc w:val="both"/>
      </w:pPr>
    </w:p>
    <w:p w14:paraId="665F4963" w14:textId="40BF847B" w:rsidR="0003402E" w:rsidRPr="005D4B47" w:rsidRDefault="0003402E" w:rsidP="0003402E">
      <w:pPr>
        <w:ind w:left="1440" w:hanging="1440"/>
        <w:jc w:val="both"/>
      </w:pPr>
      <w:r>
        <w:rPr>
          <w:b/>
          <w:bCs/>
        </w:rPr>
        <w:t>TECO</w:t>
      </w:r>
      <w:r w:rsidRPr="005D4B47">
        <w:rPr>
          <w:b/>
          <w:bCs/>
        </w:rPr>
        <w:t>:</w:t>
      </w:r>
      <w:r w:rsidRPr="005D4B47">
        <w:tab/>
      </w:r>
      <w:r w:rsidR="00024AAA">
        <w:t xml:space="preserve">Yes. The proposed GRR </w:t>
      </w:r>
      <w:r w:rsidR="008F1293">
        <w:t>P</w:t>
      </w:r>
      <w:r w:rsidR="00024AAA">
        <w:t>rojects are prudent and should be included in test year rate base. Adding a dedicated grid communication network, intelligent field devices, and associated back-office control systems will enhance reliability by reducing the frequency, duration, and impact of outages; improve operational performance by enabling “self-healing” features to mitigate adverse grid events; provide more and better data for billing and planning purposes; and facilitate the addition of more customer-owned, distributed generation on the company’s system. (Lukcic, Whitworth)</w:t>
      </w:r>
    </w:p>
    <w:p w14:paraId="708F40CA" w14:textId="77777777" w:rsidR="0003402E" w:rsidRPr="00701945" w:rsidRDefault="0003402E" w:rsidP="0003402E">
      <w:pPr>
        <w:jc w:val="both"/>
      </w:pPr>
    </w:p>
    <w:p w14:paraId="42B57FD1" w14:textId="77777777" w:rsidR="0003402E" w:rsidRDefault="0003402E" w:rsidP="0003402E">
      <w:pPr>
        <w:ind w:left="1440" w:hanging="1440"/>
        <w:jc w:val="both"/>
      </w:pPr>
      <w:r>
        <w:rPr>
          <w:b/>
          <w:bCs/>
        </w:rPr>
        <w:t>OPC</w:t>
      </w:r>
      <w:r w:rsidRPr="00701945">
        <w:rPr>
          <w:b/>
          <w:bCs/>
        </w:rPr>
        <w:t>:</w:t>
      </w:r>
      <w:r>
        <w:tab/>
      </w:r>
      <w:r w:rsidR="00A81692">
        <w:t xml:space="preserve">No. </w:t>
      </w:r>
    </w:p>
    <w:p w14:paraId="47F54746" w14:textId="77777777" w:rsidR="0003402E" w:rsidRDefault="0003402E" w:rsidP="0003402E">
      <w:pPr>
        <w:ind w:left="1440" w:hanging="1440"/>
        <w:jc w:val="both"/>
      </w:pPr>
    </w:p>
    <w:p w14:paraId="27BC13CF" w14:textId="77777777" w:rsidR="0003402E" w:rsidRDefault="0003402E" w:rsidP="0003402E">
      <w:pPr>
        <w:ind w:left="1440" w:hanging="1440"/>
        <w:jc w:val="both"/>
        <w:rPr>
          <w:b/>
        </w:rPr>
      </w:pPr>
      <w:r>
        <w:rPr>
          <w:b/>
        </w:rPr>
        <w:t>FL RISING/</w:t>
      </w:r>
    </w:p>
    <w:p w14:paraId="7550BBB2" w14:textId="77777777" w:rsidR="0003402E" w:rsidRDefault="0003402E" w:rsidP="0003402E">
      <w:pPr>
        <w:ind w:left="1440" w:hanging="1440"/>
        <w:jc w:val="both"/>
        <w:rPr>
          <w:b/>
        </w:rPr>
      </w:pPr>
      <w:r>
        <w:rPr>
          <w:b/>
        </w:rPr>
        <w:t>LULAC:</w:t>
      </w:r>
      <w:r>
        <w:rPr>
          <w:b/>
        </w:rPr>
        <w:tab/>
      </w:r>
      <w:r w:rsidR="00664874" w:rsidRPr="00A85CF5">
        <w:rPr>
          <w:bCs/>
        </w:rPr>
        <w:t>No, TECO has not met its burden to show that t</w:t>
      </w:r>
      <w:r w:rsidR="00664874">
        <w:rPr>
          <w:bCs/>
        </w:rPr>
        <w:t>hese</w:t>
      </w:r>
      <w:r w:rsidR="00664874" w:rsidRPr="00A85CF5">
        <w:rPr>
          <w:bCs/>
        </w:rPr>
        <w:t xml:space="preserve"> project</w:t>
      </w:r>
      <w:r w:rsidR="00664874">
        <w:rPr>
          <w:bCs/>
        </w:rPr>
        <w:t>s</w:t>
      </w:r>
      <w:r w:rsidR="00664874" w:rsidRPr="00A85CF5">
        <w:rPr>
          <w:bCs/>
        </w:rPr>
        <w:t xml:space="preserve"> </w:t>
      </w:r>
      <w:r w:rsidR="00664874">
        <w:rPr>
          <w:bCs/>
        </w:rPr>
        <w:t>are</w:t>
      </w:r>
      <w:r w:rsidR="00664874" w:rsidRPr="00A85CF5">
        <w:rPr>
          <w:bCs/>
        </w:rPr>
        <w:t xml:space="preserve"> in the customer interest and </w:t>
      </w:r>
      <w:r w:rsidR="00664874">
        <w:rPr>
          <w:bCs/>
        </w:rPr>
        <w:t>are</w:t>
      </w:r>
      <w:r w:rsidR="00664874" w:rsidRPr="00A85CF5">
        <w:rPr>
          <w:bCs/>
        </w:rPr>
        <w:t xml:space="preserve"> reasonable and prudent.</w:t>
      </w:r>
      <w:r w:rsidR="00664874">
        <w:rPr>
          <w:bCs/>
        </w:rPr>
        <w:t xml:space="preserve"> (Rábago)</w:t>
      </w:r>
    </w:p>
    <w:p w14:paraId="353D9127" w14:textId="77777777" w:rsidR="0003402E" w:rsidRDefault="0003402E" w:rsidP="0003402E">
      <w:pPr>
        <w:ind w:left="1440" w:hanging="1440"/>
        <w:jc w:val="both"/>
        <w:rPr>
          <w:b/>
        </w:rPr>
      </w:pPr>
    </w:p>
    <w:p w14:paraId="15F657D1" w14:textId="67FAAEB1" w:rsidR="0003402E" w:rsidRDefault="0003402E" w:rsidP="0003402E">
      <w:pPr>
        <w:ind w:left="1440" w:hanging="1440"/>
        <w:jc w:val="both"/>
        <w:rPr>
          <w:b/>
        </w:rPr>
      </w:pPr>
      <w:r>
        <w:rPr>
          <w:b/>
        </w:rPr>
        <w:t>FIPUG:</w:t>
      </w:r>
      <w:r>
        <w:rPr>
          <w:b/>
        </w:rPr>
        <w:tab/>
      </w:r>
      <w:r w:rsidR="008032CE">
        <w:rPr>
          <w:bCs/>
        </w:rPr>
        <w:t>Adopt</w:t>
      </w:r>
      <w:r w:rsidR="002871B7">
        <w:rPr>
          <w:bCs/>
        </w:rPr>
        <w:t>s</w:t>
      </w:r>
      <w:r w:rsidR="008032CE">
        <w:rPr>
          <w:bCs/>
        </w:rPr>
        <w:t xml:space="preserve"> the position of OPC.</w:t>
      </w:r>
    </w:p>
    <w:p w14:paraId="2693ADD1" w14:textId="77777777" w:rsidR="0003402E" w:rsidRDefault="0003402E" w:rsidP="0003402E">
      <w:pPr>
        <w:ind w:left="1440" w:hanging="1440"/>
        <w:jc w:val="both"/>
        <w:rPr>
          <w:b/>
        </w:rPr>
      </w:pPr>
    </w:p>
    <w:p w14:paraId="0A7FE9F2" w14:textId="124D1DED" w:rsidR="0003402E" w:rsidRDefault="0003402E" w:rsidP="0003402E">
      <w:pPr>
        <w:ind w:left="1440" w:hanging="1440"/>
        <w:jc w:val="both"/>
        <w:rPr>
          <w:b/>
        </w:rPr>
      </w:pPr>
      <w:r>
        <w:rPr>
          <w:b/>
        </w:rPr>
        <w:t>FEA:</w:t>
      </w:r>
      <w:r>
        <w:rPr>
          <w:b/>
        </w:rPr>
        <w:tab/>
      </w:r>
      <w:r w:rsidR="00802A9F">
        <w:t>No position.</w:t>
      </w:r>
    </w:p>
    <w:p w14:paraId="683E932C" w14:textId="77777777" w:rsidR="0003402E" w:rsidRDefault="0003402E" w:rsidP="0003402E">
      <w:pPr>
        <w:ind w:left="1440" w:hanging="1440"/>
        <w:jc w:val="both"/>
        <w:rPr>
          <w:b/>
        </w:rPr>
      </w:pPr>
    </w:p>
    <w:p w14:paraId="11C634B9" w14:textId="77777777" w:rsidR="007E6DCF" w:rsidRDefault="0003402E" w:rsidP="0003402E">
      <w:pPr>
        <w:ind w:left="1440" w:hanging="1440"/>
        <w:jc w:val="both"/>
        <w:rPr>
          <w:b/>
        </w:rPr>
      </w:pPr>
      <w:r>
        <w:rPr>
          <w:b/>
        </w:rPr>
        <w:t>SIERRA</w:t>
      </w:r>
    </w:p>
    <w:p w14:paraId="43A0E9E8" w14:textId="796EA6B1" w:rsidR="0003402E" w:rsidRDefault="007E6DCF" w:rsidP="0003402E">
      <w:pPr>
        <w:ind w:left="1440" w:hanging="1440"/>
        <w:jc w:val="both"/>
        <w:rPr>
          <w:b/>
        </w:rPr>
      </w:pPr>
      <w:r>
        <w:rPr>
          <w:b/>
        </w:rPr>
        <w:t>CLUB</w:t>
      </w:r>
      <w:r w:rsidR="0003402E">
        <w:rPr>
          <w:b/>
        </w:rPr>
        <w:t>:</w:t>
      </w:r>
      <w:r w:rsidR="0003402E">
        <w:rPr>
          <w:b/>
        </w:rPr>
        <w:tab/>
      </w:r>
      <w:r w:rsidR="00802A9F">
        <w:t>No position.</w:t>
      </w:r>
    </w:p>
    <w:p w14:paraId="4A55E09D" w14:textId="4D513BDB" w:rsidR="0003402E" w:rsidRDefault="0003402E" w:rsidP="0003402E">
      <w:pPr>
        <w:ind w:left="1440" w:hanging="1440"/>
        <w:jc w:val="both"/>
        <w:rPr>
          <w:b/>
        </w:rPr>
      </w:pPr>
      <w:r>
        <w:rPr>
          <w:b/>
        </w:rPr>
        <w:lastRenderedPageBreak/>
        <w:t>FRF:</w:t>
      </w:r>
      <w:r>
        <w:rPr>
          <w:b/>
        </w:rPr>
        <w:tab/>
      </w:r>
      <w:r w:rsidR="009533B2">
        <w:t>Agree</w:t>
      </w:r>
      <w:r w:rsidR="00802A9F">
        <w:t>s</w:t>
      </w:r>
      <w:r w:rsidR="009533B2">
        <w:t xml:space="preserve"> with OPC.</w:t>
      </w:r>
    </w:p>
    <w:p w14:paraId="5B96BDF3" w14:textId="77777777" w:rsidR="0003402E" w:rsidRDefault="0003402E" w:rsidP="0003402E">
      <w:pPr>
        <w:ind w:left="1440" w:hanging="1440"/>
        <w:jc w:val="both"/>
        <w:rPr>
          <w:b/>
        </w:rPr>
      </w:pPr>
    </w:p>
    <w:p w14:paraId="4F269BD0" w14:textId="77777777" w:rsidR="007E6DCF" w:rsidRDefault="007E6DCF" w:rsidP="0003402E">
      <w:pPr>
        <w:ind w:left="1440" w:hanging="1440"/>
        <w:jc w:val="both"/>
        <w:rPr>
          <w:b/>
        </w:rPr>
      </w:pPr>
      <w:r>
        <w:rPr>
          <w:b/>
        </w:rPr>
        <w:t>FUEL</w:t>
      </w:r>
    </w:p>
    <w:p w14:paraId="41020817" w14:textId="518EF4C1" w:rsidR="0003402E" w:rsidRDefault="007E6DCF" w:rsidP="0003402E">
      <w:pPr>
        <w:ind w:left="1440" w:hanging="1440"/>
        <w:jc w:val="both"/>
        <w:rPr>
          <w:bCs/>
        </w:rPr>
      </w:pPr>
      <w:r>
        <w:rPr>
          <w:b/>
        </w:rPr>
        <w:t>RETAILERS</w:t>
      </w:r>
      <w:r w:rsidR="0003402E">
        <w:rPr>
          <w:b/>
        </w:rPr>
        <w:t>:</w:t>
      </w:r>
      <w:r>
        <w:rPr>
          <w:b/>
        </w:rPr>
        <w:t xml:space="preserve"> </w:t>
      </w:r>
      <w:r w:rsidR="003B49CB">
        <w:rPr>
          <w:bCs/>
        </w:rPr>
        <w:t>Agree</w:t>
      </w:r>
      <w:r w:rsidR="00802A9F">
        <w:rPr>
          <w:bCs/>
        </w:rPr>
        <w:t>s</w:t>
      </w:r>
      <w:r w:rsidR="003B49CB">
        <w:rPr>
          <w:bCs/>
        </w:rPr>
        <w:t xml:space="preserve"> with </w:t>
      </w:r>
      <w:r w:rsidR="00802A9F">
        <w:rPr>
          <w:bCs/>
        </w:rPr>
        <w:t>OPC</w:t>
      </w:r>
      <w:r w:rsidR="003B49CB">
        <w:rPr>
          <w:bCs/>
        </w:rPr>
        <w:t>.</w:t>
      </w:r>
    </w:p>
    <w:p w14:paraId="05FD3B04" w14:textId="77777777" w:rsidR="00643C39" w:rsidRDefault="00643C39" w:rsidP="0003402E">
      <w:pPr>
        <w:ind w:left="1440" w:hanging="1440"/>
        <w:jc w:val="both"/>
        <w:rPr>
          <w:bCs/>
        </w:rPr>
      </w:pPr>
    </w:p>
    <w:p w14:paraId="5ECDC811" w14:textId="1FBB32B8" w:rsidR="00643C39" w:rsidRPr="00643C39" w:rsidRDefault="007E6DCF" w:rsidP="0003402E">
      <w:pPr>
        <w:ind w:left="1440" w:hanging="1440"/>
        <w:jc w:val="both"/>
        <w:rPr>
          <w:b/>
        </w:rPr>
      </w:pPr>
      <w:r>
        <w:rPr>
          <w:b/>
          <w:bCs/>
        </w:rPr>
        <w:t>WALMART</w:t>
      </w:r>
      <w:r w:rsidR="00643C39">
        <w:rPr>
          <w:b/>
          <w:bCs/>
        </w:rPr>
        <w:t>:</w:t>
      </w:r>
      <w:r w:rsidR="00643C39">
        <w:rPr>
          <w:b/>
          <w:bCs/>
        </w:rPr>
        <w:tab/>
      </w:r>
      <w:r w:rsidR="00802A9F">
        <w:t>A</w:t>
      </w:r>
      <w:r w:rsidR="00643C39" w:rsidRPr="00B73BD6">
        <w:t>grees with OPC.</w:t>
      </w:r>
    </w:p>
    <w:p w14:paraId="1781162F" w14:textId="77777777" w:rsidR="0003402E" w:rsidRPr="00701945" w:rsidRDefault="0003402E" w:rsidP="0003402E">
      <w:pPr>
        <w:jc w:val="both"/>
      </w:pPr>
    </w:p>
    <w:p w14:paraId="4E3CD307" w14:textId="77777777" w:rsidR="0003402E" w:rsidRPr="005D4B47" w:rsidRDefault="0003402E" w:rsidP="0003402E">
      <w:pPr>
        <w:ind w:left="1440" w:hanging="1440"/>
        <w:jc w:val="both"/>
        <w:rPr>
          <w:b/>
          <w:bCs/>
        </w:rPr>
      </w:pPr>
      <w:r>
        <w:rPr>
          <w:b/>
          <w:bCs/>
        </w:rPr>
        <w:t>STAFF:</w:t>
      </w:r>
      <w:r>
        <w:rPr>
          <w:b/>
          <w:bCs/>
        </w:rPr>
        <w:tab/>
      </w:r>
      <w:r w:rsidR="00AB600F">
        <w:t>No position at this time.</w:t>
      </w:r>
    </w:p>
    <w:p w14:paraId="0E78981A" w14:textId="77777777" w:rsidR="0003402E" w:rsidRDefault="0003402E" w:rsidP="00C7699A">
      <w:pPr>
        <w:jc w:val="both"/>
      </w:pPr>
    </w:p>
    <w:p w14:paraId="436FC7C8" w14:textId="77777777" w:rsidR="00E61F50" w:rsidRDefault="00E61F50" w:rsidP="00C7699A">
      <w:pPr>
        <w:jc w:val="both"/>
      </w:pPr>
    </w:p>
    <w:p w14:paraId="32500F2F" w14:textId="77777777" w:rsidR="00E61F50" w:rsidRPr="00024AAA" w:rsidRDefault="00024AAA" w:rsidP="00E61F50">
      <w:pPr>
        <w:ind w:left="1440" w:hanging="1440"/>
        <w:jc w:val="both"/>
        <w:rPr>
          <w:b/>
        </w:rPr>
      </w:pPr>
      <w:r>
        <w:rPr>
          <w:b/>
          <w:bCs/>
        </w:rPr>
        <w:t>ISSUE 20</w:t>
      </w:r>
      <w:r w:rsidR="00E61F50" w:rsidRPr="00701945">
        <w:rPr>
          <w:b/>
          <w:bCs/>
        </w:rPr>
        <w:t>:</w:t>
      </w:r>
      <w:r w:rsidR="00E61F50" w:rsidRPr="00701945">
        <w:tab/>
      </w:r>
      <w:r w:rsidRPr="00024AAA">
        <w:rPr>
          <w:b/>
          <w:bCs/>
        </w:rPr>
        <w:t>Should TECO’s proposed Energy Storage projects be included in the 2025 projected test year? What, if any, adjustments should be made?</w:t>
      </w:r>
    </w:p>
    <w:p w14:paraId="44635B83" w14:textId="77777777" w:rsidR="00E61F50" w:rsidRPr="00701945" w:rsidRDefault="00E61F50" w:rsidP="00E61F50">
      <w:pPr>
        <w:jc w:val="both"/>
      </w:pPr>
    </w:p>
    <w:p w14:paraId="32BA7779" w14:textId="77777777" w:rsidR="00E61F50" w:rsidRPr="005D4B47" w:rsidRDefault="00E61F50" w:rsidP="00E61F50">
      <w:pPr>
        <w:ind w:left="1440" w:hanging="1440"/>
        <w:jc w:val="both"/>
      </w:pPr>
      <w:r>
        <w:rPr>
          <w:b/>
          <w:bCs/>
        </w:rPr>
        <w:t>TECO</w:t>
      </w:r>
      <w:r w:rsidRPr="005D4B47">
        <w:rPr>
          <w:b/>
          <w:bCs/>
        </w:rPr>
        <w:t>:</w:t>
      </w:r>
      <w:r w:rsidRPr="005D4B47">
        <w:tab/>
      </w:r>
      <w:r w:rsidR="00024AAA">
        <w:t>Yes. The company’s 115 MW of Future Energy Storage Capacity projects are prudent and should be included in test year rate base. They are cost-effective plant additions needed to maintain the company’s required winter capacity reserve margin and to avoid the costs of certain transmission upgrades. (Stryker, Aponte)</w:t>
      </w:r>
    </w:p>
    <w:p w14:paraId="3686305A" w14:textId="77777777" w:rsidR="00E61F50" w:rsidRPr="00701945" w:rsidRDefault="00E61F50" w:rsidP="00E61F50">
      <w:pPr>
        <w:jc w:val="both"/>
      </w:pPr>
    </w:p>
    <w:p w14:paraId="54F9CCE7" w14:textId="52412574" w:rsidR="00E61F50" w:rsidRDefault="00E61F50" w:rsidP="00E61F50">
      <w:pPr>
        <w:ind w:left="1440" w:hanging="1440"/>
        <w:jc w:val="both"/>
      </w:pPr>
      <w:r>
        <w:rPr>
          <w:b/>
          <w:bCs/>
        </w:rPr>
        <w:t>OPC</w:t>
      </w:r>
      <w:r w:rsidRPr="00701945">
        <w:rPr>
          <w:b/>
          <w:bCs/>
        </w:rPr>
        <w:t>:</w:t>
      </w:r>
      <w:r>
        <w:tab/>
      </w:r>
      <w:r w:rsidR="00A81692">
        <w:t>OPC takes no position at this time on the prudence or cost-effectiveness or need of the Energy Storage projects, but to the extent they are included in rates, the depreciable lives should be increased from 10 to 20 years. OPC is still conducting discovery and certain other specific adjustments may be required.</w:t>
      </w:r>
    </w:p>
    <w:p w14:paraId="0E369C74" w14:textId="77777777" w:rsidR="00E61F50" w:rsidRDefault="00E61F50" w:rsidP="00E61F50">
      <w:pPr>
        <w:ind w:left="1440" w:hanging="1440"/>
        <w:jc w:val="both"/>
      </w:pPr>
    </w:p>
    <w:p w14:paraId="601CBC25" w14:textId="77777777" w:rsidR="00E61F50" w:rsidRDefault="00E61F50" w:rsidP="00E61F50">
      <w:pPr>
        <w:ind w:left="1440" w:hanging="1440"/>
        <w:jc w:val="both"/>
        <w:rPr>
          <w:b/>
        </w:rPr>
      </w:pPr>
      <w:r>
        <w:rPr>
          <w:b/>
        </w:rPr>
        <w:t>FL RISING/</w:t>
      </w:r>
    </w:p>
    <w:p w14:paraId="496AC583" w14:textId="0876AC1D" w:rsidR="00E61F50" w:rsidRDefault="00E61F50" w:rsidP="00E61F50">
      <w:pPr>
        <w:ind w:left="1440" w:hanging="1440"/>
        <w:jc w:val="both"/>
        <w:rPr>
          <w:b/>
        </w:rPr>
      </w:pPr>
      <w:r>
        <w:rPr>
          <w:b/>
        </w:rPr>
        <w:t>LULAC:</w:t>
      </w:r>
      <w:r>
        <w:rPr>
          <w:b/>
        </w:rPr>
        <w:tab/>
      </w:r>
      <w:r w:rsidR="00664874" w:rsidRPr="0011123C">
        <w:t>Yes</w:t>
      </w:r>
      <w:r w:rsidR="00664874">
        <w:t xml:space="preserve">, </w:t>
      </w:r>
      <w:r w:rsidR="00664874">
        <w:rPr>
          <w:bCs/>
        </w:rPr>
        <w:t xml:space="preserve">as long as TECO can show the projects are cost effective. Any costs associated with these projects that TECO cannot demonstrate are prudent and reasonable should be removed from rate base </w:t>
      </w:r>
      <w:r w:rsidR="00664874" w:rsidRPr="00745283">
        <w:rPr>
          <w:bCs/>
        </w:rPr>
        <w:t>thus adjusting rate base downward</w:t>
      </w:r>
      <w:r w:rsidR="00664874">
        <w:rPr>
          <w:bCs/>
        </w:rPr>
        <w:t>.</w:t>
      </w:r>
    </w:p>
    <w:p w14:paraId="202805EA" w14:textId="77777777" w:rsidR="00E61F50" w:rsidRDefault="00E61F50" w:rsidP="00E61F50">
      <w:pPr>
        <w:ind w:left="1440" w:hanging="1440"/>
        <w:jc w:val="both"/>
        <w:rPr>
          <w:b/>
        </w:rPr>
      </w:pPr>
    </w:p>
    <w:p w14:paraId="3A7794E3" w14:textId="456BB42E" w:rsidR="00E61F50" w:rsidRDefault="00E61F50" w:rsidP="00E61F50">
      <w:pPr>
        <w:ind w:left="1440" w:hanging="1440"/>
        <w:jc w:val="both"/>
        <w:rPr>
          <w:b/>
        </w:rPr>
      </w:pPr>
      <w:r>
        <w:rPr>
          <w:b/>
        </w:rPr>
        <w:t>FIPUG:</w:t>
      </w:r>
      <w:r>
        <w:rPr>
          <w:b/>
        </w:rPr>
        <w:tab/>
      </w:r>
      <w:r w:rsidR="008032CE">
        <w:rPr>
          <w:bCs/>
        </w:rPr>
        <w:t>Adopt</w:t>
      </w:r>
      <w:r w:rsidR="00391105">
        <w:rPr>
          <w:bCs/>
        </w:rPr>
        <w:t>s</w:t>
      </w:r>
      <w:r w:rsidR="008032CE">
        <w:rPr>
          <w:bCs/>
        </w:rPr>
        <w:t xml:space="preserve"> the position of OPC.</w:t>
      </w:r>
    </w:p>
    <w:p w14:paraId="189788C2" w14:textId="77777777" w:rsidR="00E61F50" w:rsidRDefault="00E61F50" w:rsidP="00E61F50">
      <w:pPr>
        <w:ind w:left="1440" w:hanging="1440"/>
        <w:jc w:val="both"/>
        <w:rPr>
          <w:b/>
        </w:rPr>
      </w:pPr>
    </w:p>
    <w:p w14:paraId="0866281D" w14:textId="358FAC40" w:rsidR="00E61F50" w:rsidRDefault="00E61F50" w:rsidP="00E61F50">
      <w:pPr>
        <w:ind w:left="1440" w:hanging="1440"/>
        <w:jc w:val="both"/>
        <w:rPr>
          <w:b/>
        </w:rPr>
      </w:pPr>
      <w:r>
        <w:rPr>
          <w:b/>
        </w:rPr>
        <w:t>FEA:</w:t>
      </w:r>
      <w:r>
        <w:rPr>
          <w:b/>
        </w:rPr>
        <w:tab/>
      </w:r>
      <w:r w:rsidR="00391105">
        <w:t>No position.</w:t>
      </w:r>
    </w:p>
    <w:p w14:paraId="521D8566" w14:textId="77777777" w:rsidR="00E61F50" w:rsidRDefault="00E61F50" w:rsidP="00E61F50">
      <w:pPr>
        <w:ind w:left="1440" w:hanging="1440"/>
        <w:jc w:val="both"/>
        <w:rPr>
          <w:b/>
        </w:rPr>
      </w:pPr>
    </w:p>
    <w:p w14:paraId="10223876" w14:textId="77777777" w:rsidR="00F559BA" w:rsidRDefault="00764960" w:rsidP="00E61F50">
      <w:pPr>
        <w:ind w:left="1440" w:hanging="1440"/>
        <w:jc w:val="both"/>
        <w:rPr>
          <w:b/>
        </w:rPr>
      </w:pPr>
      <w:r>
        <w:rPr>
          <w:b/>
        </w:rPr>
        <w:t>SIERRA</w:t>
      </w:r>
    </w:p>
    <w:p w14:paraId="519381FB" w14:textId="5E630312" w:rsidR="00E61F50" w:rsidRDefault="00764960" w:rsidP="00E61F50">
      <w:pPr>
        <w:ind w:left="1440" w:hanging="1440"/>
        <w:jc w:val="both"/>
        <w:rPr>
          <w:b/>
        </w:rPr>
      </w:pPr>
      <w:r>
        <w:rPr>
          <w:b/>
        </w:rPr>
        <w:t>CLUB</w:t>
      </w:r>
      <w:r w:rsidR="00E61F50">
        <w:rPr>
          <w:b/>
        </w:rPr>
        <w:t>:</w:t>
      </w:r>
      <w:r w:rsidR="00E61F50">
        <w:rPr>
          <w:b/>
        </w:rPr>
        <w:tab/>
      </w:r>
      <w:r w:rsidR="0049497E" w:rsidRPr="001E3193">
        <w:t>Sierra Club supports the inclusion of TECO’s proposed Energy Storage Projects in the 2025 projected test year.</w:t>
      </w:r>
    </w:p>
    <w:p w14:paraId="22EE518D" w14:textId="77777777" w:rsidR="00E61F50" w:rsidRDefault="00E61F50" w:rsidP="00E61F50">
      <w:pPr>
        <w:ind w:left="1440" w:hanging="1440"/>
        <w:jc w:val="both"/>
        <w:rPr>
          <w:b/>
        </w:rPr>
      </w:pPr>
    </w:p>
    <w:p w14:paraId="2BBB601F" w14:textId="3187D69B" w:rsidR="00E61F50" w:rsidRDefault="00E61F50" w:rsidP="00E61F50">
      <w:pPr>
        <w:ind w:left="1440" w:hanging="1440"/>
        <w:jc w:val="both"/>
        <w:rPr>
          <w:b/>
        </w:rPr>
      </w:pPr>
      <w:r>
        <w:rPr>
          <w:b/>
        </w:rPr>
        <w:t>FRF:</w:t>
      </w:r>
      <w:r>
        <w:rPr>
          <w:b/>
        </w:rPr>
        <w:tab/>
      </w:r>
      <w:r w:rsidR="00813E22" w:rsidRPr="00813E22">
        <w:t>FRF supports the addition of battery energy storage systems into Florida’s power supply grid, provided that such resources satisfy normal standards of cost-effectiveness, and reasonableness and prudence of capital and operating costs.</w:t>
      </w:r>
      <w:r w:rsidR="000452E2">
        <w:t xml:space="preserve"> </w:t>
      </w:r>
      <w:r w:rsidR="00EE374B">
        <w:t>FRF agrees with OPC that the appropriate depreciation life for battery energy storage systems is 20 years.</w:t>
      </w:r>
    </w:p>
    <w:p w14:paraId="4E634D31" w14:textId="77777777" w:rsidR="00E61F50" w:rsidRDefault="00E61F50" w:rsidP="00E61F50">
      <w:pPr>
        <w:ind w:left="1440" w:hanging="1440"/>
        <w:jc w:val="both"/>
        <w:rPr>
          <w:b/>
        </w:rPr>
      </w:pPr>
    </w:p>
    <w:p w14:paraId="1670F0F8" w14:textId="77777777" w:rsidR="00F559BA" w:rsidRDefault="00C0182D" w:rsidP="00E61F50">
      <w:pPr>
        <w:ind w:left="1440" w:hanging="1440"/>
        <w:jc w:val="both"/>
        <w:rPr>
          <w:b/>
        </w:rPr>
      </w:pPr>
      <w:r>
        <w:rPr>
          <w:b/>
        </w:rPr>
        <w:t xml:space="preserve">FUEL </w:t>
      </w:r>
    </w:p>
    <w:p w14:paraId="52953906" w14:textId="19218D25" w:rsidR="00E61F50" w:rsidRDefault="00C0182D" w:rsidP="00E61F50">
      <w:pPr>
        <w:ind w:left="1440" w:hanging="1440"/>
        <w:jc w:val="both"/>
        <w:rPr>
          <w:bCs/>
        </w:rPr>
      </w:pPr>
      <w:r>
        <w:rPr>
          <w:b/>
        </w:rPr>
        <w:t>RETAILERS</w:t>
      </w:r>
      <w:r w:rsidR="00E61F50">
        <w:rPr>
          <w:b/>
        </w:rPr>
        <w:t>:</w:t>
      </w:r>
      <w:r w:rsidR="00F559BA">
        <w:rPr>
          <w:b/>
        </w:rPr>
        <w:t xml:space="preserve"> </w:t>
      </w:r>
      <w:r w:rsidR="003B49CB">
        <w:rPr>
          <w:bCs/>
        </w:rPr>
        <w:t>Agree</w:t>
      </w:r>
      <w:r w:rsidR="00E55B85">
        <w:rPr>
          <w:bCs/>
        </w:rPr>
        <w:t>s</w:t>
      </w:r>
      <w:r w:rsidR="003B49CB">
        <w:rPr>
          <w:bCs/>
        </w:rPr>
        <w:t xml:space="preserve"> with </w:t>
      </w:r>
      <w:r w:rsidR="00E55B85">
        <w:rPr>
          <w:bCs/>
        </w:rPr>
        <w:t>OPC</w:t>
      </w:r>
      <w:r w:rsidR="003B49CB">
        <w:rPr>
          <w:bCs/>
        </w:rPr>
        <w:t>.</w:t>
      </w:r>
    </w:p>
    <w:p w14:paraId="41B98E6B" w14:textId="4104DE30" w:rsidR="00643C39" w:rsidRDefault="00643C39" w:rsidP="00E61F50">
      <w:pPr>
        <w:ind w:left="1440" w:hanging="1440"/>
        <w:jc w:val="both"/>
        <w:rPr>
          <w:bCs/>
        </w:rPr>
      </w:pPr>
    </w:p>
    <w:p w14:paraId="069986A7" w14:textId="37129F07" w:rsidR="00643C39" w:rsidRPr="00643C39" w:rsidRDefault="00FD408B" w:rsidP="00E61F50">
      <w:pPr>
        <w:ind w:left="1440" w:hanging="1440"/>
        <w:jc w:val="both"/>
        <w:rPr>
          <w:b/>
        </w:rPr>
      </w:pPr>
      <w:r>
        <w:rPr>
          <w:b/>
          <w:bCs/>
        </w:rPr>
        <w:lastRenderedPageBreak/>
        <w:t>WALMART</w:t>
      </w:r>
      <w:r w:rsidR="00643C39">
        <w:rPr>
          <w:b/>
          <w:bCs/>
        </w:rPr>
        <w:t>:</w:t>
      </w:r>
      <w:r w:rsidR="00643C39">
        <w:rPr>
          <w:b/>
          <w:bCs/>
        </w:rPr>
        <w:tab/>
      </w:r>
      <w:r w:rsidR="00643C39" w:rsidRPr="00CB179F">
        <w:rPr>
          <w:bCs/>
        </w:rPr>
        <w:t>In accordance with Walmart</w:t>
      </w:r>
      <w:r w:rsidR="00643C39">
        <w:rPr>
          <w:bCs/>
        </w:rPr>
        <w:t>'</w:t>
      </w:r>
      <w:r w:rsidR="00643C39" w:rsidRPr="00CB179F">
        <w:rPr>
          <w:bCs/>
        </w:rPr>
        <w:t xml:space="preserve">s significant and company-wide renewable energy goals set forth in the </w:t>
      </w:r>
      <w:r w:rsidR="00776962">
        <w:rPr>
          <w:bCs/>
        </w:rPr>
        <w:t>d</w:t>
      </w:r>
      <w:r w:rsidR="00643C39" w:rsidRPr="00CB179F">
        <w:rPr>
          <w:bCs/>
        </w:rPr>
        <w:t xml:space="preserve">irect </w:t>
      </w:r>
      <w:r w:rsidR="00776962">
        <w:rPr>
          <w:bCs/>
        </w:rPr>
        <w:t>t</w:t>
      </w:r>
      <w:r w:rsidR="00643C39" w:rsidRPr="00CB179F">
        <w:rPr>
          <w:bCs/>
        </w:rPr>
        <w:t xml:space="preserve">estimony of Steve W. Chriss in Docket </w:t>
      </w:r>
      <w:r w:rsidR="00643C39">
        <w:rPr>
          <w:bCs/>
        </w:rPr>
        <w:t xml:space="preserve">No. </w:t>
      </w:r>
      <w:r w:rsidR="00643C39" w:rsidRPr="00CB179F">
        <w:rPr>
          <w:bCs/>
        </w:rPr>
        <w:t>20240014-EG, Walmart supports solar and other renewable energy projects to the extent those projects are prudent, cost-effective and are relevant to Walmart</w:t>
      </w:r>
      <w:r w:rsidR="00643C39">
        <w:rPr>
          <w:bCs/>
        </w:rPr>
        <w:t>'</w:t>
      </w:r>
      <w:r w:rsidR="00643C39" w:rsidRPr="00CB179F">
        <w:rPr>
          <w:bCs/>
        </w:rPr>
        <w:t>s renewable energy goals.</w:t>
      </w:r>
    </w:p>
    <w:p w14:paraId="4ACF57BC" w14:textId="77777777" w:rsidR="00E61F50" w:rsidRPr="00701945" w:rsidRDefault="00E61F50" w:rsidP="00E61F50">
      <w:pPr>
        <w:jc w:val="both"/>
      </w:pPr>
    </w:p>
    <w:p w14:paraId="0F65A170" w14:textId="77777777" w:rsidR="00E61F50" w:rsidRPr="005D4B47" w:rsidRDefault="00E61F50" w:rsidP="00E61F50">
      <w:pPr>
        <w:ind w:left="1440" w:hanging="1440"/>
        <w:jc w:val="both"/>
        <w:rPr>
          <w:b/>
          <w:bCs/>
        </w:rPr>
      </w:pPr>
      <w:r>
        <w:rPr>
          <w:b/>
          <w:bCs/>
        </w:rPr>
        <w:t>STAFF:</w:t>
      </w:r>
      <w:r>
        <w:rPr>
          <w:b/>
          <w:bCs/>
        </w:rPr>
        <w:tab/>
      </w:r>
      <w:r w:rsidR="00AB600F">
        <w:t>No position at this time.</w:t>
      </w:r>
    </w:p>
    <w:p w14:paraId="48EF0CDF" w14:textId="77777777" w:rsidR="00E61F50" w:rsidRDefault="00E61F50" w:rsidP="00C7699A">
      <w:pPr>
        <w:jc w:val="both"/>
      </w:pPr>
    </w:p>
    <w:p w14:paraId="15CD8FEB" w14:textId="77777777" w:rsidR="00E61F50" w:rsidRDefault="00E61F50" w:rsidP="00C7699A">
      <w:pPr>
        <w:jc w:val="both"/>
      </w:pPr>
    </w:p>
    <w:p w14:paraId="0A16FA19" w14:textId="77777777" w:rsidR="00E61F50" w:rsidRPr="00024AAA" w:rsidRDefault="00024AAA" w:rsidP="00E61F50">
      <w:pPr>
        <w:ind w:left="1440" w:hanging="1440"/>
        <w:jc w:val="both"/>
        <w:rPr>
          <w:b/>
        </w:rPr>
      </w:pPr>
      <w:r>
        <w:rPr>
          <w:b/>
          <w:bCs/>
        </w:rPr>
        <w:t>ISSUE 21</w:t>
      </w:r>
      <w:r w:rsidR="00E61F50" w:rsidRPr="00701945">
        <w:rPr>
          <w:b/>
          <w:bCs/>
        </w:rPr>
        <w:t>:</w:t>
      </w:r>
      <w:r w:rsidR="00E61F50" w:rsidRPr="00701945">
        <w:tab/>
      </w:r>
      <w:r w:rsidRPr="00024AAA">
        <w:rPr>
          <w:b/>
          <w:bCs/>
        </w:rPr>
        <w:t>Should TECO’s proposed Corporate Headquarters project be included in the 2025 projected test year? What, if any, adjustments should be made?</w:t>
      </w:r>
    </w:p>
    <w:p w14:paraId="2E854EC0" w14:textId="77777777" w:rsidR="00E61F50" w:rsidRPr="00701945" w:rsidRDefault="00E61F50" w:rsidP="00E61F50">
      <w:pPr>
        <w:jc w:val="both"/>
      </w:pPr>
    </w:p>
    <w:p w14:paraId="4B2AE208" w14:textId="0CF50AE8" w:rsidR="00E61F50" w:rsidRPr="005D4B47" w:rsidRDefault="00E61F50" w:rsidP="00E61F50">
      <w:pPr>
        <w:ind w:left="1440" w:hanging="1440"/>
        <w:jc w:val="both"/>
      </w:pPr>
      <w:r>
        <w:rPr>
          <w:b/>
          <w:bCs/>
        </w:rPr>
        <w:t>TECO</w:t>
      </w:r>
      <w:r w:rsidRPr="005D4B47">
        <w:rPr>
          <w:b/>
          <w:bCs/>
        </w:rPr>
        <w:t>:</w:t>
      </w:r>
      <w:r w:rsidRPr="005D4B47">
        <w:tab/>
      </w:r>
      <w:r w:rsidR="00024AAA">
        <w:t>Yes. The company’s new corporate headquarters project is supported by a detailed analysis of the costs and benefits of alternative space options, is prudent</w:t>
      </w:r>
      <w:r w:rsidR="007B2E0B">
        <w:t>,</w:t>
      </w:r>
      <w:r w:rsidR="00E916E3">
        <w:t xml:space="preserve"> </w:t>
      </w:r>
      <w:r w:rsidR="00024AAA">
        <w:t>and should be included in test year rate base. The company is moving from its current location in downtown Tampa (“TECO Plaza”) to the mid-town Tampa area because its current lease is expiring and the net present value revenue requirement of moving to the new building was about the same as other options. The new building location is not subject to flooding, has better parking, is safer for employees and the public, and has space to grow that is not available in TECO Plaza. (Aldazabal)</w:t>
      </w:r>
    </w:p>
    <w:p w14:paraId="472E3548" w14:textId="77777777" w:rsidR="00E61F50" w:rsidRPr="00701945" w:rsidRDefault="00E61F50" w:rsidP="00E61F50">
      <w:pPr>
        <w:jc w:val="both"/>
      </w:pPr>
    </w:p>
    <w:p w14:paraId="52BEE5F8" w14:textId="77777777" w:rsidR="00E61F50" w:rsidRDefault="00E61F50" w:rsidP="00E61F50">
      <w:pPr>
        <w:ind w:left="1440" w:hanging="1440"/>
        <w:jc w:val="both"/>
      </w:pPr>
      <w:r>
        <w:rPr>
          <w:b/>
          <w:bCs/>
        </w:rPr>
        <w:t>OPC</w:t>
      </w:r>
      <w:r w:rsidRPr="00701945">
        <w:rPr>
          <w:b/>
          <w:bCs/>
        </w:rPr>
        <w:t>:</w:t>
      </w:r>
      <w:r>
        <w:tab/>
      </w:r>
      <w:r w:rsidR="004A3F01">
        <w:t>No position.</w:t>
      </w:r>
    </w:p>
    <w:p w14:paraId="00893AA2" w14:textId="77777777" w:rsidR="00E61F50" w:rsidRDefault="00E61F50" w:rsidP="00E61F50">
      <w:pPr>
        <w:ind w:left="1440" w:hanging="1440"/>
        <w:jc w:val="both"/>
      </w:pPr>
    </w:p>
    <w:p w14:paraId="2B9AFCAB" w14:textId="77777777" w:rsidR="00E61F50" w:rsidRDefault="00E61F50" w:rsidP="00E61F50">
      <w:pPr>
        <w:ind w:left="1440" w:hanging="1440"/>
        <w:jc w:val="both"/>
        <w:rPr>
          <w:b/>
        </w:rPr>
      </w:pPr>
      <w:r>
        <w:rPr>
          <w:b/>
        </w:rPr>
        <w:t>FL RISING/</w:t>
      </w:r>
    </w:p>
    <w:p w14:paraId="73DBFF37" w14:textId="77777777" w:rsidR="00E61F50" w:rsidRDefault="00E61F50" w:rsidP="00E61F50">
      <w:pPr>
        <w:ind w:left="1440" w:hanging="1440"/>
        <w:jc w:val="both"/>
        <w:rPr>
          <w:b/>
        </w:rPr>
      </w:pPr>
      <w:r>
        <w:rPr>
          <w:b/>
        </w:rPr>
        <w:t>LULAC:</w:t>
      </w:r>
      <w:r>
        <w:rPr>
          <w:b/>
        </w:rPr>
        <w:tab/>
      </w:r>
      <w:r w:rsidR="00664874">
        <w:rPr>
          <w:bCs/>
        </w:rPr>
        <w:t>No, TECO has not met its burden to show that this project is in the customer interest and is reasonable and prudent.</w:t>
      </w:r>
    </w:p>
    <w:p w14:paraId="59DAD72E" w14:textId="77777777" w:rsidR="00E61F50" w:rsidRDefault="00E61F50" w:rsidP="00E61F50">
      <w:pPr>
        <w:ind w:left="1440" w:hanging="1440"/>
        <w:jc w:val="both"/>
        <w:rPr>
          <w:b/>
        </w:rPr>
      </w:pPr>
    </w:p>
    <w:p w14:paraId="3B7DDB0D" w14:textId="307D32F1" w:rsidR="00E61F50" w:rsidRDefault="00E61F50" w:rsidP="00E61F50">
      <w:pPr>
        <w:ind w:left="1440" w:hanging="1440"/>
        <w:jc w:val="both"/>
        <w:rPr>
          <w:b/>
        </w:rPr>
      </w:pPr>
      <w:r>
        <w:rPr>
          <w:b/>
        </w:rPr>
        <w:t>FIPUG:</w:t>
      </w:r>
      <w:r>
        <w:rPr>
          <w:b/>
        </w:rPr>
        <w:tab/>
      </w:r>
      <w:r w:rsidR="000548D0">
        <w:rPr>
          <w:bCs/>
        </w:rPr>
        <w:t>No position.</w:t>
      </w:r>
    </w:p>
    <w:p w14:paraId="6649454E" w14:textId="77777777" w:rsidR="00E61F50" w:rsidRDefault="00E61F50" w:rsidP="00E61F50">
      <w:pPr>
        <w:ind w:left="1440" w:hanging="1440"/>
        <w:jc w:val="both"/>
        <w:rPr>
          <w:b/>
        </w:rPr>
      </w:pPr>
    </w:p>
    <w:p w14:paraId="23F4BB65" w14:textId="5ECD8E22" w:rsidR="00E61F50" w:rsidRDefault="00E61F50" w:rsidP="00E61F50">
      <w:pPr>
        <w:ind w:left="1440" w:hanging="1440"/>
        <w:jc w:val="both"/>
        <w:rPr>
          <w:b/>
        </w:rPr>
      </w:pPr>
      <w:r>
        <w:rPr>
          <w:b/>
        </w:rPr>
        <w:t>FEA:</w:t>
      </w:r>
      <w:r>
        <w:rPr>
          <w:b/>
        </w:rPr>
        <w:tab/>
      </w:r>
      <w:r w:rsidR="003C34EC">
        <w:t>No position.</w:t>
      </w:r>
    </w:p>
    <w:p w14:paraId="7EC5E768" w14:textId="77777777" w:rsidR="00E61F50" w:rsidRDefault="00E61F50" w:rsidP="00E61F50">
      <w:pPr>
        <w:ind w:left="1440" w:hanging="1440"/>
        <w:jc w:val="both"/>
        <w:rPr>
          <w:b/>
        </w:rPr>
      </w:pPr>
    </w:p>
    <w:p w14:paraId="2F109535" w14:textId="77777777" w:rsidR="00CD0A95" w:rsidRDefault="00764960" w:rsidP="00E61F50">
      <w:pPr>
        <w:ind w:left="1440" w:hanging="1440"/>
        <w:jc w:val="both"/>
        <w:rPr>
          <w:b/>
        </w:rPr>
      </w:pPr>
      <w:r>
        <w:rPr>
          <w:b/>
        </w:rPr>
        <w:t xml:space="preserve">SIERRA </w:t>
      </w:r>
    </w:p>
    <w:p w14:paraId="094B7932" w14:textId="139CF7C0" w:rsidR="00E61F50" w:rsidRDefault="00764960" w:rsidP="00E61F50">
      <w:pPr>
        <w:ind w:left="1440" w:hanging="1440"/>
        <w:jc w:val="both"/>
      </w:pPr>
      <w:r>
        <w:rPr>
          <w:b/>
        </w:rPr>
        <w:t>CLUB</w:t>
      </w:r>
      <w:r w:rsidR="00E61F50">
        <w:rPr>
          <w:b/>
        </w:rPr>
        <w:t>:</w:t>
      </w:r>
      <w:r w:rsidR="00E61F50">
        <w:rPr>
          <w:b/>
        </w:rPr>
        <w:tab/>
      </w:r>
      <w:r w:rsidR="003C34EC">
        <w:t>No position.</w:t>
      </w:r>
    </w:p>
    <w:p w14:paraId="07D93474" w14:textId="77777777" w:rsidR="00CA3B49" w:rsidRDefault="00CA3B49" w:rsidP="00E61F50">
      <w:pPr>
        <w:ind w:left="1440" w:hanging="1440"/>
        <w:jc w:val="both"/>
        <w:rPr>
          <w:b/>
        </w:rPr>
      </w:pPr>
    </w:p>
    <w:p w14:paraId="3BC2B9FA" w14:textId="02509C8D" w:rsidR="00E61F50" w:rsidRDefault="00E61F50" w:rsidP="00E61F50">
      <w:pPr>
        <w:ind w:left="1440" w:hanging="1440"/>
        <w:jc w:val="both"/>
        <w:rPr>
          <w:b/>
        </w:rPr>
      </w:pPr>
      <w:r>
        <w:rPr>
          <w:b/>
        </w:rPr>
        <w:t>FRF:</w:t>
      </w:r>
      <w:r>
        <w:rPr>
          <w:b/>
        </w:rPr>
        <w:tab/>
      </w:r>
      <w:r w:rsidR="00AF2806">
        <w:t>No position.</w:t>
      </w:r>
    </w:p>
    <w:p w14:paraId="38657553" w14:textId="5F4926DA" w:rsidR="00E61F50" w:rsidRDefault="00E61F50" w:rsidP="00E61F50">
      <w:pPr>
        <w:ind w:left="1440" w:hanging="1440"/>
        <w:jc w:val="both"/>
        <w:rPr>
          <w:b/>
        </w:rPr>
      </w:pPr>
    </w:p>
    <w:p w14:paraId="45336A96" w14:textId="77777777" w:rsidR="00CD0A95" w:rsidRDefault="00C0182D" w:rsidP="00E61F50">
      <w:pPr>
        <w:ind w:left="1440" w:hanging="1440"/>
        <w:jc w:val="both"/>
        <w:rPr>
          <w:b/>
        </w:rPr>
      </w:pPr>
      <w:r>
        <w:rPr>
          <w:b/>
        </w:rPr>
        <w:t xml:space="preserve">FUEL </w:t>
      </w:r>
    </w:p>
    <w:p w14:paraId="2752D243" w14:textId="629FC9C0" w:rsidR="00E61F50" w:rsidRDefault="00C0182D" w:rsidP="00E61F50">
      <w:pPr>
        <w:ind w:left="1440" w:hanging="1440"/>
        <w:jc w:val="both"/>
        <w:rPr>
          <w:bCs/>
        </w:rPr>
      </w:pPr>
      <w:r>
        <w:rPr>
          <w:b/>
        </w:rPr>
        <w:t>RETAILERS</w:t>
      </w:r>
      <w:r w:rsidR="00E61F50">
        <w:rPr>
          <w:b/>
        </w:rPr>
        <w:t>:</w:t>
      </w:r>
      <w:r w:rsidR="00CD0A95">
        <w:rPr>
          <w:b/>
        </w:rPr>
        <w:t xml:space="preserve"> </w:t>
      </w:r>
      <w:r w:rsidR="00AF2806">
        <w:rPr>
          <w:bCs/>
        </w:rPr>
        <w:t>No position.</w:t>
      </w:r>
    </w:p>
    <w:p w14:paraId="2F591767" w14:textId="77777777" w:rsidR="003C0B09" w:rsidRDefault="003C0B09" w:rsidP="00E61F50">
      <w:pPr>
        <w:ind w:left="1440" w:hanging="1440"/>
        <w:jc w:val="both"/>
        <w:rPr>
          <w:bCs/>
        </w:rPr>
      </w:pPr>
    </w:p>
    <w:p w14:paraId="07E393B4" w14:textId="4AA97BF6" w:rsidR="003C0B09" w:rsidRPr="003C0B09" w:rsidRDefault="00FD408B" w:rsidP="00E61F50">
      <w:pPr>
        <w:ind w:left="1440" w:hanging="1440"/>
        <w:jc w:val="both"/>
        <w:rPr>
          <w:b/>
        </w:rPr>
      </w:pPr>
      <w:r>
        <w:rPr>
          <w:b/>
          <w:bCs/>
        </w:rPr>
        <w:t>WALMART</w:t>
      </w:r>
      <w:r w:rsidR="003C0B09">
        <w:rPr>
          <w:b/>
          <w:bCs/>
        </w:rPr>
        <w:t>:</w:t>
      </w:r>
      <w:r w:rsidR="003C0B09">
        <w:rPr>
          <w:b/>
          <w:bCs/>
        </w:rPr>
        <w:tab/>
      </w:r>
      <w:r w:rsidR="00AF2806">
        <w:t>No position.</w:t>
      </w:r>
    </w:p>
    <w:p w14:paraId="40A6063B" w14:textId="77777777" w:rsidR="00E61F50" w:rsidRPr="00701945" w:rsidRDefault="00E61F50" w:rsidP="00E61F50">
      <w:pPr>
        <w:jc w:val="both"/>
      </w:pPr>
    </w:p>
    <w:p w14:paraId="3C49D4DC" w14:textId="77777777" w:rsidR="00E61F50" w:rsidRPr="005D4B47" w:rsidRDefault="00E61F50" w:rsidP="00E61F50">
      <w:pPr>
        <w:ind w:left="1440" w:hanging="1440"/>
        <w:jc w:val="both"/>
        <w:rPr>
          <w:b/>
          <w:bCs/>
        </w:rPr>
      </w:pPr>
      <w:r>
        <w:rPr>
          <w:b/>
          <w:bCs/>
        </w:rPr>
        <w:t>STAFF:</w:t>
      </w:r>
      <w:r>
        <w:rPr>
          <w:b/>
          <w:bCs/>
        </w:rPr>
        <w:tab/>
      </w:r>
      <w:r w:rsidR="00AB600F">
        <w:t>No position at this time.</w:t>
      </w:r>
    </w:p>
    <w:p w14:paraId="7777C413" w14:textId="77777777" w:rsidR="00E61F50" w:rsidRDefault="00E61F50" w:rsidP="00C7699A">
      <w:pPr>
        <w:jc w:val="both"/>
      </w:pPr>
    </w:p>
    <w:p w14:paraId="48AA0A08" w14:textId="77777777" w:rsidR="00E61F50" w:rsidRDefault="00E61F50" w:rsidP="00C7699A">
      <w:pPr>
        <w:jc w:val="both"/>
      </w:pPr>
    </w:p>
    <w:p w14:paraId="3E4FBBEF" w14:textId="77777777" w:rsidR="00E61F50" w:rsidRPr="00024AAA" w:rsidRDefault="00024AAA" w:rsidP="00E61F50">
      <w:pPr>
        <w:ind w:left="1440" w:hanging="1440"/>
        <w:jc w:val="both"/>
        <w:rPr>
          <w:b/>
        </w:rPr>
      </w:pPr>
      <w:r>
        <w:rPr>
          <w:b/>
          <w:bCs/>
        </w:rPr>
        <w:lastRenderedPageBreak/>
        <w:t>ISSUE 22</w:t>
      </w:r>
      <w:r w:rsidR="00E61F50" w:rsidRPr="00701945">
        <w:rPr>
          <w:b/>
          <w:bCs/>
        </w:rPr>
        <w:t>:</w:t>
      </w:r>
      <w:r w:rsidR="00E61F50" w:rsidRPr="00701945">
        <w:tab/>
      </w:r>
      <w:r w:rsidRPr="00024AAA">
        <w:rPr>
          <w:b/>
          <w:bCs/>
        </w:rPr>
        <w:t>Should TECO’s proposed South Tampa Resilience project be included in the 2025 projected test year? What, if any, adjustments should be made?</w:t>
      </w:r>
    </w:p>
    <w:p w14:paraId="13E9904D" w14:textId="77777777" w:rsidR="00E61F50" w:rsidRPr="00701945" w:rsidRDefault="00E61F50" w:rsidP="00E61F50">
      <w:pPr>
        <w:jc w:val="both"/>
      </w:pPr>
    </w:p>
    <w:p w14:paraId="02519099" w14:textId="48672B7D" w:rsidR="00E61F50" w:rsidRPr="005D4B47" w:rsidRDefault="00E61F50" w:rsidP="00E61F50">
      <w:pPr>
        <w:ind w:left="1440" w:hanging="1440"/>
        <w:jc w:val="both"/>
      </w:pPr>
      <w:r>
        <w:rPr>
          <w:b/>
          <w:bCs/>
        </w:rPr>
        <w:t>TECO</w:t>
      </w:r>
      <w:r w:rsidRPr="005D4B47">
        <w:rPr>
          <w:b/>
          <w:bCs/>
        </w:rPr>
        <w:t>:</w:t>
      </w:r>
      <w:r w:rsidRPr="005D4B47">
        <w:tab/>
      </w:r>
      <w:r w:rsidR="00024AAA">
        <w:t xml:space="preserve">Yes. The South Tampa Resilience Project (STRP) consists of four reciprocating internal combustion engines located on land leased at no cost to </w:t>
      </w:r>
      <w:r w:rsidR="00581390">
        <w:t>TECO</w:t>
      </w:r>
      <w:r w:rsidR="00024AAA">
        <w:t xml:space="preserve"> from MacDill Air Force Base and is prudent. The STRP will be a system asset that serves all customers during normal operations, provides quick start capability to enhance the flexibility and resilience of the company’s generating fleet,  supports the company’s winter reserve margin, is cost-effective, and is expected to generate fuel savings of $137.9 million for the company’s general body of ratepayers. The generators will only be isolated to serve MacDill during rare national emergencies. (Aldazabal, Aponte)</w:t>
      </w:r>
    </w:p>
    <w:p w14:paraId="0E250105" w14:textId="77777777" w:rsidR="00E61F50" w:rsidRPr="00701945" w:rsidRDefault="00E61F50" w:rsidP="00E61F50">
      <w:pPr>
        <w:jc w:val="both"/>
      </w:pPr>
    </w:p>
    <w:p w14:paraId="3CA4E294" w14:textId="22CB9A07" w:rsidR="00E61F50" w:rsidRDefault="00E61F50" w:rsidP="00E61F50">
      <w:pPr>
        <w:ind w:left="1440" w:hanging="1440"/>
        <w:jc w:val="both"/>
      </w:pPr>
      <w:r>
        <w:rPr>
          <w:b/>
          <w:bCs/>
        </w:rPr>
        <w:t>OPC</w:t>
      </w:r>
      <w:r w:rsidRPr="00701945">
        <w:rPr>
          <w:b/>
          <w:bCs/>
        </w:rPr>
        <w:t>:</w:t>
      </w:r>
      <w:r>
        <w:tab/>
      </w:r>
      <w:r w:rsidR="004A3F01">
        <w:t xml:space="preserve">No. The proposal will receive no direct funding support from the U.S. Department of Defense or </w:t>
      </w:r>
      <w:r w:rsidR="009F0B16">
        <w:t>f</w:t>
      </w:r>
      <w:r w:rsidR="004A3F01">
        <w:t>ederal government despite being sited at McDill Air Force Base and only has a 33-year cost-free lease for land.</w:t>
      </w:r>
    </w:p>
    <w:p w14:paraId="1C95165E" w14:textId="77777777" w:rsidR="00E61F50" w:rsidRDefault="00E61F50" w:rsidP="00E61F50">
      <w:pPr>
        <w:ind w:left="1440" w:hanging="1440"/>
        <w:jc w:val="both"/>
      </w:pPr>
    </w:p>
    <w:p w14:paraId="1E87DC62" w14:textId="77777777" w:rsidR="00E61F50" w:rsidRDefault="00E61F50" w:rsidP="00E61F50">
      <w:pPr>
        <w:ind w:left="1440" w:hanging="1440"/>
        <w:jc w:val="both"/>
        <w:rPr>
          <w:b/>
        </w:rPr>
      </w:pPr>
      <w:r>
        <w:rPr>
          <w:b/>
        </w:rPr>
        <w:t>FL RISING/</w:t>
      </w:r>
    </w:p>
    <w:p w14:paraId="5D1E52F9" w14:textId="77777777" w:rsidR="00E61F50" w:rsidRDefault="00E61F50" w:rsidP="00E61F50">
      <w:pPr>
        <w:ind w:left="1440" w:hanging="1440"/>
        <w:jc w:val="both"/>
        <w:rPr>
          <w:b/>
        </w:rPr>
      </w:pPr>
      <w:r>
        <w:rPr>
          <w:b/>
        </w:rPr>
        <w:t>LULAC:</w:t>
      </w:r>
      <w:r>
        <w:rPr>
          <w:b/>
        </w:rPr>
        <w:tab/>
      </w:r>
      <w:r w:rsidR="00664874" w:rsidRPr="00A85CF5">
        <w:rPr>
          <w:bCs/>
        </w:rPr>
        <w:t xml:space="preserve">No, TECO has not met its burden to show that this project is in the customer interest and </w:t>
      </w:r>
      <w:r w:rsidR="00664874">
        <w:rPr>
          <w:bCs/>
        </w:rPr>
        <w:t>is</w:t>
      </w:r>
      <w:r w:rsidR="00664874" w:rsidRPr="00A85CF5">
        <w:rPr>
          <w:bCs/>
        </w:rPr>
        <w:t xml:space="preserve"> reasonable and prudent.</w:t>
      </w:r>
    </w:p>
    <w:p w14:paraId="6F61FD36" w14:textId="77777777" w:rsidR="00E61F50" w:rsidRDefault="00E61F50" w:rsidP="00E61F50">
      <w:pPr>
        <w:ind w:left="1440" w:hanging="1440"/>
        <w:jc w:val="both"/>
        <w:rPr>
          <w:b/>
        </w:rPr>
      </w:pPr>
    </w:p>
    <w:p w14:paraId="1D3BE9E5" w14:textId="77777777" w:rsidR="00E61F50" w:rsidRDefault="00E61F50" w:rsidP="00E61F50">
      <w:pPr>
        <w:ind w:left="1440" w:hanging="1440"/>
        <w:jc w:val="both"/>
        <w:rPr>
          <w:b/>
        </w:rPr>
      </w:pPr>
      <w:r>
        <w:rPr>
          <w:b/>
        </w:rPr>
        <w:t>FIPUG:</w:t>
      </w:r>
      <w:r>
        <w:rPr>
          <w:b/>
        </w:rPr>
        <w:tab/>
      </w:r>
      <w:r w:rsidR="008032CE" w:rsidRPr="00B76518">
        <w:rPr>
          <w:bCs/>
        </w:rPr>
        <w:t>No, not at this time as the project has materially change</w:t>
      </w:r>
      <w:r w:rsidR="008032CE">
        <w:rPr>
          <w:bCs/>
        </w:rPr>
        <w:t>d.</w:t>
      </w:r>
    </w:p>
    <w:p w14:paraId="1E88B19D" w14:textId="77777777" w:rsidR="00E61F50" w:rsidRDefault="00E61F50" w:rsidP="00E61F50">
      <w:pPr>
        <w:ind w:left="1440" w:hanging="1440"/>
        <w:jc w:val="both"/>
        <w:rPr>
          <w:b/>
        </w:rPr>
      </w:pPr>
    </w:p>
    <w:p w14:paraId="7D128915" w14:textId="407B90EA" w:rsidR="00E61F50" w:rsidRDefault="00E61F50" w:rsidP="00E61F50">
      <w:pPr>
        <w:ind w:left="1440" w:hanging="1440"/>
        <w:jc w:val="both"/>
        <w:rPr>
          <w:b/>
        </w:rPr>
      </w:pPr>
      <w:r>
        <w:rPr>
          <w:b/>
        </w:rPr>
        <w:t>FEA:</w:t>
      </w:r>
      <w:r>
        <w:rPr>
          <w:b/>
        </w:rPr>
        <w:tab/>
      </w:r>
      <w:r w:rsidR="0022072A">
        <w:t>No position.</w:t>
      </w:r>
    </w:p>
    <w:p w14:paraId="4B21DB8C" w14:textId="77777777" w:rsidR="00E61F50" w:rsidRDefault="00E61F50" w:rsidP="00E61F50">
      <w:pPr>
        <w:ind w:left="1440" w:hanging="1440"/>
        <w:jc w:val="both"/>
        <w:rPr>
          <w:b/>
        </w:rPr>
      </w:pPr>
    </w:p>
    <w:p w14:paraId="75079A48" w14:textId="77777777" w:rsidR="00CD0A95" w:rsidRDefault="00764960" w:rsidP="00E61F50">
      <w:pPr>
        <w:ind w:left="1440" w:hanging="1440"/>
        <w:jc w:val="both"/>
        <w:rPr>
          <w:b/>
        </w:rPr>
      </w:pPr>
      <w:r>
        <w:rPr>
          <w:b/>
        </w:rPr>
        <w:t xml:space="preserve">SIERRA </w:t>
      </w:r>
    </w:p>
    <w:p w14:paraId="6CF05981" w14:textId="53D387A5" w:rsidR="00E61F50" w:rsidRDefault="00764960" w:rsidP="00E61F50">
      <w:pPr>
        <w:ind w:left="1440" w:hanging="1440"/>
        <w:jc w:val="both"/>
        <w:rPr>
          <w:b/>
        </w:rPr>
      </w:pPr>
      <w:r>
        <w:rPr>
          <w:b/>
        </w:rPr>
        <w:t>CLUB</w:t>
      </w:r>
      <w:r w:rsidR="00E61F50">
        <w:rPr>
          <w:b/>
        </w:rPr>
        <w:t>:</w:t>
      </w:r>
      <w:r w:rsidR="00E61F50">
        <w:rPr>
          <w:b/>
        </w:rPr>
        <w:tab/>
      </w:r>
      <w:r w:rsidR="0022072A">
        <w:t>No position.</w:t>
      </w:r>
    </w:p>
    <w:p w14:paraId="5BA6AD49" w14:textId="77777777" w:rsidR="00E61F50" w:rsidRDefault="00E61F50" w:rsidP="00E61F50">
      <w:pPr>
        <w:ind w:left="1440" w:hanging="1440"/>
        <w:jc w:val="both"/>
        <w:rPr>
          <w:b/>
        </w:rPr>
      </w:pPr>
    </w:p>
    <w:p w14:paraId="2452BA70" w14:textId="5F926379" w:rsidR="00E61F50" w:rsidRDefault="00E61F50" w:rsidP="00E61F50">
      <w:pPr>
        <w:ind w:left="1440" w:hanging="1440"/>
        <w:jc w:val="both"/>
        <w:rPr>
          <w:b/>
        </w:rPr>
      </w:pPr>
      <w:r>
        <w:rPr>
          <w:b/>
        </w:rPr>
        <w:t>FRF:</w:t>
      </w:r>
      <w:r>
        <w:rPr>
          <w:b/>
        </w:rPr>
        <w:tab/>
      </w:r>
      <w:r w:rsidR="009533B2">
        <w:t>Agree</w:t>
      </w:r>
      <w:r w:rsidR="00D03DFB">
        <w:t>s</w:t>
      </w:r>
      <w:r w:rsidR="009533B2">
        <w:t xml:space="preserve"> with OPC.</w:t>
      </w:r>
    </w:p>
    <w:p w14:paraId="14C72A44" w14:textId="77777777" w:rsidR="00E61F50" w:rsidRDefault="00E61F50" w:rsidP="00E61F50">
      <w:pPr>
        <w:ind w:left="1440" w:hanging="1440"/>
        <w:jc w:val="both"/>
        <w:rPr>
          <w:b/>
        </w:rPr>
      </w:pPr>
    </w:p>
    <w:p w14:paraId="0A49C0A6" w14:textId="77777777" w:rsidR="00CD0A95" w:rsidRDefault="00C0182D" w:rsidP="00E61F50">
      <w:pPr>
        <w:ind w:left="1440" w:hanging="1440"/>
        <w:jc w:val="both"/>
        <w:rPr>
          <w:b/>
        </w:rPr>
      </w:pPr>
      <w:r>
        <w:rPr>
          <w:b/>
        </w:rPr>
        <w:t xml:space="preserve">FUEL </w:t>
      </w:r>
    </w:p>
    <w:p w14:paraId="37AD226F" w14:textId="74128BE1" w:rsidR="00E61F50" w:rsidRDefault="00C0182D" w:rsidP="00E61F50">
      <w:pPr>
        <w:ind w:left="1440" w:hanging="1440"/>
        <w:jc w:val="both"/>
        <w:rPr>
          <w:bCs/>
        </w:rPr>
      </w:pPr>
      <w:r>
        <w:rPr>
          <w:b/>
        </w:rPr>
        <w:t>RETAILERS</w:t>
      </w:r>
      <w:r w:rsidR="00E61F50">
        <w:rPr>
          <w:b/>
        </w:rPr>
        <w:t>:</w:t>
      </w:r>
      <w:r w:rsidR="00CD0A95">
        <w:rPr>
          <w:b/>
        </w:rPr>
        <w:t xml:space="preserve"> </w:t>
      </w:r>
      <w:r w:rsidR="003B49CB">
        <w:rPr>
          <w:bCs/>
        </w:rPr>
        <w:t>Agree</w:t>
      </w:r>
      <w:r w:rsidR="00D03DFB">
        <w:rPr>
          <w:bCs/>
        </w:rPr>
        <w:t>s</w:t>
      </w:r>
      <w:r w:rsidR="003B49CB">
        <w:rPr>
          <w:bCs/>
        </w:rPr>
        <w:t xml:space="preserve"> with </w:t>
      </w:r>
      <w:r w:rsidR="00D03DFB">
        <w:rPr>
          <w:bCs/>
        </w:rPr>
        <w:t>OPC</w:t>
      </w:r>
      <w:r w:rsidR="003B49CB">
        <w:rPr>
          <w:bCs/>
        </w:rPr>
        <w:t>.</w:t>
      </w:r>
    </w:p>
    <w:p w14:paraId="080ECADA" w14:textId="77777777" w:rsidR="003C0B09" w:rsidRDefault="003C0B09" w:rsidP="00E61F50">
      <w:pPr>
        <w:ind w:left="1440" w:hanging="1440"/>
        <w:jc w:val="both"/>
        <w:rPr>
          <w:bCs/>
        </w:rPr>
      </w:pPr>
    </w:p>
    <w:p w14:paraId="3A88CE75" w14:textId="4E8E2AE0" w:rsidR="003C0B09" w:rsidRPr="003C0B09" w:rsidRDefault="00FD408B" w:rsidP="00E61F50">
      <w:pPr>
        <w:ind w:left="1440" w:hanging="1440"/>
        <w:jc w:val="both"/>
        <w:rPr>
          <w:b/>
        </w:rPr>
      </w:pPr>
      <w:r>
        <w:rPr>
          <w:b/>
          <w:bCs/>
        </w:rPr>
        <w:t>WALMART</w:t>
      </w:r>
      <w:r w:rsidR="003C0B09">
        <w:rPr>
          <w:b/>
          <w:bCs/>
        </w:rPr>
        <w:t>:</w:t>
      </w:r>
      <w:r w:rsidR="003C0B09">
        <w:rPr>
          <w:b/>
          <w:bCs/>
        </w:rPr>
        <w:tab/>
      </w:r>
      <w:r w:rsidR="00D03DFB">
        <w:t xml:space="preserve">Agrees </w:t>
      </w:r>
      <w:r w:rsidR="003C0B09">
        <w:t>with OPC.</w:t>
      </w:r>
    </w:p>
    <w:p w14:paraId="2D65405D" w14:textId="77777777" w:rsidR="00E61F50" w:rsidRPr="00701945" w:rsidRDefault="00E61F50" w:rsidP="00E61F50">
      <w:pPr>
        <w:jc w:val="both"/>
      </w:pPr>
    </w:p>
    <w:p w14:paraId="2062EBCE" w14:textId="77777777" w:rsidR="00E61F50" w:rsidRPr="005D4B47" w:rsidRDefault="00E61F50" w:rsidP="00E61F50">
      <w:pPr>
        <w:ind w:left="1440" w:hanging="1440"/>
        <w:jc w:val="both"/>
        <w:rPr>
          <w:b/>
          <w:bCs/>
        </w:rPr>
      </w:pPr>
      <w:r>
        <w:rPr>
          <w:b/>
          <w:bCs/>
        </w:rPr>
        <w:t>STAFF:</w:t>
      </w:r>
      <w:r>
        <w:rPr>
          <w:b/>
          <w:bCs/>
        </w:rPr>
        <w:tab/>
      </w:r>
      <w:r w:rsidR="00AB600F">
        <w:t>No position at this time.</w:t>
      </w:r>
    </w:p>
    <w:p w14:paraId="0DFD0446" w14:textId="77777777" w:rsidR="00E61F50" w:rsidRDefault="00E61F50" w:rsidP="00C7699A">
      <w:pPr>
        <w:jc w:val="both"/>
      </w:pPr>
    </w:p>
    <w:p w14:paraId="3E999B04" w14:textId="77777777" w:rsidR="00E61F50" w:rsidRDefault="00E61F50" w:rsidP="00C7699A">
      <w:pPr>
        <w:jc w:val="both"/>
      </w:pPr>
    </w:p>
    <w:p w14:paraId="25DCBB07" w14:textId="77777777" w:rsidR="00E61F50" w:rsidRPr="00024AAA" w:rsidRDefault="00024AAA" w:rsidP="00E61F50">
      <w:pPr>
        <w:ind w:left="1440" w:hanging="1440"/>
        <w:jc w:val="both"/>
        <w:rPr>
          <w:b/>
        </w:rPr>
      </w:pPr>
      <w:r>
        <w:rPr>
          <w:b/>
          <w:bCs/>
        </w:rPr>
        <w:t>ISSUE 23</w:t>
      </w:r>
      <w:r w:rsidR="00E61F50" w:rsidRPr="00701945">
        <w:rPr>
          <w:b/>
          <w:bCs/>
        </w:rPr>
        <w:t>:</w:t>
      </w:r>
      <w:r w:rsidR="00E61F50" w:rsidRPr="00701945">
        <w:tab/>
      </w:r>
      <w:r w:rsidRPr="00024AAA">
        <w:rPr>
          <w:b/>
          <w:bCs/>
        </w:rPr>
        <w:t>Should TECO’s proposed Bearss Operations Center project be included in the 2025 projected test year? What, if any, adjustments should be made?</w:t>
      </w:r>
    </w:p>
    <w:p w14:paraId="1FFFB577" w14:textId="77777777" w:rsidR="00E61F50" w:rsidRPr="00701945" w:rsidRDefault="00E61F50" w:rsidP="00E61F50">
      <w:pPr>
        <w:jc w:val="both"/>
      </w:pPr>
    </w:p>
    <w:p w14:paraId="2FE1595E" w14:textId="7B02AC3E" w:rsidR="00E61F50" w:rsidRPr="005D4B47" w:rsidRDefault="00E61F50" w:rsidP="00E61F50">
      <w:pPr>
        <w:ind w:left="1440" w:hanging="1440"/>
        <w:jc w:val="both"/>
      </w:pPr>
      <w:r>
        <w:rPr>
          <w:b/>
          <w:bCs/>
        </w:rPr>
        <w:t>TECO</w:t>
      </w:r>
      <w:r w:rsidRPr="005D4B47">
        <w:rPr>
          <w:b/>
          <w:bCs/>
        </w:rPr>
        <w:t>:</w:t>
      </w:r>
      <w:r w:rsidRPr="005D4B47">
        <w:tab/>
      </w:r>
      <w:r w:rsidR="00024AAA">
        <w:t>Yes. The Bearss Operations Center is a modern, storm hardened secure operations center that will replace the company’s current energy control center (ECC) and IT functions at t</w:t>
      </w:r>
      <w:r w:rsidR="00CA7451">
        <w:t>he Ybor Data Center</w:t>
      </w:r>
      <w:r w:rsidR="007144FA">
        <w:t>,</w:t>
      </w:r>
      <w:r w:rsidR="00CA7451">
        <w:t xml:space="preserve"> is prudent,</w:t>
      </w:r>
      <w:r w:rsidR="00024AAA">
        <w:t xml:space="preserve"> and should be included in test year rate base. The new facility is designed to withstand major tropical storms, protect </w:t>
      </w:r>
      <w:r w:rsidR="00024AAA">
        <w:lastRenderedPageBreak/>
        <w:t>the company’s cyber assets, and operate utility command and control functions for the next 40 years. The ECC and Ybor Data Center are not storm hardened, were not built to current standards, are located in flood-prone areas and need to be replaced to promote reliability and resilience. (Aldazabal)</w:t>
      </w:r>
    </w:p>
    <w:p w14:paraId="732E3B65" w14:textId="77777777" w:rsidR="00E61F50" w:rsidRPr="00701945" w:rsidRDefault="00E61F50" w:rsidP="00E61F50">
      <w:pPr>
        <w:jc w:val="both"/>
      </w:pPr>
    </w:p>
    <w:p w14:paraId="4FA98023" w14:textId="77777777" w:rsidR="00E61F50" w:rsidRDefault="00E61F50" w:rsidP="00E61F50">
      <w:pPr>
        <w:ind w:left="1440" w:hanging="1440"/>
        <w:jc w:val="both"/>
      </w:pPr>
      <w:r>
        <w:rPr>
          <w:b/>
          <w:bCs/>
        </w:rPr>
        <w:t>OPC</w:t>
      </w:r>
      <w:r w:rsidRPr="00701945">
        <w:rPr>
          <w:b/>
          <w:bCs/>
        </w:rPr>
        <w:t>:</w:t>
      </w:r>
      <w:r>
        <w:tab/>
      </w:r>
      <w:r w:rsidR="004A3F01">
        <w:t>No position.</w:t>
      </w:r>
    </w:p>
    <w:p w14:paraId="34A58EAA" w14:textId="77777777" w:rsidR="00E61F50" w:rsidRDefault="00E61F50" w:rsidP="00E61F50">
      <w:pPr>
        <w:ind w:left="1440" w:hanging="1440"/>
        <w:jc w:val="both"/>
      </w:pPr>
    </w:p>
    <w:p w14:paraId="4E5EE254" w14:textId="77777777" w:rsidR="00E61F50" w:rsidRDefault="00E61F50" w:rsidP="00E61F50">
      <w:pPr>
        <w:ind w:left="1440" w:hanging="1440"/>
        <w:jc w:val="both"/>
        <w:rPr>
          <w:b/>
        </w:rPr>
      </w:pPr>
      <w:r>
        <w:rPr>
          <w:b/>
        </w:rPr>
        <w:t>FL RISING/</w:t>
      </w:r>
    </w:p>
    <w:p w14:paraId="291D90CD" w14:textId="77777777" w:rsidR="00E61F50" w:rsidRDefault="00E61F50" w:rsidP="00E61F50">
      <w:pPr>
        <w:ind w:left="1440" w:hanging="1440"/>
        <w:jc w:val="both"/>
        <w:rPr>
          <w:b/>
        </w:rPr>
      </w:pPr>
      <w:r>
        <w:rPr>
          <w:b/>
        </w:rPr>
        <w:t>LULAC:</w:t>
      </w:r>
      <w:r>
        <w:rPr>
          <w:b/>
        </w:rPr>
        <w:tab/>
      </w:r>
      <w:r w:rsidR="00664874" w:rsidRPr="00A85CF5">
        <w:rPr>
          <w:bCs/>
        </w:rPr>
        <w:t xml:space="preserve">No, TECO has not met its burden to show that this project is in the customer interest and </w:t>
      </w:r>
      <w:r w:rsidR="00664874">
        <w:rPr>
          <w:bCs/>
        </w:rPr>
        <w:t>is reasonable and prudent</w:t>
      </w:r>
      <w:r w:rsidR="00664874">
        <w:t>.</w:t>
      </w:r>
    </w:p>
    <w:p w14:paraId="6E48CB9B" w14:textId="77777777" w:rsidR="00E61F50" w:rsidRDefault="00E61F50" w:rsidP="00E61F50">
      <w:pPr>
        <w:ind w:left="1440" w:hanging="1440"/>
        <w:jc w:val="both"/>
        <w:rPr>
          <w:b/>
        </w:rPr>
      </w:pPr>
    </w:p>
    <w:p w14:paraId="79B7EFEB" w14:textId="23103573" w:rsidR="00E61F50" w:rsidRDefault="00E61F50" w:rsidP="00E61F50">
      <w:pPr>
        <w:ind w:left="1440" w:hanging="1440"/>
        <w:jc w:val="both"/>
        <w:rPr>
          <w:b/>
        </w:rPr>
      </w:pPr>
      <w:r>
        <w:rPr>
          <w:b/>
        </w:rPr>
        <w:t>FIPUG:</w:t>
      </w:r>
      <w:r>
        <w:rPr>
          <w:b/>
        </w:rPr>
        <w:tab/>
      </w:r>
      <w:r w:rsidR="005A6689">
        <w:rPr>
          <w:bCs/>
        </w:rPr>
        <w:t>No position.</w:t>
      </w:r>
    </w:p>
    <w:p w14:paraId="207BF8E5" w14:textId="77777777" w:rsidR="00E61F50" w:rsidRDefault="00E61F50" w:rsidP="00E61F50">
      <w:pPr>
        <w:ind w:left="1440" w:hanging="1440"/>
        <w:jc w:val="both"/>
        <w:rPr>
          <w:b/>
        </w:rPr>
      </w:pPr>
    </w:p>
    <w:p w14:paraId="4F0819AB" w14:textId="3BC81CE8" w:rsidR="00E61F50" w:rsidRDefault="00E61F50" w:rsidP="00E61F50">
      <w:pPr>
        <w:ind w:left="1440" w:hanging="1440"/>
        <w:jc w:val="both"/>
        <w:rPr>
          <w:b/>
        </w:rPr>
      </w:pPr>
      <w:r>
        <w:rPr>
          <w:b/>
        </w:rPr>
        <w:t>FEA:</w:t>
      </w:r>
      <w:r>
        <w:rPr>
          <w:b/>
        </w:rPr>
        <w:tab/>
      </w:r>
      <w:r w:rsidR="005A6689">
        <w:t>No position.</w:t>
      </w:r>
    </w:p>
    <w:p w14:paraId="04CDA2F8" w14:textId="77777777" w:rsidR="00E61F50" w:rsidRDefault="00E61F50" w:rsidP="00E61F50">
      <w:pPr>
        <w:ind w:left="1440" w:hanging="1440"/>
        <w:jc w:val="both"/>
        <w:rPr>
          <w:b/>
        </w:rPr>
      </w:pPr>
    </w:p>
    <w:p w14:paraId="1C25D4B3" w14:textId="77777777" w:rsidR="00CD0A95" w:rsidRDefault="00764960" w:rsidP="00E61F50">
      <w:pPr>
        <w:ind w:left="1440" w:hanging="1440"/>
        <w:jc w:val="both"/>
        <w:rPr>
          <w:b/>
        </w:rPr>
      </w:pPr>
      <w:r>
        <w:rPr>
          <w:b/>
        </w:rPr>
        <w:t xml:space="preserve">SIERRA </w:t>
      </w:r>
    </w:p>
    <w:p w14:paraId="5FF1C282" w14:textId="4CBD7B09" w:rsidR="00E61F50" w:rsidRDefault="00764960" w:rsidP="00E61F50">
      <w:pPr>
        <w:ind w:left="1440" w:hanging="1440"/>
        <w:jc w:val="both"/>
        <w:rPr>
          <w:b/>
        </w:rPr>
      </w:pPr>
      <w:r>
        <w:rPr>
          <w:b/>
        </w:rPr>
        <w:t>CLUB</w:t>
      </w:r>
      <w:r w:rsidR="00E61F50">
        <w:rPr>
          <w:b/>
        </w:rPr>
        <w:t>:</w:t>
      </w:r>
      <w:r w:rsidR="00E61F50">
        <w:rPr>
          <w:b/>
        </w:rPr>
        <w:tab/>
      </w:r>
      <w:r w:rsidR="005A6689">
        <w:t>No position.</w:t>
      </w:r>
    </w:p>
    <w:p w14:paraId="58BFDAD4" w14:textId="77777777" w:rsidR="00E61F50" w:rsidRDefault="00E61F50" w:rsidP="00E61F50">
      <w:pPr>
        <w:ind w:left="1440" w:hanging="1440"/>
        <w:jc w:val="both"/>
        <w:rPr>
          <w:b/>
        </w:rPr>
      </w:pPr>
    </w:p>
    <w:p w14:paraId="533ADC8B" w14:textId="739CA03A" w:rsidR="00E61F50" w:rsidRDefault="00E61F50" w:rsidP="00E61F50">
      <w:pPr>
        <w:ind w:left="1440" w:hanging="1440"/>
        <w:jc w:val="both"/>
        <w:rPr>
          <w:b/>
        </w:rPr>
      </w:pPr>
      <w:r>
        <w:rPr>
          <w:b/>
        </w:rPr>
        <w:t>FRF:</w:t>
      </w:r>
      <w:r>
        <w:rPr>
          <w:b/>
        </w:rPr>
        <w:tab/>
      </w:r>
      <w:r w:rsidR="00C23850">
        <w:t>No position.</w:t>
      </w:r>
    </w:p>
    <w:p w14:paraId="142B9F0F" w14:textId="77777777" w:rsidR="00E61F50" w:rsidRDefault="00E61F50" w:rsidP="00E61F50">
      <w:pPr>
        <w:ind w:left="1440" w:hanging="1440"/>
        <w:jc w:val="both"/>
        <w:rPr>
          <w:b/>
        </w:rPr>
      </w:pPr>
    </w:p>
    <w:p w14:paraId="130915ED" w14:textId="77777777" w:rsidR="00CD0A95" w:rsidRDefault="00C0182D" w:rsidP="00E61F50">
      <w:pPr>
        <w:ind w:left="1440" w:hanging="1440"/>
        <w:jc w:val="both"/>
        <w:rPr>
          <w:b/>
        </w:rPr>
      </w:pPr>
      <w:r>
        <w:rPr>
          <w:b/>
        </w:rPr>
        <w:t xml:space="preserve">FUEL </w:t>
      </w:r>
    </w:p>
    <w:p w14:paraId="6881BEC4" w14:textId="36D79708" w:rsidR="00E61F50" w:rsidRDefault="00C0182D" w:rsidP="00E61F50">
      <w:pPr>
        <w:ind w:left="1440" w:hanging="1440"/>
        <w:jc w:val="both"/>
        <w:rPr>
          <w:bCs/>
        </w:rPr>
      </w:pPr>
      <w:r>
        <w:rPr>
          <w:b/>
        </w:rPr>
        <w:t>RETAILERS</w:t>
      </w:r>
      <w:r w:rsidR="00E61F50">
        <w:rPr>
          <w:b/>
        </w:rPr>
        <w:t>:</w:t>
      </w:r>
      <w:r w:rsidR="00CD0A95">
        <w:rPr>
          <w:b/>
        </w:rPr>
        <w:t xml:space="preserve"> </w:t>
      </w:r>
      <w:r w:rsidR="00C23850">
        <w:rPr>
          <w:bCs/>
        </w:rPr>
        <w:t>No position.</w:t>
      </w:r>
    </w:p>
    <w:p w14:paraId="54804782" w14:textId="77777777" w:rsidR="003C0B09" w:rsidRDefault="003C0B09" w:rsidP="00E61F50">
      <w:pPr>
        <w:ind w:left="1440" w:hanging="1440"/>
        <w:jc w:val="both"/>
        <w:rPr>
          <w:bCs/>
        </w:rPr>
      </w:pPr>
    </w:p>
    <w:p w14:paraId="58442C0E" w14:textId="45B5599C" w:rsidR="003C0B09" w:rsidRPr="003C0B09" w:rsidRDefault="00FD408B" w:rsidP="00E61F50">
      <w:pPr>
        <w:ind w:left="1440" w:hanging="1440"/>
        <w:jc w:val="both"/>
        <w:rPr>
          <w:b/>
        </w:rPr>
      </w:pPr>
      <w:r>
        <w:rPr>
          <w:b/>
          <w:bCs/>
        </w:rPr>
        <w:t>WALMART</w:t>
      </w:r>
      <w:r w:rsidR="003C0B09">
        <w:rPr>
          <w:b/>
          <w:bCs/>
        </w:rPr>
        <w:t>:</w:t>
      </w:r>
      <w:r w:rsidR="003C0B09">
        <w:rPr>
          <w:b/>
          <w:bCs/>
        </w:rPr>
        <w:tab/>
      </w:r>
      <w:r w:rsidR="00C23850">
        <w:t>No position.</w:t>
      </w:r>
    </w:p>
    <w:p w14:paraId="4A5AE928" w14:textId="77777777" w:rsidR="00E61F50" w:rsidRPr="00701945" w:rsidRDefault="00E61F50" w:rsidP="00E61F50">
      <w:pPr>
        <w:jc w:val="both"/>
      </w:pPr>
    </w:p>
    <w:p w14:paraId="1CAF75BB" w14:textId="77777777" w:rsidR="00E61F50" w:rsidRPr="005D4B47" w:rsidRDefault="00E61F50" w:rsidP="00E61F50">
      <w:pPr>
        <w:ind w:left="1440" w:hanging="1440"/>
        <w:jc w:val="both"/>
        <w:rPr>
          <w:b/>
          <w:bCs/>
        </w:rPr>
      </w:pPr>
      <w:r>
        <w:rPr>
          <w:b/>
          <w:bCs/>
        </w:rPr>
        <w:t>STAFF:</w:t>
      </w:r>
      <w:r>
        <w:rPr>
          <w:b/>
          <w:bCs/>
        </w:rPr>
        <w:tab/>
      </w:r>
      <w:r w:rsidR="00AB600F">
        <w:t>No position at this time.</w:t>
      </w:r>
    </w:p>
    <w:p w14:paraId="12444461" w14:textId="77777777" w:rsidR="00E61F50" w:rsidRDefault="00E61F50" w:rsidP="00C7699A">
      <w:pPr>
        <w:jc w:val="both"/>
      </w:pPr>
    </w:p>
    <w:p w14:paraId="5FFFEE9D" w14:textId="77777777" w:rsidR="00E61F50" w:rsidRDefault="00E61F50" w:rsidP="00C7699A">
      <w:pPr>
        <w:jc w:val="both"/>
      </w:pPr>
    </w:p>
    <w:p w14:paraId="7871F1C5" w14:textId="77777777" w:rsidR="00E61F50" w:rsidRPr="00024AAA" w:rsidRDefault="00024AAA" w:rsidP="00E61F50">
      <w:pPr>
        <w:ind w:left="1440" w:hanging="1440"/>
        <w:jc w:val="both"/>
        <w:rPr>
          <w:b/>
        </w:rPr>
      </w:pPr>
      <w:r>
        <w:rPr>
          <w:b/>
          <w:bCs/>
        </w:rPr>
        <w:t>ISSUE 24</w:t>
      </w:r>
      <w:r w:rsidR="00E61F50" w:rsidRPr="00701945">
        <w:rPr>
          <w:b/>
          <w:bCs/>
        </w:rPr>
        <w:t>:</w:t>
      </w:r>
      <w:r w:rsidR="00E61F50" w:rsidRPr="00701945">
        <w:tab/>
      </w:r>
      <w:r w:rsidRPr="00024AAA">
        <w:rPr>
          <w:b/>
          <w:bCs/>
        </w:rPr>
        <w:t>Should TECO’s proposed Polk 1 Flexibility project be included in the 2025 projected test year? What, if any, adjustments should be made?</w:t>
      </w:r>
    </w:p>
    <w:p w14:paraId="4655129E" w14:textId="77777777" w:rsidR="00E61F50" w:rsidRPr="00701945" w:rsidRDefault="00E61F50" w:rsidP="00E61F50">
      <w:pPr>
        <w:jc w:val="both"/>
      </w:pPr>
    </w:p>
    <w:p w14:paraId="48B82192" w14:textId="38C08F31" w:rsidR="00E61F50" w:rsidRPr="005D4B47" w:rsidRDefault="00E61F50" w:rsidP="00E61F50">
      <w:pPr>
        <w:ind w:left="1440" w:hanging="1440"/>
        <w:jc w:val="both"/>
      </w:pPr>
      <w:r>
        <w:rPr>
          <w:b/>
          <w:bCs/>
        </w:rPr>
        <w:t>TECO</w:t>
      </w:r>
      <w:r w:rsidRPr="005D4B47">
        <w:rPr>
          <w:b/>
          <w:bCs/>
        </w:rPr>
        <w:t>:</w:t>
      </w:r>
      <w:r w:rsidRPr="005D4B47">
        <w:tab/>
      </w:r>
      <w:r w:rsidR="00024AAA">
        <w:t xml:space="preserve">Yes. The Polk 1 Flexibility Project will convert the existing Polk Unit 1 combined cycle unit into a highly efficient simple cycle unit, is prudent, and should be included in test year rate base. The </w:t>
      </w:r>
      <w:r w:rsidR="005B10B6">
        <w:t>p</w:t>
      </w:r>
      <w:r w:rsidR="00024AAA">
        <w:t>roject will increase the unit’s flexibility, allow faster start times, increase ramp rates, and reduce turndowns; and will generate an estimated $40 million of fuel cost benefits and a CPVRR benefit of $166.9 million.</w:t>
      </w:r>
      <w:r w:rsidR="004E0BC7">
        <w:t xml:space="preserve"> Sierra Club’s proposal to early retire the IGCC components at Polk Unit 1 ignores the importance of the IGCC for present and future customers and should be rejected. </w:t>
      </w:r>
      <w:r w:rsidR="00024AAA">
        <w:t>(Aldazabal, Aponte)</w:t>
      </w:r>
    </w:p>
    <w:p w14:paraId="5AECC6A3" w14:textId="77777777" w:rsidR="00E61F50" w:rsidRPr="00701945" w:rsidRDefault="00E61F50" w:rsidP="00E61F50">
      <w:pPr>
        <w:jc w:val="both"/>
      </w:pPr>
    </w:p>
    <w:p w14:paraId="488D4AEF" w14:textId="7AB6E9ED" w:rsidR="00E61F50" w:rsidRDefault="00E61F50" w:rsidP="00E61F50">
      <w:pPr>
        <w:ind w:left="1440" w:hanging="1440"/>
        <w:jc w:val="both"/>
      </w:pPr>
      <w:r>
        <w:rPr>
          <w:b/>
          <w:bCs/>
        </w:rPr>
        <w:t>OPC</w:t>
      </w:r>
      <w:r w:rsidRPr="00701945">
        <w:rPr>
          <w:b/>
          <w:bCs/>
        </w:rPr>
        <w:t>:</w:t>
      </w:r>
      <w:r>
        <w:tab/>
      </w:r>
      <w:r w:rsidR="00A81692">
        <w:t>No position.</w:t>
      </w:r>
    </w:p>
    <w:p w14:paraId="6F8085FE" w14:textId="77777777" w:rsidR="00E61F50" w:rsidRDefault="00E61F50" w:rsidP="00E61F50">
      <w:pPr>
        <w:ind w:left="1440" w:hanging="1440"/>
        <w:jc w:val="both"/>
      </w:pPr>
    </w:p>
    <w:p w14:paraId="30A152F1" w14:textId="77777777" w:rsidR="00E61F50" w:rsidRDefault="00E61F50" w:rsidP="00E61F50">
      <w:pPr>
        <w:ind w:left="1440" w:hanging="1440"/>
        <w:jc w:val="both"/>
        <w:rPr>
          <w:b/>
        </w:rPr>
      </w:pPr>
      <w:r>
        <w:rPr>
          <w:b/>
        </w:rPr>
        <w:t>FL RISING/</w:t>
      </w:r>
    </w:p>
    <w:p w14:paraId="37F7B028" w14:textId="77777777" w:rsidR="00E61F50" w:rsidRDefault="00E61F50" w:rsidP="00E61F50">
      <w:pPr>
        <w:ind w:left="1440" w:hanging="1440"/>
        <w:jc w:val="both"/>
        <w:rPr>
          <w:b/>
        </w:rPr>
      </w:pPr>
      <w:r>
        <w:rPr>
          <w:b/>
        </w:rPr>
        <w:t>LULAC:</w:t>
      </w:r>
      <w:r>
        <w:rPr>
          <w:b/>
        </w:rPr>
        <w:tab/>
      </w:r>
      <w:r w:rsidR="00664874" w:rsidRPr="00A85CF5">
        <w:rPr>
          <w:bCs/>
        </w:rPr>
        <w:t xml:space="preserve">No, TECO has not met its burden to show that this project is in the customer interest and </w:t>
      </w:r>
      <w:r w:rsidR="00664874">
        <w:rPr>
          <w:bCs/>
        </w:rPr>
        <w:t>is reasonable and prudent</w:t>
      </w:r>
      <w:r w:rsidR="00664874">
        <w:t>.</w:t>
      </w:r>
    </w:p>
    <w:p w14:paraId="5B7B1589" w14:textId="1437D0B0" w:rsidR="00E61F50" w:rsidRDefault="00E61F50" w:rsidP="00E61F50">
      <w:pPr>
        <w:ind w:left="1440" w:hanging="1440"/>
        <w:jc w:val="both"/>
        <w:rPr>
          <w:b/>
        </w:rPr>
      </w:pPr>
      <w:r>
        <w:rPr>
          <w:b/>
        </w:rPr>
        <w:lastRenderedPageBreak/>
        <w:t>FIPUG:</w:t>
      </w:r>
      <w:r>
        <w:rPr>
          <w:b/>
        </w:rPr>
        <w:tab/>
      </w:r>
      <w:r w:rsidR="009E6605">
        <w:rPr>
          <w:bCs/>
        </w:rPr>
        <w:t>No position.</w:t>
      </w:r>
    </w:p>
    <w:p w14:paraId="1BF613EB" w14:textId="77777777" w:rsidR="00E61F50" w:rsidRDefault="00E61F50" w:rsidP="00E61F50">
      <w:pPr>
        <w:ind w:left="1440" w:hanging="1440"/>
        <w:jc w:val="both"/>
        <w:rPr>
          <w:b/>
        </w:rPr>
      </w:pPr>
    </w:p>
    <w:p w14:paraId="4A66EE78" w14:textId="1DD01061" w:rsidR="00E61F50" w:rsidRDefault="00E61F50" w:rsidP="00E61F50">
      <w:pPr>
        <w:ind w:left="1440" w:hanging="1440"/>
        <w:jc w:val="both"/>
        <w:rPr>
          <w:b/>
        </w:rPr>
      </w:pPr>
      <w:r>
        <w:rPr>
          <w:b/>
        </w:rPr>
        <w:t>FEA:</w:t>
      </w:r>
      <w:r>
        <w:rPr>
          <w:b/>
        </w:rPr>
        <w:tab/>
      </w:r>
      <w:r w:rsidR="00092ED1">
        <w:t>No position.</w:t>
      </w:r>
    </w:p>
    <w:p w14:paraId="69D75219" w14:textId="77777777" w:rsidR="00E61F50" w:rsidRDefault="00E61F50" w:rsidP="00E61F50">
      <w:pPr>
        <w:ind w:left="1440" w:hanging="1440"/>
        <w:jc w:val="both"/>
        <w:rPr>
          <w:b/>
        </w:rPr>
      </w:pPr>
    </w:p>
    <w:p w14:paraId="0C507385" w14:textId="77777777" w:rsidR="00CD0A95" w:rsidRDefault="00764960" w:rsidP="00E61F50">
      <w:pPr>
        <w:ind w:left="1440" w:hanging="1440"/>
        <w:jc w:val="both"/>
        <w:rPr>
          <w:b/>
        </w:rPr>
      </w:pPr>
      <w:r>
        <w:rPr>
          <w:b/>
        </w:rPr>
        <w:t xml:space="preserve">SIERRA </w:t>
      </w:r>
    </w:p>
    <w:p w14:paraId="0475877D" w14:textId="75CB1E25" w:rsidR="00E61F50" w:rsidRDefault="00764960" w:rsidP="00E61F50">
      <w:pPr>
        <w:ind w:left="1440" w:hanging="1440"/>
        <w:jc w:val="both"/>
        <w:rPr>
          <w:b/>
        </w:rPr>
      </w:pPr>
      <w:r>
        <w:rPr>
          <w:b/>
        </w:rPr>
        <w:t>CLUB</w:t>
      </w:r>
      <w:r w:rsidR="00E61F50">
        <w:rPr>
          <w:b/>
        </w:rPr>
        <w:t>:</w:t>
      </w:r>
      <w:r w:rsidR="00E61F50">
        <w:rPr>
          <w:b/>
        </w:rPr>
        <w:tab/>
      </w:r>
      <w:r w:rsidR="0049497E" w:rsidRPr="001E3193">
        <w:t xml:space="preserve">Sierra Club opposes the inclusion of the costs of the Polk 1 Flexibility project in the 2025 projected test year. </w:t>
      </w:r>
      <w:r w:rsidR="0049497E">
        <w:t>T</w:t>
      </w:r>
      <w:r w:rsidR="0049497E" w:rsidRPr="001E3193">
        <w:t xml:space="preserve">he Commission should </w:t>
      </w:r>
      <w:r w:rsidR="0049497E">
        <w:t>disallow recovery unless</w:t>
      </w:r>
      <w:r w:rsidR="0049497E" w:rsidRPr="001E3193">
        <w:t xml:space="preserve"> TECO provides </w:t>
      </w:r>
      <w:r w:rsidR="0049497E">
        <w:t xml:space="preserve">an </w:t>
      </w:r>
      <w:r w:rsidR="0049497E" w:rsidRPr="001E3193">
        <w:t xml:space="preserve">analysis demonstrating </w:t>
      </w:r>
      <w:r w:rsidR="0049497E">
        <w:t>the CT</w:t>
      </w:r>
      <w:r w:rsidR="0049497E" w:rsidRPr="001E3193">
        <w:t xml:space="preserve"> conversion is lower cost than retiring the unit </w:t>
      </w:r>
      <w:r w:rsidR="0049497E">
        <w:t>and replacing it with alternative resources by 2030 or another date</w:t>
      </w:r>
      <w:r w:rsidR="0049497E" w:rsidRPr="001E3193">
        <w:t xml:space="preserve">. </w:t>
      </w:r>
      <w:r w:rsidR="0049497E">
        <w:t xml:space="preserve">If the Commission approves costs associated with converting Polk </w:t>
      </w:r>
      <w:r w:rsidR="007D4B49">
        <w:t xml:space="preserve">Unit </w:t>
      </w:r>
      <w:r w:rsidR="0049497E">
        <w:t>1 to a CT, it should still require that TECO immediately retire its IG, ST, and HRSG components.</w:t>
      </w:r>
    </w:p>
    <w:p w14:paraId="2BDB8A4C" w14:textId="77777777" w:rsidR="00E61F50" w:rsidRDefault="00E61F50" w:rsidP="00E61F50">
      <w:pPr>
        <w:ind w:left="1440" w:hanging="1440"/>
        <w:jc w:val="both"/>
        <w:rPr>
          <w:b/>
        </w:rPr>
      </w:pPr>
    </w:p>
    <w:p w14:paraId="20554ED1" w14:textId="7A95E694" w:rsidR="00E61F50" w:rsidRDefault="00E61F50" w:rsidP="00E61F50">
      <w:pPr>
        <w:ind w:left="1440" w:hanging="1440"/>
        <w:jc w:val="both"/>
        <w:rPr>
          <w:b/>
        </w:rPr>
      </w:pPr>
      <w:r>
        <w:rPr>
          <w:b/>
        </w:rPr>
        <w:t>FRF:</w:t>
      </w:r>
      <w:r>
        <w:rPr>
          <w:b/>
        </w:rPr>
        <w:tab/>
      </w:r>
      <w:r w:rsidR="007D4B49">
        <w:t>No position.</w:t>
      </w:r>
    </w:p>
    <w:p w14:paraId="03BD6D2A" w14:textId="77777777" w:rsidR="00E61F50" w:rsidRDefault="00E61F50" w:rsidP="00E61F50">
      <w:pPr>
        <w:ind w:left="1440" w:hanging="1440"/>
        <w:jc w:val="both"/>
        <w:rPr>
          <w:b/>
        </w:rPr>
      </w:pPr>
    </w:p>
    <w:p w14:paraId="6B8472AE" w14:textId="77777777" w:rsidR="00CD0A95" w:rsidRDefault="00C0182D" w:rsidP="00E61F50">
      <w:pPr>
        <w:ind w:left="1440" w:hanging="1440"/>
        <w:jc w:val="both"/>
        <w:rPr>
          <w:b/>
        </w:rPr>
      </w:pPr>
      <w:r>
        <w:rPr>
          <w:b/>
        </w:rPr>
        <w:t xml:space="preserve">FUEL </w:t>
      </w:r>
    </w:p>
    <w:p w14:paraId="15119171" w14:textId="7BAE1A1A" w:rsidR="00E61F50" w:rsidRDefault="00C0182D" w:rsidP="00E61F50">
      <w:pPr>
        <w:ind w:left="1440" w:hanging="1440"/>
        <w:jc w:val="both"/>
      </w:pPr>
      <w:r>
        <w:rPr>
          <w:b/>
        </w:rPr>
        <w:t>RETAILERS</w:t>
      </w:r>
      <w:r w:rsidR="00E61F50">
        <w:rPr>
          <w:b/>
        </w:rPr>
        <w:t>:</w:t>
      </w:r>
      <w:r w:rsidR="00CD0A95">
        <w:rPr>
          <w:b/>
        </w:rPr>
        <w:t xml:space="preserve"> </w:t>
      </w:r>
      <w:r w:rsidR="00035249" w:rsidRPr="00132664">
        <w:t xml:space="preserve">No </w:t>
      </w:r>
      <w:r w:rsidR="007D4B49">
        <w:t>p</w:t>
      </w:r>
      <w:r w:rsidR="00035249" w:rsidRPr="00132664">
        <w:t>osition.</w:t>
      </w:r>
    </w:p>
    <w:p w14:paraId="5E0563D5" w14:textId="77777777" w:rsidR="003C0B09" w:rsidRDefault="003C0B09" w:rsidP="00E61F50">
      <w:pPr>
        <w:ind w:left="1440" w:hanging="1440"/>
        <w:jc w:val="both"/>
      </w:pPr>
    </w:p>
    <w:p w14:paraId="0FD3BCAC" w14:textId="0655BC79" w:rsidR="003C0B09" w:rsidRPr="003C0B09" w:rsidRDefault="00FD408B" w:rsidP="00E61F50">
      <w:pPr>
        <w:ind w:left="1440" w:hanging="1440"/>
        <w:jc w:val="both"/>
        <w:rPr>
          <w:b/>
        </w:rPr>
      </w:pPr>
      <w:r>
        <w:rPr>
          <w:b/>
        </w:rPr>
        <w:t>WALMART</w:t>
      </w:r>
      <w:r w:rsidR="003C0B09">
        <w:rPr>
          <w:b/>
        </w:rPr>
        <w:t>:</w:t>
      </w:r>
      <w:r w:rsidR="003C0B09">
        <w:rPr>
          <w:b/>
        </w:rPr>
        <w:tab/>
      </w:r>
      <w:r w:rsidR="007D4B49">
        <w:t>No position.</w:t>
      </w:r>
    </w:p>
    <w:p w14:paraId="48F9C13D" w14:textId="77777777" w:rsidR="00E61F50" w:rsidRPr="00701945" w:rsidRDefault="00E61F50" w:rsidP="00E61F50">
      <w:pPr>
        <w:jc w:val="both"/>
      </w:pPr>
    </w:p>
    <w:p w14:paraId="30772830" w14:textId="77777777" w:rsidR="00E61F50" w:rsidRPr="005D4B47" w:rsidRDefault="00E61F50" w:rsidP="00E61F50">
      <w:pPr>
        <w:ind w:left="1440" w:hanging="1440"/>
        <w:jc w:val="both"/>
        <w:rPr>
          <w:b/>
          <w:bCs/>
        </w:rPr>
      </w:pPr>
      <w:r>
        <w:rPr>
          <w:b/>
          <w:bCs/>
        </w:rPr>
        <w:t>STAFF:</w:t>
      </w:r>
      <w:r>
        <w:rPr>
          <w:b/>
          <w:bCs/>
        </w:rPr>
        <w:tab/>
      </w:r>
      <w:r w:rsidR="00AB600F">
        <w:t>No position at this time.</w:t>
      </w:r>
    </w:p>
    <w:p w14:paraId="664D89E9" w14:textId="77777777" w:rsidR="00E61F50" w:rsidRDefault="00E61F50" w:rsidP="00C7699A">
      <w:pPr>
        <w:jc w:val="both"/>
      </w:pPr>
    </w:p>
    <w:p w14:paraId="47B08CA1" w14:textId="77777777" w:rsidR="00E61F50" w:rsidRDefault="00E61F50" w:rsidP="00C7699A">
      <w:pPr>
        <w:jc w:val="both"/>
      </w:pPr>
    </w:p>
    <w:p w14:paraId="5B0FE649" w14:textId="77777777" w:rsidR="00E61F50" w:rsidRPr="00024AAA" w:rsidRDefault="00024AAA" w:rsidP="00E61F50">
      <w:pPr>
        <w:ind w:left="1440" w:hanging="1440"/>
        <w:jc w:val="both"/>
        <w:rPr>
          <w:b/>
        </w:rPr>
      </w:pPr>
      <w:r>
        <w:rPr>
          <w:b/>
          <w:bCs/>
        </w:rPr>
        <w:t>ISSUE 25</w:t>
      </w:r>
      <w:r w:rsidR="00E61F50" w:rsidRPr="00701945">
        <w:rPr>
          <w:b/>
          <w:bCs/>
        </w:rPr>
        <w:t>:</w:t>
      </w:r>
      <w:r w:rsidR="00E61F50" w:rsidRPr="00701945">
        <w:tab/>
      </w:r>
      <w:r w:rsidRPr="00024AAA">
        <w:rPr>
          <w:b/>
        </w:rPr>
        <w:t xml:space="preserve">What amount of Plant in Service for the </w:t>
      </w:r>
      <w:r w:rsidRPr="00024AAA">
        <w:rPr>
          <w:b/>
          <w:bCs/>
        </w:rPr>
        <w:t>2025 projected test year should be approved</w:t>
      </w:r>
      <w:r w:rsidRPr="00024AAA">
        <w:rPr>
          <w:b/>
        </w:rPr>
        <w:t>?</w:t>
      </w:r>
    </w:p>
    <w:p w14:paraId="0C026AA5" w14:textId="77777777" w:rsidR="00E61F50" w:rsidRPr="00701945" w:rsidRDefault="00E61F50" w:rsidP="00E61F50">
      <w:pPr>
        <w:jc w:val="both"/>
      </w:pPr>
    </w:p>
    <w:p w14:paraId="53C1F38A" w14:textId="77777777" w:rsidR="00E61F50" w:rsidRPr="005D4B47" w:rsidRDefault="00E61F50" w:rsidP="00E61F50">
      <w:pPr>
        <w:ind w:left="1440" w:hanging="1440"/>
        <w:jc w:val="both"/>
      </w:pPr>
      <w:r>
        <w:rPr>
          <w:b/>
          <w:bCs/>
        </w:rPr>
        <w:t>TECO</w:t>
      </w:r>
      <w:r w:rsidRPr="005D4B47">
        <w:rPr>
          <w:b/>
          <w:bCs/>
        </w:rPr>
        <w:t>:</w:t>
      </w:r>
      <w:r w:rsidRPr="005D4B47">
        <w:tab/>
      </w:r>
      <w:r w:rsidR="00024AAA">
        <w:t>The Commission should approve Jurisdictional Adjusted Plant in Service totaling $13.4 billion as shown on MFR Schedule B-1</w:t>
      </w:r>
      <w:r w:rsidR="003C34D5">
        <w:t>, adjusted by the company’s July and August Filings</w:t>
      </w:r>
      <w:r w:rsidR="00024AAA">
        <w:t>. OPC’s proposed adjustment for spare transformers should be rejected. (Whitworth, Chronister)</w:t>
      </w:r>
    </w:p>
    <w:p w14:paraId="52A8C66E" w14:textId="77777777" w:rsidR="00E61F50" w:rsidRPr="00701945" w:rsidRDefault="00E61F50" w:rsidP="00E61F50">
      <w:pPr>
        <w:jc w:val="both"/>
      </w:pPr>
    </w:p>
    <w:p w14:paraId="2FD146E0" w14:textId="6981D1E3" w:rsidR="00E61F50" w:rsidRDefault="00E61F50" w:rsidP="00E61F50">
      <w:pPr>
        <w:ind w:left="1440" w:hanging="1440"/>
        <w:jc w:val="both"/>
      </w:pPr>
      <w:r>
        <w:rPr>
          <w:b/>
          <w:bCs/>
        </w:rPr>
        <w:t>OPC</w:t>
      </w:r>
      <w:r w:rsidRPr="00701945">
        <w:rPr>
          <w:b/>
          <w:bCs/>
        </w:rPr>
        <w:t>:</w:t>
      </w:r>
      <w:r>
        <w:tab/>
      </w:r>
      <w:r w:rsidR="00A81692">
        <w:t xml:space="preserve">This is largely a fall out issue, but TECO has the burden of proof to demonstrate the reasonableness or prudence of all costs to be included in rate base. OPC is still conducting discovery and certain other specific adjustments to Plant in Service may be required. </w:t>
      </w:r>
      <w:r w:rsidR="004A3F01">
        <w:t>The Distribution Feeder Hardening costs should be disallowed and considered in the SPP. This would require a reduction of $0.356 million in revenue requirement. Plant in Service for the 2025 projected test year should reflect OPC’s recommended adjustments.</w:t>
      </w:r>
    </w:p>
    <w:p w14:paraId="0A98BBD9" w14:textId="77777777" w:rsidR="004A3F01" w:rsidRDefault="004A3F01" w:rsidP="00E61F50">
      <w:pPr>
        <w:ind w:left="1440" w:hanging="1440"/>
        <w:jc w:val="both"/>
      </w:pPr>
    </w:p>
    <w:p w14:paraId="206B175A" w14:textId="77777777" w:rsidR="00E61F50" w:rsidRDefault="00E61F50" w:rsidP="00E61F50">
      <w:pPr>
        <w:ind w:left="1440" w:hanging="1440"/>
        <w:jc w:val="both"/>
        <w:rPr>
          <w:b/>
        </w:rPr>
      </w:pPr>
      <w:r>
        <w:rPr>
          <w:b/>
        </w:rPr>
        <w:t>FL RISING/</w:t>
      </w:r>
    </w:p>
    <w:p w14:paraId="476B8EEB" w14:textId="77777777" w:rsidR="00E61F50" w:rsidRDefault="00E61F50" w:rsidP="00E61F50">
      <w:pPr>
        <w:ind w:left="1440" w:hanging="1440"/>
        <w:jc w:val="both"/>
        <w:rPr>
          <w:b/>
        </w:rPr>
      </w:pPr>
      <w:r>
        <w:rPr>
          <w:b/>
        </w:rPr>
        <w:t>LULAC:</w:t>
      </w:r>
      <w:r>
        <w:rPr>
          <w:b/>
        </w:rPr>
        <w:tab/>
      </w:r>
      <w:r w:rsidR="00664874" w:rsidRPr="7B6BD329">
        <w:t>$</w:t>
      </w:r>
      <w:r w:rsidR="00664874" w:rsidRPr="4302CFAF">
        <w:t>12</w:t>
      </w:r>
      <w:r w:rsidR="00664874" w:rsidRPr="3D08FFF5">
        <w:t>,774,</w:t>
      </w:r>
      <w:r w:rsidR="00664874" w:rsidRPr="4D82850B">
        <w:t>719.</w:t>
      </w:r>
    </w:p>
    <w:p w14:paraId="0456A232" w14:textId="77777777" w:rsidR="00E61F50" w:rsidRDefault="00E61F50" w:rsidP="00E61F50">
      <w:pPr>
        <w:ind w:left="1440" w:hanging="1440"/>
        <w:jc w:val="both"/>
        <w:rPr>
          <w:b/>
        </w:rPr>
      </w:pPr>
    </w:p>
    <w:p w14:paraId="0A98FCF5" w14:textId="5571C227" w:rsidR="00E61F50" w:rsidRDefault="00E61F50" w:rsidP="00E61F50">
      <w:pPr>
        <w:ind w:left="1440" w:hanging="1440"/>
        <w:jc w:val="both"/>
        <w:rPr>
          <w:b/>
        </w:rPr>
      </w:pPr>
      <w:r>
        <w:rPr>
          <w:b/>
        </w:rPr>
        <w:t>FIPUG:</w:t>
      </w:r>
      <w:r>
        <w:rPr>
          <w:b/>
        </w:rPr>
        <w:tab/>
      </w:r>
      <w:r w:rsidR="008032CE">
        <w:rPr>
          <w:bCs/>
        </w:rPr>
        <w:t>Adopt</w:t>
      </w:r>
      <w:r w:rsidR="00382E56">
        <w:rPr>
          <w:bCs/>
        </w:rPr>
        <w:t>s</w:t>
      </w:r>
      <w:r w:rsidR="008032CE">
        <w:rPr>
          <w:bCs/>
        </w:rPr>
        <w:t xml:space="preserve"> the position of OPC.</w:t>
      </w:r>
    </w:p>
    <w:p w14:paraId="2A2CFD99" w14:textId="77777777" w:rsidR="00E61F50" w:rsidRDefault="00E61F50" w:rsidP="00E61F50">
      <w:pPr>
        <w:ind w:left="1440" w:hanging="1440"/>
        <w:jc w:val="both"/>
        <w:rPr>
          <w:b/>
        </w:rPr>
      </w:pPr>
    </w:p>
    <w:p w14:paraId="1B09B212" w14:textId="3CA13CEB" w:rsidR="00E61F50" w:rsidRDefault="00E61F50" w:rsidP="00E61F50">
      <w:pPr>
        <w:ind w:left="1440" w:hanging="1440"/>
        <w:jc w:val="both"/>
        <w:rPr>
          <w:b/>
        </w:rPr>
      </w:pPr>
      <w:r>
        <w:rPr>
          <w:b/>
        </w:rPr>
        <w:t>FEA:</w:t>
      </w:r>
      <w:r>
        <w:rPr>
          <w:b/>
        </w:rPr>
        <w:tab/>
      </w:r>
      <w:r w:rsidR="00382E56">
        <w:t>No position.</w:t>
      </w:r>
    </w:p>
    <w:p w14:paraId="118D8EAD" w14:textId="77777777" w:rsidR="00CD0A95" w:rsidRDefault="00764960" w:rsidP="00E61F50">
      <w:pPr>
        <w:ind w:left="1440" w:hanging="1440"/>
        <w:jc w:val="both"/>
        <w:rPr>
          <w:b/>
        </w:rPr>
      </w:pPr>
      <w:r>
        <w:rPr>
          <w:b/>
        </w:rPr>
        <w:lastRenderedPageBreak/>
        <w:t xml:space="preserve">SIERRA </w:t>
      </w:r>
    </w:p>
    <w:p w14:paraId="6E50E743" w14:textId="1AFDB175" w:rsidR="00E61F50" w:rsidRDefault="00764960" w:rsidP="00E61F50">
      <w:pPr>
        <w:ind w:left="1440" w:hanging="1440"/>
        <w:jc w:val="both"/>
        <w:rPr>
          <w:b/>
        </w:rPr>
      </w:pPr>
      <w:r>
        <w:rPr>
          <w:b/>
        </w:rPr>
        <w:t>CLUB</w:t>
      </w:r>
      <w:r w:rsidR="00E61F50">
        <w:rPr>
          <w:b/>
        </w:rPr>
        <w:t>:</w:t>
      </w:r>
      <w:r w:rsidR="00E61F50">
        <w:rPr>
          <w:b/>
        </w:rPr>
        <w:tab/>
      </w:r>
      <w:r w:rsidR="00035FE8">
        <w:t>No position.</w:t>
      </w:r>
    </w:p>
    <w:p w14:paraId="30C4F22C" w14:textId="77777777" w:rsidR="00E61F50" w:rsidRDefault="00E61F50" w:rsidP="00E61F50">
      <w:pPr>
        <w:ind w:left="1440" w:hanging="1440"/>
        <w:jc w:val="both"/>
        <w:rPr>
          <w:b/>
        </w:rPr>
      </w:pPr>
    </w:p>
    <w:p w14:paraId="0E8B4D24" w14:textId="6C941839" w:rsidR="00E61F50" w:rsidRDefault="00E61F50" w:rsidP="00E61F50">
      <w:pPr>
        <w:ind w:left="1440" w:hanging="1440"/>
        <w:jc w:val="both"/>
        <w:rPr>
          <w:b/>
        </w:rPr>
      </w:pPr>
      <w:r>
        <w:rPr>
          <w:b/>
        </w:rPr>
        <w:t>FRF:</w:t>
      </w:r>
      <w:r>
        <w:rPr>
          <w:b/>
        </w:rPr>
        <w:tab/>
      </w:r>
      <w:r w:rsidR="005E0243">
        <w:t>Agree</w:t>
      </w:r>
      <w:r w:rsidR="004E05AA">
        <w:t>s</w:t>
      </w:r>
      <w:r w:rsidR="005E0243">
        <w:t xml:space="preserve"> with OPC.</w:t>
      </w:r>
    </w:p>
    <w:p w14:paraId="111B18AD" w14:textId="77777777" w:rsidR="00E61F50" w:rsidRDefault="00E61F50" w:rsidP="00E61F50">
      <w:pPr>
        <w:ind w:left="1440" w:hanging="1440"/>
        <w:jc w:val="both"/>
        <w:rPr>
          <w:b/>
        </w:rPr>
      </w:pPr>
    </w:p>
    <w:p w14:paraId="1913B4DC" w14:textId="77777777" w:rsidR="00CD0A95" w:rsidRDefault="00C0182D" w:rsidP="00E61F50">
      <w:pPr>
        <w:ind w:left="1440" w:hanging="1440"/>
        <w:jc w:val="both"/>
        <w:rPr>
          <w:b/>
        </w:rPr>
      </w:pPr>
      <w:r>
        <w:rPr>
          <w:b/>
        </w:rPr>
        <w:t xml:space="preserve">FUEL </w:t>
      </w:r>
    </w:p>
    <w:p w14:paraId="578E59F9" w14:textId="322EAD18" w:rsidR="00E61F50" w:rsidRDefault="00C0182D" w:rsidP="00E61F50">
      <w:pPr>
        <w:ind w:left="1440" w:hanging="1440"/>
        <w:jc w:val="both"/>
      </w:pPr>
      <w:r>
        <w:rPr>
          <w:b/>
        </w:rPr>
        <w:t>RETAILERS</w:t>
      </w:r>
      <w:r w:rsidR="00E61F50">
        <w:rPr>
          <w:b/>
        </w:rPr>
        <w:t>:</w:t>
      </w:r>
      <w:r w:rsidR="00CD0A95">
        <w:rPr>
          <w:b/>
        </w:rPr>
        <w:t xml:space="preserve"> </w:t>
      </w:r>
      <w:r w:rsidR="00035249" w:rsidRPr="00132664">
        <w:t xml:space="preserve">No </w:t>
      </w:r>
      <w:r w:rsidR="004E05AA">
        <w:t>p</w:t>
      </w:r>
      <w:r w:rsidR="00035249" w:rsidRPr="00132664">
        <w:t>osition.</w:t>
      </w:r>
    </w:p>
    <w:p w14:paraId="0B1E76FC" w14:textId="77777777" w:rsidR="003C0B09" w:rsidRDefault="003C0B09" w:rsidP="00E61F50">
      <w:pPr>
        <w:ind w:left="1440" w:hanging="1440"/>
        <w:jc w:val="both"/>
      </w:pPr>
    </w:p>
    <w:p w14:paraId="2AC746A3" w14:textId="4C34EA97" w:rsidR="003C0B09" w:rsidRPr="003C0B09" w:rsidRDefault="00FD408B" w:rsidP="00E61F50">
      <w:pPr>
        <w:ind w:left="1440" w:hanging="1440"/>
        <w:jc w:val="both"/>
        <w:rPr>
          <w:b/>
        </w:rPr>
      </w:pPr>
      <w:r>
        <w:rPr>
          <w:b/>
        </w:rPr>
        <w:t>WALMART</w:t>
      </w:r>
      <w:r w:rsidR="003C0B09">
        <w:rPr>
          <w:b/>
        </w:rPr>
        <w:t>:</w:t>
      </w:r>
      <w:r w:rsidR="003C0B09">
        <w:rPr>
          <w:b/>
        </w:rPr>
        <w:tab/>
      </w:r>
      <w:r w:rsidR="004E05AA">
        <w:t xml:space="preserve">Agrees </w:t>
      </w:r>
      <w:r w:rsidR="003C0B09">
        <w:t>with OPC.</w:t>
      </w:r>
    </w:p>
    <w:p w14:paraId="39EDB1AF" w14:textId="77777777" w:rsidR="00E61F50" w:rsidRPr="00701945" w:rsidRDefault="00E61F50" w:rsidP="00E61F50">
      <w:pPr>
        <w:jc w:val="both"/>
      </w:pPr>
    </w:p>
    <w:p w14:paraId="6EC65193" w14:textId="77777777" w:rsidR="00E61F50" w:rsidRPr="005D4B47" w:rsidRDefault="00E61F50" w:rsidP="00E61F50">
      <w:pPr>
        <w:ind w:left="1440" w:hanging="1440"/>
        <w:jc w:val="both"/>
        <w:rPr>
          <w:b/>
          <w:bCs/>
        </w:rPr>
      </w:pPr>
      <w:r>
        <w:rPr>
          <w:b/>
          <w:bCs/>
        </w:rPr>
        <w:t>STAFF:</w:t>
      </w:r>
      <w:r>
        <w:rPr>
          <w:b/>
          <w:bCs/>
        </w:rPr>
        <w:tab/>
      </w:r>
      <w:r w:rsidR="00AB600F">
        <w:t>No position at this time.</w:t>
      </w:r>
    </w:p>
    <w:p w14:paraId="49346DC9" w14:textId="77777777" w:rsidR="00E61F50" w:rsidRDefault="00E61F50" w:rsidP="00C7699A">
      <w:pPr>
        <w:jc w:val="both"/>
      </w:pPr>
    </w:p>
    <w:p w14:paraId="7B649BBF" w14:textId="77777777" w:rsidR="00E61F50" w:rsidRDefault="00E61F50" w:rsidP="00C7699A">
      <w:pPr>
        <w:jc w:val="both"/>
      </w:pPr>
    </w:p>
    <w:p w14:paraId="5DB7E585" w14:textId="77777777" w:rsidR="00E61F50" w:rsidRPr="00024AAA" w:rsidRDefault="00024AAA" w:rsidP="00E61F50">
      <w:pPr>
        <w:ind w:left="1440" w:hanging="1440"/>
        <w:jc w:val="both"/>
        <w:rPr>
          <w:b/>
        </w:rPr>
      </w:pPr>
      <w:r>
        <w:rPr>
          <w:b/>
          <w:bCs/>
        </w:rPr>
        <w:t>ISSUE 26</w:t>
      </w:r>
      <w:r w:rsidR="00E61F50" w:rsidRPr="00701945">
        <w:rPr>
          <w:b/>
          <w:bCs/>
        </w:rPr>
        <w:t>:</w:t>
      </w:r>
      <w:r w:rsidR="00E61F50" w:rsidRPr="00701945">
        <w:tab/>
      </w:r>
      <w:r w:rsidRPr="00024AAA">
        <w:rPr>
          <w:b/>
        </w:rPr>
        <w:t xml:space="preserve">What amount of Accumulated Depreciation for the </w:t>
      </w:r>
      <w:r w:rsidRPr="00024AAA">
        <w:rPr>
          <w:b/>
          <w:bCs/>
        </w:rPr>
        <w:t>2025 projected test year should be approved</w:t>
      </w:r>
      <w:r w:rsidRPr="00024AAA">
        <w:rPr>
          <w:b/>
        </w:rPr>
        <w:t>?</w:t>
      </w:r>
    </w:p>
    <w:p w14:paraId="72ED1853" w14:textId="77777777" w:rsidR="00E61F50" w:rsidRPr="00701945" w:rsidRDefault="00E61F50" w:rsidP="00E61F50">
      <w:pPr>
        <w:jc w:val="both"/>
      </w:pPr>
    </w:p>
    <w:p w14:paraId="0CCB0F68" w14:textId="77777777" w:rsidR="00E61F50" w:rsidRPr="005D4B47" w:rsidRDefault="00E61F50" w:rsidP="00E61F50">
      <w:pPr>
        <w:ind w:left="1440" w:hanging="1440"/>
        <w:jc w:val="both"/>
      </w:pPr>
      <w:r>
        <w:rPr>
          <w:b/>
          <w:bCs/>
        </w:rPr>
        <w:t>TECO</w:t>
      </w:r>
      <w:r w:rsidRPr="005D4B47">
        <w:rPr>
          <w:b/>
          <w:bCs/>
        </w:rPr>
        <w:t>:</w:t>
      </w:r>
      <w:r w:rsidRPr="005D4B47">
        <w:tab/>
      </w:r>
      <w:r w:rsidR="00024AAA">
        <w:t>The Commission should approve Jurisdictional Adjusted Accumulated Depreciation and Amortization totaling $4.0 billion as shown on MFR Schedule B-1</w:t>
      </w:r>
      <w:r w:rsidR="00BE569F">
        <w:t>, adjusted for the company’s July and August Filings</w:t>
      </w:r>
      <w:r w:rsidR="00024AAA">
        <w:t>. (Chronister)</w:t>
      </w:r>
    </w:p>
    <w:p w14:paraId="651AC7F2" w14:textId="77777777" w:rsidR="00E61F50" w:rsidRPr="00701945" w:rsidRDefault="00E61F50" w:rsidP="00E61F50">
      <w:pPr>
        <w:jc w:val="both"/>
      </w:pPr>
    </w:p>
    <w:p w14:paraId="4F756D79" w14:textId="77777777" w:rsidR="00E61F50" w:rsidRDefault="00E61F50" w:rsidP="00E61F50">
      <w:pPr>
        <w:ind w:left="1440" w:hanging="1440"/>
        <w:jc w:val="both"/>
      </w:pPr>
      <w:r>
        <w:rPr>
          <w:b/>
          <w:bCs/>
        </w:rPr>
        <w:t>OPC</w:t>
      </w:r>
      <w:r w:rsidRPr="00701945">
        <w:rPr>
          <w:b/>
          <w:bCs/>
        </w:rPr>
        <w:t>:</w:t>
      </w:r>
      <w:r>
        <w:tab/>
      </w:r>
      <w:r w:rsidR="00A81692">
        <w:t>Accumulated depreciation should be adjusted to reflect the current 35-year service life of the solar plants and adjusting the Battery Storage lives from 10 to 20 years.  This requires an adjustment to reduce Accumulated Depreciation of $0.440 million and $0.275 million respectively.</w:t>
      </w:r>
    </w:p>
    <w:p w14:paraId="66F59DA3" w14:textId="77777777" w:rsidR="00E61F50" w:rsidRDefault="00E61F50" w:rsidP="00E61F50">
      <w:pPr>
        <w:ind w:left="1440" w:hanging="1440"/>
        <w:jc w:val="both"/>
      </w:pPr>
    </w:p>
    <w:p w14:paraId="77AD5885" w14:textId="77777777" w:rsidR="00E61F50" w:rsidRDefault="00E61F50" w:rsidP="00E61F50">
      <w:pPr>
        <w:ind w:left="1440" w:hanging="1440"/>
        <w:jc w:val="both"/>
        <w:rPr>
          <w:b/>
        </w:rPr>
      </w:pPr>
      <w:r>
        <w:rPr>
          <w:b/>
        </w:rPr>
        <w:t>FL RISING/</w:t>
      </w:r>
    </w:p>
    <w:p w14:paraId="5029CC25" w14:textId="260EAA22" w:rsidR="00E61F50" w:rsidRDefault="00E61F50" w:rsidP="00E61F50">
      <w:pPr>
        <w:ind w:left="1440" w:hanging="1440"/>
        <w:jc w:val="both"/>
        <w:rPr>
          <w:b/>
        </w:rPr>
      </w:pPr>
      <w:r>
        <w:rPr>
          <w:b/>
        </w:rPr>
        <w:t>LULAC:</w:t>
      </w:r>
      <w:r>
        <w:rPr>
          <w:b/>
        </w:rPr>
        <w:tab/>
      </w:r>
      <w:r w:rsidR="00664874" w:rsidRPr="31D556AC">
        <w:t xml:space="preserve">TECO’s requested </w:t>
      </w:r>
      <w:r w:rsidR="00664874" w:rsidRPr="4FF5EED0">
        <w:t xml:space="preserve">accumulated depreciation </w:t>
      </w:r>
      <w:r w:rsidR="00B04CE7">
        <w:t>amount</w:t>
      </w:r>
      <w:r w:rsidR="00664874" w:rsidRPr="1FD0300E">
        <w:t xml:space="preserve"> should be adjusted to</w:t>
      </w:r>
      <w:r w:rsidR="00664874" w:rsidRPr="225910D0">
        <w:t xml:space="preserve"> reflect removal</w:t>
      </w:r>
      <w:r w:rsidR="00664874" w:rsidRPr="3F4FF742">
        <w:t xml:space="preserve"> </w:t>
      </w:r>
      <w:r w:rsidR="00664874" w:rsidRPr="66984424">
        <w:t xml:space="preserve">of the projects </w:t>
      </w:r>
      <w:r w:rsidR="00664874" w:rsidRPr="7835028B">
        <w:t>that should be disallowed.</w:t>
      </w:r>
    </w:p>
    <w:p w14:paraId="6E897B95" w14:textId="77777777" w:rsidR="00E61F50" w:rsidRDefault="00E61F50" w:rsidP="00E61F50">
      <w:pPr>
        <w:ind w:left="1440" w:hanging="1440"/>
        <w:jc w:val="both"/>
        <w:rPr>
          <w:b/>
        </w:rPr>
      </w:pPr>
    </w:p>
    <w:p w14:paraId="2B5702A9" w14:textId="0DCDFAE9" w:rsidR="00E61F50" w:rsidRDefault="00E61F50" w:rsidP="00E61F50">
      <w:pPr>
        <w:ind w:left="1440" w:hanging="1440"/>
        <w:jc w:val="both"/>
        <w:rPr>
          <w:b/>
        </w:rPr>
      </w:pPr>
      <w:r>
        <w:rPr>
          <w:b/>
        </w:rPr>
        <w:t>FIPUG:</w:t>
      </w:r>
      <w:r>
        <w:rPr>
          <w:b/>
        </w:rPr>
        <w:tab/>
      </w:r>
      <w:r w:rsidR="008032CE">
        <w:rPr>
          <w:bCs/>
        </w:rPr>
        <w:t>Adopt</w:t>
      </w:r>
      <w:r w:rsidR="00651458">
        <w:rPr>
          <w:bCs/>
        </w:rPr>
        <w:t>s</w:t>
      </w:r>
      <w:r w:rsidR="008032CE">
        <w:rPr>
          <w:bCs/>
        </w:rPr>
        <w:t xml:space="preserve"> the position of OPC.</w:t>
      </w:r>
    </w:p>
    <w:p w14:paraId="440DC6DD" w14:textId="77777777" w:rsidR="00E61F50" w:rsidRDefault="00E61F50" w:rsidP="00E61F50">
      <w:pPr>
        <w:ind w:left="1440" w:hanging="1440"/>
        <w:jc w:val="both"/>
        <w:rPr>
          <w:b/>
        </w:rPr>
      </w:pPr>
    </w:p>
    <w:p w14:paraId="5F92F256" w14:textId="2B822B3D" w:rsidR="00E61F50" w:rsidRDefault="00E61F50" w:rsidP="00E61F50">
      <w:pPr>
        <w:ind w:left="1440" w:hanging="1440"/>
        <w:jc w:val="both"/>
        <w:rPr>
          <w:b/>
        </w:rPr>
      </w:pPr>
      <w:r>
        <w:rPr>
          <w:b/>
        </w:rPr>
        <w:t>FEA:</w:t>
      </w:r>
      <w:r>
        <w:rPr>
          <w:b/>
        </w:rPr>
        <w:tab/>
      </w:r>
      <w:r w:rsidR="00651458">
        <w:t>No position.</w:t>
      </w:r>
    </w:p>
    <w:p w14:paraId="2367B638" w14:textId="77777777" w:rsidR="00E61F50" w:rsidRDefault="00E61F50" w:rsidP="00E61F50">
      <w:pPr>
        <w:ind w:left="1440" w:hanging="1440"/>
        <w:jc w:val="both"/>
        <w:rPr>
          <w:b/>
        </w:rPr>
      </w:pPr>
    </w:p>
    <w:p w14:paraId="72577252" w14:textId="77777777" w:rsidR="00CD0A95" w:rsidRDefault="00764960" w:rsidP="00E61F50">
      <w:pPr>
        <w:ind w:left="1440" w:hanging="1440"/>
        <w:jc w:val="both"/>
        <w:rPr>
          <w:b/>
        </w:rPr>
      </w:pPr>
      <w:r>
        <w:rPr>
          <w:b/>
        </w:rPr>
        <w:t xml:space="preserve">SIERRA </w:t>
      </w:r>
    </w:p>
    <w:p w14:paraId="5CC6482D" w14:textId="51B04517" w:rsidR="00E61F50" w:rsidRDefault="00764960" w:rsidP="00E61F50">
      <w:pPr>
        <w:ind w:left="1440" w:hanging="1440"/>
        <w:jc w:val="both"/>
        <w:rPr>
          <w:b/>
        </w:rPr>
      </w:pPr>
      <w:r>
        <w:rPr>
          <w:b/>
        </w:rPr>
        <w:t>CLUB</w:t>
      </w:r>
      <w:r w:rsidR="00E61F50">
        <w:rPr>
          <w:b/>
        </w:rPr>
        <w:t>:</w:t>
      </w:r>
      <w:r w:rsidR="00E61F50">
        <w:rPr>
          <w:b/>
        </w:rPr>
        <w:tab/>
      </w:r>
      <w:r w:rsidR="00651458">
        <w:t>No position.</w:t>
      </w:r>
    </w:p>
    <w:p w14:paraId="3DCBCB47" w14:textId="77777777" w:rsidR="00E61F50" w:rsidRDefault="00E61F50" w:rsidP="00E61F50">
      <w:pPr>
        <w:ind w:left="1440" w:hanging="1440"/>
        <w:jc w:val="both"/>
        <w:rPr>
          <w:b/>
        </w:rPr>
      </w:pPr>
    </w:p>
    <w:p w14:paraId="4E422FF8" w14:textId="76609B60" w:rsidR="00E61F50" w:rsidRDefault="00E61F50" w:rsidP="00E61F50">
      <w:pPr>
        <w:ind w:left="1440" w:hanging="1440"/>
        <w:jc w:val="both"/>
        <w:rPr>
          <w:b/>
        </w:rPr>
      </w:pPr>
      <w:r>
        <w:rPr>
          <w:b/>
        </w:rPr>
        <w:t>FRF:</w:t>
      </w:r>
      <w:r>
        <w:rPr>
          <w:b/>
        </w:rPr>
        <w:tab/>
      </w:r>
      <w:r w:rsidR="005E0243">
        <w:t>Agree</w:t>
      </w:r>
      <w:r w:rsidR="00D51CBC">
        <w:t>s</w:t>
      </w:r>
      <w:r w:rsidR="005E0243">
        <w:t xml:space="preserve"> with OPC.</w:t>
      </w:r>
    </w:p>
    <w:p w14:paraId="5C371A61" w14:textId="77777777" w:rsidR="00E61F50" w:rsidRDefault="00E61F50" w:rsidP="00E61F50">
      <w:pPr>
        <w:ind w:left="1440" w:hanging="1440"/>
        <w:jc w:val="both"/>
        <w:rPr>
          <w:b/>
        </w:rPr>
      </w:pPr>
    </w:p>
    <w:p w14:paraId="641AA064" w14:textId="77777777" w:rsidR="00CD0A95" w:rsidRDefault="00C0182D" w:rsidP="00E61F50">
      <w:pPr>
        <w:ind w:left="1440" w:hanging="1440"/>
        <w:jc w:val="both"/>
        <w:rPr>
          <w:b/>
        </w:rPr>
      </w:pPr>
      <w:r>
        <w:rPr>
          <w:b/>
        </w:rPr>
        <w:t xml:space="preserve">FUEL </w:t>
      </w:r>
    </w:p>
    <w:p w14:paraId="48FBDA8C" w14:textId="2C7768B4" w:rsidR="00E61F50" w:rsidRDefault="00C0182D" w:rsidP="00E61F50">
      <w:pPr>
        <w:ind w:left="1440" w:hanging="1440"/>
        <w:jc w:val="both"/>
      </w:pPr>
      <w:r>
        <w:rPr>
          <w:b/>
        </w:rPr>
        <w:t>RETAILERS</w:t>
      </w:r>
      <w:r w:rsidR="00E61F50">
        <w:rPr>
          <w:b/>
        </w:rPr>
        <w:t>:</w:t>
      </w:r>
      <w:r w:rsidR="00CD0A95">
        <w:rPr>
          <w:b/>
        </w:rPr>
        <w:t xml:space="preserve"> </w:t>
      </w:r>
      <w:r w:rsidR="00035249" w:rsidRPr="00132664">
        <w:t xml:space="preserve">No </w:t>
      </w:r>
      <w:r w:rsidR="00D51CBC">
        <w:t>p</w:t>
      </w:r>
      <w:r w:rsidR="00035249" w:rsidRPr="00132664">
        <w:t>osition.</w:t>
      </w:r>
    </w:p>
    <w:p w14:paraId="00FC0880" w14:textId="77777777" w:rsidR="003C0B09" w:rsidRDefault="003C0B09" w:rsidP="00E61F50">
      <w:pPr>
        <w:ind w:left="1440" w:hanging="1440"/>
        <w:jc w:val="both"/>
      </w:pPr>
    </w:p>
    <w:p w14:paraId="5FDECF98" w14:textId="48A23168" w:rsidR="003C0B09" w:rsidRPr="003C0B09" w:rsidRDefault="00FD408B" w:rsidP="00E61F50">
      <w:pPr>
        <w:ind w:left="1440" w:hanging="1440"/>
        <w:jc w:val="both"/>
        <w:rPr>
          <w:b/>
        </w:rPr>
      </w:pPr>
      <w:r>
        <w:rPr>
          <w:b/>
        </w:rPr>
        <w:t>WALMART</w:t>
      </w:r>
      <w:r w:rsidR="003C0B09">
        <w:rPr>
          <w:b/>
        </w:rPr>
        <w:t>:</w:t>
      </w:r>
      <w:r w:rsidR="003C0B09">
        <w:rPr>
          <w:b/>
        </w:rPr>
        <w:tab/>
      </w:r>
      <w:r w:rsidR="00D51CBC">
        <w:t>A</w:t>
      </w:r>
      <w:r w:rsidR="003C0B09">
        <w:t>grees with OPC.</w:t>
      </w:r>
    </w:p>
    <w:p w14:paraId="01CEE3CC" w14:textId="77777777" w:rsidR="00E61F50" w:rsidRPr="00701945" w:rsidRDefault="00E61F50" w:rsidP="00E61F50">
      <w:pPr>
        <w:jc w:val="both"/>
      </w:pPr>
    </w:p>
    <w:p w14:paraId="7905C56C" w14:textId="77777777" w:rsidR="00E61F50" w:rsidRPr="005D4B47" w:rsidRDefault="00E61F50" w:rsidP="00E61F50">
      <w:pPr>
        <w:ind w:left="1440" w:hanging="1440"/>
        <w:jc w:val="both"/>
        <w:rPr>
          <w:b/>
          <w:bCs/>
        </w:rPr>
      </w:pPr>
      <w:r>
        <w:rPr>
          <w:b/>
          <w:bCs/>
        </w:rPr>
        <w:t>STAFF:</w:t>
      </w:r>
      <w:r>
        <w:rPr>
          <w:b/>
          <w:bCs/>
        </w:rPr>
        <w:tab/>
      </w:r>
      <w:r w:rsidR="00AB600F">
        <w:t>No position at this time.</w:t>
      </w:r>
    </w:p>
    <w:p w14:paraId="6D73C8E7" w14:textId="22691D75" w:rsidR="00E61F50" w:rsidRDefault="00E61F50" w:rsidP="00C7699A">
      <w:pPr>
        <w:jc w:val="both"/>
      </w:pPr>
    </w:p>
    <w:p w14:paraId="359BD2B1" w14:textId="77777777" w:rsidR="006E7AC9" w:rsidRDefault="006E7AC9" w:rsidP="00C7699A">
      <w:pPr>
        <w:jc w:val="both"/>
      </w:pPr>
    </w:p>
    <w:p w14:paraId="2EE36AB3" w14:textId="77777777" w:rsidR="00E61F50" w:rsidRPr="00024AAA" w:rsidRDefault="00024AAA" w:rsidP="00E61F50">
      <w:pPr>
        <w:ind w:left="1440" w:hanging="1440"/>
        <w:jc w:val="both"/>
        <w:rPr>
          <w:b/>
        </w:rPr>
      </w:pPr>
      <w:r>
        <w:rPr>
          <w:b/>
          <w:bCs/>
        </w:rPr>
        <w:t>ISSUE 27</w:t>
      </w:r>
      <w:r w:rsidR="00E61F50" w:rsidRPr="00701945">
        <w:rPr>
          <w:b/>
          <w:bCs/>
        </w:rPr>
        <w:t>:</w:t>
      </w:r>
      <w:r w:rsidR="00E61F50" w:rsidRPr="00701945">
        <w:tab/>
      </w:r>
      <w:r w:rsidRPr="00024AAA">
        <w:rPr>
          <w:b/>
        </w:rPr>
        <w:t xml:space="preserve">What amount of Construction Work in Progress for the </w:t>
      </w:r>
      <w:r w:rsidRPr="00024AAA">
        <w:rPr>
          <w:b/>
          <w:bCs/>
        </w:rPr>
        <w:t>2025 projected test year should be approved</w:t>
      </w:r>
      <w:r w:rsidRPr="00024AAA">
        <w:rPr>
          <w:b/>
        </w:rPr>
        <w:t>?</w:t>
      </w:r>
    </w:p>
    <w:p w14:paraId="65812AE5" w14:textId="77777777" w:rsidR="00E61F50" w:rsidRPr="00701945" w:rsidRDefault="00E61F50" w:rsidP="00E61F50">
      <w:pPr>
        <w:jc w:val="both"/>
      </w:pPr>
    </w:p>
    <w:p w14:paraId="2757732D" w14:textId="59F22859" w:rsidR="00E61F50" w:rsidRPr="005D4B47" w:rsidRDefault="00E61F50" w:rsidP="00E61F50">
      <w:pPr>
        <w:ind w:left="1440" w:hanging="1440"/>
        <w:jc w:val="both"/>
      </w:pPr>
      <w:r>
        <w:rPr>
          <w:b/>
          <w:bCs/>
        </w:rPr>
        <w:t>TECO</w:t>
      </w:r>
      <w:r w:rsidRPr="005D4B47">
        <w:rPr>
          <w:b/>
          <w:bCs/>
        </w:rPr>
        <w:t>:</w:t>
      </w:r>
      <w:r w:rsidRPr="005D4B47">
        <w:tab/>
      </w:r>
      <w:r w:rsidR="00024AAA">
        <w:t>The Commission should approve Jurisdictional Adjusted C</w:t>
      </w:r>
      <w:r w:rsidR="00560493">
        <w:t>onstruction Work in Progress (C</w:t>
      </w:r>
      <w:r w:rsidR="00024AAA">
        <w:t>WIP</w:t>
      </w:r>
      <w:r w:rsidR="00560493">
        <w:t>)</w:t>
      </w:r>
      <w:r w:rsidR="00024AAA">
        <w:t xml:space="preserve"> totaling $230.2 million as shown on MFR Schedule B-1. (Chronister)</w:t>
      </w:r>
    </w:p>
    <w:p w14:paraId="60EA52F9" w14:textId="77777777" w:rsidR="00E61F50" w:rsidRPr="00701945" w:rsidRDefault="00E61F50" w:rsidP="00E61F50">
      <w:pPr>
        <w:jc w:val="both"/>
      </w:pPr>
    </w:p>
    <w:p w14:paraId="187DFB31" w14:textId="7DEAFDDE" w:rsidR="00E61F50" w:rsidRDefault="00E61F50" w:rsidP="00E61F50">
      <w:pPr>
        <w:ind w:left="1440" w:hanging="1440"/>
        <w:jc w:val="both"/>
      </w:pPr>
      <w:r>
        <w:rPr>
          <w:b/>
          <w:bCs/>
        </w:rPr>
        <w:t>OPC</w:t>
      </w:r>
      <w:r w:rsidRPr="00701945">
        <w:rPr>
          <w:b/>
          <w:bCs/>
        </w:rPr>
        <w:t>:</w:t>
      </w:r>
      <w:r>
        <w:tab/>
      </w:r>
      <w:r w:rsidR="00125228">
        <w:t xml:space="preserve">CWIP should be adjusted for any disallowance of the </w:t>
      </w:r>
      <w:r w:rsidR="004F7A79">
        <w:rPr>
          <w:bCs/>
        </w:rPr>
        <w:t xml:space="preserve">GRR </w:t>
      </w:r>
      <w:r w:rsidR="00125228" w:rsidRPr="007D47E3">
        <w:rPr>
          <w:bCs/>
        </w:rPr>
        <w:t>Projects</w:t>
      </w:r>
      <w:r w:rsidR="00125228">
        <w:t>.</w:t>
      </w:r>
    </w:p>
    <w:p w14:paraId="341A4D62" w14:textId="77777777" w:rsidR="00E61F50" w:rsidRDefault="00E61F50" w:rsidP="00E61F50">
      <w:pPr>
        <w:ind w:left="1440" w:hanging="1440"/>
        <w:jc w:val="both"/>
      </w:pPr>
    </w:p>
    <w:p w14:paraId="7017867C" w14:textId="77777777" w:rsidR="00E61F50" w:rsidRDefault="00E61F50" w:rsidP="00E61F50">
      <w:pPr>
        <w:ind w:left="1440" w:hanging="1440"/>
        <w:jc w:val="both"/>
        <w:rPr>
          <w:b/>
        </w:rPr>
      </w:pPr>
      <w:r>
        <w:rPr>
          <w:b/>
        </w:rPr>
        <w:t>FL RISING/</w:t>
      </w:r>
    </w:p>
    <w:p w14:paraId="518F33BD" w14:textId="77777777" w:rsidR="00E61F50" w:rsidRDefault="00E61F50" w:rsidP="00E61F50">
      <w:pPr>
        <w:ind w:left="1440" w:hanging="1440"/>
        <w:jc w:val="both"/>
        <w:rPr>
          <w:b/>
        </w:rPr>
      </w:pPr>
      <w:r>
        <w:rPr>
          <w:b/>
        </w:rPr>
        <w:t>LULAC:</w:t>
      </w:r>
      <w:r>
        <w:rPr>
          <w:b/>
        </w:rPr>
        <w:tab/>
      </w:r>
      <w:r w:rsidR="00664874">
        <w:t>$0.</w:t>
      </w:r>
    </w:p>
    <w:p w14:paraId="7DC0BAB0" w14:textId="77777777" w:rsidR="00E61F50" w:rsidRDefault="00E61F50" w:rsidP="00E61F50">
      <w:pPr>
        <w:ind w:left="1440" w:hanging="1440"/>
        <w:jc w:val="both"/>
        <w:rPr>
          <w:b/>
        </w:rPr>
      </w:pPr>
    </w:p>
    <w:p w14:paraId="65C6FAC1" w14:textId="275A20EC" w:rsidR="00E61F50" w:rsidRDefault="00E61F50" w:rsidP="00E61F50">
      <w:pPr>
        <w:ind w:left="1440" w:hanging="1440"/>
        <w:jc w:val="both"/>
        <w:rPr>
          <w:b/>
        </w:rPr>
      </w:pPr>
      <w:r>
        <w:rPr>
          <w:b/>
        </w:rPr>
        <w:t>FIPUG:</w:t>
      </w:r>
      <w:r>
        <w:rPr>
          <w:b/>
        </w:rPr>
        <w:tab/>
      </w:r>
      <w:r w:rsidR="008032CE">
        <w:rPr>
          <w:bCs/>
        </w:rPr>
        <w:t>Adopt</w:t>
      </w:r>
      <w:r w:rsidR="00A24F43">
        <w:rPr>
          <w:bCs/>
        </w:rPr>
        <w:t>s</w:t>
      </w:r>
      <w:r w:rsidR="008032CE">
        <w:rPr>
          <w:bCs/>
        </w:rPr>
        <w:t xml:space="preserve"> the position of OPC.</w:t>
      </w:r>
    </w:p>
    <w:p w14:paraId="1D8EB208" w14:textId="77777777" w:rsidR="00E61F50" w:rsidRDefault="00E61F50" w:rsidP="00E61F50">
      <w:pPr>
        <w:ind w:left="1440" w:hanging="1440"/>
        <w:jc w:val="both"/>
        <w:rPr>
          <w:b/>
        </w:rPr>
      </w:pPr>
    </w:p>
    <w:p w14:paraId="06509050" w14:textId="68F43B17" w:rsidR="00E61F50" w:rsidRDefault="00E61F50" w:rsidP="00E61F50">
      <w:pPr>
        <w:ind w:left="1440" w:hanging="1440"/>
        <w:jc w:val="both"/>
        <w:rPr>
          <w:b/>
        </w:rPr>
      </w:pPr>
      <w:r>
        <w:rPr>
          <w:b/>
        </w:rPr>
        <w:t>FEA:</w:t>
      </w:r>
      <w:r>
        <w:rPr>
          <w:b/>
        </w:rPr>
        <w:tab/>
      </w:r>
      <w:r w:rsidR="00A24F43">
        <w:t>No position.</w:t>
      </w:r>
    </w:p>
    <w:p w14:paraId="5BBCF167" w14:textId="77777777" w:rsidR="00E61F50" w:rsidRDefault="00E61F50" w:rsidP="00E61F50">
      <w:pPr>
        <w:ind w:left="1440" w:hanging="1440"/>
        <w:jc w:val="both"/>
        <w:rPr>
          <w:b/>
        </w:rPr>
      </w:pPr>
    </w:p>
    <w:p w14:paraId="1BB0CF90" w14:textId="77777777" w:rsidR="00CD0A95" w:rsidRDefault="00764960" w:rsidP="00E61F50">
      <w:pPr>
        <w:ind w:left="1440" w:hanging="1440"/>
        <w:jc w:val="both"/>
        <w:rPr>
          <w:b/>
        </w:rPr>
      </w:pPr>
      <w:r>
        <w:rPr>
          <w:b/>
        </w:rPr>
        <w:t xml:space="preserve">SIERRA </w:t>
      </w:r>
    </w:p>
    <w:p w14:paraId="7A85D9ED" w14:textId="46934AFE" w:rsidR="00E61F50" w:rsidRDefault="00764960" w:rsidP="00E61F50">
      <w:pPr>
        <w:ind w:left="1440" w:hanging="1440"/>
        <w:jc w:val="both"/>
        <w:rPr>
          <w:b/>
        </w:rPr>
      </w:pPr>
      <w:r>
        <w:rPr>
          <w:b/>
        </w:rPr>
        <w:t>CLUB</w:t>
      </w:r>
      <w:r w:rsidR="00E61F50">
        <w:rPr>
          <w:b/>
        </w:rPr>
        <w:t>:</w:t>
      </w:r>
      <w:r w:rsidR="00E61F50">
        <w:rPr>
          <w:b/>
        </w:rPr>
        <w:tab/>
      </w:r>
      <w:r w:rsidR="00A24F43">
        <w:t>No position.</w:t>
      </w:r>
    </w:p>
    <w:p w14:paraId="7C064D4F" w14:textId="77777777" w:rsidR="00E61F50" w:rsidRDefault="00E61F50" w:rsidP="00E61F50">
      <w:pPr>
        <w:ind w:left="1440" w:hanging="1440"/>
        <w:jc w:val="both"/>
        <w:rPr>
          <w:b/>
        </w:rPr>
      </w:pPr>
    </w:p>
    <w:p w14:paraId="18D0C56A" w14:textId="45BB43D1" w:rsidR="00E61F50" w:rsidRDefault="00E61F50" w:rsidP="00E61F50">
      <w:pPr>
        <w:ind w:left="1440" w:hanging="1440"/>
        <w:jc w:val="both"/>
        <w:rPr>
          <w:b/>
        </w:rPr>
      </w:pPr>
      <w:r>
        <w:rPr>
          <w:b/>
        </w:rPr>
        <w:t>FRF:</w:t>
      </w:r>
      <w:r>
        <w:rPr>
          <w:b/>
        </w:rPr>
        <w:tab/>
      </w:r>
      <w:r w:rsidR="005E0243">
        <w:t>Agree</w:t>
      </w:r>
      <w:r w:rsidR="00A24F43">
        <w:t>s</w:t>
      </w:r>
      <w:r w:rsidR="005E0243">
        <w:t xml:space="preserve"> with OPC.</w:t>
      </w:r>
    </w:p>
    <w:p w14:paraId="1C3234C6" w14:textId="77777777" w:rsidR="00E61F50" w:rsidRDefault="00E61F50" w:rsidP="00E61F50">
      <w:pPr>
        <w:ind w:left="1440" w:hanging="1440"/>
        <w:jc w:val="both"/>
        <w:rPr>
          <w:b/>
        </w:rPr>
      </w:pPr>
    </w:p>
    <w:p w14:paraId="28154B45" w14:textId="77777777" w:rsidR="00CD0A95" w:rsidRDefault="00C0182D" w:rsidP="00E61F50">
      <w:pPr>
        <w:ind w:left="1440" w:hanging="1440"/>
        <w:jc w:val="both"/>
        <w:rPr>
          <w:b/>
        </w:rPr>
      </w:pPr>
      <w:r>
        <w:rPr>
          <w:b/>
        </w:rPr>
        <w:t xml:space="preserve">FUEL </w:t>
      </w:r>
    </w:p>
    <w:p w14:paraId="4D1F4B6C" w14:textId="28270372" w:rsidR="00E61F50" w:rsidRDefault="00C0182D" w:rsidP="00E61F50">
      <w:pPr>
        <w:ind w:left="1440" w:hanging="1440"/>
        <w:jc w:val="both"/>
      </w:pPr>
      <w:r>
        <w:rPr>
          <w:b/>
        </w:rPr>
        <w:t>RETAILERS</w:t>
      </w:r>
      <w:r w:rsidR="00E61F50">
        <w:rPr>
          <w:b/>
        </w:rPr>
        <w:t>:</w:t>
      </w:r>
      <w:r w:rsidR="00CD0A95">
        <w:rPr>
          <w:b/>
        </w:rPr>
        <w:t xml:space="preserve"> </w:t>
      </w:r>
      <w:r w:rsidR="00035249" w:rsidRPr="00132664">
        <w:t xml:space="preserve">No </w:t>
      </w:r>
      <w:r w:rsidR="00A24F43">
        <w:t>p</w:t>
      </w:r>
      <w:r w:rsidR="00035249" w:rsidRPr="00132664">
        <w:t>osition.</w:t>
      </w:r>
    </w:p>
    <w:p w14:paraId="449D509E" w14:textId="77777777" w:rsidR="003C0B09" w:rsidRDefault="003C0B09" w:rsidP="00E61F50">
      <w:pPr>
        <w:ind w:left="1440" w:hanging="1440"/>
        <w:jc w:val="both"/>
      </w:pPr>
    </w:p>
    <w:p w14:paraId="622A83D4" w14:textId="3B39FFD5" w:rsidR="003C0B09" w:rsidRPr="003C0B09" w:rsidRDefault="00FD408B" w:rsidP="00E61F50">
      <w:pPr>
        <w:ind w:left="1440" w:hanging="1440"/>
        <w:jc w:val="both"/>
        <w:rPr>
          <w:b/>
        </w:rPr>
      </w:pPr>
      <w:r>
        <w:rPr>
          <w:b/>
        </w:rPr>
        <w:t>WALMART</w:t>
      </w:r>
      <w:r w:rsidR="003C0B09">
        <w:rPr>
          <w:b/>
        </w:rPr>
        <w:t>:</w:t>
      </w:r>
      <w:r w:rsidR="003C0B09">
        <w:rPr>
          <w:b/>
        </w:rPr>
        <w:tab/>
      </w:r>
      <w:r w:rsidR="00A24F43">
        <w:t>A</w:t>
      </w:r>
      <w:r w:rsidR="003C0B09">
        <w:t>grees with OPC.</w:t>
      </w:r>
    </w:p>
    <w:p w14:paraId="14105255" w14:textId="77777777" w:rsidR="00E61F50" w:rsidRPr="00701945" w:rsidRDefault="00E61F50" w:rsidP="00E61F50">
      <w:pPr>
        <w:jc w:val="both"/>
      </w:pPr>
    </w:p>
    <w:p w14:paraId="51333316" w14:textId="77777777" w:rsidR="00E61F50" w:rsidRPr="005D4B47" w:rsidRDefault="00E61F50" w:rsidP="00E61F50">
      <w:pPr>
        <w:ind w:left="1440" w:hanging="1440"/>
        <w:jc w:val="both"/>
        <w:rPr>
          <w:b/>
          <w:bCs/>
        </w:rPr>
      </w:pPr>
      <w:r>
        <w:rPr>
          <w:b/>
          <w:bCs/>
        </w:rPr>
        <w:t>STAFF:</w:t>
      </w:r>
      <w:r>
        <w:rPr>
          <w:b/>
          <w:bCs/>
        </w:rPr>
        <w:tab/>
      </w:r>
      <w:r w:rsidR="00AB600F">
        <w:t>No position at this time.</w:t>
      </w:r>
    </w:p>
    <w:p w14:paraId="343BB347" w14:textId="77777777" w:rsidR="00E61F50" w:rsidRDefault="00E61F50" w:rsidP="00C7699A">
      <w:pPr>
        <w:jc w:val="both"/>
      </w:pPr>
    </w:p>
    <w:p w14:paraId="71596DED" w14:textId="57BE6199" w:rsidR="00E61F50" w:rsidRDefault="00E61F50" w:rsidP="00C7699A">
      <w:pPr>
        <w:jc w:val="both"/>
      </w:pPr>
    </w:p>
    <w:p w14:paraId="0EDB13B6" w14:textId="77777777" w:rsidR="00E61F50" w:rsidRPr="00024AAA" w:rsidRDefault="00024AAA" w:rsidP="00E61F50">
      <w:pPr>
        <w:ind w:left="1440" w:hanging="1440"/>
        <w:jc w:val="both"/>
        <w:rPr>
          <w:b/>
        </w:rPr>
      </w:pPr>
      <w:r>
        <w:rPr>
          <w:b/>
          <w:bCs/>
        </w:rPr>
        <w:t>ISSUE 28</w:t>
      </w:r>
      <w:r w:rsidR="00E61F50" w:rsidRPr="00701945">
        <w:rPr>
          <w:b/>
          <w:bCs/>
        </w:rPr>
        <w:t>:</w:t>
      </w:r>
      <w:r w:rsidR="00E61F50" w:rsidRPr="00701945">
        <w:tab/>
      </w:r>
      <w:r w:rsidRPr="00024AAA">
        <w:rPr>
          <w:b/>
        </w:rPr>
        <w:t xml:space="preserve">What amount of level of Property Held for Future Use for the </w:t>
      </w:r>
      <w:r w:rsidRPr="00024AAA">
        <w:rPr>
          <w:b/>
          <w:bCs/>
        </w:rPr>
        <w:t>2025 projected test year should be approved</w:t>
      </w:r>
      <w:r w:rsidRPr="00024AAA">
        <w:rPr>
          <w:b/>
        </w:rPr>
        <w:t>?</w:t>
      </w:r>
    </w:p>
    <w:p w14:paraId="058FF547" w14:textId="77777777" w:rsidR="00E61F50" w:rsidRPr="00701945" w:rsidRDefault="00E61F50" w:rsidP="00E61F50">
      <w:pPr>
        <w:jc w:val="both"/>
      </w:pPr>
    </w:p>
    <w:p w14:paraId="7EC15531" w14:textId="77777777" w:rsidR="00E61F50" w:rsidRPr="005D4B47" w:rsidRDefault="00E61F50" w:rsidP="00E61F50">
      <w:pPr>
        <w:ind w:left="1440" w:hanging="1440"/>
        <w:jc w:val="both"/>
      </w:pPr>
      <w:r>
        <w:rPr>
          <w:b/>
          <w:bCs/>
        </w:rPr>
        <w:t>TECO</w:t>
      </w:r>
      <w:r w:rsidRPr="005D4B47">
        <w:rPr>
          <w:b/>
          <w:bCs/>
        </w:rPr>
        <w:t>:</w:t>
      </w:r>
      <w:r w:rsidRPr="005D4B47">
        <w:tab/>
      </w:r>
      <w:r w:rsidR="00024AAA">
        <w:t>The Commission should approve Jurisdictional Adjusted Property Held for Future Use totaling $68.0 million as shown on MFR Schedule B-1. (Chronister)</w:t>
      </w:r>
    </w:p>
    <w:p w14:paraId="59EE460A" w14:textId="77777777" w:rsidR="00E61F50" w:rsidRPr="00701945" w:rsidRDefault="00E61F50" w:rsidP="00E61F50">
      <w:pPr>
        <w:jc w:val="both"/>
      </w:pPr>
    </w:p>
    <w:p w14:paraId="2501D69C" w14:textId="77777777" w:rsidR="00E61F50" w:rsidRDefault="00E61F50" w:rsidP="00E61F50">
      <w:pPr>
        <w:ind w:left="1440" w:hanging="1440"/>
        <w:jc w:val="both"/>
      </w:pPr>
      <w:r>
        <w:rPr>
          <w:b/>
          <w:bCs/>
        </w:rPr>
        <w:t>OPC</w:t>
      </w:r>
      <w:r w:rsidRPr="00701945">
        <w:rPr>
          <w:b/>
          <w:bCs/>
        </w:rPr>
        <w:t>:</w:t>
      </w:r>
      <w:r>
        <w:tab/>
      </w:r>
      <w:r w:rsidR="00125228">
        <w:t>No position</w:t>
      </w:r>
      <w:r w:rsidR="00A81692">
        <w:t>.</w:t>
      </w:r>
    </w:p>
    <w:p w14:paraId="5292E481" w14:textId="77777777" w:rsidR="00E61F50" w:rsidRDefault="00E61F50" w:rsidP="00E61F50">
      <w:pPr>
        <w:ind w:left="1440" w:hanging="1440"/>
        <w:jc w:val="both"/>
      </w:pPr>
    </w:p>
    <w:p w14:paraId="68550DCA" w14:textId="77777777" w:rsidR="00E61F50" w:rsidRDefault="00E61F50" w:rsidP="00E61F50">
      <w:pPr>
        <w:ind w:left="1440" w:hanging="1440"/>
        <w:jc w:val="both"/>
        <w:rPr>
          <w:b/>
        </w:rPr>
      </w:pPr>
      <w:r>
        <w:rPr>
          <w:b/>
        </w:rPr>
        <w:t>FL RISING/</w:t>
      </w:r>
    </w:p>
    <w:p w14:paraId="21FEF1ED" w14:textId="77777777" w:rsidR="00E61F50" w:rsidRDefault="00E61F50" w:rsidP="00E61F50">
      <w:pPr>
        <w:ind w:left="1440" w:hanging="1440"/>
        <w:jc w:val="both"/>
        <w:rPr>
          <w:b/>
        </w:rPr>
      </w:pPr>
      <w:r>
        <w:rPr>
          <w:b/>
        </w:rPr>
        <w:t>LULAC:</w:t>
      </w:r>
      <w:r>
        <w:rPr>
          <w:b/>
        </w:rPr>
        <w:tab/>
      </w:r>
      <w:r w:rsidR="00664874">
        <w:t>$0.</w:t>
      </w:r>
    </w:p>
    <w:p w14:paraId="4C93C805" w14:textId="77777777" w:rsidR="00E61F50" w:rsidRDefault="00E61F50" w:rsidP="00E61F50">
      <w:pPr>
        <w:ind w:left="1440" w:hanging="1440"/>
        <w:jc w:val="both"/>
        <w:rPr>
          <w:b/>
        </w:rPr>
      </w:pPr>
    </w:p>
    <w:p w14:paraId="5C6D4720" w14:textId="3F622033" w:rsidR="00E61F50" w:rsidRDefault="00E61F50" w:rsidP="00E61F50">
      <w:pPr>
        <w:ind w:left="1440" w:hanging="1440"/>
        <w:jc w:val="both"/>
        <w:rPr>
          <w:b/>
        </w:rPr>
      </w:pPr>
      <w:r>
        <w:rPr>
          <w:b/>
        </w:rPr>
        <w:t>FIPUG:</w:t>
      </w:r>
      <w:r>
        <w:rPr>
          <w:b/>
        </w:rPr>
        <w:tab/>
      </w:r>
      <w:r w:rsidR="00D778C3">
        <w:rPr>
          <w:bCs/>
        </w:rPr>
        <w:t>No position.</w:t>
      </w:r>
    </w:p>
    <w:p w14:paraId="674E7243" w14:textId="77777777" w:rsidR="00E61F50" w:rsidRDefault="00E61F50" w:rsidP="00E61F50">
      <w:pPr>
        <w:ind w:left="1440" w:hanging="1440"/>
        <w:jc w:val="both"/>
        <w:rPr>
          <w:b/>
        </w:rPr>
      </w:pPr>
    </w:p>
    <w:p w14:paraId="478253CC" w14:textId="3E9E7FB0" w:rsidR="00E61F50" w:rsidRDefault="00E61F50" w:rsidP="00E61F50">
      <w:pPr>
        <w:ind w:left="1440" w:hanging="1440"/>
        <w:jc w:val="both"/>
        <w:rPr>
          <w:b/>
        </w:rPr>
      </w:pPr>
      <w:r>
        <w:rPr>
          <w:b/>
        </w:rPr>
        <w:t>FEA:</w:t>
      </w:r>
      <w:r>
        <w:rPr>
          <w:b/>
        </w:rPr>
        <w:tab/>
      </w:r>
      <w:r w:rsidR="00D778C3">
        <w:t>No position.</w:t>
      </w:r>
    </w:p>
    <w:p w14:paraId="6DD5A2AE" w14:textId="5F3D6F2E" w:rsidR="00E61F50" w:rsidRDefault="00E61F50" w:rsidP="00E61F50">
      <w:pPr>
        <w:ind w:left="1440" w:hanging="1440"/>
        <w:jc w:val="both"/>
        <w:rPr>
          <w:b/>
        </w:rPr>
      </w:pPr>
    </w:p>
    <w:p w14:paraId="26A8CD87" w14:textId="77777777" w:rsidR="00CD0A95" w:rsidRDefault="00764960" w:rsidP="00E61F50">
      <w:pPr>
        <w:ind w:left="1440" w:hanging="1440"/>
        <w:jc w:val="both"/>
        <w:rPr>
          <w:b/>
        </w:rPr>
      </w:pPr>
      <w:r>
        <w:rPr>
          <w:b/>
        </w:rPr>
        <w:lastRenderedPageBreak/>
        <w:t xml:space="preserve">SIERRA </w:t>
      </w:r>
    </w:p>
    <w:p w14:paraId="37CEEACB" w14:textId="0B0A5698" w:rsidR="00E61F50" w:rsidRDefault="00764960" w:rsidP="00E61F50">
      <w:pPr>
        <w:ind w:left="1440" w:hanging="1440"/>
        <w:jc w:val="both"/>
        <w:rPr>
          <w:b/>
        </w:rPr>
      </w:pPr>
      <w:r>
        <w:rPr>
          <w:b/>
        </w:rPr>
        <w:t>CLUB</w:t>
      </w:r>
      <w:r w:rsidR="00E61F50">
        <w:rPr>
          <w:b/>
        </w:rPr>
        <w:t>:</w:t>
      </w:r>
      <w:r w:rsidR="00E61F50">
        <w:rPr>
          <w:b/>
        </w:rPr>
        <w:tab/>
      </w:r>
      <w:r w:rsidR="00D778C3">
        <w:t>No position.</w:t>
      </w:r>
    </w:p>
    <w:p w14:paraId="181231B5" w14:textId="77777777" w:rsidR="00E61F50" w:rsidRDefault="00E61F50" w:rsidP="00E61F50">
      <w:pPr>
        <w:ind w:left="1440" w:hanging="1440"/>
        <w:jc w:val="both"/>
        <w:rPr>
          <w:b/>
        </w:rPr>
      </w:pPr>
    </w:p>
    <w:p w14:paraId="0D09BCEE" w14:textId="05426AD5" w:rsidR="00E61F50" w:rsidRDefault="00E61F50" w:rsidP="00E61F50">
      <w:pPr>
        <w:ind w:left="1440" w:hanging="1440"/>
        <w:jc w:val="both"/>
        <w:rPr>
          <w:b/>
        </w:rPr>
      </w:pPr>
      <w:r>
        <w:rPr>
          <w:b/>
        </w:rPr>
        <w:t>FRF:</w:t>
      </w:r>
      <w:r>
        <w:rPr>
          <w:b/>
        </w:rPr>
        <w:tab/>
      </w:r>
      <w:r w:rsidR="00AE65A2">
        <w:t>No position.</w:t>
      </w:r>
    </w:p>
    <w:p w14:paraId="49A1B793" w14:textId="77777777" w:rsidR="00E61F50" w:rsidRDefault="00E61F50" w:rsidP="00E61F50">
      <w:pPr>
        <w:ind w:left="1440" w:hanging="1440"/>
        <w:jc w:val="both"/>
        <w:rPr>
          <w:b/>
        </w:rPr>
      </w:pPr>
    </w:p>
    <w:p w14:paraId="032F173D" w14:textId="77777777" w:rsidR="00CD0A95" w:rsidRDefault="00C0182D" w:rsidP="00E61F50">
      <w:pPr>
        <w:ind w:left="1440" w:hanging="1440"/>
        <w:jc w:val="both"/>
        <w:rPr>
          <w:b/>
        </w:rPr>
      </w:pPr>
      <w:r>
        <w:rPr>
          <w:b/>
        </w:rPr>
        <w:t xml:space="preserve">FUEL </w:t>
      </w:r>
    </w:p>
    <w:p w14:paraId="5C0C5652" w14:textId="0E9E52F3" w:rsidR="00E61F50" w:rsidRDefault="00C0182D" w:rsidP="00E61F50">
      <w:pPr>
        <w:ind w:left="1440" w:hanging="1440"/>
        <w:jc w:val="both"/>
      </w:pPr>
      <w:r>
        <w:rPr>
          <w:b/>
        </w:rPr>
        <w:t>RETAILERS</w:t>
      </w:r>
      <w:r w:rsidR="00E61F50">
        <w:rPr>
          <w:b/>
        </w:rPr>
        <w:t>:</w:t>
      </w:r>
      <w:r w:rsidR="00CD0A95">
        <w:rPr>
          <w:b/>
        </w:rPr>
        <w:t xml:space="preserve"> </w:t>
      </w:r>
      <w:r w:rsidR="00035249" w:rsidRPr="00132664">
        <w:t xml:space="preserve">No </w:t>
      </w:r>
      <w:r w:rsidR="00AE65A2">
        <w:t>p</w:t>
      </w:r>
      <w:r w:rsidR="00035249" w:rsidRPr="00132664">
        <w:t>osition.</w:t>
      </w:r>
    </w:p>
    <w:p w14:paraId="60587269" w14:textId="77777777" w:rsidR="003C0B09" w:rsidRDefault="003C0B09" w:rsidP="00E61F50">
      <w:pPr>
        <w:ind w:left="1440" w:hanging="1440"/>
        <w:jc w:val="both"/>
      </w:pPr>
    </w:p>
    <w:p w14:paraId="3C2A1231" w14:textId="62D94AA8" w:rsidR="003C0B09" w:rsidRPr="003C0B09" w:rsidRDefault="00FD408B" w:rsidP="00E61F50">
      <w:pPr>
        <w:ind w:left="1440" w:hanging="1440"/>
        <w:jc w:val="both"/>
        <w:rPr>
          <w:b/>
        </w:rPr>
      </w:pPr>
      <w:r>
        <w:rPr>
          <w:b/>
        </w:rPr>
        <w:t>WALMART</w:t>
      </w:r>
      <w:r w:rsidR="003C0B09">
        <w:rPr>
          <w:b/>
        </w:rPr>
        <w:t>:</w:t>
      </w:r>
      <w:r w:rsidR="003C0B09">
        <w:rPr>
          <w:b/>
        </w:rPr>
        <w:tab/>
      </w:r>
      <w:r w:rsidR="00AE65A2">
        <w:t>No position.</w:t>
      </w:r>
    </w:p>
    <w:p w14:paraId="3508B8CB" w14:textId="77777777" w:rsidR="00E61F50" w:rsidRPr="00701945" w:rsidRDefault="00E61F50" w:rsidP="00E61F50">
      <w:pPr>
        <w:jc w:val="both"/>
      </w:pPr>
    </w:p>
    <w:p w14:paraId="2AA6192A" w14:textId="77777777" w:rsidR="00E61F50" w:rsidRPr="005D4B47" w:rsidRDefault="00E61F50" w:rsidP="00E61F50">
      <w:pPr>
        <w:ind w:left="1440" w:hanging="1440"/>
        <w:jc w:val="both"/>
        <w:rPr>
          <w:b/>
          <w:bCs/>
        </w:rPr>
      </w:pPr>
      <w:r>
        <w:rPr>
          <w:b/>
          <w:bCs/>
        </w:rPr>
        <w:t>STAFF:</w:t>
      </w:r>
      <w:r>
        <w:rPr>
          <w:b/>
          <w:bCs/>
        </w:rPr>
        <w:tab/>
      </w:r>
      <w:r w:rsidR="00AB600F">
        <w:t>No position at this time.</w:t>
      </w:r>
    </w:p>
    <w:p w14:paraId="41203CCB" w14:textId="77777777" w:rsidR="00E61F50" w:rsidRDefault="00E61F50" w:rsidP="00C7699A">
      <w:pPr>
        <w:jc w:val="both"/>
      </w:pPr>
    </w:p>
    <w:p w14:paraId="0CC91E1A" w14:textId="77777777" w:rsidR="00E61F50" w:rsidRDefault="00E61F50" w:rsidP="00C7699A">
      <w:pPr>
        <w:jc w:val="both"/>
      </w:pPr>
    </w:p>
    <w:p w14:paraId="1A948392" w14:textId="77777777" w:rsidR="00E61F50" w:rsidRPr="00024AAA" w:rsidRDefault="00024AAA" w:rsidP="00E61F50">
      <w:pPr>
        <w:ind w:left="1440" w:hanging="1440"/>
        <w:jc w:val="both"/>
        <w:rPr>
          <w:b/>
        </w:rPr>
      </w:pPr>
      <w:r>
        <w:rPr>
          <w:b/>
          <w:bCs/>
        </w:rPr>
        <w:t>ISSUE 29</w:t>
      </w:r>
      <w:r w:rsidR="00E61F50" w:rsidRPr="00701945">
        <w:rPr>
          <w:b/>
          <w:bCs/>
        </w:rPr>
        <w:t>:</w:t>
      </w:r>
      <w:r w:rsidR="00E61F50" w:rsidRPr="00701945">
        <w:tab/>
      </w:r>
      <w:r w:rsidRPr="00024AAA">
        <w:rPr>
          <w:b/>
        </w:rPr>
        <w:t>What amount of unfunded Other Post-retirement Employee Benefit (OPEB) liability and any associated expense should be included in rate base?</w:t>
      </w:r>
    </w:p>
    <w:p w14:paraId="4E882D63" w14:textId="77777777" w:rsidR="00E61F50" w:rsidRPr="00701945" w:rsidRDefault="00E61F50" w:rsidP="00E61F50">
      <w:pPr>
        <w:jc w:val="both"/>
      </w:pPr>
    </w:p>
    <w:p w14:paraId="59421564" w14:textId="77777777" w:rsidR="00E61F50" w:rsidRPr="005D4B47" w:rsidRDefault="00E61F50" w:rsidP="00E61F50">
      <w:pPr>
        <w:ind w:left="1440" w:hanging="1440"/>
        <w:jc w:val="both"/>
      </w:pPr>
      <w:r>
        <w:rPr>
          <w:b/>
          <w:bCs/>
        </w:rPr>
        <w:t>TECO</w:t>
      </w:r>
      <w:r w:rsidRPr="005D4B47">
        <w:rPr>
          <w:b/>
          <w:bCs/>
        </w:rPr>
        <w:t>:</w:t>
      </w:r>
      <w:r w:rsidRPr="005D4B47">
        <w:tab/>
      </w:r>
      <w:r w:rsidR="00024AAA">
        <w:t>The amount of unfunded OPEB liability that should be included in rate base is the 13-month average of $70,740,641. This equals the credit amount in account 228.3232, FAS 106 Liability - Retired - Non-Current. The sum of the balances in accounts 228.3231 and 242.0131 (FAS 158 credits), when added to debit balances in account 182.3200 (Regulatory Asset) offsetting the FAS 158 balances, equal zero. There are no associated expenses included in rate base. (Chronister)</w:t>
      </w:r>
    </w:p>
    <w:p w14:paraId="573B82C8" w14:textId="77777777" w:rsidR="00E61F50" w:rsidRPr="00701945" w:rsidRDefault="00E61F50" w:rsidP="00E61F50">
      <w:pPr>
        <w:jc w:val="both"/>
      </w:pPr>
    </w:p>
    <w:p w14:paraId="21150A40" w14:textId="77777777" w:rsidR="00E61F50" w:rsidRDefault="00E61F50" w:rsidP="00E61F50">
      <w:pPr>
        <w:ind w:left="1440" w:hanging="1440"/>
        <w:jc w:val="both"/>
      </w:pPr>
      <w:r>
        <w:rPr>
          <w:b/>
          <w:bCs/>
        </w:rPr>
        <w:t>OPC</w:t>
      </w:r>
      <w:r w:rsidRPr="00701945">
        <w:rPr>
          <w:b/>
          <w:bCs/>
        </w:rPr>
        <w:t>:</w:t>
      </w:r>
      <w:r>
        <w:tab/>
      </w:r>
      <w:r w:rsidR="00125228">
        <w:t>Rate base should be adjusted for any under capitalization of OPEB expense.</w:t>
      </w:r>
    </w:p>
    <w:p w14:paraId="3F36F9B0" w14:textId="77777777" w:rsidR="00E61F50" w:rsidRDefault="00E61F50" w:rsidP="00E61F50">
      <w:pPr>
        <w:ind w:left="1440" w:hanging="1440"/>
        <w:jc w:val="both"/>
      </w:pPr>
    </w:p>
    <w:p w14:paraId="3B15B6DF" w14:textId="77777777" w:rsidR="00E61F50" w:rsidRDefault="00E61F50" w:rsidP="00E61F50">
      <w:pPr>
        <w:ind w:left="1440" w:hanging="1440"/>
        <w:jc w:val="both"/>
        <w:rPr>
          <w:b/>
        </w:rPr>
      </w:pPr>
      <w:r>
        <w:rPr>
          <w:b/>
        </w:rPr>
        <w:t>FL RISING/</w:t>
      </w:r>
    </w:p>
    <w:p w14:paraId="4B154BFF" w14:textId="77777777" w:rsidR="00E61F50" w:rsidRDefault="00E61F50" w:rsidP="00E61F50">
      <w:pPr>
        <w:ind w:left="1440" w:hanging="1440"/>
        <w:jc w:val="both"/>
        <w:rPr>
          <w:b/>
        </w:rPr>
      </w:pPr>
      <w:r>
        <w:rPr>
          <w:b/>
        </w:rPr>
        <w:t>LULAC:</w:t>
      </w:r>
      <w:r>
        <w:rPr>
          <w:b/>
        </w:rPr>
        <w:tab/>
      </w:r>
      <w:r w:rsidR="00664874" w:rsidRPr="3C3260F6">
        <w:t>$</w:t>
      </w:r>
      <w:r w:rsidR="00664874" w:rsidRPr="344B99A0">
        <w:t>0</w:t>
      </w:r>
      <w:r w:rsidR="00664874" w:rsidRPr="75122CC3">
        <w:t xml:space="preserve">, as it should not </w:t>
      </w:r>
      <w:r w:rsidR="00664874" w:rsidRPr="3A9AAEBA">
        <w:t xml:space="preserve">be </w:t>
      </w:r>
      <w:r w:rsidR="00664874" w:rsidRPr="707E489A">
        <w:t xml:space="preserve">included in rate base </w:t>
      </w:r>
      <w:r w:rsidR="00664874" w:rsidRPr="2C2AA29B">
        <w:t xml:space="preserve">where a </w:t>
      </w:r>
      <w:r w:rsidR="00664874" w:rsidRPr="3A9AAEBA">
        <w:t>return on equity is earned</w:t>
      </w:r>
      <w:r w:rsidR="00664874" w:rsidRPr="75122CC3">
        <w:t>.</w:t>
      </w:r>
    </w:p>
    <w:p w14:paraId="0B115E51" w14:textId="77777777" w:rsidR="00E61F50" w:rsidRDefault="00E61F50" w:rsidP="00E61F50">
      <w:pPr>
        <w:ind w:left="1440" w:hanging="1440"/>
        <w:jc w:val="both"/>
        <w:rPr>
          <w:b/>
        </w:rPr>
      </w:pPr>
    </w:p>
    <w:p w14:paraId="345BF363" w14:textId="01CD6129" w:rsidR="00E61F50" w:rsidRDefault="00E61F50" w:rsidP="00E61F50">
      <w:pPr>
        <w:ind w:left="1440" w:hanging="1440"/>
        <w:jc w:val="both"/>
        <w:rPr>
          <w:b/>
        </w:rPr>
      </w:pPr>
      <w:r>
        <w:rPr>
          <w:b/>
        </w:rPr>
        <w:t>FIPUG:</w:t>
      </w:r>
      <w:r>
        <w:rPr>
          <w:b/>
        </w:rPr>
        <w:tab/>
      </w:r>
      <w:r w:rsidR="008032CE">
        <w:rPr>
          <w:bCs/>
        </w:rPr>
        <w:t>Adopt</w:t>
      </w:r>
      <w:r w:rsidR="004F7B51">
        <w:rPr>
          <w:bCs/>
        </w:rPr>
        <w:t>s</w:t>
      </w:r>
      <w:r w:rsidR="008032CE">
        <w:rPr>
          <w:bCs/>
        </w:rPr>
        <w:t xml:space="preserve"> the position of OPC.</w:t>
      </w:r>
    </w:p>
    <w:p w14:paraId="4694EC04" w14:textId="77777777" w:rsidR="00E61F50" w:rsidRDefault="00E61F50" w:rsidP="00E61F50">
      <w:pPr>
        <w:ind w:left="1440" w:hanging="1440"/>
        <w:jc w:val="both"/>
        <w:rPr>
          <w:b/>
        </w:rPr>
      </w:pPr>
    </w:p>
    <w:p w14:paraId="5A2F2121" w14:textId="29FC18A9" w:rsidR="00E61F50" w:rsidRDefault="00E61F50" w:rsidP="00E61F50">
      <w:pPr>
        <w:ind w:left="1440" w:hanging="1440"/>
        <w:jc w:val="both"/>
        <w:rPr>
          <w:b/>
        </w:rPr>
      </w:pPr>
      <w:r>
        <w:rPr>
          <w:b/>
        </w:rPr>
        <w:t>FEA:</w:t>
      </w:r>
      <w:r>
        <w:rPr>
          <w:b/>
        </w:rPr>
        <w:tab/>
      </w:r>
      <w:r w:rsidR="004F7B51">
        <w:t>No position.</w:t>
      </w:r>
    </w:p>
    <w:p w14:paraId="5D16DA5C" w14:textId="77777777" w:rsidR="00E61F50" w:rsidRDefault="00E61F50" w:rsidP="00E61F50">
      <w:pPr>
        <w:ind w:left="1440" w:hanging="1440"/>
        <w:jc w:val="both"/>
        <w:rPr>
          <w:b/>
        </w:rPr>
      </w:pPr>
    </w:p>
    <w:p w14:paraId="42E97A2B" w14:textId="77777777" w:rsidR="00CD0A95" w:rsidRDefault="00764960" w:rsidP="00E61F50">
      <w:pPr>
        <w:ind w:left="1440" w:hanging="1440"/>
        <w:jc w:val="both"/>
        <w:rPr>
          <w:b/>
        </w:rPr>
      </w:pPr>
      <w:r>
        <w:rPr>
          <w:b/>
        </w:rPr>
        <w:t xml:space="preserve">SIERRA </w:t>
      </w:r>
    </w:p>
    <w:p w14:paraId="50C3E06D" w14:textId="7EF2C7D7" w:rsidR="00E61F50" w:rsidRDefault="00764960" w:rsidP="00E61F50">
      <w:pPr>
        <w:ind w:left="1440" w:hanging="1440"/>
        <w:jc w:val="both"/>
        <w:rPr>
          <w:b/>
        </w:rPr>
      </w:pPr>
      <w:r>
        <w:rPr>
          <w:b/>
        </w:rPr>
        <w:t>CLUB</w:t>
      </w:r>
      <w:r w:rsidR="00E61F50">
        <w:rPr>
          <w:b/>
        </w:rPr>
        <w:t>:</w:t>
      </w:r>
      <w:r w:rsidR="00E61F50">
        <w:rPr>
          <w:b/>
        </w:rPr>
        <w:tab/>
      </w:r>
      <w:r w:rsidR="004F7B51">
        <w:t>No position.</w:t>
      </w:r>
    </w:p>
    <w:p w14:paraId="058589BF" w14:textId="77777777" w:rsidR="00E61F50" w:rsidRDefault="00E61F50" w:rsidP="00E61F50">
      <w:pPr>
        <w:ind w:left="1440" w:hanging="1440"/>
        <w:jc w:val="both"/>
        <w:rPr>
          <w:b/>
        </w:rPr>
      </w:pPr>
    </w:p>
    <w:p w14:paraId="6F021730" w14:textId="412AE01E" w:rsidR="00E61F50" w:rsidRDefault="00E61F50" w:rsidP="00E61F50">
      <w:pPr>
        <w:ind w:left="1440" w:hanging="1440"/>
        <w:jc w:val="both"/>
        <w:rPr>
          <w:b/>
        </w:rPr>
      </w:pPr>
      <w:r>
        <w:rPr>
          <w:b/>
        </w:rPr>
        <w:t>FRF:</w:t>
      </w:r>
      <w:r>
        <w:rPr>
          <w:b/>
        </w:rPr>
        <w:tab/>
      </w:r>
      <w:r w:rsidR="005E0243">
        <w:t>Agree</w:t>
      </w:r>
      <w:r w:rsidR="004F7B51">
        <w:t>s</w:t>
      </w:r>
      <w:r w:rsidR="005E0243">
        <w:t xml:space="preserve"> with OPC.</w:t>
      </w:r>
    </w:p>
    <w:p w14:paraId="3E406C1F" w14:textId="77777777" w:rsidR="00E61F50" w:rsidRDefault="00E61F50" w:rsidP="00E61F50">
      <w:pPr>
        <w:ind w:left="1440" w:hanging="1440"/>
        <w:jc w:val="both"/>
        <w:rPr>
          <w:b/>
        </w:rPr>
      </w:pPr>
    </w:p>
    <w:p w14:paraId="30D685D1" w14:textId="77777777" w:rsidR="00CD0A95" w:rsidRDefault="00C0182D" w:rsidP="00E61F50">
      <w:pPr>
        <w:ind w:left="1440" w:hanging="1440"/>
        <w:jc w:val="both"/>
        <w:rPr>
          <w:b/>
        </w:rPr>
      </w:pPr>
      <w:r>
        <w:rPr>
          <w:b/>
        </w:rPr>
        <w:t xml:space="preserve">FUEL </w:t>
      </w:r>
    </w:p>
    <w:p w14:paraId="4880B974" w14:textId="47FA0755" w:rsidR="00E61F50" w:rsidRDefault="00C0182D" w:rsidP="00E61F50">
      <w:pPr>
        <w:ind w:left="1440" w:hanging="1440"/>
        <w:jc w:val="both"/>
      </w:pPr>
      <w:r>
        <w:rPr>
          <w:b/>
        </w:rPr>
        <w:t>RETAILERS</w:t>
      </w:r>
      <w:r w:rsidR="00E61F50">
        <w:rPr>
          <w:b/>
        </w:rPr>
        <w:t>:</w:t>
      </w:r>
      <w:r w:rsidR="00CD0A95">
        <w:rPr>
          <w:b/>
        </w:rPr>
        <w:t xml:space="preserve"> </w:t>
      </w:r>
      <w:r w:rsidR="00035249" w:rsidRPr="00132664">
        <w:t xml:space="preserve">No </w:t>
      </w:r>
      <w:r w:rsidR="004F7B51">
        <w:t>p</w:t>
      </w:r>
      <w:r w:rsidR="00035249" w:rsidRPr="00132664">
        <w:t>osition.</w:t>
      </w:r>
    </w:p>
    <w:p w14:paraId="0D5768F7" w14:textId="77777777" w:rsidR="003C0B09" w:rsidRDefault="003C0B09" w:rsidP="00E61F50">
      <w:pPr>
        <w:ind w:left="1440" w:hanging="1440"/>
        <w:jc w:val="both"/>
      </w:pPr>
    </w:p>
    <w:p w14:paraId="6D628CB1" w14:textId="16CAA8B3" w:rsidR="003C0B09" w:rsidRPr="003C0B09" w:rsidRDefault="00FD408B" w:rsidP="00E61F50">
      <w:pPr>
        <w:ind w:left="1440" w:hanging="1440"/>
        <w:jc w:val="both"/>
        <w:rPr>
          <w:b/>
        </w:rPr>
      </w:pPr>
      <w:r>
        <w:rPr>
          <w:b/>
        </w:rPr>
        <w:t>WALMART</w:t>
      </w:r>
      <w:r w:rsidR="003C0B09">
        <w:rPr>
          <w:b/>
        </w:rPr>
        <w:t>:</w:t>
      </w:r>
      <w:r w:rsidR="003C0B09">
        <w:rPr>
          <w:b/>
        </w:rPr>
        <w:tab/>
      </w:r>
      <w:r w:rsidR="000036DF">
        <w:t xml:space="preserve">Agrees </w:t>
      </w:r>
      <w:r w:rsidR="003C0B09">
        <w:t>with OPC.</w:t>
      </w:r>
    </w:p>
    <w:p w14:paraId="78BC4EA5" w14:textId="77777777" w:rsidR="00E61F50" w:rsidRPr="00701945" w:rsidRDefault="00E61F50" w:rsidP="00E61F50">
      <w:pPr>
        <w:jc w:val="both"/>
      </w:pPr>
    </w:p>
    <w:p w14:paraId="6B2202F4" w14:textId="77777777" w:rsidR="00E61F50" w:rsidRPr="005D4B47" w:rsidRDefault="00E61F50" w:rsidP="00E61F50">
      <w:pPr>
        <w:ind w:left="1440" w:hanging="1440"/>
        <w:jc w:val="both"/>
        <w:rPr>
          <w:b/>
          <w:bCs/>
        </w:rPr>
      </w:pPr>
      <w:r>
        <w:rPr>
          <w:b/>
          <w:bCs/>
        </w:rPr>
        <w:t>STAFF:</w:t>
      </w:r>
      <w:r>
        <w:rPr>
          <w:b/>
          <w:bCs/>
        </w:rPr>
        <w:tab/>
      </w:r>
      <w:r w:rsidR="00AB600F">
        <w:t>No position at this time.</w:t>
      </w:r>
    </w:p>
    <w:p w14:paraId="12D843F4" w14:textId="77777777" w:rsidR="00E61F50" w:rsidRDefault="00E61F50" w:rsidP="00C7699A">
      <w:pPr>
        <w:jc w:val="both"/>
      </w:pPr>
    </w:p>
    <w:p w14:paraId="0DB39E1E" w14:textId="77777777" w:rsidR="00E61F50" w:rsidRDefault="00E61F50" w:rsidP="00C7699A">
      <w:pPr>
        <w:jc w:val="both"/>
      </w:pPr>
    </w:p>
    <w:p w14:paraId="3EC59A66" w14:textId="77777777" w:rsidR="00E61F50" w:rsidRPr="00F076B0" w:rsidRDefault="00F076B0" w:rsidP="00E61F50">
      <w:pPr>
        <w:ind w:left="1440" w:hanging="1440"/>
        <w:jc w:val="both"/>
        <w:rPr>
          <w:b/>
        </w:rPr>
      </w:pPr>
      <w:r>
        <w:rPr>
          <w:b/>
          <w:bCs/>
        </w:rPr>
        <w:lastRenderedPageBreak/>
        <w:t>ISSUE 30</w:t>
      </w:r>
      <w:r w:rsidR="00E61F50" w:rsidRPr="00701945">
        <w:rPr>
          <w:b/>
          <w:bCs/>
        </w:rPr>
        <w:t>:</w:t>
      </w:r>
      <w:r w:rsidR="00E61F50" w:rsidRPr="00701945">
        <w:tab/>
      </w:r>
      <w:r w:rsidRPr="00F076B0">
        <w:rPr>
          <w:b/>
        </w:rPr>
        <w:t>What level of TECO's fuel inventories should be approved?</w:t>
      </w:r>
    </w:p>
    <w:p w14:paraId="3DC1090E" w14:textId="77777777" w:rsidR="00E61F50" w:rsidRPr="00701945" w:rsidRDefault="00E61F50" w:rsidP="00E61F50">
      <w:pPr>
        <w:jc w:val="both"/>
      </w:pPr>
    </w:p>
    <w:p w14:paraId="31853B4C" w14:textId="74AAC255" w:rsidR="00E61F50" w:rsidRPr="005D4B47" w:rsidRDefault="00E61F50" w:rsidP="00E61F50">
      <w:pPr>
        <w:ind w:left="1440" w:hanging="1440"/>
        <w:jc w:val="both"/>
      </w:pPr>
      <w:r>
        <w:rPr>
          <w:b/>
          <w:bCs/>
        </w:rPr>
        <w:t>TECO</w:t>
      </w:r>
      <w:r w:rsidRPr="005D4B47">
        <w:rPr>
          <w:b/>
          <w:bCs/>
        </w:rPr>
        <w:t>:</w:t>
      </w:r>
      <w:r w:rsidRPr="005D4B47">
        <w:tab/>
      </w:r>
      <w:r w:rsidR="00F076B0">
        <w:t>The Commission should approve fuel inventory for the projected 2025 test year totaling $36.6 million as shown on MFR Schedule B-17.</w:t>
      </w:r>
      <w:r w:rsidR="00A72EAD">
        <w:t xml:space="preserve"> </w:t>
      </w:r>
      <w:r w:rsidR="00663165">
        <w:t xml:space="preserve">Florida Rising’s and </w:t>
      </w:r>
      <w:r w:rsidR="00A72EAD">
        <w:t>LULAC’s position</w:t>
      </w:r>
      <w:r w:rsidR="00663165">
        <w:t>s</w:t>
      </w:r>
      <w:r w:rsidR="00A72EAD">
        <w:t xml:space="preserve"> that the company should not be using coal or be allowed to recover fuel </w:t>
      </w:r>
      <w:r w:rsidR="00CC2FEA">
        <w:t>inventory</w:t>
      </w:r>
      <w:r w:rsidR="00A72EAD">
        <w:t xml:space="preserve"> ignores the important reliability and other benefits of coal fired </w:t>
      </w:r>
      <w:r w:rsidR="00CC2FEA">
        <w:t>generation</w:t>
      </w:r>
      <w:r w:rsidR="00A72EAD">
        <w:t xml:space="preserve"> at Big Bend Unit 4 and should be rejected. </w:t>
      </w:r>
      <w:r w:rsidR="00F076B0">
        <w:t>(Chronister</w:t>
      </w:r>
      <w:r w:rsidR="00A72EAD">
        <w:t>, Aldazabal</w:t>
      </w:r>
      <w:r w:rsidR="00F076B0">
        <w:t>)</w:t>
      </w:r>
    </w:p>
    <w:p w14:paraId="5F40AAF3" w14:textId="77777777" w:rsidR="00E61F50" w:rsidRPr="00701945" w:rsidRDefault="00E61F50" w:rsidP="00E61F50">
      <w:pPr>
        <w:jc w:val="both"/>
      </w:pPr>
    </w:p>
    <w:p w14:paraId="4EEB0C09" w14:textId="77777777" w:rsidR="00E61F50" w:rsidRDefault="00E61F50" w:rsidP="00E61F50">
      <w:pPr>
        <w:ind w:left="1440" w:hanging="1440"/>
        <w:jc w:val="both"/>
      </w:pPr>
      <w:r>
        <w:rPr>
          <w:b/>
          <w:bCs/>
        </w:rPr>
        <w:t>OPC</w:t>
      </w:r>
      <w:r w:rsidRPr="00701945">
        <w:rPr>
          <w:b/>
          <w:bCs/>
        </w:rPr>
        <w:t>:</w:t>
      </w:r>
      <w:r>
        <w:tab/>
      </w:r>
      <w:r w:rsidR="00A81692">
        <w:t>No position.</w:t>
      </w:r>
    </w:p>
    <w:p w14:paraId="2A39945B" w14:textId="77777777" w:rsidR="00E61F50" w:rsidRDefault="00E61F50" w:rsidP="00E61F50">
      <w:pPr>
        <w:ind w:left="1440" w:hanging="1440"/>
        <w:jc w:val="both"/>
      </w:pPr>
    </w:p>
    <w:p w14:paraId="7DFD2DCA" w14:textId="77777777" w:rsidR="00E61F50" w:rsidRDefault="00E61F50" w:rsidP="00E61F50">
      <w:pPr>
        <w:ind w:left="1440" w:hanging="1440"/>
        <w:jc w:val="both"/>
        <w:rPr>
          <w:b/>
        </w:rPr>
      </w:pPr>
      <w:r>
        <w:rPr>
          <w:b/>
        </w:rPr>
        <w:t>FL RISING/</w:t>
      </w:r>
    </w:p>
    <w:p w14:paraId="74D28A34" w14:textId="77777777" w:rsidR="00E61F50" w:rsidRDefault="00E61F50" w:rsidP="00E61F50">
      <w:pPr>
        <w:ind w:left="1440" w:hanging="1440"/>
        <w:jc w:val="both"/>
        <w:rPr>
          <w:b/>
        </w:rPr>
      </w:pPr>
      <w:r>
        <w:rPr>
          <w:b/>
        </w:rPr>
        <w:t>LULAC:</w:t>
      </w:r>
      <w:r>
        <w:rPr>
          <w:b/>
        </w:rPr>
        <w:tab/>
      </w:r>
      <w:r w:rsidR="00664874" w:rsidRPr="56925069">
        <w:t>$0.</w:t>
      </w:r>
      <w:r w:rsidR="00664874" w:rsidRPr="23626035">
        <w:t xml:space="preserve">  </w:t>
      </w:r>
      <w:r w:rsidR="00664874" w:rsidRPr="50674A19">
        <w:t>TECO should not be using coal</w:t>
      </w:r>
      <w:r w:rsidR="00664874" w:rsidRPr="29775951">
        <w:t xml:space="preserve"> </w:t>
      </w:r>
      <w:r w:rsidR="00664874" w:rsidRPr="1FEE85AE">
        <w:t xml:space="preserve">or other fuels that </w:t>
      </w:r>
      <w:r w:rsidR="00664874" w:rsidRPr="4414D06C">
        <w:t xml:space="preserve">require </w:t>
      </w:r>
      <w:r w:rsidR="00664874" w:rsidRPr="006D26AD">
        <w:t>inventory</w:t>
      </w:r>
      <w:r w:rsidR="00664874" w:rsidRPr="37689C86">
        <w:t>.</w:t>
      </w:r>
    </w:p>
    <w:p w14:paraId="4C0CD56A" w14:textId="77777777" w:rsidR="00E61F50" w:rsidRDefault="00E61F50" w:rsidP="00E61F50">
      <w:pPr>
        <w:ind w:left="1440" w:hanging="1440"/>
        <w:jc w:val="both"/>
        <w:rPr>
          <w:b/>
        </w:rPr>
      </w:pPr>
    </w:p>
    <w:p w14:paraId="23642C56" w14:textId="6C9722B3" w:rsidR="00E61F50" w:rsidRDefault="00E61F50" w:rsidP="00E61F50">
      <w:pPr>
        <w:ind w:left="1440" w:hanging="1440"/>
        <w:jc w:val="both"/>
        <w:rPr>
          <w:b/>
        </w:rPr>
      </w:pPr>
      <w:r>
        <w:rPr>
          <w:b/>
        </w:rPr>
        <w:t>FIPUG:</w:t>
      </w:r>
      <w:r>
        <w:rPr>
          <w:b/>
        </w:rPr>
        <w:tab/>
      </w:r>
      <w:r w:rsidR="00E03708">
        <w:rPr>
          <w:bCs/>
        </w:rPr>
        <w:t>No position.</w:t>
      </w:r>
    </w:p>
    <w:p w14:paraId="55059723" w14:textId="77777777" w:rsidR="00E61F50" w:rsidRDefault="00E61F50" w:rsidP="00E61F50">
      <w:pPr>
        <w:ind w:left="1440" w:hanging="1440"/>
        <w:jc w:val="both"/>
        <w:rPr>
          <w:b/>
        </w:rPr>
      </w:pPr>
    </w:p>
    <w:p w14:paraId="528406E2" w14:textId="677A55B5" w:rsidR="00E61F50" w:rsidRDefault="00E61F50" w:rsidP="00E61F50">
      <w:pPr>
        <w:ind w:left="1440" w:hanging="1440"/>
        <w:jc w:val="both"/>
        <w:rPr>
          <w:b/>
        </w:rPr>
      </w:pPr>
      <w:r>
        <w:rPr>
          <w:b/>
        </w:rPr>
        <w:t>FEA:</w:t>
      </w:r>
      <w:r>
        <w:rPr>
          <w:b/>
        </w:rPr>
        <w:tab/>
      </w:r>
      <w:r w:rsidR="000625F4">
        <w:t>No position.</w:t>
      </w:r>
    </w:p>
    <w:p w14:paraId="2E08FEE5" w14:textId="77777777" w:rsidR="00E61F50" w:rsidRDefault="00E61F50" w:rsidP="00E61F50">
      <w:pPr>
        <w:ind w:left="1440" w:hanging="1440"/>
        <w:jc w:val="both"/>
        <w:rPr>
          <w:b/>
        </w:rPr>
      </w:pPr>
    </w:p>
    <w:p w14:paraId="1C461627" w14:textId="77777777" w:rsidR="00CD0A95" w:rsidRDefault="00764960" w:rsidP="00E61F50">
      <w:pPr>
        <w:ind w:left="1440" w:hanging="1440"/>
        <w:jc w:val="both"/>
        <w:rPr>
          <w:b/>
        </w:rPr>
      </w:pPr>
      <w:r>
        <w:rPr>
          <w:b/>
        </w:rPr>
        <w:t xml:space="preserve">SIERRA </w:t>
      </w:r>
    </w:p>
    <w:p w14:paraId="2A275529" w14:textId="618DE990" w:rsidR="00E61F50" w:rsidRDefault="00764960" w:rsidP="00E61F50">
      <w:pPr>
        <w:ind w:left="1440" w:hanging="1440"/>
        <w:jc w:val="both"/>
        <w:rPr>
          <w:b/>
        </w:rPr>
      </w:pPr>
      <w:r>
        <w:rPr>
          <w:b/>
        </w:rPr>
        <w:t>CLUB</w:t>
      </w:r>
      <w:r w:rsidR="00E61F50">
        <w:rPr>
          <w:b/>
        </w:rPr>
        <w:t>:</w:t>
      </w:r>
      <w:r w:rsidR="00E61F50">
        <w:rPr>
          <w:b/>
        </w:rPr>
        <w:tab/>
      </w:r>
      <w:r w:rsidR="000625F4">
        <w:t>No position.</w:t>
      </w:r>
    </w:p>
    <w:p w14:paraId="41FAC1B0" w14:textId="77777777" w:rsidR="00E61F50" w:rsidRDefault="00E61F50" w:rsidP="00E61F50">
      <w:pPr>
        <w:ind w:left="1440" w:hanging="1440"/>
        <w:jc w:val="both"/>
        <w:rPr>
          <w:b/>
        </w:rPr>
      </w:pPr>
    </w:p>
    <w:p w14:paraId="4BE554D4" w14:textId="58D43750" w:rsidR="00E61F50" w:rsidRDefault="00E61F50" w:rsidP="00E61F50">
      <w:pPr>
        <w:ind w:left="1440" w:hanging="1440"/>
        <w:jc w:val="both"/>
        <w:rPr>
          <w:b/>
        </w:rPr>
      </w:pPr>
      <w:r>
        <w:rPr>
          <w:b/>
        </w:rPr>
        <w:t>FRF:</w:t>
      </w:r>
      <w:r>
        <w:rPr>
          <w:b/>
        </w:rPr>
        <w:tab/>
      </w:r>
      <w:r w:rsidR="000625F4">
        <w:t>No position.</w:t>
      </w:r>
    </w:p>
    <w:p w14:paraId="37F42554" w14:textId="77777777" w:rsidR="00E61F50" w:rsidRDefault="00E61F50" w:rsidP="00E61F50">
      <w:pPr>
        <w:ind w:left="1440" w:hanging="1440"/>
        <w:jc w:val="both"/>
        <w:rPr>
          <w:b/>
        </w:rPr>
      </w:pPr>
    </w:p>
    <w:p w14:paraId="5F2BEC88" w14:textId="77777777" w:rsidR="00CD0A95" w:rsidRDefault="00C0182D" w:rsidP="00E61F50">
      <w:pPr>
        <w:ind w:left="1440" w:hanging="1440"/>
        <w:jc w:val="both"/>
        <w:rPr>
          <w:b/>
        </w:rPr>
      </w:pPr>
      <w:r>
        <w:rPr>
          <w:b/>
        </w:rPr>
        <w:t xml:space="preserve">FUEL </w:t>
      </w:r>
    </w:p>
    <w:p w14:paraId="2C48D8F7" w14:textId="7E62B4D1" w:rsidR="00E61F50" w:rsidRDefault="00C0182D" w:rsidP="00E61F50">
      <w:pPr>
        <w:ind w:left="1440" w:hanging="1440"/>
        <w:jc w:val="both"/>
      </w:pPr>
      <w:r>
        <w:rPr>
          <w:b/>
        </w:rPr>
        <w:t>RETAILERS</w:t>
      </w:r>
      <w:r w:rsidR="00E61F50">
        <w:rPr>
          <w:b/>
        </w:rPr>
        <w:t>:</w:t>
      </w:r>
      <w:r w:rsidR="00CD0A95">
        <w:rPr>
          <w:b/>
        </w:rPr>
        <w:t xml:space="preserve"> </w:t>
      </w:r>
      <w:r w:rsidR="00035249" w:rsidRPr="00132664">
        <w:t xml:space="preserve">No </w:t>
      </w:r>
      <w:r w:rsidR="000625F4">
        <w:t>p</w:t>
      </w:r>
      <w:r w:rsidR="00035249" w:rsidRPr="00132664">
        <w:t>osition.</w:t>
      </w:r>
    </w:p>
    <w:p w14:paraId="01B84038" w14:textId="77777777" w:rsidR="003C0B09" w:rsidRDefault="003C0B09" w:rsidP="00E61F50">
      <w:pPr>
        <w:ind w:left="1440" w:hanging="1440"/>
        <w:jc w:val="both"/>
      </w:pPr>
    </w:p>
    <w:p w14:paraId="14845892" w14:textId="282A0E4E" w:rsidR="003C0B09" w:rsidRPr="003C0B09" w:rsidRDefault="00FD408B" w:rsidP="00E61F50">
      <w:pPr>
        <w:ind w:left="1440" w:hanging="1440"/>
        <w:jc w:val="both"/>
        <w:rPr>
          <w:b/>
        </w:rPr>
      </w:pPr>
      <w:r>
        <w:rPr>
          <w:b/>
        </w:rPr>
        <w:t>WALMART</w:t>
      </w:r>
      <w:r w:rsidR="003C0B09">
        <w:rPr>
          <w:b/>
        </w:rPr>
        <w:t>:</w:t>
      </w:r>
      <w:r w:rsidR="003C0B09">
        <w:rPr>
          <w:b/>
        </w:rPr>
        <w:tab/>
      </w:r>
      <w:r w:rsidR="000625F4">
        <w:t>No position.</w:t>
      </w:r>
    </w:p>
    <w:p w14:paraId="3446A3AC" w14:textId="77777777" w:rsidR="00E61F50" w:rsidRPr="00701945" w:rsidRDefault="00E61F50" w:rsidP="00E61F50">
      <w:pPr>
        <w:jc w:val="both"/>
      </w:pPr>
    </w:p>
    <w:p w14:paraId="1501C4AB" w14:textId="77777777" w:rsidR="00E61F50" w:rsidRPr="005D4B47" w:rsidRDefault="00E61F50" w:rsidP="00E61F50">
      <w:pPr>
        <w:ind w:left="1440" w:hanging="1440"/>
        <w:jc w:val="both"/>
        <w:rPr>
          <w:b/>
          <w:bCs/>
        </w:rPr>
      </w:pPr>
      <w:r>
        <w:rPr>
          <w:b/>
          <w:bCs/>
        </w:rPr>
        <w:t>STAFF:</w:t>
      </w:r>
      <w:r>
        <w:rPr>
          <w:b/>
          <w:bCs/>
        </w:rPr>
        <w:tab/>
      </w:r>
      <w:r w:rsidR="00AB600F">
        <w:t>No position at this time.</w:t>
      </w:r>
    </w:p>
    <w:p w14:paraId="7FE29D06" w14:textId="50D241BB" w:rsidR="00E61F50" w:rsidRDefault="00E61F50" w:rsidP="00C7699A">
      <w:pPr>
        <w:jc w:val="both"/>
      </w:pPr>
    </w:p>
    <w:p w14:paraId="2D309281" w14:textId="77777777" w:rsidR="00825EA8" w:rsidRDefault="00825EA8" w:rsidP="00C7699A">
      <w:pPr>
        <w:jc w:val="both"/>
      </w:pPr>
    </w:p>
    <w:p w14:paraId="579E45BB" w14:textId="77777777" w:rsidR="00E61F50" w:rsidRPr="00F076B0" w:rsidRDefault="00F076B0" w:rsidP="00E61F50">
      <w:pPr>
        <w:ind w:left="1440" w:hanging="1440"/>
        <w:jc w:val="both"/>
        <w:rPr>
          <w:b/>
        </w:rPr>
      </w:pPr>
      <w:r>
        <w:rPr>
          <w:b/>
          <w:bCs/>
        </w:rPr>
        <w:t>ISSUE 31</w:t>
      </w:r>
      <w:r w:rsidR="00E61F50" w:rsidRPr="00701945">
        <w:rPr>
          <w:b/>
          <w:bCs/>
        </w:rPr>
        <w:t>:</w:t>
      </w:r>
      <w:r w:rsidR="00E61F50" w:rsidRPr="00701945">
        <w:tab/>
      </w:r>
      <w:r w:rsidRPr="00F076B0">
        <w:rPr>
          <w:b/>
        </w:rPr>
        <w:t xml:space="preserve">What amount of Working Capital for the </w:t>
      </w:r>
      <w:r w:rsidRPr="00F076B0">
        <w:rPr>
          <w:b/>
          <w:bCs/>
        </w:rPr>
        <w:t>2025 projected test year should be approved</w:t>
      </w:r>
      <w:r w:rsidRPr="00F076B0">
        <w:rPr>
          <w:b/>
        </w:rPr>
        <w:t>?</w:t>
      </w:r>
    </w:p>
    <w:p w14:paraId="6DE60394" w14:textId="77777777" w:rsidR="00E61F50" w:rsidRPr="00701945" w:rsidRDefault="00E61F50" w:rsidP="00E61F50">
      <w:pPr>
        <w:jc w:val="both"/>
      </w:pPr>
    </w:p>
    <w:p w14:paraId="2C242D24" w14:textId="57281D11" w:rsidR="00E61F50" w:rsidRPr="005D4B47" w:rsidRDefault="00E61F50" w:rsidP="00E61F50">
      <w:pPr>
        <w:ind w:left="1440" w:hanging="1440"/>
        <w:jc w:val="both"/>
      </w:pPr>
      <w:r>
        <w:rPr>
          <w:b/>
          <w:bCs/>
        </w:rPr>
        <w:t>TECO</w:t>
      </w:r>
      <w:r w:rsidRPr="005D4B47">
        <w:rPr>
          <w:b/>
          <w:bCs/>
        </w:rPr>
        <w:t>:</w:t>
      </w:r>
      <w:r w:rsidRPr="005D4B47">
        <w:tab/>
      </w:r>
      <w:r w:rsidR="00F076B0">
        <w:t>The Commission should approve a Jurisdictional Working Capital Allowance totaling $86.7 million as shown on MFR Schedule B-1.</w:t>
      </w:r>
      <w:r w:rsidR="009D6904">
        <w:t xml:space="preserve"> OPC’s proposed adjustment to remove four MVA transformers from inventory should be rejected, because those transformers are needed for </w:t>
      </w:r>
      <w:r w:rsidR="00CB1901">
        <w:t>reliability</w:t>
      </w:r>
      <w:r w:rsidR="009D6904">
        <w:t xml:space="preserve"> and resilience. </w:t>
      </w:r>
      <w:r w:rsidR="00F076B0">
        <w:t>(Chronister</w:t>
      </w:r>
      <w:r w:rsidR="009D6904">
        <w:t>, Whitworth</w:t>
      </w:r>
      <w:r w:rsidR="00F076B0">
        <w:t>)</w:t>
      </w:r>
    </w:p>
    <w:p w14:paraId="02E498F8" w14:textId="77777777" w:rsidR="00E61F50" w:rsidRPr="00701945" w:rsidRDefault="00E61F50" w:rsidP="00E61F50">
      <w:pPr>
        <w:jc w:val="both"/>
      </w:pPr>
    </w:p>
    <w:p w14:paraId="16CD223C" w14:textId="44889962" w:rsidR="00E61F50" w:rsidRDefault="00E61F50" w:rsidP="00E61F50">
      <w:pPr>
        <w:ind w:left="1440" w:hanging="1440"/>
        <w:jc w:val="both"/>
      </w:pPr>
      <w:r>
        <w:rPr>
          <w:b/>
          <w:bCs/>
        </w:rPr>
        <w:t>OPC</w:t>
      </w:r>
      <w:r w:rsidRPr="00701945">
        <w:rPr>
          <w:b/>
          <w:bCs/>
        </w:rPr>
        <w:t>:</w:t>
      </w:r>
      <w:r>
        <w:tab/>
      </w:r>
      <w:r w:rsidR="00A81692">
        <w:t xml:space="preserve">The Commission should remove four MVA transformers from inventory as </w:t>
      </w:r>
      <w:r w:rsidR="00125228">
        <w:t xml:space="preserve">they are </w:t>
      </w:r>
      <w:r w:rsidR="00A81692">
        <w:t>excessive. This requires an adjustment to Inventories of $0.362 million. OPC is still conducting discovery and certain other specific adjustments to rate base may be required.</w:t>
      </w:r>
    </w:p>
    <w:p w14:paraId="56A71DDB" w14:textId="77777777" w:rsidR="00E61F50" w:rsidRDefault="00E61F50" w:rsidP="00E61F50">
      <w:pPr>
        <w:ind w:left="1440" w:hanging="1440"/>
        <w:jc w:val="both"/>
      </w:pPr>
    </w:p>
    <w:p w14:paraId="64314508" w14:textId="77777777" w:rsidR="00E61F50" w:rsidRDefault="00E61F50" w:rsidP="00E61F50">
      <w:pPr>
        <w:ind w:left="1440" w:hanging="1440"/>
        <w:jc w:val="both"/>
        <w:rPr>
          <w:b/>
        </w:rPr>
      </w:pPr>
      <w:r>
        <w:rPr>
          <w:b/>
        </w:rPr>
        <w:lastRenderedPageBreak/>
        <w:t>FL RISING/</w:t>
      </w:r>
    </w:p>
    <w:p w14:paraId="51322204" w14:textId="77777777" w:rsidR="00E61F50" w:rsidRDefault="00E61F50" w:rsidP="00E61F50">
      <w:pPr>
        <w:ind w:left="1440" w:hanging="1440"/>
        <w:jc w:val="both"/>
        <w:rPr>
          <w:b/>
        </w:rPr>
      </w:pPr>
      <w:r>
        <w:rPr>
          <w:b/>
        </w:rPr>
        <w:t>LULAC:</w:t>
      </w:r>
      <w:r>
        <w:rPr>
          <w:b/>
        </w:rPr>
        <w:tab/>
      </w:r>
      <w:r w:rsidR="00664874">
        <w:t>The Working Capital should be adjusted to remove the Unamortized Rate Case Expense and should be adjusted to reflect other adjustments that have been made.</w:t>
      </w:r>
    </w:p>
    <w:p w14:paraId="0B4FD2B1" w14:textId="77777777" w:rsidR="00E61F50" w:rsidRDefault="00E61F50" w:rsidP="00E61F50">
      <w:pPr>
        <w:ind w:left="1440" w:hanging="1440"/>
        <w:jc w:val="both"/>
        <w:rPr>
          <w:b/>
        </w:rPr>
      </w:pPr>
    </w:p>
    <w:p w14:paraId="10527E9C" w14:textId="73B040DB" w:rsidR="00E61F50" w:rsidRDefault="00E61F50" w:rsidP="00E61F50">
      <w:pPr>
        <w:ind w:left="1440" w:hanging="1440"/>
        <w:jc w:val="both"/>
        <w:rPr>
          <w:b/>
        </w:rPr>
      </w:pPr>
      <w:r>
        <w:rPr>
          <w:b/>
        </w:rPr>
        <w:t>FIPUG:</w:t>
      </w:r>
      <w:r>
        <w:rPr>
          <w:b/>
        </w:rPr>
        <w:tab/>
      </w:r>
      <w:r w:rsidR="008032CE">
        <w:rPr>
          <w:bCs/>
        </w:rPr>
        <w:t>Adopt</w:t>
      </w:r>
      <w:r w:rsidR="00E4107F">
        <w:rPr>
          <w:bCs/>
        </w:rPr>
        <w:t>s</w:t>
      </w:r>
      <w:r w:rsidR="008032CE">
        <w:rPr>
          <w:bCs/>
        </w:rPr>
        <w:t xml:space="preserve"> the position of OPC.</w:t>
      </w:r>
    </w:p>
    <w:p w14:paraId="47CFE3E3" w14:textId="77777777" w:rsidR="00E61F50" w:rsidRDefault="00E61F50" w:rsidP="00E61F50">
      <w:pPr>
        <w:ind w:left="1440" w:hanging="1440"/>
        <w:jc w:val="both"/>
        <w:rPr>
          <w:b/>
        </w:rPr>
      </w:pPr>
    </w:p>
    <w:p w14:paraId="0D6664AB" w14:textId="6172CD4A" w:rsidR="00E61F50" w:rsidRDefault="00E61F50" w:rsidP="00E61F50">
      <w:pPr>
        <w:ind w:left="1440" w:hanging="1440"/>
        <w:jc w:val="both"/>
        <w:rPr>
          <w:b/>
        </w:rPr>
      </w:pPr>
      <w:r>
        <w:rPr>
          <w:b/>
        </w:rPr>
        <w:t>FEA:</w:t>
      </w:r>
      <w:r>
        <w:rPr>
          <w:b/>
        </w:rPr>
        <w:tab/>
      </w:r>
      <w:r w:rsidR="00E4107F">
        <w:t>No position.</w:t>
      </w:r>
    </w:p>
    <w:p w14:paraId="2C30A87F" w14:textId="77777777" w:rsidR="00E61F50" w:rsidRDefault="00E61F50" w:rsidP="00E61F50">
      <w:pPr>
        <w:ind w:left="1440" w:hanging="1440"/>
        <w:jc w:val="both"/>
        <w:rPr>
          <w:b/>
        </w:rPr>
      </w:pPr>
    </w:p>
    <w:p w14:paraId="4751016E" w14:textId="77777777" w:rsidR="00CD0A95" w:rsidRDefault="00764960" w:rsidP="00E61F50">
      <w:pPr>
        <w:ind w:left="1440" w:hanging="1440"/>
        <w:jc w:val="both"/>
        <w:rPr>
          <w:b/>
        </w:rPr>
      </w:pPr>
      <w:r>
        <w:rPr>
          <w:b/>
        </w:rPr>
        <w:t xml:space="preserve">SIERRA </w:t>
      </w:r>
    </w:p>
    <w:p w14:paraId="61BCE8B3" w14:textId="65ECC511" w:rsidR="00E61F50" w:rsidRDefault="00764960" w:rsidP="00E61F50">
      <w:pPr>
        <w:ind w:left="1440" w:hanging="1440"/>
        <w:jc w:val="both"/>
        <w:rPr>
          <w:b/>
        </w:rPr>
      </w:pPr>
      <w:r>
        <w:rPr>
          <w:b/>
        </w:rPr>
        <w:t>CLUB</w:t>
      </w:r>
      <w:r w:rsidR="00E61F50">
        <w:rPr>
          <w:b/>
        </w:rPr>
        <w:t>:</w:t>
      </w:r>
      <w:r w:rsidR="00E61F50">
        <w:rPr>
          <w:b/>
        </w:rPr>
        <w:tab/>
      </w:r>
      <w:r w:rsidR="00E4107F">
        <w:t>No position.</w:t>
      </w:r>
    </w:p>
    <w:p w14:paraId="27380FB1" w14:textId="77777777" w:rsidR="00E61F50" w:rsidRDefault="00E61F50" w:rsidP="00E61F50">
      <w:pPr>
        <w:ind w:left="1440" w:hanging="1440"/>
        <w:jc w:val="both"/>
        <w:rPr>
          <w:b/>
        </w:rPr>
      </w:pPr>
    </w:p>
    <w:p w14:paraId="2CBECC06" w14:textId="5C653AA6" w:rsidR="00E61F50" w:rsidRDefault="00E61F50" w:rsidP="00E61F50">
      <w:pPr>
        <w:ind w:left="1440" w:hanging="1440"/>
        <w:jc w:val="both"/>
        <w:rPr>
          <w:b/>
        </w:rPr>
      </w:pPr>
      <w:r>
        <w:rPr>
          <w:b/>
        </w:rPr>
        <w:t>FRF:</w:t>
      </w:r>
      <w:r>
        <w:rPr>
          <w:b/>
        </w:rPr>
        <w:tab/>
      </w:r>
      <w:r w:rsidR="005E0243">
        <w:t>Agree</w:t>
      </w:r>
      <w:r w:rsidR="00E4107F">
        <w:t>s</w:t>
      </w:r>
      <w:r w:rsidR="005E0243">
        <w:t xml:space="preserve"> with OPC.</w:t>
      </w:r>
    </w:p>
    <w:p w14:paraId="2EA5CA0A" w14:textId="77777777" w:rsidR="00E61F50" w:rsidRDefault="00E61F50" w:rsidP="00E61F50">
      <w:pPr>
        <w:ind w:left="1440" w:hanging="1440"/>
        <w:jc w:val="both"/>
        <w:rPr>
          <w:b/>
        </w:rPr>
      </w:pPr>
    </w:p>
    <w:p w14:paraId="62C7365A" w14:textId="77777777" w:rsidR="00CD0A95" w:rsidRDefault="00C0182D" w:rsidP="00E61F50">
      <w:pPr>
        <w:ind w:left="1440" w:hanging="1440"/>
        <w:jc w:val="both"/>
        <w:rPr>
          <w:b/>
        </w:rPr>
      </w:pPr>
      <w:r>
        <w:rPr>
          <w:b/>
        </w:rPr>
        <w:t xml:space="preserve">FUEL </w:t>
      </w:r>
    </w:p>
    <w:p w14:paraId="29449C87" w14:textId="33CBB095" w:rsidR="00E61F50" w:rsidRDefault="00C0182D" w:rsidP="00E61F50">
      <w:pPr>
        <w:ind w:left="1440" w:hanging="1440"/>
        <w:jc w:val="both"/>
      </w:pPr>
      <w:r>
        <w:rPr>
          <w:b/>
        </w:rPr>
        <w:t>RETAILERS</w:t>
      </w:r>
      <w:r w:rsidR="00E61F50">
        <w:rPr>
          <w:b/>
        </w:rPr>
        <w:t>:</w:t>
      </w:r>
      <w:r w:rsidR="00CD0A95">
        <w:rPr>
          <w:b/>
        </w:rPr>
        <w:t xml:space="preserve"> </w:t>
      </w:r>
      <w:r w:rsidR="00035249" w:rsidRPr="00132664">
        <w:t xml:space="preserve">No </w:t>
      </w:r>
      <w:r w:rsidR="00E4107F">
        <w:t>p</w:t>
      </w:r>
      <w:r w:rsidR="00035249" w:rsidRPr="00132664">
        <w:t>osition.</w:t>
      </w:r>
    </w:p>
    <w:p w14:paraId="4835B80A" w14:textId="77777777" w:rsidR="003C0B09" w:rsidRDefault="003C0B09" w:rsidP="00E61F50">
      <w:pPr>
        <w:ind w:left="1440" w:hanging="1440"/>
        <w:jc w:val="both"/>
      </w:pPr>
    </w:p>
    <w:p w14:paraId="4FE23F09" w14:textId="57DF02FD" w:rsidR="003C0B09" w:rsidRPr="003C0B09" w:rsidRDefault="00FD408B" w:rsidP="00E61F50">
      <w:pPr>
        <w:ind w:left="1440" w:hanging="1440"/>
        <w:jc w:val="both"/>
        <w:rPr>
          <w:b/>
        </w:rPr>
      </w:pPr>
      <w:r>
        <w:rPr>
          <w:b/>
        </w:rPr>
        <w:t>WALMART</w:t>
      </w:r>
      <w:r w:rsidR="003C0B09">
        <w:rPr>
          <w:b/>
        </w:rPr>
        <w:t>:</w:t>
      </w:r>
      <w:r w:rsidR="003C0B09">
        <w:rPr>
          <w:b/>
        </w:rPr>
        <w:tab/>
      </w:r>
      <w:r w:rsidR="00E4107F">
        <w:t>A</w:t>
      </w:r>
      <w:r w:rsidR="003C0B09">
        <w:t>grees with OPC.</w:t>
      </w:r>
    </w:p>
    <w:p w14:paraId="35990939" w14:textId="77777777" w:rsidR="00E61F50" w:rsidRPr="00701945" w:rsidRDefault="00E61F50" w:rsidP="00E61F50">
      <w:pPr>
        <w:jc w:val="both"/>
      </w:pPr>
    </w:p>
    <w:p w14:paraId="4B039816" w14:textId="77777777" w:rsidR="00E61F50" w:rsidRPr="005D4B47" w:rsidRDefault="00E61F50" w:rsidP="00E61F50">
      <w:pPr>
        <w:ind w:left="1440" w:hanging="1440"/>
        <w:jc w:val="both"/>
        <w:rPr>
          <w:b/>
          <w:bCs/>
        </w:rPr>
      </w:pPr>
      <w:r>
        <w:rPr>
          <w:b/>
          <w:bCs/>
        </w:rPr>
        <w:t>STAFF:</w:t>
      </w:r>
      <w:r>
        <w:rPr>
          <w:b/>
          <w:bCs/>
        </w:rPr>
        <w:tab/>
      </w:r>
      <w:r w:rsidR="00AB600F">
        <w:t>No position at this time.</w:t>
      </w:r>
    </w:p>
    <w:p w14:paraId="63EE6FAA" w14:textId="77777777" w:rsidR="00E61F50" w:rsidRDefault="00E61F50" w:rsidP="00C7699A">
      <w:pPr>
        <w:jc w:val="both"/>
      </w:pPr>
    </w:p>
    <w:p w14:paraId="4D3EA745" w14:textId="77777777" w:rsidR="00E61F50" w:rsidRDefault="00E61F50" w:rsidP="00C7699A">
      <w:pPr>
        <w:jc w:val="both"/>
      </w:pPr>
    </w:p>
    <w:p w14:paraId="77A3EC16" w14:textId="77777777" w:rsidR="00E61F50" w:rsidRPr="00F076B0" w:rsidRDefault="00F076B0" w:rsidP="00E61F50">
      <w:pPr>
        <w:ind w:left="1440" w:hanging="1440"/>
        <w:jc w:val="both"/>
        <w:rPr>
          <w:b/>
        </w:rPr>
      </w:pPr>
      <w:r>
        <w:rPr>
          <w:b/>
          <w:bCs/>
        </w:rPr>
        <w:t>ISSUE 32</w:t>
      </w:r>
      <w:r w:rsidR="00E61F50" w:rsidRPr="00701945">
        <w:rPr>
          <w:b/>
          <w:bCs/>
        </w:rPr>
        <w:t>:</w:t>
      </w:r>
      <w:r w:rsidR="00E61F50" w:rsidRPr="00701945">
        <w:tab/>
      </w:r>
      <w:r w:rsidRPr="00F076B0">
        <w:rPr>
          <w:b/>
        </w:rPr>
        <w:t xml:space="preserve">What amount of rate base for the </w:t>
      </w:r>
      <w:r w:rsidRPr="00F076B0">
        <w:rPr>
          <w:b/>
          <w:bCs/>
        </w:rPr>
        <w:t>2025 projected test year should be approved</w:t>
      </w:r>
      <w:r w:rsidRPr="00F076B0">
        <w:rPr>
          <w:b/>
        </w:rPr>
        <w:t>?</w:t>
      </w:r>
    </w:p>
    <w:p w14:paraId="66A50904" w14:textId="77777777" w:rsidR="00E61F50" w:rsidRPr="00701945" w:rsidRDefault="00E61F50" w:rsidP="00E61F50">
      <w:pPr>
        <w:jc w:val="both"/>
      </w:pPr>
    </w:p>
    <w:p w14:paraId="6457D690" w14:textId="77777777" w:rsidR="00E61F50" w:rsidRPr="005D4B47" w:rsidRDefault="00E61F50" w:rsidP="00E61F50">
      <w:pPr>
        <w:ind w:left="1440" w:hanging="1440"/>
        <w:jc w:val="both"/>
      </w:pPr>
      <w:r>
        <w:rPr>
          <w:b/>
          <w:bCs/>
        </w:rPr>
        <w:t>TECO</w:t>
      </w:r>
      <w:r w:rsidRPr="005D4B47">
        <w:rPr>
          <w:b/>
          <w:bCs/>
        </w:rPr>
        <w:t>:</w:t>
      </w:r>
      <w:r w:rsidRPr="005D4B47">
        <w:tab/>
      </w:r>
      <w:r w:rsidR="00F076B0">
        <w:t>The Commission should approve projected 13-month average rate base for 2025 of $9.8 billion as shown on MFR Schedule B-1</w:t>
      </w:r>
      <w:r w:rsidR="00E56C39">
        <w:t>, less $5,918,042 per the company’s July and August Filings for a total of $9,792,232,298</w:t>
      </w:r>
      <w:r w:rsidR="00F076B0">
        <w:t>. (Chronister)</w:t>
      </w:r>
    </w:p>
    <w:p w14:paraId="18CF32AC" w14:textId="77777777" w:rsidR="00E61F50" w:rsidRPr="00701945" w:rsidRDefault="00E61F50" w:rsidP="00E61F50">
      <w:pPr>
        <w:jc w:val="both"/>
      </w:pPr>
    </w:p>
    <w:p w14:paraId="5FD7BA96" w14:textId="77777777" w:rsidR="00E61F50" w:rsidRDefault="00E61F50" w:rsidP="00E61F50">
      <w:pPr>
        <w:ind w:left="1440" w:hanging="1440"/>
        <w:jc w:val="both"/>
      </w:pPr>
      <w:r>
        <w:rPr>
          <w:b/>
          <w:bCs/>
        </w:rPr>
        <w:t>OPC</w:t>
      </w:r>
      <w:r w:rsidRPr="00701945">
        <w:rPr>
          <w:b/>
          <w:bCs/>
        </w:rPr>
        <w:t>:</w:t>
      </w:r>
      <w:r>
        <w:tab/>
      </w:r>
      <w:r w:rsidR="00A81692">
        <w:t>This is largely a fall out issue, but TECO has the burden of proof to demonstrate the reasonableness or prudence of all costs to be included in rate base. OPC is still conducting discovery and certain other specific adjustments to rate base may be required. Rate base for the 2025 projected test year should reflect OPC’s recommended adjustments</w:t>
      </w:r>
      <w:r w:rsidR="00A746D3">
        <w:t xml:space="preserve"> and should be no more than </w:t>
      </w:r>
      <w:r w:rsidR="00A746D3" w:rsidRPr="00BF705C">
        <w:t>$9,800.670</w:t>
      </w:r>
      <w:r w:rsidR="00A746D3">
        <w:t xml:space="preserve"> million</w:t>
      </w:r>
      <w:r w:rsidR="00A81692">
        <w:t>.</w:t>
      </w:r>
    </w:p>
    <w:p w14:paraId="721DFEFB" w14:textId="77777777" w:rsidR="00E61F50" w:rsidRDefault="00E61F50" w:rsidP="00E61F50">
      <w:pPr>
        <w:ind w:left="1440" w:hanging="1440"/>
        <w:jc w:val="both"/>
      </w:pPr>
    </w:p>
    <w:p w14:paraId="03CBD202" w14:textId="77777777" w:rsidR="00E61F50" w:rsidRDefault="00E61F50" w:rsidP="00E61F50">
      <w:pPr>
        <w:ind w:left="1440" w:hanging="1440"/>
        <w:jc w:val="both"/>
        <w:rPr>
          <w:b/>
        </w:rPr>
      </w:pPr>
      <w:r>
        <w:rPr>
          <w:b/>
        </w:rPr>
        <w:t>FL RISING/</w:t>
      </w:r>
    </w:p>
    <w:p w14:paraId="3D443CB7" w14:textId="0FD7F78B" w:rsidR="00E61F50" w:rsidRDefault="00E61F50" w:rsidP="00E61F50">
      <w:pPr>
        <w:ind w:left="1440" w:hanging="1440"/>
        <w:jc w:val="both"/>
        <w:rPr>
          <w:b/>
        </w:rPr>
      </w:pPr>
      <w:r>
        <w:rPr>
          <w:b/>
        </w:rPr>
        <w:t>LULAC:</w:t>
      </w:r>
      <w:r>
        <w:rPr>
          <w:b/>
        </w:rPr>
        <w:tab/>
      </w:r>
      <w:r w:rsidR="00664874">
        <w:t>Approximately $8</w:t>
      </w:r>
      <w:r w:rsidR="00F82521">
        <w:t xml:space="preserve"> billion</w:t>
      </w:r>
      <w:r w:rsidR="00664874">
        <w:t>. The</w:t>
      </w:r>
      <w:r w:rsidR="00664874">
        <w:rPr>
          <w:bCs/>
        </w:rPr>
        <w:t xml:space="preserve"> rate base should be reduced to reflect the removal of the following projects from 2025 rate base: Future Environmental Compliance; Research and Development; Customer Experience Enhancement; Information Technology Capital; Grid Reliability and Resilience; Corporate Headquarters; South Tampa Resilience; Bearss Operation Center; and Polk 1 Flexibility.</w:t>
      </w:r>
    </w:p>
    <w:p w14:paraId="7DDA15D6" w14:textId="77777777" w:rsidR="00E61F50" w:rsidRDefault="00E61F50" w:rsidP="00E61F50">
      <w:pPr>
        <w:ind w:left="1440" w:hanging="1440"/>
        <w:jc w:val="both"/>
        <w:rPr>
          <w:b/>
        </w:rPr>
      </w:pPr>
    </w:p>
    <w:p w14:paraId="3284BF62" w14:textId="5DBCC01D" w:rsidR="00E61F50" w:rsidRDefault="00E61F50" w:rsidP="00E61F50">
      <w:pPr>
        <w:ind w:left="1440" w:hanging="1440"/>
        <w:jc w:val="both"/>
        <w:rPr>
          <w:b/>
        </w:rPr>
      </w:pPr>
      <w:r>
        <w:rPr>
          <w:b/>
        </w:rPr>
        <w:t>FIPUG:</w:t>
      </w:r>
      <w:r>
        <w:rPr>
          <w:b/>
        </w:rPr>
        <w:tab/>
      </w:r>
      <w:r w:rsidR="008032CE">
        <w:rPr>
          <w:bCs/>
        </w:rPr>
        <w:t>Adopt</w:t>
      </w:r>
      <w:r w:rsidR="009E4974">
        <w:rPr>
          <w:bCs/>
        </w:rPr>
        <w:t>s</w:t>
      </w:r>
      <w:r w:rsidR="008032CE">
        <w:rPr>
          <w:bCs/>
        </w:rPr>
        <w:t xml:space="preserve"> the position of OPC.</w:t>
      </w:r>
    </w:p>
    <w:p w14:paraId="29AEEA32" w14:textId="77777777" w:rsidR="00E61F50" w:rsidRDefault="00E61F50" w:rsidP="00E61F50">
      <w:pPr>
        <w:ind w:left="1440" w:hanging="1440"/>
        <w:jc w:val="both"/>
        <w:rPr>
          <w:b/>
        </w:rPr>
      </w:pPr>
    </w:p>
    <w:p w14:paraId="365B409A" w14:textId="00EFDA1E" w:rsidR="00E61F50" w:rsidRDefault="00E61F50" w:rsidP="00E61F50">
      <w:pPr>
        <w:ind w:left="1440" w:hanging="1440"/>
        <w:jc w:val="both"/>
        <w:rPr>
          <w:b/>
        </w:rPr>
      </w:pPr>
      <w:r>
        <w:rPr>
          <w:b/>
        </w:rPr>
        <w:t>FEA:</w:t>
      </w:r>
      <w:r>
        <w:rPr>
          <w:b/>
        </w:rPr>
        <w:tab/>
      </w:r>
      <w:r w:rsidR="009E4974">
        <w:t>No position.</w:t>
      </w:r>
    </w:p>
    <w:p w14:paraId="65CA35E0" w14:textId="77777777" w:rsidR="00E61F50" w:rsidRDefault="00E61F50" w:rsidP="00E61F50">
      <w:pPr>
        <w:ind w:left="1440" w:hanging="1440"/>
        <w:jc w:val="both"/>
        <w:rPr>
          <w:b/>
        </w:rPr>
      </w:pPr>
    </w:p>
    <w:p w14:paraId="47F5C933" w14:textId="77777777" w:rsidR="00CD0A95" w:rsidRDefault="00764960" w:rsidP="00E61F50">
      <w:pPr>
        <w:ind w:left="1440" w:hanging="1440"/>
        <w:jc w:val="both"/>
        <w:rPr>
          <w:b/>
        </w:rPr>
      </w:pPr>
      <w:r>
        <w:rPr>
          <w:b/>
        </w:rPr>
        <w:lastRenderedPageBreak/>
        <w:t xml:space="preserve">SIERRA </w:t>
      </w:r>
    </w:p>
    <w:p w14:paraId="1981BBBA" w14:textId="7AD7E840" w:rsidR="00E61F50" w:rsidRDefault="00764960" w:rsidP="00E61F50">
      <w:pPr>
        <w:ind w:left="1440" w:hanging="1440"/>
        <w:jc w:val="both"/>
        <w:rPr>
          <w:b/>
        </w:rPr>
      </w:pPr>
      <w:r>
        <w:rPr>
          <w:b/>
        </w:rPr>
        <w:t>CLUB</w:t>
      </w:r>
      <w:r w:rsidR="00E61F50">
        <w:rPr>
          <w:b/>
        </w:rPr>
        <w:t>:</w:t>
      </w:r>
      <w:r w:rsidR="00E61F50">
        <w:rPr>
          <w:b/>
        </w:rPr>
        <w:tab/>
      </w:r>
      <w:r w:rsidR="00646BD3" w:rsidRPr="001E3193">
        <w:t>TECO’s customers experience higher energy burdens than the national average, and their electricity rates can be reduced by removing spending on coal</w:t>
      </w:r>
      <w:r w:rsidR="00646BD3">
        <w:t xml:space="preserve"> combustion </w:t>
      </w:r>
      <w:r w:rsidR="00646BD3" w:rsidRPr="001E3193">
        <w:t xml:space="preserve">at Polk </w:t>
      </w:r>
      <w:r w:rsidR="00A13B21">
        <w:t xml:space="preserve">Unit </w:t>
      </w:r>
      <w:r w:rsidR="00646BD3" w:rsidRPr="001E3193">
        <w:t xml:space="preserve">1 and Big Bend </w:t>
      </w:r>
      <w:r w:rsidR="00A13B21">
        <w:t xml:space="preserve">Unit </w:t>
      </w:r>
      <w:r w:rsidR="00646BD3" w:rsidRPr="001E3193">
        <w:t xml:space="preserve">4 from the rate base. Moreover, the Polk 1 Flexibility </w:t>
      </w:r>
      <w:r w:rsidR="00646BD3">
        <w:t>p</w:t>
      </w:r>
      <w:r w:rsidR="00646BD3" w:rsidRPr="001E3193">
        <w:t xml:space="preserve">roject should not be included in the rate base for the 2025 projected test year unless TECO can provide an analysis showing that its cost is lower than </w:t>
      </w:r>
      <w:r w:rsidR="00646BD3">
        <w:t>the costs</w:t>
      </w:r>
      <w:r w:rsidR="00646BD3" w:rsidRPr="001E3193">
        <w:t xml:space="preserve"> of retiring </w:t>
      </w:r>
      <w:r w:rsidR="00646BD3">
        <w:t xml:space="preserve">Polk </w:t>
      </w:r>
      <w:r w:rsidR="00A13B21">
        <w:t xml:space="preserve">Unit </w:t>
      </w:r>
      <w:r w:rsidR="00646BD3">
        <w:t>1</w:t>
      </w:r>
      <w:r w:rsidR="00646BD3" w:rsidRPr="001E3193">
        <w:t xml:space="preserve"> and </w:t>
      </w:r>
      <w:r w:rsidR="00646BD3">
        <w:t>replacing its capacity with</w:t>
      </w:r>
      <w:r w:rsidR="00646BD3" w:rsidRPr="001E3193">
        <w:t xml:space="preserve"> alternative sources of clean generation.</w:t>
      </w:r>
      <w:r w:rsidR="00646BD3">
        <w:t xml:space="preserve"> Last, Sierra Club supports corporate cost, </w:t>
      </w:r>
      <w:r w:rsidR="00A13B21">
        <w:t>ROE</w:t>
      </w:r>
      <w:r w:rsidR="00646BD3">
        <w:t>, and reserve margin oversight arguments put forth by intervenors that would reduce the 2025 test year rate base and provide relief for energy burdened customers.</w:t>
      </w:r>
    </w:p>
    <w:p w14:paraId="210B90E2" w14:textId="77777777" w:rsidR="00E61F50" w:rsidRDefault="00E61F50" w:rsidP="00E61F50">
      <w:pPr>
        <w:ind w:left="1440" w:hanging="1440"/>
        <w:jc w:val="both"/>
        <w:rPr>
          <w:b/>
        </w:rPr>
      </w:pPr>
    </w:p>
    <w:p w14:paraId="53C1FE6C" w14:textId="6CE9CB52" w:rsidR="00E61F50" w:rsidRDefault="00E61F50" w:rsidP="00E61F50">
      <w:pPr>
        <w:ind w:left="1440" w:hanging="1440"/>
        <w:jc w:val="both"/>
        <w:rPr>
          <w:b/>
        </w:rPr>
      </w:pPr>
      <w:r>
        <w:rPr>
          <w:b/>
        </w:rPr>
        <w:t>FRF:</w:t>
      </w:r>
      <w:r>
        <w:rPr>
          <w:b/>
        </w:rPr>
        <w:tab/>
      </w:r>
      <w:r w:rsidR="00BB533E">
        <w:t>Agree</w:t>
      </w:r>
      <w:r w:rsidR="00CD55AB">
        <w:t>s</w:t>
      </w:r>
      <w:r w:rsidR="00BB533E">
        <w:t xml:space="preserve"> with OPC.</w:t>
      </w:r>
    </w:p>
    <w:p w14:paraId="544A6AA5" w14:textId="77777777" w:rsidR="00E61F50" w:rsidRDefault="00E61F50" w:rsidP="00E61F50">
      <w:pPr>
        <w:ind w:left="1440" w:hanging="1440"/>
        <w:jc w:val="both"/>
        <w:rPr>
          <w:b/>
        </w:rPr>
      </w:pPr>
    </w:p>
    <w:p w14:paraId="4B2C3FA7" w14:textId="77777777" w:rsidR="00CD0A95" w:rsidRDefault="00C0182D" w:rsidP="00E61F50">
      <w:pPr>
        <w:ind w:left="1440" w:hanging="1440"/>
        <w:jc w:val="both"/>
        <w:rPr>
          <w:b/>
        </w:rPr>
      </w:pPr>
      <w:r>
        <w:rPr>
          <w:b/>
        </w:rPr>
        <w:t xml:space="preserve">FUEL </w:t>
      </w:r>
    </w:p>
    <w:p w14:paraId="45EA2DFB" w14:textId="77E6D887" w:rsidR="00E61F50" w:rsidRDefault="00C0182D" w:rsidP="00E61F50">
      <w:pPr>
        <w:ind w:left="1440" w:hanging="1440"/>
        <w:jc w:val="both"/>
      </w:pPr>
      <w:r>
        <w:rPr>
          <w:b/>
        </w:rPr>
        <w:t>RETAILERS</w:t>
      </w:r>
      <w:r w:rsidR="00E61F50">
        <w:rPr>
          <w:b/>
        </w:rPr>
        <w:t>:</w:t>
      </w:r>
      <w:r w:rsidR="00CD0A95">
        <w:rPr>
          <w:b/>
        </w:rPr>
        <w:t xml:space="preserve"> </w:t>
      </w:r>
      <w:r w:rsidR="00035249">
        <w:t>No new investments in EV charging associated with new projects should be included pursuant to the requirements of HB 1645, Section 6 (to be codified at 366.94, F.S.) (Chapter 2024-186, Laws of Florida).</w:t>
      </w:r>
    </w:p>
    <w:p w14:paraId="43F2E18E" w14:textId="77777777" w:rsidR="003C0B09" w:rsidRDefault="003C0B09" w:rsidP="00E61F50">
      <w:pPr>
        <w:ind w:left="1440" w:hanging="1440"/>
        <w:jc w:val="both"/>
      </w:pPr>
    </w:p>
    <w:p w14:paraId="57C3E997" w14:textId="6AD30688" w:rsidR="003C0B09" w:rsidRPr="003C0B09" w:rsidRDefault="00FD408B" w:rsidP="00E61F50">
      <w:pPr>
        <w:ind w:left="1440" w:hanging="1440"/>
        <w:jc w:val="both"/>
        <w:rPr>
          <w:b/>
        </w:rPr>
      </w:pPr>
      <w:r>
        <w:rPr>
          <w:b/>
        </w:rPr>
        <w:t>WALMART</w:t>
      </w:r>
      <w:r w:rsidR="003C0B09">
        <w:rPr>
          <w:b/>
        </w:rPr>
        <w:t>:</w:t>
      </w:r>
      <w:r w:rsidR="003C0B09">
        <w:rPr>
          <w:b/>
        </w:rPr>
        <w:tab/>
      </w:r>
      <w:r w:rsidR="00CD55AB">
        <w:t>A</w:t>
      </w:r>
      <w:r w:rsidR="003C0B09">
        <w:t>grees with OPC.</w:t>
      </w:r>
    </w:p>
    <w:p w14:paraId="11E51A01" w14:textId="77777777" w:rsidR="00E61F50" w:rsidRPr="00701945" w:rsidRDefault="00E61F50" w:rsidP="00E61F50">
      <w:pPr>
        <w:jc w:val="both"/>
      </w:pPr>
    </w:p>
    <w:p w14:paraId="1D234B2B" w14:textId="77777777" w:rsidR="00E61F50" w:rsidRPr="005D4B47" w:rsidRDefault="00E61F50" w:rsidP="00E61F50">
      <w:pPr>
        <w:ind w:left="1440" w:hanging="1440"/>
        <w:jc w:val="both"/>
        <w:rPr>
          <w:b/>
          <w:bCs/>
        </w:rPr>
      </w:pPr>
      <w:r>
        <w:rPr>
          <w:b/>
          <w:bCs/>
        </w:rPr>
        <w:t>STAFF:</w:t>
      </w:r>
      <w:r>
        <w:rPr>
          <w:b/>
          <w:bCs/>
        </w:rPr>
        <w:tab/>
      </w:r>
      <w:r w:rsidR="00AB600F">
        <w:t>No position at this time.</w:t>
      </w:r>
    </w:p>
    <w:p w14:paraId="6E0769F0" w14:textId="77777777" w:rsidR="00E61F50" w:rsidRDefault="00E61F50" w:rsidP="00C7699A">
      <w:pPr>
        <w:jc w:val="both"/>
      </w:pPr>
    </w:p>
    <w:p w14:paraId="2D781AAB" w14:textId="4BBBB308" w:rsidR="009E4ED5" w:rsidRDefault="009E4ED5" w:rsidP="00C7699A">
      <w:pPr>
        <w:jc w:val="both"/>
      </w:pPr>
    </w:p>
    <w:p w14:paraId="73A3DCF9" w14:textId="77777777" w:rsidR="009E4ED5" w:rsidRPr="009E4ED5" w:rsidRDefault="009E4ED5" w:rsidP="009E4ED5">
      <w:pPr>
        <w:jc w:val="center"/>
        <w:rPr>
          <w:b/>
        </w:rPr>
      </w:pPr>
      <w:r w:rsidRPr="009E4ED5">
        <w:rPr>
          <w:b/>
          <w:u w:val="single"/>
        </w:rPr>
        <w:t>2025 COST OF CAPITAL</w:t>
      </w:r>
    </w:p>
    <w:p w14:paraId="706127E7" w14:textId="77777777" w:rsidR="00E61F50" w:rsidRDefault="00E61F50" w:rsidP="00C7699A">
      <w:pPr>
        <w:jc w:val="both"/>
      </w:pPr>
    </w:p>
    <w:p w14:paraId="5A44B50A" w14:textId="77777777" w:rsidR="00E61F50" w:rsidRPr="009E4ED5" w:rsidRDefault="009E4ED5" w:rsidP="00E61F50">
      <w:pPr>
        <w:ind w:left="1440" w:hanging="1440"/>
        <w:jc w:val="both"/>
        <w:rPr>
          <w:b/>
        </w:rPr>
      </w:pPr>
      <w:r>
        <w:rPr>
          <w:b/>
          <w:bCs/>
        </w:rPr>
        <w:t>ISSUE 33</w:t>
      </w:r>
      <w:r w:rsidR="00E61F50" w:rsidRPr="00701945">
        <w:rPr>
          <w:b/>
          <w:bCs/>
        </w:rPr>
        <w:t>:</w:t>
      </w:r>
      <w:r w:rsidR="00E61F50" w:rsidRPr="00701945">
        <w:tab/>
      </w:r>
      <w:r w:rsidRPr="009E4ED5">
        <w:rPr>
          <w:b/>
        </w:rPr>
        <w:t xml:space="preserve">What amount of accumulated deferred taxes should be approved for inclusion in the capital structure for the </w:t>
      </w:r>
      <w:r w:rsidRPr="009E4ED5">
        <w:rPr>
          <w:b/>
          <w:bCs/>
        </w:rPr>
        <w:t>2025 projected test year</w:t>
      </w:r>
      <w:r w:rsidRPr="009E4ED5">
        <w:rPr>
          <w:b/>
        </w:rPr>
        <w:t>?</w:t>
      </w:r>
    </w:p>
    <w:p w14:paraId="18E21EAC" w14:textId="77777777" w:rsidR="00E61F50" w:rsidRPr="00701945" w:rsidRDefault="00E61F50" w:rsidP="00E61F50">
      <w:pPr>
        <w:jc w:val="both"/>
      </w:pPr>
    </w:p>
    <w:p w14:paraId="35BF5E63" w14:textId="77777777" w:rsidR="00E61F50" w:rsidRPr="005D4B47" w:rsidRDefault="00E61F50" w:rsidP="00E61F50">
      <w:pPr>
        <w:ind w:left="1440" w:hanging="1440"/>
        <w:jc w:val="both"/>
      </w:pPr>
      <w:r>
        <w:rPr>
          <w:b/>
          <w:bCs/>
        </w:rPr>
        <w:t>TECO</w:t>
      </w:r>
      <w:r w:rsidRPr="005D4B47">
        <w:rPr>
          <w:b/>
          <w:bCs/>
        </w:rPr>
        <w:t>:</w:t>
      </w:r>
      <w:r w:rsidRPr="005D4B47">
        <w:tab/>
      </w:r>
      <w:r w:rsidR="009E4ED5">
        <w:t>The Commission should approve Jurisdictional Adjusted Accumulated Deferred Income Taxes of $980.9 million as shown on MFR Schedule D-1a. (Chronister, Strickland)</w:t>
      </w:r>
    </w:p>
    <w:p w14:paraId="0994D4C2" w14:textId="77777777" w:rsidR="00E61F50" w:rsidRPr="00701945" w:rsidRDefault="00E61F50" w:rsidP="00E61F50">
      <w:pPr>
        <w:jc w:val="both"/>
      </w:pPr>
    </w:p>
    <w:p w14:paraId="2DB2D352" w14:textId="77777777" w:rsidR="00E61F50" w:rsidRDefault="00E61F50" w:rsidP="00E61F50">
      <w:pPr>
        <w:ind w:left="1440" w:hanging="1440"/>
        <w:jc w:val="both"/>
      </w:pPr>
      <w:r>
        <w:rPr>
          <w:b/>
          <w:bCs/>
        </w:rPr>
        <w:t>OPC</w:t>
      </w:r>
      <w:r w:rsidRPr="00701945">
        <w:rPr>
          <w:b/>
          <w:bCs/>
        </w:rPr>
        <w:t>:</w:t>
      </w:r>
      <w:r>
        <w:tab/>
      </w:r>
      <w:r w:rsidR="00A81692">
        <w:t xml:space="preserve">The amount of accumulated deferred taxes that should be included in the capital structure for the 2025 projected test year is </w:t>
      </w:r>
      <w:r w:rsidR="00A81692" w:rsidRPr="00A62105">
        <w:t>$980</w:t>
      </w:r>
      <w:r w:rsidR="00A81692">
        <w:t>.</w:t>
      </w:r>
      <w:r w:rsidR="00A81692" w:rsidRPr="00A62105">
        <w:t>855</w:t>
      </w:r>
      <w:r w:rsidR="00A81692">
        <w:t xml:space="preserve"> million</w:t>
      </w:r>
      <w:r w:rsidR="00A81692" w:rsidRPr="00A62105">
        <w:t>.</w:t>
      </w:r>
    </w:p>
    <w:p w14:paraId="4061B726" w14:textId="77777777" w:rsidR="00E61F50" w:rsidRDefault="00E61F50" w:rsidP="00E61F50">
      <w:pPr>
        <w:ind w:left="1440" w:hanging="1440"/>
        <w:jc w:val="both"/>
      </w:pPr>
    </w:p>
    <w:p w14:paraId="7FBBF5C8" w14:textId="77777777" w:rsidR="00E61F50" w:rsidRDefault="00E61F50" w:rsidP="00E61F50">
      <w:pPr>
        <w:ind w:left="1440" w:hanging="1440"/>
        <w:jc w:val="both"/>
        <w:rPr>
          <w:b/>
        </w:rPr>
      </w:pPr>
      <w:r>
        <w:rPr>
          <w:b/>
        </w:rPr>
        <w:t>FL RISING/</w:t>
      </w:r>
    </w:p>
    <w:p w14:paraId="68D0F6B6" w14:textId="4E052BE5" w:rsidR="00E61F50" w:rsidRDefault="00E61F50" w:rsidP="00E61F50">
      <w:pPr>
        <w:ind w:left="1440" w:hanging="1440"/>
        <w:jc w:val="both"/>
        <w:rPr>
          <w:b/>
        </w:rPr>
      </w:pPr>
      <w:r>
        <w:rPr>
          <w:b/>
        </w:rPr>
        <w:t>LULAC:</w:t>
      </w:r>
      <w:r>
        <w:rPr>
          <w:b/>
        </w:rPr>
        <w:tab/>
      </w:r>
      <w:r w:rsidR="00902496">
        <w:t>Adopt</w:t>
      </w:r>
      <w:r w:rsidR="001C089E">
        <w:t>s</w:t>
      </w:r>
      <w:r w:rsidR="00902496">
        <w:t xml:space="preserve"> </w:t>
      </w:r>
      <w:r w:rsidR="001C089E">
        <w:t xml:space="preserve">the position of </w:t>
      </w:r>
      <w:r w:rsidR="00902496">
        <w:t>OPC.</w:t>
      </w:r>
    </w:p>
    <w:p w14:paraId="3395841A" w14:textId="77777777" w:rsidR="00E61F50" w:rsidRDefault="00E61F50" w:rsidP="00E61F50">
      <w:pPr>
        <w:ind w:left="1440" w:hanging="1440"/>
        <w:jc w:val="both"/>
        <w:rPr>
          <w:b/>
        </w:rPr>
      </w:pPr>
    </w:p>
    <w:p w14:paraId="09F9A713" w14:textId="1D01ACA9" w:rsidR="00E61F50" w:rsidRDefault="00E61F50" w:rsidP="00E61F50">
      <w:pPr>
        <w:ind w:left="1440" w:hanging="1440"/>
        <w:jc w:val="both"/>
        <w:rPr>
          <w:b/>
        </w:rPr>
      </w:pPr>
      <w:r>
        <w:rPr>
          <w:b/>
        </w:rPr>
        <w:t>FIPUG:</w:t>
      </w:r>
      <w:r>
        <w:rPr>
          <w:b/>
        </w:rPr>
        <w:tab/>
      </w:r>
      <w:r w:rsidR="008032CE">
        <w:rPr>
          <w:bCs/>
        </w:rPr>
        <w:t>Adopt</w:t>
      </w:r>
      <w:r w:rsidR="00BD55CE">
        <w:rPr>
          <w:bCs/>
        </w:rPr>
        <w:t>s</w:t>
      </w:r>
      <w:r w:rsidR="008032CE">
        <w:rPr>
          <w:bCs/>
        </w:rPr>
        <w:t xml:space="preserve"> the position of OPC.</w:t>
      </w:r>
    </w:p>
    <w:p w14:paraId="498B3E45" w14:textId="77777777" w:rsidR="00E61F50" w:rsidRDefault="00E61F50" w:rsidP="00E61F50">
      <w:pPr>
        <w:ind w:left="1440" w:hanging="1440"/>
        <w:jc w:val="both"/>
        <w:rPr>
          <w:b/>
        </w:rPr>
      </w:pPr>
    </w:p>
    <w:p w14:paraId="7DE0CA02" w14:textId="7F60726D" w:rsidR="00E61F50" w:rsidRDefault="00E61F50" w:rsidP="00E61F50">
      <w:pPr>
        <w:ind w:left="1440" w:hanging="1440"/>
        <w:jc w:val="both"/>
        <w:rPr>
          <w:b/>
        </w:rPr>
      </w:pPr>
      <w:r>
        <w:rPr>
          <w:b/>
        </w:rPr>
        <w:t>FEA:</w:t>
      </w:r>
      <w:r>
        <w:rPr>
          <w:b/>
        </w:rPr>
        <w:tab/>
      </w:r>
      <w:r w:rsidR="00BD55CE">
        <w:t>No position.</w:t>
      </w:r>
    </w:p>
    <w:p w14:paraId="33B2B2FA" w14:textId="77777777" w:rsidR="00E61F50" w:rsidRDefault="00E61F50" w:rsidP="00E61F50">
      <w:pPr>
        <w:ind w:left="1440" w:hanging="1440"/>
        <w:jc w:val="both"/>
        <w:rPr>
          <w:b/>
        </w:rPr>
      </w:pPr>
    </w:p>
    <w:p w14:paraId="09272669" w14:textId="77777777" w:rsidR="00A14A11" w:rsidRDefault="00764960" w:rsidP="00E61F50">
      <w:pPr>
        <w:ind w:left="1440" w:hanging="1440"/>
        <w:jc w:val="both"/>
        <w:rPr>
          <w:b/>
        </w:rPr>
      </w:pPr>
      <w:r>
        <w:rPr>
          <w:b/>
        </w:rPr>
        <w:t xml:space="preserve">SIERRA </w:t>
      </w:r>
    </w:p>
    <w:p w14:paraId="6988EB39" w14:textId="0D5ECE90" w:rsidR="00E61F50" w:rsidRDefault="00764960" w:rsidP="00E61F50">
      <w:pPr>
        <w:ind w:left="1440" w:hanging="1440"/>
        <w:jc w:val="both"/>
        <w:rPr>
          <w:b/>
        </w:rPr>
      </w:pPr>
      <w:r>
        <w:rPr>
          <w:b/>
        </w:rPr>
        <w:t>CLUB</w:t>
      </w:r>
      <w:r w:rsidR="00E61F50">
        <w:rPr>
          <w:b/>
        </w:rPr>
        <w:t>:</w:t>
      </w:r>
      <w:r w:rsidR="00E61F50">
        <w:rPr>
          <w:b/>
        </w:rPr>
        <w:tab/>
      </w:r>
      <w:r w:rsidR="00BD55CE">
        <w:t>No position.</w:t>
      </w:r>
    </w:p>
    <w:p w14:paraId="67DDEB16" w14:textId="5399D32F" w:rsidR="00E61F50" w:rsidRDefault="00E61F50" w:rsidP="00E61F50">
      <w:pPr>
        <w:ind w:left="1440" w:hanging="1440"/>
        <w:jc w:val="both"/>
        <w:rPr>
          <w:b/>
        </w:rPr>
      </w:pPr>
      <w:r>
        <w:rPr>
          <w:b/>
        </w:rPr>
        <w:lastRenderedPageBreak/>
        <w:t>FRF:</w:t>
      </w:r>
      <w:r>
        <w:rPr>
          <w:b/>
        </w:rPr>
        <w:tab/>
      </w:r>
      <w:r w:rsidR="00BB533E">
        <w:t>Agree</w:t>
      </w:r>
      <w:r w:rsidR="00957B67">
        <w:t>s</w:t>
      </w:r>
      <w:r w:rsidR="00BB533E">
        <w:t xml:space="preserve"> with OPC.</w:t>
      </w:r>
    </w:p>
    <w:p w14:paraId="47909F22" w14:textId="77777777" w:rsidR="00E61F50" w:rsidRDefault="00E61F50" w:rsidP="00E61F50">
      <w:pPr>
        <w:ind w:left="1440" w:hanging="1440"/>
        <w:jc w:val="both"/>
        <w:rPr>
          <w:b/>
        </w:rPr>
      </w:pPr>
    </w:p>
    <w:p w14:paraId="4D1095C8" w14:textId="77777777" w:rsidR="00A14A11" w:rsidRDefault="00C0182D" w:rsidP="00E61F50">
      <w:pPr>
        <w:ind w:left="1440" w:hanging="1440"/>
        <w:jc w:val="both"/>
        <w:rPr>
          <w:b/>
        </w:rPr>
      </w:pPr>
      <w:r>
        <w:rPr>
          <w:b/>
        </w:rPr>
        <w:t xml:space="preserve">FUEL </w:t>
      </w:r>
    </w:p>
    <w:p w14:paraId="1235A3A9" w14:textId="1B502759" w:rsidR="00E61F50" w:rsidRDefault="00C0182D" w:rsidP="00E61F50">
      <w:pPr>
        <w:ind w:left="1440" w:hanging="1440"/>
        <w:jc w:val="both"/>
      </w:pPr>
      <w:r>
        <w:rPr>
          <w:b/>
        </w:rPr>
        <w:t>RETAILERS</w:t>
      </w:r>
      <w:r w:rsidR="00E61F50">
        <w:rPr>
          <w:b/>
        </w:rPr>
        <w:t>:</w:t>
      </w:r>
      <w:r w:rsidR="00A14A11">
        <w:rPr>
          <w:b/>
        </w:rPr>
        <w:t xml:space="preserve"> </w:t>
      </w:r>
      <w:r w:rsidR="00B66251" w:rsidRPr="00132664">
        <w:t xml:space="preserve">No </w:t>
      </w:r>
      <w:r w:rsidR="005667E7">
        <w:t>p</w:t>
      </w:r>
      <w:r w:rsidR="00B66251" w:rsidRPr="00132664">
        <w:t>osition.</w:t>
      </w:r>
    </w:p>
    <w:p w14:paraId="2ED448BC" w14:textId="77777777" w:rsidR="00764821" w:rsidRDefault="00764821" w:rsidP="00E61F50">
      <w:pPr>
        <w:ind w:left="1440" w:hanging="1440"/>
        <w:jc w:val="both"/>
      </w:pPr>
    </w:p>
    <w:p w14:paraId="20F732EF" w14:textId="5DF94C57" w:rsidR="00764821" w:rsidRPr="00764821" w:rsidRDefault="00FD408B" w:rsidP="00E61F50">
      <w:pPr>
        <w:ind w:left="1440" w:hanging="1440"/>
        <w:jc w:val="both"/>
        <w:rPr>
          <w:b/>
        </w:rPr>
      </w:pPr>
      <w:r>
        <w:rPr>
          <w:b/>
        </w:rPr>
        <w:t>WALMART</w:t>
      </w:r>
      <w:r w:rsidR="00764821">
        <w:rPr>
          <w:b/>
        </w:rPr>
        <w:t>:</w:t>
      </w:r>
      <w:r w:rsidR="00764821">
        <w:rPr>
          <w:b/>
        </w:rPr>
        <w:tab/>
      </w:r>
      <w:r w:rsidR="005667E7">
        <w:t>A</w:t>
      </w:r>
      <w:r w:rsidR="00764821">
        <w:t>grees with OPC.</w:t>
      </w:r>
    </w:p>
    <w:p w14:paraId="4669BE1C" w14:textId="77777777" w:rsidR="00E61F50" w:rsidRPr="00701945" w:rsidRDefault="00E61F50" w:rsidP="00E61F50">
      <w:pPr>
        <w:jc w:val="both"/>
      </w:pPr>
    </w:p>
    <w:p w14:paraId="61AF165B" w14:textId="77777777" w:rsidR="00E61F50" w:rsidRPr="005D4B47" w:rsidRDefault="00E61F50" w:rsidP="00E61F50">
      <w:pPr>
        <w:ind w:left="1440" w:hanging="1440"/>
        <w:jc w:val="both"/>
        <w:rPr>
          <w:b/>
          <w:bCs/>
        </w:rPr>
      </w:pPr>
      <w:r>
        <w:rPr>
          <w:b/>
          <w:bCs/>
        </w:rPr>
        <w:t>STAFF:</w:t>
      </w:r>
      <w:r>
        <w:rPr>
          <w:b/>
          <w:bCs/>
        </w:rPr>
        <w:tab/>
      </w:r>
      <w:r w:rsidR="00AB600F">
        <w:t>No position at this time.</w:t>
      </w:r>
    </w:p>
    <w:p w14:paraId="14F98744" w14:textId="77777777" w:rsidR="00E61F50" w:rsidRDefault="00E61F50" w:rsidP="00C7699A">
      <w:pPr>
        <w:jc w:val="both"/>
      </w:pPr>
    </w:p>
    <w:p w14:paraId="43C6E5E3" w14:textId="77777777" w:rsidR="00E61F50" w:rsidRDefault="00E61F50" w:rsidP="00C7699A">
      <w:pPr>
        <w:jc w:val="both"/>
      </w:pPr>
    </w:p>
    <w:p w14:paraId="406E196B" w14:textId="77777777" w:rsidR="00E61F50" w:rsidRPr="007C6EF4" w:rsidRDefault="007C6EF4" w:rsidP="00E61F50">
      <w:pPr>
        <w:ind w:left="1440" w:hanging="1440"/>
        <w:jc w:val="both"/>
        <w:rPr>
          <w:b/>
        </w:rPr>
      </w:pPr>
      <w:r>
        <w:rPr>
          <w:b/>
          <w:bCs/>
        </w:rPr>
        <w:t>ISSUE 34</w:t>
      </w:r>
      <w:r w:rsidR="00E61F50" w:rsidRPr="00701945">
        <w:rPr>
          <w:b/>
          <w:bCs/>
        </w:rPr>
        <w:t>:</w:t>
      </w:r>
      <w:r w:rsidR="00E61F50" w:rsidRPr="00701945">
        <w:tab/>
      </w:r>
      <w:r w:rsidRPr="007C6EF4">
        <w:rPr>
          <w:b/>
        </w:rPr>
        <w:t xml:space="preserve">What amount and cost rate of the unamortized investment tax credits should be approved for inclusion in the capital structure for the </w:t>
      </w:r>
      <w:r w:rsidRPr="007C6EF4">
        <w:rPr>
          <w:b/>
          <w:bCs/>
        </w:rPr>
        <w:t>2025 projected test year</w:t>
      </w:r>
      <w:r w:rsidRPr="007C6EF4">
        <w:rPr>
          <w:b/>
        </w:rPr>
        <w:t>?</w:t>
      </w:r>
    </w:p>
    <w:p w14:paraId="5AD2038C" w14:textId="77777777" w:rsidR="00E61F50" w:rsidRPr="00701945" w:rsidRDefault="00E61F50" w:rsidP="00E61F50">
      <w:pPr>
        <w:jc w:val="both"/>
      </w:pPr>
    </w:p>
    <w:p w14:paraId="45DEFE5B" w14:textId="10F27BC5" w:rsidR="00E61F50" w:rsidRPr="005D4B47" w:rsidRDefault="00E61F50" w:rsidP="00E61F50">
      <w:pPr>
        <w:ind w:left="1440" w:hanging="1440"/>
        <w:jc w:val="both"/>
      </w:pPr>
      <w:r>
        <w:rPr>
          <w:b/>
          <w:bCs/>
        </w:rPr>
        <w:t>TECO</w:t>
      </w:r>
      <w:r w:rsidRPr="005D4B47">
        <w:rPr>
          <w:b/>
          <w:bCs/>
        </w:rPr>
        <w:t>:</w:t>
      </w:r>
      <w:r w:rsidRPr="005D4B47">
        <w:tab/>
      </w:r>
      <w:r w:rsidR="007C6EF4">
        <w:t>The Commission should approve Jurisdictional Adjusted Tax Credits in the amount of $211.7 million and a cost rate of 8.26 percent as shown on MFR Schedule D-1a.</w:t>
      </w:r>
      <w:r w:rsidR="00015CE9">
        <w:t xml:space="preserve"> The company acknowledges the fact that the </w:t>
      </w:r>
      <w:r w:rsidR="00CB1901">
        <w:t>unamortized</w:t>
      </w:r>
      <w:r w:rsidR="00015CE9">
        <w:t xml:space="preserve"> </w:t>
      </w:r>
      <w:r w:rsidR="00383618">
        <w:t xml:space="preserve">ITC </w:t>
      </w:r>
      <w:r w:rsidR="00015CE9">
        <w:t xml:space="preserve">would have been </w:t>
      </w:r>
      <w:r w:rsidR="00CB1901">
        <w:t>adjusted</w:t>
      </w:r>
      <w:r w:rsidR="00015CE9">
        <w:t xml:space="preserve"> as result of </w:t>
      </w:r>
      <w:r w:rsidR="00CB1901">
        <w:t>the</w:t>
      </w:r>
      <w:r w:rsidR="00015CE9">
        <w:t xml:space="preserve"> </w:t>
      </w:r>
      <w:r w:rsidR="00CB1901">
        <w:t>July</w:t>
      </w:r>
      <w:r w:rsidR="00015CE9">
        <w:t xml:space="preserve"> and August Filings. However, this change would not materially impact the overall weighted average cost of capital rate and thus the </w:t>
      </w:r>
      <w:r w:rsidR="00383618">
        <w:t>ITC</w:t>
      </w:r>
      <w:r w:rsidR="00015CE9">
        <w:t xml:space="preserve"> cost rate.</w:t>
      </w:r>
      <w:r w:rsidR="007C6EF4">
        <w:t xml:space="preserve"> (Chronister, Strickland)</w:t>
      </w:r>
    </w:p>
    <w:p w14:paraId="16D0C380" w14:textId="77777777" w:rsidR="00E61F50" w:rsidRPr="00701945" w:rsidRDefault="00E61F50" w:rsidP="00E61F50">
      <w:pPr>
        <w:jc w:val="both"/>
      </w:pPr>
    </w:p>
    <w:p w14:paraId="61E8C231" w14:textId="77777777" w:rsidR="00E61F50" w:rsidRDefault="00E61F50" w:rsidP="00E61F50">
      <w:pPr>
        <w:ind w:left="1440" w:hanging="1440"/>
        <w:jc w:val="both"/>
      </w:pPr>
      <w:r>
        <w:rPr>
          <w:b/>
          <w:bCs/>
        </w:rPr>
        <w:t>OPC</w:t>
      </w:r>
      <w:r w:rsidRPr="00701945">
        <w:rPr>
          <w:b/>
          <w:bCs/>
        </w:rPr>
        <w:t>:</w:t>
      </w:r>
      <w:r>
        <w:tab/>
      </w:r>
      <w:r w:rsidR="00A81692">
        <w:t xml:space="preserve">The amount and cost </w:t>
      </w:r>
      <w:r w:rsidR="00A81692" w:rsidRPr="00A62105">
        <w:t>rate of the unamortized investment tax credits</w:t>
      </w:r>
      <w:r w:rsidR="00A81692">
        <w:t xml:space="preserve"> that should be included </w:t>
      </w:r>
      <w:r w:rsidR="00A81692" w:rsidRPr="00A62105">
        <w:t xml:space="preserve">in the capital structure for the </w:t>
      </w:r>
      <w:r w:rsidR="00A81692" w:rsidRPr="00A62105">
        <w:rPr>
          <w:bCs/>
        </w:rPr>
        <w:t>2025 projected test year</w:t>
      </w:r>
      <w:r w:rsidR="00A81692">
        <w:rPr>
          <w:bCs/>
        </w:rPr>
        <w:t xml:space="preserve"> is</w:t>
      </w:r>
      <w:r w:rsidR="00A81692" w:rsidRPr="00A62105">
        <w:t xml:space="preserve"> $178</w:t>
      </w:r>
      <w:r w:rsidR="00A81692">
        <w:t>.</w:t>
      </w:r>
      <w:r w:rsidR="00A81692" w:rsidRPr="00A62105">
        <w:t>098</w:t>
      </w:r>
      <w:r w:rsidR="00A81692">
        <w:t xml:space="preserve"> million</w:t>
      </w:r>
      <w:r w:rsidR="00A81692" w:rsidRPr="00A62105">
        <w:t xml:space="preserve"> at a cost rate of 7.18%</w:t>
      </w:r>
      <w:r w:rsidR="00A81692">
        <w:t>.</w:t>
      </w:r>
    </w:p>
    <w:p w14:paraId="396EB096" w14:textId="77777777" w:rsidR="00E61F50" w:rsidRDefault="00E61F50" w:rsidP="00E61F50">
      <w:pPr>
        <w:ind w:left="1440" w:hanging="1440"/>
        <w:jc w:val="both"/>
      </w:pPr>
    </w:p>
    <w:p w14:paraId="66793BB6" w14:textId="77777777" w:rsidR="00E61F50" w:rsidRDefault="00E61F50" w:rsidP="00E61F50">
      <w:pPr>
        <w:ind w:left="1440" w:hanging="1440"/>
        <w:jc w:val="both"/>
        <w:rPr>
          <w:b/>
        </w:rPr>
      </w:pPr>
      <w:r>
        <w:rPr>
          <w:b/>
        </w:rPr>
        <w:t>FL RISING/</w:t>
      </w:r>
    </w:p>
    <w:p w14:paraId="53F4B16C" w14:textId="2D78BEB4" w:rsidR="00E61F50" w:rsidRDefault="00E61F50" w:rsidP="00E61F50">
      <w:pPr>
        <w:ind w:left="1440" w:hanging="1440"/>
        <w:jc w:val="both"/>
        <w:rPr>
          <w:b/>
        </w:rPr>
      </w:pPr>
      <w:r>
        <w:rPr>
          <w:b/>
        </w:rPr>
        <w:t>LULAC:</w:t>
      </w:r>
      <w:r>
        <w:rPr>
          <w:b/>
        </w:rPr>
        <w:tab/>
      </w:r>
      <w:r w:rsidR="00902496">
        <w:t>The ITCs should be flowed back to customers over a ten-year period. The appropriate cost rate is zero, as TECO already receives a return on investment for the capital expenditures associated with the battery assets.</w:t>
      </w:r>
    </w:p>
    <w:p w14:paraId="6D47632F" w14:textId="77777777" w:rsidR="00E61F50" w:rsidRDefault="00E61F50" w:rsidP="00E61F50">
      <w:pPr>
        <w:ind w:left="1440" w:hanging="1440"/>
        <w:jc w:val="both"/>
        <w:rPr>
          <w:b/>
        </w:rPr>
      </w:pPr>
    </w:p>
    <w:p w14:paraId="66B4F1F1" w14:textId="11AE273C" w:rsidR="00E61F50" w:rsidRDefault="00E61F50" w:rsidP="00E61F50">
      <w:pPr>
        <w:ind w:left="1440" w:hanging="1440"/>
        <w:jc w:val="both"/>
        <w:rPr>
          <w:b/>
        </w:rPr>
      </w:pPr>
      <w:r>
        <w:rPr>
          <w:b/>
        </w:rPr>
        <w:t>FIPUG:</w:t>
      </w:r>
      <w:r>
        <w:rPr>
          <w:b/>
        </w:rPr>
        <w:tab/>
      </w:r>
      <w:r w:rsidR="008032CE">
        <w:rPr>
          <w:bCs/>
        </w:rPr>
        <w:t>Adopt</w:t>
      </w:r>
      <w:r w:rsidR="00836E5D">
        <w:rPr>
          <w:bCs/>
        </w:rPr>
        <w:t>s</w:t>
      </w:r>
      <w:r w:rsidR="008032CE">
        <w:rPr>
          <w:bCs/>
        </w:rPr>
        <w:t xml:space="preserve"> the position of OPC.</w:t>
      </w:r>
    </w:p>
    <w:p w14:paraId="46B28BBC" w14:textId="77777777" w:rsidR="00E61F50" w:rsidRDefault="00E61F50" w:rsidP="00E61F50">
      <w:pPr>
        <w:ind w:left="1440" w:hanging="1440"/>
        <w:jc w:val="both"/>
        <w:rPr>
          <w:b/>
        </w:rPr>
      </w:pPr>
    </w:p>
    <w:p w14:paraId="4AA77553" w14:textId="00D233E9" w:rsidR="00E61F50" w:rsidRDefault="00E61F50" w:rsidP="00E61F50">
      <w:pPr>
        <w:ind w:left="1440" w:hanging="1440"/>
        <w:jc w:val="both"/>
        <w:rPr>
          <w:b/>
        </w:rPr>
      </w:pPr>
      <w:r>
        <w:rPr>
          <w:b/>
        </w:rPr>
        <w:t>FEA:</w:t>
      </w:r>
      <w:r>
        <w:rPr>
          <w:b/>
        </w:rPr>
        <w:tab/>
      </w:r>
      <w:r w:rsidR="00836E5D">
        <w:t>No position.</w:t>
      </w:r>
    </w:p>
    <w:p w14:paraId="154CDCAD" w14:textId="77777777" w:rsidR="00E61F50" w:rsidRDefault="00E61F50" w:rsidP="00E61F50">
      <w:pPr>
        <w:ind w:left="1440" w:hanging="1440"/>
        <w:jc w:val="both"/>
        <w:rPr>
          <w:b/>
        </w:rPr>
      </w:pPr>
    </w:p>
    <w:p w14:paraId="1B1684BA" w14:textId="77777777" w:rsidR="00A14A11" w:rsidRDefault="00764960" w:rsidP="00E61F50">
      <w:pPr>
        <w:ind w:left="1440" w:hanging="1440"/>
        <w:jc w:val="both"/>
        <w:rPr>
          <w:b/>
        </w:rPr>
      </w:pPr>
      <w:r>
        <w:rPr>
          <w:b/>
        </w:rPr>
        <w:t xml:space="preserve">SIERRA </w:t>
      </w:r>
    </w:p>
    <w:p w14:paraId="40BAA56D" w14:textId="2C49823F" w:rsidR="00E61F50" w:rsidRDefault="00764960" w:rsidP="00E61F50">
      <w:pPr>
        <w:ind w:left="1440" w:hanging="1440"/>
        <w:jc w:val="both"/>
        <w:rPr>
          <w:b/>
        </w:rPr>
      </w:pPr>
      <w:r>
        <w:rPr>
          <w:b/>
        </w:rPr>
        <w:t>CLUB</w:t>
      </w:r>
      <w:r w:rsidR="00E61F50">
        <w:rPr>
          <w:b/>
        </w:rPr>
        <w:t>:</w:t>
      </w:r>
      <w:r w:rsidR="00E61F50">
        <w:rPr>
          <w:b/>
        </w:rPr>
        <w:tab/>
      </w:r>
      <w:r w:rsidR="00836E5D">
        <w:t>No position.</w:t>
      </w:r>
    </w:p>
    <w:p w14:paraId="53691280" w14:textId="77777777" w:rsidR="00E61F50" w:rsidRDefault="00E61F50" w:rsidP="00E61F50">
      <w:pPr>
        <w:ind w:left="1440" w:hanging="1440"/>
        <w:jc w:val="both"/>
        <w:rPr>
          <w:b/>
        </w:rPr>
      </w:pPr>
    </w:p>
    <w:p w14:paraId="00F7926B" w14:textId="668D4E2C" w:rsidR="00E61F50" w:rsidRDefault="00E61F50" w:rsidP="00E61F50">
      <w:pPr>
        <w:ind w:left="1440" w:hanging="1440"/>
        <w:jc w:val="both"/>
        <w:rPr>
          <w:b/>
        </w:rPr>
      </w:pPr>
      <w:r>
        <w:rPr>
          <w:b/>
        </w:rPr>
        <w:t>FRF:</w:t>
      </w:r>
      <w:r>
        <w:rPr>
          <w:b/>
        </w:rPr>
        <w:tab/>
      </w:r>
      <w:r w:rsidR="00BB533E">
        <w:t>Agree</w:t>
      </w:r>
      <w:r w:rsidR="00836E5D">
        <w:t>s</w:t>
      </w:r>
      <w:r w:rsidR="00BB533E">
        <w:t xml:space="preserve"> with OPC.</w:t>
      </w:r>
    </w:p>
    <w:p w14:paraId="34B8C526" w14:textId="77777777" w:rsidR="00E61F50" w:rsidRDefault="00E61F50" w:rsidP="00E61F50">
      <w:pPr>
        <w:ind w:left="1440" w:hanging="1440"/>
        <w:jc w:val="both"/>
        <w:rPr>
          <w:b/>
        </w:rPr>
      </w:pPr>
    </w:p>
    <w:p w14:paraId="278999DA" w14:textId="77777777" w:rsidR="00A14A11" w:rsidRDefault="00C0182D" w:rsidP="00E61F50">
      <w:pPr>
        <w:ind w:left="1440" w:hanging="1440"/>
        <w:jc w:val="both"/>
        <w:rPr>
          <w:b/>
        </w:rPr>
      </w:pPr>
      <w:r>
        <w:rPr>
          <w:b/>
        </w:rPr>
        <w:t xml:space="preserve">FUEL </w:t>
      </w:r>
    </w:p>
    <w:p w14:paraId="2F701813" w14:textId="130F8940" w:rsidR="00E61F50" w:rsidRDefault="00C0182D" w:rsidP="00E61F50">
      <w:pPr>
        <w:ind w:left="1440" w:hanging="1440"/>
        <w:jc w:val="both"/>
      </w:pPr>
      <w:r>
        <w:rPr>
          <w:b/>
        </w:rPr>
        <w:t>RETAILERS</w:t>
      </w:r>
      <w:r w:rsidR="00E61F50">
        <w:rPr>
          <w:b/>
        </w:rPr>
        <w:t>:</w:t>
      </w:r>
      <w:r w:rsidR="00A14A11">
        <w:rPr>
          <w:b/>
        </w:rPr>
        <w:t xml:space="preserve"> </w:t>
      </w:r>
      <w:r w:rsidR="00B66251" w:rsidRPr="00132664">
        <w:t xml:space="preserve">No </w:t>
      </w:r>
      <w:r w:rsidR="00836E5D">
        <w:t>p</w:t>
      </w:r>
      <w:r w:rsidR="00B66251" w:rsidRPr="00132664">
        <w:t>osition.</w:t>
      </w:r>
    </w:p>
    <w:p w14:paraId="7A586B00" w14:textId="77777777" w:rsidR="00764821" w:rsidRDefault="00764821" w:rsidP="00E61F50">
      <w:pPr>
        <w:ind w:left="1440" w:hanging="1440"/>
        <w:jc w:val="both"/>
      </w:pPr>
    </w:p>
    <w:p w14:paraId="2D0DDC3E" w14:textId="14A6AEFD" w:rsidR="00764821" w:rsidRPr="00764821" w:rsidRDefault="00FD408B" w:rsidP="00E61F50">
      <w:pPr>
        <w:ind w:left="1440" w:hanging="1440"/>
        <w:jc w:val="both"/>
        <w:rPr>
          <w:b/>
        </w:rPr>
      </w:pPr>
      <w:r>
        <w:rPr>
          <w:b/>
        </w:rPr>
        <w:t>WALMART</w:t>
      </w:r>
      <w:r w:rsidR="00764821">
        <w:rPr>
          <w:b/>
        </w:rPr>
        <w:t>:</w:t>
      </w:r>
      <w:r w:rsidR="00764821">
        <w:rPr>
          <w:b/>
        </w:rPr>
        <w:tab/>
      </w:r>
      <w:r w:rsidR="00836E5D">
        <w:t>A</w:t>
      </w:r>
      <w:r w:rsidR="00764821">
        <w:t>grees with OPC.</w:t>
      </w:r>
    </w:p>
    <w:p w14:paraId="07C714B6" w14:textId="77777777" w:rsidR="00E61F50" w:rsidRPr="00701945" w:rsidRDefault="00E61F50" w:rsidP="00E61F50">
      <w:pPr>
        <w:jc w:val="both"/>
      </w:pPr>
    </w:p>
    <w:p w14:paraId="7B7249F4" w14:textId="77777777" w:rsidR="00E61F50" w:rsidRPr="005D4B47" w:rsidRDefault="00E61F50" w:rsidP="00E61F50">
      <w:pPr>
        <w:ind w:left="1440" w:hanging="1440"/>
        <w:jc w:val="both"/>
        <w:rPr>
          <w:b/>
          <w:bCs/>
        </w:rPr>
      </w:pPr>
      <w:r>
        <w:rPr>
          <w:b/>
          <w:bCs/>
        </w:rPr>
        <w:t>STAFF:</w:t>
      </w:r>
      <w:r>
        <w:rPr>
          <w:b/>
          <w:bCs/>
        </w:rPr>
        <w:tab/>
      </w:r>
      <w:r w:rsidR="00AB600F">
        <w:t>No position at this time.</w:t>
      </w:r>
    </w:p>
    <w:p w14:paraId="0401C0E6" w14:textId="77777777" w:rsidR="00E61F50" w:rsidRPr="007C6EF4" w:rsidRDefault="007C6EF4" w:rsidP="00E61F50">
      <w:pPr>
        <w:ind w:left="1440" w:hanging="1440"/>
        <w:jc w:val="both"/>
        <w:rPr>
          <w:b/>
        </w:rPr>
      </w:pPr>
      <w:r>
        <w:rPr>
          <w:b/>
          <w:bCs/>
        </w:rPr>
        <w:lastRenderedPageBreak/>
        <w:t>ISSUE 35</w:t>
      </w:r>
      <w:r w:rsidR="00E61F50" w:rsidRPr="00701945">
        <w:rPr>
          <w:b/>
          <w:bCs/>
        </w:rPr>
        <w:t>:</w:t>
      </w:r>
      <w:r w:rsidR="00E61F50" w:rsidRPr="00701945">
        <w:tab/>
      </w:r>
      <w:r w:rsidRPr="007C6EF4">
        <w:rPr>
          <w:b/>
          <w:bCs/>
        </w:rPr>
        <w:t xml:space="preserve">What amount and cost rate for customer deposits should be approved for inclusion in the capital structure </w:t>
      </w:r>
      <w:r w:rsidRPr="007C6EF4">
        <w:rPr>
          <w:b/>
        </w:rPr>
        <w:t xml:space="preserve">for the </w:t>
      </w:r>
      <w:r w:rsidRPr="007C6EF4">
        <w:rPr>
          <w:b/>
          <w:bCs/>
        </w:rPr>
        <w:t>2025 projected test year</w:t>
      </w:r>
      <w:r w:rsidRPr="007C6EF4">
        <w:rPr>
          <w:b/>
        </w:rPr>
        <w:t>?</w:t>
      </w:r>
    </w:p>
    <w:p w14:paraId="5251F991" w14:textId="77777777" w:rsidR="00E61F50" w:rsidRPr="00701945" w:rsidRDefault="00E61F50" w:rsidP="00E61F50">
      <w:pPr>
        <w:jc w:val="both"/>
      </w:pPr>
    </w:p>
    <w:p w14:paraId="2DE00A7E" w14:textId="2A3A03E5" w:rsidR="00E61F50" w:rsidRPr="005D4B47" w:rsidRDefault="00E61F50" w:rsidP="00E61F50">
      <w:pPr>
        <w:ind w:left="1440" w:hanging="1440"/>
        <w:jc w:val="both"/>
      </w:pPr>
      <w:r>
        <w:rPr>
          <w:b/>
          <w:bCs/>
        </w:rPr>
        <w:t>TECO</w:t>
      </w:r>
      <w:r w:rsidRPr="005D4B47">
        <w:rPr>
          <w:b/>
          <w:bCs/>
        </w:rPr>
        <w:t>:</w:t>
      </w:r>
      <w:r w:rsidRPr="005D4B47">
        <w:tab/>
      </w:r>
      <w:r w:rsidR="007C6EF4">
        <w:t xml:space="preserve">The Commission should approve Jurisdictional Adjusted Customer Deposits of $99.2 </w:t>
      </w:r>
      <w:r w:rsidR="00010B09">
        <w:t>million and a cost rate of 2.41%</w:t>
      </w:r>
      <w:r w:rsidR="00465E76">
        <w:t xml:space="preserve"> </w:t>
      </w:r>
      <w:r w:rsidR="007C6EF4">
        <w:t>as shown on MFR Schedule D-1a. (Chronister)</w:t>
      </w:r>
    </w:p>
    <w:p w14:paraId="06FF3CF3" w14:textId="77777777" w:rsidR="00E61F50" w:rsidRPr="00701945" w:rsidRDefault="00E61F50" w:rsidP="00E61F50">
      <w:pPr>
        <w:jc w:val="both"/>
      </w:pPr>
    </w:p>
    <w:p w14:paraId="08D1DA19" w14:textId="77777777" w:rsidR="00E61F50" w:rsidRDefault="00E61F50" w:rsidP="00E61F50">
      <w:pPr>
        <w:ind w:left="1440" w:hanging="1440"/>
        <w:jc w:val="both"/>
      </w:pPr>
      <w:r>
        <w:rPr>
          <w:b/>
          <w:bCs/>
        </w:rPr>
        <w:t>OPC</w:t>
      </w:r>
      <w:r w:rsidRPr="00701945">
        <w:rPr>
          <w:b/>
          <w:bCs/>
        </w:rPr>
        <w:t>:</w:t>
      </w:r>
      <w:r>
        <w:tab/>
      </w:r>
      <w:r w:rsidR="00A81692">
        <w:t xml:space="preserve">The </w:t>
      </w:r>
      <w:r w:rsidR="00A81692" w:rsidRPr="00A62105">
        <w:rPr>
          <w:bCs/>
        </w:rPr>
        <w:t>amount and cost rate for customer deposits</w:t>
      </w:r>
      <w:r w:rsidR="00A81692">
        <w:rPr>
          <w:bCs/>
        </w:rPr>
        <w:t xml:space="preserve"> </w:t>
      </w:r>
      <w:r w:rsidR="00A81692">
        <w:t xml:space="preserve">that should be included </w:t>
      </w:r>
      <w:r w:rsidR="00A81692" w:rsidRPr="00A62105">
        <w:t xml:space="preserve">in the capital structure for the </w:t>
      </w:r>
      <w:r w:rsidR="00A81692" w:rsidRPr="00A62105">
        <w:rPr>
          <w:bCs/>
        </w:rPr>
        <w:t>2025 projected test year</w:t>
      </w:r>
      <w:r w:rsidR="00A81692">
        <w:rPr>
          <w:bCs/>
        </w:rPr>
        <w:t xml:space="preserve"> is</w:t>
      </w:r>
      <w:r w:rsidR="00A81692" w:rsidRPr="00A62105">
        <w:rPr>
          <w:bCs/>
        </w:rPr>
        <w:t xml:space="preserve"> </w:t>
      </w:r>
      <w:r w:rsidR="00A81692" w:rsidRPr="00A62105">
        <w:t>$99</w:t>
      </w:r>
      <w:r w:rsidR="00A81692">
        <w:t>.</w:t>
      </w:r>
      <w:r w:rsidR="00A81692" w:rsidRPr="00A62105">
        <w:t>195</w:t>
      </w:r>
      <w:r w:rsidR="00A81692">
        <w:t xml:space="preserve"> million</w:t>
      </w:r>
      <w:r w:rsidR="00A81692" w:rsidRPr="00A62105">
        <w:t xml:space="preserve"> at a cost rate of 2.41%</w:t>
      </w:r>
      <w:r w:rsidR="00A81692">
        <w:t>.</w:t>
      </w:r>
    </w:p>
    <w:p w14:paraId="75A89DD0" w14:textId="77777777" w:rsidR="00E61F50" w:rsidRDefault="00E61F50" w:rsidP="00E61F50">
      <w:pPr>
        <w:ind w:left="1440" w:hanging="1440"/>
        <w:jc w:val="both"/>
      </w:pPr>
    </w:p>
    <w:p w14:paraId="60BB1F42" w14:textId="77777777" w:rsidR="00E61F50" w:rsidRDefault="00E61F50" w:rsidP="00E61F50">
      <w:pPr>
        <w:ind w:left="1440" w:hanging="1440"/>
        <w:jc w:val="both"/>
        <w:rPr>
          <w:b/>
        </w:rPr>
      </w:pPr>
      <w:r>
        <w:rPr>
          <w:b/>
        </w:rPr>
        <w:t>FL RISING/</w:t>
      </w:r>
    </w:p>
    <w:p w14:paraId="05AB19FF" w14:textId="77777777" w:rsidR="00E61F50" w:rsidRDefault="00E61F50" w:rsidP="00E61F50">
      <w:pPr>
        <w:ind w:left="1440" w:hanging="1440"/>
        <w:jc w:val="both"/>
        <w:rPr>
          <w:b/>
        </w:rPr>
      </w:pPr>
      <w:r>
        <w:rPr>
          <w:b/>
        </w:rPr>
        <w:t>LULAC:</w:t>
      </w:r>
      <w:r>
        <w:rPr>
          <w:b/>
        </w:rPr>
        <w:tab/>
      </w:r>
      <w:r w:rsidR="00902496">
        <w:rPr>
          <w:bCs/>
        </w:rPr>
        <w:t>$99.195 million.</w:t>
      </w:r>
    </w:p>
    <w:p w14:paraId="1010F826" w14:textId="77777777" w:rsidR="00E61F50" w:rsidRDefault="00E61F50" w:rsidP="00E61F50">
      <w:pPr>
        <w:ind w:left="1440" w:hanging="1440"/>
        <w:jc w:val="both"/>
        <w:rPr>
          <w:b/>
        </w:rPr>
      </w:pPr>
    </w:p>
    <w:p w14:paraId="760C793B" w14:textId="269A592E" w:rsidR="00E61F50" w:rsidRDefault="00E61F50" w:rsidP="00E61F50">
      <w:pPr>
        <w:ind w:left="1440" w:hanging="1440"/>
        <w:jc w:val="both"/>
        <w:rPr>
          <w:b/>
        </w:rPr>
      </w:pPr>
      <w:r>
        <w:rPr>
          <w:b/>
        </w:rPr>
        <w:t>FIPUG:</w:t>
      </w:r>
      <w:r>
        <w:rPr>
          <w:b/>
        </w:rPr>
        <w:tab/>
      </w:r>
      <w:r w:rsidR="008032CE">
        <w:rPr>
          <w:bCs/>
        </w:rPr>
        <w:t>Adopt</w:t>
      </w:r>
      <w:r w:rsidR="007849F4">
        <w:rPr>
          <w:bCs/>
        </w:rPr>
        <w:t>s</w:t>
      </w:r>
      <w:r w:rsidR="008032CE">
        <w:rPr>
          <w:bCs/>
        </w:rPr>
        <w:t xml:space="preserve"> the position of OPC.</w:t>
      </w:r>
    </w:p>
    <w:p w14:paraId="5793CBD0" w14:textId="77777777" w:rsidR="00E61F50" w:rsidRDefault="00E61F50" w:rsidP="00E61F50">
      <w:pPr>
        <w:ind w:left="1440" w:hanging="1440"/>
        <w:jc w:val="both"/>
        <w:rPr>
          <w:b/>
        </w:rPr>
      </w:pPr>
    </w:p>
    <w:p w14:paraId="5BFEBC4F" w14:textId="2707D575" w:rsidR="00E61F50" w:rsidRDefault="00E61F50" w:rsidP="00E61F50">
      <w:pPr>
        <w:ind w:left="1440" w:hanging="1440"/>
        <w:jc w:val="both"/>
        <w:rPr>
          <w:b/>
        </w:rPr>
      </w:pPr>
      <w:r>
        <w:rPr>
          <w:b/>
        </w:rPr>
        <w:t>FEA:</w:t>
      </w:r>
      <w:r>
        <w:rPr>
          <w:b/>
        </w:rPr>
        <w:tab/>
      </w:r>
      <w:r w:rsidR="007849F4">
        <w:t>No position.</w:t>
      </w:r>
    </w:p>
    <w:p w14:paraId="568B030E" w14:textId="6B5CB645" w:rsidR="00E61F50" w:rsidRDefault="00E61F50" w:rsidP="00E61F50">
      <w:pPr>
        <w:ind w:left="1440" w:hanging="1440"/>
        <w:jc w:val="both"/>
        <w:rPr>
          <w:b/>
        </w:rPr>
      </w:pPr>
    </w:p>
    <w:p w14:paraId="63C7055B" w14:textId="77777777" w:rsidR="00A14A11" w:rsidRDefault="00764960" w:rsidP="00E61F50">
      <w:pPr>
        <w:ind w:left="1440" w:hanging="1440"/>
        <w:jc w:val="both"/>
        <w:rPr>
          <w:b/>
        </w:rPr>
      </w:pPr>
      <w:r>
        <w:rPr>
          <w:b/>
        </w:rPr>
        <w:t xml:space="preserve">SIERRA </w:t>
      </w:r>
    </w:p>
    <w:p w14:paraId="2E01208E" w14:textId="22B70EFF" w:rsidR="00E61F50" w:rsidRDefault="00764960" w:rsidP="00E61F50">
      <w:pPr>
        <w:ind w:left="1440" w:hanging="1440"/>
        <w:jc w:val="both"/>
        <w:rPr>
          <w:b/>
        </w:rPr>
      </w:pPr>
      <w:r>
        <w:rPr>
          <w:b/>
        </w:rPr>
        <w:t>CLUB</w:t>
      </w:r>
      <w:r w:rsidR="00E61F50">
        <w:rPr>
          <w:b/>
        </w:rPr>
        <w:t>:</w:t>
      </w:r>
      <w:r w:rsidR="00E61F50">
        <w:rPr>
          <w:b/>
        </w:rPr>
        <w:tab/>
      </w:r>
      <w:r w:rsidR="007849F4">
        <w:t>No position.</w:t>
      </w:r>
    </w:p>
    <w:p w14:paraId="7C4AB3B6" w14:textId="77777777" w:rsidR="00E61F50" w:rsidRDefault="00E61F50" w:rsidP="00E61F50">
      <w:pPr>
        <w:ind w:left="1440" w:hanging="1440"/>
        <w:jc w:val="both"/>
        <w:rPr>
          <w:b/>
        </w:rPr>
      </w:pPr>
    </w:p>
    <w:p w14:paraId="58DD3BEF" w14:textId="37194C01" w:rsidR="00E61F50" w:rsidRDefault="00E61F50" w:rsidP="00E61F50">
      <w:pPr>
        <w:ind w:left="1440" w:hanging="1440"/>
        <w:jc w:val="both"/>
        <w:rPr>
          <w:b/>
        </w:rPr>
      </w:pPr>
      <w:r>
        <w:rPr>
          <w:b/>
        </w:rPr>
        <w:t>FRF:</w:t>
      </w:r>
      <w:r>
        <w:rPr>
          <w:b/>
        </w:rPr>
        <w:tab/>
      </w:r>
      <w:r w:rsidR="00BB533E">
        <w:t>Agree</w:t>
      </w:r>
      <w:r w:rsidR="007849F4">
        <w:t>s</w:t>
      </w:r>
      <w:r w:rsidR="00BB533E">
        <w:t xml:space="preserve"> with OPC.</w:t>
      </w:r>
    </w:p>
    <w:p w14:paraId="3A51328A" w14:textId="77777777" w:rsidR="00E61F50" w:rsidRDefault="00E61F50" w:rsidP="00E61F50">
      <w:pPr>
        <w:ind w:left="1440" w:hanging="1440"/>
        <w:jc w:val="both"/>
        <w:rPr>
          <w:b/>
        </w:rPr>
      </w:pPr>
    </w:p>
    <w:p w14:paraId="72BADBD5" w14:textId="77777777" w:rsidR="00A14A11" w:rsidRDefault="00C0182D" w:rsidP="00E61F50">
      <w:pPr>
        <w:ind w:left="1440" w:hanging="1440"/>
        <w:jc w:val="both"/>
        <w:rPr>
          <w:b/>
        </w:rPr>
      </w:pPr>
      <w:r>
        <w:rPr>
          <w:b/>
        </w:rPr>
        <w:t xml:space="preserve">FUEL </w:t>
      </w:r>
    </w:p>
    <w:p w14:paraId="580CB57E" w14:textId="0E793971" w:rsidR="00E61F50" w:rsidRDefault="00C0182D" w:rsidP="00E61F50">
      <w:pPr>
        <w:ind w:left="1440" w:hanging="1440"/>
        <w:jc w:val="both"/>
      </w:pPr>
      <w:r>
        <w:rPr>
          <w:b/>
        </w:rPr>
        <w:t>RETAILERS</w:t>
      </w:r>
      <w:r w:rsidR="00E61F50">
        <w:rPr>
          <w:b/>
        </w:rPr>
        <w:t>:</w:t>
      </w:r>
      <w:r w:rsidR="00A14A11">
        <w:rPr>
          <w:b/>
        </w:rPr>
        <w:t xml:space="preserve"> </w:t>
      </w:r>
      <w:r w:rsidR="00B66251" w:rsidRPr="00132664">
        <w:t xml:space="preserve">No </w:t>
      </w:r>
      <w:r w:rsidR="007849F4">
        <w:t>p</w:t>
      </w:r>
      <w:r w:rsidR="00B66251" w:rsidRPr="00132664">
        <w:t>osition.</w:t>
      </w:r>
    </w:p>
    <w:p w14:paraId="7A9B890C" w14:textId="77777777" w:rsidR="00764821" w:rsidRDefault="00764821" w:rsidP="00E61F50">
      <w:pPr>
        <w:ind w:left="1440" w:hanging="1440"/>
        <w:jc w:val="both"/>
      </w:pPr>
    </w:p>
    <w:p w14:paraId="3BE58F3D" w14:textId="0C84A28E" w:rsidR="00764821" w:rsidRPr="00764821" w:rsidRDefault="00FD408B" w:rsidP="00E61F50">
      <w:pPr>
        <w:ind w:left="1440" w:hanging="1440"/>
        <w:jc w:val="both"/>
        <w:rPr>
          <w:b/>
        </w:rPr>
      </w:pPr>
      <w:r>
        <w:rPr>
          <w:b/>
        </w:rPr>
        <w:t>WALMART</w:t>
      </w:r>
      <w:r w:rsidR="00764821">
        <w:rPr>
          <w:b/>
        </w:rPr>
        <w:t>:</w:t>
      </w:r>
      <w:r w:rsidR="00764821">
        <w:rPr>
          <w:b/>
        </w:rPr>
        <w:tab/>
      </w:r>
      <w:r w:rsidR="007849F4">
        <w:t>A</w:t>
      </w:r>
      <w:r w:rsidR="00764821">
        <w:t>grees with OPC.</w:t>
      </w:r>
    </w:p>
    <w:p w14:paraId="70B4F6FE" w14:textId="77777777" w:rsidR="00E61F50" w:rsidRPr="00701945" w:rsidRDefault="00E61F50" w:rsidP="00E61F50">
      <w:pPr>
        <w:jc w:val="both"/>
      </w:pPr>
    </w:p>
    <w:p w14:paraId="69745453" w14:textId="77777777" w:rsidR="00E61F50" w:rsidRPr="005D4B47" w:rsidRDefault="00E61F50" w:rsidP="00E61F50">
      <w:pPr>
        <w:ind w:left="1440" w:hanging="1440"/>
        <w:jc w:val="both"/>
        <w:rPr>
          <w:b/>
          <w:bCs/>
        </w:rPr>
      </w:pPr>
      <w:r>
        <w:rPr>
          <w:b/>
          <w:bCs/>
        </w:rPr>
        <w:t>STAFF:</w:t>
      </w:r>
      <w:r>
        <w:rPr>
          <w:b/>
          <w:bCs/>
        </w:rPr>
        <w:tab/>
      </w:r>
      <w:r w:rsidR="00AB600F">
        <w:t>No position at this time.</w:t>
      </w:r>
    </w:p>
    <w:p w14:paraId="2ED3DD47" w14:textId="77777777" w:rsidR="00E61F50" w:rsidRDefault="00E61F50" w:rsidP="00C7699A">
      <w:pPr>
        <w:jc w:val="both"/>
      </w:pPr>
    </w:p>
    <w:p w14:paraId="10DCC091" w14:textId="77777777" w:rsidR="00E61F50" w:rsidRDefault="00E61F50" w:rsidP="00C7699A">
      <w:pPr>
        <w:jc w:val="both"/>
      </w:pPr>
    </w:p>
    <w:p w14:paraId="7FD430FF" w14:textId="77777777" w:rsidR="00E61F50" w:rsidRPr="007C6EF4" w:rsidRDefault="007C6EF4" w:rsidP="00E61F50">
      <w:pPr>
        <w:ind w:left="1440" w:hanging="1440"/>
        <w:jc w:val="both"/>
        <w:rPr>
          <w:b/>
        </w:rPr>
      </w:pPr>
      <w:r>
        <w:rPr>
          <w:b/>
          <w:bCs/>
        </w:rPr>
        <w:t>ISSUE 36</w:t>
      </w:r>
      <w:r w:rsidR="00E61F50" w:rsidRPr="00701945">
        <w:rPr>
          <w:b/>
          <w:bCs/>
        </w:rPr>
        <w:t>:</w:t>
      </w:r>
      <w:r w:rsidR="00E61F50" w:rsidRPr="00701945">
        <w:tab/>
      </w:r>
      <w:r w:rsidRPr="007C6EF4">
        <w:rPr>
          <w:b/>
        </w:rPr>
        <w:t xml:space="preserve">What amount and cost rate for short-term debt </w:t>
      </w:r>
      <w:r w:rsidRPr="007C6EF4">
        <w:rPr>
          <w:b/>
          <w:bCs/>
        </w:rPr>
        <w:t xml:space="preserve">should be approved for inclusion </w:t>
      </w:r>
      <w:r w:rsidRPr="007C6EF4">
        <w:rPr>
          <w:b/>
        </w:rPr>
        <w:t xml:space="preserve">in the capital structure for the </w:t>
      </w:r>
      <w:r w:rsidRPr="007C6EF4">
        <w:rPr>
          <w:b/>
          <w:bCs/>
        </w:rPr>
        <w:t>2025 projected test year</w:t>
      </w:r>
      <w:r w:rsidRPr="007C6EF4">
        <w:rPr>
          <w:b/>
        </w:rPr>
        <w:t>?</w:t>
      </w:r>
    </w:p>
    <w:p w14:paraId="0A689AEE" w14:textId="77777777" w:rsidR="00E61F50" w:rsidRPr="00701945" w:rsidRDefault="00E61F50" w:rsidP="00E61F50">
      <w:pPr>
        <w:jc w:val="both"/>
      </w:pPr>
    </w:p>
    <w:p w14:paraId="6A0C4C56" w14:textId="5E974FD0" w:rsidR="00E61F50" w:rsidRPr="005D4B47" w:rsidRDefault="00E61F50" w:rsidP="00E61F50">
      <w:pPr>
        <w:ind w:left="1440" w:hanging="1440"/>
        <w:jc w:val="both"/>
      </w:pPr>
      <w:r>
        <w:rPr>
          <w:b/>
          <w:bCs/>
        </w:rPr>
        <w:t>TECO</w:t>
      </w:r>
      <w:r w:rsidRPr="005D4B47">
        <w:rPr>
          <w:b/>
          <w:bCs/>
        </w:rPr>
        <w:t>:</w:t>
      </w:r>
      <w:r w:rsidRPr="005D4B47">
        <w:tab/>
      </w:r>
      <w:r w:rsidR="007C6EF4">
        <w:t xml:space="preserve">The Commission should approve Jurisdictional Adjusted Short-Term Debt of $376.6 </w:t>
      </w:r>
      <w:r w:rsidR="007A5509">
        <w:t xml:space="preserve">million and a cost rate of 3.90% </w:t>
      </w:r>
      <w:r w:rsidR="007C6EF4">
        <w:t>as shown on MFR Schedule D-1a. (Chronister)</w:t>
      </w:r>
    </w:p>
    <w:p w14:paraId="74D98210" w14:textId="77777777" w:rsidR="00E61F50" w:rsidRPr="00701945" w:rsidRDefault="00E61F50" w:rsidP="00E61F50">
      <w:pPr>
        <w:jc w:val="both"/>
      </w:pPr>
    </w:p>
    <w:p w14:paraId="575FA58F" w14:textId="77777777" w:rsidR="00E61F50" w:rsidRDefault="00E61F50" w:rsidP="00E61F50">
      <w:pPr>
        <w:ind w:left="1440" w:hanging="1440"/>
        <w:jc w:val="both"/>
      </w:pPr>
      <w:r>
        <w:rPr>
          <w:b/>
          <w:bCs/>
        </w:rPr>
        <w:t>OPC</w:t>
      </w:r>
      <w:r w:rsidRPr="00701945">
        <w:rPr>
          <w:b/>
          <w:bCs/>
        </w:rPr>
        <w:t>:</w:t>
      </w:r>
      <w:r>
        <w:tab/>
      </w:r>
      <w:r w:rsidR="00A81692">
        <w:t xml:space="preserve">The appropriate amount of short-term debt </w:t>
      </w:r>
      <w:r w:rsidR="00A81692" w:rsidRPr="00D81F19">
        <w:t>is $</w:t>
      </w:r>
      <w:r w:rsidR="00A81692">
        <w:t>376.625</w:t>
      </w:r>
      <w:r w:rsidR="00A81692" w:rsidRPr="00D81F19">
        <w:t xml:space="preserve"> million</w:t>
      </w:r>
      <w:r w:rsidR="00A81692">
        <w:t xml:space="preserve"> with a cost rate of 3.90%.</w:t>
      </w:r>
    </w:p>
    <w:p w14:paraId="0B5F41A2" w14:textId="77777777" w:rsidR="00E61F50" w:rsidRDefault="00E61F50" w:rsidP="00E61F50">
      <w:pPr>
        <w:ind w:left="1440" w:hanging="1440"/>
        <w:jc w:val="both"/>
      </w:pPr>
    </w:p>
    <w:p w14:paraId="60659FCB" w14:textId="77777777" w:rsidR="00E61F50" w:rsidRDefault="00E61F50" w:rsidP="00E61F50">
      <w:pPr>
        <w:ind w:left="1440" w:hanging="1440"/>
        <w:jc w:val="both"/>
        <w:rPr>
          <w:b/>
        </w:rPr>
      </w:pPr>
      <w:r>
        <w:rPr>
          <w:b/>
        </w:rPr>
        <w:t>FL RISING/</w:t>
      </w:r>
    </w:p>
    <w:p w14:paraId="35B01493" w14:textId="5D80701B" w:rsidR="00E61F50" w:rsidRDefault="00E61F50" w:rsidP="00E61F50">
      <w:pPr>
        <w:ind w:left="1440" w:hanging="1440"/>
        <w:jc w:val="both"/>
        <w:rPr>
          <w:b/>
        </w:rPr>
      </w:pPr>
      <w:r>
        <w:rPr>
          <w:b/>
        </w:rPr>
        <w:t>LULAC:</w:t>
      </w:r>
      <w:r>
        <w:rPr>
          <w:b/>
        </w:rPr>
        <w:tab/>
      </w:r>
      <w:r w:rsidR="00902496">
        <w:t>The Commission should approve a short-term debt amount adjusted downwards to account for a reduced rate base and adjusted upwards for the adjusted 50-50 equity-to-debt ratio. A cost rate of 3.90% should be approved.</w:t>
      </w:r>
    </w:p>
    <w:p w14:paraId="354E3728" w14:textId="5EFEF24B" w:rsidR="00E61F50" w:rsidRDefault="00E61F50" w:rsidP="00E61F50">
      <w:pPr>
        <w:ind w:left="1440" w:hanging="1440"/>
        <w:jc w:val="both"/>
        <w:rPr>
          <w:b/>
        </w:rPr>
      </w:pPr>
      <w:r>
        <w:rPr>
          <w:b/>
        </w:rPr>
        <w:lastRenderedPageBreak/>
        <w:t>FIPUG:</w:t>
      </w:r>
      <w:r>
        <w:rPr>
          <w:b/>
        </w:rPr>
        <w:tab/>
      </w:r>
      <w:r w:rsidR="008032CE">
        <w:rPr>
          <w:bCs/>
        </w:rPr>
        <w:t>Adopt</w:t>
      </w:r>
      <w:r w:rsidR="003749C5">
        <w:rPr>
          <w:bCs/>
        </w:rPr>
        <w:t>s</w:t>
      </w:r>
      <w:r w:rsidR="008032CE">
        <w:rPr>
          <w:bCs/>
        </w:rPr>
        <w:t xml:space="preserve"> the position of OPC.</w:t>
      </w:r>
    </w:p>
    <w:p w14:paraId="14A6B6FA" w14:textId="77777777" w:rsidR="00E61F50" w:rsidRDefault="00E61F50" w:rsidP="00E61F50">
      <w:pPr>
        <w:ind w:left="1440" w:hanging="1440"/>
        <w:jc w:val="both"/>
        <w:rPr>
          <w:b/>
        </w:rPr>
      </w:pPr>
    </w:p>
    <w:p w14:paraId="5AC64632" w14:textId="7BE37C43" w:rsidR="00E61F50" w:rsidRDefault="00E61F50" w:rsidP="00E61F50">
      <w:pPr>
        <w:ind w:left="1440" w:hanging="1440"/>
        <w:jc w:val="both"/>
        <w:rPr>
          <w:b/>
        </w:rPr>
      </w:pPr>
      <w:r>
        <w:rPr>
          <w:b/>
        </w:rPr>
        <w:t>FEA:</w:t>
      </w:r>
      <w:r>
        <w:rPr>
          <w:b/>
        </w:rPr>
        <w:tab/>
      </w:r>
      <w:r w:rsidR="003749C5">
        <w:t>No position.</w:t>
      </w:r>
    </w:p>
    <w:p w14:paraId="037FE0E8" w14:textId="77777777" w:rsidR="00E61F50" w:rsidRDefault="00E61F50" w:rsidP="00E61F50">
      <w:pPr>
        <w:ind w:left="1440" w:hanging="1440"/>
        <w:jc w:val="both"/>
        <w:rPr>
          <w:b/>
        </w:rPr>
      </w:pPr>
    </w:p>
    <w:p w14:paraId="2A30E0A3" w14:textId="77777777" w:rsidR="00A14A11" w:rsidRDefault="00764960" w:rsidP="00E61F50">
      <w:pPr>
        <w:ind w:left="1440" w:hanging="1440"/>
        <w:jc w:val="both"/>
        <w:rPr>
          <w:b/>
        </w:rPr>
      </w:pPr>
      <w:r>
        <w:rPr>
          <w:b/>
        </w:rPr>
        <w:t xml:space="preserve">SIERRA </w:t>
      </w:r>
    </w:p>
    <w:p w14:paraId="5BE3D79B" w14:textId="7431810E" w:rsidR="00E61F50" w:rsidRDefault="00764960" w:rsidP="00E61F50">
      <w:pPr>
        <w:ind w:left="1440" w:hanging="1440"/>
        <w:jc w:val="both"/>
        <w:rPr>
          <w:b/>
        </w:rPr>
      </w:pPr>
      <w:r>
        <w:rPr>
          <w:b/>
        </w:rPr>
        <w:t>CLUB</w:t>
      </w:r>
      <w:r w:rsidR="00E61F50">
        <w:rPr>
          <w:b/>
        </w:rPr>
        <w:t>:</w:t>
      </w:r>
      <w:r w:rsidR="00E61F50">
        <w:rPr>
          <w:b/>
        </w:rPr>
        <w:tab/>
      </w:r>
      <w:r w:rsidR="00DD4180">
        <w:t>No position.</w:t>
      </w:r>
    </w:p>
    <w:p w14:paraId="4ED33F68" w14:textId="77777777" w:rsidR="00E61F50" w:rsidRDefault="00E61F50" w:rsidP="00E61F50">
      <w:pPr>
        <w:ind w:left="1440" w:hanging="1440"/>
        <w:jc w:val="both"/>
        <w:rPr>
          <w:b/>
        </w:rPr>
      </w:pPr>
    </w:p>
    <w:p w14:paraId="19345A6A" w14:textId="26E965CB" w:rsidR="00E61F50" w:rsidRDefault="00E61F50" w:rsidP="00E61F50">
      <w:pPr>
        <w:ind w:left="1440" w:hanging="1440"/>
        <w:jc w:val="both"/>
        <w:rPr>
          <w:b/>
        </w:rPr>
      </w:pPr>
      <w:r>
        <w:rPr>
          <w:b/>
        </w:rPr>
        <w:t>FRF:</w:t>
      </w:r>
      <w:r>
        <w:rPr>
          <w:b/>
        </w:rPr>
        <w:tab/>
      </w:r>
      <w:r w:rsidR="00BB533E">
        <w:t>Agree</w:t>
      </w:r>
      <w:r w:rsidR="00DD4180">
        <w:t>s</w:t>
      </w:r>
      <w:r w:rsidR="00BB533E">
        <w:t xml:space="preserve"> with OPC.</w:t>
      </w:r>
    </w:p>
    <w:p w14:paraId="087D61FD" w14:textId="77777777" w:rsidR="00E61F50" w:rsidRDefault="00E61F50" w:rsidP="00E61F50">
      <w:pPr>
        <w:ind w:left="1440" w:hanging="1440"/>
        <w:jc w:val="both"/>
        <w:rPr>
          <w:b/>
        </w:rPr>
      </w:pPr>
    </w:p>
    <w:p w14:paraId="04C60FEF" w14:textId="77777777" w:rsidR="00A14A11" w:rsidRDefault="00C0182D" w:rsidP="00E61F50">
      <w:pPr>
        <w:ind w:left="1440" w:hanging="1440"/>
        <w:jc w:val="both"/>
        <w:rPr>
          <w:b/>
        </w:rPr>
      </w:pPr>
      <w:r>
        <w:rPr>
          <w:b/>
        </w:rPr>
        <w:t xml:space="preserve">FUEL </w:t>
      </w:r>
    </w:p>
    <w:p w14:paraId="4D24D358" w14:textId="507F78FE" w:rsidR="00E61F50" w:rsidRDefault="00C0182D" w:rsidP="00E61F50">
      <w:pPr>
        <w:ind w:left="1440" w:hanging="1440"/>
        <w:jc w:val="both"/>
      </w:pPr>
      <w:r>
        <w:rPr>
          <w:b/>
        </w:rPr>
        <w:t>RETAILERS</w:t>
      </w:r>
      <w:r w:rsidR="00E61F50">
        <w:rPr>
          <w:b/>
        </w:rPr>
        <w:t>:</w:t>
      </w:r>
      <w:r w:rsidR="00A14A11">
        <w:rPr>
          <w:b/>
        </w:rPr>
        <w:t xml:space="preserve"> </w:t>
      </w:r>
      <w:r w:rsidR="00B66251" w:rsidRPr="00132664">
        <w:t xml:space="preserve">No </w:t>
      </w:r>
      <w:r w:rsidR="00DD4180">
        <w:t>p</w:t>
      </w:r>
      <w:r w:rsidR="00B66251" w:rsidRPr="00132664">
        <w:t>osition.</w:t>
      </w:r>
    </w:p>
    <w:p w14:paraId="18CCA5CC" w14:textId="77777777" w:rsidR="00764821" w:rsidRDefault="00764821" w:rsidP="00E61F50">
      <w:pPr>
        <w:ind w:left="1440" w:hanging="1440"/>
        <w:jc w:val="both"/>
      </w:pPr>
    </w:p>
    <w:p w14:paraId="7E0139E1" w14:textId="5D259E47" w:rsidR="00764821" w:rsidRPr="00764821" w:rsidRDefault="00FD408B" w:rsidP="00E61F50">
      <w:pPr>
        <w:ind w:left="1440" w:hanging="1440"/>
        <w:jc w:val="both"/>
        <w:rPr>
          <w:b/>
        </w:rPr>
      </w:pPr>
      <w:r>
        <w:rPr>
          <w:b/>
        </w:rPr>
        <w:t>WALMART</w:t>
      </w:r>
      <w:r w:rsidR="00764821">
        <w:rPr>
          <w:b/>
        </w:rPr>
        <w:t>:</w:t>
      </w:r>
      <w:r w:rsidR="00764821">
        <w:rPr>
          <w:b/>
        </w:rPr>
        <w:tab/>
      </w:r>
      <w:r w:rsidR="00DD4180">
        <w:t>A</w:t>
      </w:r>
      <w:r w:rsidR="00764821">
        <w:t>grees with OPC.</w:t>
      </w:r>
    </w:p>
    <w:p w14:paraId="1016647A" w14:textId="77777777" w:rsidR="00E61F50" w:rsidRPr="00701945" w:rsidRDefault="00E61F50" w:rsidP="00E61F50">
      <w:pPr>
        <w:jc w:val="both"/>
      </w:pPr>
    </w:p>
    <w:p w14:paraId="461959FC" w14:textId="77777777" w:rsidR="00E61F50" w:rsidRPr="005D4B47" w:rsidRDefault="00E61F50" w:rsidP="00E61F50">
      <w:pPr>
        <w:ind w:left="1440" w:hanging="1440"/>
        <w:jc w:val="both"/>
        <w:rPr>
          <w:b/>
          <w:bCs/>
        </w:rPr>
      </w:pPr>
      <w:r>
        <w:rPr>
          <w:b/>
          <w:bCs/>
        </w:rPr>
        <w:t>STAFF:</w:t>
      </w:r>
      <w:r>
        <w:rPr>
          <w:b/>
          <w:bCs/>
        </w:rPr>
        <w:tab/>
      </w:r>
      <w:r w:rsidR="002C290E">
        <w:t>No position at this time.</w:t>
      </w:r>
    </w:p>
    <w:p w14:paraId="559E0531" w14:textId="77777777" w:rsidR="00E61F50" w:rsidRDefault="00E61F50" w:rsidP="00C7699A">
      <w:pPr>
        <w:jc w:val="both"/>
      </w:pPr>
    </w:p>
    <w:p w14:paraId="2A3A112D" w14:textId="77777777" w:rsidR="00E61F50" w:rsidRDefault="00E61F50" w:rsidP="00C7699A">
      <w:pPr>
        <w:jc w:val="both"/>
      </w:pPr>
    </w:p>
    <w:p w14:paraId="10B1C62A" w14:textId="77777777" w:rsidR="00E61F50" w:rsidRPr="007C6EF4" w:rsidRDefault="007C6EF4" w:rsidP="00E61F50">
      <w:pPr>
        <w:ind w:left="1440" w:hanging="1440"/>
        <w:jc w:val="both"/>
        <w:rPr>
          <w:b/>
        </w:rPr>
      </w:pPr>
      <w:r>
        <w:rPr>
          <w:b/>
          <w:bCs/>
        </w:rPr>
        <w:t>ISSUE 37</w:t>
      </w:r>
      <w:r w:rsidR="00E61F50" w:rsidRPr="00701945">
        <w:rPr>
          <w:b/>
          <w:bCs/>
        </w:rPr>
        <w:t>:</w:t>
      </w:r>
      <w:r w:rsidR="00E61F50" w:rsidRPr="00701945">
        <w:tab/>
      </w:r>
      <w:r w:rsidRPr="007C6EF4">
        <w:rPr>
          <w:b/>
        </w:rPr>
        <w:t xml:space="preserve">What amount and cost rate for long-term debt </w:t>
      </w:r>
      <w:r w:rsidRPr="007C6EF4">
        <w:rPr>
          <w:b/>
          <w:bCs/>
        </w:rPr>
        <w:t xml:space="preserve">should be approved for inclusion </w:t>
      </w:r>
      <w:r w:rsidRPr="007C6EF4">
        <w:rPr>
          <w:b/>
        </w:rPr>
        <w:t xml:space="preserve">in the capital structure for the </w:t>
      </w:r>
      <w:r w:rsidRPr="007C6EF4">
        <w:rPr>
          <w:b/>
          <w:bCs/>
        </w:rPr>
        <w:t>2025 projected test year</w:t>
      </w:r>
      <w:r w:rsidRPr="007C6EF4">
        <w:rPr>
          <w:b/>
        </w:rPr>
        <w:t>?</w:t>
      </w:r>
    </w:p>
    <w:p w14:paraId="0F0BF26E" w14:textId="77777777" w:rsidR="00E61F50" w:rsidRPr="00701945" w:rsidRDefault="00E61F50" w:rsidP="00E61F50">
      <w:pPr>
        <w:jc w:val="both"/>
      </w:pPr>
    </w:p>
    <w:p w14:paraId="58603024" w14:textId="312FBB74" w:rsidR="00E61F50" w:rsidRPr="005D4B47" w:rsidRDefault="00E61F50" w:rsidP="00E61F50">
      <w:pPr>
        <w:ind w:left="1440" w:hanging="1440"/>
        <w:jc w:val="both"/>
      </w:pPr>
      <w:r>
        <w:rPr>
          <w:b/>
          <w:bCs/>
        </w:rPr>
        <w:t>TECO</w:t>
      </w:r>
      <w:r w:rsidRPr="005D4B47">
        <w:rPr>
          <w:b/>
          <w:bCs/>
        </w:rPr>
        <w:t>:</w:t>
      </w:r>
      <w:r w:rsidRPr="005D4B47">
        <w:tab/>
      </w:r>
      <w:r w:rsidR="007C6EF4">
        <w:t xml:space="preserve">The Commission should approve Jurisdictional Adjusted Long-Term Debt of $3.536 </w:t>
      </w:r>
      <w:r w:rsidR="003A3B1C">
        <w:t xml:space="preserve">billion and a cost rate of 4.53% </w:t>
      </w:r>
      <w:r w:rsidR="007C6EF4">
        <w:t>as shown on MFR Schedule D-1a. (Chronister)</w:t>
      </w:r>
    </w:p>
    <w:p w14:paraId="7D23A82C" w14:textId="77777777" w:rsidR="00E61F50" w:rsidRPr="00701945" w:rsidRDefault="00E61F50" w:rsidP="00E61F50">
      <w:pPr>
        <w:jc w:val="both"/>
      </w:pPr>
    </w:p>
    <w:p w14:paraId="5BF78AAE" w14:textId="77777777" w:rsidR="00E61F50" w:rsidRDefault="00E61F50" w:rsidP="00E61F50">
      <w:pPr>
        <w:ind w:left="1440" w:hanging="1440"/>
        <w:jc w:val="both"/>
      </w:pPr>
      <w:r>
        <w:rPr>
          <w:b/>
          <w:bCs/>
        </w:rPr>
        <w:t>OPC</w:t>
      </w:r>
      <w:r w:rsidRPr="00701945">
        <w:rPr>
          <w:b/>
          <w:bCs/>
        </w:rPr>
        <w:t>:</w:t>
      </w:r>
      <w:r>
        <w:tab/>
      </w:r>
      <w:r w:rsidR="00A81692">
        <w:t>The appropriate amount of long-term debt is $</w:t>
      </w:r>
      <w:r w:rsidR="00A81692" w:rsidRPr="00956675">
        <w:t>3,536</w:t>
      </w:r>
      <w:r w:rsidR="00A81692">
        <w:t>.333 million with a cost rate of 4.53%.</w:t>
      </w:r>
    </w:p>
    <w:p w14:paraId="4290283A" w14:textId="77777777" w:rsidR="00E61F50" w:rsidRDefault="00E61F50" w:rsidP="00E61F50">
      <w:pPr>
        <w:ind w:left="1440" w:hanging="1440"/>
        <w:jc w:val="both"/>
      </w:pPr>
    </w:p>
    <w:p w14:paraId="2F640BF1" w14:textId="77777777" w:rsidR="00E61F50" w:rsidRDefault="00E61F50" w:rsidP="00E61F50">
      <w:pPr>
        <w:ind w:left="1440" w:hanging="1440"/>
        <w:jc w:val="both"/>
        <w:rPr>
          <w:b/>
        </w:rPr>
      </w:pPr>
      <w:r>
        <w:rPr>
          <w:b/>
        </w:rPr>
        <w:t>FL RISING/</w:t>
      </w:r>
    </w:p>
    <w:p w14:paraId="2C2AF258" w14:textId="3732DCED" w:rsidR="00E61F50" w:rsidRDefault="00E61F50" w:rsidP="00E61F50">
      <w:pPr>
        <w:ind w:left="1440" w:hanging="1440"/>
        <w:jc w:val="both"/>
        <w:rPr>
          <w:b/>
        </w:rPr>
      </w:pPr>
      <w:r>
        <w:rPr>
          <w:b/>
        </w:rPr>
        <w:t>LULAC:</w:t>
      </w:r>
      <w:r>
        <w:rPr>
          <w:b/>
        </w:rPr>
        <w:tab/>
      </w:r>
      <w:r w:rsidR="00902496">
        <w:t>The Commission should approve a long-term debt amount adjusted downwards to account for a reduced rate base and adjusted upwards to account for a 50-50 equity-to-debt ratio. A cost rate of 4.53% should be approved.</w:t>
      </w:r>
    </w:p>
    <w:p w14:paraId="069FF2FD" w14:textId="77777777" w:rsidR="00E61F50" w:rsidRDefault="00E61F50" w:rsidP="00E61F50">
      <w:pPr>
        <w:ind w:left="1440" w:hanging="1440"/>
        <w:jc w:val="both"/>
        <w:rPr>
          <w:b/>
        </w:rPr>
      </w:pPr>
    </w:p>
    <w:p w14:paraId="41397F4B" w14:textId="32305906" w:rsidR="00E61F50" w:rsidRDefault="00E61F50" w:rsidP="00E61F50">
      <w:pPr>
        <w:ind w:left="1440" w:hanging="1440"/>
        <w:jc w:val="both"/>
        <w:rPr>
          <w:b/>
        </w:rPr>
      </w:pPr>
      <w:r>
        <w:rPr>
          <w:b/>
        </w:rPr>
        <w:t>FIPUG:</w:t>
      </w:r>
      <w:r>
        <w:rPr>
          <w:b/>
        </w:rPr>
        <w:tab/>
      </w:r>
      <w:r w:rsidR="008032CE">
        <w:rPr>
          <w:bCs/>
        </w:rPr>
        <w:t>Adopt</w:t>
      </w:r>
      <w:r w:rsidR="003A3B1C">
        <w:rPr>
          <w:bCs/>
        </w:rPr>
        <w:t>s</w:t>
      </w:r>
      <w:r w:rsidR="008032CE">
        <w:rPr>
          <w:bCs/>
        </w:rPr>
        <w:t xml:space="preserve"> the position of OPC.</w:t>
      </w:r>
    </w:p>
    <w:p w14:paraId="55D5409A" w14:textId="77777777" w:rsidR="00E61F50" w:rsidRDefault="00E61F50" w:rsidP="00E61F50">
      <w:pPr>
        <w:ind w:left="1440" w:hanging="1440"/>
        <w:jc w:val="both"/>
        <w:rPr>
          <w:b/>
        </w:rPr>
      </w:pPr>
    </w:p>
    <w:p w14:paraId="711C4469" w14:textId="77777777" w:rsidR="00E61F50" w:rsidRPr="00202DF7" w:rsidRDefault="00E61F50" w:rsidP="00E61F50">
      <w:pPr>
        <w:ind w:left="1440" w:hanging="1440"/>
        <w:jc w:val="both"/>
      </w:pPr>
      <w:r>
        <w:rPr>
          <w:b/>
        </w:rPr>
        <w:t>FEA:</w:t>
      </w:r>
      <w:r>
        <w:rPr>
          <w:b/>
        </w:rPr>
        <w:tab/>
      </w:r>
      <w:r w:rsidR="00202DF7" w:rsidRPr="00202DF7">
        <w:rPr>
          <w:bCs/>
        </w:rPr>
        <w:t>The appropriate long-term debt balance that should be approved for inclusion in the capital structure should be $3,706,461.830, or 37.83%, for the 2025 projected test year.</w:t>
      </w:r>
    </w:p>
    <w:p w14:paraId="647962A2" w14:textId="77777777" w:rsidR="00E61F50" w:rsidRDefault="00E61F50" w:rsidP="00E61F50">
      <w:pPr>
        <w:ind w:left="1440" w:hanging="1440"/>
        <w:jc w:val="both"/>
        <w:rPr>
          <w:b/>
        </w:rPr>
      </w:pPr>
    </w:p>
    <w:p w14:paraId="390BBE9D" w14:textId="77777777" w:rsidR="00A14A11" w:rsidRDefault="00764960" w:rsidP="00E61F50">
      <w:pPr>
        <w:ind w:left="1440" w:hanging="1440"/>
        <w:jc w:val="both"/>
        <w:rPr>
          <w:b/>
        </w:rPr>
      </w:pPr>
      <w:r>
        <w:rPr>
          <w:b/>
        </w:rPr>
        <w:t xml:space="preserve">SIERRA </w:t>
      </w:r>
    </w:p>
    <w:p w14:paraId="1FC9CFAC" w14:textId="18420D7A" w:rsidR="00E61F50" w:rsidRDefault="00764960" w:rsidP="00E61F50">
      <w:pPr>
        <w:ind w:left="1440" w:hanging="1440"/>
        <w:jc w:val="both"/>
        <w:rPr>
          <w:b/>
        </w:rPr>
      </w:pPr>
      <w:r>
        <w:rPr>
          <w:b/>
        </w:rPr>
        <w:t>CLUB</w:t>
      </w:r>
      <w:r w:rsidR="00E61F50">
        <w:rPr>
          <w:b/>
        </w:rPr>
        <w:t>:</w:t>
      </w:r>
      <w:r w:rsidR="00E61F50">
        <w:rPr>
          <w:b/>
        </w:rPr>
        <w:tab/>
      </w:r>
      <w:r w:rsidR="005D65BF">
        <w:t>No position.</w:t>
      </w:r>
    </w:p>
    <w:p w14:paraId="1C30C5C4" w14:textId="77777777" w:rsidR="00E61F50" w:rsidRDefault="00E61F50" w:rsidP="00E61F50">
      <w:pPr>
        <w:ind w:left="1440" w:hanging="1440"/>
        <w:jc w:val="both"/>
        <w:rPr>
          <w:b/>
        </w:rPr>
      </w:pPr>
    </w:p>
    <w:p w14:paraId="161FA03C" w14:textId="0DEC4647" w:rsidR="00E61F50" w:rsidRDefault="00E61F50" w:rsidP="00E61F50">
      <w:pPr>
        <w:ind w:left="1440" w:hanging="1440"/>
        <w:jc w:val="both"/>
        <w:rPr>
          <w:b/>
        </w:rPr>
      </w:pPr>
      <w:r>
        <w:rPr>
          <w:b/>
        </w:rPr>
        <w:t>FRF:</w:t>
      </w:r>
      <w:r>
        <w:rPr>
          <w:b/>
        </w:rPr>
        <w:tab/>
      </w:r>
      <w:r w:rsidR="00BB533E">
        <w:t>Agree</w:t>
      </w:r>
      <w:r w:rsidR="005D65BF">
        <w:t>s</w:t>
      </w:r>
      <w:r w:rsidR="00BB533E">
        <w:t xml:space="preserve"> with OPC.</w:t>
      </w:r>
    </w:p>
    <w:p w14:paraId="5652E1D5" w14:textId="77777777" w:rsidR="00E61F50" w:rsidRDefault="00E61F50" w:rsidP="00E61F50">
      <w:pPr>
        <w:ind w:left="1440" w:hanging="1440"/>
        <w:jc w:val="both"/>
        <w:rPr>
          <w:b/>
        </w:rPr>
      </w:pPr>
    </w:p>
    <w:p w14:paraId="7C5D9113" w14:textId="77777777" w:rsidR="00A14A11" w:rsidRDefault="00C0182D" w:rsidP="00E61F50">
      <w:pPr>
        <w:ind w:left="1440" w:hanging="1440"/>
        <w:jc w:val="both"/>
        <w:rPr>
          <w:b/>
        </w:rPr>
      </w:pPr>
      <w:r>
        <w:rPr>
          <w:b/>
        </w:rPr>
        <w:t xml:space="preserve">FUEL </w:t>
      </w:r>
    </w:p>
    <w:p w14:paraId="44AE7F85" w14:textId="6A988E0C" w:rsidR="00E61F50" w:rsidRDefault="00C0182D" w:rsidP="00E61F50">
      <w:pPr>
        <w:ind w:left="1440" w:hanging="1440"/>
        <w:jc w:val="both"/>
      </w:pPr>
      <w:r>
        <w:rPr>
          <w:b/>
        </w:rPr>
        <w:t>RETAILERS</w:t>
      </w:r>
      <w:r w:rsidR="00E61F50">
        <w:rPr>
          <w:b/>
        </w:rPr>
        <w:t>:</w:t>
      </w:r>
      <w:r w:rsidR="00A14A11">
        <w:rPr>
          <w:b/>
        </w:rPr>
        <w:t xml:space="preserve"> </w:t>
      </w:r>
      <w:r w:rsidR="00B66251" w:rsidRPr="00132664">
        <w:t xml:space="preserve">No </w:t>
      </w:r>
      <w:r w:rsidR="005D65BF">
        <w:t>p</w:t>
      </w:r>
      <w:r w:rsidR="00B66251" w:rsidRPr="00132664">
        <w:t>osition.</w:t>
      </w:r>
    </w:p>
    <w:p w14:paraId="56DD3EC7" w14:textId="16FE60CB" w:rsidR="00764821" w:rsidRPr="00764821" w:rsidRDefault="00FD408B" w:rsidP="00E61F50">
      <w:pPr>
        <w:ind w:left="1440" w:hanging="1440"/>
        <w:jc w:val="both"/>
        <w:rPr>
          <w:b/>
        </w:rPr>
      </w:pPr>
      <w:r>
        <w:rPr>
          <w:b/>
        </w:rPr>
        <w:lastRenderedPageBreak/>
        <w:t>WALMART</w:t>
      </w:r>
      <w:r w:rsidR="00764821">
        <w:rPr>
          <w:b/>
        </w:rPr>
        <w:t>:</w:t>
      </w:r>
      <w:r w:rsidR="00764821">
        <w:rPr>
          <w:b/>
        </w:rPr>
        <w:tab/>
      </w:r>
      <w:r w:rsidR="005D65BF">
        <w:t>A</w:t>
      </w:r>
      <w:r w:rsidR="00764821">
        <w:t>grees with OPC.</w:t>
      </w:r>
    </w:p>
    <w:p w14:paraId="00BE3F79" w14:textId="77777777" w:rsidR="00E61F50" w:rsidRPr="00701945" w:rsidRDefault="00E61F50" w:rsidP="00E61F50">
      <w:pPr>
        <w:jc w:val="both"/>
      </w:pPr>
    </w:p>
    <w:p w14:paraId="1D95BD01" w14:textId="77777777" w:rsidR="00E61F50" w:rsidRPr="005D4B47" w:rsidRDefault="00E61F50" w:rsidP="00E61F50">
      <w:pPr>
        <w:ind w:left="1440" w:hanging="1440"/>
        <w:jc w:val="both"/>
        <w:rPr>
          <w:b/>
          <w:bCs/>
        </w:rPr>
      </w:pPr>
      <w:r>
        <w:rPr>
          <w:b/>
          <w:bCs/>
        </w:rPr>
        <w:t>STAFF:</w:t>
      </w:r>
      <w:r>
        <w:rPr>
          <w:b/>
          <w:bCs/>
        </w:rPr>
        <w:tab/>
      </w:r>
      <w:r w:rsidR="002C290E">
        <w:t>No position at this time.</w:t>
      </w:r>
    </w:p>
    <w:p w14:paraId="1480A41D" w14:textId="77777777" w:rsidR="00E61F50" w:rsidRDefault="00E61F50" w:rsidP="00C7699A">
      <w:pPr>
        <w:jc w:val="both"/>
      </w:pPr>
    </w:p>
    <w:p w14:paraId="262495DC" w14:textId="77777777" w:rsidR="00E61F50" w:rsidRDefault="00E61F50" w:rsidP="00C7699A">
      <w:pPr>
        <w:jc w:val="both"/>
      </w:pPr>
    </w:p>
    <w:p w14:paraId="6495E649" w14:textId="77777777" w:rsidR="00E61F50" w:rsidRPr="007C6EF4" w:rsidRDefault="007C6EF4" w:rsidP="00E61F50">
      <w:pPr>
        <w:ind w:left="1440" w:hanging="1440"/>
        <w:jc w:val="both"/>
        <w:rPr>
          <w:b/>
        </w:rPr>
      </w:pPr>
      <w:r>
        <w:rPr>
          <w:b/>
          <w:bCs/>
        </w:rPr>
        <w:t>ISSUE 38</w:t>
      </w:r>
      <w:r w:rsidR="00E61F50" w:rsidRPr="00701945">
        <w:rPr>
          <w:b/>
          <w:bCs/>
        </w:rPr>
        <w:t>:</w:t>
      </w:r>
      <w:r w:rsidR="00E61F50" w:rsidRPr="00701945">
        <w:tab/>
      </w:r>
      <w:r w:rsidRPr="007C6EF4">
        <w:rPr>
          <w:b/>
        </w:rPr>
        <w:t xml:space="preserve">What equity ratio </w:t>
      </w:r>
      <w:r w:rsidRPr="007C6EF4">
        <w:rPr>
          <w:b/>
          <w:bCs/>
        </w:rPr>
        <w:t xml:space="preserve">should be approved for </w:t>
      </w:r>
      <w:r w:rsidRPr="007C6EF4">
        <w:rPr>
          <w:b/>
        </w:rPr>
        <w:t xml:space="preserve">use in the capital structure for ratemaking purposes for the </w:t>
      </w:r>
      <w:r w:rsidRPr="007C6EF4">
        <w:rPr>
          <w:b/>
          <w:bCs/>
        </w:rPr>
        <w:t>2025 projected test year</w:t>
      </w:r>
      <w:r w:rsidRPr="007C6EF4">
        <w:rPr>
          <w:b/>
        </w:rPr>
        <w:t>?</w:t>
      </w:r>
    </w:p>
    <w:p w14:paraId="65B05A0B" w14:textId="77777777" w:rsidR="00E61F50" w:rsidRPr="00701945" w:rsidRDefault="00E61F50" w:rsidP="00E61F50">
      <w:pPr>
        <w:jc w:val="both"/>
      </w:pPr>
    </w:p>
    <w:p w14:paraId="397B4026" w14:textId="703442FB" w:rsidR="00E61F50" w:rsidRDefault="00E61F50" w:rsidP="00E61F50">
      <w:pPr>
        <w:ind w:left="1440" w:hanging="1440"/>
        <w:jc w:val="both"/>
      </w:pPr>
      <w:r>
        <w:rPr>
          <w:b/>
          <w:bCs/>
        </w:rPr>
        <w:t>TECO</w:t>
      </w:r>
      <w:r w:rsidRPr="005D4B47">
        <w:rPr>
          <w:b/>
          <w:bCs/>
        </w:rPr>
        <w:t>:</w:t>
      </w:r>
      <w:r w:rsidRPr="005D4B47">
        <w:tab/>
      </w:r>
      <w:r w:rsidR="007C6EF4">
        <w:t>The Commission should ap</w:t>
      </w:r>
      <w:r w:rsidR="00EF483F">
        <w:t xml:space="preserve">prove the company’s proposed 54% </w:t>
      </w:r>
      <w:r w:rsidR="007C6EF4">
        <w:t>equity ratio (investor sources). This proposed equity ratio is reasonable and prudent, will allow the company to maintain its financial integrity, attract capital on reasonable terms and conditions, and ensure uninterrupted access to capital markets to finance infrastructure improvements and manage unforeseen events. The lower equity ratio advocated by FEA</w:t>
      </w:r>
      <w:r w:rsidR="00EF483F">
        <w:t xml:space="preserve">, Florida Rising, and </w:t>
      </w:r>
      <w:r w:rsidR="00752A7A">
        <w:t>LULAC are</w:t>
      </w:r>
      <w:r w:rsidR="007C6EF4">
        <w:t xml:space="preserve"> too low, would be perceived by credit-rating agencies as credit-negative, and should be rejected. (Chronister)</w:t>
      </w:r>
    </w:p>
    <w:p w14:paraId="1FFA9B36" w14:textId="77777777" w:rsidR="00437787" w:rsidRPr="005D4B47" w:rsidRDefault="00437787" w:rsidP="00E61F50">
      <w:pPr>
        <w:ind w:left="1440" w:hanging="1440"/>
        <w:jc w:val="both"/>
      </w:pPr>
    </w:p>
    <w:p w14:paraId="0E8CAD04" w14:textId="77777777" w:rsidR="00E61F50" w:rsidRDefault="00E61F50" w:rsidP="00E61F50">
      <w:pPr>
        <w:ind w:left="1440" w:hanging="1440"/>
        <w:jc w:val="both"/>
      </w:pPr>
      <w:r>
        <w:rPr>
          <w:b/>
          <w:bCs/>
        </w:rPr>
        <w:t>OPC</w:t>
      </w:r>
      <w:r w:rsidRPr="00701945">
        <w:rPr>
          <w:b/>
          <w:bCs/>
        </w:rPr>
        <w:t>:</w:t>
      </w:r>
      <w:r>
        <w:tab/>
      </w:r>
      <w:r w:rsidR="00A81692">
        <w:t xml:space="preserve">TECO’s </w:t>
      </w:r>
      <w:r w:rsidR="0067302F">
        <w:t>requested equity ratio of 54%</w:t>
      </w:r>
      <w:r w:rsidR="00A81692" w:rsidRPr="00E92C45">
        <w:t xml:space="preserve"> </w:t>
      </w:r>
      <w:r w:rsidR="00A81692">
        <w:t>should only be accepted if the ROE is accordingly established taking into consideration the high level of the equity ratio; otherwise the proposed equity ratio is excessive.</w:t>
      </w:r>
    </w:p>
    <w:p w14:paraId="45D63B82" w14:textId="77777777" w:rsidR="00E61F50" w:rsidRDefault="00E61F50" w:rsidP="00E61F50">
      <w:pPr>
        <w:ind w:left="1440" w:hanging="1440"/>
        <w:jc w:val="both"/>
      </w:pPr>
    </w:p>
    <w:p w14:paraId="46B5C7E3" w14:textId="77777777" w:rsidR="00E61F50" w:rsidRDefault="00E61F50" w:rsidP="00E61F50">
      <w:pPr>
        <w:ind w:left="1440" w:hanging="1440"/>
        <w:jc w:val="both"/>
        <w:rPr>
          <w:b/>
        </w:rPr>
      </w:pPr>
      <w:r>
        <w:rPr>
          <w:b/>
        </w:rPr>
        <w:t>FL RISING/</w:t>
      </w:r>
    </w:p>
    <w:p w14:paraId="46C22B40" w14:textId="77777777" w:rsidR="00E61F50" w:rsidRDefault="00E61F50" w:rsidP="00E61F50">
      <w:pPr>
        <w:ind w:left="1440" w:hanging="1440"/>
        <w:jc w:val="both"/>
        <w:rPr>
          <w:b/>
        </w:rPr>
      </w:pPr>
      <w:r>
        <w:rPr>
          <w:b/>
        </w:rPr>
        <w:t>LULAC:</w:t>
      </w:r>
      <w:r>
        <w:rPr>
          <w:b/>
        </w:rPr>
        <w:tab/>
      </w:r>
      <w:r w:rsidR="00902496">
        <w:rPr>
          <w:bCs/>
        </w:rPr>
        <w:t>43.41% to reflect a 50-50 equity-to-debt ratio.</w:t>
      </w:r>
    </w:p>
    <w:p w14:paraId="220223A6" w14:textId="77777777" w:rsidR="00E61F50" w:rsidRDefault="00E61F50" w:rsidP="00E61F50">
      <w:pPr>
        <w:ind w:left="1440" w:hanging="1440"/>
        <w:jc w:val="both"/>
        <w:rPr>
          <w:b/>
        </w:rPr>
      </w:pPr>
    </w:p>
    <w:p w14:paraId="471E5246" w14:textId="69D71BE3" w:rsidR="00E61F50" w:rsidRDefault="00E61F50" w:rsidP="00E61F50">
      <w:pPr>
        <w:ind w:left="1440" w:hanging="1440"/>
        <w:jc w:val="both"/>
        <w:rPr>
          <w:b/>
        </w:rPr>
      </w:pPr>
      <w:r>
        <w:rPr>
          <w:b/>
        </w:rPr>
        <w:t>FIPUG:</w:t>
      </w:r>
      <w:r>
        <w:rPr>
          <w:b/>
        </w:rPr>
        <w:tab/>
      </w:r>
      <w:r w:rsidR="008032CE">
        <w:rPr>
          <w:bCs/>
        </w:rPr>
        <w:t>Adopt</w:t>
      </w:r>
      <w:r w:rsidR="004968BA">
        <w:rPr>
          <w:bCs/>
        </w:rPr>
        <w:t>s</w:t>
      </w:r>
      <w:r w:rsidR="008032CE">
        <w:rPr>
          <w:bCs/>
        </w:rPr>
        <w:t xml:space="preserve"> the position of OPC.</w:t>
      </w:r>
    </w:p>
    <w:p w14:paraId="71471F65" w14:textId="77777777" w:rsidR="00E61F50" w:rsidRDefault="00E61F50" w:rsidP="00E61F50">
      <w:pPr>
        <w:ind w:left="1440" w:hanging="1440"/>
        <w:jc w:val="both"/>
        <w:rPr>
          <w:b/>
        </w:rPr>
      </w:pPr>
    </w:p>
    <w:p w14:paraId="508C48F9" w14:textId="77777777" w:rsidR="00E61F50" w:rsidRPr="009C2D6C" w:rsidRDefault="00E61F50" w:rsidP="00E61F50">
      <w:pPr>
        <w:ind w:left="1440" w:hanging="1440"/>
        <w:jc w:val="both"/>
      </w:pPr>
      <w:r>
        <w:rPr>
          <w:b/>
        </w:rPr>
        <w:t>FEA:</w:t>
      </w:r>
      <w:r>
        <w:rPr>
          <w:b/>
        </w:rPr>
        <w:tab/>
      </w:r>
      <w:r w:rsidR="009C2D6C" w:rsidRPr="009C2D6C">
        <w:rPr>
          <w:bCs/>
        </w:rPr>
        <w:t>The appropriate equity ratio that should be approved for use in the capital structure for ratemaking purposes for the 2025 projected test year is 45.15%, or 52.0% on an investor-supplied basis.</w:t>
      </w:r>
    </w:p>
    <w:p w14:paraId="30D845DC" w14:textId="77777777" w:rsidR="00E61F50" w:rsidRDefault="00E61F50" w:rsidP="00E61F50">
      <w:pPr>
        <w:ind w:left="1440" w:hanging="1440"/>
        <w:jc w:val="both"/>
        <w:rPr>
          <w:b/>
        </w:rPr>
      </w:pPr>
    </w:p>
    <w:p w14:paraId="40AE5765" w14:textId="77777777" w:rsidR="00A14A11" w:rsidRDefault="00764960" w:rsidP="00E61F50">
      <w:pPr>
        <w:ind w:left="1440" w:hanging="1440"/>
        <w:jc w:val="both"/>
        <w:rPr>
          <w:b/>
        </w:rPr>
      </w:pPr>
      <w:r>
        <w:rPr>
          <w:b/>
        </w:rPr>
        <w:t xml:space="preserve">SIERRA </w:t>
      </w:r>
    </w:p>
    <w:p w14:paraId="73FCD4BF" w14:textId="6F7A44CD" w:rsidR="00E61F50" w:rsidRDefault="00764960" w:rsidP="00E61F50">
      <w:pPr>
        <w:ind w:left="1440" w:hanging="1440"/>
        <w:jc w:val="both"/>
        <w:rPr>
          <w:b/>
        </w:rPr>
      </w:pPr>
      <w:r>
        <w:rPr>
          <w:b/>
        </w:rPr>
        <w:t>CLUB</w:t>
      </w:r>
      <w:r w:rsidR="00E61F50">
        <w:rPr>
          <w:b/>
        </w:rPr>
        <w:t>:</w:t>
      </w:r>
      <w:r w:rsidR="00E61F50">
        <w:rPr>
          <w:b/>
        </w:rPr>
        <w:tab/>
      </w:r>
      <w:r w:rsidR="004968BA">
        <w:t>No position.</w:t>
      </w:r>
    </w:p>
    <w:p w14:paraId="457A9CB2" w14:textId="77777777" w:rsidR="00E61F50" w:rsidRDefault="00E61F50" w:rsidP="00E61F50">
      <w:pPr>
        <w:ind w:left="1440" w:hanging="1440"/>
        <w:jc w:val="both"/>
        <w:rPr>
          <w:b/>
        </w:rPr>
      </w:pPr>
    </w:p>
    <w:p w14:paraId="0BDA3581" w14:textId="356D5066" w:rsidR="00E61F50" w:rsidRDefault="00E61F50" w:rsidP="00E61F50">
      <w:pPr>
        <w:ind w:left="1440" w:hanging="1440"/>
        <w:jc w:val="both"/>
        <w:rPr>
          <w:b/>
        </w:rPr>
      </w:pPr>
      <w:r>
        <w:rPr>
          <w:b/>
        </w:rPr>
        <w:t>FRF:</w:t>
      </w:r>
      <w:r>
        <w:rPr>
          <w:b/>
        </w:rPr>
        <w:tab/>
      </w:r>
      <w:r w:rsidR="00BB533E">
        <w:t>Agree</w:t>
      </w:r>
      <w:r w:rsidR="004968BA">
        <w:t>s</w:t>
      </w:r>
      <w:r w:rsidR="00BB533E">
        <w:t xml:space="preserve"> with OPC.</w:t>
      </w:r>
    </w:p>
    <w:p w14:paraId="4D434B5D" w14:textId="77777777" w:rsidR="00E61F50" w:rsidRDefault="00E61F50" w:rsidP="00E61F50">
      <w:pPr>
        <w:ind w:left="1440" w:hanging="1440"/>
        <w:jc w:val="both"/>
        <w:rPr>
          <w:b/>
        </w:rPr>
      </w:pPr>
    </w:p>
    <w:p w14:paraId="469AF0CE" w14:textId="77777777" w:rsidR="00A14A11" w:rsidRDefault="00C0182D" w:rsidP="00E61F50">
      <w:pPr>
        <w:ind w:left="1440" w:hanging="1440"/>
        <w:jc w:val="both"/>
        <w:rPr>
          <w:b/>
        </w:rPr>
      </w:pPr>
      <w:r>
        <w:rPr>
          <w:b/>
        </w:rPr>
        <w:t xml:space="preserve">FUEL </w:t>
      </w:r>
    </w:p>
    <w:p w14:paraId="29AEFCCA" w14:textId="44ACA25F" w:rsidR="00E61F50" w:rsidRDefault="00C0182D" w:rsidP="00E61F50">
      <w:pPr>
        <w:ind w:left="1440" w:hanging="1440"/>
        <w:jc w:val="both"/>
      </w:pPr>
      <w:r>
        <w:rPr>
          <w:b/>
        </w:rPr>
        <w:t>RETAILERS</w:t>
      </w:r>
      <w:r w:rsidR="00E61F50">
        <w:rPr>
          <w:b/>
        </w:rPr>
        <w:t>:</w:t>
      </w:r>
      <w:r w:rsidR="00A14A11">
        <w:rPr>
          <w:b/>
        </w:rPr>
        <w:t xml:space="preserve"> </w:t>
      </w:r>
      <w:r w:rsidR="00B66251" w:rsidRPr="00132664">
        <w:t xml:space="preserve">No </w:t>
      </w:r>
      <w:r w:rsidR="004968BA">
        <w:t>p</w:t>
      </w:r>
      <w:r w:rsidR="00B66251" w:rsidRPr="00132664">
        <w:t>osition.</w:t>
      </w:r>
    </w:p>
    <w:p w14:paraId="3924883B" w14:textId="77777777" w:rsidR="00764821" w:rsidRDefault="00764821" w:rsidP="00E61F50">
      <w:pPr>
        <w:ind w:left="1440" w:hanging="1440"/>
        <w:jc w:val="both"/>
      </w:pPr>
    </w:p>
    <w:p w14:paraId="498B17C6" w14:textId="162F80F7" w:rsidR="00764821" w:rsidRPr="00764821" w:rsidRDefault="00FD408B" w:rsidP="00E61F50">
      <w:pPr>
        <w:ind w:left="1440" w:hanging="1440"/>
        <w:jc w:val="both"/>
        <w:rPr>
          <w:b/>
        </w:rPr>
      </w:pPr>
      <w:r>
        <w:rPr>
          <w:b/>
        </w:rPr>
        <w:t>WALMART</w:t>
      </w:r>
      <w:r w:rsidR="00764821">
        <w:rPr>
          <w:b/>
        </w:rPr>
        <w:t>:</w:t>
      </w:r>
      <w:r w:rsidR="00764821">
        <w:rPr>
          <w:b/>
        </w:rPr>
        <w:tab/>
      </w:r>
      <w:r w:rsidR="00790E73">
        <w:t>A</w:t>
      </w:r>
      <w:r w:rsidR="00764821">
        <w:t>grees with OPC.</w:t>
      </w:r>
    </w:p>
    <w:p w14:paraId="781BE6AF" w14:textId="77777777" w:rsidR="00E61F50" w:rsidRPr="00701945" w:rsidRDefault="00E61F50" w:rsidP="00E61F50">
      <w:pPr>
        <w:jc w:val="both"/>
      </w:pPr>
    </w:p>
    <w:p w14:paraId="616DCD05" w14:textId="77777777" w:rsidR="00E61F50" w:rsidRPr="005D4B47" w:rsidRDefault="00E61F50" w:rsidP="00E61F50">
      <w:pPr>
        <w:ind w:left="1440" w:hanging="1440"/>
        <w:jc w:val="both"/>
        <w:rPr>
          <w:b/>
          <w:bCs/>
        </w:rPr>
      </w:pPr>
      <w:r>
        <w:rPr>
          <w:b/>
          <w:bCs/>
        </w:rPr>
        <w:t>STAFF:</w:t>
      </w:r>
      <w:r>
        <w:rPr>
          <w:b/>
          <w:bCs/>
        </w:rPr>
        <w:tab/>
      </w:r>
      <w:r w:rsidR="002C290E">
        <w:t>No position at this time.</w:t>
      </w:r>
    </w:p>
    <w:p w14:paraId="4C5F25FD" w14:textId="77777777" w:rsidR="00E61F50" w:rsidRDefault="00E61F50" w:rsidP="00C7699A">
      <w:pPr>
        <w:jc w:val="both"/>
      </w:pPr>
    </w:p>
    <w:p w14:paraId="79412755" w14:textId="3C4F116B" w:rsidR="00E61F50" w:rsidRDefault="00E61F50" w:rsidP="00C7699A">
      <w:pPr>
        <w:jc w:val="both"/>
      </w:pPr>
    </w:p>
    <w:p w14:paraId="405C037F" w14:textId="77777777" w:rsidR="005B0FE4" w:rsidRDefault="005B0FE4" w:rsidP="00C7699A">
      <w:pPr>
        <w:jc w:val="both"/>
      </w:pPr>
    </w:p>
    <w:p w14:paraId="538EF292" w14:textId="77777777" w:rsidR="00E61F50" w:rsidRPr="007C6EF4" w:rsidRDefault="007C6EF4" w:rsidP="00E61F50">
      <w:pPr>
        <w:ind w:left="1440" w:hanging="1440"/>
        <w:jc w:val="both"/>
        <w:rPr>
          <w:b/>
        </w:rPr>
      </w:pPr>
      <w:r>
        <w:rPr>
          <w:b/>
          <w:bCs/>
        </w:rPr>
        <w:lastRenderedPageBreak/>
        <w:t>ISSUE 39</w:t>
      </w:r>
      <w:r w:rsidR="00E61F50" w:rsidRPr="00701945">
        <w:rPr>
          <w:b/>
          <w:bCs/>
        </w:rPr>
        <w:t>:</w:t>
      </w:r>
      <w:r w:rsidR="00E61F50" w:rsidRPr="00701945">
        <w:tab/>
      </w:r>
      <w:r w:rsidRPr="007C6EF4">
        <w:rPr>
          <w:b/>
        </w:rPr>
        <w:t xml:space="preserve">What authorized return on equity (ROE) </w:t>
      </w:r>
      <w:r w:rsidRPr="007C6EF4">
        <w:rPr>
          <w:b/>
          <w:bCs/>
        </w:rPr>
        <w:t xml:space="preserve">should be approved for </w:t>
      </w:r>
      <w:r w:rsidRPr="007C6EF4">
        <w:rPr>
          <w:b/>
        </w:rPr>
        <w:t xml:space="preserve">use in establishing TECO’s revenue requirement for the </w:t>
      </w:r>
      <w:r w:rsidRPr="007C6EF4">
        <w:rPr>
          <w:b/>
          <w:bCs/>
        </w:rPr>
        <w:t>2025 projected test year</w:t>
      </w:r>
      <w:r w:rsidRPr="007C6EF4">
        <w:rPr>
          <w:b/>
        </w:rPr>
        <w:t>?</w:t>
      </w:r>
    </w:p>
    <w:p w14:paraId="2DFCAD45" w14:textId="77777777" w:rsidR="00E61F50" w:rsidRPr="00701945" w:rsidRDefault="00E61F50" w:rsidP="00E61F50">
      <w:pPr>
        <w:jc w:val="both"/>
      </w:pPr>
    </w:p>
    <w:p w14:paraId="51900EED" w14:textId="74EF3B7D" w:rsidR="00E61F50" w:rsidRPr="005D4B47" w:rsidRDefault="00E61F50" w:rsidP="00E61F50">
      <w:pPr>
        <w:ind w:left="1440" w:hanging="1440"/>
        <w:jc w:val="both"/>
      </w:pPr>
      <w:r>
        <w:rPr>
          <w:b/>
          <w:bCs/>
        </w:rPr>
        <w:t>TECO</w:t>
      </w:r>
      <w:r w:rsidRPr="005D4B47">
        <w:rPr>
          <w:b/>
          <w:bCs/>
        </w:rPr>
        <w:t>:</w:t>
      </w:r>
      <w:r w:rsidRPr="005D4B47">
        <w:tab/>
      </w:r>
      <w:r w:rsidR="007C6EF4">
        <w:t xml:space="preserve">The Commission should approve a mid-point </w:t>
      </w:r>
      <w:r w:rsidR="00DD4640">
        <w:t>ROE</w:t>
      </w:r>
      <w:r w:rsidR="002A3B25">
        <w:t xml:space="preserve"> of 11.5% </w:t>
      </w:r>
      <w:r w:rsidR="007C6EF4">
        <w:t>with an allowed range of earnings of plus or minus 100 basis points. The ROEs proposed by the intervenors are too low, do not reflect a reasonable return, are not prudent, and should be rejected. (D’Ascendis)</w:t>
      </w:r>
    </w:p>
    <w:p w14:paraId="1E99724A" w14:textId="77777777" w:rsidR="00E61F50" w:rsidRPr="00701945" w:rsidRDefault="00E61F50" w:rsidP="00E61F50">
      <w:pPr>
        <w:jc w:val="both"/>
      </w:pPr>
    </w:p>
    <w:p w14:paraId="7FC252B3" w14:textId="77777777" w:rsidR="00E61F50" w:rsidRDefault="00E61F50" w:rsidP="00E61F50">
      <w:pPr>
        <w:ind w:left="1440" w:hanging="1440"/>
        <w:jc w:val="both"/>
      </w:pPr>
      <w:r>
        <w:rPr>
          <w:b/>
          <w:bCs/>
        </w:rPr>
        <w:t>OPC</w:t>
      </w:r>
      <w:r w:rsidRPr="00701945">
        <w:rPr>
          <w:b/>
          <w:bCs/>
        </w:rPr>
        <w:t>:</w:t>
      </w:r>
      <w:r>
        <w:tab/>
      </w:r>
      <w:r w:rsidR="00A81692">
        <w:t>The Commission should approve a 9.50% ROE.</w:t>
      </w:r>
    </w:p>
    <w:p w14:paraId="5CEBAAB7" w14:textId="77777777" w:rsidR="00E61F50" w:rsidRDefault="00E61F50" w:rsidP="00E61F50">
      <w:pPr>
        <w:ind w:left="1440" w:hanging="1440"/>
        <w:jc w:val="both"/>
      </w:pPr>
    </w:p>
    <w:p w14:paraId="58011AE7" w14:textId="77777777" w:rsidR="00E61F50" w:rsidRDefault="00E61F50" w:rsidP="00E61F50">
      <w:pPr>
        <w:ind w:left="1440" w:hanging="1440"/>
        <w:jc w:val="both"/>
        <w:rPr>
          <w:b/>
        </w:rPr>
      </w:pPr>
      <w:r>
        <w:rPr>
          <w:b/>
        </w:rPr>
        <w:t>FL RISING/</w:t>
      </w:r>
    </w:p>
    <w:p w14:paraId="3D71E363" w14:textId="77777777" w:rsidR="00E61F50" w:rsidRDefault="00E61F50" w:rsidP="00E61F50">
      <w:pPr>
        <w:ind w:left="1440" w:hanging="1440"/>
        <w:jc w:val="both"/>
        <w:rPr>
          <w:b/>
        </w:rPr>
      </w:pPr>
      <w:r>
        <w:rPr>
          <w:b/>
        </w:rPr>
        <w:t>LULAC:</w:t>
      </w:r>
      <w:r>
        <w:rPr>
          <w:b/>
        </w:rPr>
        <w:tab/>
      </w:r>
      <w:r w:rsidR="00902496">
        <w:t>9.50%. (Rábago)</w:t>
      </w:r>
    </w:p>
    <w:p w14:paraId="552D3424" w14:textId="77777777" w:rsidR="00E61F50" w:rsidRDefault="00E61F50" w:rsidP="00E61F50">
      <w:pPr>
        <w:ind w:left="1440" w:hanging="1440"/>
        <w:jc w:val="both"/>
        <w:rPr>
          <w:b/>
        </w:rPr>
      </w:pPr>
    </w:p>
    <w:p w14:paraId="4236277D" w14:textId="23B1A88E" w:rsidR="00E61F50" w:rsidRDefault="00E61F50" w:rsidP="00E61F50">
      <w:pPr>
        <w:ind w:left="1440" w:hanging="1440"/>
        <w:jc w:val="both"/>
        <w:rPr>
          <w:b/>
        </w:rPr>
      </w:pPr>
      <w:r>
        <w:rPr>
          <w:b/>
        </w:rPr>
        <w:t>FIPUG:</w:t>
      </w:r>
      <w:r>
        <w:rPr>
          <w:b/>
        </w:rPr>
        <w:tab/>
      </w:r>
      <w:r w:rsidR="008032CE" w:rsidRPr="0069262A">
        <w:t>The authorized ROE should be no higher than the average ROE authorized by state regulators in rate cases decided in 2023 and 2024 involving vertically integrated electric utilities</w:t>
      </w:r>
      <w:r w:rsidR="00E76D24">
        <w:t>, 9.78%,</w:t>
      </w:r>
      <w:r w:rsidR="008032CE">
        <w:t xml:space="preserve"> as testified to by FIPUG witness Pollock.</w:t>
      </w:r>
    </w:p>
    <w:p w14:paraId="3295BB28" w14:textId="77777777" w:rsidR="00E61F50" w:rsidRDefault="00E61F50" w:rsidP="00E61F50">
      <w:pPr>
        <w:ind w:left="1440" w:hanging="1440"/>
        <w:jc w:val="both"/>
        <w:rPr>
          <w:b/>
        </w:rPr>
      </w:pPr>
    </w:p>
    <w:p w14:paraId="3539B1B8" w14:textId="478260CB" w:rsidR="00E61F50" w:rsidRDefault="00E61F50" w:rsidP="00E61F50">
      <w:pPr>
        <w:ind w:left="1440" w:hanging="1440"/>
        <w:jc w:val="both"/>
        <w:rPr>
          <w:bCs/>
        </w:rPr>
      </w:pPr>
      <w:r>
        <w:rPr>
          <w:b/>
        </w:rPr>
        <w:t>FEA:</w:t>
      </w:r>
      <w:r>
        <w:rPr>
          <w:b/>
        </w:rPr>
        <w:tab/>
      </w:r>
      <w:r w:rsidR="009C2D6C" w:rsidRPr="009C2D6C">
        <w:rPr>
          <w:bCs/>
        </w:rPr>
        <w:t>The authorized ROE of 9.60% should be approved for use in establishing TECO’s revenue requirement for the 2025 projected test year.</w:t>
      </w:r>
    </w:p>
    <w:p w14:paraId="6FC81D57" w14:textId="77777777" w:rsidR="00EC12A2" w:rsidRPr="009C2D6C" w:rsidRDefault="00EC12A2" w:rsidP="00E61F50">
      <w:pPr>
        <w:ind w:left="1440" w:hanging="1440"/>
        <w:jc w:val="both"/>
      </w:pPr>
    </w:p>
    <w:p w14:paraId="58699629" w14:textId="77777777" w:rsidR="00A14A11" w:rsidRDefault="00764960" w:rsidP="00E61F50">
      <w:pPr>
        <w:ind w:left="1440" w:hanging="1440"/>
        <w:jc w:val="both"/>
        <w:rPr>
          <w:b/>
        </w:rPr>
      </w:pPr>
      <w:r>
        <w:rPr>
          <w:b/>
        </w:rPr>
        <w:t xml:space="preserve">SIERRA </w:t>
      </w:r>
    </w:p>
    <w:p w14:paraId="65C6AF0F" w14:textId="65325EBE" w:rsidR="00E61F50" w:rsidRDefault="00764960" w:rsidP="00E61F50">
      <w:pPr>
        <w:ind w:left="1440" w:hanging="1440"/>
        <w:jc w:val="both"/>
        <w:rPr>
          <w:b/>
        </w:rPr>
      </w:pPr>
      <w:r>
        <w:rPr>
          <w:b/>
        </w:rPr>
        <w:t>CLUB</w:t>
      </w:r>
      <w:r w:rsidR="00E61F50">
        <w:rPr>
          <w:b/>
        </w:rPr>
        <w:t>:</w:t>
      </w:r>
      <w:r w:rsidR="00E61F50">
        <w:rPr>
          <w:b/>
        </w:rPr>
        <w:tab/>
      </w:r>
      <w:r w:rsidR="004837D6">
        <w:t>No position.</w:t>
      </w:r>
    </w:p>
    <w:p w14:paraId="1236CDDC" w14:textId="77777777" w:rsidR="00E61F50" w:rsidRDefault="00E61F50" w:rsidP="00E61F50">
      <w:pPr>
        <w:ind w:left="1440" w:hanging="1440"/>
        <w:jc w:val="both"/>
        <w:rPr>
          <w:b/>
        </w:rPr>
      </w:pPr>
    </w:p>
    <w:p w14:paraId="5B843614" w14:textId="7CC0C378" w:rsidR="00E61F50" w:rsidRPr="00B80AEA" w:rsidRDefault="00E61F50" w:rsidP="00E61F50">
      <w:pPr>
        <w:ind w:left="1440" w:hanging="1440"/>
        <w:jc w:val="both"/>
      </w:pPr>
      <w:r>
        <w:rPr>
          <w:b/>
        </w:rPr>
        <w:t>FRF:</w:t>
      </w:r>
      <w:r>
        <w:rPr>
          <w:b/>
        </w:rPr>
        <w:tab/>
      </w:r>
      <w:r w:rsidR="00B80AEA">
        <w:t>9.50</w:t>
      </w:r>
      <w:r w:rsidR="004837D6">
        <w:t>%</w:t>
      </w:r>
      <w:r w:rsidR="00B80AEA">
        <w:t>.</w:t>
      </w:r>
    </w:p>
    <w:p w14:paraId="7A1B9034" w14:textId="77777777" w:rsidR="00E61F50" w:rsidRDefault="00E61F50" w:rsidP="00E61F50">
      <w:pPr>
        <w:ind w:left="1440" w:hanging="1440"/>
        <w:jc w:val="both"/>
        <w:rPr>
          <w:b/>
        </w:rPr>
      </w:pPr>
    </w:p>
    <w:p w14:paraId="215C487D" w14:textId="77777777" w:rsidR="00A14A11" w:rsidRDefault="00C0182D" w:rsidP="00E61F50">
      <w:pPr>
        <w:ind w:left="1440" w:hanging="1440"/>
        <w:jc w:val="both"/>
        <w:rPr>
          <w:b/>
        </w:rPr>
      </w:pPr>
      <w:r>
        <w:rPr>
          <w:b/>
        </w:rPr>
        <w:t xml:space="preserve">FUEL </w:t>
      </w:r>
    </w:p>
    <w:p w14:paraId="0E780D29" w14:textId="0C3EF920" w:rsidR="00E61F50" w:rsidRDefault="00C0182D" w:rsidP="00E61F50">
      <w:pPr>
        <w:ind w:left="1440" w:hanging="1440"/>
        <w:jc w:val="both"/>
      </w:pPr>
      <w:r>
        <w:rPr>
          <w:b/>
        </w:rPr>
        <w:t>RETAILERS</w:t>
      </w:r>
      <w:r w:rsidR="00E61F50">
        <w:rPr>
          <w:b/>
        </w:rPr>
        <w:t>:</w:t>
      </w:r>
      <w:r w:rsidR="00A14A11">
        <w:rPr>
          <w:b/>
        </w:rPr>
        <w:t xml:space="preserve"> </w:t>
      </w:r>
      <w:r w:rsidR="00B66251" w:rsidRPr="00132664">
        <w:t xml:space="preserve">No </w:t>
      </w:r>
      <w:r w:rsidR="004837D6">
        <w:t>p</w:t>
      </w:r>
      <w:r w:rsidR="00B66251" w:rsidRPr="00132664">
        <w:t>osition.</w:t>
      </w:r>
    </w:p>
    <w:p w14:paraId="2E9D9186" w14:textId="77777777" w:rsidR="00764821" w:rsidRDefault="00764821" w:rsidP="00E61F50">
      <w:pPr>
        <w:ind w:left="1440" w:hanging="1440"/>
        <w:jc w:val="both"/>
      </w:pPr>
    </w:p>
    <w:p w14:paraId="6DE47AEC" w14:textId="4A8DBA19" w:rsidR="00764821" w:rsidRPr="00764821" w:rsidRDefault="00FD408B" w:rsidP="00E61F50">
      <w:pPr>
        <w:ind w:left="1440" w:hanging="1440"/>
        <w:jc w:val="both"/>
        <w:rPr>
          <w:b/>
        </w:rPr>
      </w:pPr>
      <w:r>
        <w:rPr>
          <w:b/>
        </w:rPr>
        <w:t>WALMART</w:t>
      </w:r>
      <w:r w:rsidR="00764821">
        <w:rPr>
          <w:b/>
        </w:rPr>
        <w:t>:</w:t>
      </w:r>
      <w:r w:rsidR="00764821">
        <w:rPr>
          <w:b/>
        </w:rPr>
        <w:tab/>
      </w:r>
      <w:r w:rsidR="004837D6">
        <w:t>A</w:t>
      </w:r>
      <w:r w:rsidR="00764821">
        <w:t>dopts the position of FRF.</w:t>
      </w:r>
    </w:p>
    <w:p w14:paraId="714CA73E" w14:textId="77777777" w:rsidR="00E61F50" w:rsidRPr="00701945" w:rsidRDefault="00E61F50" w:rsidP="00E61F50">
      <w:pPr>
        <w:jc w:val="both"/>
      </w:pPr>
    </w:p>
    <w:p w14:paraId="24B8EAF0" w14:textId="77777777" w:rsidR="00E61F50" w:rsidRPr="005D4B47" w:rsidRDefault="00E61F50" w:rsidP="00E61F50">
      <w:pPr>
        <w:ind w:left="1440" w:hanging="1440"/>
        <w:jc w:val="both"/>
        <w:rPr>
          <w:b/>
          <w:bCs/>
        </w:rPr>
      </w:pPr>
      <w:r>
        <w:rPr>
          <w:b/>
          <w:bCs/>
        </w:rPr>
        <w:t>STAFF:</w:t>
      </w:r>
      <w:r>
        <w:rPr>
          <w:b/>
          <w:bCs/>
        </w:rPr>
        <w:tab/>
      </w:r>
      <w:r w:rsidR="002C290E">
        <w:t>No position at this time.</w:t>
      </w:r>
    </w:p>
    <w:p w14:paraId="6519C4F0" w14:textId="77777777" w:rsidR="00E61F50" w:rsidRDefault="00E61F50" w:rsidP="00C7699A">
      <w:pPr>
        <w:jc w:val="both"/>
      </w:pPr>
    </w:p>
    <w:p w14:paraId="28A51D88" w14:textId="77777777" w:rsidR="00AE728F" w:rsidRDefault="00AE728F" w:rsidP="00C7699A">
      <w:pPr>
        <w:jc w:val="both"/>
      </w:pPr>
    </w:p>
    <w:p w14:paraId="616AA4EC" w14:textId="77777777" w:rsidR="00E61F50" w:rsidRPr="007C6EF4" w:rsidRDefault="007C6EF4" w:rsidP="00E61F50">
      <w:pPr>
        <w:ind w:left="1440" w:hanging="1440"/>
        <w:jc w:val="both"/>
        <w:rPr>
          <w:b/>
        </w:rPr>
      </w:pPr>
      <w:r>
        <w:rPr>
          <w:b/>
          <w:bCs/>
        </w:rPr>
        <w:t>ISSUE 40</w:t>
      </w:r>
      <w:r w:rsidR="00E61F50" w:rsidRPr="00701945">
        <w:rPr>
          <w:b/>
          <w:bCs/>
        </w:rPr>
        <w:t>:</w:t>
      </w:r>
      <w:r w:rsidR="00E61F50" w:rsidRPr="00701945">
        <w:tab/>
      </w:r>
      <w:r w:rsidRPr="007C6EF4">
        <w:rPr>
          <w:b/>
        </w:rPr>
        <w:t xml:space="preserve">What capital structure and weighted average cost of capital </w:t>
      </w:r>
      <w:r w:rsidRPr="007C6EF4">
        <w:rPr>
          <w:b/>
          <w:bCs/>
        </w:rPr>
        <w:t xml:space="preserve">should be approved for </w:t>
      </w:r>
      <w:r w:rsidRPr="007C6EF4">
        <w:rPr>
          <w:b/>
        </w:rPr>
        <w:t xml:space="preserve">use in establishing TECO’s revenue requirement for the </w:t>
      </w:r>
      <w:r w:rsidRPr="007C6EF4">
        <w:rPr>
          <w:b/>
          <w:bCs/>
        </w:rPr>
        <w:t>2025 projected test year</w:t>
      </w:r>
      <w:r w:rsidRPr="007C6EF4">
        <w:rPr>
          <w:b/>
        </w:rPr>
        <w:t>?</w:t>
      </w:r>
    </w:p>
    <w:p w14:paraId="5345EC9E" w14:textId="77777777" w:rsidR="00E61F50" w:rsidRPr="00701945" w:rsidRDefault="00E61F50" w:rsidP="00E61F50">
      <w:pPr>
        <w:jc w:val="both"/>
      </w:pPr>
    </w:p>
    <w:p w14:paraId="3C933F0B" w14:textId="541962B4" w:rsidR="00E61F50" w:rsidRDefault="00E61F50" w:rsidP="00E61F50">
      <w:pPr>
        <w:ind w:left="1440" w:hanging="1440"/>
        <w:jc w:val="both"/>
      </w:pPr>
      <w:r>
        <w:rPr>
          <w:b/>
          <w:bCs/>
        </w:rPr>
        <w:t>TECO</w:t>
      </w:r>
      <w:r w:rsidRPr="005D4B47">
        <w:rPr>
          <w:b/>
          <w:bCs/>
        </w:rPr>
        <w:t>:</w:t>
      </w:r>
      <w:r w:rsidRPr="005D4B47">
        <w:tab/>
      </w:r>
      <w:r w:rsidR="007C6EF4">
        <w:t>The Commission should approve the Jurisdictional Capital Structure totaling $9.798 billion and a weighted average cost of capital (WACC</w:t>
      </w:r>
      <w:r w:rsidR="000E66DC">
        <w:t xml:space="preserve">) of 7.37% </w:t>
      </w:r>
      <w:r w:rsidR="007C6EF4">
        <w:t>as shown on MFR Schedule D-1a and shown below:</w:t>
      </w:r>
    </w:p>
    <w:p w14:paraId="77E65412" w14:textId="77777777" w:rsidR="007C6EF4" w:rsidRDefault="007C6EF4" w:rsidP="00E61F50">
      <w:pPr>
        <w:ind w:left="1440" w:hanging="1440"/>
        <w:jc w:val="both"/>
      </w:pPr>
    </w:p>
    <w:p w14:paraId="5A3436E4" w14:textId="77777777" w:rsidR="007C6EF4" w:rsidRDefault="007C6EF4" w:rsidP="007C6EF4">
      <w:pPr>
        <w:ind w:left="2880" w:hanging="1440"/>
        <w:jc w:val="both"/>
      </w:pPr>
      <w:r>
        <w:rPr>
          <w:noProof/>
        </w:rPr>
        <w:lastRenderedPageBreak/>
        <w:drawing>
          <wp:inline distT="0" distB="0" distL="0" distR="0" wp14:anchorId="0BBD6C3C" wp14:editId="7CEDE075">
            <wp:extent cx="5105400" cy="2206263"/>
            <wp:effectExtent l="0" t="0" r="0" b="3810"/>
            <wp:docPr id="1927309513"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09513" name="Picture 1" descr="A screenshot of a computer screen&#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156052" cy="2228152"/>
                    </a:xfrm>
                    <a:prstGeom prst="rect">
                      <a:avLst/>
                    </a:prstGeom>
                    <a:noFill/>
                    <a:ln>
                      <a:noFill/>
                    </a:ln>
                  </pic:spPr>
                </pic:pic>
              </a:graphicData>
            </a:graphic>
          </wp:inline>
        </w:drawing>
      </w:r>
    </w:p>
    <w:p w14:paraId="202AA884" w14:textId="77777777" w:rsidR="00A2594B" w:rsidRDefault="00A2594B" w:rsidP="00E61F50">
      <w:pPr>
        <w:ind w:left="1440" w:hanging="1440"/>
        <w:jc w:val="both"/>
      </w:pPr>
    </w:p>
    <w:p w14:paraId="1F8F81B5" w14:textId="5CC1C154" w:rsidR="007C6EF4" w:rsidRDefault="00A2594B" w:rsidP="00E61F50">
      <w:pPr>
        <w:ind w:left="1440" w:hanging="1440"/>
        <w:jc w:val="both"/>
      </w:pPr>
      <w:r>
        <w:tab/>
        <w:t xml:space="preserve">The company acknowledges the fact that the capital structure should be reduced by $5,918,042 as a result of the July </w:t>
      </w:r>
      <w:r w:rsidR="00A23A8A">
        <w:t>F</w:t>
      </w:r>
      <w:r>
        <w:t xml:space="preserve">iling. However, this change would not materially impact the weighted average cost of capital rate.  </w:t>
      </w:r>
      <w:r w:rsidR="007C6EF4">
        <w:t>(Chronister)</w:t>
      </w:r>
    </w:p>
    <w:p w14:paraId="5F6FC79B" w14:textId="77777777" w:rsidR="007C6EF4" w:rsidRPr="005D4B47" w:rsidRDefault="007C6EF4" w:rsidP="00E61F50">
      <w:pPr>
        <w:ind w:left="1440" w:hanging="1440"/>
        <w:jc w:val="both"/>
      </w:pPr>
    </w:p>
    <w:p w14:paraId="5E4970C1" w14:textId="382BD018" w:rsidR="00E61F50" w:rsidRDefault="00E61F50" w:rsidP="00E61F50">
      <w:pPr>
        <w:ind w:left="1440" w:hanging="1440"/>
        <w:jc w:val="both"/>
      </w:pPr>
      <w:r>
        <w:rPr>
          <w:b/>
          <w:bCs/>
        </w:rPr>
        <w:t>OPC</w:t>
      </w:r>
      <w:r w:rsidRPr="00701945">
        <w:rPr>
          <w:b/>
          <w:bCs/>
        </w:rPr>
        <w:t>:</w:t>
      </w:r>
      <w:r>
        <w:tab/>
      </w:r>
      <w:r w:rsidR="00A81692" w:rsidRPr="00FF1CE5">
        <w:t xml:space="preserve">The Commission should approve a </w:t>
      </w:r>
      <w:r w:rsidR="00A92E67">
        <w:t>WACC</w:t>
      </w:r>
      <w:r w:rsidR="00A81692">
        <w:t xml:space="preserve"> and </w:t>
      </w:r>
      <w:r w:rsidR="00A81692" w:rsidRPr="00FF1CE5">
        <w:t>capital structure shown in the testimony of OPC’s experts.</w:t>
      </w:r>
    </w:p>
    <w:p w14:paraId="42778816" w14:textId="42CE2069" w:rsidR="00E61F50" w:rsidRDefault="00E61F50" w:rsidP="00E61F50">
      <w:pPr>
        <w:ind w:left="1440" w:hanging="1440"/>
        <w:jc w:val="both"/>
      </w:pPr>
    </w:p>
    <w:p w14:paraId="7EAC8403" w14:textId="77777777" w:rsidR="00E61F50" w:rsidRDefault="00E61F50" w:rsidP="00E61F50">
      <w:pPr>
        <w:ind w:left="1440" w:hanging="1440"/>
        <w:jc w:val="both"/>
        <w:rPr>
          <w:b/>
        </w:rPr>
      </w:pPr>
      <w:r>
        <w:rPr>
          <w:b/>
        </w:rPr>
        <w:t>FL RISING/</w:t>
      </w:r>
    </w:p>
    <w:p w14:paraId="3B5166FE" w14:textId="2C2281D3" w:rsidR="00E61F50" w:rsidRDefault="00E61F50" w:rsidP="00E61F50">
      <w:pPr>
        <w:ind w:left="1440" w:hanging="1440"/>
        <w:jc w:val="both"/>
        <w:rPr>
          <w:b/>
        </w:rPr>
      </w:pPr>
      <w:r>
        <w:rPr>
          <w:b/>
        </w:rPr>
        <w:t>LULAC:</w:t>
      </w:r>
      <w:r>
        <w:rPr>
          <w:b/>
        </w:rPr>
        <w:tab/>
      </w:r>
      <w:r w:rsidR="00902496">
        <w:t>The Commission should approve a 50-50 equity-to-debt ratio. The weighted average cost of capital should be adjusted to account for downward rate base adjustments and the adjusted equity-to-debt ratio.</w:t>
      </w:r>
    </w:p>
    <w:p w14:paraId="3CE8FA83" w14:textId="77777777" w:rsidR="00E61F50" w:rsidRDefault="00E61F50" w:rsidP="00E61F50">
      <w:pPr>
        <w:ind w:left="1440" w:hanging="1440"/>
        <w:jc w:val="both"/>
        <w:rPr>
          <w:b/>
        </w:rPr>
      </w:pPr>
    </w:p>
    <w:p w14:paraId="50DF3E11" w14:textId="6F3DD5B0" w:rsidR="00E61F50" w:rsidRDefault="00E61F50" w:rsidP="00E61F50">
      <w:pPr>
        <w:ind w:left="1440" w:hanging="1440"/>
        <w:jc w:val="both"/>
        <w:rPr>
          <w:b/>
        </w:rPr>
      </w:pPr>
      <w:r>
        <w:rPr>
          <w:b/>
        </w:rPr>
        <w:t>FIPUG:</w:t>
      </w:r>
      <w:r>
        <w:rPr>
          <w:b/>
        </w:rPr>
        <w:tab/>
      </w:r>
      <w:r w:rsidR="001901B3">
        <w:rPr>
          <w:bCs/>
        </w:rPr>
        <w:t>Adopt</w:t>
      </w:r>
      <w:r w:rsidR="003A0E88">
        <w:rPr>
          <w:bCs/>
        </w:rPr>
        <w:t>s</w:t>
      </w:r>
      <w:r w:rsidR="001901B3">
        <w:rPr>
          <w:bCs/>
        </w:rPr>
        <w:t xml:space="preserve"> the position of OPC.</w:t>
      </w:r>
    </w:p>
    <w:p w14:paraId="1F5D0126" w14:textId="77777777" w:rsidR="00E61F50" w:rsidRDefault="00E61F50" w:rsidP="00E61F50">
      <w:pPr>
        <w:ind w:left="1440" w:hanging="1440"/>
        <w:jc w:val="both"/>
        <w:rPr>
          <w:b/>
        </w:rPr>
      </w:pPr>
    </w:p>
    <w:p w14:paraId="4E01C2A8" w14:textId="77777777" w:rsidR="00E61F50" w:rsidRDefault="00E61F50" w:rsidP="00E61F50">
      <w:pPr>
        <w:ind w:left="1440" w:hanging="1440"/>
        <w:jc w:val="both"/>
        <w:rPr>
          <w:bCs/>
        </w:rPr>
      </w:pPr>
      <w:r>
        <w:rPr>
          <w:b/>
        </w:rPr>
        <w:t>FEA:</w:t>
      </w:r>
      <w:r>
        <w:rPr>
          <w:b/>
        </w:rPr>
        <w:tab/>
      </w:r>
      <w:r w:rsidR="009C2D6C" w:rsidRPr="009C2D6C">
        <w:rPr>
          <w:bCs/>
        </w:rPr>
        <w:t>The capital structure and weighted average cost of capital that should be approve is demonstrated in the chart below:</w:t>
      </w:r>
    </w:p>
    <w:p w14:paraId="3495752F" w14:textId="77777777" w:rsidR="009C2D6C" w:rsidRDefault="009C2D6C" w:rsidP="00E61F50">
      <w:pPr>
        <w:ind w:left="1440" w:hanging="1440"/>
        <w:jc w:val="both"/>
        <w:rPr>
          <w:bCs/>
        </w:rPr>
      </w:pPr>
    </w:p>
    <w:p w14:paraId="64BD50DB" w14:textId="77777777" w:rsidR="009C2D6C" w:rsidRPr="009C2D6C" w:rsidRDefault="009C2D6C" w:rsidP="00E61F50">
      <w:pPr>
        <w:ind w:left="1440" w:hanging="1440"/>
        <w:jc w:val="both"/>
      </w:pPr>
      <w:r>
        <w:rPr>
          <w:bCs/>
        </w:rPr>
        <w:tab/>
      </w:r>
      <w:r w:rsidRPr="002048F7">
        <w:rPr>
          <w:noProof/>
        </w:rPr>
        <w:drawing>
          <wp:inline distT="0" distB="0" distL="0" distR="0" wp14:anchorId="4CC8DE37" wp14:editId="5101CB9B">
            <wp:extent cx="4591050" cy="2562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91050" cy="2562225"/>
                    </a:xfrm>
                    <a:prstGeom prst="rect">
                      <a:avLst/>
                    </a:prstGeom>
                    <a:noFill/>
                    <a:ln>
                      <a:noFill/>
                    </a:ln>
                  </pic:spPr>
                </pic:pic>
              </a:graphicData>
            </a:graphic>
          </wp:inline>
        </w:drawing>
      </w:r>
    </w:p>
    <w:p w14:paraId="416C6FC8" w14:textId="77777777" w:rsidR="00A14A11" w:rsidRDefault="00764960" w:rsidP="00E61F50">
      <w:pPr>
        <w:ind w:left="1440" w:hanging="1440"/>
        <w:jc w:val="both"/>
        <w:rPr>
          <w:b/>
        </w:rPr>
      </w:pPr>
      <w:r>
        <w:rPr>
          <w:b/>
        </w:rPr>
        <w:lastRenderedPageBreak/>
        <w:t xml:space="preserve">SIERRA </w:t>
      </w:r>
    </w:p>
    <w:p w14:paraId="53131853" w14:textId="4608247B" w:rsidR="00E61F50" w:rsidRDefault="00764960" w:rsidP="00E61F50">
      <w:pPr>
        <w:ind w:left="1440" w:hanging="1440"/>
        <w:jc w:val="both"/>
        <w:rPr>
          <w:b/>
        </w:rPr>
      </w:pPr>
      <w:r>
        <w:rPr>
          <w:b/>
        </w:rPr>
        <w:t>CLUB</w:t>
      </w:r>
      <w:r w:rsidR="00E61F50">
        <w:rPr>
          <w:b/>
        </w:rPr>
        <w:t>:</w:t>
      </w:r>
      <w:r w:rsidR="00E61F50">
        <w:rPr>
          <w:b/>
        </w:rPr>
        <w:tab/>
      </w:r>
      <w:r w:rsidR="003A0E88">
        <w:t>No position.</w:t>
      </w:r>
    </w:p>
    <w:p w14:paraId="1E990032" w14:textId="77777777" w:rsidR="00E61F50" w:rsidRDefault="00E61F50" w:rsidP="00E61F50">
      <w:pPr>
        <w:ind w:left="1440" w:hanging="1440"/>
        <w:jc w:val="both"/>
        <w:rPr>
          <w:b/>
        </w:rPr>
      </w:pPr>
    </w:p>
    <w:p w14:paraId="6EA9420C" w14:textId="19C56CD6" w:rsidR="00E61F50" w:rsidRDefault="00E61F50" w:rsidP="00E61F50">
      <w:pPr>
        <w:ind w:left="1440" w:hanging="1440"/>
        <w:jc w:val="both"/>
        <w:rPr>
          <w:b/>
        </w:rPr>
      </w:pPr>
      <w:r>
        <w:rPr>
          <w:b/>
        </w:rPr>
        <w:t>FRF:</w:t>
      </w:r>
      <w:r>
        <w:rPr>
          <w:b/>
        </w:rPr>
        <w:tab/>
      </w:r>
      <w:r w:rsidR="00B80AEA">
        <w:t>Agree</w:t>
      </w:r>
      <w:r w:rsidR="003A0E88">
        <w:t>s</w:t>
      </w:r>
      <w:r w:rsidR="00B80AEA">
        <w:t xml:space="preserve"> with OPC.</w:t>
      </w:r>
    </w:p>
    <w:p w14:paraId="6E57B5ED" w14:textId="77777777" w:rsidR="00E61F50" w:rsidRDefault="00E61F50" w:rsidP="00E61F50">
      <w:pPr>
        <w:ind w:left="1440" w:hanging="1440"/>
        <w:jc w:val="both"/>
        <w:rPr>
          <w:b/>
        </w:rPr>
      </w:pPr>
    </w:p>
    <w:p w14:paraId="6D54F82A" w14:textId="77777777" w:rsidR="00A14A11" w:rsidRDefault="00C0182D" w:rsidP="00E61F50">
      <w:pPr>
        <w:ind w:left="1440" w:hanging="1440"/>
        <w:jc w:val="both"/>
        <w:rPr>
          <w:b/>
        </w:rPr>
      </w:pPr>
      <w:r>
        <w:rPr>
          <w:b/>
        </w:rPr>
        <w:t xml:space="preserve">FUEL </w:t>
      </w:r>
    </w:p>
    <w:p w14:paraId="35EB30C5" w14:textId="591C5F96" w:rsidR="00E61F50" w:rsidRDefault="00C0182D" w:rsidP="00E61F50">
      <w:pPr>
        <w:ind w:left="1440" w:hanging="1440"/>
        <w:jc w:val="both"/>
      </w:pPr>
      <w:r>
        <w:rPr>
          <w:b/>
        </w:rPr>
        <w:t>RETAILERS</w:t>
      </w:r>
      <w:r w:rsidR="00E61F50">
        <w:rPr>
          <w:b/>
        </w:rPr>
        <w:t>:</w:t>
      </w:r>
      <w:r w:rsidR="00A14A11">
        <w:rPr>
          <w:b/>
        </w:rPr>
        <w:t xml:space="preserve"> </w:t>
      </w:r>
      <w:r w:rsidR="00B66251" w:rsidRPr="00132664">
        <w:t xml:space="preserve">No </w:t>
      </w:r>
      <w:r w:rsidR="003A0E88">
        <w:t>p</w:t>
      </w:r>
      <w:r w:rsidR="00B66251" w:rsidRPr="00132664">
        <w:t>osition.</w:t>
      </w:r>
    </w:p>
    <w:p w14:paraId="1ABAD028" w14:textId="77777777" w:rsidR="00764821" w:rsidRDefault="00764821" w:rsidP="00E61F50">
      <w:pPr>
        <w:ind w:left="1440" w:hanging="1440"/>
        <w:jc w:val="both"/>
      </w:pPr>
    </w:p>
    <w:p w14:paraId="0BD0592A" w14:textId="2028637D" w:rsidR="00764821" w:rsidRPr="00764821" w:rsidRDefault="00FD408B" w:rsidP="00E61F50">
      <w:pPr>
        <w:ind w:left="1440" w:hanging="1440"/>
        <w:jc w:val="both"/>
        <w:rPr>
          <w:b/>
        </w:rPr>
      </w:pPr>
      <w:r>
        <w:rPr>
          <w:b/>
        </w:rPr>
        <w:t>WALMART</w:t>
      </w:r>
      <w:r w:rsidR="00764821">
        <w:rPr>
          <w:b/>
        </w:rPr>
        <w:t>:</w:t>
      </w:r>
      <w:r w:rsidR="00764821">
        <w:rPr>
          <w:b/>
        </w:rPr>
        <w:tab/>
      </w:r>
      <w:r w:rsidR="003A0E88">
        <w:t>A</w:t>
      </w:r>
      <w:r w:rsidR="00764821">
        <w:t>grees with OPC.</w:t>
      </w:r>
    </w:p>
    <w:p w14:paraId="52F95070" w14:textId="77777777" w:rsidR="00E61F50" w:rsidRPr="00701945" w:rsidRDefault="00E61F50" w:rsidP="00E61F50">
      <w:pPr>
        <w:jc w:val="both"/>
      </w:pPr>
    </w:p>
    <w:p w14:paraId="418FAAA9" w14:textId="77777777" w:rsidR="00E61F50" w:rsidRPr="005D4B47" w:rsidRDefault="00E61F50" w:rsidP="00E61F50">
      <w:pPr>
        <w:ind w:left="1440" w:hanging="1440"/>
        <w:jc w:val="both"/>
        <w:rPr>
          <w:b/>
          <w:bCs/>
        </w:rPr>
      </w:pPr>
      <w:r>
        <w:rPr>
          <w:b/>
          <w:bCs/>
        </w:rPr>
        <w:t>STAFF:</w:t>
      </w:r>
      <w:r>
        <w:rPr>
          <w:b/>
          <w:bCs/>
        </w:rPr>
        <w:tab/>
      </w:r>
      <w:r w:rsidR="002C290E">
        <w:t>No position at this time.</w:t>
      </w:r>
    </w:p>
    <w:p w14:paraId="3F92E44B" w14:textId="77777777" w:rsidR="00E61F50" w:rsidRDefault="00E61F50" w:rsidP="00C7699A">
      <w:pPr>
        <w:jc w:val="both"/>
      </w:pPr>
    </w:p>
    <w:p w14:paraId="014CF55B" w14:textId="77777777" w:rsidR="00233644" w:rsidRDefault="00233644" w:rsidP="00C7699A">
      <w:pPr>
        <w:jc w:val="both"/>
      </w:pPr>
    </w:p>
    <w:p w14:paraId="006D4AF3" w14:textId="77777777" w:rsidR="00233644" w:rsidRPr="00233644" w:rsidRDefault="00233644" w:rsidP="00233644">
      <w:pPr>
        <w:jc w:val="center"/>
        <w:rPr>
          <w:b/>
        </w:rPr>
      </w:pPr>
      <w:r w:rsidRPr="00233644">
        <w:rPr>
          <w:b/>
          <w:u w:val="single"/>
        </w:rPr>
        <w:t>2025 NET OPERATING INCOME</w:t>
      </w:r>
      <w:r w:rsidRPr="00233644">
        <w:rPr>
          <w:b/>
          <w:color w:val="FFFFFF"/>
          <w:sz w:val="2"/>
          <w:szCs w:val="2"/>
          <w:u w:val="single"/>
        </w:rPr>
        <w:t xml:space="preserve"> (Is</w:t>
      </w:r>
    </w:p>
    <w:p w14:paraId="7BE10A2A" w14:textId="77777777" w:rsidR="00E61F50" w:rsidRDefault="00E61F50" w:rsidP="00C7699A">
      <w:pPr>
        <w:jc w:val="both"/>
      </w:pPr>
    </w:p>
    <w:p w14:paraId="034FFA50" w14:textId="77777777" w:rsidR="00E61F50" w:rsidRPr="00233644" w:rsidRDefault="00233644" w:rsidP="00E61F50">
      <w:pPr>
        <w:ind w:left="1440" w:hanging="1440"/>
        <w:jc w:val="both"/>
        <w:rPr>
          <w:b/>
        </w:rPr>
      </w:pPr>
      <w:r>
        <w:rPr>
          <w:b/>
          <w:bCs/>
        </w:rPr>
        <w:t>ISSUE 41</w:t>
      </w:r>
      <w:r w:rsidR="00E61F50" w:rsidRPr="00701945">
        <w:rPr>
          <w:b/>
          <w:bCs/>
        </w:rPr>
        <w:t>:</w:t>
      </w:r>
      <w:r w:rsidR="00E61F50" w:rsidRPr="00701945">
        <w:tab/>
      </w:r>
      <w:r w:rsidRPr="00233644">
        <w:rPr>
          <w:b/>
        </w:rPr>
        <w:t>Has TECO correctly calculated the revenues at current rates for the 2025 projected test year?</w:t>
      </w:r>
    </w:p>
    <w:p w14:paraId="2E427C65" w14:textId="77777777" w:rsidR="00E61F50" w:rsidRPr="00701945" w:rsidRDefault="00E61F50" w:rsidP="00E61F50">
      <w:pPr>
        <w:jc w:val="both"/>
      </w:pPr>
    </w:p>
    <w:p w14:paraId="47AB0469" w14:textId="77777777" w:rsidR="00E61F50" w:rsidRPr="005D4B47" w:rsidRDefault="00E61F50" w:rsidP="00E61F50">
      <w:pPr>
        <w:ind w:left="1440" w:hanging="1440"/>
        <w:jc w:val="both"/>
      </w:pPr>
      <w:r>
        <w:rPr>
          <w:b/>
          <w:bCs/>
        </w:rPr>
        <w:t>TECO</w:t>
      </w:r>
      <w:r w:rsidRPr="005D4B47">
        <w:rPr>
          <w:b/>
          <w:bCs/>
        </w:rPr>
        <w:t>:</w:t>
      </w:r>
      <w:r w:rsidRPr="005D4B47">
        <w:tab/>
      </w:r>
      <w:bookmarkStart w:id="8" w:name="_Hlk171867741"/>
      <w:r w:rsidR="00233644">
        <w:t xml:space="preserve">Yes. The correct amount of revenues from sales at current rates for the 2025 projected test year is $1.481 billion as shown on MFR Schedule C-1, page 1 of 3. This amount </w:t>
      </w:r>
      <w:bookmarkEnd w:id="8"/>
      <w:r w:rsidR="00233644">
        <w:t>was determined by applying the company’s current tariff rates to the electricity sales reflected in its Customer, Demand, and Energy forecasts by customer rate classes, is reasonable, and should be approved by the Commission. OPC’s proposed base revenue adjustments for 2025, 2026, and 2027 rely on a methodology that overlooks key facts, has severe shortcomings, and is inaccurate, and therefore should be rejected. (Chronister, Cifuentes, Williams)</w:t>
      </w:r>
    </w:p>
    <w:p w14:paraId="06D51933" w14:textId="77777777" w:rsidR="00E61F50" w:rsidRPr="00701945" w:rsidRDefault="00E61F50" w:rsidP="00E61F50">
      <w:pPr>
        <w:jc w:val="both"/>
      </w:pPr>
    </w:p>
    <w:p w14:paraId="38345FF7" w14:textId="401FAD0A" w:rsidR="00E61F50" w:rsidRDefault="00E61F50" w:rsidP="00E61F50">
      <w:pPr>
        <w:ind w:left="1440" w:hanging="1440"/>
        <w:jc w:val="both"/>
      </w:pPr>
      <w:r>
        <w:rPr>
          <w:b/>
          <w:bCs/>
        </w:rPr>
        <w:t>OPC</w:t>
      </w:r>
      <w:r w:rsidRPr="00701945">
        <w:rPr>
          <w:b/>
          <w:bCs/>
        </w:rPr>
        <w:t>:</w:t>
      </w:r>
      <w:r>
        <w:tab/>
      </w:r>
      <w:r w:rsidR="00A81692" w:rsidRPr="00DE6C0C">
        <w:t>No. T</w:t>
      </w:r>
      <w:r w:rsidR="000C400F">
        <w:t xml:space="preserve">he Commission should reject TECO’s </w:t>
      </w:r>
      <w:r w:rsidR="00A81692" w:rsidRPr="00DE6C0C">
        <w:t xml:space="preserve">energy sales forecast because it bears no resemblance to historic trends and is biased due to the introduction of a number of subjective out-of-model adjustments. Over the past several years, the </w:t>
      </w:r>
      <w:r w:rsidR="00804CFF">
        <w:t>c</w:t>
      </w:r>
      <w:r w:rsidR="00A81692" w:rsidRPr="00DE6C0C">
        <w:t>ompany has consistently prepared sales forecasts that were lower than actuals. The Commission should instead accept a conser</w:t>
      </w:r>
      <w:r w:rsidR="00804CFF">
        <w:t xml:space="preserve">vative, modified version of TECO’s </w:t>
      </w:r>
      <w:r w:rsidR="00A81692" w:rsidRPr="00DE6C0C">
        <w:t>forecast that removes subjective out-of-model adjustments. The removal of out-of-mode</w:t>
      </w:r>
      <w:r w:rsidR="00804CFF">
        <w:t xml:space="preserve">l adjustments will increase TECO’s </w:t>
      </w:r>
      <w:r w:rsidR="00A81692" w:rsidRPr="00DE6C0C">
        <w:t xml:space="preserve">test year sales forecast resulting in a 2025 sales projection of 20,635,457 </w:t>
      </w:r>
      <w:r w:rsidR="00804CFF">
        <w:t>MW</w:t>
      </w:r>
      <w:r w:rsidR="00A81692" w:rsidRPr="00DE6C0C">
        <w:t xml:space="preserve">-hours. This will result in an increase of 2025 test year </w:t>
      </w:r>
      <w:r w:rsidR="00A81692">
        <w:t xml:space="preserve">projected </w:t>
      </w:r>
      <w:r w:rsidR="00A81692" w:rsidRPr="00DE6C0C">
        <w:t>retail revenues by $12</w:t>
      </w:r>
      <w:r w:rsidR="00A81692">
        <w:t>.3 million</w:t>
      </w:r>
      <w:r w:rsidR="00A81692" w:rsidRPr="00DE6C0C">
        <w:t>.</w:t>
      </w:r>
    </w:p>
    <w:p w14:paraId="4C52678A" w14:textId="77777777" w:rsidR="00E61F50" w:rsidRDefault="00E61F50" w:rsidP="00E61F50">
      <w:pPr>
        <w:ind w:left="1440" w:hanging="1440"/>
        <w:jc w:val="both"/>
      </w:pPr>
    </w:p>
    <w:p w14:paraId="105AE6B0" w14:textId="77777777" w:rsidR="00E61F50" w:rsidRDefault="00E61F50" w:rsidP="00E61F50">
      <w:pPr>
        <w:ind w:left="1440" w:hanging="1440"/>
        <w:jc w:val="both"/>
        <w:rPr>
          <w:b/>
        </w:rPr>
      </w:pPr>
      <w:r>
        <w:rPr>
          <w:b/>
        </w:rPr>
        <w:t>FL RISING/</w:t>
      </w:r>
    </w:p>
    <w:p w14:paraId="0A50A158" w14:textId="77777777" w:rsidR="00E61F50" w:rsidRDefault="00E61F50" w:rsidP="00E61F50">
      <w:pPr>
        <w:ind w:left="1440" w:hanging="1440"/>
        <w:jc w:val="both"/>
        <w:rPr>
          <w:b/>
        </w:rPr>
      </w:pPr>
      <w:r>
        <w:rPr>
          <w:b/>
        </w:rPr>
        <w:t>LULAC:</w:t>
      </w:r>
      <w:r>
        <w:rPr>
          <w:b/>
        </w:rPr>
        <w:tab/>
      </w:r>
      <w:r w:rsidR="00902496">
        <w:t>No.</w:t>
      </w:r>
    </w:p>
    <w:p w14:paraId="524A514F" w14:textId="77777777" w:rsidR="00E61F50" w:rsidRDefault="00E61F50" w:rsidP="00E61F50">
      <w:pPr>
        <w:ind w:left="1440" w:hanging="1440"/>
        <w:jc w:val="both"/>
        <w:rPr>
          <w:b/>
        </w:rPr>
      </w:pPr>
    </w:p>
    <w:p w14:paraId="081E2137" w14:textId="202E46ED" w:rsidR="00E61F50" w:rsidRDefault="00E61F50" w:rsidP="00E61F50">
      <w:pPr>
        <w:ind w:left="1440" w:hanging="1440"/>
        <w:jc w:val="both"/>
        <w:rPr>
          <w:b/>
        </w:rPr>
      </w:pPr>
      <w:r>
        <w:rPr>
          <w:b/>
        </w:rPr>
        <w:t>FIPUG:</w:t>
      </w:r>
      <w:r>
        <w:rPr>
          <w:b/>
        </w:rPr>
        <w:tab/>
      </w:r>
      <w:r w:rsidR="001901B3">
        <w:rPr>
          <w:bCs/>
        </w:rPr>
        <w:t>Adopt</w:t>
      </w:r>
      <w:r w:rsidR="004F7243">
        <w:rPr>
          <w:bCs/>
        </w:rPr>
        <w:t>s</w:t>
      </w:r>
      <w:r w:rsidR="001901B3">
        <w:rPr>
          <w:bCs/>
        </w:rPr>
        <w:t xml:space="preserve"> the position of OPC.</w:t>
      </w:r>
    </w:p>
    <w:p w14:paraId="06ECE279" w14:textId="77777777" w:rsidR="00E61F50" w:rsidRDefault="00E61F50" w:rsidP="00E61F50">
      <w:pPr>
        <w:ind w:left="1440" w:hanging="1440"/>
        <w:jc w:val="both"/>
        <w:rPr>
          <w:b/>
        </w:rPr>
      </w:pPr>
    </w:p>
    <w:p w14:paraId="48B8E4DE" w14:textId="1FFD3D6F" w:rsidR="00E61F50" w:rsidRDefault="00E61F50" w:rsidP="00E61F50">
      <w:pPr>
        <w:ind w:left="1440" w:hanging="1440"/>
        <w:jc w:val="both"/>
        <w:rPr>
          <w:b/>
        </w:rPr>
      </w:pPr>
      <w:r>
        <w:rPr>
          <w:b/>
        </w:rPr>
        <w:t>FEA:</w:t>
      </w:r>
      <w:r>
        <w:rPr>
          <w:b/>
        </w:rPr>
        <w:tab/>
      </w:r>
      <w:r w:rsidR="004F7243">
        <w:t>No position.</w:t>
      </w:r>
    </w:p>
    <w:p w14:paraId="7830F93A" w14:textId="68958D59" w:rsidR="00E61F50" w:rsidRDefault="00E61F50" w:rsidP="00E61F50">
      <w:pPr>
        <w:ind w:left="1440" w:hanging="1440"/>
        <w:jc w:val="both"/>
        <w:rPr>
          <w:b/>
        </w:rPr>
      </w:pPr>
    </w:p>
    <w:p w14:paraId="4C5C7D67" w14:textId="77777777" w:rsidR="00893FE9" w:rsidRDefault="00893FE9" w:rsidP="00E61F50">
      <w:pPr>
        <w:ind w:left="1440" w:hanging="1440"/>
        <w:jc w:val="both"/>
        <w:rPr>
          <w:b/>
        </w:rPr>
      </w:pPr>
    </w:p>
    <w:p w14:paraId="061F60B8" w14:textId="77777777" w:rsidR="00A14A11" w:rsidRDefault="00764960" w:rsidP="00E61F50">
      <w:pPr>
        <w:ind w:left="1440" w:hanging="1440"/>
        <w:jc w:val="both"/>
        <w:rPr>
          <w:b/>
        </w:rPr>
      </w:pPr>
      <w:r>
        <w:rPr>
          <w:b/>
        </w:rPr>
        <w:lastRenderedPageBreak/>
        <w:t xml:space="preserve">SIERRA </w:t>
      </w:r>
    </w:p>
    <w:p w14:paraId="09D62B72" w14:textId="40AE9F3B" w:rsidR="00E61F50" w:rsidRDefault="00764960" w:rsidP="00E61F50">
      <w:pPr>
        <w:ind w:left="1440" w:hanging="1440"/>
        <w:jc w:val="both"/>
        <w:rPr>
          <w:b/>
        </w:rPr>
      </w:pPr>
      <w:r>
        <w:rPr>
          <w:b/>
        </w:rPr>
        <w:t>CLUB</w:t>
      </w:r>
      <w:r w:rsidR="00E61F50">
        <w:rPr>
          <w:b/>
        </w:rPr>
        <w:t>:</w:t>
      </w:r>
      <w:r w:rsidR="00E61F50">
        <w:rPr>
          <w:b/>
        </w:rPr>
        <w:tab/>
      </w:r>
      <w:r w:rsidR="004F7243">
        <w:t>No position.</w:t>
      </w:r>
    </w:p>
    <w:p w14:paraId="784D742D" w14:textId="77777777" w:rsidR="00E61F50" w:rsidRDefault="00E61F50" w:rsidP="00E61F50">
      <w:pPr>
        <w:ind w:left="1440" w:hanging="1440"/>
        <w:jc w:val="both"/>
        <w:rPr>
          <w:b/>
        </w:rPr>
      </w:pPr>
    </w:p>
    <w:p w14:paraId="4E6ED24A" w14:textId="211BF594" w:rsidR="00E61F50" w:rsidRDefault="00E61F50" w:rsidP="00E61F50">
      <w:pPr>
        <w:ind w:left="1440" w:hanging="1440"/>
        <w:jc w:val="both"/>
        <w:rPr>
          <w:b/>
        </w:rPr>
      </w:pPr>
      <w:r>
        <w:rPr>
          <w:b/>
        </w:rPr>
        <w:t>FRF:</w:t>
      </w:r>
      <w:r>
        <w:rPr>
          <w:b/>
        </w:rPr>
        <w:tab/>
      </w:r>
      <w:r w:rsidR="00B80AEA">
        <w:t>No. TECO’s sales forecast is significantly understated. The Commission should increase 2025 test year retail revenue by at least $12.3 million.</w:t>
      </w:r>
    </w:p>
    <w:p w14:paraId="0C86491D" w14:textId="77777777" w:rsidR="00E61F50" w:rsidRDefault="00E61F50" w:rsidP="00E61F50">
      <w:pPr>
        <w:ind w:left="1440" w:hanging="1440"/>
        <w:jc w:val="both"/>
        <w:rPr>
          <w:b/>
        </w:rPr>
      </w:pPr>
    </w:p>
    <w:p w14:paraId="1CBBD066" w14:textId="77777777" w:rsidR="00A14A11" w:rsidRDefault="00C0182D" w:rsidP="00E61F50">
      <w:pPr>
        <w:ind w:left="1440" w:hanging="1440"/>
        <w:jc w:val="both"/>
        <w:rPr>
          <w:b/>
        </w:rPr>
      </w:pPr>
      <w:r>
        <w:rPr>
          <w:b/>
        </w:rPr>
        <w:t xml:space="preserve">FUEL </w:t>
      </w:r>
    </w:p>
    <w:p w14:paraId="16AF840D" w14:textId="4418B12D" w:rsidR="00E61F50" w:rsidRDefault="00C0182D" w:rsidP="00E61F50">
      <w:pPr>
        <w:ind w:left="1440" w:hanging="1440"/>
        <w:jc w:val="both"/>
      </w:pPr>
      <w:r>
        <w:rPr>
          <w:b/>
        </w:rPr>
        <w:t>RETAILERS</w:t>
      </w:r>
      <w:r w:rsidR="00E61F50">
        <w:rPr>
          <w:b/>
        </w:rPr>
        <w:t>:</w:t>
      </w:r>
      <w:r w:rsidR="00A14A11">
        <w:rPr>
          <w:b/>
        </w:rPr>
        <w:t xml:space="preserve"> </w:t>
      </w:r>
      <w:r w:rsidR="00203035" w:rsidRPr="00132664">
        <w:t xml:space="preserve">No </w:t>
      </w:r>
      <w:r w:rsidR="00C23E91">
        <w:t>p</w:t>
      </w:r>
      <w:r w:rsidR="00203035" w:rsidRPr="00132664">
        <w:t>osition.</w:t>
      </w:r>
    </w:p>
    <w:p w14:paraId="6669A822" w14:textId="77777777" w:rsidR="00E61243" w:rsidRDefault="00E61243" w:rsidP="00E61F50">
      <w:pPr>
        <w:ind w:left="1440" w:hanging="1440"/>
        <w:jc w:val="both"/>
      </w:pPr>
    </w:p>
    <w:p w14:paraId="7E641024" w14:textId="31929B4E" w:rsidR="00E61243" w:rsidRPr="00E61243" w:rsidRDefault="00FD408B" w:rsidP="00E61F50">
      <w:pPr>
        <w:ind w:left="1440" w:hanging="1440"/>
        <w:jc w:val="both"/>
        <w:rPr>
          <w:b/>
        </w:rPr>
      </w:pPr>
      <w:r>
        <w:rPr>
          <w:b/>
        </w:rPr>
        <w:t>WALMART</w:t>
      </w:r>
      <w:r w:rsidR="00E61243">
        <w:rPr>
          <w:b/>
        </w:rPr>
        <w:t>:</w:t>
      </w:r>
      <w:r w:rsidR="00E61243">
        <w:rPr>
          <w:b/>
        </w:rPr>
        <w:tab/>
      </w:r>
      <w:r w:rsidR="00AA56C9">
        <w:t>A</w:t>
      </w:r>
      <w:r w:rsidR="00E61243">
        <w:t>grees with OPC.</w:t>
      </w:r>
    </w:p>
    <w:p w14:paraId="5FCC3594" w14:textId="77777777" w:rsidR="00E61F50" w:rsidRPr="00701945" w:rsidRDefault="00E61F50" w:rsidP="00E61F50">
      <w:pPr>
        <w:jc w:val="both"/>
      </w:pPr>
    </w:p>
    <w:p w14:paraId="38305C63" w14:textId="77777777" w:rsidR="00E61F50" w:rsidRPr="005D4B47" w:rsidRDefault="00E61F50" w:rsidP="00E61F50">
      <w:pPr>
        <w:ind w:left="1440" w:hanging="1440"/>
        <w:jc w:val="both"/>
        <w:rPr>
          <w:b/>
          <w:bCs/>
        </w:rPr>
      </w:pPr>
      <w:r>
        <w:rPr>
          <w:b/>
          <w:bCs/>
        </w:rPr>
        <w:t>STAFF:</w:t>
      </w:r>
      <w:r>
        <w:rPr>
          <w:b/>
          <w:bCs/>
        </w:rPr>
        <w:tab/>
      </w:r>
      <w:r w:rsidR="002C290E">
        <w:t>No position at this time.</w:t>
      </w:r>
    </w:p>
    <w:p w14:paraId="325511D7" w14:textId="77777777" w:rsidR="00E61F50" w:rsidRDefault="00E61F50" w:rsidP="00C7699A">
      <w:pPr>
        <w:jc w:val="both"/>
      </w:pPr>
    </w:p>
    <w:p w14:paraId="049A30B6" w14:textId="77777777" w:rsidR="00E61F50" w:rsidRDefault="00E61F50" w:rsidP="00C7699A">
      <w:pPr>
        <w:jc w:val="both"/>
      </w:pPr>
    </w:p>
    <w:p w14:paraId="2A4B7429" w14:textId="77777777" w:rsidR="00E61F50" w:rsidRPr="00233644" w:rsidRDefault="00233644" w:rsidP="00E61F50">
      <w:pPr>
        <w:ind w:left="1440" w:hanging="1440"/>
        <w:jc w:val="both"/>
        <w:rPr>
          <w:b/>
        </w:rPr>
      </w:pPr>
      <w:r>
        <w:rPr>
          <w:b/>
          <w:bCs/>
        </w:rPr>
        <w:t>ISSUE 42</w:t>
      </w:r>
      <w:r w:rsidR="00E61F50" w:rsidRPr="00701945">
        <w:rPr>
          <w:b/>
          <w:bCs/>
        </w:rPr>
        <w:t>:</w:t>
      </w:r>
      <w:r w:rsidR="00E61F50" w:rsidRPr="00701945">
        <w:tab/>
      </w:r>
      <w:r w:rsidRPr="00233644">
        <w:rPr>
          <w:b/>
        </w:rPr>
        <w:t xml:space="preserve">What amount of Total Operating Revenues </w:t>
      </w:r>
      <w:r w:rsidRPr="00233644">
        <w:rPr>
          <w:b/>
          <w:bCs/>
        </w:rPr>
        <w:t xml:space="preserve">should be approved </w:t>
      </w:r>
      <w:r w:rsidRPr="00233644">
        <w:rPr>
          <w:b/>
        </w:rPr>
        <w:t xml:space="preserve">for the </w:t>
      </w:r>
      <w:r w:rsidRPr="00233644">
        <w:rPr>
          <w:b/>
          <w:bCs/>
        </w:rPr>
        <w:t>2025 projected test year</w:t>
      </w:r>
      <w:r w:rsidRPr="00233644">
        <w:rPr>
          <w:b/>
        </w:rPr>
        <w:t>?</w:t>
      </w:r>
    </w:p>
    <w:p w14:paraId="2BB40BA8" w14:textId="77777777" w:rsidR="00E61F50" w:rsidRPr="00701945" w:rsidRDefault="00E61F50" w:rsidP="00E61F50">
      <w:pPr>
        <w:jc w:val="both"/>
      </w:pPr>
    </w:p>
    <w:p w14:paraId="352FFFCD" w14:textId="77777777" w:rsidR="00E61F50" w:rsidRPr="005D4B47" w:rsidRDefault="00E61F50" w:rsidP="00E61F50">
      <w:pPr>
        <w:ind w:left="1440" w:hanging="1440"/>
        <w:jc w:val="both"/>
      </w:pPr>
      <w:r>
        <w:rPr>
          <w:b/>
          <w:bCs/>
        </w:rPr>
        <w:t>TECO</w:t>
      </w:r>
      <w:r w:rsidRPr="005D4B47">
        <w:rPr>
          <w:b/>
          <w:bCs/>
        </w:rPr>
        <w:t>:</w:t>
      </w:r>
      <w:r w:rsidRPr="005D4B47">
        <w:tab/>
      </w:r>
      <w:r w:rsidR="00233644">
        <w:t>The correct amount of total operating revenues for the 2025 projected test year is $1.518 billion as shown on MFR Schedule C-1, page 1 of 3. This amount reflects the amount of revenue from sales in Issue No. 41 plus a reasonable estimate of Other Operating Revenues for the 2025 test year. (Chronister, Cifuentes, Williams)</w:t>
      </w:r>
    </w:p>
    <w:p w14:paraId="0D75382A" w14:textId="77777777" w:rsidR="00E61F50" w:rsidRPr="00701945" w:rsidRDefault="00E61F50" w:rsidP="00E61F50">
      <w:pPr>
        <w:jc w:val="both"/>
      </w:pPr>
    </w:p>
    <w:p w14:paraId="64F84AD1" w14:textId="074115BC" w:rsidR="00E61F50" w:rsidRDefault="00E61F50" w:rsidP="00E61F50">
      <w:pPr>
        <w:ind w:left="1440" w:hanging="1440"/>
        <w:jc w:val="both"/>
      </w:pPr>
      <w:r>
        <w:rPr>
          <w:b/>
          <w:bCs/>
        </w:rPr>
        <w:t>OPC</w:t>
      </w:r>
      <w:r w:rsidRPr="00701945">
        <w:rPr>
          <w:b/>
          <w:bCs/>
        </w:rPr>
        <w:t>:</w:t>
      </w:r>
      <w:r>
        <w:tab/>
      </w:r>
      <w:r w:rsidR="00F464AF">
        <w:t>This is a largely a fall out issue, but TECO has the burden of proof to demonstrate the reasonableness of its forecast of test year revenues. OPC is still conducting discovery and certain other specific adjustments to rate base may be required. The Total Operating Revenues for the 2025 projected test year should reflect all of OPC’s recommended adjustments</w:t>
      </w:r>
      <w:r w:rsidR="00557F0F">
        <w:t>, the adjustments for Issue 7 and should be no more than $43.8 million</w:t>
      </w:r>
      <w:r w:rsidR="00F464AF">
        <w:t>.</w:t>
      </w:r>
    </w:p>
    <w:p w14:paraId="245B3089" w14:textId="77777777" w:rsidR="00E61F50" w:rsidRDefault="00E61F50" w:rsidP="00E61F50">
      <w:pPr>
        <w:ind w:left="1440" w:hanging="1440"/>
        <w:jc w:val="both"/>
      </w:pPr>
    </w:p>
    <w:p w14:paraId="5961ADDE" w14:textId="77777777" w:rsidR="00E61F50" w:rsidRDefault="00E61F50" w:rsidP="00E61F50">
      <w:pPr>
        <w:ind w:left="1440" w:hanging="1440"/>
        <w:jc w:val="both"/>
        <w:rPr>
          <w:b/>
        </w:rPr>
      </w:pPr>
      <w:r>
        <w:rPr>
          <w:b/>
        </w:rPr>
        <w:t>FL RISING/</w:t>
      </w:r>
    </w:p>
    <w:p w14:paraId="1357FD09" w14:textId="7347C38C" w:rsidR="00E61F50" w:rsidRDefault="00E61F50" w:rsidP="00E61F50">
      <w:pPr>
        <w:ind w:left="1440" w:hanging="1440"/>
        <w:jc w:val="both"/>
        <w:rPr>
          <w:b/>
        </w:rPr>
      </w:pPr>
      <w:r>
        <w:rPr>
          <w:b/>
        </w:rPr>
        <w:t>LULAC:</w:t>
      </w:r>
      <w:r>
        <w:rPr>
          <w:b/>
        </w:rPr>
        <w:tab/>
      </w:r>
      <w:r w:rsidR="00902496">
        <w:t>Adopt</w:t>
      </w:r>
      <w:r w:rsidR="003701E7">
        <w:t xml:space="preserve">s the position of </w:t>
      </w:r>
      <w:r w:rsidR="00902496">
        <w:t>OPC.</w:t>
      </w:r>
    </w:p>
    <w:p w14:paraId="3192FE83" w14:textId="77777777" w:rsidR="00E61F50" w:rsidRDefault="00E61F50" w:rsidP="00E61F50">
      <w:pPr>
        <w:ind w:left="1440" w:hanging="1440"/>
        <w:jc w:val="both"/>
        <w:rPr>
          <w:b/>
        </w:rPr>
      </w:pPr>
    </w:p>
    <w:p w14:paraId="6F3AC2ED" w14:textId="5B669438" w:rsidR="00E61F50" w:rsidRDefault="00E61F50" w:rsidP="00E61F50">
      <w:pPr>
        <w:ind w:left="1440" w:hanging="1440"/>
        <w:jc w:val="both"/>
        <w:rPr>
          <w:b/>
        </w:rPr>
      </w:pPr>
      <w:r>
        <w:rPr>
          <w:b/>
        </w:rPr>
        <w:t>FIPUG:</w:t>
      </w:r>
      <w:r>
        <w:rPr>
          <w:b/>
        </w:rPr>
        <w:tab/>
      </w:r>
      <w:r w:rsidR="001901B3">
        <w:rPr>
          <w:bCs/>
        </w:rPr>
        <w:t>Adopt</w:t>
      </w:r>
      <w:r w:rsidR="00556881">
        <w:rPr>
          <w:bCs/>
        </w:rPr>
        <w:t>s</w:t>
      </w:r>
      <w:r w:rsidR="001901B3">
        <w:rPr>
          <w:bCs/>
        </w:rPr>
        <w:t xml:space="preserve"> the position of OPC.</w:t>
      </w:r>
    </w:p>
    <w:p w14:paraId="3C54E80C" w14:textId="77777777" w:rsidR="00E61F50" w:rsidRDefault="00E61F50" w:rsidP="00E61F50">
      <w:pPr>
        <w:ind w:left="1440" w:hanging="1440"/>
        <w:jc w:val="both"/>
        <w:rPr>
          <w:b/>
        </w:rPr>
      </w:pPr>
    </w:p>
    <w:p w14:paraId="2056E835" w14:textId="5691D41B" w:rsidR="00E61F50" w:rsidRDefault="00E61F50" w:rsidP="00E61F50">
      <w:pPr>
        <w:ind w:left="1440" w:hanging="1440"/>
        <w:jc w:val="both"/>
        <w:rPr>
          <w:b/>
        </w:rPr>
      </w:pPr>
      <w:r>
        <w:rPr>
          <w:b/>
        </w:rPr>
        <w:t>FEA:</w:t>
      </w:r>
      <w:r>
        <w:rPr>
          <w:b/>
        </w:rPr>
        <w:tab/>
      </w:r>
      <w:r w:rsidR="00556881">
        <w:t>No position.</w:t>
      </w:r>
    </w:p>
    <w:p w14:paraId="4116F68C" w14:textId="77777777" w:rsidR="00E61F50" w:rsidRDefault="00E61F50" w:rsidP="00E61F50">
      <w:pPr>
        <w:ind w:left="1440" w:hanging="1440"/>
        <w:jc w:val="both"/>
        <w:rPr>
          <w:b/>
        </w:rPr>
      </w:pPr>
    </w:p>
    <w:p w14:paraId="6823D123" w14:textId="77777777" w:rsidR="00A14A11" w:rsidRDefault="00764960" w:rsidP="00E61F50">
      <w:pPr>
        <w:ind w:left="1440" w:hanging="1440"/>
        <w:jc w:val="both"/>
        <w:rPr>
          <w:b/>
        </w:rPr>
      </w:pPr>
      <w:r>
        <w:rPr>
          <w:b/>
        </w:rPr>
        <w:t xml:space="preserve">SIERRA </w:t>
      </w:r>
    </w:p>
    <w:p w14:paraId="28FD22AA" w14:textId="29F99DB4" w:rsidR="00E61F50" w:rsidRDefault="00764960" w:rsidP="00E61F50">
      <w:pPr>
        <w:ind w:left="1440" w:hanging="1440"/>
        <w:jc w:val="both"/>
        <w:rPr>
          <w:b/>
        </w:rPr>
      </w:pPr>
      <w:r>
        <w:rPr>
          <w:b/>
        </w:rPr>
        <w:t>CLUB</w:t>
      </w:r>
      <w:r w:rsidR="00E61F50">
        <w:rPr>
          <w:b/>
        </w:rPr>
        <w:t>:</w:t>
      </w:r>
      <w:r w:rsidR="00E61F50">
        <w:rPr>
          <w:b/>
        </w:rPr>
        <w:tab/>
      </w:r>
      <w:r w:rsidR="00556881">
        <w:t>No position.</w:t>
      </w:r>
    </w:p>
    <w:p w14:paraId="1227AA61" w14:textId="77777777" w:rsidR="00E61F50" w:rsidRDefault="00E61F50" w:rsidP="00E61F50">
      <w:pPr>
        <w:ind w:left="1440" w:hanging="1440"/>
        <w:jc w:val="both"/>
        <w:rPr>
          <w:b/>
        </w:rPr>
      </w:pPr>
    </w:p>
    <w:p w14:paraId="16BFFDD1" w14:textId="092DB898" w:rsidR="00E61F50" w:rsidRDefault="00E61F50" w:rsidP="00E61F50">
      <w:pPr>
        <w:ind w:left="1440" w:hanging="1440"/>
        <w:jc w:val="both"/>
        <w:rPr>
          <w:b/>
        </w:rPr>
      </w:pPr>
      <w:r>
        <w:rPr>
          <w:b/>
        </w:rPr>
        <w:t>FRF:</w:t>
      </w:r>
      <w:r>
        <w:rPr>
          <w:b/>
        </w:rPr>
        <w:tab/>
      </w:r>
      <w:r w:rsidR="00B80AEA">
        <w:t>Agree</w:t>
      </w:r>
      <w:r w:rsidR="00F91CAE">
        <w:t>s</w:t>
      </w:r>
      <w:r w:rsidR="00B80AEA">
        <w:t xml:space="preserve"> with OPC.</w:t>
      </w:r>
    </w:p>
    <w:p w14:paraId="5E7905B4" w14:textId="77777777" w:rsidR="00E61F50" w:rsidRDefault="00E61F50" w:rsidP="00E61F50">
      <w:pPr>
        <w:ind w:left="1440" w:hanging="1440"/>
        <w:jc w:val="both"/>
        <w:rPr>
          <w:b/>
        </w:rPr>
      </w:pPr>
    </w:p>
    <w:p w14:paraId="475D7036" w14:textId="77777777" w:rsidR="00A14A11" w:rsidRDefault="00C0182D" w:rsidP="00E61F50">
      <w:pPr>
        <w:ind w:left="1440" w:hanging="1440"/>
        <w:jc w:val="both"/>
        <w:rPr>
          <w:b/>
        </w:rPr>
      </w:pPr>
      <w:r>
        <w:rPr>
          <w:b/>
        </w:rPr>
        <w:t xml:space="preserve">FUEL </w:t>
      </w:r>
    </w:p>
    <w:p w14:paraId="63DCAEDE" w14:textId="1CC89424" w:rsidR="00E61F50" w:rsidRDefault="00C0182D" w:rsidP="00E61F50">
      <w:pPr>
        <w:ind w:left="1440" w:hanging="1440"/>
        <w:jc w:val="both"/>
      </w:pPr>
      <w:r>
        <w:rPr>
          <w:b/>
        </w:rPr>
        <w:t>RETAILERS</w:t>
      </w:r>
      <w:r w:rsidR="00E61F50">
        <w:rPr>
          <w:b/>
        </w:rPr>
        <w:t>:</w:t>
      </w:r>
      <w:r w:rsidR="00A14A11">
        <w:rPr>
          <w:b/>
        </w:rPr>
        <w:t xml:space="preserve"> </w:t>
      </w:r>
      <w:r w:rsidR="00203035" w:rsidRPr="00132664">
        <w:t xml:space="preserve">No </w:t>
      </w:r>
      <w:r w:rsidR="00F91CAE">
        <w:t>p</w:t>
      </w:r>
      <w:r w:rsidR="00203035" w:rsidRPr="00132664">
        <w:t>osition.</w:t>
      </w:r>
    </w:p>
    <w:p w14:paraId="242D6ABE" w14:textId="77777777" w:rsidR="00E61243" w:rsidRDefault="00E61243" w:rsidP="00E61F50">
      <w:pPr>
        <w:ind w:left="1440" w:hanging="1440"/>
        <w:jc w:val="both"/>
      </w:pPr>
    </w:p>
    <w:p w14:paraId="7D64CAAB" w14:textId="17D6428C" w:rsidR="00E61243" w:rsidRPr="00E61243" w:rsidRDefault="00FD408B" w:rsidP="00E61F50">
      <w:pPr>
        <w:ind w:left="1440" w:hanging="1440"/>
        <w:jc w:val="both"/>
        <w:rPr>
          <w:b/>
        </w:rPr>
      </w:pPr>
      <w:r>
        <w:rPr>
          <w:b/>
        </w:rPr>
        <w:lastRenderedPageBreak/>
        <w:t>WALMART</w:t>
      </w:r>
      <w:r w:rsidR="00E61243">
        <w:rPr>
          <w:b/>
        </w:rPr>
        <w:t>:</w:t>
      </w:r>
      <w:r w:rsidR="00E61243">
        <w:rPr>
          <w:b/>
        </w:rPr>
        <w:tab/>
      </w:r>
      <w:r w:rsidR="00F91CAE" w:rsidRPr="00F91CAE">
        <w:t>A</w:t>
      </w:r>
      <w:r w:rsidR="00E61243">
        <w:t>grees with OPC.</w:t>
      </w:r>
    </w:p>
    <w:p w14:paraId="1EC0058C" w14:textId="77777777" w:rsidR="00E61F50" w:rsidRPr="00701945" w:rsidRDefault="00E61F50" w:rsidP="00E61F50">
      <w:pPr>
        <w:jc w:val="both"/>
      </w:pPr>
    </w:p>
    <w:p w14:paraId="47A1966A" w14:textId="77777777" w:rsidR="00E61F50" w:rsidRPr="005D4B47" w:rsidRDefault="00E61F50" w:rsidP="00E61F50">
      <w:pPr>
        <w:ind w:left="1440" w:hanging="1440"/>
        <w:jc w:val="both"/>
        <w:rPr>
          <w:b/>
          <w:bCs/>
        </w:rPr>
      </w:pPr>
      <w:r>
        <w:rPr>
          <w:b/>
          <w:bCs/>
        </w:rPr>
        <w:t>STAFF:</w:t>
      </w:r>
      <w:r>
        <w:rPr>
          <w:b/>
          <w:bCs/>
        </w:rPr>
        <w:tab/>
      </w:r>
      <w:r w:rsidR="002C290E">
        <w:t>No position at this time.</w:t>
      </w:r>
    </w:p>
    <w:p w14:paraId="1D143016" w14:textId="77777777" w:rsidR="00E61F50" w:rsidRDefault="00E61F50" w:rsidP="00C7699A">
      <w:pPr>
        <w:jc w:val="both"/>
      </w:pPr>
    </w:p>
    <w:p w14:paraId="2A856BB9" w14:textId="77777777" w:rsidR="0056209D" w:rsidRDefault="0056209D" w:rsidP="00C7699A">
      <w:pPr>
        <w:jc w:val="both"/>
      </w:pPr>
    </w:p>
    <w:p w14:paraId="5B8266BB" w14:textId="77777777" w:rsidR="00E61F50" w:rsidRPr="00233644" w:rsidRDefault="00233644" w:rsidP="00E61F50">
      <w:pPr>
        <w:ind w:left="1440" w:hanging="1440"/>
        <w:jc w:val="both"/>
        <w:rPr>
          <w:b/>
        </w:rPr>
      </w:pPr>
      <w:r>
        <w:rPr>
          <w:b/>
          <w:bCs/>
        </w:rPr>
        <w:t>ISSUE 43</w:t>
      </w:r>
      <w:r w:rsidR="00E61F50" w:rsidRPr="00701945">
        <w:rPr>
          <w:b/>
          <w:bCs/>
        </w:rPr>
        <w:t>:</w:t>
      </w:r>
      <w:r w:rsidR="00E61F50" w:rsidRPr="00701945">
        <w:tab/>
      </w:r>
      <w:r w:rsidRPr="00233644">
        <w:rPr>
          <w:b/>
          <w:bCs/>
        </w:rPr>
        <w:t>What amount of O&amp;M expense associated with Polk Unit 1 has TECO included in the 2025 projected test year? Should this amount be approved and what, if any, adjustments should be made?</w:t>
      </w:r>
    </w:p>
    <w:p w14:paraId="34ABFB8F" w14:textId="77777777" w:rsidR="00E61F50" w:rsidRPr="00701945" w:rsidRDefault="00E61F50" w:rsidP="00E61F50">
      <w:pPr>
        <w:jc w:val="both"/>
      </w:pPr>
    </w:p>
    <w:p w14:paraId="44DE7ECE" w14:textId="77777777" w:rsidR="00E61F50" w:rsidRPr="005D4B47" w:rsidRDefault="00E61F50" w:rsidP="00E61F50">
      <w:pPr>
        <w:ind w:left="1440" w:hanging="1440"/>
        <w:jc w:val="both"/>
      </w:pPr>
      <w:r>
        <w:rPr>
          <w:b/>
          <w:bCs/>
        </w:rPr>
        <w:t>TECO</w:t>
      </w:r>
      <w:r w:rsidRPr="005D4B47">
        <w:rPr>
          <w:b/>
          <w:bCs/>
        </w:rPr>
        <w:t>:</w:t>
      </w:r>
      <w:r w:rsidRPr="005D4B47">
        <w:tab/>
      </w:r>
      <w:r w:rsidR="00233644">
        <w:t xml:space="preserve">As noted in the company’s answer to Sierra Club’s First Set of Interrogatories No. 6, the company included $9,685,047 of Polk Unit 1 non-fuel O&amp;M costs in the 2025 projected test year. </w:t>
      </w:r>
      <w:bookmarkStart w:id="9" w:name="_Hlk172008075"/>
      <w:r w:rsidR="00233644">
        <w:t xml:space="preserve">Most of this amount is associated with the operation of Polk Unit 1 on natural gas. Polk Unit 1 provides important fuel diversity, reliability, and flexibility benefits to customers and could return to IGCC operation within a year to help protect customers from high gas prices if the forward curve for petcoke is favorable. The existing well system at Polk Station is adequate and necessary to handle the wastewater from Polk 1 and 2. The associated environmental costs are justified in light of the significant fuel diversity, reliability, and flexibility benefits that Polk Unit 1 provides to customers. For these reasons, Sierra Club’s recommendations to disallow the O&amp;M expenses associated with wastewater injection and the IGCC components at Polk Unit 1 should be rejected </w:t>
      </w:r>
      <w:bookmarkStart w:id="10" w:name="_Hlk172022388"/>
      <w:r w:rsidR="00233644">
        <w:t xml:space="preserve">and the company’s forecasted amount should be approved. </w:t>
      </w:r>
      <w:bookmarkEnd w:id="10"/>
      <w:r w:rsidR="00233644">
        <w:t>(Aldazabal, Stryker, Chronister)</w:t>
      </w:r>
      <w:bookmarkEnd w:id="9"/>
    </w:p>
    <w:p w14:paraId="26B38738" w14:textId="77777777" w:rsidR="00E61F50" w:rsidRPr="00701945" w:rsidRDefault="00E61F50" w:rsidP="00E61F50">
      <w:pPr>
        <w:jc w:val="both"/>
      </w:pPr>
    </w:p>
    <w:p w14:paraId="505735C7" w14:textId="77777777" w:rsidR="00E61F50" w:rsidRDefault="00E61F50" w:rsidP="00E61F50">
      <w:pPr>
        <w:ind w:left="1440" w:hanging="1440"/>
        <w:jc w:val="both"/>
      </w:pPr>
      <w:r>
        <w:rPr>
          <w:b/>
          <w:bCs/>
        </w:rPr>
        <w:t>OPC</w:t>
      </w:r>
      <w:r w:rsidRPr="00701945">
        <w:rPr>
          <w:b/>
          <w:bCs/>
        </w:rPr>
        <w:t>:</w:t>
      </w:r>
      <w:r>
        <w:tab/>
      </w:r>
      <w:r w:rsidR="00814C81">
        <w:t>No position at this time.</w:t>
      </w:r>
      <w:r w:rsidR="00814C81" w:rsidRPr="00FE409D">
        <w:t xml:space="preserve"> </w:t>
      </w:r>
      <w:r w:rsidR="00814C81">
        <w:t>OPC is still conducting discovery and certain other specific adjustments may be required.</w:t>
      </w:r>
    </w:p>
    <w:p w14:paraId="3CB6E33E" w14:textId="77777777" w:rsidR="00E61F50" w:rsidRDefault="00E61F50" w:rsidP="00E61F50">
      <w:pPr>
        <w:ind w:left="1440" w:hanging="1440"/>
        <w:jc w:val="both"/>
      </w:pPr>
    </w:p>
    <w:p w14:paraId="4F389418" w14:textId="77777777" w:rsidR="00E61F50" w:rsidRDefault="00E61F50" w:rsidP="00E61F50">
      <w:pPr>
        <w:ind w:left="1440" w:hanging="1440"/>
        <w:jc w:val="both"/>
        <w:rPr>
          <w:b/>
        </w:rPr>
      </w:pPr>
      <w:r>
        <w:rPr>
          <w:b/>
        </w:rPr>
        <w:t>FL RISING/</w:t>
      </w:r>
    </w:p>
    <w:p w14:paraId="48963D00" w14:textId="15AF3A95" w:rsidR="00E61F50" w:rsidRDefault="00E61F50" w:rsidP="00E61F50">
      <w:pPr>
        <w:ind w:left="1440" w:hanging="1440"/>
        <w:jc w:val="both"/>
        <w:rPr>
          <w:b/>
        </w:rPr>
      </w:pPr>
      <w:r>
        <w:rPr>
          <w:b/>
        </w:rPr>
        <w:t>LULAC:</w:t>
      </w:r>
      <w:r>
        <w:rPr>
          <w:b/>
        </w:rPr>
        <w:tab/>
      </w:r>
      <w:r w:rsidR="00902496">
        <w:t>Adopt</w:t>
      </w:r>
      <w:r w:rsidR="00540D09">
        <w:t>s</w:t>
      </w:r>
      <w:r w:rsidR="00902496">
        <w:t xml:space="preserve"> </w:t>
      </w:r>
      <w:r w:rsidR="00540D09">
        <w:t xml:space="preserve">the position of </w:t>
      </w:r>
      <w:r w:rsidR="00902496">
        <w:t>Sierra Club</w:t>
      </w:r>
      <w:r w:rsidR="00540D09">
        <w:t>.</w:t>
      </w:r>
    </w:p>
    <w:p w14:paraId="46AF1280" w14:textId="77777777" w:rsidR="00E61F50" w:rsidRDefault="00E61F50" w:rsidP="00E61F50">
      <w:pPr>
        <w:ind w:left="1440" w:hanging="1440"/>
        <w:jc w:val="both"/>
        <w:rPr>
          <w:b/>
        </w:rPr>
      </w:pPr>
    </w:p>
    <w:p w14:paraId="456588C0" w14:textId="24C5E22E" w:rsidR="00E61F50" w:rsidRDefault="00E61F50" w:rsidP="00E61F50">
      <w:pPr>
        <w:ind w:left="1440" w:hanging="1440"/>
        <w:jc w:val="both"/>
        <w:rPr>
          <w:b/>
        </w:rPr>
      </w:pPr>
      <w:r>
        <w:rPr>
          <w:b/>
        </w:rPr>
        <w:t>FIPUG:</w:t>
      </w:r>
      <w:r>
        <w:rPr>
          <w:b/>
        </w:rPr>
        <w:tab/>
      </w:r>
      <w:r w:rsidR="001901B3">
        <w:rPr>
          <w:bCs/>
        </w:rPr>
        <w:t>Adopt</w:t>
      </w:r>
      <w:r w:rsidR="00540D09">
        <w:rPr>
          <w:bCs/>
        </w:rPr>
        <w:t>s</w:t>
      </w:r>
      <w:r w:rsidR="001901B3">
        <w:rPr>
          <w:bCs/>
        </w:rPr>
        <w:t xml:space="preserve"> the position of OPC.</w:t>
      </w:r>
    </w:p>
    <w:p w14:paraId="633BF5D4" w14:textId="77777777" w:rsidR="00E61F50" w:rsidRDefault="00E61F50" w:rsidP="00E61F50">
      <w:pPr>
        <w:ind w:left="1440" w:hanging="1440"/>
        <w:jc w:val="both"/>
        <w:rPr>
          <w:b/>
        </w:rPr>
      </w:pPr>
    </w:p>
    <w:p w14:paraId="0E52BC2E" w14:textId="1DBDE60A" w:rsidR="00E61F50" w:rsidRDefault="00E61F50" w:rsidP="00E61F50">
      <w:pPr>
        <w:ind w:left="1440" w:hanging="1440"/>
        <w:jc w:val="both"/>
        <w:rPr>
          <w:b/>
        </w:rPr>
      </w:pPr>
      <w:r>
        <w:rPr>
          <w:b/>
        </w:rPr>
        <w:t>FEA:</w:t>
      </w:r>
      <w:r>
        <w:rPr>
          <w:b/>
        </w:rPr>
        <w:tab/>
      </w:r>
      <w:r w:rsidR="00F12411">
        <w:t>No position.</w:t>
      </w:r>
    </w:p>
    <w:p w14:paraId="1709F559" w14:textId="77777777" w:rsidR="00E61F50" w:rsidRDefault="00E61F50" w:rsidP="00E61F50">
      <w:pPr>
        <w:ind w:left="1440" w:hanging="1440"/>
        <w:jc w:val="both"/>
        <w:rPr>
          <w:b/>
        </w:rPr>
      </w:pPr>
    </w:p>
    <w:p w14:paraId="2ADD60FA" w14:textId="77777777" w:rsidR="00A14A11" w:rsidRDefault="00764960" w:rsidP="00E61F50">
      <w:pPr>
        <w:ind w:left="1440" w:hanging="1440"/>
        <w:jc w:val="both"/>
        <w:rPr>
          <w:b/>
        </w:rPr>
      </w:pPr>
      <w:r>
        <w:rPr>
          <w:b/>
        </w:rPr>
        <w:t xml:space="preserve">SIERRA </w:t>
      </w:r>
    </w:p>
    <w:p w14:paraId="7416197E" w14:textId="6A827C09" w:rsidR="00E61F50" w:rsidRDefault="00764960" w:rsidP="00E61F50">
      <w:pPr>
        <w:ind w:left="1440" w:hanging="1440"/>
        <w:jc w:val="both"/>
        <w:rPr>
          <w:b/>
        </w:rPr>
      </w:pPr>
      <w:r>
        <w:rPr>
          <w:b/>
        </w:rPr>
        <w:t>CLUB</w:t>
      </w:r>
      <w:r w:rsidR="00E61F50">
        <w:rPr>
          <w:b/>
        </w:rPr>
        <w:t>:</w:t>
      </w:r>
      <w:r w:rsidR="00E61F50">
        <w:rPr>
          <w:b/>
        </w:rPr>
        <w:tab/>
      </w:r>
      <w:r w:rsidR="00A86701" w:rsidRPr="001E3193">
        <w:t xml:space="preserve">Sierra Club does not support the inclusion of any O&amp;M expenses at Polk </w:t>
      </w:r>
      <w:r w:rsidR="00F12411">
        <w:t xml:space="preserve">Unit </w:t>
      </w:r>
      <w:r w:rsidR="00A86701" w:rsidRPr="001E3193">
        <w:t xml:space="preserve">1 that cover the procurement or combustion of coal or petcoke. This includes the O&amp;M expenses of keeping Polk </w:t>
      </w:r>
      <w:r w:rsidR="00F12411">
        <w:t xml:space="preserve">Unit </w:t>
      </w:r>
      <w:r w:rsidR="00A86701" w:rsidRPr="001E3193">
        <w:t xml:space="preserve">1’s IGCC equipment—including its </w:t>
      </w:r>
      <w:r w:rsidR="00A86701">
        <w:t>IG, ST, and HRSG</w:t>
      </w:r>
      <w:r w:rsidR="00A86701" w:rsidRPr="001E3193">
        <w:t xml:space="preserve"> technolog</w:t>
      </w:r>
      <w:r w:rsidR="00A86701">
        <w:t>ies</w:t>
      </w:r>
      <w:r w:rsidR="00A86701" w:rsidRPr="001E3193">
        <w:t>—in service.</w:t>
      </w:r>
    </w:p>
    <w:p w14:paraId="0EDCDF87" w14:textId="77777777" w:rsidR="00E61F50" w:rsidRDefault="00E61F50" w:rsidP="00E61F50">
      <w:pPr>
        <w:ind w:left="1440" w:hanging="1440"/>
        <w:jc w:val="both"/>
        <w:rPr>
          <w:b/>
        </w:rPr>
      </w:pPr>
    </w:p>
    <w:p w14:paraId="4A77EF1F" w14:textId="5436FBC6" w:rsidR="00E61F50" w:rsidRDefault="00E61F50" w:rsidP="00E61F50">
      <w:pPr>
        <w:ind w:left="1440" w:hanging="1440"/>
        <w:jc w:val="both"/>
        <w:rPr>
          <w:b/>
        </w:rPr>
      </w:pPr>
      <w:r>
        <w:rPr>
          <w:b/>
        </w:rPr>
        <w:t>FRF:</w:t>
      </w:r>
      <w:r>
        <w:rPr>
          <w:b/>
        </w:rPr>
        <w:tab/>
      </w:r>
      <w:r w:rsidR="00B80AEA">
        <w:t>Agree</w:t>
      </w:r>
      <w:r w:rsidR="00F12411">
        <w:t>s</w:t>
      </w:r>
      <w:r w:rsidR="00B80AEA">
        <w:t xml:space="preserve"> with OPC.</w:t>
      </w:r>
    </w:p>
    <w:p w14:paraId="761D5120" w14:textId="77777777" w:rsidR="00E61F50" w:rsidRDefault="00E61F50" w:rsidP="00E61F50">
      <w:pPr>
        <w:ind w:left="1440" w:hanging="1440"/>
        <w:jc w:val="both"/>
        <w:rPr>
          <w:b/>
        </w:rPr>
      </w:pPr>
    </w:p>
    <w:p w14:paraId="3C8C9DB5" w14:textId="77777777" w:rsidR="00A14A11" w:rsidRDefault="00C0182D" w:rsidP="00E61F50">
      <w:pPr>
        <w:ind w:left="1440" w:hanging="1440"/>
        <w:jc w:val="both"/>
        <w:rPr>
          <w:b/>
        </w:rPr>
      </w:pPr>
      <w:r>
        <w:rPr>
          <w:b/>
        </w:rPr>
        <w:t xml:space="preserve">FUEL </w:t>
      </w:r>
    </w:p>
    <w:p w14:paraId="5DBE22CC" w14:textId="3B2C9FB7" w:rsidR="00E61F50" w:rsidRDefault="00C0182D" w:rsidP="00E61F50">
      <w:pPr>
        <w:ind w:left="1440" w:hanging="1440"/>
        <w:jc w:val="both"/>
      </w:pPr>
      <w:r>
        <w:rPr>
          <w:b/>
        </w:rPr>
        <w:t>RETAILERS</w:t>
      </w:r>
      <w:r w:rsidR="00E61F50">
        <w:rPr>
          <w:b/>
        </w:rPr>
        <w:t>:</w:t>
      </w:r>
      <w:r w:rsidR="00A14A11">
        <w:rPr>
          <w:b/>
        </w:rPr>
        <w:t xml:space="preserve"> </w:t>
      </w:r>
      <w:r w:rsidR="00203035" w:rsidRPr="00132664">
        <w:t xml:space="preserve">No </w:t>
      </w:r>
      <w:r w:rsidR="00F12411">
        <w:t>p</w:t>
      </w:r>
      <w:r w:rsidR="00203035" w:rsidRPr="00132664">
        <w:t>osition.</w:t>
      </w:r>
    </w:p>
    <w:p w14:paraId="6249D4C8" w14:textId="77777777" w:rsidR="00E61243" w:rsidRDefault="00E61243" w:rsidP="00E61F50">
      <w:pPr>
        <w:ind w:left="1440" w:hanging="1440"/>
        <w:jc w:val="both"/>
      </w:pPr>
    </w:p>
    <w:p w14:paraId="4574F358" w14:textId="5AC5A2E8" w:rsidR="00E61243" w:rsidRPr="00E61243" w:rsidRDefault="00FD408B" w:rsidP="00E61F50">
      <w:pPr>
        <w:ind w:left="1440" w:hanging="1440"/>
        <w:jc w:val="both"/>
        <w:rPr>
          <w:b/>
        </w:rPr>
      </w:pPr>
      <w:r>
        <w:rPr>
          <w:b/>
        </w:rPr>
        <w:lastRenderedPageBreak/>
        <w:t>WALMART</w:t>
      </w:r>
      <w:r w:rsidR="00E61243">
        <w:rPr>
          <w:b/>
        </w:rPr>
        <w:t>:</w:t>
      </w:r>
      <w:r w:rsidR="00E61243">
        <w:rPr>
          <w:b/>
        </w:rPr>
        <w:tab/>
      </w:r>
      <w:r w:rsidR="00F12411">
        <w:t>A</w:t>
      </w:r>
      <w:r w:rsidR="00E61243">
        <w:t>grees with OPC.</w:t>
      </w:r>
    </w:p>
    <w:p w14:paraId="32A84605" w14:textId="77777777" w:rsidR="00E61F50" w:rsidRPr="00701945" w:rsidRDefault="00E61F50" w:rsidP="00E61F50">
      <w:pPr>
        <w:jc w:val="both"/>
      </w:pPr>
    </w:p>
    <w:p w14:paraId="7C92F97E" w14:textId="77777777" w:rsidR="00E61F50" w:rsidRPr="005D4B47" w:rsidRDefault="00E61F50" w:rsidP="00E61F50">
      <w:pPr>
        <w:ind w:left="1440" w:hanging="1440"/>
        <w:jc w:val="both"/>
        <w:rPr>
          <w:b/>
          <w:bCs/>
        </w:rPr>
      </w:pPr>
      <w:r>
        <w:rPr>
          <w:b/>
          <w:bCs/>
        </w:rPr>
        <w:t>STAFF:</w:t>
      </w:r>
      <w:r>
        <w:rPr>
          <w:b/>
          <w:bCs/>
        </w:rPr>
        <w:tab/>
      </w:r>
      <w:r w:rsidR="002C290E">
        <w:t>No position at this time.</w:t>
      </w:r>
    </w:p>
    <w:p w14:paraId="2D7A4226" w14:textId="77777777" w:rsidR="00E61F50" w:rsidRDefault="00E61F50" w:rsidP="00C7699A">
      <w:pPr>
        <w:jc w:val="both"/>
      </w:pPr>
    </w:p>
    <w:p w14:paraId="46486A85" w14:textId="77777777" w:rsidR="00E61F50" w:rsidRDefault="00E61F50" w:rsidP="00C7699A">
      <w:pPr>
        <w:jc w:val="both"/>
      </w:pPr>
    </w:p>
    <w:p w14:paraId="632B4B6D" w14:textId="77777777" w:rsidR="00E61F50" w:rsidRPr="003F4F8D" w:rsidRDefault="00233644" w:rsidP="00E61F50">
      <w:pPr>
        <w:ind w:left="1440" w:hanging="1440"/>
        <w:jc w:val="both"/>
        <w:rPr>
          <w:b/>
        </w:rPr>
      </w:pPr>
      <w:r>
        <w:rPr>
          <w:b/>
          <w:bCs/>
        </w:rPr>
        <w:t>ISSUE 44</w:t>
      </w:r>
      <w:r w:rsidR="00E61F50" w:rsidRPr="00701945">
        <w:rPr>
          <w:b/>
          <w:bCs/>
        </w:rPr>
        <w:t>:</w:t>
      </w:r>
      <w:r w:rsidR="00E61F50" w:rsidRPr="00701945">
        <w:tab/>
      </w:r>
      <w:r w:rsidR="003F4F8D" w:rsidRPr="003F4F8D">
        <w:rPr>
          <w:b/>
          <w:bCs/>
        </w:rPr>
        <w:t>What amount of O&amp;M expense associated with Big Bend Unit 4 has TECO included in the 2025 projected test year? Should this amount be approved and what, if any, adjustments should be made?</w:t>
      </w:r>
    </w:p>
    <w:p w14:paraId="0EF99002" w14:textId="77777777" w:rsidR="00E61F50" w:rsidRPr="00701945" w:rsidRDefault="00E61F50" w:rsidP="00E61F50">
      <w:pPr>
        <w:jc w:val="both"/>
      </w:pPr>
    </w:p>
    <w:p w14:paraId="1716566D" w14:textId="77777777" w:rsidR="00E61F50" w:rsidRPr="005D4B47" w:rsidRDefault="00E61F50" w:rsidP="00E61F50">
      <w:pPr>
        <w:ind w:left="1440" w:hanging="1440"/>
        <w:jc w:val="both"/>
      </w:pPr>
      <w:r>
        <w:rPr>
          <w:b/>
          <w:bCs/>
        </w:rPr>
        <w:t>TECO</w:t>
      </w:r>
      <w:r w:rsidRPr="005D4B47">
        <w:rPr>
          <w:b/>
          <w:bCs/>
        </w:rPr>
        <w:t>:</w:t>
      </w:r>
      <w:r w:rsidRPr="005D4B47">
        <w:tab/>
      </w:r>
      <w:r w:rsidR="003F4F8D">
        <w:t xml:space="preserve">As noted in the company’s answer to Sierra Club’s First Set Interrogatory, No. 6, the company included $12,472,909 in Big Bend Unit 4 non-fuel O&amp;M costs in the 2025 projected test year. Big Bend Unit 4 provides important fuel diversity, reliability, and flexibility benefits to customers. Although it does not frequently run on coal, Big Bend 4 is available to run and has recently run on coal during extreme winter weather, when gas prices spiked, and during pipeline alert periods when gas deliveries to Florida were limited. The company has already achieved compliance with the ELG rule through its deep injection well system and the discharge of FGD and other storm and wastewater is now permitted through the FDEP Underground Injection Control Program. </w:t>
      </w:r>
      <w:bookmarkStart w:id="11" w:name="_Hlk172017386"/>
      <w:r w:rsidR="003F4F8D">
        <w:t>The associated</w:t>
      </w:r>
      <w:r w:rsidR="00C571A3">
        <w:t xml:space="preserve"> coal </w:t>
      </w:r>
      <w:r w:rsidR="00CB1901">
        <w:t>combustion</w:t>
      </w:r>
      <w:r w:rsidR="003F4F8D">
        <w:t xml:space="preserve"> costs are justified in light of the significant fuel diversity, reliability, and flexibility benefits that Big Bend Unit 4 provides to customers. </w:t>
      </w:r>
      <w:bookmarkEnd w:id="11"/>
      <w:r w:rsidR="003F4F8D">
        <w:t>For these reasons, the Sierra Club’s recommendations to disallow the O&amp;M expenses associated with</w:t>
      </w:r>
      <w:r w:rsidR="00C571A3">
        <w:t xml:space="preserve"> coal </w:t>
      </w:r>
      <w:r w:rsidR="00CB1901">
        <w:t>combustion</w:t>
      </w:r>
      <w:r w:rsidR="00C571A3">
        <w:t xml:space="preserve"> operation of </w:t>
      </w:r>
      <w:r w:rsidR="003F4F8D">
        <w:t xml:space="preserve"> the unit should be rejected and the company’s forecasted amount should be approved. (Aldazabal, Stryker, Chronister)</w:t>
      </w:r>
    </w:p>
    <w:p w14:paraId="4EFE41D4" w14:textId="77777777" w:rsidR="00E61F50" w:rsidRPr="00701945" w:rsidRDefault="00E61F50" w:rsidP="00E61F50">
      <w:pPr>
        <w:jc w:val="both"/>
      </w:pPr>
    </w:p>
    <w:p w14:paraId="0B303EA1" w14:textId="77777777" w:rsidR="00E61F50" w:rsidRDefault="00E61F50" w:rsidP="00E61F50">
      <w:pPr>
        <w:ind w:left="1440" w:hanging="1440"/>
        <w:jc w:val="both"/>
      </w:pPr>
      <w:r>
        <w:rPr>
          <w:b/>
          <w:bCs/>
        </w:rPr>
        <w:t>OPC</w:t>
      </w:r>
      <w:r w:rsidRPr="00701945">
        <w:rPr>
          <w:b/>
          <w:bCs/>
        </w:rPr>
        <w:t>:</w:t>
      </w:r>
      <w:r>
        <w:tab/>
      </w:r>
      <w:r w:rsidR="00814C81">
        <w:t>No position at this time.</w:t>
      </w:r>
      <w:r w:rsidR="00814C81" w:rsidRPr="00FE409D">
        <w:t xml:space="preserve"> </w:t>
      </w:r>
      <w:r w:rsidR="00814C81">
        <w:t>OPC is still conducting discovery and certain other specific adjustments may be required.</w:t>
      </w:r>
    </w:p>
    <w:p w14:paraId="54DF6D72" w14:textId="77777777" w:rsidR="00E61F50" w:rsidRDefault="00E61F50" w:rsidP="00E61F50">
      <w:pPr>
        <w:ind w:left="1440" w:hanging="1440"/>
        <w:jc w:val="both"/>
      </w:pPr>
    </w:p>
    <w:p w14:paraId="1A7688C8" w14:textId="77777777" w:rsidR="00E61F50" w:rsidRDefault="00E61F50" w:rsidP="00E61F50">
      <w:pPr>
        <w:ind w:left="1440" w:hanging="1440"/>
        <w:jc w:val="both"/>
        <w:rPr>
          <w:b/>
        </w:rPr>
      </w:pPr>
      <w:r>
        <w:rPr>
          <w:b/>
        </w:rPr>
        <w:t>FL RISING/</w:t>
      </w:r>
    </w:p>
    <w:p w14:paraId="506A1661" w14:textId="613B7A9A" w:rsidR="00E61F50" w:rsidRDefault="00E61F50" w:rsidP="00E61F50">
      <w:pPr>
        <w:ind w:left="1440" w:hanging="1440"/>
        <w:jc w:val="both"/>
        <w:rPr>
          <w:b/>
        </w:rPr>
      </w:pPr>
      <w:r>
        <w:rPr>
          <w:b/>
        </w:rPr>
        <w:t>LULAC:</w:t>
      </w:r>
      <w:r>
        <w:rPr>
          <w:b/>
        </w:rPr>
        <w:tab/>
      </w:r>
      <w:r w:rsidR="0014490A">
        <w:t xml:space="preserve">Adopts the position of </w:t>
      </w:r>
      <w:r w:rsidR="00902496">
        <w:t>Sierra Club.</w:t>
      </w:r>
    </w:p>
    <w:p w14:paraId="10E96A26" w14:textId="77777777" w:rsidR="00E61F50" w:rsidRDefault="00E61F50" w:rsidP="00E61F50">
      <w:pPr>
        <w:ind w:left="1440" w:hanging="1440"/>
        <w:jc w:val="both"/>
        <w:rPr>
          <w:b/>
        </w:rPr>
      </w:pPr>
    </w:p>
    <w:p w14:paraId="6599DE49" w14:textId="7F9B3FCE" w:rsidR="00E61F50" w:rsidRDefault="00E61F50" w:rsidP="00E61F50">
      <w:pPr>
        <w:ind w:left="1440" w:hanging="1440"/>
        <w:jc w:val="both"/>
        <w:rPr>
          <w:b/>
        </w:rPr>
      </w:pPr>
      <w:r>
        <w:rPr>
          <w:b/>
        </w:rPr>
        <w:t>FIPUG:</w:t>
      </w:r>
      <w:r>
        <w:rPr>
          <w:b/>
        </w:rPr>
        <w:tab/>
      </w:r>
      <w:r w:rsidR="001901B3">
        <w:rPr>
          <w:bCs/>
        </w:rPr>
        <w:t>Adopt</w:t>
      </w:r>
      <w:r w:rsidR="0014490A">
        <w:rPr>
          <w:bCs/>
        </w:rPr>
        <w:t>s</w:t>
      </w:r>
      <w:r w:rsidR="001901B3">
        <w:rPr>
          <w:bCs/>
        </w:rPr>
        <w:t xml:space="preserve"> the position of OPC.</w:t>
      </w:r>
    </w:p>
    <w:p w14:paraId="5AF19659" w14:textId="77777777" w:rsidR="00E61F50" w:rsidRDefault="00E61F50" w:rsidP="00E61F50">
      <w:pPr>
        <w:ind w:left="1440" w:hanging="1440"/>
        <w:jc w:val="both"/>
        <w:rPr>
          <w:b/>
        </w:rPr>
      </w:pPr>
    </w:p>
    <w:p w14:paraId="0121A988" w14:textId="45434F60" w:rsidR="00E61F50" w:rsidRDefault="00E61F50" w:rsidP="00E61F50">
      <w:pPr>
        <w:ind w:left="1440" w:hanging="1440"/>
        <w:jc w:val="both"/>
        <w:rPr>
          <w:b/>
        </w:rPr>
      </w:pPr>
      <w:r>
        <w:rPr>
          <w:b/>
        </w:rPr>
        <w:t>FEA:</w:t>
      </w:r>
      <w:r>
        <w:rPr>
          <w:b/>
        </w:rPr>
        <w:tab/>
      </w:r>
      <w:r w:rsidR="009E5171">
        <w:t>No position.</w:t>
      </w:r>
    </w:p>
    <w:p w14:paraId="037167AE" w14:textId="77777777" w:rsidR="00E61F50" w:rsidRDefault="00E61F50" w:rsidP="00E61F50">
      <w:pPr>
        <w:ind w:left="1440" w:hanging="1440"/>
        <w:jc w:val="both"/>
        <w:rPr>
          <w:b/>
        </w:rPr>
      </w:pPr>
    </w:p>
    <w:p w14:paraId="0474432E" w14:textId="77777777" w:rsidR="00A14A11" w:rsidRDefault="00764960" w:rsidP="00E61F50">
      <w:pPr>
        <w:ind w:left="1440" w:hanging="1440"/>
        <w:jc w:val="both"/>
        <w:rPr>
          <w:b/>
        </w:rPr>
      </w:pPr>
      <w:r>
        <w:rPr>
          <w:b/>
        </w:rPr>
        <w:t xml:space="preserve">SIERRA </w:t>
      </w:r>
    </w:p>
    <w:p w14:paraId="30A32434" w14:textId="47E056F1" w:rsidR="00E61F50" w:rsidRDefault="00764960" w:rsidP="00E61F50">
      <w:pPr>
        <w:ind w:left="1440" w:hanging="1440"/>
        <w:jc w:val="both"/>
        <w:rPr>
          <w:b/>
        </w:rPr>
      </w:pPr>
      <w:r>
        <w:rPr>
          <w:b/>
        </w:rPr>
        <w:t>CLUB</w:t>
      </w:r>
      <w:r w:rsidR="00E61F50">
        <w:rPr>
          <w:b/>
        </w:rPr>
        <w:t>:</w:t>
      </w:r>
      <w:r w:rsidR="00E61F50">
        <w:rPr>
          <w:b/>
        </w:rPr>
        <w:tab/>
      </w:r>
      <w:r w:rsidR="00A86701">
        <w:rPr>
          <w:bCs/>
        </w:rPr>
        <w:t xml:space="preserve">Sierra Club urges the Commission to reject the inclusion of any and all O&amp;M expenses associated with coal combustion at Big Bend </w:t>
      </w:r>
      <w:r w:rsidR="009E5171">
        <w:rPr>
          <w:bCs/>
        </w:rPr>
        <w:t xml:space="preserve">Unit </w:t>
      </w:r>
      <w:r w:rsidR="00A86701">
        <w:rPr>
          <w:bCs/>
        </w:rPr>
        <w:t>4 for the 2025 projected test year, including fuel costs, maintenance costs, operating costs, and environmental compliance costs, among others.</w:t>
      </w:r>
    </w:p>
    <w:p w14:paraId="7DB0A162" w14:textId="77777777" w:rsidR="00E61F50" w:rsidRDefault="00E61F50" w:rsidP="00E61F50">
      <w:pPr>
        <w:ind w:left="1440" w:hanging="1440"/>
        <w:jc w:val="both"/>
        <w:rPr>
          <w:b/>
        </w:rPr>
      </w:pPr>
    </w:p>
    <w:p w14:paraId="7C2C19E2" w14:textId="042F97F0" w:rsidR="00E61F50" w:rsidRDefault="00E61F50" w:rsidP="00E61F50">
      <w:pPr>
        <w:ind w:left="1440" w:hanging="1440"/>
        <w:jc w:val="both"/>
        <w:rPr>
          <w:b/>
        </w:rPr>
      </w:pPr>
      <w:r>
        <w:rPr>
          <w:b/>
        </w:rPr>
        <w:t>FRF:</w:t>
      </w:r>
      <w:r>
        <w:rPr>
          <w:b/>
        </w:rPr>
        <w:tab/>
      </w:r>
      <w:r w:rsidR="00B80AEA">
        <w:t>Agree</w:t>
      </w:r>
      <w:r w:rsidR="009E5171">
        <w:t>s</w:t>
      </w:r>
      <w:r w:rsidR="00B80AEA">
        <w:t xml:space="preserve"> with OPC.</w:t>
      </w:r>
    </w:p>
    <w:p w14:paraId="42E9DD46" w14:textId="77777777" w:rsidR="00E61F50" w:rsidRDefault="00E61F50" w:rsidP="00E61F50">
      <w:pPr>
        <w:ind w:left="1440" w:hanging="1440"/>
        <w:jc w:val="both"/>
        <w:rPr>
          <w:b/>
        </w:rPr>
      </w:pPr>
    </w:p>
    <w:p w14:paraId="6B88843A" w14:textId="77777777" w:rsidR="00A14A11" w:rsidRDefault="00C0182D" w:rsidP="00E61F50">
      <w:pPr>
        <w:ind w:left="1440" w:hanging="1440"/>
        <w:jc w:val="both"/>
        <w:rPr>
          <w:b/>
        </w:rPr>
      </w:pPr>
      <w:r>
        <w:rPr>
          <w:b/>
        </w:rPr>
        <w:t xml:space="preserve">FUEL </w:t>
      </w:r>
    </w:p>
    <w:p w14:paraId="20DAAF1B" w14:textId="0160694A" w:rsidR="00E61F50" w:rsidRDefault="00C0182D" w:rsidP="00E61F50">
      <w:pPr>
        <w:ind w:left="1440" w:hanging="1440"/>
        <w:jc w:val="both"/>
      </w:pPr>
      <w:r>
        <w:rPr>
          <w:b/>
        </w:rPr>
        <w:t>RETAILERS</w:t>
      </w:r>
      <w:r w:rsidR="00E61F50">
        <w:rPr>
          <w:b/>
        </w:rPr>
        <w:t>:</w:t>
      </w:r>
      <w:r w:rsidR="00A14A11">
        <w:rPr>
          <w:b/>
        </w:rPr>
        <w:t xml:space="preserve"> </w:t>
      </w:r>
      <w:r w:rsidR="00203035" w:rsidRPr="00132664">
        <w:t xml:space="preserve">No </w:t>
      </w:r>
      <w:r w:rsidR="009E5171">
        <w:t>p</w:t>
      </w:r>
      <w:r w:rsidR="00203035" w:rsidRPr="00132664">
        <w:t>osition.</w:t>
      </w:r>
    </w:p>
    <w:p w14:paraId="40C03A67" w14:textId="55BC44EA" w:rsidR="00E61243" w:rsidRPr="00E61243" w:rsidRDefault="00FD408B" w:rsidP="00E61F50">
      <w:pPr>
        <w:ind w:left="1440" w:hanging="1440"/>
        <w:jc w:val="both"/>
        <w:rPr>
          <w:b/>
        </w:rPr>
      </w:pPr>
      <w:r>
        <w:rPr>
          <w:b/>
        </w:rPr>
        <w:lastRenderedPageBreak/>
        <w:t>WALMART</w:t>
      </w:r>
      <w:r w:rsidR="00E61243">
        <w:rPr>
          <w:b/>
        </w:rPr>
        <w:t>:</w:t>
      </w:r>
      <w:r w:rsidR="00E61243">
        <w:rPr>
          <w:b/>
        </w:rPr>
        <w:tab/>
      </w:r>
      <w:r w:rsidR="009E5171">
        <w:t>A</w:t>
      </w:r>
      <w:r w:rsidR="00E61243">
        <w:t>grees with OPC.</w:t>
      </w:r>
    </w:p>
    <w:p w14:paraId="298D4D19" w14:textId="77777777" w:rsidR="00E61F50" w:rsidRPr="00701945" w:rsidRDefault="00E61F50" w:rsidP="00E61F50">
      <w:pPr>
        <w:jc w:val="both"/>
      </w:pPr>
    </w:p>
    <w:p w14:paraId="2CD3888E" w14:textId="77777777" w:rsidR="00E61F50" w:rsidRPr="005D4B47" w:rsidRDefault="00E61F50" w:rsidP="00E61F50">
      <w:pPr>
        <w:ind w:left="1440" w:hanging="1440"/>
        <w:jc w:val="both"/>
        <w:rPr>
          <w:b/>
          <w:bCs/>
        </w:rPr>
      </w:pPr>
      <w:r>
        <w:rPr>
          <w:b/>
          <w:bCs/>
        </w:rPr>
        <w:t>STAFF:</w:t>
      </w:r>
      <w:r>
        <w:rPr>
          <w:b/>
          <w:bCs/>
        </w:rPr>
        <w:tab/>
      </w:r>
      <w:r w:rsidR="002C290E">
        <w:t>No position at this time.</w:t>
      </w:r>
    </w:p>
    <w:p w14:paraId="4A2A8C92" w14:textId="77777777" w:rsidR="00E61F50" w:rsidRDefault="00E61F50" w:rsidP="00C7699A">
      <w:pPr>
        <w:jc w:val="both"/>
      </w:pPr>
    </w:p>
    <w:p w14:paraId="5D5FA6D6" w14:textId="77777777" w:rsidR="00E61F50" w:rsidRDefault="00E61F50" w:rsidP="00C7699A">
      <w:pPr>
        <w:jc w:val="both"/>
      </w:pPr>
    </w:p>
    <w:p w14:paraId="39904BDD" w14:textId="77777777" w:rsidR="00E61F50" w:rsidRPr="003F4F8D" w:rsidRDefault="003F4F8D" w:rsidP="00E61F50">
      <w:pPr>
        <w:ind w:left="1440" w:hanging="1440"/>
        <w:jc w:val="both"/>
        <w:rPr>
          <w:b/>
        </w:rPr>
      </w:pPr>
      <w:r>
        <w:rPr>
          <w:b/>
          <w:bCs/>
        </w:rPr>
        <w:t>ISSUE 45</w:t>
      </w:r>
      <w:r w:rsidR="00E61F50" w:rsidRPr="00701945">
        <w:rPr>
          <w:b/>
          <w:bCs/>
        </w:rPr>
        <w:t>:</w:t>
      </w:r>
      <w:r w:rsidR="00E61F50" w:rsidRPr="00701945">
        <w:tab/>
      </w:r>
      <w:r w:rsidRPr="003F4F8D">
        <w:rPr>
          <w:b/>
        </w:rPr>
        <w:t xml:space="preserve">What amount of generation O&amp;M expense should be approved for the </w:t>
      </w:r>
      <w:r w:rsidRPr="003F4F8D">
        <w:rPr>
          <w:b/>
          <w:bCs/>
        </w:rPr>
        <w:t>2025 projected test year</w:t>
      </w:r>
      <w:r w:rsidRPr="003F4F8D">
        <w:rPr>
          <w:b/>
        </w:rPr>
        <w:t>?</w:t>
      </w:r>
    </w:p>
    <w:p w14:paraId="6FBB3B3E" w14:textId="77777777" w:rsidR="00E61F50" w:rsidRPr="00701945" w:rsidRDefault="00E61F50" w:rsidP="00E61F50">
      <w:pPr>
        <w:jc w:val="both"/>
      </w:pPr>
    </w:p>
    <w:p w14:paraId="7CDCB12E" w14:textId="77777777" w:rsidR="00E61F50" w:rsidRPr="005D4B47" w:rsidRDefault="00E61F50" w:rsidP="00E61F50">
      <w:pPr>
        <w:ind w:left="1440" w:hanging="1440"/>
        <w:jc w:val="both"/>
      </w:pPr>
      <w:r>
        <w:rPr>
          <w:b/>
          <w:bCs/>
        </w:rPr>
        <w:t>TECO</w:t>
      </w:r>
      <w:r w:rsidRPr="005D4B47">
        <w:rPr>
          <w:b/>
          <w:bCs/>
        </w:rPr>
        <w:t>:</w:t>
      </w:r>
      <w:r w:rsidRPr="005D4B47">
        <w:tab/>
      </w:r>
      <w:r w:rsidR="003F4F8D">
        <w:t>The Commission should approve Jurisdictional Adjusted Production (generation) O&amp;M Expense for the 2025 test year of  $125.</w:t>
      </w:r>
      <w:r w:rsidR="00C60468">
        <w:t>0</w:t>
      </w:r>
      <w:r w:rsidR="003F4F8D">
        <w:t xml:space="preserve"> million</w:t>
      </w:r>
      <w:r w:rsidR="00C60468">
        <w:t>, less $285,000 per the company’s July and August Filings for a total of $124.7 million</w:t>
      </w:r>
      <w:r w:rsidR="003F4F8D">
        <w:t>. The company has not “bunched” planned major outages in the test year and OPC’s “normalization” proposal improperly focuses on historical costs which are not indicative of the costs expected to be incurred in the test year. If the Commission adjusts planned outage expenses for the test year, it should allow the company to defer costs above an annual allowed amount for recovery in future years. (Aldazabal, Chronister)</w:t>
      </w:r>
    </w:p>
    <w:p w14:paraId="39863510" w14:textId="77777777" w:rsidR="00E61F50" w:rsidRPr="00701945" w:rsidRDefault="00E61F50" w:rsidP="00E61F50">
      <w:pPr>
        <w:jc w:val="both"/>
      </w:pPr>
    </w:p>
    <w:p w14:paraId="6CAE6A52" w14:textId="77777777" w:rsidR="00E61F50" w:rsidRDefault="00E61F50" w:rsidP="00E61F50">
      <w:pPr>
        <w:ind w:left="1440" w:hanging="1440"/>
        <w:jc w:val="both"/>
      </w:pPr>
      <w:r>
        <w:rPr>
          <w:b/>
          <w:bCs/>
        </w:rPr>
        <w:t>OPC</w:t>
      </w:r>
      <w:r w:rsidRPr="00701945">
        <w:rPr>
          <w:b/>
          <w:bCs/>
        </w:rPr>
        <w:t>:</w:t>
      </w:r>
      <w:r>
        <w:tab/>
      </w:r>
      <w:r w:rsidR="00814C81">
        <w:t>T</w:t>
      </w:r>
      <w:r w:rsidR="00814C81" w:rsidRPr="007231B6">
        <w:t xml:space="preserve">he Commission </w:t>
      </w:r>
      <w:r w:rsidR="00814C81">
        <w:t xml:space="preserve">should </w:t>
      </w:r>
      <w:r w:rsidR="00814C81" w:rsidRPr="007231B6">
        <w:t>“normalize” the planned generation maintenance</w:t>
      </w:r>
      <w:r w:rsidR="00814C81">
        <w:t xml:space="preserve"> </w:t>
      </w:r>
      <w:r w:rsidR="00814C81" w:rsidRPr="007231B6">
        <w:t>expense in the test year by averaging the actual expense incurred in the years 2019</w:t>
      </w:r>
      <w:r w:rsidR="00814C81">
        <w:t xml:space="preserve"> </w:t>
      </w:r>
      <w:r w:rsidR="00814C81" w:rsidRPr="007231B6">
        <w:t xml:space="preserve">through 2023 and the budget and forecast expenses in the years 2024 and 2025. This results in an adjustment to retail </w:t>
      </w:r>
      <w:r w:rsidR="00814C81">
        <w:t xml:space="preserve">revenue requirement </w:t>
      </w:r>
      <w:r w:rsidR="00814C81" w:rsidRPr="007231B6">
        <w:t>of $12</w:t>
      </w:r>
      <w:r w:rsidR="00814C81">
        <w:t>.</w:t>
      </w:r>
      <w:r w:rsidR="00814C81" w:rsidRPr="007231B6">
        <w:t>430</w:t>
      </w:r>
      <w:r w:rsidR="00814C81">
        <w:t xml:space="preserve"> million</w:t>
      </w:r>
      <w:r w:rsidR="00814C81" w:rsidRPr="007231B6">
        <w:t>.</w:t>
      </w:r>
    </w:p>
    <w:p w14:paraId="7A31BEE0" w14:textId="77777777" w:rsidR="00E61F50" w:rsidRDefault="00E61F50" w:rsidP="00E61F50">
      <w:pPr>
        <w:ind w:left="1440" w:hanging="1440"/>
        <w:jc w:val="both"/>
      </w:pPr>
    </w:p>
    <w:p w14:paraId="61749793" w14:textId="77777777" w:rsidR="00E61F50" w:rsidRDefault="00E61F50" w:rsidP="00E61F50">
      <w:pPr>
        <w:ind w:left="1440" w:hanging="1440"/>
        <w:jc w:val="both"/>
        <w:rPr>
          <w:b/>
        </w:rPr>
      </w:pPr>
      <w:r>
        <w:rPr>
          <w:b/>
        </w:rPr>
        <w:t>FL RISING/</w:t>
      </w:r>
    </w:p>
    <w:p w14:paraId="50E7DA83" w14:textId="5BB75399" w:rsidR="00E61F50" w:rsidRDefault="00E61F50" w:rsidP="00E61F50">
      <w:pPr>
        <w:ind w:left="1440" w:hanging="1440"/>
        <w:jc w:val="both"/>
        <w:rPr>
          <w:b/>
        </w:rPr>
      </w:pPr>
      <w:r>
        <w:rPr>
          <w:b/>
        </w:rPr>
        <w:t>LULAC:</w:t>
      </w:r>
      <w:r>
        <w:rPr>
          <w:b/>
        </w:rPr>
        <w:tab/>
      </w:r>
      <w:r w:rsidR="004F76C2">
        <w:rPr>
          <w:bCs/>
        </w:rPr>
        <w:t>The generation O&amp;M expense for the 2025 test year should be normalized by averaging the actual expense incurred from 2019 through 2023 and the budget and forecast expenses in for 2024 and 2025. This results in a $12.392 million reduction in 2025 planned generation maintenance expense from TECO’s proposed expense. (Kollen). The generation O&amp;M expense should also be reduced by about $2.6 million to account for the removal of the following projects from rate base: South Tampa Resilience; Polk 1 Flexibility.</w:t>
      </w:r>
    </w:p>
    <w:p w14:paraId="69B6B3F2" w14:textId="77777777" w:rsidR="00E61F50" w:rsidRDefault="00E61F50" w:rsidP="00E61F50">
      <w:pPr>
        <w:ind w:left="1440" w:hanging="1440"/>
        <w:jc w:val="both"/>
        <w:rPr>
          <w:b/>
        </w:rPr>
      </w:pPr>
    </w:p>
    <w:p w14:paraId="21223B62" w14:textId="3DB6429D" w:rsidR="00E61F50" w:rsidRDefault="00E61F50" w:rsidP="00E61F50">
      <w:pPr>
        <w:ind w:left="1440" w:hanging="1440"/>
        <w:jc w:val="both"/>
        <w:rPr>
          <w:b/>
        </w:rPr>
      </w:pPr>
      <w:r>
        <w:rPr>
          <w:b/>
        </w:rPr>
        <w:t>FIPUG:</w:t>
      </w:r>
      <w:r>
        <w:rPr>
          <w:b/>
        </w:rPr>
        <w:tab/>
      </w:r>
      <w:r w:rsidR="001901B3">
        <w:rPr>
          <w:bCs/>
        </w:rPr>
        <w:t>Adopt</w:t>
      </w:r>
      <w:r w:rsidR="001565AD">
        <w:rPr>
          <w:bCs/>
        </w:rPr>
        <w:t>s</w:t>
      </w:r>
      <w:r w:rsidR="001901B3">
        <w:rPr>
          <w:bCs/>
        </w:rPr>
        <w:t xml:space="preserve"> the position of OPC.</w:t>
      </w:r>
    </w:p>
    <w:p w14:paraId="394CEABB" w14:textId="77777777" w:rsidR="00E61F50" w:rsidRDefault="00E61F50" w:rsidP="00E61F50">
      <w:pPr>
        <w:ind w:left="1440" w:hanging="1440"/>
        <w:jc w:val="both"/>
        <w:rPr>
          <w:b/>
        </w:rPr>
      </w:pPr>
    </w:p>
    <w:p w14:paraId="56D5D063" w14:textId="130F130E" w:rsidR="00E61F50" w:rsidRDefault="00E61F50" w:rsidP="00E61F50">
      <w:pPr>
        <w:ind w:left="1440" w:hanging="1440"/>
        <w:jc w:val="both"/>
        <w:rPr>
          <w:b/>
        </w:rPr>
      </w:pPr>
      <w:r>
        <w:rPr>
          <w:b/>
        </w:rPr>
        <w:t>FEA:</w:t>
      </w:r>
      <w:r>
        <w:rPr>
          <w:b/>
        </w:rPr>
        <w:tab/>
      </w:r>
      <w:r w:rsidR="001565AD">
        <w:t>No position</w:t>
      </w:r>
      <w:r w:rsidR="00601E46">
        <w:t>.</w:t>
      </w:r>
    </w:p>
    <w:p w14:paraId="63A8589A" w14:textId="77777777" w:rsidR="00E61F50" w:rsidRDefault="00E61F50" w:rsidP="00E61F50">
      <w:pPr>
        <w:ind w:left="1440" w:hanging="1440"/>
        <w:jc w:val="both"/>
        <w:rPr>
          <w:b/>
        </w:rPr>
      </w:pPr>
    </w:p>
    <w:p w14:paraId="55B026C2" w14:textId="77777777" w:rsidR="00A14A11" w:rsidRDefault="00764960" w:rsidP="00E61F50">
      <w:pPr>
        <w:ind w:left="1440" w:hanging="1440"/>
        <w:jc w:val="both"/>
        <w:rPr>
          <w:b/>
        </w:rPr>
      </w:pPr>
      <w:r>
        <w:rPr>
          <w:b/>
        </w:rPr>
        <w:t xml:space="preserve">SIERRA </w:t>
      </w:r>
    </w:p>
    <w:p w14:paraId="4C5C08B3" w14:textId="3A2FC548" w:rsidR="00E61F50" w:rsidRDefault="00764960" w:rsidP="00E61F50">
      <w:pPr>
        <w:ind w:left="1440" w:hanging="1440"/>
        <w:jc w:val="both"/>
        <w:rPr>
          <w:b/>
        </w:rPr>
      </w:pPr>
      <w:r>
        <w:rPr>
          <w:b/>
        </w:rPr>
        <w:t>CLUB</w:t>
      </w:r>
      <w:r w:rsidR="00E61F50">
        <w:rPr>
          <w:b/>
        </w:rPr>
        <w:t>:</w:t>
      </w:r>
      <w:r w:rsidR="00E61F50">
        <w:rPr>
          <w:b/>
        </w:rPr>
        <w:tab/>
      </w:r>
      <w:r w:rsidR="00A86701">
        <w:t>Sierra Club has no position on this issue, except that g</w:t>
      </w:r>
      <w:r w:rsidR="00A86701" w:rsidRPr="001E3193">
        <w:t xml:space="preserve">eneration O&amp;M expenses approved for </w:t>
      </w:r>
      <w:r w:rsidR="00A86701">
        <w:t xml:space="preserve">Polk </w:t>
      </w:r>
      <w:r w:rsidR="001565AD">
        <w:t xml:space="preserve">Unit </w:t>
      </w:r>
      <w:r w:rsidR="00A86701">
        <w:t xml:space="preserve">1 and Big Bend </w:t>
      </w:r>
      <w:r w:rsidR="001565AD">
        <w:t xml:space="preserve">Unit </w:t>
      </w:r>
      <w:r w:rsidR="00A86701">
        <w:t>4</w:t>
      </w:r>
      <w:r w:rsidR="00A86701" w:rsidRPr="001E3193">
        <w:t xml:space="preserve"> should be modified to reflect </w:t>
      </w:r>
      <w:r w:rsidR="00A86701">
        <w:t>no coal or petcoke-related costs.</w:t>
      </w:r>
    </w:p>
    <w:p w14:paraId="01C6A56E" w14:textId="77777777" w:rsidR="00E61F50" w:rsidRDefault="00E61F50" w:rsidP="00E61F50">
      <w:pPr>
        <w:ind w:left="1440" w:hanging="1440"/>
        <w:jc w:val="both"/>
        <w:rPr>
          <w:b/>
        </w:rPr>
      </w:pPr>
    </w:p>
    <w:p w14:paraId="3CC51DBD" w14:textId="26EC53E2" w:rsidR="00E61F50" w:rsidRDefault="00E61F50" w:rsidP="00E61F50">
      <w:pPr>
        <w:ind w:left="1440" w:hanging="1440"/>
        <w:jc w:val="both"/>
        <w:rPr>
          <w:b/>
        </w:rPr>
      </w:pPr>
      <w:r>
        <w:rPr>
          <w:b/>
        </w:rPr>
        <w:t>FRF:</w:t>
      </w:r>
      <w:r>
        <w:rPr>
          <w:b/>
        </w:rPr>
        <w:tab/>
      </w:r>
      <w:r w:rsidR="00B80AEA">
        <w:t>Agree</w:t>
      </w:r>
      <w:r w:rsidR="001565AD">
        <w:t>s</w:t>
      </w:r>
      <w:r w:rsidR="00B80AEA">
        <w:t xml:space="preserve"> with OPC that the Commission should normalize TECO’s planned generation maintenance expense in </w:t>
      </w:r>
      <w:r w:rsidR="00CB1901">
        <w:t>the 2025</w:t>
      </w:r>
      <w:r w:rsidR="00B80AEA">
        <w:t xml:space="preserve"> test year and reduce TECO’s 2025 revenue requirement by $12.430 million.</w:t>
      </w:r>
    </w:p>
    <w:p w14:paraId="6058A9CE" w14:textId="77777777" w:rsidR="00A14A11" w:rsidRDefault="00C0182D" w:rsidP="00E61F50">
      <w:pPr>
        <w:ind w:left="1440" w:hanging="1440"/>
        <w:jc w:val="both"/>
        <w:rPr>
          <w:b/>
        </w:rPr>
      </w:pPr>
      <w:r>
        <w:rPr>
          <w:b/>
        </w:rPr>
        <w:lastRenderedPageBreak/>
        <w:t xml:space="preserve">FUEL </w:t>
      </w:r>
    </w:p>
    <w:p w14:paraId="7736E7BF" w14:textId="3A399223" w:rsidR="00E61F50" w:rsidRDefault="00C0182D" w:rsidP="00E61F50">
      <w:pPr>
        <w:ind w:left="1440" w:hanging="1440"/>
        <w:jc w:val="both"/>
      </w:pPr>
      <w:r>
        <w:rPr>
          <w:b/>
        </w:rPr>
        <w:t>RETAILERS</w:t>
      </w:r>
      <w:r w:rsidR="00E61F50">
        <w:rPr>
          <w:b/>
        </w:rPr>
        <w:t>:</w:t>
      </w:r>
      <w:r w:rsidR="00A14A11">
        <w:rPr>
          <w:b/>
        </w:rPr>
        <w:t xml:space="preserve"> </w:t>
      </w:r>
      <w:r w:rsidR="00203035" w:rsidRPr="00132664">
        <w:t xml:space="preserve">No </w:t>
      </w:r>
      <w:r w:rsidR="001565AD">
        <w:t>p</w:t>
      </w:r>
      <w:r w:rsidR="00203035" w:rsidRPr="00132664">
        <w:t>osition.</w:t>
      </w:r>
    </w:p>
    <w:p w14:paraId="10658ECA" w14:textId="77777777" w:rsidR="00E61243" w:rsidRDefault="00E61243" w:rsidP="00E61F50">
      <w:pPr>
        <w:ind w:left="1440" w:hanging="1440"/>
        <w:jc w:val="both"/>
      </w:pPr>
    </w:p>
    <w:p w14:paraId="23238D5D" w14:textId="3D60CD8B" w:rsidR="00E61243" w:rsidRPr="00E61243" w:rsidRDefault="00FD408B" w:rsidP="00E61F50">
      <w:pPr>
        <w:ind w:left="1440" w:hanging="1440"/>
        <w:jc w:val="both"/>
        <w:rPr>
          <w:b/>
        </w:rPr>
      </w:pPr>
      <w:r>
        <w:rPr>
          <w:b/>
        </w:rPr>
        <w:t>WALMART</w:t>
      </w:r>
      <w:r w:rsidR="00E61243">
        <w:rPr>
          <w:b/>
        </w:rPr>
        <w:t>:</w:t>
      </w:r>
      <w:r w:rsidR="00E61243">
        <w:rPr>
          <w:b/>
        </w:rPr>
        <w:tab/>
      </w:r>
      <w:r w:rsidR="001565AD">
        <w:t>A</w:t>
      </w:r>
      <w:r w:rsidR="00E61243">
        <w:t>grees with OPC.</w:t>
      </w:r>
    </w:p>
    <w:p w14:paraId="25F2E22F" w14:textId="77777777" w:rsidR="00E61F50" w:rsidRPr="00701945" w:rsidRDefault="00E61F50" w:rsidP="00E61F50">
      <w:pPr>
        <w:jc w:val="both"/>
      </w:pPr>
    </w:p>
    <w:p w14:paraId="71DBDDCB" w14:textId="77777777" w:rsidR="00E61F50" w:rsidRPr="005D4B47" w:rsidRDefault="00E61F50" w:rsidP="00E61F50">
      <w:pPr>
        <w:ind w:left="1440" w:hanging="1440"/>
        <w:jc w:val="both"/>
        <w:rPr>
          <w:b/>
          <w:bCs/>
        </w:rPr>
      </w:pPr>
      <w:r>
        <w:rPr>
          <w:b/>
          <w:bCs/>
        </w:rPr>
        <w:t>STAFF:</w:t>
      </w:r>
      <w:r>
        <w:rPr>
          <w:b/>
          <w:bCs/>
        </w:rPr>
        <w:tab/>
      </w:r>
      <w:r w:rsidR="002C290E">
        <w:t>No position at this time.</w:t>
      </w:r>
    </w:p>
    <w:p w14:paraId="1AD8A1D8" w14:textId="77777777" w:rsidR="00E61F50" w:rsidRDefault="00E61F50" w:rsidP="00C7699A">
      <w:pPr>
        <w:jc w:val="both"/>
      </w:pPr>
    </w:p>
    <w:p w14:paraId="03C5A0EE" w14:textId="77777777" w:rsidR="00E61F50" w:rsidRDefault="00E61F50" w:rsidP="00C7699A">
      <w:pPr>
        <w:jc w:val="both"/>
      </w:pPr>
    </w:p>
    <w:p w14:paraId="4FBB8C8C" w14:textId="77777777" w:rsidR="00E61F50" w:rsidRPr="003F4F8D" w:rsidRDefault="003F4F8D" w:rsidP="00E61F50">
      <w:pPr>
        <w:ind w:left="1440" w:hanging="1440"/>
        <w:jc w:val="both"/>
        <w:rPr>
          <w:b/>
        </w:rPr>
      </w:pPr>
      <w:r>
        <w:rPr>
          <w:b/>
          <w:bCs/>
        </w:rPr>
        <w:t>ISSUE 46</w:t>
      </w:r>
      <w:r w:rsidR="00E61F50" w:rsidRPr="00701945">
        <w:rPr>
          <w:b/>
          <w:bCs/>
        </w:rPr>
        <w:t>:</w:t>
      </w:r>
      <w:r w:rsidR="00E61F50" w:rsidRPr="00701945">
        <w:tab/>
      </w:r>
      <w:r w:rsidRPr="003F4F8D">
        <w:rPr>
          <w:b/>
        </w:rPr>
        <w:t>What</w:t>
      </w:r>
      <w:r w:rsidRPr="003F4F8D">
        <w:rPr>
          <w:b/>
          <w:bCs/>
        </w:rPr>
        <w:t xml:space="preserve"> </w:t>
      </w:r>
      <w:r w:rsidRPr="003F4F8D">
        <w:rPr>
          <w:b/>
        </w:rPr>
        <w:t>amount</w:t>
      </w:r>
      <w:r w:rsidRPr="003F4F8D">
        <w:rPr>
          <w:b/>
          <w:bCs/>
        </w:rPr>
        <w:t xml:space="preserve"> of transmission O&amp;M expense </w:t>
      </w:r>
      <w:r w:rsidRPr="003F4F8D">
        <w:rPr>
          <w:b/>
        </w:rPr>
        <w:t xml:space="preserve">should be approved for the </w:t>
      </w:r>
      <w:r w:rsidRPr="003F4F8D">
        <w:rPr>
          <w:b/>
          <w:bCs/>
        </w:rPr>
        <w:t>2025 projected test year</w:t>
      </w:r>
      <w:r w:rsidRPr="003F4F8D">
        <w:rPr>
          <w:b/>
        </w:rPr>
        <w:t>?</w:t>
      </w:r>
    </w:p>
    <w:p w14:paraId="690BB8A3" w14:textId="77777777" w:rsidR="00E61F50" w:rsidRPr="00701945" w:rsidRDefault="00E61F50" w:rsidP="00E61F50">
      <w:pPr>
        <w:jc w:val="both"/>
      </w:pPr>
    </w:p>
    <w:p w14:paraId="01B746FF" w14:textId="77777777" w:rsidR="00E61F50" w:rsidRPr="005D4B47" w:rsidRDefault="00E61F50" w:rsidP="00E61F50">
      <w:pPr>
        <w:ind w:left="1440" w:hanging="1440"/>
        <w:jc w:val="both"/>
      </w:pPr>
      <w:r>
        <w:rPr>
          <w:b/>
          <w:bCs/>
        </w:rPr>
        <w:t>TECO</w:t>
      </w:r>
      <w:r w:rsidRPr="005D4B47">
        <w:rPr>
          <w:b/>
          <w:bCs/>
        </w:rPr>
        <w:t>:</w:t>
      </w:r>
      <w:r w:rsidRPr="005D4B47">
        <w:tab/>
      </w:r>
      <w:r w:rsidR="003F4F8D">
        <w:t xml:space="preserve">The Commission should approve Jurisdictional Adjusted Transmission O&amp;M Expense for the 2025 test year of  $11,491,000. </w:t>
      </w:r>
      <w:bookmarkStart w:id="12" w:name="_Hlk172008752"/>
      <w:r w:rsidR="003F4F8D">
        <w:t xml:space="preserve">This amount is below the Commission’s benchmark amount, is reasonable, and should be approved. </w:t>
      </w:r>
      <w:bookmarkEnd w:id="12"/>
      <w:r w:rsidR="003F4F8D">
        <w:t>(Whitworth, Chronister)</w:t>
      </w:r>
    </w:p>
    <w:p w14:paraId="6F2B48D3" w14:textId="77777777" w:rsidR="00E61F50" w:rsidRPr="00701945" w:rsidRDefault="00E61F50" w:rsidP="00E61F50">
      <w:pPr>
        <w:jc w:val="both"/>
      </w:pPr>
    </w:p>
    <w:p w14:paraId="6A95BC97" w14:textId="7C3C5BAB" w:rsidR="00E61F50" w:rsidRDefault="00E61F50" w:rsidP="00E61F50">
      <w:pPr>
        <w:ind w:left="1440" w:hanging="1440"/>
        <w:jc w:val="both"/>
      </w:pPr>
      <w:r>
        <w:rPr>
          <w:b/>
          <w:bCs/>
        </w:rPr>
        <w:t>OPC</w:t>
      </w:r>
      <w:r w:rsidRPr="00701945">
        <w:rPr>
          <w:b/>
          <w:bCs/>
        </w:rPr>
        <w:t>:</w:t>
      </w:r>
      <w:r>
        <w:tab/>
      </w:r>
      <w:r w:rsidR="00FF05C8">
        <w:t>No position.</w:t>
      </w:r>
    </w:p>
    <w:p w14:paraId="32959D57" w14:textId="77777777" w:rsidR="003332F7" w:rsidRDefault="003332F7" w:rsidP="00E61F50">
      <w:pPr>
        <w:ind w:left="1440" w:hanging="1440"/>
        <w:jc w:val="both"/>
      </w:pPr>
    </w:p>
    <w:p w14:paraId="3D690AF8" w14:textId="77777777" w:rsidR="00E61F50" w:rsidRDefault="00E61F50" w:rsidP="00E61F50">
      <w:pPr>
        <w:ind w:left="1440" w:hanging="1440"/>
        <w:jc w:val="both"/>
        <w:rPr>
          <w:b/>
        </w:rPr>
      </w:pPr>
      <w:r>
        <w:rPr>
          <w:b/>
        </w:rPr>
        <w:t>FL RISING/</w:t>
      </w:r>
    </w:p>
    <w:p w14:paraId="01D6B06D" w14:textId="490BCA56" w:rsidR="00E61F50" w:rsidRDefault="00E61F50" w:rsidP="00E61F50">
      <w:pPr>
        <w:ind w:left="1440" w:hanging="1440"/>
        <w:jc w:val="both"/>
        <w:rPr>
          <w:b/>
        </w:rPr>
      </w:pPr>
      <w:r>
        <w:rPr>
          <w:b/>
        </w:rPr>
        <w:t>LULAC:</w:t>
      </w:r>
      <w:r>
        <w:rPr>
          <w:b/>
        </w:rPr>
        <w:tab/>
      </w:r>
      <w:r w:rsidR="004F76C2">
        <w:rPr>
          <w:bCs/>
        </w:rPr>
        <w:t xml:space="preserve">TECO’s requested transmission O&amp;M for 2025 should be reduced to reflect disallowance of </w:t>
      </w:r>
      <w:r w:rsidR="001A73D4">
        <w:rPr>
          <w:bCs/>
        </w:rPr>
        <w:t xml:space="preserve">GRR </w:t>
      </w:r>
      <w:r w:rsidR="004F76C2">
        <w:rPr>
          <w:bCs/>
        </w:rPr>
        <w:t>Projects.</w:t>
      </w:r>
    </w:p>
    <w:p w14:paraId="243B0164" w14:textId="77777777" w:rsidR="00E61F50" w:rsidRDefault="00E61F50" w:rsidP="00E61F50">
      <w:pPr>
        <w:ind w:left="1440" w:hanging="1440"/>
        <w:jc w:val="both"/>
        <w:rPr>
          <w:b/>
        </w:rPr>
      </w:pPr>
    </w:p>
    <w:p w14:paraId="06B1313A" w14:textId="4567A130" w:rsidR="00E61F50" w:rsidRDefault="00E61F50" w:rsidP="00E61F50">
      <w:pPr>
        <w:ind w:left="1440" w:hanging="1440"/>
        <w:jc w:val="both"/>
        <w:rPr>
          <w:b/>
        </w:rPr>
      </w:pPr>
      <w:r>
        <w:rPr>
          <w:b/>
        </w:rPr>
        <w:t>FIPUG:</w:t>
      </w:r>
      <w:r>
        <w:rPr>
          <w:b/>
        </w:rPr>
        <w:tab/>
      </w:r>
      <w:r w:rsidR="00A1166F">
        <w:rPr>
          <w:bCs/>
        </w:rPr>
        <w:t>No position.</w:t>
      </w:r>
    </w:p>
    <w:p w14:paraId="56BA24A8" w14:textId="77777777" w:rsidR="00E61F50" w:rsidRDefault="00E61F50" w:rsidP="00E61F50">
      <w:pPr>
        <w:ind w:left="1440" w:hanging="1440"/>
        <w:jc w:val="both"/>
        <w:rPr>
          <w:b/>
        </w:rPr>
      </w:pPr>
    </w:p>
    <w:p w14:paraId="3E1D2FC7" w14:textId="2ADD193F" w:rsidR="00E61F50" w:rsidRDefault="00E61F50" w:rsidP="00E61F50">
      <w:pPr>
        <w:ind w:left="1440" w:hanging="1440"/>
        <w:jc w:val="both"/>
        <w:rPr>
          <w:b/>
        </w:rPr>
      </w:pPr>
      <w:r>
        <w:rPr>
          <w:b/>
        </w:rPr>
        <w:t>FEA:</w:t>
      </w:r>
      <w:r>
        <w:rPr>
          <w:b/>
        </w:rPr>
        <w:tab/>
      </w:r>
      <w:r w:rsidR="00A1166F">
        <w:t>No position.</w:t>
      </w:r>
    </w:p>
    <w:p w14:paraId="00BEAA9B" w14:textId="77777777" w:rsidR="00E61F50" w:rsidRDefault="00E61F50" w:rsidP="00E61F50">
      <w:pPr>
        <w:ind w:left="1440" w:hanging="1440"/>
        <w:jc w:val="both"/>
        <w:rPr>
          <w:b/>
        </w:rPr>
      </w:pPr>
    </w:p>
    <w:p w14:paraId="4787F6F9" w14:textId="77777777" w:rsidR="00A14A11" w:rsidRDefault="00764960" w:rsidP="00E61F50">
      <w:pPr>
        <w:ind w:left="1440" w:hanging="1440"/>
        <w:jc w:val="both"/>
        <w:rPr>
          <w:b/>
        </w:rPr>
      </w:pPr>
      <w:r>
        <w:rPr>
          <w:b/>
        </w:rPr>
        <w:t xml:space="preserve">SIERRA </w:t>
      </w:r>
    </w:p>
    <w:p w14:paraId="2DA3B076" w14:textId="10FFFC8A" w:rsidR="00E61F50" w:rsidRDefault="00764960" w:rsidP="00E61F50">
      <w:pPr>
        <w:ind w:left="1440" w:hanging="1440"/>
        <w:jc w:val="both"/>
        <w:rPr>
          <w:b/>
        </w:rPr>
      </w:pPr>
      <w:r>
        <w:rPr>
          <w:b/>
        </w:rPr>
        <w:t>CLUB</w:t>
      </w:r>
      <w:r w:rsidR="00E61F50">
        <w:rPr>
          <w:b/>
        </w:rPr>
        <w:t>:</w:t>
      </w:r>
      <w:r w:rsidR="00E61F50">
        <w:rPr>
          <w:b/>
        </w:rPr>
        <w:tab/>
      </w:r>
      <w:r w:rsidR="00A1166F">
        <w:t>No position.</w:t>
      </w:r>
    </w:p>
    <w:p w14:paraId="7BB56286" w14:textId="77777777" w:rsidR="00E61F50" w:rsidRDefault="00E61F50" w:rsidP="00E61F50">
      <w:pPr>
        <w:ind w:left="1440" w:hanging="1440"/>
        <w:jc w:val="both"/>
        <w:rPr>
          <w:b/>
        </w:rPr>
      </w:pPr>
    </w:p>
    <w:p w14:paraId="7891BB34" w14:textId="083A5A03" w:rsidR="00E61F50" w:rsidRDefault="00E61F50" w:rsidP="00E61F50">
      <w:pPr>
        <w:ind w:left="1440" w:hanging="1440"/>
        <w:jc w:val="both"/>
        <w:rPr>
          <w:b/>
        </w:rPr>
      </w:pPr>
      <w:r>
        <w:rPr>
          <w:b/>
        </w:rPr>
        <w:t>FRF:</w:t>
      </w:r>
      <w:r>
        <w:rPr>
          <w:b/>
        </w:rPr>
        <w:tab/>
      </w:r>
      <w:r w:rsidR="00A1166F">
        <w:t>No position.</w:t>
      </w:r>
    </w:p>
    <w:p w14:paraId="09C7C08A" w14:textId="77777777" w:rsidR="00E61F50" w:rsidRDefault="00E61F50" w:rsidP="00E61F50">
      <w:pPr>
        <w:ind w:left="1440" w:hanging="1440"/>
        <w:jc w:val="both"/>
        <w:rPr>
          <w:b/>
        </w:rPr>
      </w:pPr>
    </w:p>
    <w:p w14:paraId="29C89D00" w14:textId="77777777" w:rsidR="00A14A11" w:rsidRDefault="00C0182D" w:rsidP="00E61F50">
      <w:pPr>
        <w:ind w:left="1440" w:hanging="1440"/>
        <w:jc w:val="both"/>
        <w:rPr>
          <w:b/>
        </w:rPr>
      </w:pPr>
      <w:r>
        <w:rPr>
          <w:b/>
        </w:rPr>
        <w:t xml:space="preserve">FUEL </w:t>
      </w:r>
    </w:p>
    <w:p w14:paraId="4F323158" w14:textId="538C85DA" w:rsidR="00E61F50" w:rsidRDefault="00C0182D" w:rsidP="00E61F50">
      <w:pPr>
        <w:ind w:left="1440" w:hanging="1440"/>
        <w:jc w:val="both"/>
      </w:pPr>
      <w:r>
        <w:rPr>
          <w:b/>
        </w:rPr>
        <w:t>RETAILERS</w:t>
      </w:r>
      <w:r w:rsidR="00E61F50">
        <w:rPr>
          <w:b/>
        </w:rPr>
        <w:t>:</w:t>
      </w:r>
      <w:r w:rsidR="00A14A11">
        <w:rPr>
          <w:b/>
        </w:rPr>
        <w:t xml:space="preserve"> </w:t>
      </w:r>
      <w:r w:rsidR="00203035" w:rsidRPr="00132664">
        <w:t xml:space="preserve">No </w:t>
      </w:r>
      <w:r w:rsidR="00A1166F">
        <w:t>p</w:t>
      </w:r>
      <w:r w:rsidR="00203035" w:rsidRPr="00132664">
        <w:t>osition.</w:t>
      </w:r>
    </w:p>
    <w:p w14:paraId="539BD42F" w14:textId="77777777" w:rsidR="00E61243" w:rsidRDefault="00E61243" w:rsidP="00E61F50">
      <w:pPr>
        <w:ind w:left="1440" w:hanging="1440"/>
        <w:jc w:val="both"/>
      </w:pPr>
    </w:p>
    <w:p w14:paraId="1C27F966" w14:textId="756D9D36" w:rsidR="00E61243" w:rsidRPr="00E61243" w:rsidRDefault="00FD408B" w:rsidP="00E61F50">
      <w:pPr>
        <w:ind w:left="1440" w:hanging="1440"/>
        <w:jc w:val="both"/>
        <w:rPr>
          <w:b/>
        </w:rPr>
      </w:pPr>
      <w:r>
        <w:rPr>
          <w:b/>
        </w:rPr>
        <w:t>WALMART</w:t>
      </w:r>
      <w:r w:rsidR="00E61243">
        <w:rPr>
          <w:b/>
        </w:rPr>
        <w:t>:</w:t>
      </w:r>
      <w:r w:rsidR="00E61243">
        <w:rPr>
          <w:b/>
        </w:rPr>
        <w:tab/>
      </w:r>
      <w:r w:rsidR="00A1166F">
        <w:t>No position.</w:t>
      </w:r>
    </w:p>
    <w:p w14:paraId="44978E3A" w14:textId="77777777" w:rsidR="00E61F50" w:rsidRPr="00701945" w:rsidRDefault="00E61F50" w:rsidP="00E61F50">
      <w:pPr>
        <w:jc w:val="both"/>
      </w:pPr>
    </w:p>
    <w:p w14:paraId="05382E8D" w14:textId="77777777" w:rsidR="00E61F50" w:rsidRPr="005D4B47" w:rsidRDefault="00E61F50" w:rsidP="00E61F50">
      <w:pPr>
        <w:ind w:left="1440" w:hanging="1440"/>
        <w:jc w:val="both"/>
        <w:rPr>
          <w:b/>
          <w:bCs/>
        </w:rPr>
      </w:pPr>
      <w:r>
        <w:rPr>
          <w:b/>
          <w:bCs/>
        </w:rPr>
        <w:t>STAFF:</w:t>
      </w:r>
      <w:r>
        <w:rPr>
          <w:b/>
          <w:bCs/>
        </w:rPr>
        <w:tab/>
      </w:r>
      <w:r w:rsidR="002C290E">
        <w:t>No position at this time.</w:t>
      </w:r>
    </w:p>
    <w:p w14:paraId="575E84C7" w14:textId="77777777" w:rsidR="00E61F50" w:rsidRDefault="00E61F50" w:rsidP="00C7699A">
      <w:pPr>
        <w:jc w:val="both"/>
      </w:pPr>
    </w:p>
    <w:p w14:paraId="6018B0EA" w14:textId="77777777" w:rsidR="00E61F50" w:rsidRDefault="00E61F50" w:rsidP="00C7699A">
      <w:pPr>
        <w:jc w:val="both"/>
      </w:pPr>
    </w:p>
    <w:p w14:paraId="2E47ED0E" w14:textId="77777777" w:rsidR="00E61F50" w:rsidRPr="003F4F8D" w:rsidRDefault="003F4F8D" w:rsidP="00E61F50">
      <w:pPr>
        <w:ind w:left="1440" w:hanging="1440"/>
        <w:jc w:val="both"/>
        <w:rPr>
          <w:b/>
        </w:rPr>
      </w:pPr>
      <w:r>
        <w:rPr>
          <w:b/>
          <w:bCs/>
        </w:rPr>
        <w:t>ISSUE 47</w:t>
      </w:r>
      <w:r w:rsidR="00E61F50" w:rsidRPr="00701945">
        <w:rPr>
          <w:b/>
          <w:bCs/>
        </w:rPr>
        <w:t>:</w:t>
      </w:r>
      <w:r w:rsidR="00E61F50" w:rsidRPr="00701945">
        <w:tab/>
      </w:r>
      <w:r w:rsidRPr="003F4F8D">
        <w:rPr>
          <w:b/>
        </w:rPr>
        <w:t xml:space="preserve">What amount of </w:t>
      </w:r>
      <w:r w:rsidRPr="003F4F8D">
        <w:rPr>
          <w:b/>
          <w:bCs/>
        </w:rPr>
        <w:t xml:space="preserve">distribution O&amp;M expense </w:t>
      </w:r>
      <w:r w:rsidRPr="003F4F8D">
        <w:rPr>
          <w:b/>
        </w:rPr>
        <w:t xml:space="preserve">should be approved for the </w:t>
      </w:r>
      <w:r w:rsidRPr="003F4F8D">
        <w:rPr>
          <w:b/>
          <w:bCs/>
        </w:rPr>
        <w:t>2025 projected test year</w:t>
      </w:r>
      <w:r w:rsidRPr="003F4F8D">
        <w:rPr>
          <w:b/>
        </w:rPr>
        <w:t>?</w:t>
      </w:r>
    </w:p>
    <w:p w14:paraId="185E0915" w14:textId="77777777" w:rsidR="00E61F50" w:rsidRPr="00701945" w:rsidRDefault="00E61F50" w:rsidP="00E61F50">
      <w:pPr>
        <w:jc w:val="both"/>
      </w:pPr>
    </w:p>
    <w:p w14:paraId="6A8F19AE" w14:textId="77777777" w:rsidR="00E61F50" w:rsidRPr="005D4B47" w:rsidRDefault="00E61F50" w:rsidP="00E61F50">
      <w:pPr>
        <w:ind w:left="1440" w:hanging="1440"/>
        <w:jc w:val="both"/>
      </w:pPr>
      <w:r>
        <w:rPr>
          <w:b/>
          <w:bCs/>
        </w:rPr>
        <w:t>TECO</w:t>
      </w:r>
      <w:r w:rsidRPr="005D4B47">
        <w:rPr>
          <w:b/>
          <w:bCs/>
        </w:rPr>
        <w:t>:</w:t>
      </w:r>
      <w:r w:rsidRPr="005D4B47">
        <w:tab/>
      </w:r>
      <w:r w:rsidR="003F4F8D">
        <w:t xml:space="preserve">The Commission should approve Jurisdictional Adjusted Distribution O&amp;M Expense for the 2025 test year of  $54,243,000. This amount is below the </w:t>
      </w:r>
      <w:r w:rsidR="003F4F8D">
        <w:lastRenderedPageBreak/>
        <w:t>Commission’s benchmark amount, is reasonable, and should be approved. (Whitworth, Chronister)</w:t>
      </w:r>
    </w:p>
    <w:p w14:paraId="0ED92B1D" w14:textId="77777777" w:rsidR="00E61F50" w:rsidRPr="00701945" w:rsidRDefault="00E61F50" w:rsidP="00E61F50">
      <w:pPr>
        <w:jc w:val="both"/>
      </w:pPr>
    </w:p>
    <w:p w14:paraId="3C57B786" w14:textId="77777777" w:rsidR="00E61F50" w:rsidRDefault="00E61F50" w:rsidP="00E61F50">
      <w:pPr>
        <w:ind w:left="1440" w:hanging="1440"/>
        <w:jc w:val="both"/>
      </w:pPr>
      <w:r>
        <w:rPr>
          <w:b/>
          <w:bCs/>
        </w:rPr>
        <w:t>OPC</w:t>
      </w:r>
      <w:r w:rsidRPr="00701945">
        <w:rPr>
          <w:b/>
          <w:bCs/>
        </w:rPr>
        <w:t>:</w:t>
      </w:r>
      <w:r>
        <w:tab/>
      </w:r>
      <w:r w:rsidR="00FF05C8">
        <w:t>No position.</w:t>
      </w:r>
    </w:p>
    <w:p w14:paraId="0C286E2B" w14:textId="77777777" w:rsidR="00E61F50" w:rsidRDefault="00E61F50" w:rsidP="00E61F50">
      <w:pPr>
        <w:ind w:left="1440" w:hanging="1440"/>
        <w:jc w:val="both"/>
      </w:pPr>
    </w:p>
    <w:p w14:paraId="06171CF9" w14:textId="77777777" w:rsidR="00E61F50" w:rsidRDefault="00E61F50" w:rsidP="00E61F50">
      <w:pPr>
        <w:ind w:left="1440" w:hanging="1440"/>
        <w:jc w:val="both"/>
        <w:rPr>
          <w:b/>
        </w:rPr>
      </w:pPr>
      <w:r>
        <w:rPr>
          <w:b/>
        </w:rPr>
        <w:t>FL RISING/</w:t>
      </w:r>
    </w:p>
    <w:p w14:paraId="3FBF3C85" w14:textId="05E48B0A" w:rsidR="00E61F50" w:rsidRDefault="00E61F50" w:rsidP="00E61F50">
      <w:pPr>
        <w:ind w:left="1440" w:hanging="1440"/>
        <w:jc w:val="both"/>
        <w:rPr>
          <w:b/>
        </w:rPr>
      </w:pPr>
      <w:r>
        <w:rPr>
          <w:b/>
        </w:rPr>
        <w:t>LULAC:</w:t>
      </w:r>
      <w:r>
        <w:rPr>
          <w:b/>
        </w:rPr>
        <w:tab/>
      </w:r>
      <w:r w:rsidR="004F76C2">
        <w:rPr>
          <w:bCs/>
        </w:rPr>
        <w:t xml:space="preserve">TECO’s requested transmission O&amp;M </w:t>
      </w:r>
      <w:r w:rsidR="004F76C2" w:rsidRPr="00614D4F">
        <w:rPr>
          <w:bCs/>
        </w:rPr>
        <w:t xml:space="preserve">for 2025 </w:t>
      </w:r>
      <w:r w:rsidR="004F76C2">
        <w:rPr>
          <w:bCs/>
        </w:rPr>
        <w:t xml:space="preserve">should be reduced to reflect disallowance of </w:t>
      </w:r>
      <w:r w:rsidR="006B3AE2">
        <w:rPr>
          <w:bCs/>
        </w:rPr>
        <w:t xml:space="preserve">GRR </w:t>
      </w:r>
      <w:r w:rsidR="004F76C2">
        <w:rPr>
          <w:bCs/>
        </w:rPr>
        <w:t>Projects.</w:t>
      </w:r>
    </w:p>
    <w:p w14:paraId="26819FC5" w14:textId="77777777" w:rsidR="00E61F50" w:rsidRDefault="00E61F50" w:rsidP="00E61F50">
      <w:pPr>
        <w:ind w:left="1440" w:hanging="1440"/>
        <w:jc w:val="both"/>
        <w:rPr>
          <w:b/>
        </w:rPr>
      </w:pPr>
    </w:p>
    <w:p w14:paraId="55DB2028" w14:textId="0D17ECED" w:rsidR="00E61F50" w:rsidRDefault="00E61F50" w:rsidP="00E61F50">
      <w:pPr>
        <w:ind w:left="1440" w:hanging="1440"/>
        <w:jc w:val="both"/>
        <w:rPr>
          <w:b/>
        </w:rPr>
      </w:pPr>
      <w:r>
        <w:rPr>
          <w:b/>
        </w:rPr>
        <w:t>FIPUG:</w:t>
      </w:r>
      <w:r>
        <w:rPr>
          <w:b/>
        </w:rPr>
        <w:tab/>
      </w:r>
      <w:r w:rsidR="006B3AE2">
        <w:rPr>
          <w:bCs/>
        </w:rPr>
        <w:t>No position.</w:t>
      </w:r>
    </w:p>
    <w:p w14:paraId="526D8555" w14:textId="77777777" w:rsidR="00E61F50" w:rsidRDefault="00E61F50" w:rsidP="00E61F50">
      <w:pPr>
        <w:ind w:left="1440" w:hanging="1440"/>
        <w:jc w:val="both"/>
        <w:rPr>
          <w:b/>
        </w:rPr>
      </w:pPr>
    </w:p>
    <w:p w14:paraId="4EA0EFCF" w14:textId="4BE3C4B0" w:rsidR="00E61F50" w:rsidRDefault="00E61F50" w:rsidP="00E61F50">
      <w:pPr>
        <w:ind w:left="1440" w:hanging="1440"/>
        <w:jc w:val="both"/>
        <w:rPr>
          <w:b/>
        </w:rPr>
      </w:pPr>
      <w:r>
        <w:rPr>
          <w:b/>
        </w:rPr>
        <w:t>FEA:</w:t>
      </w:r>
      <w:r>
        <w:rPr>
          <w:b/>
        </w:rPr>
        <w:tab/>
      </w:r>
      <w:r w:rsidR="006B3AE2">
        <w:t>No position.</w:t>
      </w:r>
    </w:p>
    <w:p w14:paraId="0F1CC18D" w14:textId="77777777" w:rsidR="00E61F50" w:rsidRDefault="00E61F50" w:rsidP="00E61F50">
      <w:pPr>
        <w:ind w:left="1440" w:hanging="1440"/>
        <w:jc w:val="both"/>
        <w:rPr>
          <w:b/>
        </w:rPr>
      </w:pPr>
    </w:p>
    <w:p w14:paraId="111778C1" w14:textId="77777777" w:rsidR="00A14A11" w:rsidRDefault="00764960" w:rsidP="00E61F50">
      <w:pPr>
        <w:ind w:left="1440" w:hanging="1440"/>
        <w:jc w:val="both"/>
        <w:rPr>
          <w:b/>
        </w:rPr>
      </w:pPr>
      <w:r>
        <w:rPr>
          <w:b/>
        </w:rPr>
        <w:t xml:space="preserve">SIERRA </w:t>
      </w:r>
    </w:p>
    <w:p w14:paraId="5D3A0088" w14:textId="5A9494A6" w:rsidR="00E61F50" w:rsidRDefault="00764960" w:rsidP="00E61F50">
      <w:pPr>
        <w:ind w:left="1440" w:hanging="1440"/>
        <w:jc w:val="both"/>
        <w:rPr>
          <w:b/>
        </w:rPr>
      </w:pPr>
      <w:r>
        <w:rPr>
          <w:b/>
        </w:rPr>
        <w:t>CLUB</w:t>
      </w:r>
      <w:r w:rsidR="00E61F50">
        <w:rPr>
          <w:b/>
        </w:rPr>
        <w:t>:</w:t>
      </w:r>
      <w:r w:rsidR="00E61F50">
        <w:rPr>
          <w:b/>
        </w:rPr>
        <w:tab/>
      </w:r>
      <w:r w:rsidR="006B3AE2">
        <w:t>No position.</w:t>
      </w:r>
    </w:p>
    <w:p w14:paraId="15335818" w14:textId="77777777" w:rsidR="00E61F50" w:rsidRDefault="00E61F50" w:rsidP="00E61F50">
      <w:pPr>
        <w:ind w:left="1440" w:hanging="1440"/>
        <w:jc w:val="both"/>
        <w:rPr>
          <w:b/>
        </w:rPr>
      </w:pPr>
    </w:p>
    <w:p w14:paraId="6DC75FC4" w14:textId="67F6BECA" w:rsidR="00E61F50" w:rsidRDefault="00E61F50" w:rsidP="00E61F50">
      <w:pPr>
        <w:ind w:left="1440" w:hanging="1440"/>
        <w:jc w:val="both"/>
        <w:rPr>
          <w:b/>
        </w:rPr>
      </w:pPr>
      <w:r>
        <w:rPr>
          <w:b/>
        </w:rPr>
        <w:t>FRF:</w:t>
      </w:r>
      <w:r>
        <w:rPr>
          <w:b/>
        </w:rPr>
        <w:tab/>
      </w:r>
      <w:r w:rsidR="006B3AE2">
        <w:t>No position.</w:t>
      </w:r>
    </w:p>
    <w:p w14:paraId="14B1D43F" w14:textId="66983FD0" w:rsidR="00E61F50" w:rsidRDefault="00E61F50" w:rsidP="00E61F50">
      <w:pPr>
        <w:ind w:left="1440" w:hanging="1440"/>
        <w:jc w:val="both"/>
        <w:rPr>
          <w:b/>
        </w:rPr>
      </w:pPr>
    </w:p>
    <w:p w14:paraId="3830C7BC" w14:textId="77777777" w:rsidR="00A14A11" w:rsidRDefault="00C0182D" w:rsidP="00E61F50">
      <w:pPr>
        <w:ind w:left="1440" w:hanging="1440"/>
        <w:jc w:val="both"/>
        <w:rPr>
          <w:b/>
        </w:rPr>
      </w:pPr>
      <w:r>
        <w:rPr>
          <w:b/>
        </w:rPr>
        <w:t xml:space="preserve">FUEL </w:t>
      </w:r>
    </w:p>
    <w:p w14:paraId="05283A0D" w14:textId="6FCC00EC" w:rsidR="00E61F50" w:rsidRDefault="00C0182D" w:rsidP="00E61F50">
      <w:pPr>
        <w:ind w:left="1440" w:hanging="1440"/>
        <w:jc w:val="both"/>
      </w:pPr>
      <w:r>
        <w:rPr>
          <w:b/>
        </w:rPr>
        <w:t>RETAILERS</w:t>
      </w:r>
      <w:r w:rsidR="00E61F50">
        <w:rPr>
          <w:b/>
        </w:rPr>
        <w:t>:</w:t>
      </w:r>
      <w:r w:rsidR="00A14A11">
        <w:rPr>
          <w:b/>
        </w:rPr>
        <w:t xml:space="preserve"> </w:t>
      </w:r>
      <w:r w:rsidR="00203035" w:rsidRPr="00132664">
        <w:t xml:space="preserve">No </w:t>
      </w:r>
      <w:r w:rsidR="006B3AE2">
        <w:t>p</w:t>
      </w:r>
      <w:r w:rsidR="00203035" w:rsidRPr="00132664">
        <w:t>osition.</w:t>
      </w:r>
    </w:p>
    <w:p w14:paraId="7347AAEF" w14:textId="77777777" w:rsidR="00E61243" w:rsidRDefault="00E61243" w:rsidP="00E61F50">
      <w:pPr>
        <w:ind w:left="1440" w:hanging="1440"/>
        <w:jc w:val="both"/>
      </w:pPr>
    </w:p>
    <w:p w14:paraId="1F758518" w14:textId="633D5306" w:rsidR="00E61243" w:rsidRPr="00E61243" w:rsidRDefault="00FD408B" w:rsidP="00E61F50">
      <w:pPr>
        <w:ind w:left="1440" w:hanging="1440"/>
        <w:jc w:val="both"/>
        <w:rPr>
          <w:b/>
        </w:rPr>
      </w:pPr>
      <w:r>
        <w:rPr>
          <w:b/>
        </w:rPr>
        <w:t>WALMART</w:t>
      </w:r>
      <w:r w:rsidR="00E61243">
        <w:rPr>
          <w:b/>
        </w:rPr>
        <w:t>:</w:t>
      </w:r>
      <w:r w:rsidR="00E61243">
        <w:rPr>
          <w:b/>
        </w:rPr>
        <w:tab/>
      </w:r>
      <w:r w:rsidR="006B3AE2">
        <w:t>No position.</w:t>
      </w:r>
    </w:p>
    <w:p w14:paraId="7A7F9D57" w14:textId="77777777" w:rsidR="00E61F50" w:rsidRPr="00701945" w:rsidRDefault="00E61F50" w:rsidP="00E61F50">
      <w:pPr>
        <w:jc w:val="both"/>
      </w:pPr>
    </w:p>
    <w:p w14:paraId="0CC41895" w14:textId="77777777" w:rsidR="00E61F50" w:rsidRPr="005D4B47" w:rsidRDefault="00E61F50" w:rsidP="00E61F50">
      <w:pPr>
        <w:ind w:left="1440" w:hanging="1440"/>
        <w:jc w:val="both"/>
        <w:rPr>
          <w:b/>
          <w:bCs/>
        </w:rPr>
      </w:pPr>
      <w:r>
        <w:rPr>
          <w:b/>
          <w:bCs/>
        </w:rPr>
        <w:t>STAFF:</w:t>
      </w:r>
      <w:r>
        <w:rPr>
          <w:b/>
          <w:bCs/>
        </w:rPr>
        <w:tab/>
      </w:r>
      <w:r w:rsidR="002C290E">
        <w:t>No position at this time.</w:t>
      </w:r>
    </w:p>
    <w:p w14:paraId="59EFB6E9" w14:textId="77777777" w:rsidR="00E61F50" w:rsidRDefault="00E61F50" w:rsidP="00C7699A">
      <w:pPr>
        <w:jc w:val="both"/>
      </w:pPr>
    </w:p>
    <w:p w14:paraId="5C48FDFB" w14:textId="77777777" w:rsidR="00E61F50" w:rsidRDefault="00E61F50" w:rsidP="00C7699A">
      <w:pPr>
        <w:jc w:val="both"/>
      </w:pPr>
    </w:p>
    <w:p w14:paraId="77447141" w14:textId="77777777" w:rsidR="00E61F50" w:rsidRPr="003F4F8D" w:rsidRDefault="003F4F8D" w:rsidP="00E61F50">
      <w:pPr>
        <w:ind w:left="1440" w:hanging="1440"/>
        <w:jc w:val="both"/>
        <w:rPr>
          <w:b/>
        </w:rPr>
      </w:pPr>
      <w:r>
        <w:rPr>
          <w:b/>
          <w:bCs/>
        </w:rPr>
        <w:t>ISSUE 48</w:t>
      </w:r>
      <w:r w:rsidR="00E61F50" w:rsidRPr="00701945">
        <w:rPr>
          <w:b/>
          <w:bCs/>
        </w:rPr>
        <w:t>:</w:t>
      </w:r>
      <w:r w:rsidR="00E61F50" w:rsidRPr="00701945">
        <w:tab/>
      </w:r>
      <w:r w:rsidRPr="003F4F8D">
        <w:rPr>
          <w:b/>
        </w:rPr>
        <w:t>Has TECO made the appropriate test year adjustments to remove fuel revenues and fuel expenses recoverable through the Fuel Adjustment Clause?</w:t>
      </w:r>
    </w:p>
    <w:p w14:paraId="17B9BA1C" w14:textId="77777777" w:rsidR="00E61F50" w:rsidRPr="00701945" w:rsidRDefault="00E61F50" w:rsidP="00E61F50">
      <w:pPr>
        <w:jc w:val="both"/>
      </w:pPr>
    </w:p>
    <w:p w14:paraId="4B258270" w14:textId="77777777" w:rsidR="00E61F50" w:rsidRPr="005D4B47" w:rsidRDefault="00E61F50" w:rsidP="00E61F50">
      <w:pPr>
        <w:ind w:left="1440" w:hanging="1440"/>
        <w:jc w:val="both"/>
      </w:pPr>
      <w:r>
        <w:rPr>
          <w:b/>
          <w:bCs/>
        </w:rPr>
        <w:t>TECO</w:t>
      </w:r>
      <w:r w:rsidRPr="005D4B47">
        <w:rPr>
          <w:b/>
          <w:bCs/>
        </w:rPr>
        <w:t>:</w:t>
      </w:r>
      <w:r w:rsidRPr="005D4B47">
        <w:tab/>
      </w:r>
      <w:r w:rsidR="003F4F8D">
        <w:t>Yes. The appropriate adjustments are shown on MFR Schedules C-2 and C-3 and should be approved. (Chronister)</w:t>
      </w:r>
    </w:p>
    <w:p w14:paraId="7909DA5A" w14:textId="77777777" w:rsidR="00E61F50" w:rsidRPr="00701945" w:rsidRDefault="00E61F50" w:rsidP="00E61F50">
      <w:pPr>
        <w:jc w:val="both"/>
      </w:pPr>
    </w:p>
    <w:p w14:paraId="0A0A9C78" w14:textId="77777777" w:rsidR="00E61F50" w:rsidRDefault="00E61F50" w:rsidP="00E61F50">
      <w:pPr>
        <w:ind w:left="1440" w:hanging="1440"/>
        <w:jc w:val="both"/>
      </w:pPr>
      <w:r>
        <w:rPr>
          <w:b/>
          <w:bCs/>
        </w:rPr>
        <w:t>OPC</w:t>
      </w:r>
      <w:r w:rsidRPr="00701945">
        <w:rPr>
          <w:b/>
          <w:bCs/>
        </w:rPr>
        <w:t>:</w:t>
      </w:r>
      <w:r>
        <w:tab/>
      </w:r>
      <w:r w:rsidR="00FF05C8">
        <w:t>No position.</w:t>
      </w:r>
    </w:p>
    <w:p w14:paraId="54215F1D" w14:textId="77777777" w:rsidR="00E61F50" w:rsidRDefault="00E61F50" w:rsidP="00E61F50">
      <w:pPr>
        <w:ind w:left="1440" w:hanging="1440"/>
        <w:jc w:val="both"/>
      </w:pPr>
    </w:p>
    <w:p w14:paraId="1F4ACC3B" w14:textId="77777777" w:rsidR="00E61F50" w:rsidRDefault="00E61F50" w:rsidP="00E61F50">
      <w:pPr>
        <w:ind w:left="1440" w:hanging="1440"/>
        <w:jc w:val="both"/>
        <w:rPr>
          <w:b/>
        </w:rPr>
      </w:pPr>
      <w:r>
        <w:rPr>
          <w:b/>
        </w:rPr>
        <w:t>FL RISING/</w:t>
      </w:r>
    </w:p>
    <w:p w14:paraId="1389AE1B" w14:textId="77777777" w:rsidR="00E61F50" w:rsidRDefault="00E61F50" w:rsidP="00E61F50">
      <w:pPr>
        <w:ind w:left="1440" w:hanging="1440"/>
        <w:jc w:val="both"/>
        <w:rPr>
          <w:b/>
        </w:rPr>
      </w:pPr>
      <w:r>
        <w:rPr>
          <w:b/>
        </w:rPr>
        <w:t>LULAC:</w:t>
      </w:r>
      <w:r>
        <w:rPr>
          <w:b/>
        </w:rPr>
        <w:tab/>
      </w:r>
      <w:r w:rsidR="004F76C2">
        <w:t>No</w:t>
      </w:r>
      <w:r w:rsidR="004F76C2" w:rsidRPr="0F785916">
        <w:t xml:space="preserve">, it remains TECO’s </w:t>
      </w:r>
      <w:r w:rsidR="004F76C2" w:rsidRPr="11A9180C">
        <w:t xml:space="preserve">burden to show it has </w:t>
      </w:r>
      <w:r w:rsidR="004F76C2" w:rsidRPr="27E82D2A">
        <w:t xml:space="preserve">appropriately </w:t>
      </w:r>
      <w:r w:rsidR="004F76C2" w:rsidRPr="33E39C49">
        <w:t xml:space="preserve">removed </w:t>
      </w:r>
      <w:r w:rsidR="004F76C2" w:rsidRPr="2889353C">
        <w:t xml:space="preserve">fuel revenues and fuel </w:t>
      </w:r>
      <w:r w:rsidR="004F76C2" w:rsidRPr="71046855">
        <w:t>expenses</w:t>
      </w:r>
      <w:r w:rsidR="004F76C2" w:rsidRPr="0F785916">
        <w:t>.</w:t>
      </w:r>
    </w:p>
    <w:p w14:paraId="23E8FDE7" w14:textId="77777777" w:rsidR="00E61F50" w:rsidRDefault="00E61F50" w:rsidP="00E61F50">
      <w:pPr>
        <w:ind w:left="1440" w:hanging="1440"/>
        <w:jc w:val="both"/>
        <w:rPr>
          <w:b/>
        </w:rPr>
      </w:pPr>
    </w:p>
    <w:p w14:paraId="3C615452" w14:textId="3BF91843" w:rsidR="00E61F50" w:rsidRDefault="00E61F50" w:rsidP="00E61F50">
      <w:pPr>
        <w:ind w:left="1440" w:hanging="1440"/>
        <w:jc w:val="both"/>
        <w:rPr>
          <w:b/>
        </w:rPr>
      </w:pPr>
      <w:r>
        <w:rPr>
          <w:b/>
        </w:rPr>
        <w:t>FIPUG:</w:t>
      </w:r>
      <w:r>
        <w:rPr>
          <w:b/>
        </w:rPr>
        <w:tab/>
      </w:r>
      <w:r w:rsidR="00C566CC">
        <w:rPr>
          <w:bCs/>
        </w:rPr>
        <w:t>No position.</w:t>
      </w:r>
    </w:p>
    <w:p w14:paraId="7CEC999D" w14:textId="77777777" w:rsidR="00E61F50" w:rsidRDefault="00E61F50" w:rsidP="00E61F50">
      <w:pPr>
        <w:ind w:left="1440" w:hanging="1440"/>
        <w:jc w:val="both"/>
        <w:rPr>
          <w:b/>
        </w:rPr>
      </w:pPr>
    </w:p>
    <w:p w14:paraId="1BCE1559" w14:textId="38FAEA1D" w:rsidR="00E61F50" w:rsidRDefault="00E61F50" w:rsidP="00E61F50">
      <w:pPr>
        <w:ind w:left="1440" w:hanging="1440"/>
        <w:jc w:val="both"/>
        <w:rPr>
          <w:b/>
        </w:rPr>
      </w:pPr>
      <w:r>
        <w:rPr>
          <w:b/>
        </w:rPr>
        <w:t>FEA:</w:t>
      </w:r>
      <w:r>
        <w:rPr>
          <w:b/>
        </w:rPr>
        <w:tab/>
      </w:r>
      <w:r w:rsidR="00C566CC">
        <w:t>No position.</w:t>
      </w:r>
    </w:p>
    <w:p w14:paraId="4C15ADCE" w14:textId="77777777" w:rsidR="00E61F50" w:rsidRDefault="00E61F50" w:rsidP="00E61F50">
      <w:pPr>
        <w:ind w:left="1440" w:hanging="1440"/>
        <w:jc w:val="both"/>
        <w:rPr>
          <w:b/>
        </w:rPr>
      </w:pPr>
    </w:p>
    <w:p w14:paraId="11AAC532" w14:textId="77777777" w:rsidR="00A14A11" w:rsidRDefault="00764960" w:rsidP="00E61F50">
      <w:pPr>
        <w:ind w:left="1440" w:hanging="1440"/>
        <w:jc w:val="both"/>
        <w:rPr>
          <w:b/>
        </w:rPr>
      </w:pPr>
      <w:r>
        <w:rPr>
          <w:b/>
        </w:rPr>
        <w:t xml:space="preserve">SIERRA </w:t>
      </w:r>
    </w:p>
    <w:p w14:paraId="76B993B2" w14:textId="151CEC87" w:rsidR="00E61F50" w:rsidRDefault="00764960" w:rsidP="00E61F50">
      <w:pPr>
        <w:ind w:left="1440" w:hanging="1440"/>
        <w:jc w:val="both"/>
        <w:rPr>
          <w:b/>
        </w:rPr>
      </w:pPr>
      <w:r>
        <w:rPr>
          <w:b/>
        </w:rPr>
        <w:t>CLUB</w:t>
      </w:r>
      <w:r w:rsidR="00E61F50">
        <w:rPr>
          <w:b/>
        </w:rPr>
        <w:t>:</w:t>
      </w:r>
      <w:r w:rsidR="00E61F50">
        <w:rPr>
          <w:b/>
        </w:rPr>
        <w:tab/>
      </w:r>
      <w:r w:rsidR="00C566CC">
        <w:t>No position.</w:t>
      </w:r>
    </w:p>
    <w:p w14:paraId="4094D1D4" w14:textId="2369C97E" w:rsidR="00E61F50" w:rsidRDefault="00E61F50" w:rsidP="00E61F50">
      <w:pPr>
        <w:ind w:left="1440" w:hanging="1440"/>
        <w:jc w:val="both"/>
        <w:rPr>
          <w:b/>
        </w:rPr>
      </w:pPr>
      <w:r>
        <w:rPr>
          <w:b/>
        </w:rPr>
        <w:lastRenderedPageBreak/>
        <w:t>FRF:</w:t>
      </w:r>
      <w:r>
        <w:rPr>
          <w:b/>
        </w:rPr>
        <w:tab/>
      </w:r>
      <w:r w:rsidR="00C566CC">
        <w:t>No position.</w:t>
      </w:r>
    </w:p>
    <w:p w14:paraId="28429154" w14:textId="77777777" w:rsidR="00E61F50" w:rsidRDefault="00E61F50" w:rsidP="00E61F50">
      <w:pPr>
        <w:ind w:left="1440" w:hanging="1440"/>
        <w:jc w:val="both"/>
        <w:rPr>
          <w:b/>
        </w:rPr>
      </w:pPr>
    </w:p>
    <w:p w14:paraId="4B152A85" w14:textId="77777777" w:rsidR="00A14A11" w:rsidRDefault="00C0182D" w:rsidP="00E61F50">
      <w:pPr>
        <w:ind w:left="1440" w:hanging="1440"/>
        <w:jc w:val="both"/>
        <w:rPr>
          <w:b/>
        </w:rPr>
      </w:pPr>
      <w:r>
        <w:rPr>
          <w:b/>
        </w:rPr>
        <w:t xml:space="preserve">FUEL </w:t>
      </w:r>
    </w:p>
    <w:p w14:paraId="1CCDF8CB" w14:textId="46B834FC" w:rsidR="00E61F50" w:rsidRDefault="00C0182D" w:rsidP="00E61F50">
      <w:pPr>
        <w:ind w:left="1440" w:hanging="1440"/>
        <w:jc w:val="both"/>
      </w:pPr>
      <w:r>
        <w:rPr>
          <w:b/>
        </w:rPr>
        <w:t>RETAILERS</w:t>
      </w:r>
      <w:r w:rsidR="00E61F50">
        <w:rPr>
          <w:b/>
        </w:rPr>
        <w:t>:</w:t>
      </w:r>
      <w:r w:rsidR="00A14A11">
        <w:rPr>
          <w:b/>
        </w:rPr>
        <w:t xml:space="preserve"> </w:t>
      </w:r>
      <w:r w:rsidR="00203035" w:rsidRPr="00132664">
        <w:t xml:space="preserve">No </w:t>
      </w:r>
      <w:r w:rsidR="00C566CC">
        <w:t>p</w:t>
      </w:r>
      <w:r w:rsidR="00203035" w:rsidRPr="00132664">
        <w:t>osition.</w:t>
      </w:r>
    </w:p>
    <w:p w14:paraId="24CE3CD8" w14:textId="77777777" w:rsidR="00E61243" w:rsidRDefault="00E61243" w:rsidP="00E61F50">
      <w:pPr>
        <w:ind w:left="1440" w:hanging="1440"/>
        <w:jc w:val="both"/>
      </w:pPr>
    </w:p>
    <w:p w14:paraId="1700EDAF" w14:textId="65AB8791" w:rsidR="00E61243" w:rsidRPr="00E61243" w:rsidRDefault="00FD408B" w:rsidP="00E61F50">
      <w:pPr>
        <w:ind w:left="1440" w:hanging="1440"/>
        <w:jc w:val="both"/>
        <w:rPr>
          <w:b/>
        </w:rPr>
      </w:pPr>
      <w:r>
        <w:rPr>
          <w:b/>
        </w:rPr>
        <w:t>WALMART</w:t>
      </w:r>
      <w:r w:rsidR="00E61243">
        <w:rPr>
          <w:b/>
        </w:rPr>
        <w:t>:</w:t>
      </w:r>
      <w:r w:rsidR="00E61243">
        <w:rPr>
          <w:b/>
        </w:rPr>
        <w:tab/>
      </w:r>
      <w:r w:rsidR="00C566CC">
        <w:t>No position.</w:t>
      </w:r>
    </w:p>
    <w:p w14:paraId="19AB036E" w14:textId="77777777" w:rsidR="00E61F50" w:rsidRPr="00701945" w:rsidRDefault="00E61F50" w:rsidP="00E61F50">
      <w:pPr>
        <w:jc w:val="both"/>
      </w:pPr>
    </w:p>
    <w:p w14:paraId="50AF56EC" w14:textId="77777777" w:rsidR="00E61F50" w:rsidRPr="005D4B47" w:rsidRDefault="00E61F50" w:rsidP="00E61F50">
      <w:pPr>
        <w:ind w:left="1440" w:hanging="1440"/>
        <w:jc w:val="both"/>
        <w:rPr>
          <w:b/>
          <w:bCs/>
        </w:rPr>
      </w:pPr>
      <w:r>
        <w:rPr>
          <w:b/>
          <w:bCs/>
        </w:rPr>
        <w:t>STAFF:</w:t>
      </w:r>
      <w:r>
        <w:rPr>
          <w:b/>
          <w:bCs/>
        </w:rPr>
        <w:tab/>
      </w:r>
      <w:r w:rsidR="002C290E">
        <w:t>No position at this time.</w:t>
      </w:r>
    </w:p>
    <w:p w14:paraId="71A66BE8" w14:textId="77777777" w:rsidR="00EA7BF6" w:rsidRDefault="00EA7BF6" w:rsidP="00C7699A">
      <w:pPr>
        <w:jc w:val="both"/>
      </w:pPr>
    </w:p>
    <w:p w14:paraId="18868AC3" w14:textId="77777777" w:rsidR="00E61F50" w:rsidRDefault="00E61F50" w:rsidP="00C7699A">
      <w:pPr>
        <w:jc w:val="both"/>
      </w:pPr>
    </w:p>
    <w:p w14:paraId="7C860878" w14:textId="77777777" w:rsidR="00E61F50" w:rsidRPr="003F4F8D" w:rsidRDefault="003F4F8D" w:rsidP="00E61F50">
      <w:pPr>
        <w:ind w:left="1440" w:hanging="1440"/>
        <w:jc w:val="both"/>
        <w:rPr>
          <w:b/>
        </w:rPr>
      </w:pPr>
      <w:r>
        <w:rPr>
          <w:b/>
          <w:bCs/>
        </w:rPr>
        <w:t>ISSUE 49</w:t>
      </w:r>
      <w:r w:rsidR="00E61F50" w:rsidRPr="00701945">
        <w:rPr>
          <w:b/>
          <w:bCs/>
        </w:rPr>
        <w:t>:</w:t>
      </w:r>
      <w:r w:rsidR="00E61F50" w:rsidRPr="00701945">
        <w:tab/>
      </w:r>
      <w:r w:rsidRPr="003F4F8D">
        <w:rPr>
          <w:b/>
        </w:rPr>
        <w:t>Has TECO made the appropriate test year adjustments to remove conservation revenues and conservation expenses recoverable through the Conservation Cost Recovery Clause?</w:t>
      </w:r>
    </w:p>
    <w:p w14:paraId="3CFFD530" w14:textId="77777777" w:rsidR="00E61F50" w:rsidRPr="00701945" w:rsidRDefault="00E61F50" w:rsidP="00E61F50">
      <w:pPr>
        <w:jc w:val="both"/>
      </w:pPr>
    </w:p>
    <w:p w14:paraId="3DA25400" w14:textId="77777777" w:rsidR="00E61F50" w:rsidRPr="005D4B47" w:rsidRDefault="00E61F50" w:rsidP="00E61F50">
      <w:pPr>
        <w:ind w:left="1440" w:hanging="1440"/>
        <w:jc w:val="both"/>
      </w:pPr>
      <w:r>
        <w:rPr>
          <w:b/>
          <w:bCs/>
        </w:rPr>
        <w:t>TECO</w:t>
      </w:r>
      <w:r w:rsidRPr="005D4B47">
        <w:rPr>
          <w:b/>
          <w:bCs/>
        </w:rPr>
        <w:t>:</w:t>
      </w:r>
      <w:r w:rsidRPr="005D4B47">
        <w:tab/>
      </w:r>
      <w:r w:rsidR="003F4F8D">
        <w:t>Yes. The appropriate adjustments are shown on MFR Schedules C-2 and C-3 and should be approved. (Chronister)</w:t>
      </w:r>
    </w:p>
    <w:p w14:paraId="177D5B5F" w14:textId="77777777" w:rsidR="00E61F50" w:rsidRPr="00701945" w:rsidRDefault="00E61F50" w:rsidP="00E61F50">
      <w:pPr>
        <w:jc w:val="both"/>
      </w:pPr>
    </w:p>
    <w:p w14:paraId="3F26F70C" w14:textId="77777777" w:rsidR="00E61F50" w:rsidRDefault="00E61F50" w:rsidP="00E61F50">
      <w:pPr>
        <w:ind w:left="1440" w:hanging="1440"/>
        <w:jc w:val="both"/>
      </w:pPr>
      <w:r>
        <w:rPr>
          <w:b/>
          <w:bCs/>
        </w:rPr>
        <w:t>OPC</w:t>
      </w:r>
      <w:r w:rsidRPr="00701945">
        <w:rPr>
          <w:b/>
          <w:bCs/>
        </w:rPr>
        <w:t>:</w:t>
      </w:r>
      <w:r>
        <w:tab/>
      </w:r>
      <w:r w:rsidR="00576561">
        <w:t>No position.</w:t>
      </w:r>
    </w:p>
    <w:p w14:paraId="54E04F4A" w14:textId="77777777" w:rsidR="00E61F50" w:rsidRDefault="00E61F50" w:rsidP="00E61F50">
      <w:pPr>
        <w:ind w:left="1440" w:hanging="1440"/>
        <w:jc w:val="both"/>
      </w:pPr>
    </w:p>
    <w:p w14:paraId="3C4EB21C" w14:textId="77777777" w:rsidR="00E61F50" w:rsidRDefault="00E61F50" w:rsidP="00E61F50">
      <w:pPr>
        <w:ind w:left="1440" w:hanging="1440"/>
        <w:jc w:val="both"/>
        <w:rPr>
          <w:b/>
        </w:rPr>
      </w:pPr>
      <w:r>
        <w:rPr>
          <w:b/>
        </w:rPr>
        <w:t>FL RISING/</w:t>
      </w:r>
    </w:p>
    <w:p w14:paraId="3213A90D" w14:textId="77777777" w:rsidR="00E61F50" w:rsidRDefault="00E61F50" w:rsidP="00E61F50">
      <w:pPr>
        <w:ind w:left="1440" w:hanging="1440"/>
        <w:jc w:val="both"/>
        <w:rPr>
          <w:b/>
        </w:rPr>
      </w:pPr>
      <w:r>
        <w:rPr>
          <w:b/>
        </w:rPr>
        <w:t>LULAC:</w:t>
      </w:r>
      <w:r>
        <w:rPr>
          <w:b/>
        </w:rPr>
        <w:tab/>
      </w:r>
      <w:r w:rsidR="004F76C2">
        <w:t>No</w:t>
      </w:r>
      <w:r w:rsidR="004F76C2" w:rsidRPr="3497B03F">
        <w:t xml:space="preserve">, it remains </w:t>
      </w:r>
      <w:r w:rsidR="004F76C2" w:rsidRPr="67D3AA23">
        <w:t xml:space="preserve">TECO’s burden to show it has </w:t>
      </w:r>
      <w:r w:rsidR="004F76C2" w:rsidRPr="285AEA0C">
        <w:t>appropriately</w:t>
      </w:r>
      <w:r w:rsidR="004F76C2" w:rsidRPr="375E58B5">
        <w:t xml:space="preserve"> removed </w:t>
      </w:r>
      <w:r w:rsidR="004F76C2" w:rsidRPr="0B93D1CA">
        <w:t xml:space="preserve">conservation revenues and </w:t>
      </w:r>
      <w:r w:rsidR="004F76C2" w:rsidRPr="1A1ED208">
        <w:t>conservation expenses</w:t>
      </w:r>
      <w:r w:rsidR="004F76C2" w:rsidRPr="6683B3A4">
        <w:t>.</w:t>
      </w:r>
    </w:p>
    <w:p w14:paraId="37491923" w14:textId="77777777" w:rsidR="00E61F50" w:rsidRDefault="00E61F50" w:rsidP="00E61F50">
      <w:pPr>
        <w:ind w:left="1440" w:hanging="1440"/>
        <w:jc w:val="both"/>
        <w:rPr>
          <w:b/>
        </w:rPr>
      </w:pPr>
    </w:p>
    <w:p w14:paraId="0A561D26" w14:textId="7E52F2AD" w:rsidR="00E61F50" w:rsidRDefault="00E61F50" w:rsidP="00E61F50">
      <w:pPr>
        <w:ind w:left="1440" w:hanging="1440"/>
        <w:jc w:val="both"/>
        <w:rPr>
          <w:b/>
        </w:rPr>
      </w:pPr>
      <w:r>
        <w:rPr>
          <w:b/>
        </w:rPr>
        <w:t>FIPUG:</w:t>
      </w:r>
      <w:r>
        <w:rPr>
          <w:b/>
        </w:rPr>
        <w:tab/>
      </w:r>
      <w:r w:rsidR="00C37A4E">
        <w:rPr>
          <w:bCs/>
        </w:rPr>
        <w:t>No position.</w:t>
      </w:r>
    </w:p>
    <w:p w14:paraId="24A8EE95" w14:textId="77777777" w:rsidR="00E61F50" w:rsidRDefault="00E61F50" w:rsidP="00E61F50">
      <w:pPr>
        <w:ind w:left="1440" w:hanging="1440"/>
        <w:jc w:val="both"/>
        <w:rPr>
          <w:b/>
        </w:rPr>
      </w:pPr>
    </w:p>
    <w:p w14:paraId="7FD5914F" w14:textId="79910E8F" w:rsidR="00E61F50" w:rsidRDefault="00E61F50" w:rsidP="00E61F50">
      <w:pPr>
        <w:ind w:left="1440" w:hanging="1440"/>
        <w:jc w:val="both"/>
        <w:rPr>
          <w:b/>
        </w:rPr>
      </w:pPr>
      <w:r>
        <w:rPr>
          <w:b/>
        </w:rPr>
        <w:t>FEA:</w:t>
      </w:r>
      <w:r>
        <w:rPr>
          <w:b/>
        </w:rPr>
        <w:tab/>
      </w:r>
      <w:r w:rsidR="00C37A4E">
        <w:t>No position.</w:t>
      </w:r>
    </w:p>
    <w:p w14:paraId="3F3472F8" w14:textId="77777777" w:rsidR="00E61F50" w:rsidRDefault="00E61F50" w:rsidP="00E61F50">
      <w:pPr>
        <w:ind w:left="1440" w:hanging="1440"/>
        <w:jc w:val="both"/>
        <w:rPr>
          <w:b/>
        </w:rPr>
      </w:pPr>
    </w:p>
    <w:p w14:paraId="3594E400" w14:textId="77777777" w:rsidR="00A14A11" w:rsidRDefault="00764960" w:rsidP="00E61F50">
      <w:pPr>
        <w:ind w:left="1440" w:hanging="1440"/>
        <w:jc w:val="both"/>
        <w:rPr>
          <w:b/>
        </w:rPr>
      </w:pPr>
      <w:r>
        <w:rPr>
          <w:b/>
        </w:rPr>
        <w:t xml:space="preserve">SIERRA </w:t>
      </w:r>
    </w:p>
    <w:p w14:paraId="5A2B63E4" w14:textId="7EA25B48" w:rsidR="00E61F50" w:rsidRDefault="00764960" w:rsidP="00E61F50">
      <w:pPr>
        <w:ind w:left="1440" w:hanging="1440"/>
        <w:jc w:val="both"/>
        <w:rPr>
          <w:b/>
        </w:rPr>
      </w:pPr>
      <w:r>
        <w:rPr>
          <w:b/>
        </w:rPr>
        <w:t>CLUB</w:t>
      </w:r>
      <w:r w:rsidR="00E61F50">
        <w:rPr>
          <w:b/>
        </w:rPr>
        <w:t>:</w:t>
      </w:r>
      <w:r w:rsidR="00E61F50">
        <w:rPr>
          <w:b/>
        </w:rPr>
        <w:tab/>
      </w:r>
      <w:r w:rsidR="00C37A4E">
        <w:t>No position.</w:t>
      </w:r>
    </w:p>
    <w:p w14:paraId="4DA40CD3" w14:textId="77777777" w:rsidR="00E61F50" w:rsidRDefault="00E61F50" w:rsidP="00E61F50">
      <w:pPr>
        <w:ind w:left="1440" w:hanging="1440"/>
        <w:jc w:val="both"/>
        <w:rPr>
          <w:b/>
        </w:rPr>
      </w:pPr>
    </w:p>
    <w:p w14:paraId="298CE32E" w14:textId="1865989E" w:rsidR="00E61F50" w:rsidRDefault="00E61F50" w:rsidP="00E61F50">
      <w:pPr>
        <w:ind w:left="1440" w:hanging="1440"/>
        <w:jc w:val="both"/>
        <w:rPr>
          <w:b/>
        </w:rPr>
      </w:pPr>
      <w:r>
        <w:rPr>
          <w:b/>
        </w:rPr>
        <w:t>FRF:</w:t>
      </w:r>
      <w:r>
        <w:rPr>
          <w:b/>
        </w:rPr>
        <w:tab/>
      </w:r>
      <w:r w:rsidR="00C37A4E">
        <w:t>No position.</w:t>
      </w:r>
    </w:p>
    <w:p w14:paraId="1CF41E1A" w14:textId="77777777" w:rsidR="00E61F50" w:rsidRDefault="00E61F50" w:rsidP="00E61F50">
      <w:pPr>
        <w:ind w:left="1440" w:hanging="1440"/>
        <w:jc w:val="both"/>
        <w:rPr>
          <w:b/>
        </w:rPr>
      </w:pPr>
    </w:p>
    <w:p w14:paraId="43E8441C" w14:textId="77777777" w:rsidR="00A14A11" w:rsidRDefault="00C0182D" w:rsidP="00E61F50">
      <w:pPr>
        <w:ind w:left="1440" w:hanging="1440"/>
        <w:jc w:val="both"/>
        <w:rPr>
          <w:b/>
        </w:rPr>
      </w:pPr>
      <w:r>
        <w:rPr>
          <w:b/>
        </w:rPr>
        <w:t xml:space="preserve">FUEL </w:t>
      </w:r>
    </w:p>
    <w:p w14:paraId="5C337C5F" w14:textId="6F0EB2F2" w:rsidR="00E61F50" w:rsidRDefault="00C0182D" w:rsidP="00E61F50">
      <w:pPr>
        <w:ind w:left="1440" w:hanging="1440"/>
        <w:jc w:val="both"/>
      </w:pPr>
      <w:r>
        <w:rPr>
          <w:b/>
        </w:rPr>
        <w:t>RETAILERS</w:t>
      </w:r>
      <w:r w:rsidR="00E61F50">
        <w:rPr>
          <w:b/>
        </w:rPr>
        <w:t>:</w:t>
      </w:r>
      <w:r w:rsidR="00A14A11">
        <w:rPr>
          <w:b/>
        </w:rPr>
        <w:t xml:space="preserve"> </w:t>
      </w:r>
      <w:r w:rsidR="008502DD" w:rsidRPr="00132664">
        <w:t xml:space="preserve">No </w:t>
      </w:r>
      <w:r w:rsidR="00C37A4E">
        <w:t>p</w:t>
      </w:r>
      <w:r w:rsidR="008502DD" w:rsidRPr="00132664">
        <w:t>osition.</w:t>
      </w:r>
    </w:p>
    <w:p w14:paraId="3E3739CE" w14:textId="77777777" w:rsidR="00E61243" w:rsidRDefault="00E61243" w:rsidP="00E61F50">
      <w:pPr>
        <w:ind w:left="1440" w:hanging="1440"/>
        <w:jc w:val="both"/>
      </w:pPr>
    </w:p>
    <w:p w14:paraId="67B15FE3" w14:textId="1CAAE108" w:rsidR="00E61243" w:rsidRPr="00E61243" w:rsidRDefault="00FD408B" w:rsidP="00E61F50">
      <w:pPr>
        <w:ind w:left="1440" w:hanging="1440"/>
        <w:jc w:val="both"/>
        <w:rPr>
          <w:b/>
        </w:rPr>
      </w:pPr>
      <w:r>
        <w:rPr>
          <w:b/>
        </w:rPr>
        <w:t>WALMART</w:t>
      </w:r>
      <w:r w:rsidR="00E61243">
        <w:rPr>
          <w:b/>
        </w:rPr>
        <w:t>:</w:t>
      </w:r>
      <w:r w:rsidR="00E61243">
        <w:rPr>
          <w:b/>
        </w:rPr>
        <w:tab/>
      </w:r>
      <w:r w:rsidR="00C37A4E">
        <w:t>No position.</w:t>
      </w:r>
    </w:p>
    <w:p w14:paraId="1AB86F51" w14:textId="77777777" w:rsidR="00E61F50" w:rsidRPr="00701945" w:rsidRDefault="00E61F50" w:rsidP="00E61F50">
      <w:pPr>
        <w:jc w:val="both"/>
      </w:pPr>
    </w:p>
    <w:p w14:paraId="309346D3" w14:textId="77777777" w:rsidR="00E61F50" w:rsidRPr="005D4B47" w:rsidRDefault="00E61F50" w:rsidP="00E61F50">
      <w:pPr>
        <w:ind w:left="1440" w:hanging="1440"/>
        <w:jc w:val="both"/>
        <w:rPr>
          <w:b/>
          <w:bCs/>
        </w:rPr>
      </w:pPr>
      <w:r>
        <w:rPr>
          <w:b/>
          <w:bCs/>
        </w:rPr>
        <w:t>STAFF:</w:t>
      </w:r>
      <w:r>
        <w:rPr>
          <w:b/>
          <w:bCs/>
        </w:rPr>
        <w:tab/>
      </w:r>
      <w:r w:rsidR="002C290E">
        <w:t>No position at this time.</w:t>
      </w:r>
    </w:p>
    <w:p w14:paraId="1D10E2AC" w14:textId="77777777" w:rsidR="00E61F50" w:rsidRDefault="00E61F50" w:rsidP="00C7699A">
      <w:pPr>
        <w:jc w:val="both"/>
      </w:pPr>
    </w:p>
    <w:p w14:paraId="2BD4A80B" w14:textId="1C40C2D6" w:rsidR="00E61F50" w:rsidRDefault="00E61F50" w:rsidP="00C7699A">
      <w:pPr>
        <w:jc w:val="both"/>
      </w:pPr>
    </w:p>
    <w:p w14:paraId="7B7F56AB" w14:textId="50BC9E99" w:rsidR="00F67241" w:rsidRDefault="00F67241" w:rsidP="00C7699A">
      <w:pPr>
        <w:jc w:val="both"/>
      </w:pPr>
    </w:p>
    <w:p w14:paraId="29BB54E0" w14:textId="4B783982" w:rsidR="00F67241" w:rsidRDefault="00F67241" w:rsidP="00C7699A">
      <w:pPr>
        <w:jc w:val="both"/>
      </w:pPr>
    </w:p>
    <w:p w14:paraId="5E430618" w14:textId="77777777" w:rsidR="00F67241" w:rsidRDefault="00F67241" w:rsidP="00C7699A">
      <w:pPr>
        <w:jc w:val="both"/>
      </w:pPr>
    </w:p>
    <w:p w14:paraId="183F7362" w14:textId="77777777" w:rsidR="00E61F50" w:rsidRPr="003F4F8D" w:rsidRDefault="003F4F8D" w:rsidP="00E61F50">
      <w:pPr>
        <w:ind w:left="1440" w:hanging="1440"/>
        <w:jc w:val="both"/>
        <w:rPr>
          <w:b/>
        </w:rPr>
      </w:pPr>
      <w:r>
        <w:rPr>
          <w:b/>
          <w:bCs/>
        </w:rPr>
        <w:lastRenderedPageBreak/>
        <w:t>ISSUE 50</w:t>
      </w:r>
      <w:r w:rsidR="00E61F50" w:rsidRPr="00701945">
        <w:rPr>
          <w:b/>
          <w:bCs/>
        </w:rPr>
        <w:t>:</w:t>
      </w:r>
      <w:r w:rsidR="00E61F50" w:rsidRPr="00701945">
        <w:tab/>
      </w:r>
      <w:r w:rsidRPr="003F4F8D">
        <w:rPr>
          <w:b/>
        </w:rPr>
        <w:t>Has TECO made the appropriate test year adjustments to remove capacity revenues and capacity expenses recoverable through the Capacity Cost Recovery Clause?</w:t>
      </w:r>
    </w:p>
    <w:p w14:paraId="553A31B8" w14:textId="77777777" w:rsidR="00E61F50" w:rsidRPr="00701945" w:rsidRDefault="00E61F50" w:rsidP="00E61F50">
      <w:pPr>
        <w:jc w:val="both"/>
      </w:pPr>
    </w:p>
    <w:p w14:paraId="349245BF" w14:textId="77777777" w:rsidR="00E61F50" w:rsidRPr="005D4B47" w:rsidRDefault="00E61F50" w:rsidP="00E61F50">
      <w:pPr>
        <w:ind w:left="1440" w:hanging="1440"/>
        <w:jc w:val="both"/>
      </w:pPr>
      <w:r>
        <w:rPr>
          <w:b/>
          <w:bCs/>
        </w:rPr>
        <w:t>TECO</w:t>
      </w:r>
      <w:r w:rsidRPr="005D4B47">
        <w:rPr>
          <w:b/>
          <w:bCs/>
        </w:rPr>
        <w:t>:</w:t>
      </w:r>
      <w:r w:rsidRPr="005D4B47">
        <w:tab/>
      </w:r>
      <w:r w:rsidR="003F4F8D">
        <w:t>Yes. The appropriate adjustments are shown on MFR Schedules C-2 and C-3 and should be approved. (Chronister)</w:t>
      </w:r>
    </w:p>
    <w:p w14:paraId="6A8A8B6C" w14:textId="77777777" w:rsidR="00E61F50" w:rsidRPr="00701945" w:rsidRDefault="00E61F50" w:rsidP="00E61F50">
      <w:pPr>
        <w:jc w:val="both"/>
      </w:pPr>
    </w:p>
    <w:p w14:paraId="6013A2AC" w14:textId="77777777" w:rsidR="00E61F50" w:rsidRDefault="00E61F50" w:rsidP="00E61F50">
      <w:pPr>
        <w:ind w:left="1440" w:hanging="1440"/>
        <w:jc w:val="both"/>
      </w:pPr>
      <w:r>
        <w:rPr>
          <w:b/>
          <w:bCs/>
        </w:rPr>
        <w:t>OPC</w:t>
      </w:r>
      <w:r w:rsidRPr="00701945">
        <w:rPr>
          <w:b/>
          <w:bCs/>
        </w:rPr>
        <w:t>:</w:t>
      </w:r>
      <w:r>
        <w:tab/>
      </w:r>
      <w:r w:rsidR="00576561">
        <w:t>No position.</w:t>
      </w:r>
    </w:p>
    <w:p w14:paraId="6C5484A9" w14:textId="77777777" w:rsidR="00E61F50" w:rsidRDefault="00E61F50" w:rsidP="00E61F50">
      <w:pPr>
        <w:ind w:left="1440" w:hanging="1440"/>
        <w:jc w:val="both"/>
      </w:pPr>
    </w:p>
    <w:p w14:paraId="017241FB" w14:textId="77777777" w:rsidR="00E61F50" w:rsidRDefault="00E61F50" w:rsidP="00E61F50">
      <w:pPr>
        <w:ind w:left="1440" w:hanging="1440"/>
        <w:jc w:val="both"/>
        <w:rPr>
          <w:b/>
        </w:rPr>
      </w:pPr>
      <w:r>
        <w:rPr>
          <w:b/>
        </w:rPr>
        <w:t>FL RISING/</w:t>
      </w:r>
    </w:p>
    <w:p w14:paraId="1759F3F5" w14:textId="77777777" w:rsidR="00E61F50" w:rsidRDefault="00E61F50" w:rsidP="00E61F50">
      <w:pPr>
        <w:ind w:left="1440" w:hanging="1440"/>
        <w:jc w:val="both"/>
        <w:rPr>
          <w:b/>
        </w:rPr>
      </w:pPr>
      <w:r>
        <w:rPr>
          <w:b/>
        </w:rPr>
        <w:t>LULAC:</w:t>
      </w:r>
      <w:r>
        <w:rPr>
          <w:b/>
        </w:rPr>
        <w:tab/>
      </w:r>
      <w:r w:rsidR="004F76C2" w:rsidRPr="74C0E488">
        <w:t xml:space="preserve">No, it remains TECO’s burden </w:t>
      </w:r>
      <w:r w:rsidR="004F76C2" w:rsidRPr="218F33FB">
        <w:t xml:space="preserve">to show it has </w:t>
      </w:r>
      <w:r w:rsidR="004F76C2" w:rsidRPr="01FCFCCC">
        <w:t>appropriately</w:t>
      </w:r>
      <w:r w:rsidR="004F76C2" w:rsidRPr="0A22BF73">
        <w:t xml:space="preserve"> removed </w:t>
      </w:r>
      <w:r w:rsidR="004F76C2" w:rsidRPr="7CA86414">
        <w:t xml:space="preserve">capacity revenues </w:t>
      </w:r>
      <w:r w:rsidR="004F76C2" w:rsidRPr="153CB872">
        <w:t xml:space="preserve">and capacity </w:t>
      </w:r>
      <w:r w:rsidR="004F76C2" w:rsidRPr="7FE45FE9">
        <w:t xml:space="preserve">expenses recoverable </w:t>
      </w:r>
      <w:r w:rsidR="004F76C2" w:rsidRPr="66D29945">
        <w:t xml:space="preserve">through the Capacity Cost </w:t>
      </w:r>
      <w:r w:rsidR="004F76C2" w:rsidRPr="17D82D6D">
        <w:t>Recovery Clause</w:t>
      </w:r>
      <w:r w:rsidR="004F76C2">
        <w:t>.</w:t>
      </w:r>
    </w:p>
    <w:p w14:paraId="70F0B334" w14:textId="77777777" w:rsidR="00E61F50" w:rsidRDefault="00E61F50" w:rsidP="00E61F50">
      <w:pPr>
        <w:ind w:left="1440" w:hanging="1440"/>
        <w:jc w:val="both"/>
        <w:rPr>
          <w:b/>
        </w:rPr>
      </w:pPr>
    </w:p>
    <w:p w14:paraId="5D17B5E2" w14:textId="4904369F" w:rsidR="00E61F50" w:rsidRDefault="00E61F50" w:rsidP="00E61F50">
      <w:pPr>
        <w:ind w:left="1440" w:hanging="1440"/>
        <w:jc w:val="both"/>
        <w:rPr>
          <w:b/>
        </w:rPr>
      </w:pPr>
      <w:r>
        <w:rPr>
          <w:b/>
        </w:rPr>
        <w:t>FIPUG:</w:t>
      </w:r>
      <w:r>
        <w:rPr>
          <w:b/>
        </w:rPr>
        <w:tab/>
      </w:r>
      <w:r w:rsidR="00F72E5D">
        <w:rPr>
          <w:bCs/>
        </w:rPr>
        <w:t>No position.</w:t>
      </w:r>
    </w:p>
    <w:p w14:paraId="71A97531" w14:textId="77777777" w:rsidR="00E61F50" w:rsidRDefault="00E61F50" w:rsidP="00E61F50">
      <w:pPr>
        <w:ind w:left="1440" w:hanging="1440"/>
        <w:jc w:val="both"/>
        <w:rPr>
          <w:b/>
        </w:rPr>
      </w:pPr>
    </w:p>
    <w:p w14:paraId="0D01CDB1" w14:textId="3EEE3487" w:rsidR="00E61F50" w:rsidRDefault="00E61F50" w:rsidP="00E61F50">
      <w:pPr>
        <w:ind w:left="1440" w:hanging="1440"/>
        <w:jc w:val="both"/>
        <w:rPr>
          <w:b/>
        </w:rPr>
      </w:pPr>
      <w:r>
        <w:rPr>
          <w:b/>
        </w:rPr>
        <w:t>FEA:</w:t>
      </w:r>
      <w:r>
        <w:rPr>
          <w:b/>
        </w:rPr>
        <w:tab/>
      </w:r>
      <w:r w:rsidR="00F72E5D">
        <w:t>No position.</w:t>
      </w:r>
    </w:p>
    <w:p w14:paraId="193CC091" w14:textId="77777777" w:rsidR="00E61F50" w:rsidRDefault="00E61F50" w:rsidP="00E61F50">
      <w:pPr>
        <w:ind w:left="1440" w:hanging="1440"/>
        <w:jc w:val="both"/>
        <w:rPr>
          <w:b/>
        </w:rPr>
      </w:pPr>
    </w:p>
    <w:p w14:paraId="5C406DCE" w14:textId="77777777" w:rsidR="00A14A11" w:rsidRDefault="00764960" w:rsidP="00E61F50">
      <w:pPr>
        <w:ind w:left="1440" w:hanging="1440"/>
        <w:jc w:val="both"/>
        <w:rPr>
          <w:b/>
        </w:rPr>
      </w:pPr>
      <w:r>
        <w:rPr>
          <w:b/>
        </w:rPr>
        <w:t xml:space="preserve">SIERRA </w:t>
      </w:r>
    </w:p>
    <w:p w14:paraId="4AB4362B" w14:textId="276802CE" w:rsidR="00E61F50" w:rsidRDefault="00764960" w:rsidP="00E61F50">
      <w:pPr>
        <w:ind w:left="1440" w:hanging="1440"/>
        <w:jc w:val="both"/>
        <w:rPr>
          <w:b/>
        </w:rPr>
      </w:pPr>
      <w:r>
        <w:rPr>
          <w:b/>
        </w:rPr>
        <w:t>CLUB</w:t>
      </w:r>
      <w:r w:rsidR="00E61F50">
        <w:rPr>
          <w:b/>
        </w:rPr>
        <w:t>:</w:t>
      </w:r>
      <w:r w:rsidR="00E61F50">
        <w:rPr>
          <w:b/>
        </w:rPr>
        <w:tab/>
      </w:r>
      <w:r w:rsidR="00F72E5D">
        <w:t>No position.</w:t>
      </w:r>
    </w:p>
    <w:p w14:paraId="7E8EF200" w14:textId="77777777" w:rsidR="00E61F50" w:rsidRDefault="00E61F50" w:rsidP="00E61F50">
      <w:pPr>
        <w:ind w:left="1440" w:hanging="1440"/>
        <w:jc w:val="both"/>
        <w:rPr>
          <w:b/>
        </w:rPr>
      </w:pPr>
    </w:p>
    <w:p w14:paraId="4CE6D6CC" w14:textId="203BBF6A" w:rsidR="00E61F50" w:rsidRDefault="00E61F50" w:rsidP="00E61F50">
      <w:pPr>
        <w:ind w:left="1440" w:hanging="1440"/>
        <w:jc w:val="both"/>
      </w:pPr>
      <w:r>
        <w:rPr>
          <w:b/>
        </w:rPr>
        <w:t>FRF:</w:t>
      </w:r>
      <w:r>
        <w:rPr>
          <w:b/>
        </w:rPr>
        <w:tab/>
      </w:r>
      <w:r w:rsidR="00F72E5D">
        <w:t>No position.</w:t>
      </w:r>
    </w:p>
    <w:p w14:paraId="2F2AFCE2" w14:textId="77777777" w:rsidR="00451058" w:rsidRDefault="00451058" w:rsidP="00E61F50">
      <w:pPr>
        <w:ind w:left="1440" w:hanging="1440"/>
        <w:jc w:val="both"/>
        <w:rPr>
          <w:b/>
        </w:rPr>
      </w:pPr>
    </w:p>
    <w:p w14:paraId="19C3EFA3" w14:textId="77777777" w:rsidR="00A14A11" w:rsidRDefault="00C0182D" w:rsidP="00E61F50">
      <w:pPr>
        <w:ind w:left="1440" w:hanging="1440"/>
        <w:jc w:val="both"/>
        <w:rPr>
          <w:b/>
        </w:rPr>
      </w:pPr>
      <w:r>
        <w:rPr>
          <w:b/>
        </w:rPr>
        <w:t xml:space="preserve">FUEL </w:t>
      </w:r>
    </w:p>
    <w:p w14:paraId="6199B205" w14:textId="5CDD53EC" w:rsidR="00E61F50" w:rsidRDefault="00C0182D" w:rsidP="00E61F50">
      <w:pPr>
        <w:ind w:left="1440" w:hanging="1440"/>
        <w:jc w:val="both"/>
      </w:pPr>
      <w:r>
        <w:rPr>
          <w:b/>
        </w:rPr>
        <w:t>RETAILERS</w:t>
      </w:r>
      <w:r w:rsidR="00E61F50">
        <w:rPr>
          <w:b/>
        </w:rPr>
        <w:t>:</w:t>
      </w:r>
      <w:r w:rsidR="00A14A11">
        <w:rPr>
          <w:b/>
        </w:rPr>
        <w:t xml:space="preserve"> </w:t>
      </w:r>
      <w:r w:rsidR="008502DD" w:rsidRPr="00132664">
        <w:t xml:space="preserve">No </w:t>
      </w:r>
      <w:r w:rsidR="00F72E5D">
        <w:t>p</w:t>
      </w:r>
      <w:r w:rsidR="008502DD" w:rsidRPr="00132664">
        <w:t>osition.</w:t>
      </w:r>
    </w:p>
    <w:p w14:paraId="604F4A19" w14:textId="77777777" w:rsidR="00E61243" w:rsidRDefault="00E61243" w:rsidP="00E61F50">
      <w:pPr>
        <w:ind w:left="1440" w:hanging="1440"/>
        <w:jc w:val="both"/>
      </w:pPr>
    </w:p>
    <w:p w14:paraId="5CDA8A94" w14:textId="4D50DB3C" w:rsidR="00E61243" w:rsidRPr="00E61243" w:rsidRDefault="00FD408B" w:rsidP="00E61F50">
      <w:pPr>
        <w:ind w:left="1440" w:hanging="1440"/>
        <w:jc w:val="both"/>
        <w:rPr>
          <w:b/>
        </w:rPr>
      </w:pPr>
      <w:r>
        <w:rPr>
          <w:b/>
        </w:rPr>
        <w:t>WALMART</w:t>
      </w:r>
      <w:r w:rsidR="00E61243">
        <w:rPr>
          <w:b/>
        </w:rPr>
        <w:t>:</w:t>
      </w:r>
      <w:r w:rsidR="00E61243">
        <w:rPr>
          <w:b/>
        </w:rPr>
        <w:tab/>
      </w:r>
      <w:r w:rsidR="00F72E5D">
        <w:t>No position.</w:t>
      </w:r>
    </w:p>
    <w:p w14:paraId="47034661" w14:textId="77777777" w:rsidR="00E61F50" w:rsidRPr="00701945" w:rsidRDefault="00E61F50" w:rsidP="00E61F50">
      <w:pPr>
        <w:jc w:val="both"/>
      </w:pPr>
    </w:p>
    <w:p w14:paraId="63AFBF51" w14:textId="77777777" w:rsidR="00E61F50" w:rsidRPr="005D4B47" w:rsidRDefault="00E61F50" w:rsidP="00E61F50">
      <w:pPr>
        <w:ind w:left="1440" w:hanging="1440"/>
        <w:jc w:val="both"/>
        <w:rPr>
          <w:b/>
          <w:bCs/>
        </w:rPr>
      </w:pPr>
      <w:r>
        <w:rPr>
          <w:b/>
          <w:bCs/>
        </w:rPr>
        <w:t>STAFF:</w:t>
      </w:r>
      <w:r>
        <w:rPr>
          <w:b/>
          <w:bCs/>
        </w:rPr>
        <w:tab/>
      </w:r>
      <w:r w:rsidR="002C290E">
        <w:t>No position at this time.</w:t>
      </w:r>
    </w:p>
    <w:p w14:paraId="684B7C96" w14:textId="77777777" w:rsidR="00E61F50" w:rsidRDefault="00E61F50" w:rsidP="00C7699A">
      <w:pPr>
        <w:jc w:val="both"/>
      </w:pPr>
    </w:p>
    <w:p w14:paraId="32F7717E" w14:textId="77777777" w:rsidR="00E61F50" w:rsidRDefault="00E61F50" w:rsidP="00C7699A">
      <w:pPr>
        <w:jc w:val="both"/>
      </w:pPr>
    </w:p>
    <w:p w14:paraId="59C9B0EF" w14:textId="77777777" w:rsidR="00E61F50" w:rsidRPr="00440B36" w:rsidRDefault="00440B36" w:rsidP="00E61F50">
      <w:pPr>
        <w:ind w:left="1440" w:hanging="1440"/>
        <w:jc w:val="both"/>
        <w:rPr>
          <w:b/>
        </w:rPr>
      </w:pPr>
      <w:r>
        <w:rPr>
          <w:b/>
          <w:bCs/>
        </w:rPr>
        <w:t>ISSUE 51</w:t>
      </w:r>
      <w:r w:rsidR="00E61F50" w:rsidRPr="00701945">
        <w:rPr>
          <w:b/>
          <w:bCs/>
        </w:rPr>
        <w:t>:</w:t>
      </w:r>
      <w:r w:rsidR="00E61F50" w:rsidRPr="00701945">
        <w:tab/>
      </w:r>
      <w:r w:rsidRPr="00440B36">
        <w:rPr>
          <w:b/>
        </w:rPr>
        <w:t>Has TECO made the appropriate test year adjustments to remove environmental revenues and environmental expenses recoverable through the Environmental Cost Recovery Clause?</w:t>
      </w:r>
    </w:p>
    <w:p w14:paraId="2995A993" w14:textId="77777777" w:rsidR="00E61F50" w:rsidRPr="00701945" w:rsidRDefault="00E61F50" w:rsidP="00E61F50">
      <w:pPr>
        <w:jc w:val="both"/>
      </w:pPr>
    </w:p>
    <w:p w14:paraId="6D9743B1" w14:textId="77777777" w:rsidR="00E61F50" w:rsidRPr="005D4B47" w:rsidRDefault="00E61F50" w:rsidP="00E61F50">
      <w:pPr>
        <w:ind w:left="1440" w:hanging="1440"/>
        <w:jc w:val="both"/>
      </w:pPr>
      <w:r>
        <w:rPr>
          <w:b/>
          <w:bCs/>
        </w:rPr>
        <w:t>TECO</w:t>
      </w:r>
      <w:r w:rsidRPr="005D4B47">
        <w:rPr>
          <w:b/>
          <w:bCs/>
        </w:rPr>
        <w:t>:</w:t>
      </w:r>
      <w:r w:rsidRPr="005D4B47">
        <w:tab/>
      </w:r>
      <w:r w:rsidR="00440B36">
        <w:t>Yes. The appropriate adjustments are shown on MFR Schedules C-2 and C-3 and should be approved. (Chronister)</w:t>
      </w:r>
    </w:p>
    <w:p w14:paraId="5F0CCE97" w14:textId="77777777" w:rsidR="00E61F50" w:rsidRPr="00701945" w:rsidRDefault="00E61F50" w:rsidP="00E61F50">
      <w:pPr>
        <w:jc w:val="both"/>
      </w:pPr>
    </w:p>
    <w:p w14:paraId="095E6946" w14:textId="77777777" w:rsidR="00E61F50" w:rsidRDefault="00E61F50" w:rsidP="00E61F50">
      <w:pPr>
        <w:ind w:left="1440" w:hanging="1440"/>
        <w:jc w:val="both"/>
      </w:pPr>
      <w:r>
        <w:rPr>
          <w:b/>
          <w:bCs/>
        </w:rPr>
        <w:t>OPC</w:t>
      </w:r>
      <w:r w:rsidRPr="00701945">
        <w:rPr>
          <w:b/>
          <w:bCs/>
        </w:rPr>
        <w:t>:</w:t>
      </w:r>
      <w:r>
        <w:tab/>
      </w:r>
      <w:r w:rsidR="00576561">
        <w:t>No position.</w:t>
      </w:r>
    </w:p>
    <w:p w14:paraId="05F963EC" w14:textId="77777777" w:rsidR="00E61F50" w:rsidRDefault="00E61F50" w:rsidP="00E61F50">
      <w:pPr>
        <w:ind w:left="1440" w:hanging="1440"/>
        <w:jc w:val="both"/>
      </w:pPr>
    </w:p>
    <w:p w14:paraId="4B7AFEC5" w14:textId="77777777" w:rsidR="00E61F50" w:rsidRDefault="00E61F50" w:rsidP="00E61F50">
      <w:pPr>
        <w:ind w:left="1440" w:hanging="1440"/>
        <w:jc w:val="both"/>
        <w:rPr>
          <w:b/>
        </w:rPr>
      </w:pPr>
      <w:r>
        <w:rPr>
          <w:b/>
        </w:rPr>
        <w:t>FL RISING/</w:t>
      </w:r>
    </w:p>
    <w:p w14:paraId="488CA195" w14:textId="17B145A3" w:rsidR="00E61F50" w:rsidRDefault="00E61F50" w:rsidP="00E61F50">
      <w:pPr>
        <w:ind w:left="1440" w:hanging="1440"/>
        <w:jc w:val="both"/>
        <w:rPr>
          <w:b/>
        </w:rPr>
      </w:pPr>
      <w:r>
        <w:rPr>
          <w:b/>
        </w:rPr>
        <w:t>LULAC:</w:t>
      </w:r>
      <w:r>
        <w:rPr>
          <w:b/>
        </w:rPr>
        <w:tab/>
      </w:r>
      <w:r w:rsidR="004F76C2" w:rsidRPr="6D6B8C62">
        <w:t>No, it remains TECO’s burden to</w:t>
      </w:r>
      <w:r w:rsidR="004F76C2" w:rsidRPr="391AB1E3">
        <w:t xml:space="preserve"> show it has </w:t>
      </w:r>
      <w:r w:rsidR="004F76C2" w:rsidRPr="49445126">
        <w:t>appropriately removed</w:t>
      </w:r>
      <w:r w:rsidR="004F76C2" w:rsidRPr="21A4C560">
        <w:t xml:space="preserve"> environmental </w:t>
      </w:r>
      <w:r w:rsidR="004F76C2" w:rsidRPr="6F33DCA8">
        <w:t xml:space="preserve">revenues and </w:t>
      </w:r>
      <w:r w:rsidR="004F76C2" w:rsidRPr="6683B3A4">
        <w:t>environmental expenses</w:t>
      </w:r>
      <w:r w:rsidR="004F76C2" w:rsidRPr="2D9150C3">
        <w:t xml:space="preserve"> recoverable through the </w:t>
      </w:r>
      <w:r w:rsidR="000F0B2A">
        <w:t>E</w:t>
      </w:r>
      <w:r w:rsidR="004F76C2" w:rsidRPr="2F15A0A9">
        <w:t xml:space="preserve">nvironmental </w:t>
      </w:r>
      <w:r w:rsidR="000F0B2A">
        <w:t>C</w:t>
      </w:r>
      <w:r w:rsidR="004F76C2" w:rsidRPr="2F15A0A9">
        <w:t xml:space="preserve">ost </w:t>
      </w:r>
      <w:r w:rsidR="000F0B2A">
        <w:t>R</w:t>
      </w:r>
      <w:r w:rsidR="004F76C2" w:rsidRPr="15F72160">
        <w:t xml:space="preserve">ecovery </w:t>
      </w:r>
      <w:r w:rsidR="000F0B2A">
        <w:t>C</w:t>
      </w:r>
      <w:r w:rsidR="004F76C2" w:rsidRPr="15F72160">
        <w:t>lause</w:t>
      </w:r>
      <w:r w:rsidR="004F76C2" w:rsidRPr="6F33DCA8">
        <w:t>.</w:t>
      </w:r>
    </w:p>
    <w:p w14:paraId="561FBF0C" w14:textId="77777777" w:rsidR="00E61F50" w:rsidRDefault="00E61F50" w:rsidP="00E61F50">
      <w:pPr>
        <w:ind w:left="1440" w:hanging="1440"/>
        <w:jc w:val="both"/>
        <w:rPr>
          <w:b/>
        </w:rPr>
      </w:pPr>
    </w:p>
    <w:p w14:paraId="1AF11B1C" w14:textId="6467B0D7" w:rsidR="00E61F50" w:rsidRDefault="00E61F50" w:rsidP="00E61F50">
      <w:pPr>
        <w:ind w:left="1440" w:hanging="1440"/>
        <w:jc w:val="both"/>
        <w:rPr>
          <w:b/>
        </w:rPr>
      </w:pPr>
      <w:r>
        <w:rPr>
          <w:b/>
        </w:rPr>
        <w:lastRenderedPageBreak/>
        <w:t>FIPUG:</w:t>
      </w:r>
      <w:r>
        <w:rPr>
          <w:b/>
        </w:rPr>
        <w:tab/>
      </w:r>
      <w:r w:rsidR="00090F6A">
        <w:rPr>
          <w:bCs/>
        </w:rPr>
        <w:t>No position.</w:t>
      </w:r>
    </w:p>
    <w:p w14:paraId="2EA9BC4B" w14:textId="77777777" w:rsidR="00E61F50" w:rsidRDefault="00E61F50" w:rsidP="00E61F50">
      <w:pPr>
        <w:ind w:left="1440" w:hanging="1440"/>
        <w:jc w:val="both"/>
        <w:rPr>
          <w:b/>
        </w:rPr>
      </w:pPr>
    </w:p>
    <w:p w14:paraId="40A948C9" w14:textId="7B826CE2" w:rsidR="00E61F50" w:rsidRDefault="00E61F50" w:rsidP="00E61F50">
      <w:pPr>
        <w:ind w:left="1440" w:hanging="1440"/>
        <w:jc w:val="both"/>
        <w:rPr>
          <w:b/>
        </w:rPr>
      </w:pPr>
      <w:r>
        <w:rPr>
          <w:b/>
        </w:rPr>
        <w:t>FEA:</w:t>
      </w:r>
      <w:r>
        <w:rPr>
          <w:b/>
        </w:rPr>
        <w:tab/>
      </w:r>
      <w:r w:rsidR="00090F6A">
        <w:t>No position.</w:t>
      </w:r>
    </w:p>
    <w:p w14:paraId="395A220F" w14:textId="77777777" w:rsidR="00E61F50" w:rsidRDefault="00E61F50" w:rsidP="00E61F50">
      <w:pPr>
        <w:ind w:left="1440" w:hanging="1440"/>
        <w:jc w:val="both"/>
        <w:rPr>
          <w:b/>
        </w:rPr>
      </w:pPr>
    </w:p>
    <w:p w14:paraId="5D63C06B" w14:textId="77777777" w:rsidR="00A14A11" w:rsidRDefault="00764960" w:rsidP="00E61F50">
      <w:pPr>
        <w:ind w:left="1440" w:hanging="1440"/>
        <w:jc w:val="both"/>
        <w:rPr>
          <w:b/>
        </w:rPr>
      </w:pPr>
      <w:r>
        <w:rPr>
          <w:b/>
        </w:rPr>
        <w:t xml:space="preserve">SIERRA </w:t>
      </w:r>
    </w:p>
    <w:p w14:paraId="51D96786" w14:textId="63AC2065" w:rsidR="00E61F50" w:rsidRDefault="00764960" w:rsidP="00E61F50">
      <w:pPr>
        <w:ind w:left="1440" w:hanging="1440"/>
        <w:jc w:val="both"/>
        <w:rPr>
          <w:b/>
        </w:rPr>
      </w:pPr>
      <w:r>
        <w:rPr>
          <w:b/>
        </w:rPr>
        <w:t>CLUB</w:t>
      </w:r>
      <w:r w:rsidR="00E61F50">
        <w:rPr>
          <w:b/>
        </w:rPr>
        <w:t>:</w:t>
      </w:r>
      <w:r w:rsidR="00E61F50">
        <w:rPr>
          <w:b/>
        </w:rPr>
        <w:tab/>
      </w:r>
      <w:r w:rsidR="00090F6A">
        <w:t>No position.</w:t>
      </w:r>
    </w:p>
    <w:p w14:paraId="1C6563DC" w14:textId="77777777" w:rsidR="00E61F50" w:rsidRDefault="00E61F50" w:rsidP="00E61F50">
      <w:pPr>
        <w:ind w:left="1440" w:hanging="1440"/>
        <w:jc w:val="both"/>
        <w:rPr>
          <w:b/>
        </w:rPr>
      </w:pPr>
    </w:p>
    <w:p w14:paraId="78B4C323" w14:textId="7A18EAD5" w:rsidR="00E61F50" w:rsidRDefault="00E61F50" w:rsidP="00E61F50">
      <w:pPr>
        <w:ind w:left="1440" w:hanging="1440"/>
        <w:jc w:val="both"/>
        <w:rPr>
          <w:b/>
        </w:rPr>
      </w:pPr>
      <w:r>
        <w:rPr>
          <w:b/>
        </w:rPr>
        <w:t>FRF:</w:t>
      </w:r>
      <w:r>
        <w:rPr>
          <w:b/>
        </w:rPr>
        <w:tab/>
      </w:r>
      <w:r w:rsidR="00090F6A">
        <w:t>No position.</w:t>
      </w:r>
    </w:p>
    <w:p w14:paraId="49AF1C36" w14:textId="77777777" w:rsidR="00E61F50" w:rsidRDefault="00E61F50" w:rsidP="00E61F50">
      <w:pPr>
        <w:ind w:left="1440" w:hanging="1440"/>
        <w:jc w:val="both"/>
        <w:rPr>
          <w:b/>
        </w:rPr>
      </w:pPr>
    </w:p>
    <w:p w14:paraId="58D0B555" w14:textId="77777777" w:rsidR="00A14A11" w:rsidRDefault="00C0182D" w:rsidP="00E61F50">
      <w:pPr>
        <w:ind w:left="1440" w:hanging="1440"/>
        <w:jc w:val="both"/>
        <w:rPr>
          <w:b/>
        </w:rPr>
      </w:pPr>
      <w:r>
        <w:rPr>
          <w:b/>
        </w:rPr>
        <w:t xml:space="preserve">FUEL </w:t>
      </w:r>
    </w:p>
    <w:p w14:paraId="5DDA1F41" w14:textId="5CA5DD08" w:rsidR="00E61F50" w:rsidRDefault="00C0182D" w:rsidP="00E61F50">
      <w:pPr>
        <w:ind w:left="1440" w:hanging="1440"/>
        <w:jc w:val="both"/>
      </w:pPr>
      <w:r>
        <w:rPr>
          <w:b/>
        </w:rPr>
        <w:t>RETAILERS</w:t>
      </w:r>
      <w:r w:rsidR="00E61F50">
        <w:rPr>
          <w:b/>
        </w:rPr>
        <w:t>:</w:t>
      </w:r>
      <w:r w:rsidR="00A14A11">
        <w:rPr>
          <w:b/>
        </w:rPr>
        <w:t xml:space="preserve"> </w:t>
      </w:r>
      <w:r w:rsidR="008502DD" w:rsidRPr="00132664">
        <w:t xml:space="preserve">No </w:t>
      </w:r>
      <w:r w:rsidR="00090F6A">
        <w:t>p</w:t>
      </w:r>
      <w:r w:rsidR="008502DD" w:rsidRPr="00132664">
        <w:t>osition.</w:t>
      </w:r>
    </w:p>
    <w:p w14:paraId="13EDE013" w14:textId="77777777" w:rsidR="00E61243" w:rsidRDefault="00E61243" w:rsidP="00E61F50">
      <w:pPr>
        <w:ind w:left="1440" w:hanging="1440"/>
        <w:jc w:val="both"/>
      </w:pPr>
    </w:p>
    <w:p w14:paraId="27B9FC1D" w14:textId="28ACC1BC" w:rsidR="00E61243" w:rsidRPr="00E61243" w:rsidRDefault="00FD408B" w:rsidP="00E61F50">
      <w:pPr>
        <w:ind w:left="1440" w:hanging="1440"/>
        <w:jc w:val="both"/>
        <w:rPr>
          <w:b/>
        </w:rPr>
      </w:pPr>
      <w:r>
        <w:rPr>
          <w:b/>
        </w:rPr>
        <w:t>WALMART</w:t>
      </w:r>
      <w:r w:rsidR="00E61243">
        <w:rPr>
          <w:b/>
        </w:rPr>
        <w:t>:</w:t>
      </w:r>
      <w:r w:rsidR="00E61243">
        <w:rPr>
          <w:b/>
        </w:rPr>
        <w:tab/>
      </w:r>
      <w:r w:rsidR="00090F6A">
        <w:t>No position.</w:t>
      </w:r>
    </w:p>
    <w:p w14:paraId="2509BBC1" w14:textId="77777777" w:rsidR="00E61F50" w:rsidRPr="00701945" w:rsidRDefault="00E61F50" w:rsidP="00E61F50">
      <w:pPr>
        <w:jc w:val="both"/>
      </w:pPr>
    </w:p>
    <w:p w14:paraId="01749F14" w14:textId="77777777" w:rsidR="00E61F50" w:rsidRPr="005D4B47" w:rsidRDefault="00E61F50" w:rsidP="00E61F50">
      <w:pPr>
        <w:ind w:left="1440" w:hanging="1440"/>
        <w:jc w:val="both"/>
        <w:rPr>
          <w:b/>
          <w:bCs/>
        </w:rPr>
      </w:pPr>
      <w:r>
        <w:rPr>
          <w:b/>
          <w:bCs/>
        </w:rPr>
        <w:t>STAFF:</w:t>
      </w:r>
      <w:r>
        <w:rPr>
          <w:b/>
          <w:bCs/>
        </w:rPr>
        <w:tab/>
      </w:r>
      <w:r w:rsidR="002C290E">
        <w:t>No position at this time.</w:t>
      </w:r>
    </w:p>
    <w:p w14:paraId="72076C13" w14:textId="77777777" w:rsidR="0005737A" w:rsidRDefault="0005737A" w:rsidP="00C7699A">
      <w:pPr>
        <w:jc w:val="both"/>
      </w:pPr>
    </w:p>
    <w:p w14:paraId="21C9FC62" w14:textId="77777777" w:rsidR="003F4F8D" w:rsidRDefault="003F4F8D" w:rsidP="00C7699A">
      <w:pPr>
        <w:jc w:val="both"/>
      </w:pPr>
    </w:p>
    <w:p w14:paraId="5CE3F4C5" w14:textId="77777777" w:rsidR="003F4F8D" w:rsidRPr="00440B36" w:rsidRDefault="00440B36" w:rsidP="003F4F8D">
      <w:pPr>
        <w:ind w:left="1440" w:hanging="1440"/>
        <w:jc w:val="both"/>
        <w:rPr>
          <w:b/>
        </w:rPr>
      </w:pPr>
      <w:r>
        <w:rPr>
          <w:b/>
          <w:bCs/>
        </w:rPr>
        <w:t>ISSUE 52</w:t>
      </w:r>
      <w:r w:rsidR="003F4F8D" w:rsidRPr="00701945">
        <w:rPr>
          <w:b/>
          <w:bCs/>
        </w:rPr>
        <w:t>:</w:t>
      </w:r>
      <w:r w:rsidR="003F4F8D" w:rsidRPr="00701945">
        <w:tab/>
      </w:r>
      <w:r w:rsidRPr="00440B36">
        <w:rPr>
          <w:b/>
        </w:rPr>
        <w:t>Has TECO made the appropriate test year adjustments to remove all storm hardening revenues and expenses recoverable through the Storm Protection Plan Cost Recovery Clause?</w:t>
      </w:r>
    </w:p>
    <w:p w14:paraId="30321A1C" w14:textId="77777777" w:rsidR="003F4F8D" w:rsidRPr="00701945" w:rsidRDefault="003F4F8D" w:rsidP="003F4F8D">
      <w:pPr>
        <w:jc w:val="both"/>
      </w:pPr>
    </w:p>
    <w:p w14:paraId="0D207745" w14:textId="0AFEF5C6" w:rsidR="003F4F8D" w:rsidRDefault="003F4F8D" w:rsidP="003F4F8D">
      <w:pPr>
        <w:ind w:left="1440" w:hanging="1440"/>
        <w:jc w:val="both"/>
      </w:pPr>
      <w:r>
        <w:rPr>
          <w:b/>
          <w:bCs/>
        </w:rPr>
        <w:t>TECO</w:t>
      </w:r>
      <w:r w:rsidRPr="005D4B47">
        <w:rPr>
          <w:b/>
          <w:bCs/>
        </w:rPr>
        <w:t>:</w:t>
      </w:r>
      <w:r w:rsidRPr="005D4B47">
        <w:tab/>
      </w:r>
      <w:r w:rsidR="00440B36">
        <w:t>Yes. The appropriate adjustments are shown on MFR Schedules C-2 and C-3 and should be approved. (Chronister)</w:t>
      </w:r>
    </w:p>
    <w:p w14:paraId="72276280" w14:textId="77777777" w:rsidR="00313CFE" w:rsidRPr="005D4B47" w:rsidRDefault="00313CFE" w:rsidP="003F4F8D">
      <w:pPr>
        <w:ind w:left="1440" w:hanging="1440"/>
        <w:jc w:val="both"/>
      </w:pPr>
    </w:p>
    <w:p w14:paraId="6FDB7A11" w14:textId="0DA7F3A6" w:rsidR="003F4F8D" w:rsidRDefault="003F4F8D" w:rsidP="003F4F8D">
      <w:pPr>
        <w:ind w:left="1440" w:hanging="1440"/>
        <w:jc w:val="both"/>
      </w:pPr>
      <w:r>
        <w:rPr>
          <w:b/>
          <w:bCs/>
        </w:rPr>
        <w:t>OPC</w:t>
      </w:r>
      <w:r w:rsidRPr="00701945">
        <w:rPr>
          <w:b/>
          <w:bCs/>
        </w:rPr>
        <w:t>:</w:t>
      </w:r>
      <w:r>
        <w:tab/>
      </w:r>
      <w:r w:rsidR="00576561">
        <w:t>No. The Distribution Feeder Hardening costs should be disallowed and included in the SPP. This would require a reduction of $0.356 million in retail revenue requirement.</w:t>
      </w:r>
    </w:p>
    <w:p w14:paraId="51E6D769" w14:textId="77777777" w:rsidR="003F4F8D" w:rsidRDefault="003F4F8D" w:rsidP="003F4F8D">
      <w:pPr>
        <w:ind w:left="1440" w:hanging="1440"/>
        <w:jc w:val="both"/>
      </w:pPr>
    </w:p>
    <w:p w14:paraId="1FE2AD17" w14:textId="77777777" w:rsidR="003F4F8D" w:rsidRDefault="003F4F8D" w:rsidP="003F4F8D">
      <w:pPr>
        <w:ind w:left="1440" w:hanging="1440"/>
        <w:jc w:val="both"/>
        <w:rPr>
          <w:b/>
        </w:rPr>
      </w:pPr>
      <w:r>
        <w:rPr>
          <w:b/>
        </w:rPr>
        <w:t>FL RISING/</w:t>
      </w:r>
    </w:p>
    <w:p w14:paraId="56170BF1" w14:textId="75AAD1BE" w:rsidR="003F4F8D" w:rsidRDefault="003F4F8D" w:rsidP="003F4F8D">
      <w:pPr>
        <w:ind w:left="1440" w:hanging="1440"/>
        <w:jc w:val="both"/>
        <w:rPr>
          <w:b/>
        </w:rPr>
      </w:pPr>
      <w:r>
        <w:rPr>
          <w:b/>
        </w:rPr>
        <w:t>LULAC:</w:t>
      </w:r>
      <w:r>
        <w:rPr>
          <w:b/>
        </w:rPr>
        <w:tab/>
      </w:r>
      <w:r w:rsidR="004F76C2">
        <w:t>No. TECO has not removed all the costs for feeder hardening activities or lateral undergrounding from its rate base. (Mara)</w:t>
      </w:r>
    </w:p>
    <w:p w14:paraId="4D320C6B" w14:textId="77777777" w:rsidR="003F4F8D" w:rsidRDefault="003F4F8D" w:rsidP="003F4F8D">
      <w:pPr>
        <w:ind w:left="1440" w:hanging="1440"/>
        <w:jc w:val="both"/>
        <w:rPr>
          <w:b/>
        </w:rPr>
      </w:pPr>
    </w:p>
    <w:p w14:paraId="141345FB" w14:textId="241143FA" w:rsidR="003F4F8D" w:rsidRDefault="003F4F8D" w:rsidP="003F4F8D">
      <w:pPr>
        <w:ind w:left="1440" w:hanging="1440"/>
        <w:jc w:val="both"/>
        <w:rPr>
          <w:b/>
        </w:rPr>
      </w:pPr>
      <w:r>
        <w:rPr>
          <w:b/>
        </w:rPr>
        <w:t>FIPUG:</w:t>
      </w:r>
      <w:r>
        <w:rPr>
          <w:b/>
        </w:rPr>
        <w:tab/>
      </w:r>
      <w:r w:rsidR="00691BEA">
        <w:rPr>
          <w:bCs/>
        </w:rPr>
        <w:t>Adopt</w:t>
      </w:r>
      <w:r w:rsidR="00493309">
        <w:rPr>
          <w:bCs/>
        </w:rPr>
        <w:t>s</w:t>
      </w:r>
      <w:r w:rsidR="00691BEA">
        <w:rPr>
          <w:bCs/>
        </w:rPr>
        <w:t xml:space="preserve"> the position of OPC.</w:t>
      </w:r>
    </w:p>
    <w:p w14:paraId="4270713F" w14:textId="77777777" w:rsidR="003F4F8D" w:rsidRDefault="003F4F8D" w:rsidP="003F4F8D">
      <w:pPr>
        <w:ind w:left="1440" w:hanging="1440"/>
        <w:jc w:val="both"/>
        <w:rPr>
          <w:b/>
        </w:rPr>
      </w:pPr>
    </w:p>
    <w:p w14:paraId="6EB5472A" w14:textId="56D36B05" w:rsidR="003F4F8D" w:rsidRDefault="003F4F8D" w:rsidP="003F4F8D">
      <w:pPr>
        <w:ind w:left="1440" w:hanging="1440"/>
        <w:jc w:val="both"/>
        <w:rPr>
          <w:b/>
        </w:rPr>
      </w:pPr>
      <w:r>
        <w:rPr>
          <w:b/>
        </w:rPr>
        <w:t>FEA:</w:t>
      </w:r>
      <w:r>
        <w:rPr>
          <w:b/>
        </w:rPr>
        <w:tab/>
      </w:r>
      <w:r w:rsidR="002E00D9">
        <w:t>No position.</w:t>
      </w:r>
    </w:p>
    <w:p w14:paraId="3B7808D3" w14:textId="77777777" w:rsidR="003F4F8D" w:rsidRDefault="003F4F8D" w:rsidP="003F4F8D">
      <w:pPr>
        <w:ind w:left="1440" w:hanging="1440"/>
        <w:jc w:val="both"/>
        <w:rPr>
          <w:b/>
        </w:rPr>
      </w:pPr>
    </w:p>
    <w:p w14:paraId="016AA84F" w14:textId="77777777" w:rsidR="00A14A11" w:rsidRDefault="00764960" w:rsidP="003F4F8D">
      <w:pPr>
        <w:ind w:left="1440" w:hanging="1440"/>
        <w:jc w:val="both"/>
        <w:rPr>
          <w:b/>
        </w:rPr>
      </w:pPr>
      <w:r>
        <w:rPr>
          <w:b/>
        </w:rPr>
        <w:t xml:space="preserve">SIERRA </w:t>
      </w:r>
    </w:p>
    <w:p w14:paraId="06F75628" w14:textId="58BA62BC" w:rsidR="003F4F8D" w:rsidRDefault="00764960" w:rsidP="003F4F8D">
      <w:pPr>
        <w:ind w:left="1440" w:hanging="1440"/>
        <w:jc w:val="both"/>
        <w:rPr>
          <w:b/>
        </w:rPr>
      </w:pPr>
      <w:r>
        <w:rPr>
          <w:b/>
        </w:rPr>
        <w:t>CLUB</w:t>
      </w:r>
      <w:r w:rsidR="003F4F8D">
        <w:rPr>
          <w:b/>
        </w:rPr>
        <w:t>:</w:t>
      </w:r>
      <w:r w:rsidR="003F4F8D">
        <w:rPr>
          <w:b/>
        </w:rPr>
        <w:tab/>
      </w:r>
      <w:r w:rsidR="002E00D9">
        <w:t>No position.</w:t>
      </w:r>
    </w:p>
    <w:p w14:paraId="59B0E54A" w14:textId="77777777" w:rsidR="003F4F8D" w:rsidRDefault="003F4F8D" w:rsidP="003F4F8D">
      <w:pPr>
        <w:ind w:left="1440" w:hanging="1440"/>
        <w:jc w:val="both"/>
        <w:rPr>
          <w:b/>
        </w:rPr>
      </w:pPr>
    </w:p>
    <w:p w14:paraId="725940E4" w14:textId="0C62BDC9" w:rsidR="003F4F8D" w:rsidRDefault="003F4F8D" w:rsidP="003F4F8D">
      <w:pPr>
        <w:ind w:left="1440" w:hanging="1440"/>
        <w:jc w:val="both"/>
        <w:rPr>
          <w:b/>
        </w:rPr>
      </w:pPr>
      <w:r>
        <w:rPr>
          <w:b/>
        </w:rPr>
        <w:t>FRF:</w:t>
      </w:r>
      <w:r>
        <w:rPr>
          <w:b/>
        </w:rPr>
        <w:tab/>
      </w:r>
      <w:r w:rsidR="00443785">
        <w:t>Agree</w:t>
      </w:r>
      <w:r w:rsidR="003C0F95">
        <w:t>s</w:t>
      </w:r>
      <w:r w:rsidR="00443785">
        <w:t xml:space="preserve"> with OPC.</w:t>
      </w:r>
    </w:p>
    <w:p w14:paraId="651B5214" w14:textId="77777777" w:rsidR="003F4F8D" w:rsidRDefault="003F4F8D" w:rsidP="003F4F8D">
      <w:pPr>
        <w:ind w:left="1440" w:hanging="1440"/>
        <w:jc w:val="both"/>
        <w:rPr>
          <w:b/>
        </w:rPr>
      </w:pPr>
    </w:p>
    <w:p w14:paraId="4679B176" w14:textId="77777777" w:rsidR="00A14A11" w:rsidRDefault="00C0182D" w:rsidP="003F4F8D">
      <w:pPr>
        <w:ind w:left="1440" w:hanging="1440"/>
        <w:jc w:val="both"/>
        <w:rPr>
          <w:b/>
        </w:rPr>
      </w:pPr>
      <w:r>
        <w:rPr>
          <w:b/>
        </w:rPr>
        <w:t xml:space="preserve">FUEL </w:t>
      </w:r>
    </w:p>
    <w:p w14:paraId="6428AECB" w14:textId="4C438288" w:rsidR="003F4F8D" w:rsidRDefault="00C0182D" w:rsidP="003F4F8D">
      <w:pPr>
        <w:ind w:left="1440" w:hanging="1440"/>
        <w:jc w:val="both"/>
      </w:pPr>
      <w:r>
        <w:rPr>
          <w:b/>
        </w:rPr>
        <w:t>RETAILERS</w:t>
      </w:r>
      <w:r w:rsidR="003F4F8D">
        <w:rPr>
          <w:b/>
        </w:rPr>
        <w:t>:</w:t>
      </w:r>
      <w:r w:rsidR="00A14A11">
        <w:rPr>
          <w:b/>
        </w:rPr>
        <w:t xml:space="preserve"> </w:t>
      </w:r>
      <w:r w:rsidR="008502DD" w:rsidRPr="00132664">
        <w:t xml:space="preserve">No </w:t>
      </w:r>
      <w:r w:rsidR="003C0F95">
        <w:t>p</w:t>
      </w:r>
      <w:r w:rsidR="008502DD" w:rsidRPr="00132664">
        <w:t>osition.</w:t>
      </w:r>
    </w:p>
    <w:p w14:paraId="07C6804F" w14:textId="77777777" w:rsidR="00E61243" w:rsidRDefault="00E61243" w:rsidP="003F4F8D">
      <w:pPr>
        <w:ind w:left="1440" w:hanging="1440"/>
        <w:jc w:val="both"/>
      </w:pPr>
    </w:p>
    <w:p w14:paraId="65351304" w14:textId="2BE525E2" w:rsidR="00E61243" w:rsidRPr="00E61243" w:rsidRDefault="00FD408B" w:rsidP="003F4F8D">
      <w:pPr>
        <w:ind w:left="1440" w:hanging="1440"/>
        <w:jc w:val="both"/>
        <w:rPr>
          <w:b/>
        </w:rPr>
      </w:pPr>
      <w:r>
        <w:rPr>
          <w:b/>
        </w:rPr>
        <w:t>WALMART</w:t>
      </w:r>
      <w:r w:rsidR="00E61243">
        <w:rPr>
          <w:b/>
        </w:rPr>
        <w:t>:</w:t>
      </w:r>
      <w:r w:rsidR="00E61243">
        <w:rPr>
          <w:b/>
        </w:rPr>
        <w:tab/>
      </w:r>
      <w:r w:rsidR="003C0F95" w:rsidRPr="003C0F95">
        <w:t>A</w:t>
      </w:r>
      <w:r w:rsidR="00E61243">
        <w:t>grees with OPC.</w:t>
      </w:r>
    </w:p>
    <w:p w14:paraId="4204924E" w14:textId="77777777" w:rsidR="003F4F8D" w:rsidRPr="005D4B47" w:rsidRDefault="003F4F8D" w:rsidP="003F4F8D">
      <w:pPr>
        <w:ind w:left="1440" w:hanging="1440"/>
        <w:jc w:val="both"/>
        <w:rPr>
          <w:b/>
          <w:bCs/>
        </w:rPr>
      </w:pPr>
      <w:r>
        <w:rPr>
          <w:b/>
          <w:bCs/>
        </w:rPr>
        <w:lastRenderedPageBreak/>
        <w:t>STAFF:</w:t>
      </w:r>
      <w:r>
        <w:rPr>
          <w:b/>
          <w:bCs/>
        </w:rPr>
        <w:tab/>
      </w:r>
      <w:r w:rsidR="002C290E">
        <w:t>No position at this time.</w:t>
      </w:r>
    </w:p>
    <w:p w14:paraId="446D8E68" w14:textId="77777777" w:rsidR="003F4F8D" w:rsidRDefault="003F4F8D" w:rsidP="00C7699A">
      <w:pPr>
        <w:jc w:val="both"/>
      </w:pPr>
    </w:p>
    <w:p w14:paraId="39FCFDFA" w14:textId="77777777" w:rsidR="003F4F8D" w:rsidRDefault="003F4F8D" w:rsidP="00C7699A">
      <w:pPr>
        <w:jc w:val="both"/>
      </w:pPr>
    </w:p>
    <w:p w14:paraId="39A843A0" w14:textId="77777777" w:rsidR="003F4F8D" w:rsidRPr="00440B36" w:rsidRDefault="00440B36" w:rsidP="003F4F8D">
      <w:pPr>
        <w:ind w:left="1440" w:hanging="1440"/>
        <w:jc w:val="both"/>
        <w:rPr>
          <w:b/>
        </w:rPr>
      </w:pPr>
      <w:r>
        <w:rPr>
          <w:b/>
          <w:bCs/>
        </w:rPr>
        <w:t>ISSUE 53</w:t>
      </w:r>
      <w:r w:rsidR="003F4F8D" w:rsidRPr="00701945">
        <w:rPr>
          <w:b/>
          <w:bCs/>
        </w:rPr>
        <w:t>:</w:t>
      </w:r>
      <w:r w:rsidR="003F4F8D" w:rsidRPr="00701945">
        <w:tab/>
      </w:r>
      <w:r w:rsidRPr="00440B36">
        <w:rPr>
          <w:b/>
          <w:bCs/>
        </w:rPr>
        <w:t xml:space="preserve">What amount of salaries and benefits, including incentive compensation, should be approved </w:t>
      </w:r>
      <w:r w:rsidRPr="00440B36">
        <w:rPr>
          <w:b/>
        </w:rPr>
        <w:t xml:space="preserve">for the </w:t>
      </w:r>
      <w:r w:rsidRPr="00440B36">
        <w:rPr>
          <w:b/>
          <w:bCs/>
        </w:rPr>
        <w:t>2025 projected test year</w:t>
      </w:r>
      <w:r w:rsidRPr="00440B36">
        <w:rPr>
          <w:b/>
        </w:rPr>
        <w:t>?</w:t>
      </w:r>
    </w:p>
    <w:p w14:paraId="073728DF" w14:textId="77777777" w:rsidR="003F4F8D" w:rsidRPr="00701945" w:rsidRDefault="003F4F8D" w:rsidP="003F4F8D">
      <w:pPr>
        <w:jc w:val="both"/>
      </w:pPr>
    </w:p>
    <w:p w14:paraId="6A279B05" w14:textId="48835A7D" w:rsidR="003F4F8D" w:rsidRPr="005D4B47" w:rsidRDefault="003F4F8D" w:rsidP="003F4F8D">
      <w:pPr>
        <w:ind w:left="1440" w:hanging="1440"/>
        <w:jc w:val="both"/>
      </w:pPr>
      <w:r>
        <w:rPr>
          <w:b/>
          <w:bCs/>
        </w:rPr>
        <w:t>TECO</w:t>
      </w:r>
      <w:r w:rsidRPr="005D4B47">
        <w:rPr>
          <w:b/>
          <w:bCs/>
        </w:rPr>
        <w:t>:</w:t>
      </w:r>
      <w:r w:rsidRPr="005D4B47">
        <w:tab/>
      </w:r>
      <w:r w:rsidR="00440B36">
        <w:t>The Commission should approve salaries and benefits expense, including incentive compensation, for the 2025 test year in the amount of $376.9 million as shown on MFR Schedule C-35. The C</w:t>
      </w:r>
      <w:r w:rsidR="00555D8E">
        <w:t xml:space="preserve">ommission should reject OPC’s, Florida Rising’s, and </w:t>
      </w:r>
      <w:r w:rsidR="00440B36">
        <w:t>LULAC’s proposals to disallow recovery of expenses associated with the company’s STIP, LTIP, and SERP, because these plans are: (1) reasonable and prudent parts of the company’s total compensation expense, which is targeted at the market-median,  (2) enable the company to compete for employee talent, and (3) provide reasonable and balanced incentives that benefit customers. (Cacciatore, Chronister)</w:t>
      </w:r>
    </w:p>
    <w:p w14:paraId="0C730EDF" w14:textId="77777777" w:rsidR="003F4F8D" w:rsidRPr="00701945" w:rsidRDefault="003F4F8D" w:rsidP="003F4F8D">
      <w:pPr>
        <w:jc w:val="both"/>
      </w:pPr>
    </w:p>
    <w:p w14:paraId="350E44BF" w14:textId="0C2C6586" w:rsidR="003F4F8D" w:rsidRDefault="003F4F8D" w:rsidP="003F4F8D">
      <w:pPr>
        <w:ind w:left="1440" w:hanging="1440"/>
        <w:jc w:val="both"/>
      </w:pPr>
      <w:r>
        <w:rPr>
          <w:b/>
          <w:bCs/>
        </w:rPr>
        <w:t>OPC</w:t>
      </w:r>
      <w:r w:rsidRPr="00701945">
        <w:rPr>
          <w:b/>
          <w:bCs/>
        </w:rPr>
        <w:t>:</w:t>
      </w:r>
      <w:r>
        <w:tab/>
      </w:r>
      <w:r w:rsidR="00576561">
        <w:t>T</w:t>
      </w:r>
      <w:r w:rsidR="00576561">
        <w:rPr>
          <w:rFonts w:ascii="TimesNewRomanPSMT" w:hAnsi="TimesNewRomanPSMT" w:cs="TimesNewRomanPSMT"/>
        </w:rPr>
        <w:t xml:space="preserve">he Commission should disallow the LTIP incentive compensation expense tied </w:t>
      </w:r>
      <w:r w:rsidR="00576561" w:rsidRPr="008C227E">
        <w:rPr>
          <w:bCs/>
        </w:rPr>
        <w:t>to</w:t>
      </w:r>
      <w:r w:rsidR="00576561">
        <w:rPr>
          <w:rFonts w:ascii="TimesNewRomanPSMT" w:hAnsi="TimesNewRomanPSMT" w:cs="TimesNewRomanPSMT"/>
        </w:rPr>
        <w:t xml:space="preserve"> Emera’s financial performance.</w:t>
      </w:r>
      <w:r w:rsidR="00576561" w:rsidRPr="00C2789E">
        <w:t xml:space="preserve"> </w:t>
      </w:r>
      <w:r w:rsidR="00576561">
        <w:t xml:space="preserve"> </w:t>
      </w:r>
      <w:r w:rsidR="00576561">
        <w:rPr>
          <w:rFonts w:ascii="TimesNewRomanPSMT" w:hAnsi="TimesNewRomanPSMT" w:cs="TimesNewRomanPSMT"/>
        </w:rPr>
        <w:t>The effect of this adjustment is a reduction of $7.170 million in the retail revenue requirement. The Commission should also disallow the SERP expense as it is considered to be a non-qualified plan which the Company has discontinued. The effect of this adjustment is a reduction of $0.107 million in the retail revenue requirement.</w:t>
      </w:r>
    </w:p>
    <w:p w14:paraId="7F703504" w14:textId="77777777" w:rsidR="0037547C" w:rsidRDefault="0037547C" w:rsidP="003F4F8D">
      <w:pPr>
        <w:ind w:left="1440" w:hanging="1440"/>
        <w:jc w:val="both"/>
      </w:pPr>
    </w:p>
    <w:p w14:paraId="0EAECE4C" w14:textId="77777777" w:rsidR="003F4F8D" w:rsidRDefault="003F4F8D" w:rsidP="003F4F8D">
      <w:pPr>
        <w:ind w:left="1440" w:hanging="1440"/>
        <w:jc w:val="both"/>
        <w:rPr>
          <w:b/>
        </w:rPr>
      </w:pPr>
      <w:r>
        <w:rPr>
          <w:b/>
        </w:rPr>
        <w:t>FL RISING/</w:t>
      </w:r>
    </w:p>
    <w:p w14:paraId="632CE631" w14:textId="3C04F3E5" w:rsidR="003F4F8D" w:rsidRDefault="003F4F8D" w:rsidP="003F4F8D">
      <w:pPr>
        <w:ind w:left="1440" w:hanging="1440"/>
        <w:jc w:val="both"/>
        <w:rPr>
          <w:b/>
        </w:rPr>
      </w:pPr>
      <w:r>
        <w:rPr>
          <w:b/>
        </w:rPr>
        <w:t>LULAC:</w:t>
      </w:r>
      <w:r>
        <w:rPr>
          <w:b/>
        </w:rPr>
        <w:tab/>
      </w:r>
      <w:r w:rsidR="004F76C2">
        <w:t>The amount of salaries and benefits should be reduced to re</w:t>
      </w:r>
      <w:r w:rsidR="002F7687">
        <w:t xml:space="preserve">flect shareholder payment of 50% </w:t>
      </w:r>
      <w:r w:rsidR="004F76C2">
        <w:t xml:space="preserve">of incentive compensation for 2025. </w:t>
      </w:r>
      <w:r w:rsidR="004F76C2" w:rsidRPr="4544E75E">
        <w:t>This</w:t>
      </w:r>
      <w:r w:rsidR="004F76C2">
        <w:t xml:space="preserve"> results in a $17.13 million reduction from TECO’s $376.9 million proposed total. (</w:t>
      </w:r>
      <w:r w:rsidR="004F76C2">
        <w:rPr>
          <w:lang w:eastAsia="ar-SA"/>
        </w:rPr>
        <w:t>Rábago</w:t>
      </w:r>
      <w:r w:rsidR="004F76C2">
        <w:t>).  Additionally, TECO’s proposed total should be reduced by $0.107 million to remove the SERP expense (Kollen).</w:t>
      </w:r>
    </w:p>
    <w:p w14:paraId="4C87C290" w14:textId="77777777" w:rsidR="003F4F8D" w:rsidRDefault="003F4F8D" w:rsidP="003F4F8D">
      <w:pPr>
        <w:ind w:left="1440" w:hanging="1440"/>
        <w:jc w:val="both"/>
        <w:rPr>
          <w:b/>
        </w:rPr>
      </w:pPr>
    </w:p>
    <w:p w14:paraId="0F3FE336" w14:textId="3329EFAD" w:rsidR="003F4F8D" w:rsidRDefault="003F4F8D" w:rsidP="003F4F8D">
      <w:pPr>
        <w:ind w:left="1440" w:hanging="1440"/>
        <w:jc w:val="both"/>
        <w:rPr>
          <w:b/>
        </w:rPr>
      </w:pPr>
      <w:r>
        <w:rPr>
          <w:b/>
        </w:rPr>
        <w:t>FIPUG:</w:t>
      </w:r>
      <w:r>
        <w:rPr>
          <w:b/>
        </w:rPr>
        <w:tab/>
      </w:r>
      <w:r w:rsidR="00691BEA">
        <w:rPr>
          <w:bCs/>
        </w:rPr>
        <w:t>Adopt</w:t>
      </w:r>
      <w:r w:rsidR="002F7687">
        <w:rPr>
          <w:bCs/>
        </w:rPr>
        <w:t>s</w:t>
      </w:r>
      <w:r w:rsidR="00691BEA">
        <w:rPr>
          <w:bCs/>
        </w:rPr>
        <w:t xml:space="preserve"> the position of OPC.</w:t>
      </w:r>
    </w:p>
    <w:p w14:paraId="20FC3A61" w14:textId="77777777" w:rsidR="003F4F8D" w:rsidRDefault="003F4F8D" w:rsidP="003F4F8D">
      <w:pPr>
        <w:ind w:left="1440" w:hanging="1440"/>
        <w:jc w:val="both"/>
        <w:rPr>
          <w:b/>
        </w:rPr>
      </w:pPr>
    </w:p>
    <w:p w14:paraId="075851B7" w14:textId="4EA157B3" w:rsidR="003F4F8D" w:rsidRDefault="003F4F8D" w:rsidP="003F4F8D">
      <w:pPr>
        <w:ind w:left="1440" w:hanging="1440"/>
        <w:jc w:val="both"/>
        <w:rPr>
          <w:b/>
        </w:rPr>
      </w:pPr>
      <w:r>
        <w:rPr>
          <w:b/>
        </w:rPr>
        <w:t>FEA:</w:t>
      </w:r>
      <w:r>
        <w:rPr>
          <w:b/>
        </w:rPr>
        <w:tab/>
      </w:r>
      <w:r w:rsidR="002F7687">
        <w:t>No position.</w:t>
      </w:r>
    </w:p>
    <w:p w14:paraId="62438EFA" w14:textId="77777777" w:rsidR="003F4F8D" w:rsidRDefault="003F4F8D" w:rsidP="003F4F8D">
      <w:pPr>
        <w:ind w:left="1440" w:hanging="1440"/>
        <w:jc w:val="both"/>
        <w:rPr>
          <w:b/>
        </w:rPr>
      </w:pPr>
    </w:p>
    <w:p w14:paraId="1FC92BCA" w14:textId="77777777" w:rsidR="00A14A11" w:rsidRDefault="00764960" w:rsidP="003F4F8D">
      <w:pPr>
        <w:ind w:left="1440" w:hanging="1440"/>
        <w:jc w:val="both"/>
        <w:rPr>
          <w:b/>
        </w:rPr>
      </w:pPr>
      <w:r>
        <w:rPr>
          <w:b/>
        </w:rPr>
        <w:t xml:space="preserve">SIERRA </w:t>
      </w:r>
    </w:p>
    <w:p w14:paraId="54D1012F" w14:textId="015472EA" w:rsidR="003F4F8D" w:rsidRDefault="00764960" w:rsidP="003F4F8D">
      <w:pPr>
        <w:ind w:left="1440" w:hanging="1440"/>
        <w:jc w:val="both"/>
        <w:rPr>
          <w:b/>
        </w:rPr>
      </w:pPr>
      <w:r>
        <w:rPr>
          <w:b/>
        </w:rPr>
        <w:t>CLUB</w:t>
      </w:r>
      <w:r w:rsidR="003F4F8D">
        <w:rPr>
          <w:b/>
        </w:rPr>
        <w:t>:</w:t>
      </w:r>
      <w:r w:rsidR="003F4F8D">
        <w:rPr>
          <w:b/>
        </w:rPr>
        <w:tab/>
      </w:r>
      <w:r w:rsidR="002F7687">
        <w:t>No position.</w:t>
      </w:r>
    </w:p>
    <w:p w14:paraId="71274548" w14:textId="77777777" w:rsidR="003F4F8D" w:rsidRDefault="003F4F8D" w:rsidP="003F4F8D">
      <w:pPr>
        <w:ind w:left="1440" w:hanging="1440"/>
        <w:jc w:val="both"/>
        <w:rPr>
          <w:b/>
        </w:rPr>
      </w:pPr>
    </w:p>
    <w:p w14:paraId="0A99D9DD" w14:textId="3DBB75BA" w:rsidR="003F4F8D" w:rsidRDefault="003F4F8D" w:rsidP="003F4F8D">
      <w:pPr>
        <w:ind w:left="1440" w:hanging="1440"/>
        <w:jc w:val="both"/>
        <w:rPr>
          <w:b/>
        </w:rPr>
      </w:pPr>
      <w:r>
        <w:rPr>
          <w:b/>
        </w:rPr>
        <w:t>FRF:</w:t>
      </w:r>
      <w:r>
        <w:rPr>
          <w:b/>
        </w:rPr>
        <w:tab/>
      </w:r>
      <w:r w:rsidR="00443785">
        <w:t>Agree</w:t>
      </w:r>
      <w:r w:rsidR="002F7687">
        <w:t>s</w:t>
      </w:r>
      <w:r w:rsidR="00443785">
        <w:t xml:space="preserve"> with OPC.</w:t>
      </w:r>
    </w:p>
    <w:p w14:paraId="4B47ACC1" w14:textId="77777777" w:rsidR="003F4F8D" w:rsidRDefault="003F4F8D" w:rsidP="003F4F8D">
      <w:pPr>
        <w:ind w:left="1440" w:hanging="1440"/>
        <w:jc w:val="both"/>
        <w:rPr>
          <w:b/>
        </w:rPr>
      </w:pPr>
    </w:p>
    <w:p w14:paraId="7950A7B3" w14:textId="77777777" w:rsidR="00A14A11" w:rsidRDefault="00C0182D" w:rsidP="003F4F8D">
      <w:pPr>
        <w:ind w:left="1440" w:hanging="1440"/>
        <w:jc w:val="both"/>
        <w:rPr>
          <w:b/>
        </w:rPr>
      </w:pPr>
      <w:r>
        <w:rPr>
          <w:b/>
        </w:rPr>
        <w:t xml:space="preserve">FUEL </w:t>
      </w:r>
    </w:p>
    <w:p w14:paraId="17BB4E2B" w14:textId="77D668F9" w:rsidR="003F4F8D" w:rsidRDefault="00C0182D" w:rsidP="003F4F8D">
      <w:pPr>
        <w:ind w:left="1440" w:hanging="1440"/>
        <w:jc w:val="both"/>
      </w:pPr>
      <w:r>
        <w:rPr>
          <w:b/>
        </w:rPr>
        <w:t>RETAILERS</w:t>
      </w:r>
      <w:r w:rsidR="003F4F8D">
        <w:rPr>
          <w:b/>
        </w:rPr>
        <w:t>:</w:t>
      </w:r>
      <w:r w:rsidR="00A14A11">
        <w:rPr>
          <w:b/>
        </w:rPr>
        <w:t xml:space="preserve"> </w:t>
      </w:r>
      <w:r w:rsidR="008502DD" w:rsidRPr="00132664">
        <w:t xml:space="preserve">No </w:t>
      </w:r>
      <w:r w:rsidR="00715F89">
        <w:t>p</w:t>
      </w:r>
      <w:r w:rsidR="008502DD" w:rsidRPr="00132664">
        <w:t>osition.</w:t>
      </w:r>
    </w:p>
    <w:p w14:paraId="07B28A3C" w14:textId="77777777" w:rsidR="00E61243" w:rsidRDefault="00E61243" w:rsidP="003F4F8D">
      <w:pPr>
        <w:ind w:left="1440" w:hanging="1440"/>
        <w:jc w:val="both"/>
      </w:pPr>
    </w:p>
    <w:p w14:paraId="676DE5A1" w14:textId="54B93C3C" w:rsidR="00E61243" w:rsidRPr="00E61243" w:rsidRDefault="00FD408B" w:rsidP="003F4F8D">
      <w:pPr>
        <w:ind w:left="1440" w:hanging="1440"/>
        <w:jc w:val="both"/>
        <w:rPr>
          <w:b/>
        </w:rPr>
      </w:pPr>
      <w:r>
        <w:rPr>
          <w:b/>
        </w:rPr>
        <w:t>WALMART</w:t>
      </w:r>
      <w:r w:rsidR="00E61243">
        <w:rPr>
          <w:b/>
        </w:rPr>
        <w:t>:</w:t>
      </w:r>
      <w:r w:rsidR="00E61243">
        <w:rPr>
          <w:b/>
        </w:rPr>
        <w:tab/>
      </w:r>
      <w:r w:rsidR="00715F89">
        <w:t>No position.</w:t>
      </w:r>
    </w:p>
    <w:p w14:paraId="7E0F366A" w14:textId="77777777" w:rsidR="003F4F8D" w:rsidRPr="00701945" w:rsidRDefault="003F4F8D" w:rsidP="003F4F8D">
      <w:pPr>
        <w:jc w:val="both"/>
      </w:pPr>
    </w:p>
    <w:p w14:paraId="28A7740D" w14:textId="77777777" w:rsidR="003F4F8D" w:rsidRPr="005D4B47" w:rsidRDefault="003F4F8D" w:rsidP="003F4F8D">
      <w:pPr>
        <w:ind w:left="1440" w:hanging="1440"/>
        <w:jc w:val="both"/>
        <w:rPr>
          <w:b/>
          <w:bCs/>
        </w:rPr>
      </w:pPr>
      <w:r>
        <w:rPr>
          <w:b/>
          <w:bCs/>
        </w:rPr>
        <w:t>STAFF:</w:t>
      </w:r>
      <w:r>
        <w:rPr>
          <w:b/>
          <w:bCs/>
        </w:rPr>
        <w:tab/>
      </w:r>
      <w:r w:rsidR="002C290E">
        <w:t>No position at this time.</w:t>
      </w:r>
    </w:p>
    <w:p w14:paraId="4B2ED0AB" w14:textId="77777777" w:rsidR="003F4F8D" w:rsidRPr="00440B36" w:rsidRDefault="00440B36" w:rsidP="003F4F8D">
      <w:pPr>
        <w:ind w:left="1440" w:hanging="1440"/>
        <w:jc w:val="both"/>
        <w:rPr>
          <w:b/>
        </w:rPr>
      </w:pPr>
      <w:r>
        <w:rPr>
          <w:b/>
          <w:bCs/>
        </w:rPr>
        <w:lastRenderedPageBreak/>
        <w:t>ISSUE 54</w:t>
      </w:r>
      <w:r w:rsidR="003F4F8D" w:rsidRPr="00701945">
        <w:rPr>
          <w:b/>
          <w:bCs/>
        </w:rPr>
        <w:t>:</w:t>
      </w:r>
      <w:r w:rsidR="003F4F8D" w:rsidRPr="00701945">
        <w:tab/>
      </w:r>
      <w:r w:rsidRPr="00440B36">
        <w:rPr>
          <w:b/>
        </w:rPr>
        <w:t>Does TECO’s pension and OPEB expense properly reflect capitalization credits in the 2025 projected test year? If not, what adjustments, if any, should be made?</w:t>
      </w:r>
    </w:p>
    <w:p w14:paraId="5E081054" w14:textId="77777777" w:rsidR="003F4F8D" w:rsidRPr="00701945" w:rsidRDefault="003F4F8D" w:rsidP="003F4F8D">
      <w:pPr>
        <w:jc w:val="both"/>
      </w:pPr>
    </w:p>
    <w:p w14:paraId="7667490B" w14:textId="22BC8F6F" w:rsidR="003F4F8D" w:rsidRPr="005D4B47" w:rsidRDefault="003F4F8D" w:rsidP="003F4F8D">
      <w:pPr>
        <w:ind w:left="1440" w:hanging="1440"/>
        <w:jc w:val="both"/>
      </w:pPr>
      <w:r>
        <w:rPr>
          <w:b/>
          <w:bCs/>
        </w:rPr>
        <w:t>TECO</w:t>
      </w:r>
      <w:r w:rsidRPr="005D4B47">
        <w:rPr>
          <w:b/>
          <w:bCs/>
        </w:rPr>
        <w:t>:</w:t>
      </w:r>
      <w:r w:rsidRPr="005D4B47">
        <w:tab/>
      </w:r>
      <w:r w:rsidR="00440B36">
        <w:t>Yes. The Commission should approve the company’s pension and OPEB expenses for the test year as shown on MFR Schedule C-17. A portion of active employee pension and OPEB expenses are capitalized through the company’s fringe rate like other labor costs and reflected as a credit to Account 926. OPC’s proposed adjustment to reduce O&amp;M expense is inappropriate because the amount of pension and OPEB costs to be capitalized has already been deducted from the company’s forecasted benefits expense.</w:t>
      </w:r>
      <w:r w:rsidR="001F27EE">
        <w:t xml:space="preserve"> The company’s 2025 test year reflects capitalization of $424,000 and $697,000 of pension and OPEB costs, respectively. </w:t>
      </w:r>
      <w:r w:rsidR="00440B36">
        <w:t xml:space="preserve"> (Chronister)</w:t>
      </w:r>
    </w:p>
    <w:p w14:paraId="736A25BA" w14:textId="77777777" w:rsidR="003F4F8D" w:rsidRPr="00701945" w:rsidRDefault="003F4F8D" w:rsidP="003F4F8D">
      <w:pPr>
        <w:jc w:val="both"/>
      </w:pPr>
    </w:p>
    <w:p w14:paraId="4A363ECA" w14:textId="2FD48459" w:rsidR="003F4F8D" w:rsidRDefault="003F4F8D" w:rsidP="003F4F8D">
      <w:pPr>
        <w:ind w:left="1440" w:hanging="1440"/>
        <w:jc w:val="both"/>
      </w:pPr>
      <w:r>
        <w:rPr>
          <w:b/>
          <w:bCs/>
        </w:rPr>
        <w:t>OPC</w:t>
      </w:r>
      <w:r w:rsidRPr="00701945">
        <w:rPr>
          <w:b/>
          <w:bCs/>
        </w:rPr>
        <w:t>:</w:t>
      </w:r>
      <w:r>
        <w:tab/>
      </w:r>
      <w:r w:rsidR="00576561" w:rsidRPr="00DE6C0C">
        <w:rPr>
          <w:bCs/>
        </w:rPr>
        <w:t>The Commission should reduce the pension and OPEB cost to reflect the credit for the portions of the costs that will be capitalized. The effect is a reduction of $0.489 million in the revenue requirement for the reduction in pension expense and a reduction of $0.806 million in the revenue requirement for the reduction in OPEB expense to reduce the requested amounts for the capitalized portions.</w:t>
      </w:r>
    </w:p>
    <w:p w14:paraId="1E13ACB8" w14:textId="03BE25C2" w:rsidR="003F4F8D" w:rsidRDefault="003F4F8D" w:rsidP="003F4F8D">
      <w:pPr>
        <w:ind w:left="1440" w:hanging="1440"/>
        <w:jc w:val="both"/>
      </w:pPr>
    </w:p>
    <w:p w14:paraId="73D5C072" w14:textId="77777777" w:rsidR="003F4F8D" w:rsidRDefault="003F4F8D" w:rsidP="003F4F8D">
      <w:pPr>
        <w:ind w:left="1440" w:hanging="1440"/>
        <w:jc w:val="both"/>
        <w:rPr>
          <w:b/>
        </w:rPr>
      </w:pPr>
      <w:r>
        <w:rPr>
          <w:b/>
        </w:rPr>
        <w:t>FL RISING/</w:t>
      </w:r>
    </w:p>
    <w:p w14:paraId="6A44B8B1" w14:textId="209728D9" w:rsidR="003F4F8D" w:rsidRDefault="003F4F8D" w:rsidP="003F4F8D">
      <w:pPr>
        <w:ind w:left="1440" w:hanging="1440"/>
        <w:jc w:val="both"/>
        <w:rPr>
          <w:b/>
        </w:rPr>
      </w:pPr>
      <w:r>
        <w:rPr>
          <w:b/>
        </w:rPr>
        <w:t>LULAC:</w:t>
      </w:r>
      <w:r>
        <w:rPr>
          <w:b/>
        </w:rPr>
        <w:tab/>
      </w:r>
      <w:r w:rsidR="004F76C2">
        <w:t>No. The Commission should reduce the pension and OPEB expense to reflect capitalization credits, resulting in a reduction of $0.489 million in revenue requirement in pension expense and a reduction of $0.806 million in the revenue requirement for the reduction in OPEB expense. (Kollen)</w:t>
      </w:r>
    </w:p>
    <w:p w14:paraId="696E5210" w14:textId="77777777" w:rsidR="003F4F8D" w:rsidRDefault="003F4F8D" w:rsidP="003F4F8D">
      <w:pPr>
        <w:ind w:left="1440" w:hanging="1440"/>
        <w:jc w:val="both"/>
        <w:rPr>
          <w:b/>
        </w:rPr>
      </w:pPr>
    </w:p>
    <w:p w14:paraId="484F2201" w14:textId="137230AA" w:rsidR="003F4F8D" w:rsidRDefault="003F4F8D" w:rsidP="003F4F8D">
      <w:pPr>
        <w:ind w:left="1440" w:hanging="1440"/>
        <w:jc w:val="both"/>
        <w:rPr>
          <w:b/>
        </w:rPr>
      </w:pPr>
      <w:r>
        <w:rPr>
          <w:b/>
        </w:rPr>
        <w:t>FIPUG:</w:t>
      </w:r>
      <w:r>
        <w:rPr>
          <w:b/>
        </w:rPr>
        <w:tab/>
      </w:r>
      <w:r w:rsidR="00691BEA">
        <w:rPr>
          <w:bCs/>
        </w:rPr>
        <w:t>Adopt</w:t>
      </w:r>
      <w:r w:rsidR="005B19EB">
        <w:rPr>
          <w:bCs/>
        </w:rPr>
        <w:t>s</w:t>
      </w:r>
      <w:r w:rsidR="00691BEA">
        <w:rPr>
          <w:bCs/>
        </w:rPr>
        <w:t xml:space="preserve"> the position of OPC.</w:t>
      </w:r>
    </w:p>
    <w:p w14:paraId="1ED85350" w14:textId="77777777" w:rsidR="003F4F8D" w:rsidRDefault="003F4F8D" w:rsidP="003F4F8D">
      <w:pPr>
        <w:ind w:left="1440" w:hanging="1440"/>
        <w:jc w:val="both"/>
        <w:rPr>
          <w:b/>
        </w:rPr>
      </w:pPr>
    </w:p>
    <w:p w14:paraId="6C00DA75" w14:textId="20FE1487" w:rsidR="003F4F8D" w:rsidRDefault="003F4F8D" w:rsidP="003F4F8D">
      <w:pPr>
        <w:ind w:left="1440" w:hanging="1440"/>
        <w:jc w:val="both"/>
        <w:rPr>
          <w:b/>
        </w:rPr>
      </w:pPr>
      <w:r>
        <w:rPr>
          <w:b/>
        </w:rPr>
        <w:t>FEA:</w:t>
      </w:r>
      <w:r>
        <w:rPr>
          <w:b/>
        </w:rPr>
        <w:tab/>
      </w:r>
      <w:r w:rsidR="005B19EB">
        <w:t>No position.</w:t>
      </w:r>
    </w:p>
    <w:p w14:paraId="77C9B5C2" w14:textId="77777777" w:rsidR="003F4F8D" w:rsidRDefault="003F4F8D" w:rsidP="003F4F8D">
      <w:pPr>
        <w:ind w:left="1440" w:hanging="1440"/>
        <w:jc w:val="both"/>
        <w:rPr>
          <w:b/>
        </w:rPr>
      </w:pPr>
    </w:p>
    <w:p w14:paraId="2777F697" w14:textId="77777777" w:rsidR="00A14A11" w:rsidRDefault="00764960" w:rsidP="003F4F8D">
      <w:pPr>
        <w:ind w:left="1440" w:hanging="1440"/>
        <w:jc w:val="both"/>
        <w:rPr>
          <w:b/>
        </w:rPr>
      </w:pPr>
      <w:r>
        <w:rPr>
          <w:b/>
        </w:rPr>
        <w:t xml:space="preserve">SIERRA </w:t>
      </w:r>
    </w:p>
    <w:p w14:paraId="104ECC0A" w14:textId="5C8CFAA2" w:rsidR="003F4F8D" w:rsidRDefault="00764960" w:rsidP="003F4F8D">
      <w:pPr>
        <w:ind w:left="1440" w:hanging="1440"/>
        <w:jc w:val="both"/>
        <w:rPr>
          <w:b/>
        </w:rPr>
      </w:pPr>
      <w:r>
        <w:rPr>
          <w:b/>
        </w:rPr>
        <w:t>CLUB</w:t>
      </w:r>
      <w:r w:rsidR="003F4F8D">
        <w:rPr>
          <w:b/>
        </w:rPr>
        <w:t>:</w:t>
      </w:r>
      <w:r w:rsidR="003F4F8D">
        <w:rPr>
          <w:b/>
        </w:rPr>
        <w:tab/>
      </w:r>
      <w:r w:rsidR="005B19EB">
        <w:t>No position.</w:t>
      </w:r>
    </w:p>
    <w:p w14:paraId="39F65926" w14:textId="77777777" w:rsidR="003F4F8D" w:rsidRDefault="003F4F8D" w:rsidP="003F4F8D">
      <w:pPr>
        <w:ind w:left="1440" w:hanging="1440"/>
        <w:jc w:val="both"/>
        <w:rPr>
          <w:b/>
        </w:rPr>
      </w:pPr>
    </w:p>
    <w:p w14:paraId="3AC6E584" w14:textId="7B97D026" w:rsidR="003F4F8D" w:rsidRDefault="003F4F8D" w:rsidP="003F4F8D">
      <w:pPr>
        <w:ind w:left="1440" w:hanging="1440"/>
        <w:jc w:val="both"/>
        <w:rPr>
          <w:b/>
        </w:rPr>
      </w:pPr>
      <w:r>
        <w:rPr>
          <w:b/>
        </w:rPr>
        <w:t>FRF:</w:t>
      </w:r>
      <w:r>
        <w:rPr>
          <w:b/>
        </w:rPr>
        <w:tab/>
      </w:r>
      <w:r w:rsidR="00443785">
        <w:t>Agree</w:t>
      </w:r>
      <w:r w:rsidR="005B19EB">
        <w:t>s</w:t>
      </w:r>
      <w:r w:rsidR="00443785">
        <w:t xml:space="preserve"> with OPC.</w:t>
      </w:r>
    </w:p>
    <w:p w14:paraId="7B5FC334" w14:textId="77777777" w:rsidR="003F4F8D" w:rsidRDefault="003F4F8D" w:rsidP="003F4F8D">
      <w:pPr>
        <w:ind w:left="1440" w:hanging="1440"/>
        <w:jc w:val="both"/>
        <w:rPr>
          <w:b/>
        </w:rPr>
      </w:pPr>
    </w:p>
    <w:p w14:paraId="7B819B18" w14:textId="77777777" w:rsidR="00A14A11" w:rsidRDefault="00C0182D" w:rsidP="003F4F8D">
      <w:pPr>
        <w:ind w:left="1440" w:hanging="1440"/>
        <w:jc w:val="both"/>
        <w:rPr>
          <w:b/>
        </w:rPr>
      </w:pPr>
      <w:r>
        <w:rPr>
          <w:b/>
        </w:rPr>
        <w:t xml:space="preserve">FUEL </w:t>
      </w:r>
    </w:p>
    <w:p w14:paraId="23D0A252" w14:textId="62198B88" w:rsidR="003F4F8D" w:rsidRDefault="00C0182D" w:rsidP="003F4F8D">
      <w:pPr>
        <w:ind w:left="1440" w:hanging="1440"/>
        <w:jc w:val="both"/>
      </w:pPr>
      <w:r>
        <w:rPr>
          <w:b/>
        </w:rPr>
        <w:t>RETAILERS</w:t>
      </w:r>
      <w:r w:rsidR="003F4F8D">
        <w:rPr>
          <w:b/>
        </w:rPr>
        <w:t>:</w:t>
      </w:r>
      <w:r w:rsidR="00A14A11">
        <w:rPr>
          <w:b/>
        </w:rPr>
        <w:t xml:space="preserve"> </w:t>
      </w:r>
      <w:r w:rsidR="008502DD" w:rsidRPr="00132664">
        <w:t xml:space="preserve">No </w:t>
      </w:r>
      <w:r w:rsidR="005B19EB">
        <w:t>p</w:t>
      </w:r>
      <w:r w:rsidR="008502DD" w:rsidRPr="00132664">
        <w:t>osition.</w:t>
      </w:r>
    </w:p>
    <w:p w14:paraId="15EFE428" w14:textId="77777777" w:rsidR="00E61243" w:rsidRDefault="00E61243" w:rsidP="003F4F8D">
      <w:pPr>
        <w:ind w:left="1440" w:hanging="1440"/>
        <w:jc w:val="both"/>
      </w:pPr>
    </w:p>
    <w:p w14:paraId="2F108722" w14:textId="70150A9F" w:rsidR="00E61243" w:rsidRPr="00E61243" w:rsidRDefault="00FD408B" w:rsidP="003F4F8D">
      <w:pPr>
        <w:ind w:left="1440" w:hanging="1440"/>
        <w:jc w:val="both"/>
        <w:rPr>
          <w:b/>
        </w:rPr>
      </w:pPr>
      <w:r>
        <w:rPr>
          <w:b/>
        </w:rPr>
        <w:t>WALMART</w:t>
      </w:r>
      <w:r w:rsidR="00E61243">
        <w:rPr>
          <w:b/>
        </w:rPr>
        <w:t>:</w:t>
      </w:r>
      <w:r w:rsidR="00E61243">
        <w:rPr>
          <w:b/>
        </w:rPr>
        <w:tab/>
      </w:r>
      <w:r w:rsidR="005B19EB">
        <w:t>No position.</w:t>
      </w:r>
    </w:p>
    <w:p w14:paraId="281CEA76" w14:textId="77777777" w:rsidR="003F4F8D" w:rsidRPr="00701945" w:rsidRDefault="003F4F8D" w:rsidP="003F4F8D">
      <w:pPr>
        <w:jc w:val="both"/>
      </w:pPr>
    </w:p>
    <w:p w14:paraId="785B72CD" w14:textId="77777777" w:rsidR="003F4F8D" w:rsidRPr="005D4B47" w:rsidRDefault="003F4F8D" w:rsidP="003F4F8D">
      <w:pPr>
        <w:ind w:left="1440" w:hanging="1440"/>
        <w:jc w:val="both"/>
        <w:rPr>
          <w:b/>
          <w:bCs/>
        </w:rPr>
      </w:pPr>
      <w:r>
        <w:rPr>
          <w:b/>
          <w:bCs/>
        </w:rPr>
        <w:t>STAFF:</w:t>
      </w:r>
      <w:r>
        <w:rPr>
          <w:b/>
          <w:bCs/>
        </w:rPr>
        <w:tab/>
      </w:r>
      <w:r w:rsidR="002C290E">
        <w:t>No position at this time.</w:t>
      </w:r>
    </w:p>
    <w:p w14:paraId="67501CAE" w14:textId="77777777" w:rsidR="003F4F8D" w:rsidRDefault="003F4F8D" w:rsidP="00C7699A">
      <w:pPr>
        <w:jc w:val="both"/>
      </w:pPr>
    </w:p>
    <w:p w14:paraId="076922F2" w14:textId="77777777" w:rsidR="003F4F8D" w:rsidRDefault="003F4F8D" w:rsidP="00C7699A">
      <w:pPr>
        <w:jc w:val="both"/>
      </w:pPr>
    </w:p>
    <w:p w14:paraId="676E4852" w14:textId="77777777" w:rsidR="003F4F8D" w:rsidRPr="00440B36" w:rsidRDefault="00440B36" w:rsidP="003F4F8D">
      <w:pPr>
        <w:ind w:left="1440" w:hanging="1440"/>
        <w:jc w:val="both"/>
        <w:rPr>
          <w:b/>
        </w:rPr>
      </w:pPr>
      <w:r>
        <w:rPr>
          <w:b/>
          <w:bCs/>
        </w:rPr>
        <w:lastRenderedPageBreak/>
        <w:t>ISSUE 55</w:t>
      </w:r>
      <w:r w:rsidR="003F4F8D" w:rsidRPr="00701945">
        <w:rPr>
          <w:b/>
          <w:bCs/>
        </w:rPr>
        <w:t>:</w:t>
      </w:r>
      <w:r w:rsidR="003F4F8D" w:rsidRPr="00701945">
        <w:tab/>
      </w:r>
      <w:r w:rsidRPr="00440B36">
        <w:rPr>
          <w:b/>
        </w:rPr>
        <w:t xml:space="preserve">What cost allocation methodologies and what amount of allocated costs and charges with TECO’s affiliated companies should be approved for the </w:t>
      </w:r>
      <w:r w:rsidRPr="00440B36">
        <w:rPr>
          <w:b/>
          <w:bCs/>
        </w:rPr>
        <w:t>2025 projected test year</w:t>
      </w:r>
      <w:r w:rsidR="00546F90">
        <w:rPr>
          <w:b/>
          <w:bCs/>
        </w:rPr>
        <w:t xml:space="preserve"> and what, if any, other measures should be taken</w:t>
      </w:r>
      <w:r w:rsidRPr="00440B36">
        <w:rPr>
          <w:b/>
        </w:rPr>
        <w:t>?</w:t>
      </w:r>
    </w:p>
    <w:p w14:paraId="0CD96AA7" w14:textId="77777777" w:rsidR="003F4F8D" w:rsidRPr="00701945" w:rsidRDefault="003F4F8D" w:rsidP="003F4F8D">
      <w:pPr>
        <w:jc w:val="both"/>
      </w:pPr>
    </w:p>
    <w:p w14:paraId="0BDD3B9F" w14:textId="12DD983D" w:rsidR="003F4F8D" w:rsidRPr="005D4B47" w:rsidRDefault="003F4F8D" w:rsidP="003F4F8D">
      <w:pPr>
        <w:ind w:left="1440" w:hanging="1440"/>
        <w:jc w:val="both"/>
      </w:pPr>
      <w:r>
        <w:rPr>
          <w:b/>
          <w:bCs/>
        </w:rPr>
        <w:t>TECO</w:t>
      </w:r>
      <w:r w:rsidRPr="005D4B47">
        <w:rPr>
          <w:b/>
          <w:bCs/>
        </w:rPr>
        <w:t>:</w:t>
      </w:r>
      <w:r w:rsidRPr="005D4B47">
        <w:tab/>
      </w:r>
      <w:r w:rsidR="00223154" w:rsidRPr="008F4916">
        <w:t xml:space="preserve">The company accounts for affiliated transactions in accordance with Rule 25-6.1351, F.A.C. </w:t>
      </w:r>
      <w:r w:rsidR="00223154">
        <w:t>Most of the company’s affiliate transactions are reflected in the Administrative and General functional expense group, which is $56 million below the Commission’s benchmark. T</w:t>
      </w:r>
      <w:r w:rsidR="00223154" w:rsidRPr="008F4916">
        <w:t xml:space="preserve">he Commission should approve ($28,650,000) of allocated costs and charges </w:t>
      </w:r>
      <w:r w:rsidR="00223154">
        <w:t xml:space="preserve">from </w:t>
      </w:r>
      <w:r w:rsidR="003623AB">
        <w:t>TECO</w:t>
      </w:r>
      <w:r w:rsidR="00223154" w:rsidRPr="008F4916">
        <w:t xml:space="preserve"> </w:t>
      </w:r>
      <w:r w:rsidR="00223154">
        <w:t xml:space="preserve">to its affiliates </w:t>
      </w:r>
      <w:r w:rsidR="00223154" w:rsidRPr="008F4916">
        <w:t>for the 2025 projected test year as reflected in OPC's 5th Set</w:t>
      </w:r>
      <w:r w:rsidR="00223154">
        <w:t xml:space="preserve"> of</w:t>
      </w:r>
      <w:r w:rsidR="00223154" w:rsidRPr="008F4916">
        <w:t xml:space="preserve"> Interrogator</w:t>
      </w:r>
      <w:r w:rsidR="00223154">
        <w:t>ies</w:t>
      </w:r>
      <w:r w:rsidR="00223154" w:rsidRPr="008F4916">
        <w:t xml:space="preserve"> No. 98</w:t>
      </w:r>
      <w:r w:rsidR="00223154">
        <w:t>. This amount is d</w:t>
      </w:r>
      <w:r w:rsidR="00223154" w:rsidRPr="008F4916">
        <w:t>esignated with an "S" for Sale</w:t>
      </w:r>
      <w:r w:rsidR="00223154">
        <w:t xml:space="preserve">, </w:t>
      </w:r>
      <w:r w:rsidR="00223154" w:rsidRPr="008F4916">
        <w:t xml:space="preserve">"A&amp;G Expense Credit" as its </w:t>
      </w:r>
      <w:r w:rsidR="00223154">
        <w:t>g</w:t>
      </w:r>
      <w:r w:rsidR="00223154" w:rsidRPr="008F4916">
        <w:t xml:space="preserve">eneral </w:t>
      </w:r>
      <w:r w:rsidR="00223154">
        <w:t>l</w:t>
      </w:r>
      <w:r w:rsidR="00223154" w:rsidRPr="008F4916">
        <w:t>edger treatment</w:t>
      </w:r>
      <w:r w:rsidR="00223154">
        <w:t xml:space="preserve">, is </w:t>
      </w:r>
      <w:r w:rsidR="00223154" w:rsidRPr="008F4916">
        <w:t>included on line No. 62</w:t>
      </w:r>
      <w:r w:rsidR="00223154">
        <w:t xml:space="preserve">, and reduces test year O&amp;M expenses. </w:t>
      </w:r>
      <w:r w:rsidR="00223154" w:rsidRPr="008F4916">
        <w:t xml:space="preserve">The Commission should approve the total of $15,653,000 of allocated costs ($11,075,000) and direct charges ($4,578,000) incurred by </w:t>
      </w:r>
      <w:r w:rsidR="0058196A">
        <w:t>TECO</w:t>
      </w:r>
      <w:r w:rsidR="00223154" w:rsidRPr="008F4916">
        <w:t xml:space="preserve"> from affiliated companies for the 2025 projected test year as reflected in OPC's 5th Set Interrogatory No. 98</w:t>
      </w:r>
      <w:r w:rsidR="00223154">
        <w:t xml:space="preserve">. This amount is </w:t>
      </w:r>
      <w:r w:rsidR="00223154" w:rsidRPr="008F4916">
        <w:t>designated with a "P" for Purchase and included on line No. 60.</w:t>
      </w:r>
      <w:r w:rsidR="00223154">
        <w:t xml:space="preserve"> These “S” and “P” amounts were developed using </w:t>
      </w:r>
      <w:r w:rsidR="00223154" w:rsidRPr="008F4916">
        <w:t xml:space="preserve">the cost allocation </w:t>
      </w:r>
      <w:r w:rsidR="00223154">
        <w:t>me</w:t>
      </w:r>
      <w:r w:rsidR="00223154" w:rsidRPr="008F4916">
        <w:t xml:space="preserve">thodologies described in the pre-filed direct testimony of Chronister </w:t>
      </w:r>
      <w:r w:rsidR="00223154">
        <w:t>II, which have been in place for many years, are fair and reasonable, and should be approved. The Commission should reject OPC’s two proposed affiliate transaction adjustments because they subtract amounts not included in the company’s test year budget, are based on incorrect information and assumptions, rely on historical not test year data, and are founded on inappropriate modification of allocation factors. The company’s operations as a so-called “</w:t>
      </w:r>
      <w:r w:rsidR="00223154" w:rsidRPr="00142691">
        <w:rPr>
          <w:i/>
          <w:iCs/>
        </w:rPr>
        <w:t>de</w:t>
      </w:r>
      <w:r w:rsidR="00B83F65">
        <w:rPr>
          <w:i/>
          <w:iCs/>
        </w:rPr>
        <w:t xml:space="preserve"> </w:t>
      </w:r>
      <w:r w:rsidR="00223154" w:rsidRPr="00142691">
        <w:rPr>
          <w:i/>
          <w:iCs/>
        </w:rPr>
        <w:t>facto</w:t>
      </w:r>
      <w:r w:rsidR="00223154">
        <w:t xml:space="preserve"> centralized service provider” complies with Rule 25-6.1351, F.A.C. OPC’s recommendations for other actions and future regulation should only be considered in a rulemaking or other proceeding applicable to all public utilities operating under the Commission’s jurisdiction and are either overly burdensome or redundant. (Chronister)</w:t>
      </w:r>
    </w:p>
    <w:p w14:paraId="41450A05" w14:textId="77777777" w:rsidR="003F4F8D" w:rsidRPr="00701945" w:rsidRDefault="003F4F8D" w:rsidP="003F4F8D">
      <w:pPr>
        <w:jc w:val="both"/>
      </w:pPr>
    </w:p>
    <w:p w14:paraId="109E31B1" w14:textId="387B95CB" w:rsidR="003F4F8D" w:rsidRDefault="003F4F8D" w:rsidP="003F4F8D">
      <w:pPr>
        <w:ind w:left="1440" w:hanging="1440"/>
        <w:jc w:val="both"/>
      </w:pPr>
      <w:r>
        <w:rPr>
          <w:b/>
          <w:bCs/>
        </w:rPr>
        <w:t>OPC</w:t>
      </w:r>
      <w:r w:rsidRPr="00701945">
        <w:rPr>
          <w:b/>
          <w:bCs/>
        </w:rPr>
        <w:t>:</w:t>
      </w:r>
      <w:r>
        <w:tab/>
      </w:r>
      <w:r w:rsidR="00576561" w:rsidRPr="003651AA">
        <w:t>The Commission should reduce the Corporate Support Allocations from Emera to TECO by $0</w:t>
      </w:r>
      <w:r w:rsidR="00576561">
        <w:t>.</w:t>
      </w:r>
      <w:r w:rsidR="00576561" w:rsidRPr="003651AA">
        <w:t>858 million related to expenses of a dissolved affiliate that was proposed to be transferred to TECO. The Commission should also reduce the shared service allocation from Tampa Electric to TECO by $5</w:t>
      </w:r>
      <w:r w:rsidR="00576561">
        <w:t>.</w:t>
      </w:r>
      <w:r w:rsidR="00576561" w:rsidRPr="003651AA">
        <w:t xml:space="preserve">457 million to reflect Witness Ostrander’s revising of the allocation factors for various shared services and the disallowing of one half of significant unsupported corporate overhead. </w:t>
      </w:r>
      <w:r w:rsidR="00576561">
        <w:t xml:space="preserve">In addition, </w:t>
      </w:r>
      <w:r w:rsidR="00576561" w:rsidRPr="003651AA">
        <w:t>the Commission sh</w:t>
      </w:r>
      <w:r w:rsidR="00923EEE">
        <w:t xml:space="preserve">ould require TECO to change its MMM </w:t>
      </w:r>
      <w:r w:rsidR="00576561" w:rsidRPr="003651AA">
        <w:t xml:space="preserve">allocation factor by substituting a Headcount </w:t>
      </w:r>
      <w:r w:rsidR="00576561">
        <w:t xml:space="preserve">allocation </w:t>
      </w:r>
      <w:r w:rsidR="00576561" w:rsidRPr="003651AA">
        <w:t xml:space="preserve">factor in place of the </w:t>
      </w:r>
      <w:r w:rsidR="00576561">
        <w:t xml:space="preserve">Net Income allocation </w:t>
      </w:r>
      <w:r w:rsidR="00576561" w:rsidRPr="003651AA">
        <w:t>factor. The Commission should consider requiring TECO to di</w:t>
      </w:r>
      <w:r w:rsidR="00576561">
        <w:t xml:space="preserve">scontinue its </w:t>
      </w:r>
      <w:r w:rsidR="00576561" w:rsidRPr="003651AA">
        <w:t>central service provider responsibilities or in the alternative require TECO to implement the nine steps outlined in Witness Ostrander’s testimony.</w:t>
      </w:r>
    </w:p>
    <w:p w14:paraId="1FE51EE8" w14:textId="77777777" w:rsidR="00195CB9" w:rsidRDefault="00195CB9" w:rsidP="003F4F8D">
      <w:pPr>
        <w:ind w:left="1440" w:hanging="1440"/>
        <w:jc w:val="both"/>
      </w:pPr>
    </w:p>
    <w:p w14:paraId="33DF6853" w14:textId="53A4656A" w:rsidR="00195CB9" w:rsidRDefault="00195CB9" w:rsidP="003F4F8D">
      <w:pPr>
        <w:ind w:left="1440" w:hanging="1440"/>
        <w:jc w:val="both"/>
      </w:pPr>
      <w:r>
        <w:tab/>
      </w:r>
      <w:r w:rsidRPr="00D3780D">
        <w:t xml:space="preserve">The Commission </w:t>
      </w:r>
      <w:r>
        <w:t xml:space="preserve">should </w:t>
      </w:r>
      <w:r w:rsidRPr="00D3780D">
        <w:t>require TECO to di</w:t>
      </w:r>
      <w:r>
        <w:t xml:space="preserve">scontinue its role </w:t>
      </w:r>
      <w:r w:rsidRPr="00D3780D">
        <w:t>as the CSP or require the nine measures outline</w:t>
      </w:r>
      <w:r>
        <w:t>d</w:t>
      </w:r>
      <w:r w:rsidRPr="00D3780D">
        <w:t xml:space="preserve"> more fully in OPC witness Ostrander’s testimony. These are summarized as follows: (1) implement a plan for achieving </w:t>
      </w:r>
      <w:r w:rsidRPr="00D3780D">
        <w:lastRenderedPageBreak/>
        <w:t xml:space="preserve">recommendations; (2) identify costs saving as CSP and flow back to customers; (3) document and explain when affiliate takes back share service in-house; (4) change accounting to track and audit affiliate transactions easily; (5) reconcile accounting in (4) to FERC Form 1; (6) have external audit of CSP role; (7) monthly invoices for CSP services; (8) Emera and TECO should have written internal controls; and (9) Emera </w:t>
      </w:r>
      <w:r>
        <w:t xml:space="preserve">should </w:t>
      </w:r>
      <w:r w:rsidRPr="00D3780D">
        <w:t xml:space="preserve">perform </w:t>
      </w:r>
      <w:r>
        <w:t xml:space="preserve">an </w:t>
      </w:r>
      <w:r w:rsidRPr="00D3780D">
        <w:t>internal audit of TECO as CSP.</w:t>
      </w:r>
    </w:p>
    <w:p w14:paraId="1CB1FAEA" w14:textId="77777777" w:rsidR="003F4F8D" w:rsidRDefault="003F4F8D" w:rsidP="003F4F8D">
      <w:pPr>
        <w:ind w:left="1440" w:hanging="1440"/>
        <w:jc w:val="both"/>
      </w:pPr>
    </w:p>
    <w:p w14:paraId="72F3B6C6" w14:textId="77777777" w:rsidR="003F4F8D" w:rsidRDefault="003F4F8D" w:rsidP="003F4F8D">
      <w:pPr>
        <w:ind w:left="1440" w:hanging="1440"/>
        <w:jc w:val="both"/>
        <w:rPr>
          <w:b/>
        </w:rPr>
      </w:pPr>
      <w:r>
        <w:rPr>
          <w:b/>
        </w:rPr>
        <w:t>FL RISING/</w:t>
      </w:r>
    </w:p>
    <w:p w14:paraId="0AB7CCFC" w14:textId="3410B5A9" w:rsidR="003F4F8D" w:rsidRDefault="003F4F8D" w:rsidP="003F4F8D">
      <w:pPr>
        <w:ind w:left="1440" w:hanging="1440"/>
        <w:jc w:val="both"/>
        <w:rPr>
          <w:b/>
        </w:rPr>
      </w:pPr>
      <w:r>
        <w:rPr>
          <w:b/>
        </w:rPr>
        <w:t>LULAC:</w:t>
      </w:r>
      <w:r>
        <w:rPr>
          <w:b/>
        </w:rPr>
        <w:tab/>
      </w:r>
      <w:r w:rsidR="004F76C2">
        <w:t xml:space="preserve">A </w:t>
      </w:r>
      <w:r w:rsidR="003F274A">
        <w:t>R</w:t>
      </w:r>
      <w:r w:rsidR="004F76C2">
        <w:t>evised MMM should be used to allocate affiliate costs and charges using the following inputs: (1) Operating Assets factor; (2) Revenue factor; and (3) Headcount factor. The Revised MMM Rate for TECO should be 67.62%, a 4.96% reduction from TECO’s proposed rate. In total, TECO’s Shared Service expense should be reduced by $5.50 million from TECO’s 2025 Budget amounts.  (Ostrander)</w:t>
      </w:r>
    </w:p>
    <w:p w14:paraId="483F872F" w14:textId="77777777" w:rsidR="003F4F8D" w:rsidRDefault="003F4F8D" w:rsidP="003F4F8D">
      <w:pPr>
        <w:ind w:left="1440" w:hanging="1440"/>
        <w:jc w:val="both"/>
        <w:rPr>
          <w:b/>
        </w:rPr>
      </w:pPr>
    </w:p>
    <w:p w14:paraId="4831F349" w14:textId="3A51AA1C" w:rsidR="003F4F8D" w:rsidRDefault="003F4F8D" w:rsidP="003F4F8D">
      <w:pPr>
        <w:ind w:left="1440" w:hanging="1440"/>
        <w:jc w:val="both"/>
        <w:rPr>
          <w:b/>
        </w:rPr>
      </w:pPr>
      <w:r>
        <w:rPr>
          <w:b/>
        </w:rPr>
        <w:t>FIPUG:</w:t>
      </w:r>
      <w:r>
        <w:rPr>
          <w:b/>
        </w:rPr>
        <w:tab/>
      </w:r>
      <w:r w:rsidR="00691BEA">
        <w:rPr>
          <w:bCs/>
        </w:rPr>
        <w:t>Adopt</w:t>
      </w:r>
      <w:r w:rsidR="004767E4">
        <w:rPr>
          <w:bCs/>
        </w:rPr>
        <w:t>s</w:t>
      </w:r>
      <w:r w:rsidR="00691BEA">
        <w:rPr>
          <w:bCs/>
        </w:rPr>
        <w:t xml:space="preserve"> the position of OPC.</w:t>
      </w:r>
    </w:p>
    <w:p w14:paraId="3F4F0FDC" w14:textId="77777777" w:rsidR="003F4F8D" w:rsidRDefault="003F4F8D" w:rsidP="003F4F8D">
      <w:pPr>
        <w:ind w:left="1440" w:hanging="1440"/>
        <w:jc w:val="both"/>
        <w:rPr>
          <w:b/>
        </w:rPr>
      </w:pPr>
    </w:p>
    <w:p w14:paraId="57204AAE" w14:textId="73831F17" w:rsidR="003F4F8D" w:rsidRDefault="003F4F8D" w:rsidP="003F4F8D">
      <w:pPr>
        <w:ind w:left="1440" w:hanging="1440"/>
        <w:jc w:val="both"/>
        <w:rPr>
          <w:b/>
        </w:rPr>
      </w:pPr>
      <w:r>
        <w:rPr>
          <w:b/>
        </w:rPr>
        <w:t>FEA:</w:t>
      </w:r>
      <w:r>
        <w:rPr>
          <w:b/>
        </w:rPr>
        <w:tab/>
      </w:r>
      <w:r w:rsidR="004767E4">
        <w:t>No position.</w:t>
      </w:r>
    </w:p>
    <w:p w14:paraId="0CDDD44C" w14:textId="77777777" w:rsidR="003F4F8D" w:rsidRDefault="003F4F8D" w:rsidP="003F4F8D">
      <w:pPr>
        <w:ind w:left="1440" w:hanging="1440"/>
        <w:jc w:val="both"/>
        <w:rPr>
          <w:b/>
        </w:rPr>
      </w:pPr>
    </w:p>
    <w:p w14:paraId="1F85A8AB" w14:textId="77777777" w:rsidR="00A14A11" w:rsidRDefault="00764960" w:rsidP="003F4F8D">
      <w:pPr>
        <w:ind w:left="1440" w:hanging="1440"/>
        <w:jc w:val="both"/>
        <w:rPr>
          <w:b/>
        </w:rPr>
      </w:pPr>
      <w:r>
        <w:rPr>
          <w:b/>
        </w:rPr>
        <w:t xml:space="preserve">SIERRA </w:t>
      </w:r>
    </w:p>
    <w:p w14:paraId="35262E58" w14:textId="211F1828" w:rsidR="003F4F8D" w:rsidRDefault="00764960" w:rsidP="003F4F8D">
      <w:pPr>
        <w:ind w:left="1440" w:hanging="1440"/>
        <w:jc w:val="both"/>
      </w:pPr>
      <w:r>
        <w:rPr>
          <w:b/>
        </w:rPr>
        <w:t>CLUB</w:t>
      </w:r>
      <w:r w:rsidR="003F4F8D">
        <w:rPr>
          <w:b/>
        </w:rPr>
        <w:t>:</w:t>
      </w:r>
      <w:r w:rsidR="003F4F8D">
        <w:rPr>
          <w:b/>
        </w:rPr>
        <w:tab/>
      </w:r>
      <w:r w:rsidR="004767E4">
        <w:t>No position.</w:t>
      </w:r>
    </w:p>
    <w:p w14:paraId="40EE8AE7" w14:textId="77777777" w:rsidR="00FB18CC" w:rsidRDefault="00FB18CC" w:rsidP="003F4F8D">
      <w:pPr>
        <w:ind w:left="1440" w:hanging="1440"/>
        <w:jc w:val="both"/>
        <w:rPr>
          <w:b/>
        </w:rPr>
      </w:pPr>
    </w:p>
    <w:p w14:paraId="0AD95D0D" w14:textId="73894180" w:rsidR="003F4F8D" w:rsidRDefault="003F4F8D" w:rsidP="003F4F8D">
      <w:pPr>
        <w:ind w:left="1440" w:hanging="1440"/>
        <w:jc w:val="both"/>
        <w:rPr>
          <w:b/>
        </w:rPr>
      </w:pPr>
      <w:r>
        <w:rPr>
          <w:b/>
        </w:rPr>
        <w:t>FRF:</w:t>
      </w:r>
      <w:r>
        <w:rPr>
          <w:b/>
        </w:rPr>
        <w:tab/>
      </w:r>
      <w:r w:rsidR="00443785">
        <w:t>Agree</w:t>
      </w:r>
      <w:r w:rsidR="004767E4">
        <w:t>s</w:t>
      </w:r>
      <w:r w:rsidR="00443785">
        <w:t xml:space="preserve"> with OPC.</w:t>
      </w:r>
    </w:p>
    <w:p w14:paraId="4FD37724" w14:textId="77777777" w:rsidR="003F4F8D" w:rsidRDefault="003F4F8D" w:rsidP="003F4F8D">
      <w:pPr>
        <w:ind w:left="1440" w:hanging="1440"/>
        <w:jc w:val="both"/>
        <w:rPr>
          <w:b/>
        </w:rPr>
      </w:pPr>
    </w:p>
    <w:p w14:paraId="4D95A9C8" w14:textId="77777777" w:rsidR="00A14A11" w:rsidRDefault="00C0182D" w:rsidP="003F4F8D">
      <w:pPr>
        <w:ind w:left="1440" w:hanging="1440"/>
        <w:jc w:val="both"/>
        <w:rPr>
          <w:b/>
        </w:rPr>
      </w:pPr>
      <w:r>
        <w:rPr>
          <w:b/>
        </w:rPr>
        <w:t xml:space="preserve">FUEL </w:t>
      </w:r>
    </w:p>
    <w:p w14:paraId="7E8E7B7D" w14:textId="1FFE802B" w:rsidR="003F4F8D" w:rsidRDefault="00C0182D" w:rsidP="003F4F8D">
      <w:pPr>
        <w:ind w:left="1440" w:hanging="1440"/>
        <w:jc w:val="both"/>
      </w:pPr>
      <w:r>
        <w:rPr>
          <w:b/>
        </w:rPr>
        <w:t>RETAILERS</w:t>
      </w:r>
      <w:r w:rsidR="003F4F8D">
        <w:rPr>
          <w:b/>
        </w:rPr>
        <w:t>:</w:t>
      </w:r>
      <w:r w:rsidR="00A14A11">
        <w:rPr>
          <w:b/>
        </w:rPr>
        <w:t xml:space="preserve"> </w:t>
      </w:r>
      <w:r w:rsidR="008502DD" w:rsidRPr="00132664">
        <w:t xml:space="preserve">No </w:t>
      </w:r>
      <w:r w:rsidR="004767E4">
        <w:t>p</w:t>
      </w:r>
      <w:r w:rsidR="008502DD" w:rsidRPr="00132664">
        <w:t>osition.</w:t>
      </w:r>
    </w:p>
    <w:p w14:paraId="3B245B54" w14:textId="77777777" w:rsidR="00E61243" w:rsidRDefault="00E61243" w:rsidP="003F4F8D">
      <w:pPr>
        <w:ind w:left="1440" w:hanging="1440"/>
        <w:jc w:val="both"/>
      </w:pPr>
    </w:p>
    <w:p w14:paraId="7CD07529" w14:textId="6420B3AD" w:rsidR="00E61243" w:rsidRPr="00E61243" w:rsidRDefault="00FD408B" w:rsidP="003F4F8D">
      <w:pPr>
        <w:ind w:left="1440" w:hanging="1440"/>
        <w:jc w:val="both"/>
        <w:rPr>
          <w:b/>
        </w:rPr>
      </w:pPr>
      <w:r>
        <w:rPr>
          <w:b/>
        </w:rPr>
        <w:t>WALMART</w:t>
      </w:r>
      <w:r w:rsidR="00E61243">
        <w:rPr>
          <w:b/>
        </w:rPr>
        <w:t>:</w:t>
      </w:r>
      <w:r w:rsidR="00E61243">
        <w:rPr>
          <w:b/>
        </w:rPr>
        <w:tab/>
      </w:r>
      <w:r w:rsidR="004767E4">
        <w:t>No position.</w:t>
      </w:r>
    </w:p>
    <w:p w14:paraId="642BA951" w14:textId="77777777" w:rsidR="003F4F8D" w:rsidRPr="00701945" w:rsidRDefault="003F4F8D" w:rsidP="003F4F8D">
      <w:pPr>
        <w:jc w:val="both"/>
      </w:pPr>
    </w:p>
    <w:p w14:paraId="7A0B7957" w14:textId="77777777" w:rsidR="003F4F8D" w:rsidRPr="005D4B47" w:rsidRDefault="003F4F8D" w:rsidP="003F4F8D">
      <w:pPr>
        <w:ind w:left="1440" w:hanging="1440"/>
        <w:jc w:val="both"/>
        <w:rPr>
          <w:b/>
          <w:bCs/>
        </w:rPr>
      </w:pPr>
      <w:r>
        <w:rPr>
          <w:b/>
          <w:bCs/>
        </w:rPr>
        <w:t>STAFF:</w:t>
      </w:r>
      <w:r>
        <w:rPr>
          <w:b/>
          <w:bCs/>
        </w:rPr>
        <w:tab/>
      </w:r>
      <w:r w:rsidR="002C290E">
        <w:t>No position at this time.</w:t>
      </w:r>
    </w:p>
    <w:p w14:paraId="253AF48B" w14:textId="77777777" w:rsidR="003F4F8D" w:rsidRDefault="003F4F8D" w:rsidP="00C7699A">
      <w:pPr>
        <w:jc w:val="both"/>
      </w:pPr>
    </w:p>
    <w:p w14:paraId="61C44EBD" w14:textId="77777777" w:rsidR="003F4F8D" w:rsidRDefault="003F4F8D" w:rsidP="00C7699A">
      <w:pPr>
        <w:jc w:val="both"/>
      </w:pPr>
    </w:p>
    <w:p w14:paraId="430D851F" w14:textId="77777777" w:rsidR="003F4F8D" w:rsidRPr="00440B36" w:rsidRDefault="00440B36" w:rsidP="003F4F8D">
      <w:pPr>
        <w:ind w:left="1440" w:hanging="1440"/>
        <w:jc w:val="both"/>
        <w:rPr>
          <w:b/>
        </w:rPr>
      </w:pPr>
      <w:r>
        <w:rPr>
          <w:b/>
          <w:bCs/>
        </w:rPr>
        <w:t>ISSUE 56</w:t>
      </w:r>
      <w:r w:rsidR="003F4F8D" w:rsidRPr="00701945">
        <w:rPr>
          <w:b/>
          <w:bCs/>
        </w:rPr>
        <w:t>:</w:t>
      </w:r>
      <w:r w:rsidR="003F4F8D" w:rsidRPr="00701945">
        <w:tab/>
      </w:r>
      <w:r w:rsidRPr="00440B36">
        <w:rPr>
          <w:b/>
        </w:rPr>
        <w:t>What amount of Directors and Officers Liability Insurance</w:t>
      </w:r>
      <w:r w:rsidR="00F76B41">
        <w:rPr>
          <w:b/>
        </w:rPr>
        <w:t xml:space="preserve"> and Board of Director</w:t>
      </w:r>
      <w:r w:rsidRPr="00440B36">
        <w:rPr>
          <w:b/>
        </w:rPr>
        <w:t xml:space="preserve"> expense for the </w:t>
      </w:r>
      <w:r w:rsidRPr="00440B36">
        <w:rPr>
          <w:b/>
          <w:bCs/>
        </w:rPr>
        <w:t>2025 projected test year should be approved</w:t>
      </w:r>
      <w:r w:rsidRPr="00440B36">
        <w:rPr>
          <w:b/>
        </w:rPr>
        <w:t>?</w:t>
      </w:r>
    </w:p>
    <w:p w14:paraId="78B8D5A4" w14:textId="77777777" w:rsidR="003F4F8D" w:rsidRPr="00701945" w:rsidRDefault="003F4F8D" w:rsidP="003F4F8D">
      <w:pPr>
        <w:jc w:val="both"/>
      </w:pPr>
    </w:p>
    <w:p w14:paraId="65E8FD8C" w14:textId="563BBD2B" w:rsidR="003F4F8D" w:rsidRPr="005D4B47" w:rsidRDefault="003F4F8D" w:rsidP="003F4F8D">
      <w:pPr>
        <w:ind w:left="1440" w:hanging="1440"/>
        <w:jc w:val="both"/>
      </w:pPr>
      <w:r>
        <w:rPr>
          <w:b/>
          <w:bCs/>
        </w:rPr>
        <w:t>TECO</w:t>
      </w:r>
      <w:r w:rsidRPr="005D4B47">
        <w:rPr>
          <w:b/>
          <w:bCs/>
        </w:rPr>
        <w:t>:</w:t>
      </w:r>
      <w:r w:rsidRPr="005D4B47">
        <w:tab/>
      </w:r>
      <w:r w:rsidR="00440B36">
        <w:t xml:space="preserve">The Commission should approve $303,000 of D&amp;O </w:t>
      </w:r>
      <w:r w:rsidR="00440B36" w:rsidRPr="00F528AE">
        <w:t>Liability Insurance expense</w:t>
      </w:r>
      <w:r w:rsidR="00F76B41">
        <w:t xml:space="preserve"> and $752,000 of </w:t>
      </w:r>
      <w:r w:rsidR="00CB1901">
        <w:t>Board</w:t>
      </w:r>
      <w:r w:rsidR="00F76B41">
        <w:t xml:space="preserve"> of Director expense</w:t>
      </w:r>
      <w:r w:rsidR="00440B36" w:rsidRPr="00F528AE">
        <w:t xml:space="preserve"> for the </w:t>
      </w:r>
      <w:r w:rsidR="00440B36" w:rsidRPr="00F528AE">
        <w:rPr>
          <w:bCs/>
        </w:rPr>
        <w:t>2025 projected test year</w:t>
      </w:r>
      <w:r w:rsidR="00440B36">
        <w:rPr>
          <w:bCs/>
        </w:rPr>
        <w:t xml:space="preserve">. The Commission </w:t>
      </w:r>
      <w:r w:rsidR="00752E04">
        <w:rPr>
          <w:bCs/>
        </w:rPr>
        <w:t xml:space="preserve">should reject OPC’s proposed 50% </w:t>
      </w:r>
      <w:r w:rsidR="00440B36">
        <w:rPr>
          <w:bCs/>
        </w:rPr>
        <w:t>adjustment because D&amp;O Liability Insurance</w:t>
      </w:r>
      <w:r w:rsidR="00F76B41">
        <w:rPr>
          <w:bCs/>
        </w:rPr>
        <w:t xml:space="preserve"> and Board of Directors</w:t>
      </w:r>
      <w:r w:rsidR="00440B36">
        <w:rPr>
          <w:bCs/>
        </w:rPr>
        <w:t xml:space="preserve"> expense</w:t>
      </w:r>
      <w:r w:rsidR="00F76B41">
        <w:rPr>
          <w:bCs/>
        </w:rPr>
        <w:t>s are</w:t>
      </w:r>
      <w:r w:rsidR="00440B36">
        <w:rPr>
          <w:bCs/>
        </w:rPr>
        <w:t xml:space="preserve"> an ordinary and necessary cost of doing business, is necessary to recruit and retain qualified directors and officers, and the amount</w:t>
      </w:r>
      <w:r w:rsidR="00F76B41">
        <w:rPr>
          <w:bCs/>
        </w:rPr>
        <w:t>s are</w:t>
      </w:r>
      <w:r w:rsidR="00440B36">
        <w:rPr>
          <w:bCs/>
        </w:rPr>
        <w:t xml:space="preserve"> reasonable. (Chronister)</w:t>
      </w:r>
    </w:p>
    <w:p w14:paraId="3653BF33" w14:textId="1F210B5E" w:rsidR="003F4F8D" w:rsidRDefault="003F4F8D" w:rsidP="003F4F8D">
      <w:pPr>
        <w:jc w:val="both"/>
      </w:pPr>
    </w:p>
    <w:p w14:paraId="51BDCA6C" w14:textId="77777777" w:rsidR="00D21EE1" w:rsidRPr="00701945" w:rsidRDefault="00D21EE1" w:rsidP="003F4F8D">
      <w:pPr>
        <w:jc w:val="both"/>
      </w:pPr>
    </w:p>
    <w:p w14:paraId="45DACB1D" w14:textId="61023312" w:rsidR="003F4F8D" w:rsidRDefault="003F4F8D" w:rsidP="003F4F8D">
      <w:pPr>
        <w:ind w:left="1440" w:hanging="1440"/>
        <w:jc w:val="both"/>
        <w:rPr>
          <w:rFonts w:ascii="TimesNewRomanPSMT" w:hAnsi="TimesNewRomanPSMT" w:cs="TimesNewRomanPSMT"/>
        </w:rPr>
      </w:pPr>
      <w:r>
        <w:rPr>
          <w:b/>
          <w:bCs/>
        </w:rPr>
        <w:lastRenderedPageBreak/>
        <w:t>OPC</w:t>
      </w:r>
      <w:r w:rsidRPr="00701945">
        <w:rPr>
          <w:b/>
          <w:bCs/>
        </w:rPr>
        <w:t>:</w:t>
      </w:r>
      <w:r>
        <w:tab/>
      </w:r>
      <w:r w:rsidR="00557F0F">
        <w:t xml:space="preserve">The Commission should require </w:t>
      </w:r>
      <w:r w:rsidR="00557F0F">
        <w:rPr>
          <w:rFonts w:ascii="TimesNewRomanPSMT" w:hAnsi="TimesNewRomanPSMT" w:cs="TimesNewRomanPSMT"/>
        </w:rPr>
        <w:t xml:space="preserve">an equal sharing of the </w:t>
      </w:r>
      <w:r w:rsidR="00EF0E12">
        <w:rPr>
          <w:rFonts w:ascii="TimesNewRomanPSMT" w:hAnsi="TimesNewRomanPSMT" w:cs="TimesNewRomanPSMT"/>
        </w:rPr>
        <w:t>TECO’s</w:t>
      </w:r>
      <w:r w:rsidR="00557F0F">
        <w:rPr>
          <w:rFonts w:ascii="TimesNewRomanPSMT" w:hAnsi="TimesNewRomanPSMT" w:cs="TimesNewRomanPSMT"/>
        </w:rPr>
        <w:t xml:space="preserve"> D&amp;O insurance premium</w:t>
      </w:r>
      <w:r w:rsidR="005E21FF">
        <w:rPr>
          <w:rFonts w:ascii="TimesNewRomanPSMT" w:hAnsi="TimesNewRomanPSMT" w:cs="TimesNewRomanPSMT"/>
        </w:rPr>
        <w:t xml:space="preserve"> and Board of Directors expenses</w:t>
      </w:r>
      <w:r w:rsidR="00557F0F">
        <w:rPr>
          <w:rFonts w:ascii="TimesNewRomanPSMT" w:hAnsi="TimesNewRomanPSMT" w:cs="TimesNewRomanPSMT"/>
        </w:rPr>
        <w:t xml:space="preserve"> between customers and shareholders to allocate these expenses equally based on an assumption the expenses benefit both ratepayers and shareholders, as recognized in previous Commission orders. The effects are a 50% reduction in D&amp;O insurance expense or $0.151 million in revenue</w:t>
      </w:r>
      <w:r w:rsidR="005E21FF">
        <w:rPr>
          <w:rFonts w:ascii="TimesNewRomanPSMT" w:hAnsi="TimesNewRomanPSMT" w:cs="TimesNewRomanPSMT"/>
        </w:rPr>
        <w:t xml:space="preserve"> </w:t>
      </w:r>
      <w:r w:rsidR="00EF0E12">
        <w:rPr>
          <w:rFonts w:ascii="TimesNewRomanPSMT" w:hAnsi="TimesNewRomanPSMT" w:cs="TimesNewRomanPSMT"/>
        </w:rPr>
        <w:t xml:space="preserve">requirement </w:t>
      </w:r>
      <w:r w:rsidR="005E21FF">
        <w:rPr>
          <w:rFonts w:ascii="TimesNewRomanPSMT" w:hAnsi="TimesNewRomanPSMT" w:cs="TimesNewRomanPSMT"/>
        </w:rPr>
        <w:t>and a 50% reduction of Board of Directors expenses or $0.376 million in revenue requirement</w:t>
      </w:r>
      <w:r w:rsidR="00557F0F">
        <w:rPr>
          <w:rFonts w:ascii="TimesNewRomanPSMT" w:hAnsi="TimesNewRomanPSMT" w:cs="TimesNewRomanPSMT"/>
        </w:rPr>
        <w:t>.</w:t>
      </w:r>
    </w:p>
    <w:p w14:paraId="75AEEB3A" w14:textId="77777777" w:rsidR="00D94BD1" w:rsidRDefault="00D94BD1" w:rsidP="003F4F8D">
      <w:pPr>
        <w:ind w:left="1440" w:hanging="1440"/>
        <w:jc w:val="both"/>
        <w:rPr>
          <w:rFonts w:ascii="TimesNewRomanPSMT" w:hAnsi="TimesNewRomanPSMT" w:cs="TimesNewRomanPSMT"/>
        </w:rPr>
      </w:pPr>
    </w:p>
    <w:p w14:paraId="32D941D9" w14:textId="75FE60E2" w:rsidR="003F4F8D" w:rsidRDefault="003F4F8D" w:rsidP="003F4F8D">
      <w:pPr>
        <w:ind w:left="1440" w:hanging="1440"/>
        <w:jc w:val="both"/>
        <w:rPr>
          <w:b/>
        </w:rPr>
      </w:pPr>
      <w:r>
        <w:rPr>
          <w:b/>
        </w:rPr>
        <w:t>FL RISING/</w:t>
      </w:r>
    </w:p>
    <w:p w14:paraId="53C001D0" w14:textId="54E8DE3E" w:rsidR="003F4F8D" w:rsidRDefault="003F4F8D" w:rsidP="003F4F8D">
      <w:pPr>
        <w:ind w:left="1440" w:hanging="1440"/>
        <w:jc w:val="both"/>
        <w:rPr>
          <w:b/>
        </w:rPr>
      </w:pPr>
      <w:r>
        <w:rPr>
          <w:b/>
        </w:rPr>
        <w:t>LULAC:</w:t>
      </w:r>
      <w:r>
        <w:rPr>
          <w:b/>
        </w:rPr>
        <w:tab/>
      </w:r>
      <w:r w:rsidR="004F76C2">
        <w:t>The D&amp;O Liability Insurance expense should be shared equally between customers and shareholders, resulting in a $0.151 million reduction in the D&amp;O Liability Insurance expense. (Kollen)</w:t>
      </w:r>
    </w:p>
    <w:p w14:paraId="08127C8E" w14:textId="77777777" w:rsidR="003F4F8D" w:rsidRDefault="003F4F8D" w:rsidP="003F4F8D">
      <w:pPr>
        <w:ind w:left="1440" w:hanging="1440"/>
        <w:jc w:val="both"/>
        <w:rPr>
          <w:b/>
        </w:rPr>
      </w:pPr>
    </w:p>
    <w:p w14:paraId="48410DF4" w14:textId="760DF2C8" w:rsidR="003F4F8D" w:rsidRDefault="003F4F8D" w:rsidP="003F4F8D">
      <w:pPr>
        <w:ind w:left="1440" w:hanging="1440"/>
        <w:jc w:val="both"/>
        <w:rPr>
          <w:b/>
        </w:rPr>
      </w:pPr>
      <w:r>
        <w:rPr>
          <w:b/>
        </w:rPr>
        <w:t>FIPUG:</w:t>
      </w:r>
      <w:r>
        <w:rPr>
          <w:b/>
        </w:rPr>
        <w:tab/>
      </w:r>
      <w:r w:rsidR="00691BEA">
        <w:rPr>
          <w:bCs/>
        </w:rPr>
        <w:t>Adopt</w:t>
      </w:r>
      <w:r w:rsidR="00A06D80">
        <w:rPr>
          <w:bCs/>
        </w:rPr>
        <w:t>s</w:t>
      </w:r>
      <w:r w:rsidR="00691BEA">
        <w:rPr>
          <w:bCs/>
        </w:rPr>
        <w:t xml:space="preserve"> the position of OPC.</w:t>
      </w:r>
    </w:p>
    <w:p w14:paraId="02C13697" w14:textId="77777777" w:rsidR="003F4F8D" w:rsidRDefault="003F4F8D" w:rsidP="003F4F8D">
      <w:pPr>
        <w:ind w:left="1440" w:hanging="1440"/>
        <w:jc w:val="both"/>
        <w:rPr>
          <w:b/>
        </w:rPr>
      </w:pPr>
    </w:p>
    <w:p w14:paraId="4957F661" w14:textId="5A27FB32" w:rsidR="003F4F8D" w:rsidRDefault="003F4F8D" w:rsidP="003F4F8D">
      <w:pPr>
        <w:ind w:left="1440" w:hanging="1440"/>
        <w:jc w:val="both"/>
        <w:rPr>
          <w:b/>
        </w:rPr>
      </w:pPr>
      <w:r>
        <w:rPr>
          <w:b/>
        </w:rPr>
        <w:t>FEA:</w:t>
      </w:r>
      <w:r>
        <w:rPr>
          <w:b/>
        </w:rPr>
        <w:tab/>
      </w:r>
      <w:r w:rsidR="00A06D80">
        <w:t>No position.</w:t>
      </w:r>
    </w:p>
    <w:p w14:paraId="4E93B192" w14:textId="77777777" w:rsidR="003F4F8D" w:rsidRDefault="003F4F8D" w:rsidP="003F4F8D">
      <w:pPr>
        <w:ind w:left="1440" w:hanging="1440"/>
        <w:jc w:val="both"/>
        <w:rPr>
          <w:b/>
        </w:rPr>
      </w:pPr>
    </w:p>
    <w:p w14:paraId="76BCDB38" w14:textId="77777777" w:rsidR="00A14A11" w:rsidRDefault="00764960" w:rsidP="003F4F8D">
      <w:pPr>
        <w:ind w:left="1440" w:hanging="1440"/>
        <w:jc w:val="both"/>
        <w:rPr>
          <w:b/>
        </w:rPr>
      </w:pPr>
      <w:r>
        <w:rPr>
          <w:b/>
        </w:rPr>
        <w:t xml:space="preserve">SIERRA </w:t>
      </w:r>
    </w:p>
    <w:p w14:paraId="130FFFB7" w14:textId="76CECDDF" w:rsidR="003F4F8D" w:rsidRDefault="00764960" w:rsidP="003F4F8D">
      <w:pPr>
        <w:ind w:left="1440" w:hanging="1440"/>
        <w:jc w:val="both"/>
        <w:rPr>
          <w:b/>
        </w:rPr>
      </w:pPr>
      <w:r>
        <w:rPr>
          <w:b/>
        </w:rPr>
        <w:t>CLUB</w:t>
      </w:r>
      <w:r w:rsidR="003F4F8D">
        <w:rPr>
          <w:b/>
        </w:rPr>
        <w:t>:</w:t>
      </w:r>
      <w:r w:rsidR="003F4F8D">
        <w:rPr>
          <w:b/>
        </w:rPr>
        <w:tab/>
      </w:r>
      <w:r w:rsidR="00A06D80">
        <w:t>No position.</w:t>
      </w:r>
    </w:p>
    <w:p w14:paraId="67D1C281" w14:textId="77777777" w:rsidR="003F4F8D" w:rsidRDefault="003F4F8D" w:rsidP="003F4F8D">
      <w:pPr>
        <w:ind w:left="1440" w:hanging="1440"/>
        <w:jc w:val="both"/>
        <w:rPr>
          <w:b/>
        </w:rPr>
      </w:pPr>
    </w:p>
    <w:p w14:paraId="751FC373" w14:textId="3B945C67" w:rsidR="003F4F8D" w:rsidRDefault="003F4F8D" w:rsidP="003F4F8D">
      <w:pPr>
        <w:ind w:left="1440" w:hanging="1440"/>
        <w:jc w:val="both"/>
        <w:rPr>
          <w:b/>
        </w:rPr>
      </w:pPr>
      <w:r>
        <w:rPr>
          <w:b/>
        </w:rPr>
        <w:t>FRF:</w:t>
      </w:r>
      <w:r>
        <w:rPr>
          <w:b/>
        </w:rPr>
        <w:tab/>
      </w:r>
      <w:r w:rsidR="00443785">
        <w:t>Agree</w:t>
      </w:r>
      <w:r w:rsidR="00A06D80">
        <w:t>s</w:t>
      </w:r>
      <w:r w:rsidR="00443785">
        <w:t xml:space="preserve"> with OPC.</w:t>
      </w:r>
    </w:p>
    <w:p w14:paraId="5E9A04E4" w14:textId="77777777" w:rsidR="003F4F8D" w:rsidRDefault="003F4F8D" w:rsidP="003F4F8D">
      <w:pPr>
        <w:ind w:left="1440" w:hanging="1440"/>
        <w:jc w:val="both"/>
        <w:rPr>
          <w:b/>
        </w:rPr>
      </w:pPr>
    </w:p>
    <w:p w14:paraId="3B8049B3" w14:textId="77777777" w:rsidR="00A14A11" w:rsidRDefault="00C0182D" w:rsidP="003F4F8D">
      <w:pPr>
        <w:ind w:left="1440" w:hanging="1440"/>
        <w:jc w:val="both"/>
        <w:rPr>
          <w:b/>
        </w:rPr>
      </w:pPr>
      <w:r>
        <w:rPr>
          <w:b/>
        </w:rPr>
        <w:t xml:space="preserve">FUEL </w:t>
      </w:r>
    </w:p>
    <w:p w14:paraId="55BA913E" w14:textId="6DAD13DF" w:rsidR="003F4F8D" w:rsidRDefault="00C0182D" w:rsidP="003F4F8D">
      <w:pPr>
        <w:ind w:left="1440" w:hanging="1440"/>
        <w:jc w:val="both"/>
      </w:pPr>
      <w:r>
        <w:rPr>
          <w:b/>
        </w:rPr>
        <w:t>RETAILERS</w:t>
      </w:r>
      <w:r w:rsidR="003F4F8D">
        <w:rPr>
          <w:b/>
        </w:rPr>
        <w:t>:</w:t>
      </w:r>
      <w:r w:rsidR="00A14A11">
        <w:rPr>
          <w:b/>
        </w:rPr>
        <w:t xml:space="preserve"> </w:t>
      </w:r>
      <w:r w:rsidR="008502DD" w:rsidRPr="00132664">
        <w:t xml:space="preserve">No </w:t>
      </w:r>
      <w:r w:rsidR="00A06D80">
        <w:t>p</w:t>
      </w:r>
      <w:r w:rsidR="008502DD" w:rsidRPr="00132664">
        <w:t>osition.</w:t>
      </w:r>
    </w:p>
    <w:p w14:paraId="7162DF5F" w14:textId="77777777" w:rsidR="00E61243" w:rsidRDefault="00E61243" w:rsidP="003F4F8D">
      <w:pPr>
        <w:ind w:left="1440" w:hanging="1440"/>
        <w:jc w:val="both"/>
      </w:pPr>
    </w:p>
    <w:p w14:paraId="79203645" w14:textId="05465F51" w:rsidR="00E61243" w:rsidRPr="00E61243" w:rsidRDefault="00FD408B" w:rsidP="003F4F8D">
      <w:pPr>
        <w:ind w:left="1440" w:hanging="1440"/>
        <w:jc w:val="both"/>
        <w:rPr>
          <w:b/>
        </w:rPr>
      </w:pPr>
      <w:r>
        <w:rPr>
          <w:b/>
        </w:rPr>
        <w:t>WALMART</w:t>
      </w:r>
      <w:r w:rsidR="00E61243">
        <w:rPr>
          <w:b/>
        </w:rPr>
        <w:t>:</w:t>
      </w:r>
      <w:r w:rsidR="00E61243">
        <w:rPr>
          <w:b/>
        </w:rPr>
        <w:tab/>
      </w:r>
      <w:r w:rsidR="00A06D80">
        <w:t>No position.</w:t>
      </w:r>
    </w:p>
    <w:p w14:paraId="63CEF185" w14:textId="77777777" w:rsidR="003F4F8D" w:rsidRPr="00701945" w:rsidRDefault="003F4F8D" w:rsidP="003F4F8D">
      <w:pPr>
        <w:jc w:val="both"/>
      </w:pPr>
    </w:p>
    <w:p w14:paraId="15147048" w14:textId="77777777" w:rsidR="003F4F8D" w:rsidRPr="005D4B47" w:rsidRDefault="003F4F8D" w:rsidP="003F4F8D">
      <w:pPr>
        <w:ind w:left="1440" w:hanging="1440"/>
        <w:jc w:val="both"/>
        <w:rPr>
          <w:b/>
          <w:bCs/>
        </w:rPr>
      </w:pPr>
      <w:r>
        <w:rPr>
          <w:b/>
          <w:bCs/>
        </w:rPr>
        <w:t>STAFF:</w:t>
      </w:r>
      <w:r>
        <w:rPr>
          <w:b/>
          <w:bCs/>
        </w:rPr>
        <w:tab/>
      </w:r>
      <w:r w:rsidR="002C290E">
        <w:t>No position at this time.</w:t>
      </w:r>
    </w:p>
    <w:p w14:paraId="4C244263" w14:textId="77777777" w:rsidR="003F4F8D" w:rsidRDefault="003F4F8D" w:rsidP="00C7699A">
      <w:pPr>
        <w:jc w:val="both"/>
      </w:pPr>
    </w:p>
    <w:p w14:paraId="2613ADB4" w14:textId="77777777" w:rsidR="00DB2386" w:rsidRDefault="00DB2386" w:rsidP="00C7699A">
      <w:pPr>
        <w:jc w:val="both"/>
      </w:pPr>
    </w:p>
    <w:p w14:paraId="5BFB8EC8" w14:textId="77777777" w:rsidR="003F4F8D" w:rsidRPr="00440B36" w:rsidRDefault="00440B36" w:rsidP="003F4F8D">
      <w:pPr>
        <w:ind w:left="1440" w:hanging="1440"/>
        <w:jc w:val="both"/>
        <w:rPr>
          <w:b/>
        </w:rPr>
      </w:pPr>
      <w:r>
        <w:rPr>
          <w:b/>
          <w:bCs/>
        </w:rPr>
        <w:t>ISSUE 57</w:t>
      </w:r>
      <w:r w:rsidR="003F4F8D" w:rsidRPr="00701945">
        <w:rPr>
          <w:b/>
          <w:bCs/>
        </w:rPr>
        <w:t>:</w:t>
      </w:r>
      <w:r w:rsidR="003F4F8D" w:rsidRPr="00701945">
        <w:tab/>
      </w:r>
      <w:r w:rsidRPr="00440B36">
        <w:rPr>
          <w:b/>
        </w:rPr>
        <w:t>What amount of Economic Development expense for the 2025 projected test year should be approved?</w:t>
      </w:r>
    </w:p>
    <w:p w14:paraId="5CA177EE" w14:textId="77777777" w:rsidR="003F4F8D" w:rsidRPr="00701945" w:rsidRDefault="003F4F8D" w:rsidP="003F4F8D">
      <w:pPr>
        <w:jc w:val="both"/>
      </w:pPr>
    </w:p>
    <w:p w14:paraId="3982C72B" w14:textId="77777777" w:rsidR="003F4F8D" w:rsidRPr="005D4B47" w:rsidRDefault="003F4F8D" w:rsidP="003F4F8D">
      <w:pPr>
        <w:ind w:left="1440" w:hanging="1440"/>
        <w:jc w:val="both"/>
      </w:pPr>
      <w:r>
        <w:rPr>
          <w:b/>
          <w:bCs/>
        </w:rPr>
        <w:t>TECO</w:t>
      </w:r>
      <w:r w:rsidRPr="005D4B47">
        <w:rPr>
          <w:b/>
          <w:bCs/>
        </w:rPr>
        <w:t>:</w:t>
      </w:r>
      <w:r w:rsidRPr="005D4B47">
        <w:tab/>
      </w:r>
      <w:r w:rsidR="00440B36">
        <w:t>The Commission should approve economic development expenses for the 2025 projected test year of $446,502. This amount was calculated in accordance with Rule 25-6.0426, F.A.C., and is reasonable. (Chronister)</w:t>
      </w:r>
    </w:p>
    <w:p w14:paraId="691F9110" w14:textId="77777777" w:rsidR="003F4F8D" w:rsidRPr="00701945" w:rsidRDefault="003F4F8D" w:rsidP="003F4F8D">
      <w:pPr>
        <w:jc w:val="both"/>
      </w:pPr>
    </w:p>
    <w:p w14:paraId="7B0D07D9" w14:textId="099431FD" w:rsidR="003F4F8D" w:rsidRDefault="003F4F8D" w:rsidP="003F4F8D">
      <w:pPr>
        <w:ind w:left="1440" w:hanging="1440"/>
        <w:jc w:val="both"/>
      </w:pPr>
      <w:r>
        <w:rPr>
          <w:b/>
          <w:bCs/>
        </w:rPr>
        <w:t>OPC</w:t>
      </w:r>
      <w:r w:rsidRPr="00701945">
        <w:rPr>
          <w:b/>
          <w:bCs/>
        </w:rPr>
        <w:t>:</w:t>
      </w:r>
      <w:r>
        <w:tab/>
      </w:r>
      <w:r w:rsidR="00576561">
        <w:t>No position.</w:t>
      </w:r>
    </w:p>
    <w:p w14:paraId="3DF30565" w14:textId="77777777" w:rsidR="003F4F8D" w:rsidRDefault="003F4F8D" w:rsidP="003F4F8D">
      <w:pPr>
        <w:ind w:left="1440" w:hanging="1440"/>
        <w:jc w:val="both"/>
      </w:pPr>
    </w:p>
    <w:p w14:paraId="2F22CD62" w14:textId="77777777" w:rsidR="003F4F8D" w:rsidRDefault="003F4F8D" w:rsidP="003F4F8D">
      <w:pPr>
        <w:ind w:left="1440" w:hanging="1440"/>
        <w:jc w:val="both"/>
        <w:rPr>
          <w:b/>
        </w:rPr>
      </w:pPr>
      <w:r>
        <w:rPr>
          <w:b/>
        </w:rPr>
        <w:t>FL RISING/</w:t>
      </w:r>
    </w:p>
    <w:p w14:paraId="652DEC56" w14:textId="77777777" w:rsidR="003F4F8D" w:rsidRDefault="003F4F8D" w:rsidP="003F4F8D">
      <w:pPr>
        <w:ind w:left="1440" w:hanging="1440"/>
        <w:jc w:val="both"/>
        <w:rPr>
          <w:b/>
        </w:rPr>
      </w:pPr>
      <w:r>
        <w:rPr>
          <w:b/>
        </w:rPr>
        <w:t>LULAC:</w:t>
      </w:r>
      <w:r>
        <w:rPr>
          <w:b/>
        </w:rPr>
        <w:tab/>
      </w:r>
      <w:r w:rsidR="004F76C2">
        <w:rPr>
          <w:bCs/>
        </w:rPr>
        <w:t>$0.</w:t>
      </w:r>
    </w:p>
    <w:p w14:paraId="2DD080E0" w14:textId="77777777" w:rsidR="003F4F8D" w:rsidRDefault="003F4F8D" w:rsidP="003F4F8D">
      <w:pPr>
        <w:ind w:left="1440" w:hanging="1440"/>
        <w:jc w:val="both"/>
        <w:rPr>
          <w:b/>
        </w:rPr>
      </w:pPr>
    </w:p>
    <w:p w14:paraId="442E23FE" w14:textId="31D0AD14" w:rsidR="003F4F8D" w:rsidRDefault="003F4F8D" w:rsidP="003F4F8D">
      <w:pPr>
        <w:ind w:left="1440" w:hanging="1440"/>
        <w:jc w:val="both"/>
        <w:rPr>
          <w:bCs/>
        </w:rPr>
      </w:pPr>
      <w:r>
        <w:rPr>
          <w:b/>
        </w:rPr>
        <w:t>FIPUG:</w:t>
      </w:r>
      <w:r>
        <w:rPr>
          <w:b/>
        </w:rPr>
        <w:tab/>
      </w:r>
      <w:r w:rsidR="006709B0">
        <w:rPr>
          <w:bCs/>
        </w:rPr>
        <w:t>No position.</w:t>
      </w:r>
    </w:p>
    <w:p w14:paraId="2D8CB687" w14:textId="77777777" w:rsidR="006709B0" w:rsidRDefault="006709B0" w:rsidP="003F4F8D">
      <w:pPr>
        <w:ind w:left="1440" w:hanging="1440"/>
        <w:jc w:val="both"/>
        <w:rPr>
          <w:b/>
        </w:rPr>
      </w:pPr>
    </w:p>
    <w:p w14:paraId="39279619" w14:textId="70DC7A7A" w:rsidR="003F4F8D" w:rsidRDefault="003F4F8D" w:rsidP="003F4F8D">
      <w:pPr>
        <w:ind w:left="1440" w:hanging="1440"/>
        <w:jc w:val="both"/>
        <w:rPr>
          <w:b/>
        </w:rPr>
      </w:pPr>
      <w:r>
        <w:rPr>
          <w:b/>
        </w:rPr>
        <w:t>FEA:</w:t>
      </w:r>
      <w:r>
        <w:rPr>
          <w:b/>
        </w:rPr>
        <w:tab/>
      </w:r>
      <w:r w:rsidR="007757DB">
        <w:t>No position.</w:t>
      </w:r>
    </w:p>
    <w:p w14:paraId="275297DD" w14:textId="77777777" w:rsidR="00A14A11" w:rsidRDefault="00764960" w:rsidP="003F4F8D">
      <w:pPr>
        <w:ind w:left="1440" w:hanging="1440"/>
        <w:jc w:val="both"/>
        <w:rPr>
          <w:b/>
        </w:rPr>
      </w:pPr>
      <w:r>
        <w:rPr>
          <w:b/>
        </w:rPr>
        <w:lastRenderedPageBreak/>
        <w:t xml:space="preserve">SIERRA </w:t>
      </w:r>
    </w:p>
    <w:p w14:paraId="6B18A7B7" w14:textId="5F1E4539" w:rsidR="003F4F8D" w:rsidRDefault="00764960" w:rsidP="003F4F8D">
      <w:pPr>
        <w:ind w:left="1440" w:hanging="1440"/>
        <w:jc w:val="both"/>
        <w:rPr>
          <w:b/>
        </w:rPr>
      </w:pPr>
      <w:r>
        <w:rPr>
          <w:b/>
        </w:rPr>
        <w:t>CLUB</w:t>
      </w:r>
      <w:r w:rsidR="003F4F8D">
        <w:rPr>
          <w:b/>
        </w:rPr>
        <w:t>:</w:t>
      </w:r>
      <w:r w:rsidR="003F4F8D">
        <w:rPr>
          <w:b/>
        </w:rPr>
        <w:tab/>
      </w:r>
      <w:r w:rsidR="007757DB">
        <w:t>No position.</w:t>
      </w:r>
    </w:p>
    <w:p w14:paraId="2BE6FB5D" w14:textId="77777777" w:rsidR="003F4F8D" w:rsidRDefault="003F4F8D" w:rsidP="003F4F8D">
      <w:pPr>
        <w:ind w:left="1440" w:hanging="1440"/>
        <w:jc w:val="both"/>
        <w:rPr>
          <w:b/>
        </w:rPr>
      </w:pPr>
    </w:p>
    <w:p w14:paraId="5745D734" w14:textId="7F4D1BFA" w:rsidR="003F4F8D" w:rsidRDefault="003F4F8D" w:rsidP="003F4F8D">
      <w:pPr>
        <w:ind w:left="1440" w:hanging="1440"/>
        <w:jc w:val="both"/>
        <w:rPr>
          <w:b/>
        </w:rPr>
      </w:pPr>
      <w:r>
        <w:rPr>
          <w:b/>
        </w:rPr>
        <w:t>FRF:</w:t>
      </w:r>
      <w:r>
        <w:rPr>
          <w:b/>
        </w:rPr>
        <w:tab/>
      </w:r>
      <w:r w:rsidR="00902E6B">
        <w:t>No position.</w:t>
      </w:r>
    </w:p>
    <w:p w14:paraId="2D5DDD7A" w14:textId="77777777" w:rsidR="003F4F8D" w:rsidRDefault="003F4F8D" w:rsidP="003F4F8D">
      <w:pPr>
        <w:ind w:left="1440" w:hanging="1440"/>
        <w:jc w:val="both"/>
        <w:rPr>
          <w:b/>
        </w:rPr>
      </w:pPr>
    </w:p>
    <w:p w14:paraId="68A1DB34" w14:textId="77777777" w:rsidR="00A14A11" w:rsidRDefault="00C0182D" w:rsidP="003F4F8D">
      <w:pPr>
        <w:ind w:left="1440" w:hanging="1440"/>
        <w:jc w:val="both"/>
        <w:rPr>
          <w:b/>
        </w:rPr>
      </w:pPr>
      <w:r>
        <w:rPr>
          <w:b/>
        </w:rPr>
        <w:t xml:space="preserve">FUEL </w:t>
      </w:r>
    </w:p>
    <w:p w14:paraId="05066744" w14:textId="39C6D137" w:rsidR="003F4F8D" w:rsidRDefault="00C0182D" w:rsidP="003F4F8D">
      <w:pPr>
        <w:ind w:left="1440" w:hanging="1440"/>
        <w:jc w:val="both"/>
      </w:pPr>
      <w:r>
        <w:rPr>
          <w:b/>
        </w:rPr>
        <w:t>RETAILERS</w:t>
      </w:r>
      <w:r w:rsidR="003F4F8D">
        <w:rPr>
          <w:b/>
        </w:rPr>
        <w:t>:</w:t>
      </w:r>
      <w:r w:rsidR="00A14A11">
        <w:rPr>
          <w:b/>
        </w:rPr>
        <w:t xml:space="preserve"> </w:t>
      </w:r>
      <w:r w:rsidR="009A7E64" w:rsidRPr="00132664">
        <w:t xml:space="preserve">No </w:t>
      </w:r>
      <w:r w:rsidR="001A12D0">
        <w:t>p</w:t>
      </w:r>
      <w:r w:rsidR="009A7E64" w:rsidRPr="00132664">
        <w:t>osition.</w:t>
      </w:r>
    </w:p>
    <w:p w14:paraId="1E51C868" w14:textId="5B8E5D2C" w:rsidR="007926EA" w:rsidRDefault="007926EA" w:rsidP="003F4F8D">
      <w:pPr>
        <w:ind w:left="1440" w:hanging="1440"/>
        <w:jc w:val="both"/>
      </w:pPr>
    </w:p>
    <w:p w14:paraId="7F9944B6" w14:textId="3B6A25E2" w:rsidR="007926EA" w:rsidRPr="00804BF2" w:rsidRDefault="00FD408B" w:rsidP="003F4F8D">
      <w:pPr>
        <w:ind w:left="1440" w:hanging="1440"/>
        <w:jc w:val="both"/>
        <w:rPr>
          <w:b/>
        </w:rPr>
      </w:pPr>
      <w:r>
        <w:rPr>
          <w:b/>
        </w:rPr>
        <w:t>WALMART</w:t>
      </w:r>
      <w:r w:rsidR="007926EA">
        <w:t xml:space="preserve">: </w:t>
      </w:r>
      <w:r w:rsidR="00902E6B">
        <w:t>No position.</w:t>
      </w:r>
    </w:p>
    <w:p w14:paraId="61B45C4A" w14:textId="77777777" w:rsidR="003F4F8D" w:rsidRPr="00701945" w:rsidRDefault="003F4F8D" w:rsidP="003F4F8D">
      <w:pPr>
        <w:jc w:val="both"/>
      </w:pPr>
    </w:p>
    <w:p w14:paraId="5F4572C0" w14:textId="77777777" w:rsidR="003F4F8D" w:rsidRPr="005D4B47" w:rsidRDefault="003F4F8D" w:rsidP="003F4F8D">
      <w:pPr>
        <w:ind w:left="1440" w:hanging="1440"/>
        <w:jc w:val="both"/>
        <w:rPr>
          <w:b/>
          <w:bCs/>
        </w:rPr>
      </w:pPr>
      <w:r>
        <w:rPr>
          <w:b/>
          <w:bCs/>
        </w:rPr>
        <w:t>STAFF:</w:t>
      </w:r>
      <w:r>
        <w:rPr>
          <w:b/>
          <w:bCs/>
        </w:rPr>
        <w:tab/>
      </w:r>
      <w:r w:rsidR="002C290E">
        <w:t>No position at this time.</w:t>
      </w:r>
    </w:p>
    <w:p w14:paraId="065010DC" w14:textId="77777777" w:rsidR="003F4F8D" w:rsidRDefault="003F4F8D" w:rsidP="00C7699A">
      <w:pPr>
        <w:jc w:val="both"/>
      </w:pPr>
    </w:p>
    <w:p w14:paraId="48A38AFC" w14:textId="77777777" w:rsidR="003F4F8D" w:rsidRDefault="003F4F8D" w:rsidP="00C7699A">
      <w:pPr>
        <w:jc w:val="both"/>
      </w:pPr>
    </w:p>
    <w:p w14:paraId="4517AED4" w14:textId="77777777" w:rsidR="003F4F8D" w:rsidRPr="00440B36" w:rsidRDefault="00440B36" w:rsidP="003F4F8D">
      <w:pPr>
        <w:ind w:left="1440" w:hanging="1440"/>
        <w:jc w:val="both"/>
        <w:rPr>
          <w:b/>
        </w:rPr>
      </w:pPr>
      <w:r>
        <w:rPr>
          <w:b/>
          <w:bCs/>
        </w:rPr>
        <w:t>ISSUE 58</w:t>
      </w:r>
      <w:r w:rsidR="003F4F8D" w:rsidRPr="00701945">
        <w:rPr>
          <w:b/>
          <w:bCs/>
        </w:rPr>
        <w:t>:</w:t>
      </w:r>
      <w:r w:rsidR="003F4F8D" w:rsidRPr="00701945">
        <w:tab/>
      </w:r>
      <w:r w:rsidRPr="00440B36">
        <w:rPr>
          <w:b/>
        </w:rPr>
        <w:t>What amount and amortization period for TECO's rate case expense for the 2025 projected test year should be approved?</w:t>
      </w:r>
    </w:p>
    <w:p w14:paraId="389AC738" w14:textId="77777777" w:rsidR="003F4F8D" w:rsidRPr="00701945" w:rsidRDefault="003F4F8D" w:rsidP="003F4F8D">
      <w:pPr>
        <w:jc w:val="both"/>
      </w:pPr>
    </w:p>
    <w:p w14:paraId="24D97EC5" w14:textId="77777777" w:rsidR="003F4F8D" w:rsidRPr="005D4B47" w:rsidRDefault="003F4F8D" w:rsidP="003F4F8D">
      <w:pPr>
        <w:ind w:left="1440" w:hanging="1440"/>
        <w:jc w:val="both"/>
      </w:pPr>
      <w:r>
        <w:rPr>
          <w:b/>
          <w:bCs/>
        </w:rPr>
        <w:t>TECO</w:t>
      </w:r>
      <w:r w:rsidRPr="005D4B47">
        <w:rPr>
          <w:b/>
          <w:bCs/>
        </w:rPr>
        <w:t>:</w:t>
      </w:r>
      <w:r w:rsidRPr="005D4B47">
        <w:tab/>
      </w:r>
      <w:r w:rsidR="00440B36">
        <w:t>The Commission should approve total rate case expense of $2,048,000, an amortization period of three years, and $683,000 of rate case expense for the projected 2025 test year as shown on MFR Schedule C-10. (Chronister)</w:t>
      </w:r>
    </w:p>
    <w:p w14:paraId="46E113B9" w14:textId="77777777" w:rsidR="003F4F8D" w:rsidRPr="00701945" w:rsidRDefault="003F4F8D" w:rsidP="003F4F8D">
      <w:pPr>
        <w:jc w:val="both"/>
      </w:pPr>
    </w:p>
    <w:p w14:paraId="43BE76F9" w14:textId="77777777" w:rsidR="003F4F8D" w:rsidRDefault="003F4F8D" w:rsidP="003F4F8D">
      <w:pPr>
        <w:ind w:left="1440" w:hanging="1440"/>
        <w:jc w:val="both"/>
      </w:pPr>
      <w:r>
        <w:rPr>
          <w:b/>
          <w:bCs/>
        </w:rPr>
        <w:t>OPC</w:t>
      </w:r>
      <w:r w:rsidRPr="00701945">
        <w:rPr>
          <w:b/>
          <w:bCs/>
        </w:rPr>
        <w:t>:</w:t>
      </w:r>
      <w:r>
        <w:tab/>
      </w:r>
      <w:r w:rsidR="007B0416">
        <w:t>Rate case expense should be amortized over at least a three-year period.</w:t>
      </w:r>
    </w:p>
    <w:p w14:paraId="7CE71555" w14:textId="77777777" w:rsidR="003F4F8D" w:rsidRDefault="003F4F8D" w:rsidP="003F4F8D">
      <w:pPr>
        <w:ind w:left="1440" w:hanging="1440"/>
        <w:jc w:val="both"/>
      </w:pPr>
    </w:p>
    <w:p w14:paraId="482A46C7" w14:textId="77777777" w:rsidR="003F4F8D" w:rsidRDefault="003F4F8D" w:rsidP="003F4F8D">
      <w:pPr>
        <w:ind w:left="1440" w:hanging="1440"/>
        <w:jc w:val="both"/>
        <w:rPr>
          <w:b/>
        </w:rPr>
      </w:pPr>
      <w:r>
        <w:rPr>
          <w:b/>
        </w:rPr>
        <w:t>FL RISING/</w:t>
      </w:r>
    </w:p>
    <w:p w14:paraId="18EA2586" w14:textId="705FB0D0" w:rsidR="003F4F8D" w:rsidRDefault="003F4F8D" w:rsidP="003F4F8D">
      <w:pPr>
        <w:ind w:left="1440" w:hanging="1440"/>
        <w:jc w:val="both"/>
      </w:pPr>
      <w:r>
        <w:rPr>
          <w:b/>
        </w:rPr>
        <w:t>LULAC:</w:t>
      </w:r>
      <w:r>
        <w:rPr>
          <w:b/>
        </w:rPr>
        <w:tab/>
      </w:r>
      <w:r w:rsidR="004F76C2" w:rsidRPr="2D1028EC">
        <w:t xml:space="preserve">$0, as this rate case </w:t>
      </w:r>
      <w:r w:rsidR="004F76C2" w:rsidRPr="1AE3D300">
        <w:t>was not for customers</w:t>
      </w:r>
      <w:r w:rsidR="004F76C2" w:rsidRPr="2D1028EC">
        <w:t>.</w:t>
      </w:r>
    </w:p>
    <w:p w14:paraId="220EFDCC" w14:textId="77777777" w:rsidR="00DB26FC" w:rsidRDefault="00DB26FC" w:rsidP="003F4F8D">
      <w:pPr>
        <w:ind w:left="1440" w:hanging="1440"/>
        <w:jc w:val="both"/>
        <w:rPr>
          <w:b/>
        </w:rPr>
      </w:pPr>
    </w:p>
    <w:p w14:paraId="5E1B0AF3" w14:textId="58F264F5" w:rsidR="003F4F8D" w:rsidRDefault="003F4F8D" w:rsidP="003F4F8D">
      <w:pPr>
        <w:ind w:left="1440" w:hanging="1440"/>
        <w:jc w:val="both"/>
        <w:rPr>
          <w:b/>
        </w:rPr>
      </w:pPr>
      <w:r>
        <w:rPr>
          <w:b/>
        </w:rPr>
        <w:t>FIPUG:</w:t>
      </w:r>
      <w:r>
        <w:rPr>
          <w:b/>
        </w:rPr>
        <w:tab/>
      </w:r>
      <w:r w:rsidR="00691BEA">
        <w:rPr>
          <w:bCs/>
        </w:rPr>
        <w:t>Adopt</w:t>
      </w:r>
      <w:r w:rsidR="00C62B30">
        <w:rPr>
          <w:bCs/>
        </w:rPr>
        <w:t>s</w:t>
      </w:r>
      <w:r w:rsidR="00691BEA">
        <w:rPr>
          <w:bCs/>
        </w:rPr>
        <w:t xml:space="preserve"> the position of OPC.</w:t>
      </w:r>
    </w:p>
    <w:p w14:paraId="4E7FED16" w14:textId="77777777" w:rsidR="003F4F8D" w:rsidRDefault="003F4F8D" w:rsidP="003F4F8D">
      <w:pPr>
        <w:ind w:left="1440" w:hanging="1440"/>
        <w:jc w:val="both"/>
        <w:rPr>
          <w:b/>
        </w:rPr>
      </w:pPr>
    </w:p>
    <w:p w14:paraId="1CB7328C" w14:textId="6D33B791" w:rsidR="003F4F8D" w:rsidRDefault="003F4F8D" w:rsidP="003F4F8D">
      <w:pPr>
        <w:ind w:left="1440" w:hanging="1440"/>
        <w:jc w:val="both"/>
        <w:rPr>
          <w:b/>
        </w:rPr>
      </w:pPr>
      <w:r>
        <w:rPr>
          <w:b/>
        </w:rPr>
        <w:t>FEA:</w:t>
      </w:r>
      <w:r>
        <w:rPr>
          <w:b/>
        </w:rPr>
        <w:tab/>
      </w:r>
      <w:r w:rsidR="00C62B30">
        <w:t>No position.</w:t>
      </w:r>
    </w:p>
    <w:p w14:paraId="3B1AD843" w14:textId="77777777" w:rsidR="003F4F8D" w:rsidRDefault="003F4F8D" w:rsidP="003F4F8D">
      <w:pPr>
        <w:ind w:left="1440" w:hanging="1440"/>
        <w:jc w:val="both"/>
        <w:rPr>
          <w:b/>
        </w:rPr>
      </w:pPr>
    </w:p>
    <w:p w14:paraId="3ACE0239" w14:textId="77777777" w:rsidR="00A14A11" w:rsidRDefault="00764960" w:rsidP="003F4F8D">
      <w:pPr>
        <w:ind w:left="1440" w:hanging="1440"/>
        <w:jc w:val="both"/>
        <w:rPr>
          <w:b/>
        </w:rPr>
      </w:pPr>
      <w:r>
        <w:rPr>
          <w:b/>
        </w:rPr>
        <w:t xml:space="preserve">SIERRA </w:t>
      </w:r>
    </w:p>
    <w:p w14:paraId="0FE74D0C" w14:textId="63832FCF" w:rsidR="003F4F8D" w:rsidRDefault="00764960" w:rsidP="003F4F8D">
      <w:pPr>
        <w:ind w:left="1440" w:hanging="1440"/>
        <w:jc w:val="both"/>
        <w:rPr>
          <w:b/>
        </w:rPr>
      </w:pPr>
      <w:r>
        <w:rPr>
          <w:b/>
        </w:rPr>
        <w:t>CLUB</w:t>
      </w:r>
      <w:r w:rsidR="003F4F8D">
        <w:rPr>
          <w:b/>
        </w:rPr>
        <w:t>:</w:t>
      </w:r>
      <w:r w:rsidR="003F4F8D">
        <w:rPr>
          <w:b/>
        </w:rPr>
        <w:tab/>
      </w:r>
      <w:r w:rsidR="00C62B30">
        <w:t>No position.</w:t>
      </w:r>
    </w:p>
    <w:p w14:paraId="37837C82" w14:textId="77777777" w:rsidR="003F4F8D" w:rsidRDefault="003F4F8D" w:rsidP="003F4F8D">
      <w:pPr>
        <w:ind w:left="1440" w:hanging="1440"/>
        <w:jc w:val="both"/>
        <w:rPr>
          <w:b/>
        </w:rPr>
      </w:pPr>
    </w:p>
    <w:p w14:paraId="4A4C5514" w14:textId="51443259" w:rsidR="003F4F8D" w:rsidRDefault="003F4F8D" w:rsidP="003F4F8D">
      <w:pPr>
        <w:ind w:left="1440" w:hanging="1440"/>
        <w:jc w:val="both"/>
        <w:rPr>
          <w:b/>
        </w:rPr>
      </w:pPr>
      <w:r>
        <w:rPr>
          <w:b/>
        </w:rPr>
        <w:t>FRF:</w:t>
      </w:r>
      <w:r>
        <w:rPr>
          <w:b/>
        </w:rPr>
        <w:tab/>
      </w:r>
      <w:r w:rsidR="00443785">
        <w:t>Agree</w:t>
      </w:r>
      <w:r w:rsidR="00C62B30">
        <w:t>s</w:t>
      </w:r>
      <w:r w:rsidR="00443785">
        <w:t xml:space="preserve"> with OPC.</w:t>
      </w:r>
    </w:p>
    <w:p w14:paraId="6D68AF8A" w14:textId="77777777" w:rsidR="003F4F8D" w:rsidRDefault="003F4F8D" w:rsidP="003F4F8D">
      <w:pPr>
        <w:ind w:left="1440" w:hanging="1440"/>
        <w:jc w:val="both"/>
        <w:rPr>
          <w:b/>
        </w:rPr>
      </w:pPr>
    </w:p>
    <w:p w14:paraId="4B97E8A6" w14:textId="77777777" w:rsidR="00A14A11" w:rsidRDefault="00C0182D" w:rsidP="003F4F8D">
      <w:pPr>
        <w:ind w:left="1440" w:hanging="1440"/>
        <w:jc w:val="both"/>
        <w:rPr>
          <w:b/>
        </w:rPr>
      </w:pPr>
      <w:r>
        <w:rPr>
          <w:b/>
        </w:rPr>
        <w:t xml:space="preserve">FUEL </w:t>
      </w:r>
    </w:p>
    <w:p w14:paraId="642321B7" w14:textId="6E7B6CA6" w:rsidR="003F4F8D" w:rsidRDefault="00C0182D" w:rsidP="003F4F8D">
      <w:pPr>
        <w:ind w:left="1440" w:hanging="1440"/>
        <w:jc w:val="both"/>
      </w:pPr>
      <w:r>
        <w:rPr>
          <w:b/>
        </w:rPr>
        <w:t>RETAILERS</w:t>
      </w:r>
      <w:r w:rsidR="003F4F8D">
        <w:rPr>
          <w:b/>
        </w:rPr>
        <w:t>:</w:t>
      </w:r>
      <w:r w:rsidR="00A14A11">
        <w:rPr>
          <w:b/>
        </w:rPr>
        <w:t xml:space="preserve"> </w:t>
      </w:r>
      <w:r w:rsidR="009A7E64" w:rsidRPr="00132664">
        <w:t xml:space="preserve">No </w:t>
      </w:r>
      <w:r w:rsidR="00C62B30">
        <w:t>p</w:t>
      </w:r>
      <w:r w:rsidR="009A7E64" w:rsidRPr="00132664">
        <w:t>osition.</w:t>
      </w:r>
    </w:p>
    <w:p w14:paraId="32D14891" w14:textId="77777777" w:rsidR="00E61243" w:rsidRDefault="00E61243" w:rsidP="003F4F8D">
      <w:pPr>
        <w:ind w:left="1440" w:hanging="1440"/>
        <w:jc w:val="both"/>
      </w:pPr>
    </w:p>
    <w:p w14:paraId="21D9A969" w14:textId="4C392CE9" w:rsidR="00E61243" w:rsidRPr="00E61243" w:rsidRDefault="00FD408B" w:rsidP="003F4F8D">
      <w:pPr>
        <w:ind w:left="1440" w:hanging="1440"/>
        <w:jc w:val="both"/>
        <w:rPr>
          <w:b/>
        </w:rPr>
      </w:pPr>
      <w:r>
        <w:rPr>
          <w:b/>
        </w:rPr>
        <w:t>WALMART</w:t>
      </w:r>
      <w:r w:rsidR="00E61243">
        <w:rPr>
          <w:b/>
        </w:rPr>
        <w:t>:</w:t>
      </w:r>
      <w:r w:rsidR="00E61243">
        <w:rPr>
          <w:b/>
        </w:rPr>
        <w:tab/>
      </w:r>
      <w:r w:rsidR="00C62B30" w:rsidRPr="00C62B30">
        <w:t>A</w:t>
      </w:r>
      <w:r w:rsidR="00E61243">
        <w:t>grees with OPC.</w:t>
      </w:r>
    </w:p>
    <w:p w14:paraId="3644E69B" w14:textId="77777777" w:rsidR="003F4F8D" w:rsidRPr="00701945" w:rsidRDefault="003F4F8D" w:rsidP="003F4F8D">
      <w:pPr>
        <w:jc w:val="both"/>
      </w:pPr>
    </w:p>
    <w:p w14:paraId="0C4F8A66" w14:textId="77777777" w:rsidR="003F4F8D" w:rsidRPr="005D4B47" w:rsidRDefault="003F4F8D" w:rsidP="003F4F8D">
      <w:pPr>
        <w:ind w:left="1440" w:hanging="1440"/>
        <w:jc w:val="both"/>
        <w:rPr>
          <w:b/>
          <w:bCs/>
        </w:rPr>
      </w:pPr>
      <w:r>
        <w:rPr>
          <w:b/>
          <w:bCs/>
        </w:rPr>
        <w:t>STAFF:</w:t>
      </w:r>
      <w:r>
        <w:rPr>
          <w:b/>
          <w:bCs/>
        </w:rPr>
        <w:tab/>
      </w:r>
      <w:r w:rsidR="002C290E">
        <w:t>No position at this time.</w:t>
      </w:r>
    </w:p>
    <w:p w14:paraId="627D2679" w14:textId="77777777" w:rsidR="003F4F8D" w:rsidRDefault="003F4F8D" w:rsidP="00C7699A">
      <w:pPr>
        <w:jc w:val="both"/>
      </w:pPr>
    </w:p>
    <w:p w14:paraId="7639CB5E" w14:textId="35804F20" w:rsidR="003F4F8D" w:rsidRDefault="003F4F8D" w:rsidP="00C7699A">
      <w:pPr>
        <w:jc w:val="both"/>
      </w:pPr>
    </w:p>
    <w:p w14:paraId="16685F5C" w14:textId="0E7CE059" w:rsidR="00FA6A30" w:rsidRDefault="00FA6A30" w:rsidP="00C7699A">
      <w:pPr>
        <w:jc w:val="both"/>
      </w:pPr>
    </w:p>
    <w:p w14:paraId="67B75E57" w14:textId="77777777" w:rsidR="00FA6A30" w:rsidRDefault="00FA6A30" w:rsidP="00C7699A">
      <w:pPr>
        <w:jc w:val="both"/>
      </w:pPr>
    </w:p>
    <w:p w14:paraId="223BC611" w14:textId="77777777" w:rsidR="003F4F8D" w:rsidRPr="00440B36" w:rsidRDefault="00440B36" w:rsidP="003F4F8D">
      <w:pPr>
        <w:ind w:left="1440" w:hanging="1440"/>
        <w:jc w:val="both"/>
        <w:rPr>
          <w:b/>
        </w:rPr>
      </w:pPr>
      <w:r>
        <w:rPr>
          <w:b/>
          <w:bCs/>
        </w:rPr>
        <w:lastRenderedPageBreak/>
        <w:t>ISSUE 59</w:t>
      </w:r>
      <w:r w:rsidR="003F4F8D" w:rsidRPr="00701945">
        <w:rPr>
          <w:b/>
          <w:bCs/>
        </w:rPr>
        <w:t>:</w:t>
      </w:r>
      <w:r w:rsidR="003F4F8D" w:rsidRPr="00701945">
        <w:tab/>
      </w:r>
      <w:r w:rsidRPr="00440B36">
        <w:rPr>
          <w:b/>
        </w:rPr>
        <w:t xml:space="preserve">What amount of O&amp;M Expense for the </w:t>
      </w:r>
      <w:r w:rsidRPr="00440B36">
        <w:rPr>
          <w:b/>
          <w:bCs/>
        </w:rPr>
        <w:t>2025 projected test year should be approved</w:t>
      </w:r>
      <w:r w:rsidRPr="00440B36">
        <w:rPr>
          <w:b/>
        </w:rPr>
        <w:t>?</w:t>
      </w:r>
    </w:p>
    <w:p w14:paraId="6A2A49D3" w14:textId="77777777" w:rsidR="003F4F8D" w:rsidRPr="00701945" w:rsidRDefault="003F4F8D" w:rsidP="003F4F8D">
      <w:pPr>
        <w:jc w:val="both"/>
      </w:pPr>
    </w:p>
    <w:p w14:paraId="735F00B6" w14:textId="77777777" w:rsidR="003F4F8D" w:rsidRPr="005D4B47" w:rsidRDefault="003F4F8D" w:rsidP="003F4F8D">
      <w:pPr>
        <w:ind w:left="1440" w:hanging="1440"/>
        <w:jc w:val="both"/>
      </w:pPr>
      <w:r>
        <w:rPr>
          <w:b/>
          <w:bCs/>
        </w:rPr>
        <w:t>TECO</w:t>
      </w:r>
      <w:r w:rsidRPr="005D4B47">
        <w:rPr>
          <w:b/>
          <w:bCs/>
        </w:rPr>
        <w:t>:</w:t>
      </w:r>
      <w:r w:rsidRPr="005D4B47">
        <w:tab/>
      </w:r>
      <w:r w:rsidR="00440B36">
        <w:t>The Commission should approve Jurisdictional Adjusted Other O&amp;M Expenses of $391.8 million for the 2025 projected test year as shown on MFR Schedule C-1</w:t>
      </w:r>
      <w:r w:rsidR="00A07F49">
        <w:t>, less $285,000 per the company’s July and August Filings for a total of $391.5 million</w:t>
      </w:r>
      <w:r w:rsidR="00440B36">
        <w:t>. This amount is well below the Commission’s O&amp;M Benchmark, reflects the costs necessary to support the operations of the company during the test year, and is reasonable. (Chronister)</w:t>
      </w:r>
    </w:p>
    <w:p w14:paraId="1EAB36E3" w14:textId="77777777" w:rsidR="003F4F8D" w:rsidRPr="00701945" w:rsidRDefault="003F4F8D" w:rsidP="003F4F8D">
      <w:pPr>
        <w:jc w:val="both"/>
      </w:pPr>
    </w:p>
    <w:p w14:paraId="2965642E" w14:textId="77777777" w:rsidR="003F4F8D" w:rsidRDefault="003F4F8D" w:rsidP="003F4F8D">
      <w:pPr>
        <w:ind w:left="1440" w:hanging="1440"/>
        <w:jc w:val="both"/>
      </w:pPr>
      <w:r>
        <w:rPr>
          <w:b/>
          <w:bCs/>
        </w:rPr>
        <w:t>OPC</w:t>
      </w:r>
      <w:r w:rsidRPr="00701945">
        <w:rPr>
          <w:b/>
          <w:bCs/>
        </w:rPr>
        <w:t>:</w:t>
      </w:r>
      <w:r>
        <w:tab/>
      </w:r>
      <w:r w:rsidR="00576561">
        <w:t>This is largely a fall out issue, but TECO has the burden of proof to demonstrate the reasonableness or prudence of all costs to be included in revenue requirements. OPC is still conducting discovery and certain other specific adjustments to in rate base may be required. The O&amp;M expense for the projected 2025 test year should reflect all of OPC’s recommended adjustments.</w:t>
      </w:r>
    </w:p>
    <w:p w14:paraId="31C0F7A7" w14:textId="77777777" w:rsidR="003F4F8D" w:rsidRDefault="003F4F8D" w:rsidP="003F4F8D">
      <w:pPr>
        <w:ind w:left="1440" w:hanging="1440"/>
        <w:jc w:val="both"/>
      </w:pPr>
    </w:p>
    <w:p w14:paraId="52E98B52" w14:textId="77777777" w:rsidR="003F4F8D" w:rsidRDefault="003F4F8D" w:rsidP="003F4F8D">
      <w:pPr>
        <w:ind w:left="1440" w:hanging="1440"/>
        <w:jc w:val="both"/>
        <w:rPr>
          <w:b/>
        </w:rPr>
      </w:pPr>
      <w:r>
        <w:rPr>
          <w:b/>
        </w:rPr>
        <w:t>FL RISING/</w:t>
      </w:r>
    </w:p>
    <w:p w14:paraId="6492B7D5" w14:textId="4F273258" w:rsidR="003F4F8D" w:rsidRDefault="003F4F8D" w:rsidP="003F4F8D">
      <w:pPr>
        <w:ind w:left="1440" w:hanging="1440"/>
        <w:jc w:val="both"/>
        <w:rPr>
          <w:b/>
        </w:rPr>
      </w:pPr>
      <w:r>
        <w:rPr>
          <w:b/>
        </w:rPr>
        <w:t>LULAC:</w:t>
      </w:r>
      <w:r>
        <w:rPr>
          <w:b/>
        </w:rPr>
        <w:tab/>
      </w:r>
      <w:r w:rsidR="004F76C2" w:rsidRPr="4B229B1E">
        <w:t>O&amp;M expense should be adjusted</w:t>
      </w:r>
      <w:r w:rsidR="004F76C2" w:rsidRPr="214A515E">
        <w:t xml:space="preserve"> to </w:t>
      </w:r>
      <w:r w:rsidR="004F76C2" w:rsidRPr="0D015F4E">
        <w:t xml:space="preserve">reflect </w:t>
      </w:r>
      <w:r w:rsidR="004F76C2" w:rsidRPr="2E4CA746">
        <w:t xml:space="preserve">the </w:t>
      </w:r>
      <w:r w:rsidR="004F76C2" w:rsidRPr="03AC3ADC">
        <w:t xml:space="preserve">removal of O&amp;M </w:t>
      </w:r>
      <w:r w:rsidR="004F76C2" w:rsidRPr="3E1579F5">
        <w:t xml:space="preserve">expenses as </w:t>
      </w:r>
      <w:r w:rsidR="004F76C2" w:rsidRPr="24BCCA1B">
        <w:t xml:space="preserve">specified in </w:t>
      </w:r>
      <w:r w:rsidR="004F76C2" w:rsidRPr="56DE1FB6">
        <w:t xml:space="preserve">Issues </w:t>
      </w:r>
      <w:r w:rsidR="004F76C2" w:rsidRPr="31561D66">
        <w:t>43</w:t>
      </w:r>
      <w:r w:rsidR="00623DB2">
        <w:t>–</w:t>
      </w:r>
      <w:r w:rsidR="004F76C2" w:rsidRPr="31561D66">
        <w:t>58.</w:t>
      </w:r>
    </w:p>
    <w:p w14:paraId="6BA3478F" w14:textId="77777777" w:rsidR="003F4F8D" w:rsidRDefault="003F4F8D" w:rsidP="003F4F8D">
      <w:pPr>
        <w:ind w:left="1440" w:hanging="1440"/>
        <w:jc w:val="both"/>
        <w:rPr>
          <w:b/>
        </w:rPr>
      </w:pPr>
    </w:p>
    <w:p w14:paraId="71FD2957" w14:textId="607295B4" w:rsidR="003F4F8D" w:rsidRDefault="003F4F8D" w:rsidP="003F4F8D">
      <w:pPr>
        <w:ind w:left="1440" w:hanging="1440"/>
        <w:jc w:val="both"/>
        <w:rPr>
          <w:b/>
        </w:rPr>
      </w:pPr>
      <w:r>
        <w:rPr>
          <w:b/>
        </w:rPr>
        <w:t>FIPUG:</w:t>
      </w:r>
      <w:r>
        <w:rPr>
          <w:b/>
        </w:rPr>
        <w:tab/>
      </w:r>
      <w:r w:rsidR="00691BEA">
        <w:rPr>
          <w:bCs/>
        </w:rPr>
        <w:t>Adopt</w:t>
      </w:r>
      <w:r w:rsidR="00623DB2">
        <w:rPr>
          <w:bCs/>
        </w:rPr>
        <w:t>s</w:t>
      </w:r>
      <w:r w:rsidR="00691BEA">
        <w:rPr>
          <w:bCs/>
        </w:rPr>
        <w:t xml:space="preserve"> the position of OPC.</w:t>
      </w:r>
    </w:p>
    <w:p w14:paraId="1827DA21" w14:textId="77777777" w:rsidR="003F4F8D" w:rsidRDefault="003F4F8D" w:rsidP="003F4F8D">
      <w:pPr>
        <w:ind w:left="1440" w:hanging="1440"/>
        <w:jc w:val="both"/>
        <w:rPr>
          <w:b/>
        </w:rPr>
      </w:pPr>
    </w:p>
    <w:p w14:paraId="4BE7F0A4" w14:textId="590C5D8E" w:rsidR="003F4F8D" w:rsidRDefault="003F4F8D" w:rsidP="003F4F8D">
      <w:pPr>
        <w:ind w:left="1440" w:hanging="1440"/>
        <w:jc w:val="both"/>
        <w:rPr>
          <w:b/>
        </w:rPr>
      </w:pPr>
      <w:r>
        <w:rPr>
          <w:b/>
        </w:rPr>
        <w:t>FEA:</w:t>
      </w:r>
      <w:r>
        <w:rPr>
          <w:b/>
        </w:rPr>
        <w:tab/>
      </w:r>
      <w:r w:rsidR="00404794">
        <w:t>No position.</w:t>
      </w:r>
    </w:p>
    <w:p w14:paraId="1C079674" w14:textId="77777777" w:rsidR="003F4F8D" w:rsidRDefault="003F4F8D" w:rsidP="003F4F8D">
      <w:pPr>
        <w:ind w:left="1440" w:hanging="1440"/>
        <w:jc w:val="both"/>
        <w:rPr>
          <w:b/>
        </w:rPr>
      </w:pPr>
    </w:p>
    <w:p w14:paraId="5988A07C" w14:textId="77777777" w:rsidR="00A14A11" w:rsidRDefault="00764960" w:rsidP="003F4F8D">
      <w:pPr>
        <w:ind w:left="1440" w:hanging="1440"/>
        <w:jc w:val="both"/>
        <w:rPr>
          <w:b/>
        </w:rPr>
      </w:pPr>
      <w:r>
        <w:rPr>
          <w:b/>
        </w:rPr>
        <w:t xml:space="preserve">SIERRA </w:t>
      </w:r>
    </w:p>
    <w:p w14:paraId="6A238F91" w14:textId="0D0D7D32" w:rsidR="003F4F8D" w:rsidRDefault="00764960" w:rsidP="003F4F8D">
      <w:pPr>
        <w:ind w:left="1440" w:hanging="1440"/>
        <w:jc w:val="both"/>
        <w:rPr>
          <w:b/>
        </w:rPr>
      </w:pPr>
      <w:r>
        <w:rPr>
          <w:b/>
        </w:rPr>
        <w:t>CLUB</w:t>
      </w:r>
      <w:r w:rsidR="003F4F8D">
        <w:rPr>
          <w:b/>
        </w:rPr>
        <w:t>:</w:t>
      </w:r>
      <w:r w:rsidR="003F4F8D">
        <w:rPr>
          <w:b/>
        </w:rPr>
        <w:tab/>
      </w:r>
      <w:r w:rsidR="00A86701" w:rsidRPr="001E3193">
        <w:t>Sierra Club</w:t>
      </w:r>
      <w:r w:rsidR="00A86701">
        <w:t xml:space="preserve"> supports </w:t>
      </w:r>
      <w:r w:rsidR="00A86701" w:rsidRPr="001E3193">
        <w:t>modifying O&amp;M Expense for the 2025 projected test year to reflect</w:t>
      </w:r>
      <w:r w:rsidR="00A86701">
        <w:t xml:space="preserve"> no coal combustion at Polk </w:t>
      </w:r>
      <w:r w:rsidR="00BE78AD">
        <w:t xml:space="preserve">Unit </w:t>
      </w:r>
      <w:r w:rsidR="00A86701">
        <w:t xml:space="preserve">1 and Big Bend </w:t>
      </w:r>
      <w:r w:rsidR="00BE78AD">
        <w:t xml:space="preserve">Unit </w:t>
      </w:r>
      <w:r w:rsidR="00A86701">
        <w:t>4</w:t>
      </w:r>
      <w:r w:rsidR="00A86701" w:rsidRPr="001E3193">
        <w:t>.</w:t>
      </w:r>
    </w:p>
    <w:p w14:paraId="7147AD0D" w14:textId="77777777" w:rsidR="003F4F8D" w:rsidRDefault="003F4F8D" w:rsidP="003F4F8D">
      <w:pPr>
        <w:ind w:left="1440" w:hanging="1440"/>
        <w:jc w:val="both"/>
        <w:rPr>
          <w:b/>
        </w:rPr>
      </w:pPr>
    </w:p>
    <w:p w14:paraId="65C6C3D5" w14:textId="00917D71" w:rsidR="003F4F8D" w:rsidRDefault="003F4F8D" w:rsidP="003F4F8D">
      <w:pPr>
        <w:ind w:left="1440" w:hanging="1440"/>
        <w:jc w:val="both"/>
        <w:rPr>
          <w:b/>
        </w:rPr>
      </w:pPr>
      <w:r>
        <w:rPr>
          <w:b/>
        </w:rPr>
        <w:t>FRF:</w:t>
      </w:r>
      <w:r>
        <w:rPr>
          <w:b/>
        </w:rPr>
        <w:tab/>
      </w:r>
      <w:r w:rsidR="00EC61E4">
        <w:t>Agree</w:t>
      </w:r>
      <w:r w:rsidR="00BE78AD">
        <w:t>s</w:t>
      </w:r>
      <w:r w:rsidR="00EC61E4">
        <w:t xml:space="preserve"> with OPC.</w:t>
      </w:r>
    </w:p>
    <w:p w14:paraId="1553A2D1" w14:textId="77777777" w:rsidR="003F4F8D" w:rsidRDefault="003F4F8D" w:rsidP="003F4F8D">
      <w:pPr>
        <w:ind w:left="1440" w:hanging="1440"/>
        <w:jc w:val="both"/>
        <w:rPr>
          <w:b/>
        </w:rPr>
      </w:pPr>
    </w:p>
    <w:p w14:paraId="629C76DC" w14:textId="77777777" w:rsidR="00A14A11" w:rsidRDefault="00C0182D" w:rsidP="003F4F8D">
      <w:pPr>
        <w:ind w:left="1440" w:hanging="1440"/>
        <w:jc w:val="both"/>
        <w:rPr>
          <w:b/>
        </w:rPr>
      </w:pPr>
      <w:r>
        <w:rPr>
          <w:b/>
        </w:rPr>
        <w:t xml:space="preserve">FUEL </w:t>
      </w:r>
    </w:p>
    <w:p w14:paraId="4499D6A3" w14:textId="4C04D0E3" w:rsidR="003F4F8D" w:rsidRDefault="00C0182D" w:rsidP="003F4F8D">
      <w:pPr>
        <w:ind w:left="1440" w:hanging="1440"/>
        <w:jc w:val="both"/>
      </w:pPr>
      <w:r>
        <w:rPr>
          <w:b/>
        </w:rPr>
        <w:t>RETAILERS</w:t>
      </w:r>
      <w:r w:rsidR="003F4F8D">
        <w:rPr>
          <w:b/>
        </w:rPr>
        <w:t>:</w:t>
      </w:r>
      <w:r w:rsidR="00A14A11">
        <w:rPr>
          <w:b/>
        </w:rPr>
        <w:t xml:space="preserve"> </w:t>
      </w:r>
      <w:r w:rsidR="009A7E64" w:rsidRPr="00132664">
        <w:t xml:space="preserve">No </w:t>
      </w:r>
      <w:r w:rsidR="00BE78AD">
        <w:t>p</w:t>
      </w:r>
      <w:r w:rsidR="009A7E64" w:rsidRPr="00132664">
        <w:t>osition.</w:t>
      </w:r>
    </w:p>
    <w:p w14:paraId="5CCBF338" w14:textId="77777777" w:rsidR="00E61243" w:rsidRDefault="00E61243" w:rsidP="003F4F8D">
      <w:pPr>
        <w:ind w:left="1440" w:hanging="1440"/>
        <w:jc w:val="both"/>
      </w:pPr>
    </w:p>
    <w:p w14:paraId="173E9A8A" w14:textId="6BA24799" w:rsidR="00E61243" w:rsidRPr="00E61243" w:rsidRDefault="00FD408B" w:rsidP="003F4F8D">
      <w:pPr>
        <w:ind w:left="1440" w:hanging="1440"/>
        <w:jc w:val="both"/>
        <w:rPr>
          <w:b/>
        </w:rPr>
      </w:pPr>
      <w:r>
        <w:rPr>
          <w:b/>
        </w:rPr>
        <w:t>WALMART</w:t>
      </w:r>
      <w:r w:rsidR="00E61243">
        <w:rPr>
          <w:b/>
        </w:rPr>
        <w:t>:</w:t>
      </w:r>
      <w:r w:rsidR="00E61243">
        <w:rPr>
          <w:b/>
        </w:rPr>
        <w:tab/>
      </w:r>
      <w:r w:rsidR="00BE78AD" w:rsidRPr="00BE78AD">
        <w:t>A</w:t>
      </w:r>
      <w:r w:rsidR="00E61243">
        <w:t>grees with OPC.</w:t>
      </w:r>
    </w:p>
    <w:p w14:paraId="57BB68E3" w14:textId="77777777" w:rsidR="003F4F8D" w:rsidRPr="00701945" w:rsidRDefault="003F4F8D" w:rsidP="003F4F8D">
      <w:pPr>
        <w:jc w:val="both"/>
      </w:pPr>
    </w:p>
    <w:p w14:paraId="4BB3B49D" w14:textId="77777777" w:rsidR="003F4F8D" w:rsidRPr="005D4B47" w:rsidRDefault="003F4F8D" w:rsidP="003F4F8D">
      <w:pPr>
        <w:ind w:left="1440" w:hanging="1440"/>
        <w:jc w:val="both"/>
        <w:rPr>
          <w:b/>
          <w:bCs/>
        </w:rPr>
      </w:pPr>
      <w:r>
        <w:rPr>
          <w:b/>
          <w:bCs/>
        </w:rPr>
        <w:t>STAFF:</w:t>
      </w:r>
      <w:r>
        <w:rPr>
          <w:b/>
          <w:bCs/>
        </w:rPr>
        <w:tab/>
      </w:r>
      <w:r w:rsidR="002C290E">
        <w:t>No position at this time.</w:t>
      </w:r>
    </w:p>
    <w:p w14:paraId="4824D74E" w14:textId="77777777" w:rsidR="003F4F8D" w:rsidRDefault="003F4F8D" w:rsidP="00C7699A">
      <w:pPr>
        <w:jc w:val="both"/>
      </w:pPr>
    </w:p>
    <w:p w14:paraId="4864B73C" w14:textId="77777777" w:rsidR="003F4F8D" w:rsidRDefault="003F4F8D" w:rsidP="00C7699A">
      <w:pPr>
        <w:jc w:val="both"/>
      </w:pPr>
    </w:p>
    <w:p w14:paraId="5AD641DA" w14:textId="77777777" w:rsidR="003F4F8D" w:rsidRPr="00440B36" w:rsidRDefault="00440B36" w:rsidP="003F4F8D">
      <w:pPr>
        <w:ind w:left="1440" w:hanging="1440"/>
        <w:jc w:val="both"/>
        <w:rPr>
          <w:b/>
        </w:rPr>
      </w:pPr>
      <w:r>
        <w:rPr>
          <w:b/>
          <w:bCs/>
        </w:rPr>
        <w:t>ISSUE 60</w:t>
      </w:r>
      <w:r w:rsidR="003F4F8D" w:rsidRPr="00701945">
        <w:rPr>
          <w:b/>
          <w:bCs/>
        </w:rPr>
        <w:t>:</w:t>
      </w:r>
      <w:r w:rsidR="003F4F8D" w:rsidRPr="00701945">
        <w:tab/>
      </w:r>
      <w:r w:rsidRPr="00440B36">
        <w:rPr>
          <w:b/>
        </w:rPr>
        <w:t xml:space="preserve">What amount of depreciation and dismantlement expense for the </w:t>
      </w:r>
      <w:r w:rsidRPr="00440B36">
        <w:rPr>
          <w:b/>
          <w:bCs/>
        </w:rPr>
        <w:t>2025 projected test year should be approved</w:t>
      </w:r>
      <w:r w:rsidRPr="00440B36">
        <w:rPr>
          <w:b/>
        </w:rPr>
        <w:t>?</w:t>
      </w:r>
    </w:p>
    <w:p w14:paraId="68A925DB" w14:textId="77777777" w:rsidR="003F4F8D" w:rsidRPr="00701945" w:rsidRDefault="003F4F8D" w:rsidP="003F4F8D">
      <w:pPr>
        <w:jc w:val="both"/>
      </w:pPr>
    </w:p>
    <w:p w14:paraId="3C1E1E59" w14:textId="77777777" w:rsidR="003F4F8D" w:rsidRPr="005D4B47" w:rsidRDefault="003F4F8D" w:rsidP="003F4F8D">
      <w:pPr>
        <w:ind w:left="1440" w:hanging="1440"/>
        <w:jc w:val="both"/>
      </w:pPr>
      <w:r>
        <w:rPr>
          <w:b/>
          <w:bCs/>
        </w:rPr>
        <w:t>TECO</w:t>
      </w:r>
      <w:r w:rsidRPr="005D4B47">
        <w:rPr>
          <w:b/>
          <w:bCs/>
        </w:rPr>
        <w:t>:</w:t>
      </w:r>
      <w:r w:rsidRPr="005D4B47">
        <w:tab/>
      </w:r>
      <w:r w:rsidR="00440B36">
        <w:t xml:space="preserve">Based on the depreciation parameters and rates proposed in Issue 7, the Commission should approve Jurisdictional Adjusted Depreciation and Amortization expense in the amount of $531.4 million for the projected 2025 test </w:t>
      </w:r>
      <w:r w:rsidR="00440B36">
        <w:lastRenderedPageBreak/>
        <w:t>year as shown on MFR Schedule C-1</w:t>
      </w:r>
      <w:r w:rsidR="00F113D2">
        <w:t>, less $504,154 per the company’s July and August Filings for a total of $530.9 million</w:t>
      </w:r>
      <w:r w:rsidR="00440B36">
        <w:t>. (Chronister, Allis, Kopp)</w:t>
      </w:r>
    </w:p>
    <w:p w14:paraId="6A7F035D" w14:textId="77777777" w:rsidR="003F4F8D" w:rsidRPr="00701945" w:rsidRDefault="003F4F8D" w:rsidP="003F4F8D">
      <w:pPr>
        <w:jc w:val="both"/>
      </w:pPr>
    </w:p>
    <w:p w14:paraId="25B0E81E" w14:textId="77777777" w:rsidR="003F4F8D" w:rsidRDefault="003F4F8D" w:rsidP="003F4F8D">
      <w:pPr>
        <w:ind w:left="1440" w:hanging="1440"/>
        <w:jc w:val="both"/>
      </w:pPr>
      <w:r>
        <w:rPr>
          <w:b/>
          <w:bCs/>
        </w:rPr>
        <w:t>OPC</w:t>
      </w:r>
      <w:r w:rsidRPr="00701945">
        <w:rPr>
          <w:b/>
          <w:bCs/>
        </w:rPr>
        <w:t>:</w:t>
      </w:r>
      <w:r>
        <w:tab/>
      </w:r>
      <w:r w:rsidR="00576561">
        <w:t xml:space="preserve">This is largely a fall out issue, but TECO has the burden of proof to demonstrate the reasonableness or prudence of all costs to be included in revenue requirements. OPC is still conducting discovery and certain other specific adjustments to in rate base may be required. The </w:t>
      </w:r>
      <w:r w:rsidR="00576561" w:rsidRPr="007D47E3">
        <w:t xml:space="preserve">depreciation and dismantlement expense </w:t>
      </w:r>
      <w:r w:rsidR="00576561">
        <w:t>for the projected 2025 test year should reflect all of OPC’s recommended adjustments</w:t>
      </w:r>
      <w:r w:rsidR="00C10D1A">
        <w:t xml:space="preserve"> and the adjustments from Issue 7</w:t>
      </w:r>
      <w:r w:rsidR="00576561">
        <w:t>.</w:t>
      </w:r>
    </w:p>
    <w:p w14:paraId="0EC59EDE" w14:textId="77777777" w:rsidR="003F4F8D" w:rsidRDefault="003F4F8D" w:rsidP="003F4F8D">
      <w:pPr>
        <w:ind w:left="1440" w:hanging="1440"/>
        <w:jc w:val="both"/>
      </w:pPr>
    </w:p>
    <w:p w14:paraId="4E6C6791" w14:textId="77777777" w:rsidR="003F4F8D" w:rsidRDefault="003F4F8D" w:rsidP="003F4F8D">
      <w:pPr>
        <w:ind w:left="1440" w:hanging="1440"/>
        <w:jc w:val="both"/>
        <w:rPr>
          <w:b/>
        </w:rPr>
      </w:pPr>
      <w:r>
        <w:rPr>
          <w:b/>
        </w:rPr>
        <w:t>FL RISING/</w:t>
      </w:r>
    </w:p>
    <w:p w14:paraId="2FCDF301" w14:textId="371AFF63" w:rsidR="003F4F8D" w:rsidRDefault="003F4F8D" w:rsidP="003F4F8D">
      <w:pPr>
        <w:ind w:left="1440" w:hanging="1440"/>
        <w:jc w:val="both"/>
        <w:rPr>
          <w:b/>
        </w:rPr>
      </w:pPr>
      <w:r>
        <w:rPr>
          <w:b/>
        </w:rPr>
        <w:t>LULAC:</w:t>
      </w:r>
      <w:r>
        <w:rPr>
          <w:b/>
        </w:rPr>
        <w:tab/>
      </w:r>
      <w:r w:rsidR="004F76C2" w:rsidRPr="0476757D">
        <w:t>Adopt</w:t>
      </w:r>
      <w:r w:rsidR="00A54954">
        <w:t>s the position of</w:t>
      </w:r>
      <w:r w:rsidR="004F76C2" w:rsidRPr="0476757D">
        <w:t xml:space="preserve"> OPC</w:t>
      </w:r>
      <w:r w:rsidR="00A54954">
        <w:t>,</w:t>
      </w:r>
      <w:r w:rsidR="004F76C2" w:rsidRPr="0476757D">
        <w:t xml:space="preserve"> </w:t>
      </w:r>
      <w:r w:rsidR="004F76C2" w:rsidRPr="1B8EC731">
        <w:t xml:space="preserve">and then adjusted to </w:t>
      </w:r>
      <w:r w:rsidR="004F76C2" w:rsidRPr="2B766EB9">
        <w:t xml:space="preserve">reflect the </w:t>
      </w:r>
      <w:r w:rsidR="004F76C2" w:rsidRPr="5D9E48C9">
        <w:t xml:space="preserve">disallowance of </w:t>
      </w:r>
      <w:r w:rsidR="004F76C2" w:rsidRPr="701613AA">
        <w:t xml:space="preserve">projects that do not belong in </w:t>
      </w:r>
      <w:r w:rsidR="004F76C2" w:rsidRPr="1DBD2C7C">
        <w:t xml:space="preserve">rate base as </w:t>
      </w:r>
      <w:r w:rsidR="004F76C2" w:rsidRPr="0D1B76BE">
        <w:t xml:space="preserve">reflected in other </w:t>
      </w:r>
      <w:r w:rsidR="00A927FB">
        <w:t>I</w:t>
      </w:r>
      <w:r w:rsidR="004F76C2" w:rsidRPr="0D1B76BE">
        <w:t xml:space="preserve">ssue </w:t>
      </w:r>
      <w:r w:rsidR="004F76C2" w:rsidRPr="7F5E407C">
        <w:t>positions.</w:t>
      </w:r>
    </w:p>
    <w:p w14:paraId="0AF0323A" w14:textId="77777777" w:rsidR="003F4F8D" w:rsidRDefault="003F4F8D" w:rsidP="003F4F8D">
      <w:pPr>
        <w:ind w:left="1440" w:hanging="1440"/>
        <w:jc w:val="both"/>
        <w:rPr>
          <w:b/>
        </w:rPr>
      </w:pPr>
    </w:p>
    <w:p w14:paraId="3BC38BC6" w14:textId="44E055D5" w:rsidR="003F4F8D" w:rsidRDefault="003F4F8D" w:rsidP="003F4F8D">
      <w:pPr>
        <w:ind w:left="1440" w:hanging="1440"/>
        <w:jc w:val="both"/>
        <w:rPr>
          <w:b/>
        </w:rPr>
      </w:pPr>
      <w:r>
        <w:rPr>
          <w:b/>
        </w:rPr>
        <w:t>FIPUG:</w:t>
      </w:r>
      <w:r>
        <w:rPr>
          <w:b/>
        </w:rPr>
        <w:tab/>
      </w:r>
      <w:r w:rsidR="00691BEA">
        <w:rPr>
          <w:bCs/>
        </w:rPr>
        <w:t>Adopt</w:t>
      </w:r>
      <w:r w:rsidR="00A927FB">
        <w:rPr>
          <w:bCs/>
        </w:rPr>
        <w:t>s</w:t>
      </w:r>
      <w:r w:rsidR="00691BEA">
        <w:rPr>
          <w:bCs/>
        </w:rPr>
        <w:t xml:space="preserve"> the position of OPC.</w:t>
      </w:r>
    </w:p>
    <w:p w14:paraId="57D60751" w14:textId="77777777" w:rsidR="003F4F8D" w:rsidRDefault="003F4F8D" w:rsidP="003F4F8D">
      <w:pPr>
        <w:ind w:left="1440" w:hanging="1440"/>
        <w:jc w:val="both"/>
        <w:rPr>
          <w:b/>
        </w:rPr>
      </w:pPr>
    </w:p>
    <w:p w14:paraId="48E386D7" w14:textId="221BEE92" w:rsidR="003F4F8D" w:rsidRDefault="003F4F8D" w:rsidP="003F4F8D">
      <w:pPr>
        <w:ind w:left="1440" w:hanging="1440"/>
        <w:jc w:val="both"/>
        <w:rPr>
          <w:b/>
        </w:rPr>
      </w:pPr>
      <w:r>
        <w:rPr>
          <w:b/>
        </w:rPr>
        <w:t>FEA:</w:t>
      </w:r>
      <w:r>
        <w:rPr>
          <w:b/>
        </w:rPr>
        <w:tab/>
      </w:r>
      <w:r w:rsidR="00A927FB">
        <w:t>No position.</w:t>
      </w:r>
    </w:p>
    <w:p w14:paraId="5BB8CCD5" w14:textId="77777777" w:rsidR="003F4F8D" w:rsidRDefault="003F4F8D" w:rsidP="003F4F8D">
      <w:pPr>
        <w:ind w:left="1440" w:hanging="1440"/>
        <w:jc w:val="both"/>
        <w:rPr>
          <w:b/>
        </w:rPr>
      </w:pPr>
    </w:p>
    <w:p w14:paraId="5BA1DC3B" w14:textId="77777777" w:rsidR="00A14A11" w:rsidRDefault="00764960" w:rsidP="003F4F8D">
      <w:pPr>
        <w:ind w:left="1440" w:hanging="1440"/>
        <w:jc w:val="both"/>
        <w:rPr>
          <w:b/>
        </w:rPr>
      </w:pPr>
      <w:r>
        <w:rPr>
          <w:b/>
        </w:rPr>
        <w:t xml:space="preserve">SIERRA </w:t>
      </w:r>
    </w:p>
    <w:p w14:paraId="5B96E257" w14:textId="7053D867" w:rsidR="003F4F8D" w:rsidRDefault="00764960" w:rsidP="003F4F8D">
      <w:pPr>
        <w:ind w:left="1440" w:hanging="1440"/>
        <w:jc w:val="both"/>
        <w:rPr>
          <w:b/>
        </w:rPr>
      </w:pPr>
      <w:r>
        <w:rPr>
          <w:b/>
        </w:rPr>
        <w:t>CLUB</w:t>
      </w:r>
      <w:r w:rsidR="003F4F8D">
        <w:rPr>
          <w:b/>
        </w:rPr>
        <w:t>:</w:t>
      </w:r>
      <w:r w:rsidR="003F4F8D">
        <w:rPr>
          <w:b/>
        </w:rPr>
        <w:tab/>
      </w:r>
      <w:r w:rsidR="00A927FB">
        <w:t>No position.</w:t>
      </w:r>
    </w:p>
    <w:p w14:paraId="46761113" w14:textId="77777777" w:rsidR="003F4F8D" w:rsidRDefault="003F4F8D" w:rsidP="003F4F8D">
      <w:pPr>
        <w:ind w:left="1440" w:hanging="1440"/>
        <w:jc w:val="both"/>
        <w:rPr>
          <w:b/>
        </w:rPr>
      </w:pPr>
    </w:p>
    <w:p w14:paraId="3A79EE34" w14:textId="11BF5031" w:rsidR="003F4F8D" w:rsidRDefault="003F4F8D" w:rsidP="003F4F8D">
      <w:pPr>
        <w:ind w:left="1440" w:hanging="1440"/>
        <w:jc w:val="both"/>
        <w:rPr>
          <w:b/>
        </w:rPr>
      </w:pPr>
      <w:r>
        <w:rPr>
          <w:b/>
        </w:rPr>
        <w:t>FRF:</w:t>
      </w:r>
      <w:r>
        <w:rPr>
          <w:b/>
        </w:rPr>
        <w:tab/>
      </w:r>
      <w:r w:rsidR="00EC61E4">
        <w:t>Agree</w:t>
      </w:r>
      <w:r w:rsidR="00A927FB">
        <w:t>s</w:t>
      </w:r>
      <w:r w:rsidR="00EC61E4">
        <w:t xml:space="preserve"> with OPC.</w:t>
      </w:r>
    </w:p>
    <w:p w14:paraId="72B414BC" w14:textId="77777777" w:rsidR="003F4F8D" w:rsidRDefault="003F4F8D" w:rsidP="003F4F8D">
      <w:pPr>
        <w:ind w:left="1440" w:hanging="1440"/>
        <w:jc w:val="both"/>
        <w:rPr>
          <w:b/>
        </w:rPr>
      </w:pPr>
    </w:p>
    <w:p w14:paraId="4DFD6ECA" w14:textId="77777777" w:rsidR="00A14A11" w:rsidRDefault="00C0182D" w:rsidP="003F4F8D">
      <w:pPr>
        <w:ind w:left="1440" w:hanging="1440"/>
        <w:jc w:val="both"/>
        <w:rPr>
          <w:b/>
        </w:rPr>
      </w:pPr>
      <w:r>
        <w:rPr>
          <w:b/>
        </w:rPr>
        <w:t xml:space="preserve">FUEL </w:t>
      </w:r>
    </w:p>
    <w:p w14:paraId="018C53F5" w14:textId="223FAA13" w:rsidR="003F4F8D" w:rsidRDefault="00C0182D" w:rsidP="003F4F8D">
      <w:pPr>
        <w:ind w:left="1440" w:hanging="1440"/>
        <w:jc w:val="both"/>
      </w:pPr>
      <w:r>
        <w:rPr>
          <w:b/>
        </w:rPr>
        <w:t>RETAILERS</w:t>
      </w:r>
      <w:r w:rsidR="003F4F8D">
        <w:rPr>
          <w:b/>
        </w:rPr>
        <w:t>:</w:t>
      </w:r>
      <w:r w:rsidR="00A14A11">
        <w:rPr>
          <w:b/>
        </w:rPr>
        <w:t xml:space="preserve"> </w:t>
      </w:r>
      <w:r w:rsidR="009A7E64" w:rsidRPr="00132664">
        <w:t xml:space="preserve">No </w:t>
      </w:r>
      <w:r w:rsidR="008C64E3">
        <w:t>p</w:t>
      </w:r>
      <w:r w:rsidR="009A7E64" w:rsidRPr="00132664">
        <w:t>osition.</w:t>
      </w:r>
    </w:p>
    <w:p w14:paraId="7F7D8197" w14:textId="77777777" w:rsidR="00E61243" w:rsidRDefault="00E61243" w:rsidP="003F4F8D">
      <w:pPr>
        <w:ind w:left="1440" w:hanging="1440"/>
        <w:jc w:val="both"/>
      </w:pPr>
    </w:p>
    <w:p w14:paraId="0CE188C7" w14:textId="35A78059" w:rsidR="00E61243" w:rsidRPr="00E61243" w:rsidRDefault="00FD408B" w:rsidP="003F4F8D">
      <w:pPr>
        <w:ind w:left="1440" w:hanging="1440"/>
        <w:jc w:val="both"/>
        <w:rPr>
          <w:b/>
        </w:rPr>
      </w:pPr>
      <w:r>
        <w:rPr>
          <w:b/>
        </w:rPr>
        <w:t>WALMART</w:t>
      </w:r>
      <w:r w:rsidR="00E61243">
        <w:rPr>
          <w:b/>
        </w:rPr>
        <w:t>:</w:t>
      </w:r>
      <w:r w:rsidR="00E61243">
        <w:rPr>
          <w:b/>
        </w:rPr>
        <w:tab/>
      </w:r>
      <w:r w:rsidR="008C64E3" w:rsidRPr="008C64E3">
        <w:t>A</w:t>
      </w:r>
      <w:r w:rsidR="00E61243">
        <w:t>grees with OPC.</w:t>
      </w:r>
    </w:p>
    <w:p w14:paraId="4348F02B" w14:textId="77777777" w:rsidR="003F4F8D" w:rsidRPr="00701945" w:rsidRDefault="003F4F8D" w:rsidP="003F4F8D">
      <w:pPr>
        <w:jc w:val="both"/>
      </w:pPr>
    </w:p>
    <w:p w14:paraId="60326C19" w14:textId="0EC5A20E" w:rsidR="003F4F8D" w:rsidRDefault="003F4F8D" w:rsidP="003F4F8D">
      <w:pPr>
        <w:ind w:left="1440" w:hanging="1440"/>
        <w:jc w:val="both"/>
      </w:pPr>
      <w:r>
        <w:rPr>
          <w:b/>
          <w:bCs/>
        </w:rPr>
        <w:t>STAFF:</w:t>
      </w:r>
      <w:r>
        <w:rPr>
          <w:b/>
          <w:bCs/>
        </w:rPr>
        <w:tab/>
      </w:r>
      <w:r w:rsidR="002C290E">
        <w:t>No position at this time.</w:t>
      </w:r>
    </w:p>
    <w:p w14:paraId="4EE6A403" w14:textId="37ED8662" w:rsidR="00FA6A30" w:rsidRDefault="00FA6A30" w:rsidP="003F4F8D">
      <w:pPr>
        <w:ind w:left="1440" w:hanging="1440"/>
        <w:jc w:val="both"/>
      </w:pPr>
    </w:p>
    <w:p w14:paraId="2E49345F" w14:textId="77777777" w:rsidR="00FA6A30" w:rsidRPr="005D4B47" w:rsidRDefault="00FA6A30" w:rsidP="003F4F8D">
      <w:pPr>
        <w:ind w:left="1440" w:hanging="1440"/>
        <w:jc w:val="both"/>
        <w:rPr>
          <w:b/>
          <w:bCs/>
        </w:rPr>
      </w:pPr>
    </w:p>
    <w:p w14:paraId="4DC39B56" w14:textId="77777777" w:rsidR="003F4F8D" w:rsidRPr="00440B36" w:rsidRDefault="00440B36" w:rsidP="003F4F8D">
      <w:pPr>
        <w:ind w:left="1440" w:hanging="1440"/>
        <w:jc w:val="both"/>
        <w:rPr>
          <w:b/>
        </w:rPr>
      </w:pPr>
      <w:r>
        <w:rPr>
          <w:b/>
          <w:bCs/>
        </w:rPr>
        <w:t>ISSUE 61</w:t>
      </w:r>
      <w:r w:rsidR="003F4F8D" w:rsidRPr="00701945">
        <w:rPr>
          <w:b/>
          <w:bCs/>
        </w:rPr>
        <w:t>:</w:t>
      </w:r>
      <w:r w:rsidR="003F4F8D" w:rsidRPr="00701945">
        <w:tab/>
      </w:r>
      <w:r w:rsidRPr="00440B36">
        <w:rPr>
          <w:b/>
        </w:rPr>
        <w:t xml:space="preserve">What amount of Taxes Other Than Income Taxes for the </w:t>
      </w:r>
      <w:r w:rsidRPr="00440B36">
        <w:rPr>
          <w:b/>
          <w:bCs/>
        </w:rPr>
        <w:t>2025 projected test year should be approved</w:t>
      </w:r>
      <w:r w:rsidRPr="00440B36">
        <w:rPr>
          <w:b/>
        </w:rPr>
        <w:t>?</w:t>
      </w:r>
    </w:p>
    <w:p w14:paraId="642B1D63" w14:textId="77777777" w:rsidR="003F4F8D" w:rsidRPr="00701945" w:rsidRDefault="003F4F8D" w:rsidP="003F4F8D">
      <w:pPr>
        <w:jc w:val="both"/>
      </w:pPr>
    </w:p>
    <w:p w14:paraId="6513556D" w14:textId="77777777" w:rsidR="003F4F8D" w:rsidRPr="005D4B47" w:rsidRDefault="003F4F8D" w:rsidP="003F4F8D">
      <w:pPr>
        <w:ind w:left="1440" w:hanging="1440"/>
        <w:jc w:val="both"/>
      </w:pPr>
      <w:r>
        <w:rPr>
          <w:b/>
          <w:bCs/>
        </w:rPr>
        <w:t>TECO</w:t>
      </w:r>
      <w:r w:rsidRPr="005D4B47">
        <w:rPr>
          <w:b/>
          <w:bCs/>
        </w:rPr>
        <w:t>:</w:t>
      </w:r>
      <w:r w:rsidRPr="005D4B47">
        <w:tab/>
      </w:r>
      <w:r w:rsidR="00440B36">
        <w:t>The Commission should approve Jurisdictional Adjusted Taxes Other Than Income expense of $101.6 million for the projected 2025 test year as shown on MFR Schedule C-1</w:t>
      </w:r>
      <w:r w:rsidR="006D210E">
        <w:t>, plus $923 per the company’s July and August Filings, for a total of $101.6 million</w:t>
      </w:r>
      <w:r w:rsidR="00440B36">
        <w:t>. (Chronister)</w:t>
      </w:r>
    </w:p>
    <w:p w14:paraId="31C1171B" w14:textId="77777777" w:rsidR="003F4F8D" w:rsidRPr="00701945" w:rsidRDefault="003F4F8D" w:rsidP="003F4F8D">
      <w:pPr>
        <w:jc w:val="both"/>
      </w:pPr>
    </w:p>
    <w:p w14:paraId="57A03ED9" w14:textId="77777777" w:rsidR="003F4F8D" w:rsidRDefault="003F4F8D" w:rsidP="003F4F8D">
      <w:pPr>
        <w:ind w:left="1440" w:hanging="1440"/>
        <w:jc w:val="both"/>
      </w:pPr>
      <w:r>
        <w:rPr>
          <w:b/>
          <w:bCs/>
        </w:rPr>
        <w:t>OPC</w:t>
      </w:r>
      <w:r w:rsidRPr="00701945">
        <w:rPr>
          <w:b/>
          <w:bCs/>
        </w:rPr>
        <w:t>:</w:t>
      </w:r>
      <w:r>
        <w:tab/>
      </w:r>
      <w:r w:rsidR="00576561">
        <w:t>No position.</w:t>
      </w:r>
    </w:p>
    <w:p w14:paraId="3997F515" w14:textId="77777777" w:rsidR="003F4F8D" w:rsidRDefault="003F4F8D" w:rsidP="003F4F8D">
      <w:pPr>
        <w:ind w:left="1440" w:hanging="1440"/>
        <w:jc w:val="both"/>
      </w:pPr>
    </w:p>
    <w:p w14:paraId="15A1EFD6" w14:textId="77777777" w:rsidR="003F4F8D" w:rsidRDefault="003F4F8D" w:rsidP="003F4F8D">
      <w:pPr>
        <w:ind w:left="1440" w:hanging="1440"/>
        <w:jc w:val="both"/>
        <w:rPr>
          <w:b/>
        </w:rPr>
      </w:pPr>
      <w:r>
        <w:rPr>
          <w:b/>
        </w:rPr>
        <w:t>FL RISING/</w:t>
      </w:r>
    </w:p>
    <w:p w14:paraId="007AA9FB" w14:textId="7308A957" w:rsidR="003F4F8D" w:rsidRDefault="003F4F8D" w:rsidP="003F4F8D">
      <w:pPr>
        <w:ind w:left="1440" w:hanging="1440"/>
        <w:jc w:val="both"/>
        <w:rPr>
          <w:b/>
        </w:rPr>
      </w:pPr>
      <w:r>
        <w:rPr>
          <w:b/>
        </w:rPr>
        <w:t>LULAC:</w:t>
      </w:r>
      <w:r>
        <w:rPr>
          <w:b/>
        </w:rPr>
        <w:tab/>
      </w:r>
      <w:r w:rsidR="007500B8">
        <w:t>No position</w:t>
      </w:r>
      <w:r w:rsidR="004F76C2">
        <w:t>.</w:t>
      </w:r>
    </w:p>
    <w:p w14:paraId="7CD7AF5D" w14:textId="77777777" w:rsidR="003F4F8D" w:rsidRDefault="003F4F8D" w:rsidP="003F4F8D">
      <w:pPr>
        <w:ind w:left="1440" w:hanging="1440"/>
        <w:jc w:val="both"/>
        <w:rPr>
          <w:b/>
        </w:rPr>
      </w:pPr>
    </w:p>
    <w:p w14:paraId="796F70EE" w14:textId="33C50BAC" w:rsidR="003F4F8D" w:rsidRDefault="003F4F8D" w:rsidP="003F4F8D">
      <w:pPr>
        <w:ind w:left="1440" w:hanging="1440"/>
        <w:jc w:val="both"/>
        <w:rPr>
          <w:b/>
        </w:rPr>
      </w:pPr>
      <w:r>
        <w:rPr>
          <w:b/>
        </w:rPr>
        <w:t>FIPUG:</w:t>
      </w:r>
      <w:r>
        <w:rPr>
          <w:b/>
        </w:rPr>
        <w:tab/>
      </w:r>
      <w:r w:rsidR="007500B8">
        <w:rPr>
          <w:bCs/>
        </w:rPr>
        <w:t>No position.</w:t>
      </w:r>
    </w:p>
    <w:p w14:paraId="5F4B2B07" w14:textId="79F20250" w:rsidR="003F4F8D" w:rsidRDefault="003F4F8D" w:rsidP="003F4F8D">
      <w:pPr>
        <w:ind w:left="1440" w:hanging="1440"/>
        <w:jc w:val="both"/>
        <w:rPr>
          <w:b/>
        </w:rPr>
      </w:pPr>
      <w:r>
        <w:rPr>
          <w:b/>
        </w:rPr>
        <w:lastRenderedPageBreak/>
        <w:t>FEA:</w:t>
      </w:r>
      <w:r>
        <w:rPr>
          <w:b/>
        </w:rPr>
        <w:tab/>
      </w:r>
      <w:r w:rsidR="00DB09CD">
        <w:t>No position.</w:t>
      </w:r>
    </w:p>
    <w:p w14:paraId="61BE84B5" w14:textId="77777777" w:rsidR="003F4F8D" w:rsidRDefault="003F4F8D" w:rsidP="003F4F8D">
      <w:pPr>
        <w:ind w:left="1440" w:hanging="1440"/>
        <w:jc w:val="both"/>
        <w:rPr>
          <w:b/>
        </w:rPr>
      </w:pPr>
    </w:p>
    <w:p w14:paraId="3A577AD2" w14:textId="77777777" w:rsidR="00A14A11" w:rsidRDefault="00764960" w:rsidP="003F4F8D">
      <w:pPr>
        <w:ind w:left="1440" w:hanging="1440"/>
        <w:jc w:val="both"/>
        <w:rPr>
          <w:b/>
        </w:rPr>
      </w:pPr>
      <w:r>
        <w:rPr>
          <w:b/>
        </w:rPr>
        <w:t xml:space="preserve">SIERRA </w:t>
      </w:r>
    </w:p>
    <w:p w14:paraId="64F5F36F" w14:textId="2694ED11" w:rsidR="003F4F8D" w:rsidRDefault="00764960" w:rsidP="003F4F8D">
      <w:pPr>
        <w:ind w:left="1440" w:hanging="1440"/>
        <w:jc w:val="both"/>
        <w:rPr>
          <w:b/>
        </w:rPr>
      </w:pPr>
      <w:r>
        <w:rPr>
          <w:b/>
        </w:rPr>
        <w:t>CLUB</w:t>
      </w:r>
      <w:r w:rsidR="003F4F8D">
        <w:rPr>
          <w:b/>
        </w:rPr>
        <w:t>:</w:t>
      </w:r>
      <w:r w:rsidR="003F4F8D">
        <w:rPr>
          <w:b/>
        </w:rPr>
        <w:tab/>
      </w:r>
      <w:r w:rsidR="00DB09CD">
        <w:t>No position.</w:t>
      </w:r>
    </w:p>
    <w:p w14:paraId="4A88E7CE" w14:textId="77777777" w:rsidR="003F4F8D" w:rsidRDefault="003F4F8D" w:rsidP="003F4F8D">
      <w:pPr>
        <w:ind w:left="1440" w:hanging="1440"/>
        <w:jc w:val="both"/>
        <w:rPr>
          <w:b/>
        </w:rPr>
      </w:pPr>
    </w:p>
    <w:p w14:paraId="013194B2" w14:textId="26613723" w:rsidR="003F4F8D" w:rsidRDefault="003F4F8D" w:rsidP="003F4F8D">
      <w:pPr>
        <w:ind w:left="1440" w:hanging="1440"/>
        <w:jc w:val="both"/>
        <w:rPr>
          <w:b/>
        </w:rPr>
      </w:pPr>
      <w:r>
        <w:rPr>
          <w:b/>
        </w:rPr>
        <w:t>FRF:</w:t>
      </w:r>
      <w:r>
        <w:rPr>
          <w:b/>
        </w:rPr>
        <w:tab/>
      </w:r>
      <w:r w:rsidR="00DB09CD">
        <w:t>No position.</w:t>
      </w:r>
    </w:p>
    <w:p w14:paraId="66220F62" w14:textId="77777777" w:rsidR="003F4F8D" w:rsidRDefault="003F4F8D" w:rsidP="003F4F8D">
      <w:pPr>
        <w:ind w:left="1440" w:hanging="1440"/>
        <w:jc w:val="both"/>
        <w:rPr>
          <w:b/>
        </w:rPr>
      </w:pPr>
    </w:p>
    <w:p w14:paraId="15B19615" w14:textId="77777777" w:rsidR="00A14A11" w:rsidRDefault="00C0182D" w:rsidP="003F4F8D">
      <w:pPr>
        <w:ind w:left="1440" w:hanging="1440"/>
        <w:jc w:val="both"/>
        <w:rPr>
          <w:b/>
        </w:rPr>
      </w:pPr>
      <w:r>
        <w:rPr>
          <w:b/>
        </w:rPr>
        <w:t xml:space="preserve">FUEL </w:t>
      </w:r>
    </w:p>
    <w:p w14:paraId="43B50E93" w14:textId="39BD9C34" w:rsidR="003F4F8D" w:rsidRDefault="00C0182D" w:rsidP="003F4F8D">
      <w:pPr>
        <w:ind w:left="1440" w:hanging="1440"/>
        <w:jc w:val="both"/>
      </w:pPr>
      <w:r>
        <w:rPr>
          <w:b/>
        </w:rPr>
        <w:t>RETAILERS</w:t>
      </w:r>
      <w:r w:rsidR="003F4F8D">
        <w:rPr>
          <w:b/>
        </w:rPr>
        <w:t>:</w:t>
      </w:r>
      <w:r w:rsidR="00A14A11">
        <w:rPr>
          <w:b/>
        </w:rPr>
        <w:t xml:space="preserve"> </w:t>
      </w:r>
      <w:r w:rsidR="009A7E64" w:rsidRPr="00132664">
        <w:t xml:space="preserve">No </w:t>
      </w:r>
      <w:r w:rsidR="00DB09CD">
        <w:t>p</w:t>
      </w:r>
      <w:r w:rsidR="009A7E64" w:rsidRPr="00132664">
        <w:t>osition.</w:t>
      </w:r>
    </w:p>
    <w:p w14:paraId="13FCF8E5" w14:textId="77777777" w:rsidR="005A6478" w:rsidRDefault="005A6478" w:rsidP="003F4F8D">
      <w:pPr>
        <w:ind w:left="1440" w:hanging="1440"/>
        <w:jc w:val="both"/>
      </w:pPr>
    </w:p>
    <w:p w14:paraId="6AE51459" w14:textId="4E854DB6" w:rsidR="005A6478" w:rsidRPr="005A6478" w:rsidRDefault="00FD408B" w:rsidP="003F4F8D">
      <w:pPr>
        <w:ind w:left="1440" w:hanging="1440"/>
        <w:jc w:val="both"/>
        <w:rPr>
          <w:b/>
        </w:rPr>
      </w:pPr>
      <w:r>
        <w:rPr>
          <w:b/>
        </w:rPr>
        <w:t>WALMART</w:t>
      </w:r>
      <w:r w:rsidR="005A6478">
        <w:rPr>
          <w:b/>
        </w:rPr>
        <w:t>:</w:t>
      </w:r>
      <w:r w:rsidR="005A6478">
        <w:rPr>
          <w:b/>
        </w:rPr>
        <w:tab/>
      </w:r>
      <w:r w:rsidR="00DB09CD">
        <w:t>No position.</w:t>
      </w:r>
    </w:p>
    <w:p w14:paraId="714A8C25" w14:textId="77777777" w:rsidR="003F4F8D" w:rsidRPr="00701945" w:rsidRDefault="003F4F8D" w:rsidP="003F4F8D">
      <w:pPr>
        <w:jc w:val="both"/>
      </w:pPr>
    </w:p>
    <w:p w14:paraId="53EF6459" w14:textId="77777777" w:rsidR="003F4F8D" w:rsidRPr="005D4B47" w:rsidRDefault="003F4F8D" w:rsidP="003F4F8D">
      <w:pPr>
        <w:ind w:left="1440" w:hanging="1440"/>
        <w:jc w:val="both"/>
        <w:rPr>
          <w:b/>
          <w:bCs/>
        </w:rPr>
      </w:pPr>
      <w:r>
        <w:rPr>
          <w:b/>
          <w:bCs/>
        </w:rPr>
        <w:t>STAFF:</w:t>
      </w:r>
      <w:r>
        <w:rPr>
          <w:b/>
          <w:bCs/>
        </w:rPr>
        <w:tab/>
      </w:r>
      <w:r w:rsidR="002C290E">
        <w:t>No position at this time.</w:t>
      </w:r>
    </w:p>
    <w:p w14:paraId="21E97C61" w14:textId="77777777" w:rsidR="003F4F8D" w:rsidRDefault="003F4F8D" w:rsidP="00C7699A">
      <w:pPr>
        <w:jc w:val="both"/>
      </w:pPr>
    </w:p>
    <w:p w14:paraId="15556B1C" w14:textId="77777777" w:rsidR="003F4F8D" w:rsidRDefault="003F4F8D" w:rsidP="00C7699A">
      <w:pPr>
        <w:jc w:val="both"/>
      </w:pPr>
    </w:p>
    <w:p w14:paraId="08FACACC" w14:textId="77777777" w:rsidR="003F4F8D" w:rsidRPr="00440B36" w:rsidRDefault="00440B36" w:rsidP="003F4F8D">
      <w:pPr>
        <w:ind w:left="1440" w:hanging="1440"/>
        <w:jc w:val="both"/>
        <w:rPr>
          <w:b/>
        </w:rPr>
      </w:pPr>
      <w:r>
        <w:rPr>
          <w:b/>
          <w:bCs/>
        </w:rPr>
        <w:t>ISSUE 62</w:t>
      </w:r>
      <w:r w:rsidR="003F4F8D" w:rsidRPr="00701945">
        <w:rPr>
          <w:b/>
          <w:bCs/>
        </w:rPr>
        <w:t>:</w:t>
      </w:r>
      <w:r w:rsidR="003F4F8D" w:rsidRPr="00701945">
        <w:tab/>
      </w:r>
      <w:r w:rsidRPr="00440B36">
        <w:rPr>
          <w:b/>
        </w:rPr>
        <w:t xml:space="preserve">What amount of Parent Debt Adjustment is required by Rule 25-14.004, Florida Administrative Code, for the </w:t>
      </w:r>
      <w:r w:rsidRPr="00440B36">
        <w:rPr>
          <w:b/>
          <w:bCs/>
        </w:rPr>
        <w:t>2025 projected test year</w:t>
      </w:r>
      <w:r w:rsidRPr="00440B36">
        <w:rPr>
          <w:b/>
        </w:rPr>
        <w:t>?</w:t>
      </w:r>
    </w:p>
    <w:p w14:paraId="18429B60" w14:textId="77777777" w:rsidR="003F4F8D" w:rsidRPr="00701945" w:rsidRDefault="003F4F8D" w:rsidP="003F4F8D">
      <w:pPr>
        <w:jc w:val="both"/>
      </w:pPr>
    </w:p>
    <w:p w14:paraId="4E4F6C3E" w14:textId="77777777" w:rsidR="003F4F8D" w:rsidRPr="005D4B47" w:rsidRDefault="003F4F8D" w:rsidP="003F4F8D">
      <w:pPr>
        <w:ind w:left="1440" w:hanging="1440"/>
        <w:jc w:val="both"/>
      </w:pPr>
      <w:r>
        <w:rPr>
          <w:b/>
          <w:bCs/>
        </w:rPr>
        <w:t>TECO</w:t>
      </w:r>
      <w:r w:rsidRPr="005D4B47">
        <w:rPr>
          <w:b/>
          <w:bCs/>
        </w:rPr>
        <w:t>:</w:t>
      </w:r>
      <w:r w:rsidRPr="005D4B47">
        <w:tab/>
      </w:r>
      <w:r w:rsidR="00440B36">
        <w:t>The Commission should approve a Parent Debt Adjustment calculated in accordance with Rule 25-14.004, F.A.C., of $12.9 million for the projected 2025 test year. The adjustment decreased the company’s 2025 revenue requirement by $17.4 million. (Strickland, Chronister)</w:t>
      </w:r>
    </w:p>
    <w:p w14:paraId="57F87378" w14:textId="77777777" w:rsidR="003F4F8D" w:rsidRPr="00701945" w:rsidRDefault="003F4F8D" w:rsidP="003F4F8D">
      <w:pPr>
        <w:jc w:val="both"/>
      </w:pPr>
    </w:p>
    <w:p w14:paraId="7172A07A" w14:textId="5173856D" w:rsidR="003F4F8D" w:rsidRDefault="003F4F8D" w:rsidP="003F4F8D">
      <w:pPr>
        <w:ind w:left="1440" w:hanging="1440"/>
        <w:jc w:val="both"/>
      </w:pPr>
      <w:r>
        <w:rPr>
          <w:b/>
          <w:bCs/>
        </w:rPr>
        <w:t>OPC</w:t>
      </w:r>
      <w:r w:rsidRPr="00701945">
        <w:rPr>
          <w:b/>
          <w:bCs/>
        </w:rPr>
        <w:t>:</w:t>
      </w:r>
      <w:r>
        <w:tab/>
      </w:r>
      <w:r w:rsidR="00576561">
        <w:t>A $12.936 million revenue requirement reduction is required as shown in the utility’s MFRs.</w:t>
      </w:r>
    </w:p>
    <w:p w14:paraId="55835903" w14:textId="77777777" w:rsidR="003F4F8D" w:rsidRDefault="003F4F8D" w:rsidP="003F4F8D">
      <w:pPr>
        <w:ind w:left="1440" w:hanging="1440"/>
        <w:jc w:val="both"/>
      </w:pPr>
    </w:p>
    <w:p w14:paraId="2AFAA920" w14:textId="77777777" w:rsidR="003F4F8D" w:rsidRDefault="003F4F8D" w:rsidP="003F4F8D">
      <w:pPr>
        <w:ind w:left="1440" w:hanging="1440"/>
        <w:jc w:val="both"/>
        <w:rPr>
          <w:b/>
        </w:rPr>
      </w:pPr>
      <w:r>
        <w:rPr>
          <w:b/>
        </w:rPr>
        <w:t>FL RISING/</w:t>
      </w:r>
    </w:p>
    <w:p w14:paraId="6D36ECB7" w14:textId="35E463C7" w:rsidR="003F4F8D" w:rsidRDefault="003F4F8D" w:rsidP="003F4F8D">
      <w:pPr>
        <w:ind w:left="1440" w:hanging="1440"/>
        <w:jc w:val="both"/>
        <w:rPr>
          <w:b/>
        </w:rPr>
      </w:pPr>
      <w:r>
        <w:rPr>
          <w:b/>
        </w:rPr>
        <w:t>LULAC:</w:t>
      </w:r>
      <w:r>
        <w:rPr>
          <w:b/>
        </w:rPr>
        <w:tab/>
      </w:r>
      <w:r w:rsidR="004F76C2">
        <w:t>Adopt</w:t>
      </w:r>
      <w:r w:rsidR="009825FE">
        <w:t>s the position of</w:t>
      </w:r>
      <w:r w:rsidR="004F76C2">
        <w:t xml:space="preserve"> OPC.</w:t>
      </w:r>
    </w:p>
    <w:p w14:paraId="6F241C3E" w14:textId="77777777" w:rsidR="003F4F8D" w:rsidRDefault="003F4F8D" w:rsidP="003F4F8D">
      <w:pPr>
        <w:ind w:left="1440" w:hanging="1440"/>
        <w:jc w:val="both"/>
        <w:rPr>
          <w:b/>
        </w:rPr>
      </w:pPr>
    </w:p>
    <w:p w14:paraId="575C68CA" w14:textId="0E0E8F28" w:rsidR="003F4F8D" w:rsidRDefault="003F4F8D" w:rsidP="003F4F8D">
      <w:pPr>
        <w:ind w:left="1440" w:hanging="1440"/>
        <w:jc w:val="both"/>
        <w:rPr>
          <w:bCs/>
        </w:rPr>
      </w:pPr>
      <w:r>
        <w:rPr>
          <w:b/>
        </w:rPr>
        <w:t>FIPUG:</w:t>
      </w:r>
      <w:r>
        <w:rPr>
          <w:b/>
        </w:rPr>
        <w:tab/>
      </w:r>
      <w:r w:rsidR="00691BEA">
        <w:rPr>
          <w:bCs/>
        </w:rPr>
        <w:t>Adopt</w:t>
      </w:r>
      <w:r w:rsidR="0050308C">
        <w:rPr>
          <w:bCs/>
        </w:rPr>
        <w:t>s</w:t>
      </w:r>
      <w:r w:rsidR="00691BEA">
        <w:rPr>
          <w:bCs/>
        </w:rPr>
        <w:t xml:space="preserve"> the position of OPC.</w:t>
      </w:r>
    </w:p>
    <w:p w14:paraId="4AD20E22" w14:textId="77777777" w:rsidR="00C528BC" w:rsidRDefault="00C528BC" w:rsidP="003F4F8D">
      <w:pPr>
        <w:ind w:left="1440" w:hanging="1440"/>
        <w:jc w:val="both"/>
        <w:rPr>
          <w:b/>
        </w:rPr>
      </w:pPr>
    </w:p>
    <w:p w14:paraId="48B5071F" w14:textId="0C6BBB7C" w:rsidR="003F4F8D" w:rsidRDefault="003F4F8D" w:rsidP="003F4F8D">
      <w:pPr>
        <w:ind w:left="1440" w:hanging="1440"/>
        <w:jc w:val="both"/>
        <w:rPr>
          <w:b/>
        </w:rPr>
      </w:pPr>
      <w:r>
        <w:rPr>
          <w:b/>
        </w:rPr>
        <w:t>FEA:</w:t>
      </w:r>
      <w:r>
        <w:rPr>
          <w:b/>
        </w:rPr>
        <w:tab/>
      </w:r>
      <w:r w:rsidR="00936AD4">
        <w:t>No position.</w:t>
      </w:r>
    </w:p>
    <w:p w14:paraId="63DF0168" w14:textId="77777777" w:rsidR="003F4F8D" w:rsidRDefault="003F4F8D" w:rsidP="003F4F8D">
      <w:pPr>
        <w:ind w:left="1440" w:hanging="1440"/>
        <w:jc w:val="both"/>
        <w:rPr>
          <w:b/>
        </w:rPr>
      </w:pPr>
    </w:p>
    <w:p w14:paraId="727B2868" w14:textId="77777777" w:rsidR="00A14A11" w:rsidRDefault="00764960" w:rsidP="003F4F8D">
      <w:pPr>
        <w:ind w:left="1440" w:hanging="1440"/>
        <w:jc w:val="both"/>
        <w:rPr>
          <w:b/>
        </w:rPr>
      </w:pPr>
      <w:r>
        <w:rPr>
          <w:b/>
        </w:rPr>
        <w:t xml:space="preserve">SIERRA </w:t>
      </w:r>
    </w:p>
    <w:p w14:paraId="7D45E81E" w14:textId="5051F043" w:rsidR="003F4F8D" w:rsidRDefault="00764960" w:rsidP="003F4F8D">
      <w:pPr>
        <w:ind w:left="1440" w:hanging="1440"/>
        <w:jc w:val="both"/>
        <w:rPr>
          <w:b/>
        </w:rPr>
      </w:pPr>
      <w:r>
        <w:rPr>
          <w:b/>
        </w:rPr>
        <w:t>CLUB</w:t>
      </w:r>
      <w:r w:rsidR="003F4F8D">
        <w:rPr>
          <w:b/>
        </w:rPr>
        <w:t>:</w:t>
      </w:r>
      <w:r w:rsidR="003F4F8D">
        <w:rPr>
          <w:b/>
        </w:rPr>
        <w:tab/>
      </w:r>
      <w:r w:rsidR="00936AD4">
        <w:t>No position.</w:t>
      </w:r>
    </w:p>
    <w:p w14:paraId="7DE6B1F8" w14:textId="77777777" w:rsidR="003F4F8D" w:rsidRDefault="003F4F8D" w:rsidP="003F4F8D">
      <w:pPr>
        <w:ind w:left="1440" w:hanging="1440"/>
        <w:jc w:val="both"/>
        <w:rPr>
          <w:b/>
        </w:rPr>
      </w:pPr>
    </w:p>
    <w:p w14:paraId="164666AA" w14:textId="6D9961E0" w:rsidR="003F4F8D" w:rsidRDefault="003F4F8D" w:rsidP="003F4F8D">
      <w:pPr>
        <w:ind w:left="1440" w:hanging="1440"/>
        <w:jc w:val="both"/>
        <w:rPr>
          <w:b/>
        </w:rPr>
      </w:pPr>
      <w:r>
        <w:rPr>
          <w:b/>
        </w:rPr>
        <w:t>FRF:</w:t>
      </w:r>
      <w:r>
        <w:rPr>
          <w:b/>
        </w:rPr>
        <w:tab/>
      </w:r>
      <w:r w:rsidR="00EC61E4">
        <w:t>Agree</w:t>
      </w:r>
      <w:r w:rsidR="00936AD4">
        <w:t>s</w:t>
      </w:r>
      <w:r w:rsidR="00EC61E4">
        <w:t xml:space="preserve"> with OPC.</w:t>
      </w:r>
    </w:p>
    <w:p w14:paraId="25DD4D12" w14:textId="77777777" w:rsidR="003F4F8D" w:rsidRDefault="003F4F8D" w:rsidP="003F4F8D">
      <w:pPr>
        <w:ind w:left="1440" w:hanging="1440"/>
        <w:jc w:val="both"/>
        <w:rPr>
          <w:b/>
        </w:rPr>
      </w:pPr>
    </w:p>
    <w:p w14:paraId="02DED112" w14:textId="77777777" w:rsidR="00A14A11" w:rsidRDefault="00C0182D" w:rsidP="003F4F8D">
      <w:pPr>
        <w:ind w:left="1440" w:hanging="1440"/>
        <w:jc w:val="both"/>
        <w:rPr>
          <w:b/>
        </w:rPr>
      </w:pPr>
      <w:r>
        <w:rPr>
          <w:b/>
        </w:rPr>
        <w:t xml:space="preserve">FUEL </w:t>
      </w:r>
    </w:p>
    <w:p w14:paraId="35E25FB1" w14:textId="27793F14" w:rsidR="003F4F8D" w:rsidRDefault="00C0182D" w:rsidP="003F4F8D">
      <w:pPr>
        <w:ind w:left="1440" w:hanging="1440"/>
        <w:jc w:val="both"/>
      </w:pPr>
      <w:r>
        <w:rPr>
          <w:b/>
        </w:rPr>
        <w:t>RETAILERS</w:t>
      </w:r>
      <w:r w:rsidR="003F4F8D">
        <w:rPr>
          <w:b/>
        </w:rPr>
        <w:t>:</w:t>
      </w:r>
      <w:r w:rsidR="00A14A11">
        <w:rPr>
          <w:b/>
        </w:rPr>
        <w:t xml:space="preserve"> </w:t>
      </w:r>
      <w:r w:rsidR="009A7E64" w:rsidRPr="00132664">
        <w:t xml:space="preserve">No </w:t>
      </w:r>
      <w:r w:rsidR="00936AD4">
        <w:t>p</w:t>
      </w:r>
      <w:r w:rsidR="009A7E64" w:rsidRPr="00132664">
        <w:t>osition.</w:t>
      </w:r>
    </w:p>
    <w:p w14:paraId="487DCCF6" w14:textId="77777777" w:rsidR="005A6478" w:rsidRDefault="005A6478" w:rsidP="003F4F8D">
      <w:pPr>
        <w:ind w:left="1440" w:hanging="1440"/>
        <w:jc w:val="both"/>
      </w:pPr>
    </w:p>
    <w:p w14:paraId="1D2CD408" w14:textId="7CC18B0D" w:rsidR="005A6478" w:rsidRPr="005A6478" w:rsidRDefault="00FD408B" w:rsidP="003F4F8D">
      <w:pPr>
        <w:ind w:left="1440" w:hanging="1440"/>
        <w:jc w:val="both"/>
        <w:rPr>
          <w:b/>
        </w:rPr>
      </w:pPr>
      <w:r>
        <w:rPr>
          <w:b/>
        </w:rPr>
        <w:t>WALMART</w:t>
      </w:r>
      <w:r w:rsidR="005A6478">
        <w:rPr>
          <w:b/>
        </w:rPr>
        <w:t>:</w:t>
      </w:r>
      <w:r w:rsidR="005A6478">
        <w:rPr>
          <w:b/>
        </w:rPr>
        <w:tab/>
      </w:r>
      <w:r w:rsidR="00936AD4">
        <w:t>A</w:t>
      </w:r>
      <w:r w:rsidR="005A6478">
        <w:t>grees with OPC.</w:t>
      </w:r>
    </w:p>
    <w:p w14:paraId="5BCF0880" w14:textId="77777777" w:rsidR="003F4F8D" w:rsidRPr="00701945" w:rsidRDefault="003F4F8D" w:rsidP="003F4F8D">
      <w:pPr>
        <w:jc w:val="both"/>
      </w:pPr>
    </w:p>
    <w:p w14:paraId="30860F49" w14:textId="77777777" w:rsidR="003F4F8D" w:rsidRPr="005D4B47" w:rsidRDefault="003F4F8D" w:rsidP="003F4F8D">
      <w:pPr>
        <w:ind w:left="1440" w:hanging="1440"/>
        <w:jc w:val="both"/>
        <w:rPr>
          <w:b/>
          <w:bCs/>
        </w:rPr>
      </w:pPr>
      <w:r>
        <w:rPr>
          <w:b/>
          <w:bCs/>
        </w:rPr>
        <w:t>STAFF:</w:t>
      </w:r>
      <w:r>
        <w:rPr>
          <w:b/>
          <w:bCs/>
        </w:rPr>
        <w:tab/>
      </w:r>
      <w:r w:rsidR="002C290E">
        <w:t>No position at this time.</w:t>
      </w:r>
    </w:p>
    <w:p w14:paraId="220535DE" w14:textId="77777777" w:rsidR="003F4F8D" w:rsidRDefault="003F4F8D" w:rsidP="00C7699A">
      <w:pPr>
        <w:jc w:val="both"/>
      </w:pPr>
    </w:p>
    <w:p w14:paraId="6A61490A" w14:textId="77777777" w:rsidR="003F4F8D" w:rsidRPr="00760498" w:rsidRDefault="00440B36" w:rsidP="003F4F8D">
      <w:pPr>
        <w:ind w:left="1440" w:hanging="1440"/>
        <w:jc w:val="both"/>
        <w:rPr>
          <w:b/>
        </w:rPr>
      </w:pPr>
      <w:r>
        <w:rPr>
          <w:b/>
          <w:bCs/>
        </w:rPr>
        <w:lastRenderedPageBreak/>
        <w:t>ISSUE 63</w:t>
      </w:r>
      <w:r w:rsidR="003F4F8D" w:rsidRPr="00701945">
        <w:rPr>
          <w:b/>
          <w:bCs/>
        </w:rPr>
        <w:t>:</w:t>
      </w:r>
      <w:r w:rsidR="003F4F8D" w:rsidRPr="00701945">
        <w:tab/>
      </w:r>
      <w:r w:rsidR="00760498" w:rsidRPr="00760498">
        <w:rPr>
          <w:b/>
        </w:rPr>
        <w:t xml:space="preserve">What amount of Production Tax Credits should be approved and what is the proper accounting treatment for the </w:t>
      </w:r>
      <w:r w:rsidR="00760498" w:rsidRPr="00760498">
        <w:rPr>
          <w:b/>
          <w:bCs/>
        </w:rPr>
        <w:t>2025 projected test year</w:t>
      </w:r>
      <w:r w:rsidR="00760498" w:rsidRPr="00760498">
        <w:rPr>
          <w:b/>
        </w:rPr>
        <w:t>?</w:t>
      </w:r>
    </w:p>
    <w:p w14:paraId="313BFA1F" w14:textId="77777777" w:rsidR="003F4F8D" w:rsidRPr="00701945" w:rsidRDefault="003F4F8D" w:rsidP="003F4F8D">
      <w:pPr>
        <w:jc w:val="both"/>
      </w:pPr>
    </w:p>
    <w:p w14:paraId="64F749E8" w14:textId="77777777" w:rsidR="003F4F8D" w:rsidRPr="005D4B47" w:rsidRDefault="003F4F8D" w:rsidP="003F4F8D">
      <w:pPr>
        <w:ind w:left="1440" w:hanging="1440"/>
        <w:jc w:val="both"/>
      </w:pPr>
      <w:r>
        <w:rPr>
          <w:b/>
          <w:bCs/>
        </w:rPr>
        <w:t>TECO</w:t>
      </w:r>
      <w:r w:rsidRPr="005D4B47">
        <w:rPr>
          <w:b/>
          <w:bCs/>
        </w:rPr>
        <w:t>:</w:t>
      </w:r>
      <w:r w:rsidRPr="005D4B47">
        <w:tab/>
      </w:r>
      <w:r w:rsidR="00760498">
        <w:t>The company reduced projected 2025 test year income tax expense by approximately $35.4 million to reflect the “flow through” of the estimated amount of PTC to be generated in 2025 by its solar plants placed in service in 2022 and thereafter, which amount should be approved by the Commission. (Strickland, Chronister)</w:t>
      </w:r>
    </w:p>
    <w:p w14:paraId="7DDB3087" w14:textId="77777777" w:rsidR="003F4F8D" w:rsidRPr="00701945" w:rsidRDefault="003F4F8D" w:rsidP="003F4F8D">
      <w:pPr>
        <w:jc w:val="both"/>
      </w:pPr>
    </w:p>
    <w:p w14:paraId="5CE1B6C8" w14:textId="6E8B55A4" w:rsidR="003F4F8D" w:rsidRDefault="003F4F8D" w:rsidP="003F4F8D">
      <w:pPr>
        <w:ind w:left="1440" w:hanging="1440"/>
        <w:jc w:val="both"/>
      </w:pPr>
      <w:r>
        <w:rPr>
          <w:b/>
          <w:bCs/>
        </w:rPr>
        <w:t>OPC</w:t>
      </w:r>
      <w:r w:rsidRPr="00701945">
        <w:rPr>
          <w:b/>
          <w:bCs/>
        </w:rPr>
        <w:t>:</w:t>
      </w:r>
      <w:r>
        <w:tab/>
      </w:r>
      <w:r w:rsidR="00576561">
        <w:t xml:space="preserve">No changes to the as-filed </w:t>
      </w:r>
      <w:r w:rsidR="003F768B">
        <w:t>TECO</w:t>
      </w:r>
      <w:r w:rsidR="00576561">
        <w:t xml:space="preserve"> amounts for PTCs are recommended. </w:t>
      </w:r>
      <w:r w:rsidR="003F768B">
        <w:t xml:space="preserve">TECO </w:t>
      </w:r>
      <w:r w:rsidR="00576561">
        <w:t xml:space="preserve">included $35.388 </w:t>
      </w:r>
      <w:bookmarkStart w:id="13" w:name="_Hlk172535622"/>
      <w:r w:rsidR="00576561">
        <w:t>million</w:t>
      </w:r>
      <w:bookmarkEnd w:id="13"/>
      <w:r w:rsidR="00576561">
        <w:t xml:space="preserve"> in PTCs as a reduction to income tax expense for the 2025 projected test year. Grossed-up, the PTCs reduced the revenue requirement by $47.549 million.</w:t>
      </w:r>
    </w:p>
    <w:p w14:paraId="5A2E0DB7" w14:textId="77777777" w:rsidR="003F4F8D" w:rsidRDefault="003F4F8D" w:rsidP="003F4F8D">
      <w:pPr>
        <w:ind w:left="1440" w:hanging="1440"/>
        <w:jc w:val="both"/>
      </w:pPr>
    </w:p>
    <w:p w14:paraId="33D1175F" w14:textId="77777777" w:rsidR="003F4F8D" w:rsidRDefault="003F4F8D" w:rsidP="003F4F8D">
      <w:pPr>
        <w:ind w:left="1440" w:hanging="1440"/>
        <w:jc w:val="both"/>
        <w:rPr>
          <w:b/>
        </w:rPr>
      </w:pPr>
      <w:r>
        <w:rPr>
          <w:b/>
        </w:rPr>
        <w:t>FL RISING/</w:t>
      </w:r>
    </w:p>
    <w:p w14:paraId="777A74F2" w14:textId="5E64F555" w:rsidR="004F76C2" w:rsidRDefault="003F4F8D" w:rsidP="004F76C2">
      <w:pPr>
        <w:ind w:left="1440" w:hanging="1440"/>
        <w:jc w:val="both"/>
      </w:pPr>
      <w:r>
        <w:rPr>
          <w:b/>
        </w:rPr>
        <w:t>LULAC:</w:t>
      </w:r>
      <w:r>
        <w:rPr>
          <w:b/>
        </w:rPr>
        <w:tab/>
      </w:r>
      <w:r w:rsidR="004F76C2" w:rsidRPr="19F813F6">
        <w:t xml:space="preserve">For 2025, TECO should immediately flow </w:t>
      </w:r>
      <w:r w:rsidR="00592A70">
        <w:t>PTCs</w:t>
      </w:r>
      <w:r w:rsidR="004F76C2" w:rsidRPr="19F813F6">
        <w:t xml:space="preserve"> to its customers. (Kollen)</w:t>
      </w:r>
    </w:p>
    <w:p w14:paraId="2FE55529" w14:textId="77777777" w:rsidR="004F76C2" w:rsidRDefault="004F76C2" w:rsidP="004F76C2">
      <w:pPr>
        <w:ind w:left="1440" w:hanging="1440"/>
      </w:pPr>
    </w:p>
    <w:p w14:paraId="0C00D971" w14:textId="77777777" w:rsidR="003F4F8D" w:rsidRDefault="004F76C2" w:rsidP="004F76C2">
      <w:pPr>
        <w:ind w:left="1440" w:hanging="1440"/>
        <w:jc w:val="both"/>
        <w:rPr>
          <w:b/>
        </w:rPr>
      </w:pPr>
      <w:r>
        <w:tab/>
        <w:t xml:space="preserve">The </w:t>
      </w:r>
      <w:r w:rsidRPr="00433003">
        <w:t>costs</w:t>
      </w:r>
      <w:r>
        <w:t xml:space="preserve"> should also be flowed back to customers on a capacity basis. If the Commission adopts 50% AD, then costs should flow back as 50% energy and 50% capacity.</w:t>
      </w:r>
    </w:p>
    <w:p w14:paraId="17A28BD6" w14:textId="77777777" w:rsidR="003F4F8D" w:rsidRDefault="003F4F8D" w:rsidP="003F4F8D">
      <w:pPr>
        <w:ind w:left="1440" w:hanging="1440"/>
        <w:jc w:val="both"/>
        <w:rPr>
          <w:b/>
        </w:rPr>
      </w:pPr>
    </w:p>
    <w:p w14:paraId="51DB44AB" w14:textId="08E8D1AE" w:rsidR="003F4F8D" w:rsidRDefault="003F4F8D" w:rsidP="003F4F8D">
      <w:pPr>
        <w:ind w:left="1440" w:hanging="1440"/>
        <w:jc w:val="both"/>
        <w:rPr>
          <w:b/>
        </w:rPr>
      </w:pPr>
      <w:r>
        <w:rPr>
          <w:b/>
        </w:rPr>
        <w:t>FIPUG:</w:t>
      </w:r>
      <w:r>
        <w:rPr>
          <w:b/>
        </w:rPr>
        <w:tab/>
      </w:r>
      <w:r w:rsidR="00691BEA" w:rsidRPr="002B78BA">
        <w:rPr>
          <w:bCs/>
        </w:rPr>
        <w:t xml:space="preserve">The Commission should adopt a consumer protection by requiring TECO to flow-through the higher of the actual </w:t>
      </w:r>
      <w:r w:rsidR="005B1B3A">
        <w:rPr>
          <w:bCs/>
        </w:rPr>
        <w:t>PTCs</w:t>
      </w:r>
      <w:r w:rsidR="00691BEA" w:rsidRPr="002B78BA">
        <w:rPr>
          <w:bCs/>
        </w:rPr>
        <w:t xml:space="preserve"> earned or 100% of the projected </w:t>
      </w:r>
      <w:r w:rsidR="005B1B3A">
        <w:rPr>
          <w:bCs/>
        </w:rPr>
        <w:t xml:space="preserve">PTCs </w:t>
      </w:r>
      <w:r w:rsidR="00691BEA" w:rsidRPr="002B78BA">
        <w:rPr>
          <w:bCs/>
        </w:rPr>
        <w:t>associated with the proposed solar projects. Also see Issue 18.</w:t>
      </w:r>
    </w:p>
    <w:p w14:paraId="63E6293D" w14:textId="77777777" w:rsidR="003F4F8D" w:rsidRDefault="003F4F8D" w:rsidP="003F4F8D">
      <w:pPr>
        <w:ind w:left="1440" w:hanging="1440"/>
        <w:jc w:val="both"/>
        <w:rPr>
          <w:b/>
        </w:rPr>
      </w:pPr>
    </w:p>
    <w:p w14:paraId="0FC8F031" w14:textId="2690386F" w:rsidR="003F4F8D" w:rsidRDefault="003F4F8D" w:rsidP="003F4F8D">
      <w:pPr>
        <w:ind w:left="1440" w:hanging="1440"/>
        <w:jc w:val="both"/>
        <w:rPr>
          <w:b/>
        </w:rPr>
      </w:pPr>
      <w:r>
        <w:rPr>
          <w:b/>
        </w:rPr>
        <w:t>FEA:</w:t>
      </w:r>
      <w:r>
        <w:rPr>
          <w:b/>
        </w:rPr>
        <w:tab/>
      </w:r>
      <w:r w:rsidR="00931594">
        <w:t>No position.</w:t>
      </w:r>
    </w:p>
    <w:p w14:paraId="2AB331EA" w14:textId="77777777" w:rsidR="003F4F8D" w:rsidRDefault="003F4F8D" w:rsidP="003F4F8D">
      <w:pPr>
        <w:ind w:left="1440" w:hanging="1440"/>
        <w:jc w:val="both"/>
        <w:rPr>
          <w:b/>
        </w:rPr>
      </w:pPr>
    </w:p>
    <w:p w14:paraId="1C47C510" w14:textId="77777777" w:rsidR="00A14A11" w:rsidRDefault="00764960" w:rsidP="003F4F8D">
      <w:pPr>
        <w:ind w:left="1440" w:hanging="1440"/>
        <w:jc w:val="both"/>
        <w:rPr>
          <w:b/>
        </w:rPr>
      </w:pPr>
      <w:r>
        <w:rPr>
          <w:b/>
        </w:rPr>
        <w:t xml:space="preserve">SIERRA </w:t>
      </w:r>
    </w:p>
    <w:p w14:paraId="378E94A2" w14:textId="1A0DBE3C" w:rsidR="003F4F8D" w:rsidRDefault="00764960" w:rsidP="003F4F8D">
      <w:pPr>
        <w:ind w:left="1440" w:hanging="1440"/>
        <w:jc w:val="both"/>
        <w:rPr>
          <w:b/>
        </w:rPr>
      </w:pPr>
      <w:r>
        <w:rPr>
          <w:b/>
        </w:rPr>
        <w:t>CLUB</w:t>
      </w:r>
      <w:r w:rsidR="003F4F8D">
        <w:rPr>
          <w:b/>
        </w:rPr>
        <w:t>:</w:t>
      </w:r>
      <w:r w:rsidR="003F4F8D">
        <w:rPr>
          <w:b/>
        </w:rPr>
        <w:tab/>
      </w:r>
      <w:r w:rsidR="00894DB0" w:rsidRPr="001E3193">
        <w:t xml:space="preserve">Sierra Club </w:t>
      </w:r>
      <w:r w:rsidR="00894DB0">
        <w:t xml:space="preserve">takes no position on this issue, beyond supporting TECO maximizing its eligibility for </w:t>
      </w:r>
      <w:r w:rsidR="00931594">
        <w:t>PTCs</w:t>
      </w:r>
      <w:r w:rsidR="00894DB0">
        <w:t xml:space="preserve"> and passing on the savings from those tax credits to residential customers, who face the highest energy burdens from TECO’s high bills.</w:t>
      </w:r>
    </w:p>
    <w:p w14:paraId="73E8CE49" w14:textId="77777777" w:rsidR="003F4F8D" w:rsidRDefault="003F4F8D" w:rsidP="003F4F8D">
      <w:pPr>
        <w:ind w:left="1440" w:hanging="1440"/>
        <w:jc w:val="both"/>
        <w:rPr>
          <w:b/>
        </w:rPr>
      </w:pPr>
    </w:p>
    <w:p w14:paraId="453EB2A4" w14:textId="668A0F00" w:rsidR="003F4F8D" w:rsidRDefault="003F4F8D" w:rsidP="003F4F8D">
      <w:pPr>
        <w:ind w:left="1440" w:hanging="1440"/>
        <w:jc w:val="both"/>
        <w:rPr>
          <w:b/>
        </w:rPr>
      </w:pPr>
      <w:r>
        <w:rPr>
          <w:b/>
        </w:rPr>
        <w:t>FRF:</w:t>
      </w:r>
      <w:r>
        <w:rPr>
          <w:b/>
        </w:rPr>
        <w:tab/>
      </w:r>
      <w:r w:rsidR="00EC61E4">
        <w:t>Agree</w:t>
      </w:r>
      <w:r w:rsidR="00931594">
        <w:t>s</w:t>
      </w:r>
      <w:r w:rsidR="00EC61E4">
        <w:t xml:space="preserve"> with OPC.</w:t>
      </w:r>
    </w:p>
    <w:p w14:paraId="11581B9E" w14:textId="77777777" w:rsidR="003F4F8D" w:rsidRDefault="003F4F8D" w:rsidP="003F4F8D">
      <w:pPr>
        <w:ind w:left="1440" w:hanging="1440"/>
        <w:jc w:val="both"/>
        <w:rPr>
          <w:b/>
        </w:rPr>
      </w:pPr>
    </w:p>
    <w:p w14:paraId="00FD14D0" w14:textId="77777777" w:rsidR="00A14A11" w:rsidRDefault="00C0182D" w:rsidP="003F4F8D">
      <w:pPr>
        <w:ind w:left="1440" w:hanging="1440"/>
        <w:jc w:val="both"/>
        <w:rPr>
          <w:b/>
        </w:rPr>
      </w:pPr>
      <w:r>
        <w:rPr>
          <w:b/>
        </w:rPr>
        <w:t xml:space="preserve">FUEL </w:t>
      </w:r>
    </w:p>
    <w:p w14:paraId="7C282E4C" w14:textId="25B547A2" w:rsidR="003F4F8D" w:rsidRDefault="00C0182D" w:rsidP="003F4F8D">
      <w:pPr>
        <w:ind w:left="1440" w:hanging="1440"/>
        <w:jc w:val="both"/>
      </w:pPr>
      <w:r>
        <w:rPr>
          <w:b/>
        </w:rPr>
        <w:t>RETAILERS</w:t>
      </w:r>
      <w:r w:rsidR="003F4F8D">
        <w:rPr>
          <w:b/>
        </w:rPr>
        <w:t>:</w:t>
      </w:r>
      <w:r w:rsidR="00A14A11">
        <w:rPr>
          <w:b/>
        </w:rPr>
        <w:t xml:space="preserve"> </w:t>
      </w:r>
      <w:r w:rsidR="009A7E64" w:rsidRPr="00132664">
        <w:t xml:space="preserve">No </w:t>
      </w:r>
      <w:r w:rsidR="00931594">
        <w:t>p</w:t>
      </w:r>
      <w:r w:rsidR="009A7E64" w:rsidRPr="00132664">
        <w:t>osition.</w:t>
      </w:r>
    </w:p>
    <w:p w14:paraId="2C8518C4" w14:textId="77777777" w:rsidR="005A6478" w:rsidRDefault="005A6478" w:rsidP="003F4F8D">
      <w:pPr>
        <w:ind w:left="1440" w:hanging="1440"/>
        <w:jc w:val="both"/>
      </w:pPr>
    </w:p>
    <w:p w14:paraId="0913D420" w14:textId="51D3FC5C" w:rsidR="005A6478" w:rsidRPr="005A6478" w:rsidRDefault="00FD408B" w:rsidP="003F4F8D">
      <w:pPr>
        <w:ind w:left="1440" w:hanging="1440"/>
        <w:jc w:val="both"/>
        <w:rPr>
          <w:b/>
        </w:rPr>
      </w:pPr>
      <w:r>
        <w:rPr>
          <w:b/>
        </w:rPr>
        <w:t>WALMART</w:t>
      </w:r>
      <w:r w:rsidR="005A6478">
        <w:rPr>
          <w:b/>
        </w:rPr>
        <w:t>:</w:t>
      </w:r>
      <w:r w:rsidR="005A6478">
        <w:rPr>
          <w:b/>
        </w:rPr>
        <w:tab/>
      </w:r>
      <w:r w:rsidR="00931594">
        <w:t>A</w:t>
      </w:r>
      <w:r w:rsidR="005A6478">
        <w:t>grees with OPC.</w:t>
      </w:r>
    </w:p>
    <w:p w14:paraId="58BD7696" w14:textId="77777777" w:rsidR="003F4F8D" w:rsidRPr="00701945" w:rsidRDefault="003F4F8D" w:rsidP="003F4F8D">
      <w:pPr>
        <w:jc w:val="both"/>
      </w:pPr>
    </w:p>
    <w:p w14:paraId="777B43B6" w14:textId="77777777" w:rsidR="003F4F8D" w:rsidRPr="005D4B47" w:rsidRDefault="003F4F8D" w:rsidP="003F4F8D">
      <w:pPr>
        <w:ind w:left="1440" w:hanging="1440"/>
        <w:jc w:val="both"/>
        <w:rPr>
          <w:b/>
          <w:bCs/>
        </w:rPr>
      </w:pPr>
      <w:r>
        <w:rPr>
          <w:b/>
          <w:bCs/>
        </w:rPr>
        <w:t>STAFF:</w:t>
      </w:r>
      <w:r>
        <w:rPr>
          <w:b/>
          <w:bCs/>
        </w:rPr>
        <w:tab/>
      </w:r>
      <w:r w:rsidR="002C290E">
        <w:t>No position at this time.</w:t>
      </w:r>
    </w:p>
    <w:p w14:paraId="4EE19A8C" w14:textId="77777777" w:rsidR="003F4F8D" w:rsidRDefault="003F4F8D" w:rsidP="00C7699A">
      <w:pPr>
        <w:jc w:val="both"/>
      </w:pPr>
    </w:p>
    <w:p w14:paraId="3FF2C965" w14:textId="77777777" w:rsidR="003F4F8D" w:rsidRDefault="003F4F8D" w:rsidP="00C7699A">
      <w:pPr>
        <w:jc w:val="both"/>
      </w:pPr>
    </w:p>
    <w:p w14:paraId="60250E0B" w14:textId="77777777" w:rsidR="003F4F8D" w:rsidRPr="00760498" w:rsidRDefault="00760498" w:rsidP="003F4F8D">
      <w:pPr>
        <w:ind w:left="1440" w:hanging="1440"/>
        <w:jc w:val="both"/>
        <w:rPr>
          <w:b/>
        </w:rPr>
      </w:pPr>
      <w:r>
        <w:rPr>
          <w:b/>
          <w:bCs/>
        </w:rPr>
        <w:lastRenderedPageBreak/>
        <w:t>ISSUE 64</w:t>
      </w:r>
      <w:r w:rsidR="003F4F8D" w:rsidRPr="00701945">
        <w:rPr>
          <w:b/>
          <w:bCs/>
        </w:rPr>
        <w:t>:</w:t>
      </w:r>
      <w:r w:rsidR="003F4F8D" w:rsidRPr="00701945">
        <w:tab/>
      </w:r>
      <w:r w:rsidRPr="00760498">
        <w:rPr>
          <w:b/>
          <w:bCs/>
        </w:rPr>
        <w:t>What treatment, amounts, and amortization period for the Production Tax Credits that were deferred in 2022-2024 should be approved for the 2025 projected test year?</w:t>
      </w:r>
    </w:p>
    <w:p w14:paraId="08989A7C" w14:textId="77777777" w:rsidR="003F4F8D" w:rsidRPr="00701945" w:rsidRDefault="003F4F8D" w:rsidP="003F4F8D">
      <w:pPr>
        <w:jc w:val="both"/>
      </w:pPr>
    </w:p>
    <w:p w14:paraId="616B3C65" w14:textId="75DCAF40" w:rsidR="003F4F8D" w:rsidRPr="005D4B47" w:rsidRDefault="003F4F8D" w:rsidP="003F4F8D">
      <w:pPr>
        <w:ind w:left="1440" w:hanging="1440"/>
        <w:jc w:val="both"/>
      </w:pPr>
      <w:r>
        <w:rPr>
          <w:b/>
          <w:bCs/>
        </w:rPr>
        <w:t>TECO</w:t>
      </w:r>
      <w:r w:rsidRPr="005D4B47">
        <w:rPr>
          <w:b/>
          <w:bCs/>
        </w:rPr>
        <w:t>:</w:t>
      </w:r>
      <w:r w:rsidRPr="005D4B47">
        <w:tab/>
      </w:r>
      <w:r w:rsidR="00760498">
        <w:t>As of December 31, 2024, the regulatory liability for “deferred” PTC</w:t>
      </w:r>
      <w:r w:rsidR="00F51F30">
        <w:t>s</w:t>
      </w:r>
      <w:r w:rsidR="00760498">
        <w:t xml:space="preserve"> from 2022 to 2024 is expected to be approximately $55.3 million. The Commission should approve this amount, a ten-year amortization period, and a resulting $5.5 million </w:t>
      </w:r>
      <w:r w:rsidR="00AD3A10" w:rsidRPr="00AD3A10">
        <w:t xml:space="preserve">Net Operating Income </w:t>
      </w:r>
      <w:r w:rsidR="00AD3A10">
        <w:t>(</w:t>
      </w:r>
      <w:r w:rsidR="00760498">
        <w:t>NOI</w:t>
      </w:r>
      <w:r w:rsidR="00AD3A10">
        <w:t>)</w:t>
      </w:r>
      <w:r w:rsidR="00760498">
        <w:t xml:space="preserve"> reduction for the projected 2025 test year.</w:t>
      </w:r>
      <w:r w:rsidR="00760498" w:rsidRPr="003F2839">
        <w:t xml:space="preserve"> </w:t>
      </w:r>
      <w:r w:rsidR="00760498">
        <w:t xml:space="preserve">The three-year amortization period for </w:t>
      </w:r>
      <w:r w:rsidR="00626CF3">
        <w:t>deferred PTC</w:t>
      </w:r>
      <w:r w:rsidR="00F51F30">
        <w:t>s</w:t>
      </w:r>
      <w:r w:rsidR="00760498">
        <w:t xml:space="preserve"> proposed by OPC is too short, would create intergenerational inequities and an abnormal ratemaking earnings profile, and should be rejected.</w:t>
      </w:r>
      <w:r w:rsidR="00626CF3">
        <w:t xml:space="preserve">  The regulatory liability recorded by the company should not be increased by a carrying charge, because the meaning of the “normalization” requirement for new tax credits in the 2021 was in dispute and is similar to a gain on the sale of assets, which does not accrue a carrying charge. If a carrying charge for the regulatory liability is implemented, then the 13-month </w:t>
      </w:r>
      <w:r w:rsidR="00CB1901">
        <w:t>average</w:t>
      </w:r>
      <w:r w:rsidR="00626CF3">
        <w:t xml:space="preserve"> of the regulatory liability should be removed from </w:t>
      </w:r>
      <w:r w:rsidR="00CB1901">
        <w:t>Jurisdictional</w:t>
      </w:r>
      <w:r w:rsidR="00626CF3">
        <w:t xml:space="preserve"> Adjusted Rate Base so that the revenue requirement reduction is not done twice.</w:t>
      </w:r>
      <w:r w:rsidR="00760498">
        <w:t xml:space="preserve"> (Strickland, Chronister)</w:t>
      </w:r>
    </w:p>
    <w:p w14:paraId="69F8D51E" w14:textId="77777777" w:rsidR="003F4F8D" w:rsidRPr="00701945" w:rsidRDefault="003F4F8D" w:rsidP="003F4F8D">
      <w:pPr>
        <w:jc w:val="both"/>
      </w:pPr>
    </w:p>
    <w:p w14:paraId="0A14C55B" w14:textId="538B082F" w:rsidR="003F4F8D" w:rsidRDefault="003F4F8D" w:rsidP="003F4F8D">
      <w:pPr>
        <w:ind w:left="1440" w:hanging="1440"/>
        <w:jc w:val="both"/>
      </w:pPr>
      <w:r>
        <w:rPr>
          <w:b/>
          <w:bCs/>
        </w:rPr>
        <w:t>OPC</w:t>
      </w:r>
      <w:r w:rsidRPr="00701945">
        <w:rPr>
          <w:b/>
          <w:bCs/>
        </w:rPr>
        <w:t>:</w:t>
      </w:r>
      <w:r>
        <w:tab/>
      </w:r>
      <w:r w:rsidR="00B767D8">
        <w:rPr>
          <w:rFonts w:ascii="TimesNewRomanPSMT" w:hAnsi="TimesNewRomanPSMT" w:cs="TimesNewRomanPSMT"/>
        </w:rPr>
        <w:t xml:space="preserve">TECO </w:t>
      </w:r>
      <w:r w:rsidR="00576561">
        <w:t>deferred $41.150 million in PTCs in excess of ITCs applicable to the years 2022</w:t>
      </w:r>
      <w:r w:rsidR="00B767D8">
        <w:t>–</w:t>
      </w:r>
      <w:r w:rsidR="00576561">
        <w:t>2024. </w:t>
      </w:r>
      <w:r w:rsidR="00576561">
        <w:rPr>
          <w:rFonts w:ascii="TimesNewRomanPSMT" w:hAnsi="TimesNewRomanPSMT"/>
        </w:rPr>
        <w:t xml:space="preserve">The Commission should compensate customers for carrying costs on the deferred PTCs by adding the deferred carrying costs calculated at the allowed return from the prior rate case to the regulatory liability. Carrying charges of $3.437 </w:t>
      </w:r>
      <w:r w:rsidR="00576561">
        <w:t>million</w:t>
      </w:r>
      <w:r w:rsidR="00576561">
        <w:rPr>
          <w:rFonts w:ascii="TimesNewRomanPSMT" w:hAnsi="TimesNewRomanPSMT"/>
        </w:rPr>
        <w:t xml:space="preserve"> should be added to deferral balance making it sum to $44.587 </w:t>
      </w:r>
      <w:r w:rsidR="00576561">
        <w:t>million</w:t>
      </w:r>
      <w:r w:rsidR="00576561">
        <w:rPr>
          <w:rFonts w:ascii="TimesNewRomanPSMT" w:hAnsi="TimesNewRomanPSMT"/>
        </w:rPr>
        <w:t xml:space="preserve">. After gross-up for income taxes, the balance </w:t>
      </w:r>
      <w:r w:rsidR="00054AF8">
        <w:rPr>
          <w:rFonts w:ascii="TimesNewRomanPSMT" w:hAnsi="TimesNewRomanPSMT"/>
        </w:rPr>
        <w:t>returned</w:t>
      </w:r>
      <w:r w:rsidR="00576561">
        <w:rPr>
          <w:rFonts w:ascii="TimesNewRomanPSMT" w:hAnsi="TimesNewRomanPSMT"/>
        </w:rPr>
        <w:t xml:space="preserve"> to customers should be $59.844 </w:t>
      </w:r>
      <w:r w:rsidR="00576561">
        <w:t>million</w:t>
      </w:r>
      <w:r w:rsidR="00576561">
        <w:rPr>
          <w:rFonts w:ascii="TimesNewRomanPSMT" w:hAnsi="TimesNewRomanPSMT"/>
        </w:rPr>
        <w:t xml:space="preserve"> (total </w:t>
      </w:r>
      <w:r w:rsidR="00B767D8">
        <w:rPr>
          <w:rFonts w:ascii="TimesNewRomanPSMT" w:hAnsi="TimesNewRomanPSMT"/>
        </w:rPr>
        <w:t>TECO</w:t>
      </w:r>
      <w:r w:rsidR="00576561">
        <w:rPr>
          <w:rFonts w:ascii="TimesNewRomanPSMT" w:hAnsi="TimesNewRomanPSMT"/>
        </w:rPr>
        <w:t xml:space="preserve">) and $59.634 </w:t>
      </w:r>
      <w:r w:rsidR="00576561">
        <w:t>million</w:t>
      </w:r>
      <w:r w:rsidR="00576561">
        <w:rPr>
          <w:rFonts w:ascii="TimesNewRomanPSMT" w:hAnsi="TimesNewRomanPSMT"/>
        </w:rPr>
        <w:t xml:space="preserve"> (jurisdictional). The effects of the carrying charges addition are a reduction of at least $0.887 </w:t>
      </w:r>
      <w:r w:rsidR="00576561">
        <w:t>million</w:t>
      </w:r>
      <w:r w:rsidR="00576561">
        <w:rPr>
          <w:rFonts w:ascii="TimesNewRomanPSMT" w:hAnsi="TimesNewRomanPSMT"/>
        </w:rPr>
        <w:t xml:space="preserve"> in the revenue requirement, assuming an amortization pe</w:t>
      </w:r>
      <w:r w:rsidR="00B767D8">
        <w:rPr>
          <w:rFonts w:ascii="TimesNewRomanPSMT" w:hAnsi="TimesNewRomanPSMT"/>
        </w:rPr>
        <w:t>riod of 10 years as filed by TECO</w:t>
      </w:r>
      <w:r w:rsidR="00576561">
        <w:rPr>
          <w:rFonts w:ascii="TimesNewRomanPSMT" w:hAnsi="TimesNewRomanPSMT"/>
        </w:rPr>
        <w:t xml:space="preserve">. The Commission should refund the regulatory liability, including the deferred return on the regulatory liability for the years 2022 through 2024, over a three-year amortization period. The effects are an additional reduction of at least $13.182 </w:t>
      </w:r>
      <w:r w:rsidR="00576561">
        <w:t>million</w:t>
      </w:r>
      <w:r w:rsidR="00576561">
        <w:rPr>
          <w:rFonts w:ascii="TimesNewRomanPSMT" w:hAnsi="TimesNewRomanPSMT"/>
        </w:rPr>
        <w:t xml:space="preserve"> in the claimed revenue requirement. The revenue requirement effects include the changes in amortization expense and the return effects of the changes of the deferred balances in rate base</w:t>
      </w:r>
      <w:r w:rsidR="00576561">
        <w:rPr>
          <w:rFonts w:ascii="TimesNewRomanPSMT" w:hAnsi="TimesNewRomanPSMT" w:cs="TimesNewRomanPSMT"/>
        </w:rPr>
        <w:t>.</w:t>
      </w:r>
    </w:p>
    <w:p w14:paraId="59E3E549" w14:textId="77777777" w:rsidR="003F4F8D" w:rsidRDefault="003F4F8D" w:rsidP="003F4F8D">
      <w:pPr>
        <w:ind w:left="1440" w:hanging="1440"/>
        <w:jc w:val="both"/>
      </w:pPr>
    </w:p>
    <w:p w14:paraId="16E00853" w14:textId="77777777" w:rsidR="003F4F8D" w:rsidRDefault="003F4F8D" w:rsidP="003F4F8D">
      <w:pPr>
        <w:ind w:left="1440" w:hanging="1440"/>
        <w:jc w:val="both"/>
        <w:rPr>
          <w:b/>
        </w:rPr>
      </w:pPr>
      <w:r>
        <w:rPr>
          <w:b/>
        </w:rPr>
        <w:t>FL RISING/</w:t>
      </w:r>
    </w:p>
    <w:p w14:paraId="2BAC13B9" w14:textId="424C631B" w:rsidR="003F4F8D" w:rsidRDefault="003F4F8D" w:rsidP="003F4F8D">
      <w:pPr>
        <w:ind w:left="1440" w:hanging="1440"/>
        <w:jc w:val="both"/>
        <w:rPr>
          <w:b/>
        </w:rPr>
      </w:pPr>
      <w:r>
        <w:rPr>
          <w:b/>
        </w:rPr>
        <w:t>LULAC:</w:t>
      </w:r>
      <w:r>
        <w:rPr>
          <w:b/>
        </w:rPr>
        <w:tab/>
      </w:r>
      <w:r w:rsidR="009B5CD3">
        <w:rPr>
          <w:bCs/>
        </w:rPr>
        <w:t>The PTCs</w:t>
      </w:r>
      <w:r w:rsidR="00746BD5">
        <w:rPr>
          <w:bCs/>
        </w:rPr>
        <w:t xml:space="preserve"> that were deferred in 2022–</w:t>
      </w:r>
      <w:r w:rsidR="009B5CD3">
        <w:rPr>
          <w:bCs/>
        </w:rPr>
        <w:t>2024 totaling $0.460 million should go to customers by adding the deferred carrying costs calculated at the allowed return from the prior case to the regulatory liability. The amortization period should be three years. (Kollen)</w:t>
      </w:r>
    </w:p>
    <w:p w14:paraId="037D6332" w14:textId="77777777" w:rsidR="003F4F8D" w:rsidRDefault="003F4F8D" w:rsidP="003F4F8D">
      <w:pPr>
        <w:ind w:left="1440" w:hanging="1440"/>
        <w:jc w:val="both"/>
        <w:rPr>
          <w:b/>
        </w:rPr>
      </w:pPr>
    </w:p>
    <w:p w14:paraId="7C533779" w14:textId="41D5BD4F" w:rsidR="003F4F8D" w:rsidRDefault="003F4F8D" w:rsidP="003F4F8D">
      <w:pPr>
        <w:ind w:left="1440" w:hanging="1440"/>
        <w:jc w:val="both"/>
        <w:rPr>
          <w:b/>
        </w:rPr>
      </w:pPr>
      <w:r>
        <w:rPr>
          <w:b/>
        </w:rPr>
        <w:t>FIPUG:</w:t>
      </w:r>
      <w:r>
        <w:rPr>
          <w:b/>
        </w:rPr>
        <w:tab/>
      </w:r>
      <w:r w:rsidR="0099233E">
        <w:rPr>
          <w:bCs/>
        </w:rPr>
        <w:t>Adopt</w:t>
      </w:r>
      <w:r w:rsidR="00F33986">
        <w:rPr>
          <w:bCs/>
        </w:rPr>
        <w:t>s</w:t>
      </w:r>
      <w:r w:rsidR="0099233E">
        <w:rPr>
          <w:bCs/>
        </w:rPr>
        <w:t xml:space="preserve"> the position of OPC.</w:t>
      </w:r>
    </w:p>
    <w:p w14:paraId="1F8413A5" w14:textId="77777777" w:rsidR="003F4F8D" w:rsidRDefault="003F4F8D" w:rsidP="003F4F8D">
      <w:pPr>
        <w:ind w:left="1440" w:hanging="1440"/>
        <w:jc w:val="both"/>
        <w:rPr>
          <w:b/>
        </w:rPr>
      </w:pPr>
    </w:p>
    <w:p w14:paraId="28F26FFE" w14:textId="65BAAB51" w:rsidR="003F4F8D" w:rsidRDefault="003F4F8D" w:rsidP="003F4F8D">
      <w:pPr>
        <w:ind w:left="1440" w:hanging="1440"/>
        <w:jc w:val="both"/>
        <w:rPr>
          <w:b/>
        </w:rPr>
      </w:pPr>
      <w:r>
        <w:rPr>
          <w:b/>
        </w:rPr>
        <w:t>FEA:</w:t>
      </w:r>
      <w:r>
        <w:rPr>
          <w:b/>
        </w:rPr>
        <w:tab/>
      </w:r>
      <w:r w:rsidR="00ED7363">
        <w:t>No position.</w:t>
      </w:r>
    </w:p>
    <w:p w14:paraId="77BF2EF3" w14:textId="77777777" w:rsidR="003F4F8D" w:rsidRDefault="003F4F8D" w:rsidP="003F4F8D">
      <w:pPr>
        <w:ind w:left="1440" w:hanging="1440"/>
        <w:jc w:val="both"/>
        <w:rPr>
          <w:b/>
        </w:rPr>
      </w:pPr>
    </w:p>
    <w:p w14:paraId="210EE5FF" w14:textId="77777777" w:rsidR="00A14A11" w:rsidRDefault="00764960" w:rsidP="003F4F8D">
      <w:pPr>
        <w:ind w:left="1440" w:hanging="1440"/>
        <w:jc w:val="both"/>
        <w:rPr>
          <w:b/>
        </w:rPr>
      </w:pPr>
      <w:r>
        <w:rPr>
          <w:b/>
        </w:rPr>
        <w:lastRenderedPageBreak/>
        <w:t xml:space="preserve">SIERRA </w:t>
      </w:r>
    </w:p>
    <w:p w14:paraId="7C790BA5" w14:textId="62C0FF4C" w:rsidR="003F4F8D" w:rsidRDefault="00764960" w:rsidP="003F4F8D">
      <w:pPr>
        <w:ind w:left="1440" w:hanging="1440"/>
        <w:jc w:val="both"/>
        <w:rPr>
          <w:b/>
        </w:rPr>
      </w:pPr>
      <w:r>
        <w:rPr>
          <w:b/>
        </w:rPr>
        <w:t>CLUB</w:t>
      </w:r>
      <w:r w:rsidR="003F4F8D">
        <w:rPr>
          <w:b/>
        </w:rPr>
        <w:t>:</w:t>
      </w:r>
      <w:r w:rsidR="003F4F8D">
        <w:rPr>
          <w:b/>
        </w:rPr>
        <w:tab/>
      </w:r>
      <w:r w:rsidR="00ED7363">
        <w:t>No position.</w:t>
      </w:r>
    </w:p>
    <w:p w14:paraId="4AC0C462" w14:textId="77777777" w:rsidR="003F4F8D" w:rsidRDefault="003F4F8D" w:rsidP="003F4F8D">
      <w:pPr>
        <w:ind w:left="1440" w:hanging="1440"/>
        <w:jc w:val="both"/>
        <w:rPr>
          <w:b/>
        </w:rPr>
      </w:pPr>
    </w:p>
    <w:p w14:paraId="603ABECA" w14:textId="3452B90D" w:rsidR="003F4F8D" w:rsidRDefault="003F4F8D" w:rsidP="003F4F8D">
      <w:pPr>
        <w:ind w:left="1440" w:hanging="1440"/>
        <w:jc w:val="both"/>
        <w:rPr>
          <w:b/>
        </w:rPr>
      </w:pPr>
      <w:r>
        <w:rPr>
          <w:b/>
        </w:rPr>
        <w:t>FRF:</w:t>
      </w:r>
      <w:r>
        <w:rPr>
          <w:b/>
        </w:rPr>
        <w:tab/>
      </w:r>
      <w:r w:rsidR="00EC61E4">
        <w:t>Agree</w:t>
      </w:r>
      <w:r w:rsidR="00ED7363">
        <w:t>s</w:t>
      </w:r>
      <w:r w:rsidR="00EC61E4">
        <w:t xml:space="preserve"> with OPC.</w:t>
      </w:r>
    </w:p>
    <w:p w14:paraId="48B62765" w14:textId="77777777" w:rsidR="003F4F8D" w:rsidRDefault="003F4F8D" w:rsidP="003F4F8D">
      <w:pPr>
        <w:ind w:left="1440" w:hanging="1440"/>
        <w:jc w:val="both"/>
        <w:rPr>
          <w:b/>
        </w:rPr>
      </w:pPr>
    </w:p>
    <w:p w14:paraId="3E39259A" w14:textId="77777777" w:rsidR="00A14A11" w:rsidRDefault="00C0182D" w:rsidP="003F4F8D">
      <w:pPr>
        <w:ind w:left="1440" w:hanging="1440"/>
        <w:jc w:val="both"/>
        <w:rPr>
          <w:b/>
        </w:rPr>
      </w:pPr>
      <w:r>
        <w:rPr>
          <w:b/>
        </w:rPr>
        <w:t xml:space="preserve">FUEL </w:t>
      </w:r>
    </w:p>
    <w:p w14:paraId="0F1229A2" w14:textId="6FFAB86D" w:rsidR="003F4F8D" w:rsidRDefault="00C0182D" w:rsidP="003F4F8D">
      <w:pPr>
        <w:ind w:left="1440" w:hanging="1440"/>
        <w:jc w:val="both"/>
      </w:pPr>
      <w:r>
        <w:rPr>
          <w:b/>
        </w:rPr>
        <w:t>RETAILERS</w:t>
      </w:r>
      <w:r w:rsidR="003F4F8D">
        <w:rPr>
          <w:b/>
        </w:rPr>
        <w:t>:</w:t>
      </w:r>
      <w:r w:rsidR="00A14A11">
        <w:rPr>
          <w:b/>
        </w:rPr>
        <w:t xml:space="preserve"> </w:t>
      </w:r>
      <w:r w:rsidR="009A7E64" w:rsidRPr="00132664">
        <w:t xml:space="preserve">No </w:t>
      </w:r>
      <w:r w:rsidR="00ED7363">
        <w:t>p</w:t>
      </w:r>
      <w:r w:rsidR="009A7E64" w:rsidRPr="00132664">
        <w:t>osition.</w:t>
      </w:r>
    </w:p>
    <w:p w14:paraId="46D3DA75" w14:textId="77777777" w:rsidR="005A6478" w:rsidRDefault="005A6478" w:rsidP="003F4F8D">
      <w:pPr>
        <w:ind w:left="1440" w:hanging="1440"/>
        <w:jc w:val="both"/>
      </w:pPr>
    </w:p>
    <w:p w14:paraId="48709398" w14:textId="441A447B" w:rsidR="005A6478" w:rsidRPr="005A6478" w:rsidRDefault="00FD408B" w:rsidP="003F4F8D">
      <w:pPr>
        <w:ind w:left="1440" w:hanging="1440"/>
        <w:jc w:val="both"/>
        <w:rPr>
          <w:b/>
        </w:rPr>
      </w:pPr>
      <w:r>
        <w:rPr>
          <w:b/>
        </w:rPr>
        <w:t>WALMART</w:t>
      </w:r>
      <w:r w:rsidR="005A6478">
        <w:rPr>
          <w:b/>
        </w:rPr>
        <w:t>:</w:t>
      </w:r>
      <w:r w:rsidR="005A6478">
        <w:rPr>
          <w:b/>
        </w:rPr>
        <w:tab/>
      </w:r>
      <w:r w:rsidR="00ED7363">
        <w:t>A</w:t>
      </w:r>
      <w:r w:rsidR="005A6478">
        <w:t>grees with OPC.</w:t>
      </w:r>
    </w:p>
    <w:p w14:paraId="21DB06F0" w14:textId="77777777" w:rsidR="003F4F8D" w:rsidRPr="00701945" w:rsidRDefault="003F4F8D" w:rsidP="003F4F8D">
      <w:pPr>
        <w:jc w:val="both"/>
      </w:pPr>
    </w:p>
    <w:p w14:paraId="6AA5DB0F" w14:textId="77777777" w:rsidR="003F4F8D" w:rsidRPr="005D4B47" w:rsidRDefault="003F4F8D" w:rsidP="003F4F8D">
      <w:pPr>
        <w:ind w:left="1440" w:hanging="1440"/>
        <w:jc w:val="both"/>
        <w:rPr>
          <w:b/>
          <w:bCs/>
        </w:rPr>
      </w:pPr>
      <w:r>
        <w:rPr>
          <w:b/>
          <w:bCs/>
        </w:rPr>
        <w:t>STAFF:</w:t>
      </w:r>
      <w:r>
        <w:rPr>
          <w:b/>
          <w:bCs/>
        </w:rPr>
        <w:tab/>
      </w:r>
      <w:r w:rsidR="002C290E">
        <w:t>No position at this time.</w:t>
      </w:r>
    </w:p>
    <w:p w14:paraId="77D1BF4A" w14:textId="77777777" w:rsidR="003F4F8D" w:rsidRDefault="003F4F8D" w:rsidP="00C7699A">
      <w:pPr>
        <w:jc w:val="both"/>
      </w:pPr>
    </w:p>
    <w:p w14:paraId="44A468DA" w14:textId="77777777" w:rsidR="003F4F8D" w:rsidRDefault="003F4F8D" w:rsidP="00C7699A">
      <w:pPr>
        <w:jc w:val="both"/>
      </w:pPr>
    </w:p>
    <w:p w14:paraId="72574D7B" w14:textId="77777777" w:rsidR="003F4F8D" w:rsidRPr="00760498" w:rsidRDefault="00760498" w:rsidP="003F4F8D">
      <w:pPr>
        <w:ind w:left="1440" w:hanging="1440"/>
        <w:jc w:val="both"/>
        <w:rPr>
          <w:b/>
        </w:rPr>
      </w:pPr>
      <w:r>
        <w:rPr>
          <w:b/>
          <w:bCs/>
        </w:rPr>
        <w:t>ISSUE 65</w:t>
      </w:r>
      <w:r w:rsidR="003F4F8D" w:rsidRPr="00701945">
        <w:rPr>
          <w:b/>
          <w:bCs/>
        </w:rPr>
        <w:t>:</w:t>
      </w:r>
      <w:r w:rsidR="003F4F8D" w:rsidRPr="00701945">
        <w:tab/>
      </w:r>
      <w:r w:rsidRPr="00760498">
        <w:rPr>
          <w:b/>
          <w:bCs/>
        </w:rPr>
        <w:t xml:space="preserve">What treatment and amount of the Investment Tax Credits pursuant to the Inflation Reduction Act should be approved </w:t>
      </w:r>
      <w:r w:rsidRPr="00760498">
        <w:rPr>
          <w:b/>
        </w:rPr>
        <w:t xml:space="preserve">for the </w:t>
      </w:r>
      <w:r w:rsidRPr="00760498">
        <w:rPr>
          <w:b/>
          <w:bCs/>
        </w:rPr>
        <w:t>2025 projected test year?</w:t>
      </w:r>
    </w:p>
    <w:p w14:paraId="1A44632B" w14:textId="77777777" w:rsidR="003F4F8D" w:rsidRPr="00701945" w:rsidRDefault="003F4F8D" w:rsidP="003F4F8D">
      <w:pPr>
        <w:jc w:val="both"/>
      </w:pPr>
    </w:p>
    <w:p w14:paraId="4C9D2949" w14:textId="44B221B5" w:rsidR="003F4F8D" w:rsidRPr="005D4B47" w:rsidRDefault="003F4F8D" w:rsidP="003F4F8D">
      <w:pPr>
        <w:ind w:left="1440" w:hanging="1440"/>
        <w:jc w:val="both"/>
      </w:pPr>
      <w:r>
        <w:rPr>
          <w:b/>
          <w:bCs/>
        </w:rPr>
        <w:t>TECO</w:t>
      </w:r>
      <w:r w:rsidRPr="005D4B47">
        <w:rPr>
          <w:b/>
          <w:bCs/>
        </w:rPr>
        <w:t>:</w:t>
      </w:r>
      <w:r w:rsidRPr="005D4B47">
        <w:tab/>
      </w:r>
      <w:r w:rsidR="00760498">
        <w:t>The Commission should approve normalization (amortization over book depreciation life) of deferred ITC</w:t>
      </w:r>
      <w:r w:rsidR="00132A06">
        <w:t>s</w:t>
      </w:r>
      <w:r w:rsidR="00760498">
        <w:t xml:space="preserve"> for solar and energy storage devices, because it is required under </w:t>
      </w:r>
      <w:r w:rsidR="005352B7">
        <w:t>U.S. Internal Revenue Service (</w:t>
      </w:r>
      <w:r w:rsidR="00760498">
        <w:t>IRS</w:t>
      </w:r>
      <w:r w:rsidR="005352B7">
        <w:t>)</w:t>
      </w:r>
      <w:r w:rsidR="00760498">
        <w:t xml:space="preserve"> requirements for solar and for energy storage because it avoids intergenerational inequities by allowing the customers who will pay for the assets to enjoy the benefit of the tax credits over the life of the assets. For solar generating facilities placed in service before 2022, the Commission should approve ITC amortization based on a 30-year proposed book depreciation life that reduces income tax expense by $9.9 million for the projected 2025 test year. For the ITC associated with energy storage facilities, the Commission should approve ITC amortization based on a 10-year proposed book depreciation life that reduces test year income tax expense by $3 million</w:t>
      </w:r>
      <w:r w:rsidR="00DD7AE9">
        <w:t xml:space="preserve"> ($2.8 million based on the July and August Filings)</w:t>
      </w:r>
      <w:r w:rsidR="00760498">
        <w:t xml:space="preserve"> for the projected 2025 test year. The amortization periods for solar and storage should be adjusted to reflect the book depreciation lives approved by the Commission in this case. </w:t>
      </w:r>
      <w:bookmarkStart w:id="14" w:name="_Hlk171949969"/>
      <w:r w:rsidR="00760498">
        <w:t xml:space="preserve">If the Commission requires </w:t>
      </w:r>
      <w:r w:rsidR="00242BEB">
        <w:t>TECO</w:t>
      </w:r>
      <w:r w:rsidR="00760498">
        <w:t xml:space="preserve"> to opt-out of normalization for energy storage ITC, the three-year amortization period for battery storage proposed by OPC is too short, would create intergenerational inequities and an abnormal ratemaking earnings profile, and should be rejected. </w:t>
      </w:r>
      <w:bookmarkEnd w:id="14"/>
      <w:r w:rsidR="00760498">
        <w:t>(Strickland, Chronister)</w:t>
      </w:r>
    </w:p>
    <w:p w14:paraId="4445A5FE" w14:textId="77777777" w:rsidR="003F4F8D" w:rsidRPr="00701945" w:rsidRDefault="003F4F8D" w:rsidP="003F4F8D">
      <w:pPr>
        <w:jc w:val="both"/>
      </w:pPr>
    </w:p>
    <w:p w14:paraId="3EFDDE43" w14:textId="6FC53EA4" w:rsidR="003F4F8D" w:rsidRDefault="003F4F8D" w:rsidP="003F4F8D">
      <w:pPr>
        <w:ind w:left="1440" w:hanging="1440"/>
        <w:jc w:val="both"/>
      </w:pPr>
      <w:r>
        <w:rPr>
          <w:b/>
          <w:bCs/>
        </w:rPr>
        <w:t>OPC</w:t>
      </w:r>
      <w:r w:rsidRPr="00701945">
        <w:rPr>
          <w:b/>
          <w:bCs/>
        </w:rPr>
        <w:t>:</w:t>
      </w:r>
      <w:r>
        <w:tab/>
      </w:r>
      <w:r w:rsidR="00054AF8">
        <w:rPr>
          <w:rFonts w:ascii="TimesNewRomanPSMT" w:hAnsi="TimesNewRomanPSMT" w:cs="TimesNewRomanPSMT"/>
        </w:rPr>
        <w:t>The Commission sh</w:t>
      </w:r>
      <w:r w:rsidR="00575E38">
        <w:rPr>
          <w:rFonts w:ascii="TimesNewRomanPSMT" w:hAnsi="TimesNewRomanPSMT" w:cs="TimesNewRomanPSMT"/>
        </w:rPr>
        <w:t xml:space="preserve">ould reflect the ITCs as if TECO </w:t>
      </w:r>
      <w:r w:rsidR="00054AF8">
        <w:rPr>
          <w:rFonts w:ascii="TimesNewRomanPSMT" w:hAnsi="TimesNewRomanPSMT" w:cs="TimesNewRomanPSMT"/>
        </w:rPr>
        <w:t>elected and will continue to elect out of the normalization requirements.</w:t>
      </w:r>
      <w:r w:rsidR="00054AF8" w:rsidRPr="00381364">
        <w:rPr>
          <w:rFonts w:ascii="TimesNewRomanPSMT" w:hAnsi="TimesNewRomanPSMT" w:cs="TimesNewRomanPSMT"/>
        </w:rPr>
        <w:t xml:space="preserve"> </w:t>
      </w:r>
      <w:r w:rsidR="00BF5C55">
        <w:rPr>
          <w:rFonts w:ascii="TimesNewRomanPSMT" w:hAnsi="TimesNewRomanPSMT" w:cs="TimesNewRomanPSMT"/>
        </w:rPr>
        <w:t xml:space="preserve">If TECO </w:t>
      </w:r>
      <w:r w:rsidR="00054AF8">
        <w:rPr>
          <w:rFonts w:ascii="TimesNewRomanPSMT" w:hAnsi="TimesNewRomanPSMT" w:cs="TimesNewRomanPSMT"/>
        </w:rPr>
        <w:t xml:space="preserve">is unwilling to elect out of the normalization requirements each year, then the Commission should reduce the </w:t>
      </w:r>
      <w:r w:rsidR="00BF5C55">
        <w:rPr>
          <w:rFonts w:ascii="TimesNewRomanPSMT" w:hAnsi="TimesNewRomanPSMT" w:cs="TimesNewRomanPSMT"/>
        </w:rPr>
        <w:t>c</w:t>
      </w:r>
      <w:r w:rsidR="00054AF8">
        <w:rPr>
          <w:rFonts w:ascii="TimesNewRomanPSMT" w:hAnsi="TimesNewRomanPSMT" w:cs="TimesNewRomanPSMT"/>
        </w:rPr>
        <w:t xml:space="preserve">ompany’s authorized </w:t>
      </w:r>
      <w:r w:rsidR="00BF5C55">
        <w:rPr>
          <w:rFonts w:ascii="TimesNewRomanPSMT" w:hAnsi="TimesNewRomanPSMT" w:cs="TimesNewRomanPSMT"/>
        </w:rPr>
        <w:t>ROE</w:t>
      </w:r>
      <w:r w:rsidR="00054AF8">
        <w:rPr>
          <w:rFonts w:ascii="TimesNewRomanPSMT" w:hAnsi="TimesNewRomanPSMT" w:cs="TimesNewRomanPSMT"/>
        </w:rPr>
        <w:t xml:space="preserve"> or some other form of penalty commensurate with the offense for taking this path of self-interest and self-dealing at the expense of, and harm to, its customers. The effects of the first recommendation are a reduction of $3.493 </w:t>
      </w:r>
      <w:r w:rsidR="00054AF8">
        <w:t>million</w:t>
      </w:r>
      <w:r w:rsidR="00054AF8">
        <w:rPr>
          <w:rFonts w:ascii="TimesNewRomanPSMT" w:hAnsi="TimesNewRomanPSMT" w:cs="TimesNewRomanPSMT"/>
        </w:rPr>
        <w:t xml:space="preserve"> in the revenue requirement and a reduction of $0.100 million in the CETM revenue requirement due to the reduction in the cost of capital by including the new ITCs since 2022 as cost-free capital in the capital structure instead of including the new ITCs at the weighted average cost of capital. The </w:t>
      </w:r>
      <w:r w:rsidR="00054AF8">
        <w:rPr>
          <w:rFonts w:ascii="TimesNewRomanPSMT" w:hAnsi="TimesNewRomanPSMT" w:cs="TimesNewRomanPSMT"/>
        </w:rPr>
        <w:lastRenderedPageBreak/>
        <w:t>Co</w:t>
      </w:r>
      <w:r w:rsidR="00BF0453">
        <w:rPr>
          <w:rFonts w:ascii="TimesNewRomanPSMT" w:hAnsi="TimesNewRomanPSMT" w:cs="TimesNewRomanPSMT"/>
        </w:rPr>
        <w:t xml:space="preserve">mmission should also direct TECO </w:t>
      </w:r>
      <w:r w:rsidR="00054AF8">
        <w:rPr>
          <w:rFonts w:ascii="TimesNewRomanPSMT" w:hAnsi="TimesNewRomanPSMT" w:cs="TimesNewRomanPSMT"/>
        </w:rPr>
        <w:t>to defer the ITCs pursuant to the I</w:t>
      </w:r>
      <w:r w:rsidR="000079A6">
        <w:rPr>
          <w:rFonts w:ascii="TimesNewRomanPSMT" w:hAnsi="TimesNewRomanPSMT" w:cs="TimesNewRomanPSMT"/>
        </w:rPr>
        <w:t xml:space="preserve">nflation Reduction Act </w:t>
      </w:r>
      <w:r w:rsidR="00054AF8">
        <w:rPr>
          <w:rFonts w:ascii="TimesNewRomanPSMT" w:hAnsi="TimesNewRomanPSMT" w:cs="TimesNewRomanPSMT"/>
        </w:rPr>
        <w:t>earned each year, but to amortize the deferred ITCs over a three-year amortization period.</w:t>
      </w:r>
    </w:p>
    <w:p w14:paraId="2C4473C7" w14:textId="77777777" w:rsidR="003F4F8D" w:rsidRDefault="003F4F8D" w:rsidP="003F4F8D">
      <w:pPr>
        <w:ind w:left="1440" w:hanging="1440"/>
        <w:jc w:val="both"/>
      </w:pPr>
    </w:p>
    <w:p w14:paraId="591A5F0D" w14:textId="77777777" w:rsidR="003F4F8D" w:rsidRDefault="003F4F8D" w:rsidP="003F4F8D">
      <w:pPr>
        <w:ind w:left="1440" w:hanging="1440"/>
        <w:jc w:val="both"/>
        <w:rPr>
          <w:b/>
        </w:rPr>
      </w:pPr>
      <w:r>
        <w:rPr>
          <w:b/>
        </w:rPr>
        <w:t>FL RISING/</w:t>
      </w:r>
    </w:p>
    <w:p w14:paraId="63BD53AE" w14:textId="4BEF3271" w:rsidR="003F4F8D" w:rsidRDefault="003F4F8D" w:rsidP="003F4F8D">
      <w:pPr>
        <w:ind w:left="1440" w:hanging="1440"/>
        <w:jc w:val="both"/>
        <w:rPr>
          <w:b/>
        </w:rPr>
      </w:pPr>
      <w:r>
        <w:rPr>
          <w:b/>
        </w:rPr>
        <w:t>LULAC:</w:t>
      </w:r>
      <w:r>
        <w:rPr>
          <w:b/>
        </w:rPr>
        <w:tab/>
      </w:r>
      <w:r w:rsidR="009B5CD3">
        <w:rPr>
          <w:bCs/>
        </w:rPr>
        <w:t xml:space="preserve">The ITCs should be treated as if TECO elected and will continue to elect out of normalization requirements. The Commission should also direct TECO to defer the ITCs each year and amortize the deferred ITCs over a </w:t>
      </w:r>
      <w:r w:rsidR="009B5CD3" w:rsidRPr="5E3316D7">
        <w:t>ten</w:t>
      </w:r>
      <w:r w:rsidR="009B5CD3">
        <w:rPr>
          <w:bCs/>
        </w:rPr>
        <w:t>-year amortization period.</w:t>
      </w:r>
    </w:p>
    <w:p w14:paraId="714031DE" w14:textId="77777777" w:rsidR="003F4F8D" w:rsidRDefault="003F4F8D" w:rsidP="003F4F8D">
      <w:pPr>
        <w:ind w:left="1440" w:hanging="1440"/>
        <w:jc w:val="both"/>
        <w:rPr>
          <w:b/>
        </w:rPr>
      </w:pPr>
    </w:p>
    <w:p w14:paraId="46C614EC" w14:textId="38AB09C0" w:rsidR="003F4F8D" w:rsidRDefault="003F4F8D" w:rsidP="003F4F8D">
      <w:pPr>
        <w:ind w:left="1440" w:hanging="1440"/>
        <w:jc w:val="both"/>
        <w:rPr>
          <w:b/>
        </w:rPr>
      </w:pPr>
      <w:r>
        <w:rPr>
          <w:b/>
        </w:rPr>
        <w:t>FIPUG:</w:t>
      </w:r>
      <w:r>
        <w:rPr>
          <w:b/>
        </w:rPr>
        <w:tab/>
      </w:r>
      <w:r w:rsidR="0099233E">
        <w:rPr>
          <w:bCs/>
        </w:rPr>
        <w:t>Adopt</w:t>
      </w:r>
      <w:r w:rsidR="00756EB3">
        <w:rPr>
          <w:bCs/>
        </w:rPr>
        <w:t>s</w:t>
      </w:r>
      <w:r w:rsidR="0099233E">
        <w:rPr>
          <w:bCs/>
        </w:rPr>
        <w:t xml:space="preserve"> the position of OPC.</w:t>
      </w:r>
    </w:p>
    <w:p w14:paraId="381D8491" w14:textId="77777777" w:rsidR="003F4F8D" w:rsidRDefault="003F4F8D" w:rsidP="003F4F8D">
      <w:pPr>
        <w:ind w:left="1440" w:hanging="1440"/>
        <w:jc w:val="both"/>
        <w:rPr>
          <w:b/>
        </w:rPr>
      </w:pPr>
    </w:p>
    <w:p w14:paraId="5F73788E" w14:textId="3516E5E2" w:rsidR="003F4F8D" w:rsidRDefault="003F4F8D" w:rsidP="003F4F8D">
      <w:pPr>
        <w:ind w:left="1440" w:hanging="1440"/>
        <w:jc w:val="both"/>
        <w:rPr>
          <w:b/>
        </w:rPr>
      </w:pPr>
      <w:r>
        <w:rPr>
          <w:b/>
        </w:rPr>
        <w:t>FEA:</w:t>
      </w:r>
      <w:r>
        <w:rPr>
          <w:b/>
        </w:rPr>
        <w:tab/>
      </w:r>
      <w:r w:rsidR="00756EB3">
        <w:t>No position.</w:t>
      </w:r>
    </w:p>
    <w:p w14:paraId="6BE4BD2B" w14:textId="77777777" w:rsidR="003F4F8D" w:rsidRDefault="003F4F8D" w:rsidP="003F4F8D">
      <w:pPr>
        <w:ind w:left="1440" w:hanging="1440"/>
        <w:jc w:val="both"/>
        <w:rPr>
          <w:b/>
        </w:rPr>
      </w:pPr>
    </w:p>
    <w:p w14:paraId="04842081" w14:textId="77777777" w:rsidR="00A14A11" w:rsidRDefault="00764960" w:rsidP="003F4F8D">
      <w:pPr>
        <w:ind w:left="1440" w:hanging="1440"/>
        <w:jc w:val="both"/>
        <w:rPr>
          <w:b/>
        </w:rPr>
      </w:pPr>
      <w:r>
        <w:rPr>
          <w:b/>
        </w:rPr>
        <w:t xml:space="preserve">SIERRA </w:t>
      </w:r>
    </w:p>
    <w:p w14:paraId="413A15CE" w14:textId="75742A35" w:rsidR="003F4F8D" w:rsidRDefault="00764960" w:rsidP="003F4F8D">
      <w:pPr>
        <w:ind w:left="1440" w:hanging="1440"/>
        <w:jc w:val="both"/>
        <w:rPr>
          <w:b/>
        </w:rPr>
      </w:pPr>
      <w:r>
        <w:rPr>
          <w:b/>
        </w:rPr>
        <w:t>CLUB</w:t>
      </w:r>
      <w:r w:rsidR="003F4F8D">
        <w:rPr>
          <w:b/>
        </w:rPr>
        <w:t>:</w:t>
      </w:r>
      <w:r w:rsidR="003F4F8D">
        <w:rPr>
          <w:b/>
        </w:rPr>
        <w:tab/>
      </w:r>
      <w:r w:rsidR="00756EB3">
        <w:t>No position.</w:t>
      </w:r>
    </w:p>
    <w:p w14:paraId="6C634AFD" w14:textId="77777777" w:rsidR="003F4F8D" w:rsidRDefault="003F4F8D" w:rsidP="003F4F8D">
      <w:pPr>
        <w:ind w:left="1440" w:hanging="1440"/>
        <w:jc w:val="both"/>
        <w:rPr>
          <w:b/>
        </w:rPr>
      </w:pPr>
    </w:p>
    <w:p w14:paraId="3840ACDE" w14:textId="59BD62E1" w:rsidR="003F4F8D" w:rsidRDefault="003F4F8D" w:rsidP="003F4F8D">
      <w:pPr>
        <w:ind w:left="1440" w:hanging="1440"/>
        <w:jc w:val="both"/>
        <w:rPr>
          <w:b/>
        </w:rPr>
      </w:pPr>
      <w:r>
        <w:rPr>
          <w:b/>
        </w:rPr>
        <w:t>FRF:</w:t>
      </w:r>
      <w:r>
        <w:rPr>
          <w:b/>
        </w:rPr>
        <w:tab/>
      </w:r>
      <w:r w:rsidR="00EC61E4">
        <w:t>Agree</w:t>
      </w:r>
      <w:r w:rsidR="00756EB3">
        <w:t>s</w:t>
      </w:r>
      <w:r w:rsidR="00EC61E4">
        <w:t xml:space="preserve"> with OPC.</w:t>
      </w:r>
    </w:p>
    <w:p w14:paraId="24349C4A" w14:textId="77777777" w:rsidR="003F4F8D" w:rsidRDefault="003F4F8D" w:rsidP="003F4F8D">
      <w:pPr>
        <w:ind w:left="1440" w:hanging="1440"/>
        <w:jc w:val="both"/>
        <w:rPr>
          <w:b/>
        </w:rPr>
      </w:pPr>
    </w:p>
    <w:p w14:paraId="776066F9" w14:textId="77777777" w:rsidR="00A14A11" w:rsidRDefault="00C0182D" w:rsidP="003F4F8D">
      <w:pPr>
        <w:ind w:left="1440" w:hanging="1440"/>
        <w:jc w:val="both"/>
        <w:rPr>
          <w:b/>
        </w:rPr>
      </w:pPr>
      <w:r>
        <w:rPr>
          <w:b/>
        </w:rPr>
        <w:t xml:space="preserve">FUEL </w:t>
      </w:r>
    </w:p>
    <w:p w14:paraId="115C7BFB" w14:textId="72C657E1" w:rsidR="003F4F8D" w:rsidRDefault="00C0182D" w:rsidP="003F4F8D">
      <w:pPr>
        <w:ind w:left="1440" w:hanging="1440"/>
        <w:jc w:val="both"/>
      </w:pPr>
      <w:r>
        <w:rPr>
          <w:b/>
        </w:rPr>
        <w:t>RETAILERS</w:t>
      </w:r>
      <w:r w:rsidR="003F4F8D">
        <w:rPr>
          <w:b/>
        </w:rPr>
        <w:t>:</w:t>
      </w:r>
      <w:r w:rsidR="00A14A11">
        <w:rPr>
          <w:b/>
        </w:rPr>
        <w:t xml:space="preserve"> </w:t>
      </w:r>
      <w:r w:rsidR="009A7E64" w:rsidRPr="00132664">
        <w:t xml:space="preserve">No </w:t>
      </w:r>
      <w:r w:rsidR="00756EB3">
        <w:t>p</w:t>
      </w:r>
      <w:r w:rsidR="009A7E64" w:rsidRPr="00132664">
        <w:t>osition.</w:t>
      </w:r>
    </w:p>
    <w:p w14:paraId="240D0F65" w14:textId="77777777" w:rsidR="005A6478" w:rsidRDefault="005A6478" w:rsidP="003F4F8D">
      <w:pPr>
        <w:ind w:left="1440" w:hanging="1440"/>
        <w:jc w:val="both"/>
      </w:pPr>
    </w:p>
    <w:p w14:paraId="24146CE9" w14:textId="427E3370" w:rsidR="005A6478" w:rsidRPr="005A6478" w:rsidRDefault="00FD408B" w:rsidP="003F4F8D">
      <w:pPr>
        <w:ind w:left="1440" w:hanging="1440"/>
        <w:jc w:val="both"/>
        <w:rPr>
          <w:b/>
        </w:rPr>
      </w:pPr>
      <w:r>
        <w:rPr>
          <w:b/>
        </w:rPr>
        <w:t>WALMART</w:t>
      </w:r>
      <w:r w:rsidR="005A6478">
        <w:rPr>
          <w:b/>
        </w:rPr>
        <w:t>:</w:t>
      </w:r>
      <w:r w:rsidR="005A6478">
        <w:rPr>
          <w:b/>
        </w:rPr>
        <w:tab/>
      </w:r>
      <w:r w:rsidR="00756EB3">
        <w:t>A</w:t>
      </w:r>
      <w:r w:rsidR="005A6478">
        <w:t>grees with OPC.</w:t>
      </w:r>
    </w:p>
    <w:p w14:paraId="3EA2EA9B" w14:textId="77777777" w:rsidR="003F4F8D" w:rsidRPr="00701945" w:rsidRDefault="003F4F8D" w:rsidP="003F4F8D">
      <w:pPr>
        <w:jc w:val="both"/>
      </w:pPr>
    </w:p>
    <w:p w14:paraId="0B0F0C7C" w14:textId="77777777" w:rsidR="003F4F8D" w:rsidRPr="005D4B47" w:rsidRDefault="003F4F8D" w:rsidP="003F4F8D">
      <w:pPr>
        <w:ind w:left="1440" w:hanging="1440"/>
        <w:jc w:val="both"/>
        <w:rPr>
          <w:b/>
          <w:bCs/>
        </w:rPr>
      </w:pPr>
      <w:r>
        <w:rPr>
          <w:b/>
          <w:bCs/>
        </w:rPr>
        <w:t>STAFF:</w:t>
      </w:r>
      <w:r>
        <w:rPr>
          <w:b/>
          <w:bCs/>
        </w:rPr>
        <w:tab/>
      </w:r>
      <w:r w:rsidR="002C290E">
        <w:t>No position at this time.</w:t>
      </w:r>
    </w:p>
    <w:p w14:paraId="5B5EB229" w14:textId="77777777" w:rsidR="003F4F8D" w:rsidRDefault="003F4F8D" w:rsidP="00C7699A">
      <w:pPr>
        <w:jc w:val="both"/>
      </w:pPr>
    </w:p>
    <w:p w14:paraId="5AE5A2D0" w14:textId="77777777" w:rsidR="003F4F8D" w:rsidRDefault="003F4F8D" w:rsidP="00C7699A">
      <w:pPr>
        <w:jc w:val="both"/>
      </w:pPr>
    </w:p>
    <w:p w14:paraId="36A3F030" w14:textId="77777777" w:rsidR="003F4F8D" w:rsidRPr="00760498" w:rsidRDefault="00760498" w:rsidP="003F4F8D">
      <w:pPr>
        <w:ind w:left="1440" w:hanging="1440"/>
        <w:jc w:val="both"/>
        <w:rPr>
          <w:b/>
        </w:rPr>
      </w:pPr>
      <w:r>
        <w:rPr>
          <w:b/>
          <w:bCs/>
        </w:rPr>
        <w:t>ISSUE 66</w:t>
      </w:r>
      <w:r w:rsidR="003F4F8D" w:rsidRPr="00701945">
        <w:rPr>
          <w:b/>
          <w:bCs/>
        </w:rPr>
        <w:t>:</w:t>
      </w:r>
      <w:r w:rsidR="003F4F8D" w:rsidRPr="00701945">
        <w:tab/>
      </w:r>
      <w:r w:rsidRPr="00760498">
        <w:rPr>
          <w:b/>
        </w:rPr>
        <w:t xml:space="preserve">What amount of Income Tax expense </w:t>
      </w:r>
      <w:r w:rsidRPr="00760498">
        <w:rPr>
          <w:b/>
          <w:bCs/>
        </w:rPr>
        <w:t xml:space="preserve">should be approved </w:t>
      </w:r>
      <w:r w:rsidRPr="00760498">
        <w:rPr>
          <w:b/>
        </w:rPr>
        <w:t xml:space="preserve">for the </w:t>
      </w:r>
      <w:r w:rsidRPr="00760498">
        <w:rPr>
          <w:b/>
          <w:bCs/>
        </w:rPr>
        <w:t>2025 projected test year</w:t>
      </w:r>
      <w:r w:rsidRPr="00760498">
        <w:rPr>
          <w:b/>
        </w:rPr>
        <w:t>?</w:t>
      </w:r>
    </w:p>
    <w:p w14:paraId="4A42271F" w14:textId="77777777" w:rsidR="003F4F8D" w:rsidRPr="00701945" w:rsidRDefault="003F4F8D" w:rsidP="003F4F8D">
      <w:pPr>
        <w:jc w:val="both"/>
      </w:pPr>
    </w:p>
    <w:p w14:paraId="66E3A740" w14:textId="72E567A4" w:rsidR="003F4F8D" w:rsidRPr="005D4B47" w:rsidRDefault="003F4F8D" w:rsidP="003F4F8D">
      <w:pPr>
        <w:ind w:left="1440" w:hanging="1440"/>
        <w:jc w:val="both"/>
      </w:pPr>
      <w:r>
        <w:rPr>
          <w:b/>
          <w:bCs/>
        </w:rPr>
        <w:t>TECO</w:t>
      </w:r>
      <w:r w:rsidRPr="005D4B47">
        <w:rPr>
          <w:b/>
          <w:bCs/>
        </w:rPr>
        <w:t>:</w:t>
      </w:r>
      <w:r w:rsidRPr="005D4B47">
        <w:tab/>
      </w:r>
      <w:r w:rsidR="00760498">
        <w:t>The Commission should approve Jurisdictional Adjusted Income Tax Expense (Benefit) totaling ($8.3 million) for the projected 2025 test year as shown on MFR Schedule C-1</w:t>
      </w:r>
      <w:r w:rsidR="00764B97">
        <w:t>, plus $412,001 per the company’s July and August Filings, for a total of ($7.9 million). The July and August Filings provided revenue requirement impacts, the $412,001 of Income Tax expense adjustments includes the appropriate tax impacts to NOI</w:t>
      </w:r>
      <w:r w:rsidR="00760498">
        <w:t>. (Strickland, Chronister)</w:t>
      </w:r>
    </w:p>
    <w:p w14:paraId="46943E08" w14:textId="77777777" w:rsidR="003F4F8D" w:rsidRPr="00701945" w:rsidRDefault="003F4F8D" w:rsidP="003F4F8D">
      <w:pPr>
        <w:jc w:val="both"/>
      </w:pPr>
    </w:p>
    <w:p w14:paraId="401C9571" w14:textId="77777777" w:rsidR="003F4F8D" w:rsidRDefault="003F4F8D" w:rsidP="003F4F8D">
      <w:pPr>
        <w:ind w:left="1440" w:hanging="1440"/>
        <w:jc w:val="both"/>
      </w:pPr>
      <w:r>
        <w:rPr>
          <w:b/>
          <w:bCs/>
        </w:rPr>
        <w:t>OPC</w:t>
      </w:r>
      <w:r w:rsidRPr="00701945">
        <w:rPr>
          <w:b/>
          <w:bCs/>
        </w:rPr>
        <w:t>:</w:t>
      </w:r>
      <w:r>
        <w:tab/>
      </w:r>
      <w:r w:rsidR="009F2D47">
        <w:t>This is largely a fall out issue, but TECO has the burden of proof to demonstrate the reasonableness or prudence of all costs to be included in revenue requirements. OPC is still conducting discovery and certain other specific adjustments to in rate base may be required.</w:t>
      </w:r>
      <w:r w:rsidR="009F2D47" w:rsidRPr="00B852F9">
        <w:t xml:space="preserve"> </w:t>
      </w:r>
      <w:r w:rsidR="009F2D47">
        <w:t xml:space="preserve">The </w:t>
      </w:r>
      <w:r w:rsidR="009F2D47" w:rsidRPr="007D47E3">
        <w:t>Income Tax ex</w:t>
      </w:r>
      <w:r w:rsidR="009F2D47">
        <w:t>pense</w:t>
      </w:r>
      <w:r w:rsidR="009F2D47" w:rsidRPr="007D47E3">
        <w:t xml:space="preserve"> </w:t>
      </w:r>
      <w:r w:rsidR="009F2D47">
        <w:t>for the projected 2025 test year should reflect all of OPC’s recommended adjustments.</w:t>
      </w:r>
    </w:p>
    <w:p w14:paraId="239DF668" w14:textId="77777777" w:rsidR="003F4F8D" w:rsidRDefault="003F4F8D" w:rsidP="003F4F8D">
      <w:pPr>
        <w:ind w:left="1440" w:hanging="1440"/>
        <w:jc w:val="both"/>
      </w:pPr>
    </w:p>
    <w:p w14:paraId="478998A1" w14:textId="77777777" w:rsidR="003F4F8D" w:rsidRDefault="003F4F8D" w:rsidP="003F4F8D">
      <w:pPr>
        <w:ind w:left="1440" w:hanging="1440"/>
        <w:jc w:val="both"/>
        <w:rPr>
          <w:b/>
        </w:rPr>
      </w:pPr>
      <w:r>
        <w:rPr>
          <w:b/>
        </w:rPr>
        <w:t>FL RISING/</w:t>
      </w:r>
    </w:p>
    <w:p w14:paraId="04B13EEB" w14:textId="7E91175A" w:rsidR="003F4F8D" w:rsidRDefault="003F4F8D" w:rsidP="003F4F8D">
      <w:pPr>
        <w:ind w:left="1440" w:hanging="1440"/>
        <w:jc w:val="both"/>
        <w:rPr>
          <w:b/>
        </w:rPr>
      </w:pPr>
      <w:r>
        <w:rPr>
          <w:b/>
        </w:rPr>
        <w:t>LULAC:</w:t>
      </w:r>
      <w:r>
        <w:rPr>
          <w:b/>
        </w:rPr>
        <w:tab/>
      </w:r>
      <w:r w:rsidR="00F334B7">
        <w:rPr>
          <w:bCs/>
        </w:rPr>
        <w:t xml:space="preserve">Adopts the position of </w:t>
      </w:r>
      <w:r w:rsidR="009B5CD3">
        <w:rPr>
          <w:bCs/>
        </w:rPr>
        <w:t>OPC.</w:t>
      </w:r>
    </w:p>
    <w:p w14:paraId="65FE9275" w14:textId="79B09FDB" w:rsidR="003F4F8D" w:rsidRDefault="003F4F8D" w:rsidP="003F4F8D">
      <w:pPr>
        <w:ind w:left="1440" w:hanging="1440"/>
        <w:jc w:val="both"/>
        <w:rPr>
          <w:b/>
        </w:rPr>
      </w:pPr>
      <w:r>
        <w:rPr>
          <w:b/>
        </w:rPr>
        <w:lastRenderedPageBreak/>
        <w:t>FIPUG:</w:t>
      </w:r>
      <w:r>
        <w:rPr>
          <w:b/>
        </w:rPr>
        <w:tab/>
      </w:r>
      <w:r w:rsidR="0099233E">
        <w:rPr>
          <w:bCs/>
        </w:rPr>
        <w:t>Adopt</w:t>
      </w:r>
      <w:r w:rsidR="00F334B7">
        <w:rPr>
          <w:bCs/>
        </w:rPr>
        <w:t>s</w:t>
      </w:r>
      <w:r w:rsidR="0099233E">
        <w:rPr>
          <w:bCs/>
        </w:rPr>
        <w:t xml:space="preserve"> the position of OPC.</w:t>
      </w:r>
    </w:p>
    <w:p w14:paraId="7245794E" w14:textId="77777777" w:rsidR="003F4F8D" w:rsidRDefault="003F4F8D" w:rsidP="003F4F8D">
      <w:pPr>
        <w:ind w:left="1440" w:hanging="1440"/>
        <w:jc w:val="both"/>
        <w:rPr>
          <w:b/>
        </w:rPr>
      </w:pPr>
    </w:p>
    <w:p w14:paraId="6E4B8744" w14:textId="67F28010" w:rsidR="003F4F8D" w:rsidRDefault="003F4F8D" w:rsidP="003F4F8D">
      <w:pPr>
        <w:ind w:left="1440" w:hanging="1440"/>
        <w:jc w:val="both"/>
        <w:rPr>
          <w:b/>
        </w:rPr>
      </w:pPr>
      <w:r>
        <w:rPr>
          <w:b/>
        </w:rPr>
        <w:t>FEA:</w:t>
      </w:r>
      <w:r>
        <w:rPr>
          <w:b/>
        </w:rPr>
        <w:tab/>
      </w:r>
      <w:r w:rsidR="007A70EF">
        <w:t>No position.</w:t>
      </w:r>
    </w:p>
    <w:p w14:paraId="62912520" w14:textId="77777777" w:rsidR="003F4F8D" w:rsidRDefault="003F4F8D" w:rsidP="003F4F8D">
      <w:pPr>
        <w:ind w:left="1440" w:hanging="1440"/>
        <w:jc w:val="both"/>
        <w:rPr>
          <w:b/>
        </w:rPr>
      </w:pPr>
    </w:p>
    <w:p w14:paraId="71805216" w14:textId="77777777" w:rsidR="00A14A11" w:rsidRDefault="00764960" w:rsidP="003F4F8D">
      <w:pPr>
        <w:ind w:left="1440" w:hanging="1440"/>
        <w:jc w:val="both"/>
        <w:rPr>
          <w:b/>
        </w:rPr>
      </w:pPr>
      <w:r>
        <w:rPr>
          <w:b/>
        </w:rPr>
        <w:t xml:space="preserve">SIERRA </w:t>
      </w:r>
    </w:p>
    <w:p w14:paraId="754A2C57" w14:textId="221227A3" w:rsidR="003F4F8D" w:rsidRDefault="00764960" w:rsidP="003F4F8D">
      <w:pPr>
        <w:ind w:left="1440" w:hanging="1440"/>
        <w:jc w:val="both"/>
        <w:rPr>
          <w:b/>
        </w:rPr>
      </w:pPr>
      <w:r>
        <w:rPr>
          <w:b/>
        </w:rPr>
        <w:t>CLUB</w:t>
      </w:r>
      <w:r w:rsidR="003F4F8D">
        <w:rPr>
          <w:b/>
        </w:rPr>
        <w:t>:</w:t>
      </w:r>
      <w:r w:rsidR="003F4F8D">
        <w:rPr>
          <w:b/>
        </w:rPr>
        <w:tab/>
      </w:r>
      <w:r w:rsidR="005402BF">
        <w:t>No position.</w:t>
      </w:r>
    </w:p>
    <w:p w14:paraId="3993FF24" w14:textId="77777777" w:rsidR="003F4F8D" w:rsidRDefault="003F4F8D" w:rsidP="003F4F8D">
      <w:pPr>
        <w:ind w:left="1440" w:hanging="1440"/>
        <w:jc w:val="both"/>
        <w:rPr>
          <w:b/>
        </w:rPr>
      </w:pPr>
    </w:p>
    <w:p w14:paraId="7DAFD387" w14:textId="6C18F477" w:rsidR="003F4F8D" w:rsidRDefault="003F4F8D" w:rsidP="003F4F8D">
      <w:pPr>
        <w:ind w:left="1440" w:hanging="1440"/>
        <w:jc w:val="both"/>
        <w:rPr>
          <w:b/>
        </w:rPr>
      </w:pPr>
      <w:r>
        <w:rPr>
          <w:b/>
        </w:rPr>
        <w:t>FRF:</w:t>
      </w:r>
      <w:r>
        <w:rPr>
          <w:b/>
        </w:rPr>
        <w:tab/>
      </w:r>
      <w:r w:rsidR="00EC61E4">
        <w:t>Agree</w:t>
      </w:r>
      <w:r w:rsidR="005402BF">
        <w:t>s</w:t>
      </w:r>
      <w:r w:rsidR="00EC61E4">
        <w:t xml:space="preserve"> with OPC.</w:t>
      </w:r>
    </w:p>
    <w:p w14:paraId="5D52DEDF" w14:textId="77777777" w:rsidR="003F4F8D" w:rsidRDefault="003F4F8D" w:rsidP="003F4F8D">
      <w:pPr>
        <w:ind w:left="1440" w:hanging="1440"/>
        <w:jc w:val="both"/>
        <w:rPr>
          <w:b/>
        </w:rPr>
      </w:pPr>
    </w:p>
    <w:p w14:paraId="2749A5DA" w14:textId="77777777" w:rsidR="00A14A11" w:rsidRDefault="00C0182D" w:rsidP="003F4F8D">
      <w:pPr>
        <w:ind w:left="1440" w:hanging="1440"/>
        <w:jc w:val="both"/>
        <w:rPr>
          <w:b/>
        </w:rPr>
      </w:pPr>
      <w:r>
        <w:rPr>
          <w:b/>
        </w:rPr>
        <w:t xml:space="preserve">FUEL </w:t>
      </w:r>
    </w:p>
    <w:p w14:paraId="4F3D0287" w14:textId="16DA2F01" w:rsidR="003F4F8D" w:rsidRDefault="00C0182D" w:rsidP="003F4F8D">
      <w:pPr>
        <w:ind w:left="1440" w:hanging="1440"/>
        <w:jc w:val="both"/>
      </w:pPr>
      <w:r>
        <w:rPr>
          <w:b/>
        </w:rPr>
        <w:t>RETAILERS</w:t>
      </w:r>
      <w:r w:rsidR="003F4F8D">
        <w:rPr>
          <w:b/>
        </w:rPr>
        <w:t>:</w:t>
      </w:r>
      <w:r w:rsidR="00A14A11">
        <w:rPr>
          <w:b/>
        </w:rPr>
        <w:t xml:space="preserve"> </w:t>
      </w:r>
      <w:r w:rsidR="00304A80" w:rsidRPr="00132664">
        <w:t xml:space="preserve">No </w:t>
      </w:r>
      <w:r w:rsidR="005402BF">
        <w:t>p</w:t>
      </w:r>
      <w:r w:rsidR="00304A80" w:rsidRPr="00132664">
        <w:t>osition.</w:t>
      </w:r>
    </w:p>
    <w:p w14:paraId="7296D5FF" w14:textId="77777777" w:rsidR="005A6478" w:rsidRDefault="005A6478" w:rsidP="003F4F8D">
      <w:pPr>
        <w:ind w:left="1440" w:hanging="1440"/>
        <w:jc w:val="both"/>
      </w:pPr>
    </w:p>
    <w:p w14:paraId="1F9C997D" w14:textId="36F12F67" w:rsidR="005A6478" w:rsidRPr="005A6478" w:rsidRDefault="00FD408B" w:rsidP="003F4F8D">
      <w:pPr>
        <w:ind w:left="1440" w:hanging="1440"/>
        <w:jc w:val="both"/>
        <w:rPr>
          <w:b/>
        </w:rPr>
      </w:pPr>
      <w:r>
        <w:rPr>
          <w:b/>
        </w:rPr>
        <w:t>WALMART</w:t>
      </w:r>
      <w:r w:rsidR="005A6478">
        <w:rPr>
          <w:b/>
        </w:rPr>
        <w:t>:</w:t>
      </w:r>
      <w:r w:rsidR="005A6478">
        <w:rPr>
          <w:b/>
        </w:rPr>
        <w:tab/>
      </w:r>
      <w:r w:rsidR="005402BF" w:rsidRPr="005402BF">
        <w:t>A</w:t>
      </w:r>
      <w:r w:rsidR="005A6478">
        <w:t>grees with OPC.</w:t>
      </w:r>
    </w:p>
    <w:p w14:paraId="55B92202" w14:textId="77777777" w:rsidR="003F4F8D" w:rsidRPr="00701945" w:rsidRDefault="003F4F8D" w:rsidP="003F4F8D">
      <w:pPr>
        <w:jc w:val="both"/>
      </w:pPr>
    </w:p>
    <w:p w14:paraId="3A5A7926" w14:textId="77777777" w:rsidR="003F4F8D" w:rsidRPr="005D4B47" w:rsidRDefault="003F4F8D" w:rsidP="003F4F8D">
      <w:pPr>
        <w:ind w:left="1440" w:hanging="1440"/>
        <w:jc w:val="both"/>
        <w:rPr>
          <w:b/>
          <w:bCs/>
        </w:rPr>
      </w:pPr>
      <w:r>
        <w:rPr>
          <w:b/>
          <w:bCs/>
        </w:rPr>
        <w:t>STAFF:</w:t>
      </w:r>
      <w:r>
        <w:rPr>
          <w:b/>
          <w:bCs/>
        </w:rPr>
        <w:tab/>
      </w:r>
      <w:r w:rsidR="002C290E">
        <w:t>No position at this time.</w:t>
      </w:r>
    </w:p>
    <w:p w14:paraId="3BE67927" w14:textId="77777777" w:rsidR="003F4F8D" w:rsidRDefault="003F4F8D" w:rsidP="00C7699A">
      <w:pPr>
        <w:jc w:val="both"/>
      </w:pPr>
    </w:p>
    <w:p w14:paraId="13C2988D" w14:textId="77777777" w:rsidR="003F4F8D" w:rsidRDefault="003F4F8D" w:rsidP="00C7699A">
      <w:pPr>
        <w:jc w:val="both"/>
      </w:pPr>
    </w:p>
    <w:p w14:paraId="2B63025C" w14:textId="77777777" w:rsidR="003F4F8D" w:rsidRPr="00760498" w:rsidRDefault="00760498" w:rsidP="003F4F8D">
      <w:pPr>
        <w:ind w:left="1440" w:hanging="1440"/>
        <w:jc w:val="both"/>
        <w:rPr>
          <w:b/>
        </w:rPr>
      </w:pPr>
      <w:r>
        <w:rPr>
          <w:b/>
          <w:bCs/>
        </w:rPr>
        <w:t>ISSUE 67</w:t>
      </w:r>
      <w:r w:rsidR="003F4F8D" w:rsidRPr="00701945">
        <w:rPr>
          <w:b/>
          <w:bCs/>
        </w:rPr>
        <w:t>:</w:t>
      </w:r>
      <w:r w:rsidR="003F4F8D" w:rsidRPr="00701945">
        <w:tab/>
      </w:r>
      <w:r w:rsidRPr="00760498">
        <w:rPr>
          <w:b/>
        </w:rPr>
        <w:t xml:space="preserve">What amount of Net Operating Income </w:t>
      </w:r>
      <w:r w:rsidRPr="00760498">
        <w:rPr>
          <w:b/>
          <w:bCs/>
        </w:rPr>
        <w:t xml:space="preserve">should be approved </w:t>
      </w:r>
      <w:r w:rsidRPr="00760498">
        <w:rPr>
          <w:b/>
        </w:rPr>
        <w:t xml:space="preserve">for the </w:t>
      </w:r>
      <w:r w:rsidRPr="00760498">
        <w:rPr>
          <w:b/>
          <w:bCs/>
        </w:rPr>
        <w:t>2025 projected test year</w:t>
      </w:r>
      <w:r w:rsidRPr="00760498">
        <w:rPr>
          <w:b/>
        </w:rPr>
        <w:t>?</w:t>
      </w:r>
    </w:p>
    <w:p w14:paraId="105E528D" w14:textId="77777777" w:rsidR="003F4F8D" w:rsidRPr="00701945" w:rsidRDefault="003F4F8D" w:rsidP="003F4F8D">
      <w:pPr>
        <w:jc w:val="both"/>
      </w:pPr>
    </w:p>
    <w:p w14:paraId="0D919782" w14:textId="0FE82B48" w:rsidR="003F4F8D" w:rsidRPr="005D4B47" w:rsidRDefault="003F4F8D" w:rsidP="003F4F8D">
      <w:pPr>
        <w:ind w:left="1440" w:hanging="1440"/>
        <w:jc w:val="both"/>
      </w:pPr>
      <w:r>
        <w:rPr>
          <w:b/>
          <w:bCs/>
        </w:rPr>
        <w:t>TECO</w:t>
      </w:r>
      <w:r w:rsidRPr="005D4B47">
        <w:rPr>
          <w:b/>
          <w:bCs/>
        </w:rPr>
        <w:t>:</w:t>
      </w:r>
      <w:r w:rsidRPr="005D4B47">
        <w:tab/>
      </w:r>
      <w:r w:rsidR="00760498">
        <w:t>The Commission should approve Jurisdictional Adjusted Net Operating Income for the projected 2025 test year of $501.4 million as shown on MFR Schedule C-1</w:t>
      </w:r>
      <w:r w:rsidR="00103457">
        <w:t>, plus $376,230 of NOI adjustments per the company’s July and August Filings, for a total of $501.7 million. The July and August Filings provided revenue requirement impacts, the $376,230 of NOI adjustments includes the appropriate tax impacts to NOI</w:t>
      </w:r>
      <w:r w:rsidR="00760498">
        <w:t>. (Chronister)</w:t>
      </w:r>
    </w:p>
    <w:p w14:paraId="256E171E" w14:textId="77777777" w:rsidR="003F4F8D" w:rsidRPr="00701945" w:rsidRDefault="003F4F8D" w:rsidP="003F4F8D">
      <w:pPr>
        <w:jc w:val="both"/>
      </w:pPr>
    </w:p>
    <w:p w14:paraId="0B7998EB" w14:textId="4196A959" w:rsidR="003F4F8D" w:rsidRDefault="003F4F8D" w:rsidP="003F4F8D">
      <w:pPr>
        <w:ind w:left="1440" w:hanging="1440"/>
        <w:jc w:val="both"/>
      </w:pPr>
      <w:r>
        <w:rPr>
          <w:b/>
          <w:bCs/>
        </w:rPr>
        <w:t>OPC</w:t>
      </w:r>
      <w:r w:rsidRPr="00701945">
        <w:rPr>
          <w:b/>
          <w:bCs/>
        </w:rPr>
        <w:t>:</w:t>
      </w:r>
      <w:r>
        <w:tab/>
      </w:r>
      <w:r w:rsidR="009F2D47">
        <w:t xml:space="preserve">This is largely a fall out issue, but TECO has the burden of proof to demonstrate the reasonableness or prudence of all costs to be included in revenue requirements. </w:t>
      </w:r>
      <w:r w:rsidR="00D353ED">
        <w:t>O</w:t>
      </w:r>
      <w:r w:rsidR="009F2D47">
        <w:t>PC is still conducting discovery and certain other specific adjustments to in rate base may be required.</w:t>
      </w:r>
      <w:r w:rsidR="009F2D47" w:rsidRPr="00B852F9">
        <w:t xml:space="preserve"> </w:t>
      </w:r>
      <w:r w:rsidR="009F2D47">
        <w:t xml:space="preserve">The </w:t>
      </w:r>
      <w:r w:rsidR="009F2D47" w:rsidRPr="007D47E3">
        <w:t xml:space="preserve">Net Operating Income </w:t>
      </w:r>
      <w:r w:rsidR="009F2D47">
        <w:t>for the projected 2025 test year should reflect all of OPC’s recommended adjustments.</w:t>
      </w:r>
    </w:p>
    <w:p w14:paraId="52EC19A1" w14:textId="77777777" w:rsidR="003F4F8D" w:rsidRDefault="003F4F8D" w:rsidP="003F4F8D">
      <w:pPr>
        <w:ind w:left="1440" w:hanging="1440"/>
        <w:jc w:val="both"/>
      </w:pPr>
    </w:p>
    <w:p w14:paraId="46A02069" w14:textId="77777777" w:rsidR="003F4F8D" w:rsidRDefault="003F4F8D" w:rsidP="003F4F8D">
      <w:pPr>
        <w:ind w:left="1440" w:hanging="1440"/>
        <w:jc w:val="both"/>
        <w:rPr>
          <w:b/>
        </w:rPr>
      </w:pPr>
      <w:r>
        <w:rPr>
          <w:b/>
        </w:rPr>
        <w:t>FL RISING/</w:t>
      </w:r>
    </w:p>
    <w:p w14:paraId="08083DB4" w14:textId="31A36EF7" w:rsidR="003F4F8D" w:rsidRDefault="003F4F8D" w:rsidP="003F4F8D">
      <w:pPr>
        <w:ind w:left="1440" w:hanging="1440"/>
        <w:jc w:val="both"/>
        <w:rPr>
          <w:b/>
        </w:rPr>
      </w:pPr>
      <w:r>
        <w:rPr>
          <w:b/>
        </w:rPr>
        <w:t>LULAC:</w:t>
      </w:r>
      <w:r>
        <w:rPr>
          <w:b/>
        </w:rPr>
        <w:tab/>
      </w:r>
      <w:r w:rsidR="006B4013">
        <w:rPr>
          <w:bCs/>
        </w:rPr>
        <w:t xml:space="preserve">Adopts the position of </w:t>
      </w:r>
      <w:r w:rsidR="009B5CD3">
        <w:rPr>
          <w:bCs/>
        </w:rPr>
        <w:t>OPC</w:t>
      </w:r>
      <w:r w:rsidR="009B5CD3" w:rsidRPr="7CD25581">
        <w:t xml:space="preserve">, as </w:t>
      </w:r>
      <w:r w:rsidR="009B5CD3" w:rsidRPr="314C39D2">
        <w:t xml:space="preserve">modified to reflect </w:t>
      </w:r>
      <w:r w:rsidR="009B5CD3" w:rsidRPr="1BD8C326">
        <w:t xml:space="preserve">positions on Issues </w:t>
      </w:r>
      <w:r w:rsidR="009B5CD3" w:rsidRPr="0CD2B022">
        <w:t>41</w:t>
      </w:r>
      <w:r w:rsidR="006B4013">
        <w:t>–</w:t>
      </w:r>
      <w:r w:rsidR="009B5CD3" w:rsidRPr="0CD2B022">
        <w:t>66</w:t>
      </w:r>
      <w:r w:rsidR="009B5CD3" w:rsidRPr="7CD25581">
        <w:rPr>
          <w:b/>
          <w:bCs/>
        </w:rPr>
        <w:t>.</w:t>
      </w:r>
    </w:p>
    <w:p w14:paraId="3F33E8E6" w14:textId="77777777" w:rsidR="003F4F8D" w:rsidRDefault="003F4F8D" w:rsidP="003F4F8D">
      <w:pPr>
        <w:ind w:left="1440" w:hanging="1440"/>
        <w:jc w:val="both"/>
        <w:rPr>
          <w:b/>
        </w:rPr>
      </w:pPr>
    </w:p>
    <w:p w14:paraId="457A9679" w14:textId="404AEF37" w:rsidR="003F4F8D" w:rsidRDefault="003F4F8D" w:rsidP="003F4F8D">
      <w:pPr>
        <w:ind w:left="1440" w:hanging="1440"/>
        <w:jc w:val="both"/>
        <w:rPr>
          <w:b/>
        </w:rPr>
      </w:pPr>
      <w:r>
        <w:rPr>
          <w:b/>
        </w:rPr>
        <w:t>FIPUG:</w:t>
      </w:r>
      <w:r>
        <w:rPr>
          <w:b/>
        </w:rPr>
        <w:tab/>
      </w:r>
      <w:r w:rsidR="0099233E">
        <w:rPr>
          <w:bCs/>
        </w:rPr>
        <w:t>Adopt</w:t>
      </w:r>
      <w:r w:rsidR="006B4013">
        <w:rPr>
          <w:bCs/>
        </w:rPr>
        <w:t>s</w:t>
      </w:r>
      <w:r w:rsidR="0099233E">
        <w:rPr>
          <w:bCs/>
        </w:rPr>
        <w:t xml:space="preserve"> the position of OPC.</w:t>
      </w:r>
    </w:p>
    <w:p w14:paraId="0AEB6E69" w14:textId="77777777" w:rsidR="003F4F8D" w:rsidRDefault="003F4F8D" w:rsidP="003F4F8D">
      <w:pPr>
        <w:ind w:left="1440" w:hanging="1440"/>
        <w:jc w:val="both"/>
        <w:rPr>
          <w:b/>
        </w:rPr>
      </w:pPr>
    </w:p>
    <w:p w14:paraId="04F76C71" w14:textId="19A6451F" w:rsidR="003F4F8D" w:rsidRDefault="003F4F8D" w:rsidP="003F4F8D">
      <w:pPr>
        <w:ind w:left="1440" w:hanging="1440"/>
        <w:jc w:val="both"/>
        <w:rPr>
          <w:b/>
        </w:rPr>
      </w:pPr>
      <w:r>
        <w:rPr>
          <w:b/>
        </w:rPr>
        <w:t>FEA:</w:t>
      </w:r>
      <w:r>
        <w:rPr>
          <w:b/>
        </w:rPr>
        <w:tab/>
      </w:r>
      <w:r w:rsidR="006B4013">
        <w:t>No position.</w:t>
      </w:r>
    </w:p>
    <w:p w14:paraId="2307EAAB" w14:textId="77777777" w:rsidR="003F4F8D" w:rsidRDefault="003F4F8D" w:rsidP="003F4F8D">
      <w:pPr>
        <w:ind w:left="1440" w:hanging="1440"/>
        <w:jc w:val="both"/>
        <w:rPr>
          <w:b/>
        </w:rPr>
      </w:pPr>
    </w:p>
    <w:p w14:paraId="7CAA1324" w14:textId="77777777" w:rsidR="00A14A11" w:rsidRDefault="00764960" w:rsidP="003F4F8D">
      <w:pPr>
        <w:ind w:left="1440" w:hanging="1440"/>
        <w:jc w:val="both"/>
        <w:rPr>
          <w:b/>
        </w:rPr>
      </w:pPr>
      <w:r>
        <w:rPr>
          <w:b/>
        </w:rPr>
        <w:t xml:space="preserve">SIERRA </w:t>
      </w:r>
    </w:p>
    <w:p w14:paraId="01C25DC5" w14:textId="0FFB0A83" w:rsidR="003F4F8D" w:rsidRDefault="00764960" w:rsidP="003F4F8D">
      <w:pPr>
        <w:ind w:left="1440" w:hanging="1440"/>
        <w:jc w:val="both"/>
        <w:rPr>
          <w:b/>
        </w:rPr>
      </w:pPr>
      <w:r>
        <w:rPr>
          <w:b/>
        </w:rPr>
        <w:t>CLUB</w:t>
      </w:r>
      <w:r w:rsidR="003F4F8D">
        <w:rPr>
          <w:b/>
        </w:rPr>
        <w:t>:</w:t>
      </w:r>
      <w:r w:rsidR="003F4F8D">
        <w:rPr>
          <w:b/>
        </w:rPr>
        <w:tab/>
      </w:r>
      <w:r w:rsidR="006B4013">
        <w:t>No position.</w:t>
      </w:r>
    </w:p>
    <w:p w14:paraId="1893F229" w14:textId="77777777" w:rsidR="003F4F8D" w:rsidRDefault="003F4F8D" w:rsidP="003F4F8D">
      <w:pPr>
        <w:ind w:left="1440" w:hanging="1440"/>
        <w:jc w:val="both"/>
        <w:rPr>
          <w:b/>
        </w:rPr>
      </w:pPr>
    </w:p>
    <w:p w14:paraId="7EBDCD15" w14:textId="77777777" w:rsidR="003F4F8D" w:rsidRDefault="003F4F8D" w:rsidP="003F4F8D">
      <w:pPr>
        <w:ind w:left="1440" w:hanging="1440"/>
        <w:jc w:val="both"/>
        <w:rPr>
          <w:b/>
        </w:rPr>
      </w:pPr>
      <w:r>
        <w:rPr>
          <w:b/>
        </w:rPr>
        <w:t>FRF:</w:t>
      </w:r>
      <w:r>
        <w:rPr>
          <w:b/>
        </w:rPr>
        <w:tab/>
      </w:r>
      <w:r w:rsidR="00881147">
        <w:t>Agree with OPC.</w:t>
      </w:r>
    </w:p>
    <w:p w14:paraId="5271ACB1" w14:textId="77777777" w:rsidR="003F4F8D" w:rsidRDefault="003F4F8D" w:rsidP="003F4F8D">
      <w:pPr>
        <w:ind w:left="1440" w:hanging="1440"/>
        <w:jc w:val="both"/>
        <w:rPr>
          <w:b/>
        </w:rPr>
      </w:pPr>
    </w:p>
    <w:p w14:paraId="14DAF734" w14:textId="77777777" w:rsidR="00A14A11" w:rsidRDefault="00C0182D" w:rsidP="003F4F8D">
      <w:pPr>
        <w:ind w:left="1440" w:hanging="1440"/>
        <w:jc w:val="both"/>
        <w:rPr>
          <w:b/>
        </w:rPr>
      </w:pPr>
      <w:r>
        <w:rPr>
          <w:b/>
        </w:rPr>
        <w:lastRenderedPageBreak/>
        <w:t xml:space="preserve">FUEL </w:t>
      </w:r>
    </w:p>
    <w:p w14:paraId="6DFAEB1F" w14:textId="2C8EDD46" w:rsidR="003F4F8D" w:rsidRDefault="00C0182D" w:rsidP="003F4F8D">
      <w:pPr>
        <w:ind w:left="1440" w:hanging="1440"/>
        <w:jc w:val="both"/>
      </w:pPr>
      <w:r>
        <w:rPr>
          <w:b/>
        </w:rPr>
        <w:t>RETAILERS</w:t>
      </w:r>
      <w:r w:rsidR="003F4F8D">
        <w:rPr>
          <w:b/>
        </w:rPr>
        <w:t>:</w:t>
      </w:r>
      <w:r w:rsidR="00A14A11">
        <w:rPr>
          <w:b/>
        </w:rPr>
        <w:t xml:space="preserve"> </w:t>
      </w:r>
      <w:r w:rsidR="00304A80" w:rsidRPr="00132664">
        <w:t xml:space="preserve">No </w:t>
      </w:r>
      <w:r w:rsidR="009C20C2">
        <w:t>p</w:t>
      </w:r>
      <w:r w:rsidR="00304A80" w:rsidRPr="00132664">
        <w:t>osition.</w:t>
      </w:r>
    </w:p>
    <w:p w14:paraId="4E1B08E2" w14:textId="77777777" w:rsidR="005A6478" w:rsidRDefault="005A6478" w:rsidP="003F4F8D">
      <w:pPr>
        <w:ind w:left="1440" w:hanging="1440"/>
        <w:jc w:val="both"/>
      </w:pPr>
    </w:p>
    <w:p w14:paraId="7E30B36B" w14:textId="23C400B8" w:rsidR="005A6478" w:rsidRPr="005A6478" w:rsidRDefault="00FD408B" w:rsidP="003F4F8D">
      <w:pPr>
        <w:ind w:left="1440" w:hanging="1440"/>
        <w:jc w:val="both"/>
        <w:rPr>
          <w:b/>
        </w:rPr>
      </w:pPr>
      <w:r>
        <w:rPr>
          <w:b/>
        </w:rPr>
        <w:t>WALMART</w:t>
      </w:r>
      <w:r w:rsidR="005A6478">
        <w:rPr>
          <w:b/>
        </w:rPr>
        <w:t>:</w:t>
      </w:r>
      <w:r w:rsidR="005A6478">
        <w:rPr>
          <w:b/>
        </w:rPr>
        <w:tab/>
      </w:r>
      <w:r w:rsidR="009C20C2">
        <w:t>A</w:t>
      </w:r>
      <w:r w:rsidR="005A6478">
        <w:t>grees with OPC.</w:t>
      </w:r>
    </w:p>
    <w:p w14:paraId="2D601099" w14:textId="77777777" w:rsidR="003F4F8D" w:rsidRPr="00701945" w:rsidRDefault="003F4F8D" w:rsidP="003F4F8D">
      <w:pPr>
        <w:jc w:val="both"/>
      </w:pPr>
    </w:p>
    <w:p w14:paraId="596999D1" w14:textId="77777777" w:rsidR="003F4F8D" w:rsidRPr="005D4B47" w:rsidRDefault="003F4F8D" w:rsidP="003F4F8D">
      <w:pPr>
        <w:ind w:left="1440" w:hanging="1440"/>
        <w:jc w:val="both"/>
        <w:rPr>
          <w:b/>
          <w:bCs/>
        </w:rPr>
      </w:pPr>
      <w:r>
        <w:rPr>
          <w:b/>
          <w:bCs/>
        </w:rPr>
        <w:t>STAFF:</w:t>
      </w:r>
      <w:r>
        <w:rPr>
          <w:b/>
          <w:bCs/>
        </w:rPr>
        <w:tab/>
      </w:r>
      <w:r w:rsidR="002C290E">
        <w:t>No position at this time.</w:t>
      </w:r>
    </w:p>
    <w:p w14:paraId="433ED7C5" w14:textId="77777777" w:rsidR="003F4F8D" w:rsidRDefault="003F4F8D" w:rsidP="00C7699A">
      <w:pPr>
        <w:jc w:val="both"/>
      </w:pPr>
    </w:p>
    <w:p w14:paraId="5CE8692C" w14:textId="77777777" w:rsidR="001510E6" w:rsidRDefault="001510E6" w:rsidP="00C7699A">
      <w:pPr>
        <w:jc w:val="both"/>
      </w:pPr>
    </w:p>
    <w:p w14:paraId="5B179732" w14:textId="77777777" w:rsidR="001510E6" w:rsidRPr="001510E6" w:rsidRDefault="001510E6" w:rsidP="001510E6">
      <w:pPr>
        <w:jc w:val="center"/>
        <w:rPr>
          <w:b/>
        </w:rPr>
      </w:pPr>
      <w:r w:rsidRPr="001510E6">
        <w:rPr>
          <w:b/>
          <w:u w:val="single"/>
        </w:rPr>
        <w:t>2025 REVENUE REQUIREMENTS</w:t>
      </w:r>
    </w:p>
    <w:p w14:paraId="33104DAE" w14:textId="77777777" w:rsidR="003F4F8D" w:rsidRDefault="003F4F8D" w:rsidP="00C7699A">
      <w:pPr>
        <w:jc w:val="both"/>
      </w:pPr>
    </w:p>
    <w:p w14:paraId="1380D100" w14:textId="77777777" w:rsidR="003F4F8D" w:rsidRPr="001510E6" w:rsidRDefault="00760498" w:rsidP="003F4F8D">
      <w:pPr>
        <w:ind w:left="1440" w:hanging="1440"/>
        <w:jc w:val="both"/>
        <w:rPr>
          <w:b/>
        </w:rPr>
      </w:pPr>
      <w:r>
        <w:rPr>
          <w:b/>
          <w:bCs/>
        </w:rPr>
        <w:t>ISSUE 68</w:t>
      </w:r>
      <w:r w:rsidR="003F4F8D" w:rsidRPr="00701945">
        <w:rPr>
          <w:b/>
          <w:bCs/>
        </w:rPr>
        <w:t>:</w:t>
      </w:r>
      <w:r w:rsidR="003F4F8D" w:rsidRPr="00701945">
        <w:tab/>
      </w:r>
      <w:r w:rsidR="001510E6" w:rsidRPr="001510E6">
        <w:rPr>
          <w:b/>
        </w:rPr>
        <w:t xml:space="preserve">What revenue expansion factor and net operating income multiplier, including the appropriate elements and rates, </w:t>
      </w:r>
      <w:r w:rsidR="001510E6" w:rsidRPr="001510E6">
        <w:rPr>
          <w:b/>
          <w:bCs/>
        </w:rPr>
        <w:t xml:space="preserve">should be approved </w:t>
      </w:r>
      <w:r w:rsidR="001510E6" w:rsidRPr="001510E6">
        <w:rPr>
          <w:b/>
        </w:rPr>
        <w:t>for the 2025 projected test year?</w:t>
      </w:r>
    </w:p>
    <w:p w14:paraId="4FDE96BC" w14:textId="77777777" w:rsidR="003F4F8D" w:rsidRPr="00701945" w:rsidRDefault="003F4F8D" w:rsidP="003F4F8D">
      <w:pPr>
        <w:jc w:val="both"/>
      </w:pPr>
    </w:p>
    <w:p w14:paraId="29498ACE" w14:textId="4E592FC1" w:rsidR="003F4F8D" w:rsidRPr="005D4B47" w:rsidRDefault="003F4F8D" w:rsidP="003F4F8D">
      <w:pPr>
        <w:ind w:left="1440" w:hanging="1440"/>
        <w:jc w:val="both"/>
      </w:pPr>
      <w:r>
        <w:rPr>
          <w:b/>
          <w:bCs/>
        </w:rPr>
        <w:t>TECO</w:t>
      </w:r>
      <w:r w:rsidRPr="005D4B47">
        <w:rPr>
          <w:b/>
          <w:bCs/>
        </w:rPr>
        <w:t>:</w:t>
      </w:r>
      <w:r w:rsidRPr="005D4B47">
        <w:tab/>
      </w:r>
      <w:r w:rsidR="001510E6">
        <w:t xml:space="preserve">The Commission should approve a revenue expansion factor and NOI multiplier of 0.74424 </w:t>
      </w:r>
      <w:r w:rsidR="00C559BE">
        <w:t>and 1</w:t>
      </w:r>
      <w:r w:rsidR="008677BB">
        <w:t>.</w:t>
      </w:r>
      <w:r w:rsidR="00C559BE">
        <w:t xml:space="preserve">34364, respectively, </w:t>
      </w:r>
      <w:r w:rsidR="001510E6">
        <w:t>for the projected 2025 test year based on the following elements and rates: regulatory assessment fee (0.085</w:t>
      </w:r>
      <w:r w:rsidR="00952DFD">
        <w:t>%), bad debt rate (0.224%</w:t>
      </w:r>
      <w:r w:rsidR="001510E6">
        <w:t>), state income tax rate (5.5</w:t>
      </w:r>
      <w:r w:rsidR="00952DFD">
        <w:t>%</w:t>
      </w:r>
      <w:r w:rsidR="001510E6">
        <w:t>) an</w:t>
      </w:r>
      <w:r w:rsidR="00952DFD">
        <w:t>d federal income tax rate (21.0%</w:t>
      </w:r>
      <w:r w:rsidR="001510E6">
        <w:t>). (Chronister)</w:t>
      </w:r>
    </w:p>
    <w:p w14:paraId="055ED8E1" w14:textId="77777777" w:rsidR="003F4F8D" w:rsidRPr="00701945" w:rsidRDefault="003F4F8D" w:rsidP="003F4F8D">
      <w:pPr>
        <w:jc w:val="both"/>
      </w:pPr>
    </w:p>
    <w:p w14:paraId="22B2F3A0" w14:textId="77777777" w:rsidR="004D62B2" w:rsidRDefault="003F4F8D" w:rsidP="003F4F8D">
      <w:pPr>
        <w:ind w:left="1440" w:hanging="1440"/>
        <w:jc w:val="both"/>
      </w:pPr>
      <w:r>
        <w:rPr>
          <w:b/>
          <w:bCs/>
        </w:rPr>
        <w:t>OPC</w:t>
      </w:r>
      <w:r w:rsidRPr="00701945">
        <w:rPr>
          <w:b/>
          <w:bCs/>
        </w:rPr>
        <w:t>:</w:t>
      </w:r>
      <w:r>
        <w:tab/>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1321"/>
        <w:gridCol w:w="2747"/>
      </w:tblGrid>
      <w:tr w:rsidR="004D62B2" w14:paraId="43C32D69" w14:textId="77777777" w:rsidTr="004D62B2">
        <w:tc>
          <w:tcPr>
            <w:tcW w:w="4068" w:type="dxa"/>
          </w:tcPr>
          <w:p w14:paraId="46390A54" w14:textId="77777777" w:rsidR="004D62B2" w:rsidRDefault="004D62B2" w:rsidP="004D62B2">
            <w:r>
              <w:t>Assume pre-tax income of</w:t>
            </w:r>
          </w:p>
        </w:tc>
        <w:tc>
          <w:tcPr>
            <w:tcW w:w="1321" w:type="dxa"/>
          </w:tcPr>
          <w:p w14:paraId="154E241E" w14:textId="77777777" w:rsidR="004D62B2" w:rsidRDefault="004D62B2" w:rsidP="004D62B2">
            <w:pPr>
              <w:jc w:val="right"/>
            </w:pPr>
          </w:p>
        </w:tc>
        <w:tc>
          <w:tcPr>
            <w:tcW w:w="2747" w:type="dxa"/>
          </w:tcPr>
          <w:p w14:paraId="71CC4014" w14:textId="77777777" w:rsidR="004D62B2" w:rsidRDefault="004D62B2" w:rsidP="004D62B2">
            <w:pPr>
              <w:jc w:val="right"/>
            </w:pPr>
            <w:r>
              <w:t>1.0000%</w:t>
            </w:r>
          </w:p>
        </w:tc>
      </w:tr>
      <w:tr w:rsidR="004D62B2" w14:paraId="35724825" w14:textId="77777777" w:rsidTr="004D62B2">
        <w:tc>
          <w:tcPr>
            <w:tcW w:w="4068" w:type="dxa"/>
          </w:tcPr>
          <w:p w14:paraId="31B1EF96" w14:textId="77777777" w:rsidR="004D62B2" w:rsidRDefault="004D62B2" w:rsidP="004D62B2"/>
        </w:tc>
        <w:tc>
          <w:tcPr>
            <w:tcW w:w="1321" w:type="dxa"/>
          </w:tcPr>
          <w:p w14:paraId="12410A30" w14:textId="77777777" w:rsidR="004D62B2" w:rsidRDefault="004D62B2" w:rsidP="004D62B2">
            <w:pPr>
              <w:jc w:val="right"/>
            </w:pPr>
          </w:p>
        </w:tc>
        <w:tc>
          <w:tcPr>
            <w:tcW w:w="2747" w:type="dxa"/>
          </w:tcPr>
          <w:p w14:paraId="64308BDB" w14:textId="77777777" w:rsidR="004D62B2" w:rsidRDefault="004D62B2" w:rsidP="004D62B2">
            <w:pPr>
              <w:jc w:val="right"/>
            </w:pPr>
          </w:p>
        </w:tc>
      </w:tr>
      <w:tr w:rsidR="004D62B2" w14:paraId="08CBB335" w14:textId="77777777" w:rsidTr="004D62B2">
        <w:tc>
          <w:tcPr>
            <w:tcW w:w="4068" w:type="dxa"/>
          </w:tcPr>
          <w:p w14:paraId="7C468961" w14:textId="77777777" w:rsidR="004D62B2" w:rsidRDefault="004D62B2" w:rsidP="004D62B2">
            <w:r>
              <w:t>Regulatory Assessment</w:t>
            </w:r>
          </w:p>
        </w:tc>
        <w:tc>
          <w:tcPr>
            <w:tcW w:w="1321" w:type="dxa"/>
          </w:tcPr>
          <w:p w14:paraId="39115B8E" w14:textId="77777777" w:rsidR="004D62B2" w:rsidRDefault="004D62B2" w:rsidP="004D62B2">
            <w:pPr>
              <w:jc w:val="right"/>
            </w:pPr>
          </w:p>
        </w:tc>
        <w:tc>
          <w:tcPr>
            <w:tcW w:w="2747" w:type="dxa"/>
          </w:tcPr>
          <w:p w14:paraId="69F2203D" w14:textId="77777777" w:rsidR="004D62B2" w:rsidRDefault="004D62B2" w:rsidP="004D62B2">
            <w:pPr>
              <w:jc w:val="right"/>
            </w:pPr>
            <w:r>
              <w:t>0.00085%</w:t>
            </w:r>
          </w:p>
        </w:tc>
      </w:tr>
      <w:tr w:rsidR="004D62B2" w14:paraId="4EF0621F" w14:textId="77777777" w:rsidTr="004D62B2">
        <w:tc>
          <w:tcPr>
            <w:tcW w:w="4068" w:type="dxa"/>
          </w:tcPr>
          <w:p w14:paraId="09A6B314" w14:textId="77777777" w:rsidR="004D62B2" w:rsidRDefault="004D62B2" w:rsidP="004D62B2"/>
        </w:tc>
        <w:tc>
          <w:tcPr>
            <w:tcW w:w="1321" w:type="dxa"/>
          </w:tcPr>
          <w:p w14:paraId="5B30A9EE" w14:textId="77777777" w:rsidR="004D62B2" w:rsidRDefault="004D62B2" w:rsidP="004D62B2">
            <w:pPr>
              <w:jc w:val="right"/>
            </w:pPr>
          </w:p>
        </w:tc>
        <w:tc>
          <w:tcPr>
            <w:tcW w:w="2747" w:type="dxa"/>
          </w:tcPr>
          <w:p w14:paraId="74F3FAFB" w14:textId="77777777" w:rsidR="004D62B2" w:rsidRDefault="004D62B2" w:rsidP="004D62B2">
            <w:pPr>
              <w:jc w:val="right"/>
            </w:pPr>
          </w:p>
        </w:tc>
      </w:tr>
      <w:tr w:rsidR="004D62B2" w14:paraId="26B98B5C" w14:textId="77777777" w:rsidTr="004D62B2">
        <w:tc>
          <w:tcPr>
            <w:tcW w:w="4068" w:type="dxa"/>
          </w:tcPr>
          <w:p w14:paraId="76F131AD" w14:textId="77777777" w:rsidR="004D62B2" w:rsidRDefault="004D62B2" w:rsidP="004D62B2">
            <w:r>
              <w:t>Bad Debt Rate</w:t>
            </w:r>
          </w:p>
        </w:tc>
        <w:tc>
          <w:tcPr>
            <w:tcW w:w="1321" w:type="dxa"/>
          </w:tcPr>
          <w:p w14:paraId="1E0BA1B3" w14:textId="77777777" w:rsidR="004D62B2" w:rsidRDefault="004D62B2" w:rsidP="004D62B2">
            <w:pPr>
              <w:jc w:val="right"/>
            </w:pPr>
          </w:p>
        </w:tc>
        <w:tc>
          <w:tcPr>
            <w:tcW w:w="2747" w:type="dxa"/>
            <w:tcBorders>
              <w:bottom w:val="single" w:sz="4" w:space="0" w:color="auto"/>
            </w:tcBorders>
          </w:tcPr>
          <w:p w14:paraId="3F472093" w14:textId="77777777" w:rsidR="004D62B2" w:rsidRDefault="004D62B2" w:rsidP="004D62B2">
            <w:pPr>
              <w:jc w:val="right"/>
            </w:pPr>
            <w:r>
              <w:t>0.00224%</w:t>
            </w:r>
          </w:p>
        </w:tc>
      </w:tr>
      <w:tr w:rsidR="004D62B2" w14:paraId="76585734" w14:textId="77777777" w:rsidTr="004D62B2">
        <w:tc>
          <w:tcPr>
            <w:tcW w:w="4068" w:type="dxa"/>
          </w:tcPr>
          <w:p w14:paraId="372407BD" w14:textId="77777777" w:rsidR="004D62B2" w:rsidRDefault="004D62B2" w:rsidP="004D62B2"/>
        </w:tc>
        <w:tc>
          <w:tcPr>
            <w:tcW w:w="1321" w:type="dxa"/>
          </w:tcPr>
          <w:p w14:paraId="7C49A3CA" w14:textId="77777777" w:rsidR="004D62B2" w:rsidRDefault="004D62B2" w:rsidP="004D62B2">
            <w:pPr>
              <w:jc w:val="right"/>
            </w:pPr>
          </w:p>
        </w:tc>
        <w:tc>
          <w:tcPr>
            <w:tcW w:w="2747" w:type="dxa"/>
            <w:tcBorders>
              <w:top w:val="single" w:sz="4" w:space="0" w:color="auto"/>
            </w:tcBorders>
          </w:tcPr>
          <w:p w14:paraId="301D7D30" w14:textId="77777777" w:rsidR="004D62B2" w:rsidRDefault="004D62B2" w:rsidP="004D62B2">
            <w:pPr>
              <w:jc w:val="right"/>
            </w:pPr>
          </w:p>
        </w:tc>
      </w:tr>
      <w:tr w:rsidR="004D62B2" w14:paraId="7A7A3645" w14:textId="77777777" w:rsidTr="004D62B2">
        <w:tc>
          <w:tcPr>
            <w:tcW w:w="4068" w:type="dxa"/>
          </w:tcPr>
          <w:p w14:paraId="36164BA5" w14:textId="77777777" w:rsidR="004D62B2" w:rsidRDefault="004D62B2" w:rsidP="004D62B2">
            <w:r>
              <w:t>Net Pretax Subtotal</w:t>
            </w:r>
          </w:p>
        </w:tc>
        <w:tc>
          <w:tcPr>
            <w:tcW w:w="1321" w:type="dxa"/>
          </w:tcPr>
          <w:p w14:paraId="1060C632" w14:textId="77777777" w:rsidR="004D62B2" w:rsidRDefault="004D62B2" w:rsidP="004D62B2">
            <w:pPr>
              <w:jc w:val="right"/>
            </w:pPr>
          </w:p>
        </w:tc>
        <w:tc>
          <w:tcPr>
            <w:tcW w:w="2747" w:type="dxa"/>
          </w:tcPr>
          <w:p w14:paraId="6BA02A0D" w14:textId="77777777" w:rsidR="004D62B2" w:rsidRDefault="004D62B2" w:rsidP="004D62B2">
            <w:pPr>
              <w:jc w:val="right"/>
            </w:pPr>
            <w:r>
              <w:t>0.99691%</w:t>
            </w:r>
          </w:p>
        </w:tc>
      </w:tr>
      <w:tr w:rsidR="004D62B2" w14:paraId="7E66BDEB" w14:textId="77777777" w:rsidTr="004D62B2">
        <w:tc>
          <w:tcPr>
            <w:tcW w:w="4068" w:type="dxa"/>
          </w:tcPr>
          <w:p w14:paraId="3D80F784" w14:textId="77777777" w:rsidR="004D62B2" w:rsidRDefault="004D62B2" w:rsidP="004D62B2"/>
        </w:tc>
        <w:tc>
          <w:tcPr>
            <w:tcW w:w="1321" w:type="dxa"/>
          </w:tcPr>
          <w:p w14:paraId="17A465F0" w14:textId="77777777" w:rsidR="004D62B2" w:rsidRDefault="004D62B2" w:rsidP="004D62B2">
            <w:pPr>
              <w:jc w:val="right"/>
            </w:pPr>
          </w:p>
        </w:tc>
        <w:tc>
          <w:tcPr>
            <w:tcW w:w="2747" w:type="dxa"/>
          </w:tcPr>
          <w:p w14:paraId="18E759A5" w14:textId="77777777" w:rsidR="004D62B2" w:rsidRDefault="004D62B2" w:rsidP="004D62B2">
            <w:pPr>
              <w:jc w:val="right"/>
            </w:pPr>
          </w:p>
        </w:tc>
      </w:tr>
      <w:tr w:rsidR="004D62B2" w14:paraId="042C6EB3" w14:textId="77777777" w:rsidTr="004D62B2">
        <w:tc>
          <w:tcPr>
            <w:tcW w:w="4068" w:type="dxa"/>
          </w:tcPr>
          <w:p w14:paraId="4690DC4D" w14:textId="77777777" w:rsidR="004D62B2" w:rsidRDefault="004D62B2" w:rsidP="004D62B2">
            <w:r>
              <w:t>State income tax</w:t>
            </w:r>
          </w:p>
        </w:tc>
        <w:tc>
          <w:tcPr>
            <w:tcW w:w="1321" w:type="dxa"/>
          </w:tcPr>
          <w:p w14:paraId="3E606099" w14:textId="77777777" w:rsidR="004D62B2" w:rsidRDefault="004D62B2" w:rsidP="004D62B2">
            <w:pPr>
              <w:jc w:val="right"/>
            </w:pPr>
            <w:r>
              <w:t>5.50%</w:t>
            </w:r>
          </w:p>
        </w:tc>
        <w:tc>
          <w:tcPr>
            <w:tcW w:w="2747" w:type="dxa"/>
            <w:tcBorders>
              <w:bottom w:val="single" w:sz="4" w:space="0" w:color="auto"/>
            </w:tcBorders>
          </w:tcPr>
          <w:p w14:paraId="12669345" w14:textId="77777777" w:rsidR="004D62B2" w:rsidRDefault="004D62B2" w:rsidP="004D62B2">
            <w:pPr>
              <w:jc w:val="right"/>
            </w:pPr>
            <w:r>
              <w:t>0.054830%</w:t>
            </w:r>
          </w:p>
        </w:tc>
      </w:tr>
      <w:tr w:rsidR="004D62B2" w14:paraId="6D4BF64E" w14:textId="77777777" w:rsidTr="004D62B2">
        <w:tc>
          <w:tcPr>
            <w:tcW w:w="4068" w:type="dxa"/>
          </w:tcPr>
          <w:p w14:paraId="379F7815" w14:textId="77777777" w:rsidR="004D62B2" w:rsidRDefault="004D62B2" w:rsidP="004D62B2"/>
        </w:tc>
        <w:tc>
          <w:tcPr>
            <w:tcW w:w="1321" w:type="dxa"/>
          </w:tcPr>
          <w:p w14:paraId="7BCE9A29" w14:textId="77777777" w:rsidR="004D62B2" w:rsidRDefault="004D62B2" w:rsidP="004D62B2">
            <w:pPr>
              <w:jc w:val="right"/>
            </w:pPr>
          </w:p>
        </w:tc>
        <w:tc>
          <w:tcPr>
            <w:tcW w:w="2747" w:type="dxa"/>
            <w:tcBorders>
              <w:top w:val="single" w:sz="4" w:space="0" w:color="auto"/>
            </w:tcBorders>
          </w:tcPr>
          <w:p w14:paraId="3FFD239C" w14:textId="77777777" w:rsidR="004D62B2" w:rsidRDefault="004D62B2" w:rsidP="004D62B2">
            <w:pPr>
              <w:jc w:val="right"/>
            </w:pPr>
          </w:p>
        </w:tc>
      </w:tr>
      <w:tr w:rsidR="004D62B2" w14:paraId="2822DB0C" w14:textId="77777777" w:rsidTr="004D62B2">
        <w:tc>
          <w:tcPr>
            <w:tcW w:w="4068" w:type="dxa"/>
          </w:tcPr>
          <w:p w14:paraId="1634F7FD" w14:textId="77777777" w:rsidR="004D62B2" w:rsidRDefault="004D62B2" w:rsidP="004D62B2">
            <w:r>
              <w:t>Taxable income for Federal income tax</w:t>
            </w:r>
          </w:p>
        </w:tc>
        <w:tc>
          <w:tcPr>
            <w:tcW w:w="1321" w:type="dxa"/>
          </w:tcPr>
          <w:p w14:paraId="091A5CE3" w14:textId="77777777" w:rsidR="004D62B2" w:rsidRDefault="004D62B2" w:rsidP="004D62B2">
            <w:pPr>
              <w:jc w:val="right"/>
            </w:pPr>
          </w:p>
        </w:tc>
        <w:tc>
          <w:tcPr>
            <w:tcW w:w="2747" w:type="dxa"/>
          </w:tcPr>
          <w:p w14:paraId="536A17E0" w14:textId="77777777" w:rsidR="004D62B2" w:rsidRDefault="004D62B2" w:rsidP="004D62B2">
            <w:pPr>
              <w:jc w:val="right"/>
            </w:pPr>
            <w:r>
              <w:t>0.94208%</w:t>
            </w:r>
          </w:p>
        </w:tc>
      </w:tr>
      <w:tr w:rsidR="004D62B2" w14:paraId="1F82232F" w14:textId="77777777" w:rsidTr="004D62B2">
        <w:tc>
          <w:tcPr>
            <w:tcW w:w="4068" w:type="dxa"/>
          </w:tcPr>
          <w:p w14:paraId="5C3A19B3" w14:textId="77777777" w:rsidR="004D62B2" w:rsidRDefault="004D62B2" w:rsidP="004D62B2"/>
        </w:tc>
        <w:tc>
          <w:tcPr>
            <w:tcW w:w="1321" w:type="dxa"/>
          </w:tcPr>
          <w:p w14:paraId="3BF8C6AA" w14:textId="77777777" w:rsidR="004D62B2" w:rsidRDefault="004D62B2" w:rsidP="004D62B2">
            <w:pPr>
              <w:jc w:val="right"/>
            </w:pPr>
          </w:p>
        </w:tc>
        <w:tc>
          <w:tcPr>
            <w:tcW w:w="2747" w:type="dxa"/>
          </w:tcPr>
          <w:p w14:paraId="51EA2B0B" w14:textId="77777777" w:rsidR="004D62B2" w:rsidRDefault="004D62B2" w:rsidP="004D62B2">
            <w:pPr>
              <w:jc w:val="right"/>
            </w:pPr>
          </w:p>
        </w:tc>
      </w:tr>
      <w:tr w:rsidR="004D62B2" w14:paraId="0A2860D0" w14:textId="77777777" w:rsidTr="004D62B2">
        <w:tc>
          <w:tcPr>
            <w:tcW w:w="4068" w:type="dxa"/>
          </w:tcPr>
          <w:p w14:paraId="5E8C81E9" w14:textId="77777777" w:rsidR="004D62B2" w:rsidRDefault="004D62B2" w:rsidP="004D62B2">
            <w:r>
              <w:t>Federal income tax at 21%</w:t>
            </w:r>
          </w:p>
        </w:tc>
        <w:tc>
          <w:tcPr>
            <w:tcW w:w="1321" w:type="dxa"/>
          </w:tcPr>
          <w:p w14:paraId="4F60BE8E" w14:textId="77777777" w:rsidR="004D62B2" w:rsidRDefault="004D62B2" w:rsidP="004D62B2">
            <w:pPr>
              <w:jc w:val="right"/>
            </w:pPr>
            <w:r>
              <w:t>21.0%</w:t>
            </w:r>
          </w:p>
        </w:tc>
        <w:tc>
          <w:tcPr>
            <w:tcW w:w="2747" w:type="dxa"/>
            <w:tcBorders>
              <w:bottom w:val="single" w:sz="4" w:space="0" w:color="auto"/>
            </w:tcBorders>
          </w:tcPr>
          <w:p w14:paraId="4D7B318A" w14:textId="77777777" w:rsidR="004D62B2" w:rsidRDefault="004D62B2" w:rsidP="004D62B2">
            <w:pPr>
              <w:jc w:val="right"/>
            </w:pPr>
            <w:r>
              <w:t>0.19784%</w:t>
            </w:r>
          </w:p>
        </w:tc>
      </w:tr>
      <w:tr w:rsidR="004D62B2" w14:paraId="3056C949" w14:textId="77777777" w:rsidTr="004D62B2">
        <w:tc>
          <w:tcPr>
            <w:tcW w:w="4068" w:type="dxa"/>
          </w:tcPr>
          <w:p w14:paraId="4A16D1B2" w14:textId="77777777" w:rsidR="004D62B2" w:rsidRDefault="004D62B2" w:rsidP="004D62B2"/>
        </w:tc>
        <w:tc>
          <w:tcPr>
            <w:tcW w:w="1321" w:type="dxa"/>
          </w:tcPr>
          <w:p w14:paraId="6877741A" w14:textId="77777777" w:rsidR="004D62B2" w:rsidRDefault="004D62B2" w:rsidP="004D62B2">
            <w:pPr>
              <w:jc w:val="right"/>
            </w:pPr>
          </w:p>
        </w:tc>
        <w:tc>
          <w:tcPr>
            <w:tcW w:w="2747" w:type="dxa"/>
            <w:tcBorders>
              <w:top w:val="single" w:sz="4" w:space="0" w:color="auto"/>
            </w:tcBorders>
          </w:tcPr>
          <w:p w14:paraId="49ADEC80" w14:textId="77777777" w:rsidR="004D62B2" w:rsidRDefault="004D62B2" w:rsidP="004D62B2">
            <w:pPr>
              <w:jc w:val="right"/>
            </w:pPr>
          </w:p>
        </w:tc>
      </w:tr>
      <w:tr w:rsidR="004D62B2" w14:paraId="1401213B" w14:textId="77777777" w:rsidTr="004D62B2">
        <w:tc>
          <w:tcPr>
            <w:tcW w:w="4068" w:type="dxa"/>
          </w:tcPr>
          <w:p w14:paraId="0C74C6BF" w14:textId="77777777" w:rsidR="004D62B2" w:rsidRDefault="004D62B2" w:rsidP="004D62B2">
            <w:r>
              <w:t>Revenue Expansion Factor</w:t>
            </w:r>
          </w:p>
        </w:tc>
        <w:tc>
          <w:tcPr>
            <w:tcW w:w="1321" w:type="dxa"/>
          </w:tcPr>
          <w:p w14:paraId="76F93CF7" w14:textId="77777777" w:rsidR="004D62B2" w:rsidRDefault="004D62B2" w:rsidP="004D62B2">
            <w:pPr>
              <w:jc w:val="right"/>
            </w:pPr>
          </w:p>
        </w:tc>
        <w:tc>
          <w:tcPr>
            <w:tcW w:w="2747" w:type="dxa"/>
            <w:tcBorders>
              <w:bottom w:val="double" w:sz="4" w:space="0" w:color="auto"/>
            </w:tcBorders>
          </w:tcPr>
          <w:p w14:paraId="52A4B6AE" w14:textId="77777777" w:rsidR="004D62B2" w:rsidRDefault="004D62B2" w:rsidP="004D62B2">
            <w:pPr>
              <w:jc w:val="right"/>
            </w:pPr>
            <w:r>
              <w:t>0.74424%</w:t>
            </w:r>
          </w:p>
        </w:tc>
      </w:tr>
      <w:tr w:rsidR="004D62B2" w14:paraId="2AB99489" w14:textId="77777777" w:rsidTr="004D62B2">
        <w:tc>
          <w:tcPr>
            <w:tcW w:w="4068" w:type="dxa"/>
          </w:tcPr>
          <w:p w14:paraId="0A649D1E" w14:textId="77777777" w:rsidR="004D62B2" w:rsidRDefault="004D62B2" w:rsidP="004D62B2"/>
        </w:tc>
        <w:tc>
          <w:tcPr>
            <w:tcW w:w="1321" w:type="dxa"/>
          </w:tcPr>
          <w:p w14:paraId="50EC42B7" w14:textId="77777777" w:rsidR="004D62B2" w:rsidRDefault="004D62B2" w:rsidP="004D62B2">
            <w:pPr>
              <w:jc w:val="right"/>
            </w:pPr>
          </w:p>
        </w:tc>
        <w:tc>
          <w:tcPr>
            <w:tcW w:w="2747" w:type="dxa"/>
            <w:tcBorders>
              <w:top w:val="double" w:sz="4" w:space="0" w:color="auto"/>
            </w:tcBorders>
          </w:tcPr>
          <w:p w14:paraId="12C856E0" w14:textId="77777777" w:rsidR="004D62B2" w:rsidRDefault="004D62B2" w:rsidP="004D62B2">
            <w:pPr>
              <w:jc w:val="right"/>
            </w:pPr>
          </w:p>
        </w:tc>
      </w:tr>
      <w:tr w:rsidR="004D62B2" w14:paraId="79F463C1" w14:textId="77777777" w:rsidTr="004D62B2">
        <w:tc>
          <w:tcPr>
            <w:tcW w:w="4068" w:type="dxa"/>
          </w:tcPr>
          <w:p w14:paraId="2C841859" w14:textId="77777777" w:rsidR="004D62B2" w:rsidRDefault="004D62B2" w:rsidP="004D62B2">
            <w:r>
              <w:t>Gross-Up</w:t>
            </w:r>
          </w:p>
        </w:tc>
        <w:tc>
          <w:tcPr>
            <w:tcW w:w="1321" w:type="dxa"/>
          </w:tcPr>
          <w:p w14:paraId="62A6DA3C" w14:textId="77777777" w:rsidR="004D62B2" w:rsidRDefault="004D62B2" w:rsidP="004D62B2">
            <w:pPr>
              <w:jc w:val="right"/>
            </w:pPr>
          </w:p>
        </w:tc>
        <w:tc>
          <w:tcPr>
            <w:tcW w:w="2747" w:type="dxa"/>
            <w:tcBorders>
              <w:bottom w:val="double" w:sz="4" w:space="0" w:color="auto"/>
            </w:tcBorders>
          </w:tcPr>
          <w:p w14:paraId="360F09B6" w14:textId="77777777" w:rsidR="004D62B2" w:rsidRDefault="004D62B2" w:rsidP="004D62B2">
            <w:pPr>
              <w:jc w:val="right"/>
            </w:pPr>
            <w:r>
              <w:t>1.34364</w:t>
            </w:r>
          </w:p>
        </w:tc>
      </w:tr>
    </w:tbl>
    <w:p w14:paraId="2FA3DEBF" w14:textId="77777777" w:rsidR="00DB24B8" w:rsidRDefault="00DB24B8" w:rsidP="003F4F8D">
      <w:pPr>
        <w:ind w:left="1440" w:hanging="1440"/>
        <w:jc w:val="both"/>
      </w:pPr>
    </w:p>
    <w:p w14:paraId="3CA51423" w14:textId="77777777" w:rsidR="003F4F8D" w:rsidRDefault="003F4F8D" w:rsidP="003F4F8D">
      <w:pPr>
        <w:ind w:left="1440" w:hanging="1440"/>
        <w:jc w:val="both"/>
        <w:rPr>
          <w:b/>
        </w:rPr>
      </w:pPr>
      <w:r>
        <w:rPr>
          <w:b/>
        </w:rPr>
        <w:t>FL RISING/</w:t>
      </w:r>
    </w:p>
    <w:p w14:paraId="240258E2" w14:textId="47D43F69" w:rsidR="003F4F8D" w:rsidRDefault="003F4F8D" w:rsidP="003F4F8D">
      <w:pPr>
        <w:ind w:left="1440" w:hanging="1440"/>
        <w:jc w:val="both"/>
        <w:rPr>
          <w:b/>
        </w:rPr>
      </w:pPr>
      <w:r>
        <w:rPr>
          <w:b/>
        </w:rPr>
        <w:t>LULAC:</w:t>
      </w:r>
      <w:r>
        <w:rPr>
          <w:b/>
        </w:rPr>
        <w:tab/>
      </w:r>
      <w:r w:rsidR="009B5CD3">
        <w:t xml:space="preserve">The revenue expansion factor and </w:t>
      </w:r>
      <w:r w:rsidR="00FF4D83">
        <w:t>NOI</w:t>
      </w:r>
      <w:r w:rsidR="009B5CD3">
        <w:t xml:space="preserve"> multiplier should be adjusted to reflect a 50-50 equity-to-debt </w:t>
      </w:r>
      <w:r w:rsidR="009B5CD3" w:rsidRPr="00D8574E">
        <w:t>ratio</w:t>
      </w:r>
      <w:r w:rsidR="009B5CD3">
        <w:t>.</w:t>
      </w:r>
    </w:p>
    <w:p w14:paraId="0918AB99" w14:textId="77777777" w:rsidR="003F4F8D" w:rsidRDefault="003F4F8D" w:rsidP="003F4F8D">
      <w:pPr>
        <w:ind w:left="1440" w:hanging="1440"/>
        <w:jc w:val="both"/>
        <w:rPr>
          <w:b/>
        </w:rPr>
      </w:pPr>
    </w:p>
    <w:p w14:paraId="127BC9BA" w14:textId="1087908B" w:rsidR="003F4F8D" w:rsidRDefault="003F4F8D" w:rsidP="003F4F8D">
      <w:pPr>
        <w:ind w:left="1440" w:hanging="1440"/>
        <w:jc w:val="both"/>
        <w:rPr>
          <w:b/>
        </w:rPr>
      </w:pPr>
      <w:r>
        <w:rPr>
          <w:b/>
        </w:rPr>
        <w:t>FIPUG:</w:t>
      </w:r>
      <w:r>
        <w:rPr>
          <w:b/>
        </w:rPr>
        <w:tab/>
      </w:r>
      <w:r w:rsidR="0099233E">
        <w:rPr>
          <w:bCs/>
        </w:rPr>
        <w:t>Adopt</w:t>
      </w:r>
      <w:r w:rsidR="00462860">
        <w:rPr>
          <w:bCs/>
        </w:rPr>
        <w:t>s</w:t>
      </w:r>
      <w:r w:rsidR="0099233E">
        <w:rPr>
          <w:bCs/>
        </w:rPr>
        <w:t xml:space="preserve"> the position of OPC.</w:t>
      </w:r>
    </w:p>
    <w:p w14:paraId="31F6A070" w14:textId="77777777" w:rsidR="003F4F8D" w:rsidRDefault="003F4F8D" w:rsidP="003F4F8D">
      <w:pPr>
        <w:ind w:left="1440" w:hanging="1440"/>
        <w:jc w:val="both"/>
        <w:rPr>
          <w:b/>
        </w:rPr>
      </w:pPr>
    </w:p>
    <w:p w14:paraId="5D75C78C" w14:textId="335C9142" w:rsidR="003F4F8D" w:rsidRDefault="003F4F8D" w:rsidP="003F4F8D">
      <w:pPr>
        <w:ind w:left="1440" w:hanging="1440"/>
        <w:jc w:val="both"/>
        <w:rPr>
          <w:b/>
        </w:rPr>
      </w:pPr>
      <w:r>
        <w:rPr>
          <w:b/>
        </w:rPr>
        <w:lastRenderedPageBreak/>
        <w:t>FEA:</w:t>
      </w:r>
      <w:r>
        <w:rPr>
          <w:b/>
        </w:rPr>
        <w:tab/>
      </w:r>
      <w:r w:rsidR="00462860">
        <w:t>No position.</w:t>
      </w:r>
    </w:p>
    <w:p w14:paraId="0A751E0E" w14:textId="77777777" w:rsidR="003F4F8D" w:rsidRDefault="003F4F8D" w:rsidP="003F4F8D">
      <w:pPr>
        <w:ind w:left="1440" w:hanging="1440"/>
        <w:jc w:val="both"/>
        <w:rPr>
          <w:b/>
        </w:rPr>
      </w:pPr>
    </w:p>
    <w:p w14:paraId="59C2CB06" w14:textId="77777777" w:rsidR="00A14A11" w:rsidRDefault="00764960" w:rsidP="003F4F8D">
      <w:pPr>
        <w:ind w:left="1440" w:hanging="1440"/>
        <w:jc w:val="both"/>
        <w:rPr>
          <w:b/>
        </w:rPr>
      </w:pPr>
      <w:r>
        <w:rPr>
          <w:b/>
        </w:rPr>
        <w:t xml:space="preserve">SIERRA </w:t>
      </w:r>
    </w:p>
    <w:p w14:paraId="4A0EAA8B" w14:textId="20060F6A" w:rsidR="003F4F8D" w:rsidRDefault="00764960" w:rsidP="003F4F8D">
      <w:pPr>
        <w:ind w:left="1440" w:hanging="1440"/>
        <w:jc w:val="both"/>
        <w:rPr>
          <w:b/>
        </w:rPr>
      </w:pPr>
      <w:r>
        <w:rPr>
          <w:b/>
        </w:rPr>
        <w:t>CLUB</w:t>
      </w:r>
      <w:r w:rsidR="003F4F8D">
        <w:rPr>
          <w:b/>
        </w:rPr>
        <w:t>:</w:t>
      </w:r>
      <w:r w:rsidR="003F4F8D">
        <w:rPr>
          <w:b/>
        </w:rPr>
        <w:tab/>
      </w:r>
      <w:r w:rsidR="00462860">
        <w:t>No position.</w:t>
      </w:r>
    </w:p>
    <w:p w14:paraId="2FB17DD3" w14:textId="77777777" w:rsidR="003F4F8D" w:rsidRDefault="003F4F8D" w:rsidP="003F4F8D">
      <w:pPr>
        <w:ind w:left="1440" w:hanging="1440"/>
        <w:jc w:val="both"/>
        <w:rPr>
          <w:b/>
        </w:rPr>
      </w:pPr>
    </w:p>
    <w:p w14:paraId="4734CDA3" w14:textId="77777777" w:rsidR="003F4F8D" w:rsidRDefault="003F4F8D" w:rsidP="003F4F8D">
      <w:pPr>
        <w:ind w:left="1440" w:hanging="1440"/>
        <w:jc w:val="both"/>
        <w:rPr>
          <w:b/>
        </w:rPr>
      </w:pPr>
      <w:r>
        <w:rPr>
          <w:b/>
        </w:rPr>
        <w:t>FRF:</w:t>
      </w:r>
      <w:r>
        <w:rPr>
          <w:b/>
        </w:rPr>
        <w:tab/>
      </w:r>
      <w:r w:rsidR="00881147">
        <w:t>The appropriate revenue expansion factor is 1.34364.</w:t>
      </w:r>
    </w:p>
    <w:p w14:paraId="4FC1B2B7" w14:textId="77777777" w:rsidR="003F4F8D" w:rsidRDefault="003F4F8D" w:rsidP="003F4F8D">
      <w:pPr>
        <w:ind w:left="1440" w:hanging="1440"/>
        <w:jc w:val="both"/>
        <w:rPr>
          <w:b/>
        </w:rPr>
      </w:pPr>
    </w:p>
    <w:p w14:paraId="132EA948" w14:textId="77777777" w:rsidR="00A14A11" w:rsidRDefault="00C0182D" w:rsidP="003F4F8D">
      <w:pPr>
        <w:ind w:left="1440" w:hanging="1440"/>
        <w:jc w:val="both"/>
        <w:rPr>
          <w:b/>
        </w:rPr>
      </w:pPr>
      <w:r>
        <w:rPr>
          <w:b/>
        </w:rPr>
        <w:t xml:space="preserve">FUEL </w:t>
      </w:r>
    </w:p>
    <w:p w14:paraId="54F201C7" w14:textId="4CEBC7E9" w:rsidR="003F4F8D" w:rsidRDefault="00C0182D" w:rsidP="003F4F8D">
      <w:pPr>
        <w:ind w:left="1440" w:hanging="1440"/>
        <w:jc w:val="both"/>
      </w:pPr>
      <w:r>
        <w:rPr>
          <w:b/>
        </w:rPr>
        <w:t>RETAILERS</w:t>
      </w:r>
      <w:r w:rsidR="003F4F8D">
        <w:rPr>
          <w:b/>
        </w:rPr>
        <w:t>:</w:t>
      </w:r>
      <w:r w:rsidR="00A14A11">
        <w:rPr>
          <w:b/>
        </w:rPr>
        <w:t xml:space="preserve"> </w:t>
      </w:r>
      <w:r w:rsidR="00304A80" w:rsidRPr="00132664">
        <w:t xml:space="preserve">No </w:t>
      </w:r>
      <w:r w:rsidR="00D950F7">
        <w:t>p</w:t>
      </w:r>
      <w:r w:rsidR="00304A80" w:rsidRPr="00132664">
        <w:t>osition.</w:t>
      </w:r>
    </w:p>
    <w:p w14:paraId="633B0D53" w14:textId="77777777" w:rsidR="005A6478" w:rsidRDefault="005A6478" w:rsidP="003F4F8D">
      <w:pPr>
        <w:ind w:left="1440" w:hanging="1440"/>
        <w:jc w:val="both"/>
      </w:pPr>
    </w:p>
    <w:p w14:paraId="6B7B27C7" w14:textId="2F0916E4" w:rsidR="005A6478" w:rsidRPr="005A6478" w:rsidRDefault="00FD408B" w:rsidP="003F4F8D">
      <w:pPr>
        <w:ind w:left="1440" w:hanging="1440"/>
        <w:jc w:val="both"/>
        <w:rPr>
          <w:b/>
        </w:rPr>
      </w:pPr>
      <w:r>
        <w:rPr>
          <w:b/>
        </w:rPr>
        <w:t>WALMART</w:t>
      </w:r>
      <w:r w:rsidR="005A6478">
        <w:rPr>
          <w:b/>
        </w:rPr>
        <w:t>:</w:t>
      </w:r>
      <w:r w:rsidR="005A6478">
        <w:rPr>
          <w:b/>
        </w:rPr>
        <w:tab/>
      </w:r>
      <w:r w:rsidR="00D950F7">
        <w:t xml:space="preserve">Adopts </w:t>
      </w:r>
      <w:r w:rsidR="005A6478">
        <w:t>the position of FRF.</w:t>
      </w:r>
    </w:p>
    <w:p w14:paraId="6EB1FC72" w14:textId="77777777" w:rsidR="003F4F8D" w:rsidRPr="00701945" w:rsidRDefault="003F4F8D" w:rsidP="003F4F8D">
      <w:pPr>
        <w:jc w:val="both"/>
      </w:pPr>
    </w:p>
    <w:p w14:paraId="3D2E84B2" w14:textId="77777777" w:rsidR="003F4F8D" w:rsidRPr="005D4B47" w:rsidRDefault="003F4F8D" w:rsidP="003F4F8D">
      <w:pPr>
        <w:ind w:left="1440" w:hanging="1440"/>
        <w:jc w:val="both"/>
        <w:rPr>
          <w:b/>
          <w:bCs/>
        </w:rPr>
      </w:pPr>
      <w:r>
        <w:rPr>
          <w:b/>
          <w:bCs/>
        </w:rPr>
        <w:t>STAFF:</w:t>
      </w:r>
      <w:r>
        <w:rPr>
          <w:b/>
          <w:bCs/>
        </w:rPr>
        <w:tab/>
      </w:r>
      <w:r w:rsidR="002C290E">
        <w:t>No position at this time.</w:t>
      </w:r>
    </w:p>
    <w:p w14:paraId="3CA56E11" w14:textId="77777777" w:rsidR="003F4F8D" w:rsidRDefault="003F4F8D" w:rsidP="00C7699A">
      <w:pPr>
        <w:jc w:val="both"/>
      </w:pPr>
    </w:p>
    <w:p w14:paraId="317C4E01" w14:textId="77777777" w:rsidR="003F4F8D" w:rsidRDefault="003F4F8D" w:rsidP="00C7699A">
      <w:pPr>
        <w:jc w:val="both"/>
      </w:pPr>
    </w:p>
    <w:p w14:paraId="08C94F50" w14:textId="77777777" w:rsidR="003F4F8D" w:rsidRPr="001510E6" w:rsidRDefault="001510E6" w:rsidP="003F4F8D">
      <w:pPr>
        <w:ind w:left="1440" w:hanging="1440"/>
        <w:jc w:val="both"/>
        <w:rPr>
          <w:b/>
        </w:rPr>
      </w:pPr>
      <w:r>
        <w:rPr>
          <w:b/>
          <w:bCs/>
        </w:rPr>
        <w:t>ISSUE 69</w:t>
      </w:r>
      <w:r w:rsidR="003F4F8D" w:rsidRPr="00701945">
        <w:rPr>
          <w:b/>
          <w:bCs/>
        </w:rPr>
        <w:t>:</w:t>
      </w:r>
      <w:r w:rsidR="003F4F8D" w:rsidRPr="00701945">
        <w:tab/>
      </w:r>
      <w:r w:rsidRPr="001510E6">
        <w:rPr>
          <w:b/>
        </w:rPr>
        <w:t>What amount of annual operating revenue increase for the 2025 projected test year should be approved?</w:t>
      </w:r>
    </w:p>
    <w:p w14:paraId="2DF46676" w14:textId="77777777" w:rsidR="003F4F8D" w:rsidRPr="00701945" w:rsidRDefault="003F4F8D" w:rsidP="003F4F8D">
      <w:pPr>
        <w:jc w:val="both"/>
      </w:pPr>
    </w:p>
    <w:p w14:paraId="140B91C4" w14:textId="77777777" w:rsidR="003F4F8D" w:rsidRPr="005D4B47" w:rsidRDefault="003F4F8D" w:rsidP="003F4F8D">
      <w:pPr>
        <w:ind w:left="1440" w:hanging="1440"/>
        <w:jc w:val="both"/>
      </w:pPr>
      <w:r>
        <w:rPr>
          <w:b/>
          <w:bCs/>
        </w:rPr>
        <w:t>TECO</w:t>
      </w:r>
      <w:r w:rsidRPr="005D4B47">
        <w:rPr>
          <w:b/>
          <w:bCs/>
        </w:rPr>
        <w:t>:</w:t>
      </w:r>
      <w:r w:rsidRPr="005D4B47">
        <w:tab/>
      </w:r>
      <w:r w:rsidR="001510E6">
        <w:t>The Commission should approve a $29</w:t>
      </w:r>
      <w:r w:rsidR="00D6718D">
        <w:t>5.5</w:t>
      </w:r>
      <w:r w:rsidR="001510E6">
        <w:t xml:space="preserve"> million annual operating revenue increase for the 2025 projected test year as shown on</w:t>
      </w:r>
      <w:r w:rsidR="00D6718D">
        <w:t xml:space="preserve"> the company’s August Filing</w:t>
      </w:r>
      <w:r w:rsidR="001510E6">
        <w:t>. (Chronister, Collins)</w:t>
      </w:r>
    </w:p>
    <w:p w14:paraId="1AE3B7F7" w14:textId="77777777" w:rsidR="003F4F8D" w:rsidRPr="00701945" w:rsidRDefault="003F4F8D" w:rsidP="003F4F8D">
      <w:pPr>
        <w:jc w:val="both"/>
      </w:pPr>
    </w:p>
    <w:p w14:paraId="2D153534" w14:textId="77777777" w:rsidR="003F4F8D" w:rsidRDefault="003F4F8D" w:rsidP="003F4F8D">
      <w:pPr>
        <w:ind w:left="1440" w:hanging="1440"/>
        <w:jc w:val="both"/>
      </w:pPr>
      <w:r>
        <w:rPr>
          <w:b/>
          <w:bCs/>
        </w:rPr>
        <w:t>OPC</w:t>
      </w:r>
      <w:r w:rsidRPr="00701945">
        <w:rPr>
          <w:b/>
          <w:bCs/>
        </w:rPr>
        <w:t>:</w:t>
      </w:r>
      <w:r>
        <w:tab/>
      </w:r>
      <w:r w:rsidR="009C0E66">
        <w:t>The Commission should approve a revenue increase of no more than $43.8 million for 2025.</w:t>
      </w:r>
    </w:p>
    <w:p w14:paraId="21A6E7C1" w14:textId="77777777" w:rsidR="003F4F8D" w:rsidRDefault="003F4F8D" w:rsidP="003F4F8D">
      <w:pPr>
        <w:ind w:left="1440" w:hanging="1440"/>
        <w:jc w:val="both"/>
      </w:pPr>
    </w:p>
    <w:p w14:paraId="1B15A51E" w14:textId="77777777" w:rsidR="003F4F8D" w:rsidRDefault="003F4F8D" w:rsidP="003F4F8D">
      <w:pPr>
        <w:ind w:left="1440" w:hanging="1440"/>
        <w:jc w:val="both"/>
        <w:rPr>
          <w:b/>
        </w:rPr>
      </w:pPr>
      <w:r>
        <w:rPr>
          <w:b/>
        </w:rPr>
        <w:t>FL RISING/</w:t>
      </w:r>
    </w:p>
    <w:p w14:paraId="286C26BF" w14:textId="4F3AA53B" w:rsidR="003F4F8D" w:rsidRDefault="003F4F8D" w:rsidP="003F4F8D">
      <w:pPr>
        <w:ind w:left="1440" w:hanging="1440"/>
        <w:jc w:val="both"/>
        <w:rPr>
          <w:b/>
        </w:rPr>
      </w:pPr>
      <w:r>
        <w:rPr>
          <w:b/>
        </w:rPr>
        <w:t>LULAC:</w:t>
      </w:r>
      <w:r>
        <w:rPr>
          <w:b/>
        </w:rPr>
        <w:tab/>
      </w:r>
      <w:r w:rsidR="009B5CD3">
        <w:t>$0. The Commission should deny TECO’s requested rate increase.</w:t>
      </w:r>
    </w:p>
    <w:p w14:paraId="581745BA" w14:textId="77777777" w:rsidR="003F4F8D" w:rsidRDefault="003F4F8D" w:rsidP="003F4F8D">
      <w:pPr>
        <w:ind w:left="1440" w:hanging="1440"/>
        <w:jc w:val="both"/>
        <w:rPr>
          <w:b/>
        </w:rPr>
      </w:pPr>
    </w:p>
    <w:p w14:paraId="0FDAD055" w14:textId="250CB207" w:rsidR="003F4F8D" w:rsidRDefault="003F4F8D" w:rsidP="003F4F8D">
      <w:pPr>
        <w:ind w:left="1440" w:hanging="1440"/>
        <w:jc w:val="both"/>
        <w:rPr>
          <w:b/>
        </w:rPr>
      </w:pPr>
      <w:r>
        <w:rPr>
          <w:b/>
        </w:rPr>
        <w:t>FIPUG:</w:t>
      </w:r>
      <w:r>
        <w:rPr>
          <w:b/>
        </w:rPr>
        <w:tab/>
      </w:r>
      <w:r w:rsidR="0099233E">
        <w:rPr>
          <w:bCs/>
        </w:rPr>
        <w:t>Adopt</w:t>
      </w:r>
      <w:r w:rsidR="00644D2C">
        <w:rPr>
          <w:bCs/>
        </w:rPr>
        <w:t>s</w:t>
      </w:r>
      <w:r w:rsidR="0099233E">
        <w:rPr>
          <w:bCs/>
        </w:rPr>
        <w:t xml:space="preserve"> the position of OPC.</w:t>
      </w:r>
    </w:p>
    <w:p w14:paraId="58770599" w14:textId="77777777" w:rsidR="003F4F8D" w:rsidRDefault="003F4F8D" w:rsidP="003F4F8D">
      <w:pPr>
        <w:ind w:left="1440" w:hanging="1440"/>
        <w:jc w:val="both"/>
        <w:rPr>
          <w:b/>
        </w:rPr>
      </w:pPr>
    </w:p>
    <w:p w14:paraId="691EABAD" w14:textId="0986781B" w:rsidR="003F4F8D" w:rsidRDefault="003F4F8D" w:rsidP="003F4F8D">
      <w:pPr>
        <w:ind w:left="1440" w:hanging="1440"/>
        <w:jc w:val="both"/>
        <w:rPr>
          <w:b/>
        </w:rPr>
      </w:pPr>
      <w:r>
        <w:rPr>
          <w:b/>
        </w:rPr>
        <w:t>FEA:</w:t>
      </w:r>
      <w:r>
        <w:rPr>
          <w:b/>
        </w:rPr>
        <w:tab/>
      </w:r>
      <w:r w:rsidR="00644D2C">
        <w:t>No position.</w:t>
      </w:r>
    </w:p>
    <w:p w14:paraId="58ACF7AB" w14:textId="77777777" w:rsidR="003F4F8D" w:rsidRDefault="003F4F8D" w:rsidP="003F4F8D">
      <w:pPr>
        <w:ind w:left="1440" w:hanging="1440"/>
        <w:jc w:val="both"/>
        <w:rPr>
          <w:b/>
        </w:rPr>
      </w:pPr>
    </w:p>
    <w:p w14:paraId="4A906608" w14:textId="77777777" w:rsidR="00A14A11" w:rsidRDefault="00764960" w:rsidP="003F4F8D">
      <w:pPr>
        <w:ind w:left="1440" w:hanging="1440"/>
        <w:jc w:val="both"/>
        <w:rPr>
          <w:b/>
        </w:rPr>
      </w:pPr>
      <w:r>
        <w:rPr>
          <w:b/>
        </w:rPr>
        <w:t xml:space="preserve">SIERRA </w:t>
      </w:r>
    </w:p>
    <w:p w14:paraId="7EA64391" w14:textId="121F72CE" w:rsidR="003F4F8D" w:rsidRDefault="00764960" w:rsidP="003F4F8D">
      <w:pPr>
        <w:ind w:left="1440" w:hanging="1440"/>
        <w:jc w:val="both"/>
        <w:rPr>
          <w:b/>
        </w:rPr>
      </w:pPr>
      <w:r>
        <w:rPr>
          <w:b/>
        </w:rPr>
        <w:t>CLUB</w:t>
      </w:r>
      <w:r w:rsidR="003F4F8D">
        <w:rPr>
          <w:b/>
        </w:rPr>
        <w:t>:</w:t>
      </w:r>
      <w:r w:rsidR="003F4F8D">
        <w:rPr>
          <w:b/>
        </w:rPr>
        <w:tab/>
      </w:r>
      <w:r w:rsidR="00385D93">
        <w:t>No position.</w:t>
      </w:r>
    </w:p>
    <w:p w14:paraId="4B7B19D2" w14:textId="77777777" w:rsidR="003F4F8D" w:rsidRDefault="003F4F8D" w:rsidP="003F4F8D">
      <w:pPr>
        <w:ind w:left="1440" w:hanging="1440"/>
        <w:jc w:val="both"/>
        <w:rPr>
          <w:b/>
        </w:rPr>
      </w:pPr>
    </w:p>
    <w:p w14:paraId="4C9A68C7" w14:textId="44708AEF" w:rsidR="003F4F8D" w:rsidRDefault="003F4F8D" w:rsidP="003F4F8D">
      <w:pPr>
        <w:ind w:left="1440" w:hanging="1440"/>
        <w:jc w:val="both"/>
        <w:rPr>
          <w:b/>
        </w:rPr>
      </w:pPr>
      <w:r>
        <w:rPr>
          <w:b/>
        </w:rPr>
        <w:t>FRF:</w:t>
      </w:r>
      <w:r>
        <w:rPr>
          <w:b/>
        </w:rPr>
        <w:tab/>
      </w:r>
      <w:r w:rsidR="00881147">
        <w:t>No more than $</w:t>
      </w:r>
      <w:r w:rsidR="008A1BD7">
        <w:t>43.8</w:t>
      </w:r>
      <w:r w:rsidR="00881147">
        <w:t xml:space="preserve"> million.</w:t>
      </w:r>
    </w:p>
    <w:p w14:paraId="5AB26BD0" w14:textId="77777777" w:rsidR="003F4F8D" w:rsidRDefault="003F4F8D" w:rsidP="003F4F8D">
      <w:pPr>
        <w:ind w:left="1440" w:hanging="1440"/>
        <w:jc w:val="both"/>
        <w:rPr>
          <w:b/>
        </w:rPr>
      </w:pPr>
    </w:p>
    <w:p w14:paraId="5AF1D0BD" w14:textId="77777777" w:rsidR="00A14A11" w:rsidRDefault="00C0182D" w:rsidP="003F4F8D">
      <w:pPr>
        <w:ind w:left="1440" w:hanging="1440"/>
        <w:jc w:val="both"/>
        <w:rPr>
          <w:b/>
        </w:rPr>
      </w:pPr>
      <w:r>
        <w:rPr>
          <w:b/>
        </w:rPr>
        <w:t xml:space="preserve">FUEL </w:t>
      </w:r>
    </w:p>
    <w:p w14:paraId="09DEFC62" w14:textId="7C5CA0E6" w:rsidR="003F4F8D" w:rsidRDefault="00C0182D" w:rsidP="003F4F8D">
      <w:pPr>
        <w:ind w:left="1440" w:hanging="1440"/>
        <w:jc w:val="both"/>
      </w:pPr>
      <w:r>
        <w:rPr>
          <w:b/>
        </w:rPr>
        <w:t>RETAILERS</w:t>
      </w:r>
      <w:r w:rsidR="003F4F8D">
        <w:rPr>
          <w:b/>
        </w:rPr>
        <w:t>:</w:t>
      </w:r>
      <w:r w:rsidR="00A14A11">
        <w:rPr>
          <w:b/>
        </w:rPr>
        <w:t xml:space="preserve"> </w:t>
      </w:r>
      <w:r w:rsidR="00304A80" w:rsidRPr="00132664">
        <w:t xml:space="preserve">No </w:t>
      </w:r>
      <w:r w:rsidR="00A12A45">
        <w:t>p</w:t>
      </w:r>
      <w:r w:rsidR="00304A80" w:rsidRPr="00132664">
        <w:t>osition.</w:t>
      </w:r>
    </w:p>
    <w:p w14:paraId="4A84EBB5" w14:textId="77777777" w:rsidR="005A6478" w:rsidRDefault="005A6478" w:rsidP="003F4F8D">
      <w:pPr>
        <w:ind w:left="1440" w:hanging="1440"/>
        <w:jc w:val="both"/>
      </w:pPr>
    </w:p>
    <w:p w14:paraId="685349C1" w14:textId="29866E97" w:rsidR="005A6478" w:rsidRPr="005A6478" w:rsidRDefault="00FD408B" w:rsidP="003F4F8D">
      <w:pPr>
        <w:ind w:left="1440" w:hanging="1440"/>
        <w:jc w:val="both"/>
        <w:rPr>
          <w:b/>
        </w:rPr>
      </w:pPr>
      <w:r>
        <w:rPr>
          <w:b/>
        </w:rPr>
        <w:t>WALMART</w:t>
      </w:r>
      <w:r w:rsidR="005A6478">
        <w:rPr>
          <w:b/>
        </w:rPr>
        <w:t>:</w:t>
      </w:r>
      <w:r w:rsidR="005A6478">
        <w:rPr>
          <w:b/>
        </w:rPr>
        <w:tab/>
      </w:r>
      <w:r w:rsidR="00A12A45">
        <w:t xml:space="preserve">Adopts the </w:t>
      </w:r>
      <w:r w:rsidR="005A6478">
        <w:t>position of FRF.</w:t>
      </w:r>
    </w:p>
    <w:p w14:paraId="5E416A7F" w14:textId="77777777" w:rsidR="003F4F8D" w:rsidRPr="00701945" w:rsidRDefault="003F4F8D" w:rsidP="003F4F8D">
      <w:pPr>
        <w:jc w:val="both"/>
      </w:pPr>
    </w:p>
    <w:p w14:paraId="0E9F6DDF" w14:textId="77777777" w:rsidR="003F4F8D" w:rsidRPr="005D4B47" w:rsidRDefault="003F4F8D" w:rsidP="003F4F8D">
      <w:pPr>
        <w:ind w:left="1440" w:hanging="1440"/>
        <w:jc w:val="both"/>
        <w:rPr>
          <w:b/>
          <w:bCs/>
        </w:rPr>
      </w:pPr>
      <w:r>
        <w:rPr>
          <w:b/>
          <w:bCs/>
        </w:rPr>
        <w:t>STAFF:</w:t>
      </w:r>
      <w:r>
        <w:rPr>
          <w:b/>
          <w:bCs/>
        </w:rPr>
        <w:tab/>
      </w:r>
      <w:r w:rsidR="002C290E">
        <w:t>No position at this time.</w:t>
      </w:r>
    </w:p>
    <w:p w14:paraId="1546AE6D" w14:textId="77777777" w:rsidR="003F4F8D" w:rsidRDefault="003F4F8D" w:rsidP="00C7699A">
      <w:pPr>
        <w:jc w:val="both"/>
      </w:pPr>
    </w:p>
    <w:p w14:paraId="539E37BB" w14:textId="77777777" w:rsidR="001510E6" w:rsidRDefault="001510E6" w:rsidP="00C7699A">
      <w:pPr>
        <w:jc w:val="both"/>
      </w:pPr>
    </w:p>
    <w:p w14:paraId="77CCDA3F" w14:textId="77777777" w:rsidR="001510E6" w:rsidRPr="001510E6" w:rsidRDefault="001510E6" w:rsidP="001510E6">
      <w:pPr>
        <w:jc w:val="center"/>
        <w:rPr>
          <w:b/>
        </w:rPr>
      </w:pPr>
      <w:r w:rsidRPr="001510E6">
        <w:rPr>
          <w:b/>
          <w:u w:val="single"/>
        </w:rPr>
        <w:lastRenderedPageBreak/>
        <w:t>2025 COST OF SERVICE AND RATES</w:t>
      </w:r>
    </w:p>
    <w:p w14:paraId="08DD9083" w14:textId="77777777" w:rsidR="003F4F8D" w:rsidRDefault="003F4F8D" w:rsidP="00C7699A">
      <w:pPr>
        <w:jc w:val="both"/>
      </w:pPr>
    </w:p>
    <w:p w14:paraId="36FD9B2D" w14:textId="77777777" w:rsidR="003F4F8D" w:rsidRPr="001510E6" w:rsidRDefault="001510E6" w:rsidP="003F4F8D">
      <w:pPr>
        <w:ind w:left="1440" w:hanging="1440"/>
        <w:jc w:val="both"/>
        <w:rPr>
          <w:b/>
        </w:rPr>
      </w:pPr>
      <w:r>
        <w:rPr>
          <w:b/>
          <w:bCs/>
        </w:rPr>
        <w:t>ISSUE 70</w:t>
      </w:r>
      <w:r w:rsidR="003F4F8D" w:rsidRPr="00701945">
        <w:rPr>
          <w:b/>
          <w:bCs/>
        </w:rPr>
        <w:t>:</w:t>
      </w:r>
      <w:r w:rsidR="003F4F8D" w:rsidRPr="00701945">
        <w:tab/>
      </w:r>
      <w:r w:rsidRPr="001510E6">
        <w:rPr>
          <w:b/>
        </w:rPr>
        <w:t>Is TECO’s proposed separation of costs and revenues between the wholesale and retail jurisdictions appropriate?</w:t>
      </w:r>
    </w:p>
    <w:p w14:paraId="3A36DFEB" w14:textId="77777777" w:rsidR="003F4F8D" w:rsidRPr="00701945" w:rsidRDefault="003F4F8D" w:rsidP="003F4F8D">
      <w:pPr>
        <w:jc w:val="both"/>
      </w:pPr>
    </w:p>
    <w:p w14:paraId="66391AA7" w14:textId="21AD8131" w:rsidR="003F4F8D" w:rsidRPr="005D4B47" w:rsidRDefault="003F4F8D" w:rsidP="003F4F8D">
      <w:pPr>
        <w:ind w:left="1440" w:hanging="1440"/>
        <w:jc w:val="both"/>
      </w:pPr>
      <w:r>
        <w:rPr>
          <w:b/>
          <w:bCs/>
        </w:rPr>
        <w:t>TECO</w:t>
      </w:r>
      <w:r w:rsidRPr="005D4B47">
        <w:rPr>
          <w:b/>
          <w:bCs/>
        </w:rPr>
        <w:t>:</w:t>
      </w:r>
      <w:r w:rsidRPr="005D4B47">
        <w:tab/>
      </w:r>
      <w:r w:rsidR="001510E6">
        <w:t xml:space="preserve">Yes. </w:t>
      </w:r>
      <w:r w:rsidR="009B64DA">
        <w:t>TECO</w:t>
      </w:r>
      <w:r w:rsidR="001510E6">
        <w:t>’s proposed Jurisdictional Separation Study is appropriate and should be approved. (Williams)</w:t>
      </w:r>
    </w:p>
    <w:p w14:paraId="37C0622B" w14:textId="77777777" w:rsidR="003F4F8D" w:rsidRPr="00701945" w:rsidRDefault="003F4F8D" w:rsidP="003F4F8D">
      <w:pPr>
        <w:jc w:val="both"/>
      </w:pPr>
    </w:p>
    <w:p w14:paraId="6A82DBDE" w14:textId="77777777" w:rsidR="003F4F8D" w:rsidRDefault="003F4F8D" w:rsidP="003F4F8D">
      <w:pPr>
        <w:ind w:left="1440" w:hanging="1440"/>
        <w:jc w:val="both"/>
      </w:pPr>
      <w:r>
        <w:rPr>
          <w:b/>
          <w:bCs/>
        </w:rPr>
        <w:t>OPC</w:t>
      </w:r>
      <w:r w:rsidRPr="00701945">
        <w:rPr>
          <w:b/>
          <w:bCs/>
        </w:rPr>
        <w:t>:</w:t>
      </w:r>
      <w:r>
        <w:tab/>
      </w:r>
      <w:r w:rsidR="00F21B49">
        <w:t>No position.</w:t>
      </w:r>
    </w:p>
    <w:p w14:paraId="3939C218" w14:textId="77777777" w:rsidR="003F4F8D" w:rsidRDefault="003F4F8D" w:rsidP="003F4F8D">
      <w:pPr>
        <w:ind w:left="1440" w:hanging="1440"/>
        <w:jc w:val="both"/>
      </w:pPr>
    </w:p>
    <w:p w14:paraId="77D7E284" w14:textId="77777777" w:rsidR="003F4F8D" w:rsidRDefault="003F4F8D" w:rsidP="003F4F8D">
      <w:pPr>
        <w:ind w:left="1440" w:hanging="1440"/>
        <w:jc w:val="both"/>
        <w:rPr>
          <w:b/>
        </w:rPr>
      </w:pPr>
      <w:r>
        <w:rPr>
          <w:b/>
        </w:rPr>
        <w:t>FL RISING/</w:t>
      </w:r>
    </w:p>
    <w:p w14:paraId="3019CCF4" w14:textId="5320BFE4" w:rsidR="003F4F8D" w:rsidRDefault="003F4F8D" w:rsidP="003F4F8D">
      <w:pPr>
        <w:ind w:left="1440" w:hanging="1440"/>
        <w:jc w:val="both"/>
        <w:rPr>
          <w:b/>
        </w:rPr>
      </w:pPr>
      <w:r>
        <w:rPr>
          <w:b/>
        </w:rPr>
        <w:t>LULAC:</w:t>
      </w:r>
      <w:r>
        <w:rPr>
          <w:b/>
        </w:rPr>
        <w:tab/>
      </w:r>
      <w:r w:rsidR="009B64DA">
        <w:t>No position.</w:t>
      </w:r>
    </w:p>
    <w:p w14:paraId="68D86ECD" w14:textId="77777777" w:rsidR="003F4F8D" w:rsidRDefault="003F4F8D" w:rsidP="003F4F8D">
      <w:pPr>
        <w:ind w:left="1440" w:hanging="1440"/>
        <w:jc w:val="both"/>
        <w:rPr>
          <w:b/>
        </w:rPr>
      </w:pPr>
    </w:p>
    <w:p w14:paraId="521F9739" w14:textId="2FC831DC" w:rsidR="003F4F8D" w:rsidRDefault="003F4F8D" w:rsidP="003F4F8D">
      <w:pPr>
        <w:ind w:left="1440" w:hanging="1440"/>
        <w:jc w:val="both"/>
        <w:rPr>
          <w:b/>
        </w:rPr>
      </w:pPr>
      <w:r>
        <w:rPr>
          <w:b/>
        </w:rPr>
        <w:t>FIPUG:</w:t>
      </w:r>
      <w:r>
        <w:rPr>
          <w:b/>
        </w:rPr>
        <w:tab/>
      </w:r>
      <w:r w:rsidR="0099233E" w:rsidRPr="001C7DE6">
        <w:rPr>
          <w:bCs/>
        </w:rPr>
        <w:t>No position.</w:t>
      </w:r>
    </w:p>
    <w:p w14:paraId="20F93D00" w14:textId="77777777" w:rsidR="003F4F8D" w:rsidRDefault="003F4F8D" w:rsidP="003F4F8D">
      <w:pPr>
        <w:ind w:left="1440" w:hanging="1440"/>
        <w:jc w:val="both"/>
        <w:rPr>
          <w:b/>
        </w:rPr>
      </w:pPr>
    </w:p>
    <w:p w14:paraId="14A5F3EE" w14:textId="237D24C3" w:rsidR="003F4F8D" w:rsidRPr="00601E46" w:rsidRDefault="003F4F8D" w:rsidP="003F4F8D">
      <w:pPr>
        <w:ind w:left="1440" w:hanging="1440"/>
        <w:jc w:val="both"/>
      </w:pPr>
      <w:r>
        <w:rPr>
          <w:b/>
        </w:rPr>
        <w:t>FEA:</w:t>
      </w:r>
      <w:r>
        <w:rPr>
          <w:b/>
        </w:rPr>
        <w:tab/>
      </w:r>
      <w:r w:rsidR="00E52781">
        <w:rPr>
          <w:bCs/>
        </w:rPr>
        <w:t xml:space="preserve">FEA supports TECO’s </w:t>
      </w:r>
      <w:r w:rsidR="00601E46" w:rsidRPr="00601E46">
        <w:rPr>
          <w:bCs/>
        </w:rPr>
        <w:t>jurisdiction allocation study.</w:t>
      </w:r>
    </w:p>
    <w:p w14:paraId="3D8BBD83" w14:textId="77777777" w:rsidR="003F4F8D" w:rsidRDefault="003F4F8D" w:rsidP="003F4F8D">
      <w:pPr>
        <w:ind w:left="1440" w:hanging="1440"/>
        <w:jc w:val="both"/>
        <w:rPr>
          <w:b/>
        </w:rPr>
      </w:pPr>
    </w:p>
    <w:p w14:paraId="35B54659" w14:textId="77777777" w:rsidR="00A14A11" w:rsidRDefault="00764960" w:rsidP="003F4F8D">
      <w:pPr>
        <w:ind w:left="1440" w:hanging="1440"/>
        <w:jc w:val="both"/>
        <w:rPr>
          <w:b/>
        </w:rPr>
      </w:pPr>
      <w:r>
        <w:rPr>
          <w:b/>
        </w:rPr>
        <w:t xml:space="preserve">SIERRA </w:t>
      </w:r>
    </w:p>
    <w:p w14:paraId="34F23271" w14:textId="3E77CE62" w:rsidR="003F4F8D" w:rsidRDefault="00764960" w:rsidP="003F4F8D">
      <w:pPr>
        <w:ind w:left="1440" w:hanging="1440"/>
        <w:jc w:val="both"/>
        <w:rPr>
          <w:b/>
        </w:rPr>
      </w:pPr>
      <w:r>
        <w:rPr>
          <w:b/>
        </w:rPr>
        <w:t>CLUB</w:t>
      </w:r>
      <w:r w:rsidR="003F4F8D">
        <w:rPr>
          <w:b/>
        </w:rPr>
        <w:t>:</w:t>
      </w:r>
      <w:r w:rsidR="003F4F8D">
        <w:rPr>
          <w:b/>
        </w:rPr>
        <w:tab/>
      </w:r>
      <w:r w:rsidR="00516FCE">
        <w:t xml:space="preserve">For each of the </w:t>
      </w:r>
      <w:r w:rsidR="00E52781">
        <w:t>I</w:t>
      </w:r>
      <w:r w:rsidR="00516FCE">
        <w:t xml:space="preserve">ssues in this category, </w:t>
      </w:r>
      <w:r w:rsidR="00516FCE" w:rsidRPr="001E3193">
        <w:t xml:space="preserve">Sierra Club has no position </w:t>
      </w:r>
      <w:r w:rsidR="00516FCE">
        <w:t>beyond generally supporting intervenor proposals to reduce energy burdens for residential customers.</w:t>
      </w:r>
    </w:p>
    <w:p w14:paraId="4A85E973" w14:textId="77777777" w:rsidR="003F4F8D" w:rsidRDefault="003F4F8D" w:rsidP="003F4F8D">
      <w:pPr>
        <w:ind w:left="1440" w:hanging="1440"/>
        <w:jc w:val="both"/>
        <w:rPr>
          <w:b/>
        </w:rPr>
      </w:pPr>
    </w:p>
    <w:p w14:paraId="0E59B6CC" w14:textId="77777777" w:rsidR="003F4F8D" w:rsidRDefault="003F4F8D" w:rsidP="003F4F8D">
      <w:pPr>
        <w:ind w:left="1440" w:hanging="1440"/>
        <w:jc w:val="both"/>
        <w:rPr>
          <w:b/>
        </w:rPr>
      </w:pPr>
      <w:r>
        <w:rPr>
          <w:b/>
        </w:rPr>
        <w:t>FRF:</w:t>
      </w:r>
      <w:r>
        <w:rPr>
          <w:b/>
        </w:rPr>
        <w:tab/>
      </w:r>
      <w:r w:rsidR="00881147">
        <w:t>The FRF does not oppose TECO’s jurisdictional separation cost of service study.</w:t>
      </w:r>
    </w:p>
    <w:p w14:paraId="22C677AB" w14:textId="77777777" w:rsidR="003F4F8D" w:rsidRDefault="003F4F8D" w:rsidP="003F4F8D">
      <w:pPr>
        <w:ind w:left="1440" w:hanging="1440"/>
        <w:jc w:val="both"/>
        <w:rPr>
          <w:b/>
        </w:rPr>
      </w:pPr>
    </w:p>
    <w:p w14:paraId="3AC14C1A" w14:textId="77777777" w:rsidR="00A14A11" w:rsidRDefault="00C0182D" w:rsidP="003F4F8D">
      <w:pPr>
        <w:ind w:left="1440" w:hanging="1440"/>
        <w:jc w:val="both"/>
        <w:rPr>
          <w:b/>
        </w:rPr>
      </w:pPr>
      <w:r>
        <w:rPr>
          <w:b/>
        </w:rPr>
        <w:t xml:space="preserve">FUEL </w:t>
      </w:r>
    </w:p>
    <w:p w14:paraId="32E9A081" w14:textId="3201F026" w:rsidR="003F4F8D" w:rsidRDefault="00C0182D" w:rsidP="003F4F8D">
      <w:pPr>
        <w:ind w:left="1440" w:hanging="1440"/>
        <w:jc w:val="both"/>
      </w:pPr>
      <w:r>
        <w:rPr>
          <w:b/>
        </w:rPr>
        <w:t>RETAILERS</w:t>
      </w:r>
      <w:r w:rsidR="003F4F8D">
        <w:rPr>
          <w:b/>
        </w:rPr>
        <w:t>:</w:t>
      </w:r>
      <w:r w:rsidR="00A14A11">
        <w:rPr>
          <w:b/>
        </w:rPr>
        <w:t xml:space="preserve"> </w:t>
      </w:r>
      <w:r w:rsidR="00304A80" w:rsidRPr="00132664">
        <w:t xml:space="preserve">No </w:t>
      </w:r>
      <w:r w:rsidR="00E52781">
        <w:t>p</w:t>
      </w:r>
      <w:r w:rsidR="00304A80" w:rsidRPr="00132664">
        <w:t>osition.</w:t>
      </w:r>
    </w:p>
    <w:p w14:paraId="47BF5658" w14:textId="77777777" w:rsidR="005A6478" w:rsidRDefault="005A6478" w:rsidP="003F4F8D">
      <w:pPr>
        <w:ind w:left="1440" w:hanging="1440"/>
        <w:jc w:val="both"/>
      </w:pPr>
    </w:p>
    <w:p w14:paraId="126053E0" w14:textId="0D1BF643" w:rsidR="005A6478" w:rsidRPr="005A6478" w:rsidRDefault="00FD408B" w:rsidP="003F4F8D">
      <w:pPr>
        <w:ind w:left="1440" w:hanging="1440"/>
        <w:jc w:val="both"/>
        <w:rPr>
          <w:b/>
        </w:rPr>
      </w:pPr>
      <w:r>
        <w:rPr>
          <w:b/>
        </w:rPr>
        <w:t>WALMART</w:t>
      </w:r>
      <w:r w:rsidR="005A6478">
        <w:rPr>
          <w:b/>
        </w:rPr>
        <w:t>:</w:t>
      </w:r>
      <w:r w:rsidR="005A6478">
        <w:rPr>
          <w:b/>
        </w:rPr>
        <w:tab/>
      </w:r>
      <w:r w:rsidR="00E52781">
        <w:t xml:space="preserve">Adopts </w:t>
      </w:r>
      <w:r w:rsidR="005A6478">
        <w:t>the position of FRF.</w:t>
      </w:r>
    </w:p>
    <w:p w14:paraId="147E6D0D" w14:textId="77777777" w:rsidR="003F4F8D" w:rsidRPr="00701945" w:rsidRDefault="003F4F8D" w:rsidP="003F4F8D">
      <w:pPr>
        <w:jc w:val="both"/>
      </w:pPr>
    </w:p>
    <w:p w14:paraId="512A59CC" w14:textId="31E8D4A4" w:rsidR="003F4F8D" w:rsidRDefault="003F4F8D" w:rsidP="003F4F8D">
      <w:pPr>
        <w:ind w:left="1440" w:hanging="1440"/>
        <w:jc w:val="both"/>
      </w:pPr>
      <w:r>
        <w:rPr>
          <w:b/>
          <w:bCs/>
        </w:rPr>
        <w:t>STAFF:</w:t>
      </w:r>
      <w:r>
        <w:rPr>
          <w:b/>
          <w:bCs/>
        </w:rPr>
        <w:tab/>
      </w:r>
      <w:r w:rsidR="002C290E">
        <w:t>No position at this time.</w:t>
      </w:r>
    </w:p>
    <w:p w14:paraId="4C32547F" w14:textId="4623F569" w:rsidR="00BF00BB" w:rsidRDefault="00BF00BB" w:rsidP="003F4F8D">
      <w:pPr>
        <w:ind w:left="1440" w:hanging="1440"/>
        <w:jc w:val="both"/>
      </w:pPr>
    </w:p>
    <w:p w14:paraId="6C8AA4B1" w14:textId="77777777" w:rsidR="00BF00BB" w:rsidRPr="005D4B47" w:rsidRDefault="00BF00BB" w:rsidP="003F4F8D">
      <w:pPr>
        <w:ind w:left="1440" w:hanging="1440"/>
        <w:jc w:val="both"/>
        <w:rPr>
          <w:b/>
          <w:bCs/>
        </w:rPr>
      </w:pPr>
    </w:p>
    <w:p w14:paraId="7B3C8793" w14:textId="77777777" w:rsidR="003F4F8D" w:rsidRPr="001510E6" w:rsidRDefault="001510E6" w:rsidP="003F4F8D">
      <w:pPr>
        <w:ind w:left="1440" w:hanging="1440"/>
        <w:jc w:val="both"/>
        <w:rPr>
          <w:b/>
        </w:rPr>
      </w:pPr>
      <w:r>
        <w:rPr>
          <w:b/>
          <w:bCs/>
        </w:rPr>
        <w:t>ISSUE 71</w:t>
      </w:r>
      <w:r w:rsidR="003F4F8D" w:rsidRPr="00701945">
        <w:rPr>
          <w:b/>
          <w:bCs/>
        </w:rPr>
        <w:t>:</w:t>
      </w:r>
      <w:r w:rsidR="003F4F8D" w:rsidRPr="00701945">
        <w:tab/>
      </w:r>
      <w:r w:rsidRPr="001510E6">
        <w:rPr>
          <w:b/>
        </w:rPr>
        <w:t>What is the appropriate methodology to allocate production costs to the rate classes?</w:t>
      </w:r>
    </w:p>
    <w:p w14:paraId="5C2A1454" w14:textId="77777777" w:rsidR="003F4F8D" w:rsidRPr="00701945" w:rsidRDefault="003F4F8D" w:rsidP="003F4F8D">
      <w:pPr>
        <w:jc w:val="both"/>
      </w:pPr>
    </w:p>
    <w:p w14:paraId="555AB328" w14:textId="1691C70A" w:rsidR="003F4F8D" w:rsidRPr="005D4B47" w:rsidRDefault="003F4F8D" w:rsidP="003F4F8D">
      <w:pPr>
        <w:ind w:left="1440" w:hanging="1440"/>
        <w:jc w:val="both"/>
      </w:pPr>
      <w:r>
        <w:rPr>
          <w:b/>
          <w:bCs/>
        </w:rPr>
        <w:t>TECO</w:t>
      </w:r>
      <w:r w:rsidRPr="005D4B47">
        <w:rPr>
          <w:b/>
          <w:bCs/>
        </w:rPr>
        <w:t>:</w:t>
      </w:r>
      <w:r w:rsidRPr="005D4B47">
        <w:tab/>
      </w:r>
      <w:r w:rsidR="001510E6">
        <w:t xml:space="preserve">The terms of the 2021 Stipulation and Settlement Agreement approved by Order No. PSC-2021-0423-S-EI issued November 10, 2021, in Docket No. 20210034-EI (“2021 Agreement”) require </w:t>
      </w:r>
      <w:r w:rsidR="00632167">
        <w:t>TECO</w:t>
      </w:r>
      <w:r w:rsidR="001510E6">
        <w:t xml:space="preserve"> to propose to allocate production costs using the 4 Coincident Peak methodology. The Big Bend Unit 4 scrubber and Polk 1 gasifier should continue to be allocated on an energy basis, which is consistent with </w:t>
      </w:r>
      <w:r w:rsidR="00632167">
        <w:t xml:space="preserve">TECO’s </w:t>
      </w:r>
      <w:r w:rsidR="001510E6">
        <w:t>last four approved Cost of Service Studies. (Williams)</w:t>
      </w:r>
    </w:p>
    <w:p w14:paraId="1397DACD" w14:textId="77777777" w:rsidR="003F4F8D" w:rsidRPr="00701945" w:rsidRDefault="003F4F8D" w:rsidP="003F4F8D">
      <w:pPr>
        <w:jc w:val="both"/>
      </w:pPr>
    </w:p>
    <w:p w14:paraId="43B1B913" w14:textId="77777777" w:rsidR="003F4F8D" w:rsidRDefault="003F4F8D" w:rsidP="003F4F8D">
      <w:pPr>
        <w:ind w:left="1440" w:hanging="1440"/>
        <w:jc w:val="both"/>
      </w:pPr>
      <w:r>
        <w:rPr>
          <w:b/>
          <w:bCs/>
        </w:rPr>
        <w:t>OPC</w:t>
      </w:r>
      <w:r w:rsidRPr="00701945">
        <w:rPr>
          <w:b/>
          <w:bCs/>
        </w:rPr>
        <w:t>:</w:t>
      </w:r>
      <w:r>
        <w:tab/>
      </w:r>
      <w:r w:rsidR="00F21B49">
        <w:t>No position.</w:t>
      </w:r>
    </w:p>
    <w:p w14:paraId="1415D623" w14:textId="41BA532E" w:rsidR="003F4F8D" w:rsidRDefault="003F4F8D" w:rsidP="003F4F8D">
      <w:pPr>
        <w:ind w:left="1440" w:hanging="1440"/>
        <w:jc w:val="both"/>
      </w:pPr>
    </w:p>
    <w:p w14:paraId="2415D0DF" w14:textId="77777777" w:rsidR="005D32F4" w:rsidRDefault="005D32F4" w:rsidP="003F4F8D">
      <w:pPr>
        <w:ind w:left="1440" w:hanging="1440"/>
        <w:jc w:val="both"/>
      </w:pPr>
    </w:p>
    <w:p w14:paraId="24C4B417" w14:textId="77777777" w:rsidR="003F4F8D" w:rsidRDefault="003F4F8D" w:rsidP="003F4F8D">
      <w:pPr>
        <w:ind w:left="1440" w:hanging="1440"/>
        <w:jc w:val="both"/>
        <w:rPr>
          <w:b/>
        </w:rPr>
      </w:pPr>
      <w:r>
        <w:rPr>
          <w:b/>
        </w:rPr>
        <w:lastRenderedPageBreak/>
        <w:t>FL RISING/</w:t>
      </w:r>
    </w:p>
    <w:p w14:paraId="293D92C0" w14:textId="7EBE4B28" w:rsidR="003F4F8D" w:rsidRDefault="003F4F8D" w:rsidP="003F4F8D">
      <w:pPr>
        <w:ind w:left="1440" w:hanging="1440"/>
        <w:jc w:val="both"/>
        <w:rPr>
          <w:b/>
        </w:rPr>
      </w:pPr>
      <w:r>
        <w:rPr>
          <w:b/>
        </w:rPr>
        <w:t>LULAC:</w:t>
      </w:r>
      <w:r>
        <w:rPr>
          <w:b/>
        </w:rPr>
        <w:tab/>
      </w:r>
      <w:r w:rsidR="009B5CD3">
        <w:t xml:space="preserve">The </w:t>
      </w:r>
      <w:r w:rsidR="00FA7FFC">
        <w:t>12CP</w:t>
      </w:r>
      <w:r w:rsidR="009B5CD3">
        <w:t xml:space="preserve"> and 50% A</w:t>
      </w:r>
      <w:r w:rsidR="00FA7FFC">
        <w:t>D</w:t>
      </w:r>
      <w:r w:rsidR="009B5CD3">
        <w:t xml:space="preserve"> cost allocation methodology. (Rábago)</w:t>
      </w:r>
    </w:p>
    <w:p w14:paraId="3A3392A9" w14:textId="77777777" w:rsidR="003F4F8D" w:rsidRDefault="003F4F8D" w:rsidP="003F4F8D">
      <w:pPr>
        <w:ind w:left="1440" w:hanging="1440"/>
        <w:jc w:val="both"/>
        <w:rPr>
          <w:b/>
        </w:rPr>
      </w:pPr>
    </w:p>
    <w:p w14:paraId="678E3F19" w14:textId="653F6B58" w:rsidR="003F4F8D" w:rsidRDefault="003F4F8D" w:rsidP="003F4F8D">
      <w:pPr>
        <w:ind w:left="1440" w:hanging="1440"/>
        <w:jc w:val="both"/>
        <w:rPr>
          <w:bCs/>
        </w:rPr>
      </w:pPr>
      <w:r>
        <w:rPr>
          <w:b/>
        </w:rPr>
        <w:t>FIPUG:</w:t>
      </w:r>
      <w:r>
        <w:rPr>
          <w:b/>
        </w:rPr>
        <w:tab/>
      </w:r>
      <w:r w:rsidR="0099233E" w:rsidRPr="003F3F7B">
        <w:rPr>
          <w:bCs/>
        </w:rPr>
        <w:t>FIPUG agrees with TECO that the 4CP method should be used to allocate production plant and related costs to the rate classes. The 4CP method best reflects cost causation for TECO because it recognizes that (1) TECO must have sufficient capacity to meet its peak demand and (2) TECO’s peak demands regularly occur during daytime hours in the summer months and it is projecting to become a winter peaking utility. Thus, the peak demands for the months June, July, August, and January should be used to derive the 4CP allocation factors</w:t>
      </w:r>
      <w:r w:rsidR="0099233E">
        <w:rPr>
          <w:bCs/>
        </w:rPr>
        <w:t>.</w:t>
      </w:r>
    </w:p>
    <w:p w14:paraId="57179CE3" w14:textId="77777777" w:rsidR="0099233E" w:rsidRDefault="0099233E" w:rsidP="003F4F8D">
      <w:pPr>
        <w:ind w:left="1440" w:hanging="1440"/>
        <w:jc w:val="both"/>
        <w:rPr>
          <w:bCs/>
        </w:rPr>
      </w:pPr>
    </w:p>
    <w:p w14:paraId="3FEAA581" w14:textId="5056E889" w:rsidR="0099233E" w:rsidRDefault="0099233E" w:rsidP="003F4F8D">
      <w:pPr>
        <w:ind w:left="1440" w:hanging="1440"/>
        <w:jc w:val="both"/>
        <w:rPr>
          <w:b/>
        </w:rPr>
      </w:pPr>
      <w:r>
        <w:rPr>
          <w:bCs/>
        </w:rPr>
        <w:tab/>
      </w:r>
      <w:r w:rsidR="00DD374C">
        <w:rPr>
          <w:bCs/>
        </w:rPr>
        <w:t xml:space="preserve">PTCs </w:t>
      </w:r>
      <w:r w:rsidRPr="002B78BA">
        <w:rPr>
          <w:bCs/>
        </w:rPr>
        <w:t xml:space="preserve">should be allocated on energy usage because PTCs are directly related to the </w:t>
      </w:r>
      <w:r w:rsidR="00DD374C">
        <w:rPr>
          <w:bCs/>
        </w:rPr>
        <w:t>MW</w:t>
      </w:r>
      <w:r w:rsidRPr="002B78BA">
        <w:rPr>
          <w:bCs/>
        </w:rPr>
        <w:t>-hours generated from solar projects.</w:t>
      </w:r>
    </w:p>
    <w:p w14:paraId="27DC1510" w14:textId="77777777" w:rsidR="003F4F8D" w:rsidRDefault="003F4F8D" w:rsidP="003F4F8D">
      <w:pPr>
        <w:ind w:left="1440" w:hanging="1440"/>
        <w:jc w:val="both"/>
        <w:rPr>
          <w:b/>
        </w:rPr>
      </w:pPr>
    </w:p>
    <w:p w14:paraId="4120E06D" w14:textId="5DAC7EB1" w:rsidR="003F4F8D" w:rsidRPr="00601E46" w:rsidRDefault="003F4F8D" w:rsidP="003F4F8D">
      <w:pPr>
        <w:ind w:left="1440" w:hanging="1440"/>
        <w:jc w:val="both"/>
      </w:pPr>
      <w:r>
        <w:rPr>
          <w:b/>
        </w:rPr>
        <w:t>FEA:</w:t>
      </w:r>
      <w:r>
        <w:rPr>
          <w:b/>
        </w:rPr>
        <w:tab/>
      </w:r>
      <w:r w:rsidR="00601E46" w:rsidRPr="00601E46">
        <w:rPr>
          <w:bCs/>
        </w:rPr>
        <w:t xml:space="preserve">FEA supports the use of </w:t>
      </w:r>
      <w:r w:rsidR="004B1916">
        <w:rPr>
          <w:bCs/>
        </w:rPr>
        <w:t>4CP methodology as proposed by TECO</w:t>
      </w:r>
      <w:r w:rsidR="00601E46" w:rsidRPr="00601E46">
        <w:rPr>
          <w:bCs/>
        </w:rPr>
        <w:t>.</w:t>
      </w:r>
    </w:p>
    <w:p w14:paraId="254E98BB" w14:textId="77777777" w:rsidR="003F4F8D" w:rsidRDefault="003F4F8D" w:rsidP="003F4F8D">
      <w:pPr>
        <w:ind w:left="1440" w:hanging="1440"/>
        <w:jc w:val="both"/>
        <w:rPr>
          <w:b/>
        </w:rPr>
      </w:pPr>
    </w:p>
    <w:p w14:paraId="6E7C5062" w14:textId="77777777" w:rsidR="00A14A11" w:rsidRDefault="00764960" w:rsidP="003F4F8D">
      <w:pPr>
        <w:ind w:left="1440" w:hanging="1440"/>
        <w:jc w:val="both"/>
        <w:rPr>
          <w:b/>
        </w:rPr>
      </w:pPr>
      <w:r>
        <w:rPr>
          <w:b/>
        </w:rPr>
        <w:t xml:space="preserve">SIERRA </w:t>
      </w:r>
    </w:p>
    <w:p w14:paraId="5345FD52" w14:textId="568F93A4" w:rsidR="003F4F8D" w:rsidRDefault="00764960" w:rsidP="003F4F8D">
      <w:pPr>
        <w:ind w:left="1440" w:hanging="1440"/>
        <w:jc w:val="both"/>
        <w:rPr>
          <w:b/>
        </w:rPr>
      </w:pPr>
      <w:r>
        <w:rPr>
          <w:b/>
        </w:rPr>
        <w:t>CLUB</w:t>
      </w:r>
      <w:r w:rsidR="003F4F8D">
        <w:rPr>
          <w:b/>
        </w:rPr>
        <w:t>:</w:t>
      </w:r>
      <w:r w:rsidR="003F4F8D">
        <w:rPr>
          <w:b/>
        </w:rPr>
        <w:tab/>
      </w:r>
      <w:r w:rsidR="004D3E25">
        <w:t xml:space="preserve">For each of the Issues in this category, </w:t>
      </w:r>
      <w:r w:rsidR="004D3E25" w:rsidRPr="001E3193">
        <w:t xml:space="preserve">Sierra Club has no position </w:t>
      </w:r>
      <w:r w:rsidR="004D3E25">
        <w:t>beyond generally supporting intervenor proposals to reduce energy burdens for residential customers.</w:t>
      </w:r>
    </w:p>
    <w:p w14:paraId="3F142641" w14:textId="77777777" w:rsidR="003F4F8D" w:rsidRDefault="003F4F8D" w:rsidP="003F4F8D">
      <w:pPr>
        <w:ind w:left="1440" w:hanging="1440"/>
        <w:jc w:val="both"/>
        <w:rPr>
          <w:b/>
        </w:rPr>
      </w:pPr>
    </w:p>
    <w:p w14:paraId="030C61EF" w14:textId="55CD7317" w:rsidR="003F4F8D" w:rsidRDefault="003F4F8D" w:rsidP="003F4F8D">
      <w:pPr>
        <w:ind w:left="1440" w:hanging="1440"/>
        <w:jc w:val="both"/>
        <w:rPr>
          <w:b/>
        </w:rPr>
      </w:pPr>
      <w:r>
        <w:rPr>
          <w:b/>
        </w:rPr>
        <w:t>FRF:</w:t>
      </w:r>
      <w:r>
        <w:rPr>
          <w:b/>
        </w:rPr>
        <w:tab/>
      </w:r>
      <w:r w:rsidR="00881147">
        <w:t>FRF does not oppose TECO’s proposed cost of service study.</w:t>
      </w:r>
    </w:p>
    <w:p w14:paraId="0D15CAE5" w14:textId="77777777" w:rsidR="003F4F8D" w:rsidRDefault="003F4F8D" w:rsidP="003F4F8D">
      <w:pPr>
        <w:ind w:left="1440" w:hanging="1440"/>
        <w:jc w:val="both"/>
        <w:rPr>
          <w:b/>
        </w:rPr>
      </w:pPr>
    </w:p>
    <w:p w14:paraId="08764875" w14:textId="77777777" w:rsidR="00A14A11" w:rsidRDefault="00C0182D" w:rsidP="003F4F8D">
      <w:pPr>
        <w:ind w:left="1440" w:hanging="1440"/>
        <w:jc w:val="both"/>
        <w:rPr>
          <w:b/>
        </w:rPr>
      </w:pPr>
      <w:r>
        <w:rPr>
          <w:b/>
        </w:rPr>
        <w:t xml:space="preserve">FUEL </w:t>
      </w:r>
    </w:p>
    <w:p w14:paraId="18156819" w14:textId="376747D4" w:rsidR="003F4F8D" w:rsidRDefault="00C0182D" w:rsidP="003F4F8D">
      <w:pPr>
        <w:ind w:left="1440" w:hanging="1440"/>
        <w:jc w:val="both"/>
      </w:pPr>
      <w:r>
        <w:rPr>
          <w:b/>
        </w:rPr>
        <w:t>RETAILERS</w:t>
      </w:r>
      <w:r w:rsidR="003F4F8D">
        <w:rPr>
          <w:b/>
        </w:rPr>
        <w:t>:</w:t>
      </w:r>
      <w:r w:rsidR="00A14A11">
        <w:rPr>
          <w:b/>
        </w:rPr>
        <w:t xml:space="preserve"> </w:t>
      </w:r>
      <w:r w:rsidR="00304A80" w:rsidRPr="00132664">
        <w:t xml:space="preserve">No </w:t>
      </w:r>
      <w:r w:rsidR="004D3E25">
        <w:t>p</w:t>
      </w:r>
      <w:r w:rsidR="00304A80" w:rsidRPr="00132664">
        <w:t>osition.</w:t>
      </w:r>
    </w:p>
    <w:p w14:paraId="08473455" w14:textId="77777777" w:rsidR="005A6478" w:rsidRDefault="005A6478" w:rsidP="003F4F8D">
      <w:pPr>
        <w:ind w:left="1440" w:hanging="1440"/>
        <w:jc w:val="both"/>
      </w:pPr>
    </w:p>
    <w:p w14:paraId="2EAF6062" w14:textId="6F775DEE" w:rsidR="005A6478" w:rsidRPr="005A6478" w:rsidRDefault="00FD408B" w:rsidP="003F4F8D">
      <w:pPr>
        <w:ind w:left="1440" w:hanging="1440"/>
        <w:jc w:val="both"/>
        <w:rPr>
          <w:b/>
        </w:rPr>
      </w:pPr>
      <w:r>
        <w:rPr>
          <w:b/>
        </w:rPr>
        <w:t>WALMART</w:t>
      </w:r>
      <w:r w:rsidR="005A6478">
        <w:rPr>
          <w:b/>
        </w:rPr>
        <w:t>:</w:t>
      </w:r>
      <w:r w:rsidR="005A6478">
        <w:rPr>
          <w:b/>
        </w:rPr>
        <w:tab/>
      </w:r>
      <w:r w:rsidR="004D3E25">
        <w:t>A</w:t>
      </w:r>
      <w:r w:rsidR="005A6478">
        <w:t>dopts the position of FRF.</w:t>
      </w:r>
    </w:p>
    <w:p w14:paraId="191153FA" w14:textId="77777777" w:rsidR="003F4F8D" w:rsidRPr="00701945" w:rsidRDefault="003F4F8D" w:rsidP="003F4F8D">
      <w:pPr>
        <w:jc w:val="both"/>
      </w:pPr>
    </w:p>
    <w:p w14:paraId="48CF5AC6" w14:textId="77777777" w:rsidR="003F4F8D" w:rsidRPr="005D4B47" w:rsidRDefault="003F4F8D" w:rsidP="003F4F8D">
      <w:pPr>
        <w:ind w:left="1440" w:hanging="1440"/>
        <w:jc w:val="both"/>
        <w:rPr>
          <w:b/>
          <w:bCs/>
        </w:rPr>
      </w:pPr>
      <w:r>
        <w:rPr>
          <w:b/>
          <w:bCs/>
        </w:rPr>
        <w:t>STAFF:</w:t>
      </w:r>
      <w:r>
        <w:rPr>
          <w:b/>
          <w:bCs/>
        </w:rPr>
        <w:tab/>
      </w:r>
      <w:r w:rsidR="00AC7E54">
        <w:t>No position at this time.</w:t>
      </w:r>
    </w:p>
    <w:p w14:paraId="55DA41EC" w14:textId="77777777" w:rsidR="003F4F8D" w:rsidRDefault="003F4F8D" w:rsidP="00C7699A">
      <w:pPr>
        <w:jc w:val="both"/>
      </w:pPr>
    </w:p>
    <w:p w14:paraId="410A55C4" w14:textId="77777777" w:rsidR="00BC46F4" w:rsidRDefault="00BC46F4" w:rsidP="00C7699A">
      <w:pPr>
        <w:jc w:val="both"/>
      </w:pPr>
    </w:p>
    <w:p w14:paraId="2C9843AC" w14:textId="77777777" w:rsidR="003F4F8D" w:rsidRPr="001510E6" w:rsidRDefault="001510E6" w:rsidP="003F4F8D">
      <w:pPr>
        <w:ind w:left="1440" w:hanging="1440"/>
        <w:jc w:val="both"/>
        <w:rPr>
          <w:b/>
        </w:rPr>
      </w:pPr>
      <w:r>
        <w:rPr>
          <w:b/>
          <w:bCs/>
        </w:rPr>
        <w:t>ISSUE 72</w:t>
      </w:r>
      <w:r w:rsidR="003F4F8D" w:rsidRPr="00701945">
        <w:rPr>
          <w:b/>
          <w:bCs/>
        </w:rPr>
        <w:t>:</w:t>
      </w:r>
      <w:r w:rsidR="003F4F8D" w:rsidRPr="00701945">
        <w:tab/>
      </w:r>
      <w:r w:rsidRPr="001510E6">
        <w:rPr>
          <w:b/>
        </w:rPr>
        <w:t>What is the appropriate methodology to allocate transmission costs to the rate classes?</w:t>
      </w:r>
    </w:p>
    <w:p w14:paraId="6868E2DE" w14:textId="77777777" w:rsidR="003F4F8D" w:rsidRPr="00701945" w:rsidRDefault="003F4F8D" w:rsidP="003F4F8D">
      <w:pPr>
        <w:jc w:val="both"/>
      </w:pPr>
    </w:p>
    <w:p w14:paraId="1AD44022" w14:textId="68F7AE36" w:rsidR="003F4F8D" w:rsidRPr="005D4B47" w:rsidRDefault="003F4F8D" w:rsidP="003F4F8D">
      <w:pPr>
        <w:ind w:left="1440" w:hanging="1440"/>
        <w:jc w:val="both"/>
      </w:pPr>
      <w:r>
        <w:rPr>
          <w:b/>
          <w:bCs/>
        </w:rPr>
        <w:t>TECO</w:t>
      </w:r>
      <w:r w:rsidRPr="005D4B47">
        <w:rPr>
          <w:b/>
          <w:bCs/>
        </w:rPr>
        <w:t>:</w:t>
      </w:r>
      <w:r w:rsidRPr="005D4B47">
        <w:tab/>
      </w:r>
      <w:bookmarkStart w:id="15" w:name="_Hlk172009145"/>
      <w:r w:rsidR="001510E6" w:rsidRPr="00312287">
        <w:t xml:space="preserve">The terms of the 2021 </w:t>
      </w:r>
      <w:r w:rsidR="001510E6">
        <w:t>Agreement</w:t>
      </w:r>
      <w:r w:rsidR="001510E6" w:rsidRPr="00312287">
        <w:t xml:space="preserve"> require Tampa Electric to </w:t>
      </w:r>
      <w:r w:rsidR="001510E6">
        <w:t xml:space="preserve">propose to </w:t>
      </w:r>
      <w:r w:rsidR="001510E6" w:rsidRPr="00312287">
        <w:t xml:space="preserve">allocate </w:t>
      </w:r>
      <w:bookmarkEnd w:id="15"/>
      <w:r w:rsidR="001510E6">
        <w:t>transmission</w:t>
      </w:r>
      <w:r w:rsidR="001510E6" w:rsidRPr="00312287">
        <w:t xml:space="preserve"> costs using the 4</w:t>
      </w:r>
      <w:r w:rsidR="00F44210">
        <w:t>CP</w:t>
      </w:r>
      <w:r w:rsidR="001510E6" w:rsidRPr="00312287">
        <w:t xml:space="preserve"> methodology.</w:t>
      </w:r>
      <w:r w:rsidR="001510E6">
        <w:t xml:space="preserve"> (Williams)</w:t>
      </w:r>
    </w:p>
    <w:p w14:paraId="5BAD17E4" w14:textId="77777777" w:rsidR="003F4F8D" w:rsidRPr="00701945" w:rsidRDefault="003F4F8D" w:rsidP="003F4F8D">
      <w:pPr>
        <w:jc w:val="both"/>
      </w:pPr>
    </w:p>
    <w:p w14:paraId="1A7A60DE" w14:textId="77777777" w:rsidR="003F4F8D" w:rsidRDefault="003F4F8D" w:rsidP="003F4F8D">
      <w:pPr>
        <w:ind w:left="1440" w:hanging="1440"/>
        <w:jc w:val="both"/>
      </w:pPr>
      <w:r>
        <w:rPr>
          <w:b/>
          <w:bCs/>
        </w:rPr>
        <w:t>OPC</w:t>
      </w:r>
      <w:r w:rsidRPr="00701945">
        <w:rPr>
          <w:b/>
          <w:bCs/>
        </w:rPr>
        <w:t>:</w:t>
      </w:r>
      <w:r>
        <w:tab/>
      </w:r>
      <w:r w:rsidR="00F21B49">
        <w:t>No position.</w:t>
      </w:r>
    </w:p>
    <w:p w14:paraId="63E2F2B9" w14:textId="77777777" w:rsidR="003F4F8D" w:rsidRDefault="003F4F8D" w:rsidP="003F4F8D">
      <w:pPr>
        <w:ind w:left="1440" w:hanging="1440"/>
        <w:jc w:val="both"/>
      </w:pPr>
    </w:p>
    <w:p w14:paraId="14868764" w14:textId="77777777" w:rsidR="003F4F8D" w:rsidRDefault="003F4F8D" w:rsidP="003F4F8D">
      <w:pPr>
        <w:ind w:left="1440" w:hanging="1440"/>
        <w:jc w:val="both"/>
        <w:rPr>
          <w:b/>
        </w:rPr>
      </w:pPr>
      <w:r>
        <w:rPr>
          <w:b/>
        </w:rPr>
        <w:t>FL RISING/</w:t>
      </w:r>
    </w:p>
    <w:p w14:paraId="0804B530" w14:textId="06303C5C" w:rsidR="003F4F8D" w:rsidRDefault="003F4F8D" w:rsidP="003F4F8D">
      <w:pPr>
        <w:ind w:left="1440" w:hanging="1440"/>
        <w:jc w:val="both"/>
        <w:rPr>
          <w:b/>
        </w:rPr>
      </w:pPr>
      <w:r>
        <w:rPr>
          <w:b/>
        </w:rPr>
        <w:t>LULAC:</w:t>
      </w:r>
      <w:r>
        <w:rPr>
          <w:b/>
        </w:rPr>
        <w:tab/>
      </w:r>
      <w:r w:rsidR="009B5CD3">
        <w:rPr>
          <w:bCs/>
        </w:rPr>
        <w:t xml:space="preserve">The </w:t>
      </w:r>
      <w:r w:rsidR="00444ACF">
        <w:rPr>
          <w:bCs/>
        </w:rPr>
        <w:t>12CP</w:t>
      </w:r>
      <w:r w:rsidR="009B5CD3" w:rsidRPr="00993FF3">
        <w:rPr>
          <w:bCs/>
        </w:rPr>
        <w:t xml:space="preserve"> cost allocation methodology. </w:t>
      </w:r>
      <w:r w:rsidR="009B5CD3">
        <w:rPr>
          <w:bCs/>
        </w:rPr>
        <w:t>(Rábago)</w:t>
      </w:r>
    </w:p>
    <w:p w14:paraId="37A7AC35" w14:textId="77777777" w:rsidR="003F4F8D" w:rsidRDefault="003F4F8D" w:rsidP="003F4F8D">
      <w:pPr>
        <w:ind w:left="1440" w:hanging="1440"/>
        <w:jc w:val="both"/>
        <w:rPr>
          <w:b/>
        </w:rPr>
      </w:pPr>
    </w:p>
    <w:p w14:paraId="368648D1" w14:textId="15F774B7" w:rsidR="003F4F8D" w:rsidRDefault="003F4F8D" w:rsidP="003F4F8D">
      <w:pPr>
        <w:ind w:left="1440" w:hanging="1440"/>
        <w:jc w:val="both"/>
        <w:rPr>
          <w:b/>
        </w:rPr>
      </w:pPr>
      <w:r>
        <w:rPr>
          <w:b/>
        </w:rPr>
        <w:t>FIPUG:</w:t>
      </w:r>
      <w:r>
        <w:rPr>
          <w:b/>
        </w:rPr>
        <w:tab/>
      </w:r>
      <w:r w:rsidR="002A08AC" w:rsidRPr="003F3F7B">
        <w:rPr>
          <w:bCs/>
        </w:rPr>
        <w:t xml:space="preserve">FIPUG agrees with TECO that the 4CP method should be used to allocate production plant and related costs to the rate classes. The 4CP method best reflects cost causation for TECO because it recognizes that (1) TECO must have </w:t>
      </w:r>
      <w:r w:rsidR="002A08AC" w:rsidRPr="003F3F7B">
        <w:rPr>
          <w:bCs/>
        </w:rPr>
        <w:lastRenderedPageBreak/>
        <w:t>sufficient capacity to meet its peak demand and (2) TECO’s peak demands regularly occur during daytime hours in the summer months and it is projecting to become a winter peaking utility. Thus, the peak demands for the months June, July, August, and January should be used to derive the 4CP allocation factors</w:t>
      </w:r>
      <w:r w:rsidR="002A08AC">
        <w:rPr>
          <w:bCs/>
        </w:rPr>
        <w:t>.</w:t>
      </w:r>
    </w:p>
    <w:p w14:paraId="58A4526A" w14:textId="77777777" w:rsidR="003F4F8D" w:rsidRDefault="003F4F8D" w:rsidP="003F4F8D">
      <w:pPr>
        <w:ind w:left="1440" w:hanging="1440"/>
        <w:jc w:val="both"/>
        <w:rPr>
          <w:b/>
        </w:rPr>
      </w:pPr>
    </w:p>
    <w:p w14:paraId="32FA9A34" w14:textId="40D515AF" w:rsidR="003F4F8D" w:rsidRPr="00601E46" w:rsidRDefault="003F4F8D" w:rsidP="003F4F8D">
      <w:pPr>
        <w:ind w:left="1440" w:hanging="1440"/>
        <w:jc w:val="both"/>
      </w:pPr>
      <w:r>
        <w:rPr>
          <w:b/>
        </w:rPr>
        <w:t>FEA:</w:t>
      </w:r>
      <w:r>
        <w:rPr>
          <w:b/>
        </w:rPr>
        <w:tab/>
      </w:r>
      <w:r w:rsidR="00601E46" w:rsidRPr="00601E46">
        <w:rPr>
          <w:bCs/>
        </w:rPr>
        <w:t>FEA supports the use of 4</w:t>
      </w:r>
      <w:r w:rsidR="005E0E0D">
        <w:rPr>
          <w:bCs/>
        </w:rPr>
        <w:t>CP methodology as proposed by TECO</w:t>
      </w:r>
      <w:r w:rsidR="00601E46" w:rsidRPr="00601E46">
        <w:rPr>
          <w:bCs/>
        </w:rPr>
        <w:t>.</w:t>
      </w:r>
    </w:p>
    <w:p w14:paraId="52FA93BB" w14:textId="77777777" w:rsidR="003F4F8D" w:rsidRDefault="003F4F8D" w:rsidP="003F4F8D">
      <w:pPr>
        <w:ind w:left="1440" w:hanging="1440"/>
        <w:jc w:val="both"/>
        <w:rPr>
          <w:b/>
        </w:rPr>
      </w:pPr>
    </w:p>
    <w:p w14:paraId="507698FF" w14:textId="77777777" w:rsidR="00A14A11" w:rsidRDefault="00764960" w:rsidP="003F4F8D">
      <w:pPr>
        <w:ind w:left="1440" w:hanging="1440"/>
        <w:jc w:val="both"/>
        <w:rPr>
          <w:b/>
        </w:rPr>
      </w:pPr>
      <w:r>
        <w:rPr>
          <w:b/>
        </w:rPr>
        <w:t xml:space="preserve">SIERRA </w:t>
      </w:r>
    </w:p>
    <w:p w14:paraId="72025AC7" w14:textId="765A1D8E" w:rsidR="003F4F8D" w:rsidRDefault="00764960" w:rsidP="003F4F8D">
      <w:pPr>
        <w:ind w:left="1440" w:hanging="1440"/>
        <w:jc w:val="both"/>
        <w:rPr>
          <w:b/>
        </w:rPr>
      </w:pPr>
      <w:r>
        <w:rPr>
          <w:b/>
        </w:rPr>
        <w:t>CLUB</w:t>
      </w:r>
      <w:r w:rsidR="003F4F8D">
        <w:rPr>
          <w:b/>
        </w:rPr>
        <w:t>:</w:t>
      </w:r>
      <w:r w:rsidR="003F4F8D">
        <w:rPr>
          <w:b/>
        </w:rPr>
        <w:tab/>
      </w:r>
      <w:r w:rsidR="000F5AFB">
        <w:t xml:space="preserve">For each of the Issues in this category, </w:t>
      </w:r>
      <w:r w:rsidR="000F5AFB" w:rsidRPr="001E3193">
        <w:t xml:space="preserve">Sierra Club has no position </w:t>
      </w:r>
      <w:r w:rsidR="000F5AFB">
        <w:t>beyond generally supporting intervenor proposals to reduce energy burdens for residential customers.</w:t>
      </w:r>
    </w:p>
    <w:p w14:paraId="5F616912" w14:textId="77777777" w:rsidR="003F4F8D" w:rsidRDefault="003F4F8D" w:rsidP="003F4F8D">
      <w:pPr>
        <w:ind w:left="1440" w:hanging="1440"/>
        <w:jc w:val="both"/>
        <w:rPr>
          <w:b/>
        </w:rPr>
      </w:pPr>
    </w:p>
    <w:p w14:paraId="3708BD38" w14:textId="77777777" w:rsidR="003F4F8D" w:rsidRDefault="003F4F8D" w:rsidP="003F4F8D">
      <w:pPr>
        <w:ind w:left="1440" w:hanging="1440"/>
        <w:jc w:val="both"/>
        <w:rPr>
          <w:b/>
        </w:rPr>
      </w:pPr>
      <w:r>
        <w:rPr>
          <w:b/>
        </w:rPr>
        <w:t>FRF:</w:t>
      </w:r>
      <w:r>
        <w:rPr>
          <w:b/>
        </w:rPr>
        <w:tab/>
      </w:r>
      <w:r w:rsidR="00881147">
        <w:t>The FRF does not oppose TECO’s proposed cost of service study.</w:t>
      </w:r>
    </w:p>
    <w:p w14:paraId="654FD37A" w14:textId="77777777" w:rsidR="003F4F8D" w:rsidRDefault="003F4F8D" w:rsidP="003F4F8D">
      <w:pPr>
        <w:ind w:left="1440" w:hanging="1440"/>
        <w:jc w:val="both"/>
        <w:rPr>
          <w:b/>
        </w:rPr>
      </w:pPr>
    </w:p>
    <w:p w14:paraId="2D04862E" w14:textId="77777777" w:rsidR="00A14A11" w:rsidRDefault="00C0182D" w:rsidP="003F4F8D">
      <w:pPr>
        <w:ind w:left="1440" w:hanging="1440"/>
        <w:jc w:val="both"/>
        <w:rPr>
          <w:b/>
        </w:rPr>
      </w:pPr>
      <w:r>
        <w:rPr>
          <w:b/>
        </w:rPr>
        <w:t xml:space="preserve">FUEL </w:t>
      </w:r>
    </w:p>
    <w:p w14:paraId="4270C9C2" w14:textId="2E3C7210" w:rsidR="003F4F8D" w:rsidRDefault="00C0182D" w:rsidP="003F4F8D">
      <w:pPr>
        <w:ind w:left="1440" w:hanging="1440"/>
        <w:jc w:val="both"/>
      </w:pPr>
      <w:r>
        <w:rPr>
          <w:b/>
        </w:rPr>
        <w:t>RETAILERS</w:t>
      </w:r>
      <w:r w:rsidR="003F4F8D">
        <w:rPr>
          <w:b/>
        </w:rPr>
        <w:t>:</w:t>
      </w:r>
      <w:r w:rsidR="00A14A11">
        <w:rPr>
          <w:b/>
        </w:rPr>
        <w:t xml:space="preserve"> </w:t>
      </w:r>
      <w:r w:rsidR="00304A80" w:rsidRPr="00132664">
        <w:t xml:space="preserve">No </w:t>
      </w:r>
      <w:r w:rsidR="00667629">
        <w:t>p</w:t>
      </w:r>
      <w:r w:rsidR="00304A80" w:rsidRPr="00132664">
        <w:t>osition.</w:t>
      </w:r>
    </w:p>
    <w:p w14:paraId="7BF8FA87" w14:textId="77777777" w:rsidR="005A6478" w:rsidRDefault="005A6478" w:rsidP="003F4F8D">
      <w:pPr>
        <w:ind w:left="1440" w:hanging="1440"/>
        <w:jc w:val="both"/>
      </w:pPr>
    </w:p>
    <w:p w14:paraId="19B01231" w14:textId="2BDEE326" w:rsidR="005A6478" w:rsidRPr="005A6478" w:rsidRDefault="00FD408B" w:rsidP="003F4F8D">
      <w:pPr>
        <w:ind w:left="1440" w:hanging="1440"/>
        <w:jc w:val="both"/>
        <w:rPr>
          <w:b/>
        </w:rPr>
      </w:pPr>
      <w:r>
        <w:rPr>
          <w:b/>
        </w:rPr>
        <w:t>WALMART</w:t>
      </w:r>
      <w:r w:rsidR="005A6478">
        <w:rPr>
          <w:b/>
        </w:rPr>
        <w:t>:</w:t>
      </w:r>
      <w:r w:rsidR="005A6478">
        <w:rPr>
          <w:b/>
        </w:rPr>
        <w:tab/>
      </w:r>
      <w:r w:rsidR="00667629">
        <w:t>A</w:t>
      </w:r>
      <w:r w:rsidR="005A6478">
        <w:t>dopts the position of FRF.</w:t>
      </w:r>
    </w:p>
    <w:p w14:paraId="12B6B31A" w14:textId="77777777" w:rsidR="003F4F8D" w:rsidRPr="00701945" w:rsidRDefault="003F4F8D" w:rsidP="003F4F8D">
      <w:pPr>
        <w:jc w:val="both"/>
      </w:pPr>
    </w:p>
    <w:p w14:paraId="0601A2FF" w14:textId="77777777" w:rsidR="003F4F8D" w:rsidRPr="005D4B47" w:rsidRDefault="003F4F8D" w:rsidP="003F4F8D">
      <w:pPr>
        <w:ind w:left="1440" w:hanging="1440"/>
        <w:jc w:val="both"/>
        <w:rPr>
          <w:b/>
          <w:bCs/>
        </w:rPr>
      </w:pPr>
      <w:r>
        <w:rPr>
          <w:b/>
          <w:bCs/>
        </w:rPr>
        <w:t>STAFF:</w:t>
      </w:r>
      <w:r>
        <w:rPr>
          <w:b/>
          <w:bCs/>
        </w:rPr>
        <w:tab/>
      </w:r>
      <w:r w:rsidR="00AC7E54">
        <w:t>No position at this time.</w:t>
      </w:r>
    </w:p>
    <w:p w14:paraId="07D6CD1C" w14:textId="77777777" w:rsidR="003F4F8D" w:rsidRDefault="003F4F8D" w:rsidP="00C7699A">
      <w:pPr>
        <w:jc w:val="both"/>
      </w:pPr>
    </w:p>
    <w:p w14:paraId="56874EB0" w14:textId="77777777" w:rsidR="003F4F8D" w:rsidRDefault="003F4F8D" w:rsidP="00C7699A">
      <w:pPr>
        <w:jc w:val="both"/>
      </w:pPr>
    </w:p>
    <w:p w14:paraId="1FE29386" w14:textId="77777777" w:rsidR="003F4F8D" w:rsidRPr="001510E6" w:rsidRDefault="001510E6" w:rsidP="003F4F8D">
      <w:pPr>
        <w:ind w:left="1440" w:hanging="1440"/>
        <w:jc w:val="both"/>
        <w:rPr>
          <w:b/>
        </w:rPr>
      </w:pPr>
      <w:r>
        <w:rPr>
          <w:b/>
          <w:bCs/>
        </w:rPr>
        <w:t>ISSUE 73</w:t>
      </w:r>
      <w:r w:rsidR="003F4F8D" w:rsidRPr="00701945">
        <w:rPr>
          <w:b/>
          <w:bCs/>
        </w:rPr>
        <w:t>:</w:t>
      </w:r>
      <w:r w:rsidR="003F4F8D" w:rsidRPr="00701945">
        <w:tab/>
      </w:r>
      <w:r w:rsidRPr="001510E6">
        <w:rPr>
          <w:b/>
        </w:rPr>
        <w:t>What is the appropriate methodology to allocate distribution costs to the rate classes?</w:t>
      </w:r>
    </w:p>
    <w:p w14:paraId="5242507F" w14:textId="77777777" w:rsidR="003F4F8D" w:rsidRPr="00701945" w:rsidRDefault="003F4F8D" w:rsidP="003F4F8D">
      <w:pPr>
        <w:jc w:val="both"/>
      </w:pPr>
    </w:p>
    <w:p w14:paraId="551709A7" w14:textId="5F88B23A" w:rsidR="003F4F8D" w:rsidRPr="005D4B47" w:rsidRDefault="003F4F8D" w:rsidP="003F4F8D">
      <w:pPr>
        <w:ind w:left="1440" w:hanging="1440"/>
        <w:jc w:val="both"/>
      </w:pPr>
      <w:r>
        <w:rPr>
          <w:b/>
          <w:bCs/>
        </w:rPr>
        <w:t>TECO</w:t>
      </w:r>
      <w:r w:rsidRPr="005D4B47">
        <w:rPr>
          <w:b/>
          <w:bCs/>
        </w:rPr>
        <w:t>:</w:t>
      </w:r>
      <w:r w:rsidRPr="005D4B47">
        <w:tab/>
      </w:r>
      <w:r w:rsidR="001510E6" w:rsidRPr="00312287">
        <w:t xml:space="preserve">The terms of the 2021 </w:t>
      </w:r>
      <w:r w:rsidR="001510E6">
        <w:t xml:space="preserve">Agreement </w:t>
      </w:r>
      <w:r w:rsidR="001510E6" w:rsidRPr="00312287">
        <w:t xml:space="preserve">require </w:t>
      </w:r>
      <w:r w:rsidR="001D770F">
        <w:t>TECO</w:t>
      </w:r>
      <w:r w:rsidR="001510E6" w:rsidRPr="00312287">
        <w:t xml:space="preserve"> to </w:t>
      </w:r>
      <w:r w:rsidR="001510E6">
        <w:t xml:space="preserve">propose to classify distribution costs using a full MDS approach. Distribution costs should be allocated the same way in which they were derived and provided in MFR Schedule E-10. The allocation methodology relies on a mixture of rate class non-coincident peaks and customer maximum demands. It is consistent with how </w:t>
      </w:r>
      <w:r w:rsidR="001D770F">
        <w:t xml:space="preserve">TECO </w:t>
      </w:r>
      <w:r w:rsidR="001510E6">
        <w:t>has previously allocated distribution costs and consistent with NARUC’s Electric Utility Cost Allocation Manual. (Williams)</w:t>
      </w:r>
    </w:p>
    <w:p w14:paraId="6FDA2C9F" w14:textId="77777777" w:rsidR="003F4F8D" w:rsidRPr="00701945" w:rsidRDefault="003F4F8D" w:rsidP="003F4F8D">
      <w:pPr>
        <w:jc w:val="both"/>
      </w:pPr>
    </w:p>
    <w:p w14:paraId="1FEED19D" w14:textId="77777777" w:rsidR="003F4F8D" w:rsidRDefault="003F4F8D" w:rsidP="003F4F8D">
      <w:pPr>
        <w:ind w:left="1440" w:hanging="1440"/>
        <w:jc w:val="both"/>
      </w:pPr>
      <w:r>
        <w:rPr>
          <w:b/>
          <w:bCs/>
        </w:rPr>
        <w:t>OPC</w:t>
      </w:r>
      <w:r w:rsidRPr="00701945">
        <w:rPr>
          <w:b/>
          <w:bCs/>
        </w:rPr>
        <w:t>:</w:t>
      </w:r>
      <w:r>
        <w:tab/>
      </w:r>
      <w:r w:rsidR="00F21B49">
        <w:t>No position.</w:t>
      </w:r>
    </w:p>
    <w:p w14:paraId="27EC45A2" w14:textId="77777777" w:rsidR="003F4F8D" w:rsidRDefault="003F4F8D" w:rsidP="003F4F8D">
      <w:pPr>
        <w:ind w:left="1440" w:hanging="1440"/>
        <w:jc w:val="both"/>
      </w:pPr>
    </w:p>
    <w:p w14:paraId="2E382A46" w14:textId="77777777" w:rsidR="003F4F8D" w:rsidRDefault="003F4F8D" w:rsidP="003F4F8D">
      <w:pPr>
        <w:ind w:left="1440" w:hanging="1440"/>
        <w:jc w:val="both"/>
        <w:rPr>
          <w:b/>
        </w:rPr>
      </w:pPr>
      <w:r>
        <w:rPr>
          <w:b/>
        </w:rPr>
        <w:t>FL RISING/</w:t>
      </w:r>
    </w:p>
    <w:p w14:paraId="3BBA91C7" w14:textId="310AE08E" w:rsidR="003F4F8D" w:rsidRDefault="003F4F8D" w:rsidP="003F4F8D">
      <w:pPr>
        <w:ind w:left="1440" w:hanging="1440"/>
        <w:jc w:val="both"/>
        <w:rPr>
          <w:b/>
        </w:rPr>
      </w:pPr>
      <w:r>
        <w:rPr>
          <w:b/>
        </w:rPr>
        <w:t>LULAC:</w:t>
      </w:r>
      <w:r>
        <w:rPr>
          <w:b/>
        </w:rPr>
        <w:tab/>
      </w:r>
      <w:r w:rsidR="009B5CD3">
        <w:rPr>
          <w:bCs/>
        </w:rPr>
        <w:t xml:space="preserve">The </w:t>
      </w:r>
      <w:r w:rsidR="00AD39C4">
        <w:rPr>
          <w:bCs/>
        </w:rPr>
        <w:t>12CP</w:t>
      </w:r>
      <w:r w:rsidR="009B5CD3">
        <w:rPr>
          <w:bCs/>
        </w:rPr>
        <w:t xml:space="preserve"> cost allocation methodology</w:t>
      </w:r>
      <w:r w:rsidR="009B5CD3">
        <w:t>. (Rábago)</w:t>
      </w:r>
    </w:p>
    <w:p w14:paraId="7F774AAB" w14:textId="77777777" w:rsidR="003F4F8D" w:rsidRDefault="003F4F8D" w:rsidP="003F4F8D">
      <w:pPr>
        <w:ind w:left="1440" w:hanging="1440"/>
        <w:jc w:val="both"/>
        <w:rPr>
          <w:b/>
        </w:rPr>
      </w:pPr>
    </w:p>
    <w:p w14:paraId="1E7877FC" w14:textId="6217450E" w:rsidR="003F4F8D" w:rsidRDefault="003F4F8D" w:rsidP="003F4F8D">
      <w:pPr>
        <w:ind w:left="1440" w:hanging="1440"/>
        <w:jc w:val="both"/>
        <w:rPr>
          <w:b/>
        </w:rPr>
      </w:pPr>
      <w:r>
        <w:rPr>
          <w:b/>
        </w:rPr>
        <w:t>FIPUG:</w:t>
      </w:r>
      <w:r>
        <w:rPr>
          <w:b/>
        </w:rPr>
        <w:tab/>
      </w:r>
      <w:r w:rsidR="002A08AC" w:rsidRPr="001C7DE6">
        <w:rPr>
          <w:bCs/>
        </w:rPr>
        <w:t>The</w:t>
      </w:r>
      <w:r w:rsidR="002A08AC">
        <w:rPr>
          <w:b/>
        </w:rPr>
        <w:t xml:space="preserve"> </w:t>
      </w:r>
      <w:r w:rsidR="002A08AC" w:rsidRPr="001C7DE6">
        <w:t>MDS rate design approach</w:t>
      </w:r>
      <w:r w:rsidR="002A08AC">
        <w:t xml:space="preserve"> should be used. This </w:t>
      </w:r>
      <w:r w:rsidR="002A08AC" w:rsidRPr="001C7DE6">
        <w:t>methodology</w:t>
      </w:r>
      <w:r w:rsidR="002A08AC">
        <w:t xml:space="preserve">, previously approved by the Commission </w:t>
      </w:r>
      <w:r w:rsidR="002A08AC" w:rsidRPr="001C7DE6">
        <w:t xml:space="preserve">more fairly allocates utility costs to provide distribution service. The MDS approach recognizes that the distribution network must be ready to serve customers, irrespective of the amount of power and energy used by customers. Allocating a portion of distribution network costs on the number of customers recognizes the readiness to serve. Accordingly, using MDS </w:t>
      </w:r>
      <w:r w:rsidR="002A08AC" w:rsidRPr="001C7DE6">
        <w:lastRenderedPageBreak/>
        <w:t>to allocate distribution network costs based on the number of customers, which is consistent with cost causation, is the proper approach.</w:t>
      </w:r>
    </w:p>
    <w:p w14:paraId="0E9FCDC0" w14:textId="77777777" w:rsidR="003F4F8D" w:rsidRDefault="003F4F8D" w:rsidP="003F4F8D">
      <w:pPr>
        <w:ind w:left="1440" w:hanging="1440"/>
        <w:jc w:val="both"/>
        <w:rPr>
          <w:b/>
        </w:rPr>
      </w:pPr>
    </w:p>
    <w:p w14:paraId="23A4F201" w14:textId="7D906700" w:rsidR="003F4F8D" w:rsidRPr="00601E46" w:rsidRDefault="003F4F8D" w:rsidP="003F4F8D">
      <w:pPr>
        <w:ind w:left="1440" w:hanging="1440"/>
        <w:jc w:val="both"/>
      </w:pPr>
      <w:r>
        <w:rPr>
          <w:b/>
        </w:rPr>
        <w:t>FEA:</w:t>
      </w:r>
      <w:r>
        <w:rPr>
          <w:b/>
        </w:rPr>
        <w:tab/>
      </w:r>
      <w:r w:rsidR="00186F0C">
        <w:rPr>
          <w:bCs/>
        </w:rPr>
        <w:t xml:space="preserve">FEA supports TECO’s </w:t>
      </w:r>
      <w:r w:rsidR="00601E46" w:rsidRPr="00601E46">
        <w:rPr>
          <w:bCs/>
        </w:rPr>
        <w:t xml:space="preserve">proposed use of the </w:t>
      </w:r>
      <w:r w:rsidR="00186F0C">
        <w:rPr>
          <w:bCs/>
        </w:rPr>
        <w:t>MDS t</w:t>
      </w:r>
      <w:r w:rsidR="00601E46" w:rsidRPr="00601E46">
        <w:rPr>
          <w:bCs/>
        </w:rPr>
        <w:t>o classify primary distribution cost as customer and demand. FEA supports the primary distribution cost classified as customer to be allocated across rate classes on class customer numbers. FEA supports allocating primary distribution costs classified as demand on a non-coincident class demand allocator.</w:t>
      </w:r>
    </w:p>
    <w:p w14:paraId="09E4CD22" w14:textId="77777777" w:rsidR="003F4F8D" w:rsidRDefault="003F4F8D" w:rsidP="003F4F8D">
      <w:pPr>
        <w:ind w:left="1440" w:hanging="1440"/>
        <w:jc w:val="both"/>
        <w:rPr>
          <w:b/>
        </w:rPr>
      </w:pPr>
    </w:p>
    <w:p w14:paraId="6DAF9688" w14:textId="77777777" w:rsidR="00A14A11" w:rsidRDefault="00764960" w:rsidP="003F4F8D">
      <w:pPr>
        <w:ind w:left="1440" w:hanging="1440"/>
        <w:jc w:val="both"/>
        <w:rPr>
          <w:b/>
        </w:rPr>
      </w:pPr>
      <w:r>
        <w:rPr>
          <w:b/>
        </w:rPr>
        <w:t xml:space="preserve">SIERRA </w:t>
      </w:r>
    </w:p>
    <w:p w14:paraId="299E50BE" w14:textId="56A8FE0F" w:rsidR="003F4F8D" w:rsidRDefault="00764960" w:rsidP="003F4F8D">
      <w:pPr>
        <w:ind w:left="1440" w:hanging="1440"/>
        <w:jc w:val="both"/>
        <w:rPr>
          <w:b/>
        </w:rPr>
      </w:pPr>
      <w:r>
        <w:rPr>
          <w:b/>
        </w:rPr>
        <w:t>CLUB</w:t>
      </w:r>
      <w:r w:rsidR="003F4F8D">
        <w:rPr>
          <w:b/>
        </w:rPr>
        <w:t>:</w:t>
      </w:r>
      <w:r w:rsidR="003F4F8D">
        <w:rPr>
          <w:b/>
        </w:rPr>
        <w:tab/>
      </w:r>
      <w:r w:rsidR="002368D8">
        <w:t xml:space="preserve">For each of the Issues in this category, </w:t>
      </w:r>
      <w:r w:rsidR="002368D8" w:rsidRPr="001E3193">
        <w:t xml:space="preserve">Sierra Club has no position </w:t>
      </w:r>
      <w:r w:rsidR="002368D8">
        <w:t>beyond generally supporting intervenor proposals to reduce energy burdens for residential customers.</w:t>
      </w:r>
    </w:p>
    <w:p w14:paraId="398C5620" w14:textId="77777777" w:rsidR="003F4F8D" w:rsidRDefault="003F4F8D" w:rsidP="003F4F8D">
      <w:pPr>
        <w:ind w:left="1440" w:hanging="1440"/>
        <w:jc w:val="both"/>
        <w:rPr>
          <w:b/>
        </w:rPr>
      </w:pPr>
    </w:p>
    <w:p w14:paraId="57D0DFF1" w14:textId="77777777" w:rsidR="003F4F8D" w:rsidRDefault="003F4F8D" w:rsidP="003F4F8D">
      <w:pPr>
        <w:ind w:left="1440" w:hanging="1440"/>
        <w:jc w:val="both"/>
        <w:rPr>
          <w:b/>
        </w:rPr>
      </w:pPr>
      <w:r>
        <w:rPr>
          <w:b/>
        </w:rPr>
        <w:t>FRF:</w:t>
      </w:r>
      <w:r>
        <w:rPr>
          <w:b/>
        </w:rPr>
        <w:tab/>
      </w:r>
      <w:r w:rsidR="00881147">
        <w:t>The FRF does not oppose TECO’s proposed cost of service study.</w:t>
      </w:r>
    </w:p>
    <w:p w14:paraId="032C03FC" w14:textId="77777777" w:rsidR="003F4F8D" w:rsidRDefault="003F4F8D" w:rsidP="003F4F8D">
      <w:pPr>
        <w:ind w:left="1440" w:hanging="1440"/>
        <w:jc w:val="both"/>
        <w:rPr>
          <w:b/>
        </w:rPr>
      </w:pPr>
    </w:p>
    <w:p w14:paraId="63E25D11" w14:textId="77777777" w:rsidR="00A14A11" w:rsidRDefault="00C0182D" w:rsidP="003F4F8D">
      <w:pPr>
        <w:ind w:left="1440" w:hanging="1440"/>
        <w:jc w:val="both"/>
        <w:rPr>
          <w:b/>
        </w:rPr>
      </w:pPr>
      <w:r>
        <w:rPr>
          <w:b/>
        </w:rPr>
        <w:t xml:space="preserve">FUEL </w:t>
      </w:r>
    </w:p>
    <w:p w14:paraId="4AA18F72" w14:textId="1137D5BA" w:rsidR="003F4F8D" w:rsidRDefault="00C0182D" w:rsidP="003F4F8D">
      <w:pPr>
        <w:ind w:left="1440" w:hanging="1440"/>
        <w:jc w:val="both"/>
      </w:pPr>
      <w:r>
        <w:rPr>
          <w:b/>
        </w:rPr>
        <w:t>RETAILERS</w:t>
      </w:r>
      <w:r w:rsidR="003F4F8D">
        <w:rPr>
          <w:b/>
        </w:rPr>
        <w:t>:</w:t>
      </w:r>
      <w:r w:rsidR="00A14A11">
        <w:rPr>
          <w:b/>
        </w:rPr>
        <w:t xml:space="preserve"> </w:t>
      </w:r>
      <w:r w:rsidR="00304A80" w:rsidRPr="00132664">
        <w:t xml:space="preserve">No </w:t>
      </w:r>
      <w:r w:rsidR="000766CF">
        <w:t>p</w:t>
      </w:r>
      <w:r w:rsidR="00304A80" w:rsidRPr="00132664">
        <w:t>osition.</w:t>
      </w:r>
    </w:p>
    <w:p w14:paraId="3308EB66" w14:textId="77777777" w:rsidR="005A6478" w:rsidRDefault="005A6478" w:rsidP="003F4F8D">
      <w:pPr>
        <w:ind w:left="1440" w:hanging="1440"/>
        <w:jc w:val="both"/>
      </w:pPr>
    </w:p>
    <w:p w14:paraId="783B7082" w14:textId="21826FD9" w:rsidR="005A6478" w:rsidRPr="005A6478" w:rsidRDefault="00FD408B" w:rsidP="003F4F8D">
      <w:pPr>
        <w:ind w:left="1440" w:hanging="1440"/>
        <w:jc w:val="both"/>
        <w:rPr>
          <w:b/>
        </w:rPr>
      </w:pPr>
      <w:r>
        <w:rPr>
          <w:b/>
        </w:rPr>
        <w:t>WALMART</w:t>
      </w:r>
      <w:r w:rsidR="005A6478">
        <w:rPr>
          <w:b/>
        </w:rPr>
        <w:t>:</w:t>
      </w:r>
      <w:r w:rsidR="005A6478">
        <w:rPr>
          <w:b/>
        </w:rPr>
        <w:tab/>
      </w:r>
      <w:r w:rsidR="000766CF">
        <w:t>A</w:t>
      </w:r>
      <w:r w:rsidR="005A6478">
        <w:t>dopts the position of FRF.</w:t>
      </w:r>
    </w:p>
    <w:p w14:paraId="1B581DDF" w14:textId="77777777" w:rsidR="003F4F8D" w:rsidRPr="00701945" w:rsidRDefault="003F4F8D" w:rsidP="003F4F8D">
      <w:pPr>
        <w:jc w:val="both"/>
      </w:pPr>
    </w:p>
    <w:p w14:paraId="1E7EA431" w14:textId="77777777" w:rsidR="003F4F8D" w:rsidRPr="005D4B47" w:rsidRDefault="003F4F8D" w:rsidP="003F4F8D">
      <w:pPr>
        <w:ind w:left="1440" w:hanging="1440"/>
        <w:jc w:val="both"/>
        <w:rPr>
          <w:b/>
          <w:bCs/>
        </w:rPr>
      </w:pPr>
      <w:r>
        <w:rPr>
          <w:b/>
          <w:bCs/>
        </w:rPr>
        <w:t>STAFF:</w:t>
      </w:r>
      <w:r>
        <w:rPr>
          <w:b/>
          <w:bCs/>
        </w:rPr>
        <w:tab/>
      </w:r>
      <w:r w:rsidR="00AC7E54">
        <w:t>No position at this time.</w:t>
      </w:r>
    </w:p>
    <w:p w14:paraId="7B6DBDC5" w14:textId="77777777" w:rsidR="003F4F8D" w:rsidRDefault="003F4F8D" w:rsidP="00C7699A">
      <w:pPr>
        <w:jc w:val="both"/>
      </w:pPr>
    </w:p>
    <w:p w14:paraId="3C1623D4" w14:textId="77777777" w:rsidR="001F2B85" w:rsidRDefault="001F2B85" w:rsidP="00C7699A">
      <w:pPr>
        <w:jc w:val="both"/>
      </w:pPr>
    </w:p>
    <w:p w14:paraId="38696032" w14:textId="77777777" w:rsidR="003F4F8D" w:rsidRPr="001510E6" w:rsidRDefault="001510E6" w:rsidP="003F4F8D">
      <w:pPr>
        <w:ind w:left="1440" w:hanging="1440"/>
        <w:jc w:val="both"/>
        <w:rPr>
          <w:b/>
        </w:rPr>
      </w:pPr>
      <w:r>
        <w:rPr>
          <w:b/>
          <w:bCs/>
        </w:rPr>
        <w:t>ISSUE 74</w:t>
      </w:r>
      <w:r w:rsidR="003F4F8D" w:rsidRPr="00701945">
        <w:rPr>
          <w:b/>
          <w:bCs/>
        </w:rPr>
        <w:t>:</w:t>
      </w:r>
      <w:r w:rsidR="003F4F8D" w:rsidRPr="00701945">
        <w:tab/>
      </w:r>
      <w:r w:rsidRPr="001510E6">
        <w:rPr>
          <w:b/>
        </w:rPr>
        <w:t>How should any change in the revenue requirement approved by the Commission be allocated among the customer classes?</w:t>
      </w:r>
    </w:p>
    <w:p w14:paraId="3D9C3262" w14:textId="77777777" w:rsidR="003F4F8D" w:rsidRPr="00701945" w:rsidRDefault="003F4F8D" w:rsidP="003F4F8D">
      <w:pPr>
        <w:jc w:val="both"/>
      </w:pPr>
    </w:p>
    <w:p w14:paraId="2C45B9BC" w14:textId="77777777" w:rsidR="003F4F8D" w:rsidRPr="005D4B47" w:rsidRDefault="003F4F8D" w:rsidP="003F4F8D">
      <w:pPr>
        <w:ind w:left="1440" w:hanging="1440"/>
        <w:jc w:val="both"/>
      </w:pPr>
      <w:r>
        <w:rPr>
          <w:b/>
          <w:bCs/>
        </w:rPr>
        <w:t>TECO</w:t>
      </w:r>
      <w:r w:rsidRPr="005D4B47">
        <w:rPr>
          <w:b/>
          <w:bCs/>
        </w:rPr>
        <w:t>:</w:t>
      </w:r>
      <w:r w:rsidRPr="005D4B47">
        <w:tab/>
      </w:r>
      <w:r w:rsidR="001510E6">
        <w:t>Any changes in the revenue requirement should be allocated among customers based on the Commission’s approved cost allocation methodology. (Williams)</w:t>
      </w:r>
    </w:p>
    <w:p w14:paraId="09F33CDD" w14:textId="77777777" w:rsidR="003F4F8D" w:rsidRPr="00701945" w:rsidRDefault="003F4F8D" w:rsidP="003F4F8D">
      <w:pPr>
        <w:jc w:val="both"/>
      </w:pPr>
    </w:p>
    <w:p w14:paraId="53729C69" w14:textId="7520E532" w:rsidR="003F4F8D" w:rsidRDefault="003F4F8D" w:rsidP="003F4F8D">
      <w:pPr>
        <w:ind w:left="1440" w:hanging="1440"/>
        <w:jc w:val="both"/>
      </w:pPr>
      <w:r>
        <w:rPr>
          <w:b/>
          <w:bCs/>
        </w:rPr>
        <w:t>OPC</w:t>
      </w:r>
      <w:r w:rsidRPr="00701945">
        <w:rPr>
          <w:b/>
          <w:bCs/>
        </w:rPr>
        <w:t>:</w:t>
      </w:r>
      <w:r>
        <w:tab/>
      </w:r>
      <w:r w:rsidR="009C0E66">
        <w:t>No position</w:t>
      </w:r>
      <w:r w:rsidR="009C0E66" w:rsidRPr="003651AA">
        <w:t>.</w:t>
      </w:r>
    </w:p>
    <w:p w14:paraId="0A05B6B7" w14:textId="77777777" w:rsidR="008F22BF" w:rsidRDefault="008F22BF" w:rsidP="003F4F8D">
      <w:pPr>
        <w:ind w:left="1440" w:hanging="1440"/>
        <w:jc w:val="both"/>
      </w:pPr>
    </w:p>
    <w:p w14:paraId="3BD4EFF3" w14:textId="77777777" w:rsidR="003F4F8D" w:rsidRDefault="003F4F8D" w:rsidP="003F4F8D">
      <w:pPr>
        <w:ind w:left="1440" w:hanging="1440"/>
        <w:jc w:val="both"/>
        <w:rPr>
          <w:b/>
        </w:rPr>
      </w:pPr>
      <w:r>
        <w:rPr>
          <w:b/>
        </w:rPr>
        <w:t>FL RISING/</w:t>
      </w:r>
    </w:p>
    <w:p w14:paraId="730604D5" w14:textId="6F506377" w:rsidR="003F4F8D" w:rsidRDefault="003F4F8D" w:rsidP="003F4F8D">
      <w:pPr>
        <w:ind w:left="1440" w:hanging="1440"/>
        <w:jc w:val="both"/>
        <w:rPr>
          <w:b/>
        </w:rPr>
      </w:pPr>
      <w:r>
        <w:rPr>
          <w:b/>
        </w:rPr>
        <w:t>LULAC:</w:t>
      </w:r>
      <w:r>
        <w:rPr>
          <w:b/>
        </w:rPr>
        <w:tab/>
      </w:r>
      <w:r w:rsidR="009B5CD3">
        <w:t xml:space="preserve">Changes in the revenue requirement should be allocated among customer classes using a </w:t>
      </w:r>
      <w:r w:rsidR="002A0122">
        <w:t>12CP</w:t>
      </w:r>
      <w:r w:rsidR="009B5CD3">
        <w:t xml:space="preserve"> and 50% </w:t>
      </w:r>
      <w:r w:rsidR="002A0122">
        <w:t>AD</w:t>
      </w:r>
      <w:r w:rsidR="009B5CD3">
        <w:t xml:space="preserve"> methodology.  (Rábago)</w:t>
      </w:r>
    </w:p>
    <w:p w14:paraId="48F44B20" w14:textId="77777777" w:rsidR="003F4F8D" w:rsidRDefault="003F4F8D" w:rsidP="003F4F8D">
      <w:pPr>
        <w:ind w:left="1440" w:hanging="1440"/>
        <w:jc w:val="both"/>
        <w:rPr>
          <w:b/>
        </w:rPr>
      </w:pPr>
    </w:p>
    <w:p w14:paraId="5EF2EC41" w14:textId="77777777" w:rsidR="003F4F8D" w:rsidRDefault="003F4F8D" w:rsidP="003F4F8D">
      <w:pPr>
        <w:ind w:left="1440" w:hanging="1440"/>
        <w:jc w:val="both"/>
        <w:rPr>
          <w:b/>
        </w:rPr>
      </w:pPr>
      <w:r>
        <w:rPr>
          <w:b/>
        </w:rPr>
        <w:t>FIPUG:</w:t>
      </w:r>
      <w:r>
        <w:rPr>
          <w:b/>
        </w:rPr>
        <w:tab/>
      </w:r>
      <w:r w:rsidR="002A08AC" w:rsidRPr="002B78BA">
        <w:rPr>
          <w:bCs/>
        </w:rPr>
        <w:t>The approved revenue requirement should be determined using an accepted class cost of service study, except when it would result in a class receiving an increase higher than 1.5 times the system average base revenue increase, and no class should receive a rate decrease</w:t>
      </w:r>
      <w:r w:rsidR="002A08AC">
        <w:rPr>
          <w:bCs/>
        </w:rPr>
        <w:t>.</w:t>
      </w:r>
    </w:p>
    <w:p w14:paraId="285E6D74" w14:textId="77777777" w:rsidR="003F4F8D" w:rsidRDefault="003F4F8D" w:rsidP="003F4F8D">
      <w:pPr>
        <w:ind w:left="1440" w:hanging="1440"/>
        <w:jc w:val="both"/>
        <w:rPr>
          <w:b/>
        </w:rPr>
      </w:pPr>
    </w:p>
    <w:p w14:paraId="4999CDF0" w14:textId="031BC46F" w:rsidR="003F4F8D" w:rsidRPr="00601E46" w:rsidRDefault="003F4F8D" w:rsidP="003F4F8D">
      <w:pPr>
        <w:ind w:left="1440" w:hanging="1440"/>
        <w:jc w:val="both"/>
      </w:pPr>
      <w:r>
        <w:rPr>
          <w:b/>
        </w:rPr>
        <w:t>FEA:</w:t>
      </w:r>
      <w:r>
        <w:rPr>
          <w:b/>
        </w:rPr>
        <w:tab/>
      </w:r>
      <w:r w:rsidR="00601E46" w:rsidRPr="00601E46">
        <w:rPr>
          <w:bCs/>
        </w:rPr>
        <w:t>The revenue change should be allocated across rate clas</w:t>
      </w:r>
      <w:r w:rsidR="002A0122">
        <w:rPr>
          <w:bCs/>
        </w:rPr>
        <w:t xml:space="preserve">ses based on the results of TECO’s </w:t>
      </w:r>
      <w:r w:rsidR="00601E46" w:rsidRPr="00601E46">
        <w:rPr>
          <w:bCs/>
        </w:rPr>
        <w:t>class cost of service study.</w:t>
      </w:r>
    </w:p>
    <w:p w14:paraId="2C7E3F03" w14:textId="3A42CD6B" w:rsidR="003F4F8D" w:rsidRDefault="003F4F8D" w:rsidP="003F4F8D">
      <w:pPr>
        <w:ind w:left="1440" w:hanging="1440"/>
        <w:jc w:val="both"/>
        <w:rPr>
          <w:b/>
        </w:rPr>
      </w:pPr>
    </w:p>
    <w:p w14:paraId="2FCF5C03" w14:textId="77777777" w:rsidR="008F22BF" w:rsidRDefault="008F22BF" w:rsidP="003F4F8D">
      <w:pPr>
        <w:ind w:left="1440" w:hanging="1440"/>
        <w:jc w:val="both"/>
        <w:rPr>
          <w:b/>
        </w:rPr>
      </w:pPr>
    </w:p>
    <w:p w14:paraId="4872B08B" w14:textId="77777777" w:rsidR="00A14A11" w:rsidRDefault="00764960" w:rsidP="003F4F8D">
      <w:pPr>
        <w:ind w:left="1440" w:hanging="1440"/>
        <w:jc w:val="both"/>
        <w:rPr>
          <w:b/>
        </w:rPr>
      </w:pPr>
      <w:r>
        <w:rPr>
          <w:b/>
        </w:rPr>
        <w:lastRenderedPageBreak/>
        <w:t xml:space="preserve">SIERRA </w:t>
      </w:r>
    </w:p>
    <w:p w14:paraId="0244333B" w14:textId="3A411D75" w:rsidR="003F4F8D" w:rsidRDefault="00764960" w:rsidP="003F4F8D">
      <w:pPr>
        <w:ind w:left="1440" w:hanging="1440"/>
        <w:jc w:val="both"/>
        <w:rPr>
          <w:b/>
        </w:rPr>
      </w:pPr>
      <w:r>
        <w:rPr>
          <w:b/>
        </w:rPr>
        <w:t>CLUB</w:t>
      </w:r>
      <w:r w:rsidR="003F4F8D">
        <w:rPr>
          <w:b/>
        </w:rPr>
        <w:t>:</w:t>
      </w:r>
      <w:r w:rsidR="003F4F8D">
        <w:rPr>
          <w:b/>
        </w:rPr>
        <w:tab/>
      </w:r>
      <w:r w:rsidR="005332EE">
        <w:t xml:space="preserve">For each of the Issues in this category, </w:t>
      </w:r>
      <w:r w:rsidR="005332EE" w:rsidRPr="001E3193">
        <w:t xml:space="preserve">Sierra Club has no position </w:t>
      </w:r>
      <w:r w:rsidR="005332EE">
        <w:t>beyond generally supporting intervenor proposals to reduce energy burdens for residential customers</w:t>
      </w:r>
      <w:r w:rsidR="00516FCE" w:rsidRPr="001E3193">
        <w:t>.</w:t>
      </w:r>
    </w:p>
    <w:p w14:paraId="0D6E0972" w14:textId="77777777" w:rsidR="003F4F8D" w:rsidRDefault="003F4F8D" w:rsidP="003F4F8D">
      <w:pPr>
        <w:ind w:left="1440" w:hanging="1440"/>
        <w:jc w:val="both"/>
        <w:rPr>
          <w:b/>
        </w:rPr>
      </w:pPr>
    </w:p>
    <w:p w14:paraId="516D17EF" w14:textId="77777777" w:rsidR="003F4F8D" w:rsidRDefault="003F4F8D" w:rsidP="003F4F8D">
      <w:pPr>
        <w:ind w:left="1440" w:hanging="1440"/>
        <w:jc w:val="both"/>
        <w:rPr>
          <w:b/>
        </w:rPr>
      </w:pPr>
      <w:r>
        <w:rPr>
          <w:b/>
        </w:rPr>
        <w:t>FRF:</w:t>
      </w:r>
      <w:r>
        <w:rPr>
          <w:b/>
        </w:rPr>
        <w:tab/>
      </w:r>
      <w:r w:rsidR="00E76E94">
        <w:t>The FRF does not oppose TECO’s proposed revenue allocation methodology for allocating any increase or decrease in revenue requirements to rate classes.</w:t>
      </w:r>
    </w:p>
    <w:p w14:paraId="613BFB2C" w14:textId="77777777" w:rsidR="003F4F8D" w:rsidRDefault="003F4F8D" w:rsidP="003F4F8D">
      <w:pPr>
        <w:ind w:left="1440" w:hanging="1440"/>
        <w:jc w:val="both"/>
        <w:rPr>
          <w:b/>
        </w:rPr>
      </w:pPr>
    </w:p>
    <w:p w14:paraId="33501A34" w14:textId="77777777" w:rsidR="00A14A11" w:rsidRDefault="00C0182D" w:rsidP="003F4F8D">
      <w:pPr>
        <w:ind w:left="1440" w:hanging="1440"/>
        <w:jc w:val="both"/>
        <w:rPr>
          <w:b/>
        </w:rPr>
      </w:pPr>
      <w:r>
        <w:rPr>
          <w:b/>
        </w:rPr>
        <w:t xml:space="preserve">FUEL </w:t>
      </w:r>
    </w:p>
    <w:p w14:paraId="551FAE89" w14:textId="22B20E84" w:rsidR="003F4F8D" w:rsidRDefault="00C0182D" w:rsidP="003F4F8D">
      <w:pPr>
        <w:ind w:left="1440" w:hanging="1440"/>
        <w:jc w:val="both"/>
      </w:pPr>
      <w:r>
        <w:rPr>
          <w:b/>
        </w:rPr>
        <w:t>RETAILERS</w:t>
      </w:r>
      <w:r w:rsidR="003F4F8D">
        <w:rPr>
          <w:b/>
        </w:rPr>
        <w:t>:</w:t>
      </w:r>
      <w:r w:rsidR="00A14A11">
        <w:rPr>
          <w:b/>
        </w:rPr>
        <w:t xml:space="preserve"> </w:t>
      </w:r>
      <w:r w:rsidR="009E6879" w:rsidRPr="00132664">
        <w:t xml:space="preserve">No </w:t>
      </w:r>
      <w:r w:rsidR="00DD489F">
        <w:t>p</w:t>
      </w:r>
      <w:r w:rsidR="009E6879" w:rsidRPr="00132664">
        <w:t>osition.</w:t>
      </w:r>
    </w:p>
    <w:p w14:paraId="3B7798A8" w14:textId="77777777" w:rsidR="005A6478" w:rsidRDefault="005A6478" w:rsidP="003F4F8D">
      <w:pPr>
        <w:ind w:left="1440" w:hanging="1440"/>
        <w:jc w:val="both"/>
      </w:pPr>
    </w:p>
    <w:p w14:paraId="76284B88" w14:textId="21D663C0" w:rsidR="005A6478" w:rsidRPr="005A6478" w:rsidRDefault="00FD408B" w:rsidP="003F4F8D">
      <w:pPr>
        <w:ind w:left="1440" w:hanging="1440"/>
        <w:jc w:val="both"/>
        <w:rPr>
          <w:b/>
        </w:rPr>
      </w:pPr>
      <w:r>
        <w:rPr>
          <w:b/>
        </w:rPr>
        <w:t>WALMART</w:t>
      </w:r>
      <w:r w:rsidR="005A6478">
        <w:rPr>
          <w:b/>
        </w:rPr>
        <w:t>:</w:t>
      </w:r>
      <w:r w:rsidR="005A6478">
        <w:rPr>
          <w:b/>
        </w:rPr>
        <w:tab/>
      </w:r>
      <w:r w:rsidR="00DD489F">
        <w:t>A</w:t>
      </w:r>
      <w:r w:rsidR="005A6478">
        <w:t>dopts the position of FRF.</w:t>
      </w:r>
    </w:p>
    <w:p w14:paraId="02E68CD5" w14:textId="77777777" w:rsidR="003F4F8D" w:rsidRPr="00701945" w:rsidRDefault="003F4F8D" w:rsidP="003F4F8D">
      <w:pPr>
        <w:jc w:val="both"/>
      </w:pPr>
    </w:p>
    <w:p w14:paraId="61B5748F" w14:textId="77777777" w:rsidR="003F4F8D" w:rsidRPr="005D4B47" w:rsidRDefault="003F4F8D" w:rsidP="003F4F8D">
      <w:pPr>
        <w:ind w:left="1440" w:hanging="1440"/>
        <w:jc w:val="both"/>
        <w:rPr>
          <w:b/>
          <w:bCs/>
        </w:rPr>
      </w:pPr>
      <w:r>
        <w:rPr>
          <w:b/>
          <w:bCs/>
        </w:rPr>
        <w:t>STAFF:</w:t>
      </w:r>
      <w:r>
        <w:rPr>
          <w:b/>
          <w:bCs/>
        </w:rPr>
        <w:tab/>
      </w:r>
      <w:r w:rsidR="00AC7E54">
        <w:t>No position at this time.</w:t>
      </w:r>
    </w:p>
    <w:p w14:paraId="0945801A" w14:textId="77777777" w:rsidR="003F4F8D" w:rsidRDefault="003F4F8D" w:rsidP="00C7699A">
      <w:pPr>
        <w:jc w:val="both"/>
      </w:pPr>
    </w:p>
    <w:p w14:paraId="4A500A03" w14:textId="77777777" w:rsidR="003F4F8D" w:rsidRDefault="003F4F8D" w:rsidP="00C7699A">
      <w:pPr>
        <w:jc w:val="both"/>
      </w:pPr>
    </w:p>
    <w:p w14:paraId="7B9CE124" w14:textId="77777777" w:rsidR="003F4F8D" w:rsidRPr="001510E6" w:rsidRDefault="001510E6" w:rsidP="003F4F8D">
      <w:pPr>
        <w:ind w:left="1440" w:hanging="1440"/>
        <w:jc w:val="both"/>
        <w:rPr>
          <w:b/>
        </w:rPr>
      </w:pPr>
      <w:r>
        <w:rPr>
          <w:b/>
          <w:bCs/>
        </w:rPr>
        <w:t>ISSUE 75</w:t>
      </w:r>
      <w:r w:rsidR="003F4F8D" w:rsidRPr="00701945">
        <w:rPr>
          <w:b/>
          <w:bCs/>
        </w:rPr>
        <w:t>:</w:t>
      </w:r>
      <w:r w:rsidR="003F4F8D" w:rsidRPr="00701945">
        <w:tab/>
      </w:r>
      <w:r w:rsidRPr="001510E6">
        <w:rPr>
          <w:b/>
        </w:rPr>
        <w:t>Should the proposed modifications to the delivery voltage credit be approved?</w:t>
      </w:r>
    </w:p>
    <w:p w14:paraId="4C7609EE" w14:textId="77777777" w:rsidR="003F4F8D" w:rsidRPr="00701945" w:rsidRDefault="003F4F8D" w:rsidP="003F4F8D">
      <w:pPr>
        <w:jc w:val="both"/>
      </w:pPr>
    </w:p>
    <w:p w14:paraId="6767C002" w14:textId="77777777" w:rsidR="003F4F8D" w:rsidRPr="005D4B47" w:rsidRDefault="003F4F8D" w:rsidP="003F4F8D">
      <w:pPr>
        <w:ind w:left="1440" w:hanging="1440"/>
        <w:jc w:val="both"/>
      </w:pPr>
      <w:r>
        <w:rPr>
          <w:b/>
          <w:bCs/>
        </w:rPr>
        <w:t>TECO</w:t>
      </w:r>
      <w:r w:rsidRPr="005D4B47">
        <w:rPr>
          <w:b/>
          <w:bCs/>
        </w:rPr>
        <w:t>:</w:t>
      </w:r>
      <w:r w:rsidRPr="005D4B47">
        <w:tab/>
      </w:r>
      <w:r w:rsidR="001510E6">
        <w:t>Yes. The proposed modifications are reasonable and should be approved. (Williams)</w:t>
      </w:r>
    </w:p>
    <w:p w14:paraId="123DF0AF" w14:textId="77777777" w:rsidR="003F4F8D" w:rsidRPr="00701945" w:rsidRDefault="003F4F8D" w:rsidP="003F4F8D">
      <w:pPr>
        <w:jc w:val="both"/>
      </w:pPr>
    </w:p>
    <w:p w14:paraId="6D4728E3" w14:textId="77777777" w:rsidR="003F4F8D" w:rsidRDefault="003F4F8D" w:rsidP="003F4F8D">
      <w:pPr>
        <w:ind w:left="1440" w:hanging="1440"/>
        <w:jc w:val="both"/>
      </w:pPr>
      <w:r>
        <w:rPr>
          <w:b/>
          <w:bCs/>
        </w:rPr>
        <w:t>OPC</w:t>
      </w:r>
      <w:r w:rsidRPr="00701945">
        <w:rPr>
          <w:b/>
          <w:bCs/>
        </w:rPr>
        <w:t>:</w:t>
      </w:r>
      <w:r>
        <w:tab/>
      </w:r>
      <w:r w:rsidR="00F21B49">
        <w:t>No position.</w:t>
      </w:r>
    </w:p>
    <w:p w14:paraId="5DF878F6" w14:textId="77777777" w:rsidR="003F4F8D" w:rsidRDefault="003F4F8D" w:rsidP="003F4F8D">
      <w:pPr>
        <w:ind w:left="1440" w:hanging="1440"/>
        <w:jc w:val="both"/>
      </w:pPr>
    </w:p>
    <w:p w14:paraId="20454FCF" w14:textId="77777777" w:rsidR="003F4F8D" w:rsidRDefault="003F4F8D" w:rsidP="003F4F8D">
      <w:pPr>
        <w:ind w:left="1440" w:hanging="1440"/>
        <w:jc w:val="both"/>
        <w:rPr>
          <w:b/>
        </w:rPr>
      </w:pPr>
      <w:r>
        <w:rPr>
          <w:b/>
        </w:rPr>
        <w:t>FL RISING/</w:t>
      </w:r>
    </w:p>
    <w:p w14:paraId="1E1374E5" w14:textId="77777777" w:rsidR="003F4F8D" w:rsidRDefault="003F4F8D" w:rsidP="003F4F8D">
      <w:pPr>
        <w:ind w:left="1440" w:hanging="1440"/>
        <w:jc w:val="both"/>
        <w:rPr>
          <w:b/>
        </w:rPr>
      </w:pPr>
      <w:r>
        <w:rPr>
          <w:b/>
        </w:rPr>
        <w:t>LULAC:</w:t>
      </w:r>
      <w:r>
        <w:rPr>
          <w:b/>
        </w:rPr>
        <w:tab/>
      </w:r>
      <w:r w:rsidR="009B5CD3" w:rsidRPr="6F1EDD5F">
        <w:t>No</w:t>
      </w:r>
      <w:r w:rsidR="009B5CD3" w:rsidRPr="23285457">
        <w:t>.</w:t>
      </w:r>
    </w:p>
    <w:p w14:paraId="6B782D9C" w14:textId="77777777" w:rsidR="003F4F8D" w:rsidRDefault="003F4F8D" w:rsidP="003F4F8D">
      <w:pPr>
        <w:ind w:left="1440" w:hanging="1440"/>
        <w:jc w:val="both"/>
        <w:rPr>
          <w:b/>
        </w:rPr>
      </w:pPr>
    </w:p>
    <w:p w14:paraId="7C7AB141" w14:textId="048C8118" w:rsidR="003F4F8D" w:rsidRDefault="003F4F8D" w:rsidP="003F4F8D">
      <w:pPr>
        <w:ind w:left="1440" w:hanging="1440"/>
        <w:jc w:val="both"/>
        <w:rPr>
          <w:b/>
        </w:rPr>
      </w:pPr>
      <w:r>
        <w:rPr>
          <w:b/>
        </w:rPr>
        <w:t>FIPUG:</w:t>
      </w:r>
      <w:r>
        <w:rPr>
          <w:b/>
        </w:rPr>
        <w:tab/>
      </w:r>
      <w:r w:rsidR="00A678FC">
        <w:rPr>
          <w:bCs/>
        </w:rPr>
        <w:t>No position</w:t>
      </w:r>
      <w:r w:rsidR="00252CA4" w:rsidRPr="00252CA4">
        <w:rPr>
          <w:bCs/>
        </w:rPr>
        <w:t>.</w:t>
      </w:r>
    </w:p>
    <w:p w14:paraId="09EF06EC" w14:textId="77777777" w:rsidR="003F4F8D" w:rsidRDefault="003F4F8D" w:rsidP="003F4F8D">
      <w:pPr>
        <w:ind w:left="1440" w:hanging="1440"/>
        <w:jc w:val="both"/>
        <w:rPr>
          <w:b/>
        </w:rPr>
      </w:pPr>
    </w:p>
    <w:p w14:paraId="31E94C66" w14:textId="3374DB13" w:rsidR="003F4F8D" w:rsidRDefault="003F4F8D" w:rsidP="003F4F8D">
      <w:pPr>
        <w:ind w:left="1440" w:hanging="1440"/>
        <w:jc w:val="both"/>
        <w:rPr>
          <w:b/>
        </w:rPr>
      </w:pPr>
      <w:r>
        <w:rPr>
          <w:b/>
        </w:rPr>
        <w:t>FEA:</w:t>
      </w:r>
      <w:r>
        <w:rPr>
          <w:b/>
        </w:rPr>
        <w:tab/>
      </w:r>
      <w:r w:rsidR="00A678FC">
        <w:t>No position.</w:t>
      </w:r>
    </w:p>
    <w:p w14:paraId="5E24B587" w14:textId="4EBD616B" w:rsidR="003F4F8D" w:rsidRDefault="003F4F8D" w:rsidP="003F4F8D">
      <w:pPr>
        <w:ind w:left="1440" w:hanging="1440"/>
        <w:jc w:val="both"/>
        <w:rPr>
          <w:b/>
        </w:rPr>
      </w:pPr>
    </w:p>
    <w:p w14:paraId="77DF5DDE" w14:textId="77777777" w:rsidR="00A14A11" w:rsidRDefault="00764960" w:rsidP="003F4F8D">
      <w:pPr>
        <w:ind w:left="1440" w:hanging="1440"/>
        <w:jc w:val="both"/>
        <w:rPr>
          <w:b/>
        </w:rPr>
      </w:pPr>
      <w:r>
        <w:rPr>
          <w:b/>
        </w:rPr>
        <w:t xml:space="preserve">SIERRA </w:t>
      </w:r>
    </w:p>
    <w:p w14:paraId="4154D907" w14:textId="7D40EEEC" w:rsidR="003F4F8D" w:rsidRDefault="00764960" w:rsidP="003F4F8D">
      <w:pPr>
        <w:ind w:left="1440" w:hanging="1440"/>
        <w:jc w:val="both"/>
        <w:rPr>
          <w:b/>
        </w:rPr>
      </w:pPr>
      <w:r>
        <w:rPr>
          <w:b/>
        </w:rPr>
        <w:t>CLUB</w:t>
      </w:r>
      <w:r w:rsidR="003F4F8D">
        <w:rPr>
          <w:b/>
        </w:rPr>
        <w:t>:</w:t>
      </w:r>
      <w:r w:rsidR="003F4F8D">
        <w:rPr>
          <w:b/>
        </w:rPr>
        <w:tab/>
      </w:r>
      <w:r w:rsidR="00C564A2">
        <w:t xml:space="preserve">For each of the Issues in this category, </w:t>
      </w:r>
      <w:r w:rsidR="00C564A2" w:rsidRPr="001E3193">
        <w:t xml:space="preserve">Sierra Club has no position </w:t>
      </w:r>
      <w:r w:rsidR="00C564A2">
        <w:t>beyond generally supporting intervenor proposals to reduce energy burdens for residential customers</w:t>
      </w:r>
      <w:r w:rsidR="00516FCE" w:rsidRPr="001E3193">
        <w:t>.</w:t>
      </w:r>
    </w:p>
    <w:p w14:paraId="6F16CB57" w14:textId="77777777" w:rsidR="003F4F8D" w:rsidRDefault="003F4F8D" w:rsidP="003F4F8D">
      <w:pPr>
        <w:ind w:left="1440" w:hanging="1440"/>
        <w:jc w:val="both"/>
        <w:rPr>
          <w:b/>
        </w:rPr>
      </w:pPr>
    </w:p>
    <w:p w14:paraId="5883B4BA" w14:textId="5788A4A2" w:rsidR="003F4F8D" w:rsidRDefault="003F4F8D" w:rsidP="003F4F8D">
      <w:pPr>
        <w:ind w:left="1440" w:hanging="1440"/>
        <w:jc w:val="both"/>
        <w:rPr>
          <w:b/>
        </w:rPr>
      </w:pPr>
      <w:r>
        <w:rPr>
          <w:b/>
        </w:rPr>
        <w:t>FRF:</w:t>
      </w:r>
      <w:r>
        <w:rPr>
          <w:b/>
        </w:rPr>
        <w:tab/>
      </w:r>
      <w:r w:rsidR="00F77F0E">
        <w:t>No position.</w:t>
      </w:r>
    </w:p>
    <w:p w14:paraId="4FB9219B" w14:textId="77777777" w:rsidR="003F4F8D" w:rsidRDefault="003F4F8D" w:rsidP="003F4F8D">
      <w:pPr>
        <w:ind w:left="1440" w:hanging="1440"/>
        <w:jc w:val="both"/>
        <w:rPr>
          <w:b/>
        </w:rPr>
      </w:pPr>
    </w:p>
    <w:p w14:paraId="497BCFF8" w14:textId="77777777" w:rsidR="00A14A11" w:rsidRDefault="00C0182D" w:rsidP="003F4F8D">
      <w:pPr>
        <w:ind w:left="1440" w:hanging="1440"/>
        <w:jc w:val="both"/>
        <w:rPr>
          <w:b/>
        </w:rPr>
      </w:pPr>
      <w:r>
        <w:rPr>
          <w:b/>
        </w:rPr>
        <w:t xml:space="preserve">FUEL </w:t>
      </w:r>
    </w:p>
    <w:p w14:paraId="0C4B0F94" w14:textId="36B82B6E" w:rsidR="003F4F8D" w:rsidRDefault="00C0182D" w:rsidP="003F4F8D">
      <w:pPr>
        <w:ind w:left="1440" w:hanging="1440"/>
        <w:jc w:val="both"/>
      </w:pPr>
      <w:r>
        <w:rPr>
          <w:b/>
        </w:rPr>
        <w:t>RETAILERS</w:t>
      </w:r>
      <w:r w:rsidR="003F4F8D">
        <w:rPr>
          <w:b/>
        </w:rPr>
        <w:t>:</w:t>
      </w:r>
      <w:r w:rsidR="00A14A11">
        <w:rPr>
          <w:b/>
        </w:rPr>
        <w:t xml:space="preserve"> </w:t>
      </w:r>
      <w:r w:rsidR="009E6879" w:rsidRPr="00132664">
        <w:t xml:space="preserve">No </w:t>
      </w:r>
      <w:r w:rsidR="00F77F0E">
        <w:t>p</w:t>
      </w:r>
      <w:r w:rsidR="009E6879" w:rsidRPr="00132664">
        <w:t>osition.</w:t>
      </w:r>
    </w:p>
    <w:p w14:paraId="36A15331" w14:textId="77777777" w:rsidR="005A6478" w:rsidRDefault="005A6478" w:rsidP="003F4F8D">
      <w:pPr>
        <w:ind w:left="1440" w:hanging="1440"/>
        <w:jc w:val="both"/>
      </w:pPr>
    </w:p>
    <w:p w14:paraId="66016201" w14:textId="15D57D84" w:rsidR="005A6478" w:rsidRPr="005A6478" w:rsidRDefault="00FD408B" w:rsidP="003F4F8D">
      <w:pPr>
        <w:ind w:left="1440" w:hanging="1440"/>
        <w:jc w:val="both"/>
        <w:rPr>
          <w:b/>
        </w:rPr>
      </w:pPr>
      <w:r>
        <w:rPr>
          <w:b/>
        </w:rPr>
        <w:t>WALMART</w:t>
      </w:r>
      <w:r w:rsidR="005A6478">
        <w:rPr>
          <w:b/>
        </w:rPr>
        <w:t>:</w:t>
      </w:r>
      <w:r w:rsidR="005A6478">
        <w:rPr>
          <w:b/>
        </w:rPr>
        <w:tab/>
      </w:r>
      <w:r w:rsidR="00F77F0E">
        <w:t>No position.</w:t>
      </w:r>
    </w:p>
    <w:p w14:paraId="5E19AD15" w14:textId="77777777" w:rsidR="003F4F8D" w:rsidRPr="00701945" w:rsidRDefault="003F4F8D" w:rsidP="003F4F8D">
      <w:pPr>
        <w:jc w:val="both"/>
      </w:pPr>
    </w:p>
    <w:p w14:paraId="1A11EDFA" w14:textId="77777777" w:rsidR="003F4F8D" w:rsidRPr="005D4B47" w:rsidRDefault="003F4F8D" w:rsidP="003F4F8D">
      <w:pPr>
        <w:ind w:left="1440" w:hanging="1440"/>
        <w:jc w:val="both"/>
        <w:rPr>
          <w:b/>
          <w:bCs/>
        </w:rPr>
      </w:pPr>
      <w:r>
        <w:rPr>
          <w:b/>
          <w:bCs/>
        </w:rPr>
        <w:t>STAFF:</w:t>
      </w:r>
      <w:r>
        <w:rPr>
          <w:b/>
          <w:bCs/>
        </w:rPr>
        <w:tab/>
      </w:r>
      <w:r w:rsidR="00AC7E54">
        <w:t>No position at this time.</w:t>
      </w:r>
    </w:p>
    <w:p w14:paraId="3CE34026" w14:textId="77777777" w:rsidR="003F4F8D" w:rsidRDefault="003F4F8D" w:rsidP="00C7699A">
      <w:pPr>
        <w:jc w:val="both"/>
      </w:pPr>
    </w:p>
    <w:p w14:paraId="071A2024" w14:textId="77777777" w:rsidR="003F4F8D" w:rsidRPr="001510E6" w:rsidRDefault="001510E6" w:rsidP="003F4F8D">
      <w:pPr>
        <w:ind w:left="1440" w:hanging="1440"/>
        <w:jc w:val="both"/>
        <w:rPr>
          <w:b/>
        </w:rPr>
      </w:pPr>
      <w:r>
        <w:rPr>
          <w:b/>
          <w:bCs/>
        </w:rPr>
        <w:lastRenderedPageBreak/>
        <w:t>ISSUE 76</w:t>
      </w:r>
      <w:r w:rsidR="003F4F8D" w:rsidRPr="00701945">
        <w:rPr>
          <w:b/>
          <w:bCs/>
        </w:rPr>
        <w:t>:</w:t>
      </w:r>
      <w:r w:rsidR="003F4F8D" w:rsidRPr="00701945">
        <w:tab/>
      </w:r>
      <w:r w:rsidRPr="001510E6">
        <w:rPr>
          <w:b/>
        </w:rPr>
        <w:t>What are the appropriate service charges (initial connection, reconnect for nonpayment, connection of existing account, field visit, temporary overhead and underground, meter tampering)?</w:t>
      </w:r>
    </w:p>
    <w:p w14:paraId="104FC3A6" w14:textId="77777777" w:rsidR="003F4F8D" w:rsidRPr="00701945" w:rsidRDefault="003F4F8D" w:rsidP="003F4F8D">
      <w:pPr>
        <w:jc w:val="both"/>
      </w:pPr>
    </w:p>
    <w:p w14:paraId="5F115E1E" w14:textId="77777777" w:rsidR="003F4F8D" w:rsidRPr="005D4B47" w:rsidRDefault="003F4F8D" w:rsidP="003F4F8D">
      <w:pPr>
        <w:ind w:left="1440" w:hanging="1440"/>
        <w:jc w:val="both"/>
      </w:pPr>
      <w:r>
        <w:rPr>
          <w:b/>
          <w:bCs/>
        </w:rPr>
        <w:t>TECO</w:t>
      </w:r>
      <w:r w:rsidRPr="005D4B47">
        <w:rPr>
          <w:b/>
          <w:bCs/>
        </w:rPr>
        <w:t>:</w:t>
      </w:r>
      <w:r w:rsidRPr="005D4B47">
        <w:tab/>
      </w:r>
      <w:r w:rsidR="001510E6">
        <w:t>The appropriate service charges are the proposed charges provided in MFR Schedule E-13b. (Williams)</w:t>
      </w:r>
    </w:p>
    <w:p w14:paraId="3854822F" w14:textId="77777777" w:rsidR="003F4F8D" w:rsidRPr="00701945" w:rsidRDefault="003F4F8D" w:rsidP="003F4F8D">
      <w:pPr>
        <w:jc w:val="both"/>
      </w:pPr>
    </w:p>
    <w:p w14:paraId="1D132463" w14:textId="77777777" w:rsidR="003F4F8D" w:rsidRDefault="003F4F8D" w:rsidP="003F4F8D">
      <w:pPr>
        <w:ind w:left="1440" w:hanging="1440"/>
        <w:jc w:val="both"/>
      </w:pPr>
      <w:r>
        <w:rPr>
          <w:b/>
          <w:bCs/>
        </w:rPr>
        <w:t>OPC</w:t>
      </w:r>
      <w:r w:rsidRPr="00701945">
        <w:rPr>
          <w:b/>
          <w:bCs/>
        </w:rPr>
        <w:t>:</w:t>
      </w:r>
      <w:r>
        <w:tab/>
      </w:r>
      <w:r w:rsidR="009C0E66">
        <w:t>No position.</w:t>
      </w:r>
    </w:p>
    <w:p w14:paraId="02679F3E" w14:textId="77777777" w:rsidR="003F4F8D" w:rsidRDefault="003F4F8D" w:rsidP="003F4F8D">
      <w:pPr>
        <w:ind w:left="1440" w:hanging="1440"/>
        <w:jc w:val="both"/>
      </w:pPr>
    </w:p>
    <w:p w14:paraId="5C54C69E" w14:textId="77777777" w:rsidR="003F4F8D" w:rsidRDefault="003F4F8D" w:rsidP="003F4F8D">
      <w:pPr>
        <w:ind w:left="1440" w:hanging="1440"/>
        <w:jc w:val="both"/>
        <w:rPr>
          <w:b/>
        </w:rPr>
      </w:pPr>
      <w:r>
        <w:rPr>
          <w:b/>
        </w:rPr>
        <w:t>FL RISING/</w:t>
      </w:r>
    </w:p>
    <w:p w14:paraId="3B5484FA" w14:textId="0051D414" w:rsidR="003F4F8D" w:rsidRDefault="003F4F8D" w:rsidP="003F4F8D">
      <w:pPr>
        <w:ind w:left="1440" w:hanging="1440"/>
        <w:jc w:val="both"/>
        <w:rPr>
          <w:b/>
        </w:rPr>
      </w:pPr>
      <w:r>
        <w:rPr>
          <w:b/>
        </w:rPr>
        <w:t>LULAC:</w:t>
      </w:r>
      <w:r>
        <w:rPr>
          <w:b/>
        </w:rPr>
        <w:tab/>
      </w:r>
      <w:r w:rsidR="009B5CD3">
        <w:t>TECO’s proposed initial connection charge and all proposed reconnection service charges for residential customers should be reduced by 80%. (</w:t>
      </w:r>
      <w:r w:rsidR="009B5CD3">
        <w:rPr>
          <w:lang w:eastAsia="ar-SA"/>
        </w:rPr>
        <w:t>Rábago</w:t>
      </w:r>
      <w:r w:rsidR="009B5CD3">
        <w:t>)</w:t>
      </w:r>
    </w:p>
    <w:p w14:paraId="347E32AD" w14:textId="77777777" w:rsidR="003F4F8D" w:rsidRDefault="003F4F8D" w:rsidP="003F4F8D">
      <w:pPr>
        <w:ind w:left="1440" w:hanging="1440"/>
        <w:jc w:val="both"/>
        <w:rPr>
          <w:b/>
        </w:rPr>
      </w:pPr>
    </w:p>
    <w:p w14:paraId="686AF81A" w14:textId="70647EF1" w:rsidR="003F4F8D" w:rsidRDefault="003F4F8D" w:rsidP="003F4F8D">
      <w:pPr>
        <w:ind w:left="1440" w:hanging="1440"/>
        <w:jc w:val="both"/>
        <w:rPr>
          <w:b/>
        </w:rPr>
      </w:pPr>
      <w:r>
        <w:rPr>
          <w:b/>
        </w:rPr>
        <w:t>FIPUG:</w:t>
      </w:r>
      <w:r>
        <w:rPr>
          <w:b/>
        </w:rPr>
        <w:tab/>
      </w:r>
      <w:r w:rsidR="00374440">
        <w:rPr>
          <w:bCs/>
        </w:rPr>
        <w:t>No position.</w:t>
      </w:r>
    </w:p>
    <w:p w14:paraId="6ABCF4CE" w14:textId="77777777" w:rsidR="003F4F8D" w:rsidRDefault="003F4F8D" w:rsidP="003F4F8D">
      <w:pPr>
        <w:ind w:left="1440" w:hanging="1440"/>
        <w:jc w:val="both"/>
        <w:rPr>
          <w:b/>
        </w:rPr>
      </w:pPr>
    </w:p>
    <w:p w14:paraId="6E086A3C" w14:textId="62371499" w:rsidR="003F4F8D" w:rsidRDefault="003F4F8D" w:rsidP="003F4F8D">
      <w:pPr>
        <w:ind w:left="1440" w:hanging="1440"/>
        <w:jc w:val="both"/>
        <w:rPr>
          <w:b/>
        </w:rPr>
      </w:pPr>
      <w:r>
        <w:rPr>
          <w:b/>
        </w:rPr>
        <w:t>FEA:</w:t>
      </w:r>
      <w:r>
        <w:rPr>
          <w:b/>
        </w:rPr>
        <w:tab/>
      </w:r>
      <w:r w:rsidR="00374440">
        <w:t>No position.</w:t>
      </w:r>
    </w:p>
    <w:p w14:paraId="53E0731C" w14:textId="77777777" w:rsidR="003F4F8D" w:rsidRDefault="003F4F8D" w:rsidP="003F4F8D">
      <w:pPr>
        <w:ind w:left="1440" w:hanging="1440"/>
        <w:jc w:val="both"/>
        <w:rPr>
          <w:b/>
        </w:rPr>
      </w:pPr>
    </w:p>
    <w:p w14:paraId="7189BB87" w14:textId="77777777" w:rsidR="00A14A11" w:rsidRDefault="00764960" w:rsidP="003F4F8D">
      <w:pPr>
        <w:ind w:left="1440" w:hanging="1440"/>
        <w:jc w:val="both"/>
        <w:rPr>
          <w:b/>
        </w:rPr>
      </w:pPr>
      <w:r>
        <w:rPr>
          <w:b/>
        </w:rPr>
        <w:t xml:space="preserve">SIERRA </w:t>
      </w:r>
    </w:p>
    <w:p w14:paraId="64ACE7FD" w14:textId="2B1705B3" w:rsidR="003F4F8D" w:rsidRDefault="00764960" w:rsidP="003F4F8D">
      <w:pPr>
        <w:ind w:left="1440" w:hanging="1440"/>
        <w:jc w:val="both"/>
        <w:rPr>
          <w:b/>
        </w:rPr>
      </w:pPr>
      <w:r>
        <w:rPr>
          <w:b/>
        </w:rPr>
        <w:t>CLUB</w:t>
      </w:r>
      <w:r w:rsidR="003F4F8D">
        <w:rPr>
          <w:b/>
        </w:rPr>
        <w:t>:</w:t>
      </w:r>
      <w:r w:rsidR="003F4F8D">
        <w:rPr>
          <w:b/>
        </w:rPr>
        <w:tab/>
      </w:r>
      <w:r w:rsidR="008225F7">
        <w:t xml:space="preserve">For each of the Issues in this category, </w:t>
      </w:r>
      <w:r w:rsidR="008225F7" w:rsidRPr="001E3193">
        <w:t xml:space="preserve">Sierra Club has no position </w:t>
      </w:r>
      <w:r w:rsidR="008225F7">
        <w:t>beyond generally supporting intervenor proposals to reduce energy burdens for residential customers</w:t>
      </w:r>
      <w:r w:rsidR="00516FCE" w:rsidRPr="001E3193">
        <w:t>.</w:t>
      </w:r>
    </w:p>
    <w:p w14:paraId="584CC78D" w14:textId="77777777" w:rsidR="003F4F8D" w:rsidRDefault="003F4F8D" w:rsidP="003F4F8D">
      <w:pPr>
        <w:ind w:left="1440" w:hanging="1440"/>
        <w:jc w:val="both"/>
        <w:rPr>
          <w:b/>
        </w:rPr>
      </w:pPr>
    </w:p>
    <w:p w14:paraId="1490429E" w14:textId="19739602" w:rsidR="003F4F8D" w:rsidRDefault="003F4F8D" w:rsidP="003F4F8D">
      <w:pPr>
        <w:ind w:left="1440" w:hanging="1440"/>
        <w:jc w:val="both"/>
        <w:rPr>
          <w:b/>
        </w:rPr>
      </w:pPr>
      <w:r>
        <w:rPr>
          <w:b/>
        </w:rPr>
        <w:t>FRF:</w:t>
      </w:r>
      <w:r>
        <w:rPr>
          <w:b/>
        </w:rPr>
        <w:tab/>
      </w:r>
      <w:r w:rsidR="00630EDE">
        <w:t>No position.</w:t>
      </w:r>
    </w:p>
    <w:p w14:paraId="7D586B6E" w14:textId="77777777" w:rsidR="003F4F8D" w:rsidRDefault="003F4F8D" w:rsidP="003F4F8D">
      <w:pPr>
        <w:ind w:left="1440" w:hanging="1440"/>
        <w:jc w:val="both"/>
        <w:rPr>
          <w:b/>
        </w:rPr>
      </w:pPr>
    </w:p>
    <w:p w14:paraId="623B8B4A" w14:textId="77777777" w:rsidR="00A14A11" w:rsidRDefault="00C0182D" w:rsidP="003F4F8D">
      <w:pPr>
        <w:ind w:left="1440" w:hanging="1440"/>
        <w:jc w:val="both"/>
        <w:rPr>
          <w:b/>
        </w:rPr>
      </w:pPr>
      <w:r>
        <w:rPr>
          <w:b/>
        </w:rPr>
        <w:t xml:space="preserve">FUEL </w:t>
      </w:r>
    </w:p>
    <w:p w14:paraId="441E5877" w14:textId="7551D306" w:rsidR="003F4F8D" w:rsidRDefault="00C0182D" w:rsidP="003F4F8D">
      <w:pPr>
        <w:ind w:left="1440" w:hanging="1440"/>
        <w:jc w:val="both"/>
      </w:pPr>
      <w:r>
        <w:rPr>
          <w:b/>
        </w:rPr>
        <w:t>RETAILERS</w:t>
      </w:r>
      <w:r w:rsidR="003F4F8D">
        <w:rPr>
          <w:b/>
        </w:rPr>
        <w:t>:</w:t>
      </w:r>
      <w:r w:rsidR="00A14A11">
        <w:rPr>
          <w:b/>
        </w:rPr>
        <w:t xml:space="preserve"> </w:t>
      </w:r>
      <w:r w:rsidR="009E6879" w:rsidRPr="00132664">
        <w:t xml:space="preserve">No </w:t>
      </w:r>
      <w:r w:rsidR="00630EDE">
        <w:t>p</w:t>
      </w:r>
      <w:r w:rsidR="009E6879" w:rsidRPr="00132664">
        <w:t>osition.</w:t>
      </w:r>
    </w:p>
    <w:p w14:paraId="5B34B0A9" w14:textId="77777777" w:rsidR="005A6478" w:rsidRDefault="005A6478" w:rsidP="003F4F8D">
      <w:pPr>
        <w:ind w:left="1440" w:hanging="1440"/>
        <w:jc w:val="both"/>
      </w:pPr>
    </w:p>
    <w:p w14:paraId="0F6A1EA9" w14:textId="047459DD" w:rsidR="005A6478" w:rsidRPr="005A6478" w:rsidRDefault="00FD408B" w:rsidP="003F4F8D">
      <w:pPr>
        <w:ind w:left="1440" w:hanging="1440"/>
        <w:jc w:val="both"/>
        <w:rPr>
          <w:b/>
        </w:rPr>
      </w:pPr>
      <w:r>
        <w:rPr>
          <w:b/>
        </w:rPr>
        <w:t>WALMART</w:t>
      </w:r>
      <w:r w:rsidR="005A6478">
        <w:rPr>
          <w:b/>
        </w:rPr>
        <w:t>:</w:t>
      </w:r>
      <w:r w:rsidR="005A6478">
        <w:rPr>
          <w:b/>
        </w:rPr>
        <w:tab/>
      </w:r>
      <w:r w:rsidR="00630EDE">
        <w:t>No position.</w:t>
      </w:r>
    </w:p>
    <w:p w14:paraId="7526F602" w14:textId="77777777" w:rsidR="003F4F8D" w:rsidRPr="00701945" w:rsidRDefault="003F4F8D" w:rsidP="003F4F8D">
      <w:pPr>
        <w:jc w:val="both"/>
      </w:pPr>
    </w:p>
    <w:p w14:paraId="72B8A8E7" w14:textId="3646798C" w:rsidR="003F4F8D" w:rsidRDefault="003F4F8D" w:rsidP="003F4F8D">
      <w:pPr>
        <w:ind w:left="1440" w:hanging="1440"/>
        <w:jc w:val="both"/>
      </w:pPr>
      <w:r>
        <w:rPr>
          <w:b/>
          <w:bCs/>
        </w:rPr>
        <w:t>STAFF:</w:t>
      </w:r>
      <w:r>
        <w:rPr>
          <w:b/>
          <w:bCs/>
        </w:rPr>
        <w:tab/>
      </w:r>
      <w:r w:rsidR="00AC7E54">
        <w:t>No position at this time.</w:t>
      </w:r>
    </w:p>
    <w:p w14:paraId="48B1B04C" w14:textId="5DC0FE81" w:rsidR="003906AA" w:rsidRDefault="003906AA" w:rsidP="003F4F8D">
      <w:pPr>
        <w:ind w:left="1440" w:hanging="1440"/>
        <w:jc w:val="both"/>
      </w:pPr>
    </w:p>
    <w:p w14:paraId="4FF07D9F" w14:textId="77777777" w:rsidR="003906AA" w:rsidRPr="005D4B47" w:rsidRDefault="003906AA" w:rsidP="003F4F8D">
      <w:pPr>
        <w:ind w:left="1440" w:hanging="1440"/>
        <w:jc w:val="both"/>
        <w:rPr>
          <w:b/>
          <w:bCs/>
        </w:rPr>
      </w:pPr>
    </w:p>
    <w:p w14:paraId="0A72ECA6" w14:textId="77777777" w:rsidR="003F4F8D" w:rsidRPr="001510E6" w:rsidRDefault="001510E6" w:rsidP="003F4F8D">
      <w:pPr>
        <w:ind w:left="1440" w:hanging="1440"/>
        <w:jc w:val="both"/>
        <w:rPr>
          <w:b/>
        </w:rPr>
      </w:pPr>
      <w:r>
        <w:rPr>
          <w:b/>
          <w:bCs/>
        </w:rPr>
        <w:t>ISSUE 77</w:t>
      </w:r>
      <w:r w:rsidR="003F4F8D" w:rsidRPr="00701945">
        <w:rPr>
          <w:b/>
          <w:bCs/>
        </w:rPr>
        <w:t>:</w:t>
      </w:r>
      <w:r w:rsidR="003F4F8D" w:rsidRPr="00701945">
        <w:tab/>
      </w:r>
      <w:r w:rsidRPr="001510E6">
        <w:rPr>
          <w:b/>
        </w:rPr>
        <w:t>Should the modifications to the emergency relay power supply charge be approved?</w:t>
      </w:r>
    </w:p>
    <w:p w14:paraId="75ED4FED" w14:textId="77777777" w:rsidR="003F4F8D" w:rsidRPr="00701945" w:rsidRDefault="003F4F8D" w:rsidP="003F4F8D">
      <w:pPr>
        <w:jc w:val="both"/>
      </w:pPr>
    </w:p>
    <w:p w14:paraId="2C203D12" w14:textId="77777777" w:rsidR="003F4F8D" w:rsidRPr="005D4B47" w:rsidRDefault="003F4F8D" w:rsidP="003F4F8D">
      <w:pPr>
        <w:ind w:left="1440" w:hanging="1440"/>
        <w:jc w:val="both"/>
      </w:pPr>
      <w:r>
        <w:rPr>
          <w:b/>
          <w:bCs/>
        </w:rPr>
        <w:t>TECO</w:t>
      </w:r>
      <w:r w:rsidRPr="005D4B47">
        <w:rPr>
          <w:b/>
          <w:bCs/>
        </w:rPr>
        <w:t>:</w:t>
      </w:r>
      <w:r w:rsidRPr="005D4B47">
        <w:tab/>
      </w:r>
      <w:bookmarkStart w:id="16" w:name="_Hlk171944735"/>
      <w:r w:rsidR="001510E6" w:rsidRPr="009C6895">
        <w:t>Yes. The proposed modifications are reasonable and should be approved. (Williams)</w:t>
      </w:r>
      <w:bookmarkEnd w:id="16"/>
    </w:p>
    <w:p w14:paraId="6BD3ACAF" w14:textId="77777777" w:rsidR="003F4F8D" w:rsidRPr="00701945" w:rsidRDefault="003F4F8D" w:rsidP="003F4F8D">
      <w:pPr>
        <w:jc w:val="both"/>
      </w:pPr>
    </w:p>
    <w:p w14:paraId="3294AAEA" w14:textId="77777777" w:rsidR="003F4F8D" w:rsidRDefault="003F4F8D" w:rsidP="003F4F8D">
      <w:pPr>
        <w:ind w:left="1440" w:hanging="1440"/>
        <w:jc w:val="both"/>
      </w:pPr>
      <w:r>
        <w:rPr>
          <w:b/>
          <w:bCs/>
        </w:rPr>
        <w:t>OPC</w:t>
      </w:r>
      <w:r w:rsidRPr="00701945">
        <w:rPr>
          <w:b/>
          <w:bCs/>
        </w:rPr>
        <w:t>:</w:t>
      </w:r>
      <w:r>
        <w:tab/>
      </w:r>
      <w:r w:rsidR="00F21B49">
        <w:t>No position.</w:t>
      </w:r>
    </w:p>
    <w:p w14:paraId="0C6D97DF" w14:textId="77777777" w:rsidR="003F4F8D" w:rsidRDefault="003F4F8D" w:rsidP="003F4F8D">
      <w:pPr>
        <w:ind w:left="1440" w:hanging="1440"/>
        <w:jc w:val="both"/>
      </w:pPr>
    </w:p>
    <w:p w14:paraId="6367F6B7" w14:textId="77777777" w:rsidR="003F4F8D" w:rsidRDefault="003F4F8D" w:rsidP="003F4F8D">
      <w:pPr>
        <w:ind w:left="1440" w:hanging="1440"/>
        <w:jc w:val="both"/>
        <w:rPr>
          <w:b/>
        </w:rPr>
      </w:pPr>
      <w:r>
        <w:rPr>
          <w:b/>
        </w:rPr>
        <w:t>FL RISING/</w:t>
      </w:r>
    </w:p>
    <w:p w14:paraId="2670A6DE" w14:textId="77777777" w:rsidR="003F4F8D" w:rsidRDefault="003F4F8D" w:rsidP="003F4F8D">
      <w:pPr>
        <w:ind w:left="1440" w:hanging="1440"/>
        <w:jc w:val="both"/>
        <w:rPr>
          <w:b/>
        </w:rPr>
      </w:pPr>
      <w:r>
        <w:rPr>
          <w:b/>
        </w:rPr>
        <w:t>LULAC:</w:t>
      </w:r>
      <w:r>
        <w:rPr>
          <w:b/>
        </w:rPr>
        <w:tab/>
      </w:r>
      <w:r w:rsidR="009B5CD3">
        <w:t>Yes</w:t>
      </w:r>
      <w:r w:rsidR="009B5CD3" w:rsidRPr="5607F5B3">
        <w:t>.</w:t>
      </w:r>
    </w:p>
    <w:p w14:paraId="4ABE6B10" w14:textId="77777777" w:rsidR="003F4F8D" w:rsidRDefault="003F4F8D" w:rsidP="003F4F8D">
      <w:pPr>
        <w:ind w:left="1440" w:hanging="1440"/>
        <w:jc w:val="both"/>
        <w:rPr>
          <w:b/>
        </w:rPr>
      </w:pPr>
    </w:p>
    <w:p w14:paraId="061E2B8B" w14:textId="4A8BE1D0" w:rsidR="003F4F8D" w:rsidRDefault="003F4F8D" w:rsidP="003F4F8D">
      <w:pPr>
        <w:ind w:left="1440" w:hanging="1440"/>
        <w:jc w:val="both"/>
        <w:rPr>
          <w:b/>
        </w:rPr>
      </w:pPr>
      <w:r>
        <w:rPr>
          <w:b/>
        </w:rPr>
        <w:t>FIPUG:</w:t>
      </w:r>
      <w:r>
        <w:rPr>
          <w:b/>
        </w:rPr>
        <w:tab/>
      </w:r>
      <w:r w:rsidR="00C63EB8" w:rsidRPr="00E25C27">
        <w:rPr>
          <w:bCs/>
        </w:rPr>
        <w:t>No position</w:t>
      </w:r>
      <w:r w:rsidR="005A0319">
        <w:rPr>
          <w:bCs/>
        </w:rPr>
        <w:t>.</w:t>
      </w:r>
    </w:p>
    <w:p w14:paraId="4E792818" w14:textId="77777777" w:rsidR="003F4F8D" w:rsidRDefault="003F4F8D" w:rsidP="003F4F8D">
      <w:pPr>
        <w:ind w:left="1440" w:hanging="1440"/>
        <w:jc w:val="both"/>
        <w:rPr>
          <w:b/>
        </w:rPr>
      </w:pPr>
    </w:p>
    <w:p w14:paraId="19040E31" w14:textId="79EBBB99" w:rsidR="003F4F8D" w:rsidRDefault="003F4F8D" w:rsidP="003F4F8D">
      <w:pPr>
        <w:ind w:left="1440" w:hanging="1440"/>
        <w:jc w:val="both"/>
        <w:rPr>
          <w:b/>
        </w:rPr>
      </w:pPr>
      <w:r>
        <w:rPr>
          <w:b/>
        </w:rPr>
        <w:lastRenderedPageBreak/>
        <w:t>FEA:</w:t>
      </w:r>
      <w:r>
        <w:rPr>
          <w:b/>
        </w:rPr>
        <w:tab/>
      </w:r>
      <w:r w:rsidR="005A0319">
        <w:t>No position.</w:t>
      </w:r>
    </w:p>
    <w:p w14:paraId="4BA12FBD" w14:textId="77777777" w:rsidR="003F4F8D" w:rsidRDefault="003F4F8D" w:rsidP="003F4F8D">
      <w:pPr>
        <w:ind w:left="1440" w:hanging="1440"/>
        <w:jc w:val="both"/>
        <w:rPr>
          <w:b/>
        </w:rPr>
      </w:pPr>
    </w:p>
    <w:p w14:paraId="4142BAB7" w14:textId="77777777" w:rsidR="00A14A11" w:rsidRDefault="00764960" w:rsidP="003F4F8D">
      <w:pPr>
        <w:ind w:left="1440" w:hanging="1440"/>
        <w:jc w:val="both"/>
        <w:rPr>
          <w:b/>
        </w:rPr>
      </w:pPr>
      <w:r>
        <w:rPr>
          <w:b/>
        </w:rPr>
        <w:t xml:space="preserve">SIERRA </w:t>
      </w:r>
    </w:p>
    <w:p w14:paraId="01B13982" w14:textId="0170C7EA" w:rsidR="003F4F8D" w:rsidRDefault="00764960" w:rsidP="003F4F8D">
      <w:pPr>
        <w:ind w:left="1440" w:hanging="1440"/>
        <w:jc w:val="both"/>
        <w:rPr>
          <w:b/>
        </w:rPr>
      </w:pPr>
      <w:r>
        <w:rPr>
          <w:b/>
        </w:rPr>
        <w:t>CLUB</w:t>
      </w:r>
      <w:r w:rsidR="003F4F8D">
        <w:rPr>
          <w:b/>
        </w:rPr>
        <w:t>:</w:t>
      </w:r>
      <w:r w:rsidR="003F4F8D">
        <w:rPr>
          <w:b/>
        </w:rPr>
        <w:tab/>
      </w:r>
      <w:r w:rsidR="005A0319">
        <w:t xml:space="preserve">For each of the Issues in this category, </w:t>
      </w:r>
      <w:r w:rsidR="005A0319" w:rsidRPr="001E3193">
        <w:t xml:space="preserve">Sierra Club has no position </w:t>
      </w:r>
      <w:r w:rsidR="005A0319">
        <w:t>beyond generally supporting intervenor proposals to reduce energy burdens for residential customers</w:t>
      </w:r>
      <w:r w:rsidR="00516FCE" w:rsidRPr="001E3193">
        <w:t>.</w:t>
      </w:r>
    </w:p>
    <w:p w14:paraId="06F7ED86" w14:textId="77777777" w:rsidR="003F4F8D" w:rsidRDefault="003F4F8D" w:rsidP="003F4F8D">
      <w:pPr>
        <w:ind w:left="1440" w:hanging="1440"/>
        <w:jc w:val="both"/>
        <w:rPr>
          <w:b/>
        </w:rPr>
      </w:pPr>
    </w:p>
    <w:p w14:paraId="705FD11F" w14:textId="0AFE1EE2" w:rsidR="003F4F8D" w:rsidRDefault="003F4F8D" w:rsidP="003F4F8D">
      <w:pPr>
        <w:ind w:left="1440" w:hanging="1440"/>
        <w:jc w:val="both"/>
        <w:rPr>
          <w:b/>
        </w:rPr>
      </w:pPr>
      <w:r>
        <w:rPr>
          <w:b/>
        </w:rPr>
        <w:t>FRF:</w:t>
      </w:r>
      <w:r>
        <w:rPr>
          <w:b/>
        </w:rPr>
        <w:tab/>
      </w:r>
      <w:r w:rsidR="005A0319">
        <w:t>No position.</w:t>
      </w:r>
    </w:p>
    <w:p w14:paraId="26E67FE0" w14:textId="77777777" w:rsidR="003F4F8D" w:rsidRDefault="003F4F8D" w:rsidP="003F4F8D">
      <w:pPr>
        <w:ind w:left="1440" w:hanging="1440"/>
        <w:jc w:val="both"/>
        <w:rPr>
          <w:b/>
        </w:rPr>
      </w:pPr>
    </w:p>
    <w:p w14:paraId="4EC5E233" w14:textId="77777777" w:rsidR="00A14A11" w:rsidRDefault="00C0182D" w:rsidP="003F4F8D">
      <w:pPr>
        <w:ind w:left="1440" w:hanging="1440"/>
        <w:jc w:val="both"/>
        <w:rPr>
          <w:b/>
        </w:rPr>
      </w:pPr>
      <w:r>
        <w:rPr>
          <w:b/>
        </w:rPr>
        <w:t xml:space="preserve">FUEL </w:t>
      </w:r>
    </w:p>
    <w:p w14:paraId="73C47509" w14:textId="4637D8D1" w:rsidR="003F4F8D" w:rsidRDefault="00C0182D" w:rsidP="003F4F8D">
      <w:pPr>
        <w:ind w:left="1440" w:hanging="1440"/>
        <w:jc w:val="both"/>
      </w:pPr>
      <w:r>
        <w:rPr>
          <w:b/>
        </w:rPr>
        <w:t>RETAILERS</w:t>
      </w:r>
      <w:r w:rsidR="003F4F8D">
        <w:rPr>
          <w:b/>
        </w:rPr>
        <w:t>:</w:t>
      </w:r>
      <w:r w:rsidR="00A14A11">
        <w:rPr>
          <w:b/>
        </w:rPr>
        <w:t xml:space="preserve"> </w:t>
      </w:r>
      <w:r w:rsidR="009E6879" w:rsidRPr="00132664">
        <w:t xml:space="preserve">No </w:t>
      </w:r>
      <w:r w:rsidR="005A0319">
        <w:t>p</w:t>
      </w:r>
      <w:r w:rsidR="009E6879" w:rsidRPr="00132664">
        <w:t>osition.</w:t>
      </w:r>
    </w:p>
    <w:p w14:paraId="52CAD11B" w14:textId="77777777" w:rsidR="005A6478" w:rsidRDefault="005A6478" w:rsidP="003F4F8D">
      <w:pPr>
        <w:ind w:left="1440" w:hanging="1440"/>
        <w:jc w:val="both"/>
      </w:pPr>
    </w:p>
    <w:p w14:paraId="49C4D5F2" w14:textId="56BA9DE4" w:rsidR="005A6478" w:rsidRPr="005A6478" w:rsidRDefault="00FD408B" w:rsidP="003F4F8D">
      <w:pPr>
        <w:ind w:left="1440" w:hanging="1440"/>
        <w:jc w:val="both"/>
        <w:rPr>
          <w:b/>
        </w:rPr>
      </w:pPr>
      <w:r>
        <w:rPr>
          <w:b/>
        </w:rPr>
        <w:t>WALMART</w:t>
      </w:r>
      <w:r w:rsidR="005A6478">
        <w:rPr>
          <w:b/>
        </w:rPr>
        <w:t>:</w:t>
      </w:r>
      <w:r w:rsidR="005A6478">
        <w:rPr>
          <w:b/>
        </w:rPr>
        <w:tab/>
      </w:r>
      <w:r w:rsidR="005A0319">
        <w:t>No position.</w:t>
      </w:r>
    </w:p>
    <w:p w14:paraId="1F50764A" w14:textId="77777777" w:rsidR="003F4F8D" w:rsidRPr="00701945" w:rsidRDefault="003F4F8D" w:rsidP="003F4F8D">
      <w:pPr>
        <w:jc w:val="both"/>
      </w:pPr>
    </w:p>
    <w:p w14:paraId="6CD6B266" w14:textId="77777777" w:rsidR="003F4F8D" w:rsidRPr="005D4B47" w:rsidRDefault="003F4F8D" w:rsidP="003F4F8D">
      <w:pPr>
        <w:ind w:left="1440" w:hanging="1440"/>
        <w:jc w:val="both"/>
        <w:rPr>
          <w:b/>
          <w:bCs/>
        </w:rPr>
      </w:pPr>
      <w:r>
        <w:rPr>
          <w:b/>
          <w:bCs/>
        </w:rPr>
        <w:t>STAFF:</w:t>
      </w:r>
      <w:r>
        <w:rPr>
          <w:b/>
          <w:bCs/>
        </w:rPr>
        <w:tab/>
      </w:r>
      <w:r w:rsidR="00AC7E54">
        <w:t>No position at this time.</w:t>
      </w:r>
    </w:p>
    <w:p w14:paraId="0386D1C5" w14:textId="77777777" w:rsidR="003F4F8D" w:rsidRDefault="003F4F8D" w:rsidP="00C7699A">
      <w:pPr>
        <w:jc w:val="both"/>
      </w:pPr>
    </w:p>
    <w:p w14:paraId="662A1674" w14:textId="77777777" w:rsidR="003F4F8D" w:rsidRDefault="003F4F8D" w:rsidP="00C7699A">
      <w:pPr>
        <w:jc w:val="both"/>
      </w:pPr>
    </w:p>
    <w:p w14:paraId="77AC6091" w14:textId="77777777" w:rsidR="003F4F8D" w:rsidRPr="00D175D0" w:rsidRDefault="001510E6" w:rsidP="003F4F8D">
      <w:pPr>
        <w:ind w:left="1440" w:hanging="1440"/>
        <w:jc w:val="both"/>
        <w:rPr>
          <w:b/>
        </w:rPr>
      </w:pPr>
      <w:r>
        <w:rPr>
          <w:b/>
          <w:bCs/>
        </w:rPr>
        <w:t>ISSUE 78</w:t>
      </w:r>
      <w:r w:rsidR="003F4F8D" w:rsidRPr="00701945">
        <w:rPr>
          <w:b/>
          <w:bCs/>
        </w:rPr>
        <w:t>:</w:t>
      </w:r>
      <w:r w:rsidR="003F4F8D" w:rsidRPr="00701945">
        <w:tab/>
      </w:r>
      <w:r w:rsidRPr="00D175D0">
        <w:rPr>
          <w:b/>
        </w:rPr>
        <w:t>What are the appropriate basic service charges?</w:t>
      </w:r>
    </w:p>
    <w:p w14:paraId="2B018141" w14:textId="77777777" w:rsidR="003F4F8D" w:rsidRPr="00D175D0" w:rsidRDefault="003F4F8D" w:rsidP="003F4F8D">
      <w:pPr>
        <w:jc w:val="both"/>
        <w:rPr>
          <w:b/>
        </w:rPr>
      </w:pPr>
    </w:p>
    <w:p w14:paraId="73C867B6" w14:textId="77777777" w:rsidR="003F4F8D" w:rsidRPr="005D4B47" w:rsidRDefault="003F4F8D" w:rsidP="003F4F8D">
      <w:pPr>
        <w:ind w:left="1440" w:hanging="1440"/>
        <w:jc w:val="both"/>
      </w:pPr>
      <w:r>
        <w:rPr>
          <w:b/>
          <w:bCs/>
        </w:rPr>
        <w:t>TECO</w:t>
      </w:r>
      <w:r w:rsidRPr="005D4B47">
        <w:rPr>
          <w:b/>
          <w:bCs/>
        </w:rPr>
        <w:t>:</w:t>
      </w:r>
      <w:r w:rsidRPr="005D4B47">
        <w:tab/>
      </w:r>
      <w:r w:rsidR="001510E6">
        <w:t>The appropriate basic service charges are shown in MFR Schedule E-13c. (Williams)</w:t>
      </w:r>
    </w:p>
    <w:p w14:paraId="6A3FADCC" w14:textId="77777777" w:rsidR="003F4F8D" w:rsidRPr="00701945" w:rsidRDefault="003F4F8D" w:rsidP="003F4F8D">
      <w:pPr>
        <w:jc w:val="both"/>
      </w:pPr>
    </w:p>
    <w:p w14:paraId="27FB4E8A" w14:textId="77777777" w:rsidR="003F4F8D" w:rsidRDefault="003F4F8D" w:rsidP="003F4F8D">
      <w:pPr>
        <w:ind w:left="1440" w:hanging="1440"/>
        <w:jc w:val="both"/>
      </w:pPr>
      <w:r>
        <w:rPr>
          <w:b/>
          <w:bCs/>
        </w:rPr>
        <w:t>OPC</w:t>
      </w:r>
      <w:r w:rsidRPr="00701945">
        <w:rPr>
          <w:b/>
          <w:bCs/>
        </w:rPr>
        <w:t>:</w:t>
      </w:r>
      <w:r>
        <w:tab/>
      </w:r>
      <w:r w:rsidR="00D175D0">
        <w:t>The basic service charges should reflect all the adjustments recommended by OPC.</w:t>
      </w:r>
    </w:p>
    <w:p w14:paraId="6F00DF65" w14:textId="77777777" w:rsidR="003F4F8D" w:rsidRDefault="003F4F8D" w:rsidP="003F4F8D">
      <w:pPr>
        <w:ind w:left="1440" w:hanging="1440"/>
        <w:jc w:val="both"/>
      </w:pPr>
    </w:p>
    <w:p w14:paraId="0F8708AD" w14:textId="77777777" w:rsidR="003F4F8D" w:rsidRDefault="003F4F8D" w:rsidP="003F4F8D">
      <w:pPr>
        <w:ind w:left="1440" w:hanging="1440"/>
        <w:jc w:val="both"/>
        <w:rPr>
          <w:b/>
        </w:rPr>
      </w:pPr>
      <w:r>
        <w:rPr>
          <w:b/>
        </w:rPr>
        <w:t>FL RISING/</w:t>
      </w:r>
    </w:p>
    <w:p w14:paraId="4A648660" w14:textId="77777777" w:rsidR="003F4F8D" w:rsidRDefault="003F4F8D" w:rsidP="003F4F8D">
      <w:pPr>
        <w:ind w:left="1440" w:hanging="1440"/>
        <w:jc w:val="both"/>
        <w:rPr>
          <w:b/>
        </w:rPr>
      </w:pPr>
      <w:r>
        <w:rPr>
          <w:b/>
        </w:rPr>
        <w:t>LULAC:</w:t>
      </w:r>
      <w:r>
        <w:rPr>
          <w:b/>
        </w:rPr>
        <w:tab/>
      </w:r>
      <w:r w:rsidR="009B5CD3">
        <w:t>TECO’s basic service charge for residential customers should be no more than $0.43 per customer per day or no more than $13.08 per customer per month. (Rábago)</w:t>
      </w:r>
    </w:p>
    <w:p w14:paraId="0D83ED31" w14:textId="77777777" w:rsidR="003F4F8D" w:rsidRDefault="003F4F8D" w:rsidP="003F4F8D">
      <w:pPr>
        <w:ind w:left="1440" w:hanging="1440"/>
        <w:jc w:val="both"/>
        <w:rPr>
          <w:b/>
        </w:rPr>
      </w:pPr>
    </w:p>
    <w:p w14:paraId="192F1BE3" w14:textId="77777777" w:rsidR="003F4F8D" w:rsidRDefault="003F4F8D" w:rsidP="003F4F8D">
      <w:pPr>
        <w:ind w:left="1440" w:hanging="1440"/>
        <w:jc w:val="both"/>
        <w:rPr>
          <w:b/>
        </w:rPr>
      </w:pPr>
      <w:r>
        <w:rPr>
          <w:b/>
        </w:rPr>
        <w:t>FIPUG:</w:t>
      </w:r>
      <w:r>
        <w:rPr>
          <w:b/>
        </w:rPr>
        <w:tab/>
      </w:r>
      <w:r w:rsidR="00C63EB8">
        <w:rPr>
          <w:bCs/>
        </w:rPr>
        <w:t>The adjustments recommended by OPC should be adopted.</w:t>
      </w:r>
    </w:p>
    <w:p w14:paraId="3F4D97F3" w14:textId="77777777" w:rsidR="003F4F8D" w:rsidRDefault="003F4F8D" w:rsidP="003F4F8D">
      <w:pPr>
        <w:ind w:left="1440" w:hanging="1440"/>
        <w:jc w:val="both"/>
        <w:rPr>
          <w:b/>
        </w:rPr>
      </w:pPr>
    </w:p>
    <w:p w14:paraId="1ECB1FDE" w14:textId="412BE185" w:rsidR="003F4F8D" w:rsidRDefault="003F4F8D" w:rsidP="003F4F8D">
      <w:pPr>
        <w:ind w:left="1440" w:hanging="1440"/>
        <w:jc w:val="both"/>
        <w:rPr>
          <w:b/>
        </w:rPr>
      </w:pPr>
      <w:r>
        <w:rPr>
          <w:b/>
        </w:rPr>
        <w:t>FEA:</w:t>
      </w:r>
      <w:r>
        <w:rPr>
          <w:b/>
        </w:rPr>
        <w:tab/>
      </w:r>
      <w:r w:rsidR="00C371B9">
        <w:t>No position.</w:t>
      </w:r>
    </w:p>
    <w:p w14:paraId="71925246" w14:textId="77777777" w:rsidR="003F4F8D" w:rsidRDefault="003F4F8D" w:rsidP="003F4F8D">
      <w:pPr>
        <w:ind w:left="1440" w:hanging="1440"/>
        <w:jc w:val="both"/>
        <w:rPr>
          <w:b/>
        </w:rPr>
      </w:pPr>
    </w:p>
    <w:p w14:paraId="3A9195DF" w14:textId="77777777" w:rsidR="00A14A11" w:rsidRDefault="00764960" w:rsidP="003F4F8D">
      <w:pPr>
        <w:ind w:left="1440" w:hanging="1440"/>
        <w:jc w:val="both"/>
        <w:rPr>
          <w:b/>
        </w:rPr>
      </w:pPr>
      <w:r>
        <w:rPr>
          <w:b/>
        </w:rPr>
        <w:t xml:space="preserve">SIERRA </w:t>
      </w:r>
    </w:p>
    <w:p w14:paraId="156B4457" w14:textId="7C94417F" w:rsidR="003F4F8D" w:rsidRDefault="00764960" w:rsidP="003F4F8D">
      <w:pPr>
        <w:ind w:left="1440" w:hanging="1440"/>
        <w:jc w:val="both"/>
        <w:rPr>
          <w:b/>
        </w:rPr>
      </w:pPr>
      <w:r>
        <w:rPr>
          <w:b/>
        </w:rPr>
        <w:t>CLUB</w:t>
      </w:r>
      <w:r w:rsidR="003F4F8D">
        <w:rPr>
          <w:b/>
        </w:rPr>
        <w:t>:</w:t>
      </w:r>
      <w:r w:rsidR="003F4F8D">
        <w:rPr>
          <w:b/>
        </w:rPr>
        <w:tab/>
      </w:r>
      <w:r w:rsidR="00C371B9">
        <w:t xml:space="preserve">For each of the Issues in this category, </w:t>
      </w:r>
      <w:r w:rsidR="00C371B9" w:rsidRPr="001E3193">
        <w:t xml:space="preserve">Sierra Club has no position </w:t>
      </w:r>
      <w:r w:rsidR="00C371B9">
        <w:t>beyond generally supporting intervenor proposals to reduce energy burdens for residential customers.</w:t>
      </w:r>
    </w:p>
    <w:p w14:paraId="4F29694A" w14:textId="77777777" w:rsidR="003F4F8D" w:rsidRDefault="003F4F8D" w:rsidP="003F4F8D">
      <w:pPr>
        <w:ind w:left="1440" w:hanging="1440"/>
        <w:jc w:val="both"/>
        <w:rPr>
          <w:b/>
        </w:rPr>
      </w:pPr>
    </w:p>
    <w:p w14:paraId="02B911C1" w14:textId="77777777" w:rsidR="003F4F8D" w:rsidRDefault="003F4F8D" w:rsidP="003F4F8D">
      <w:pPr>
        <w:ind w:left="1440" w:hanging="1440"/>
        <w:jc w:val="both"/>
        <w:rPr>
          <w:b/>
        </w:rPr>
      </w:pPr>
      <w:r>
        <w:rPr>
          <w:b/>
        </w:rPr>
        <w:t>FRF:</w:t>
      </w:r>
      <w:r>
        <w:rPr>
          <w:b/>
        </w:rPr>
        <w:tab/>
      </w:r>
      <w:r w:rsidR="00E76E94">
        <w:t>The FRF does not oppose TECO’s proposed cost of service study or its proposed revenue allocation methodology.</w:t>
      </w:r>
    </w:p>
    <w:p w14:paraId="10EAD2BD" w14:textId="77777777" w:rsidR="003F4F8D" w:rsidRDefault="003F4F8D" w:rsidP="003F4F8D">
      <w:pPr>
        <w:ind w:left="1440" w:hanging="1440"/>
        <w:jc w:val="both"/>
        <w:rPr>
          <w:b/>
        </w:rPr>
      </w:pPr>
    </w:p>
    <w:p w14:paraId="2C442CEF" w14:textId="77777777" w:rsidR="00A14A11" w:rsidRDefault="00C0182D" w:rsidP="003F4F8D">
      <w:pPr>
        <w:ind w:left="1440" w:hanging="1440"/>
        <w:jc w:val="both"/>
        <w:rPr>
          <w:b/>
        </w:rPr>
      </w:pPr>
      <w:r>
        <w:rPr>
          <w:b/>
        </w:rPr>
        <w:t xml:space="preserve">FUEL </w:t>
      </w:r>
    </w:p>
    <w:p w14:paraId="1BA343ED" w14:textId="72BBCE46" w:rsidR="003F4F8D" w:rsidRDefault="00C0182D" w:rsidP="003F4F8D">
      <w:pPr>
        <w:ind w:left="1440" w:hanging="1440"/>
        <w:jc w:val="both"/>
      </w:pPr>
      <w:r>
        <w:rPr>
          <w:b/>
        </w:rPr>
        <w:t>RETAILERS</w:t>
      </w:r>
      <w:r w:rsidR="003F4F8D">
        <w:rPr>
          <w:b/>
        </w:rPr>
        <w:t>:</w:t>
      </w:r>
      <w:r w:rsidR="00A14A11">
        <w:rPr>
          <w:b/>
        </w:rPr>
        <w:t xml:space="preserve"> </w:t>
      </w:r>
      <w:r w:rsidR="009E6879" w:rsidRPr="00132664">
        <w:t xml:space="preserve">No </w:t>
      </w:r>
      <w:r w:rsidR="00743E82">
        <w:t>p</w:t>
      </w:r>
      <w:r w:rsidR="009E6879" w:rsidRPr="00132664">
        <w:t>osition.</w:t>
      </w:r>
    </w:p>
    <w:p w14:paraId="6171AC78" w14:textId="77777777" w:rsidR="005A6478" w:rsidRDefault="005A6478" w:rsidP="003F4F8D">
      <w:pPr>
        <w:ind w:left="1440" w:hanging="1440"/>
        <w:jc w:val="both"/>
      </w:pPr>
    </w:p>
    <w:p w14:paraId="60F25B79" w14:textId="13E32A8C" w:rsidR="005A6478" w:rsidRPr="005A6478" w:rsidRDefault="00FD408B" w:rsidP="003F4F8D">
      <w:pPr>
        <w:ind w:left="1440" w:hanging="1440"/>
        <w:jc w:val="both"/>
        <w:rPr>
          <w:b/>
        </w:rPr>
      </w:pPr>
      <w:r>
        <w:rPr>
          <w:b/>
        </w:rPr>
        <w:lastRenderedPageBreak/>
        <w:t>WALMART</w:t>
      </w:r>
      <w:r w:rsidR="005A6478">
        <w:rPr>
          <w:b/>
        </w:rPr>
        <w:t>:</w:t>
      </w:r>
      <w:r w:rsidR="005A6478">
        <w:rPr>
          <w:b/>
        </w:rPr>
        <w:tab/>
      </w:r>
      <w:r w:rsidR="00743E82">
        <w:t>A</w:t>
      </w:r>
      <w:r w:rsidR="005A6478">
        <w:t>dopts the position of FRF.</w:t>
      </w:r>
    </w:p>
    <w:p w14:paraId="4CAC0FAA" w14:textId="77777777" w:rsidR="003F4F8D" w:rsidRPr="00701945" w:rsidRDefault="003F4F8D" w:rsidP="003F4F8D">
      <w:pPr>
        <w:jc w:val="both"/>
      </w:pPr>
    </w:p>
    <w:p w14:paraId="7FE1DD5F" w14:textId="77777777" w:rsidR="003F4F8D" w:rsidRPr="005D4B47" w:rsidRDefault="003F4F8D" w:rsidP="003F4F8D">
      <w:pPr>
        <w:ind w:left="1440" w:hanging="1440"/>
        <w:jc w:val="both"/>
        <w:rPr>
          <w:b/>
          <w:bCs/>
        </w:rPr>
      </w:pPr>
      <w:r>
        <w:rPr>
          <w:b/>
          <w:bCs/>
        </w:rPr>
        <w:t>STAFF:</w:t>
      </w:r>
      <w:r>
        <w:rPr>
          <w:b/>
          <w:bCs/>
        </w:rPr>
        <w:tab/>
      </w:r>
      <w:r w:rsidR="00AC7E54">
        <w:t>No position at this time.</w:t>
      </w:r>
    </w:p>
    <w:p w14:paraId="16F685F1" w14:textId="77777777" w:rsidR="003F4F8D" w:rsidRDefault="003F4F8D" w:rsidP="00C7699A">
      <w:pPr>
        <w:jc w:val="both"/>
      </w:pPr>
    </w:p>
    <w:p w14:paraId="0A7D2EEB" w14:textId="77777777" w:rsidR="003F4F8D" w:rsidRDefault="003F4F8D" w:rsidP="00C7699A">
      <w:pPr>
        <w:jc w:val="both"/>
      </w:pPr>
    </w:p>
    <w:p w14:paraId="7F7DA1F8" w14:textId="77777777" w:rsidR="003F4F8D" w:rsidRPr="001510E6" w:rsidRDefault="001510E6" w:rsidP="003F4F8D">
      <w:pPr>
        <w:ind w:left="1440" w:hanging="1440"/>
        <w:jc w:val="both"/>
        <w:rPr>
          <w:b/>
        </w:rPr>
      </w:pPr>
      <w:r>
        <w:rPr>
          <w:b/>
          <w:bCs/>
        </w:rPr>
        <w:t>ISSUE 79</w:t>
      </w:r>
      <w:r w:rsidR="003F4F8D" w:rsidRPr="00701945">
        <w:rPr>
          <w:b/>
          <w:bCs/>
        </w:rPr>
        <w:t>:</w:t>
      </w:r>
      <w:r w:rsidR="003F4F8D" w:rsidRPr="00701945">
        <w:tab/>
      </w:r>
      <w:r w:rsidRPr="001510E6">
        <w:rPr>
          <w:b/>
        </w:rPr>
        <w:t>What are the appropriate demand charges?</w:t>
      </w:r>
    </w:p>
    <w:p w14:paraId="11BB9491" w14:textId="77777777" w:rsidR="003F4F8D" w:rsidRPr="00701945" w:rsidRDefault="003F4F8D" w:rsidP="003F4F8D">
      <w:pPr>
        <w:jc w:val="both"/>
      </w:pPr>
    </w:p>
    <w:p w14:paraId="643F40B0" w14:textId="77777777" w:rsidR="003F4F8D" w:rsidRPr="005D4B47" w:rsidRDefault="003F4F8D" w:rsidP="003F4F8D">
      <w:pPr>
        <w:ind w:left="1440" w:hanging="1440"/>
        <w:jc w:val="both"/>
      </w:pPr>
      <w:r>
        <w:rPr>
          <w:b/>
          <w:bCs/>
        </w:rPr>
        <w:t>TECO</w:t>
      </w:r>
      <w:r w:rsidRPr="005D4B47">
        <w:rPr>
          <w:b/>
          <w:bCs/>
        </w:rPr>
        <w:t>:</w:t>
      </w:r>
      <w:r w:rsidRPr="005D4B47">
        <w:tab/>
      </w:r>
      <w:r w:rsidR="001510E6" w:rsidRPr="009C6895">
        <w:t xml:space="preserve">The appropriate </w:t>
      </w:r>
      <w:r w:rsidR="001510E6">
        <w:t>demand</w:t>
      </w:r>
      <w:r w:rsidR="001510E6" w:rsidRPr="009C6895">
        <w:t xml:space="preserve"> charges </w:t>
      </w:r>
      <w:r w:rsidR="001510E6">
        <w:t xml:space="preserve">are shown </w:t>
      </w:r>
      <w:r w:rsidR="001510E6" w:rsidRPr="009C6895">
        <w:t>in MFR Schedule E-13c. (Williams)</w:t>
      </w:r>
    </w:p>
    <w:p w14:paraId="69A17AC0" w14:textId="77777777" w:rsidR="003F4F8D" w:rsidRPr="00701945" w:rsidRDefault="003F4F8D" w:rsidP="003F4F8D">
      <w:pPr>
        <w:jc w:val="both"/>
      </w:pPr>
    </w:p>
    <w:p w14:paraId="72EEF748" w14:textId="77777777" w:rsidR="003F4F8D" w:rsidRDefault="003F4F8D" w:rsidP="003F4F8D">
      <w:pPr>
        <w:ind w:left="1440" w:hanging="1440"/>
        <w:jc w:val="both"/>
      </w:pPr>
      <w:r>
        <w:rPr>
          <w:b/>
          <w:bCs/>
        </w:rPr>
        <w:t>OPC</w:t>
      </w:r>
      <w:r w:rsidRPr="00701945">
        <w:rPr>
          <w:b/>
          <w:bCs/>
        </w:rPr>
        <w:t>:</w:t>
      </w:r>
      <w:r>
        <w:tab/>
      </w:r>
      <w:r w:rsidR="00D175D0">
        <w:t>The demand charges should reflect all the adjustments recommended by OPC as approved by the Commission.</w:t>
      </w:r>
    </w:p>
    <w:p w14:paraId="549175B3" w14:textId="77777777" w:rsidR="003F4F8D" w:rsidRDefault="003F4F8D" w:rsidP="003F4F8D">
      <w:pPr>
        <w:ind w:left="1440" w:hanging="1440"/>
        <w:jc w:val="both"/>
      </w:pPr>
    </w:p>
    <w:p w14:paraId="6B5D2745" w14:textId="77777777" w:rsidR="003F4F8D" w:rsidRDefault="003F4F8D" w:rsidP="003F4F8D">
      <w:pPr>
        <w:ind w:left="1440" w:hanging="1440"/>
        <w:jc w:val="both"/>
        <w:rPr>
          <w:b/>
        </w:rPr>
      </w:pPr>
      <w:r>
        <w:rPr>
          <w:b/>
        </w:rPr>
        <w:t>FL RISING/</w:t>
      </w:r>
    </w:p>
    <w:p w14:paraId="6FB87AB3" w14:textId="77777777" w:rsidR="003F4F8D" w:rsidRDefault="003F4F8D" w:rsidP="003F4F8D">
      <w:pPr>
        <w:ind w:left="1440" w:hanging="1440"/>
        <w:jc w:val="both"/>
        <w:rPr>
          <w:b/>
        </w:rPr>
      </w:pPr>
      <w:r>
        <w:rPr>
          <w:b/>
        </w:rPr>
        <w:t>LULAC:</w:t>
      </w:r>
      <w:r>
        <w:rPr>
          <w:b/>
        </w:rPr>
        <w:tab/>
      </w:r>
      <w:r w:rsidR="009B5CD3">
        <w:t>The appropriate residential energy and demand charge should be no more than 8.59 cents/kWh for the first 1,000 kWh and no more than 9.52 cents/kWh for all additional kWh of usage</w:t>
      </w:r>
      <w:r w:rsidR="009B5CD3" w:rsidRPr="43637BDA">
        <w:t xml:space="preserve"> and reduced to reflect the </w:t>
      </w:r>
      <w:r w:rsidR="009B5CD3" w:rsidRPr="4026CF71">
        <w:t xml:space="preserve">reduced rate base </w:t>
      </w:r>
      <w:r w:rsidR="009B5CD3" w:rsidRPr="1ECB6C5D">
        <w:t xml:space="preserve">from the disallowance of </w:t>
      </w:r>
      <w:r w:rsidR="009B5CD3" w:rsidRPr="00A1F99B">
        <w:t xml:space="preserve">TECO’s proposed </w:t>
      </w:r>
      <w:r w:rsidR="009B5CD3" w:rsidRPr="61767EC1">
        <w:t xml:space="preserve">investments as reflected in other </w:t>
      </w:r>
      <w:r w:rsidR="009B5CD3" w:rsidRPr="1B57A2A1">
        <w:t>issues.</w:t>
      </w:r>
      <w:r w:rsidR="009B5CD3">
        <w:t xml:space="preserve"> (Rábago)</w:t>
      </w:r>
    </w:p>
    <w:p w14:paraId="13480FF4" w14:textId="77777777" w:rsidR="003F4F8D" w:rsidRDefault="003F4F8D" w:rsidP="003F4F8D">
      <w:pPr>
        <w:ind w:left="1440" w:hanging="1440"/>
        <w:jc w:val="both"/>
        <w:rPr>
          <w:b/>
        </w:rPr>
      </w:pPr>
    </w:p>
    <w:p w14:paraId="4E98BEE9" w14:textId="4DF8C1A3" w:rsidR="003F4F8D" w:rsidRDefault="003F4F8D" w:rsidP="003F4F8D">
      <w:pPr>
        <w:ind w:left="1440" w:hanging="1440"/>
        <w:jc w:val="both"/>
        <w:rPr>
          <w:b/>
        </w:rPr>
      </w:pPr>
      <w:r>
        <w:rPr>
          <w:b/>
        </w:rPr>
        <w:t>FIPUG:</w:t>
      </w:r>
      <w:r>
        <w:rPr>
          <w:b/>
        </w:rPr>
        <w:tab/>
      </w:r>
      <w:r w:rsidR="001B4B61">
        <w:rPr>
          <w:bCs/>
        </w:rPr>
        <w:t>No position.</w:t>
      </w:r>
    </w:p>
    <w:p w14:paraId="54E0BE1F" w14:textId="77777777" w:rsidR="003F4F8D" w:rsidRDefault="003F4F8D" w:rsidP="003F4F8D">
      <w:pPr>
        <w:ind w:left="1440" w:hanging="1440"/>
        <w:jc w:val="both"/>
        <w:rPr>
          <w:b/>
        </w:rPr>
      </w:pPr>
    </w:p>
    <w:p w14:paraId="4CEA7E0F" w14:textId="59B86387" w:rsidR="003F4F8D" w:rsidRDefault="003F4F8D" w:rsidP="003F4F8D">
      <w:pPr>
        <w:ind w:left="1440" w:hanging="1440"/>
        <w:jc w:val="both"/>
        <w:rPr>
          <w:b/>
        </w:rPr>
      </w:pPr>
      <w:r>
        <w:rPr>
          <w:b/>
        </w:rPr>
        <w:t>FEA:</w:t>
      </w:r>
      <w:r>
        <w:rPr>
          <w:b/>
        </w:rPr>
        <w:tab/>
      </w:r>
      <w:r w:rsidR="001B4B61">
        <w:t>No position.</w:t>
      </w:r>
    </w:p>
    <w:p w14:paraId="5AF2D446" w14:textId="77777777" w:rsidR="003F4F8D" w:rsidRDefault="003F4F8D" w:rsidP="003F4F8D">
      <w:pPr>
        <w:ind w:left="1440" w:hanging="1440"/>
        <w:jc w:val="both"/>
        <w:rPr>
          <w:b/>
        </w:rPr>
      </w:pPr>
    </w:p>
    <w:p w14:paraId="766801C4" w14:textId="77777777" w:rsidR="00A14A11" w:rsidRDefault="00764960" w:rsidP="003F4F8D">
      <w:pPr>
        <w:ind w:left="1440" w:hanging="1440"/>
        <w:jc w:val="both"/>
        <w:rPr>
          <w:b/>
        </w:rPr>
      </w:pPr>
      <w:r>
        <w:rPr>
          <w:b/>
        </w:rPr>
        <w:t xml:space="preserve">SIERRA </w:t>
      </w:r>
    </w:p>
    <w:p w14:paraId="30C65E91" w14:textId="43A8EBD7" w:rsidR="003F4F8D" w:rsidRDefault="00764960" w:rsidP="003F4F8D">
      <w:pPr>
        <w:ind w:left="1440" w:hanging="1440"/>
        <w:jc w:val="both"/>
        <w:rPr>
          <w:b/>
        </w:rPr>
      </w:pPr>
      <w:r>
        <w:rPr>
          <w:b/>
        </w:rPr>
        <w:t>CLUB</w:t>
      </w:r>
      <w:r w:rsidR="003F4F8D">
        <w:rPr>
          <w:b/>
        </w:rPr>
        <w:t>:</w:t>
      </w:r>
      <w:r w:rsidR="003F4F8D">
        <w:rPr>
          <w:b/>
        </w:rPr>
        <w:tab/>
      </w:r>
      <w:r w:rsidR="004E2E52">
        <w:t xml:space="preserve">For each of the Issues in this category, </w:t>
      </w:r>
      <w:r w:rsidR="004E2E52" w:rsidRPr="001E3193">
        <w:t xml:space="preserve">Sierra Club has no position </w:t>
      </w:r>
      <w:r w:rsidR="004E2E52">
        <w:t>beyond generally supporting intervenor proposals to reduce energy burdens for residential customers</w:t>
      </w:r>
      <w:r w:rsidR="00516FCE" w:rsidRPr="001E3193">
        <w:t>.</w:t>
      </w:r>
    </w:p>
    <w:p w14:paraId="4526B20C" w14:textId="77777777" w:rsidR="003F4F8D" w:rsidRDefault="003F4F8D" w:rsidP="003F4F8D">
      <w:pPr>
        <w:ind w:left="1440" w:hanging="1440"/>
        <w:jc w:val="both"/>
        <w:rPr>
          <w:b/>
        </w:rPr>
      </w:pPr>
    </w:p>
    <w:p w14:paraId="78895A3C" w14:textId="77777777" w:rsidR="003F4F8D" w:rsidRDefault="003F4F8D" w:rsidP="003F4F8D">
      <w:pPr>
        <w:ind w:left="1440" w:hanging="1440"/>
        <w:jc w:val="both"/>
        <w:rPr>
          <w:b/>
        </w:rPr>
      </w:pPr>
      <w:r>
        <w:rPr>
          <w:b/>
        </w:rPr>
        <w:t>FRF:</w:t>
      </w:r>
      <w:r>
        <w:rPr>
          <w:b/>
        </w:rPr>
        <w:tab/>
      </w:r>
      <w:r w:rsidR="00E76E94">
        <w:t>The FRF does not oppose TECO’s proposed cost of service study or its proposed revenue allocation methodology.</w:t>
      </w:r>
    </w:p>
    <w:p w14:paraId="4857B4DF" w14:textId="2910C79A" w:rsidR="003F4F8D" w:rsidRDefault="003F4F8D" w:rsidP="003F4F8D">
      <w:pPr>
        <w:ind w:left="1440" w:hanging="1440"/>
        <w:jc w:val="both"/>
        <w:rPr>
          <w:b/>
        </w:rPr>
      </w:pPr>
    </w:p>
    <w:p w14:paraId="6ACC4ED0" w14:textId="77777777" w:rsidR="00A14A11" w:rsidRDefault="00C0182D" w:rsidP="003F4F8D">
      <w:pPr>
        <w:ind w:left="1440" w:hanging="1440"/>
        <w:jc w:val="both"/>
        <w:rPr>
          <w:b/>
        </w:rPr>
      </w:pPr>
      <w:r>
        <w:rPr>
          <w:b/>
        </w:rPr>
        <w:t xml:space="preserve">FUEL </w:t>
      </w:r>
    </w:p>
    <w:p w14:paraId="67C29943" w14:textId="78B0C12C" w:rsidR="003F4F8D" w:rsidRDefault="00C0182D" w:rsidP="003F4F8D">
      <w:pPr>
        <w:ind w:left="1440" w:hanging="1440"/>
        <w:jc w:val="both"/>
      </w:pPr>
      <w:r>
        <w:rPr>
          <w:b/>
        </w:rPr>
        <w:t>RETAILERS</w:t>
      </w:r>
      <w:r w:rsidR="003F4F8D">
        <w:rPr>
          <w:b/>
        </w:rPr>
        <w:t>:</w:t>
      </w:r>
      <w:r w:rsidR="00A14A11">
        <w:rPr>
          <w:b/>
        </w:rPr>
        <w:t xml:space="preserve"> </w:t>
      </w:r>
      <w:r w:rsidR="009E6879">
        <w:t xml:space="preserve">In general, no objection to the proposed charges. </w:t>
      </w:r>
      <w:r w:rsidR="004C41A7">
        <w:t xml:space="preserve">However, TECO </w:t>
      </w:r>
      <w:r w:rsidR="009E6879">
        <w:t>should propose a reasonable demand charge that would facilitate the deployment of EV fast charging stations by third parties such as the Fuel Retailers such as Duke is considering.</w:t>
      </w:r>
    </w:p>
    <w:p w14:paraId="2F7E9FC5" w14:textId="77777777" w:rsidR="005A6478" w:rsidRDefault="005A6478" w:rsidP="003F4F8D">
      <w:pPr>
        <w:ind w:left="1440" w:hanging="1440"/>
        <w:jc w:val="both"/>
      </w:pPr>
    </w:p>
    <w:p w14:paraId="27C408C8" w14:textId="11E0A4ED" w:rsidR="005A6478" w:rsidRPr="005A6478" w:rsidRDefault="00FD408B" w:rsidP="003F4F8D">
      <w:pPr>
        <w:ind w:left="1440" w:hanging="1440"/>
        <w:jc w:val="both"/>
        <w:rPr>
          <w:b/>
        </w:rPr>
      </w:pPr>
      <w:r>
        <w:rPr>
          <w:b/>
        </w:rPr>
        <w:t>WALMART</w:t>
      </w:r>
      <w:r w:rsidR="005A6478">
        <w:rPr>
          <w:b/>
        </w:rPr>
        <w:t>:</w:t>
      </w:r>
      <w:r w:rsidR="005A6478" w:rsidRPr="002949B3">
        <w:tab/>
      </w:r>
      <w:r w:rsidR="002949B3" w:rsidRPr="002949B3">
        <w:t>A</w:t>
      </w:r>
      <w:r w:rsidR="005A6478">
        <w:t>dopts the position of FRF.</w:t>
      </w:r>
    </w:p>
    <w:p w14:paraId="2691ADAF" w14:textId="77777777" w:rsidR="003F4F8D" w:rsidRPr="00701945" w:rsidRDefault="003F4F8D" w:rsidP="003F4F8D">
      <w:pPr>
        <w:jc w:val="both"/>
      </w:pPr>
    </w:p>
    <w:p w14:paraId="3DC0E1EC" w14:textId="77777777" w:rsidR="003F4F8D" w:rsidRPr="005D4B47" w:rsidRDefault="003F4F8D" w:rsidP="003F4F8D">
      <w:pPr>
        <w:ind w:left="1440" w:hanging="1440"/>
        <w:jc w:val="both"/>
        <w:rPr>
          <w:b/>
          <w:bCs/>
        </w:rPr>
      </w:pPr>
      <w:r>
        <w:rPr>
          <w:b/>
          <w:bCs/>
        </w:rPr>
        <w:t>STAFF:</w:t>
      </w:r>
      <w:r>
        <w:rPr>
          <w:b/>
          <w:bCs/>
        </w:rPr>
        <w:tab/>
      </w:r>
      <w:r w:rsidR="00AC7E54">
        <w:t>No position at this time.</w:t>
      </w:r>
    </w:p>
    <w:p w14:paraId="2BA80249" w14:textId="77777777" w:rsidR="003F4F8D" w:rsidRDefault="003F4F8D" w:rsidP="00C7699A">
      <w:pPr>
        <w:jc w:val="both"/>
      </w:pPr>
    </w:p>
    <w:p w14:paraId="676C8568" w14:textId="77777777" w:rsidR="003F4F8D" w:rsidRDefault="003F4F8D" w:rsidP="00C7699A">
      <w:pPr>
        <w:jc w:val="both"/>
      </w:pPr>
    </w:p>
    <w:p w14:paraId="4946CD48" w14:textId="77777777" w:rsidR="003F4F8D" w:rsidRPr="001510E6" w:rsidRDefault="001510E6" w:rsidP="003F4F8D">
      <w:pPr>
        <w:ind w:left="1440" w:hanging="1440"/>
        <w:jc w:val="both"/>
        <w:rPr>
          <w:b/>
        </w:rPr>
      </w:pPr>
      <w:r>
        <w:rPr>
          <w:b/>
          <w:bCs/>
        </w:rPr>
        <w:t>ISSUE 80</w:t>
      </w:r>
      <w:r w:rsidR="003F4F8D" w:rsidRPr="00701945">
        <w:rPr>
          <w:b/>
          <w:bCs/>
        </w:rPr>
        <w:t>:</w:t>
      </w:r>
      <w:r w:rsidR="003F4F8D" w:rsidRPr="00701945">
        <w:tab/>
      </w:r>
      <w:r w:rsidRPr="001510E6">
        <w:rPr>
          <w:b/>
        </w:rPr>
        <w:t>What are the appropriate energy charges?</w:t>
      </w:r>
    </w:p>
    <w:p w14:paraId="3C3E2F94" w14:textId="77777777" w:rsidR="003F4F8D" w:rsidRPr="00701945" w:rsidRDefault="003F4F8D" w:rsidP="003F4F8D">
      <w:pPr>
        <w:jc w:val="both"/>
      </w:pPr>
    </w:p>
    <w:p w14:paraId="38B4143D" w14:textId="77777777" w:rsidR="003F4F8D" w:rsidRPr="005D4B47" w:rsidRDefault="003F4F8D" w:rsidP="003F4F8D">
      <w:pPr>
        <w:ind w:left="1440" w:hanging="1440"/>
        <w:jc w:val="both"/>
      </w:pPr>
      <w:r>
        <w:rPr>
          <w:b/>
          <w:bCs/>
        </w:rPr>
        <w:t>TECO</w:t>
      </w:r>
      <w:r w:rsidRPr="005D4B47">
        <w:rPr>
          <w:b/>
          <w:bCs/>
        </w:rPr>
        <w:t>:</w:t>
      </w:r>
      <w:r w:rsidRPr="005D4B47">
        <w:tab/>
      </w:r>
      <w:r w:rsidR="001510E6" w:rsidRPr="009C6895">
        <w:t xml:space="preserve">The appropriate </w:t>
      </w:r>
      <w:r w:rsidR="001510E6">
        <w:t xml:space="preserve">energy </w:t>
      </w:r>
      <w:r w:rsidR="001510E6" w:rsidRPr="009C6895">
        <w:t xml:space="preserve">charges </w:t>
      </w:r>
      <w:r w:rsidR="001510E6">
        <w:t xml:space="preserve">are shown in </w:t>
      </w:r>
      <w:r w:rsidR="001510E6" w:rsidRPr="009C6895">
        <w:t>MFR Schedule E-13c. (Williams)</w:t>
      </w:r>
    </w:p>
    <w:p w14:paraId="1625B6DF" w14:textId="77777777" w:rsidR="003F4F8D" w:rsidRDefault="003F4F8D" w:rsidP="003F4F8D">
      <w:pPr>
        <w:ind w:left="1440" w:hanging="1440"/>
        <w:jc w:val="both"/>
      </w:pPr>
      <w:r>
        <w:rPr>
          <w:b/>
          <w:bCs/>
        </w:rPr>
        <w:lastRenderedPageBreak/>
        <w:t>OPC</w:t>
      </w:r>
      <w:r w:rsidRPr="00701945">
        <w:rPr>
          <w:b/>
          <w:bCs/>
        </w:rPr>
        <w:t>:</w:t>
      </w:r>
      <w:r>
        <w:tab/>
      </w:r>
      <w:r w:rsidR="00D175D0">
        <w:t>The energy charges should reflect all the adjustments recommended by OPC as approved by the Commission.</w:t>
      </w:r>
    </w:p>
    <w:p w14:paraId="3FE53765" w14:textId="77777777" w:rsidR="003F4F8D" w:rsidRDefault="003F4F8D" w:rsidP="003F4F8D">
      <w:pPr>
        <w:ind w:left="1440" w:hanging="1440"/>
        <w:jc w:val="both"/>
      </w:pPr>
    </w:p>
    <w:p w14:paraId="578AE1E0" w14:textId="77777777" w:rsidR="003F4F8D" w:rsidRDefault="003F4F8D" w:rsidP="003F4F8D">
      <w:pPr>
        <w:ind w:left="1440" w:hanging="1440"/>
        <w:jc w:val="both"/>
        <w:rPr>
          <w:b/>
        </w:rPr>
      </w:pPr>
      <w:r>
        <w:rPr>
          <w:b/>
        </w:rPr>
        <w:t>FL RISING/</w:t>
      </w:r>
    </w:p>
    <w:p w14:paraId="06083375" w14:textId="77777777" w:rsidR="003F4F8D" w:rsidRDefault="003F4F8D" w:rsidP="003F4F8D">
      <w:pPr>
        <w:ind w:left="1440" w:hanging="1440"/>
        <w:jc w:val="both"/>
        <w:rPr>
          <w:b/>
        </w:rPr>
      </w:pPr>
      <w:r>
        <w:rPr>
          <w:b/>
        </w:rPr>
        <w:t>LULAC:</w:t>
      </w:r>
      <w:r>
        <w:rPr>
          <w:b/>
        </w:rPr>
        <w:tab/>
      </w:r>
      <w:r w:rsidR="009B5CD3">
        <w:t xml:space="preserve">The appropriate residential energy and demand charge should be no more than 8.59 cents/kWh for the first 1,000 kWh and no more than 9.52 cents/kWh for all additional kWh of usage </w:t>
      </w:r>
      <w:r w:rsidR="009B5CD3" w:rsidRPr="6702D329">
        <w:t>and reduced to reflect the reduced rate base from the disallowance of TECO’s proposed investments as reflected in other issues. (Rábago)</w:t>
      </w:r>
    </w:p>
    <w:p w14:paraId="03AAC442" w14:textId="77777777" w:rsidR="003F4F8D" w:rsidRDefault="003F4F8D" w:rsidP="003F4F8D">
      <w:pPr>
        <w:ind w:left="1440" w:hanging="1440"/>
        <w:jc w:val="both"/>
        <w:rPr>
          <w:b/>
        </w:rPr>
      </w:pPr>
    </w:p>
    <w:p w14:paraId="4937C6A8" w14:textId="5C5D4E98" w:rsidR="003F4F8D" w:rsidRDefault="003F4F8D" w:rsidP="003F4F8D">
      <w:pPr>
        <w:ind w:left="1440" w:hanging="1440"/>
        <w:jc w:val="both"/>
        <w:rPr>
          <w:b/>
        </w:rPr>
      </w:pPr>
      <w:r>
        <w:rPr>
          <w:b/>
        </w:rPr>
        <w:t>FIPUG:</w:t>
      </w:r>
      <w:r>
        <w:rPr>
          <w:b/>
        </w:rPr>
        <w:tab/>
      </w:r>
      <w:r w:rsidR="00ED35E7">
        <w:rPr>
          <w:bCs/>
        </w:rPr>
        <w:t>No position.</w:t>
      </w:r>
    </w:p>
    <w:p w14:paraId="7BCCFB16" w14:textId="77777777" w:rsidR="003F4F8D" w:rsidRDefault="003F4F8D" w:rsidP="003F4F8D">
      <w:pPr>
        <w:ind w:left="1440" w:hanging="1440"/>
        <w:jc w:val="both"/>
        <w:rPr>
          <w:b/>
        </w:rPr>
      </w:pPr>
    </w:p>
    <w:p w14:paraId="01C975F4" w14:textId="2D0ACAAA" w:rsidR="003F4F8D" w:rsidRDefault="003F4F8D" w:rsidP="003F4F8D">
      <w:pPr>
        <w:ind w:left="1440" w:hanging="1440"/>
        <w:jc w:val="both"/>
        <w:rPr>
          <w:b/>
        </w:rPr>
      </w:pPr>
      <w:r>
        <w:rPr>
          <w:b/>
        </w:rPr>
        <w:t>FEA:</w:t>
      </w:r>
      <w:r>
        <w:rPr>
          <w:b/>
        </w:rPr>
        <w:tab/>
      </w:r>
      <w:r w:rsidR="00ED35E7">
        <w:t>No position.</w:t>
      </w:r>
    </w:p>
    <w:p w14:paraId="28BEC7F7" w14:textId="77777777" w:rsidR="003F4F8D" w:rsidRDefault="003F4F8D" w:rsidP="003F4F8D">
      <w:pPr>
        <w:ind w:left="1440" w:hanging="1440"/>
        <w:jc w:val="both"/>
        <w:rPr>
          <w:b/>
        </w:rPr>
      </w:pPr>
    </w:p>
    <w:p w14:paraId="48188B2A" w14:textId="77777777" w:rsidR="00A14A11" w:rsidRDefault="00764960" w:rsidP="003F4F8D">
      <w:pPr>
        <w:ind w:left="1440" w:hanging="1440"/>
        <w:jc w:val="both"/>
        <w:rPr>
          <w:b/>
        </w:rPr>
      </w:pPr>
      <w:r>
        <w:rPr>
          <w:b/>
        </w:rPr>
        <w:t xml:space="preserve">SIERRA </w:t>
      </w:r>
    </w:p>
    <w:p w14:paraId="3A0A1CA9" w14:textId="0BEE5FC5" w:rsidR="003F4F8D" w:rsidRDefault="00764960" w:rsidP="003F4F8D">
      <w:pPr>
        <w:ind w:left="1440" w:hanging="1440"/>
        <w:jc w:val="both"/>
        <w:rPr>
          <w:b/>
        </w:rPr>
      </w:pPr>
      <w:r>
        <w:rPr>
          <w:b/>
        </w:rPr>
        <w:t>CLUB</w:t>
      </w:r>
      <w:r w:rsidR="003F4F8D">
        <w:rPr>
          <w:b/>
        </w:rPr>
        <w:t>:</w:t>
      </w:r>
      <w:r w:rsidR="003F4F8D">
        <w:rPr>
          <w:b/>
        </w:rPr>
        <w:tab/>
      </w:r>
      <w:r w:rsidR="00EF09E1">
        <w:t xml:space="preserve">For each of the Issues in this category, </w:t>
      </w:r>
      <w:r w:rsidR="00EF09E1" w:rsidRPr="001E3193">
        <w:t xml:space="preserve">Sierra Club has no position </w:t>
      </w:r>
      <w:r w:rsidR="00EF09E1">
        <w:t>beyond generally supporting intervenor proposals to reduce energy burdens for residential customers.</w:t>
      </w:r>
    </w:p>
    <w:p w14:paraId="30FA4647" w14:textId="77777777" w:rsidR="003F4F8D" w:rsidRDefault="003F4F8D" w:rsidP="003F4F8D">
      <w:pPr>
        <w:ind w:left="1440" w:hanging="1440"/>
        <w:jc w:val="both"/>
        <w:rPr>
          <w:b/>
        </w:rPr>
      </w:pPr>
    </w:p>
    <w:p w14:paraId="0C66E531" w14:textId="77777777" w:rsidR="003F4F8D" w:rsidRDefault="003F4F8D" w:rsidP="003F4F8D">
      <w:pPr>
        <w:ind w:left="1440" w:hanging="1440"/>
        <w:jc w:val="both"/>
        <w:rPr>
          <w:b/>
        </w:rPr>
      </w:pPr>
      <w:r>
        <w:rPr>
          <w:b/>
        </w:rPr>
        <w:t>FRF:</w:t>
      </w:r>
      <w:r>
        <w:rPr>
          <w:b/>
        </w:rPr>
        <w:tab/>
      </w:r>
      <w:r w:rsidR="00E76E94">
        <w:t>The FRF does not oppose TECO’s proposed cost of service study or its proposed revenue allocation methodology.</w:t>
      </w:r>
    </w:p>
    <w:p w14:paraId="627342A5" w14:textId="77777777" w:rsidR="003F4F8D" w:rsidRDefault="003F4F8D" w:rsidP="003F4F8D">
      <w:pPr>
        <w:ind w:left="1440" w:hanging="1440"/>
        <w:jc w:val="both"/>
        <w:rPr>
          <w:b/>
        </w:rPr>
      </w:pPr>
    </w:p>
    <w:p w14:paraId="056D6E18" w14:textId="77777777" w:rsidR="00A14A11" w:rsidRDefault="00C0182D" w:rsidP="003F4F8D">
      <w:pPr>
        <w:ind w:left="1440" w:hanging="1440"/>
        <w:jc w:val="both"/>
        <w:rPr>
          <w:b/>
        </w:rPr>
      </w:pPr>
      <w:r>
        <w:rPr>
          <w:b/>
        </w:rPr>
        <w:t xml:space="preserve">FUEL </w:t>
      </w:r>
    </w:p>
    <w:p w14:paraId="7AD09678" w14:textId="08AF41E6" w:rsidR="003F4F8D" w:rsidRDefault="00C0182D" w:rsidP="003F4F8D">
      <w:pPr>
        <w:ind w:left="1440" w:hanging="1440"/>
        <w:jc w:val="both"/>
      </w:pPr>
      <w:r>
        <w:rPr>
          <w:b/>
        </w:rPr>
        <w:t>RETAILERS</w:t>
      </w:r>
      <w:r w:rsidR="003F4F8D">
        <w:rPr>
          <w:b/>
        </w:rPr>
        <w:t>:</w:t>
      </w:r>
      <w:r w:rsidR="00A14A11">
        <w:rPr>
          <w:b/>
        </w:rPr>
        <w:t xml:space="preserve"> </w:t>
      </w:r>
      <w:r w:rsidR="009E6879" w:rsidRPr="00132664">
        <w:t xml:space="preserve">No </w:t>
      </w:r>
      <w:r w:rsidR="00FB5207">
        <w:t>p</w:t>
      </w:r>
      <w:r w:rsidR="009E6879" w:rsidRPr="00132664">
        <w:t>osition.</w:t>
      </w:r>
    </w:p>
    <w:p w14:paraId="2F297454" w14:textId="77777777" w:rsidR="005A6478" w:rsidRDefault="005A6478" w:rsidP="003F4F8D">
      <w:pPr>
        <w:ind w:left="1440" w:hanging="1440"/>
        <w:jc w:val="both"/>
      </w:pPr>
    </w:p>
    <w:p w14:paraId="6460825F" w14:textId="1378AE80" w:rsidR="005A6478" w:rsidRPr="005A6478" w:rsidRDefault="00FD408B" w:rsidP="003F4F8D">
      <w:pPr>
        <w:ind w:left="1440" w:hanging="1440"/>
        <w:jc w:val="both"/>
        <w:rPr>
          <w:b/>
        </w:rPr>
      </w:pPr>
      <w:r>
        <w:rPr>
          <w:b/>
        </w:rPr>
        <w:t>WALMART</w:t>
      </w:r>
      <w:r w:rsidR="005A6478">
        <w:rPr>
          <w:b/>
        </w:rPr>
        <w:t>:</w:t>
      </w:r>
      <w:r w:rsidR="005A6478">
        <w:rPr>
          <w:b/>
        </w:rPr>
        <w:tab/>
      </w:r>
      <w:r w:rsidR="00FB5207">
        <w:t>A</w:t>
      </w:r>
      <w:r w:rsidR="005A6478">
        <w:t>dopts the position of FRF.</w:t>
      </w:r>
    </w:p>
    <w:p w14:paraId="657657C4" w14:textId="77777777" w:rsidR="003F4F8D" w:rsidRPr="00701945" w:rsidRDefault="003F4F8D" w:rsidP="003F4F8D">
      <w:pPr>
        <w:jc w:val="both"/>
      </w:pPr>
    </w:p>
    <w:p w14:paraId="0811F191" w14:textId="77777777" w:rsidR="003F4F8D" w:rsidRPr="005D4B47" w:rsidRDefault="003F4F8D" w:rsidP="003F4F8D">
      <w:pPr>
        <w:ind w:left="1440" w:hanging="1440"/>
        <w:jc w:val="both"/>
        <w:rPr>
          <w:b/>
          <w:bCs/>
        </w:rPr>
      </w:pPr>
      <w:r>
        <w:rPr>
          <w:b/>
          <w:bCs/>
        </w:rPr>
        <w:t>STAFF:</w:t>
      </w:r>
      <w:r>
        <w:rPr>
          <w:b/>
          <w:bCs/>
        </w:rPr>
        <w:tab/>
      </w:r>
      <w:r w:rsidR="00AC7E54">
        <w:t>No position at this time.</w:t>
      </w:r>
    </w:p>
    <w:p w14:paraId="336D08B7" w14:textId="77777777" w:rsidR="003F4F8D" w:rsidRDefault="003F4F8D" w:rsidP="00C7699A">
      <w:pPr>
        <w:jc w:val="both"/>
      </w:pPr>
    </w:p>
    <w:p w14:paraId="78F4216E" w14:textId="77777777" w:rsidR="003F4F8D" w:rsidRDefault="003F4F8D" w:rsidP="00C7699A">
      <w:pPr>
        <w:jc w:val="both"/>
      </w:pPr>
    </w:p>
    <w:p w14:paraId="48B367B4" w14:textId="77777777" w:rsidR="003F4F8D" w:rsidRPr="001510E6" w:rsidRDefault="001510E6" w:rsidP="003F4F8D">
      <w:pPr>
        <w:ind w:left="1440" w:hanging="1440"/>
        <w:jc w:val="both"/>
        <w:rPr>
          <w:b/>
        </w:rPr>
      </w:pPr>
      <w:r>
        <w:rPr>
          <w:b/>
          <w:bCs/>
        </w:rPr>
        <w:t>ISSUE 81</w:t>
      </w:r>
      <w:r w:rsidR="003F4F8D" w:rsidRPr="00701945">
        <w:rPr>
          <w:b/>
          <w:bCs/>
        </w:rPr>
        <w:t>:</w:t>
      </w:r>
      <w:r w:rsidR="003F4F8D" w:rsidRPr="00701945">
        <w:tab/>
      </w:r>
      <w:r w:rsidRPr="001510E6">
        <w:rPr>
          <w:b/>
        </w:rPr>
        <w:t>What are the appropriate Lighting Service rate schedule charges?</w:t>
      </w:r>
    </w:p>
    <w:p w14:paraId="259E5037" w14:textId="77777777" w:rsidR="003F4F8D" w:rsidRPr="00701945" w:rsidRDefault="003F4F8D" w:rsidP="003F4F8D">
      <w:pPr>
        <w:jc w:val="both"/>
      </w:pPr>
    </w:p>
    <w:p w14:paraId="45781011" w14:textId="77777777" w:rsidR="003F4F8D" w:rsidRPr="005D4B47" w:rsidRDefault="003F4F8D" w:rsidP="003F4F8D">
      <w:pPr>
        <w:ind w:left="1440" w:hanging="1440"/>
        <w:jc w:val="both"/>
      </w:pPr>
      <w:r>
        <w:rPr>
          <w:b/>
          <w:bCs/>
        </w:rPr>
        <w:t>TECO</w:t>
      </w:r>
      <w:r w:rsidRPr="005D4B47">
        <w:rPr>
          <w:b/>
          <w:bCs/>
        </w:rPr>
        <w:t>:</w:t>
      </w:r>
      <w:r w:rsidRPr="005D4B47">
        <w:tab/>
      </w:r>
      <w:r w:rsidR="001510E6" w:rsidRPr="009C6895">
        <w:t xml:space="preserve">The appropriate </w:t>
      </w:r>
      <w:r w:rsidR="001510E6">
        <w:t>Lighting Service</w:t>
      </w:r>
      <w:r w:rsidR="001510E6" w:rsidRPr="009C6895">
        <w:t xml:space="preserve"> charges </w:t>
      </w:r>
      <w:r w:rsidR="001510E6">
        <w:t xml:space="preserve">are shown in </w:t>
      </w:r>
      <w:r w:rsidR="001510E6" w:rsidRPr="009C6895">
        <w:t>MFR Schedule E-13c</w:t>
      </w:r>
      <w:r w:rsidR="001510E6">
        <w:t xml:space="preserve"> and E-13d</w:t>
      </w:r>
      <w:r w:rsidR="001510E6" w:rsidRPr="009C6895">
        <w:t>. (Williams)</w:t>
      </w:r>
    </w:p>
    <w:p w14:paraId="2A0D3DF5" w14:textId="77777777" w:rsidR="003F4F8D" w:rsidRPr="00701945" w:rsidRDefault="003F4F8D" w:rsidP="003F4F8D">
      <w:pPr>
        <w:jc w:val="both"/>
      </w:pPr>
    </w:p>
    <w:p w14:paraId="590EBB6A" w14:textId="77777777" w:rsidR="003F4F8D" w:rsidRDefault="003F4F8D" w:rsidP="003F4F8D">
      <w:pPr>
        <w:ind w:left="1440" w:hanging="1440"/>
        <w:jc w:val="both"/>
      </w:pPr>
      <w:r>
        <w:rPr>
          <w:b/>
          <w:bCs/>
        </w:rPr>
        <w:t>OPC</w:t>
      </w:r>
      <w:r w:rsidRPr="00701945">
        <w:rPr>
          <w:b/>
          <w:bCs/>
        </w:rPr>
        <w:t>:</w:t>
      </w:r>
      <w:r>
        <w:tab/>
      </w:r>
      <w:r w:rsidR="00D175D0">
        <w:t>No position.</w:t>
      </w:r>
    </w:p>
    <w:p w14:paraId="2538C26D" w14:textId="77777777" w:rsidR="001A3F29" w:rsidRDefault="001A3F29" w:rsidP="003F4F8D">
      <w:pPr>
        <w:ind w:left="1440" w:hanging="1440"/>
        <w:jc w:val="both"/>
      </w:pPr>
    </w:p>
    <w:p w14:paraId="0D879F2D" w14:textId="77777777" w:rsidR="003F4F8D" w:rsidRDefault="003F4F8D" w:rsidP="003F4F8D">
      <w:pPr>
        <w:ind w:left="1440" w:hanging="1440"/>
        <w:jc w:val="both"/>
        <w:rPr>
          <w:b/>
        </w:rPr>
      </w:pPr>
      <w:r>
        <w:rPr>
          <w:b/>
        </w:rPr>
        <w:t>FL RISING/</w:t>
      </w:r>
    </w:p>
    <w:p w14:paraId="26F23114" w14:textId="77777777" w:rsidR="003F4F8D" w:rsidRDefault="003F4F8D" w:rsidP="003F4F8D">
      <w:pPr>
        <w:ind w:left="1440" w:hanging="1440"/>
        <w:jc w:val="both"/>
        <w:rPr>
          <w:b/>
        </w:rPr>
      </w:pPr>
      <w:r>
        <w:rPr>
          <w:b/>
        </w:rPr>
        <w:t>LULAC:</w:t>
      </w:r>
      <w:r>
        <w:rPr>
          <w:b/>
        </w:rPr>
        <w:tab/>
      </w:r>
      <w:r w:rsidR="009B5CD3" w:rsidRPr="171BBB95">
        <w:t>No position</w:t>
      </w:r>
      <w:r w:rsidR="009B5CD3" w:rsidRPr="3DAB1E80">
        <w:t>.</w:t>
      </w:r>
    </w:p>
    <w:p w14:paraId="34519ACB" w14:textId="77777777" w:rsidR="003F4F8D" w:rsidRDefault="003F4F8D" w:rsidP="003F4F8D">
      <w:pPr>
        <w:ind w:left="1440" w:hanging="1440"/>
        <w:jc w:val="both"/>
        <w:rPr>
          <w:b/>
        </w:rPr>
      </w:pPr>
    </w:p>
    <w:p w14:paraId="39AC1F02" w14:textId="1BDBD770" w:rsidR="003F4F8D" w:rsidRDefault="003F4F8D" w:rsidP="003F4F8D">
      <w:pPr>
        <w:ind w:left="1440" w:hanging="1440"/>
        <w:jc w:val="both"/>
        <w:rPr>
          <w:b/>
        </w:rPr>
      </w:pPr>
      <w:r>
        <w:rPr>
          <w:b/>
        </w:rPr>
        <w:t>FIPUG:</w:t>
      </w:r>
      <w:r>
        <w:rPr>
          <w:b/>
        </w:rPr>
        <w:tab/>
      </w:r>
      <w:r w:rsidR="00C63EB8" w:rsidRPr="00F5435C">
        <w:rPr>
          <w:bCs/>
        </w:rPr>
        <w:t>No position.</w:t>
      </w:r>
    </w:p>
    <w:p w14:paraId="1B2E7196" w14:textId="77777777" w:rsidR="003F4F8D" w:rsidRDefault="003F4F8D" w:rsidP="003F4F8D">
      <w:pPr>
        <w:ind w:left="1440" w:hanging="1440"/>
        <w:jc w:val="both"/>
        <w:rPr>
          <w:b/>
        </w:rPr>
      </w:pPr>
    </w:p>
    <w:p w14:paraId="5FC84382" w14:textId="7D801EB1" w:rsidR="003F4F8D" w:rsidRDefault="003F4F8D" w:rsidP="003F4F8D">
      <w:pPr>
        <w:ind w:left="1440" w:hanging="1440"/>
        <w:jc w:val="both"/>
        <w:rPr>
          <w:b/>
        </w:rPr>
      </w:pPr>
      <w:r>
        <w:rPr>
          <w:b/>
        </w:rPr>
        <w:t>FEA:</w:t>
      </w:r>
      <w:r>
        <w:rPr>
          <w:b/>
        </w:rPr>
        <w:tab/>
      </w:r>
      <w:r w:rsidR="00A6122E">
        <w:t>No position.</w:t>
      </w:r>
    </w:p>
    <w:p w14:paraId="20D2BF06" w14:textId="02C3664E" w:rsidR="003F4F8D" w:rsidRDefault="003F4F8D" w:rsidP="003F4F8D">
      <w:pPr>
        <w:ind w:left="1440" w:hanging="1440"/>
        <w:jc w:val="both"/>
        <w:rPr>
          <w:b/>
        </w:rPr>
      </w:pPr>
    </w:p>
    <w:p w14:paraId="1D386441" w14:textId="77777777" w:rsidR="00C87302" w:rsidRDefault="00C87302" w:rsidP="003F4F8D">
      <w:pPr>
        <w:ind w:left="1440" w:hanging="1440"/>
        <w:jc w:val="both"/>
        <w:rPr>
          <w:b/>
        </w:rPr>
      </w:pPr>
    </w:p>
    <w:p w14:paraId="733949EB" w14:textId="77777777" w:rsidR="00A14A11" w:rsidRDefault="00764960" w:rsidP="003F4F8D">
      <w:pPr>
        <w:ind w:left="1440" w:hanging="1440"/>
        <w:jc w:val="both"/>
        <w:rPr>
          <w:b/>
        </w:rPr>
      </w:pPr>
      <w:r>
        <w:rPr>
          <w:b/>
        </w:rPr>
        <w:lastRenderedPageBreak/>
        <w:t xml:space="preserve">SIERRA </w:t>
      </w:r>
    </w:p>
    <w:p w14:paraId="4FF71921" w14:textId="16C990BF" w:rsidR="003F4F8D" w:rsidRDefault="00764960" w:rsidP="003F4F8D">
      <w:pPr>
        <w:ind w:left="1440" w:hanging="1440"/>
        <w:jc w:val="both"/>
        <w:rPr>
          <w:b/>
        </w:rPr>
      </w:pPr>
      <w:r>
        <w:rPr>
          <w:b/>
        </w:rPr>
        <w:t>CLUB</w:t>
      </w:r>
      <w:r w:rsidR="003F4F8D">
        <w:rPr>
          <w:b/>
        </w:rPr>
        <w:t>:</w:t>
      </w:r>
      <w:r w:rsidR="003F4F8D">
        <w:rPr>
          <w:b/>
        </w:rPr>
        <w:tab/>
      </w:r>
      <w:r w:rsidR="00A6122E">
        <w:t xml:space="preserve">For each of the Issues in this category, </w:t>
      </w:r>
      <w:r w:rsidR="00A6122E" w:rsidRPr="001E3193">
        <w:t xml:space="preserve">Sierra Club has no position </w:t>
      </w:r>
      <w:r w:rsidR="00A6122E">
        <w:t>beyond generally supporting intervenor proposals to reduce energy burdens for residential customers</w:t>
      </w:r>
      <w:r w:rsidR="00516FCE" w:rsidRPr="001E3193">
        <w:t>.</w:t>
      </w:r>
    </w:p>
    <w:p w14:paraId="558BD98F" w14:textId="77777777" w:rsidR="003F4F8D" w:rsidRDefault="003F4F8D" w:rsidP="003F4F8D">
      <w:pPr>
        <w:ind w:left="1440" w:hanging="1440"/>
        <w:jc w:val="both"/>
        <w:rPr>
          <w:b/>
        </w:rPr>
      </w:pPr>
    </w:p>
    <w:p w14:paraId="7126233B" w14:textId="77777777" w:rsidR="003F4F8D" w:rsidRDefault="003F4F8D" w:rsidP="003F4F8D">
      <w:pPr>
        <w:ind w:left="1440" w:hanging="1440"/>
        <w:jc w:val="both"/>
        <w:rPr>
          <w:b/>
        </w:rPr>
      </w:pPr>
      <w:r>
        <w:rPr>
          <w:b/>
        </w:rPr>
        <w:t>FRF:</w:t>
      </w:r>
      <w:r>
        <w:rPr>
          <w:b/>
        </w:rPr>
        <w:tab/>
      </w:r>
      <w:r w:rsidR="00E76E94">
        <w:t>The FRF does not oppose TECO’s proposed cost of service study or its proposed revenue allocation methodology.</w:t>
      </w:r>
    </w:p>
    <w:p w14:paraId="5F2277EE" w14:textId="77777777" w:rsidR="003F4F8D" w:rsidRDefault="003F4F8D" w:rsidP="003F4F8D">
      <w:pPr>
        <w:ind w:left="1440" w:hanging="1440"/>
        <w:jc w:val="both"/>
        <w:rPr>
          <w:b/>
        </w:rPr>
      </w:pPr>
    </w:p>
    <w:p w14:paraId="33646C7B" w14:textId="77777777" w:rsidR="00A14A11" w:rsidRDefault="00C0182D" w:rsidP="003F4F8D">
      <w:pPr>
        <w:ind w:left="1440" w:hanging="1440"/>
        <w:jc w:val="both"/>
        <w:rPr>
          <w:b/>
        </w:rPr>
      </w:pPr>
      <w:r>
        <w:rPr>
          <w:b/>
        </w:rPr>
        <w:t xml:space="preserve">FUEL </w:t>
      </w:r>
    </w:p>
    <w:p w14:paraId="485FDC12" w14:textId="68B69B13" w:rsidR="003F4F8D" w:rsidRDefault="00C0182D" w:rsidP="003F4F8D">
      <w:pPr>
        <w:ind w:left="1440" w:hanging="1440"/>
        <w:jc w:val="both"/>
      </w:pPr>
      <w:r>
        <w:rPr>
          <w:b/>
        </w:rPr>
        <w:t>RETAILERS</w:t>
      </w:r>
      <w:r w:rsidR="003F4F8D">
        <w:rPr>
          <w:b/>
        </w:rPr>
        <w:t>:</w:t>
      </w:r>
      <w:r w:rsidR="00A14A11">
        <w:rPr>
          <w:b/>
        </w:rPr>
        <w:t xml:space="preserve"> </w:t>
      </w:r>
      <w:r w:rsidR="009E6879" w:rsidRPr="00132664">
        <w:t xml:space="preserve">No </w:t>
      </w:r>
      <w:r w:rsidR="005D1C93">
        <w:t>p</w:t>
      </w:r>
      <w:r w:rsidR="009E6879" w:rsidRPr="00132664">
        <w:t>osition.</w:t>
      </w:r>
    </w:p>
    <w:p w14:paraId="208A8CFC" w14:textId="77777777" w:rsidR="005A6478" w:rsidRDefault="005A6478" w:rsidP="003F4F8D">
      <w:pPr>
        <w:ind w:left="1440" w:hanging="1440"/>
        <w:jc w:val="both"/>
      </w:pPr>
    </w:p>
    <w:p w14:paraId="7E4F6F58" w14:textId="3D8DC4A9" w:rsidR="005A6478" w:rsidRPr="005A6478" w:rsidRDefault="00FD408B" w:rsidP="003F4F8D">
      <w:pPr>
        <w:ind w:left="1440" w:hanging="1440"/>
        <w:jc w:val="both"/>
        <w:rPr>
          <w:b/>
        </w:rPr>
      </w:pPr>
      <w:r>
        <w:rPr>
          <w:b/>
        </w:rPr>
        <w:t>WALMART</w:t>
      </w:r>
      <w:r w:rsidR="005A6478">
        <w:rPr>
          <w:b/>
        </w:rPr>
        <w:t>:</w:t>
      </w:r>
      <w:r w:rsidR="005A6478">
        <w:rPr>
          <w:b/>
        </w:rPr>
        <w:tab/>
      </w:r>
      <w:r w:rsidR="005D1C93" w:rsidRPr="005D1C93">
        <w:t>A</w:t>
      </w:r>
      <w:r w:rsidR="005A6478">
        <w:t>dopts the position of FRF.</w:t>
      </w:r>
    </w:p>
    <w:p w14:paraId="486F6DF7" w14:textId="77777777" w:rsidR="003F4F8D" w:rsidRPr="00701945" w:rsidRDefault="003F4F8D" w:rsidP="003F4F8D">
      <w:pPr>
        <w:jc w:val="both"/>
      </w:pPr>
    </w:p>
    <w:p w14:paraId="75DA8541" w14:textId="77777777" w:rsidR="003F4F8D" w:rsidRPr="005D4B47" w:rsidRDefault="003F4F8D" w:rsidP="003F4F8D">
      <w:pPr>
        <w:ind w:left="1440" w:hanging="1440"/>
        <w:jc w:val="both"/>
        <w:rPr>
          <w:b/>
          <w:bCs/>
        </w:rPr>
      </w:pPr>
      <w:r>
        <w:rPr>
          <w:b/>
          <w:bCs/>
        </w:rPr>
        <w:t>STAFF:</w:t>
      </w:r>
      <w:r>
        <w:rPr>
          <w:b/>
          <w:bCs/>
        </w:rPr>
        <w:tab/>
      </w:r>
      <w:r w:rsidR="00AC7E54">
        <w:t>No position at this time.</w:t>
      </w:r>
    </w:p>
    <w:p w14:paraId="5B36F75D" w14:textId="77777777" w:rsidR="003F4F8D" w:rsidRDefault="003F4F8D" w:rsidP="00C7699A">
      <w:pPr>
        <w:jc w:val="both"/>
      </w:pPr>
    </w:p>
    <w:p w14:paraId="66BC8239" w14:textId="77777777" w:rsidR="00832C2D" w:rsidRDefault="00832C2D" w:rsidP="00C7699A">
      <w:pPr>
        <w:jc w:val="both"/>
      </w:pPr>
    </w:p>
    <w:p w14:paraId="68DCC3EF" w14:textId="77777777" w:rsidR="003F4F8D" w:rsidRPr="006E0180" w:rsidRDefault="001510E6" w:rsidP="003F4F8D">
      <w:pPr>
        <w:ind w:left="1440" w:hanging="1440"/>
        <w:jc w:val="both"/>
        <w:rPr>
          <w:b/>
        </w:rPr>
      </w:pPr>
      <w:r>
        <w:rPr>
          <w:b/>
          <w:bCs/>
        </w:rPr>
        <w:t>ISSUE 82</w:t>
      </w:r>
      <w:r w:rsidR="003F4F8D" w:rsidRPr="00701945">
        <w:rPr>
          <w:b/>
          <w:bCs/>
        </w:rPr>
        <w:t>:</w:t>
      </w:r>
      <w:r w:rsidR="003F4F8D" w:rsidRPr="00701945">
        <w:tab/>
      </w:r>
      <w:r w:rsidR="006E0180" w:rsidRPr="006E0180">
        <w:rPr>
          <w:b/>
        </w:rPr>
        <w:t>What are the appropriate Standby Services (SS-1, SS-2, SS-3) rate schedule charges?</w:t>
      </w:r>
    </w:p>
    <w:p w14:paraId="785591FF" w14:textId="77777777" w:rsidR="003F4F8D" w:rsidRPr="00701945" w:rsidRDefault="003F4F8D" w:rsidP="003F4F8D">
      <w:pPr>
        <w:jc w:val="both"/>
      </w:pPr>
    </w:p>
    <w:p w14:paraId="05CECC3E" w14:textId="77777777" w:rsidR="003F4F8D" w:rsidRPr="005D4B47" w:rsidRDefault="003F4F8D" w:rsidP="003F4F8D">
      <w:pPr>
        <w:ind w:left="1440" w:hanging="1440"/>
        <w:jc w:val="both"/>
      </w:pPr>
      <w:r>
        <w:rPr>
          <w:b/>
          <w:bCs/>
        </w:rPr>
        <w:t>TECO</w:t>
      </w:r>
      <w:r w:rsidRPr="005D4B47">
        <w:rPr>
          <w:b/>
          <w:bCs/>
        </w:rPr>
        <w:t>:</w:t>
      </w:r>
      <w:r w:rsidRPr="005D4B47">
        <w:tab/>
      </w:r>
      <w:r w:rsidR="006E0180" w:rsidRPr="009C6895">
        <w:t xml:space="preserve">The appropriate </w:t>
      </w:r>
      <w:r w:rsidR="006E0180">
        <w:t>Standby Services rate schedule</w:t>
      </w:r>
      <w:r w:rsidR="006E0180" w:rsidRPr="009C6895">
        <w:t xml:space="preserve"> charges </w:t>
      </w:r>
      <w:r w:rsidR="006E0180">
        <w:t xml:space="preserve">are shown </w:t>
      </w:r>
      <w:r w:rsidR="006E0180" w:rsidRPr="009C6895">
        <w:t>in MFR Schedule E-13c. (Williams)</w:t>
      </w:r>
    </w:p>
    <w:p w14:paraId="697E0983" w14:textId="77777777" w:rsidR="003F4F8D" w:rsidRPr="00701945" w:rsidRDefault="003F4F8D" w:rsidP="003F4F8D">
      <w:pPr>
        <w:jc w:val="both"/>
      </w:pPr>
    </w:p>
    <w:p w14:paraId="233FE020" w14:textId="77777777" w:rsidR="003F4F8D" w:rsidRDefault="003F4F8D" w:rsidP="003F4F8D">
      <w:pPr>
        <w:ind w:left="1440" w:hanging="1440"/>
        <w:jc w:val="both"/>
      </w:pPr>
      <w:r>
        <w:rPr>
          <w:b/>
          <w:bCs/>
        </w:rPr>
        <w:t>OPC</w:t>
      </w:r>
      <w:r w:rsidRPr="00701945">
        <w:rPr>
          <w:b/>
          <w:bCs/>
        </w:rPr>
        <w:t>:</w:t>
      </w:r>
      <w:r>
        <w:tab/>
      </w:r>
      <w:r w:rsidR="00D175D0">
        <w:t>No position.</w:t>
      </w:r>
    </w:p>
    <w:p w14:paraId="6485F6ED" w14:textId="77777777" w:rsidR="003F4F8D" w:rsidRDefault="003F4F8D" w:rsidP="003F4F8D">
      <w:pPr>
        <w:ind w:left="1440" w:hanging="1440"/>
        <w:jc w:val="both"/>
      </w:pPr>
    </w:p>
    <w:p w14:paraId="025ED0FF" w14:textId="77777777" w:rsidR="003F4F8D" w:rsidRDefault="003F4F8D" w:rsidP="003F4F8D">
      <w:pPr>
        <w:ind w:left="1440" w:hanging="1440"/>
        <w:jc w:val="both"/>
        <w:rPr>
          <w:b/>
        </w:rPr>
      </w:pPr>
      <w:r>
        <w:rPr>
          <w:b/>
        </w:rPr>
        <w:t>FL RISING/</w:t>
      </w:r>
    </w:p>
    <w:p w14:paraId="0A847386" w14:textId="77777777" w:rsidR="003F4F8D" w:rsidRDefault="003F4F8D" w:rsidP="003F4F8D">
      <w:pPr>
        <w:ind w:left="1440" w:hanging="1440"/>
        <w:jc w:val="both"/>
        <w:rPr>
          <w:b/>
        </w:rPr>
      </w:pPr>
      <w:r>
        <w:rPr>
          <w:b/>
        </w:rPr>
        <w:t>LULAC:</w:t>
      </w:r>
      <w:r>
        <w:rPr>
          <w:b/>
        </w:rPr>
        <w:tab/>
      </w:r>
      <w:r w:rsidR="009B5CD3" w:rsidRPr="114B4046">
        <w:t>Even though the rate increase should be</w:t>
      </w:r>
      <w:r w:rsidR="009B5CD3" w:rsidRPr="7C18780D">
        <w:t xml:space="preserve"> denied, </w:t>
      </w:r>
      <w:r w:rsidR="009B5CD3" w:rsidRPr="77B35AA6">
        <w:t xml:space="preserve">these rates should </w:t>
      </w:r>
      <w:r w:rsidR="009B5CD3" w:rsidRPr="5B4560C9">
        <w:t xml:space="preserve">be increased to reflect a </w:t>
      </w:r>
      <w:r w:rsidR="009B5CD3" w:rsidRPr="046BCD19">
        <w:t xml:space="preserve">12CP and 50% AD cost of </w:t>
      </w:r>
      <w:r w:rsidR="009B5CD3" w:rsidRPr="657F8900">
        <w:t>service.</w:t>
      </w:r>
    </w:p>
    <w:p w14:paraId="16508798" w14:textId="77777777" w:rsidR="003F4F8D" w:rsidRDefault="003F4F8D" w:rsidP="003F4F8D">
      <w:pPr>
        <w:ind w:left="1440" w:hanging="1440"/>
        <w:jc w:val="both"/>
        <w:rPr>
          <w:b/>
        </w:rPr>
      </w:pPr>
    </w:p>
    <w:p w14:paraId="2A6E8743" w14:textId="79948444" w:rsidR="003F4F8D" w:rsidRDefault="003F4F8D" w:rsidP="003F4F8D">
      <w:pPr>
        <w:ind w:left="1440" w:hanging="1440"/>
        <w:jc w:val="both"/>
        <w:rPr>
          <w:b/>
        </w:rPr>
      </w:pPr>
      <w:r>
        <w:rPr>
          <w:b/>
        </w:rPr>
        <w:t>FIPUG:</w:t>
      </w:r>
      <w:r>
        <w:rPr>
          <w:b/>
        </w:rPr>
        <w:tab/>
      </w:r>
      <w:r w:rsidR="00D60135" w:rsidRPr="00D60135">
        <w:rPr>
          <w:bCs/>
        </w:rPr>
        <w:t>4 CP</w:t>
      </w:r>
      <w:r w:rsidR="00D60135">
        <w:rPr>
          <w:bCs/>
        </w:rPr>
        <w:t>.</w:t>
      </w:r>
    </w:p>
    <w:p w14:paraId="6D47D0A5" w14:textId="77777777" w:rsidR="003F4F8D" w:rsidRDefault="003F4F8D" w:rsidP="003F4F8D">
      <w:pPr>
        <w:ind w:left="1440" w:hanging="1440"/>
        <w:jc w:val="both"/>
        <w:rPr>
          <w:b/>
        </w:rPr>
      </w:pPr>
    </w:p>
    <w:p w14:paraId="771C2E14" w14:textId="30B78D2A" w:rsidR="003F4F8D" w:rsidRDefault="003F4F8D" w:rsidP="003F4F8D">
      <w:pPr>
        <w:ind w:left="1440" w:hanging="1440"/>
        <w:jc w:val="both"/>
      </w:pPr>
      <w:r>
        <w:rPr>
          <w:b/>
        </w:rPr>
        <w:t>FEA:</w:t>
      </w:r>
      <w:r>
        <w:rPr>
          <w:b/>
        </w:rPr>
        <w:tab/>
      </w:r>
      <w:r w:rsidR="00146790">
        <w:t>No position.</w:t>
      </w:r>
    </w:p>
    <w:p w14:paraId="0CAF44C6" w14:textId="77777777" w:rsidR="00C87302" w:rsidRDefault="00C87302" w:rsidP="003F4F8D">
      <w:pPr>
        <w:ind w:left="1440" w:hanging="1440"/>
        <w:jc w:val="both"/>
        <w:rPr>
          <w:b/>
        </w:rPr>
      </w:pPr>
    </w:p>
    <w:p w14:paraId="5DAF3590" w14:textId="77777777" w:rsidR="00A14A11" w:rsidRDefault="00764960" w:rsidP="003F4F8D">
      <w:pPr>
        <w:ind w:left="1440" w:hanging="1440"/>
        <w:jc w:val="both"/>
        <w:rPr>
          <w:b/>
        </w:rPr>
      </w:pPr>
      <w:r>
        <w:rPr>
          <w:b/>
        </w:rPr>
        <w:t xml:space="preserve">SIERRA </w:t>
      </w:r>
    </w:p>
    <w:p w14:paraId="76657CC0" w14:textId="704F35C3" w:rsidR="003F4F8D" w:rsidRDefault="00764960" w:rsidP="003F4F8D">
      <w:pPr>
        <w:ind w:left="1440" w:hanging="1440"/>
        <w:jc w:val="both"/>
        <w:rPr>
          <w:b/>
        </w:rPr>
      </w:pPr>
      <w:r>
        <w:rPr>
          <w:b/>
        </w:rPr>
        <w:t>CLUB</w:t>
      </w:r>
      <w:r w:rsidR="003F4F8D">
        <w:rPr>
          <w:b/>
        </w:rPr>
        <w:t>:</w:t>
      </w:r>
      <w:r w:rsidR="003F4F8D">
        <w:rPr>
          <w:b/>
        </w:rPr>
        <w:tab/>
      </w:r>
      <w:r w:rsidR="00531ADD">
        <w:t xml:space="preserve">For each of the Issues in this category, </w:t>
      </w:r>
      <w:r w:rsidR="00531ADD" w:rsidRPr="001E3193">
        <w:t xml:space="preserve">Sierra Club has no position </w:t>
      </w:r>
      <w:r w:rsidR="00531ADD">
        <w:t>beyond generally supporting intervenor proposals to reduce energy burdens for residential customers</w:t>
      </w:r>
      <w:r w:rsidR="00516FCE" w:rsidRPr="001E3193">
        <w:t>.</w:t>
      </w:r>
    </w:p>
    <w:p w14:paraId="2E6FC118" w14:textId="77777777" w:rsidR="003F4F8D" w:rsidRDefault="003F4F8D" w:rsidP="003F4F8D">
      <w:pPr>
        <w:ind w:left="1440" w:hanging="1440"/>
        <w:jc w:val="both"/>
        <w:rPr>
          <w:b/>
        </w:rPr>
      </w:pPr>
    </w:p>
    <w:p w14:paraId="104F8C90" w14:textId="77777777" w:rsidR="003F4F8D" w:rsidRDefault="003F4F8D" w:rsidP="003F4F8D">
      <w:pPr>
        <w:ind w:left="1440" w:hanging="1440"/>
        <w:jc w:val="both"/>
        <w:rPr>
          <w:b/>
        </w:rPr>
      </w:pPr>
      <w:r>
        <w:rPr>
          <w:b/>
        </w:rPr>
        <w:t>FRF:</w:t>
      </w:r>
      <w:r>
        <w:rPr>
          <w:b/>
        </w:rPr>
        <w:tab/>
      </w:r>
      <w:r w:rsidR="00B26B52">
        <w:t>The FRF does not oppose TECO’s proposed cost of service study or its proposed revenue allocation methodology.</w:t>
      </w:r>
    </w:p>
    <w:p w14:paraId="56D037CB" w14:textId="77777777" w:rsidR="003F4F8D" w:rsidRDefault="003F4F8D" w:rsidP="003F4F8D">
      <w:pPr>
        <w:ind w:left="1440" w:hanging="1440"/>
        <w:jc w:val="both"/>
        <w:rPr>
          <w:b/>
        </w:rPr>
      </w:pPr>
    </w:p>
    <w:p w14:paraId="6B864ECB" w14:textId="77777777" w:rsidR="00A14A11" w:rsidRDefault="00C0182D" w:rsidP="003F4F8D">
      <w:pPr>
        <w:ind w:left="1440" w:hanging="1440"/>
        <w:jc w:val="both"/>
        <w:rPr>
          <w:b/>
        </w:rPr>
      </w:pPr>
      <w:r>
        <w:rPr>
          <w:b/>
        </w:rPr>
        <w:t xml:space="preserve">FUEL </w:t>
      </w:r>
    </w:p>
    <w:p w14:paraId="0CF94B87" w14:textId="484CE897" w:rsidR="003F4F8D" w:rsidRDefault="00C0182D" w:rsidP="003F4F8D">
      <w:pPr>
        <w:ind w:left="1440" w:hanging="1440"/>
        <w:jc w:val="both"/>
      </w:pPr>
      <w:r>
        <w:rPr>
          <w:b/>
        </w:rPr>
        <w:t>RETAILERS</w:t>
      </w:r>
      <w:r w:rsidR="003F4F8D">
        <w:rPr>
          <w:b/>
        </w:rPr>
        <w:t>:</w:t>
      </w:r>
      <w:r w:rsidR="00A14A11">
        <w:rPr>
          <w:b/>
        </w:rPr>
        <w:t xml:space="preserve"> </w:t>
      </w:r>
      <w:r w:rsidR="009E6879" w:rsidRPr="00132664">
        <w:t xml:space="preserve">No </w:t>
      </w:r>
      <w:r w:rsidR="00531ADD">
        <w:t>p</w:t>
      </w:r>
      <w:r w:rsidR="009E6879" w:rsidRPr="00132664">
        <w:t>osition.</w:t>
      </w:r>
    </w:p>
    <w:p w14:paraId="52D33948" w14:textId="77777777" w:rsidR="005A6478" w:rsidRDefault="005A6478" w:rsidP="003F4F8D">
      <w:pPr>
        <w:ind w:left="1440" w:hanging="1440"/>
        <w:jc w:val="both"/>
      </w:pPr>
    </w:p>
    <w:p w14:paraId="0C4964B0" w14:textId="1AADB09A" w:rsidR="005A6478" w:rsidRPr="005A6478" w:rsidRDefault="00FD408B" w:rsidP="003F4F8D">
      <w:pPr>
        <w:ind w:left="1440" w:hanging="1440"/>
        <w:jc w:val="both"/>
        <w:rPr>
          <w:b/>
        </w:rPr>
      </w:pPr>
      <w:r>
        <w:rPr>
          <w:b/>
        </w:rPr>
        <w:t>WALMART</w:t>
      </w:r>
      <w:r w:rsidR="005A6478">
        <w:rPr>
          <w:b/>
        </w:rPr>
        <w:t>:</w:t>
      </w:r>
      <w:r w:rsidR="005A6478">
        <w:rPr>
          <w:b/>
        </w:rPr>
        <w:tab/>
      </w:r>
      <w:r w:rsidR="00443213">
        <w:t xml:space="preserve">Adopts </w:t>
      </w:r>
      <w:r w:rsidR="005A6478">
        <w:t>the position of FRF.</w:t>
      </w:r>
    </w:p>
    <w:p w14:paraId="76A86C21" w14:textId="77777777" w:rsidR="003F4F8D" w:rsidRPr="00701945" w:rsidRDefault="003F4F8D" w:rsidP="003F4F8D">
      <w:pPr>
        <w:jc w:val="both"/>
      </w:pPr>
    </w:p>
    <w:p w14:paraId="36493708" w14:textId="77777777" w:rsidR="003F4F8D" w:rsidRPr="005D4B47" w:rsidRDefault="003F4F8D" w:rsidP="003F4F8D">
      <w:pPr>
        <w:ind w:left="1440" w:hanging="1440"/>
        <w:jc w:val="both"/>
        <w:rPr>
          <w:b/>
          <w:bCs/>
        </w:rPr>
      </w:pPr>
      <w:r>
        <w:rPr>
          <w:b/>
          <w:bCs/>
        </w:rPr>
        <w:lastRenderedPageBreak/>
        <w:t>STAFF:</w:t>
      </w:r>
      <w:r>
        <w:rPr>
          <w:b/>
          <w:bCs/>
        </w:rPr>
        <w:tab/>
      </w:r>
      <w:r w:rsidR="00AC7E54">
        <w:t>No position at this time.</w:t>
      </w:r>
    </w:p>
    <w:p w14:paraId="31D1104A" w14:textId="77777777" w:rsidR="003F4F8D" w:rsidRDefault="003F4F8D" w:rsidP="00C7699A">
      <w:pPr>
        <w:jc w:val="both"/>
      </w:pPr>
    </w:p>
    <w:p w14:paraId="3C6AAD51" w14:textId="77777777" w:rsidR="003F4F8D" w:rsidRDefault="003F4F8D" w:rsidP="00C7699A">
      <w:pPr>
        <w:jc w:val="both"/>
      </w:pPr>
    </w:p>
    <w:p w14:paraId="6387CC5F" w14:textId="77777777" w:rsidR="003F4F8D" w:rsidRPr="006E0180" w:rsidRDefault="006E0180" w:rsidP="003F4F8D">
      <w:pPr>
        <w:ind w:left="1440" w:hanging="1440"/>
        <w:jc w:val="both"/>
        <w:rPr>
          <w:b/>
        </w:rPr>
      </w:pPr>
      <w:r>
        <w:rPr>
          <w:b/>
          <w:bCs/>
        </w:rPr>
        <w:t>ISSUE 83</w:t>
      </w:r>
      <w:r w:rsidR="003F4F8D" w:rsidRPr="00701945">
        <w:rPr>
          <w:b/>
          <w:bCs/>
        </w:rPr>
        <w:t>:</w:t>
      </w:r>
      <w:r w:rsidR="003F4F8D" w:rsidRPr="00701945">
        <w:tab/>
      </w:r>
      <w:r w:rsidRPr="006E0180">
        <w:rPr>
          <w:b/>
        </w:rPr>
        <w:t>Should the proposed modifications to the time-of-day periods be approved?</w:t>
      </w:r>
    </w:p>
    <w:p w14:paraId="6BB85172" w14:textId="77777777" w:rsidR="003F4F8D" w:rsidRPr="00701945" w:rsidRDefault="003F4F8D" w:rsidP="003F4F8D">
      <w:pPr>
        <w:jc w:val="both"/>
      </w:pPr>
    </w:p>
    <w:p w14:paraId="191962B3" w14:textId="1E42E086" w:rsidR="003F4F8D" w:rsidRPr="005D4B47" w:rsidRDefault="003F4F8D" w:rsidP="003F4F8D">
      <w:pPr>
        <w:ind w:left="1440" w:hanging="1440"/>
        <w:jc w:val="both"/>
      </w:pPr>
      <w:r>
        <w:rPr>
          <w:b/>
          <w:bCs/>
        </w:rPr>
        <w:t>TECO</w:t>
      </w:r>
      <w:r w:rsidRPr="005D4B47">
        <w:rPr>
          <w:b/>
          <w:bCs/>
        </w:rPr>
        <w:t>:</w:t>
      </w:r>
      <w:r w:rsidRPr="005D4B47">
        <w:tab/>
      </w:r>
      <w:r w:rsidR="006E0180">
        <w:t xml:space="preserve">Yes. The proposed modifications to the time-of-day periods should be approved. </w:t>
      </w:r>
      <w:r w:rsidR="00443213">
        <w:t xml:space="preserve">TECO’s </w:t>
      </w:r>
      <w:r w:rsidR="006E0180">
        <w:t>proposed modifications to the time-of-day periods are reasonable and more accurately reflect a change in the company’s marginal energy costs profile. (Williams)</w:t>
      </w:r>
    </w:p>
    <w:p w14:paraId="7DEC303C" w14:textId="77777777" w:rsidR="003F4F8D" w:rsidRPr="00701945" w:rsidRDefault="003F4F8D" w:rsidP="003F4F8D">
      <w:pPr>
        <w:jc w:val="both"/>
      </w:pPr>
    </w:p>
    <w:p w14:paraId="69036B60" w14:textId="77777777" w:rsidR="003F4F8D" w:rsidRDefault="003F4F8D" w:rsidP="003F4F8D">
      <w:pPr>
        <w:ind w:left="1440" w:hanging="1440"/>
        <w:jc w:val="both"/>
      </w:pPr>
      <w:r>
        <w:rPr>
          <w:b/>
          <w:bCs/>
        </w:rPr>
        <w:t>OPC</w:t>
      </w:r>
      <w:r w:rsidRPr="00701945">
        <w:rPr>
          <w:b/>
          <w:bCs/>
        </w:rPr>
        <w:t>:</w:t>
      </w:r>
      <w:r>
        <w:tab/>
      </w:r>
      <w:r w:rsidR="009C0E66" w:rsidRPr="003651AA">
        <w:t>No</w:t>
      </w:r>
      <w:r w:rsidR="009C0E66">
        <w:t xml:space="preserve"> position.</w:t>
      </w:r>
    </w:p>
    <w:p w14:paraId="433B2C33" w14:textId="77777777" w:rsidR="003F4F8D" w:rsidRDefault="003F4F8D" w:rsidP="003F4F8D">
      <w:pPr>
        <w:ind w:left="1440" w:hanging="1440"/>
        <w:jc w:val="both"/>
      </w:pPr>
    </w:p>
    <w:p w14:paraId="501B70B3" w14:textId="77777777" w:rsidR="003F4F8D" w:rsidRDefault="003F4F8D" w:rsidP="003F4F8D">
      <w:pPr>
        <w:ind w:left="1440" w:hanging="1440"/>
        <w:jc w:val="both"/>
        <w:rPr>
          <w:b/>
        </w:rPr>
      </w:pPr>
      <w:r>
        <w:rPr>
          <w:b/>
        </w:rPr>
        <w:t>FL RISING/</w:t>
      </w:r>
    </w:p>
    <w:p w14:paraId="47BF6A81" w14:textId="77777777" w:rsidR="003F4F8D" w:rsidRDefault="003F4F8D" w:rsidP="003F4F8D">
      <w:pPr>
        <w:ind w:left="1440" w:hanging="1440"/>
        <w:jc w:val="both"/>
        <w:rPr>
          <w:b/>
        </w:rPr>
      </w:pPr>
      <w:r>
        <w:rPr>
          <w:b/>
        </w:rPr>
        <w:t>LULAC:</w:t>
      </w:r>
      <w:r>
        <w:rPr>
          <w:b/>
        </w:rPr>
        <w:tab/>
      </w:r>
      <w:r w:rsidR="009B5CD3">
        <w:rPr>
          <w:bCs/>
        </w:rPr>
        <w:t>Yes.</w:t>
      </w:r>
    </w:p>
    <w:p w14:paraId="1565AAC9" w14:textId="77777777" w:rsidR="003F4F8D" w:rsidRDefault="003F4F8D" w:rsidP="003F4F8D">
      <w:pPr>
        <w:ind w:left="1440" w:hanging="1440"/>
        <w:jc w:val="both"/>
        <w:rPr>
          <w:b/>
        </w:rPr>
      </w:pPr>
    </w:p>
    <w:p w14:paraId="7855A547" w14:textId="7C806049" w:rsidR="003F4F8D" w:rsidRDefault="003F4F8D" w:rsidP="003F4F8D">
      <w:pPr>
        <w:ind w:left="1440" w:hanging="1440"/>
        <w:jc w:val="both"/>
        <w:rPr>
          <w:b/>
        </w:rPr>
      </w:pPr>
      <w:r>
        <w:rPr>
          <w:b/>
        </w:rPr>
        <w:t>FIPUG:</w:t>
      </w:r>
      <w:r>
        <w:rPr>
          <w:b/>
        </w:rPr>
        <w:tab/>
      </w:r>
      <w:r w:rsidR="00C63EB8">
        <w:t xml:space="preserve">No. </w:t>
      </w:r>
      <w:r w:rsidR="00C63EB8" w:rsidRPr="0069262A">
        <w:t>TECO’s proposed time-of-day periods, which include very low “Super Off-Peak” energy charg</w:t>
      </w:r>
      <w:r w:rsidR="00C63EB8">
        <w:t xml:space="preserve">es, would be unique in Florida. </w:t>
      </w:r>
      <w:r w:rsidR="00C63EB8" w:rsidRPr="0069262A">
        <w:t>No other investor-owned utility in Florida similarly offer a Super Off-Peak period that encourages electricity usage during hot summer afternoons when TECO (and Florida utilities generally) regularly</w:t>
      </w:r>
      <w:r w:rsidR="00C63EB8">
        <w:t xml:space="preserve"> experiences its system peaks. </w:t>
      </w:r>
      <w:r w:rsidR="00C63EB8" w:rsidRPr="0069262A">
        <w:t>This would create a perverse inventive to use more electricity during high load hou</w:t>
      </w:r>
      <w:r w:rsidR="00C63EB8">
        <w:t xml:space="preserve">rs. </w:t>
      </w:r>
      <w:r w:rsidR="00C63EB8" w:rsidRPr="0069262A">
        <w:t>Marginal energy costs are not the only consideration in d</w:t>
      </w:r>
      <w:r w:rsidR="00C63EB8">
        <w:t xml:space="preserve">etermining time-of-day periods. </w:t>
      </w:r>
      <w:r w:rsidR="00C63EB8" w:rsidRPr="0069262A">
        <w:t>Other factors, such as system loads, loss of load expectation, and the need to maintain dispatchable generation to support the integration of renewable resources</w:t>
      </w:r>
      <w:r w:rsidR="00C63EB8">
        <w:t xml:space="preserve"> must also be considered. </w:t>
      </w:r>
      <w:r w:rsidR="00C63EB8" w:rsidRPr="0069262A">
        <w:t xml:space="preserve">Further, TECO’s projected marginal energy costs are not consistently low during TECO’s </w:t>
      </w:r>
      <w:r w:rsidR="00C63EB8">
        <w:t xml:space="preserve">proposed Super Off-Peak period. </w:t>
      </w:r>
      <w:r w:rsidR="00C63EB8" w:rsidRPr="0069262A">
        <w:t>Finally, TECO’s proposal would represent a drastic change from current practice, which could be very disruptive to customers.</w:t>
      </w:r>
    </w:p>
    <w:p w14:paraId="08B280D8" w14:textId="77777777" w:rsidR="003F4F8D" w:rsidRDefault="003F4F8D" w:rsidP="003F4F8D">
      <w:pPr>
        <w:ind w:left="1440" w:hanging="1440"/>
        <w:jc w:val="both"/>
        <w:rPr>
          <w:b/>
        </w:rPr>
      </w:pPr>
    </w:p>
    <w:p w14:paraId="43058F3F" w14:textId="7EE4ABF4" w:rsidR="003F4F8D" w:rsidRDefault="003F4F8D" w:rsidP="003F4F8D">
      <w:pPr>
        <w:ind w:left="1440" w:hanging="1440"/>
        <w:jc w:val="both"/>
      </w:pPr>
      <w:r>
        <w:rPr>
          <w:b/>
        </w:rPr>
        <w:t>FEA:</w:t>
      </w:r>
      <w:r>
        <w:rPr>
          <w:b/>
        </w:rPr>
        <w:tab/>
      </w:r>
      <w:r w:rsidR="00C37839">
        <w:t>No position.</w:t>
      </w:r>
    </w:p>
    <w:p w14:paraId="4755473E" w14:textId="77777777" w:rsidR="003F4F8D" w:rsidRDefault="003F4F8D" w:rsidP="003F4F8D">
      <w:pPr>
        <w:ind w:left="1440" w:hanging="1440"/>
        <w:jc w:val="both"/>
        <w:rPr>
          <w:b/>
        </w:rPr>
      </w:pPr>
    </w:p>
    <w:p w14:paraId="18008969" w14:textId="77777777" w:rsidR="00A14A11" w:rsidRDefault="00764960" w:rsidP="003F4F8D">
      <w:pPr>
        <w:ind w:left="1440" w:hanging="1440"/>
        <w:jc w:val="both"/>
        <w:rPr>
          <w:b/>
        </w:rPr>
      </w:pPr>
      <w:r>
        <w:rPr>
          <w:b/>
        </w:rPr>
        <w:t xml:space="preserve">SIERRA </w:t>
      </w:r>
    </w:p>
    <w:p w14:paraId="2D9AE9D2" w14:textId="76057D67" w:rsidR="003F4F8D" w:rsidRDefault="00764960" w:rsidP="003F4F8D">
      <w:pPr>
        <w:ind w:left="1440" w:hanging="1440"/>
        <w:jc w:val="both"/>
        <w:rPr>
          <w:b/>
        </w:rPr>
      </w:pPr>
      <w:r>
        <w:rPr>
          <w:b/>
        </w:rPr>
        <w:t>CLUB</w:t>
      </w:r>
      <w:r w:rsidR="003F4F8D">
        <w:rPr>
          <w:b/>
        </w:rPr>
        <w:t>:</w:t>
      </w:r>
      <w:r w:rsidR="003F4F8D">
        <w:rPr>
          <w:b/>
        </w:rPr>
        <w:tab/>
      </w:r>
      <w:r w:rsidR="003C1377">
        <w:t xml:space="preserve">For each of the Issues in this category, </w:t>
      </w:r>
      <w:r w:rsidR="003C1377" w:rsidRPr="001E3193">
        <w:t xml:space="preserve">Sierra Club has no position </w:t>
      </w:r>
      <w:r w:rsidR="003C1377">
        <w:t>beyond generally supporting intervenor proposals to reduce energy burdens for residential customers</w:t>
      </w:r>
      <w:r w:rsidR="00516FCE" w:rsidRPr="001E3193">
        <w:t>.</w:t>
      </w:r>
    </w:p>
    <w:p w14:paraId="2B08DE07" w14:textId="77777777" w:rsidR="003F4F8D" w:rsidRDefault="003F4F8D" w:rsidP="003F4F8D">
      <w:pPr>
        <w:ind w:left="1440" w:hanging="1440"/>
        <w:jc w:val="both"/>
        <w:rPr>
          <w:b/>
        </w:rPr>
      </w:pPr>
    </w:p>
    <w:p w14:paraId="0E3A89FD" w14:textId="77777777" w:rsidR="003F4F8D" w:rsidRDefault="003F4F8D" w:rsidP="003F4F8D">
      <w:pPr>
        <w:ind w:left="1440" w:hanging="1440"/>
        <w:jc w:val="both"/>
        <w:rPr>
          <w:b/>
        </w:rPr>
      </w:pPr>
      <w:r>
        <w:rPr>
          <w:b/>
        </w:rPr>
        <w:t>FRF:</w:t>
      </w:r>
      <w:r>
        <w:rPr>
          <w:b/>
        </w:rPr>
        <w:tab/>
      </w:r>
      <w:r w:rsidR="00B26B52">
        <w:t>The FRF does not oppose TECO’s proposed cost of service study or its proposed revenue allocation methodology.</w:t>
      </w:r>
    </w:p>
    <w:p w14:paraId="76CC6169" w14:textId="77777777" w:rsidR="003F4F8D" w:rsidRDefault="003F4F8D" w:rsidP="003F4F8D">
      <w:pPr>
        <w:ind w:left="1440" w:hanging="1440"/>
        <w:jc w:val="both"/>
        <w:rPr>
          <w:b/>
        </w:rPr>
      </w:pPr>
    </w:p>
    <w:p w14:paraId="6D7E7B31" w14:textId="77777777" w:rsidR="00A14A11" w:rsidRDefault="00C0182D" w:rsidP="003F4F8D">
      <w:pPr>
        <w:ind w:left="1440" w:hanging="1440"/>
        <w:jc w:val="both"/>
        <w:rPr>
          <w:b/>
        </w:rPr>
      </w:pPr>
      <w:r>
        <w:rPr>
          <w:b/>
        </w:rPr>
        <w:t xml:space="preserve">FUEL </w:t>
      </w:r>
    </w:p>
    <w:p w14:paraId="19C1E352" w14:textId="1D6E16B6" w:rsidR="003F4F8D" w:rsidRDefault="00C0182D" w:rsidP="003F4F8D">
      <w:pPr>
        <w:ind w:left="1440" w:hanging="1440"/>
        <w:jc w:val="both"/>
      </w:pPr>
      <w:r>
        <w:rPr>
          <w:b/>
        </w:rPr>
        <w:t>RETAILERS</w:t>
      </w:r>
      <w:r w:rsidR="003F4F8D">
        <w:rPr>
          <w:b/>
        </w:rPr>
        <w:t>:</w:t>
      </w:r>
      <w:r w:rsidR="00A14A11">
        <w:rPr>
          <w:b/>
        </w:rPr>
        <w:t xml:space="preserve"> </w:t>
      </w:r>
      <w:r w:rsidR="009E6879" w:rsidRPr="00132664">
        <w:t xml:space="preserve">No </w:t>
      </w:r>
      <w:r w:rsidR="0034284F">
        <w:t>p</w:t>
      </w:r>
      <w:r w:rsidR="009E6879" w:rsidRPr="00132664">
        <w:t>osition.</w:t>
      </w:r>
    </w:p>
    <w:p w14:paraId="3E3A831A" w14:textId="77777777" w:rsidR="005A6478" w:rsidRDefault="005A6478" w:rsidP="003F4F8D">
      <w:pPr>
        <w:ind w:left="1440" w:hanging="1440"/>
        <w:jc w:val="both"/>
      </w:pPr>
    </w:p>
    <w:p w14:paraId="65C44CC4" w14:textId="7B32F779" w:rsidR="005A6478" w:rsidRPr="005A6478" w:rsidRDefault="00FD408B" w:rsidP="003F4F8D">
      <w:pPr>
        <w:ind w:left="1440" w:hanging="1440"/>
        <w:jc w:val="both"/>
        <w:rPr>
          <w:b/>
        </w:rPr>
      </w:pPr>
      <w:r>
        <w:rPr>
          <w:b/>
        </w:rPr>
        <w:t>WALMART</w:t>
      </w:r>
      <w:r w:rsidR="005A6478">
        <w:rPr>
          <w:b/>
        </w:rPr>
        <w:t>:</w:t>
      </w:r>
      <w:r w:rsidR="005A6478">
        <w:rPr>
          <w:b/>
        </w:rPr>
        <w:tab/>
      </w:r>
      <w:r w:rsidR="0034284F" w:rsidRPr="0034284F">
        <w:t>A</w:t>
      </w:r>
      <w:r w:rsidR="005A6478">
        <w:t>dopts the position of FRF.</w:t>
      </w:r>
    </w:p>
    <w:p w14:paraId="36C1F09E" w14:textId="77777777" w:rsidR="003F4F8D" w:rsidRPr="00701945" w:rsidRDefault="003F4F8D" w:rsidP="003F4F8D">
      <w:pPr>
        <w:jc w:val="both"/>
      </w:pPr>
    </w:p>
    <w:p w14:paraId="4938A913" w14:textId="77777777" w:rsidR="003F4F8D" w:rsidRPr="005D4B47" w:rsidRDefault="003F4F8D" w:rsidP="003F4F8D">
      <w:pPr>
        <w:ind w:left="1440" w:hanging="1440"/>
        <w:jc w:val="both"/>
        <w:rPr>
          <w:b/>
          <w:bCs/>
        </w:rPr>
      </w:pPr>
      <w:r>
        <w:rPr>
          <w:b/>
          <w:bCs/>
        </w:rPr>
        <w:t>STAFF:</w:t>
      </w:r>
      <w:r>
        <w:rPr>
          <w:b/>
          <w:bCs/>
        </w:rPr>
        <w:tab/>
      </w:r>
      <w:r w:rsidR="00AC7E54">
        <w:t>No position at this time.</w:t>
      </w:r>
    </w:p>
    <w:p w14:paraId="07604179" w14:textId="77777777" w:rsidR="003F4F8D" w:rsidRPr="006E0180" w:rsidRDefault="006E0180" w:rsidP="003F4F8D">
      <w:pPr>
        <w:ind w:left="1440" w:hanging="1440"/>
        <w:jc w:val="both"/>
        <w:rPr>
          <w:b/>
        </w:rPr>
      </w:pPr>
      <w:r>
        <w:rPr>
          <w:b/>
          <w:bCs/>
        </w:rPr>
        <w:lastRenderedPageBreak/>
        <w:t>ISSUE 84</w:t>
      </w:r>
      <w:r w:rsidR="003F4F8D" w:rsidRPr="00701945">
        <w:rPr>
          <w:b/>
          <w:bCs/>
        </w:rPr>
        <w:t>:</w:t>
      </w:r>
      <w:r w:rsidR="003F4F8D" w:rsidRPr="00701945">
        <w:tab/>
      </w:r>
      <w:r w:rsidRPr="006E0180">
        <w:rPr>
          <w:b/>
        </w:rPr>
        <w:t>Should the proposed modifications to the Non-Standard Meter Rider tariff (Tariff Sheet No. 3.280) be approved?</w:t>
      </w:r>
    </w:p>
    <w:p w14:paraId="12BC71C3" w14:textId="77777777" w:rsidR="003F4F8D" w:rsidRPr="00701945" w:rsidRDefault="003F4F8D" w:rsidP="003F4F8D">
      <w:pPr>
        <w:jc w:val="both"/>
      </w:pPr>
    </w:p>
    <w:p w14:paraId="6264FF29" w14:textId="51AA9479" w:rsidR="003F4F8D" w:rsidRPr="005D4B47" w:rsidRDefault="003F4F8D" w:rsidP="003F4F8D">
      <w:pPr>
        <w:ind w:left="1440" w:hanging="1440"/>
        <w:jc w:val="both"/>
      </w:pPr>
      <w:r>
        <w:rPr>
          <w:b/>
          <w:bCs/>
        </w:rPr>
        <w:t>TECO</w:t>
      </w:r>
      <w:r w:rsidRPr="005D4B47">
        <w:rPr>
          <w:b/>
          <w:bCs/>
        </w:rPr>
        <w:t>:</w:t>
      </w:r>
      <w:r w:rsidRPr="005D4B47">
        <w:tab/>
      </w:r>
      <w:r w:rsidR="006E0180">
        <w:t xml:space="preserve">No. </w:t>
      </w:r>
      <w:r w:rsidR="00267856">
        <w:t xml:space="preserve">TECO </w:t>
      </w:r>
      <w:r w:rsidR="006E0180">
        <w:t>did not propose any modifications to the Non-Standard Meter Rider tariff. (Williams)</w:t>
      </w:r>
    </w:p>
    <w:p w14:paraId="579DA002" w14:textId="77777777" w:rsidR="003F4F8D" w:rsidRPr="00701945" w:rsidRDefault="003F4F8D" w:rsidP="003F4F8D">
      <w:pPr>
        <w:jc w:val="both"/>
      </w:pPr>
    </w:p>
    <w:p w14:paraId="55105DF1" w14:textId="77777777" w:rsidR="003F4F8D" w:rsidRDefault="003F4F8D" w:rsidP="003F4F8D">
      <w:pPr>
        <w:ind w:left="1440" w:hanging="1440"/>
        <w:jc w:val="both"/>
      </w:pPr>
      <w:r>
        <w:rPr>
          <w:b/>
          <w:bCs/>
        </w:rPr>
        <w:t>OPC</w:t>
      </w:r>
      <w:r w:rsidRPr="00701945">
        <w:rPr>
          <w:b/>
          <w:bCs/>
        </w:rPr>
        <w:t>:</w:t>
      </w:r>
      <w:r>
        <w:tab/>
      </w:r>
      <w:r w:rsidR="009C0E66" w:rsidRPr="003651AA">
        <w:t>No</w:t>
      </w:r>
      <w:r w:rsidR="009C0E66">
        <w:t xml:space="preserve"> position.</w:t>
      </w:r>
    </w:p>
    <w:p w14:paraId="6FF0D1FF" w14:textId="77777777" w:rsidR="003F4F8D" w:rsidRDefault="003F4F8D" w:rsidP="003F4F8D">
      <w:pPr>
        <w:ind w:left="1440" w:hanging="1440"/>
        <w:jc w:val="both"/>
      </w:pPr>
    </w:p>
    <w:p w14:paraId="04B50F9D" w14:textId="77777777" w:rsidR="003F4F8D" w:rsidRDefault="003F4F8D" w:rsidP="003F4F8D">
      <w:pPr>
        <w:ind w:left="1440" w:hanging="1440"/>
        <w:jc w:val="both"/>
        <w:rPr>
          <w:b/>
        </w:rPr>
      </w:pPr>
      <w:r>
        <w:rPr>
          <w:b/>
        </w:rPr>
        <w:t>FL RISING/</w:t>
      </w:r>
    </w:p>
    <w:p w14:paraId="3124A3C5" w14:textId="77777777" w:rsidR="003F4F8D" w:rsidRDefault="003F4F8D" w:rsidP="003F4F8D">
      <w:pPr>
        <w:ind w:left="1440" w:hanging="1440"/>
        <w:jc w:val="both"/>
        <w:rPr>
          <w:b/>
        </w:rPr>
      </w:pPr>
      <w:r>
        <w:rPr>
          <w:b/>
        </w:rPr>
        <w:t>LULAC:</w:t>
      </w:r>
      <w:r>
        <w:rPr>
          <w:b/>
        </w:rPr>
        <w:tab/>
      </w:r>
      <w:r w:rsidR="009B5CD3">
        <w:rPr>
          <w:bCs/>
        </w:rPr>
        <w:t>Yes.</w:t>
      </w:r>
    </w:p>
    <w:p w14:paraId="65AB9D12" w14:textId="77777777" w:rsidR="003F4F8D" w:rsidRDefault="003F4F8D" w:rsidP="003F4F8D">
      <w:pPr>
        <w:ind w:left="1440" w:hanging="1440"/>
        <w:jc w:val="both"/>
        <w:rPr>
          <w:b/>
        </w:rPr>
      </w:pPr>
    </w:p>
    <w:p w14:paraId="03B5B9F2" w14:textId="3FBAD847" w:rsidR="003F4F8D" w:rsidRDefault="003F4F8D" w:rsidP="003F4F8D">
      <w:pPr>
        <w:ind w:left="1440" w:hanging="1440"/>
        <w:jc w:val="both"/>
        <w:rPr>
          <w:b/>
        </w:rPr>
      </w:pPr>
      <w:r>
        <w:rPr>
          <w:b/>
        </w:rPr>
        <w:t>FIPUG:</w:t>
      </w:r>
      <w:r>
        <w:rPr>
          <w:b/>
        </w:rPr>
        <w:tab/>
      </w:r>
      <w:r w:rsidR="00747CE3">
        <w:rPr>
          <w:bCs/>
        </w:rPr>
        <w:t>No position.</w:t>
      </w:r>
    </w:p>
    <w:p w14:paraId="6DAB3CCC" w14:textId="77777777" w:rsidR="003F4F8D" w:rsidRDefault="003F4F8D" w:rsidP="003F4F8D">
      <w:pPr>
        <w:ind w:left="1440" w:hanging="1440"/>
        <w:jc w:val="both"/>
        <w:rPr>
          <w:b/>
        </w:rPr>
      </w:pPr>
    </w:p>
    <w:p w14:paraId="5D484DAD" w14:textId="2A4084A1" w:rsidR="003F4F8D" w:rsidRPr="00747CE3" w:rsidRDefault="003F4F8D" w:rsidP="003F4F8D">
      <w:pPr>
        <w:ind w:left="1440" w:hanging="1440"/>
        <w:jc w:val="both"/>
      </w:pPr>
      <w:r>
        <w:rPr>
          <w:b/>
        </w:rPr>
        <w:t>FEA:</w:t>
      </w:r>
      <w:r>
        <w:rPr>
          <w:b/>
        </w:rPr>
        <w:tab/>
      </w:r>
      <w:r w:rsidR="00747CE3" w:rsidRPr="00747CE3">
        <w:t>No position.</w:t>
      </w:r>
    </w:p>
    <w:p w14:paraId="39D8D185" w14:textId="77777777" w:rsidR="003F4F8D" w:rsidRDefault="003F4F8D" w:rsidP="003F4F8D">
      <w:pPr>
        <w:ind w:left="1440" w:hanging="1440"/>
        <w:jc w:val="both"/>
        <w:rPr>
          <w:b/>
        </w:rPr>
      </w:pPr>
    </w:p>
    <w:p w14:paraId="45BE8FD1" w14:textId="77777777" w:rsidR="00A14A11" w:rsidRDefault="00764960" w:rsidP="003F4F8D">
      <w:pPr>
        <w:ind w:left="1440" w:hanging="1440"/>
        <w:jc w:val="both"/>
        <w:rPr>
          <w:b/>
        </w:rPr>
      </w:pPr>
      <w:r>
        <w:rPr>
          <w:b/>
        </w:rPr>
        <w:t xml:space="preserve">SIERRA </w:t>
      </w:r>
    </w:p>
    <w:p w14:paraId="4DEAB5D4" w14:textId="29781E12" w:rsidR="003F4F8D" w:rsidRDefault="00764960" w:rsidP="003F4F8D">
      <w:pPr>
        <w:ind w:left="1440" w:hanging="1440"/>
        <w:jc w:val="both"/>
        <w:rPr>
          <w:b/>
        </w:rPr>
      </w:pPr>
      <w:r>
        <w:rPr>
          <w:b/>
        </w:rPr>
        <w:t>CLUB</w:t>
      </w:r>
      <w:r w:rsidR="003F4F8D">
        <w:rPr>
          <w:b/>
        </w:rPr>
        <w:t>:</w:t>
      </w:r>
      <w:r w:rsidR="003F4F8D">
        <w:rPr>
          <w:b/>
        </w:rPr>
        <w:tab/>
      </w:r>
      <w:r w:rsidR="00747CE3">
        <w:t xml:space="preserve">For each of the Issues in this category, </w:t>
      </w:r>
      <w:r w:rsidR="00747CE3" w:rsidRPr="001E3193">
        <w:t xml:space="preserve">Sierra Club has no position </w:t>
      </w:r>
      <w:r w:rsidR="00747CE3">
        <w:t>beyond generally supporting intervenor proposals to reduce energy burdens for residential customers</w:t>
      </w:r>
      <w:r w:rsidR="00516FCE" w:rsidRPr="001E3193">
        <w:t>.</w:t>
      </w:r>
    </w:p>
    <w:p w14:paraId="404E700A" w14:textId="77777777" w:rsidR="003F4F8D" w:rsidRDefault="003F4F8D" w:rsidP="003F4F8D">
      <w:pPr>
        <w:ind w:left="1440" w:hanging="1440"/>
        <w:jc w:val="both"/>
        <w:rPr>
          <w:b/>
        </w:rPr>
      </w:pPr>
    </w:p>
    <w:p w14:paraId="06F0D736" w14:textId="3099A020" w:rsidR="003F4F8D" w:rsidRDefault="003F4F8D" w:rsidP="003F4F8D">
      <w:pPr>
        <w:ind w:left="1440" w:hanging="1440"/>
        <w:jc w:val="both"/>
      </w:pPr>
      <w:r>
        <w:rPr>
          <w:b/>
        </w:rPr>
        <w:t>FRF:</w:t>
      </w:r>
      <w:r>
        <w:rPr>
          <w:b/>
        </w:rPr>
        <w:tab/>
      </w:r>
      <w:r w:rsidR="00747CE3">
        <w:t>No position.</w:t>
      </w:r>
    </w:p>
    <w:p w14:paraId="10A0BBBA" w14:textId="77777777" w:rsidR="00747CE3" w:rsidRDefault="00747CE3" w:rsidP="003F4F8D">
      <w:pPr>
        <w:ind w:left="1440" w:hanging="1440"/>
        <w:jc w:val="both"/>
        <w:rPr>
          <w:b/>
        </w:rPr>
      </w:pPr>
    </w:p>
    <w:p w14:paraId="662B76FB" w14:textId="77777777" w:rsidR="00A14A11" w:rsidRDefault="00C0182D" w:rsidP="003F4F8D">
      <w:pPr>
        <w:ind w:left="1440" w:hanging="1440"/>
        <w:jc w:val="both"/>
        <w:rPr>
          <w:b/>
        </w:rPr>
      </w:pPr>
      <w:r>
        <w:rPr>
          <w:b/>
        </w:rPr>
        <w:t xml:space="preserve">FUEL </w:t>
      </w:r>
    </w:p>
    <w:p w14:paraId="607CDEAC" w14:textId="6D190879" w:rsidR="003F4F8D" w:rsidRDefault="00C0182D" w:rsidP="003F4F8D">
      <w:pPr>
        <w:ind w:left="1440" w:hanging="1440"/>
        <w:jc w:val="both"/>
      </w:pPr>
      <w:r>
        <w:rPr>
          <w:b/>
        </w:rPr>
        <w:t>RETAILERS</w:t>
      </w:r>
      <w:r w:rsidR="003F4F8D">
        <w:rPr>
          <w:b/>
        </w:rPr>
        <w:t>:</w:t>
      </w:r>
      <w:r w:rsidR="00A14A11">
        <w:rPr>
          <w:b/>
        </w:rPr>
        <w:t xml:space="preserve"> </w:t>
      </w:r>
      <w:r w:rsidR="000316DC" w:rsidRPr="00132664">
        <w:t xml:space="preserve">No </w:t>
      </w:r>
      <w:r w:rsidR="00747CE3">
        <w:t>p</w:t>
      </w:r>
      <w:r w:rsidR="000316DC" w:rsidRPr="00132664">
        <w:t>osition.</w:t>
      </w:r>
    </w:p>
    <w:p w14:paraId="31776532" w14:textId="77777777" w:rsidR="00C11FCA" w:rsidRDefault="00C11FCA" w:rsidP="003F4F8D">
      <w:pPr>
        <w:ind w:left="1440" w:hanging="1440"/>
        <w:jc w:val="both"/>
      </w:pPr>
    </w:p>
    <w:p w14:paraId="4C71FA8B" w14:textId="298D6CB5" w:rsidR="00C11FCA" w:rsidRPr="00C11FCA" w:rsidRDefault="00FD408B" w:rsidP="003F4F8D">
      <w:pPr>
        <w:ind w:left="1440" w:hanging="1440"/>
        <w:jc w:val="both"/>
        <w:rPr>
          <w:b/>
        </w:rPr>
      </w:pPr>
      <w:r>
        <w:rPr>
          <w:b/>
        </w:rPr>
        <w:t>WALMART</w:t>
      </w:r>
      <w:r w:rsidR="00C11FCA">
        <w:rPr>
          <w:b/>
        </w:rPr>
        <w:t>:</w:t>
      </w:r>
      <w:r w:rsidR="00C11FCA">
        <w:rPr>
          <w:b/>
        </w:rPr>
        <w:tab/>
      </w:r>
      <w:r w:rsidR="00747CE3">
        <w:t>No position.</w:t>
      </w:r>
    </w:p>
    <w:p w14:paraId="4BA575FF" w14:textId="77777777" w:rsidR="003F4F8D" w:rsidRPr="00701945" w:rsidRDefault="003F4F8D" w:rsidP="003F4F8D">
      <w:pPr>
        <w:jc w:val="both"/>
      </w:pPr>
    </w:p>
    <w:p w14:paraId="25AC86C3" w14:textId="77777777" w:rsidR="003F4F8D" w:rsidRPr="005D4B47" w:rsidRDefault="003F4F8D" w:rsidP="003F4F8D">
      <w:pPr>
        <w:ind w:left="1440" w:hanging="1440"/>
        <w:jc w:val="both"/>
        <w:rPr>
          <w:b/>
          <w:bCs/>
        </w:rPr>
      </w:pPr>
      <w:r>
        <w:rPr>
          <w:b/>
          <w:bCs/>
        </w:rPr>
        <w:t>STAFF:</w:t>
      </w:r>
      <w:r>
        <w:rPr>
          <w:b/>
          <w:bCs/>
        </w:rPr>
        <w:tab/>
      </w:r>
      <w:r w:rsidR="00AC7E54">
        <w:t>No position at this time.</w:t>
      </w:r>
    </w:p>
    <w:p w14:paraId="66BAB97C" w14:textId="3537D12D" w:rsidR="003F4F8D" w:rsidRDefault="003F4F8D" w:rsidP="00C7699A">
      <w:pPr>
        <w:jc w:val="both"/>
      </w:pPr>
    </w:p>
    <w:p w14:paraId="396075D4" w14:textId="77777777" w:rsidR="00FC77F4" w:rsidRDefault="00FC77F4" w:rsidP="00C7699A">
      <w:pPr>
        <w:jc w:val="both"/>
      </w:pPr>
    </w:p>
    <w:p w14:paraId="2C2095FD" w14:textId="77777777" w:rsidR="003F4F8D" w:rsidRPr="006E0180" w:rsidRDefault="006E0180" w:rsidP="003F4F8D">
      <w:pPr>
        <w:ind w:left="1440" w:hanging="1440"/>
        <w:jc w:val="both"/>
        <w:rPr>
          <w:b/>
        </w:rPr>
      </w:pPr>
      <w:r>
        <w:rPr>
          <w:b/>
          <w:bCs/>
        </w:rPr>
        <w:t>ISSUE 85</w:t>
      </w:r>
      <w:r w:rsidR="003F4F8D" w:rsidRPr="00701945">
        <w:rPr>
          <w:b/>
          <w:bCs/>
        </w:rPr>
        <w:t>:</w:t>
      </w:r>
      <w:r w:rsidR="003F4F8D" w:rsidRPr="00701945">
        <w:tab/>
      </w:r>
      <w:r w:rsidRPr="006E0180">
        <w:rPr>
          <w:b/>
        </w:rPr>
        <w:t>Should the proposed tariff modifications to the Budget Billing Program (Fifth Revised Tariff Sheet No. 3.020) be approved?</w:t>
      </w:r>
    </w:p>
    <w:p w14:paraId="7926DB88" w14:textId="77777777" w:rsidR="003F4F8D" w:rsidRPr="00701945" w:rsidRDefault="003F4F8D" w:rsidP="003F4F8D">
      <w:pPr>
        <w:jc w:val="both"/>
      </w:pPr>
    </w:p>
    <w:p w14:paraId="62C0DB54" w14:textId="77777777" w:rsidR="003F4F8D" w:rsidRPr="005D4B47" w:rsidRDefault="003F4F8D" w:rsidP="003F4F8D">
      <w:pPr>
        <w:ind w:left="1440" w:hanging="1440"/>
        <w:jc w:val="both"/>
      </w:pPr>
      <w:r>
        <w:rPr>
          <w:b/>
          <w:bCs/>
        </w:rPr>
        <w:t>TECO</w:t>
      </w:r>
      <w:r w:rsidRPr="005D4B47">
        <w:rPr>
          <w:b/>
          <w:bCs/>
        </w:rPr>
        <w:t>:</w:t>
      </w:r>
      <w:r w:rsidRPr="005D4B47">
        <w:tab/>
      </w:r>
      <w:r w:rsidR="006E0180" w:rsidRPr="008F4D2F">
        <w:t>Yes. The proposed modifications are reasonable and should be approved. (Williams</w:t>
      </w:r>
      <w:r w:rsidR="006E0180">
        <w:t>, Sparkman</w:t>
      </w:r>
      <w:r w:rsidR="006E0180" w:rsidRPr="008F4D2F">
        <w:t>)</w:t>
      </w:r>
    </w:p>
    <w:p w14:paraId="1BAB0726" w14:textId="77777777" w:rsidR="003F4F8D" w:rsidRPr="00701945" w:rsidRDefault="003F4F8D" w:rsidP="003F4F8D">
      <w:pPr>
        <w:jc w:val="both"/>
      </w:pPr>
    </w:p>
    <w:p w14:paraId="0B3E0A49" w14:textId="77777777" w:rsidR="003F4F8D" w:rsidRDefault="003F4F8D" w:rsidP="003F4F8D">
      <w:pPr>
        <w:ind w:left="1440" w:hanging="1440"/>
        <w:jc w:val="both"/>
      </w:pPr>
      <w:r>
        <w:rPr>
          <w:b/>
          <w:bCs/>
        </w:rPr>
        <w:t>OPC</w:t>
      </w:r>
      <w:r w:rsidRPr="00701945">
        <w:rPr>
          <w:b/>
          <w:bCs/>
        </w:rPr>
        <w:t>:</w:t>
      </w:r>
      <w:r>
        <w:tab/>
      </w:r>
      <w:r w:rsidR="009C0E66" w:rsidRPr="003651AA">
        <w:t>No</w:t>
      </w:r>
      <w:r w:rsidR="009C0E66">
        <w:t xml:space="preserve"> position.</w:t>
      </w:r>
    </w:p>
    <w:p w14:paraId="661D3EF3" w14:textId="77777777" w:rsidR="003F4F8D" w:rsidRDefault="003F4F8D" w:rsidP="003F4F8D">
      <w:pPr>
        <w:ind w:left="1440" w:hanging="1440"/>
        <w:jc w:val="both"/>
      </w:pPr>
    </w:p>
    <w:p w14:paraId="0B04E578" w14:textId="77777777" w:rsidR="003F4F8D" w:rsidRDefault="003F4F8D" w:rsidP="003F4F8D">
      <w:pPr>
        <w:ind w:left="1440" w:hanging="1440"/>
        <w:jc w:val="both"/>
        <w:rPr>
          <w:b/>
        </w:rPr>
      </w:pPr>
      <w:r>
        <w:rPr>
          <w:b/>
        </w:rPr>
        <w:t>FL RISING/</w:t>
      </w:r>
    </w:p>
    <w:p w14:paraId="55E3E35E" w14:textId="77777777" w:rsidR="003F4F8D" w:rsidRDefault="003F4F8D" w:rsidP="003F4F8D">
      <w:pPr>
        <w:ind w:left="1440" w:hanging="1440"/>
        <w:jc w:val="both"/>
        <w:rPr>
          <w:b/>
        </w:rPr>
      </w:pPr>
      <w:r>
        <w:rPr>
          <w:b/>
        </w:rPr>
        <w:t>LULAC:</w:t>
      </w:r>
      <w:r>
        <w:rPr>
          <w:b/>
        </w:rPr>
        <w:tab/>
      </w:r>
      <w:r w:rsidR="009B5CD3" w:rsidRPr="6B86C3DB">
        <w:t xml:space="preserve">No, although other </w:t>
      </w:r>
      <w:r w:rsidR="009B5CD3" w:rsidRPr="29ED8B22">
        <w:t>modifications should be made</w:t>
      </w:r>
      <w:r w:rsidR="009B5CD3" w:rsidRPr="50E077C4">
        <w:t>.</w:t>
      </w:r>
    </w:p>
    <w:p w14:paraId="22965E86" w14:textId="77777777" w:rsidR="003F4F8D" w:rsidRDefault="003F4F8D" w:rsidP="003F4F8D">
      <w:pPr>
        <w:ind w:left="1440" w:hanging="1440"/>
        <w:jc w:val="both"/>
        <w:rPr>
          <w:b/>
        </w:rPr>
      </w:pPr>
    </w:p>
    <w:p w14:paraId="7DB4F831" w14:textId="75210A3B" w:rsidR="003F4F8D" w:rsidRDefault="003F4F8D" w:rsidP="003F4F8D">
      <w:pPr>
        <w:ind w:left="1440" w:hanging="1440"/>
        <w:jc w:val="both"/>
        <w:rPr>
          <w:b/>
        </w:rPr>
      </w:pPr>
      <w:r>
        <w:rPr>
          <w:b/>
        </w:rPr>
        <w:t>FIPUG:</w:t>
      </w:r>
      <w:r>
        <w:rPr>
          <w:b/>
        </w:rPr>
        <w:tab/>
      </w:r>
      <w:r w:rsidR="00613135">
        <w:rPr>
          <w:bCs/>
        </w:rPr>
        <w:t>No position.</w:t>
      </w:r>
    </w:p>
    <w:p w14:paraId="22A274E0" w14:textId="77777777" w:rsidR="003F4F8D" w:rsidRDefault="003F4F8D" w:rsidP="003F4F8D">
      <w:pPr>
        <w:ind w:left="1440" w:hanging="1440"/>
        <w:jc w:val="both"/>
        <w:rPr>
          <w:b/>
        </w:rPr>
      </w:pPr>
    </w:p>
    <w:p w14:paraId="4D6A7FA1" w14:textId="1BE86776" w:rsidR="003F4F8D" w:rsidRDefault="003F4F8D" w:rsidP="003F4F8D">
      <w:pPr>
        <w:ind w:left="1440" w:hanging="1440"/>
        <w:jc w:val="both"/>
        <w:rPr>
          <w:b/>
        </w:rPr>
      </w:pPr>
      <w:r>
        <w:rPr>
          <w:b/>
        </w:rPr>
        <w:t>FEA:</w:t>
      </w:r>
      <w:r>
        <w:rPr>
          <w:b/>
        </w:rPr>
        <w:tab/>
      </w:r>
      <w:r w:rsidR="00613135">
        <w:t>No position.</w:t>
      </w:r>
    </w:p>
    <w:p w14:paraId="09AF1D8E" w14:textId="77777777" w:rsidR="003F4F8D" w:rsidRDefault="003F4F8D" w:rsidP="003F4F8D">
      <w:pPr>
        <w:ind w:left="1440" w:hanging="1440"/>
        <w:jc w:val="both"/>
        <w:rPr>
          <w:b/>
        </w:rPr>
      </w:pPr>
    </w:p>
    <w:p w14:paraId="7313C9D2" w14:textId="77777777" w:rsidR="00A14A11" w:rsidRDefault="00764960" w:rsidP="003F4F8D">
      <w:pPr>
        <w:ind w:left="1440" w:hanging="1440"/>
        <w:jc w:val="both"/>
        <w:rPr>
          <w:b/>
        </w:rPr>
      </w:pPr>
      <w:r>
        <w:rPr>
          <w:b/>
        </w:rPr>
        <w:lastRenderedPageBreak/>
        <w:t xml:space="preserve">SIERRA </w:t>
      </w:r>
    </w:p>
    <w:p w14:paraId="1E0D90CD" w14:textId="119647D4" w:rsidR="003F4F8D" w:rsidRDefault="00764960" w:rsidP="003F4F8D">
      <w:pPr>
        <w:ind w:left="1440" w:hanging="1440"/>
        <w:jc w:val="both"/>
        <w:rPr>
          <w:b/>
        </w:rPr>
      </w:pPr>
      <w:r>
        <w:rPr>
          <w:b/>
        </w:rPr>
        <w:t>CLUB</w:t>
      </w:r>
      <w:r w:rsidR="003F4F8D">
        <w:rPr>
          <w:b/>
        </w:rPr>
        <w:t>:</w:t>
      </w:r>
      <w:r w:rsidR="003F4F8D">
        <w:rPr>
          <w:b/>
        </w:rPr>
        <w:tab/>
      </w:r>
      <w:r w:rsidR="00613135">
        <w:t xml:space="preserve">For each of the Issues in this category, </w:t>
      </w:r>
      <w:r w:rsidR="00613135" w:rsidRPr="001E3193">
        <w:t xml:space="preserve">Sierra Club has no position </w:t>
      </w:r>
      <w:r w:rsidR="00613135">
        <w:t>beyond generally supporting intervenor proposals to reduce energy burdens for residential customers</w:t>
      </w:r>
      <w:r w:rsidR="00516FCE" w:rsidRPr="001E3193">
        <w:t>.</w:t>
      </w:r>
    </w:p>
    <w:p w14:paraId="0978D581" w14:textId="77777777" w:rsidR="003F4F8D" w:rsidRDefault="003F4F8D" w:rsidP="003F4F8D">
      <w:pPr>
        <w:ind w:left="1440" w:hanging="1440"/>
        <w:jc w:val="both"/>
        <w:rPr>
          <w:b/>
        </w:rPr>
      </w:pPr>
    </w:p>
    <w:p w14:paraId="7BA35ED9" w14:textId="4562490F" w:rsidR="003F4F8D" w:rsidRPr="00603FCD" w:rsidRDefault="003F4F8D" w:rsidP="003F4F8D">
      <w:pPr>
        <w:ind w:left="1440" w:hanging="1440"/>
        <w:jc w:val="both"/>
      </w:pPr>
      <w:r w:rsidRPr="00603FCD">
        <w:rPr>
          <w:b/>
        </w:rPr>
        <w:t>FRF:</w:t>
      </w:r>
      <w:r>
        <w:rPr>
          <w:b/>
        </w:rPr>
        <w:tab/>
      </w:r>
      <w:r w:rsidR="00603FCD" w:rsidRPr="00603FCD">
        <w:t>No position.</w:t>
      </w:r>
    </w:p>
    <w:p w14:paraId="457A9262" w14:textId="77777777" w:rsidR="003F4F8D" w:rsidRDefault="003F4F8D" w:rsidP="003F4F8D">
      <w:pPr>
        <w:ind w:left="1440" w:hanging="1440"/>
        <w:jc w:val="both"/>
        <w:rPr>
          <w:b/>
        </w:rPr>
      </w:pPr>
    </w:p>
    <w:p w14:paraId="6D6176B9" w14:textId="77777777" w:rsidR="00A14A11" w:rsidRDefault="00C0182D" w:rsidP="003F4F8D">
      <w:pPr>
        <w:ind w:left="1440" w:hanging="1440"/>
        <w:jc w:val="both"/>
        <w:rPr>
          <w:b/>
        </w:rPr>
      </w:pPr>
      <w:r>
        <w:rPr>
          <w:b/>
        </w:rPr>
        <w:t xml:space="preserve">FUEL </w:t>
      </w:r>
    </w:p>
    <w:p w14:paraId="0A4E94A5" w14:textId="3E56ACB6" w:rsidR="003F4F8D" w:rsidRDefault="00C0182D" w:rsidP="003F4F8D">
      <w:pPr>
        <w:ind w:left="1440" w:hanging="1440"/>
        <w:jc w:val="both"/>
      </w:pPr>
      <w:r>
        <w:rPr>
          <w:b/>
        </w:rPr>
        <w:t>RETAILERS</w:t>
      </w:r>
      <w:r w:rsidR="003F4F8D">
        <w:rPr>
          <w:b/>
        </w:rPr>
        <w:t>:</w:t>
      </w:r>
      <w:r w:rsidR="00A14A11">
        <w:rPr>
          <w:b/>
        </w:rPr>
        <w:t xml:space="preserve"> </w:t>
      </w:r>
      <w:r w:rsidR="000316DC" w:rsidRPr="00132664">
        <w:t xml:space="preserve">No </w:t>
      </w:r>
      <w:r w:rsidR="00603FCD">
        <w:t>p</w:t>
      </w:r>
      <w:r w:rsidR="000316DC" w:rsidRPr="00132664">
        <w:t>osition.</w:t>
      </w:r>
    </w:p>
    <w:p w14:paraId="03A925A8" w14:textId="77777777" w:rsidR="00C11FCA" w:rsidRDefault="00C11FCA" w:rsidP="003F4F8D">
      <w:pPr>
        <w:ind w:left="1440" w:hanging="1440"/>
        <w:jc w:val="both"/>
      </w:pPr>
    </w:p>
    <w:p w14:paraId="0B165BDA" w14:textId="38612B88" w:rsidR="00C11FCA" w:rsidRPr="00C11FCA" w:rsidRDefault="00FD408B" w:rsidP="003F4F8D">
      <w:pPr>
        <w:ind w:left="1440" w:hanging="1440"/>
        <w:jc w:val="both"/>
        <w:rPr>
          <w:b/>
        </w:rPr>
      </w:pPr>
      <w:r>
        <w:rPr>
          <w:b/>
        </w:rPr>
        <w:t>WALMART</w:t>
      </w:r>
      <w:r w:rsidR="00C11FCA">
        <w:rPr>
          <w:b/>
        </w:rPr>
        <w:t>:</w:t>
      </w:r>
      <w:r w:rsidR="00C11FCA">
        <w:rPr>
          <w:b/>
        </w:rPr>
        <w:tab/>
      </w:r>
      <w:r w:rsidR="00603FCD">
        <w:t>No position.</w:t>
      </w:r>
    </w:p>
    <w:p w14:paraId="73CE680C" w14:textId="77777777" w:rsidR="003F4F8D" w:rsidRPr="00701945" w:rsidRDefault="003F4F8D" w:rsidP="003F4F8D">
      <w:pPr>
        <w:jc w:val="both"/>
      </w:pPr>
    </w:p>
    <w:p w14:paraId="507A9ADB" w14:textId="77777777" w:rsidR="003F4F8D" w:rsidRPr="005D4B47" w:rsidRDefault="003F4F8D" w:rsidP="003F4F8D">
      <w:pPr>
        <w:ind w:left="1440" w:hanging="1440"/>
        <w:jc w:val="both"/>
        <w:rPr>
          <w:b/>
          <w:bCs/>
        </w:rPr>
      </w:pPr>
      <w:r>
        <w:rPr>
          <w:b/>
          <w:bCs/>
        </w:rPr>
        <w:t>STAFF:</w:t>
      </w:r>
      <w:r>
        <w:rPr>
          <w:b/>
          <w:bCs/>
        </w:rPr>
        <w:tab/>
      </w:r>
      <w:r w:rsidR="00AC7E54">
        <w:t>No position at this time.</w:t>
      </w:r>
    </w:p>
    <w:p w14:paraId="0A939F33" w14:textId="77777777" w:rsidR="003F4F8D" w:rsidRDefault="003F4F8D" w:rsidP="00C7699A">
      <w:pPr>
        <w:jc w:val="both"/>
      </w:pPr>
    </w:p>
    <w:p w14:paraId="5C4F209F" w14:textId="77777777" w:rsidR="003F4F8D" w:rsidRDefault="003F4F8D" w:rsidP="00C7699A">
      <w:pPr>
        <w:jc w:val="both"/>
      </w:pPr>
    </w:p>
    <w:p w14:paraId="62A35D55" w14:textId="77777777" w:rsidR="003F4F8D" w:rsidRPr="007715CE" w:rsidRDefault="007715CE" w:rsidP="003F4F8D">
      <w:pPr>
        <w:ind w:left="1440" w:hanging="1440"/>
        <w:jc w:val="both"/>
        <w:rPr>
          <w:b/>
        </w:rPr>
      </w:pPr>
      <w:r>
        <w:rPr>
          <w:b/>
          <w:bCs/>
        </w:rPr>
        <w:t>ISSUE 86</w:t>
      </w:r>
      <w:r w:rsidR="003F4F8D" w:rsidRPr="00701945">
        <w:rPr>
          <w:b/>
          <w:bCs/>
        </w:rPr>
        <w:t>:</w:t>
      </w:r>
      <w:r w:rsidR="003F4F8D" w:rsidRPr="00701945">
        <w:tab/>
      </w:r>
      <w:r w:rsidRPr="007715CE">
        <w:rPr>
          <w:b/>
        </w:rPr>
        <w:t>Should the proposed tariff modifications regarding general liability and customer responsibilities (Fifth Revised Tariff Sheet No. 5.070 and Original Tariff Sheet No. 5.081) be approved?</w:t>
      </w:r>
    </w:p>
    <w:p w14:paraId="30408376" w14:textId="77777777" w:rsidR="003F4F8D" w:rsidRPr="00701945" w:rsidRDefault="003F4F8D" w:rsidP="003F4F8D">
      <w:pPr>
        <w:jc w:val="both"/>
      </w:pPr>
    </w:p>
    <w:p w14:paraId="360009D4" w14:textId="77777777" w:rsidR="003F4F8D" w:rsidRPr="005D4B47" w:rsidRDefault="003F4F8D" w:rsidP="003F4F8D">
      <w:pPr>
        <w:ind w:left="1440" w:hanging="1440"/>
        <w:jc w:val="both"/>
      </w:pPr>
      <w:r>
        <w:rPr>
          <w:b/>
          <w:bCs/>
        </w:rPr>
        <w:t>TECO</w:t>
      </w:r>
      <w:r w:rsidRPr="005D4B47">
        <w:rPr>
          <w:b/>
          <w:bCs/>
        </w:rPr>
        <w:t>:</w:t>
      </w:r>
      <w:r w:rsidRPr="005D4B47">
        <w:tab/>
      </w:r>
      <w:r w:rsidR="007715CE" w:rsidRPr="008F4D2F">
        <w:t>Yes. The proposed modifications are reasonable and should be approved. (Williams)</w:t>
      </w:r>
    </w:p>
    <w:p w14:paraId="3A85DA31" w14:textId="77777777" w:rsidR="003F4F8D" w:rsidRPr="00701945" w:rsidRDefault="003F4F8D" w:rsidP="003F4F8D">
      <w:pPr>
        <w:jc w:val="both"/>
      </w:pPr>
    </w:p>
    <w:p w14:paraId="3C104AEA" w14:textId="77777777" w:rsidR="003F4F8D" w:rsidRDefault="003F4F8D" w:rsidP="003F4F8D">
      <w:pPr>
        <w:ind w:left="1440" w:hanging="1440"/>
        <w:jc w:val="both"/>
      </w:pPr>
      <w:r>
        <w:rPr>
          <w:b/>
          <w:bCs/>
        </w:rPr>
        <w:t>OPC</w:t>
      </w:r>
      <w:r w:rsidRPr="00701945">
        <w:rPr>
          <w:b/>
          <w:bCs/>
        </w:rPr>
        <w:t>:</w:t>
      </w:r>
      <w:r>
        <w:tab/>
      </w:r>
      <w:r w:rsidR="009C0E66" w:rsidRPr="003651AA">
        <w:t>No</w:t>
      </w:r>
      <w:r w:rsidR="009C0E66">
        <w:t xml:space="preserve"> position.</w:t>
      </w:r>
    </w:p>
    <w:p w14:paraId="5816C6ED" w14:textId="77777777" w:rsidR="003F4F8D" w:rsidRDefault="003F4F8D" w:rsidP="003F4F8D">
      <w:pPr>
        <w:ind w:left="1440" w:hanging="1440"/>
        <w:jc w:val="both"/>
      </w:pPr>
    </w:p>
    <w:p w14:paraId="7CDA5CB8" w14:textId="77777777" w:rsidR="003F4F8D" w:rsidRDefault="003F4F8D" w:rsidP="003F4F8D">
      <w:pPr>
        <w:ind w:left="1440" w:hanging="1440"/>
        <w:jc w:val="both"/>
        <w:rPr>
          <w:b/>
        </w:rPr>
      </w:pPr>
      <w:r>
        <w:rPr>
          <w:b/>
        </w:rPr>
        <w:t>FL RISING/</w:t>
      </w:r>
    </w:p>
    <w:p w14:paraId="6023EAE4" w14:textId="77777777" w:rsidR="003F4F8D" w:rsidRDefault="003F4F8D" w:rsidP="003F4F8D">
      <w:pPr>
        <w:ind w:left="1440" w:hanging="1440"/>
        <w:jc w:val="both"/>
        <w:rPr>
          <w:b/>
        </w:rPr>
      </w:pPr>
      <w:r>
        <w:rPr>
          <w:b/>
        </w:rPr>
        <w:t>LULAC:</w:t>
      </w:r>
      <w:r>
        <w:rPr>
          <w:b/>
        </w:rPr>
        <w:tab/>
      </w:r>
      <w:r w:rsidR="009B5CD3">
        <w:t>No.</w:t>
      </w:r>
    </w:p>
    <w:p w14:paraId="5CF703F8" w14:textId="77777777" w:rsidR="003F4F8D" w:rsidRDefault="003F4F8D" w:rsidP="003F4F8D">
      <w:pPr>
        <w:ind w:left="1440" w:hanging="1440"/>
        <w:jc w:val="both"/>
        <w:rPr>
          <w:b/>
        </w:rPr>
      </w:pPr>
    </w:p>
    <w:p w14:paraId="0B602474" w14:textId="56F93266" w:rsidR="003F4F8D" w:rsidRDefault="003F4F8D" w:rsidP="003F4F8D">
      <w:pPr>
        <w:ind w:left="1440" w:hanging="1440"/>
        <w:jc w:val="both"/>
        <w:rPr>
          <w:b/>
        </w:rPr>
      </w:pPr>
      <w:r w:rsidRPr="00252CA4">
        <w:rPr>
          <w:b/>
        </w:rPr>
        <w:t>FIPUG:</w:t>
      </w:r>
      <w:r>
        <w:rPr>
          <w:b/>
        </w:rPr>
        <w:tab/>
      </w:r>
      <w:r w:rsidR="00056898">
        <w:t>No position.</w:t>
      </w:r>
    </w:p>
    <w:p w14:paraId="02632413" w14:textId="77777777" w:rsidR="003F4F8D" w:rsidRDefault="003F4F8D" w:rsidP="003F4F8D">
      <w:pPr>
        <w:ind w:left="1440" w:hanging="1440"/>
        <w:jc w:val="both"/>
        <w:rPr>
          <w:b/>
        </w:rPr>
      </w:pPr>
    </w:p>
    <w:p w14:paraId="306BADA4" w14:textId="7EF01317" w:rsidR="003F4F8D" w:rsidRDefault="003F4F8D" w:rsidP="003F4F8D">
      <w:pPr>
        <w:ind w:left="1440" w:hanging="1440"/>
        <w:jc w:val="both"/>
      </w:pPr>
      <w:r>
        <w:rPr>
          <w:b/>
        </w:rPr>
        <w:t>FEA:</w:t>
      </w:r>
      <w:r>
        <w:rPr>
          <w:b/>
        </w:rPr>
        <w:tab/>
      </w:r>
      <w:r w:rsidR="00056898">
        <w:t>No position.</w:t>
      </w:r>
    </w:p>
    <w:p w14:paraId="5B19500A" w14:textId="77777777" w:rsidR="00FC77F4" w:rsidRDefault="00FC77F4" w:rsidP="003F4F8D">
      <w:pPr>
        <w:ind w:left="1440" w:hanging="1440"/>
        <w:jc w:val="both"/>
        <w:rPr>
          <w:b/>
        </w:rPr>
      </w:pPr>
    </w:p>
    <w:p w14:paraId="69CF21E3" w14:textId="77777777" w:rsidR="00A14A11" w:rsidRDefault="00764960" w:rsidP="003F4F8D">
      <w:pPr>
        <w:ind w:left="1440" w:hanging="1440"/>
        <w:jc w:val="both"/>
        <w:rPr>
          <w:b/>
        </w:rPr>
      </w:pPr>
      <w:r>
        <w:rPr>
          <w:b/>
        </w:rPr>
        <w:t xml:space="preserve">SIERRA </w:t>
      </w:r>
    </w:p>
    <w:p w14:paraId="1BCB63B0" w14:textId="26849295" w:rsidR="003F4F8D" w:rsidRDefault="00764960" w:rsidP="003F4F8D">
      <w:pPr>
        <w:ind w:left="1440" w:hanging="1440"/>
        <w:jc w:val="both"/>
        <w:rPr>
          <w:b/>
        </w:rPr>
      </w:pPr>
      <w:r>
        <w:rPr>
          <w:b/>
        </w:rPr>
        <w:t>CLUB</w:t>
      </w:r>
      <w:r w:rsidR="003F4F8D">
        <w:rPr>
          <w:b/>
        </w:rPr>
        <w:t>:</w:t>
      </w:r>
      <w:r w:rsidR="003F4F8D">
        <w:rPr>
          <w:b/>
        </w:rPr>
        <w:tab/>
      </w:r>
      <w:r w:rsidR="005A0D00">
        <w:t xml:space="preserve">For each of the Issues in this category, </w:t>
      </w:r>
      <w:r w:rsidR="005A0D00" w:rsidRPr="001E3193">
        <w:t xml:space="preserve">Sierra Club has no position </w:t>
      </w:r>
      <w:r w:rsidR="005A0D00">
        <w:t>beyond generally supporting intervenor proposals to reduce energy burdens for residential customers</w:t>
      </w:r>
      <w:r w:rsidR="00516FCE" w:rsidRPr="001E3193">
        <w:t>.</w:t>
      </w:r>
    </w:p>
    <w:p w14:paraId="64BC11AE" w14:textId="77777777" w:rsidR="003F4F8D" w:rsidRDefault="003F4F8D" w:rsidP="003F4F8D">
      <w:pPr>
        <w:ind w:left="1440" w:hanging="1440"/>
        <w:jc w:val="both"/>
        <w:rPr>
          <w:b/>
        </w:rPr>
      </w:pPr>
    </w:p>
    <w:p w14:paraId="1DFF29A3" w14:textId="5016C244" w:rsidR="003F4F8D" w:rsidRDefault="003F4F8D" w:rsidP="003F4F8D">
      <w:pPr>
        <w:ind w:left="1440" w:hanging="1440"/>
        <w:jc w:val="both"/>
        <w:rPr>
          <w:b/>
        </w:rPr>
      </w:pPr>
      <w:r>
        <w:rPr>
          <w:b/>
        </w:rPr>
        <w:t>FRF:</w:t>
      </w:r>
      <w:r>
        <w:rPr>
          <w:b/>
        </w:rPr>
        <w:tab/>
      </w:r>
      <w:r w:rsidR="005A0D00">
        <w:t>No position.</w:t>
      </w:r>
    </w:p>
    <w:p w14:paraId="60ED1B7E" w14:textId="77777777" w:rsidR="003F4F8D" w:rsidRDefault="003F4F8D" w:rsidP="003F4F8D">
      <w:pPr>
        <w:ind w:left="1440" w:hanging="1440"/>
        <w:jc w:val="both"/>
        <w:rPr>
          <w:b/>
        </w:rPr>
      </w:pPr>
    </w:p>
    <w:p w14:paraId="23CC6913" w14:textId="77777777" w:rsidR="00A14A11" w:rsidRDefault="00C0182D" w:rsidP="003F4F8D">
      <w:pPr>
        <w:ind w:left="1440" w:hanging="1440"/>
        <w:jc w:val="both"/>
        <w:rPr>
          <w:b/>
        </w:rPr>
      </w:pPr>
      <w:r>
        <w:rPr>
          <w:b/>
        </w:rPr>
        <w:t xml:space="preserve">FUEL </w:t>
      </w:r>
    </w:p>
    <w:p w14:paraId="0344A358" w14:textId="0078718E" w:rsidR="003F4F8D" w:rsidRDefault="00C0182D" w:rsidP="003F4F8D">
      <w:pPr>
        <w:ind w:left="1440" w:hanging="1440"/>
        <w:jc w:val="both"/>
      </w:pPr>
      <w:r>
        <w:rPr>
          <w:b/>
        </w:rPr>
        <w:t>RETAILERS</w:t>
      </w:r>
      <w:r w:rsidR="003F4F8D">
        <w:rPr>
          <w:b/>
        </w:rPr>
        <w:t>:</w:t>
      </w:r>
      <w:r w:rsidR="00A14A11">
        <w:rPr>
          <w:b/>
        </w:rPr>
        <w:t xml:space="preserve"> </w:t>
      </w:r>
      <w:r w:rsidR="000316DC" w:rsidRPr="00132664">
        <w:t xml:space="preserve">No </w:t>
      </w:r>
      <w:r w:rsidR="005A0D00">
        <w:t>p</w:t>
      </w:r>
      <w:r w:rsidR="000316DC" w:rsidRPr="00132664">
        <w:t>osition.</w:t>
      </w:r>
    </w:p>
    <w:p w14:paraId="7B3B1007" w14:textId="77777777" w:rsidR="00C11FCA" w:rsidRDefault="00C11FCA" w:rsidP="003F4F8D">
      <w:pPr>
        <w:ind w:left="1440" w:hanging="1440"/>
        <w:jc w:val="both"/>
      </w:pPr>
    </w:p>
    <w:p w14:paraId="4E951295" w14:textId="6EFB42C7" w:rsidR="003F4F8D" w:rsidRDefault="00FD408B" w:rsidP="005A0D00">
      <w:pPr>
        <w:ind w:left="1440" w:hanging="1440"/>
        <w:jc w:val="both"/>
      </w:pPr>
      <w:r>
        <w:rPr>
          <w:b/>
        </w:rPr>
        <w:t>WALMART</w:t>
      </w:r>
      <w:r w:rsidR="00C11FCA">
        <w:rPr>
          <w:b/>
        </w:rPr>
        <w:t>:</w:t>
      </w:r>
      <w:r w:rsidR="00C11FCA">
        <w:rPr>
          <w:b/>
        </w:rPr>
        <w:tab/>
      </w:r>
      <w:r w:rsidR="005A0D00">
        <w:t>No position.</w:t>
      </w:r>
    </w:p>
    <w:p w14:paraId="383DCED2" w14:textId="77777777" w:rsidR="005A0D00" w:rsidRPr="00701945" w:rsidRDefault="005A0D00" w:rsidP="005A0D00">
      <w:pPr>
        <w:ind w:left="1440" w:hanging="1440"/>
        <w:jc w:val="both"/>
      </w:pPr>
    </w:p>
    <w:p w14:paraId="47F6BBF0" w14:textId="77777777" w:rsidR="003F4F8D" w:rsidRPr="005D4B47" w:rsidRDefault="003F4F8D" w:rsidP="003F4F8D">
      <w:pPr>
        <w:ind w:left="1440" w:hanging="1440"/>
        <w:jc w:val="both"/>
        <w:rPr>
          <w:b/>
          <w:bCs/>
        </w:rPr>
      </w:pPr>
      <w:r>
        <w:rPr>
          <w:b/>
          <w:bCs/>
        </w:rPr>
        <w:t>STAFF:</w:t>
      </w:r>
      <w:r>
        <w:rPr>
          <w:b/>
          <w:bCs/>
        </w:rPr>
        <w:tab/>
      </w:r>
      <w:r w:rsidR="00AC7E54">
        <w:t>No position at this time.</w:t>
      </w:r>
    </w:p>
    <w:p w14:paraId="5F94CFE9" w14:textId="77777777" w:rsidR="003F4F8D" w:rsidRDefault="003F4F8D" w:rsidP="00C7699A">
      <w:pPr>
        <w:jc w:val="both"/>
      </w:pPr>
    </w:p>
    <w:p w14:paraId="6DED2E30" w14:textId="77777777" w:rsidR="003F4F8D" w:rsidRPr="007715CE" w:rsidRDefault="007715CE" w:rsidP="003F4F8D">
      <w:pPr>
        <w:ind w:left="1440" w:hanging="1440"/>
        <w:jc w:val="both"/>
        <w:rPr>
          <w:b/>
        </w:rPr>
      </w:pPr>
      <w:r>
        <w:rPr>
          <w:b/>
          <w:bCs/>
        </w:rPr>
        <w:lastRenderedPageBreak/>
        <w:t>ISSUE 87</w:t>
      </w:r>
      <w:r w:rsidR="003F4F8D" w:rsidRPr="00701945">
        <w:rPr>
          <w:b/>
          <w:bCs/>
        </w:rPr>
        <w:t>:</w:t>
      </w:r>
      <w:r w:rsidR="003F4F8D" w:rsidRPr="00701945">
        <w:tab/>
      </w:r>
      <w:r w:rsidRPr="007715CE">
        <w:rPr>
          <w:b/>
        </w:rPr>
        <w:t>Should the proposed tariff modifications to Contribution in Aid of Construction (Fifth Revised Tariff Sheet No. 5.105) be approved?</w:t>
      </w:r>
    </w:p>
    <w:p w14:paraId="3F11DECC" w14:textId="77777777" w:rsidR="003F4F8D" w:rsidRPr="00701945" w:rsidRDefault="003F4F8D" w:rsidP="003F4F8D">
      <w:pPr>
        <w:jc w:val="both"/>
      </w:pPr>
    </w:p>
    <w:p w14:paraId="2B9D1F96" w14:textId="77777777" w:rsidR="003F4F8D" w:rsidRPr="005D4B47" w:rsidRDefault="003F4F8D" w:rsidP="003F4F8D">
      <w:pPr>
        <w:ind w:left="1440" w:hanging="1440"/>
        <w:jc w:val="both"/>
      </w:pPr>
      <w:r>
        <w:rPr>
          <w:b/>
          <w:bCs/>
        </w:rPr>
        <w:t>TECO</w:t>
      </w:r>
      <w:r w:rsidRPr="005D4B47">
        <w:rPr>
          <w:b/>
          <w:bCs/>
        </w:rPr>
        <w:t>:</w:t>
      </w:r>
      <w:r w:rsidRPr="005D4B47">
        <w:tab/>
      </w:r>
      <w:r w:rsidR="007715CE" w:rsidRPr="008F4D2F">
        <w:t>Yes. The proposed modifications are reasonable and should be approved. (Williams</w:t>
      </w:r>
      <w:r w:rsidR="007715CE">
        <w:t>, Sparkman</w:t>
      </w:r>
      <w:r w:rsidR="007715CE" w:rsidRPr="008F4D2F">
        <w:t>)</w:t>
      </w:r>
    </w:p>
    <w:p w14:paraId="45D19169" w14:textId="77777777" w:rsidR="003F4F8D" w:rsidRPr="00701945" w:rsidRDefault="003F4F8D" w:rsidP="003F4F8D">
      <w:pPr>
        <w:jc w:val="both"/>
      </w:pPr>
    </w:p>
    <w:p w14:paraId="13C453C5" w14:textId="77777777" w:rsidR="003F4F8D" w:rsidRDefault="003F4F8D" w:rsidP="003F4F8D">
      <w:pPr>
        <w:ind w:left="1440" w:hanging="1440"/>
        <w:jc w:val="both"/>
      </w:pPr>
      <w:r>
        <w:rPr>
          <w:b/>
          <w:bCs/>
        </w:rPr>
        <w:t>OPC</w:t>
      </w:r>
      <w:r w:rsidRPr="00701945">
        <w:rPr>
          <w:b/>
          <w:bCs/>
        </w:rPr>
        <w:t>:</w:t>
      </w:r>
      <w:r>
        <w:tab/>
      </w:r>
      <w:r w:rsidR="009C0E66" w:rsidRPr="003651AA">
        <w:t>No</w:t>
      </w:r>
      <w:r w:rsidR="009C0E66" w:rsidRPr="00B852F9">
        <w:t>,</w:t>
      </w:r>
      <w:r w:rsidR="009C0E66">
        <w:t xml:space="preserve"> the proposed tariff modification to CIAC should not be approved unless all installment payments of CIAC are fully credited to the benefit of the customer before the plant is placed in service.</w:t>
      </w:r>
    </w:p>
    <w:p w14:paraId="6DCE723F" w14:textId="77777777" w:rsidR="003F4F8D" w:rsidRDefault="003F4F8D" w:rsidP="003F4F8D">
      <w:pPr>
        <w:ind w:left="1440" w:hanging="1440"/>
        <w:jc w:val="both"/>
      </w:pPr>
    </w:p>
    <w:p w14:paraId="2401D83E" w14:textId="77777777" w:rsidR="003F4F8D" w:rsidRDefault="003F4F8D" w:rsidP="003F4F8D">
      <w:pPr>
        <w:ind w:left="1440" w:hanging="1440"/>
        <w:jc w:val="both"/>
        <w:rPr>
          <w:b/>
        </w:rPr>
      </w:pPr>
      <w:r>
        <w:rPr>
          <w:b/>
        </w:rPr>
        <w:t>FL RISING/</w:t>
      </w:r>
    </w:p>
    <w:p w14:paraId="75D19803" w14:textId="77777777" w:rsidR="003F4F8D" w:rsidRDefault="003F4F8D" w:rsidP="003F4F8D">
      <w:pPr>
        <w:ind w:left="1440" w:hanging="1440"/>
        <w:jc w:val="both"/>
        <w:rPr>
          <w:b/>
        </w:rPr>
      </w:pPr>
      <w:r>
        <w:rPr>
          <w:b/>
        </w:rPr>
        <w:t>LULAC:</w:t>
      </w:r>
      <w:r>
        <w:rPr>
          <w:b/>
        </w:rPr>
        <w:tab/>
      </w:r>
      <w:r w:rsidR="009B5CD3">
        <w:t>No.</w:t>
      </w:r>
    </w:p>
    <w:p w14:paraId="04C1B4F6" w14:textId="77777777" w:rsidR="003F4F8D" w:rsidRDefault="003F4F8D" w:rsidP="003F4F8D">
      <w:pPr>
        <w:ind w:left="1440" w:hanging="1440"/>
        <w:jc w:val="both"/>
        <w:rPr>
          <w:b/>
        </w:rPr>
      </w:pPr>
    </w:p>
    <w:p w14:paraId="1647FD3D" w14:textId="01BE4D39" w:rsidR="003F4F8D" w:rsidRDefault="003F4F8D" w:rsidP="003F4F8D">
      <w:pPr>
        <w:ind w:left="1440" w:hanging="1440"/>
        <w:jc w:val="both"/>
        <w:rPr>
          <w:b/>
        </w:rPr>
      </w:pPr>
      <w:r>
        <w:rPr>
          <w:b/>
        </w:rPr>
        <w:t>FIPUG:</w:t>
      </w:r>
      <w:r>
        <w:rPr>
          <w:b/>
        </w:rPr>
        <w:tab/>
      </w:r>
      <w:r w:rsidR="009D1832" w:rsidRPr="00F5435C">
        <w:rPr>
          <w:bCs/>
        </w:rPr>
        <w:t>No position.</w:t>
      </w:r>
    </w:p>
    <w:p w14:paraId="62CAC5A7" w14:textId="77777777" w:rsidR="003F4F8D" w:rsidRDefault="003F4F8D" w:rsidP="003F4F8D">
      <w:pPr>
        <w:ind w:left="1440" w:hanging="1440"/>
        <w:jc w:val="both"/>
        <w:rPr>
          <w:b/>
        </w:rPr>
      </w:pPr>
    </w:p>
    <w:p w14:paraId="180D963A" w14:textId="7B6F77CD" w:rsidR="003F4F8D" w:rsidRDefault="003F4F8D" w:rsidP="003F4F8D">
      <w:pPr>
        <w:ind w:left="1440" w:hanging="1440"/>
        <w:jc w:val="both"/>
        <w:rPr>
          <w:b/>
        </w:rPr>
      </w:pPr>
      <w:r>
        <w:rPr>
          <w:b/>
        </w:rPr>
        <w:t>FEA:</w:t>
      </w:r>
      <w:r>
        <w:rPr>
          <w:b/>
        </w:rPr>
        <w:tab/>
      </w:r>
      <w:r w:rsidR="00B6373D">
        <w:t>No position.</w:t>
      </w:r>
    </w:p>
    <w:p w14:paraId="5C48DA87" w14:textId="77777777" w:rsidR="003F4F8D" w:rsidRDefault="003F4F8D" w:rsidP="003F4F8D">
      <w:pPr>
        <w:ind w:left="1440" w:hanging="1440"/>
        <w:jc w:val="both"/>
        <w:rPr>
          <w:b/>
        </w:rPr>
      </w:pPr>
    </w:p>
    <w:p w14:paraId="17F50D9F" w14:textId="77777777" w:rsidR="00A14A11" w:rsidRDefault="00764960" w:rsidP="003F4F8D">
      <w:pPr>
        <w:ind w:left="1440" w:hanging="1440"/>
        <w:jc w:val="both"/>
        <w:rPr>
          <w:b/>
        </w:rPr>
      </w:pPr>
      <w:r>
        <w:rPr>
          <w:b/>
        </w:rPr>
        <w:t xml:space="preserve">SIERRA </w:t>
      </w:r>
    </w:p>
    <w:p w14:paraId="71F4545E" w14:textId="79214A87" w:rsidR="003F4F8D" w:rsidRDefault="00764960" w:rsidP="003F4F8D">
      <w:pPr>
        <w:ind w:left="1440" w:hanging="1440"/>
        <w:jc w:val="both"/>
        <w:rPr>
          <w:b/>
        </w:rPr>
      </w:pPr>
      <w:r>
        <w:rPr>
          <w:b/>
        </w:rPr>
        <w:t>CLUB</w:t>
      </w:r>
      <w:r w:rsidR="003F4F8D">
        <w:rPr>
          <w:b/>
        </w:rPr>
        <w:t>:</w:t>
      </w:r>
      <w:r w:rsidR="003F4F8D">
        <w:rPr>
          <w:b/>
        </w:rPr>
        <w:tab/>
      </w:r>
      <w:r w:rsidR="00B6373D">
        <w:t xml:space="preserve">For each of the Issues in this category, </w:t>
      </w:r>
      <w:r w:rsidR="00B6373D" w:rsidRPr="001E3193">
        <w:t xml:space="preserve">Sierra Club has no position </w:t>
      </w:r>
      <w:r w:rsidR="00B6373D">
        <w:t>beyond generally supporting intervenor proposals to reduce energy burdens for residential customers</w:t>
      </w:r>
      <w:r w:rsidR="00516FCE" w:rsidRPr="001E3193">
        <w:t>.</w:t>
      </w:r>
    </w:p>
    <w:p w14:paraId="4555867F" w14:textId="77777777" w:rsidR="003F4F8D" w:rsidRDefault="003F4F8D" w:rsidP="003F4F8D">
      <w:pPr>
        <w:ind w:left="1440" w:hanging="1440"/>
        <w:jc w:val="both"/>
        <w:rPr>
          <w:b/>
        </w:rPr>
      </w:pPr>
    </w:p>
    <w:p w14:paraId="7D1582C9" w14:textId="6345D63D" w:rsidR="003F4F8D" w:rsidRDefault="003F4F8D" w:rsidP="003F4F8D">
      <w:pPr>
        <w:ind w:left="1440" w:hanging="1440"/>
        <w:jc w:val="both"/>
        <w:rPr>
          <w:b/>
        </w:rPr>
      </w:pPr>
      <w:r>
        <w:rPr>
          <w:b/>
        </w:rPr>
        <w:t>FRF:</w:t>
      </w:r>
      <w:r>
        <w:rPr>
          <w:b/>
        </w:rPr>
        <w:tab/>
      </w:r>
      <w:r w:rsidR="00B26B52">
        <w:t>Agree</w:t>
      </w:r>
      <w:r w:rsidR="00270F4D">
        <w:t>s</w:t>
      </w:r>
      <w:r w:rsidR="00B26B52">
        <w:t xml:space="preserve"> with OPC.</w:t>
      </w:r>
    </w:p>
    <w:p w14:paraId="3D475241" w14:textId="77777777" w:rsidR="003F4F8D" w:rsidRDefault="003F4F8D" w:rsidP="003F4F8D">
      <w:pPr>
        <w:ind w:left="1440" w:hanging="1440"/>
        <w:jc w:val="both"/>
        <w:rPr>
          <w:b/>
        </w:rPr>
      </w:pPr>
    </w:p>
    <w:p w14:paraId="62F0A5F2" w14:textId="77777777" w:rsidR="00A14A11" w:rsidRDefault="00C0182D" w:rsidP="003F4F8D">
      <w:pPr>
        <w:ind w:left="1440" w:hanging="1440"/>
        <w:jc w:val="both"/>
        <w:rPr>
          <w:b/>
        </w:rPr>
      </w:pPr>
      <w:r>
        <w:rPr>
          <w:b/>
        </w:rPr>
        <w:t xml:space="preserve">FUEL </w:t>
      </w:r>
    </w:p>
    <w:p w14:paraId="742B5D8E" w14:textId="526670B1" w:rsidR="003F4F8D" w:rsidRDefault="00C0182D" w:rsidP="003F4F8D">
      <w:pPr>
        <w:ind w:left="1440" w:hanging="1440"/>
        <w:jc w:val="both"/>
      </w:pPr>
      <w:r>
        <w:rPr>
          <w:b/>
        </w:rPr>
        <w:t>RETAILERS</w:t>
      </w:r>
      <w:r w:rsidR="003F4F8D">
        <w:rPr>
          <w:b/>
        </w:rPr>
        <w:t>:</w:t>
      </w:r>
      <w:r w:rsidR="00A14A11">
        <w:rPr>
          <w:b/>
        </w:rPr>
        <w:t xml:space="preserve"> </w:t>
      </w:r>
      <w:r w:rsidR="000316DC" w:rsidRPr="00132664">
        <w:t xml:space="preserve">No </w:t>
      </w:r>
      <w:r w:rsidR="00270F4D">
        <w:t>p</w:t>
      </w:r>
      <w:r w:rsidR="000316DC" w:rsidRPr="00132664">
        <w:t>osition.</w:t>
      </w:r>
    </w:p>
    <w:p w14:paraId="3EB0F78A" w14:textId="77777777" w:rsidR="00C11FCA" w:rsidRDefault="00C11FCA" w:rsidP="003F4F8D">
      <w:pPr>
        <w:ind w:left="1440" w:hanging="1440"/>
        <w:jc w:val="both"/>
      </w:pPr>
    </w:p>
    <w:p w14:paraId="261532CA" w14:textId="089512C9" w:rsidR="00C11FCA" w:rsidRPr="00C11FCA" w:rsidRDefault="00FD408B" w:rsidP="003F4F8D">
      <w:pPr>
        <w:ind w:left="1440" w:hanging="1440"/>
        <w:jc w:val="both"/>
        <w:rPr>
          <w:b/>
        </w:rPr>
      </w:pPr>
      <w:r>
        <w:rPr>
          <w:b/>
        </w:rPr>
        <w:t>WALMART</w:t>
      </w:r>
      <w:r w:rsidR="00C11FCA">
        <w:rPr>
          <w:b/>
        </w:rPr>
        <w:t>:</w:t>
      </w:r>
      <w:r w:rsidR="00C11FCA">
        <w:rPr>
          <w:b/>
        </w:rPr>
        <w:tab/>
      </w:r>
      <w:r w:rsidR="00270F4D">
        <w:t>A</w:t>
      </w:r>
      <w:r w:rsidR="00C11FCA">
        <w:t>grees with OPC.</w:t>
      </w:r>
    </w:p>
    <w:p w14:paraId="164A3811" w14:textId="77777777" w:rsidR="003F4F8D" w:rsidRPr="00701945" w:rsidRDefault="003F4F8D" w:rsidP="003F4F8D">
      <w:pPr>
        <w:jc w:val="both"/>
      </w:pPr>
    </w:p>
    <w:p w14:paraId="38559EFF" w14:textId="078D3271" w:rsidR="003F4F8D" w:rsidRDefault="003F4F8D" w:rsidP="003F4F8D">
      <w:pPr>
        <w:ind w:left="1440" w:hanging="1440"/>
        <w:jc w:val="both"/>
      </w:pPr>
      <w:r>
        <w:rPr>
          <w:b/>
          <w:bCs/>
        </w:rPr>
        <w:t>STAFF:</w:t>
      </w:r>
      <w:r>
        <w:rPr>
          <w:b/>
          <w:bCs/>
        </w:rPr>
        <w:tab/>
      </w:r>
      <w:r w:rsidR="00AC7E54">
        <w:t>No position at this time.</w:t>
      </w:r>
    </w:p>
    <w:p w14:paraId="4ED4BBAB" w14:textId="06802BFF" w:rsidR="006B44DB" w:rsidRDefault="006B44DB" w:rsidP="003F4F8D">
      <w:pPr>
        <w:ind w:left="1440" w:hanging="1440"/>
        <w:jc w:val="both"/>
      </w:pPr>
    </w:p>
    <w:p w14:paraId="7E2494CC" w14:textId="77777777" w:rsidR="006B44DB" w:rsidRPr="005D4B47" w:rsidRDefault="006B44DB" w:rsidP="003F4F8D">
      <w:pPr>
        <w:ind w:left="1440" w:hanging="1440"/>
        <w:jc w:val="both"/>
        <w:rPr>
          <w:b/>
          <w:bCs/>
        </w:rPr>
      </w:pPr>
    </w:p>
    <w:p w14:paraId="642F5DBB" w14:textId="77777777" w:rsidR="003F4F8D" w:rsidRPr="007715CE" w:rsidRDefault="007715CE" w:rsidP="003F4F8D">
      <w:pPr>
        <w:ind w:left="1440" w:hanging="1440"/>
        <w:jc w:val="both"/>
        <w:rPr>
          <w:b/>
        </w:rPr>
      </w:pPr>
      <w:r>
        <w:rPr>
          <w:b/>
          <w:bCs/>
        </w:rPr>
        <w:t>ISSUE 88</w:t>
      </w:r>
      <w:r w:rsidR="003F4F8D" w:rsidRPr="00701945">
        <w:rPr>
          <w:b/>
          <w:bCs/>
        </w:rPr>
        <w:t>:</w:t>
      </w:r>
      <w:r w:rsidR="003F4F8D" w:rsidRPr="00701945">
        <w:tab/>
      </w:r>
      <w:r w:rsidRPr="007715CE">
        <w:rPr>
          <w:b/>
        </w:rPr>
        <w:t>Should the proposed tariff modifications to the Economic Development Rider (Third Revised Tariff Sheet Nos. 6.720, 6.725, 6.730) be approved?</w:t>
      </w:r>
    </w:p>
    <w:p w14:paraId="082BC134" w14:textId="77777777" w:rsidR="003F4F8D" w:rsidRPr="00701945" w:rsidRDefault="003F4F8D" w:rsidP="003F4F8D">
      <w:pPr>
        <w:jc w:val="both"/>
      </w:pPr>
    </w:p>
    <w:p w14:paraId="119F9B72" w14:textId="77777777" w:rsidR="003F4F8D" w:rsidRPr="005D4B47" w:rsidRDefault="003F4F8D" w:rsidP="003F4F8D">
      <w:pPr>
        <w:ind w:left="1440" w:hanging="1440"/>
        <w:jc w:val="both"/>
      </w:pPr>
      <w:r>
        <w:rPr>
          <w:b/>
          <w:bCs/>
        </w:rPr>
        <w:t>TECO</w:t>
      </w:r>
      <w:r w:rsidRPr="005D4B47">
        <w:rPr>
          <w:b/>
          <w:bCs/>
        </w:rPr>
        <w:t>:</w:t>
      </w:r>
      <w:r w:rsidRPr="005D4B47">
        <w:tab/>
      </w:r>
      <w:r w:rsidR="007715CE" w:rsidRPr="008F4D2F">
        <w:t>Yes. The proposed modifications are reasonable and should be approved. (Williams</w:t>
      </w:r>
      <w:r w:rsidR="007715CE">
        <w:t>, Sparkman</w:t>
      </w:r>
      <w:r w:rsidR="007715CE" w:rsidRPr="008F4D2F">
        <w:t>)</w:t>
      </w:r>
    </w:p>
    <w:p w14:paraId="331B16B1" w14:textId="77777777" w:rsidR="003F4F8D" w:rsidRPr="00701945" w:rsidRDefault="003F4F8D" w:rsidP="003F4F8D">
      <w:pPr>
        <w:jc w:val="both"/>
      </w:pPr>
    </w:p>
    <w:p w14:paraId="31425992" w14:textId="77777777" w:rsidR="003F4F8D" w:rsidRDefault="003F4F8D" w:rsidP="003F4F8D">
      <w:pPr>
        <w:ind w:left="1440" w:hanging="1440"/>
        <w:jc w:val="both"/>
      </w:pPr>
      <w:r>
        <w:rPr>
          <w:b/>
          <w:bCs/>
        </w:rPr>
        <w:t>OPC</w:t>
      </w:r>
      <w:r w:rsidRPr="00701945">
        <w:rPr>
          <w:b/>
          <w:bCs/>
        </w:rPr>
        <w:t>:</w:t>
      </w:r>
      <w:r>
        <w:tab/>
      </w:r>
      <w:r w:rsidR="009C0E66" w:rsidRPr="003651AA">
        <w:t>No</w:t>
      </w:r>
      <w:r w:rsidR="009C0E66">
        <w:t xml:space="preserve"> position.</w:t>
      </w:r>
    </w:p>
    <w:p w14:paraId="597304A3" w14:textId="77777777" w:rsidR="003F4F8D" w:rsidRDefault="003F4F8D" w:rsidP="003F4F8D">
      <w:pPr>
        <w:ind w:left="1440" w:hanging="1440"/>
        <w:jc w:val="both"/>
      </w:pPr>
    </w:p>
    <w:p w14:paraId="2C85CFCF" w14:textId="77777777" w:rsidR="003F4F8D" w:rsidRDefault="003F4F8D" w:rsidP="003F4F8D">
      <w:pPr>
        <w:ind w:left="1440" w:hanging="1440"/>
        <w:jc w:val="both"/>
        <w:rPr>
          <w:b/>
        </w:rPr>
      </w:pPr>
      <w:r>
        <w:rPr>
          <w:b/>
        </w:rPr>
        <w:t>FL RISING/</w:t>
      </w:r>
    </w:p>
    <w:p w14:paraId="248215F0" w14:textId="77777777" w:rsidR="003F4F8D" w:rsidRDefault="003F4F8D" w:rsidP="003F4F8D">
      <w:pPr>
        <w:ind w:left="1440" w:hanging="1440"/>
        <w:jc w:val="both"/>
        <w:rPr>
          <w:b/>
        </w:rPr>
      </w:pPr>
      <w:r>
        <w:rPr>
          <w:b/>
        </w:rPr>
        <w:t>LULAC:</w:t>
      </w:r>
      <w:r>
        <w:rPr>
          <w:b/>
        </w:rPr>
        <w:tab/>
      </w:r>
      <w:r w:rsidR="009B5CD3" w:rsidRPr="3BA3296B">
        <w:t xml:space="preserve">No, the entire </w:t>
      </w:r>
      <w:r w:rsidR="009B5CD3" w:rsidRPr="51E1CB85">
        <w:t xml:space="preserve">Rider should be </w:t>
      </w:r>
      <w:r w:rsidR="009B5CD3" w:rsidRPr="5D7009E8">
        <w:t>stricken</w:t>
      </w:r>
      <w:r w:rsidR="009B5CD3" w:rsidRPr="390F131B">
        <w:t>.</w:t>
      </w:r>
    </w:p>
    <w:p w14:paraId="2D905495" w14:textId="77777777" w:rsidR="003F4F8D" w:rsidRDefault="003F4F8D" w:rsidP="003F4F8D">
      <w:pPr>
        <w:ind w:left="1440" w:hanging="1440"/>
        <w:jc w:val="both"/>
        <w:rPr>
          <w:b/>
        </w:rPr>
      </w:pPr>
    </w:p>
    <w:p w14:paraId="15099B0B" w14:textId="7BACD233" w:rsidR="003F4F8D" w:rsidRDefault="003F4F8D" w:rsidP="003F4F8D">
      <w:pPr>
        <w:ind w:left="1440" w:hanging="1440"/>
        <w:jc w:val="both"/>
        <w:rPr>
          <w:b/>
        </w:rPr>
      </w:pPr>
      <w:r>
        <w:rPr>
          <w:b/>
        </w:rPr>
        <w:t>FIPUG:</w:t>
      </w:r>
      <w:r>
        <w:rPr>
          <w:b/>
        </w:rPr>
        <w:tab/>
      </w:r>
      <w:r w:rsidR="009D1832" w:rsidRPr="00F5435C">
        <w:rPr>
          <w:bCs/>
        </w:rPr>
        <w:t>No position.</w:t>
      </w:r>
    </w:p>
    <w:p w14:paraId="2C8DB057" w14:textId="77777777" w:rsidR="003F4F8D" w:rsidRDefault="003F4F8D" w:rsidP="003F4F8D">
      <w:pPr>
        <w:ind w:left="1440" w:hanging="1440"/>
        <w:jc w:val="both"/>
        <w:rPr>
          <w:b/>
        </w:rPr>
      </w:pPr>
    </w:p>
    <w:p w14:paraId="52B2CE0D" w14:textId="27AB4332" w:rsidR="003F4F8D" w:rsidRDefault="003F4F8D" w:rsidP="003F4F8D">
      <w:pPr>
        <w:ind w:left="1440" w:hanging="1440"/>
        <w:jc w:val="both"/>
        <w:rPr>
          <w:b/>
        </w:rPr>
      </w:pPr>
      <w:r>
        <w:rPr>
          <w:b/>
        </w:rPr>
        <w:lastRenderedPageBreak/>
        <w:t>FEA:</w:t>
      </w:r>
      <w:r>
        <w:rPr>
          <w:b/>
        </w:rPr>
        <w:tab/>
      </w:r>
      <w:r w:rsidR="003D2C18">
        <w:t>No position.</w:t>
      </w:r>
    </w:p>
    <w:p w14:paraId="30979766" w14:textId="77777777" w:rsidR="003F4F8D" w:rsidRDefault="003F4F8D" w:rsidP="003F4F8D">
      <w:pPr>
        <w:ind w:left="1440" w:hanging="1440"/>
        <w:jc w:val="both"/>
        <w:rPr>
          <w:b/>
        </w:rPr>
      </w:pPr>
    </w:p>
    <w:p w14:paraId="7717F47E" w14:textId="77777777" w:rsidR="00A14A11" w:rsidRDefault="00764960" w:rsidP="003F4F8D">
      <w:pPr>
        <w:ind w:left="1440" w:hanging="1440"/>
        <w:jc w:val="both"/>
        <w:rPr>
          <w:b/>
        </w:rPr>
      </w:pPr>
      <w:r>
        <w:rPr>
          <w:b/>
        </w:rPr>
        <w:t xml:space="preserve">SIERRA </w:t>
      </w:r>
    </w:p>
    <w:p w14:paraId="4297F341" w14:textId="5B077DBF" w:rsidR="003F4F8D" w:rsidRDefault="00764960" w:rsidP="003F4F8D">
      <w:pPr>
        <w:ind w:left="1440" w:hanging="1440"/>
        <w:jc w:val="both"/>
        <w:rPr>
          <w:b/>
        </w:rPr>
      </w:pPr>
      <w:r>
        <w:rPr>
          <w:b/>
        </w:rPr>
        <w:t>CLUB</w:t>
      </w:r>
      <w:r w:rsidR="003F4F8D">
        <w:rPr>
          <w:b/>
        </w:rPr>
        <w:t>:</w:t>
      </w:r>
      <w:r w:rsidR="003F4F8D">
        <w:rPr>
          <w:b/>
        </w:rPr>
        <w:tab/>
      </w:r>
      <w:r w:rsidR="003D2C18">
        <w:t xml:space="preserve">For each of the Issues in this category, </w:t>
      </w:r>
      <w:r w:rsidR="003D2C18" w:rsidRPr="001E3193">
        <w:t xml:space="preserve">Sierra Club has no position </w:t>
      </w:r>
      <w:r w:rsidR="003D2C18">
        <w:t>beyond generally supporting intervenor proposals to reduce energy burdens for residential customers</w:t>
      </w:r>
      <w:r w:rsidR="00516FCE" w:rsidRPr="001E3193">
        <w:t>.</w:t>
      </w:r>
    </w:p>
    <w:p w14:paraId="5A5BDE3A" w14:textId="77777777" w:rsidR="003F4F8D" w:rsidRDefault="003F4F8D" w:rsidP="003F4F8D">
      <w:pPr>
        <w:ind w:left="1440" w:hanging="1440"/>
        <w:jc w:val="both"/>
        <w:rPr>
          <w:b/>
        </w:rPr>
      </w:pPr>
    </w:p>
    <w:p w14:paraId="11693A34" w14:textId="6B278A30" w:rsidR="003F4F8D" w:rsidRDefault="003F4F8D" w:rsidP="003F4F8D">
      <w:pPr>
        <w:ind w:left="1440" w:hanging="1440"/>
        <w:jc w:val="both"/>
        <w:rPr>
          <w:b/>
        </w:rPr>
      </w:pPr>
      <w:r>
        <w:rPr>
          <w:b/>
        </w:rPr>
        <w:t>FRF:</w:t>
      </w:r>
      <w:r>
        <w:rPr>
          <w:b/>
        </w:rPr>
        <w:tab/>
      </w:r>
      <w:r w:rsidR="003D2C18">
        <w:t>No position.</w:t>
      </w:r>
    </w:p>
    <w:p w14:paraId="0CEA9C49" w14:textId="77777777" w:rsidR="003F4F8D" w:rsidRDefault="003F4F8D" w:rsidP="003F4F8D">
      <w:pPr>
        <w:ind w:left="1440" w:hanging="1440"/>
        <w:jc w:val="both"/>
        <w:rPr>
          <w:b/>
        </w:rPr>
      </w:pPr>
    </w:p>
    <w:p w14:paraId="67150F08" w14:textId="77777777" w:rsidR="00A14A11" w:rsidRDefault="00C0182D" w:rsidP="003F4F8D">
      <w:pPr>
        <w:ind w:left="1440" w:hanging="1440"/>
        <w:jc w:val="both"/>
        <w:rPr>
          <w:b/>
        </w:rPr>
      </w:pPr>
      <w:r>
        <w:rPr>
          <w:b/>
        </w:rPr>
        <w:t xml:space="preserve">FUEL </w:t>
      </w:r>
    </w:p>
    <w:p w14:paraId="1F7A4343" w14:textId="0F6BBB0B" w:rsidR="003F4F8D" w:rsidRDefault="00C0182D" w:rsidP="003F4F8D">
      <w:pPr>
        <w:ind w:left="1440" w:hanging="1440"/>
        <w:jc w:val="both"/>
      </w:pPr>
      <w:r>
        <w:rPr>
          <w:b/>
        </w:rPr>
        <w:t>RETAILERS</w:t>
      </w:r>
      <w:r w:rsidR="003F4F8D">
        <w:rPr>
          <w:b/>
        </w:rPr>
        <w:t>:</w:t>
      </w:r>
      <w:r w:rsidR="00A14A11">
        <w:rPr>
          <w:b/>
        </w:rPr>
        <w:t xml:space="preserve"> </w:t>
      </w:r>
      <w:r w:rsidR="000316DC" w:rsidRPr="00132664">
        <w:t xml:space="preserve">No </w:t>
      </w:r>
      <w:r w:rsidR="003D2C18">
        <w:t>p</w:t>
      </w:r>
      <w:r w:rsidR="000316DC" w:rsidRPr="00132664">
        <w:t>osition.</w:t>
      </w:r>
    </w:p>
    <w:p w14:paraId="3073114C" w14:textId="77777777" w:rsidR="00C11FCA" w:rsidRDefault="00C11FCA" w:rsidP="003F4F8D">
      <w:pPr>
        <w:ind w:left="1440" w:hanging="1440"/>
        <w:jc w:val="both"/>
      </w:pPr>
    </w:p>
    <w:p w14:paraId="496B4DAD" w14:textId="5E8ACB7C" w:rsidR="00C11FCA" w:rsidRPr="00C11FCA" w:rsidRDefault="00FD408B" w:rsidP="003F4F8D">
      <w:pPr>
        <w:ind w:left="1440" w:hanging="1440"/>
        <w:jc w:val="both"/>
        <w:rPr>
          <w:b/>
        </w:rPr>
      </w:pPr>
      <w:r>
        <w:rPr>
          <w:b/>
        </w:rPr>
        <w:t>WALMART</w:t>
      </w:r>
      <w:r w:rsidR="00C11FCA">
        <w:rPr>
          <w:b/>
        </w:rPr>
        <w:t>:</w:t>
      </w:r>
      <w:r w:rsidR="00C11FCA">
        <w:rPr>
          <w:b/>
        </w:rPr>
        <w:tab/>
      </w:r>
      <w:r w:rsidR="003D2C18">
        <w:t>No position.</w:t>
      </w:r>
    </w:p>
    <w:p w14:paraId="348FC11D" w14:textId="77777777" w:rsidR="003F4F8D" w:rsidRPr="00701945" w:rsidRDefault="003F4F8D" w:rsidP="003F4F8D">
      <w:pPr>
        <w:jc w:val="both"/>
      </w:pPr>
    </w:p>
    <w:p w14:paraId="09F03228" w14:textId="77777777" w:rsidR="003F4F8D" w:rsidRPr="005D4B47" w:rsidRDefault="003F4F8D" w:rsidP="003F4F8D">
      <w:pPr>
        <w:ind w:left="1440" w:hanging="1440"/>
        <w:jc w:val="both"/>
        <w:rPr>
          <w:b/>
          <w:bCs/>
        </w:rPr>
      </w:pPr>
      <w:r>
        <w:rPr>
          <w:b/>
          <w:bCs/>
        </w:rPr>
        <w:t>STAFF:</w:t>
      </w:r>
      <w:r>
        <w:rPr>
          <w:b/>
          <w:bCs/>
        </w:rPr>
        <w:tab/>
      </w:r>
      <w:r w:rsidR="00AC7E54">
        <w:t>No position at this time.</w:t>
      </w:r>
    </w:p>
    <w:p w14:paraId="5EC0D9FB" w14:textId="77777777" w:rsidR="003F4F8D" w:rsidRDefault="003F4F8D" w:rsidP="00C7699A">
      <w:pPr>
        <w:jc w:val="both"/>
      </w:pPr>
    </w:p>
    <w:p w14:paraId="27776DE4" w14:textId="77777777" w:rsidR="003F4F8D" w:rsidRDefault="003F4F8D" w:rsidP="00C7699A">
      <w:pPr>
        <w:jc w:val="both"/>
      </w:pPr>
    </w:p>
    <w:p w14:paraId="2BBF9966" w14:textId="77777777" w:rsidR="003F4F8D" w:rsidRPr="007715CE" w:rsidRDefault="007715CE" w:rsidP="003F4F8D">
      <w:pPr>
        <w:ind w:left="1440" w:hanging="1440"/>
        <w:jc w:val="both"/>
        <w:rPr>
          <w:b/>
        </w:rPr>
      </w:pPr>
      <w:r>
        <w:rPr>
          <w:b/>
          <w:bCs/>
        </w:rPr>
        <w:t>ISSUE 89</w:t>
      </w:r>
      <w:r w:rsidR="003F4F8D" w:rsidRPr="00701945">
        <w:rPr>
          <w:b/>
          <w:bCs/>
        </w:rPr>
        <w:t>:</w:t>
      </w:r>
      <w:r w:rsidR="003F4F8D" w:rsidRPr="00701945">
        <w:tab/>
      </w:r>
      <w:r w:rsidRPr="007715CE">
        <w:rPr>
          <w:b/>
        </w:rPr>
        <w:t>Should the proposed modifications to LS-1 (Eleventh Revised Tariff Sheet No. 6.809) regarding lighting wattage variance be approved?</w:t>
      </w:r>
    </w:p>
    <w:p w14:paraId="706CA229" w14:textId="77777777" w:rsidR="003F4F8D" w:rsidRPr="00701945" w:rsidRDefault="003F4F8D" w:rsidP="003F4F8D">
      <w:pPr>
        <w:jc w:val="both"/>
      </w:pPr>
    </w:p>
    <w:p w14:paraId="1296035F" w14:textId="77777777" w:rsidR="003F4F8D" w:rsidRPr="005D4B47" w:rsidRDefault="003F4F8D" w:rsidP="003F4F8D">
      <w:pPr>
        <w:ind w:left="1440" w:hanging="1440"/>
        <w:jc w:val="both"/>
      </w:pPr>
      <w:r>
        <w:rPr>
          <w:b/>
          <w:bCs/>
        </w:rPr>
        <w:t>TECO</w:t>
      </w:r>
      <w:r w:rsidRPr="005D4B47">
        <w:rPr>
          <w:b/>
          <w:bCs/>
        </w:rPr>
        <w:t>:</w:t>
      </w:r>
      <w:r w:rsidRPr="005D4B47">
        <w:tab/>
      </w:r>
      <w:r w:rsidR="007715CE" w:rsidRPr="008F4D2F">
        <w:t>Yes. The proposed modifications are reasonable and should be approved. (Williams</w:t>
      </w:r>
      <w:r w:rsidR="007715CE">
        <w:t>, Sparkman</w:t>
      </w:r>
      <w:r w:rsidR="007715CE" w:rsidRPr="008F4D2F">
        <w:t>)</w:t>
      </w:r>
    </w:p>
    <w:p w14:paraId="200C0C62" w14:textId="77777777" w:rsidR="003F4F8D" w:rsidRPr="00701945" w:rsidRDefault="003F4F8D" w:rsidP="003F4F8D">
      <w:pPr>
        <w:jc w:val="both"/>
      </w:pPr>
    </w:p>
    <w:p w14:paraId="0943E046" w14:textId="77777777" w:rsidR="003F4F8D" w:rsidRDefault="003F4F8D" w:rsidP="003F4F8D">
      <w:pPr>
        <w:ind w:left="1440" w:hanging="1440"/>
        <w:jc w:val="both"/>
      </w:pPr>
      <w:r>
        <w:rPr>
          <w:b/>
          <w:bCs/>
        </w:rPr>
        <w:t>OPC</w:t>
      </w:r>
      <w:r w:rsidRPr="00701945">
        <w:rPr>
          <w:b/>
          <w:bCs/>
        </w:rPr>
        <w:t>:</w:t>
      </w:r>
      <w:r>
        <w:tab/>
      </w:r>
      <w:r w:rsidR="00D175D0">
        <w:t>No position.</w:t>
      </w:r>
    </w:p>
    <w:p w14:paraId="0BFF9AA6" w14:textId="77777777" w:rsidR="003F4F8D" w:rsidRDefault="003F4F8D" w:rsidP="003F4F8D">
      <w:pPr>
        <w:ind w:left="1440" w:hanging="1440"/>
        <w:jc w:val="both"/>
      </w:pPr>
    </w:p>
    <w:p w14:paraId="67DC9523" w14:textId="77777777" w:rsidR="003F4F8D" w:rsidRDefault="003F4F8D" w:rsidP="003F4F8D">
      <w:pPr>
        <w:ind w:left="1440" w:hanging="1440"/>
        <w:jc w:val="both"/>
        <w:rPr>
          <w:b/>
        </w:rPr>
      </w:pPr>
      <w:r>
        <w:rPr>
          <w:b/>
        </w:rPr>
        <w:t>FL RISING/</w:t>
      </w:r>
    </w:p>
    <w:p w14:paraId="145260D2" w14:textId="77777777" w:rsidR="003F4F8D" w:rsidRDefault="003F4F8D" w:rsidP="003F4F8D">
      <w:pPr>
        <w:ind w:left="1440" w:hanging="1440"/>
        <w:jc w:val="both"/>
        <w:rPr>
          <w:b/>
        </w:rPr>
      </w:pPr>
      <w:r>
        <w:rPr>
          <w:b/>
        </w:rPr>
        <w:t>LULAC:</w:t>
      </w:r>
      <w:r>
        <w:rPr>
          <w:b/>
        </w:rPr>
        <w:tab/>
      </w:r>
      <w:r w:rsidR="009B5CD3">
        <w:t>Yes</w:t>
      </w:r>
      <w:r w:rsidR="009B5CD3" w:rsidRPr="670E0570">
        <w:t>.</w:t>
      </w:r>
    </w:p>
    <w:p w14:paraId="37590A7E" w14:textId="77777777" w:rsidR="003F4F8D" w:rsidRDefault="003F4F8D" w:rsidP="003F4F8D">
      <w:pPr>
        <w:ind w:left="1440" w:hanging="1440"/>
        <w:jc w:val="both"/>
        <w:rPr>
          <w:b/>
        </w:rPr>
      </w:pPr>
    </w:p>
    <w:p w14:paraId="6DF45212" w14:textId="6C536D33" w:rsidR="003F4F8D" w:rsidRDefault="003F4F8D" w:rsidP="003F4F8D">
      <w:pPr>
        <w:ind w:left="1440" w:hanging="1440"/>
        <w:jc w:val="both"/>
        <w:rPr>
          <w:b/>
        </w:rPr>
      </w:pPr>
      <w:r>
        <w:rPr>
          <w:b/>
        </w:rPr>
        <w:t>FIPUG:</w:t>
      </w:r>
      <w:r>
        <w:rPr>
          <w:b/>
        </w:rPr>
        <w:tab/>
      </w:r>
      <w:r w:rsidR="009D1832" w:rsidRPr="00F5435C">
        <w:rPr>
          <w:bCs/>
        </w:rPr>
        <w:t>No position.</w:t>
      </w:r>
    </w:p>
    <w:p w14:paraId="50FD759F" w14:textId="77777777" w:rsidR="003F4F8D" w:rsidRDefault="003F4F8D" w:rsidP="003F4F8D">
      <w:pPr>
        <w:ind w:left="1440" w:hanging="1440"/>
        <w:jc w:val="both"/>
        <w:rPr>
          <w:b/>
        </w:rPr>
      </w:pPr>
    </w:p>
    <w:p w14:paraId="269642FC" w14:textId="5C4CA5FF" w:rsidR="003F4F8D" w:rsidRDefault="003F4F8D" w:rsidP="003F4F8D">
      <w:pPr>
        <w:ind w:left="1440" w:hanging="1440"/>
        <w:jc w:val="both"/>
        <w:rPr>
          <w:b/>
        </w:rPr>
      </w:pPr>
      <w:r>
        <w:rPr>
          <w:b/>
        </w:rPr>
        <w:t>FEA:</w:t>
      </w:r>
      <w:r>
        <w:rPr>
          <w:b/>
        </w:rPr>
        <w:tab/>
      </w:r>
      <w:r w:rsidR="0050104A">
        <w:t>No position.</w:t>
      </w:r>
    </w:p>
    <w:p w14:paraId="6D947870" w14:textId="77777777" w:rsidR="003F4F8D" w:rsidRDefault="003F4F8D" w:rsidP="003F4F8D">
      <w:pPr>
        <w:ind w:left="1440" w:hanging="1440"/>
        <w:jc w:val="both"/>
        <w:rPr>
          <w:b/>
        </w:rPr>
      </w:pPr>
    </w:p>
    <w:p w14:paraId="3380B765" w14:textId="77777777" w:rsidR="00A14A11" w:rsidRDefault="00764960" w:rsidP="003F4F8D">
      <w:pPr>
        <w:ind w:left="1440" w:hanging="1440"/>
        <w:jc w:val="both"/>
        <w:rPr>
          <w:b/>
        </w:rPr>
      </w:pPr>
      <w:r>
        <w:rPr>
          <w:b/>
        </w:rPr>
        <w:t xml:space="preserve">SIERRA </w:t>
      </w:r>
    </w:p>
    <w:p w14:paraId="73DD580C" w14:textId="21A81375" w:rsidR="003F4F8D" w:rsidRDefault="00764960" w:rsidP="003F4F8D">
      <w:pPr>
        <w:ind w:left="1440" w:hanging="1440"/>
        <w:jc w:val="both"/>
        <w:rPr>
          <w:b/>
        </w:rPr>
      </w:pPr>
      <w:r>
        <w:rPr>
          <w:b/>
        </w:rPr>
        <w:t>CLUB</w:t>
      </w:r>
      <w:r w:rsidR="003F4F8D">
        <w:rPr>
          <w:b/>
        </w:rPr>
        <w:t>:</w:t>
      </w:r>
      <w:r w:rsidR="003F4F8D">
        <w:rPr>
          <w:b/>
        </w:rPr>
        <w:tab/>
      </w:r>
      <w:r w:rsidR="008072F5">
        <w:t xml:space="preserve">For each of the Issues in this category, </w:t>
      </w:r>
      <w:r w:rsidR="008072F5" w:rsidRPr="001E3193">
        <w:t xml:space="preserve">Sierra Club has no position </w:t>
      </w:r>
      <w:r w:rsidR="008072F5">
        <w:t>beyond generally supporting intervenor proposals to reduce energy burdens for residential customers</w:t>
      </w:r>
      <w:r w:rsidR="00516FCE" w:rsidRPr="001E3193">
        <w:t>.</w:t>
      </w:r>
    </w:p>
    <w:p w14:paraId="0D87ABD7" w14:textId="77777777" w:rsidR="003F4F8D" w:rsidRDefault="003F4F8D" w:rsidP="003F4F8D">
      <w:pPr>
        <w:ind w:left="1440" w:hanging="1440"/>
        <w:jc w:val="both"/>
        <w:rPr>
          <w:b/>
        </w:rPr>
      </w:pPr>
    </w:p>
    <w:p w14:paraId="28D804BD" w14:textId="5D1ABEE1" w:rsidR="003F4F8D" w:rsidRDefault="003F4F8D" w:rsidP="003F4F8D">
      <w:pPr>
        <w:ind w:left="1440" w:hanging="1440"/>
        <w:jc w:val="both"/>
        <w:rPr>
          <w:b/>
        </w:rPr>
      </w:pPr>
      <w:r>
        <w:rPr>
          <w:b/>
        </w:rPr>
        <w:t>FRF:</w:t>
      </w:r>
      <w:r>
        <w:rPr>
          <w:b/>
        </w:rPr>
        <w:tab/>
      </w:r>
      <w:r w:rsidR="008072F5">
        <w:t>No position.</w:t>
      </w:r>
    </w:p>
    <w:p w14:paraId="023A91E4" w14:textId="77777777" w:rsidR="003F4F8D" w:rsidRDefault="003F4F8D" w:rsidP="003F4F8D">
      <w:pPr>
        <w:ind w:left="1440" w:hanging="1440"/>
        <w:jc w:val="both"/>
        <w:rPr>
          <w:b/>
        </w:rPr>
      </w:pPr>
    </w:p>
    <w:p w14:paraId="5FBF6F72" w14:textId="77777777" w:rsidR="00A14A11" w:rsidRDefault="00C0182D" w:rsidP="003F4F8D">
      <w:pPr>
        <w:ind w:left="1440" w:hanging="1440"/>
        <w:jc w:val="both"/>
        <w:rPr>
          <w:b/>
        </w:rPr>
      </w:pPr>
      <w:r>
        <w:rPr>
          <w:b/>
        </w:rPr>
        <w:t xml:space="preserve">FUEL </w:t>
      </w:r>
    </w:p>
    <w:p w14:paraId="1BFB9965" w14:textId="059C8EAE" w:rsidR="003F4F8D" w:rsidRDefault="00C0182D" w:rsidP="003F4F8D">
      <w:pPr>
        <w:ind w:left="1440" w:hanging="1440"/>
        <w:jc w:val="both"/>
      </w:pPr>
      <w:r>
        <w:rPr>
          <w:b/>
        </w:rPr>
        <w:t>RETAILERS</w:t>
      </w:r>
      <w:r w:rsidR="003F4F8D">
        <w:rPr>
          <w:b/>
        </w:rPr>
        <w:t>:</w:t>
      </w:r>
      <w:r w:rsidR="00A14A11">
        <w:rPr>
          <w:b/>
        </w:rPr>
        <w:t xml:space="preserve"> </w:t>
      </w:r>
      <w:r w:rsidR="000316DC" w:rsidRPr="00132664">
        <w:t xml:space="preserve">No </w:t>
      </w:r>
      <w:r w:rsidR="008072F5">
        <w:t>p</w:t>
      </w:r>
      <w:r w:rsidR="000316DC" w:rsidRPr="00132664">
        <w:t>osition.</w:t>
      </w:r>
    </w:p>
    <w:p w14:paraId="1E3868B3" w14:textId="77777777" w:rsidR="00C11FCA" w:rsidRDefault="00C11FCA" w:rsidP="003F4F8D">
      <w:pPr>
        <w:ind w:left="1440" w:hanging="1440"/>
        <w:jc w:val="both"/>
      </w:pPr>
    </w:p>
    <w:p w14:paraId="75155D90" w14:textId="2D41A92F" w:rsidR="00C11FCA" w:rsidRPr="00C11FCA" w:rsidRDefault="00FD408B" w:rsidP="003F4F8D">
      <w:pPr>
        <w:ind w:left="1440" w:hanging="1440"/>
        <w:jc w:val="both"/>
        <w:rPr>
          <w:b/>
        </w:rPr>
      </w:pPr>
      <w:r>
        <w:rPr>
          <w:b/>
        </w:rPr>
        <w:t>WALMART</w:t>
      </w:r>
      <w:r w:rsidR="00C11FCA">
        <w:rPr>
          <w:b/>
        </w:rPr>
        <w:t>:</w:t>
      </w:r>
      <w:r w:rsidR="00C11FCA">
        <w:rPr>
          <w:b/>
        </w:rPr>
        <w:tab/>
      </w:r>
      <w:r w:rsidR="008072F5">
        <w:t>No position.</w:t>
      </w:r>
    </w:p>
    <w:p w14:paraId="4FB3428A" w14:textId="77777777" w:rsidR="003F4F8D" w:rsidRPr="00701945" w:rsidRDefault="003F4F8D" w:rsidP="003F4F8D">
      <w:pPr>
        <w:jc w:val="both"/>
      </w:pPr>
    </w:p>
    <w:p w14:paraId="2B0C9142" w14:textId="77777777" w:rsidR="003F4F8D" w:rsidRPr="005D4B47" w:rsidRDefault="003F4F8D" w:rsidP="003F4F8D">
      <w:pPr>
        <w:ind w:left="1440" w:hanging="1440"/>
        <w:jc w:val="both"/>
        <w:rPr>
          <w:b/>
          <w:bCs/>
        </w:rPr>
      </w:pPr>
      <w:r>
        <w:rPr>
          <w:b/>
          <w:bCs/>
        </w:rPr>
        <w:t>STAFF:</w:t>
      </w:r>
      <w:r>
        <w:rPr>
          <w:b/>
          <w:bCs/>
        </w:rPr>
        <w:tab/>
      </w:r>
      <w:r w:rsidR="00AC7E54">
        <w:t>No position at this time.</w:t>
      </w:r>
    </w:p>
    <w:p w14:paraId="600136D3" w14:textId="77777777" w:rsidR="003F4F8D" w:rsidRPr="007715CE" w:rsidRDefault="007715CE" w:rsidP="003F4F8D">
      <w:pPr>
        <w:ind w:left="1440" w:hanging="1440"/>
        <w:jc w:val="both"/>
        <w:rPr>
          <w:b/>
        </w:rPr>
      </w:pPr>
      <w:r>
        <w:rPr>
          <w:b/>
          <w:bCs/>
        </w:rPr>
        <w:lastRenderedPageBreak/>
        <w:t>ISSUE 90</w:t>
      </w:r>
      <w:r w:rsidR="003F4F8D" w:rsidRPr="00701945">
        <w:rPr>
          <w:b/>
          <w:bCs/>
        </w:rPr>
        <w:t>:</w:t>
      </w:r>
      <w:r w:rsidR="003F4F8D" w:rsidRPr="00701945">
        <w:tab/>
      </w:r>
      <w:r w:rsidRPr="007715CE">
        <w:rPr>
          <w:b/>
        </w:rPr>
        <w:t>Should the proposed LS-2 Monthly Rental Factors (Original Tariff Sheet No. 6.845) be approved?</w:t>
      </w:r>
    </w:p>
    <w:p w14:paraId="29A13943" w14:textId="77777777" w:rsidR="003F4F8D" w:rsidRPr="00701945" w:rsidRDefault="003F4F8D" w:rsidP="003F4F8D">
      <w:pPr>
        <w:jc w:val="both"/>
      </w:pPr>
    </w:p>
    <w:p w14:paraId="291E7571" w14:textId="77777777" w:rsidR="003F4F8D" w:rsidRPr="005D4B47" w:rsidRDefault="003F4F8D" w:rsidP="003F4F8D">
      <w:pPr>
        <w:ind w:left="1440" w:hanging="1440"/>
        <w:jc w:val="both"/>
      </w:pPr>
      <w:r>
        <w:rPr>
          <w:b/>
          <w:bCs/>
        </w:rPr>
        <w:t>TECO</w:t>
      </w:r>
      <w:r w:rsidRPr="005D4B47">
        <w:rPr>
          <w:b/>
          <w:bCs/>
        </w:rPr>
        <w:t>:</w:t>
      </w:r>
      <w:r w:rsidRPr="005D4B47">
        <w:tab/>
      </w:r>
      <w:r w:rsidR="007715CE">
        <w:t>Yes. The proposed LS-2 Monthly Rental Factors offers optionality to customers, are reasonable, and should be approved. (Williams)</w:t>
      </w:r>
    </w:p>
    <w:p w14:paraId="108C2913" w14:textId="77777777" w:rsidR="003F4F8D" w:rsidRPr="00701945" w:rsidRDefault="003F4F8D" w:rsidP="003F4F8D">
      <w:pPr>
        <w:jc w:val="both"/>
      </w:pPr>
    </w:p>
    <w:p w14:paraId="6C107A24" w14:textId="77777777" w:rsidR="003F4F8D" w:rsidRDefault="003F4F8D" w:rsidP="003F4F8D">
      <w:pPr>
        <w:ind w:left="1440" w:hanging="1440"/>
        <w:jc w:val="both"/>
      </w:pPr>
      <w:r>
        <w:rPr>
          <w:b/>
          <w:bCs/>
        </w:rPr>
        <w:t>OPC</w:t>
      </w:r>
      <w:r w:rsidRPr="00701945">
        <w:rPr>
          <w:b/>
          <w:bCs/>
        </w:rPr>
        <w:t>:</w:t>
      </w:r>
      <w:r>
        <w:tab/>
      </w:r>
      <w:r w:rsidR="009C0E66" w:rsidRPr="003651AA">
        <w:t>No</w:t>
      </w:r>
      <w:r w:rsidR="009C0E66">
        <w:t xml:space="preserve"> position.</w:t>
      </w:r>
    </w:p>
    <w:p w14:paraId="4F2AB8C7" w14:textId="77777777" w:rsidR="003F4F8D" w:rsidRDefault="003F4F8D" w:rsidP="003F4F8D">
      <w:pPr>
        <w:ind w:left="1440" w:hanging="1440"/>
        <w:jc w:val="both"/>
      </w:pPr>
    </w:p>
    <w:p w14:paraId="34FF9451" w14:textId="77777777" w:rsidR="003F4F8D" w:rsidRDefault="003F4F8D" w:rsidP="003F4F8D">
      <w:pPr>
        <w:ind w:left="1440" w:hanging="1440"/>
        <w:jc w:val="both"/>
        <w:rPr>
          <w:b/>
        </w:rPr>
      </w:pPr>
      <w:r>
        <w:rPr>
          <w:b/>
        </w:rPr>
        <w:t>FL RISING/</w:t>
      </w:r>
    </w:p>
    <w:p w14:paraId="4BE9C217" w14:textId="77777777" w:rsidR="003F4F8D" w:rsidRDefault="003F4F8D" w:rsidP="003F4F8D">
      <w:pPr>
        <w:ind w:left="1440" w:hanging="1440"/>
        <w:jc w:val="both"/>
        <w:rPr>
          <w:b/>
        </w:rPr>
      </w:pPr>
      <w:r>
        <w:rPr>
          <w:b/>
        </w:rPr>
        <w:t>LULAC:</w:t>
      </w:r>
      <w:r>
        <w:rPr>
          <w:b/>
        </w:rPr>
        <w:tab/>
      </w:r>
      <w:r w:rsidR="009B5CD3">
        <w:t>No position.</w:t>
      </w:r>
    </w:p>
    <w:p w14:paraId="61C7BDF3" w14:textId="77777777" w:rsidR="003F4F8D" w:rsidRDefault="003F4F8D" w:rsidP="003F4F8D">
      <w:pPr>
        <w:ind w:left="1440" w:hanging="1440"/>
        <w:jc w:val="both"/>
        <w:rPr>
          <w:b/>
        </w:rPr>
      </w:pPr>
    </w:p>
    <w:p w14:paraId="46CF0C10" w14:textId="4B13B7A2" w:rsidR="003F4F8D" w:rsidRDefault="003F4F8D" w:rsidP="003F4F8D">
      <w:pPr>
        <w:ind w:left="1440" w:hanging="1440"/>
        <w:jc w:val="both"/>
        <w:rPr>
          <w:b/>
        </w:rPr>
      </w:pPr>
      <w:r>
        <w:rPr>
          <w:b/>
        </w:rPr>
        <w:t>FIPUG:</w:t>
      </w:r>
      <w:r>
        <w:rPr>
          <w:b/>
        </w:rPr>
        <w:tab/>
      </w:r>
      <w:r w:rsidR="009D1832" w:rsidRPr="00F5435C">
        <w:rPr>
          <w:bCs/>
        </w:rPr>
        <w:t>No position.</w:t>
      </w:r>
    </w:p>
    <w:p w14:paraId="100E9429" w14:textId="77777777" w:rsidR="003F4F8D" w:rsidRDefault="003F4F8D" w:rsidP="003F4F8D">
      <w:pPr>
        <w:ind w:left="1440" w:hanging="1440"/>
        <w:jc w:val="both"/>
        <w:rPr>
          <w:b/>
        </w:rPr>
      </w:pPr>
    </w:p>
    <w:p w14:paraId="1A56B446" w14:textId="58B9C9B2" w:rsidR="003F4F8D" w:rsidRDefault="003F4F8D" w:rsidP="003F4F8D">
      <w:pPr>
        <w:ind w:left="1440" w:hanging="1440"/>
        <w:jc w:val="both"/>
        <w:rPr>
          <w:b/>
        </w:rPr>
      </w:pPr>
      <w:r>
        <w:rPr>
          <w:b/>
        </w:rPr>
        <w:t>FEA:</w:t>
      </w:r>
      <w:r>
        <w:rPr>
          <w:b/>
        </w:rPr>
        <w:tab/>
      </w:r>
      <w:r w:rsidR="00AF635E">
        <w:t>No position.</w:t>
      </w:r>
    </w:p>
    <w:p w14:paraId="0B4EB0EF" w14:textId="77777777" w:rsidR="003F4F8D" w:rsidRDefault="003F4F8D" w:rsidP="003F4F8D">
      <w:pPr>
        <w:ind w:left="1440" w:hanging="1440"/>
        <w:jc w:val="both"/>
        <w:rPr>
          <w:b/>
        </w:rPr>
      </w:pPr>
    </w:p>
    <w:p w14:paraId="216A3EBE" w14:textId="77777777" w:rsidR="00A14A11" w:rsidRDefault="00764960" w:rsidP="003F4F8D">
      <w:pPr>
        <w:ind w:left="1440" w:hanging="1440"/>
        <w:jc w:val="both"/>
        <w:rPr>
          <w:b/>
        </w:rPr>
      </w:pPr>
      <w:r>
        <w:rPr>
          <w:b/>
        </w:rPr>
        <w:t xml:space="preserve">SIERRA </w:t>
      </w:r>
    </w:p>
    <w:p w14:paraId="64E66995" w14:textId="661C2B98" w:rsidR="003F4F8D" w:rsidRDefault="00764960" w:rsidP="003F4F8D">
      <w:pPr>
        <w:ind w:left="1440" w:hanging="1440"/>
        <w:jc w:val="both"/>
        <w:rPr>
          <w:b/>
        </w:rPr>
      </w:pPr>
      <w:r>
        <w:rPr>
          <w:b/>
        </w:rPr>
        <w:t>CLUB</w:t>
      </w:r>
      <w:r w:rsidR="003F4F8D">
        <w:rPr>
          <w:b/>
        </w:rPr>
        <w:t>:</w:t>
      </w:r>
      <w:r w:rsidR="003F4F8D">
        <w:rPr>
          <w:b/>
        </w:rPr>
        <w:tab/>
      </w:r>
      <w:r w:rsidR="00AF635E">
        <w:t xml:space="preserve">For each of the Issues in this category, </w:t>
      </w:r>
      <w:r w:rsidR="00AF635E" w:rsidRPr="001E3193">
        <w:t xml:space="preserve">Sierra Club has no position </w:t>
      </w:r>
      <w:r w:rsidR="00AF635E">
        <w:t>beyond generally supporting intervenor proposals to reduce energy burdens for residential customers</w:t>
      </w:r>
      <w:r w:rsidR="00516FCE" w:rsidRPr="001E3193">
        <w:t>.</w:t>
      </w:r>
    </w:p>
    <w:p w14:paraId="766D7223" w14:textId="77777777" w:rsidR="003F4F8D" w:rsidRDefault="003F4F8D" w:rsidP="003F4F8D">
      <w:pPr>
        <w:ind w:left="1440" w:hanging="1440"/>
        <w:jc w:val="both"/>
        <w:rPr>
          <w:b/>
        </w:rPr>
      </w:pPr>
    </w:p>
    <w:p w14:paraId="5FC08FF7" w14:textId="373E0EC3" w:rsidR="003F4F8D" w:rsidRDefault="003F4F8D" w:rsidP="003F4F8D">
      <w:pPr>
        <w:ind w:left="1440" w:hanging="1440"/>
        <w:jc w:val="both"/>
        <w:rPr>
          <w:b/>
        </w:rPr>
      </w:pPr>
      <w:r>
        <w:rPr>
          <w:b/>
        </w:rPr>
        <w:t>FRF:</w:t>
      </w:r>
      <w:r>
        <w:rPr>
          <w:b/>
        </w:rPr>
        <w:tab/>
      </w:r>
      <w:r w:rsidR="00AF635E">
        <w:t>No position.</w:t>
      </w:r>
    </w:p>
    <w:p w14:paraId="795FDC41" w14:textId="77777777" w:rsidR="003F4F8D" w:rsidRDefault="003F4F8D" w:rsidP="003F4F8D">
      <w:pPr>
        <w:ind w:left="1440" w:hanging="1440"/>
        <w:jc w:val="both"/>
        <w:rPr>
          <w:b/>
        </w:rPr>
      </w:pPr>
    </w:p>
    <w:p w14:paraId="2596F605" w14:textId="77777777" w:rsidR="00A14A11" w:rsidRDefault="00C0182D" w:rsidP="003F4F8D">
      <w:pPr>
        <w:ind w:left="1440" w:hanging="1440"/>
        <w:jc w:val="both"/>
        <w:rPr>
          <w:b/>
        </w:rPr>
      </w:pPr>
      <w:r>
        <w:rPr>
          <w:b/>
        </w:rPr>
        <w:t xml:space="preserve">FUEL </w:t>
      </w:r>
    </w:p>
    <w:p w14:paraId="6D91AE89" w14:textId="7332D012" w:rsidR="003F4F8D" w:rsidRDefault="00C0182D" w:rsidP="003F4F8D">
      <w:pPr>
        <w:ind w:left="1440" w:hanging="1440"/>
        <w:jc w:val="both"/>
      </w:pPr>
      <w:r>
        <w:rPr>
          <w:b/>
        </w:rPr>
        <w:t>RETAILERS</w:t>
      </w:r>
      <w:r w:rsidR="003F4F8D">
        <w:rPr>
          <w:b/>
        </w:rPr>
        <w:t>:</w:t>
      </w:r>
      <w:r w:rsidR="00A14A11">
        <w:rPr>
          <w:b/>
        </w:rPr>
        <w:t xml:space="preserve"> </w:t>
      </w:r>
      <w:r w:rsidR="000316DC" w:rsidRPr="00132664">
        <w:t xml:space="preserve">No </w:t>
      </w:r>
      <w:r w:rsidR="00AF635E">
        <w:t>p</w:t>
      </w:r>
      <w:r w:rsidR="000316DC" w:rsidRPr="00132664">
        <w:t>osition.</w:t>
      </w:r>
    </w:p>
    <w:p w14:paraId="08E1A09B" w14:textId="77777777" w:rsidR="00C11FCA" w:rsidRDefault="00C11FCA" w:rsidP="003F4F8D">
      <w:pPr>
        <w:ind w:left="1440" w:hanging="1440"/>
        <w:jc w:val="both"/>
      </w:pPr>
    </w:p>
    <w:p w14:paraId="52DAFDE6" w14:textId="27F46229" w:rsidR="00C11FCA" w:rsidRPr="00C11FCA" w:rsidRDefault="00FD408B" w:rsidP="003F4F8D">
      <w:pPr>
        <w:ind w:left="1440" w:hanging="1440"/>
        <w:jc w:val="both"/>
        <w:rPr>
          <w:b/>
        </w:rPr>
      </w:pPr>
      <w:r>
        <w:rPr>
          <w:b/>
        </w:rPr>
        <w:t>WALMART</w:t>
      </w:r>
      <w:r w:rsidR="00C11FCA">
        <w:rPr>
          <w:b/>
        </w:rPr>
        <w:t>:</w:t>
      </w:r>
      <w:r w:rsidR="00C11FCA">
        <w:rPr>
          <w:b/>
        </w:rPr>
        <w:tab/>
      </w:r>
      <w:r w:rsidR="00AF635E">
        <w:t>No position.</w:t>
      </w:r>
    </w:p>
    <w:p w14:paraId="364B451C" w14:textId="77777777" w:rsidR="003F4F8D" w:rsidRPr="00701945" w:rsidRDefault="003F4F8D" w:rsidP="003F4F8D">
      <w:pPr>
        <w:jc w:val="both"/>
      </w:pPr>
    </w:p>
    <w:p w14:paraId="00A713E0" w14:textId="77777777" w:rsidR="003F4F8D" w:rsidRPr="005D4B47" w:rsidRDefault="003F4F8D" w:rsidP="003F4F8D">
      <w:pPr>
        <w:ind w:left="1440" w:hanging="1440"/>
        <w:jc w:val="both"/>
        <w:rPr>
          <w:b/>
          <w:bCs/>
        </w:rPr>
      </w:pPr>
      <w:r>
        <w:rPr>
          <w:b/>
          <w:bCs/>
        </w:rPr>
        <w:t>STAFF:</w:t>
      </w:r>
      <w:r>
        <w:rPr>
          <w:b/>
          <w:bCs/>
        </w:rPr>
        <w:tab/>
      </w:r>
      <w:r w:rsidR="00AC7E54">
        <w:t>No position at this time.</w:t>
      </w:r>
    </w:p>
    <w:p w14:paraId="24B21D8B" w14:textId="77777777" w:rsidR="003F4F8D" w:rsidRDefault="003F4F8D" w:rsidP="00C7699A">
      <w:pPr>
        <w:jc w:val="both"/>
      </w:pPr>
    </w:p>
    <w:p w14:paraId="60241491" w14:textId="77777777" w:rsidR="003F4F8D" w:rsidRDefault="003F4F8D" w:rsidP="00C7699A">
      <w:pPr>
        <w:jc w:val="both"/>
      </w:pPr>
    </w:p>
    <w:p w14:paraId="6335F76C" w14:textId="77777777" w:rsidR="003F4F8D" w:rsidRPr="007715CE" w:rsidRDefault="007715CE" w:rsidP="003F4F8D">
      <w:pPr>
        <w:ind w:left="1440" w:hanging="1440"/>
        <w:jc w:val="both"/>
        <w:rPr>
          <w:b/>
        </w:rPr>
      </w:pPr>
      <w:r>
        <w:rPr>
          <w:b/>
          <w:bCs/>
        </w:rPr>
        <w:t>ISSUE 91</w:t>
      </w:r>
      <w:r w:rsidR="003F4F8D" w:rsidRPr="00701945">
        <w:rPr>
          <w:b/>
          <w:bCs/>
        </w:rPr>
        <w:t>:</w:t>
      </w:r>
      <w:r w:rsidR="003F4F8D" w:rsidRPr="00701945">
        <w:tab/>
      </w:r>
      <w:r w:rsidRPr="007715CE">
        <w:rPr>
          <w:b/>
        </w:rPr>
        <w:t>Should the proposed termination factors for long-term facilities (Fifth Revised Tariff Sheet No. 7.765) be approved?</w:t>
      </w:r>
    </w:p>
    <w:p w14:paraId="2861CC3E" w14:textId="77777777" w:rsidR="003F4F8D" w:rsidRPr="00701945" w:rsidRDefault="003F4F8D" w:rsidP="003F4F8D">
      <w:pPr>
        <w:jc w:val="both"/>
      </w:pPr>
    </w:p>
    <w:p w14:paraId="4AE5307A" w14:textId="77777777" w:rsidR="003F4F8D" w:rsidRPr="005D4B47" w:rsidRDefault="003F4F8D" w:rsidP="003F4F8D">
      <w:pPr>
        <w:ind w:left="1440" w:hanging="1440"/>
        <w:jc w:val="both"/>
      </w:pPr>
      <w:r>
        <w:rPr>
          <w:b/>
          <w:bCs/>
        </w:rPr>
        <w:t>TECO</w:t>
      </w:r>
      <w:r w:rsidRPr="005D4B47">
        <w:rPr>
          <w:b/>
          <w:bCs/>
        </w:rPr>
        <w:t>:</w:t>
      </w:r>
      <w:r w:rsidRPr="005D4B47">
        <w:tab/>
      </w:r>
      <w:r w:rsidR="007715CE">
        <w:t>Yes. The proposed termination factors for long-term facilities are reasonable and should be approved. (Williams)</w:t>
      </w:r>
    </w:p>
    <w:p w14:paraId="55819CE0" w14:textId="77777777" w:rsidR="003F4F8D" w:rsidRPr="00701945" w:rsidRDefault="003F4F8D" w:rsidP="003F4F8D">
      <w:pPr>
        <w:jc w:val="both"/>
      </w:pPr>
    </w:p>
    <w:p w14:paraId="686C0E12" w14:textId="77777777" w:rsidR="003F4F8D" w:rsidRDefault="003F4F8D" w:rsidP="003F4F8D">
      <w:pPr>
        <w:ind w:left="1440" w:hanging="1440"/>
        <w:jc w:val="both"/>
      </w:pPr>
      <w:r>
        <w:rPr>
          <w:b/>
          <w:bCs/>
        </w:rPr>
        <w:t>OPC</w:t>
      </w:r>
      <w:r w:rsidRPr="00701945">
        <w:rPr>
          <w:b/>
          <w:bCs/>
        </w:rPr>
        <w:t>:</w:t>
      </w:r>
      <w:r>
        <w:tab/>
      </w:r>
      <w:r w:rsidR="009C0E66" w:rsidRPr="003651AA">
        <w:t>No</w:t>
      </w:r>
      <w:r w:rsidR="009C0E66">
        <w:t xml:space="preserve"> position.</w:t>
      </w:r>
    </w:p>
    <w:p w14:paraId="1464BA6F" w14:textId="77777777" w:rsidR="003F4F8D" w:rsidRDefault="003F4F8D" w:rsidP="003F4F8D">
      <w:pPr>
        <w:ind w:left="1440" w:hanging="1440"/>
        <w:jc w:val="both"/>
      </w:pPr>
    </w:p>
    <w:p w14:paraId="7750EB65" w14:textId="77777777" w:rsidR="003F4F8D" w:rsidRDefault="003F4F8D" w:rsidP="003F4F8D">
      <w:pPr>
        <w:ind w:left="1440" w:hanging="1440"/>
        <w:jc w:val="both"/>
        <w:rPr>
          <w:b/>
        </w:rPr>
      </w:pPr>
      <w:r>
        <w:rPr>
          <w:b/>
        </w:rPr>
        <w:t>FL RISING/</w:t>
      </w:r>
    </w:p>
    <w:p w14:paraId="76636EEF" w14:textId="77777777" w:rsidR="003F4F8D" w:rsidRDefault="003F4F8D" w:rsidP="003F4F8D">
      <w:pPr>
        <w:ind w:left="1440" w:hanging="1440"/>
        <w:jc w:val="both"/>
        <w:rPr>
          <w:b/>
        </w:rPr>
      </w:pPr>
      <w:r>
        <w:rPr>
          <w:b/>
        </w:rPr>
        <w:t>LULAC:</w:t>
      </w:r>
      <w:r>
        <w:rPr>
          <w:b/>
        </w:rPr>
        <w:tab/>
      </w:r>
      <w:r w:rsidR="009B5CD3">
        <w:t>No position.</w:t>
      </w:r>
    </w:p>
    <w:p w14:paraId="5FA3C0BB" w14:textId="77777777" w:rsidR="003F4F8D" w:rsidRDefault="003F4F8D" w:rsidP="003F4F8D">
      <w:pPr>
        <w:ind w:left="1440" w:hanging="1440"/>
        <w:jc w:val="both"/>
        <w:rPr>
          <w:b/>
        </w:rPr>
      </w:pPr>
    </w:p>
    <w:p w14:paraId="2825B428" w14:textId="1A420F00" w:rsidR="003F4F8D" w:rsidRDefault="003F4F8D" w:rsidP="003F4F8D">
      <w:pPr>
        <w:ind w:left="1440" w:hanging="1440"/>
        <w:jc w:val="both"/>
        <w:rPr>
          <w:b/>
        </w:rPr>
      </w:pPr>
      <w:r>
        <w:rPr>
          <w:b/>
        </w:rPr>
        <w:t>FIPUG:</w:t>
      </w:r>
      <w:r>
        <w:rPr>
          <w:b/>
        </w:rPr>
        <w:tab/>
      </w:r>
      <w:r w:rsidR="009D1832" w:rsidRPr="00F5435C">
        <w:rPr>
          <w:bCs/>
        </w:rPr>
        <w:t>No position.</w:t>
      </w:r>
    </w:p>
    <w:p w14:paraId="497D1D6D" w14:textId="77777777" w:rsidR="003F4F8D" w:rsidRDefault="003F4F8D" w:rsidP="003F4F8D">
      <w:pPr>
        <w:ind w:left="1440" w:hanging="1440"/>
        <w:jc w:val="both"/>
        <w:rPr>
          <w:b/>
        </w:rPr>
      </w:pPr>
    </w:p>
    <w:p w14:paraId="5FDEAF98" w14:textId="4A68D0BD" w:rsidR="003F4F8D" w:rsidRDefault="003F4F8D" w:rsidP="003F4F8D">
      <w:pPr>
        <w:ind w:left="1440" w:hanging="1440"/>
        <w:jc w:val="both"/>
        <w:rPr>
          <w:b/>
        </w:rPr>
      </w:pPr>
      <w:r>
        <w:rPr>
          <w:b/>
        </w:rPr>
        <w:t>FEA:</w:t>
      </w:r>
      <w:r>
        <w:rPr>
          <w:b/>
        </w:rPr>
        <w:tab/>
      </w:r>
      <w:r w:rsidR="000942F1">
        <w:t>No position.</w:t>
      </w:r>
    </w:p>
    <w:p w14:paraId="7D03419E" w14:textId="77777777" w:rsidR="003F4F8D" w:rsidRDefault="003F4F8D" w:rsidP="003F4F8D">
      <w:pPr>
        <w:ind w:left="1440" w:hanging="1440"/>
        <w:jc w:val="both"/>
        <w:rPr>
          <w:b/>
        </w:rPr>
      </w:pPr>
    </w:p>
    <w:p w14:paraId="2F734186" w14:textId="77777777" w:rsidR="00A14A11" w:rsidRDefault="00764960" w:rsidP="003F4F8D">
      <w:pPr>
        <w:ind w:left="1440" w:hanging="1440"/>
        <w:jc w:val="both"/>
        <w:rPr>
          <w:b/>
        </w:rPr>
      </w:pPr>
      <w:r>
        <w:rPr>
          <w:b/>
        </w:rPr>
        <w:lastRenderedPageBreak/>
        <w:t xml:space="preserve">SIERRA </w:t>
      </w:r>
    </w:p>
    <w:p w14:paraId="00F93DB8" w14:textId="09350CE5" w:rsidR="003F4F8D" w:rsidRDefault="00764960" w:rsidP="003F4F8D">
      <w:pPr>
        <w:ind w:left="1440" w:hanging="1440"/>
        <w:jc w:val="both"/>
        <w:rPr>
          <w:b/>
        </w:rPr>
      </w:pPr>
      <w:r>
        <w:rPr>
          <w:b/>
        </w:rPr>
        <w:t>CLUB</w:t>
      </w:r>
      <w:r w:rsidR="003F4F8D">
        <w:rPr>
          <w:b/>
        </w:rPr>
        <w:t>:</w:t>
      </w:r>
      <w:r w:rsidR="003F4F8D">
        <w:rPr>
          <w:b/>
        </w:rPr>
        <w:tab/>
      </w:r>
      <w:r w:rsidR="000942F1">
        <w:t xml:space="preserve">For each of the Issues in this category, </w:t>
      </w:r>
      <w:r w:rsidR="000942F1" w:rsidRPr="001E3193">
        <w:t xml:space="preserve">Sierra Club has no position </w:t>
      </w:r>
      <w:r w:rsidR="000942F1">
        <w:t>beyond generally supporting intervenor proposals to reduce energy burdens for residential customers</w:t>
      </w:r>
      <w:r w:rsidR="00516FCE" w:rsidRPr="001E3193">
        <w:t>.</w:t>
      </w:r>
    </w:p>
    <w:p w14:paraId="74C15DEF" w14:textId="77777777" w:rsidR="003F4F8D" w:rsidRDefault="003F4F8D" w:rsidP="003F4F8D">
      <w:pPr>
        <w:ind w:left="1440" w:hanging="1440"/>
        <w:jc w:val="both"/>
        <w:rPr>
          <w:b/>
        </w:rPr>
      </w:pPr>
    </w:p>
    <w:p w14:paraId="393D8C77" w14:textId="4D881DB9" w:rsidR="003F4F8D" w:rsidRDefault="003F4F8D" w:rsidP="003F4F8D">
      <w:pPr>
        <w:ind w:left="1440" w:hanging="1440"/>
        <w:jc w:val="both"/>
        <w:rPr>
          <w:b/>
        </w:rPr>
      </w:pPr>
      <w:r>
        <w:rPr>
          <w:b/>
        </w:rPr>
        <w:t>FRF:</w:t>
      </w:r>
      <w:r>
        <w:rPr>
          <w:b/>
        </w:rPr>
        <w:tab/>
      </w:r>
      <w:r w:rsidR="000942F1">
        <w:t>No position</w:t>
      </w:r>
      <w:r w:rsidR="00B50828">
        <w:t>.</w:t>
      </w:r>
    </w:p>
    <w:p w14:paraId="0942932A" w14:textId="77777777" w:rsidR="003F4F8D" w:rsidRDefault="003F4F8D" w:rsidP="003F4F8D">
      <w:pPr>
        <w:ind w:left="1440" w:hanging="1440"/>
        <w:jc w:val="both"/>
        <w:rPr>
          <w:b/>
        </w:rPr>
      </w:pPr>
    </w:p>
    <w:p w14:paraId="4BA165DE" w14:textId="77777777" w:rsidR="00A14A11" w:rsidRDefault="00C0182D" w:rsidP="003F4F8D">
      <w:pPr>
        <w:ind w:left="1440" w:hanging="1440"/>
        <w:jc w:val="both"/>
        <w:rPr>
          <w:b/>
        </w:rPr>
      </w:pPr>
      <w:r>
        <w:rPr>
          <w:b/>
        </w:rPr>
        <w:t xml:space="preserve">FUEL </w:t>
      </w:r>
    </w:p>
    <w:p w14:paraId="5A14753E" w14:textId="4FE2A608" w:rsidR="003F4F8D" w:rsidRDefault="00C0182D" w:rsidP="003F4F8D">
      <w:pPr>
        <w:ind w:left="1440" w:hanging="1440"/>
        <w:jc w:val="both"/>
      </w:pPr>
      <w:r>
        <w:rPr>
          <w:b/>
        </w:rPr>
        <w:t>RETAILERS</w:t>
      </w:r>
      <w:r w:rsidR="003F4F8D">
        <w:rPr>
          <w:b/>
        </w:rPr>
        <w:t>:</w:t>
      </w:r>
      <w:r w:rsidR="00A14A11">
        <w:rPr>
          <w:b/>
        </w:rPr>
        <w:t xml:space="preserve"> </w:t>
      </w:r>
      <w:r w:rsidR="000316DC" w:rsidRPr="00132664">
        <w:t xml:space="preserve">No </w:t>
      </w:r>
      <w:r w:rsidR="000942F1">
        <w:t>p</w:t>
      </w:r>
      <w:r w:rsidR="000316DC" w:rsidRPr="00132664">
        <w:t>osition.</w:t>
      </w:r>
    </w:p>
    <w:p w14:paraId="5DE2B432" w14:textId="77777777" w:rsidR="00C11FCA" w:rsidRDefault="00C11FCA" w:rsidP="003F4F8D">
      <w:pPr>
        <w:ind w:left="1440" w:hanging="1440"/>
        <w:jc w:val="both"/>
      </w:pPr>
    </w:p>
    <w:p w14:paraId="5D27D8D9" w14:textId="28D79CEC" w:rsidR="00C11FCA" w:rsidRPr="00C11FCA" w:rsidRDefault="00FD408B" w:rsidP="003F4F8D">
      <w:pPr>
        <w:ind w:left="1440" w:hanging="1440"/>
        <w:jc w:val="both"/>
        <w:rPr>
          <w:b/>
        </w:rPr>
      </w:pPr>
      <w:r>
        <w:rPr>
          <w:b/>
        </w:rPr>
        <w:t>WALMART</w:t>
      </w:r>
      <w:r w:rsidR="00C11FCA">
        <w:rPr>
          <w:b/>
        </w:rPr>
        <w:t>:</w:t>
      </w:r>
      <w:r w:rsidR="00C11FCA">
        <w:rPr>
          <w:b/>
        </w:rPr>
        <w:tab/>
      </w:r>
      <w:r w:rsidR="000942F1">
        <w:t>No position.</w:t>
      </w:r>
    </w:p>
    <w:p w14:paraId="5CB6F23E" w14:textId="77777777" w:rsidR="003F4F8D" w:rsidRPr="00701945" w:rsidRDefault="003F4F8D" w:rsidP="003F4F8D">
      <w:pPr>
        <w:jc w:val="both"/>
      </w:pPr>
    </w:p>
    <w:p w14:paraId="71782690" w14:textId="77777777" w:rsidR="003F4F8D" w:rsidRPr="005D4B47" w:rsidRDefault="003F4F8D" w:rsidP="003F4F8D">
      <w:pPr>
        <w:ind w:left="1440" w:hanging="1440"/>
        <w:jc w:val="both"/>
        <w:rPr>
          <w:b/>
          <w:bCs/>
        </w:rPr>
      </w:pPr>
      <w:r>
        <w:rPr>
          <w:b/>
          <w:bCs/>
        </w:rPr>
        <w:t>STAFF:</w:t>
      </w:r>
      <w:r>
        <w:rPr>
          <w:b/>
          <w:bCs/>
        </w:rPr>
        <w:tab/>
      </w:r>
      <w:r w:rsidR="00AC7E54">
        <w:t>No position at this time.</w:t>
      </w:r>
    </w:p>
    <w:p w14:paraId="296C4DB0" w14:textId="77777777" w:rsidR="003F4F8D" w:rsidRDefault="003F4F8D" w:rsidP="00C7699A">
      <w:pPr>
        <w:jc w:val="both"/>
      </w:pPr>
    </w:p>
    <w:p w14:paraId="3AED17A7" w14:textId="77777777" w:rsidR="007156CC" w:rsidRDefault="007156CC" w:rsidP="00C7699A">
      <w:pPr>
        <w:jc w:val="both"/>
      </w:pPr>
    </w:p>
    <w:p w14:paraId="34B13CC8" w14:textId="77777777" w:rsidR="003F4F8D" w:rsidRPr="007715CE" w:rsidRDefault="007715CE" w:rsidP="003F4F8D">
      <w:pPr>
        <w:ind w:left="1440" w:hanging="1440"/>
        <w:jc w:val="both"/>
        <w:rPr>
          <w:b/>
        </w:rPr>
      </w:pPr>
      <w:r>
        <w:rPr>
          <w:b/>
          <w:bCs/>
        </w:rPr>
        <w:t>ISSUE 92</w:t>
      </w:r>
      <w:r w:rsidR="003F4F8D" w:rsidRPr="00701945">
        <w:rPr>
          <w:b/>
          <w:bCs/>
        </w:rPr>
        <w:t>:</w:t>
      </w:r>
      <w:r w:rsidR="003F4F8D" w:rsidRPr="00701945">
        <w:tab/>
      </w:r>
      <w:r w:rsidRPr="007715CE">
        <w:rPr>
          <w:b/>
        </w:rPr>
        <w:t>Should the non-rate related tariff modifications be approved?</w:t>
      </w:r>
    </w:p>
    <w:p w14:paraId="0E7599B4" w14:textId="77777777" w:rsidR="003F4F8D" w:rsidRPr="00701945" w:rsidRDefault="003F4F8D" w:rsidP="003F4F8D">
      <w:pPr>
        <w:jc w:val="both"/>
      </w:pPr>
    </w:p>
    <w:p w14:paraId="50964816" w14:textId="77777777" w:rsidR="003F4F8D" w:rsidRPr="005D4B47" w:rsidRDefault="003F4F8D" w:rsidP="003F4F8D">
      <w:pPr>
        <w:ind w:left="1440" w:hanging="1440"/>
        <w:jc w:val="both"/>
      </w:pPr>
      <w:r>
        <w:rPr>
          <w:b/>
          <w:bCs/>
        </w:rPr>
        <w:t>TECO</w:t>
      </w:r>
      <w:r w:rsidRPr="005D4B47">
        <w:rPr>
          <w:b/>
          <w:bCs/>
        </w:rPr>
        <w:t>:</w:t>
      </w:r>
      <w:r w:rsidRPr="005D4B47">
        <w:tab/>
      </w:r>
      <w:r w:rsidR="007715CE" w:rsidRPr="006C2FAE">
        <w:t>Yes. The proposed revisions are reasonable and should be approved.</w:t>
      </w:r>
      <w:r w:rsidR="007715CE">
        <w:t xml:space="preserve"> (Williams, Sparkman)</w:t>
      </w:r>
    </w:p>
    <w:p w14:paraId="30584896" w14:textId="77777777" w:rsidR="003F4F8D" w:rsidRPr="00701945" w:rsidRDefault="003F4F8D" w:rsidP="003F4F8D">
      <w:pPr>
        <w:jc w:val="both"/>
      </w:pPr>
    </w:p>
    <w:p w14:paraId="45E57F1B" w14:textId="77777777" w:rsidR="003F4F8D" w:rsidRDefault="003F4F8D" w:rsidP="003F4F8D">
      <w:pPr>
        <w:ind w:left="1440" w:hanging="1440"/>
        <w:jc w:val="both"/>
      </w:pPr>
      <w:r>
        <w:rPr>
          <w:b/>
          <w:bCs/>
        </w:rPr>
        <w:t>OPC</w:t>
      </w:r>
      <w:r w:rsidRPr="00701945">
        <w:rPr>
          <w:b/>
          <w:bCs/>
        </w:rPr>
        <w:t>:</w:t>
      </w:r>
      <w:r>
        <w:tab/>
      </w:r>
      <w:r w:rsidR="009C0E66" w:rsidRPr="003651AA">
        <w:t>No</w:t>
      </w:r>
      <w:r w:rsidR="009C0E66">
        <w:t xml:space="preserve"> position.</w:t>
      </w:r>
    </w:p>
    <w:p w14:paraId="1049F5C5" w14:textId="77777777" w:rsidR="003F4F8D" w:rsidRDefault="003F4F8D" w:rsidP="003F4F8D">
      <w:pPr>
        <w:ind w:left="1440" w:hanging="1440"/>
        <w:jc w:val="both"/>
      </w:pPr>
    </w:p>
    <w:p w14:paraId="00663A92" w14:textId="77777777" w:rsidR="003F4F8D" w:rsidRDefault="003F4F8D" w:rsidP="003F4F8D">
      <w:pPr>
        <w:ind w:left="1440" w:hanging="1440"/>
        <w:jc w:val="both"/>
        <w:rPr>
          <w:b/>
        </w:rPr>
      </w:pPr>
      <w:r>
        <w:rPr>
          <w:b/>
        </w:rPr>
        <w:t>FL RISING/</w:t>
      </w:r>
    </w:p>
    <w:p w14:paraId="6CE1A8C3" w14:textId="77777777" w:rsidR="003F4F8D" w:rsidRDefault="003F4F8D" w:rsidP="003F4F8D">
      <w:pPr>
        <w:ind w:left="1440" w:hanging="1440"/>
        <w:jc w:val="both"/>
        <w:rPr>
          <w:b/>
        </w:rPr>
      </w:pPr>
      <w:r>
        <w:rPr>
          <w:b/>
        </w:rPr>
        <w:t>LULAC:</w:t>
      </w:r>
      <w:r>
        <w:rPr>
          <w:b/>
        </w:rPr>
        <w:tab/>
      </w:r>
      <w:r w:rsidR="009B5CD3">
        <w:t>No.</w:t>
      </w:r>
    </w:p>
    <w:p w14:paraId="281423C0" w14:textId="77777777" w:rsidR="003F4F8D" w:rsidRDefault="003F4F8D" w:rsidP="003F4F8D">
      <w:pPr>
        <w:ind w:left="1440" w:hanging="1440"/>
        <w:jc w:val="both"/>
        <w:rPr>
          <w:b/>
        </w:rPr>
      </w:pPr>
    </w:p>
    <w:p w14:paraId="27AC359F" w14:textId="3ACD07BA" w:rsidR="003F4F8D" w:rsidRPr="009D1832" w:rsidRDefault="003F4F8D" w:rsidP="003F4F8D">
      <w:pPr>
        <w:ind w:left="1440" w:hanging="1440"/>
        <w:jc w:val="both"/>
      </w:pPr>
      <w:r>
        <w:rPr>
          <w:b/>
        </w:rPr>
        <w:t>FIPUG:</w:t>
      </w:r>
      <w:r>
        <w:rPr>
          <w:b/>
        </w:rPr>
        <w:tab/>
      </w:r>
      <w:r w:rsidR="001142B9">
        <w:rPr>
          <w:bCs/>
        </w:rPr>
        <w:t>No position.</w:t>
      </w:r>
    </w:p>
    <w:p w14:paraId="1491E96F" w14:textId="77777777" w:rsidR="003F4F8D" w:rsidRDefault="003F4F8D" w:rsidP="003F4F8D">
      <w:pPr>
        <w:ind w:left="1440" w:hanging="1440"/>
        <w:jc w:val="both"/>
        <w:rPr>
          <w:b/>
        </w:rPr>
      </w:pPr>
    </w:p>
    <w:p w14:paraId="3CB5048B" w14:textId="16DFD954" w:rsidR="003F4F8D" w:rsidRDefault="003F4F8D" w:rsidP="003F4F8D">
      <w:pPr>
        <w:ind w:left="1440" w:hanging="1440"/>
        <w:jc w:val="both"/>
      </w:pPr>
      <w:r>
        <w:rPr>
          <w:b/>
        </w:rPr>
        <w:t>FEA:</w:t>
      </w:r>
      <w:r>
        <w:rPr>
          <w:b/>
        </w:rPr>
        <w:tab/>
      </w:r>
      <w:r w:rsidR="001142B9">
        <w:t>No position.</w:t>
      </w:r>
    </w:p>
    <w:p w14:paraId="24A12CC8" w14:textId="77777777" w:rsidR="001142B9" w:rsidRDefault="001142B9" w:rsidP="003F4F8D">
      <w:pPr>
        <w:ind w:left="1440" w:hanging="1440"/>
        <w:jc w:val="both"/>
        <w:rPr>
          <w:b/>
        </w:rPr>
      </w:pPr>
    </w:p>
    <w:p w14:paraId="0D3BDBE9" w14:textId="77777777" w:rsidR="00A14A11" w:rsidRDefault="00764960" w:rsidP="003F4F8D">
      <w:pPr>
        <w:ind w:left="1440" w:hanging="1440"/>
        <w:jc w:val="both"/>
        <w:rPr>
          <w:b/>
        </w:rPr>
      </w:pPr>
      <w:r>
        <w:rPr>
          <w:b/>
        </w:rPr>
        <w:t xml:space="preserve">SIERRA </w:t>
      </w:r>
    </w:p>
    <w:p w14:paraId="3CCB969E" w14:textId="512F7826" w:rsidR="003F4F8D" w:rsidRDefault="00764960" w:rsidP="003F4F8D">
      <w:pPr>
        <w:ind w:left="1440" w:hanging="1440"/>
        <w:jc w:val="both"/>
        <w:rPr>
          <w:b/>
        </w:rPr>
      </w:pPr>
      <w:r>
        <w:rPr>
          <w:b/>
        </w:rPr>
        <w:t>CLUB</w:t>
      </w:r>
      <w:r w:rsidR="003F4F8D">
        <w:rPr>
          <w:b/>
        </w:rPr>
        <w:t>:</w:t>
      </w:r>
      <w:r w:rsidR="003F4F8D">
        <w:rPr>
          <w:b/>
        </w:rPr>
        <w:tab/>
      </w:r>
      <w:r w:rsidR="001142B9">
        <w:t xml:space="preserve">For each of the Issues in this category, </w:t>
      </w:r>
      <w:r w:rsidR="001142B9" w:rsidRPr="001E3193">
        <w:t xml:space="preserve">Sierra Club has no position </w:t>
      </w:r>
      <w:r w:rsidR="001142B9">
        <w:t>beyond generally supporting intervenor proposals to reduce energy burdens for residential customers</w:t>
      </w:r>
      <w:r w:rsidR="00516FCE" w:rsidRPr="001E3193">
        <w:t>.</w:t>
      </w:r>
    </w:p>
    <w:p w14:paraId="695E03F6" w14:textId="77777777" w:rsidR="003F4F8D" w:rsidRDefault="003F4F8D" w:rsidP="003F4F8D">
      <w:pPr>
        <w:ind w:left="1440" w:hanging="1440"/>
        <w:jc w:val="both"/>
        <w:rPr>
          <w:b/>
        </w:rPr>
      </w:pPr>
    </w:p>
    <w:p w14:paraId="56CAE908" w14:textId="0413E024" w:rsidR="003F4F8D" w:rsidRDefault="003F4F8D" w:rsidP="003F4F8D">
      <w:pPr>
        <w:ind w:left="1440" w:hanging="1440"/>
        <w:jc w:val="both"/>
        <w:rPr>
          <w:b/>
        </w:rPr>
      </w:pPr>
      <w:r>
        <w:rPr>
          <w:b/>
        </w:rPr>
        <w:t>FRF:</w:t>
      </w:r>
      <w:r>
        <w:rPr>
          <w:b/>
        </w:rPr>
        <w:tab/>
      </w:r>
      <w:r w:rsidR="001142B9">
        <w:t>No position.</w:t>
      </w:r>
    </w:p>
    <w:p w14:paraId="415AAAA1" w14:textId="77777777" w:rsidR="003F4F8D" w:rsidRDefault="003F4F8D" w:rsidP="003F4F8D">
      <w:pPr>
        <w:ind w:left="1440" w:hanging="1440"/>
        <w:jc w:val="both"/>
        <w:rPr>
          <w:b/>
        </w:rPr>
      </w:pPr>
    </w:p>
    <w:p w14:paraId="5ADD2D83" w14:textId="77777777" w:rsidR="00A14A11" w:rsidRDefault="00C0182D" w:rsidP="003F4F8D">
      <w:pPr>
        <w:ind w:left="1440" w:hanging="1440"/>
        <w:jc w:val="both"/>
        <w:rPr>
          <w:b/>
        </w:rPr>
      </w:pPr>
      <w:r>
        <w:rPr>
          <w:b/>
        </w:rPr>
        <w:t xml:space="preserve">FUEL </w:t>
      </w:r>
    </w:p>
    <w:p w14:paraId="4E50AA58" w14:textId="7D9D67AD" w:rsidR="003F4F8D" w:rsidRDefault="00C0182D" w:rsidP="003F4F8D">
      <w:pPr>
        <w:ind w:left="1440" w:hanging="1440"/>
        <w:jc w:val="both"/>
      </w:pPr>
      <w:r>
        <w:rPr>
          <w:b/>
        </w:rPr>
        <w:t>RETAILERS</w:t>
      </w:r>
      <w:r w:rsidR="003F4F8D">
        <w:rPr>
          <w:b/>
        </w:rPr>
        <w:t>:</w:t>
      </w:r>
      <w:r w:rsidR="00A14A11">
        <w:rPr>
          <w:b/>
        </w:rPr>
        <w:t xml:space="preserve"> </w:t>
      </w:r>
      <w:r w:rsidR="000316DC" w:rsidRPr="00132664">
        <w:t xml:space="preserve">No </w:t>
      </w:r>
      <w:r w:rsidR="001142B9">
        <w:t>p</w:t>
      </w:r>
      <w:r w:rsidR="000316DC" w:rsidRPr="00132664">
        <w:t>osition.</w:t>
      </w:r>
    </w:p>
    <w:p w14:paraId="07A3D33B" w14:textId="77777777" w:rsidR="00C11FCA" w:rsidRDefault="00C11FCA" w:rsidP="003F4F8D">
      <w:pPr>
        <w:ind w:left="1440" w:hanging="1440"/>
        <w:jc w:val="both"/>
      </w:pPr>
    </w:p>
    <w:p w14:paraId="32EB2912" w14:textId="3711A308" w:rsidR="00C11FCA" w:rsidRPr="00C11FCA" w:rsidRDefault="00FD408B" w:rsidP="003F4F8D">
      <w:pPr>
        <w:ind w:left="1440" w:hanging="1440"/>
        <w:jc w:val="both"/>
        <w:rPr>
          <w:b/>
        </w:rPr>
      </w:pPr>
      <w:r>
        <w:rPr>
          <w:b/>
        </w:rPr>
        <w:t>WALMART</w:t>
      </w:r>
      <w:r w:rsidR="00C11FCA">
        <w:rPr>
          <w:b/>
        </w:rPr>
        <w:t>:</w:t>
      </w:r>
      <w:r w:rsidR="00C11FCA">
        <w:rPr>
          <w:b/>
        </w:rPr>
        <w:tab/>
      </w:r>
      <w:r w:rsidR="001142B9">
        <w:t>No position.</w:t>
      </w:r>
    </w:p>
    <w:p w14:paraId="02935895" w14:textId="77777777" w:rsidR="003F4F8D" w:rsidRPr="00701945" w:rsidRDefault="003F4F8D" w:rsidP="003F4F8D">
      <w:pPr>
        <w:jc w:val="both"/>
      </w:pPr>
    </w:p>
    <w:p w14:paraId="69B9F2B7" w14:textId="77777777" w:rsidR="003F4F8D" w:rsidRPr="005D4B47" w:rsidRDefault="003F4F8D" w:rsidP="003F4F8D">
      <w:pPr>
        <w:ind w:left="1440" w:hanging="1440"/>
        <w:jc w:val="both"/>
        <w:rPr>
          <w:b/>
          <w:bCs/>
        </w:rPr>
      </w:pPr>
      <w:r>
        <w:rPr>
          <w:b/>
          <w:bCs/>
        </w:rPr>
        <w:t>STAFF:</w:t>
      </w:r>
      <w:r>
        <w:rPr>
          <w:b/>
          <w:bCs/>
        </w:rPr>
        <w:tab/>
      </w:r>
      <w:r w:rsidR="00AC7E54">
        <w:t>No position at this time.</w:t>
      </w:r>
    </w:p>
    <w:p w14:paraId="1DA1453B" w14:textId="77777777" w:rsidR="003F4F8D" w:rsidRDefault="003F4F8D" w:rsidP="00C7699A">
      <w:pPr>
        <w:jc w:val="both"/>
      </w:pPr>
    </w:p>
    <w:p w14:paraId="4EE99E62" w14:textId="77777777" w:rsidR="003F4F8D" w:rsidRDefault="003F4F8D" w:rsidP="00C7699A">
      <w:pPr>
        <w:jc w:val="both"/>
      </w:pPr>
    </w:p>
    <w:p w14:paraId="736DE70C" w14:textId="77777777" w:rsidR="003F4F8D" w:rsidRPr="007715CE" w:rsidRDefault="007715CE" w:rsidP="003F4F8D">
      <w:pPr>
        <w:ind w:left="1440" w:hanging="1440"/>
        <w:jc w:val="both"/>
        <w:rPr>
          <w:b/>
        </w:rPr>
      </w:pPr>
      <w:r>
        <w:rPr>
          <w:b/>
          <w:bCs/>
        </w:rPr>
        <w:lastRenderedPageBreak/>
        <w:t>ISSUE 93</w:t>
      </w:r>
      <w:r w:rsidR="003F4F8D" w:rsidRPr="00701945">
        <w:rPr>
          <w:b/>
          <w:bCs/>
        </w:rPr>
        <w:t>:</w:t>
      </w:r>
      <w:r w:rsidR="003F4F8D" w:rsidRPr="00701945">
        <w:tab/>
      </w:r>
      <w:r w:rsidRPr="007715CE">
        <w:rPr>
          <w:b/>
        </w:rPr>
        <w:t>Should the Commission give staff administrative authority to approve tariffs reflecting Commission approved rates and charges?</w:t>
      </w:r>
    </w:p>
    <w:p w14:paraId="5A45A235" w14:textId="77777777" w:rsidR="003F4F8D" w:rsidRPr="00701945" w:rsidRDefault="003F4F8D" w:rsidP="003F4F8D">
      <w:pPr>
        <w:jc w:val="both"/>
      </w:pPr>
    </w:p>
    <w:p w14:paraId="3C6CA5FE" w14:textId="77777777" w:rsidR="003F4F8D" w:rsidRPr="005D4B47" w:rsidRDefault="003F4F8D" w:rsidP="003F4F8D">
      <w:pPr>
        <w:ind w:left="1440" w:hanging="1440"/>
        <w:jc w:val="both"/>
      </w:pPr>
      <w:r>
        <w:rPr>
          <w:b/>
          <w:bCs/>
        </w:rPr>
        <w:t>TECO</w:t>
      </w:r>
      <w:r w:rsidRPr="005D4B47">
        <w:rPr>
          <w:b/>
          <w:bCs/>
        </w:rPr>
        <w:t>:</w:t>
      </w:r>
      <w:r w:rsidRPr="005D4B47">
        <w:tab/>
      </w:r>
      <w:r w:rsidR="007715CE" w:rsidRPr="006C2FAE">
        <w:t>Yes. (Williams)</w:t>
      </w:r>
    </w:p>
    <w:p w14:paraId="2F28D9D7" w14:textId="77777777" w:rsidR="003F4F8D" w:rsidRPr="00701945" w:rsidRDefault="003F4F8D" w:rsidP="003F4F8D">
      <w:pPr>
        <w:jc w:val="both"/>
      </w:pPr>
    </w:p>
    <w:p w14:paraId="4D39DB68" w14:textId="77777777" w:rsidR="003F4F8D" w:rsidRDefault="003F4F8D" w:rsidP="003F4F8D">
      <w:pPr>
        <w:ind w:left="1440" w:hanging="1440"/>
        <w:jc w:val="both"/>
      </w:pPr>
      <w:r>
        <w:rPr>
          <w:b/>
          <w:bCs/>
        </w:rPr>
        <w:t>OPC</w:t>
      </w:r>
      <w:r w:rsidRPr="00701945">
        <w:rPr>
          <w:b/>
          <w:bCs/>
        </w:rPr>
        <w:t>:</w:t>
      </w:r>
      <w:r>
        <w:tab/>
      </w:r>
      <w:r w:rsidR="00D175D0">
        <w:t>No position.</w:t>
      </w:r>
    </w:p>
    <w:p w14:paraId="3FA2F781" w14:textId="77777777" w:rsidR="003F4F8D" w:rsidRDefault="003F4F8D" w:rsidP="003F4F8D">
      <w:pPr>
        <w:ind w:left="1440" w:hanging="1440"/>
        <w:jc w:val="both"/>
      </w:pPr>
    </w:p>
    <w:p w14:paraId="69FDD7B8" w14:textId="77777777" w:rsidR="003F4F8D" w:rsidRDefault="003F4F8D" w:rsidP="003F4F8D">
      <w:pPr>
        <w:ind w:left="1440" w:hanging="1440"/>
        <w:jc w:val="both"/>
        <w:rPr>
          <w:b/>
        </w:rPr>
      </w:pPr>
      <w:r>
        <w:rPr>
          <w:b/>
        </w:rPr>
        <w:t>FL RISING/</w:t>
      </w:r>
    </w:p>
    <w:p w14:paraId="4A498F1A" w14:textId="77777777" w:rsidR="003F4F8D" w:rsidRDefault="003F4F8D" w:rsidP="003F4F8D">
      <w:pPr>
        <w:ind w:left="1440" w:hanging="1440"/>
        <w:jc w:val="both"/>
        <w:rPr>
          <w:b/>
        </w:rPr>
      </w:pPr>
      <w:r>
        <w:rPr>
          <w:b/>
        </w:rPr>
        <w:t>LULAC:</w:t>
      </w:r>
      <w:r>
        <w:rPr>
          <w:b/>
        </w:rPr>
        <w:tab/>
      </w:r>
      <w:r w:rsidR="009B5CD3">
        <w:t>No.</w:t>
      </w:r>
    </w:p>
    <w:p w14:paraId="0303A972" w14:textId="77777777" w:rsidR="003F4F8D" w:rsidRDefault="003F4F8D" w:rsidP="003F4F8D">
      <w:pPr>
        <w:ind w:left="1440" w:hanging="1440"/>
        <w:jc w:val="both"/>
        <w:rPr>
          <w:b/>
        </w:rPr>
      </w:pPr>
    </w:p>
    <w:p w14:paraId="3E883B74" w14:textId="77777777" w:rsidR="003F4F8D" w:rsidRDefault="003F4F8D" w:rsidP="003F4F8D">
      <w:pPr>
        <w:ind w:left="1440" w:hanging="1440"/>
        <w:jc w:val="both"/>
        <w:rPr>
          <w:b/>
        </w:rPr>
      </w:pPr>
      <w:r>
        <w:rPr>
          <w:b/>
        </w:rPr>
        <w:t>FIPUG:</w:t>
      </w:r>
      <w:r>
        <w:rPr>
          <w:b/>
        </w:rPr>
        <w:tab/>
      </w:r>
      <w:r w:rsidR="001502A7">
        <w:rPr>
          <w:bCs/>
        </w:rPr>
        <w:t>Yes.</w:t>
      </w:r>
    </w:p>
    <w:p w14:paraId="0B5D9E19" w14:textId="77777777" w:rsidR="003F4F8D" w:rsidRDefault="003F4F8D" w:rsidP="003F4F8D">
      <w:pPr>
        <w:ind w:left="1440" w:hanging="1440"/>
        <w:jc w:val="both"/>
        <w:rPr>
          <w:b/>
        </w:rPr>
      </w:pPr>
    </w:p>
    <w:p w14:paraId="2186DE1B" w14:textId="5E40BD9C" w:rsidR="003F4F8D" w:rsidRDefault="003F4F8D" w:rsidP="003F4F8D">
      <w:pPr>
        <w:ind w:left="1440" w:hanging="1440"/>
        <w:jc w:val="both"/>
        <w:rPr>
          <w:b/>
        </w:rPr>
      </w:pPr>
      <w:r>
        <w:rPr>
          <w:b/>
        </w:rPr>
        <w:t>FEA:</w:t>
      </w:r>
      <w:r>
        <w:rPr>
          <w:b/>
        </w:rPr>
        <w:tab/>
      </w:r>
      <w:r w:rsidR="00B82DDD">
        <w:t>No position.</w:t>
      </w:r>
    </w:p>
    <w:p w14:paraId="4E036E0D" w14:textId="77777777" w:rsidR="003F4F8D" w:rsidRDefault="003F4F8D" w:rsidP="003F4F8D">
      <w:pPr>
        <w:ind w:left="1440" w:hanging="1440"/>
        <w:jc w:val="both"/>
        <w:rPr>
          <w:b/>
        </w:rPr>
      </w:pPr>
    </w:p>
    <w:p w14:paraId="2CF1C267" w14:textId="77777777" w:rsidR="00A14A11" w:rsidRDefault="00764960" w:rsidP="003F4F8D">
      <w:pPr>
        <w:ind w:left="1440" w:hanging="1440"/>
        <w:jc w:val="both"/>
        <w:rPr>
          <w:b/>
        </w:rPr>
      </w:pPr>
      <w:r>
        <w:rPr>
          <w:b/>
        </w:rPr>
        <w:t xml:space="preserve">SIERRA </w:t>
      </w:r>
    </w:p>
    <w:p w14:paraId="74A1C40F" w14:textId="1033FED8" w:rsidR="003F4F8D" w:rsidRDefault="00764960" w:rsidP="003F4F8D">
      <w:pPr>
        <w:ind w:left="1440" w:hanging="1440"/>
        <w:jc w:val="both"/>
        <w:rPr>
          <w:b/>
        </w:rPr>
      </w:pPr>
      <w:r>
        <w:rPr>
          <w:b/>
        </w:rPr>
        <w:t>CLUB</w:t>
      </w:r>
      <w:r w:rsidR="003F4F8D">
        <w:rPr>
          <w:b/>
        </w:rPr>
        <w:t>:</w:t>
      </w:r>
      <w:r w:rsidR="003F4F8D">
        <w:rPr>
          <w:b/>
        </w:rPr>
        <w:tab/>
      </w:r>
      <w:r w:rsidR="00B82DDD">
        <w:t xml:space="preserve">For each of the Issues in this category, </w:t>
      </w:r>
      <w:r w:rsidR="00B82DDD" w:rsidRPr="001E3193">
        <w:t xml:space="preserve">Sierra Club has no position </w:t>
      </w:r>
      <w:r w:rsidR="00B82DDD">
        <w:t>beyond generally supporting intervenor proposals to reduce energy burdens for residential customers</w:t>
      </w:r>
      <w:r w:rsidR="00516FCE" w:rsidRPr="001E3193">
        <w:t>.</w:t>
      </w:r>
    </w:p>
    <w:p w14:paraId="7CEB5D65" w14:textId="77777777" w:rsidR="003F4F8D" w:rsidRDefault="003F4F8D" w:rsidP="003F4F8D">
      <w:pPr>
        <w:ind w:left="1440" w:hanging="1440"/>
        <w:jc w:val="both"/>
        <w:rPr>
          <w:b/>
        </w:rPr>
      </w:pPr>
    </w:p>
    <w:p w14:paraId="6C6AE5E6" w14:textId="2F6181C4" w:rsidR="003F4F8D" w:rsidRDefault="003F4F8D" w:rsidP="003F4F8D">
      <w:pPr>
        <w:ind w:left="1440" w:hanging="1440"/>
        <w:jc w:val="both"/>
        <w:rPr>
          <w:b/>
        </w:rPr>
      </w:pPr>
      <w:r>
        <w:rPr>
          <w:b/>
        </w:rPr>
        <w:t>FRF:</w:t>
      </w:r>
      <w:r>
        <w:rPr>
          <w:b/>
        </w:rPr>
        <w:tab/>
      </w:r>
      <w:r w:rsidR="00B82DDD">
        <w:t>No position.</w:t>
      </w:r>
    </w:p>
    <w:p w14:paraId="5C028C48" w14:textId="77777777" w:rsidR="003F4F8D" w:rsidRDefault="003F4F8D" w:rsidP="003F4F8D">
      <w:pPr>
        <w:ind w:left="1440" w:hanging="1440"/>
        <w:jc w:val="both"/>
        <w:rPr>
          <w:b/>
        </w:rPr>
      </w:pPr>
    </w:p>
    <w:p w14:paraId="4B11A027" w14:textId="77777777" w:rsidR="00A14A11" w:rsidRDefault="00C0182D" w:rsidP="003F4F8D">
      <w:pPr>
        <w:ind w:left="1440" w:hanging="1440"/>
        <w:jc w:val="both"/>
        <w:rPr>
          <w:b/>
        </w:rPr>
      </w:pPr>
      <w:r>
        <w:rPr>
          <w:b/>
        </w:rPr>
        <w:t xml:space="preserve">FUEL </w:t>
      </w:r>
    </w:p>
    <w:p w14:paraId="68CC9D5D" w14:textId="10CFA105" w:rsidR="003F4F8D" w:rsidRDefault="00C0182D" w:rsidP="003F4F8D">
      <w:pPr>
        <w:ind w:left="1440" w:hanging="1440"/>
        <w:jc w:val="both"/>
      </w:pPr>
      <w:r>
        <w:rPr>
          <w:b/>
        </w:rPr>
        <w:t>RETAILERS</w:t>
      </w:r>
      <w:r w:rsidR="003F4F8D">
        <w:rPr>
          <w:b/>
        </w:rPr>
        <w:t>:</w:t>
      </w:r>
      <w:r w:rsidR="00A14A11">
        <w:rPr>
          <w:b/>
        </w:rPr>
        <w:t xml:space="preserve"> </w:t>
      </w:r>
      <w:r w:rsidR="00DC6CF8">
        <w:t>Yes.</w:t>
      </w:r>
    </w:p>
    <w:p w14:paraId="0CBDF89E" w14:textId="77777777" w:rsidR="00C11FCA" w:rsidRDefault="00C11FCA" w:rsidP="003F4F8D">
      <w:pPr>
        <w:ind w:left="1440" w:hanging="1440"/>
        <w:jc w:val="both"/>
      </w:pPr>
    </w:p>
    <w:p w14:paraId="6EF7743A" w14:textId="24542676" w:rsidR="00C11FCA" w:rsidRPr="00C11FCA" w:rsidRDefault="00FD408B" w:rsidP="003F4F8D">
      <w:pPr>
        <w:ind w:left="1440" w:hanging="1440"/>
        <w:jc w:val="both"/>
        <w:rPr>
          <w:b/>
        </w:rPr>
      </w:pPr>
      <w:r>
        <w:rPr>
          <w:b/>
        </w:rPr>
        <w:t>WALMART</w:t>
      </w:r>
      <w:r w:rsidR="00C11FCA">
        <w:rPr>
          <w:b/>
        </w:rPr>
        <w:t>:</w:t>
      </w:r>
      <w:r w:rsidR="00C11FCA">
        <w:rPr>
          <w:b/>
        </w:rPr>
        <w:tab/>
      </w:r>
      <w:r w:rsidR="00233842">
        <w:t>No position.</w:t>
      </w:r>
    </w:p>
    <w:p w14:paraId="2632C311" w14:textId="77777777" w:rsidR="003F4F8D" w:rsidRPr="00701945" w:rsidRDefault="003F4F8D" w:rsidP="003F4F8D">
      <w:pPr>
        <w:jc w:val="both"/>
      </w:pPr>
    </w:p>
    <w:p w14:paraId="04722F88" w14:textId="77777777" w:rsidR="003F4F8D" w:rsidRPr="005D4B47" w:rsidRDefault="003F4F8D" w:rsidP="003F4F8D">
      <w:pPr>
        <w:ind w:left="1440" w:hanging="1440"/>
        <w:jc w:val="both"/>
        <w:rPr>
          <w:b/>
          <w:bCs/>
        </w:rPr>
      </w:pPr>
      <w:r>
        <w:rPr>
          <w:b/>
          <w:bCs/>
        </w:rPr>
        <w:t>STAFF:</w:t>
      </w:r>
      <w:r>
        <w:rPr>
          <w:b/>
          <w:bCs/>
        </w:rPr>
        <w:tab/>
      </w:r>
      <w:r w:rsidR="00AC7E54">
        <w:t>No position at this time.</w:t>
      </w:r>
    </w:p>
    <w:p w14:paraId="2B962B68" w14:textId="77777777" w:rsidR="003F4F8D" w:rsidRDefault="003F4F8D" w:rsidP="00C7699A">
      <w:pPr>
        <w:jc w:val="both"/>
      </w:pPr>
    </w:p>
    <w:p w14:paraId="3B0BF4B2" w14:textId="0503E821" w:rsidR="007715CE" w:rsidRDefault="007715CE" w:rsidP="00C7699A">
      <w:pPr>
        <w:jc w:val="both"/>
      </w:pPr>
    </w:p>
    <w:p w14:paraId="54B7282E" w14:textId="77777777" w:rsidR="007715CE" w:rsidRDefault="007715CE" w:rsidP="007715CE">
      <w:pPr>
        <w:jc w:val="center"/>
      </w:pPr>
      <w:r w:rsidRPr="00F528AE">
        <w:rPr>
          <w:b/>
          <w:bCs/>
          <w:u w:val="single"/>
        </w:rPr>
        <w:t>2026 AND 2027</w:t>
      </w:r>
      <w:r>
        <w:rPr>
          <w:b/>
          <w:bCs/>
          <w:u w:val="single"/>
        </w:rPr>
        <w:t xml:space="preserve"> </w:t>
      </w:r>
      <w:r w:rsidRPr="00F528AE">
        <w:rPr>
          <w:b/>
          <w:bCs/>
          <w:u w:val="single"/>
        </w:rPr>
        <w:t>SUBSEQUENT YEAR ADJUSTMENTS</w:t>
      </w:r>
    </w:p>
    <w:p w14:paraId="118D4C8C" w14:textId="77777777" w:rsidR="003F4F8D" w:rsidRDefault="003F4F8D" w:rsidP="00C7699A">
      <w:pPr>
        <w:jc w:val="both"/>
      </w:pPr>
    </w:p>
    <w:p w14:paraId="74BE568C" w14:textId="77777777" w:rsidR="003F4F8D" w:rsidRPr="00701945" w:rsidRDefault="007715CE" w:rsidP="003F4F8D">
      <w:pPr>
        <w:ind w:left="1440" w:hanging="1440"/>
        <w:jc w:val="both"/>
      </w:pPr>
      <w:r>
        <w:rPr>
          <w:b/>
          <w:bCs/>
        </w:rPr>
        <w:t>ISSUE 94</w:t>
      </w:r>
      <w:r w:rsidR="003F4F8D" w:rsidRPr="00701945">
        <w:rPr>
          <w:b/>
          <w:bCs/>
        </w:rPr>
        <w:t>:</w:t>
      </w:r>
      <w:r w:rsidR="003F4F8D" w:rsidRPr="00701945">
        <w:tab/>
      </w:r>
      <w:r w:rsidR="00870EFB" w:rsidRPr="00870EFB">
        <w:rPr>
          <w:b/>
          <w:bCs/>
        </w:rPr>
        <w:t>What are the considerations or factors that the Commission should evaluate in determining whether an SYA should be approved?</w:t>
      </w:r>
    </w:p>
    <w:p w14:paraId="450B21D5" w14:textId="77777777" w:rsidR="003F4F8D" w:rsidRPr="00701945" w:rsidRDefault="003F4F8D" w:rsidP="003F4F8D">
      <w:pPr>
        <w:jc w:val="both"/>
      </w:pPr>
    </w:p>
    <w:p w14:paraId="571DD4A6" w14:textId="7C557932" w:rsidR="003F4F8D" w:rsidRPr="005D4B47" w:rsidRDefault="003F4F8D" w:rsidP="003F4F8D">
      <w:pPr>
        <w:ind w:left="1440" w:hanging="1440"/>
        <w:jc w:val="both"/>
      </w:pPr>
      <w:r>
        <w:rPr>
          <w:b/>
          <w:bCs/>
        </w:rPr>
        <w:t>TECO</w:t>
      </w:r>
      <w:r w:rsidRPr="005D4B47">
        <w:rPr>
          <w:b/>
          <w:bCs/>
        </w:rPr>
        <w:t>:</w:t>
      </w:r>
      <w:r w:rsidRPr="005D4B47">
        <w:tab/>
      </w:r>
      <w:r w:rsidR="00870EFB">
        <w:t xml:space="preserve">The Commission should consider the projects proposed to be included for cost recovery via an SYA, the projected costs of those projects, the impact those plant additions will have on the company’s ability to earn within its authorized range of return on equity, and the extent to which the proposed SYA can mitigate the company’s need for successive general rate increases. There is nothing in Section 366.076, </w:t>
      </w:r>
      <w:r w:rsidR="00132540">
        <w:t>F.S.</w:t>
      </w:r>
      <w:r w:rsidR="00870EFB">
        <w:t xml:space="preserve">, that limits SYA to cost recovery for generation projects. The projects included in the company’s proposed 2026 and 2027 SYA are major projects, their costs are reasonable and prudent, placing them in service will have a material impact on the company’s ability to earn within its authorized range of returns, and including them in the proposed SYA will mitigate the company’s </w:t>
      </w:r>
      <w:r w:rsidR="00870EFB">
        <w:lastRenderedPageBreak/>
        <w:t>need for successive general rate increases; therefore, they should be approved. (Chronister)</w:t>
      </w:r>
    </w:p>
    <w:p w14:paraId="2E73D034" w14:textId="77777777" w:rsidR="003F4F8D" w:rsidRPr="00701945" w:rsidRDefault="003F4F8D" w:rsidP="003F4F8D">
      <w:pPr>
        <w:jc w:val="both"/>
      </w:pPr>
    </w:p>
    <w:p w14:paraId="2C0723F2" w14:textId="33E2EFDF" w:rsidR="003F4F8D" w:rsidRDefault="003F4F8D" w:rsidP="003F4F8D">
      <w:pPr>
        <w:ind w:left="1440" w:hanging="1440"/>
        <w:jc w:val="both"/>
      </w:pPr>
      <w:r>
        <w:rPr>
          <w:b/>
          <w:bCs/>
        </w:rPr>
        <w:t>OPC</w:t>
      </w:r>
      <w:r w:rsidRPr="00701945">
        <w:rPr>
          <w:b/>
          <w:bCs/>
        </w:rPr>
        <w:t>:</w:t>
      </w:r>
      <w:r>
        <w:tab/>
      </w:r>
      <w:r w:rsidR="009C0E66" w:rsidRPr="00B06277">
        <w:rPr>
          <w:rFonts w:eastAsia="Calibri"/>
        </w:rPr>
        <w:t>A</w:t>
      </w:r>
      <w:r w:rsidR="009C0E66" w:rsidRPr="00B06277">
        <w:t xml:space="preserve"> </w:t>
      </w:r>
      <w:r w:rsidR="00132540">
        <w:t xml:space="preserve">SYA </w:t>
      </w:r>
      <w:r w:rsidR="009C0E66" w:rsidRPr="00B06277">
        <w:t xml:space="preserve">should not be necessary </w:t>
      </w:r>
      <w:r w:rsidR="009C0E66">
        <w:t>n</w:t>
      </w:r>
      <w:r w:rsidR="009C0E66" w:rsidRPr="00B06277">
        <w:t xml:space="preserve">or </w:t>
      </w:r>
      <w:r w:rsidR="009C0E66">
        <w:t xml:space="preserve">is it </w:t>
      </w:r>
      <w:r w:rsidR="009C0E66" w:rsidRPr="00B06277">
        <w:t xml:space="preserve">good policy </w:t>
      </w:r>
      <w:r w:rsidR="009C0E66">
        <w:t xml:space="preserve">to approve one </w:t>
      </w:r>
      <w:r w:rsidR="009C0E66" w:rsidRPr="00B06277">
        <w:t>without significant limitations. If the test year is chosen appropriately, it should be representative of rates on a going-forward basis, negating the need for another rate adjustment so shortly after the original test year, absent any extraordinary circumstances. Moreover, any rate adjustments due the subsequent year information is inherently more unreliab</w:t>
      </w:r>
      <w:r w:rsidR="009C0E66">
        <w:t xml:space="preserve">le </w:t>
      </w:r>
      <w:r w:rsidR="009C0E66" w:rsidRPr="00B06277">
        <w:t>the further out in time the request is made</w:t>
      </w:r>
      <w:r w:rsidR="009C0E66" w:rsidRPr="00B06277">
        <w:rPr>
          <w:kern w:val="32"/>
          <w:szCs w:val="36"/>
        </w:rPr>
        <w:t xml:space="preserve">. While Section 366.076 (2), </w:t>
      </w:r>
      <w:r w:rsidR="00132540">
        <w:rPr>
          <w:kern w:val="32"/>
          <w:szCs w:val="36"/>
        </w:rPr>
        <w:t>F.S.</w:t>
      </w:r>
      <w:r w:rsidR="009C0E66" w:rsidRPr="00B06277">
        <w:rPr>
          <w:kern w:val="32"/>
          <w:szCs w:val="36"/>
        </w:rPr>
        <w:t xml:space="preserve">, allows the Commission to adopt rules “for incremental adjustments in rates for subsequent periods,” Rule 25-6.0425, Rate Adjustment Application and Procedures, adopted to implement this provision merely states “[t]he Commission may in a full revenue requirements proceeding approve incremental adjustments in rates for periods subsequent to the initial period in which new rate will be in effect.” No factors or other specific directions are provided in the statute or in the rule. The Commission’s </w:t>
      </w:r>
      <w:r w:rsidR="009C0E66">
        <w:rPr>
          <w:kern w:val="32"/>
          <w:szCs w:val="36"/>
        </w:rPr>
        <w:t xml:space="preserve">limited, </w:t>
      </w:r>
      <w:r w:rsidR="009C0E66" w:rsidRPr="00B06277">
        <w:rPr>
          <w:kern w:val="32"/>
          <w:szCs w:val="36"/>
        </w:rPr>
        <w:t>past practice has been to limit subsequent year rate adjustments to the placement of large</w:t>
      </w:r>
      <w:r w:rsidR="009C0E66">
        <w:rPr>
          <w:kern w:val="32"/>
          <w:szCs w:val="36"/>
        </w:rPr>
        <w:t>, discrete</w:t>
      </w:r>
      <w:r w:rsidR="009C0E66" w:rsidRPr="00B06277">
        <w:rPr>
          <w:kern w:val="32"/>
          <w:szCs w:val="36"/>
        </w:rPr>
        <w:t xml:space="preserve"> revenue impacting generation facilities into service such as the generation base rate adjustments (GBRAs) or solar base rate adjustments (SoBRAs). </w:t>
      </w:r>
      <w:r w:rsidR="009C0E66">
        <w:rPr>
          <w:kern w:val="32"/>
          <w:szCs w:val="36"/>
        </w:rPr>
        <w:t xml:space="preserve">Even when </w:t>
      </w:r>
      <w:r w:rsidR="009C0E66" w:rsidRPr="00B06277">
        <w:rPr>
          <w:kern w:val="32"/>
          <w:szCs w:val="36"/>
        </w:rPr>
        <w:t>the generation facilities and/or major capital proj</w:t>
      </w:r>
      <w:r w:rsidR="00AA0F94">
        <w:rPr>
          <w:kern w:val="32"/>
          <w:szCs w:val="36"/>
        </w:rPr>
        <w:t xml:space="preserve">ects are placed in service, TECO </w:t>
      </w:r>
      <w:r w:rsidR="009C0E66" w:rsidRPr="00B06277">
        <w:rPr>
          <w:kern w:val="32"/>
          <w:szCs w:val="36"/>
        </w:rPr>
        <w:t>s</w:t>
      </w:r>
      <w:r w:rsidR="009C0E66">
        <w:rPr>
          <w:kern w:val="32"/>
          <w:szCs w:val="36"/>
        </w:rPr>
        <w:t>till must</w:t>
      </w:r>
      <w:r w:rsidR="009C0E66" w:rsidRPr="00B06277">
        <w:rPr>
          <w:kern w:val="32"/>
          <w:szCs w:val="36"/>
        </w:rPr>
        <w:t xml:space="preserve"> demo</w:t>
      </w:r>
      <w:r w:rsidR="00AA0F94">
        <w:rPr>
          <w:kern w:val="32"/>
          <w:szCs w:val="36"/>
        </w:rPr>
        <w:t xml:space="preserve">nstrate that it would cause TECO </w:t>
      </w:r>
      <w:r w:rsidR="009C0E66" w:rsidRPr="00B06277">
        <w:rPr>
          <w:kern w:val="32"/>
          <w:szCs w:val="36"/>
        </w:rPr>
        <w:t xml:space="preserve">to earn below the approved equity range due to the </w:t>
      </w:r>
      <w:r w:rsidR="009C0E66">
        <w:rPr>
          <w:kern w:val="32"/>
          <w:szCs w:val="36"/>
        </w:rPr>
        <w:t xml:space="preserve">material </w:t>
      </w:r>
      <w:r w:rsidR="009C0E66" w:rsidRPr="00B06277">
        <w:rPr>
          <w:kern w:val="32"/>
          <w:szCs w:val="36"/>
        </w:rPr>
        <w:t xml:space="preserve">revenue </w:t>
      </w:r>
      <w:r w:rsidR="009C0E66">
        <w:rPr>
          <w:kern w:val="32"/>
          <w:szCs w:val="36"/>
        </w:rPr>
        <w:t xml:space="preserve">requirement </w:t>
      </w:r>
      <w:r w:rsidR="009C0E66" w:rsidRPr="00B06277">
        <w:rPr>
          <w:kern w:val="32"/>
          <w:szCs w:val="36"/>
        </w:rPr>
        <w:t>impact in the year(s) immediately after a rate case. Further,</w:t>
      </w:r>
      <w:r w:rsidR="00AA0F94">
        <w:rPr>
          <w:kern w:val="32"/>
          <w:szCs w:val="36"/>
        </w:rPr>
        <w:t xml:space="preserve"> TECO </w:t>
      </w:r>
      <w:r w:rsidR="009C0E66" w:rsidRPr="00B06277">
        <w:rPr>
          <w:kern w:val="32"/>
          <w:szCs w:val="36"/>
        </w:rPr>
        <w:t xml:space="preserve">must demonstrate the need for generation and/or facilities in the subsequent year. Given the lack of other directives in either the statute or rule, the Commission should not expand its use of a </w:t>
      </w:r>
      <w:r w:rsidR="00AA0F94">
        <w:rPr>
          <w:kern w:val="32"/>
          <w:szCs w:val="36"/>
        </w:rPr>
        <w:t xml:space="preserve">SYA </w:t>
      </w:r>
      <w:r w:rsidR="009C0E66" w:rsidRPr="00B06277">
        <w:rPr>
          <w:kern w:val="32"/>
          <w:szCs w:val="36"/>
        </w:rPr>
        <w:t>beyond large revenue impacting generation or equivalent type facilities.  All historically and traditional “business as normal” distribution “electric delivery infrastructure” investment costs should NOT be allowed in a subsequent year adjustment.</w:t>
      </w:r>
    </w:p>
    <w:p w14:paraId="28FAD893" w14:textId="77777777" w:rsidR="003F4F8D" w:rsidRDefault="003F4F8D" w:rsidP="003F4F8D">
      <w:pPr>
        <w:ind w:left="1440" w:hanging="1440"/>
        <w:jc w:val="both"/>
      </w:pPr>
    </w:p>
    <w:p w14:paraId="3A535B31" w14:textId="77777777" w:rsidR="003F4F8D" w:rsidRDefault="003F4F8D" w:rsidP="003F4F8D">
      <w:pPr>
        <w:ind w:left="1440" w:hanging="1440"/>
        <w:jc w:val="both"/>
        <w:rPr>
          <w:b/>
        </w:rPr>
      </w:pPr>
      <w:r>
        <w:rPr>
          <w:b/>
        </w:rPr>
        <w:t>FL RISING/</w:t>
      </w:r>
    </w:p>
    <w:p w14:paraId="2ADE2DD6" w14:textId="6D4313ED" w:rsidR="003F4F8D" w:rsidRDefault="003F4F8D" w:rsidP="003F4F8D">
      <w:pPr>
        <w:ind w:left="1440" w:hanging="1440"/>
        <w:jc w:val="both"/>
        <w:rPr>
          <w:b/>
        </w:rPr>
      </w:pPr>
      <w:r>
        <w:rPr>
          <w:b/>
        </w:rPr>
        <w:t>LULAC:</w:t>
      </w:r>
      <w:r>
        <w:rPr>
          <w:b/>
        </w:rPr>
        <w:tab/>
      </w:r>
      <w:r w:rsidR="009B5CD3" w:rsidRPr="085430D6">
        <w:t xml:space="preserve">SYAs, if </w:t>
      </w:r>
      <w:r w:rsidR="009B5CD3" w:rsidRPr="01FD8B44">
        <w:t xml:space="preserve">ever </w:t>
      </w:r>
      <w:r w:rsidR="009B5CD3">
        <w:t>authorized</w:t>
      </w:r>
      <w:r w:rsidR="009B5CD3" w:rsidRPr="01FD8B44">
        <w:t xml:space="preserve">, should be based on </w:t>
      </w:r>
      <w:r w:rsidR="009B5CD3" w:rsidRPr="487D17F4">
        <w:t xml:space="preserve">very specific, </w:t>
      </w:r>
      <w:r w:rsidR="009B5CD3" w:rsidRPr="1492E1C8">
        <w:t xml:space="preserve">large, usually singular, </w:t>
      </w:r>
      <w:r w:rsidR="009B5CD3" w:rsidRPr="089395A8">
        <w:t xml:space="preserve">generation </w:t>
      </w:r>
      <w:r w:rsidR="009B5CD3" w:rsidRPr="55CA2F12">
        <w:t>investments. These</w:t>
      </w:r>
      <w:r w:rsidR="009B5CD3">
        <w:rPr>
          <w:bCs/>
        </w:rPr>
        <w:t xml:space="preserve"> SYAs should not be approved. If the Commission does approve an SYA, the Commission should apply the factors proposed by OPC to establish a framework, limitations, guidance, and customer protections when assessing which projects and costs, if any, should be included in an SYA.</w:t>
      </w:r>
    </w:p>
    <w:p w14:paraId="289125B6" w14:textId="77777777" w:rsidR="003F4F8D" w:rsidRDefault="003F4F8D" w:rsidP="003F4F8D">
      <w:pPr>
        <w:ind w:left="1440" w:hanging="1440"/>
        <w:jc w:val="both"/>
        <w:rPr>
          <w:b/>
        </w:rPr>
      </w:pPr>
    </w:p>
    <w:p w14:paraId="63608F15" w14:textId="28AF2BA4" w:rsidR="003F4F8D" w:rsidRDefault="003F4F8D" w:rsidP="003F4F8D">
      <w:pPr>
        <w:ind w:left="1440" w:hanging="1440"/>
        <w:jc w:val="both"/>
        <w:rPr>
          <w:b/>
        </w:rPr>
      </w:pPr>
      <w:r>
        <w:rPr>
          <w:b/>
        </w:rPr>
        <w:t>FIPUG:</w:t>
      </w:r>
      <w:r>
        <w:rPr>
          <w:b/>
        </w:rPr>
        <w:tab/>
      </w:r>
      <w:r w:rsidR="009D1832" w:rsidRPr="00F5435C">
        <w:rPr>
          <w:bCs/>
        </w:rPr>
        <w:t>Adopt</w:t>
      </w:r>
      <w:r w:rsidR="007C10C1">
        <w:rPr>
          <w:bCs/>
        </w:rPr>
        <w:t>s</w:t>
      </w:r>
      <w:r w:rsidR="009D1832" w:rsidRPr="00F5435C">
        <w:rPr>
          <w:bCs/>
        </w:rPr>
        <w:t xml:space="preserve"> </w:t>
      </w:r>
      <w:r w:rsidR="007C10C1">
        <w:rPr>
          <w:bCs/>
        </w:rPr>
        <w:t xml:space="preserve">the </w:t>
      </w:r>
      <w:r w:rsidR="009D1832" w:rsidRPr="00F5435C">
        <w:rPr>
          <w:bCs/>
        </w:rPr>
        <w:t>position of OPC.</w:t>
      </w:r>
    </w:p>
    <w:p w14:paraId="0A5DFBEA" w14:textId="77777777" w:rsidR="003F4F8D" w:rsidRDefault="003F4F8D" w:rsidP="003F4F8D">
      <w:pPr>
        <w:ind w:left="1440" w:hanging="1440"/>
        <w:jc w:val="both"/>
        <w:rPr>
          <w:b/>
        </w:rPr>
      </w:pPr>
    </w:p>
    <w:p w14:paraId="5295E6F8" w14:textId="2E1C0E5E" w:rsidR="003F4F8D" w:rsidRDefault="003F4F8D" w:rsidP="003F4F8D">
      <w:pPr>
        <w:ind w:left="1440" w:hanging="1440"/>
        <w:jc w:val="both"/>
        <w:rPr>
          <w:b/>
        </w:rPr>
      </w:pPr>
      <w:r>
        <w:rPr>
          <w:b/>
        </w:rPr>
        <w:t>FEA:</w:t>
      </w:r>
      <w:r>
        <w:rPr>
          <w:b/>
        </w:rPr>
        <w:tab/>
      </w:r>
      <w:r w:rsidR="007C10C1">
        <w:t>No position.</w:t>
      </w:r>
    </w:p>
    <w:p w14:paraId="5BCAA351" w14:textId="77777777" w:rsidR="003F4F8D" w:rsidRDefault="003F4F8D" w:rsidP="003F4F8D">
      <w:pPr>
        <w:ind w:left="1440" w:hanging="1440"/>
        <w:jc w:val="both"/>
        <w:rPr>
          <w:b/>
        </w:rPr>
      </w:pPr>
    </w:p>
    <w:p w14:paraId="31E2CC37" w14:textId="77777777" w:rsidR="00A14A11" w:rsidRDefault="00764960" w:rsidP="003F4F8D">
      <w:pPr>
        <w:ind w:left="1440" w:hanging="1440"/>
        <w:jc w:val="both"/>
        <w:rPr>
          <w:b/>
        </w:rPr>
      </w:pPr>
      <w:r>
        <w:rPr>
          <w:b/>
        </w:rPr>
        <w:t xml:space="preserve">SIERRA </w:t>
      </w:r>
    </w:p>
    <w:p w14:paraId="07E8317F" w14:textId="47B1CE24" w:rsidR="003F4F8D" w:rsidRDefault="00764960" w:rsidP="003F4F8D">
      <w:pPr>
        <w:ind w:left="1440" w:hanging="1440"/>
        <w:jc w:val="both"/>
        <w:rPr>
          <w:b/>
        </w:rPr>
      </w:pPr>
      <w:r>
        <w:rPr>
          <w:b/>
        </w:rPr>
        <w:t>CLUB</w:t>
      </w:r>
      <w:r w:rsidR="003F4F8D">
        <w:rPr>
          <w:b/>
        </w:rPr>
        <w:t>:</w:t>
      </w:r>
      <w:r w:rsidR="003F4F8D">
        <w:rPr>
          <w:b/>
        </w:rPr>
        <w:tab/>
      </w:r>
      <w:r w:rsidR="007C10C1">
        <w:t>No position.</w:t>
      </w:r>
    </w:p>
    <w:p w14:paraId="71BF8B28" w14:textId="77777777" w:rsidR="003F4F8D" w:rsidRDefault="003F4F8D" w:rsidP="003F4F8D">
      <w:pPr>
        <w:ind w:left="1440" w:hanging="1440"/>
        <w:jc w:val="both"/>
        <w:rPr>
          <w:b/>
        </w:rPr>
      </w:pPr>
    </w:p>
    <w:p w14:paraId="5C4A7C4F" w14:textId="5C090886" w:rsidR="003F4F8D" w:rsidRDefault="003F4F8D" w:rsidP="003F4F8D">
      <w:pPr>
        <w:ind w:left="1440" w:hanging="1440"/>
        <w:jc w:val="both"/>
        <w:rPr>
          <w:b/>
        </w:rPr>
      </w:pPr>
      <w:r>
        <w:rPr>
          <w:b/>
        </w:rPr>
        <w:lastRenderedPageBreak/>
        <w:t>FRF:</w:t>
      </w:r>
      <w:r>
        <w:rPr>
          <w:b/>
        </w:rPr>
        <w:tab/>
      </w:r>
      <w:r w:rsidR="00B50828">
        <w:t>Agree</w:t>
      </w:r>
      <w:r w:rsidR="007C10C1">
        <w:t>s</w:t>
      </w:r>
      <w:r w:rsidR="00B50828">
        <w:t xml:space="preserve"> with OPC.</w:t>
      </w:r>
    </w:p>
    <w:p w14:paraId="308FC96D" w14:textId="77777777" w:rsidR="003F4F8D" w:rsidRDefault="003F4F8D" w:rsidP="003F4F8D">
      <w:pPr>
        <w:ind w:left="1440" w:hanging="1440"/>
        <w:jc w:val="both"/>
        <w:rPr>
          <w:b/>
        </w:rPr>
      </w:pPr>
    </w:p>
    <w:p w14:paraId="44B1CF6A" w14:textId="77777777" w:rsidR="00A14A11" w:rsidRDefault="00C0182D" w:rsidP="003F4F8D">
      <w:pPr>
        <w:ind w:left="1440" w:hanging="1440"/>
        <w:jc w:val="both"/>
        <w:rPr>
          <w:b/>
        </w:rPr>
      </w:pPr>
      <w:r>
        <w:rPr>
          <w:b/>
        </w:rPr>
        <w:t xml:space="preserve">FUEL </w:t>
      </w:r>
    </w:p>
    <w:p w14:paraId="172F3590" w14:textId="743F2D9F" w:rsidR="003F4F8D" w:rsidRDefault="00C0182D" w:rsidP="003F4F8D">
      <w:pPr>
        <w:ind w:left="1440" w:hanging="1440"/>
        <w:jc w:val="both"/>
      </w:pPr>
      <w:r>
        <w:rPr>
          <w:b/>
        </w:rPr>
        <w:t>RETAILERS</w:t>
      </w:r>
      <w:r w:rsidR="003F4F8D">
        <w:rPr>
          <w:b/>
        </w:rPr>
        <w:t>:</w:t>
      </w:r>
      <w:r w:rsidR="00A14A11">
        <w:rPr>
          <w:b/>
        </w:rPr>
        <w:t xml:space="preserve"> </w:t>
      </w:r>
      <w:r w:rsidR="00DC6CF8" w:rsidRPr="00A53630">
        <w:t>Agree</w:t>
      </w:r>
      <w:r w:rsidR="007C10C1">
        <w:t>s</w:t>
      </w:r>
      <w:r w:rsidR="00DC6CF8" w:rsidRPr="00A53630">
        <w:t xml:space="preserve"> with </w:t>
      </w:r>
      <w:r w:rsidR="007C10C1">
        <w:t>OPC</w:t>
      </w:r>
      <w:r w:rsidR="00DC6CF8" w:rsidRPr="00A53630">
        <w:t>.</w:t>
      </w:r>
    </w:p>
    <w:p w14:paraId="09269C6C" w14:textId="77777777" w:rsidR="00C11FCA" w:rsidRDefault="00C11FCA" w:rsidP="003F4F8D">
      <w:pPr>
        <w:ind w:left="1440" w:hanging="1440"/>
        <w:jc w:val="both"/>
      </w:pPr>
    </w:p>
    <w:p w14:paraId="294B9D2C" w14:textId="1C9DC0AE" w:rsidR="00C11FCA" w:rsidRPr="00C11FCA" w:rsidRDefault="00FD408B" w:rsidP="003F4F8D">
      <w:pPr>
        <w:ind w:left="1440" w:hanging="1440"/>
        <w:jc w:val="both"/>
        <w:rPr>
          <w:b/>
        </w:rPr>
      </w:pPr>
      <w:r>
        <w:rPr>
          <w:b/>
        </w:rPr>
        <w:t>WALMART</w:t>
      </w:r>
      <w:r w:rsidR="00C11FCA">
        <w:rPr>
          <w:b/>
        </w:rPr>
        <w:t>:</w:t>
      </w:r>
      <w:r w:rsidR="00C11FCA">
        <w:rPr>
          <w:b/>
        </w:rPr>
        <w:tab/>
      </w:r>
      <w:r w:rsidR="007C10C1">
        <w:t>A</w:t>
      </w:r>
      <w:r w:rsidR="00C11FCA">
        <w:t>grees with OPC.</w:t>
      </w:r>
    </w:p>
    <w:p w14:paraId="54D974D4" w14:textId="77777777" w:rsidR="003F4F8D" w:rsidRPr="00701945" w:rsidRDefault="003F4F8D" w:rsidP="003F4F8D">
      <w:pPr>
        <w:jc w:val="both"/>
      </w:pPr>
    </w:p>
    <w:p w14:paraId="3563CCAC" w14:textId="77777777" w:rsidR="003F4F8D" w:rsidRPr="005D4B47" w:rsidRDefault="003F4F8D" w:rsidP="003F4F8D">
      <w:pPr>
        <w:ind w:left="1440" w:hanging="1440"/>
        <w:jc w:val="both"/>
        <w:rPr>
          <w:b/>
          <w:bCs/>
        </w:rPr>
      </w:pPr>
      <w:r>
        <w:rPr>
          <w:b/>
          <w:bCs/>
        </w:rPr>
        <w:t>STAFF:</w:t>
      </w:r>
      <w:r>
        <w:rPr>
          <w:b/>
          <w:bCs/>
        </w:rPr>
        <w:tab/>
      </w:r>
      <w:r w:rsidR="00AC7E54">
        <w:t>No position at this time.</w:t>
      </w:r>
    </w:p>
    <w:p w14:paraId="50AFAC4A" w14:textId="77777777" w:rsidR="003F4F8D" w:rsidRDefault="003F4F8D" w:rsidP="00C7699A">
      <w:pPr>
        <w:jc w:val="both"/>
      </w:pPr>
    </w:p>
    <w:p w14:paraId="7E71697F" w14:textId="77777777" w:rsidR="003F4F8D" w:rsidRDefault="003F4F8D" w:rsidP="00C7699A">
      <w:pPr>
        <w:jc w:val="both"/>
      </w:pPr>
    </w:p>
    <w:p w14:paraId="5FE92C70" w14:textId="77777777" w:rsidR="003F4F8D" w:rsidRPr="00870EFB" w:rsidRDefault="00870EFB" w:rsidP="003F4F8D">
      <w:pPr>
        <w:ind w:left="1440" w:hanging="1440"/>
        <w:jc w:val="both"/>
        <w:rPr>
          <w:b/>
        </w:rPr>
      </w:pPr>
      <w:r>
        <w:rPr>
          <w:b/>
          <w:bCs/>
        </w:rPr>
        <w:t>ISSUE 95</w:t>
      </w:r>
      <w:r w:rsidR="003F4F8D" w:rsidRPr="00701945">
        <w:rPr>
          <w:b/>
          <w:bCs/>
        </w:rPr>
        <w:t>:</w:t>
      </w:r>
      <w:r w:rsidR="003F4F8D" w:rsidRPr="00701945">
        <w:tab/>
      </w:r>
      <w:r w:rsidRPr="00870EFB">
        <w:rPr>
          <w:b/>
          <w:bCs/>
        </w:rPr>
        <w:t>Should the Commission approve the inclusion of TECO’s proposed Solar Projects in the 2026 and 2027 SYA? What, if any, adjustments should be made?</w:t>
      </w:r>
    </w:p>
    <w:p w14:paraId="0F5AB5E8" w14:textId="77777777" w:rsidR="003F4F8D" w:rsidRPr="00701945" w:rsidRDefault="003F4F8D" w:rsidP="003F4F8D">
      <w:pPr>
        <w:jc w:val="both"/>
      </w:pPr>
    </w:p>
    <w:p w14:paraId="26014A5E" w14:textId="77777777" w:rsidR="003F4F8D" w:rsidRPr="005D4B47" w:rsidRDefault="003F4F8D" w:rsidP="003F4F8D">
      <w:pPr>
        <w:ind w:left="1440" w:hanging="1440"/>
        <w:jc w:val="both"/>
      </w:pPr>
      <w:r>
        <w:rPr>
          <w:b/>
          <w:bCs/>
        </w:rPr>
        <w:t>TECO</w:t>
      </w:r>
      <w:r w:rsidRPr="005D4B47">
        <w:rPr>
          <w:b/>
          <w:bCs/>
        </w:rPr>
        <w:t>:</w:t>
      </w:r>
      <w:r w:rsidRPr="005D4B47">
        <w:tab/>
      </w:r>
      <w:r w:rsidR="00870EFB">
        <w:t>Yes. The Future Solar Projects proposed for recovery through SYA are prudent or the reasons explained under Issue 18 and should be included in the 2026 and 2027 SYA. (Stryker, Aponte, Heisey, Chronister)</w:t>
      </w:r>
    </w:p>
    <w:p w14:paraId="1A8EBDC2" w14:textId="77777777" w:rsidR="003F4F8D" w:rsidRPr="00701945" w:rsidRDefault="003F4F8D" w:rsidP="003F4F8D">
      <w:pPr>
        <w:jc w:val="both"/>
      </w:pPr>
    </w:p>
    <w:p w14:paraId="71128B7F" w14:textId="77777777" w:rsidR="003F4F8D" w:rsidRDefault="003F4F8D" w:rsidP="003F4F8D">
      <w:pPr>
        <w:ind w:left="1440" w:hanging="1440"/>
        <w:jc w:val="both"/>
      </w:pPr>
      <w:r>
        <w:rPr>
          <w:b/>
          <w:bCs/>
        </w:rPr>
        <w:t>OPC</w:t>
      </w:r>
      <w:r w:rsidRPr="00701945">
        <w:rPr>
          <w:b/>
          <w:bCs/>
        </w:rPr>
        <w:t>:</w:t>
      </w:r>
      <w:r>
        <w:tab/>
      </w:r>
      <w:r w:rsidR="00EC75D8">
        <w:t>The TECO proposed Solar Projects inclusion in the 2026 SYA and 2027 SYA should not be allowed unless the Solar Projects meet the following criteria: (1) they are specific new and material generation-type capital investment costs and operation expenses (i.e. a discrete, material capital project); (2) the associated revenue requirement would cause TECO to earn below the earnings range approved in this docket in the subsequent year; and (3) TECO can demonstrate a need for the generation and that they are cost-effective.</w:t>
      </w:r>
    </w:p>
    <w:p w14:paraId="6F7E8709" w14:textId="77777777" w:rsidR="003F4F8D" w:rsidRDefault="003F4F8D" w:rsidP="003F4F8D">
      <w:pPr>
        <w:ind w:left="1440" w:hanging="1440"/>
        <w:jc w:val="both"/>
      </w:pPr>
    </w:p>
    <w:p w14:paraId="640F66DE" w14:textId="77777777" w:rsidR="003F4F8D" w:rsidRDefault="003F4F8D" w:rsidP="003F4F8D">
      <w:pPr>
        <w:ind w:left="1440" w:hanging="1440"/>
        <w:jc w:val="both"/>
        <w:rPr>
          <w:b/>
        </w:rPr>
      </w:pPr>
      <w:r>
        <w:rPr>
          <w:b/>
        </w:rPr>
        <w:t>FL RISING/</w:t>
      </w:r>
    </w:p>
    <w:p w14:paraId="3DEA4391" w14:textId="77777777" w:rsidR="003F4F8D" w:rsidRDefault="003F4F8D" w:rsidP="003F4F8D">
      <w:pPr>
        <w:ind w:left="1440" w:hanging="1440"/>
        <w:jc w:val="both"/>
        <w:rPr>
          <w:b/>
        </w:rPr>
      </w:pPr>
      <w:r>
        <w:rPr>
          <w:b/>
        </w:rPr>
        <w:t>LULAC:</w:t>
      </w:r>
      <w:r>
        <w:rPr>
          <w:b/>
        </w:rPr>
        <w:tab/>
      </w:r>
      <w:r w:rsidR="009B5CD3">
        <w:rPr>
          <w:bCs/>
        </w:rPr>
        <w:t>If the SYA is approved, then yes, with the following solar-specific adjustments: a 35-year service life of the assets; use of a 9.50% ROE. (Kollen)</w:t>
      </w:r>
    </w:p>
    <w:p w14:paraId="5F2EE140" w14:textId="77777777" w:rsidR="003F4F8D" w:rsidRDefault="003F4F8D" w:rsidP="003F4F8D">
      <w:pPr>
        <w:ind w:left="1440" w:hanging="1440"/>
        <w:jc w:val="both"/>
        <w:rPr>
          <w:b/>
        </w:rPr>
      </w:pPr>
    </w:p>
    <w:p w14:paraId="24842A58" w14:textId="2A238D57" w:rsidR="003F4F8D" w:rsidRDefault="003F4F8D" w:rsidP="003F4F8D">
      <w:pPr>
        <w:ind w:left="1440" w:hanging="1440"/>
        <w:jc w:val="both"/>
        <w:rPr>
          <w:b/>
        </w:rPr>
      </w:pPr>
      <w:r>
        <w:rPr>
          <w:b/>
        </w:rPr>
        <w:t>FIPUG:</w:t>
      </w:r>
      <w:r>
        <w:rPr>
          <w:b/>
        </w:rPr>
        <w:tab/>
      </w:r>
      <w:r w:rsidR="009D1832" w:rsidRPr="00F5435C">
        <w:rPr>
          <w:bCs/>
        </w:rPr>
        <w:t>Adopt</w:t>
      </w:r>
      <w:r w:rsidR="00525E18">
        <w:rPr>
          <w:bCs/>
        </w:rPr>
        <w:t>s the</w:t>
      </w:r>
      <w:r w:rsidR="009D1832" w:rsidRPr="00F5435C">
        <w:rPr>
          <w:bCs/>
        </w:rPr>
        <w:t xml:space="preserve"> position of OPC.</w:t>
      </w:r>
    </w:p>
    <w:p w14:paraId="7D59407D" w14:textId="77777777" w:rsidR="003F4F8D" w:rsidRDefault="003F4F8D" w:rsidP="003F4F8D">
      <w:pPr>
        <w:ind w:left="1440" w:hanging="1440"/>
        <w:jc w:val="both"/>
        <w:rPr>
          <w:b/>
        </w:rPr>
      </w:pPr>
    </w:p>
    <w:p w14:paraId="640C0966" w14:textId="7AC4114A" w:rsidR="003F4F8D" w:rsidRDefault="003F4F8D" w:rsidP="003F4F8D">
      <w:pPr>
        <w:ind w:left="1440" w:hanging="1440"/>
        <w:jc w:val="both"/>
        <w:rPr>
          <w:b/>
        </w:rPr>
      </w:pPr>
      <w:r>
        <w:rPr>
          <w:b/>
        </w:rPr>
        <w:t>FEA:</w:t>
      </w:r>
      <w:r>
        <w:rPr>
          <w:b/>
        </w:rPr>
        <w:tab/>
      </w:r>
      <w:r w:rsidR="00525E18">
        <w:t>No position</w:t>
      </w:r>
      <w:r w:rsidR="00667A0E">
        <w:t>.</w:t>
      </w:r>
    </w:p>
    <w:p w14:paraId="3CD16FFD" w14:textId="77777777" w:rsidR="003F4F8D" w:rsidRDefault="003F4F8D" w:rsidP="003F4F8D">
      <w:pPr>
        <w:ind w:left="1440" w:hanging="1440"/>
        <w:jc w:val="both"/>
        <w:rPr>
          <w:b/>
        </w:rPr>
      </w:pPr>
    </w:p>
    <w:p w14:paraId="4CDDADA9" w14:textId="77777777" w:rsidR="00A14A11" w:rsidRDefault="00764960" w:rsidP="003F4F8D">
      <w:pPr>
        <w:ind w:left="1440" w:hanging="1440"/>
        <w:jc w:val="both"/>
        <w:rPr>
          <w:b/>
        </w:rPr>
      </w:pPr>
      <w:r>
        <w:rPr>
          <w:b/>
        </w:rPr>
        <w:t xml:space="preserve">SIERRA </w:t>
      </w:r>
    </w:p>
    <w:p w14:paraId="49C1FFE5" w14:textId="683CEE57" w:rsidR="003F4F8D" w:rsidRDefault="00764960" w:rsidP="003F4F8D">
      <w:pPr>
        <w:ind w:left="1440" w:hanging="1440"/>
        <w:jc w:val="both"/>
        <w:rPr>
          <w:b/>
        </w:rPr>
      </w:pPr>
      <w:r>
        <w:rPr>
          <w:b/>
        </w:rPr>
        <w:t>CLUB</w:t>
      </w:r>
      <w:r w:rsidR="003F4F8D">
        <w:rPr>
          <w:b/>
        </w:rPr>
        <w:t>:</w:t>
      </w:r>
      <w:r w:rsidR="003F4F8D">
        <w:rPr>
          <w:b/>
        </w:rPr>
        <w:tab/>
      </w:r>
      <w:r w:rsidR="00525E18">
        <w:t>No position.</w:t>
      </w:r>
    </w:p>
    <w:p w14:paraId="3282DCDE" w14:textId="77777777" w:rsidR="003F4F8D" w:rsidRDefault="003F4F8D" w:rsidP="003F4F8D">
      <w:pPr>
        <w:ind w:left="1440" w:hanging="1440"/>
        <w:jc w:val="both"/>
        <w:rPr>
          <w:b/>
        </w:rPr>
      </w:pPr>
    </w:p>
    <w:p w14:paraId="616000F8" w14:textId="58819833" w:rsidR="003F4F8D" w:rsidRDefault="003F4F8D" w:rsidP="003F4F8D">
      <w:pPr>
        <w:ind w:left="1440" w:hanging="1440"/>
        <w:jc w:val="both"/>
        <w:rPr>
          <w:b/>
        </w:rPr>
      </w:pPr>
      <w:r>
        <w:rPr>
          <w:b/>
        </w:rPr>
        <w:t>FRF:</w:t>
      </w:r>
      <w:r>
        <w:rPr>
          <w:b/>
        </w:rPr>
        <w:tab/>
      </w:r>
      <w:r w:rsidR="00B50828">
        <w:t>Agree</w:t>
      </w:r>
      <w:r w:rsidR="00525E18">
        <w:t>s</w:t>
      </w:r>
      <w:r w:rsidR="00B50828">
        <w:t xml:space="preserve"> with OPC.</w:t>
      </w:r>
    </w:p>
    <w:p w14:paraId="3B121F82" w14:textId="77777777" w:rsidR="003F4F8D" w:rsidRDefault="003F4F8D" w:rsidP="003F4F8D">
      <w:pPr>
        <w:ind w:left="1440" w:hanging="1440"/>
        <w:jc w:val="both"/>
        <w:rPr>
          <w:b/>
        </w:rPr>
      </w:pPr>
    </w:p>
    <w:p w14:paraId="5EE0C345" w14:textId="77777777" w:rsidR="00A14A11" w:rsidRDefault="00C0182D" w:rsidP="003F4F8D">
      <w:pPr>
        <w:ind w:left="1440" w:hanging="1440"/>
        <w:jc w:val="both"/>
        <w:rPr>
          <w:b/>
        </w:rPr>
      </w:pPr>
      <w:r>
        <w:rPr>
          <w:b/>
        </w:rPr>
        <w:t xml:space="preserve">FUEL </w:t>
      </w:r>
    </w:p>
    <w:p w14:paraId="414F89E8" w14:textId="74EAB6D8" w:rsidR="003F4F8D" w:rsidRDefault="00C0182D" w:rsidP="003F4F8D">
      <w:pPr>
        <w:ind w:left="1440" w:hanging="1440"/>
        <w:jc w:val="both"/>
      </w:pPr>
      <w:r>
        <w:rPr>
          <w:b/>
        </w:rPr>
        <w:t>RETAILERS</w:t>
      </w:r>
      <w:r w:rsidR="003F4F8D">
        <w:rPr>
          <w:b/>
        </w:rPr>
        <w:t>:</w:t>
      </w:r>
      <w:r w:rsidR="00A14A11">
        <w:rPr>
          <w:b/>
        </w:rPr>
        <w:t xml:space="preserve"> </w:t>
      </w:r>
      <w:r w:rsidR="00DC6CF8" w:rsidRPr="00A53630">
        <w:t>Agree</w:t>
      </w:r>
      <w:r w:rsidR="00CA52AE">
        <w:t>s</w:t>
      </w:r>
      <w:r w:rsidR="00DC6CF8" w:rsidRPr="00A53630">
        <w:t xml:space="preserve"> with </w:t>
      </w:r>
      <w:r w:rsidR="00CA52AE">
        <w:t>OPC.</w:t>
      </w:r>
    </w:p>
    <w:p w14:paraId="236A4E4B" w14:textId="77777777" w:rsidR="00C11FCA" w:rsidRDefault="00C11FCA" w:rsidP="003F4F8D">
      <w:pPr>
        <w:ind w:left="1440" w:hanging="1440"/>
        <w:jc w:val="both"/>
      </w:pPr>
    </w:p>
    <w:p w14:paraId="404A51E3" w14:textId="4CCF6060" w:rsidR="00C11FCA" w:rsidRPr="00C11FCA" w:rsidRDefault="00FD408B" w:rsidP="003F4F8D">
      <w:pPr>
        <w:ind w:left="1440" w:hanging="1440"/>
        <w:jc w:val="both"/>
        <w:rPr>
          <w:b/>
        </w:rPr>
      </w:pPr>
      <w:r>
        <w:rPr>
          <w:b/>
        </w:rPr>
        <w:t>WALMART</w:t>
      </w:r>
      <w:r w:rsidR="00C11FCA">
        <w:rPr>
          <w:b/>
        </w:rPr>
        <w:t>:</w:t>
      </w:r>
      <w:r w:rsidR="00C11FCA">
        <w:rPr>
          <w:b/>
        </w:rPr>
        <w:tab/>
      </w:r>
      <w:r w:rsidR="00CA52AE">
        <w:t>Agrees with O</w:t>
      </w:r>
      <w:r w:rsidR="00C11FCA">
        <w:t>PC.</w:t>
      </w:r>
    </w:p>
    <w:p w14:paraId="7E34459B" w14:textId="77777777" w:rsidR="003F4F8D" w:rsidRPr="00701945" w:rsidRDefault="003F4F8D" w:rsidP="003F4F8D">
      <w:pPr>
        <w:jc w:val="both"/>
      </w:pPr>
    </w:p>
    <w:p w14:paraId="365F4AD6" w14:textId="77777777" w:rsidR="003F4F8D" w:rsidRPr="005D4B47" w:rsidRDefault="003F4F8D" w:rsidP="003F4F8D">
      <w:pPr>
        <w:ind w:left="1440" w:hanging="1440"/>
        <w:jc w:val="both"/>
        <w:rPr>
          <w:b/>
          <w:bCs/>
        </w:rPr>
      </w:pPr>
      <w:r>
        <w:rPr>
          <w:b/>
          <w:bCs/>
        </w:rPr>
        <w:t>STAFF:</w:t>
      </w:r>
      <w:r>
        <w:rPr>
          <w:b/>
          <w:bCs/>
        </w:rPr>
        <w:tab/>
      </w:r>
      <w:r w:rsidR="00AC7E54">
        <w:t>No position at this time.</w:t>
      </w:r>
    </w:p>
    <w:p w14:paraId="78DF0F1D" w14:textId="77777777" w:rsidR="003F4F8D" w:rsidRPr="00870EFB" w:rsidRDefault="00870EFB" w:rsidP="003F4F8D">
      <w:pPr>
        <w:ind w:left="1440" w:hanging="1440"/>
        <w:jc w:val="both"/>
        <w:rPr>
          <w:b/>
        </w:rPr>
      </w:pPr>
      <w:r>
        <w:rPr>
          <w:b/>
          <w:bCs/>
        </w:rPr>
        <w:lastRenderedPageBreak/>
        <w:t>ISSUE 96</w:t>
      </w:r>
      <w:r w:rsidR="003F4F8D" w:rsidRPr="00701945">
        <w:rPr>
          <w:b/>
          <w:bCs/>
        </w:rPr>
        <w:t>:</w:t>
      </w:r>
      <w:r w:rsidR="003F4F8D" w:rsidRPr="00701945">
        <w:tab/>
      </w:r>
      <w:r w:rsidRPr="00870EFB">
        <w:rPr>
          <w:b/>
          <w:bCs/>
        </w:rPr>
        <w:t>Should the Commission approve the inclusion of TECO’s proposed Grid Reliability and Resilience Projects in the 2026 and 2027 SYA? What, if any, adjustments should be made?</w:t>
      </w:r>
    </w:p>
    <w:p w14:paraId="2053C333" w14:textId="77777777" w:rsidR="003F4F8D" w:rsidRPr="00701945" w:rsidRDefault="003F4F8D" w:rsidP="003F4F8D">
      <w:pPr>
        <w:jc w:val="both"/>
      </w:pPr>
    </w:p>
    <w:p w14:paraId="48743226" w14:textId="411CD56B" w:rsidR="003F4F8D" w:rsidRPr="005D4B47" w:rsidRDefault="003F4F8D" w:rsidP="003F4F8D">
      <w:pPr>
        <w:ind w:left="1440" w:hanging="1440"/>
        <w:jc w:val="both"/>
      </w:pPr>
      <w:r>
        <w:rPr>
          <w:b/>
          <w:bCs/>
        </w:rPr>
        <w:t>TECO</w:t>
      </w:r>
      <w:r w:rsidRPr="005D4B47">
        <w:rPr>
          <w:b/>
          <w:bCs/>
        </w:rPr>
        <w:t>:</w:t>
      </w:r>
      <w:r w:rsidRPr="005D4B47">
        <w:tab/>
      </w:r>
      <w:r w:rsidR="00870EFB">
        <w:t xml:space="preserve">Yes. The proposed GRR </w:t>
      </w:r>
      <w:r w:rsidR="00770937">
        <w:t>P</w:t>
      </w:r>
      <w:r w:rsidR="00870EFB">
        <w:t>rojects are prudent for the reasons explained under Issue 19 and should be included in the 2026 and 2027 SYA. There is nothing in Section 366.076, Florida Statutes, that limits SYA to cost recovery for generation projects, thus OPC’s proposal to disallow the GRR Projects should be rejected. (Lukcic, Whitworth, Chronister)</w:t>
      </w:r>
    </w:p>
    <w:p w14:paraId="2CB4C59B" w14:textId="77777777" w:rsidR="003F4F8D" w:rsidRPr="00701945" w:rsidRDefault="003F4F8D" w:rsidP="003F4F8D">
      <w:pPr>
        <w:jc w:val="both"/>
      </w:pPr>
    </w:p>
    <w:p w14:paraId="2E0D9111" w14:textId="662CCB6B" w:rsidR="003F4F8D" w:rsidRDefault="003F4F8D" w:rsidP="003F4F8D">
      <w:pPr>
        <w:ind w:left="1440" w:hanging="1440"/>
        <w:jc w:val="both"/>
      </w:pPr>
      <w:r>
        <w:rPr>
          <w:b/>
          <w:bCs/>
        </w:rPr>
        <w:t>OPC</w:t>
      </w:r>
      <w:r w:rsidRPr="00701945">
        <w:rPr>
          <w:b/>
          <w:bCs/>
        </w:rPr>
        <w:t>:</w:t>
      </w:r>
      <w:r>
        <w:tab/>
      </w:r>
      <w:r w:rsidR="00EC75D8">
        <w:t xml:space="preserve">No, the Commission should deny the inclusion of TECO’s proposed </w:t>
      </w:r>
      <w:r w:rsidR="00EC75D8" w:rsidRPr="007D47E3">
        <w:rPr>
          <w:bCs/>
        </w:rPr>
        <w:t>G</w:t>
      </w:r>
      <w:r w:rsidR="00770937">
        <w:rPr>
          <w:bCs/>
        </w:rPr>
        <w:t>RR Projects</w:t>
      </w:r>
      <w:r w:rsidR="00EC75D8">
        <w:t xml:space="preserve"> for the following reasons: (1) these projects are historically, traditional “business and normal” activities; (2) these projects are NOT for specific new and material generation capital investment costs and operation expenses (i.e. a discrete, material capital project); (3) “delivery infrastructure” investments have not previously been allowed recovery in an SYA.</w:t>
      </w:r>
    </w:p>
    <w:p w14:paraId="59831722" w14:textId="77777777" w:rsidR="003F4F8D" w:rsidRDefault="003F4F8D" w:rsidP="003F4F8D">
      <w:pPr>
        <w:ind w:left="1440" w:hanging="1440"/>
        <w:jc w:val="both"/>
      </w:pPr>
    </w:p>
    <w:p w14:paraId="151B6B04" w14:textId="77777777" w:rsidR="003F4F8D" w:rsidRDefault="003F4F8D" w:rsidP="003F4F8D">
      <w:pPr>
        <w:ind w:left="1440" w:hanging="1440"/>
        <w:jc w:val="both"/>
        <w:rPr>
          <w:b/>
        </w:rPr>
      </w:pPr>
      <w:r>
        <w:rPr>
          <w:b/>
        </w:rPr>
        <w:t>FL RISING/</w:t>
      </w:r>
    </w:p>
    <w:p w14:paraId="57E52F00" w14:textId="77777777" w:rsidR="003F4F8D" w:rsidRDefault="003F4F8D" w:rsidP="003F4F8D">
      <w:pPr>
        <w:ind w:left="1440" w:hanging="1440"/>
        <w:jc w:val="both"/>
        <w:rPr>
          <w:b/>
        </w:rPr>
      </w:pPr>
      <w:r>
        <w:rPr>
          <w:b/>
        </w:rPr>
        <w:t>LULAC:</w:t>
      </w:r>
      <w:r>
        <w:rPr>
          <w:b/>
        </w:rPr>
        <w:tab/>
      </w:r>
      <w:r w:rsidR="009B5CD3">
        <w:rPr>
          <w:bCs/>
        </w:rPr>
        <w:t>No.</w:t>
      </w:r>
    </w:p>
    <w:p w14:paraId="0E48F5D5" w14:textId="77777777" w:rsidR="003F4F8D" w:rsidRDefault="003F4F8D" w:rsidP="003F4F8D">
      <w:pPr>
        <w:ind w:left="1440" w:hanging="1440"/>
        <w:jc w:val="both"/>
        <w:rPr>
          <w:b/>
        </w:rPr>
      </w:pPr>
    </w:p>
    <w:p w14:paraId="200BB643" w14:textId="6575BF16" w:rsidR="003F4F8D" w:rsidRDefault="003F4F8D" w:rsidP="003F4F8D">
      <w:pPr>
        <w:ind w:left="1440" w:hanging="1440"/>
        <w:jc w:val="both"/>
        <w:rPr>
          <w:b/>
        </w:rPr>
      </w:pPr>
      <w:r>
        <w:rPr>
          <w:b/>
        </w:rPr>
        <w:t>FIPUG:</w:t>
      </w:r>
      <w:r>
        <w:rPr>
          <w:b/>
        </w:rPr>
        <w:tab/>
      </w:r>
      <w:r w:rsidR="009D1832" w:rsidRPr="00F5435C">
        <w:rPr>
          <w:bCs/>
        </w:rPr>
        <w:t>Adopt</w:t>
      </w:r>
      <w:r w:rsidR="0018382F">
        <w:rPr>
          <w:bCs/>
        </w:rPr>
        <w:t>s the</w:t>
      </w:r>
      <w:r w:rsidR="009D1832" w:rsidRPr="00F5435C">
        <w:rPr>
          <w:bCs/>
        </w:rPr>
        <w:t xml:space="preserve"> position of OPC.</w:t>
      </w:r>
    </w:p>
    <w:p w14:paraId="7C5BDF8F" w14:textId="77777777" w:rsidR="003F4F8D" w:rsidRDefault="003F4F8D" w:rsidP="003F4F8D">
      <w:pPr>
        <w:ind w:left="1440" w:hanging="1440"/>
        <w:jc w:val="both"/>
        <w:rPr>
          <w:b/>
        </w:rPr>
      </w:pPr>
    </w:p>
    <w:p w14:paraId="6B9C6C21" w14:textId="18ECF89A" w:rsidR="003F4F8D" w:rsidRDefault="003F4F8D" w:rsidP="003F4F8D">
      <w:pPr>
        <w:ind w:left="1440" w:hanging="1440"/>
        <w:jc w:val="both"/>
        <w:rPr>
          <w:b/>
        </w:rPr>
      </w:pPr>
      <w:r>
        <w:rPr>
          <w:b/>
        </w:rPr>
        <w:t>FEA:</w:t>
      </w:r>
      <w:r>
        <w:rPr>
          <w:b/>
        </w:rPr>
        <w:tab/>
      </w:r>
      <w:r w:rsidR="0018382F">
        <w:t>No position.</w:t>
      </w:r>
    </w:p>
    <w:p w14:paraId="6AED1F81" w14:textId="77777777" w:rsidR="003F4F8D" w:rsidRDefault="003F4F8D" w:rsidP="003F4F8D">
      <w:pPr>
        <w:ind w:left="1440" w:hanging="1440"/>
        <w:jc w:val="both"/>
        <w:rPr>
          <w:b/>
        </w:rPr>
      </w:pPr>
    </w:p>
    <w:p w14:paraId="19785BC1" w14:textId="77777777" w:rsidR="00A14A11" w:rsidRDefault="00764960" w:rsidP="003F4F8D">
      <w:pPr>
        <w:ind w:left="1440" w:hanging="1440"/>
        <w:jc w:val="both"/>
        <w:rPr>
          <w:b/>
        </w:rPr>
      </w:pPr>
      <w:r>
        <w:rPr>
          <w:b/>
        </w:rPr>
        <w:t xml:space="preserve">SIERRA </w:t>
      </w:r>
    </w:p>
    <w:p w14:paraId="25DE78E6" w14:textId="1B89D888" w:rsidR="003F4F8D" w:rsidRDefault="00764960" w:rsidP="003F4F8D">
      <w:pPr>
        <w:ind w:left="1440" w:hanging="1440"/>
        <w:jc w:val="both"/>
        <w:rPr>
          <w:b/>
        </w:rPr>
      </w:pPr>
      <w:r>
        <w:rPr>
          <w:b/>
        </w:rPr>
        <w:t>CLUB</w:t>
      </w:r>
      <w:r w:rsidR="003F4F8D">
        <w:rPr>
          <w:b/>
        </w:rPr>
        <w:t>:</w:t>
      </w:r>
      <w:r w:rsidR="003F4F8D">
        <w:rPr>
          <w:b/>
        </w:rPr>
        <w:tab/>
      </w:r>
      <w:r w:rsidR="0018382F">
        <w:t>No position.</w:t>
      </w:r>
    </w:p>
    <w:p w14:paraId="62D0CBB8" w14:textId="77777777" w:rsidR="003F4F8D" w:rsidRDefault="003F4F8D" w:rsidP="003F4F8D">
      <w:pPr>
        <w:ind w:left="1440" w:hanging="1440"/>
        <w:jc w:val="both"/>
        <w:rPr>
          <w:b/>
        </w:rPr>
      </w:pPr>
    </w:p>
    <w:p w14:paraId="7F244C93" w14:textId="7D24045D" w:rsidR="003F4F8D" w:rsidRDefault="003F4F8D" w:rsidP="003F4F8D">
      <w:pPr>
        <w:ind w:left="1440" w:hanging="1440"/>
        <w:jc w:val="both"/>
      </w:pPr>
      <w:r>
        <w:rPr>
          <w:b/>
        </w:rPr>
        <w:t>FRF:</w:t>
      </w:r>
      <w:r>
        <w:rPr>
          <w:b/>
        </w:rPr>
        <w:tab/>
      </w:r>
      <w:r w:rsidR="00B50828">
        <w:t>Agree</w:t>
      </w:r>
      <w:r w:rsidR="00FE41B6">
        <w:t>s</w:t>
      </w:r>
      <w:r w:rsidR="00B50828">
        <w:t xml:space="preserve"> with OPC.</w:t>
      </w:r>
    </w:p>
    <w:p w14:paraId="69C8670F" w14:textId="77777777" w:rsidR="00443C9E" w:rsidRDefault="00443C9E" w:rsidP="003F4F8D">
      <w:pPr>
        <w:ind w:left="1440" w:hanging="1440"/>
        <w:jc w:val="both"/>
        <w:rPr>
          <w:b/>
        </w:rPr>
      </w:pPr>
    </w:p>
    <w:p w14:paraId="314D1BC5" w14:textId="77777777" w:rsidR="00A14A11" w:rsidRDefault="00C0182D" w:rsidP="003F4F8D">
      <w:pPr>
        <w:ind w:left="1440" w:hanging="1440"/>
        <w:jc w:val="both"/>
        <w:rPr>
          <w:b/>
        </w:rPr>
      </w:pPr>
      <w:r>
        <w:rPr>
          <w:b/>
        </w:rPr>
        <w:t xml:space="preserve">FUEL </w:t>
      </w:r>
    </w:p>
    <w:p w14:paraId="7ACBA259" w14:textId="117ADE03" w:rsidR="003F4F8D" w:rsidRDefault="00C0182D" w:rsidP="003F4F8D">
      <w:pPr>
        <w:ind w:left="1440" w:hanging="1440"/>
        <w:jc w:val="both"/>
      </w:pPr>
      <w:r>
        <w:rPr>
          <w:b/>
        </w:rPr>
        <w:t>RETAILERS</w:t>
      </w:r>
      <w:r w:rsidR="003F4F8D">
        <w:rPr>
          <w:b/>
        </w:rPr>
        <w:t>:</w:t>
      </w:r>
      <w:r w:rsidR="00A14A11">
        <w:rPr>
          <w:b/>
        </w:rPr>
        <w:t xml:space="preserve"> </w:t>
      </w:r>
      <w:r w:rsidR="00DC6CF8" w:rsidRPr="00A53630">
        <w:t>Agree</w:t>
      </w:r>
      <w:r w:rsidR="00FE41B6">
        <w:t>s</w:t>
      </w:r>
      <w:r w:rsidR="00DC6CF8" w:rsidRPr="00A53630">
        <w:t xml:space="preserve"> with </w:t>
      </w:r>
      <w:r w:rsidR="00FE41B6">
        <w:t>OPC</w:t>
      </w:r>
      <w:r w:rsidR="00DC6CF8" w:rsidRPr="00A53630">
        <w:t>l.</w:t>
      </w:r>
    </w:p>
    <w:p w14:paraId="712036E7" w14:textId="77777777" w:rsidR="00C11FCA" w:rsidRDefault="00C11FCA" w:rsidP="003F4F8D">
      <w:pPr>
        <w:ind w:left="1440" w:hanging="1440"/>
        <w:jc w:val="both"/>
      </w:pPr>
    </w:p>
    <w:p w14:paraId="7BE71E72" w14:textId="106C8F3A" w:rsidR="00C11FCA" w:rsidRPr="00C11FCA" w:rsidRDefault="00FD408B" w:rsidP="003F4F8D">
      <w:pPr>
        <w:ind w:left="1440" w:hanging="1440"/>
        <w:jc w:val="both"/>
        <w:rPr>
          <w:b/>
        </w:rPr>
      </w:pPr>
      <w:r>
        <w:rPr>
          <w:b/>
        </w:rPr>
        <w:t>WALMART</w:t>
      </w:r>
      <w:r w:rsidR="00C11FCA">
        <w:rPr>
          <w:b/>
        </w:rPr>
        <w:t>:</w:t>
      </w:r>
      <w:r w:rsidR="00C11FCA">
        <w:rPr>
          <w:b/>
        </w:rPr>
        <w:tab/>
      </w:r>
      <w:r w:rsidR="00FE41B6">
        <w:t>A</w:t>
      </w:r>
      <w:r w:rsidR="00C11FCA">
        <w:t>grees with OPC.</w:t>
      </w:r>
    </w:p>
    <w:p w14:paraId="6C87F638" w14:textId="77777777" w:rsidR="003F4F8D" w:rsidRPr="00701945" w:rsidRDefault="003F4F8D" w:rsidP="003F4F8D">
      <w:pPr>
        <w:jc w:val="both"/>
      </w:pPr>
    </w:p>
    <w:p w14:paraId="36FDB775" w14:textId="77777777" w:rsidR="003F4F8D" w:rsidRPr="005D4B47" w:rsidRDefault="003F4F8D" w:rsidP="003F4F8D">
      <w:pPr>
        <w:ind w:left="1440" w:hanging="1440"/>
        <w:jc w:val="both"/>
        <w:rPr>
          <w:b/>
          <w:bCs/>
        </w:rPr>
      </w:pPr>
      <w:r>
        <w:rPr>
          <w:b/>
          <w:bCs/>
        </w:rPr>
        <w:t>STAFF:</w:t>
      </w:r>
      <w:r>
        <w:rPr>
          <w:b/>
          <w:bCs/>
        </w:rPr>
        <w:tab/>
      </w:r>
      <w:r w:rsidR="00AC7E54">
        <w:t>No position at this time.</w:t>
      </w:r>
    </w:p>
    <w:p w14:paraId="3E73D9BF" w14:textId="77777777" w:rsidR="003F4F8D" w:rsidRDefault="003F4F8D" w:rsidP="00C7699A">
      <w:pPr>
        <w:jc w:val="both"/>
      </w:pPr>
    </w:p>
    <w:p w14:paraId="7D7550D8" w14:textId="77777777" w:rsidR="003F4F8D" w:rsidRDefault="003F4F8D" w:rsidP="00C7699A">
      <w:pPr>
        <w:jc w:val="both"/>
      </w:pPr>
    </w:p>
    <w:p w14:paraId="18AB7438" w14:textId="77777777" w:rsidR="003F4F8D" w:rsidRPr="00870EFB" w:rsidRDefault="00870EFB" w:rsidP="003F4F8D">
      <w:pPr>
        <w:ind w:left="1440" w:hanging="1440"/>
        <w:jc w:val="both"/>
        <w:rPr>
          <w:b/>
        </w:rPr>
      </w:pPr>
      <w:r>
        <w:rPr>
          <w:b/>
          <w:bCs/>
        </w:rPr>
        <w:t>ISSUE 97</w:t>
      </w:r>
      <w:r w:rsidR="003F4F8D" w:rsidRPr="00701945">
        <w:rPr>
          <w:b/>
          <w:bCs/>
        </w:rPr>
        <w:t>:</w:t>
      </w:r>
      <w:r w:rsidR="003F4F8D" w:rsidRPr="00701945">
        <w:tab/>
      </w:r>
      <w:r w:rsidRPr="00870EFB">
        <w:rPr>
          <w:b/>
          <w:bCs/>
        </w:rPr>
        <w:t>Should the Commission approve the inclusion of TECO’s proposed Polk 1 Flexibility Project in the 2026 SYA? What, if any, adjustments should be made?</w:t>
      </w:r>
    </w:p>
    <w:p w14:paraId="049644AA" w14:textId="77777777" w:rsidR="003F4F8D" w:rsidRPr="00701945" w:rsidRDefault="003F4F8D" w:rsidP="003F4F8D">
      <w:pPr>
        <w:jc w:val="both"/>
      </w:pPr>
    </w:p>
    <w:p w14:paraId="13D4E9B4" w14:textId="77777777" w:rsidR="003F4F8D" w:rsidRPr="005D4B47" w:rsidRDefault="003F4F8D" w:rsidP="003F4F8D">
      <w:pPr>
        <w:ind w:left="1440" w:hanging="1440"/>
        <w:jc w:val="both"/>
      </w:pPr>
      <w:r>
        <w:rPr>
          <w:b/>
          <w:bCs/>
        </w:rPr>
        <w:t>TECO</w:t>
      </w:r>
      <w:r w:rsidRPr="005D4B47">
        <w:rPr>
          <w:b/>
          <w:bCs/>
        </w:rPr>
        <w:t>:</w:t>
      </w:r>
      <w:r w:rsidRPr="005D4B47">
        <w:tab/>
      </w:r>
      <w:r w:rsidR="00870EFB">
        <w:t>Yes. The Polk 1 Flexibility Project is prudent for the reasons explained under Issue 24 and should be included in the 2026 SYA. (Aldazabal, Aponte, Chronister)</w:t>
      </w:r>
    </w:p>
    <w:p w14:paraId="6A165DDA" w14:textId="77777777" w:rsidR="003F4F8D" w:rsidRPr="00701945" w:rsidRDefault="003F4F8D" w:rsidP="003F4F8D">
      <w:pPr>
        <w:jc w:val="both"/>
      </w:pPr>
    </w:p>
    <w:p w14:paraId="771B6EA0" w14:textId="7CFC308D" w:rsidR="003F4F8D" w:rsidRDefault="003F4F8D" w:rsidP="003F4F8D">
      <w:pPr>
        <w:ind w:left="1440" w:hanging="1440"/>
        <w:jc w:val="both"/>
      </w:pPr>
      <w:r>
        <w:rPr>
          <w:b/>
          <w:bCs/>
        </w:rPr>
        <w:lastRenderedPageBreak/>
        <w:t>OPC</w:t>
      </w:r>
      <w:r w:rsidRPr="00701945">
        <w:rPr>
          <w:b/>
          <w:bCs/>
        </w:rPr>
        <w:t>:</w:t>
      </w:r>
      <w:r>
        <w:tab/>
      </w:r>
      <w:r w:rsidR="00AE14E3" w:rsidRPr="003651AA">
        <w:t>The proposed Polk 1 Flexibility Project is being placed into service in 2025 during the test year without a full year revenue requirement.</w:t>
      </w:r>
      <w:r w:rsidR="00AE14E3">
        <w:t xml:space="preserve"> The TECO Polk 1 Flexibility Project inclusion in the 2026 SYA should not be allowed unless it meets the following criteria: (1) it is a specific new and material generation capital investment costs and operation expenses (i.e. a discrete, material capital project); (2) the associate revenue requirement would cause TECO to earn below the earnings range approved in this docket in the subsequent year; and (3) TECO can demonstrate a need for the generation.</w:t>
      </w:r>
    </w:p>
    <w:p w14:paraId="726FE8AF" w14:textId="77777777" w:rsidR="003F4F8D" w:rsidRDefault="003F4F8D" w:rsidP="003F4F8D">
      <w:pPr>
        <w:ind w:left="1440" w:hanging="1440"/>
        <w:jc w:val="both"/>
      </w:pPr>
    </w:p>
    <w:p w14:paraId="4A3E6574" w14:textId="77777777" w:rsidR="003F4F8D" w:rsidRDefault="003F4F8D" w:rsidP="003F4F8D">
      <w:pPr>
        <w:ind w:left="1440" w:hanging="1440"/>
        <w:jc w:val="both"/>
        <w:rPr>
          <w:b/>
        </w:rPr>
      </w:pPr>
      <w:r>
        <w:rPr>
          <w:b/>
        </w:rPr>
        <w:t>FL RISING/</w:t>
      </w:r>
    </w:p>
    <w:p w14:paraId="56C6F1ED" w14:textId="77777777" w:rsidR="003F4F8D" w:rsidRDefault="003F4F8D" w:rsidP="003F4F8D">
      <w:pPr>
        <w:ind w:left="1440" w:hanging="1440"/>
        <w:jc w:val="both"/>
        <w:rPr>
          <w:b/>
        </w:rPr>
      </w:pPr>
      <w:r>
        <w:rPr>
          <w:b/>
        </w:rPr>
        <w:t>LULAC:</w:t>
      </w:r>
      <w:r>
        <w:rPr>
          <w:b/>
        </w:rPr>
        <w:tab/>
      </w:r>
      <w:r w:rsidR="009B5CD3">
        <w:rPr>
          <w:bCs/>
        </w:rPr>
        <w:t>No.</w:t>
      </w:r>
    </w:p>
    <w:p w14:paraId="293BE252" w14:textId="77777777" w:rsidR="003F4F8D" w:rsidRDefault="003F4F8D" w:rsidP="003F4F8D">
      <w:pPr>
        <w:ind w:left="1440" w:hanging="1440"/>
        <w:jc w:val="both"/>
        <w:rPr>
          <w:b/>
        </w:rPr>
      </w:pPr>
    </w:p>
    <w:p w14:paraId="796639BB" w14:textId="0E468648" w:rsidR="003F4F8D" w:rsidRDefault="003F4F8D" w:rsidP="003F4F8D">
      <w:pPr>
        <w:ind w:left="1440" w:hanging="1440"/>
        <w:jc w:val="both"/>
        <w:rPr>
          <w:b/>
        </w:rPr>
      </w:pPr>
      <w:r>
        <w:rPr>
          <w:b/>
        </w:rPr>
        <w:t>FIPUG:</w:t>
      </w:r>
      <w:r>
        <w:rPr>
          <w:b/>
        </w:rPr>
        <w:tab/>
      </w:r>
      <w:r w:rsidR="009D1832" w:rsidRPr="00F5435C">
        <w:rPr>
          <w:bCs/>
        </w:rPr>
        <w:t>Adopt</w:t>
      </w:r>
      <w:r w:rsidR="00FE41B6">
        <w:rPr>
          <w:bCs/>
        </w:rPr>
        <w:t>s the</w:t>
      </w:r>
      <w:r w:rsidR="009D1832" w:rsidRPr="00F5435C">
        <w:rPr>
          <w:bCs/>
        </w:rPr>
        <w:t xml:space="preserve"> position of OPC.</w:t>
      </w:r>
    </w:p>
    <w:p w14:paraId="61C1A1E2" w14:textId="77777777" w:rsidR="003F4F8D" w:rsidRDefault="003F4F8D" w:rsidP="003F4F8D">
      <w:pPr>
        <w:ind w:left="1440" w:hanging="1440"/>
        <w:jc w:val="both"/>
        <w:rPr>
          <w:b/>
        </w:rPr>
      </w:pPr>
    </w:p>
    <w:p w14:paraId="5C6C4B1E" w14:textId="4A6E2D51" w:rsidR="003F4F8D" w:rsidRDefault="003F4F8D" w:rsidP="003F4F8D">
      <w:pPr>
        <w:ind w:left="1440" w:hanging="1440"/>
        <w:jc w:val="both"/>
        <w:rPr>
          <w:b/>
        </w:rPr>
      </w:pPr>
      <w:r>
        <w:rPr>
          <w:b/>
        </w:rPr>
        <w:t>FEA:</w:t>
      </w:r>
      <w:r>
        <w:rPr>
          <w:b/>
        </w:rPr>
        <w:tab/>
      </w:r>
      <w:r w:rsidR="00334054">
        <w:t>No position.</w:t>
      </w:r>
    </w:p>
    <w:p w14:paraId="418AACF1" w14:textId="77777777" w:rsidR="003F4F8D" w:rsidRDefault="003F4F8D" w:rsidP="003F4F8D">
      <w:pPr>
        <w:ind w:left="1440" w:hanging="1440"/>
        <w:jc w:val="both"/>
        <w:rPr>
          <w:b/>
        </w:rPr>
      </w:pPr>
    </w:p>
    <w:p w14:paraId="2E4BF84E" w14:textId="77777777" w:rsidR="00A14A11" w:rsidRDefault="00764960" w:rsidP="003F4F8D">
      <w:pPr>
        <w:ind w:left="1440" w:hanging="1440"/>
        <w:jc w:val="both"/>
        <w:rPr>
          <w:b/>
        </w:rPr>
      </w:pPr>
      <w:r>
        <w:rPr>
          <w:b/>
        </w:rPr>
        <w:t xml:space="preserve">SIERRA </w:t>
      </w:r>
    </w:p>
    <w:p w14:paraId="00197ABD" w14:textId="7C85A65B" w:rsidR="003F4F8D" w:rsidRDefault="00764960" w:rsidP="003F4F8D">
      <w:pPr>
        <w:ind w:left="1440" w:hanging="1440"/>
        <w:jc w:val="both"/>
        <w:rPr>
          <w:b/>
        </w:rPr>
      </w:pPr>
      <w:r>
        <w:rPr>
          <w:b/>
        </w:rPr>
        <w:t>CLUB</w:t>
      </w:r>
      <w:r w:rsidR="003F4F8D">
        <w:rPr>
          <w:b/>
        </w:rPr>
        <w:t>:</w:t>
      </w:r>
      <w:r w:rsidR="003F4F8D">
        <w:rPr>
          <w:b/>
        </w:rPr>
        <w:tab/>
      </w:r>
      <w:r w:rsidR="002875D6">
        <w:t>For the reasons outlined in the Statement of Basic Position above, the Polk 1 Flexibility Project should not be included in the 2026 SYA.</w:t>
      </w:r>
    </w:p>
    <w:p w14:paraId="6C864853" w14:textId="77777777" w:rsidR="003F4F8D" w:rsidRDefault="003F4F8D" w:rsidP="003F4F8D">
      <w:pPr>
        <w:ind w:left="1440" w:hanging="1440"/>
        <w:jc w:val="both"/>
        <w:rPr>
          <w:b/>
        </w:rPr>
      </w:pPr>
    </w:p>
    <w:p w14:paraId="769183AC" w14:textId="2274F7F2" w:rsidR="003F4F8D" w:rsidRDefault="003F4F8D" w:rsidP="003F4F8D">
      <w:pPr>
        <w:ind w:left="1440" w:hanging="1440"/>
        <w:jc w:val="both"/>
        <w:rPr>
          <w:b/>
        </w:rPr>
      </w:pPr>
      <w:r>
        <w:rPr>
          <w:b/>
        </w:rPr>
        <w:t>FRF:</w:t>
      </w:r>
      <w:r>
        <w:rPr>
          <w:b/>
        </w:rPr>
        <w:tab/>
      </w:r>
      <w:r w:rsidR="003D1C2E">
        <w:t>Agree</w:t>
      </w:r>
      <w:r w:rsidR="00334054">
        <w:t>s</w:t>
      </w:r>
      <w:r w:rsidR="003D1C2E">
        <w:t xml:space="preserve"> with OPC.</w:t>
      </w:r>
    </w:p>
    <w:p w14:paraId="47755E23" w14:textId="77777777" w:rsidR="003F4F8D" w:rsidRDefault="003F4F8D" w:rsidP="003F4F8D">
      <w:pPr>
        <w:ind w:left="1440" w:hanging="1440"/>
        <w:jc w:val="both"/>
        <w:rPr>
          <w:b/>
        </w:rPr>
      </w:pPr>
    </w:p>
    <w:p w14:paraId="30716BF5" w14:textId="77777777" w:rsidR="00A14A11" w:rsidRDefault="00C0182D" w:rsidP="003F4F8D">
      <w:pPr>
        <w:ind w:left="1440" w:hanging="1440"/>
        <w:jc w:val="both"/>
        <w:rPr>
          <w:b/>
        </w:rPr>
      </w:pPr>
      <w:r>
        <w:rPr>
          <w:b/>
        </w:rPr>
        <w:t xml:space="preserve">FUEL </w:t>
      </w:r>
    </w:p>
    <w:p w14:paraId="7CA939E8" w14:textId="07510445" w:rsidR="003F4F8D" w:rsidRDefault="00C0182D" w:rsidP="003F4F8D">
      <w:pPr>
        <w:ind w:left="1440" w:hanging="1440"/>
        <w:jc w:val="both"/>
      </w:pPr>
      <w:r>
        <w:rPr>
          <w:b/>
        </w:rPr>
        <w:t>RETAILERS</w:t>
      </w:r>
      <w:r w:rsidR="003F4F8D">
        <w:rPr>
          <w:b/>
        </w:rPr>
        <w:t>:</w:t>
      </w:r>
      <w:r w:rsidR="00A14A11">
        <w:rPr>
          <w:b/>
        </w:rPr>
        <w:t xml:space="preserve"> </w:t>
      </w:r>
      <w:r w:rsidR="00DC6CF8" w:rsidRPr="00A53630">
        <w:t>Agree</w:t>
      </w:r>
      <w:r w:rsidR="00334054">
        <w:t>s</w:t>
      </w:r>
      <w:r w:rsidR="00DC6CF8" w:rsidRPr="00A53630">
        <w:t xml:space="preserve"> with </w:t>
      </w:r>
      <w:r w:rsidR="00334054">
        <w:t>OPC</w:t>
      </w:r>
      <w:r w:rsidR="00DC6CF8" w:rsidRPr="00A53630">
        <w:t>l.</w:t>
      </w:r>
    </w:p>
    <w:p w14:paraId="031F6748" w14:textId="77777777" w:rsidR="00C11FCA" w:rsidRDefault="00C11FCA" w:rsidP="003F4F8D">
      <w:pPr>
        <w:ind w:left="1440" w:hanging="1440"/>
        <w:jc w:val="both"/>
      </w:pPr>
    </w:p>
    <w:p w14:paraId="66C9DB25" w14:textId="55AF03B0" w:rsidR="00C11FCA" w:rsidRPr="00C11FCA" w:rsidRDefault="00FD408B" w:rsidP="003F4F8D">
      <w:pPr>
        <w:ind w:left="1440" w:hanging="1440"/>
        <w:jc w:val="both"/>
        <w:rPr>
          <w:b/>
        </w:rPr>
      </w:pPr>
      <w:r>
        <w:rPr>
          <w:b/>
        </w:rPr>
        <w:t>WALMART</w:t>
      </w:r>
      <w:r w:rsidR="00C11FCA">
        <w:rPr>
          <w:b/>
        </w:rPr>
        <w:t>:</w:t>
      </w:r>
      <w:r w:rsidR="00C11FCA">
        <w:rPr>
          <w:b/>
        </w:rPr>
        <w:tab/>
      </w:r>
      <w:r w:rsidR="00334054" w:rsidRPr="00334054">
        <w:t>A</w:t>
      </w:r>
      <w:r w:rsidR="00C11FCA">
        <w:t>grees with OPC.</w:t>
      </w:r>
    </w:p>
    <w:p w14:paraId="68E8F7CD" w14:textId="77777777" w:rsidR="003F4F8D" w:rsidRPr="00701945" w:rsidRDefault="003F4F8D" w:rsidP="003F4F8D">
      <w:pPr>
        <w:jc w:val="both"/>
      </w:pPr>
    </w:p>
    <w:p w14:paraId="4C7770C1" w14:textId="77777777" w:rsidR="003F4F8D" w:rsidRPr="005D4B47" w:rsidRDefault="003F4F8D" w:rsidP="003F4F8D">
      <w:pPr>
        <w:ind w:left="1440" w:hanging="1440"/>
        <w:jc w:val="both"/>
        <w:rPr>
          <w:b/>
          <w:bCs/>
        </w:rPr>
      </w:pPr>
      <w:r>
        <w:rPr>
          <w:b/>
          <w:bCs/>
        </w:rPr>
        <w:t>STAFF:</w:t>
      </w:r>
      <w:r>
        <w:rPr>
          <w:b/>
          <w:bCs/>
        </w:rPr>
        <w:tab/>
      </w:r>
      <w:r w:rsidR="00AC7E54">
        <w:t>No position at this time.</w:t>
      </w:r>
    </w:p>
    <w:p w14:paraId="1D2D6A91" w14:textId="6FE85F30" w:rsidR="003F4F8D" w:rsidRDefault="003F4F8D" w:rsidP="00C7699A">
      <w:pPr>
        <w:jc w:val="both"/>
      </w:pPr>
    </w:p>
    <w:p w14:paraId="4098A175" w14:textId="77777777" w:rsidR="00654439" w:rsidRDefault="00654439" w:rsidP="00C7699A">
      <w:pPr>
        <w:jc w:val="both"/>
      </w:pPr>
    </w:p>
    <w:p w14:paraId="19D86E13" w14:textId="77777777" w:rsidR="003F4F8D" w:rsidRPr="00870EFB" w:rsidRDefault="00870EFB" w:rsidP="003F4F8D">
      <w:pPr>
        <w:ind w:left="1440" w:hanging="1440"/>
        <w:jc w:val="both"/>
        <w:rPr>
          <w:b/>
        </w:rPr>
      </w:pPr>
      <w:r>
        <w:rPr>
          <w:b/>
          <w:bCs/>
        </w:rPr>
        <w:t>ISSUE 98</w:t>
      </w:r>
      <w:r w:rsidR="003F4F8D" w:rsidRPr="00701945">
        <w:rPr>
          <w:b/>
          <w:bCs/>
        </w:rPr>
        <w:t>:</w:t>
      </w:r>
      <w:r w:rsidR="003F4F8D" w:rsidRPr="00701945">
        <w:tab/>
      </w:r>
      <w:r w:rsidRPr="00870EFB">
        <w:rPr>
          <w:b/>
          <w:bCs/>
        </w:rPr>
        <w:t>Should the Commission approve the inclusion of TECO’s proposed Energy Storage Projects in the 2026 SYA? What, if any, adjustments should be made?</w:t>
      </w:r>
    </w:p>
    <w:p w14:paraId="1F038A9F" w14:textId="77777777" w:rsidR="003F4F8D" w:rsidRPr="00701945" w:rsidRDefault="003F4F8D" w:rsidP="003F4F8D">
      <w:pPr>
        <w:jc w:val="both"/>
      </w:pPr>
    </w:p>
    <w:p w14:paraId="65E9C6AF" w14:textId="5CDDDFE9" w:rsidR="003F4F8D" w:rsidRPr="005D4B47" w:rsidRDefault="003F4F8D" w:rsidP="003F4F8D">
      <w:pPr>
        <w:ind w:left="1440" w:hanging="1440"/>
        <w:jc w:val="both"/>
      </w:pPr>
      <w:r>
        <w:rPr>
          <w:b/>
          <w:bCs/>
        </w:rPr>
        <w:t>TECO</w:t>
      </w:r>
      <w:r w:rsidRPr="005D4B47">
        <w:rPr>
          <w:b/>
          <w:bCs/>
        </w:rPr>
        <w:t>:</w:t>
      </w:r>
      <w:r w:rsidRPr="005D4B47">
        <w:tab/>
      </w:r>
      <w:r w:rsidR="00870EFB">
        <w:t>Yes. The company’s 115 MW of Future Energy Storage Capacity projects are prudent for the reasons explained under Issue 20 and should be included in the 2026</w:t>
      </w:r>
      <w:r w:rsidR="004E2678">
        <w:t xml:space="preserve"> and 2027</w:t>
      </w:r>
      <w:r w:rsidR="00870EFB">
        <w:t xml:space="preserve"> SYA.</w:t>
      </w:r>
      <w:r w:rsidR="004E2678">
        <w:t xml:space="preserve"> As shown in the July Filing, the calculation of the company’s proposed 2026 SYA should be adjusted to reflect an additional $3,790,454 of energy storage rate base (13-month average), additional O&amp;M and depreciation expense of $285,000 and $321,545, respectively, a reduction of property taxes $41,723, and an increase to the ITC amortization benefit of  $994,805, for a net revenue requirement decrease of $78,509 for the 2026 SYA. As shown in the July Filing, the calculation of the company’s proposed 2027 SYA should be adjusted to reflect an additional $1,686,310 of energy storage rate base (13-month average), additional O&amp;M expense, depreciation expense and property </w:t>
      </w:r>
      <w:r w:rsidR="004E2678">
        <w:lastRenderedPageBreak/>
        <w:t>taxes of $42,408</w:t>
      </w:r>
      <w:r w:rsidR="004E2678">
        <w:rPr>
          <w:rStyle w:val="CommentReference"/>
        </w:rPr>
        <w:t xml:space="preserve">, </w:t>
      </w:r>
      <w:r w:rsidR="004E2678">
        <w:t>$182,609 and $40,800, respectively, for a net revenue requirement increase of $422,181 for the 2027 SYA.</w:t>
      </w:r>
      <w:r w:rsidR="00870EFB">
        <w:t xml:space="preserve"> (Stryker, Aponte, Chronister)</w:t>
      </w:r>
    </w:p>
    <w:p w14:paraId="54780802" w14:textId="77777777" w:rsidR="003F4F8D" w:rsidRPr="00701945" w:rsidRDefault="003F4F8D" w:rsidP="003F4F8D">
      <w:pPr>
        <w:jc w:val="both"/>
      </w:pPr>
    </w:p>
    <w:p w14:paraId="1BD805CD" w14:textId="77777777" w:rsidR="003F4F8D" w:rsidRDefault="003F4F8D" w:rsidP="003F4F8D">
      <w:pPr>
        <w:ind w:left="1440" w:hanging="1440"/>
        <w:jc w:val="both"/>
      </w:pPr>
      <w:r>
        <w:rPr>
          <w:b/>
          <w:bCs/>
        </w:rPr>
        <w:t>OPC</w:t>
      </w:r>
      <w:r w:rsidRPr="00701945">
        <w:rPr>
          <w:b/>
          <w:bCs/>
        </w:rPr>
        <w:t>:</w:t>
      </w:r>
      <w:r>
        <w:tab/>
      </w:r>
      <w:r w:rsidR="00AE14E3">
        <w:t>The TECO proposed Energy Storage Projects inclusion in the 2026 SYA should not be allowed unless they met the following criteria: (1) they are specific new and material generation-type capital investment costs and operation expenses (i.e. a discrete, material capital project); (2) the associate revenue requirement would cause TECO to earn below the earnings range approved in this docket in the subsequent year; and (3) TECO can demonstrate a need for the energy supply projects</w:t>
      </w:r>
      <w:r w:rsidR="00AE14E3" w:rsidRPr="0046714B">
        <w:t xml:space="preserve"> </w:t>
      </w:r>
      <w:r w:rsidR="00AE14E3">
        <w:t>and that they are cost-effective.</w:t>
      </w:r>
    </w:p>
    <w:p w14:paraId="4963517A" w14:textId="77777777" w:rsidR="003F4F8D" w:rsidRDefault="003F4F8D" w:rsidP="003F4F8D">
      <w:pPr>
        <w:ind w:left="1440" w:hanging="1440"/>
        <w:jc w:val="both"/>
      </w:pPr>
    </w:p>
    <w:p w14:paraId="0239A485" w14:textId="77777777" w:rsidR="003F4F8D" w:rsidRDefault="003F4F8D" w:rsidP="003F4F8D">
      <w:pPr>
        <w:ind w:left="1440" w:hanging="1440"/>
        <w:jc w:val="both"/>
        <w:rPr>
          <w:b/>
        </w:rPr>
      </w:pPr>
      <w:r>
        <w:rPr>
          <w:b/>
        </w:rPr>
        <w:t>FL RISING/</w:t>
      </w:r>
    </w:p>
    <w:p w14:paraId="786924B5" w14:textId="1D8C4BE2" w:rsidR="003F4F8D" w:rsidRDefault="003F4F8D" w:rsidP="003F4F8D">
      <w:pPr>
        <w:ind w:left="1440" w:hanging="1440"/>
        <w:jc w:val="both"/>
        <w:rPr>
          <w:b/>
        </w:rPr>
      </w:pPr>
      <w:r>
        <w:rPr>
          <w:b/>
        </w:rPr>
        <w:t>LULAC:</w:t>
      </w:r>
      <w:r>
        <w:rPr>
          <w:b/>
        </w:rPr>
        <w:tab/>
      </w:r>
      <w:r w:rsidR="009B5CD3">
        <w:rPr>
          <w:bCs/>
        </w:rPr>
        <w:t xml:space="preserve">If the SYA is approved, yes, with the following </w:t>
      </w:r>
      <w:r w:rsidR="009B5CD3" w:rsidRPr="59CF1D94">
        <w:t>battery</w:t>
      </w:r>
      <w:r w:rsidR="009B5CD3">
        <w:rPr>
          <w:bCs/>
        </w:rPr>
        <w:t>-specific adjustments: a 20-year service life of the assets; reflection of the assets as cost-free capital in the cost of capital applied to rate base; use of a 9.50% ROE. (Kollen</w:t>
      </w:r>
      <w:r w:rsidR="009B5CD3" w:rsidRPr="01318CCE">
        <w:t>).</w:t>
      </w:r>
      <w:r w:rsidR="009B5CD3">
        <w:rPr>
          <w:bCs/>
        </w:rPr>
        <w:t xml:space="preserve"> A </w:t>
      </w:r>
      <w:r w:rsidR="009B5CD3" w:rsidRPr="4D8DFD26">
        <w:t>ten</w:t>
      </w:r>
      <w:r w:rsidR="009B5CD3">
        <w:rPr>
          <w:bCs/>
        </w:rPr>
        <w:t>-year ITC amortization period should also be used.</w:t>
      </w:r>
    </w:p>
    <w:p w14:paraId="74B21BE7" w14:textId="77777777" w:rsidR="003F4F8D" w:rsidRDefault="003F4F8D" w:rsidP="003F4F8D">
      <w:pPr>
        <w:ind w:left="1440" w:hanging="1440"/>
        <w:jc w:val="both"/>
        <w:rPr>
          <w:b/>
        </w:rPr>
      </w:pPr>
    </w:p>
    <w:p w14:paraId="6FE57044" w14:textId="504C0D03" w:rsidR="003F4F8D" w:rsidRDefault="003F4F8D" w:rsidP="003F4F8D">
      <w:pPr>
        <w:ind w:left="1440" w:hanging="1440"/>
        <w:jc w:val="both"/>
        <w:rPr>
          <w:b/>
        </w:rPr>
      </w:pPr>
      <w:r>
        <w:rPr>
          <w:b/>
        </w:rPr>
        <w:t>FIPUG:</w:t>
      </w:r>
      <w:r>
        <w:rPr>
          <w:b/>
        </w:rPr>
        <w:tab/>
      </w:r>
      <w:r w:rsidR="009D1832" w:rsidRPr="00F5435C">
        <w:rPr>
          <w:bCs/>
        </w:rPr>
        <w:t>Adopt</w:t>
      </w:r>
      <w:r w:rsidR="00C8394B">
        <w:rPr>
          <w:bCs/>
        </w:rPr>
        <w:t>s the</w:t>
      </w:r>
      <w:r w:rsidR="009D1832" w:rsidRPr="00F5435C">
        <w:rPr>
          <w:bCs/>
        </w:rPr>
        <w:t xml:space="preserve"> position of OPC.</w:t>
      </w:r>
    </w:p>
    <w:p w14:paraId="5010CA93" w14:textId="77777777" w:rsidR="003F4F8D" w:rsidRDefault="003F4F8D" w:rsidP="003F4F8D">
      <w:pPr>
        <w:ind w:left="1440" w:hanging="1440"/>
        <w:jc w:val="both"/>
        <w:rPr>
          <w:b/>
        </w:rPr>
      </w:pPr>
    </w:p>
    <w:p w14:paraId="2F385C92" w14:textId="09BC6FB8" w:rsidR="003F4F8D" w:rsidRDefault="003F4F8D" w:rsidP="003F4F8D">
      <w:pPr>
        <w:ind w:left="1440" w:hanging="1440"/>
        <w:jc w:val="both"/>
        <w:rPr>
          <w:b/>
        </w:rPr>
      </w:pPr>
      <w:r>
        <w:rPr>
          <w:b/>
        </w:rPr>
        <w:t>FEA:</w:t>
      </w:r>
      <w:r>
        <w:rPr>
          <w:b/>
        </w:rPr>
        <w:tab/>
      </w:r>
      <w:r w:rsidR="00C8394B">
        <w:t>No position.</w:t>
      </w:r>
    </w:p>
    <w:p w14:paraId="2044077C" w14:textId="77777777" w:rsidR="003F4F8D" w:rsidRDefault="003F4F8D" w:rsidP="003F4F8D">
      <w:pPr>
        <w:ind w:left="1440" w:hanging="1440"/>
        <w:jc w:val="both"/>
        <w:rPr>
          <w:b/>
        </w:rPr>
      </w:pPr>
    </w:p>
    <w:p w14:paraId="083A0FB3" w14:textId="77777777" w:rsidR="00A14A11" w:rsidRDefault="00764960" w:rsidP="003F4F8D">
      <w:pPr>
        <w:ind w:left="1440" w:hanging="1440"/>
        <w:jc w:val="both"/>
        <w:rPr>
          <w:b/>
        </w:rPr>
      </w:pPr>
      <w:r>
        <w:rPr>
          <w:b/>
        </w:rPr>
        <w:t xml:space="preserve">SIERRA </w:t>
      </w:r>
    </w:p>
    <w:p w14:paraId="6CDFED98" w14:textId="637D5B47" w:rsidR="003F4F8D" w:rsidRDefault="00764960" w:rsidP="003F4F8D">
      <w:pPr>
        <w:ind w:left="1440" w:hanging="1440"/>
        <w:jc w:val="both"/>
        <w:rPr>
          <w:b/>
        </w:rPr>
      </w:pPr>
      <w:r>
        <w:rPr>
          <w:b/>
        </w:rPr>
        <w:t>CLUB</w:t>
      </w:r>
      <w:r w:rsidR="003F4F8D">
        <w:rPr>
          <w:b/>
        </w:rPr>
        <w:t>:</w:t>
      </w:r>
      <w:r w:rsidR="003F4F8D">
        <w:rPr>
          <w:b/>
        </w:rPr>
        <w:tab/>
      </w:r>
      <w:r w:rsidR="007B1440">
        <w:t>No position.</w:t>
      </w:r>
    </w:p>
    <w:p w14:paraId="65AAE058" w14:textId="77777777" w:rsidR="003F4F8D" w:rsidRDefault="003F4F8D" w:rsidP="003F4F8D">
      <w:pPr>
        <w:ind w:left="1440" w:hanging="1440"/>
        <w:jc w:val="both"/>
        <w:rPr>
          <w:b/>
        </w:rPr>
      </w:pPr>
    </w:p>
    <w:p w14:paraId="676D812F" w14:textId="62C3B168" w:rsidR="003F4F8D" w:rsidRDefault="003F4F8D" w:rsidP="003F4F8D">
      <w:pPr>
        <w:ind w:left="1440" w:hanging="1440"/>
        <w:jc w:val="both"/>
        <w:rPr>
          <w:b/>
        </w:rPr>
      </w:pPr>
      <w:r>
        <w:rPr>
          <w:b/>
        </w:rPr>
        <w:t>FRF:</w:t>
      </w:r>
      <w:r>
        <w:rPr>
          <w:b/>
        </w:rPr>
        <w:tab/>
      </w:r>
      <w:r w:rsidR="003D1C2E">
        <w:t>Agree</w:t>
      </w:r>
      <w:r w:rsidR="00195D98">
        <w:t>s</w:t>
      </w:r>
      <w:r w:rsidR="003D1C2E">
        <w:t xml:space="preserve"> with OPC.</w:t>
      </w:r>
    </w:p>
    <w:p w14:paraId="6F01D385" w14:textId="77777777" w:rsidR="003F4F8D" w:rsidRDefault="003F4F8D" w:rsidP="003F4F8D">
      <w:pPr>
        <w:ind w:left="1440" w:hanging="1440"/>
        <w:jc w:val="both"/>
        <w:rPr>
          <w:b/>
        </w:rPr>
      </w:pPr>
    </w:p>
    <w:p w14:paraId="4E1FC372" w14:textId="77777777" w:rsidR="00A14A11" w:rsidRDefault="00C0182D" w:rsidP="003F4F8D">
      <w:pPr>
        <w:ind w:left="1440" w:hanging="1440"/>
        <w:jc w:val="both"/>
        <w:rPr>
          <w:b/>
        </w:rPr>
      </w:pPr>
      <w:r>
        <w:rPr>
          <w:b/>
        </w:rPr>
        <w:t xml:space="preserve">FUEL </w:t>
      </w:r>
    </w:p>
    <w:p w14:paraId="341C814A" w14:textId="0ADF9441" w:rsidR="003F4F8D" w:rsidRDefault="00C0182D" w:rsidP="003F4F8D">
      <w:pPr>
        <w:ind w:left="1440" w:hanging="1440"/>
        <w:jc w:val="both"/>
      </w:pPr>
      <w:r>
        <w:rPr>
          <w:b/>
        </w:rPr>
        <w:t>RETAILERS</w:t>
      </w:r>
      <w:r w:rsidR="003F4F8D">
        <w:rPr>
          <w:b/>
        </w:rPr>
        <w:t>:</w:t>
      </w:r>
      <w:r w:rsidR="00A14A11">
        <w:rPr>
          <w:b/>
        </w:rPr>
        <w:t xml:space="preserve"> </w:t>
      </w:r>
      <w:r w:rsidR="00DC6CF8" w:rsidRPr="00A53630">
        <w:t>Agree</w:t>
      </w:r>
      <w:r w:rsidR="00195D98">
        <w:t>s</w:t>
      </w:r>
      <w:r w:rsidR="00DC6CF8" w:rsidRPr="00A53630">
        <w:t xml:space="preserve"> with </w:t>
      </w:r>
      <w:r w:rsidR="00195D98">
        <w:t>OPC</w:t>
      </w:r>
      <w:r w:rsidR="00DC6CF8" w:rsidRPr="00A53630">
        <w:t>.</w:t>
      </w:r>
    </w:p>
    <w:p w14:paraId="4498C3FB" w14:textId="77777777" w:rsidR="005A487E" w:rsidRDefault="005A487E" w:rsidP="003F4F8D">
      <w:pPr>
        <w:ind w:left="1440" w:hanging="1440"/>
        <w:jc w:val="both"/>
      </w:pPr>
    </w:p>
    <w:p w14:paraId="33A354B1" w14:textId="4AA5C216" w:rsidR="005A487E" w:rsidRPr="005A487E" w:rsidRDefault="00FD408B" w:rsidP="003F4F8D">
      <w:pPr>
        <w:ind w:left="1440" w:hanging="1440"/>
        <w:jc w:val="both"/>
        <w:rPr>
          <w:b/>
        </w:rPr>
      </w:pPr>
      <w:r>
        <w:rPr>
          <w:b/>
        </w:rPr>
        <w:t>WALMART</w:t>
      </w:r>
      <w:r w:rsidR="005A487E">
        <w:rPr>
          <w:b/>
        </w:rPr>
        <w:t>:</w:t>
      </w:r>
      <w:r w:rsidR="005A487E">
        <w:rPr>
          <w:b/>
        </w:rPr>
        <w:tab/>
      </w:r>
      <w:r w:rsidR="00962483">
        <w:t>A</w:t>
      </w:r>
      <w:r w:rsidR="005A487E">
        <w:t>grees with OPC.</w:t>
      </w:r>
    </w:p>
    <w:p w14:paraId="1BF4E258" w14:textId="77777777" w:rsidR="003F4F8D" w:rsidRPr="00701945" w:rsidRDefault="003F4F8D" w:rsidP="003F4F8D">
      <w:pPr>
        <w:jc w:val="both"/>
      </w:pPr>
    </w:p>
    <w:p w14:paraId="1C9C0DDB" w14:textId="77777777" w:rsidR="003F4F8D" w:rsidRPr="005D4B47" w:rsidRDefault="003F4F8D" w:rsidP="003F4F8D">
      <w:pPr>
        <w:ind w:left="1440" w:hanging="1440"/>
        <w:jc w:val="both"/>
        <w:rPr>
          <w:b/>
          <w:bCs/>
        </w:rPr>
      </w:pPr>
      <w:r>
        <w:rPr>
          <w:b/>
          <w:bCs/>
        </w:rPr>
        <w:t>STAFF:</w:t>
      </w:r>
      <w:r>
        <w:rPr>
          <w:b/>
          <w:bCs/>
        </w:rPr>
        <w:tab/>
      </w:r>
      <w:r w:rsidR="00AC7E54">
        <w:t>No position at this time.</w:t>
      </w:r>
    </w:p>
    <w:p w14:paraId="29CC53C4" w14:textId="77777777" w:rsidR="003F4F8D" w:rsidRDefault="003F4F8D" w:rsidP="00C7699A">
      <w:pPr>
        <w:jc w:val="both"/>
      </w:pPr>
    </w:p>
    <w:p w14:paraId="1EB64B70" w14:textId="77777777" w:rsidR="003F4F8D" w:rsidRDefault="003F4F8D" w:rsidP="00C7699A">
      <w:pPr>
        <w:jc w:val="both"/>
      </w:pPr>
    </w:p>
    <w:p w14:paraId="5278DB3B" w14:textId="77777777" w:rsidR="003F4F8D" w:rsidRPr="00870EFB" w:rsidRDefault="00870EFB" w:rsidP="003F4F8D">
      <w:pPr>
        <w:ind w:left="1440" w:hanging="1440"/>
        <w:jc w:val="both"/>
        <w:rPr>
          <w:b/>
        </w:rPr>
      </w:pPr>
      <w:r>
        <w:rPr>
          <w:b/>
          <w:bCs/>
        </w:rPr>
        <w:t>ISSUE 99</w:t>
      </w:r>
      <w:r w:rsidR="003F4F8D" w:rsidRPr="00701945">
        <w:rPr>
          <w:b/>
          <w:bCs/>
        </w:rPr>
        <w:t>:</w:t>
      </w:r>
      <w:r w:rsidR="003F4F8D" w:rsidRPr="00701945">
        <w:tab/>
      </w:r>
      <w:r w:rsidRPr="00870EFB">
        <w:rPr>
          <w:b/>
          <w:bCs/>
        </w:rPr>
        <w:t>Should the Commission approve the inclusion of TECO’s proposed Bearss Operations Center Project in the 2026 SYA? What, if any, adjustments should be made?</w:t>
      </w:r>
    </w:p>
    <w:p w14:paraId="017F5495" w14:textId="77777777" w:rsidR="003F4F8D" w:rsidRPr="00701945" w:rsidRDefault="003F4F8D" w:rsidP="003F4F8D">
      <w:pPr>
        <w:jc w:val="both"/>
      </w:pPr>
    </w:p>
    <w:p w14:paraId="0CDC8C0F" w14:textId="77777777" w:rsidR="003F4F8D" w:rsidRPr="005D4B47" w:rsidRDefault="003F4F8D" w:rsidP="003F4F8D">
      <w:pPr>
        <w:ind w:left="1440" w:hanging="1440"/>
        <w:jc w:val="both"/>
      </w:pPr>
      <w:r>
        <w:rPr>
          <w:b/>
          <w:bCs/>
        </w:rPr>
        <w:t>TECO</w:t>
      </w:r>
      <w:r w:rsidRPr="005D4B47">
        <w:rPr>
          <w:b/>
          <w:bCs/>
        </w:rPr>
        <w:t>:</w:t>
      </w:r>
      <w:r w:rsidRPr="005D4B47">
        <w:tab/>
      </w:r>
      <w:r w:rsidR="00870EFB">
        <w:t>Yes. The Bearss Operations Center is prudent for the reasons explained under Issue 23 and should be included in the 2026 SYA. (Aldazabal, Chronister)</w:t>
      </w:r>
    </w:p>
    <w:p w14:paraId="03F5CA36" w14:textId="77777777" w:rsidR="003F4F8D" w:rsidRPr="00701945" w:rsidRDefault="003F4F8D" w:rsidP="003F4F8D">
      <w:pPr>
        <w:jc w:val="both"/>
      </w:pPr>
    </w:p>
    <w:p w14:paraId="075B1F6C" w14:textId="187164A2" w:rsidR="003F4F8D" w:rsidRDefault="003F4F8D" w:rsidP="003F4F8D">
      <w:pPr>
        <w:ind w:left="1440" w:hanging="1440"/>
        <w:jc w:val="both"/>
      </w:pPr>
      <w:r>
        <w:rPr>
          <w:b/>
          <w:bCs/>
        </w:rPr>
        <w:t>OPC</w:t>
      </w:r>
      <w:r w:rsidRPr="00701945">
        <w:rPr>
          <w:b/>
          <w:bCs/>
        </w:rPr>
        <w:t>:</w:t>
      </w:r>
      <w:r>
        <w:tab/>
      </w:r>
      <w:r w:rsidR="00AE14E3" w:rsidRPr="003651AA">
        <w:t xml:space="preserve">The proposed Bearss Operation Center is being placed into service in 2025 during the test year without a full year revenue requirement. The TECO proposed Bearss Operations Center Project inclusion in the 2026 SYA should </w:t>
      </w:r>
      <w:r w:rsidR="00AE14E3">
        <w:t>not</w:t>
      </w:r>
      <w:r w:rsidR="00AE14E3" w:rsidRPr="003651AA">
        <w:t xml:space="preserve"> be allowed </w:t>
      </w:r>
      <w:r w:rsidR="00AE14E3">
        <w:lastRenderedPageBreak/>
        <w:t>unless</w:t>
      </w:r>
      <w:r w:rsidR="00AE14E3" w:rsidRPr="003651AA">
        <w:t xml:space="preserve"> it meets the following criteria: (1) it is a specific new and material capital investment costs and operation expenses (i.e. a </w:t>
      </w:r>
      <w:r w:rsidR="00AE14E3">
        <w:t>discrete</w:t>
      </w:r>
      <w:r w:rsidR="00AE14E3" w:rsidRPr="003651AA">
        <w:t>, material capital project); (2) the associate revenue requirement would cause TECO to earn below the earnings range approved in this docket in the subsequent year; and (3) TECO can demonstrate a need for the facility.</w:t>
      </w:r>
    </w:p>
    <w:p w14:paraId="4DD12AFE" w14:textId="77777777" w:rsidR="003F4F8D" w:rsidRDefault="003F4F8D" w:rsidP="003F4F8D">
      <w:pPr>
        <w:ind w:left="1440" w:hanging="1440"/>
        <w:jc w:val="both"/>
      </w:pPr>
    </w:p>
    <w:p w14:paraId="6C6B2FAB" w14:textId="77777777" w:rsidR="003F4F8D" w:rsidRDefault="003F4F8D" w:rsidP="003F4F8D">
      <w:pPr>
        <w:ind w:left="1440" w:hanging="1440"/>
        <w:jc w:val="both"/>
        <w:rPr>
          <w:b/>
        </w:rPr>
      </w:pPr>
      <w:r>
        <w:rPr>
          <w:b/>
        </w:rPr>
        <w:t>FL RISING/</w:t>
      </w:r>
    </w:p>
    <w:p w14:paraId="6710B019" w14:textId="77777777" w:rsidR="003F4F8D" w:rsidRDefault="003F4F8D" w:rsidP="003F4F8D">
      <w:pPr>
        <w:ind w:left="1440" w:hanging="1440"/>
        <w:jc w:val="both"/>
        <w:rPr>
          <w:b/>
        </w:rPr>
      </w:pPr>
      <w:r>
        <w:rPr>
          <w:b/>
        </w:rPr>
        <w:t>LULAC:</w:t>
      </w:r>
      <w:r>
        <w:rPr>
          <w:b/>
        </w:rPr>
        <w:tab/>
      </w:r>
      <w:r w:rsidR="009B5CD3">
        <w:rPr>
          <w:bCs/>
        </w:rPr>
        <w:t>No.</w:t>
      </w:r>
    </w:p>
    <w:p w14:paraId="0640AE64" w14:textId="77777777" w:rsidR="003F4F8D" w:rsidRDefault="003F4F8D" w:rsidP="003F4F8D">
      <w:pPr>
        <w:ind w:left="1440" w:hanging="1440"/>
        <w:jc w:val="both"/>
        <w:rPr>
          <w:b/>
        </w:rPr>
      </w:pPr>
    </w:p>
    <w:p w14:paraId="7A6ED6BD" w14:textId="4D5619E2" w:rsidR="003F4F8D" w:rsidRDefault="003F4F8D" w:rsidP="003F4F8D">
      <w:pPr>
        <w:ind w:left="1440" w:hanging="1440"/>
        <w:jc w:val="both"/>
        <w:rPr>
          <w:b/>
        </w:rPr>
      </w:pPr>
      <w:r>
        <w:rPr>
          <w:b/>
        </w:rPr>
        <w:t>FIPUG:</w:t>
      </w:r>
      <w:r>
        <w:rPr>
          <w:b/>
        </w:rPr>
        <w:tab/>
      </w:r>
      <w:r w:rsidR="009D1832" w:rsidRPr="00F5435C">
        <w:rPr>
          <w:bCs/>
        </w:rPr>
        <w:t>Adopt</w:t>
      </w:r>
      <w:r w:rsidR="007B4602">
        <w:rPr>
          <w:bCs/>
        </w:rPr>
        <w:t>s the</w:t>
      </w:r>
      <w:r w:rsidR="009D1832" w:rsidRPr="00F5435C">
        <w:rPr>
          <w:bCs/>
        </w:rPr>
        <w:t xml:space="preserve"> position of OPC.</w:t>
      </w:r>
    </w:p>
    <w:p w14:paraId="09311B82" w14:textId="77777777" w:rsidR="003F4F8D" w:rsidRDefault="003F4F8D" w:rsidP="003F4F8D">
      <w:pPr>
        <w:ind w:left="1440" w:hanging="1440"/>
        <w:jc w:val="both"/>
        <w:rPr>
          <w:b/>
        </w:rPr>
      </w:pPr>
    </w:p>
    <w:p w14:paraId="3BF8EDAB" w14:textId="774DCDFB" w:rsidR="003F4F8D" w:rsidRDefault="003F4F8D" w:rsidP="003F4F8D">
      <w:pPr>
        <w:ind w:left="1440" w:hanging="1440"/>
        <w:jc w:val="both"/>
        <w:rPr>
          <w:b/>
        </w:rPr>
      </w:pPr>
      <w:r>
        <w:rPr>
          <w:b/>
        </w:rPr>
        <w:t>FEA:</w:t>
      </w:r>
      <w:r>
        <w:rPr>
          <w:b/>
        </w:rPr>
        <w:tab/>
      </w:r>
      <w:r w:rsidR="007B4602">
        <w:t>No position.</w:t>
      </w:r>
    </w:p>
    <w:p w14:paraId="57C28FBD" w14:textId="77777777" w:rsidR="003F4F8D" w:rsidRDefault="003F4F8D" w:rsidP="003F4F8D">
      <w:pPr>
        <w:ind w:left="1440" w:hanging="1440"/>
        <w:jc w:val="both"/>
        <w:rPr>
          <w:b/>
        </w:rPr>
      </w:pPr>
    </w:p>
    <w:p w14:paraId="5F5E8258" w14:textId="77777777" w:rsidR="00A14A11" w:rsidRDefault="00764960" w:rsidP="003F4F8D">
      <w:pPr>
        <w:ind w:left="1440" w:hanging="1440"/>
        <w:jc w:val="both"/>
        <w:rPr>
          <w:b/>
        </w:rPr>
      </w:pPr>
      <w:r>
        <w:rPr>
          <w:b/>
        </w:rPr>
        <w:t xml:space="preserve">SIERRA </w:t>
      </w:r>
    </w:p>
    <w:p w14:paraId="5E111E99" w14:textId="1895ACA0" w:rsidR="003F4F8D" w:rsidRDefault="00764960" w:rsidP="003F4F8D">
      <w:pPr>
        <w:ind w:left="1440" w:hanging="1440"/>
        <w:jc w:val="both"/>
        <w:rPr>
          <w:b/>
        </w:rPr>
      </w:pPr>
      <w:r>
        <w:rPr>
          <w:b/>
        </w:rPr>
        <w:t>CLUB</w:t>
      </w:r>
      <w:r w:rsidR="003F4F8D">
        <w:rPr>
          <w:b/>
        </w:rPr>
        <w:t>:</w:t>
      </w:r>
      <w:r w:rsidR="003F4F8D">
        <w:rPr>
          <w:b/>
        </w:rPr>
        <w:tab/>
      </w:r>
      <w:r w:rsidR="007B4602">
        <w:t>No position.</w:t>
      </w:r>
    </w:p>
    <w:p w14:paraId="51CFC4B9" w14:textId="77777777" w:rsidR="003F4F8D" w:rsidRDefault="003F4F8D" w:rsidP="003F4F8D">
      <w:pPr>
        <w:ind w:left="1440" w:hanging="1440"/>
        <w:jc w:val="both"/>
        <w:rPr>
          <w:b/>
        </w:rPr>
      </w:pPr>
    </w:p>
    <w:p w14:paraId="2ABAD1B0" w14:textId="73238446" w:rsidR="003F4F8D" w:rsidRDefault="003F4F8D" w:rsidP="003F4F8D">
      <w:pPr>
        <w:ind w:left="1440" w:hanging="1440"/>
        <w:jc w:val="both"/>
        <w:rPr>
          <w:b/>
        </w:rPr>
      </w:pPr>
      <w:r>
        <w:rPr>
          <w:b/>
        </w:rPr>
        <w:t>FRF:</w:t>
      </w:r>
      <w:r>
        <w:rPr>
          <w:b/>
        </w:rPr>
        <w:tab/>
      </w:r>
      <w:r w:rsidR="003D1C2E">
        <w:t>Agree</w:t>
      </w:r>
      <w:r w:rsidR="007B4602">
        <w:t>s</w:t>
      </w:r>
      <w:r w:rsidR="003D1C2E">
        <w:t xml:space="preserve"> with OPC.</w:t>
      </w:r>
    </w:p>
    <w:p w14:paraId="5C0B16AA" w14:textId="77777777" w:rsidR="003F4F8D" w:rsidRDefault="003F4F8D" w:rsidP="003F4F8D">
      <w:pPr>
        <w:ind w:left="1440" w:hanging="1440"/>
        <w:jc w:val="both"/>
        <w:rPr>
          <w:b/>
        </w:rPr>
      </w:pPr>
    </w:p>
    <w:p w14:paraId="7C0781B9" w14:textId="77777777" w:rsidR="00A14A11" w:rsidRDefault="00C0182D" w:rsidP="003F4F8D">
      <w:pPr>
        <w:ind w:left="1440" w:hanging="1440"/>
        <w:jc w:val="both"/>
        <w:rPr>
          <w:b/>
        </w:rPr>
      </w:pPr>
      <w:r>
        <w:rPr>
          <w:b/>
        </w:rPr>
        <w:t xml:space="preserve">FUEL </w:t>
      </w:r>
    </w:p>
    <w:p w14:paraId="30716DC5" w14:textId="6BBB59AD" w:rsidR="003F4F8D" w:rsidRDefault="00C0182D" w:rsidP="003F4F8D">
      <w:pPr>
        <w:ind w:left="1440" w:hanging="1440"/>
        <w:jc w:val="both"/>
      </w:pPr>
      <w:r>
        <w:rPr>
          <w:b/>
        </w:rPr>
        <w:t>RETAILERS</w:t>
      </w:r>
      <w:r w:rsidR="003F4F8D">
        <w:rPr>
          <w:b/>
        </w:rPr>
        <w:t>:</w:t>
      </w:r>
      <w:r w:rsidR="00A14A11">
        <w:rPr>
          <w:b/>
        </w:rPr>
        <w:t xml:space="preserve"> </w:t>
      </w:r>
      <w:r w:rsidR="00DC6CF8" w:rsidRPr="00A53630">
        <w:t>Agree</w:t>
      </w:r>
      <w:r w:rsidR="007B4602">
        <w:t>s</w:t>
      </w:r>
      <w:r w:rsidR="00DC6CF8" w:rsidRPr="00A53630">
        <w:t xml:space="preserve"> with </w:t>
      </w:r>
      <w:r w:rsidR="007B4602">
        <w:t>OPC</w:t>
      </w:r>
      <w:r w:rsidR="00DC6CF8" w:rsidRPr="00A53630">
        <w:t>.</w:t>
      </w:r>
    </w:p>
    <w:p w14:paraId="0A8CFBA2" w14:textId="77777777" w:rsidR="005A487E" w:rsidRDefault="005A487E" w:rsidP="003F4F8D">
      <w:pPr>
        <w:ind w:left="1440" w:hanging="1440"/>
        <w:jc w:val="both"/>
      </w:pPr>
    </w:p>
    <w:p w14:paraId="5D9E19E4" w14:textId="39FE2BE6" w:rsidR="005A487E" w:rsidRPr="005A487E" w:rsidRDefault="00FD408B" w:rsidP="003F4F8D">
      <w:pPr>
        <w:ind w:left="1440" w:hanging="1440"/>
        <w:jc w:val="both"/>
        <w:rPr>
          <w:b/>
        </w:rPr>
      </w:pPr>
      <w:r>
        <w:rPr>
          <w:b/>
        </w:rPr>
        <w:t>WALMART</w:t>
      </w:r>
      <w:r w:rsidR="005A487E">
        <w:rPr>
          <w:b/>
        </w:rPr>
        <w:t>:</w:t>
      </w:r>
      <w:r w:rsidR="005A487E">
        <w:rPr>
          <w:b/>
        </w:rPr>
        <w:tab/>
      </w:r>
      <w:r w:rsidR="007B4602" w:rsidRPr="007B4602">
        <w:t>A</w:t>
      </w:r>
      <w:r w:rsidR="005A487E">
        <w:t>grees with OPC.</w:t>
      </w:r>
    </w:p>
    <w:p w14:paraId="155427D5" w14:textId="77777777" w:rsidR="003F4F8D" w:rsidRPr="00701945" w:rsidRDefault="003F4F8D" w:rsidP="003F4F8D">
      <w:pPr>
        <w:jc w:val="both"/>
      </w:pPr>
    </w:p>
    <w:p w14:paraId="5888CE59" w14:textId="77777777" w:rsidR="003F4F8D" w:rsidRPr="005D4B47" w:rsidRDefault="003F4F8D" w:rsidP="003F4F8D">
      <w:pPr>
        <w:ind w:left="1440" w:hanging="1440"/>
        <w:jc w:val="both"/>
        <w:rPr>
          <w:b/>
          <w:bCs/>
        </w:rPr>
      </w:pPr>
      <w:r>
        <w:rPr>
          <w:b/>
          <w:bCs/>
        </w:rPr>
        <w:t>STAFF:</w:t>
      </w:r>
      <w:r>
        <w:rPr>
          <w:b/>
          <w:bCs/>
        </w:rPr>
        <w:tab/>
      </w:r>
      <w:r w:rsidR="00AC7E54">
        <w:t>No position at this time.</w:t>
      </w:r>
    </w:p>
    <w:p w14:paraId="13612079" w14:textId="77777777" w:rsidR="003F4F8D" w:rsidRDefault="003F4F8D" w:rsidP="00C7699A">
      <w:pPr>
        <w:jc w:val="both"/>
      </w:pPr>
    </w:p>
    <w:p w14:paraId="1DA40921" w14:textId="77777777" w:rsidR="007B0F06" w:rsidRDefault="007B0F06" w:rsidP="00C7699A">
      <w:pPr>
        <w:jc w:val="both"/>
      </w:pPr>
    </w:p>
    <w:p w14:paraId="57F0110B" w14:textId="77777777" w:rsidR="003F4F8D" w:rsidRPr="00870EFB" w:rsidRDefault="00870EFB" w:rsidP="003F4F8D">
      <w:pPr>
        <w:ind w:left="1440" w:hanging="1440"/>
        <w:jc w:val="both"/>
        <w:rPr>
          <w:b/>
        </w:rPr>
      </w:pPr>
      <w:r>
        <w:rPr>
          <w:b/>
          <w:bCs/>
        </w:rPr>
        <w:t>ISSUE 100</w:t>
      </w:r>
      <w:r w:rsidR="003F4F8D" w:rsidRPr="00701945">
        <w:rPr>
          <w:b/>
          <w:bCs/>
        </w:rPr>
        <w:t>:</w:t>
      </w:r>
      <w:r w:rsidR="003F4F8D" w:rsidRPr="00701945">
        <w:tab/>
      </w:r>
      <w:r w:rsidRPr="00870EFB">
        <w:rPr>
          <w:b/>
          <w:bCs/>
        </w:rPr>
        <w:t>Should the Commission approve the inclusion of TECO’s proposed Corporate Headquarters Project in the 2026 SYA? What, if any, adjustments should be made?</w:t>
      </w:r>
    </w:p>
    <w:p w14:paraId="2FCAB1A2" w14:textId="77777777" w:rsidR="003F4F8D" w:rsidRPr="00701945" w:rsidRDefault="003F4F8D" w:rsidP="003F4F8D">
      <w:pPr>
        <w:jc w:val="both"/>
      </w:pPr>
    </w:p>
    <w:p w14:paraId="0E0D5724" w14:textId="77777777" w:rsidR="003F4F8D" w:rsidRPr="005D4B47" w:rsidRDefault="003F4F8D" w:rsidP="003F4F8D">
      <w:pPr>
        <w:ind w:left="1440" w:hanging="1440"/>
        <w:jc w:val="both"/>
      </w:pPr>
      <w:r>
        <w:rPr>
          <w:b/>
          <w:bCs/>
        </w:rPr>
        <w:t>TECO</w:t>
      </w:r>
      <w:r w:rsidRPr="005D4B47">
        <w:rPr>
          <w:b/>
          <w:bCs/>
        </w:rPr>
        <w:t>:</w:t>
      </w:r>
      <w:r w:rsidRPr="005D4B47">
        <w:tab/>
      </w:r>
      <w:r w:rsidR="00870EFB">
        <w:t>Yes. The company’s new corporate headquarters project is prudent for the reasons explained under Issue 21 and should be included in the 2026 SYA. (Aldazabal, Chronister)</w:t>
      </w:r>
    </w:p>
    <w:p w14:paraId="30D4B7E7" w14:textId="77777777" w:rsidR="003F4F8D" w:rsidRPr="00701945" w:rsidRDefault="003F4F8D" w:rsidP="003F4F8D">
      <w:pPr>
        <w:jc w:val="both"/>
      </w:pPr>
    </w:p>
    <w:p w14:paraId="6B9FD8C1" w14:textId="428FCE0B" w:rsidR="003F4F8D" w:rsidRDefault="003F4F8D" w:rsidP="003F4F8D">
      <w:pPr>
        <w:ind w:left="1440" w:hanging="1440"/>
        <w:jc w:val="both"/>
      </w:pPr>
      <w:r>
        <w:rPr>
          <w:b/>
          <w:bCs/>
        </w:rPr>
        <w:t>OPC</w:t>
      </w:r>
      <w:r w:rsidRPr="00701945">
        <w:rPr>
          <w:b/>
          <w:bCs/>
        </w:rPr>
        <w:t>:</w:t>
      </w:r>
      <w:r>
        <w:tab/>
      </w:r>
      <w:r w:rsidR="00AE14E3" w:rsidRPr="003651AA">
        <w:t xml:space="preserve">The proposed </w:t>
      </w:r>
      <w:r w:rsidR="00AE14E3" w:rsidRPr="003651AA">
        <w:rPr>
          <w:bCs/>
        </w:rPr>
        <w:t xml:space="preserve">Corporate Headquarters </w:t>
      </w:r>
      <w:r w:rsidR="00AE14E3" w:rsidRPr="003651AA">
        <w:t>Project is being placed into service in 2025 during the test year without a full year revenue requirement. The TECO proposed</w:t>
      </w:r>
      <w:r w:rsidR="00AE14E3">
        <w:t xml:space="preserve"> </w:t>
      </w:r>
      <w:r w:rsidR="00AE14E3" w:rsidRPr="007D47E3">
        <w:rPr>
          <w:bCs/>
        </w:rPr>
        <w:t>Corporate Headquarters</w:t>
      </w:r>
      <w:r w:rsidR="00AE14E3">
        <w:t xml:space="preserve"> Project inclusion in the 2026 SYA should not be allowed unless it meets the following criteria: (1) it is a specific new and material capital investment costs and operation expenses (i.e. a discrete, material capital project); (2) the associate revenue requirement would cause TECO to earn below the earnings range approved in this docket in the subsequent year; and (3) TECO can demonstrate a need for the facility.</w:t>
      </w:r>
    </w:p>
    <w:p w14:paraId="6E4B5B06" w14:textId="77777777" w:rsidR="003F4F8D" w:rsidRDefault="003F4F8D" w:rsidP="003F4F8D">
      <w:pPr>
        <w:ind w:left="1440" w:hanging="1440"/>
        <w:jc w:val="both"/>
      </w:pPr>
    </w:p>
    <w:p w14:paraId="5BEFD935" w14:textId="77777777" w:rsidR="003F4F8D" w:rsidRDefault="003F4F8D" w:rsidP="003F4F8D">
      <w:pPr>
        <w:ind w:left="1440" w:hanging="1440"/>
        <w:jc w:val="both"/>
        <w:rPr>
          <w:b/>
        </w:rPr>
      </w:pPr>
      <w:r>
        <w:rPr>
          <w:b/>
        </w:rPr>
        <w:t>FL RISING/</w:t>
      </w:r>
    </w:p>
    <w:p w14:paraId="1B6CB2FA" w14:textId="4AE4E4F2" w:rsidR="003F4F8D" w:rsidRDefault="003F4F8D" w:rsidP="003F4F8D">
      <w:pPr>
        <w:ind w:left="1440" w:hanging="1440"/>
        <w:jc w:val="both"/>
        <w:rPr>
          <w:b/>
        </w:rPr>
      </w:pPr>
      <w:r>
        <w:rPr>
          <w:b/>
        </w:rPr>
        <w:t>LULAC:</w:t>
      </w:r>
      <w:r>
        <w:rPr>
          <w:b/>
        </w:rPr>
        <w:tab/>
      </w:r>
      <w:r w:rsidR="009B5CD3">
        <w:rPr>
          <w:bCs/>
        </w:rPr>
        <w:t>No</w:t>
      </w:r>
      <w:r w:rsidR="002A3A28">
        <w:rPr>
          <w:bCs/>
        </w:rPr>
        <w:t>.</w:t>
      </w:r>
    </w:p>
    <w:p w14:paraId="0788342B" w14:textId="25B21D74" w:rsidR="003F4F8D" w:rsidRDefault="003F4F8D" w:rsidP="003F4F8D">
      <w:pPr>
        <w:ind w:left="1440" w:hanging="1440"/>
        <w:jc w:val="both"/>
        <w:rPr>
          <w:b/>
        </w:rPr>
      </w:pPr>
      <w:r>
        <w:rPr>
          <w:b/>
        </w:rPr>
        <w:lastRenderedPageBreak/>
        <w:t>FIPUG:</w:t>
      </w:r>
      <w:r>
        <w:rPr>
          <w:b/>
        </w:rPr>
        <w:tab/>
      </w:r>
      <w:r w:rsidR="009D1832" w:rsidRPr="00F5435C">
        <w:rPr>
          <w:bCs/>
        </w:rPr>
        <w:t>Adopt</w:t>
      </w:r>
      <w:r w:rsidR="009C7238">
        <w:rPr>
          <w:bCs/>
        </w:rPr>
        <w:t>s the</w:t>
      </w:r>
      <w:r w:rsidR="009D1832" w:rsidRPr="00F5435C">
        <w:rPr>
          <w:bCs/>
        </w:rPr>
        <w:t xml:space="preserve"> position of OPC.</w:t>
      </w:r>
    </w:p>
    <w:p w14:paraId="0F460F2B" w14:textId="77777777" w:rsidR="003F4F8D" w:rsidRDefault="003F4F8D" w:rsidP="003F4F8D">
      <w:pPr>
        <w:ind w:left="1440" w:hanging="1440"/>
        <w:jc w:val="both"/>
        <w:rPr>
          <w:b/>
        </w:rPr>
      </w:pPr>
    </w:p>
    <w:p w14:paraId="0DC0AB48" w14:textId="7C78E981" w:rsidR="003F4F8D" w:rsidRDefault="003F4F8D" w:rsidP="003F4F8D">
      <w:pPr>
        <w:ind w:left="1440" w:hanging="1440"/>
        <w:jc w:val="both"/>
        <w:rPr>
          <w:b/>
        </w:rPr>
      </w:pPr>
      <w:r>
        <w:rPr>
          <w:b/>
        </w:rPr>
        <w:t>FEA:</w:t>
      </w:r>
      <w:r>
        <w:rPr>
          <w:b/>
        </w:rPr>
        <w:tab/>
      </w:r>
      <w:r w:rsidR="009C7238">
        <w:t>No position.</w:t>
      </w:r>
    </w:p>
    <w:p w14:paraId="3377A7A6" w14:textId="77777777" w:rsidR="003F4F8D" w:rsidRDefault="003F4F8D" w:rsidP="003F4F8D">
      <w:pPr>
        <w:ind w:left="1440" w:hanging="1440"/>
        <w:jc w:val="both"/>
        <w:rPr>
          <w:b/>
        </w:rPr>
      </w:pPr>
    </w:p>
    <w:p w14:paraId="5A0A153E" w14:textId="77777777" w:rsidR="00A14A11" w:rsidRDefault="00764960" w:rsidP="003F4F8D">
      <w:pPr>
        <w:ind w:left="1440" w:hanging="1440"/>
        <w:jc w:val="both"/>
        <w:rPr>
          <w:b/>
        </w:rPr>
      </w:pPr>
      <w:r>
        <w:rPr>
          <w:b/>
        </w:rPr>
        <w:t xml:space="preserve">SIERRA </w:t>
      </w:r>
    </w:p>
    <w:p w14:paraId="10675184" w14:textId="6633831D" w:rsidR="003F4F8D" w:rsidRDefault="00764960" w:rsidP="003F4F8D">
      <w:pPr>
        <w:ind w:left="1440" w:hanging="1440"/>
        <w:jc w:val="both"/>
        <w:rPr>
          <w:b/>
        </w:rPr>
      </w:pPr>
      <w:r>
        <w:rPr>
          <w:b/>
        </w:rPr>
        <w:t>CLUB</w:t>
      </w:r>
      <w:r w:rsidR="003F4F8D">
        <w:rPr>
          <w:b/>
        </w:rPr>
        <w:t>:</w:t>
      </w:r>
      <w:r w:rsidR="003F4F8D">
        <w:rPr>
          <w:b/>
        </w:rPr>
        <w:tab/>
      </w:r>
      <w:r w:rsidR="00DD2DF7">
        <w:t>No position.</w:t>
      </w:r>
    </w:p>
    <w:p w14:paraId="66AEEFFF" w14:textId="77777777" w:rsidR="003F4F8D" w:rsidRDefault="003F4F8D" w:rsidP="003F4F8D">
      <w:pPr>
        <w:ind w:left="1440" w:hanging="1440"/>
        <w:jc w:val="both"/>
        <w:rPr>
          <w:b/>
        </w:rPr>
      </w:pPr>
    </w:p>
    <w:p w14:paraId="6039E892" w14:textId="63609E9B" w:rsidR="003F4F8D" w:rsidRDefault="003F4F8D" w:rsidP="003F4F8D">
      <w:pPr>
        <w:ind w:left="1440" w:hanging="1440"/>
        <w:jc w:val="both"/>
        <w:rPr>
          <w:b/>
        </w:rPr>
      </w:pPr>
      <w:r>
        <w:rPr>
          <w:b/>
        </w:rPr>
        <w:t>FRF:</w:t>
      </w:r>
      <w:r>
        <w:rPr>
          <w:b/>
        </w:rPr>
        <w:tab/>
      </w:r>
      <w:r w:rsidR="003D1C2E">
        <w:t>Agree</w:t>
      </w:r>
      <w:r w:rsidR="00DD2DF7">
        <w:t>s</w:t>
      </w:r>
      <w:r w:rsidR="003D1C2E">
        <w:t xml:space="preserve"> with OPC.</w:t>
      </w:r>
    </w:p>
    <w:p w14:paraId="289C0833" w14:textId="77777777" w:rsidR="003F4F8D" w:rsidRDefault="003F4F8D" w:rsidP="003F4F8D">
      <w:pPr>
        <w:ind w:left="1440" w:hanging="1440"/>
        <w:jc w:val="both"/>
        <w:rPr>
          <w:b/>
        </w:rPr>
      </w:pPr>
    </w:p>
    <w:p w14:paraId="712CD445" w14:textId="77777777" w:rsidR="00A14A11" w:rsidRDefault="00C0182D" w:rsidP="003F4F8D">
      <w:pPr>
        <w:ind w:left="1440" w:hanging="1440"/>
        <w:jc w:val="both"/>
        <w:rPr>
          <w:b/>
        </w:rPr>
      </w:pPr>
      <w:r>
        <w:rPr>
          <w:b/>
        </w:rPr>
        <w:t xml:space="preserve">FUEL </w:t>
      </w:r>
    </w:p>
    <w:p w14:paraId="04F35A3B" w14:textId="1F9637B2" w:rsidR="003F4F8D" w:rsidRDefault="00C0182D" w:rsidP="003F4F8D">
      <w:pPr>
        <w:ind w:left="1440" w:hanging="1440"/>
        <w:jc w:val="both"/>
      </w:pPr>
      <w:r>
        <w:rPr>
          <w:b/>
        </w:rPr>
        <w:t>RETAILERS</w:t>
      </w:r>
      <w:r w:rsidR="003F4F8D">
        <w:rPr>
          <w:b/>
        </w:rPr>
        <w:t>:</w:t>
      </w:r>
      <w:r w:rsidR="00A14A11">
        <w:rPr>
          <w:b/>
        </w:rPr>
        <w:t xml:space="preserve"> </w:t>
      </w:r>
      <w:r w:rsidR="00DC6CF8" w:rsidRPr="00A53630">
        <w:t>Agree</w:t>
      </w:r>
      <w:r w:rsidR="00A84196">
        <w:t>s</w:t>
      </w:r>
      <w:r w:rsidR="00DC6CF8" w:rsidRPr="00A53630">
        <w:t xml:space="preserve"> with </w:t>
      </w:r>
      <w:r w:rsidR="00A84196">
        <w:t>OPC</w:t>
      </w:r>
      <w:r w:rsidR="00DC6CF8" w:rsidRPr="00A53630">
        <w:t>.</w:t>
      </w:r>
    </w:p>
    <w:p w14:paraId="06D94AC6" w14:textId="77777777" w:rsidR="005A487E" w:rsidRDefault="005A487E" w:rsidP="003F4F8D">
      <w:pPr>
        <w:ind w:left="1440" w:hanging="1440"/>
        <w:jc w:val="both"/>
      </w:pPr>
    </w:p>
    <w:p w14:paraId="59165064" w14:textId="7C1540B7" w:rsidR="005A487E" w:rsidRPr="005A487E" w:rsidRDefault="00FD408B" w:rsidP="003F4F8D">
      <w:pPr>
        <w:ind w:left="1440" w:hanging="1440"/>
        <w:jc w:val="both"/>
        <w:rPr>
          <w:b/>
        </w:rPr>
      </w:pPr>
      <w:r>
        <w:rPr>
          <w:b/>
        </w:rPr>
        <w:t>WALMART</w:t>
      </w:r>
      <w:r w:rsidR="005A487E">
        <w:rPr>
          <w:b/>
        </w:rPr>
        <w:t>:</w:t>
      </w:r>
      <w:r w:rsidR="005A487E">
        <w:rPr>
          <w:b/>
        </w:rPr>
        <w:tab/>
      </w:r>
      <w:r w:rsidR="00A84196" w:rsidRPr="00A84196">
        <w:t>A</w:t>
      </w:r>
      <w:r w:rsidR="005A487E">
        <w:t>grees with OPC.</w:t>
      </w:r>
    </w:p>
    <w:p w14:paraId="4816EA96" w14:textId="77777777" w:rsidR="003F4F8D" w:rsidRPr="00701945" w:rsidRDefault="003F4F8D" w:rsidP="003F4F8D">
      <w:pPr>
        <w:jc w:val="both"/>
      </w:pPr>
    </w:p>
    <w:p w14:paraId="323269AA" w14:textId="77777777" w:rsidR="003F4F8D" w:rsidRPr="005D4B47" w:rsidRDefault="003F4F8D" w:rsidP="003F4F8D">
      <w:pPr>
        <w:ind w:left="1440" w:hanging="1440"/>
        <w:jc w:val="both"/>
        <w:rPr>
          <w:b/>
          <w:bCs/>
        </w:rPr>
      </w:pPr>
      <w:r>
        <w:rPr>
          <w:b/>
          <w:bCs/>
        </w:rPr>
        <w:t>STAFF:</w:t>
      </w:r>
      <w:r>
        <w:rPr>
          <w:b/>
          <w:bCs/>
        </w:rPr>
        <w:tab/>
      </w:r>
      <w:r w:rsidR="00AC7E54">
        <w:t>No position at this time.</w:t>
      </w:r>
    </w:p>
    <w:p w14:paraId="530C6B2F" w14:textId="77777777" w:rsidR="003F4F8D" w:rsidRDefault="003F4F8D" w:rsidP="00C7699A">
      <w:pPr>
        <w:jc w:val="both"/>
      </w:pPr>
    </w:p>
    <w:p w14:paraId="1E78CE68" w14:textId="77777777" w:rsidR="003F4F8D" w:rsidRDefault="003F4F8D" w:rsidP="00C7699A">
      <w:pPr>
        <w:jc w:val="both"/>
      </w:pPr>
    </w:p>
    <w:p w14:paraId="1B932794" w14:textId="77777777" w:rsidR="003F4F8D" w:rsidRPr="00870EFB" w:rsidRDefault="003F4F8D" w:rsidP="003F4F8D">
      <w:pPr>
        <w:ind w:left="1440" w:hanging="1440"/>
        <w:jc w:val="both"/>
        <w:rPr>
          <w:b/>
        </w:rPr>
      </w:pPr>
      <w:r w:rsidRPr="005D4B47">
        <w:rPr>
          <w:b/>
          <w:bCs/>
        </w:rPr>
        <w:t>ISSUE 1</w:t>
      </w:r>
      <w:r w:rsidR="00870EFB">
        <w:rPr>
          <w:b/>
          <w:bCs/>
        </w:rPr>
        <w:t>01</w:t>
      </w:r>
      <w:r w:rsidRPr="00701945">
        <w:rPr>
          <w:b/>
          <w:bCs/>
        </w:rPr>
        <w:t>:</w:t>
      </w:r>
      <w:r w:rsidRPr="00701945">
        <w:tab/>
      </w:r>
      <w:r w:rsidR="00870EFB" w:rsidRPr="00870EFB">
        <w:rPr>
          <w:b/>
          <w:bCs/>
        </w:rPr>
        <w:t>Should the Commission approve the inclusion of TECO’s proposed South Tampa Resilience Project in the 2026 and 2027 SYA? What, if any, adjustments should be made?</w:t>
      </w:r>
    </w:p>
    <w:p w14:paraId="77620A4A" w14:textId="77777777" w:rsidR="003F4F8D" w:rsidRPr="00701945" w:rsidRDefault="003F4F8D" w:rsidP="003F4F8D">
      <w:pPr>
        <w:jc w:val="both"/>
      </w:pPr>
    </w:p>
    <w:p w14:paraId="0731BB90" w14:textId="1E61A4A2" w:rsidR="003F4F8D" w:rsidRPr="005D4B47" w:rsidRDefault="003F4F8D" w:rsidP="003F4F8D">
      <w:pPr>
        <w:ind w:left="1440" w:hanging="1440"/>
        <w:jc w:val="both"/>
      </w:pPr>
      <w:r>
        <w:rPr>
          <w:b/>
          <w:bCs/>
        </w:rPr>
        <w:t>TECO</w:t>
      </w:r>
      <w:r w:rsidRPr="005D4B47">
        <w:rPr>
          <w:b/>
          <w:bCs/>
        </w:rPr>
        <w:t>:</w:t>
      </w:r>
      <w:r w:rsidRPr="005D4B47">
        <w:tab/>
      </w:r>
      <w:r w:rsidR="00870EFB">
        <w:t xml:space="preserve">Yes. </w:t>
      </w:r>
      <w:r w:rsidR="008F335E">
        <w:t>South Tampa Resilience Project</w:t>
      </w:r>
      <w:r w:rsidR="00870EFB">
        <w:t xml:space="preserve"> is prudent for the reasons explained under Issue 22 and should be included in the 2026 and 2027 SYA. (Aldazabal, Aponte, Chronister)</w:t>
      </w:r>
    </w:p>
    <w:p w14:paraId="19F52E66" w14:textId="77777777" w:rsidR="003F4F8D" w:rsidRPr="00701945" w:rsidRDefault="003F4F8D" w:rsidP="003F4F8D">
      <w:pPr>
        <w:jc w:val="both"/>
      </w:pPr>
    </w:p>
    <w:p w14:paraId="6E01C389" w14:textId="3B01E760" w:rsidR="003F4F8D" w:rsidRDefault="003F4F8D" w:rsidP="003F4F8D">
      <w:pPr>
        <w:ind w:left="1440" w:hanging="1440"/>
        <w:jc w:val="both"/>
      </w:pPr>
      <w:r>
        <w:rPr>
          <w:b/>
          <w:bCs/>
        </w:rPr>
        <w:t>OPC</w:t>
      </w:r>
      <w:r w:rsidRPr="00701945">
        <w:rPr>
          <w:b/>
          <w:bCs/>
        </w:rPr>
        <w:t>:</w:t>
      </w:r>
      <w:r>
        <w:tab/>
      </w:r>
      <w:r w:rsidR="007536FB" w:rsidRPr="003651AA">
        <w:t xml:space="preserve">The proposed </w:t>
      </w:r>
      <w:r w:rsidR="007536FB" w:rsidRPr="003651AA">
        <w:rPr>
          <w:bCs/>
        </w:rPr>
        <w:t>South Tampa Resilience</w:t>
      </w:r>
      <w:r w:rsidR="007536FB" w:rsidRPr="003651AA">
        <w:t xml:space="preserve"> Project is being placed into service in 2025 during the test year without a full year revenue requirement. The TECO proposed </w:t>
      </w:r>
      <w:r w:rsidR="007536FB" w:rsidRPr="003651AA">
        <w:rPr>
          <w:bCs/>
        </w:rPr>
        <w:t>South Tampa Resilience</w:t>
      </w:r>
      <w:r w:rsidR="007536FB" w:rsidRPr="003651AA">
        <w:t xml:space="preserve"> Project inclusion in the 2026 SYA should </w:t>
      </w:r>
      <w:r w:rsidR="007536FB">
        <w:t>not</w:t>
      </w:r>
      <w:r w:rsidR="007536FB" w:rsidRPr="003651AA">
        <w:t xml:space="preserve"> be allowed </w:t>
      </w:r>
      <w:r w:rsidR="007536FB">
        <w:t>unless</w:t>
      </w:r>
      <w:r w:rsidR="007536FB" w:rsidRPr="003651AA">
        <w:t xml:space="preserve"> it meets the following criteria: (1) it is a specific new and material capital investment costs and operation expenses (i.e. a </w:t>
      </w:r>
      <w:r w:rsidR="007536FB">
        <w:t>discrete</w:t>
      </w:r>
      <w:r w:rsidR="007536FB" w:rsidRPr="003651AA">
        <w:t>, material capital project); (2) the associate revenue requirement would cause TECO to earn below the earnings range approved in this docket in the subsequent year; and (3) TECO can demonstrate a need for the facility.</w:t>
      </w:r>
    </w:p>
    <w:p w14:paraId="54B75FB8" w14:textId="77777777" w:rsidR="003F4F8D" w:rsidRDefault="003F4F8D" w:rsidP="003F4F8D">
      <w:pPr>
        <w:ind w:left="1440" w:hanging="1440"/>
        <w:jc w:val="both"/>
      </w:pPr>
    </w:p>
    <w:p w14:paraId="19E006EA" w14:textId="77777777" w:rsidR="003F4F8D" w:rsidRDefault="003F4F8D" w:rsidP="003F4F8D">
      <w:pPr>
        <w:ind w:left="1440" w:hanging="1440"/>
        <w:jc w:val="both"/>
        <w:rPr>
          <w:b/>
        </w:rPr>
      </w:pPr>
      <w:r>
        <w:rPr>
          <w:b/>
        </w:rPr>
        <w:t>FL RISING/</w:t>
      </w:r>
    </w:p>
    <w:p w14:paraId="4275F628" w14:textId="7FFDBB9A" w:rsidR="003F4F8D" w:rsidRDefault="003F4F8D" w:rsidP="003F4F8D">
      <w:pPr>
        <w:ind w:left="1440" w:hanging="1440"/>
        <w:jc w:val="both"/>
        <w:rPr>
          <w:b/>
        </w:rPr>
      </w:pPr>
      <w:r>
        <w:rPr>
          <w:b/>
        </w:rPr>
        <w:t>LULAC:</w:t>
      </w:r>
      <w:r>
        <w:rPr>
          <w:b/>
        </w:rPr>
        <w:tab/>
      </w:r>
      <w:r w:rsidR="00B53B02">
        <w:rPr>
          <w:bCs/>
        </w:rPr>
        <w:t>No</w:t>
      </w:r>
      <w:r w:rsidR="00125C50">
        <w:rPr>
          <w:bCs/>
        </w:rPr>
        <w:t>.</w:t>
      </w:r>
    </w:p>
    <w:p w14:paraId="42712A62" w14:textId="77777777" w:rsidR="003F4F8D" w:rsidRDefault="003F4F8D" w:rsidP="003F4F8D">
      <w:pPr>
        <w:ind w:left="1440" w:hanging="1440"/>
        <w:jc w:val="both"/>
        <w:rPr>
          <w:b/>
        </w:rPr>
      </w:pPr>
    </w:p>
    <w:p w14:paraId="0A73C0E1" w14:textId="3E0ED0CF" w:rsidR="003F4F8D" w:rsidRDefault="003F4F8D" w:rsidP="003F4F8D">
      <w:pPr>
        <w:ind w:left="1440" w:hanging="1440"/>
        <w:jc w:val="both"/>
        <w:rPr>
          <w:b/>
        </w:rPr>
      </w:pPr>
      <w:r>
        <w:rPr>
          <w:b/>
        </w:rPr>
        <w:t>FIPUG:</w:t>
      </w:r>
      <w:r>
        <w:rPr>
          <w:b/>
        </w:rPr>
        <w:tab/>
      </w:r>
      <w:r w:rsidR="009D1832" w:rsidRPr="00F5435C">
        <w:rPr>
          <w:bCs/>
        </w:rPr>
        <w:t>Adopt</w:t>
      </w:r>
      <w:r w:rsidR="00125C50">
        <w:rPr>
          <w:bCs/>
        </w:rPr>
        <w:t>s the</w:t>
      </w:r>
      <w:r w:rsidR="009D1832" w:rsidRPr="00F5435C">
        <w:rPr>
          <w:bCs/>
        </w:rPr>
        <w:t xml:space="preserve"> position of OPC.</w:t>
      </w:r>
    </w:p>
    <w:p w14:paraId="15BB31F6" w14:textId="77777777" w:rsidR="003F4F8D" w:rsidRDefault="003F4F8D" w:rsidP="003F4F8D">
      <w:pPr>
        <w:ind w:left="1440" w:hanging="1440"/>
        <w:jc w:val="both"/>
        <w:rPr>
          <w:b/>
        </w:rPr>
      </w:pPr>
    </w:p>
    <w:p w14:paraId="49786303" w14:textId="4497CDE2" w:rsidR="003F4F8D" w:rsidRDefault="003F4F8D" w:rsidP="003F4F8D">
      <w:pPr>
        <w:ind w:left="1440" w:hanging="1440"/>
        <w:jc w:val="both"/>
        <w:rPr>
          <w:b/>
        </w:rPr>
      </w:pPr>
      <w:r>
        <w:rPr>
          <w:b/>
        </w:rPr>
        <w:t>FEA:</w:t>
      </w:r>
      <w:r>
        <w:rPr>
          <w:b/>
        </w:rPr>
        <w:tab/>
      </w:r>
      <w:r w:rsidR="00125C50">
        <w:t>No position.</w:t>
      </w:r>
    </w:p>
    <w:p w14:paraId="2A7B5038" w14:textId="77777777" w:rsidR="003F4F8D" w:rsidRDefault="003F4F8D" w:rsidP="003F4F8D">
      <w:pPr>
        <w:ind w:left="1440" w:hanging="1440"/>
        <w:jc w:val="both"/>
        <w:rPr>
          <w:b/>
        </w:rPr>
      </w:pPr>
    </w:p>
    <w:p w14:paraId="536CCC68" w14:textId="77777777" w:rsidR="00A14A11" w:rsidRDefault="00764960" w:rsidP="003F4F8D">
      <w:pPr>
        <w:ind w:left="1440" w:hanging="1440"/>
        <w:jc w:val="both"/>
        <w:rPr>
          <w:b/>
        </w:rPr>
      </w:pPr>
      <w:r>
        <w:rPr>
          <w:b/>
        </w:rPr>
        <w:t xml:space="preserve">SIERRA </w:t>
      </w:r>
    </w:p>
    <w:p w14:paraId="57C13DEC" w14:textId="44CCEC89" w:rsidR="003F4F8D" w:rsidRDefault="00764960" w:rsidP="003F4F8D">
      <w:pPr>
        <w:ind w:left="1440" w:hanging="1440"/>
        <w:jc w:val="both"/>
        <w:rPr>
          <w:b/>
        </w:rPr>
      </w:pPr>
      <w:r>
        <w:rPr>
          <w:b/>
        </w:rPr>
        <w:t>CLUB</w:t>
      </w:r>
      <w:r w:rsidR="003F4F8D">
        <w:rPr>
          <w:b/>
        </w:rPr>
        <w:t>:</w:t>
      </w:r>
      <w:r w:rsidR="003F4F8D">
        <w:rPr>
          <w:b/>
        </w:rPr>
        <w:tab/>
      </w:r>
      <w:r w:rsidR="00125C50">
        <w:t>No position.</w:t>
      </w:r>
    </w:p>
    <w:p w14:paraId="2B716ED0" w14:textId="77777777" w:rsidR="003F4F8D" w:rsidRDefault="003F4F8D" w:rsidP="003F4F8D">
      <w:pPr>
        <w:ind w:left="1440" w:hanging="1440"/>
        <w:jc w:val="both"/>
        <w:rPr>
          <w:b/>
        </w:rPr>
      </w:pPr>
    </w:p>
    <w:p w14:paraId="39B4E081" w14:textId="0FCE586B" w:rsidR="003F4F8D" w:rsidRDefault="003F4F8D" w:rsidP="003F4F8D">
      <w:pPr>
        <w:ind w:left="1440" w:hanging="1440"/>
        <w:jc w:val="both"/>
        <w:rPr>
          <w:b/>
        </w:rPr>
      </w:pPr>
      <w:r>
        <w:rPr>
          <w:b/>
        </w:rPr>
        <w:t>FRF:</w:t>
      </w:r>
      <w:r>
        <w:rPr>
          <w:b/>
        </w:rPr>
        <w:tab/>
      </w:r>
      <w:r w:rsidR="003D1C2E">
        <w:t>Agree</w:t>
      </w:r>
      <w:r w:rsidR="00125C50">
        <w:t>s</w:t>
      </w:r>
      <w:r w:rsidR="003D1C2E">
        <w:t xml:space="preserve"> with OPC.</w:t>
      </w:r>
    </w:p>
    <w:p w14:paraId="24CB3759" w14:textId="77777777" w:rsidR="00A14A11" w:rsidRDefault="00C0182D" w:rsidP="003F4F8D">
      <w:pPr>
        <w:ind w:left="1440" w:hanging="1440"/>
        <w:jc w:val="both"/>
        <w:rPr>
          <w:b/>
        </w:rPr>
      </w:pPr>
      <w:r>
        <w:rPr>
          <w:b/>
        </w:rPr>
        <w:lastRenderedPageBreak/>
        <w:t xml:space="preserve">FUEL </w:t>
      </w:r>
    </w:p>
    <w:p w14:paraId="32A37CFF" w14:textId="00EE8DF3" w:rsidR="003F4F8D" w:rsidRDefault="00C0182D" w:rsidP="003F4F8D">
      <w:pPr>
        <w:ind w:left="1440" w:hanging="1440"/>
        <w:jc w:val="both"/>
      </w:pPr>
      <w:r>
        <w:rPr>
          <w:b/>
        </w:rPr>
        <w:t>RETAILERS</w:t>
      </w:r>
      <w:r w:rsidR="003F4F8D">
        <w:rPr>
          <w:b/>
        </w:rPr>
        <w:t>:</w:t>
      </w:r>
      <w:r w:rsidR="00A14A11">
        <w:rPr>
          <w:b/>
        </w:rPr>
        <w:t xml:space="preserve"> </w:t>
      </w:r>
      <w:r w:rsidR="00A309A9" w:rsidRPr="00A53630">
        <w:t>Agree</w:t>
      </w:r>
      <w:r w:rsidR="00125C50">
        <w:t>s</w:t>
      </w:r>
      <w:r w:rsidR="00A309A9" w:rsidRPr="00A53630">
        <w:t xml:space="preserve"> with </w:t>
      </w:r>
      <w:r w:rsidR="00125C50">
        <w:t>OPC</w:t>
      </w:r>
      <w:r w:rsidR="00A309A9" w:rsidRPr="00A53630">
        <w:t>.</w:t>
      </w:r>
    </w:p>
    <w:p w14:paraId="44FF23F8" w14:textId="77777777" w:rsidR="005A487E" w:rsidRDefault="005A487E" w:rsidP="003F4F8D">
      <w:pPr>
        <w:ind w:left="1440" w:hanging="1440"/>
        <w:jc w:val="both"/>
      </w:pPr>
    </w:p>
    <w:p w14:paraId="0B13B910" w14:textId="4F4A60D9" w:rsidR="005A487E" w:rsidRPr="005A487E" w:rsidRDefault="00FD408B" w:rsidP="003F4F8D">
      <w:pPr>
        <w:ind w:left="1440" w:hanging="1440"/>
        <w:jc w:val="both"/>
        <w:rPr>
          <w:b/>
        </w:rPr>
      </w:pPr>
      <w:r>
        <w:rPr>
          <w:b/>
        </w:rPr>
        <w:t>WALMART</w:t>
      </w:r>
      <w:r w:rsidR="005A487E">
        <w:rPr>
          <w:b/>
        </w:rPr>
        <w:t>:</w:t>
      </w:r>
      <w:r w:rsidR="005A487E">
        <w:rPr>
          <w:b/>
        </w:rPr>
        <w:tab/>
      </w:r>
      <w:r w:rsidR="00125C50">
        <w:t>A</w:t>
      </w:r>
      <w:r w:rsidR="005A487E">
        <w:t>grees with OPC.</w:t>
      </w:r>
    </w:p>
    <w:p w14:paraId="0EAF57BC" w14:textId="77777777" w:rsidR="003F4F8D" w:rsidRPr="00701945" w:rsidRDefault="003F4F8D" w:rsidP="003F4F8D">
      <w:pPr>
        <w:jc w:val="both"/>
      </w:pPr>
    </w:p>
    <w:p w14:paraId="77C56E42" w14:textId="77777777" w:rsidR="003F4F8D" w:rsidRPr="005D4B47" w:rsidRDefault="003F4F8D" w:rsidP="003F4F8D">
      <w:pPr>
        <w:ind w:left="1440" w:hanging="1440"/>
        <w:jc w:val="both"/>
        <w:rPr>
          <w:b/>
          <w:bCs/>
        </w:rPr>
      </w:pPr>
      <w:r>
        <w:rPr>
          <w:b/>
          <w:bCs/>
        </w:rPr>
        <w:t>STAFF:</w:t>
      </w:r>
      <w:r>
        <w:rPr>
          <w:b/>
          <w:bCs/>
        </w:rPr>
        <w:tab/>
      </w:r>
      <w:r w:rsidR="00AC7E54">
        <w:t>No position at this time.</w:t>
      </w:r>
    </w:p>
    <w:p w14:paraId="6C23C532" w14:textId="77777777" w:rsidR="003F4F8D" w:rsidRDefault="003F4F8D" w:rsidP="00C7699A">
      <w:pPr>
        <w:jc w:val="both"/>
      </w:pPr>
    </w:p>
    <w:p w14:paraId="33510CAC" w14:textId="77777777" w:rsidR="003F4F8D" w:rsidRDefault="003F4F8D" w:rsidP="00C7699A">
      <w:pPr>
        <w:jc w:val="both"/>
      </w:pPr>
    </w:p>
    <w:p w14:paraId="475FDF8D" w14:textId="77777777" w:rsidR="003F4F8D" w:rsidRPr="003A3FB9" w:rsidRDefault="003F4F8D" w:rsidP="003F4F8D">
      <w:pPr>
        <w:ind w:left="1440" w:hanging="1440"/>
        <w:jc w:val="both"/>
        <w:rPr>
          <w:b/>
        </w:rPr>
      </w:pPr>
      <w:r w:rsidRPr="005D4B47">
        <w:rPr>
          <w:b/>
          <w:bCs/>
        </w:rPr>
        <w:t>ISSUE 1</w:t>
      </w:r>
      <w:r w:rsidR="003A3FB9">
        <w:rPr>
          <w:b/>
          <w:bCs/>
        </w:rPr>
        <w:t>02</w:t>
      </w:r>
      <w:r w:rsidRPr="00701945">
        <w:rPr>
          <w:b/>
          <w:bCs/>
        </w:rPr>
        <w:t>:</w:t>
      </w:r>
      <w:r w:rsidRPr="00701945">
        <w:tab/>
      </w:r>
      <w:r w:rsidR="003A3FB9" w:rsidRPr="003A3FB9">
        <w:rPr>
          <w:b/>
          <w:bCs/>
        </w:rPr>
        <w:t>Should the Commission approve the inclusion of TECO’s proposed Polk Fuel Diversity Project in the 2026 and 2027 SYA? What, if any, adjustments should be made?</w:t>
      </w:r>
    </w:p>
    <w:p w14:paraId="440FFF7C" w14:textId="77777777" w:rsidR="003F4F8D" w:rsidRPr="00701945" w:rsidRDefault="003F4F8D" w:rsidP="003F4F8D">
      <w:pPr>
        <w:jc w:val="both"/>
      </w:pPr>
    </w:p>
    <w:p w14:paraId="34C91B07" w14:textId="77777777" w:rsidR="003F4F8D" w:rsidRPr="005D4B47" w:rsidRDefault="003F4F8D" w:rsidP="003F4F8D">
      <w:pPr>
        <w:ind w:left="1440" w:hanging="1440"/>
        <w:jc w:val="both"/>
      </w:pPr>
      <w:r>
        <w:rPr>
          <w:b/>
          <w:bCs/>
        </w:rPr>
        <w:t>TECO</w:t>
      </w:r>
      <w:r w:rsidRPr="005D4B47">
        <w:rPr>
          <w:b/>
          <w:bCs/>
        </w:rPr>
        <w:t>:</w:t>
      </w:r>
      <w:r w:rsidRPr="005D4B47">
        <w:tab/>
      </w:r>
      <w:r w:rsidR="003A3FB9">
        <w:t>Yes. The Polk Fuel Diversity project is prudent and should be included in the 2027 SYA. The Project will mitigate customer exposure to natural gas price spikes and supply disruptions and is not proposed to be recovered in the 2026 SYA. (Aldazabal, Chronister)</w:t>
      </w:r>
    </w:p>
    <w:p w14:paraId="221EB35C" w14:textId="77777777" w:rsidR="003F4F8D" w:rsidRPr="00701945" w:rsidRDefault="003F4F8D" w:rsidP="003F4F8D">
      <w:pPr>
        <w:jc w:val="both"/>
      </w:pPr>
    </w:p>
    <w:p w14:paraId="0ED3A5C5" w14:textId="030DB036" w:rsidR="003F4F8D" w:rsidRDefault="003F4F8D" w:rsidP="003F4F8D">
      <w:pPr>
        <w:ind w:left="1440" w:hanging="1440"/>
        <w:jc w:val="both"/>
      </w:pPr>
      <w:r>
        <w:rPr>
          <w:b/>
          <w:bCs/>
        </w:rPr>
        <w:t>OPC</w:t>
      </w:r>
      <w:r w:rsidRPr="00701945">
        <w:rPr>
          <w:b/>
          <w:bCs/>
        </w:rPr>
        <w:t>:</w:t>
      </w:r>
      <w:r>
        <w:tab/>
      </w:r>
      <w:r w:rsidR="007536FB" w:rsidRPr="003651AA">
        <w:t xml:space="preserve">The proposed </w:t>
      </w:r>
      <w:r w:rsidR="007536FB" w:rsidRPr="003651AA">
        <w:rPr>
          <w:bCs/>
        </w:rPr>
        <w:t>Polk Fuel Diversity</w:t>
      </w:r>
      <w:r w:rsidR="007536FB" w:rsidRPr="003651AA">
        <w:t xml:space="preserve"> Project is being placed into service in 2025 during the test year without a full year revenue requirement. The TECO proposed </w:t>
      </w:r>
      <w:r w:rsidR="007536FB" w:rsidRPr="003651AA">
        <w:rPr>
          <w:bCs/>
        </w:rPr>
        <w:t xml:space="preserve">Polk Fuel Diversity </w:t>
      </w:r>
      <w:r w:rsidR="007536FB" w:rsidRPr="003651AA">
        <w:t>Project inclusion in the 2026 SYA and 2027 SYA</w:t>
      </w:r>
      <w:r w:rsidR="007536FB">
        <w:t xml:space="preserve"> should not be allowed unless it meets the following criteria: (1) it is a specific new and material capital investment costs and operation expenses (i.e. a discrete, material capital project); (2) the associate revenue requirement would cause TECO to earn below the earnings range approved in this docket in the subsequent year; and (3) TECO can demonstrate a need for the facility.</w:t>
      </w:r>
    </w:p>
    <w:p w14:paraId="688B25C5" w14:textId="77777777" w:rsidR="003F4F8D" w:rsidRDefault="003F4F8D" w:rsidP="003F4F8D">
      <w:pPr>
        <w:ind w:left="1440" w:hanging="1440"/>
        <w:jc w:val="both"/>
      </w:pPr>
    </w:p>
    <w:p w14:paraId="3D34E10A" w14:textId="77777777" w:rsidR="003F4F8D" w:rsidRDefault="003F4F8D" w:rsidP="003F4F8D">
      <w:pPr>
        <w:ind w:left="1440" w:hanging="1440"/>
        <w:jc w:val="both"/>
        <w:rPr>
          <w:b/>
        </w:rPr>
      </w:pPr>
      <w:r>
        <w:rPr>
          <w:b/>
        </w:rPr>
        <w:t>FL RISING/</w:t>
      </w:r>
    </w:p>
    <w:p w14:paraId="30AA1ABE" w14:textId="2965603D" w:rsidR="003F4F8D" w:rsidRDefault="003F4F8D" w:rsidP="003F4F8D">
      <w:pPr>
        <w:ind w:left="1440" w:hanging="1440"/>
        <w:jc w:val="both"/>
        <w:rPr>
          <w:b/>
        </w:rPr>
      </w:pPr>
      <w:r>
        <w:rPr>
          <w:b/>
        </w:rPr>
        <w:t>LULAC:</w:t>
      </w:r>
      <w:r>
        <w:rPr>
          <w:b/>
        </w:rPr>
        <w:tab/>
      </w:r>
      <w:r w:rsidR="00B53B02">
        <w:rPr>
          <w:bCs/>
        </w:rPr>
        <w:t>No</w:t>
      </w:r>
      <w:r w:rsidR="00FA76D0">
        <w:rPr>
          <w:bCs/>
        </w:rPr>
        <w:t>.</w:t>
      </w:r>
    </w:p>
    <w:p w14:paraId="08D0CA43" w14:textId="77777777" w:rsidR="003F4F8D" w:rsidRDefault="003F4F8D" w:rsidP="003F4F8D">
      <w:pPr>
        <w:ind w:left="1440" w:hanging="1440"/>
        <w:jc w:val="both"/>
        <w:rPr>
          <w:b/>
        </w:rPr>
      </w:pPr>
    </w:p>
    <w:p w14:paraId="4CEC1AA5" w14:textId="468B2B76" w:rsidR="003F4F8D" w:rsidRDefault="003F4F8D" w:rsidP="003F4F8D">
      <w:pPr>
        <w:ind w:left="1440" w:hanging="1440"/>
        <w:jc w:val="both"/>
        <w:rPr>
          <w:b/>
        </w:rPr>
      </w:pPr>
      <w:r>
        <w:rPr>
          <w:b/>
        </w:rPr>
        <w:t>FIPUG:</w:t>
      </w:r>
      <w:r>
        <w:rPr>
          <w:b/>
        </w:rPr>
        <w:tab/>
      </w:r>
      <w:r w:rsidR="009D1832" w:rsidRPr="00F5435C">
        <w:rPr>
          <w:bCs/>
        </w:rPr>
        <w:t>Adopt</w:t>
      </w:r>
      <w:r w:rsidR="00FA76D0">
        <w:rPr>
          <w:bCs/>
        </w:rPr>
        <w:t>s the</w:t>
      </w:r>
      <w:r w:rsidR="009D1832" w:rsidRPr="00F5435C">
        <w:rPr>
          <w:bCs/>
        </w:rPr>
        <w:t xml:space="preserve"> position of OPC.</w:t>
      </w:r>
    </w:p>
    <w:p w14:paraId="18C70F86" w14:textId="77777777" w:rsidR="003F4F8D" w:rsidRDefault="003F4F8D" w:rsidP="003F4F8D">
      <w:pPr>
        <w:ind w:left="1440" w:hanging="1440"/>
        <w:jc w:val="both"/>
        <w:rPr>
          <w:b/>
        </w:rPr>
      </w:pPr>
    </w:p>
    <w:p w14:paraId="27AB4A84" w14:textId="11041E73" w:rsidR="003F4F8D" w:rsidRDefault="003F4F8D" w:rsidP="003F4F8D">
      <w:pPr>
        <w:ind w:left="1440" w:hanging="1440"/>
        <w:jc w:val="both"/>
        <w:rPr>
          <w:b/>
        </w:rPr>
      </w:pPr>
      <w:r>
        <w:rPr>
          <w:b/>
        </w:rPr>
        <w:t>FEA:</w:t>
      </w:r>
      <w:r>
        <w:rPr>
          <w:b/>
        </w:rPr>
        <w:tab/>
      </w:r>
      <w:r w:rsidR="00FA76D0">
        <w:t>No position.</w:t>
      </w:r>
    </w:p>
    <w:p w14:paraId="715684B0" w14:textId="77777777" w:rsidR="003F4F8D" w:rsidRDefault="003F4F8D" w:rsidP="003F4F8D">
      <w:pPr>
        <w:ind w:left="1440" w:hanging="1440"/>
        <w:jc w:val="both"/>
        <w:rPr>
          <w:b/>
        </w:rPr>
      </w:pPr>
    </w:p>
    <w:p w14:paraId="668EB554" w14:textId="77777777" w:rsidR="00A14A11" w:rsidRDefault="00764960" w:rsidP="003F4F8D">
      <w:pPr>
        <w:ind w:left="1440" w:hanging="1440"/>
        <w:jc w:val="both"/>
        <w:rPr>
          <w:b/>
        </w:rPr>
      </w:pPr>
      <w:r>
        <w:rPr>
          <w:b/>
        </w:rPr>
        <w:t xml:space="preserve">SIERRA </w:t>
      </w:r>
    </w:p>
    <w:p w14:paraId="1F2D52DE" w14:textId="4D2A3060" w:rsidR="003F4F8D" w:rsidRDefault="00764960" w:rsidP="003F4F8D">
      <w:pPr>
        <w:ind w:left="1440" w:hanging="1440"/>
        <w:jc w:val="both"/>
        <w:rPr>
          <w:b/>
        </w:rPr>
      </w:pPr>
      <w:r>
        <w:rPr>
          <w:b/>
        </w:rPr>
        <w:t>CLUB</w:t>
      </w:r>
      <w:r w:rsidR="003F4F8D">
        <w:rPr>
          <w:b/>
        </w:rPr>
        <w:t>:</w:t>
      </w:r>
      <w:r w:rsidR="003F4F8D">
        <w:rPr>
          <w:b/>
        </w:rPr>
        <w:tab/>
      </w:r>
      <w:r w:rsidR="000500F3">
        <w:t>The Polk Fuel Diversity Project should not be included in the 2026 SYA.</w:t>
      </w:r>
    </w:p>
    <w:p w14:paraId="28D0DD1A" w14:textId="77777777" w:rsidR="003F4F8D" w:rsidRDefault="003F4F8D" w:rsidP="003F4F8D">
      <w:pPr>
        <w:ind w:left="1440" w:hanging="1440"/>
        <w:jc w:val="both"/>
        <w:rPr>
          <w:b/>
        </w:rPr>
      </w:pPr>
    </w:p>
    <w:p w14:paraId="6FBEE8BD" w14:textId="3B5881AD" w:rsidR="003F4F8D" w:rsidRDefault="003F4F8D" w:rsidP="003F4F8D">
      <w:pPr>
        <w:ind w:left="1440" w:hanging="1440"/>
        <w:jc w:val="both"/>
        <w:rPr>
          <w:b/>
        </w:rPr>
      </w:pPr>
      <w:r>
        <w:rPr>
          <w:b/>
        </w:rPr>
        <w:t>FRF:</w:t>
      </w:r>
      <w:r>
        <w:rPr>
          <w:b/>
        </w:rPr>
        <w:tab/>
      </w:r>
      <w:r w:rsidR="003D1C2E">
        <w:t>Agree</w:t>
      </w:r>
      <w:r w:rsidR="00FA76D0">
        <w:t>s</w:t>
      </w:r>
      <w:r w:rsidR="003D1C2E">
        <w:t xml:space="preserve"> with OPC.</w:t>
      </w:r>
    </w:p>
    <w:p w14:paraId="09F380A4" w14:textId="77777777" w:rsidR="003F4F8D" w:rsidRDefault="003F4F8D" w:rsidP="003F4F8D">
      <w:pPr>
        <w:ind w:left="1440" w:hanging="1440"/>
        <w:jc w:val="both"/>
        <w:rPr>
          <w:b/>
        </w:rPr>
      </w:pPr>
    </w:p>
    <w:p w14:paraId="285C86D4" w14:textId="77777777" w:rsidR="00A14A11" w:rsidRDefault="00C0182D" w:rsidP="003F4F8D">
      <w:pPr>
        <w:ind w:left="1440" w:hanging="1440"/>
        <w:jc w:val="both"/>
        <w:rPr>
          <w:b/>
        </w:rPr>
      </w:pPr>
      <w:r>
        <w:rPr>
          <w:b/>
        </w:rPr>
        <w:t xml:space="preserve">FUEL </w:t>
      </w:r>
    </w:p>
    <w:p w14:paraId="5D9ACF4B" w14:textId="6B2785CC" w:rsidR="003F4F8D" w:rsidRDefault="00C0182D" w:rsidP="003F4F8D">
      <w:pPr>
        <w:ind w:left="1440" w:hanging="1440"/>
        <w:jc w:val="both"/>
      </w:pPr>
      <w:r>
        <w:rPr>
          <w:b/>
        </w:rPr>
        <w:t>RETAILERS</w:t>
      </w:r>
      <w:r w:rsidR="003F4F8D">
        <w:rPr>
          <w:b/>
        </w:rPr>
        <w:t>:</w:t>
      </w:r>
      <w:r w:rsidR="00A14A11">
        <w:rPr>
          <w:b/>
        </w:rPr>
        <w:t xml:space="preserve"> </w:t>
      </w:r>
      <w:r w:rsidR="00A309A9" w:rsidRPr="00A53630">
        <w:t>Agree</w:t>
      </w:r>
      <w:r w:rsidR="00FA76D0">
        <w:t>s</w:t>
      </w:r>
      <w:r w:rsidR="00A309A9" w:rsidRPr="00A53630">
        <w:t xml:space="preserve"> with </w:t>
      </w:r>
      <w:r w:rsidR="00FA76D0">
        <w:t>OPC</w:t>
      </w:r>
      <w:r w:rsidR="00A309A9" w:rsidRPr="00A53630">
        <w:t>.</w:t>
      </w:r>
    </w:p>
    <w:p w14:paraId="170F6789" w14:textId="77777777" w:rsidR="005A487E" w:rsidRDefault="005A487E" w:rsidP="003F4F8D">
      <w:pPr>
        <w:ind w:left="1440" w:hanging="1440"/>
        <w:jc w:val="both"/>
      </w:pPr>
    </w:p>
    <w:p w14:paraId="4503ACD7" w14:textId="7C232A79" w:rsidR="005A487E" w:rsidRPr="005A487E" w:rsidRDefault="00FD408B" w:rsidP="003F4F8D">
      <w:pPr>
        <w:ind w:left="1440" w:hanging="1440"/>
        <w:jc w:val="both"/>
        <w:rPr>
          <w:b/>
        </w:rPr>
      </w:pPr>
      <w:r>
        <w:rPr>
          <w:b/>
        </w:rPr>
        <w:t>WALMART</w:t>
      </w:r>
      <w:r w:rsidR="005A487E">
        <w:rPr>
          <w:b/>
        </w:rPr>
        <w:t>:</w:t>
      </w:r>
      <w:r w:rsidR="005A487E">
        <w:rPr>
          <w:b/>
        </w:rPr>
        <w:tab/>
      </w:r>
      <w:r w:rsidR="00FA76D0">
        <w:t>A</w:t>
      </w:r>
      <w:r w:rsidR="005A487E">
        <w:t>grees with OPC.</w:t>
      </w:r>
    </w:p>
    <w:p w14:paraId="390A852E" w14:textId="77777777" w:rsidR="003F4F8D" w:rsidRPr="00701945" w:rsidRDefault="003F4F8D" w:rsidP="003F4F8D">
      <w:pPr>
        <w:jc w:val="both"/>
      </w:pPr>
    </w:p>
    <w:p w14:paraId="63A3FDB7" w14:textId="77777777" w:rsidR="003F4F8D" w:rsidRPr="005D4B47" w:rsidRDefault="003F4F8D" w:rsidP="003F4F8D">
      <w:pPr>
        <w:ind w:left="1440" w:hanging="1440"/>
        <w:jc w:val="both"/>
        <w:rPr>
          <w:b/>
          <w:bCs/>
        </w:rPr>
      </w:pPr>
      <w:r>
        <w:rPr>
          <w:b/>
          <w:bCs/>
        </w:rPr>
        <w:t>STAFF:</w:t>
      </w:r>
      <w:r>
        <w:rPr>
          <w:b/>
          <w:bCs/>
        </w:rPr>
        <w:tab/>
      </w:r>
      <w:r w:rsidR="003E5174">
        <w:t>No position at this time.</w:t>
      </w:r>
    </w:p>
    <w:p w14:paraId="254944AD" w14:textId="77777777" w:rsidR="003F4F8D" w:rsidRDefault="003F4F8D" w:rsidP="00C7699A">
      <w:pPr>
        <w:jc w:val="both"/>
      </w:pPr>
    </w:p>
    <w:p w14:paraId="50CC2118" w14:textId="77777777" w:rsidR="0063317A" w:rsidRPr="003A3FB9" w:rsidRDefault="0063317A" w:rsidP="0063317A">
      <w:pPr>
        <w:ind w:left="1440" w:hanging="1440"/>
        <w:jc w:val="both"/>
        <w:rPr>
          <w:b/>
        </w:rPr>
      </w:pPr>
      <w:r w:rsidRPr="005D4B47">
        <w:rPr>
          <w:b/>
          <w:bCs/>
        </w:rPr>
        <w:lastRenderedPageBreak/>
        <w:t>ISSUE 1</w:t>
      </w:r>
      <w:r w:rsidR="003A3FB9">
        <w:rPr>
          <w:b/>
          <w:bCs/>
        </w:rPr>
        <w:t>03</w:t>
      </w:r>
      <w:r w:rsidRPr="00701945">
        <w:rPr>
          <w:b/>
          <w:bCs/>
        </w:rPr>
        <w:t>:</w:t>
      </w:r>
      <w:r w:rsidRPr="00701945">
        <w:tab/>
      </w:r>
      <w:r w:rsidR="003A3FB9" w:rsidRPr="003A3FB9">
        <w:rPr>
          <w:b/>
          <w:bCs/>
        </w:rPr>
        <w:t>What overall rate of return should be used to calculate the 2026 and 2027 SYA?</w:t>
      </w:r>
    </w:p>
    <w:p w14:paraId="421E81FE" w14:textId="77777777" w:rsidR="0063317A" w:rsidRPr="00701945" w:rsidRDefault="0063317A" w:rsidP="0063317A">
      <w:pPr>
        <w:jc w:val="both"/>
      </w:pPr>
    </w:p>
    <w:p w14:paraId="276DB2CF" w14:textId="5C012B5E" w:rsidR="0063317A" w:rsidRPr="005D4B47" w:rsidRDefault="0063317A" w:rsidP="0063317A">
      <w:pPr>
        <w:ind w:left="1440" w:hanging="1440"/>
        <w:jc w:val="both"/>
      </w:pPr>
      <w:r>
        <w:rPr>
          <w:b/>
          <w:bCs/>
        </w:rPr>
        <w:t>TECO</w:t>
      </w:r>
      <w:r w:rsidRPr="005D4B47">
        <w:rPr>
          <w:b/>
          <w:bCs/>
        </w:rPr>
        <w:t>:</w:t>
      </w:r>
      <w:r w:rsidRPr="005D4B47">
        <w:tab/>
      </w:r>
      <w:r w:rsidR="003A3FB9">
        <w:t>The Commission should use the overall return approved in Issue 40, which the company believes should be 7.37</w:t>
      </w:r>
      <w:r w:rsidR="00F576AC">
        <w:t>%</w:t>
      </w:r>
      <w:r w:rsidR="003A3FB9">
        <w:t>. (Chronister)</w:t>
      </w:r>
    </w:p>
    <w:p w14:paraId="36717841" w14:textId="77777777" w:rsidR="0063317A" w:rsidRPr="00701945" w:rsidRDefault="0063317A" w:rsidP="0063317A">
      <w:pPr>
        <w:jc w:val="both"/>
      </w:pPr>
    </w:p>
    <w:p w14:paraId="3A1F3346" w14:textId="77777777" w:rsidR="0063317A" w:rsidRDefault="0063317A" w:rsidP="0063317A">
      <w:pPr>
        <w:ind w:left="1440" w:hanging="1440"/>
        <w:jc w:val="both"/>
      </w:pPr>
      <w:r>
        <w:rPr>
          <w:b/>
          <w:bCs/>
        </w:rPr>
        <w:t>OPC</w:t>
      </w:r>
      <w:r w:rsidRPr="00701945">
        <w:rPr>
          <w:b/>
          <w:bCs/>
        </w:rPr>
        <w:t>:</w:t>
      </w:r>
      <w:r>
        <w:tab/>
      </w:r>
      <w:r w:rsidR="00D175D0">
        <w:t>The overall rate of return should be the OPC proposed ROR for 2025 of 7.19% using OPC proposed ROE of 9.50%.</w:t>
      </w:r>
    </w:p>
    <w:p w14:paraId="59FEE037" w14:textId="77777777" w:rsidR="0063317A" w:rsidRDefault="0063317A" w:rsidP="0063317A">
      <w:pPr>
        <w:ind w:left="1440" w:hanging="1440"/>
        <w:jc w:val="both"/>
      </w:pPr>
    </w:p>
    <w:p w14:paraId="21EC8B61" w14:textId="77777777" w:rsidR="0063317A" w:rsidRDefault="0063317A" w:rsidP="0063317A">
      <w:pPr>
        <w:ind w:left="1440" w:hanging="1440"/>
        <w:jc w:val="both"/>
        <w:rPr>
          <w:b/>
        </w:rPr>
      </w:pPr>
      <w:r>
        <w:rPr>
          <w:b/>
        </w:rPr>
        <w:t>FL RISING/</w:t>
      </w:r>
    </w:p>
    <w:p w14:paraId="0AABC336" w14:textId="77777777" w:rsidR="0063317A" w:rsidRDefault="0063317A" w:rsidP="0063317A">
      <w:pPr>
        <w:ind w:left="1440" w:hanging="1440"/>
        <w:jc w:val="both"/>
        <w:rPr>
          <w:b/>
        </w:rPr>
      </w:pPr>
      <w:r>
        <w:rPr>
          <w:b/>
        </w:rPr>
        <w:t>LULAC:</w:t>
      </w:r>
      <w:r>
        <w:rPr>
          <w:b/>
        </w:rPr>
        <w:tab/>
      </w:r>
      <w:r w:rsidR="00B53B02">
        <w:rPr>
          <w:bCs/>
        </w:rPr>
        <w:t>If the Commission approves the SYAs, the rate of return should be adjusted to reflect the reduced rate base and adjusted capital structure.</w:t>
      </w:r>
    </w:p>
    <w:p w14:paraId="7A6CA037" w14:textId="77777777" w:rsidR="0063317A" w:rsidRDefault="0063317A" w:rsidP="0063317A">
      <w:pPr>
        <w:ind w:left="1440" w:hanging="1440"/>
        <w:jc w:val="both"/>
        <w:rPr>
          <w:b/>
        </w:rPr>
      </w:pPr>
    </w:p>
    <w:p w14:paraId="344B67A0" w14:textId="4150B7B9" w:rsidR="0063317A" w:rsidRDefault="0063317A" w:rsidP="0063317A">
      <w:pPr>
        <w:ind w:left="1440" w:hanging="1440"/>
        <w:jc w:val="both"/>
        <w:rPr>
          <w:b/>
        </w:rPr>
      </w:pPr>
      <w:r>
        <w:rPr>
          <w:b/>
        </w:rPr>
        <w:t>FIPUG:</w:t>
      </w:r>
      <w:r>
        <w:rPr>
          <w:b/>
        </w:rPr>
        <w:tab/>
      </w:r>
      <w:r w:rsidR="009D1832" w:rsidRPr="00F5435C">
        <w:rPr>
          <w:bCs/>
        </w:rPr>
        <w:t>Adopt</w:t>
      </w:r>
      <w:r w:rsidR="00155F13">
        <w:rPr>
          <w:bCs/>
        </w:rPr>
        <w:t>s the</w:t>
      </w:r>
      <w:r w:rsidR="009D1832" w:rsidRPr="00F5435C">
        <w:rPr>
          <w:bCs/>
        </w:rPr>
        <w:t xml:space="preserve"> position of OPC.</w:t>
      </w:r>
    </w:p>
    <w:p w14:paraId="4BD33287" w14:textId="77777777" w:rsidR="0063317A" w:rsidRDefault="0063317A" w:rsidP="0063317A">
      <w:pPr>
        <w:ind w:left="1440" w:hanging="1440"/>
        <w:jc w:val="both"/>
        <w:rPr>
          <w:b/>
        </w:rPr>
      </w:pPr>
    </w:p>
    <w:p w14:paraId="004630E0" w14:textId="5E7736D7" w:rsidR="0063317A" w:rsidRDefault="0063317A" w:rsidP="0063317A">
      <w:pPr>
        <w:ind w:left="1440" w:hanging="1440"/>
        <w:jc w:val="both"/>
        <w:rPr>
          <w:b/>
        </w:rPr>
      </w:pPr>
      <w:r>
        <w:rPr>
          <w:b/>
        </w:rPr>
        <w:t>FEA:</w:t>
      </w:r>
      <w:r>
        <w:rPr>
          <w:b/>
        </w:rPr>
        <w:tab/>
      </w:r>
      <w:r w:rsidR="00720B2A">
        <w:t>No position.</w:t>
      </w:r>
    </w:p>
    <w:p w14:paraId="1FCDADF6" w14:textId="77777777" w:rsidR="0063317A" w:rsidRDefault="0063317A" w:rsidP="0063317A">
      <w:pPr>
        <w:ind w:left="1440" w:hanging="1440"/>
        <w:jc w:val="both"/>
        <w:rPr>
          <w:b/>
        </w:rPr>
      </w:pPr>
    </w:p>
    <w:p w14:paraId="6C3CAE0D" w14:textId="77777777" w:rsidR="00A14A11" w:rsidRDefault="00764960" w:rsidP="0063317A">
      <w:pPr>
        <w:ind w:left="1440" w:hanging="1440"/>
        <w:jc w:val="both"/>
        <w:rPr>
          <w:b/>
        </w:rPr>
      </w:pPr>
      <w:r>
        <w:rPr>
          <w:b/>
        </w:rPr>
        <w:t xml:space="preserve">SIERRA </w:t>
      </w:r>
    </w:p>
    <w:p w14:paraId="30976CC5" w14:textId="3FA3E5EC" w:rsidR="0063317A" w:rsidRDefault="00764960" w:rsidP="0063317A">
      <w:pPr>
        <w:ind w:left="1440" w:hanging="1440"/>
        <w:jc w:val="both"/>
        <w:rPr>
          <w:b/>
        </w:rPr>
      </w:pPr>
      <w:r>
        <w:rPr>
          <w:b/>
        </w:rPr>
        <w:t>CLUB</w:t>
      </w:r>
      <w:r w:rsidR="0063317A">
        <w:rPr>
          <w:b/>
        </w:rPr>
        <w:t>:</w:t>
      </w:r>
      <w:r w:rsidR="0063317A">
        <w:rPr>
          <w:b/>
        </w:rPr>
        <w:tab/>
      </w:r>
      <w:r w:rsidR="000500F3">
        <w:t>Sierra Club supports Florida Rising</w:t>
      </w:r>
      <w:r w:rsidR="00720B2A">
        <w:t>’s</w:t>
      </w:r>
      <w:r w:rsidR="000500F3">
        <w:t xml:space="preserve"> and LULAC</w:t>
      </w:r>
      <w:r w:rsidR="00720B2A">
        <w:t>’s</w:t>
      </w:r>
      <w:r w:rsidR="000500F3">
        <w:t xml:space="preserve"> proposed rate of return in order to provide rate relief to energy burdened residential customers.</w:t>
      </w:r>
    </w:p>
    <w:p w14:paraId="3C347E7C" w14:textId="77777777" w:rsidR="0063317A" w:rsidRDefault="0063317A" w:rsidP="0063317A">
      <w:pPr>
        <w:ind w:left="1440" w:hanging="1440"/>
        <w:jc w:val="both"/>
        <w:rPr>
          <w:b/>
        </w:rPr>
      </w:pPr>
    </w:p>
    <w:p w14:paraId="44E5285F" w14:textId="0AD99676" w:rsidR="0063317A" w:rsidRDefault="0063317A" w:rsidP="0063317A">
      <w:pPr>
        <w:ind w:left="1440" w:hanging="1440"/>
        <w:jc w:val="both"/>
      </w:pPr>
      <w:r>
        <w:rPr>
          <w:b/>
        </w:rPr>
        <w:t>FRF:</w:t>
      </w:r>
      <w:r>
        <w:rPr>
          <w:b/>
        </w:rPr>
        <w:tab/>
      </w:r>
      <w:r w:rsidR="003D1C2E">
        <w:t>Agree</w:t>
      </w:r>
      <w:r w:rsidR="00720B2A">
        <w:t>s</w:t>
      </w:r>
      <w:r w:rsidR="003D1C2E">
        <w:t xml:space="preserve"> with OPC.</w:t>
      </w:r>
    </w:p>
    <w:p w14:paraId="586DE2BD" w14:textId="77777777" w:rsidR="009C73F9" w:rsidRDefault="009C73F9" w:rsidP="0063317A">
      <w:pPr>
        <w:ind w:left="1440" w:hanging="1440"/>
        <w:jc w:val="both"/>
        <w:rPr>
          <w:b/>
        </w:rPr>
      </w:pPr>
    </w:p>
    <w:p w14:paraId="46137889" w14:textId="77777777" w:rsidR="00A14A11" w:rsidRDefault="00C0182D" w:rsidP="0063317A">
      <w:pPr>
        <w:ind w:left="1440" w:hanging="1440"/>
        <w:jc w:val="both"/>
        <w:rPr>
          <w:b/>
        </w:rPr>
      </w:pPr>
      <w:r>
        <w:rPr>
          <w:b/>
        </w:rPr>
        <w:t xml:space="preserve">FUEL </w:t>
      </w:r>
    </w:p>
    <w:p w14:paraId="1A44965E" w14:textId="76D51ED5" w:rsidR="0063317A" w:rsidRDefault="00C0182D" w:rsidP="0063317A">
      <w:pPr>
        <w:ind w:left="1440" w:hanging="1440"/>
        <w:jc w:val="both"/>
      </w:pPr>
      <w:r>
        <w:rPr>
          <w:b/>
        </w:rPr>
        <w:t>RETAILERS</w:t>
      </w:r>
      <w:r w:rsidR="0063317A">
        <w:rPr>
          <w:b/>
        </w:rPr>
        <w:t>:</w:t>
      </w:r>
      <w:r w:rsidR="00A14A11">
        <w:rPr>
          <w:b/>
        </w:rPr>
        <w:t xml:space="preserve"> </w:t>
      </w:r>
      <w:r w:rsidR="00A309A9" w:rsidRPr="00A53630">
        <w:t>Agree</w:t>
      </w:r>
      <w:r w:rsidR="005C6CB8">
        <w:t>s</w:t>
      </w:r>
      <w:r w:rsidR="00A309A9" w:rsidRPr="00A53630">
        <w:t xml:space="preserve"> with </w:t>
      </w:r>
      <w:r w:rsidR="005C6CB8">
        <w:t>OPC</w:t>
      </w:r>
      <w:r w:rsidR="00A309A9" w:rsidRPr="00A53630">
        <w:t>.</w:t>
      </w:r>
    </w:p>
    <w:p w14:paraId="54494A2C" w14:textId="77777777" w:rsidR="005A487E" w:rsidRDefault="005A487E" w:rsidP="0063317A">
      <w:pPr>
        <w:ind w:left="1440" w:hanging="1440"/>
        <w:jc w:val="both"/>
      </w:pPr>
    </w:p>
    <w:p w14:paraId="1AAF5267" w14:textId="2939146A" w:rsidR="005A487E" w:rsidRPr="005A487E" w:rsidRDefault="00FD408B" w:rsidP="0063317A">
      <w:pPr>
        <w:ind w:left="1440" w:hanging="1440"/>
        <w:jc w:val="both"/>
        <w:rPr>
          <w:b/>
        </w:rPr>
      </w:pPr>
      <w:r>
        <w:rPr>
          <w:b/>
        </w:rPr>
        <w:t>WALMART</w:t>
      </w:r>
      <w:r w:rsidR="005A487E">
        <w:rPr>
          <w:b/>
        </w:rPr>
        <w:t>:</w:t>
      </w:r>
      <w:r w:rsidR="005A487E">
        <w:rPr>
          <w:b/>
        </w:rPr>
        <w:tab/>
      </w:r>
      <w:r w:rsidR="005C6CB8" w:rsidRPr="005C6CB8">
        <w:t>A</w:t>
      </w:r>
      <w:r w:rsidR="005A487E">
        <w:t>grees with OPC.</w:t>
      </w:r>
    </w:p>
    <w:p w14:paraId="52F8F9C8" w14:textId="77777777" w:rsidR="0063317A" w:rsidRPr="00701945" w:rsidRDefault="0063317A" w:rsidP="0063317A">
      <w:pPr>
        <w:jc w:val="both"/>
      </w:pPr>
    </w:p>
    <w:p w14:paraId="3493489F" w14:textId="77777777" w:rsidR="0063317A" w:rsidRPr="005D4B47" w:rsidRDefault="0063317A" w:rsidP="0063317A">
      <w:pPr>
        <w:ind w:left="1440" w:hanging="1440"/>
        <w:jc w:val="both"/>
        <w:rPr>
          <w:b/>
          <w:bCs/>
        </w:rPr>
      </w:pPr>
      <w:r>
        <w:rPr>
          <w:b/>
          <w:bCs/>
        </w:rPr>
        <w:t>STAFF:</w:t>
      </w:r>
      <w:r>
        <w:rPr>
          <w:b/>
          <w:bCs/>
        </w:rPr>
        <w:tab/>
      </w:r>
      <w:r w:rsidR="003E5174">
        <w:t>No position at this time.</w:t>
      </w:r>
    </w:p>
    <w:p w14:paraId="1155C2DF" w14:textId="77777777" w:rsidR="0063317A" w:rsidRDefault="0063317A" w:rsidP="00C7699A">
      <w:pPr>
        <w:jc w:val="both"/>
      </w:pPr>
    </w:p>
    <w:p w14:paraId="2221A6F3" w14:textId="77777777" w:rsidR="0063317A" w:rsidRDefault="0063317A" w:rsidP="00C7699A">
      <w:pPr>
        <w:jc w:val="both"/>
      </w:pPr>
    </w:p>
    <w:p w14:paraId="000E8C20" w14:textId="77777777" w:rsidR="0063317A" w:rsidRPr="003A3FB9" w:rsidRDefault="0063317A" w:rsidP="0063317A">
      <w:pPr>
        <w:ind w:left="1440" w:hanging="1440"/>
        <w:jc w:val="both"/>
        <w:rPr>
          <w:b/>
        </w:rPr>
      </w:pPr>
      <w:r w:rsidRPr="005D4B47">
        <w:rPr>
          <w:b/>
          <w:bCs/>
        </w:rPr>
        <w:t>ISSUE 1</w:t>
      </w:r>
      <w:r w:rsidR="003A3FB9">
        <w:rPr>
          <w:b/>
          <w:bCs/>
        </w:rPr>
        <w:t>04</w:t>
      </w:r>
      <w:r w:rsidRPr="00701945">
        <w:rPr>
          <w:b/>
          <w:bCs/>
        </w:rPr>
        <w:t>:</w:t>
      </w:r>
      <w:r w:rsidRPr="00701945">
        <w:tab/>
      </w:r>
      <w:r w:rsidR="003A3FB9" w:rsidRPr="003A3FB9">
        <w:rPr>
          <w:b/>
          <w:bCs/>
        </w:rPr>
        <w:t>Should the SYA for 2026 and 2027 reflect additional revenues due to customer growth? What, if any, adjustments should be made?</w:t>
      </w:r>
    </w:p>
    <w:p w14:paraId="492264EB" w14:textId="77777777" w:rsidR="0063317A" w:rsidRPr="00701945" w:rsidRDefault="0063317A" w:rsidP="0063317A">
      <w:pPr>
        <w:jc w:val="both"/>
      </w:pPr>
    </w:p>
    <w:p w14:paraId="4786552D" w14:textId="77777777" w:rsidR="0063317A" w:rsidRPr="005D4B47" w:rsidRDefault="0063317A" w:rsidP="0063317A">
      <w:pPr>
        <w:ind w:left="1440" w:hanging="1440"/>
        <w:jc w:val="both"/>
      </w:pPr>
      <w:r>
        <w:rPr>
          <w:b/>
          <w:bCs/>
        </w:rPr>
        <w:t>TECO</w:t>
      </w:r>
      <w:r w:rsidRPr="005D4B47">
        <w:rPr>
          <w:b/>
          <w:bCs/>
        </w:rPr>
        <w:t>:</w:t>
      </w:r>
      <w:r w:rsidRPr="005D4B47">
        <w:tab/>
      </w:r>
      <w:r w:rsidR="003A3FB9">
        <w:t>No. OPC’s proposed revenue adjustments for 2026 and 2027 should be rejected for the reasons discussed in Issue 2 and because additional revenue from customer growth will be needed to recover costs associated with general rate base growth. Imputing incremental into the calculation of the 2026 and 2026 SYA would be inconsistent with the method used to calculate the company’s previous SoBRA and GBRA, would moderate the benefits of SYA and increase the likelihood that the company will need additional rate relief in those years. (Chronister, Cifuentes)</w:t>
      </w:r>
    </w:p>
    <w:p w14:paraId="077E839B" w14:textId="77777777" w:rsidR="0063317A" w:rsidRPr="00701945" w:rsidRDefault="0063317A" w:rsidP="0063317A">
      <w:pPr>
        <w:jc w:val="both"/>
      </w:pPr>
    </w:p>
    <w:p w14:paraId="1B8B8623" w14:textId="60E9E60E" w:rsidR="0063317A" w:rsidRDefault="0063317A" w:rsidP="0063317A">
      <w:pPr>
        <w:ind w:left="1440" w:hanging="1440"/>
        <w:jc w:val="both"/>
      </w:pPr>
      <w:r>
        <w:rPr>
          <w:b/>
          <w:bCs/>
        </w:rPr>
        <w:t>OPC</w:t>
      </w:r>
      <w:r w:rsidRPr="00701945">
        <w:rPr>
          <w:b/>
          <w:bCs/>
        </w:rPr>
        <w:t>:</w:t>
      </w:r>
      <w:r>
        <w:tab/>
      </w:r>
      <w:r w:rsidR="007965FB">
        <w:t xml:space="preserve">Yes. Should the Commission allow a 2026 </w:t>
      </w:r>
      <w:r w:rsidR="007965FB" w:rsidRPr="003651AA">
        <w:t xml:space="preserve">SYA, the additional </w:t>
      </w:r>
      <w:r w:rsidR="007965FB">
        <w:t xml:space="preserve">forecasted </w:t>
      </w:r>
      <w:r w:rsidR="007965FB" w:rsidRPr="003651AA">
        <w:t xml:space="preserve">revenues </w:t>
      </w:r>
      <w:r w:rsidR="007965FB">
        <w:t xml:space="preserve">reflected </w:t>
      </w:r>
      <w:r w:rsidR="007965FB" w:rsidRPr="003651AA">
        <w:t xml:space="preserve">due to customer growth should be increased by </w:t>
      </w:r>
      <w:r w:rsidR="007965FB">
        <w:t xml:space="preserve">at least </w:t>
      </w:r>
      <w:r w:rsidR="007965FB" w:rsidRPr="003651AA">
        <w:t xml:space="preserve">$7.994 million. Should the Commission </w:t>
      </w:r>
      <w:r w:rsidR="007965FB">
        <w:t>allow</w:t>
      </w:r>
      <w:r w:rsidR="007965FB" w:rsidRPr="003651AA">
        <w:t xml:space="preserve"> a 2027 SYA, additional </w:t>
      </w:r>
      <w:r w:rsidR="007965FB">
        <w:t xml:space="preserve">forecasted </w:t>
      </w:r>
      <w:r w:rsidR="007965FB" w:rsidRPr="003651AA">
        <w:lastRenderedPageBreak/>
        <w:t>revenue</w:t>
      </w:r>
      <w:r w:rsidR="007965FB">
        <w:t>s reflected</w:t>
      </w:r>
      <w:r w:rsidR="007965FB" w:rsidRPr="003651AA">
        <w:t xml:space="preserve"> due to customer growth should be increased by</w:t>
      </w:r>
      <w:r w:rsidR="007965FB">
        <w:t xml:space="preserve"> at least</w:t>
      </w:r>
      <w:r w:rsidR="007965FB" w:rsidRPr="003651AA">
        <w:t xml:space="preserve"> $6.123 million</w:t>
      </w:r>
      <w:r w:rsidR="007965FB">
        <w:t>.</w:t>
      </w:r>
    </w:p>
    <w:p w14:paraId="52A5A25D" w14:textId="77777777" w:rsidR="0063317A" w:rsidRDefault="0063317A" w:rsidP="0063317A">
      <w:pPr>
        <w:ind w:left="1440" w:hanging="1440"/>
        <w:jc w:val="both"/>
      </w:pPr>
    </w:p>
    <w:p w14:paraId="3752A5B9" w14:textId="77777777" w:rsidR="0063317A" w:rsidRDefault="0063317A" w:rsidP="0063317A">
      <w:pPr>
        <w:ind w:left="1440" w:hanging="1440"/>
        <w:jc w:val="both"/>
        <w:rPr>
          <w:b/>
        </w:rPr>
      </w:pPr>
      <w:r>
        <w:rPr>
          <w:b/>
        </w:rPr>
        <w:t>FL RISING/</w:t>
      </w:r>
    </w:p>
    <w:p w14:paraId="78AC7F2C" w14:textId="24E9ACF0" w:rsidR="0063317A" w:rsidRDefault="0063317A" w:rsidP="0063317A">
      <w:pPr>
        <w:ind w:left="1440" w:hanging="1440"/>
        <w:jc w:val="both"/>
        <w:rPr>
          <w:b/>
        </w:rPr>
      </w:pPr>
      <w:r>
        <w:rPr>
          <w:b/>
        </w:rPr>
        <w:t>LULAC:</w:t>
      </w:r>
      <w:r>
        <w:rPr>
          <w:b/>
        </w:rPr>
        <w:tab/>
      </w:r>
      <w:r w:rsidR="00B53B02">
        <w:rPr>
          <w:bCs/>
        </w:rPr>
        <w:t>If the Commission approves the SYAs, then yes. The 2026 SYA should be reduced by $7.994 million, and the 2027 SYA should be reduced by $6.123 million to reflect additional revenues due to customer growth.  (Kollen)</w:t>
      </w:r>
    </w:p>
    <w:p w14:paraId="0C97BA71" w14:textId="77777777" w:rsidR="0063317A" w:rsidRDefault="0063317A" w:rsidP="0063317A">
      <w:pPr>
        <w:ind w:left="1440" w:hanging="1440"/>
        <w:jc w:val="both"/>
        <w:rPr>
          <w:b/>
        </w:rPr>
      </w:pPr>
    </w:p>
    <w:p w14:paraId="33D8337B" w14:textId="4BE65CC0" w:rsidR="0063317A" w:rsidRDefault="0063317A" w:rsidP="0063317A">
      <w:pPr>
        <w:ind w:left="1440" w:hanging="1440"/>
        <w:jc w:val="both"/>
        <w:rPr>
          <w:b/>
        </w:rPr>
      </w:pPr>
      <w:r>
        <w:rPr>
          <w:b/>
        </w:rPr>
        <w:t>FIPUG:</w:t>
      </w:r>
      <w:r>
        <w:rPr>
          <w:b/>
        </w:rPr>
        <w:tab/>
      </w:r>
      <w:r w:rsidR="001502A7" w:rsidRPr="00F5435C">
        <w:rPr>
          <w:bCs/>
        </w:rPr>
        <w:t>Adopt</w:t>
      </w:r>
      <w:r w:rsidR="00002743">
        <w:rPr>
          <w:bCs/>
        </w:rPr>
        <w:t>s the</w:t>
      </w:r>
      <w:r w:rsidR="001502A7" w:rsidRPr="00F5435C">
        <w:rPr>
          <w:bCs/>
        </w:rPr>
        <w:t xml:space="preserve"> position of OPC.</w:t>
      </w:r>
    </w:p>
    <w:p w14:paraId="083BB287" w14:textId="77777777" w:rsidR="0063317A" w:rsidRDefault="0063317A" w:rsidP="0063317A">
      <w:pPr>
        <w:ind w:left="1440" w:hanging="1440"/>
        <w:jc w:val="both"/>
        <w:rPr>
          <w:b/>
        </w:rPr>
      </w:pPr>
    </w:p>
    <w:p w14:paraId="753CAB66" w14:textId="6BC06DF7" w:rsidR="0063317A" w:rsidRDefault="0063317A" w:rsidP="0063317A">
      <w:pPr>
        <w:ind w:left="1440" w:hanging="1440"/>
        <w:jc w:val="both"/>
        <w:rPr>
          <w:b/>
        </w:rPr>
      </w:pPr>
      <w:r>
        <w:rPr>
          <w:b/>
        </w:rPr>
        <w:t>FEA:</w:t>
      </w:r>
      <w:r>
        <w:rPr>
          <w:b/>
        </w:rPr>
        <w:tab/>
      </w:r>
      <w:r w:rsidR="00002743">
        <w:t>No position</w:t>
      </w:r>
      <w:r w:rsidR="00667A0E">
        <w:t>.</w:t>
      </w:r>
    </w:p>
    <w:p w14:paraId="33885766" w14:textId="77777777" w:rsidR="0063317A" w:rsidRDefault="0063317A" w:rsidP="0063317A">
      <w:pPr>
        <w:ind w:left="1440" w:hanging="1440"/>
        <w:jc w:val="both"/>
        <w:rPr>
          <w:b/>
        </w:rPr>
      </w:pPr>
    </w:p>
    <w:p w14:paraId="1A57D8C3" w14:textId="77777777" w:rsidR="00A14A11" w:rsidRDefault="00764960" w:rsidP="0063317A">
      <w:pPr>
        <w:ind w:left="1440" w:hanging="1440"/>
        <w:jc w:val="both"/>
        <w:rPr>
          <w:b/>
        </w:rPr>
      </w:pPr>
      <w:r>
        <w:rPr>
          <w:b/>
        </w:rPr>
        <w:t xml:space="preserve">SIERRA </w:t>
      </w:r>
    </w:p>
    <w:p w14:paraId="108DBAE6" w14:textId="3DF16E36" w:rsidR="0063317A" w:rsidRDefault="00764960" w:rsidP="0063317A">
      <w:pPr>
        <w:ind w:left="1440" w:hanging="1440"/>
        <w:jc w:val="both"/>
        <w:rPr>
          <w:b/>
        </w:rPr>
      </w:pPr>
      <w:r>
        <w:rPr>
          <w:b/>
        </w:rPr>
        <w:t>CLUB</w:t>
      </w:r>
      <w:r w:rsidR="0063317A">
        <w:rPr>
          <w:b/>
        </w:rPr>
        <w:t>:</w:t>
      </w:r>
      <w:r w:rsidR="0063317A">
        <w:rPr>
          <w:b/>
        </w:rPr>
        <w:tab/>
      </w:r>
      <w:r w:rsidR="00002743">
        <w:t>No position.</w:t>
      </w:r>
    </w:p>
    <w:p w14:paraId="2847D10A" w14:textId="77777777" w:rsidR="0063317A" w:rsidRDefault="0063317A" w:rsidP="0063317A">
      <w:pPr>
        <w:ind w:left="1440" w:hanging="1440"/>
        <w:jc w:val="both"/>
        <w:rPr>
          <w:b/>
        </w:rPr>
      </w:pPr>
    </w:p>
    <w:p w14:paraId="662B2B0C" w14:textId="0FE92C87" w:rsidR="0063317A" w:rsidRDefault="0063317A" w:rsidP="0063317A">
      <w:pPr>
        <w:ind w:left="1440" w:hanging="1440"/>
        <w:jc w:val="both"/>
        <w:rPr>
          <w:b/>
        </w:rPr>
      </w:pPr>
      <w:r>
        <w:rPr>
          <w:b/>
        </w:rPr>
        <w:t>FRF:</w:t>
      </w:r>
      <w:r>
        <w:rPr>
          <w:b/>
        </w:rPr>
        <w:tab/>
      </w:r>
      <w:r w:rsidR="00E0636D">
        <w:t>Yes. Agree</w:t>
      </w:r>
      <w:r w:rsidR="00002743">
        <w:t>s</w:t>
      </w:r>
      <w:r w:rsidR="00E0636D">
        <w:t xml:space="preserve"> with OPC as to appropriate adjustments.</w:t>
      </w:r>
    </w:p>
    <w:p w14:paraId="211F50F7" w14:textId="77777777" w:rsidR="0063317A" w:rsidRDefault="0063317A" w:rsidP="0063317A">
      <w:pPr>
        <w:ind w:left="1440" w:hanging="1440"/>
        <w:jc w:val="both"/>
        <w:rPr>
          <w:b/>
        </w:rPr>
      </w:pPr>
    </w:p>
    <w:p w14:paraId="2E596AD7" w14:textId="77777777" w:rsidR="00A14A11" w:rsidRDefault="00C0182D" w:rsidP="0063317A">
      <w:pPr>
        <w:ind w:left="1440" w:hanging="1440"/>
        <w:jc w:val="both"/>
        <w:rPr>
          <w:b/>
        </w:rPr>
      </w:pPr>
      <w:r>
        <w:rPr>
          <w:b/>
        </w:rPr>
        <w:t xml:space="preserve">FUEL </w:t>
      </w:r>
    </w:p>
    <w:p w14:paraId="4971D2E5" w14:textId="45D44259" w:rsidR="0063317A" w:rsidRDefault="00C0182D" w:rsidP="0063317A">
      <w:pPr>
        <w:ind w:left="1440" w:hanging="1440"/>
        <w:jc w:val="both"/>
      </w:pPr>
      <w:r>
        <w:rPr>
          <w:b/>
        </w:rPr>
        <w:t>RETAILERS</w:t>
      </w:r>
      <w:r w:rsidR="0063317A">
        <w:rPr>
          <w:b/>
        </w:rPr>
        <w:t>:</w:t>
      </w:r>
      <w:r w:rsidR="00A14A11">
        <w:rPr>
          <w:b/>
        </w:rPr>
        <w:t xml:space="preserve"> </w:t>
      </w:r>
      <w:r w:rsidR="00A309A9" w:rsidRPr="00A53630">
        <w:t>Agree</w:t>
      </w:r>
      <w:r w:rsidR="00002743">
        <w:t>s</w:t>
      </w:r>
      <w:r w:rsidR="00A309A9" w:rsidRPr="00A53630">
        <w:t xml:space="preserve"> with </w:t>
      </w:r>
      <w:r w:rsidR="00002743">
        <w:t>OPC</w:t>
      </w:r>
      <w:r w:rsidR="00A309A9" w:rsidRPr="00A53630">
        <w:t>.</w:t>
      </w:r>
    </w:p>
    <w:p w14:paraId="2EB479C1" w14:textId="77777777" w:rsidR="005A487E" w:rsidRDefault="005A487E" w:rsidP="0063317A">
      <w:pPr>
        <w:ind w:left="1440" w:hanging="1440"/>
        <w:jc w:val="both"/>
      </w:pPr>
    </w:p>
    <w:p w14:paraId="5CAF9D6E" w14:textId="7B141CA2" w:rsidR="005A487E" w:rsidRPr="005A487E" w:rsidRDefault="00FD408B" w:rsidP="0063317A">
      <w:pPr>
        <w:ind w:left="1440" w:hanging="1440"/>
        <w:jc w:val="both"/>
        <w:rPr>
          <w:b/>
        </w:rPr>
      </w:pPr>
      <w:r>
        <w:rPr>
          <w:b/>
        </w:rPr>
        <w:t>WALMART</w:t>
      </w:r>
      <w:r w:rsidR="005A487E">
        <w:rPr>
          <w:b/>
        </w:rPr>
        <w:t>:</w:t>
      </w:r>
      <w:r w:rsidR="005A487E">
        <w:rPr>
          <w:b/>
        </w:rPr>
        <w:tab/>
      </w:r>
      <w:r w:rsidR="00002743">
        <w:t>A</w:t>
      </w:r>
      <w:r w:rsidR="005A487E">
        <w:t>grees with OPC.</w:t>
      </w:r>
    </w:p>
    <w:p w14:paraId="58376744" w14:textId="77777777" w:rsidR="0063317A" w:rsidRPr="00701945" w:rsidRDefault="0063317A" w:rsidP="0063317A">
      <w:pPr>
        <w:jc w:val="both"/>
      </w:pPr>
    </w:p>
    <w:p w14:paraId="60818187" w14:textId="5121BF60" w:rsidR="0063317A" w:rsidRDefault="0063317A" w:rsidP="0063317A">
      <w:pPr>
        <w:ind w:left="1440" w:hanging="1440"/>
        <w:jc w:val="both"/>
      </w:pPr>
      <w:r>
        <w:rPr>
          <w:b/>
          <w:bCs/>
        </w:rPr>
        <w:t>STAFF:</w:t>
      </w:r>
      <w:r>
        <w:rPr>
          <w:b/>
          <w:bCs/>
        </w:rPr>
        <w:tab/>
      </w:r>
      <w:r w:rsidR="003E5174">
        <w:t>No position at this time.</w:t>
      </w:r>
    </w:p>
    <w:p w14:paraId="16B7A137" w14:textId="5626C9EA" w:rsidR="00182CB2" w:rsidRDefault="00182CB2" w:rsidP="0063317A">
      <w:pPr>
        <w:ind w:left="1440" w:hanging="1440"/>
        <w:jc w:val="both"/>
      </w:pPr>
    </w:p>
    <w:p w14:paraId="291CF1B9" w14:textId="77777777" w:rsidR="00182CB2" w:rsidRPr="005D4B47" w:rsidRDefault="00182CB2" w:rsidP="0063317A">
      <w:pPr>
        <w:ind w:left="1440" w:hanging="1440"/>
        <w:jc w:val="both"/>
        <w:rPr>
          <w:b/>
          <w:bCs/>
        </w:rPr>
      </w:pPr>
    </w:p>
    <w:p w14:paraId="51CC3FC2" w14:textId="77777777" w:rsidR="0063317A" w:rsidRPr="003A3FB9" w:rsidRDefault="0063317A" w:rsidP="0063317A">
      <w:pPr>
        <w:ind w:left="1440" w:hanging="1440"/>
        <w:jc w:val="both"/>
        <w:rPr>
          <w:b/>
        </w:rPr>
      </w:pPr>
      <w:r w:rsidRPr="005D4B47">
        <w:rPr>
          <w:b/>
          <w:bCs/>
        </w:rPr>
        <w:t>ISSUE 1</w:t>
      </w:r>
      <w:r w:rsidR="003A3FB9">
        <w:rPr>
          <w:b/>
          <w:bCs/>
        </w:rPr>
        <w:t>05</w:t>
      </w:r>
      <w:r w:rsidRPr="00701945">
        <w:rPr>
          <w:b/>
          <w:bCs/>
        </w:rPr>
        <w:t>:</w:t>
      </w:r>
      <w:r w:rsidRPr="00701945">
        <w:tab/>
      </w:r>
      <w:r w:rsidR="003A3FB9" w:rsidRPr="003A3FB9">
        <w:rPr>
          <w:b/>
          <w:bCs/>
        </w:rPr>
        <w:t>Should the Commission approve the inclusion of TECO’s proposed incremental O&amp;M expense associated with the SYA projects in the 2026 and 2027 SYA?</w:t>
      </w:r>
    </w:p>
    <w:p w14:paraId="23B6CD38" w14:textId="77777777" w:rsidR="0063317A" w:rsidRPr="00701945" w:rsidRDefault="0063317A" w:rsidP="0063317A">
      <w:pPr>
        <w:jc w:val="both"/>
      </w:pPr>
    </w:p>
    <w:p w14:paraId="36EBABB8" w14:textId="77777777" w:rsidR="0063317A" w:rsidRPr="005D4B47" w:rsidRDefault="0063317A" w:rsidP="0063317A">
      <w:pPr>
        <w:ind w:left="1440" w:hanging="1440"/>
        <w:jc w:val="both"/>
      </w:pPr>
      <w:r>
        <w:rPr>
          <w:b/>
          <w:bCs/>
        </w:rPr>
        <w:t>TECO</w:t>
      </w:r>
      <w:r w:rsidRPr="005D4B47">
        <w:rPr>
          <w:b/>
          <w:bCs/>
        </w:rPr>
        <w:t>:</w:t>
      </w:r>
      <w:r w:rsidRPr="005D4B47">
        <w:tab/>
      </w:r>
      <w:r w:rsidR="003A3FB9">
        <w:t>Yes. The O&amp;M expenses for 2026 and 2027 for the SYA projects are project specific and incremental to the O&amp;M expenses included in the calculation of the company’s projected 2025 test year NOI (see Issue 59). (Chronister)</w:t>
      </w:r>
    </w:p>
    <w:p w14:paraId="0A278B89" w14:textId="77777777" w:rsidR="0063317A" w:rsidRPr="00701945" w:rsidRDefault="0063317A" w:rsidP="0063317A">
      <w:pPr>
        <w:jc w:val="both"/>
      </w:pPr>
    </w:p>
    <w:p w14:paraId="2A20CA82" w14:textId="77777777" w:rsidR="0063317A" w:rsidRDefault="0063317A" w:rsidP="0063317A">
      <w:pPr>
        <w:ind w:left="1440" w:hanging="1440"/>
        <w:jc w:val="both"/>
      </w:pPr>
      <w:r>
        <w:rPr>
          <w:b/>
          <w:bCs/>
        </w:rPr>
        <w:t>OPC</w:t>
      </w:r>
      <w:r w:rsidRPr="00701945">
        <w:rPr>
          <w:b/>
          <w:bCs/>
        </w:rPr>
        <w:t>:</w:t>
      </w:r>
      <w:r>
        <w:tab/>
      </w:r>
      <w:r w:rsidR="00892699">
        <w:t>No, the Commission should subtract the variable O&amp;M expense savings that TECO estimated in its cost effectiveness determinations. Otherwise, the requested SYA revenue requirement for these costs is overstated.</w:t>
      </w:r>
    </w:p>
    <w:p w14:paraId="4705987F" w14:textId="77777777" w:rsidR="0063317A" w:rsidRDefault="0063317A" w:rsidP="0063317A">
      <w:pPr>
        <w:ind w:left="1440" w:hanging="1440"/>
        <w:jc w:val="both"/>
      </w:pPr>
    </w:p>
    <w:p w14:paraId="3CB80D9D" w14:textId="77777777" w:rsidR="0063317A" w:rsidRDefault="0063317A" w:rsidP="0063317A">
      <w:pPr>
        <w:ind w:left="1440" w:hanging="1440"/>
        <w:jc w:val="both"/>
        <w:rPr>
          <w:b/>
        </w:rPr>
      </w:pPr>
      <w:r>
        <w:rPr>
          <w:b/>
        </w:rPr>
        <w:t>FL RISING/</w:t>
      </w:r>
    </w:p>
    <w:p w14:paraId="7BEF12D4" w14:textId="77777777" w:rsidR="0063317A" w:rsidRDefault="0063317A" w:rsidP="0063317A">
      <w:pPr>
        <w:ind w:left="1440" w:hanging="1440"/>
        <w:jc w:val="both"/>
        <w:rPr>
          <w:b/>
        </w:rPr>
      </w:pPr>
      <w:r>
        <w:rPr>
          <w:b/>
        </w:rPr>
        <w:t>LULAC:</w:t>
      </w:r>
      <w:r>
        <w:rPr>
          <w:b/>
        </w:rPr>
        <w:tab/>
      </w:r>
      <w:r w:rsidR="00B53B02">
        <w:rPr>
          <w:bCs/>
        </w:rPr>
        <w:t>No.</w:t>
      </w:r>
    </w:p>
    <w:p w14:paraId="1DB24435" w14:textId="77777777" w:rsidR="0063317A" w:rsidRDefault="0063317A" w:rsidP="0063317A">
      <w:pPr>
        <w:ind w:left="1440" w:hanging="1440"/>
        <w:jc w:val="both"/>
        <w:rPr>
          <w:b/>
        </w:rPr>
      </w:pPr>
    </w:p>
    <w:p w14:paraId="5AEF5C06" w14:textId="0878407B" w:rsidR="0063317A" w:rsidRDefault="0063317A" w:rsidP="0063317A">
      <w:pPr>
        <w:ind w:left="1440" w:hanging="1440"/>
        <w:jc w:val="both"/>
        <w:rPr>
          <w:b/>
        </w:rPr>
      </w:pPr>
      <w:r>
        <w:rPr>
          <w:b/>
        </w:rPr>
        <w:t>FIPUG:</w:t>
      </w:r>
      <w:r>
        <w:rPr>
          <w:b/>
        </w:rPr>
        <w:tab/>
      </w:r>
      <w:r w:rsidR="001502A7" w:rsidRPr="00F5435C">
        <w:rPr>
          <w:bCs/>
        </w:rPr>
        <w:t>Adopt</w:t>
      </w:r>
      <w:r w:rsidR="007024BB">
        <w:rPr>
          <w:bCs/>
        </w:rPr>
        <w:t>s the</w:t>
      </w:r>
      <w:r w:rsidR="001502A7" w:rsidRPr="00F5435C">
        <w:rPr>
          <w:bCs/>
        </w:rPr>
        <w:t xml:space="preserve"> position of OPC.</w:t>
      </w:r>
    </w:p>
    <w:p w14:paraId="2BAA49EB" w14:textId="77777777" w:rsidR="0063317A" w:rsidRDefault="0063317A" w:rsidP="0063317A">
      <w:pPr>
        <w:ind w:left="1440" w:hanging="1440"/>
        <w:jc w:val="both"/>
        <w:rPr>
          <w:b/>
        </w:rPr>
      </w:pPr>
    </w:p>
    <w:p w14:paraId="3EE279E3" w14:textId="522677E7" w:rsidR="0063317A" w:rsidRDefault="0063317A" w:rsidP="0063317A">
      <w:pPr>
        <w:ind w:left="1440" w:hanging="1440"/>
        <w:jc w:val="both"/>
        <w:rPr>
          <w:b/>
        </w:rPr>
      </w:pPr>
      <w:r>
        <w:rPr>
          <w:b/>
        </w:rPr>
        <w:t>FEA:</w:t>
      </w:r>
      <w:r>
        <w:rPr>
          <w:b/>
        </w:rPr>
        <w:tab/>
      </w:r>
      <w:r w:rsidR="007024BB">
        <w:t>No position.</w:t>
      </w:r>
    </w:p>
    <w:p w14:paraId="116AD82D" w14:textId="0A0E3D2D" w:rsidR="0063317A" w:rsidRDefault="0063317A" w:rsidP="0063317A">
      <w:pPr>
        <w:ind w:left="1440" w:hanging="1440"/>
        <w:jc w:val="both"/>
        <w:rPr>
          <w:b/>
        </w:rPr>
      </w:pPr>
    </w:p>
    <w:p w14:paraId="5F4D9474" w14:textId="77777777" w:rsidR="00182CB2" w:rsidRDefault="00182CB2" w:rsidP="0063317A">
      <w:pPr>
        <w:ind w:left="1440" w:hanging="1440"/>
        <w:jc w:val="both"/>
        <w:rPr>
          <w:b/>
        </w:rPr>
      </w:pPr>
    </w:p>
    <w:p w14:paraId="15071702" w14:textId="77777777" w:rsidR="00A14A11" w:rsidRDefault="00764960" w:rsidP="0063317A">
      <w:pPr>
        <w:ind w:left="1440" w:hanging="1440"/>
        <w:jc w:val="both"/>
        <w:rPr>
          <w:b/>
        </w:rPr>
      </w:pPr>
      <w:r>
        <w:rPr>
          <w:b/>
        </w:rPr>
        <w:lastRenderedPageBreak/>
        <w:t xml:space="preserve">SIERRA </w:t>
      </w:r>
    </w:p>
    <w:p w14:paraId="4AF4009A" w14:textId="6E75559F" w:rsidR="0063317A" w:rsidRDefault="00764960" w:rsidP="0063317A">
      <w:pPr>
        <w:ind w:left="1440" w:hanging="1440"/>
        <w:jc w:val="both"/>
        <w:rPr>
          <w:b/>
        </w:rPr>
      </w:pPr>
      <w:r>
        <w:rPr>
          <w:b/>
        </w:rPr>
        <w:t>CLUB</w:t>
      </w:r>
      <w:r w:rsidR="0063317A">
        <w:rPr>
          <w:b/>
        </w:rPr>
        <w:t>:</w:t>
      </w:r>
      <w:r w:rsidR="0063317A">
        <w:rPr>
          <w:b/>
        </w:rPr>
        <w:tab/>
      </w:r>
      <w:r w:rsidR="007024BB">
        <w:t>No position.</w:t>
      </w:r>
    </w:p>
    <w:p w14:paraId="0DC7EE03" w14:textId="77777777" w:rsidR="0063317A" w:rsidRDefault="0063317A" w:rsidP="0063317A">
      <w:pPr>
        <w:ind w:left="1440" w:hanging="1440"/>
        <w:jc w:val="both"/>
        <w:rPr>
          <w:b/>
        </w:rPr>
      </w:pPr>
    </w:p>
    <w:p w14:paraId="4A02A94E" w14:textId="3302812A" w:rsidR="0063317A" w:rsidRDefault="0063317A" w:rsidP="0063317A">
      <w:pPr>
        <w:ind w:left="1440" w:hanging="1440"/>
        <w:jc w:val="both"/>
        <w:rPr>
          <w:b/>
        </w:rPr>
      </w:pPr>
      <w:r>
        <w:rPr>
          <w:b/>
        </w:rPr>
        <w:t>FRF:</w:t>
      </w:r>
      <w:r>
        <w:rPr>
          <w:b/>
        </w:rPr>
        <w:tab/>
      </w:r>
      <w:r w:rsidR="00E0636D">
        <w:t>Agree</w:t>
      </w:r>
      <w:r w:rsidR="007024BB">
        <w:t>s</w:t>
      </w:r>
      <w:r w:rsidR="00E0636D">
        <w:t xml:space="preserve"> with OPC.</w:t>
      </w:r>
    </w:p>
    <w:p w14:paraId="6325E25C" w14:textId="77777777" w:rsidR="0063317A" w:rsidRDefault="0063317A" w:rsidP="0063317A">
      <w:pPr>
        <w:ind w:left="1440" w:hanging="1440"/>
        <w:jc w:val="both"/>
        <w:rPr>
          <w:b/>
        </w:rPr>
      </w:pPr>
    </w:p>
    <w:p w14:paraId="4BE6C716" w14:textId="77777777" w:rsidR="00A14A11" w:rsidRDefault="00C0182D" w:rsidP="0063317A">
      <w:pPr>
        <w:ind w:left="1440" w:hanging="1440"/>
        <w:jc w:val="both"/>
        <w:rPr>
          <w:b/>
        </w:rPr>
      </w:pPr>
      <w:r>
        <w:rPr>
          <w:b/>
        </w:rPr>
        <w:t xml:space="preserve">FUEL </w:t>
      </w:r>
    </w:p>
    <w:p w14:paraId="3F69D922" w14:textId="547655FE" w:rsidR="0063317A" w:rsidRDefault="00C0182D" w:rsidP="0063317A">
      <w:pPr>
        <w:ind w:left="1440" w:hanging="1440"/>
        <w:jc w:val="both"/>
      </w:pPr>
      <w:r>
        <w:rPr>
          <w:b/>
        </w:rPr>
        <w:t>RETAILERS</w:t>
      </w:r>
      <w:r w:rsidR="0063317A">
        <w:rPr>
          <w:b/>
        </w:rPr>
        <w:t>:</w:t>
      </w:r>
      <w:r w:rsidR="00A14A11">
        <w:rPr>
          <w:b/>
        </w:rPr>
        <w:t xml:space="preserve"> </w:t>
      </w:r>
      <w:r w:rsidR="00A309A9" w:rsidRPr="00A53630">
        <w:t>Agree</w:t>
      </w:r>
      <w:r w:rsidR="007024BB">
        <w:t>s</w:t>
      </w:r>
      <w:r w:rsidR="00A309A9" w:rsidRPr="00A53630">
        <w:t xml:space="preserve"> with </w:t>
      </w:r>
      <w:r w:rsidR="007024BB">
        <w:t>OPC</w:t>
      </w:r>
      <w:r w:rsidR="00A309A9" w:rsidRPr="00A53630">
        <w:t>.</w:t>
      </w:r>
    </w:p>
    <w:p w14:paraId="5ABBD4E7" w14:textId="77777777" w:rsidR="005A487E" w:rsidRDefault="005A487E" w:rsidP="0063317A">
      <w:pPr>
        <w:ind w:left="1440" w:hanging="1440"/>
        <w:jc w:val="both"/>
      </w:pPr>
    </w:p>
    <w:p w14:paraId="72E37CCE" w14:textId="5884102D" w:rsidR="005A487E" w:rsidRPr="005A487E" w:rsidRDefault="00FD408B" w:rsidP="0063317A">
      <w:pPr>
        <w:ind w:left="1440" w:hanging="1440"/>
        <w:jc w:val="both"/>
        <w:rPr>
          <w:b/>
        </w:rPr>
      </w:pPr>
      <w:r>
        <w:rPr>
          <w:b/>
        </w:rPr>
        <w:t>WALMART</w:t>
      </w:r>
      <w:r w:rsidR="005A487E">
        <w:rPr>
          <w:b/>
        </w:rPr>
        <w:t>:</w:t>
      </w:r>
      <w:r w:rsidR="005A487E">
        <w:rPr>
          <w:b/>
        </w:rPr>
        <w:tab/>
      </w:r>
      <w:r w:rsidR="007024BB">
        <w:t>A</w:t>
      </w:r>
      <w:r w:rsidR="005A487E">
        <w:t>grees with OPC.</w:t>
      </w:r>
    </w:p>
    <w:p w14:paraId="1C37D157" w14:textId="77777777" w:rsidR="0063317A" w:rsidRPr="00701945" w:rsidRDefault="0063317A" w:rsidP="0063317A">
      <w:pPr>
        <w:jc w:val="both"/>
      </w:pPr>
    </w:p>
    <w:p w14:paraId="2466BCAA" w14:textId="77777777" w:rsidR="0063317A" w:rsidRPr="005D4B47" w:rsidRDefault="0063317A" w:rsidP="0063317A">
      <w:pPr>
        <w:ind w:left="1440" w:hanging="1440"/>
        <w:jc w:val="both"/>
        <w:rPr>
          <w:b/>
          <w:bCs/>
        </w:rPr>
      </w:pPr>
      <w:r>
        <w:rPr>
          <w:b/>
          <w:bCs/>
        </w:rPr>
        <w:t>STAFF:</w:t>
      </w:r>
      <w:r>
        <w:rPr>
          <w:b/>
          <w:bCs/>
        </w:rPr>
        <w:tab/>
      </w:r>
      <w:r w:rsidR="003E5174">
        <w:t>No position at this time.</w:t>
      </w:r>
    </w:p>
    <w:p w14:paraId="1460993B" w14:textId="77777777" w:rsidR="0063317A" w:rsidRDefault="0063317A" w:rsidP="00C7699A">
      <w:pPr>
        <w:jc w:val="both"/>
      </w:pPr>
    </w:p>
    <w:p w14:paraId="58E32D3F" w14:textId="77777777" w:rsidR="00892699" w:rsidRDefault="00892699" w:rsidP="00C7699A">
      <w:pPr>
        <w:jc w:val="both"/>
      </w:pPr>
    </w:p>
    <w:p w14:paraId="1E4BA84C" w14:textId="77777777" w:rsidR="0063317A" w:rsidRPr="003A3FB9" w:rsidRDefault="0063317A" w:rsidP="0063317A">
      <w:pPr>
        <w:ind w:left="1440" w:hanging="1440"/>
        <w:jc w:val="both"/>
        <w:rPr>
          <w:b/>
        </w:rPr>
      </w:pPr>
      <w:r w:rsidRPr="005D4B47">
        <w:rPr>
          <w:b/>
          <w:bCs/>
        </w:rPr>
        <w:t>ISSUE 1</w:t>
      </w:r>
      <w:r w:rsidR="003A3FB9">
        <w:rPr>
          <w:b/>
          <w:bCs/>
        </w:rPr>
        <w:t>06</w:t>
      </w:r>
      <w:r w:rsidRPr="00701945">
        <w:rPr>
          <w:b/>
          <w:bCs/>
        </w:rPr>
        <w:t>:</w:t>
      </w:r>
      <w:r w:rsidRPr="00701945">
        <w:tab/>
      </w:r>
      <w:r w:rsidR="003A3FB9" w:rsidRPr="003A3FB9">
        <w:rPr>
          <w:b/>
          <w:bCs/>
        </w:rPr>
        <w:t>Should the depreciation expense and Investment Tax Credits amortization used to calculate the proposed 2026 and 2027 SYA be adjusted to reflect the Commission’s decisions on depreciation rates and ITC amortization for the 2025 projected test year?</w:t>
      </w:r>
    </w:p>
    <w:p w14:paraId="5784405A" w14:textId="77777777" w:rsidR="0063317A" w:rsidRPr="00701945" w:rsidRDefault="0063317A" w:rsidP="0063317A">
      <w:pPr>
        <w:jc w:val="both"/>
      </w:pPr>
    </w:p>
    <w:p w14:paraId="07A5A73F" w14:textId="77777777" w:rsidR="0063317A" w:rsidRPr="005D4B47" w:rsidRDefault="0063317A" w:rsidP="0063317A">
      <w:pPr>
        <w:ind w:left="1440" w:hanging="1440"/>
        <w:jc w:val="both"/>
      </w:pPr>
      <w:r>
        <w:rPr>
          <w:b/>
          <w:bCs/>
        </w:rPr>
        <w:t>TECO</w:t>
      </w:r>
      <w:r w:rsidRPr="005D4B47">
        <w:rPr>
          <w:b/>
          <w:bCs/>
        </w:rPr>
        <w:t>:</w:t>
      </w:r>
      <w:r w:rsidRPr="005D4B47">
        <w:tab/>
      </w:r>
      <w:r w:rsidR="003A3FB9">
        <w:t>Yes. (Strickland, Chronister)</w:t>
      </w:r>
    </w:p>
    <w:p w14:paraId="790DDA99" w14:textId="77777777" w:rsidR="0063317A" w:rsidRPr="00701945" w:rsidRDefault="0063317A" w:rsidP="0063317A">
      <w:pPr>
        <w:jc w:val="both"/>
      </w:pPr>
    </w:p>
    <w:p w14:paraId="2388210F" w14:textId="3FAA8F19" w:rsidR="0063317A" w:rsidRDefault="0063317A" w:rsidP="0063317A">
      <w:pPr>
        <w:ind w:left="1440" w:hanging="1440"/>
        <w:jc w:val="both"/>
      </w:pPr>
      <w:r>
        <w:rPr>
          <w:b/>
          <w:bCs/>
        </w:rPr>
        <w:t>OPC</w:t>
      </w:r>
      <w:r w:rsidRPr="00701945">
        <w:rPr>
          <w:b/>
          <w:bCs/>
        </w:rPr>
        <w:t>:</w:t>
      </w:r>
      <w:r>
        <w:tab/>
      </w:r>
      <w:r w:rsidR="00D175D0">
        <w:t>Yes, any 2026 SYA and 2027 SYA should reflect OPC’s proposed adjustments in for ITCs to correct for errors and modify the Company’s calculation. The effect of correcting TECO’s error and modifying the calculation is a reduction of $4.529 million in 2026 SYA revenue requirements and a reduction of $2.453 million in the 2027 SYA revenue requirements.</w:t>
      </w:r>
    </w:p>
    <w:p w14:paraId="3869117E" w14:textId="77777777" w:rsidR="0063317A" w:rsidRDefault="0063317A" w:rsidP="0063317A">
      <w:pPr>
        <w:ind w:left="1440" w:hanging="1440"/>
        <w:jc w:val="both"/>
      </w:pPr>
    </w:p>
    <w:p w14:paraId="31D0EED5" w14:textId="77777777" w:rsidR="0063317A" w:rsidRDefault="0063317A" w:rsidP="0063317A">
      <w:pPr>
        <w:ind w:left="1440" w:hanging="1440"/>
        <w:jc w:val="both"/>
        <w:rPr>
          <w:b/>
        </w:rPr>
      </w:pPr>
      <w:r>
        <w:rPr>
          <w:b/>
        </w:rPr>
        <w:t>FL RISING/</w:t>
      </w:r>
    </w:p>
    <w:p w14:paraId="376735F9" w14:textId="77777777" w:rsidR="0063317A" w:rsidRDefault="0063317A" w:rsidP="0063317A">
      <w:pPr>
        <w:ind w:left="1440" w:hanging="1440"/>
        <w:jc w:val="both"/>
        <w:rPr>
          <w:b/>
        </w:rPr>
      </w:pPr>
      <w:r>
        <w:rPr>
          <w:b/>
        </w:rPr>
        <w:t>LULAC:</w:t>
      </w:r>
      <w:r>
        <w:rPr>
          <w:b/>
        </w:rPr>
        <w:tab/>
      </w:r>
      <w:r w:rsidR="00B53B02">
        <w:t>Yes.</w:t>
      </w:r>
    </w:p>
    <w:p w14:paraId="0D8E6E12" w14:textId="77777777" w:rsidR="0063317A" w:rsidRDefault="0063317A" w:rsidP="0063317A">
      <w:pPr>
        <w:ind w:left="1440" w:hanging="1440"/>
        <w:jc w:val="both"/>
        <w:rPr>
          <w:b/>
        </w:rPr>
      </w:pPr>
    </w:p>
    <w:p w14:paraId="2C216F7F" w14:textId="54CE56BA" w:rsidR="0063317A" w:rsidRDefault="0063317A" w:rsidP="0063317A">
      <w:pPr>
        <w:ind w:left="1440" w:hanging="1440"/>
        <w:jc w:val="both"/>
        <w:rPr>
          <w:b/>
        </w:rPr>
      </w:pPr>
      <w:r>
        <w:rPr>
          <w:b/>
        </w:rPr>
        <w:t>FIPUG:</w:t>
      </w:r>
      <w:r>
        <w:rPr>
          <w:b/>
        </w:rPr>
        <w:tab/>
      </w:r>
      <w:r w:rsidR="001502A7" w:rsidRPr="00F5435C">
        <w:rPr>
          <w:bCs/>
        </w:rPr>
        <w:t>Adopt</w:t>
      </w:r>
      <w:r w:rsidR="009F0A22">
        <w:rPr>
          <w:bCs/>
        </w:rPr>
        <w:t>s the</w:t>
      </w:r>
      <w:r w:rsidR="001502A7" w:rsidRPr="00F5435C">
        <w:rPr>
          <w:bCs/>
        </w:rPr>
        <w:t xml:space="preserve"> position of OPC.</w:t>
      </w:r>
    </w:p>
    <w:p w14:paraId="19BF3581" w14:textId="77777777" w:rsidR="0063317A" w:rsidRDefault="0063317A" w:rsidP="0063317A">
      <w:pPr>
        <w:ind w:left="1440" w:hanging="1440"/>
        <w:jc w:val="both"/>
        <w:rPr>
          <w:b/>
        </w:rPr>
      </w:pPr>
    </w:p>
    <w:p w14:paraId="57744B96" w14:textId="7E1AF621" w:rsidR="0063317A" w:rsidRDefault="0063317A" w:rsidP="0063317A">
      <w:pPr>
        <w:ind w:left="1440" w:hanging="1440"/>
        <w:jc w:val="both"/>
        <w:rPr>
          <w:b/>
        </w:rPr>
      </w:pPr>
      <w:r>
        <w:rPr>
          <w:b/>
        </w:rPr>
        <w:t>FEA:</w:t>
      </w:r>
      <w:r>
        <w:rPr>
          <w:b/>
        </w:rPr>
        <w:tab/>
      </w:r>
      <w:r w:rsidR="009F0A22">
        <w:t>No position.</w:t>
      </w:r>
    </w:p>
    <w:p w14:paraId="23849C66" w14:textId="77777777" w:rsidR="0063317A" w:rsidRDefault="0063317A" w:rsidP="0063317A">
      <w:pPr>
        <w:ind w:left="1440" w:hanging="1440"/>
        <w:jc w:val="both"/>
        <w:rPr>
          <w:b/>
        </w:rPr>
      </w:pPr>
    </w:p>
    <w:p w14:paraId="44D75844" w14:textId="77777777" w:rsidR="00A14A11" w:rsidRDefault="00764960" w:rsidP="0063317A">
      <w:pPr>
        <w:ind w:left="1440" w:hanging="1440"/>
        <w:jc w:val="both"/>
        <w:rPr>
          <w:b/>
        </w:rPr>
      </w:pPr>
      <w:r>
        <w:rPr>
          <w:b/>
        </w:rPr>
        <w:t xml:space="preserve">SIERRA </w:t>
      </w:r>
    </w:p>
    <w:p w14:paraId="3170C5E7" w14:textId="2E4D47C4" w:rsidR="0063317A" w:rsidRDefault="00764960" w:rsidP="0063317A">
      <w:pPr>
        <w:ind w:left="1440" w:hanging="1440"/>
        <w:jc w:val="both"/>
        <w:rPr>
          <w:b/>
        </w:rPr>
      </w:pPr>
      <w:r>
        <w:rPr>
          <w:b/>
        </w:rPr>
        <w:t>CLUB</w:t>
      </w:r>
      <w:r w:rsidR="0063317A">
        <w:rPr>
          <w:b/>
        </w:rPr>
        <w:t>:</w:t>
      </w:r>
      <w:r w:rsidR="0063317A">
        <w:rPr>
          <w:b/>
        </w:rPr>
        <w:tab/>
      </w:r>
      <w:r w:rsidR="009F0A22">
        <w:t xml:space="preserve">No </w:t>
      </w:r>
      <w:r w:rsidR="000500F3" w:rsidRPr="001E3193">
        <w:t>position.</w:t>
      </w:r>
    </w:p>
    <w:p w14:paraId="4E650862" w14:textId="77777777" w:rsidR="0063317A" w:rsidRDefault="0063317A" w:rsidP="0063317A">
      <w:pPr>
        <w:ind w:left="1440" w:hanging="1440"/>
        <w:jc w:val="both"/>
        <w:rPr>
          <w:b/>
        </w:rPr>
      </w:pPr>
    </w:p>
    <w:p w14:paraId="14FF6CCC" w14:textId="3D51FB75" w:rsidR="0063317A" w:rsidRDefault="0063317A" w:rsidP="0063317A">
      <w:pPr>
        <w:ind w:left="1440" w:hanging="1440"/>
        <w:jc w:val="both"/>
        <w:rPr>
          <w:b/>
        </w:rPr>
      </w:pPr>
      <w:r>
        <w:rPr>
          <w:b/>
        </w:rPr>
        <w:t>FRF:</w:t>
      </w:r>
      <w:r>
        <w:rPr>
          <w:b/>
        </w:rPr>
        <w:tab/>
      </w:r>
      <w:r w:rsidR="00E0636D">
        <w:t>Agree</w:t>
      </w:r>
      <w:r w:rsidR="009F0A22">
        <w:t>s</w:t>
      </w:r>
      <w:r w:rsidR="00E0636D">
        <w:t xml:space="preserve"> with OPC.</w:t>
      </w:r>
    </w:p>
    <w:p w14:paraId="25FD95BE" w14:textId="77777777" w:rsidR="0063317A" w:rsidRDefault="0063317A" w:rsidP="0063317A">
      <w:pPr>
        <w:ind w:left="1440" w:hanging="1440"/>
        <w:jc w:val="both"/>
        <w:rPr>
          <w:b/>
        </w:rPr>
      </w:pPr>
    </w:p>
    <w:p w14:paraId="364635C7" w14:textId="77777777" w:rsidR="00A14A11" w:rsidRDefault="00C0182D" w:rsidP="0063317A">
      <w:pPr>
        <w:ind w:left="1440" w:hanging="1440"/>
        <w:jc w:val="both"/>
        <w:rPr>
          <w:b/>
        </w:rPr>
      </w:pPr>
      <w:r>
        <w:rPr>
          <w:b/>
        </w:rPr>
        <w:t xml:space="preserve">FUEL </w:t>
      </w:r>
    </w:p>
    <w:p w14:paraId="0C666661" w14:textId="1665169A" w:rsidR="0063317A" w:rsidRDefault="00C0182D" w:rsidP="0063317A">
      <w:pPr>
        <w:ind w:left="1440" w:hanging="1440"/>
        <w:jc w:val="both"/>
      </w:pPr>
      <w:r>
        <w:rPr>
          <w:b/>
        </w:rPr>
        <w:t>RETAILERS</w:t>
      </w:r>
      <w:r w:rsidR="0063317A">
        <w:rPr>
          <w:b/>
        </w:rPr>
        <w:t>:</w:t>
      </w:r>
      <w:r w:rsidR="00A14A11">
        <w:rPr>
          <w:b/>
        </w:rPr>
        <w:t xml:space="preserve"> </w:t>
      </w:r>
      <w:r w:rsidR="00A309A9" w:rsidRPr="00A53630">
        <w:t>Agree</w:t>
      </w:r>
      <w:r w:rsidR="009F0A22">
        <w:t>s</w:t>
      </w:r>
      <w:r w:rsidR="00A309A9" w:rsidRPr="00A53630">
        <w:t xml:space="preserve"> with </w:t>
      </w:r>
      <w:r w:rsidR="009F0A22">
        <w:t>OPC</w:t>
      </w:r>
      <w:r w:rsidR="00A309A9" w:rsidRPr="00A53630">
        <w:t>.</w:t>
      </w:r>
    </w:p>
    <w:p w14:paraId="4F724E3C" w14:textId="77777777" w:rsidR="005A487E" w:rsidRDefault="005A487E" w:rsidP="0063317A">
      <w:pPr>
        <w:ind w:left="1440" w:hanging="1440"/>
        <w:jc w:val="both"/>
      </w:pPr>
    </w:p>
    <w:p w14:paraId="6F303A12" w14:textId="1DA99DB3" w:rsidR="005A487E" w:rsidRPr="005A487E" w:rsidRDefault="00FD408B" w:rsidP="0063317A">
      <w:pPr>
        <w:ind w:left="1440" w:hanging="1440"/>
        <w:jc w:val="both"/>
        <w:rPr>
          <w:b/>
        </w:rPr>
      </w:pPr>
      <w:r>
        <w:rPr>
          <w:b/>
        </w:rPr>
        <w:t>WALMART</w:t>
      </w:r>
      <w:r w:rsidR="005A487E">
        <w:rPr>
          <w:b/>
        </w:rPr>
        <w:t>:</w:t>
      </w:r>
      <w:r w:rsidR="005A487E">
        <w:rPr>
          <w:b/>
        </w:rPr>
        <w:tab/>
      </w:r>
      <w:r w:rsidR="009F0A22" w:rsidRPr="009F0A22">
        <w:t>A</w:t>
      </w:r>
      <w:r w:rsidR="005A487E">
        <w:t>grees with OPC.</w:t>
      </w:r>
    </w:p>
    <w:p w14:paraId="2830C26C" w14:textId="77777777" w:rsidR="0063317A" w:rsidRPr="00701945" w:rsidRDefault="0063317A" w:rsidP="0063317A">
      <w:pPr>
        <w:jc w:val="both"/>
      </w:pPr>
    </w:p>
    <w:p w14:paraId="719F62B4" w14:textId="77777777" w:rsidR="0063317A" w:rsidRPr="005D4B47" w:rsidRDefault="0063317A" w:rsidP="0063317A">
      <w:pPr>
        <w:ind w:left="1440" w:hanging="1440"/>
        <w:jc w:val="both"/>
        <w:rPr>
          <w:b/>
          <w:bCs/>
        </w:rPr>
      </w:pPr>
      <w:r>
        <w:rPr>
          <w:b/>
          <w:bCs/>
        </w:rPr>
        <w:t>STAFF:</w:t>
      </w:r>
      <w:r>
        <w:rPr>
          <w:b/>
          <w:bCs/>
        </w:rPr>
        <w:tab/>
      </w:r>
      <w:r w:rsidR="003E5174">
        <w:t>No position at this time.</w:t>
      </w:r>
    </w:p>
    <w:p w14:paraId="0A9A7972" w14:textId="77777777" w:rsidR="0063317A" w:rsidRDefault="0063317A" w:rsidP="00C7699A">
      <w:pPr>
        <w:jc w:val="both"/>
      </w:pPr>
    </w:p>
    <w:p w14:paraId="08990B1F" w14:textId="77777777" w:rsidR="0063317A" w:rsidRPr="003A3FB9" w:rsidRDefault="0063317A" w:rsidP="0063317A">
      <w:pPr>
        <w:ind w:left="1440" w:hanging="1440"/>
        <w:jc w:val="both"/>
        <w:rPr>
          <w:b/>
        </w:rPr>
      </w:pPr>
      <w:r w:rsidRPr="005D4B47">
        <w:rPr>
          <w:b/>
          <w:bCs/>
        </w:rPr>
        <w:lastRenderedPageBreak/>
        <w:t>ISSUE 1</w:t>
      </w:r>
      <w:r w:rsidR="003A3FB9">
        <w:rPr>
          <w:b/>
          <w:bCs/>
        </w:rPr>
        <w:t>07</w:t>
      </w:r>
      <w:r w:rsidRPr="00701945">
        <w:rPr>
          <w:b/>
          <w:bCs/>
        </w:rPr>
        <w:t>:</w:t>
      </w:r>
      <w:r w:rsidRPr="00701945">
        <w:tab/>
      </w:r>
      <w:r w:rsidR="003A3FB9" w:rsidRPr="003A3FB9">
        <w:rPr>
          <w:b/>
          <w:bCs/>
        </w:rPr>
        <w:t>What annual amount of incremental revenues should be approved for recovery through the 2026 and 2027 SYA?</w:t>
      </w:r>
    </w:p>
    <w:p w14:paraId="724C5A95" w14:textId="77777777" w:rsidR="0063317A" w:rsidRPr="00701945" w:rsidRDefault="0063317A" w:rsidP="0063317A">
      <w:pPr>
        <w:jc w:val="both"/>
      </w:pPr>
    </w:p>
    <w:p w14:paraId="763BFA6A" w14:textId="07C0BC88" w:rsidR="0063317A" w:rsidRPr="005D4B47" w:rsidRDefault="0063317A" w:rsidP="0063317A">
      <w:pPr>
        <w:ind w:left="1440" w:hanging="1440"/>
        <w:jc w:val="both"/>
      </w:pPr>
      <w:r>
        <w:rPr>
          <w:b/>
          <w:bCs/>
        </w:rPr>
        <w:t>TECO</w:t>
      </w:r>
      <w:r w:rsidRPr="005D4B47">
        <w:rPr>
          <w:b/>
          <w:bCs/>
        </w:rPr>
        <w:t>:</w:t>
      </w:r>
      <w:r w:rsidRPr="005D4B47">
        <w:tab/>
      </w:r>
      <w:r w:rsidR="003A3FB9">
        <w:t>The Commission should approve SYA for 2026 and 2027 to recover incremental revenues of $100,074,841 and $71,847,925, respectively.</w:t>
      </w:r>
      <w:r w:rsidR="005804CE">
        <w:t xml:space="preserve"> These amounts have been updated to reflect the impact of the adjustments shown in the July and August Filings and Issue 98 and no income tax gross up on non-equity return capital structure components.</w:t>
      </w:r>
      <w:r w:rsidR="003A3FB9">
        <w:t xml:space="preserve"> (Chronister)</w:t>
      </w:r>
    </w:p>
    <w:p w14:paraId="7602B11C" w14:textId="77777777" w:rsidR="0063317A" w:rsidRPr="00701945" w:rsidRDefault="0063317A" w:rsidP="0063317A">
      <w:pPr>
        <w:jc w:val="both"/>
      </w:pPr>
    </w:p>
    <w:p w14:paraId="60518212" w14:textId="0AB905CF" w:rsidR="0063317A" w:rsidRDefault="0063317A" w:rsidP="0063317A">
      <w:pPr>
        <w:ind w:left="1440" w:hanging="1440"/>
        <w:jc w:val="both"/>
      </w:pPr>
      <w:r>
        <w:rPr>
          <w:b/>
          <w:bCs/>
        </w:rPr>
        <w:t>OPC</w:t>
      </w:r>
      <w:r w:rsidRPr="00701945">
        <w:rPr>
          <w:b/>
          <w:bCs/>
        </w:rPr>
        <w:t>:</w:t>
      </w:r>
      <w:r>
        <w:tab/>
      </w:r>
      <w:r w:rsidR="008C6AE3">
        <w:t xml:space="preserve">If the Commission allows the </w:t>
      </w:r>
      <w:r w:rsidR="00CC3499">
        <w:rPr>
          <w:bCs/>
        </w:rPr>
        <w:t>GRR Projects</w:t>
      </w:r>
      <w:r w:rsidR="008C6AE3">
        <w:t xml:space="preserve">, the Commission should reduce the revenue requirement for the </w:t>
      </w:r>
      <w:r w:rsidR="00CC3499">
        <w:rPr>
          <w:bCs/>
        </w:rPr>
        <w:t xml:space="preserve">GRR Projects </w:t>
      </w:r>
      <w:r w:rsidR="008C6AE3">
        <w:t>by at least $4.599 million in the 2026 SYA and by at least $28.788 million in the 2027 SYA.</w:t>
      </w:r>
    </w:p>
    <w:p w14:paraId="31F7D2F8" w14:textId="77777777" w:rsidR="008C6AE3" w:rsidRDefault="008C6AE3" w:rsidP="0063317A">
      <w:pPr>
        <w:ind w:left="1440" w:hanging="1440"/>
        <w:jc w:val="both"/>
      </w:pPr>
    </w:p>
    <w:p w14:paraId="0B653330" w14:textId="77777777" w:rsidR="0063317A" w:rsidRDefault="0063317A" w:rsidP="0063317A">
      <w:pPr>
        <w:ind w:left="1440" w:hanging="1440"/>
        <w:jc w:val="both"/>
        <w:rPr>
          <w:b/>
        </w:rPr>
      </w:pPr>
      <w:r>
        <w:rPr>
          <w:b/>
        </w:rPr>
        <w:t>FL RISING/</w:t>
      </w:r>
    </w:p>
    <w:p w14:paraId="446969AA" w14:textId="77777777" w:rsidR="0063317A" w:rsidRDefault="0063317A" w:rsidP="0063317A">
      <w:pPr>
        <w:ind w:left="1440" w:hanging="1440"/>
        <w:jc w:val="both"/>
        <w:rPr>
          <w:b/>
        </w:rPr>
      </w:pPr>
      <w:r>
        <w:rPr>
          <w:b/>
        </w:rPr>
        <w:t>LULAC:</w:t>
      </w:r>
      <w:r>
        <w:rPr>
          <w:b/>
        </w:rPr>
        <w:tab/>
      </w:r>
      <w:r w:rsidR="00B53B02">
        <w:rPr>
          <w:bCs/>
        </w:rPr>
        <w:t>$0.</w:t>
      </w:r>
    </w:p>
    <w:p w14:paraId="1B078590" w14:textId="77777777" w:rsidR="0063317A" w:rsidRDefault="0063317A" w:rsidP="0063317A">
      <w:pPr>
        <w:ind w:left="1440" w:hanging="1440"/>
        <w:jc w:val="both"/>
        <w:rPr>
          <w:b/>
        </w:rPr>
      </w:pPr>
    </w:p>
    <w:p w14:paraId="0A9BA0E2" w14:textId="7734B5C0" w:rsidR="0063317A" w:rsidRDefault="0063317A" w:rsidP="0063317A">
      <w:pPr>
        <w:ind w:left="1440" w:hanging="1440"/>
        <w:jc w:val="both"/>
        <w:rPr>
          <w:b/>
        </w:rPr>
      </w:pPr>
      <w:r>
        <w:rPr>
          <w:b/>
        </w:rPr>
        <w:t>FIPUG:</w:t>
      </w:r>
      <w:r>
        <w:rPr>
          <w:b/>
        </w:rPr>
        <w:tab/>
      </w:r>
      <w:r w:rsidR="001502A7" w:rsidRPr="00F5435C">
        <w:rPr>
          <w:bCs/>
        </w:rPr>
        <w:t>Adopt</w:t>
      </w:r>
      <w:r w:rsidR="00CC3499">
        <w:rPr>
          <w:bCs/>
        </w:rPr>
        <w:t>s the</w:t>
      </w:r>
      <w:r w:rsidR="001502A7" w:rsidRPr="00F5435C">
        <w:rPr>
          <w:bCs/>
        </w:rPr>
        <w:t xml:space="preserve"> position of OPC.</w:t>
      </w:r>
    </w:p>
    <w:p w14:paraId="0F77C117" w14:textId="77777777" w:rsidR="0063317A" w:rsidRDefault="0063317A" w:rsidP="0063317A">
      <w:pPr>
        <w:ind w:left="1440" w:hanging="1440"/>
        <w:jc w:val="both"/>
        <w:rPr>
          <w:b/>
        </w:rPr>
      </w:pPr>
    </w:p>
    <w:p w14:paraId="003751AC" w14:textId="301A1C23" w:rsidR="0063317A" w:rsidRDefault="0063317A" w:rsidP="0063317A">
      <w:pPr>
        <w:ind w:left="1440" w:hanging="1440"/>
        <w:jc w:val="both"/>
        <w:rPr>
          <w:b/>
        </w:rPr>
      </w:pPr>
      <w:r>
        <w:rPr>
          <w:b/>
        </w:rPr>
        <w:t>FEA:</w:t>
      </w:r>
      <w:r>
        <w:rPr>
          <w:b/>
        </w:rPr>
        <w:tab/>
      </w:r>
      <w:r w:rsidR="00CC3499">
        <w:t>No position.</w:t>
      </w:r>
    </w:p>
    <w:p w14:paraId="6544DD71" w14:textId="77777777" w:rsidR="0063317A" w:rsidRDefault="0063317A" w:rsidP="0063317A">
      <w:pPr>
        <w:ind w:left="1440" w:hanging="1440"/>
        <w:jc w:val="both"/>
        <w:rPr>
          <w:b/>
        </w:rPr>
      </w:pPr>
    </w:p>
    <w:p w14:paraId="6FC648FC" w14:textId="77777777" w:rsidR="00A14A11" w:rsidRDefault="00764960" w:rsidP="0063317A">
      <w:pPr>
        <w:ind w:left="1440" w:hanging="1440"/>
        <w:jc w:val="both"/>
        <w:rPr>
          <w:b/>
        </w:rPr>
      </w:pPr>
      <w:r>
        <w:rPr>
          <w:b/>
        </w:rPr>
        <w:t xml:space="preserve">SIERRA </w:t>
      </w:r>
    </w:p>
    <w:p w14:paraId="1DF02D78" w14:textId="13CA92C7" w:rsidR="0063317A" w:rsidRDefault="00764960" w:rsidP="0063317A">
      <w:pPr>
        <w:ind w:left="1440" w:hanging="1440"/>
        <w:jc w:val="both"/>
        <w:rPr>
          <w:b/>
        </w:rPr>
      </w:pPr>
      <w:r>
        <w:rPr>
          <w:b/>
        </w:rPr>
        <w:t>CLUB</w:t>
      </w:r>
      <w:r w:rsidR="0063317A">
        <w:rPr>
          <w:b/>
        </w:rPr>
        <w:t>:</w:t>
      </w:r>
      <w:r w:rsidR="0063317A">
        <w:rPr>
          <w:b/>
        </w:rPr>
        <w:tab/>
      </w:r>
      <w:r w:rsidR="00CC3499">
        <w:t>No position.</w:t>
      </w:r>
    </w:p>
    <w:p w14:paraId="220D084C" w14:textId="77777777" w:rsidR="0063317A" w:rsidRDefault="0063317A" w:rsidP="0063317A">
      <w:pPr>
        <w:ind w:left="1440" w:hanging="1440"/>
        <w:jc w:val="both"/>
        <w:rPr>
          <w:b/>
        </w:rPr>
      </w:pPr>
    </w:p>
    <w:p w14:paraId="69040BD2" w14:textId="46B212BF" w:rsidR="0063317A" w:rsidRDefault="0063317A" w:rsidP="0063317A">
      <w:pPr>
        <w:ind w:left="1440" w:hanging="1440"/>
        <w:jc w:val="both"/>
        <w:rPr>
          <w:b/>
        </w:rPr>
      </w:pPr>
      <w:r>
        <w:rPr>
          <w:b/>
        </w:rPr>
        <w:t>FRF:</w:t>
      </w:r>
      <w:r>
        <w:rPr>
          <w:b/>
        </w:rPr>
        <w:tab/>
      </w:r>
      <w:r w:rsidR="00E0636D">
        <w:t>Agree</w:t>
      </w:r>
      <w:r w:rsidR="00CC3499">
        <w:t>s</w:t>
      </w:r>
      <w:r w:rsidR="00E0636D">
        <w:t xml:space="preserve"> with OPC that the </w:t>
      </w:r>
      <w:r w:rsidR="00E378D1">
        <w:t>Commission</w:t>
      </w:r>
      <w:r w:rsidR="00E0636D">
        <w:t xml:space="preserve"> should approve an increase of $60.257 million per year for 2026 and an increase of $20.286 million per year for 2027.</w:t>
      </w:r>
    </w:p>
    <w:p w14:paraId="16A65F4A" w14:textId="77777777" w:rsidR="00A14A11" w:rsidRDefault="00C0182D" w:rsidP="0063317A">
      <w:pPr>
        <w:ind w:left="1440" w:hanging="1440"/>
        <w:jc w:val="both"/>
        <w:rPr>
          <w:b/>
        </w:rPr>
      </w:pPr>
      <w:r>
        <w:rPr>
          <w:b/>
        </w:rPr>
        <w:t xml:space="preserve">FUEL </w:t>
      </w:r>
    </w:p>
    <w:p w14:paraId="37776490" w14:textId="4B0F188A" w:rsidR="0063317A" w:rsidRDefault="00C0182D" w:rsidP="0063317A">
      <w:pPr>
        <w:ind w:left="1440" w:hanging="1440"/>
        <w:jc w:val="both"/>
      </w:pPr>
      <w:r>
        <w:rPr>
          <w:b/>
        </w:rPr>
        <w:t>RETAILERS</w:t>
      </w:r>
      <w:r w:rsidR="0063317A">
        <w:rPr>
          <w:b/>
        </w:rPr>
        <w:t>:</w:t>
      </w:r>
      <w:r w:rsidR="00A14A11">
        <w:rPr>
          <w:b/>
        </w:rPr>
        <w:t xml:space="preserve"> </w:t>
      </w:r>
      <w:r w:rsidR="00A309A9" w:rsidRPr="00A53630">
        <w:t>Agree</w:t>
      </w:r>
      <w:r w:rsidR="00E378D1">
        <w:t>s</w:t>
      </w:r>
      <w:r w:rsidR="00A309A9" w:rsidRPr="00A53630">
        <w:t xml:space="preserve"> with </w:t>
      </w:r>
      <w:r w:rsidR="00E378D1">
        <w:t>OPC</w:t>
      </w:r>
      <w:r w:rsidR="00A309A9" w:rsidRPr="00A53630">
        <w:t>.</w:t>
      </w:r>
    </w:p>
    <w:p w14:paraId="7A59A97F" w14:textId="77777777" w:rsidR="005A487E" w:rsidRDefault="005A487E" w:rsidP="0063317A">
      <w:pPr>
        <w:ind w:left="1440" w:hanging="1440"/>
        <w:jc w:val="both"/>
      </w:pPr>
    </w:p>
    <w:p w14:paraId="5CC86E63" w14:textId="0DB4C2F0" w:rsidR="005A487E" w:rsidRPr="005A487E" w:rsidRDefault="00FD408B" w:rsidP="0063317A">
      <w:pPr>
        <w:ind w:left="1440" w:hanging="1440"/>
        <w:jc w:val="both"/>
        <w:rPr>
          <w:b/>
        </w:rPr>
      </w:pPr>
      <w:r>
        <w:rPr>
          <w:b/>
        </w:rPr>
        <w:t>WALMART</w:t>
      </w:r>
      <w:r w:rsidR="005A487E">
        <w:rPr>
          <w:b/>
        </w:rPr>
        <w:t>:</w:t>
      </w:r>
      <w:r w:rsidR="005A487E">
        <w:rPr>
          <w:b/>
        </w:rPr>
        <w:tab/>
      </w:r>
      <w:r w:rsidR="00E378D1" w:rsidRPr="00E378D1">
        <w:t>A</w:t>
      </w:r>
      <w:r w:rsidR="005A487E">
        <w:t>dopts the position of FRF.</w:t>
      </w:r>
    </w:p>
    <w:p w14:paraId="103FB28B" w14:textId="77777777" w:rsidR="0063317A" w:rsidRPr="00701945" w:rsidRDefault="0063317A" w:rsidP="0063317A">
      <w:pPr>
        <w:jc w:val="both"/>
      </w:pPr>
    </w:p>
    <w:p w14:paraId="76B14B85" w14:textId="77777777" w:rsidR="0063317A" w:rsidRPr="005D4B47" w:rsidRDefault="0063317A" w:rsidP="0063317A">
      <w:pPr>
        <w:ind w:left="1440" w:hanging="1440"/>
        <w:jc w:val="both"/>
        <w:rPr>
          <w:b/>
          <w:bCs/>
        </w:rPr>
      </w:pPr>
      <w:r>
        <w:rPr>
          <w:b/>
          <w:bCs/>
        </w:rPr>
        <w:t>STAFF:</w:t>
      </w:r>
      <w:r>
        <w:rPr>
          <w:b/>
          <w:bCs/>
        </w:rPr>
        <w:tab/>
      </w:r>
      <w:r w:rsidR="003E5174">
        <w:t>No position at this time.</w:t>
      </w:r>
    </w:p>
    <w:p w14:paraId="0AAB2308" w14:textId="77777777" w:rsidR="0063317A" w:rsidRDefault="0063317A" w:rsidP="00C7699A">
      <w:pPr>
        <w:jc w:val="both"/>
      </w:pPr>
    </w:p>
    <w:p w14:paraId="626BAB2B" w14:textId="77777777" w:rsidR="0063317A" w:rsidRDefault="0063317A" w:rsidP="00C7699A">
      <w:pPr>
        <w:jc w:val="both"/>
      </w:pPr>
    </w:p>
    <w:p w14:paraId="5792727A" w14:textId="77777777" w:rsidR="0063317A" w:rsidRPr="003A3FB9" w:rsidRDefault="0063317A" w:rsidP="0063317A">
      <w:pPr>
        <w:ind w:left="1440" w:hanging="1440"/>
        <w:jc w:val="both"/>
        <w:rPr>
          <w:b/>
        </w:rPr>
      </w:pPr>
      <w:r w:rsidRPr="005D4B47">
        <w:rPr>
          <w:b/>
          <w:bCs/>
        </w:rPr>
        <w:t>ISSUE 1</w:t>
      </w:r>
      <w:r w:rsidR="003A3FB9">
        <w:rPr>
          <w:b/>
          <w:bCs/>
        </w:rPr>
        <w:t>08</w:t>
      </w:r>
      <w:r w:rsidRPr="00701945">
        <w:rPr>
          <w:b/>
          <w:bCs/>
        </w:rPr>
        <w:t>:</w:t>
      </w:r>
      <w:r w:rsidRPr="00701945">
        <w:tab/>
      </w:r>
      <w:r w:rsidR="003A3FB9" w:rsidRPr="003A3FB9">
        <w:rPr>
          <w:b/>
          <w:bCs/>
        </w:rPr>
        <w:t>What rate design approach should be used to develop customer rates for the 2026 and 2027 SYA?</w:t>
      </w:r>
    </w:p>
    <w:p w14:paraId="283E94B4" w14:textId="77777777" w:rsidR="0063317A" w:rsidRPr="00701945" w:rsidRDefault="0063317A" w:rsidP="0063317A">
      <w:pPr>
        <w:jc w:val="both"/>
      </w:pPr>
    </w:p>
    <w:p w14:paraId="03DB83D4" w14:textId="77777777" w:rsidR="0063317A" w:rsidRPr="005D4B47" w:rsidRDefault="0063317A" w:rsidP="0063317A">
      <w:pPr>
        <w:ind w:left="1440" w:hanging="1440"/>
        <w:jc w:val="both"/>
      </w:pPr>
      <w:r>
        <w:rPr>
          <w:b/>
          <w:bCs/>
        </w:rPr>
        <w:t>TECO</w:t>
      </w:r>
      <w:r w:rsidRPr="005D4B47">
        <w:rPr>
          <w:b/>
          <w:bCs/>
        </w:rPr>
        <w:t>:</w:t>
      </w:r>
      <w:r w:rsidRPr="005D4B47">
        <w:tab/>
      </w:r>
      <w:r w:rsidR="003A3FB9">
        <w:t>The Commission should apply the incremental 2026 and 2027 SYA revenues approved in Issue 107 on a pro rata basis to the customer, energy, and demand charges for the non-lighting classes approved in Issues 75 through 85. (Williams)</w:t>
      </w:r>
    </w:p>
    <w:p w14:paraId="175D059B" w14:textId="77777777" w:rsidR="0063317A" w:rsidRPr="00701945" w:rsidRDefault="0063317A" w:rsidP="0063317A">
      <w:pPr>
        <w:jc w:val="both"/>
      </w:pPr>
    </w:p>
    <w:p w14:paraId="66ACB784" w14:textId="77777777" w:rsidR="0063317A" w:rsidRDefault="0063317A" w:rsidP="0063317A">
      <w:pPr>
        <w:ind w:left="1440" w:hanging="1440"/>
        <w:jc w:val="both"/>
      </w:pPr>
      <w:r>
        <w:rPr>
          <w:b/>
          <w:bCs/>
        </w:rPr>
        <w:t>OPC</w:t>
      </w:r>
      <w:r w:rsidRPr="00701945">
        <w:rPr>
          <w:b/>
          <w:bCs/>
        </w:rPr>
        <w:t>:</w:t>
      </w:r>
      <w:r>
        <w:tab/>
      </w:r>
      <w:r w:rsidR="00D175D0">
        <w:t>The incremental revenues should include all of OPC’s adjustments which would allow a maximum revenue increase of $60.257 million in 2026 and $20.286 million in 2027.</w:t>
      </w:r>
    </w:p>
    <w:p w14:paraId="0B09233D" w14:textId="06FCDED0" w:rsidR="0063317A" w:rsidRDefault="0063317A" w:rsidP="0063317A">
      <w:pPr>
        <w:ind w:left="1440" w:hanging="1440"/>
        <w:jc w:val="both"/>
      </w:pPr>
    </w:p>
    <w:p w14:paraId="2DFC79A7" w14:textId="77777777" w:rsidR="00570764" w:rsidRDefault="00570764" w:rsidP="0063317A">
      <w:pPr>
        <w:ind w:left="1440" w:hanging="1440"/>
        <w:jc w:val="both"/>
      </w:pPr>
    </w:p>
    <w:p w14:paraId="78999E4B" w14:textId="77777777" w:rsidR="0063317A" w:rsidRDefault="0063317A" w:rsidP="0063317A">
      <w:pPr>
        <w:ind w:left="1440" w:hanging="1440"/>
        <w:jc w:val="both"/>
        <w:rPr>
          <w:b/>
        </w:rPr>
      </w:pPr>
      <w:r>
        <w:rPr>
          <w:b/>
        </w:rPr>
        <w:lastRenderedPageBreak/>
        <w:t>FL RISING/</w:t>
      </w:r>
    </w:p>
    <w:p w14:paraId="385A99DC" w14:textId="2BDF6496" w:rsidR="0063317A" w:rsidRDefault="0063317A" w:rsidP="0063317A">
      <w:pPr>
        <w:ind w:left="1440" w:hanging="1440"/>
        <w:jc w:val="both"/>
        <w:rPr>
          <w:b/>
        </w:rPr>
      </w:pPr>
      <w:r>
        <w:rPr>
          <w:b/>
        </w:rPr>
        <w:t>LULAC:</w:t>
      </w:r>
      <w:r>
        <w:rPr>
          <w:b/>
        </w:rPr>
        <w:tab/>
      </w:r>
      <w:r w:rsidR="00B53B02" w:rsidRPr="52F44B59">
        <w:t>If the Commission approves the SYA, then 12CP + 50% AD should be used to allocate the increased revenue requirement.</w:t>
      </w:r>
    </w:p>
    <w:p w14:paraId="06CD5515" w14:textId="77777777" w:rsidR="0063317A" w:rsidRDefault="0063317A" w:rsidP="0063317A">
      <w:pPr>
        <w:ind w:left="1440" w:hanging="1440"/>
        <w:jc w:val="both"/>
        <w:rPr>
          <w:b/>
        </w:rPr>
      </w:pPr>
    </w:p>
    <w:p w14:paraId="0E45B709" w14:textId="3ED5B865" w:rsidR="0063317A" w:rsidRDefault="0063317A" w:rsidP="0063317A">
      <w:pPr>
        <w:ind w:left="1440" w:hanging="1440"/>
        <w:jc w:val="both"/>
        <w:rPr>
          <w:b/>
        </w:rPr>
      </w:pPr>
      <w:r>
        <w:rPr>
          <w:b/>
        </w:rPr>
        <w:t>FIPUG:</w:t>
      </w:r>
      <w:r>
        <w:rPr>
          <w:b/>
        </w:rPr>
        <w:tab/>
      </w:r>
      <w:r w:rsidR="001502A7">
        <w:rPr>
          <w:bCs/>
        </w:rPr>
        <w:t>The rate design approach as proposed by FIPUG above</w:t>
      </w:r>
      <w:r w:rsidR="00D60135">
        <w:rPr>
          <w:bCs/>
        </w:rPr>
        <w:t>, 4 CP</w:t>
      </w:r>
      <w:r w:rsidR="001502A7">
        <w:rPr>
          <w:bCs/>
        </w:rPr>
        <w:t>.</w:t>
      </w:r>
    </w:p>
    <w:p w14:paraId="238B94C9" w14:textId="77777777" w:rsidR="0063317A" w:rsidRDefault="0063317A" w:rsidP="0063317A">
      <w:pPr>
        <w:ind w:left="1440" w:hanging="1440"/>
        <w:jc w:val="both"/>
        <w:rPr>
          <w:b/>
        </w:rPr>
      </w:pPr>
    </w:p>
    <w:p w14:paraId="3CD7A58E" w14:textId="5FDD5ABB" w:rsidR="0063317A" w:rsidRDefault="0063317A" w:rsidP="0063317A">
      <w:pPr>
        <w:ind w:left="1440" w:hanging="1440"/>
        <w:jc w:val="both"/>
        <w:rPr>
          <w:b/>
        </w:rPr>
      </w:pPr>
      <w:r>
        <w:rPr>
          <w:b/>
        </w:rPr>
        <w:t>FEA:</w:t>
      </w:r>
      <w:r>
        <w:rPr>
          <w:b/>
        </w:rPr>
        <w:tab/>
      </w:r>
      <w:r w:rsidR="004C2712">
        <w:t>No position.</w:t>
      </w:r>
    </w:p>
    <w:p w14:paraId="37F71DD1" w14:textId="77777777" w:rsidR="0063317A" w:rsidRDefault="0063317A" w:rsidP="0063317A">
      <w:pPr>
        <w:ind w:left="1440" w:hanging="1440"/>
        <w:jc w:val="both"/>
        <w:rPr>
          <w:b/>
        </w:rPr>
      </w:pPr>
    </w:p>
    <w:p w14:paraId="3D2A2496" w14:textId="77777777" w:rsidR="00A14A11" w:rsidRDefault="00764960" w:rsidP="0063317A">
      <w:pPr>
        <w:ind w:left="1440" w:hanging="1440"/>
        <w:jc w:val="both"/>
        <w:rPr>
          <w:b/>
        </w:rPr>
      </w:pPr>
      <w:r>
        <w:rPr>
          <w:b/>
        </w:rPr>
        <w:t xml:space="preserve">SIERRA </w:t>
      </w:r>
    </w:p>
    <w:p w14:paraId="1E3F9D9D" w14:textId="645E31C6" w:rsidR="0063317A" w:rsidRDefault="00764960" w:rsidP="0063317A">
      <w:pPr>
        <w:ind w:left="1440" w:hanging="1440"/>
        <w:jc w:val="both"/>
        <w:rPr>
          <w:b/>
        </w:rPr>
      </w:pPr>
      <w:r>
        <w:rPr>
          <w:b/>
        </w:rPr>
        <w:t>CLUB</w:t>
      </w:r>
      <w:r w:rsidR="0063317A">
        <w:rPr>
          <w:b/>
        </w:rPr>
        <w:t>:</w:t>
      </w:r>
      <w:r w:rsidR="0063317A">
        <w:rPr>
          <w:b/>
        </w:rPr>
        <w:tab/>
      </w:r>
      <w:r w:rsidR="004C2712">
        <w:t>No position.</w:t>
      </w:r>
    </w:p>
    <w:p w14:paraId="098E5CD7" w14:textId="77777777" w:rsidR="0063317A" w:rsidRDefault="0063317A" w:rsidP="0063317A">
      <w:pPr>
        <w:ind w:left="1440" w:hanging="1440"/>
        <w:jc w:val="both"/>
        <w:rPr>
          <w:b/>
        </w:rPr>
      </w:pPr>
    </w:p>
    <w:p w14:paraId="358C5E8D" w14:textId="77777777" w:rsidR="0063317A" w:rsidRDefault="0063317A" w:rsidP="0063317A">
      <w:pPr>
        <w:ind w:left="1440" w:hanging="1440"/>
        <w:jc w:val="both"/>
        <w:rPr>
          <w:b/>
        </w:rPr>
      </w:pPr>
      <w:r>
        <w:rPr>
          <w:b/>
        </w:rPr>
        <w:t>FRF:</w:t>
      </w:r>
      <w:r>
        <w:rPr>
          <w:b/>
        </w:rPr>
        <w:tab/>
      </w:r>
      <w:r w:rsidR="00E0636D">
        <w:t>The FRF does not oppose TECO’s proposed cost of service study or its proposed revenue allocation methodology.</w:t>
      </w:r>
    </w:p>
    <w:p w14:paraId="651414C6" w14:textId="77777777" w:rsidR="0063317A" w:rsidRDefault="0063317A" w:rsidP="0063317A">
      <w:pPr>
        <w:ind w:left="1440" w:hanging="1440"/>
        <w:jc w:val="both"/>
        <w:rPr>
          <w:b/>
        </w:rPr>
      </w:pPr>
    </w:p>
    <w:p w14:paraId="6F941DD6" w14:textId="77777777" w:rsidR="00A14A11" w:rsidRDefault="00C0182D" w:rsidP="0063317A">
      <w:pPr>
        <w:ind w:left="1440" w:hanging="1440"/>
        <w:jc w:val="both"/>
        <w:rPr>
          <w:b/>
        </w:rPr>
      </w:pPr>
      <w:r>
        <w:rPr>
          <w:b/>
        </w:rPr>
        <w:t xml:space="preserve">FUEL </w:t>
      </w:r>
    </w:p>
    <w:p w14:paraId="4E6DC9B1" w14:textId="5C4C950D" w:rsidR="0063317A" w:rsidRDefault="00C0182D" w:rsidP="0063317A">
      <w:pPr>
        <w:ind w:left="1440" w:hanging="1440"/>
        <w:jc w:val="both"/>
      </w:pPr>
      <w:r>
        <w:rPr>
          <w:b/>
        </w:rPr>
        <w:t>RETAILERS</w:t>
      </w:r>
      <w:r w:rsidR="0063317A">
        <w:rPr>
          <w:b/>
        </w:rPr>
        <w:t>:</w:t>
      </w:r>
      <w:r w:rsidR="00A14A11">
        <w:rPr>
          <w:b/>
        </w:rPr>
        <w:t xml:space="preserve"> </w:t>
      </w:r>
      <w:r w:rsidR="00A309A9" w:rsidRPr="00A53630">
        <w:t>Agree</w:t>
      </w:r>
      <w:r w:rsidR="004C2712">
        <w:t>s</w:t>
      </w:r>
      <w:r w:rsidR="00A309A9" w:rsidRPr="00A53630">
        <w:t xml:space="preserve"> with </w:t>
      </w:r>
      <w:r w:rsidR="004C2712">
        <w:t>OPC</w:t>
      </w:r>
      <w:r w:rsidR="00A309A9" w:rsidRPr="00A53630">
        <w:t>.</w:t>
      </w:r>
    </w:p>
    <w:p w14:paraId="64DF7C5E" w14:textId="77777777" w:rsidR="005A487E" w:rsidRDefault="005A487E" w:rsidP="0063317A">
      <w:pPr>
        <w:ind w:left="1440" w:hanging="1440"/>
        <w:jc w:val="both"/>
      </w:pPr>
    </w:p>
    <w:p w14:paraId="6CB2FFA8" w14:textId="646B2461" w:rsidR="005A487E" w:rsidRPr="005A487E" w:rsidRDefault="00FD408B" w:rsidP="0063317A">
      <w:pPr>
        <w:ind w:left="1440" w:hanging="1440"/>
        <w:jc w:val="both"/>
        <w:rPr>
          <w:b/>
        </w:rPr>
      </w:pPr>
      <w:r>
        <w:rPr>
          <w:b/>
        </w:rPr>
        <w:t>WALMART</w:t>
      </w:r>
      <w:r w:rsidR="005A487E">
        <w:rPr>
          <w:b/>
        </w:rPr>
        <w:t>:</w:t>
      </w:r>
      <w:r w:rsidR="005A487E">
        <w:rPr>
          <w:b/>
        </w:rPr>
        <w:tab/>
      </w:r>
      <w:r w:rsidR="004C2712">
        <w:t>Ad</w:t>
      </w:r>
      <w:r w:rsidR="005A487E">
        <w:t>opts the position of FRF.</w:t>
      </w:r>
    </w:p>
    <w:p w14:paraId="2A06C43F" w14:textId="77777777" w:rsidR="0063317A" w:rsidRPr="00701945" w:rsidRDefault="0063317A" w:rsidP="0063317A">
      <w:pPr>
        <w:jc w:val="both"/>
      </w:pPr>
    </w:p>
    <w:p w14:paraId="60A3743C" w14:textId="77777777" w:rsidR="0063317A" w:rsidRPr="005D4B47" w:rsidRDefault="0063317A" w:rsidP="0063317A">
      <w:pPr>
        <w:ind w:left="1440" w:hanging="1440"/>
        <w:jc w:val="both"/>
        <w:rPr>
          <w:b/>
          <w:bCs/>
        </w:rPr>
      </w:pPr>
      <w:r>
        <w:rPr>
          <w:b/>
          <w:bCs/>
        </w:rPr>
        <w:t>STAFF:</w:t>
      </w:r>
      <w:r>
        <w:rPr>
          <w:b/>
          <w:bCs/>
        </w:rPr>
        <w:tab/>
      </w:r>
      <w:r w:rsidR="003E5174">
        <w:t>No position at this time.</w:t>
      </w:r>
    </w:p>
    <w:p w14:paraId="79AF0958" w14:textId="77777777" w:rsidR="0063317A" w:rsidRDefault="0063317A" w:rsidP="00C7699A">
      <w:pPr>
        <w:jc w:val="both"/>
      </w:pPr>
    </w:p>
    <w:p w14:paraId="4B067638" w14:textId="77777777" w:rsidR="0063317A" w:rsidRDefault="0063317A" w:rsidP="00C7699A">
      <w:pPr>
        <w:jc w:val="both"/>
      </w:pPr>
    </w:p>
    <w:p w14:paraId="51F228EB" w14:textId="77777777" w:rsidR="0063317A" w:rsidRPr="003A3FB9" w:rsidRDefault="0063317A" w:rsidP="0063317A">
      <w:pPr>
        <w:ind w:left="1440" w:hanging="1440"/>
        <w:jc w:val="both"/>
        <w:rPr>
          <w:b/>
        </w:rPr>
      </w:pPr>
      <w:r w:rsidRPr="005D4B47">
        <w:rPr>
          <w:b/>
          <w:bCs/>
        </w:rPr>
        <w:t>ISSUE 1</w:t>
      </w:r>
      <w:r w:rsidR="003A3FB9">
        <w:rPr>
          <w:b/>
          <w:bCs/>
        </w:rPr>
        <w:t>0</w:t>
      </w:r>
      <w:r>
        <w:rPr>
          <w:b/>
          <w:bCs/>
        </w:rPr>
        <w:t>9</w:t>
      </w:r>
      <w:r w:rsidRPr="00701945">
        <w:rPr>
          <w:b/>
          <w:bCs/>
        </w:rPr>
        <w:t>:</w:t>
      </w:r>
      <w:r w:rsidRPr="00701945">
        <w:tab/>
      </w:r>
      <w:r w:rsidR="003A3FB9" w:rsidRPr="003A3FB9">
        <w:rPr>
          <w:b/>
          <w:bCs/>
        </w:rPr>
        <w:t>When should the 2026 and 2027 SYA become effective?</w:t>
      </w:r>
    </w:p>
    <w:p w14:paraId="5218B2C3" w14:textId="77777777" w:rsidR="0063317A" w:rsidRPr="00701945" w:rsidRDefault="0063317A" w:rsidP="0063317A">
      <w:pPr>
        <w:jc w:val="both"/>
      </w:pPr>
    </w:p>
    <w:p w14:paraId="188EB231" w14:textId="48021CF0" w:rsidR="0063317A" w:rsidRDefault="0063317A" w:rsidP="0063317A">
      <w:pPr>
        <w:ind w:left="1440" w:hanging="1440"/>
        <w:jc w:val="both"/>
      </w:pPr>
      <w:r>
        <w:rPr>
          <w:b/>
          <w:bCs/>
        </w:rPr>
        <w:t>TECO</w:t>
      </w:r>
      <w:r w:rsidRPr="005D4B47">
        <w:rPr>
          <w:b/>
          <w:bCs/>
        </w:rPr>
        <w:t>:</w:t>
      </w:r>
      <w:r w:rsidRPr="005D4B47">
        <w:tab/>
      </w:r>
      <w:r w:rsidR="003A3FB9">
        <w:t>The 2026 and 2027 SYA should be effective with the first billing cycle in January 2026 and 2027, respectively. (Chronister, Williams)</w:t>
      </w:r>
    </w:p>
    <w:p w14:paraId="141CFCE1" w14:textId="77777777" w:rsidR="00BC3B3C" w:rsidRPr="005D4B47" w:rsidRDefault="00BC3B3C" w:rsidP="0063317A">
      <w:pPr>
        <w:ind w:left="1440" w:hanging="1440"/>
        <w:jc w:val="both"/>
      </w:pPr>
    </w:p>
    <w:p w14:paraId="5C833ECC" w14:textId="771A7F7C" w:rsidR="0063317A" w:rsidRDefault="0063317A" w:rsidP="0063317A">
      <w:pPr>
        <w:ind w:left="1440" w:hanging="1440"/>
        <w:jc w:val="both"/>
      </w:pPr>
      <w:r>
        <w:rPr>
          <w:b/>
          <w:bCs/>
        </w:rPr>
        <w:t>OPC</w:t>
      </w:r>
      <w:r w:rsidRPr="00701945">
        <w:rPr>
          <w:b/>
          <w:bCs/>
        </w:rPr>
        <w:t>:</w:t>
      </w:r>
      <w:r>
        <w:tab/>
      </w:r>
      <w:r w:rsidR="00D175D0">
        <w:t>The 2026 SYA, if allowed over the objection of OPC, should not become effective any sooner than the first billing cycle in 2026. The 2027 SYA, if allowed over the objection of the OPC, should not become effective any sooner than the first billing cycle in 2027.</w:t>
      </w:r>
    </w:p>
    <w:p w14:paraId="320CFE9D" w14:textId="77777777" w:rsidR="0063317A" w:rsidRDefault="0063317A" w:rsidP="0063317A">
      <w:pPr>
        <w:ind w:left="1440" w:hanging="1440"/>
        <w:jc w:val="both"/>
      </w:pPr>
    </w:p>
    <w:p w14:paraId="37909318" w14:textId="77777777" w:rsidR="0063317A" w:rsidRDefault="0063317A" w:rsidP="0063317A">
      <w:pPr>
        <w:ind w:left="1440" w:hanging="1440"/>
        <w:jc w:val="both"/>
        <w:rPr>
          <w:b/>
        </w:rPr>
      </w:pPr>
      <w:r>
        <w:rPr>
          <w:b/>
        </w:rPr>
        <w:t>FL RISING/</w:t>
      </w:r>
    </w:p>
    <w:p w14:paraId="4067D330" w14:textId="6971E98B" w:rsidR="0063317A" w:rsidRDefault="0063317A" w:rsidP="0063317A">
      <w:pPr>
        <w:ind w:left="1440" w:hanging="1440"/>
        <w:jc w:val="both"/>
        <w:rPr>
          <w:b/>
        </w:rPr>
      </w:pPr>
      <w:r>
        <w:rPr>
          <w:b/>
        </w:rPr>
        <w:t>LULAC:</w:t>
      </w:r>
      <w:r>
        <w:rPr>
          <w:b/>
        </w:rPr>
        <w:tab/>
      </w:r>
      <w:r w:rsidR="00B53B02">
        <w:rPr>
          <w:bCs/>
        </w:rPr>
        <w:t>Never. If the Commission approves the SYAs, then January 1, 2026, and January 1, 2027.</w:t>
      </w:r>
    </w:p>
    <w:p w14:paraId="6A1DBF9D" w14:textId="77777777" w:rsidR="0063317A" w:rsidRDefault="0063317A" w:rsidP="0063317A">
      <w:pPr>
        <w:ind w:left="1440" w:hanging="1440"/>
        <w:jc w:val="both"/>
        <w:rPr>
          <w:b/>
        </w:rPr>
      </w:pPr>
    </w:p>
    <w:p w14:paraId="124CC873" w14:textId="6AB6689D" w:rsidR="0063317A" w:rsidRDefault="0063317A" w:rsidP="0063317A">
      <w:pPr>
        <w:ind w:left="1440" w:hanging="1440"/>
        <w:jc w:val="both"/>
        <w:rPr>
          <w:b/>
        </w:rPr>
      </w:pPr>
      <w:r>
        <w:rPr>
          <w:b/>
        </w:rPr>
        <w:t>FIPUG:</w:t>
      </w:r>
      <w:r>
        <w:rPr>
          <w:b/>
        </w:rPr>
        <w:tab/>
      </w:r>
      <w:r w:rsidR="009A326E" w:rsidRPr="009A326E">
        <w:t>Adopt</w:t>
      </w:r>
      <w:r w:rsidR="0028508F">
        <w:t>s the</w:t>
      </w:r>
      <w:r w:rsidR="009A326E" w:rsidRPr="009A326E">
        <w:t xml:space="preserve"> position of OPC.</w:t>
      </w:r>
    </w:p>
    <w:p w14:paraId="26B29229" w14:textId="77777777" w:rsidR="0063317A" w:rsidRDefault="0063317A" w:rsidP="0063317A">
      <w:pPr>
        <w:ind w:left="1440" w:hanging="1440"/>
        <w:jc w:val="both"/>
        <w:rPr>
          <w:b/>
        </w:rPr>
      </w:pPr>
    </w:p>
    <w:p w14:paraId="2B9DF315" w14:textId="0B46C856" w:rsidR="0063317A" w:rsidRDefault="0063317A" w:rsidP="0063317A">
      <w:pPr>
        <w:ind w:left="1440" w:hanging="1440"/>
        <w:jc w:val="both"/>
        <w:rPr>
          <w:b/>
        </w:rPr>
      </w:pPr>
      <w:r>
        <w:rPr>
          <w:b/>
        </w:rPr>
        <w:t>FEA:</w:t>
      </w:r>
      <w:r>
        <w:rPr>
          <w:b/>
        </w:rPr>
        <w:tab/>
      </w:r>
      <w:r w:rsidR="0028508F">
        <w:t>No position.</w:t>
      </w:r>
    </w:p>
    <w:p w14:paraId="65832B58" w14:textId="77777777" w:rsidR="0063317A" w:rsidRDefault="0063317A" w:rsidP="0063317A">
      <w:pPr>
        <w:ind w:left="1440" w:hanging="1440"/>
        <w:jc w:val="both"/>
        <w:rPr>
          <w:b/>
        </w:rPr>
      </w:pPr>
    </w:p>
    <w:p w14:paraId="699DFE31" w14:textId="77777777" w:rsidR="00A14A11" w:rsidRDefault="00764960" w:rsidP="0063317A">
      <w:pPr>
        <w:ind w:left="1440" w:hanging="1440"/>
        <w:jc w:val="both"/>
        <w:rPr>
          <w:b/>
        </w:rPr>
      </w:pPr>
      <w:r>
        <w:rPr>
          <w:b/>
        </w:rPr>
        <w:t xml:space="preserve">SIERRA </w:t>
      </w:r>
    </w:p>
    <w:p w14:paraId="7422AA14" w14:textId="0763517C" w:rsidR="0063317A" w:rsidRDefault="00764960" w:rsidP="0063317A">
      <w:pPr>
        <w:ind w:left="1440" w:hanging="1440"/>
        <w:jc w:val="both"/>
        <w:rPr>
          <w:b/>
        </w:rPr>
      </w:pPr>
      <w:r>
        <w:rPr>
          <w:b/>
        </w:rPr>
        <w:t>CLUB</w:t>
      </w:r>
      <w:r w:rsidR="0063317A">
        <w:rPr>
          <w:b/>
        </w:rPr>
        <w:t>:</w:t>
      </w:r>
      <w:r w:rsidR="0063317A">
        <w:rPr>
          <w:b/>
        </w:rPr>
        <w:tab/>
      </w:r>
      <w:r w:rsidR="0028508F">
        <w:t>No position.</w:t>
      </w:r>
    </w:p>
    <w:p w14:paraId="70E3BCAB" w14:textId="77777777" w:rsidR="0063317A" w:rsidRDefault="0063317A" w:rsidP="0063317A">
      <w:pPr>
        <w:ind w:left="1440" w:hanging="1440"/>
        <w:jc w:val="both"/>
        <w:rPr>
          <w:b/>
        </w:rPr>
      </w:pPr>
    </w:p>
    <w:p w14:paraId="6BC9F29D" w14:textId="77777777" w:rsidR="0063317A" w:rsidRDefault="0063317A" w:rsidP="0063317A">
      <w:pPr>
        <w:ind w:left="1440" w:hanging="1440"/>
        <w:jc w:val="both"/>
        <w:rPr>
          <w:b/>
        </w:rPr>
      </w:pPr>
      <w:r>
        <w:rPr>
          <w:b/>
        </w:rPr>
        <w:t>FRF:</w:t>
      </w:r>
      <w:r>
        <w:rPr>
          <w:b/>
        </w:rPr>
        <w:tab/>
      </w:r>
      <w:r w:rsidR="00E0636D">
        <w:t xml:space="preserve">If approved, any 2026 SYA should become effective for service rendered on the first day of the first billing cycle of January 2026, and any 2027 SYA should </w:t>
      </w:r>
      <w:r w:rsidR="00E0636D">
        <w:lastRenderedPageBreak/>
        <w:t>become effective for service rendered on the first day of the first billing cycle of January 2027.</w:t>
      </w:r>
    </w:p>
    <w:p w14:paraId="3D6D7309" w14:textId="77777777" w:rsidR="0063317A" w:rsidRDefault="0063317A" w:rsidP="0063317A">
      <w:pPr>
        <w:ind w:left="1440" w:hanging="1440"/>
        <w:jc w:val="both"/>
        <w:rPr>
          <w:b/>
        </w:rPr>
      </w:pPr>
    </w:p>
    <w:p w14:paraId="4B7C81DA" w14:textId="77777777" w:rsidR="00A14A11" w:rsidRDefault="00C0182D" w:rsidP="0063317A">
      <w:pPr>
        <w:ind w:left="1440" w:hanging="1440"/>
        <w:jc w:val="both"/>
        <w:rPr>
          <w:b/>
        </w:rPr>
      </w:pPr>
      <w:r>
        <w:rPr>
          <w:b/>
        </w:rPr>
        <w:t xml:space="preserve">FUEL </w:t>
      </w:r>
    </w:p>
    <w:p w14:paraId="2AE2FFCE" w14:textId="3F01023C" w:rsidR="0063317A" w:rsidRDefault="00C0182D" w:rsidP="0063317A">
      <w:pPr>
        <w:ind w:left="1440" w:hanging="1440"/>
        <w:jc w:val="both"/>
      </w:pPr>
      <w:r>
        <w:rPr>
          <w:b/>
        </w:rPr>
        <w:t>RETAILERS</w:t>
      </w:r>
      <w:r w:rsidR="0063317A">
        <w:rPr>
          <w:b/>
        </w:rPr>
        <w:t>:</w:t>
      </w:r>
      <w:r w:rsidR="00A14A11">
        <w:rPr>
          <w:b/>
        </w:rPr>
        <w:t xml:space="preserve"> </w:t>
      </w:r>
      <w:r w:rsidR="00A309A9" w:rsidRPr="00A53630">
        <w:t>Agree</w:t>
      </w:r>
      <w:r w:rsidR="0028508F">
        <w:t>s</w:t>
      </w:r>
      <w:r w:rsidR="00A309A9" w:rsidRPr="00A53630">
        <w:t xml:space="preserve"> with </w:t>
      </w:r>
      <w:r w:rsidR="0028508F">
        <w:t>OPC</w:t>
      </w:r>
      <w:r w:rsidR="00A309A9" w:rsidRPr="00A53630">
        <w:t>.</w:t>
      </w:r>
    </w:p>
    <w:p w14:paraId="617C4C03" w14:textId="77777777" w:rsidR="005A487E" w:rsidRDefault="005A487E" w:rsidP="0063317A">
      <w:pPr>
        <w:ind w:left="1440" w:hanging="1440"/>
        <w:jc w:val="both"/>
      </w:pPr>
    </w:p>
    <w:p w14:paraId="787D088C" w14:textId="41282FB5" w:rsidR="005A487E" w:rsidRPr="005A487E" w:rsidRDefault="00FD408B" w:rsidP="0063317A">
      <w:pPr>
        <w:ind w:left="1440" w:hanging="1440"/>
        <w:jc w:val="both"/>
        <w:rPr>
          <w:b/>
        </w:rPr>
      </w:pPr>
      <w:r>
        <w:rPr>
          <w:b/>
        </w:rPr>
        <w:t>WALMART</w:t>
      </w:r>
      <w:r w:rsidR="005A487E">
        <w:rPr>
          <w:b/>
        </w:rPr>
        <w:t>:</w:t>
      </w:r>
      <w:r w:rsidR="0028508F">
        <w:rPr>
          <w:b/>
        </w:rPr>
        <w:t xml:space="preserve"> </w:t>
      </w:r>
      <w:r w:rsidR="0028508F" w:rsidRPr="0028508F">
        <w:t>A</w:t>
      </w:r>
      <w:r w:rsidR="005A487E">
        <w:t>dopts the position of FRF.</w:t>
      </w:r>
    </w:p>
    <w:p w14:paraId="6FBDCD8E" w14:textId="77777777" w:rsidR="0063317A" w:rsidRPr="00701945" w:rsidRDefault="0063317A" w:rsidP="0063317A">
      <w:pPr>
        <w:jc w:val="both"/>
      </w:pPr>
    </w:p>
    <w:p w14:paraId="5F83B399" w14:textId="77777777" w:rsidR="0063317A" w:rsidRPr="005D4B47" w:rsidRDefault="0063317A" w:rsidP="0063317A">
      <w:pPr>
        <w:ind w:left="1440" w:hanging="1440"/>
        <w:jc w:val="both"/>
        <w:rPr>
          <w:b/>
          <w:bCs/>
        </w:rPr>
      </w:pPr>
      <w:r>
        <w:rPr>
          <w:b/>
          <w:bCs/>
        </w:rPr>
        <w:t>STAFF:</w:t>
      </w:r>
      <w:r>
        <w:rPr>
          <w:b/>
          <w:bCs/>
        </w:rPr>
        <w:tab/>
      </w:r>
      <w:r w:rsidR="003E5174">
        <w:t>No position at this time.</w:t>
      </w:r>
    </w:p>
    <w:p w14:paraId="5A8DEDE4" w14:textId="77777777" w:rsidR="00150651" w:rsidRDefault="00150651" w:rsidP="00C7699A">
      <w:pPr>
        <w:jc w:val="both"/>
      </w:pPr>
    </w:p>
    <w:p w14:paraId="11EC2098" w14:textId="77777777" w:rsidR="00150651" w:rsidRDefault="00150651" w:rsidP="00C7699A">
      <w:pPr>
        <w:jc w:val="both"/>
      </w:pPr>
    </w:p>
    <w:p w14:paraId="2AAB15C0" w14:textId="77777777" w:rsidR="0063317A" w:rsidRPr="003A3FB9" w:rsidRDefault="0063317A" w:rsidP="0063317A">
      <w:pPr>
        <w:ind w:left="1440" w:hanging="1440"/>
        <w:jc w:val="both"/>
        <w:rPr>
          <w:b/>
        </w:rPr>
      </w:pPr>
      <w:r w:rsidRPr="005D4B47">
        <w:rPr>
          <w:b/>
          <w:bCs/>
        </w:rPr>
        <w:t>ISSUE 1</w:t>
      </w:r>
      <w:r w:rsidR="003A3FB9">
        <w:rPr>
          <w:b/>
          <w:bCs/>
        </w:rPr>
        <w:t>10</w:t>
      </w:r>
      <w:r w:rsidRPr="00701945">
        <w:rPr>
          <w:b/>
          <w:bCs/>
        </w:rPr>
        <w:t>:</w:t>
      </w:r>
      <w:r w:rsidRPr="00701945">
        <w:tab/>
      </w:r>
      <w:r w:rsidR="003A3FB9" w:rsidRPr="003A3FB9">
        <w:rPr>
          <w:b/>
          <w:bCs/>
        </w:rPr>
        <w:t>Should TECO be required to file its proposed 2026 and 2027 SYA rates for Commission approval in September 2026 and 2027, respectively, reflecting then current billing determinants?</w:t>
      </w:r>
    </w:p>
    <w:p w14:paraId="006E38E0" w14:textId="77777777" w:rsidR="0063317A" w:rsidRPr="00701945" w:rsidRDefault="0063317A" w:rsidP="0063317A">
      <w:pPr>
        <w:jc w:val="both"/>
      </w:pPr>
    </w:p>
    <w:p w14:paraId="1F889FDA" w14:textId="77777777" w:rsidR="0063317A" w:rsidRPr="005D4B47" w:rsidRDefault="0063317A" w:rsidP="0063317A">
      <w:pPr>
        <w:ind w:left="1440" w:hanging="1440"/>
        <w:jc w:val="both"/>
      </w:pPr>
      <w:r>
        <w:rPr>
          <w:b/>
          <w:bCs/>
        </w:rPr>
        <w:t>TECO</w:t>
      </w:r>
      <w:r w:rsidRPr="005D4B47">
        <w:rPr>
          <w:b/>
          <w:bCs/>
        </w:rPr>
        <w:t>:</w:t>
      </w:r>
      <w:r w:rsidRPr="005D4B47">
        <w:tab/>
      </w:r>
      <w:r w:rsidR="003A3FB9">
        <w:t>Yes. This approach ensures that SYA rates will be based on the most recent available billing determinants. (Williams)</w:t>
      </w:r>
    </w:p>
    <w:p w14:paraId="576923B2" w14:textId="77777777" w:rsidR="0063317A" w:rsidRPr="00701945" w:rsidRDefault="0063317A" w:rsidP="0063317A">
      <w:pPr>
        <w:jc w:val="both"/>
      </w:pPr>
    </w:p>
    <w:p w14:paraId="778B3D2A" w14:textId="77777777" w:rsidR="0063317A" w:rsidRDefault="0063317A" w:rsidP="0063317A">
      <w:pPr>
        <w:ind w:left="1440" w:hanging="1440"/>
        <w:jc w:val="both"/>
      </w:pPr>
      <w:r>
        <w:rPr>
          <w:b/>
          <w:bCs/>
        </w:rPr>
        <w:t>OPC</w:t>
      </w:r>
      <w:r w:rsidRPr="00701945">
        <w:rPr>
          <w:b/>
          <w:bCs/>
        </w:rPr>
        <w:t>:</w:t>
      </w:r>
      <w:r>
        <w:tab/>
      </w:r>
      <w:r w:rsidR="00D175D0">
        <w:t>Yes.</w:t>
      </w:r>
    </w:p>
    <w:p w14:paraId="33B66028" w14:textId="77777777" w:rsidR="00CC0620" w:rsidRDefault="00CC0620" w:rsidP="0063317A">
      <w:pPr>
        <w:ind w:left="1440" w:hanging="1440"/>
        <w:jc w:val="both"/>
      </w:pPr>
    </w:p>
    <w:p w14:paraId="7693A795" w14:textId="77777777" w:rsidR="0063317A" w:rsidRDefault="0063317A" w:rsidP="0063317A">
      <w:pPr>
        <w:ind w:left="1440" w:hanging="1440"/>
        <w:jc w:val="both"/>
        <w:rPr>
          <w:b/>
        </w:rPr>
      </w:pPr>
      <w:r>
        <w:rPr>
          <w:b/>
        </w:rPr>
        <w:t>FL RISING/</w:t>
      </w:r>
    </w:p>
    <w:p w14:paraId="19910328" w14:textId="77777777" w:rsidR="0063317A" w:rsidRDefault="0063317A" w:rsidP="0063317A">
      <w:pPr>
        <w:ind w:left="1440" w:hanging="1440"/>
        <w:jc w:val="both"/>
        <w:rPr>
          <w:b/>
        </w:rPr>
      </w:pPr>
      <w:r>
        <w:rPr>
          <w:b/>
        </w:rPr>
        <w:t>LULAC:</w:t>
      </w:r>
      <w:r>
        <w:rPr>
          <w:b/>
        </w:rPr>
        <w:tab/>
      </w:r>
      <w:r w:rsidR="00B53B02">
        <w:rPr>
          <w:bCs/>
        </w:rPr>
        <w:t>Yes, if the Commission approves the 2026 and 2027 SYAs.</w:t>
      </w:r>
    </w:p>
    <w:p w14:paraId="6B32CB1A" w14:textId="77777777" w:rsidR="0063317A" w:rsidRDefault="0063317A" w:rsidP="0063317A">
      <w:pPr>
        <w:ind w:left="1440" w:hanging="1440"/>
        <w:jc w:val="both"/>
        <w:rPr>
          <w:b/>
        </w:rPr>
      </w:pPr>
    </w:p>
    <w:p w14:paraId="16A69FC8" w14:textId="5059A0C9" w:rsidR="0063317A" w:rsidRDefault="0063317A" w:rsidP="0063317A">
      <w:pPr>
        <w:ind w:left="1440" w:hanging="1440"/>
        <w:jc w:val="both"/>
        <w:rPr>
          <w:b/>
        </w:rPr>
      </w:pPr>
      <w:r>
        <w:rPr>
          <w:b/>
        </w:rPr>
        <w:t>FIPUG:</w:t>
      </w:r>
      <w:r>
        <w:rPr>
          <w:b/>
        </w:rPr>
        <w:tab/>
      </w:r>
      <w:r w:rsidR="009A326E" w:rsidRPr="009A326E">
        <w:t>Adopt</w:t>
      </w:r>
      <w:r w:rsidR="00C818CF">
        <w:t xml:space="preserve">s the </w:t>
      </w:r>
      <w:r w:rsidR="009A326E" w:rsidRPr="009A326E">
        <w:t>position of OPC.</w:t>
      </w:r>
    </w:p>
    <w:p w14:paraId="114C6E89" w14:textId="77777777" w:rsidR="0063317A" w:rsidRDefault="0063317A" w:rsidP="0063317A">
      <w:pPr>
        <w:ind w:left="1440" w:hanging="1440"/>
        <w:jc w:val="both"/>
        <w:rPr>
          <w:b/>
        </w:rPr>
      </w:pPr>
    </w:p>
    <w:p w14:paraId="3C393E0F" w14:textId="0530D1D0" w:rsidR="0063317A" w:rsidRDefault="0063317A" w:rsidP="0063317A">
      <w:pPr>
        <w:ind w:left="1440" w:hanging="1440"/>
        <w:jc w:val="both"/>
        <w:rPr>
          <w:b/>
        </w:rPr>
      </w:pPr>
      <w:r>
        <w:rPr>
          <w:b/>
        </w:rPr>
        <w:t>FEA:</w:t>
      </w:r>
      <w:r>
        <w:rPr>
          <w:b/>
        </w:rPr>
        <w:tab/>
      </w:r>
      <w:r w:rsidR="00C818CF">
        <w:t>No position.</w:t>
      </w:r>
    </w:p>
    <w:p w14:paraId="7B0E9971" w14:textId="77777777" w:rsidR="0063317A" w:rsidRDefault="0063317A" w:rsidP="0063317A">
      <w:pPr>
        <w:ind w:left="1440" w:hanging="1440"/>
        <w:jc w:val="both"/>
        <w:rPr>
          <w:b/>
        </w:rPr>
      </w:pPr>
    </w:p>
    <w:p w14:paraId="009B5284" w14:textId="77777777" w:rsidR="00A14A11" w:rsidRDefault="00764960" w:rsidP="0063317A">
      <w:pPr>
        <w:ind w:left="1440" w:hanging="1440"/>
        <w:jc w:val="both"/>
        <w:rPr>
          <w:b/>
        </w:rPr>
      </w:pPr>
      <w:r>
        <w:rPr>
          <w:b/>
        </w:rPr>
        <w:t xml:space="preserve">SIERRA </w:t>
      </w:r>
    </w:p>
    <w:p w14:paraId="7A2175A4" w14:textId="6AAF8E43" w:rsidR="0063317A" w:rsidRDefault="00764960" w:rsidP="0063317A">
      <w:pPr>
        <w:ind w:left="1440" w:hanging="1440"/>
        <w:jc w:val="both"/>
        <w:rPr>
          <w:b/>
        </w:rPr>
      </w:pPr>
      <w:r>
        <w:rPr>
          <w:b/>
        </w:rPr>
        <w:t>CLUB</w:t>
      </w:r>
      <w:r w:rsidR="0063317A">
        <w:rPr>
          <w:b/>
        </w:rPr>
        <w:t>:</w:t>
      </w:r>
      <w:r w:rsidR="0063317A">
        <w:rPr>
          <w:b/>
        </w:rPr>
        <w:tab/>
      </w:r>
      <w:r w:rsidR="00C818CF">
        <w:t>No position.</w:t>
      </w:r>
    </w:p>
    <w:p w14:paraId="70AAFC80" w14:textId="77777777" w:rsidR="0063317A" w:rsidRDefault="0063317A" w:rsidP="0063317A">
      <w:pPr>
        <w:ind w:left="1440" w:hanging="1440"/>
        <w:jc w:val="both"/>
        <w:rPr>
          <w:b/>
        </w:rPr>
      </w:pPr>
    </w:p>
    <w:p w14:paraId="6AA5B84D" w14:textId="77777777" w:rsidR="0063317A" w:rsidRPr="00E0636D" w:rsidRDefault="0063317A" w:rsidP="0063317A">
      <w:pPr>
        <w:ind w:left="1440" w:hanging="1440"/>
        <w:jc w:val="both"/>
      </w:pPr>
      <w:r>
        <w:rPr>
          <w:b/>
        </w:rPr>
        <w:t>FRF:</w:t>
      </w:r>
      <w:r>
        <w:rPr>
          <w:b/>
        </w:rPr>
        <w:tab/>
      </w:r>
      <w:r w:rsidR="00E0636D">
        <w:t>Yes.</w:t>
      </w:r>
    </w:p>
    <w:p w14:paraId="729C6146" w14:textId="77777777" w:rsidR="0063317A" w:rsidRDefault="0063317A" w:rsidP="0063317A">
      <w:pPr>
        <w:ind w:left="1440" w:hanging="1440"/>
        <w:jc w:val="both"/>
        <w:rPr>
          <w:b/>
        </w:rPr>
      </w:pPr>
    </w:p>
    <w:p w14:paraId="29AEB1EE" w14:textId="77777777" w:rsidR="00A14A11" w:rsidRDefault="00C0182D" w:rsidP="0063317A">
      <w:pPr>
        <w:ind w:left="1440" w:hanging="1440"/>
        <w:jc w:val="both"/>
        <w:rPr>
          <w:b/>
        </w:rPr>
      </w:pPr>
      <w:r>
        <w:rPr>
          <w:b/>
        </w:rPr>
        <w:t xml:space="preserve">FUEL </w:t>
      </w:r>
    </w:p>
    <w:p w14:paraId="744CAB92" w14:textId="41F993E0" w:rsidR="0063317A" w:rsidRDefault="00C0182D" w:rsidP="0063317A">
      <w:pPr>
        <w:ind w:left="1440" w:hanging="1440"/>
        <w:jc w:val="both"/>
      </w:pPr>
      <w:r>
        <w:rPr>
          <w:b/>
        </w:rPr>
        <w:t>RETAILERS</w:t>
      </w:r>
      <w:r w:rsidR="0063317A">
        <w:rPr>
          <w:b/>
        </w:rPr>
        <w:t>:</w:t>
      </w:r>
      <w:r w:rsidR="00A14A11">
        <w:rPr>
          <w:b/>
        </w:rPr>
        <w:t xml:space="preserve"> </w:t>
      </w:r>
      <w:r w:rsidR="00727593" w:rsidRPr="00A53630">
        <w:t>Agree</w:t>
      </w:r>
      <w:r w:rsidR="00C818CF">
        <w:t>s</w:t>
      </w:r>
      <w:r w:rsidR="00727593" w:rsidRPr="00A53630">
        <w:t xml:space="preserve"> with </w:t>
      </w:r>
      <w:r w:rsidR="00C818CF">
        <w:t>OPC</w:t>
      </w:r>
      <w:r w:rsidR="00727593" w:rsidRPr="00A53630">
        <w:t>.</w:t>
      </w:r>
    </w:p>
    <w:p w14:paraId="3C5EE4AB" w14:textId="77777777" w:rsidR="005A487E" w:rsidRDefault="005A487E" w:rsidP="0063317A">
      <w:pPr>
        <w:ind w:left="1440" w:hanging="1440"/>
        <w:jc w:val="both"/>
      </w:pPr>
    </w:p>
    <w:p w14:paraId="1F774BDD" w14:textId="605261B0" w:rsidR="005A487E" w:rsidRPr="005A487E" w:rsidRDefault="00FD408B" w:rsidP="0063317A">
      <w:pPr>
        <w:ind w:left="1440" w:hanging="1440"/>
        <w:jc w:val="both"/>
        <w:rPr>
          <w:b/>
        </w:rPr>
      </w:pPr>
      <w:r>
        <w:rPr>
          <w:b/>
        </w:rPr>
        <w:t>WALMART</w:t>
      </w:r>
      <w:r w:rsidR="005A487E">
        <w:rPr>
          <w:b/>
        </w:rPr>
        <w:t>:</w:t>
      </w:r>
      <w:r w:rsidR="005A487E">
        <w:rPr>
          <w:b/>
        </w:rPr>
        <w:tab/>
      </w:r>
      <w:r w:rsidR="00C818CF">
        <w:t>A</w:t>
      </w:r>
      <w:r w:rsidR="005A487E">
        <w:t>dopts the position of FRF.</w:t>
      </w:r>
    </w:p>
    <w:p w14:paraId="3EA62BA9" w14:textId="77777777" w:rsidR="0063317A" w:rsidRPr="00701945" w:rsidRDefault="0063317A" w:rsidP="0063317A">
      <w:pPr>
        <w:jc w:val="both"/>
      </w:pPr>
    </w:p>
    <w:p w14:paraId="07E5CC16" w14:textId="77777777" w:rsidR="0063317A" w:rsidRPr="005D4B47" w:rsidRDefault="0063317A" w:rsidP="0063317A">
      <w:pPr>
        <w:ind w:left="1440" w:hanging="1440"/>
        <w:jc w:val="both"/>
        <w:rPr>
          <w:b/>
          <w:bCs/>
        </w:rPr>
      </w:pPr>
      <w:r>
        <w:rPr>
          <w:b/>
          <w:bCs/>
        </w:rPr>
        <w:t>STAFF:</w:t>
      </w:r>
      <w:r>
        <w:rPr>
          <w:b/>
          <w:bCs/>
        </w:rPr>
        <w:tab/>
      </w:r>
      <w:r w:rsidR="003E5174">
        <w:t>No position at this time.</w:t>
      </w:r>
    </w:p>
    <w:p w14:paraId="15D32BBB" w14:textId="77777777" w:rsidR="0063317A" w:rsidRDefault="0063317A" w:rsidP="00C7699A">
      <w:pPr>
        <w:jc w:val="both"/>
      </w:pPr>
    </w:p>
    <w:p w14:paraId="61416033" w14:textId="26D314C9" w:rsidR="003A3FB9" w:rsidRDefault="003A3FB9" w:rsidP="00C7699A">
      <w:pPr>
        <w:jc w:val="both"/>
      </w:pPr>
    </w:p>
    <w:p w14:paraId="0AD11FCA" w14:textId="1C165FAE" w:rsidR="002735FD" w:rsidRDefault="002735FD" w:rsidP="00C7699A">
      <w:pPr>
        <w:jc w:val="both"/>
      </w:pPr>
    </w:p>
    <w:p w14:paraId="21614F15" w14:textId="774DEF47" w:rsidR="002735FD" w:rsidRDefault="002735FD" w:rsidP="00C7699A">
      <w:pPr>
        <w:jc w:val="both"/>
      </w:pPr>
    </w:p>
    <w:p w14:paraId="03E16CCF" w14:textId="0CFBF4AA" w:rsidR="002735FD" w:rsidRDefault="002735FD" w:rsidP="00C7699A">
      <w:pPr>
        <w:jc w:val="both"/>
      </w:pPr>
    </w:p>
    <w:p w14:paraId="38E5CA44" w14:textId="0861C8DC" w:rsidR="002735FD" w:rsidRDefault="002735FD" w:rsidP="00C7699A">
      <w:pPr>
        <w:jc w:val="both"/>
      </w:pPr>
    </w:p>
    <w:p w14:paraId="2A635B44" w14:textId="77777777" w:rsidR="002735FD" w:rsidRDefault="002735FD" w:rsidP="00C7699A">
      <w:pPr>
        <w:jc w:val="both"/>
      </w:pPr>
    </w:p>
    <w:p w14:paraId="2414785E" w14:textId="77777777" w:rsidR="003A3FB9" w:rsidRDefault="003A3FB9" w:rsidP="003A3FB9">
      <w:pPr>
        <w:jc w:val="center"/>
      </w:pPr>
      <w:r w:rsidRPr="00F528AE">
        <w:rPr>
          <w:b/>
          <w:bCs/>
          <w:u w:val="single"/>
        </w:rPr>
        <w:lastRenderedPageBreak/>
        <w:t>OTHER</w:t>
      </w:r>
    </w:p>
    <w:p w14:paraId="405A80F2" w14:textId="77777777" w:rsidR="0063317A" w:rsidRDefault="0063317A" w:rsidP="00C7699A">
      <w:pPr>
        <w:jc w:val="both"/>
      </w:pPr>
    </w:p>
    <w:p w14:paraId="6B1192BC" w14:textId="77777777" w:rsidR="0063317A" w:rsidRPr="003A3FB9" w:rsidRDefault="0063317A" w:rsidP="0063317A">
      <w:pPr>
        <w:ind w:left="1440" w:hanging="1440"/>
        <w:jc w:val="both"/>
        <w:rPr>
          <w:b/>
        </w:rPr>
      </w:pPr>
      <w:r w:rsidRPr="005D4B47">
        <w:rPr>
          <w:b/>
          <w:bCs/>
        </w:rPr>
        <w:t>ISSUE 1</w:t>
      </w:r>
      <w:r w:rsidR="003A3FB9">
        <w:rPr>
          <w:b/>
          <w:bCs/>
        </w:rPr>
        <w:t>11</w:t>
      </w:r>
      <w:r w:rsidRPr="00701945">
        <w:rPr>
          <w:b/>
          <w:bCs/>
        </w:rPr>
        <w:t>:</w:t>
      </w:r>
      <w:r w:rsidRPr="00701945">
        <w:tab/>
      </w:r>
      <w:r w:rsidR="003A3FB9" w:rsidRPr="003A3FB9">
        <w:rPr>
          <w:b/>
          <w:bCs/>
        </w:rPr>
        <w:t>Should TECO’s proposed Corporate Income Tax Change Provision be approved?</w:t>
      </w:r>
    </w:p>
    <w:p w14:paraId="1C3739CC" w14:textId="77777777" w:rsidR="0063317A" w:rsidRPr="00701945" w:rsidRDefault="0063317A" w:rsidP="0063317A">
      <w:pPr>
        <w:jc w:val="both"/>
      </w:pPr>
    </w:p>
    <w:p w14:paraId="0DB1188F" w14:textId="77777777" w:rsidR="0063317A" w:rsidRPr="005D4B47" w:rsidRDefault="0063317A" w:rsidP="0063317A">
      <w:pPr>
        <w:ind w:left="1440" w:hanging="1440"/>
        <w:jc w:val="both"/>
      </w:pPr>
      <w:r>
        <w:rPr>
          <w:b/>
          <w:bCs/>
        </w:rPr>
        <w:t>TECO</w:t>
      </w:r>
      <w:r w:rsidRPr="005D4B47">
        <w:rPr>
          <w:b/>
          <w:bCs/>
        </w:rPr>
        <w:t>:</w:t>
      </w:r>
      <w:r w:rsidRPr="005D4B47">
        <w:tab/>
      </w:r>
      <w:r w:rsidR="003A3FB9">
        <w:t>Yes. The proposed Corporate Income Tax Change Provision, like others that have been in effect by agreement since 2013, will provide an efficient regulatory mechanism for addressing corporate income tax changes that occur after this rate proceeding is over. (Chronister)</w:t>
      </w:r>
    </w:p>
    <w:p w14:paraId="5E07EA6F" w14:textId="77777777" w:rsidR="0063317A" w:rsidRPr="00701945" w:rsidRDefault="0063317A" w:rsidP="0063317A">
      <w:pPr>
        <w:jc w:val="both"/>
      </w:pPr>
    </w:p>
    <w:p w14:paraId="70B97EE9" w14:textId="77777777" w:rsidR="0063317A" w:rsidRDefault="0063317A" w:rsidP="0063317A">
      <w:pPr>
        <w:ind w:left="1440" w:hanging="1440"/>
        <w:jc w:val="both"/>
      </w:pPr>
      <w:r>
        <w:rPr>
          <w:b/>
          <w:bCs/>
        </w:rPr>
        <w:t>OPC</w:t>
      </w:r>
      <w:r w:rsidRPr="00701945">
        <w:rPr>
          <w:b/>
          <w:bCs/>
        </w:rPr>
        <w:t>:</w:t>
      </w:r>
      <w:r>
        <w:tab/>
      </w:r>
      <w:r w:rsidR="00D175D0">
        <w:t>No. It is premature as there is no pending federal or state tax law changes and may inappropriately affect the agency’s future actions that otherwise would be applicable to all utilities statewide. Based on Commission precedent, this issue should not be included in this docket.</w:t>
      </w:r>
    </w:p>
    <w:p w14:paraId="1746A1A4" w14:textId="77777777" w:rsidR="0063317A" w:rsidRDefault="0063317A" w:rsidP="0063317A">
      <w:pPr>
        <w:ind w:left="1440" w:hanging="1440"/>
        <w:jc w:val="both"/>
      </w:pPr>
    </w:p>
    <w:p w14:paraId="0BB3C0C3" w14:textId="77777777" w:rsidR="0063317A" w:rsidRDefault="0063317A" w:rsidP="0063317A">
      <w:pPr>
        <w:ind w:left="1440" w:hanging="1440"/>
        <w:jc w:val="both"/>
        <w:rPr>
          <w:b/>
        </w:rPr>
      </w:pPr>
      <w:r>
        <w:rPr>
          <w:b/>
        </w:rPr>
        <w:t>FL RISING/</w:t>
      </w:r>
    </w:p>
    <w:p w14:paraId="09F6A474" w14:textId="77777777" w:rsidR="0063317A" w:rsidRDefault="0063317A" w:rsidP="0063317A">
      <w:pPr>
        <w:ind w:left="1440" w:hanging="1440"/>
        <w:jc w:val="both"/>
        <w:rPr>
          <w:b/>
        </w:rPr>
      </w:pPr>
      <w:r>
        <w:rPr>
          <w:b/>
        </w:rPr>
        <w:t>LULAC:</w:t>
      </w:r>
      <w:r>
        <w:rPr>
          <w:b/>
        </w:rPr>
        <w:tab/>
      </w:r>
      <w:r w:rsidR="00B53B02">
        <w:rPr>
          <w:bCs/>
        </w:rPr>
        <w:t>No.</w:t>
      </w:r>
    </w:p>
    <w:p w14:paraId="560F9EAD" w14:textId="77777777" w:rsidR="0063317A" w:rsidRDefault="0063317A" w:rsidP="0063317A">
      <w:pPr>
        <w:ind w:left="1440" w:hanging="1440"/>
        <w:jc w:val="both"/>
        <w:rPr>
          <w:b/>
        </w:rPr>
      </w:pPr>
    </w:p>
    <w:p w14:paraId="304736F4" w14:textId="2A8E5B4B" w:rsidR="0063317A" w:rsidRDefault="0063317A" w:rsidP="0063317A">
      <w:pPr>
        <w:ind w:left="1440" w:hanging="1440"/>
        <w:jc w:val="both"/>
        <w:rPr>
          <w:b/>
        </w:rPr>
      </w:pPr>
      <w:r>
        <w:rPr>
          <w:b/>
        </w:rPr>
        <w:t>FIPUG:</w:t>
      </w:r>
      <w:r>
        <w:rPr>
          <w:b/>
        </w:rPr>
        <w:tab/>
      </w:r>
      <w:r w:rsidR="009A326E" w:rsidRPr="009A326E">
        <w:rPr>
          <w:bCs/>
        </w:rPr>
        <w:t>Adopt</w:t>
      </w:r>
      <w:r w:rsidR="003D26FF">
        <w:rPr>
          <w:bCs/>
        </w:rPr>
        <w:t>s the</w:t>
      </w:r>
      <w:r w:rsidR="009A326E" w:rsidRPr="009A326E">
        <w:rPr>
          <w:bCs/>
        </w:rPr>
        <w:t xml:space="preserve"> position of OPC.</w:t>
      </w:r>
    </w:p>
    <w:p w14:paraId="3713FBE4" w14:textId="77777777" w:rsidR="0063317A" w:rsidRDefault="0063317A" w:rsidP="0063317A">
      <w:pPr>
        <w:ind w:left="1440" w:hanging="1440"/>
        <w:jc w:val="both"/>
        <w:rPr>
          <w:b/>
        </w:rPr>
      </w:pPr>
    </w:p>
    <w:p w14:paraId="14B33E16" w14:textId="7CB1B65B" w:rsidR="0063317A" w:rsidRDefault="0063317A" w:rsidP="0063317A">
      <w:pPr>
        <w:ind w:left="1440" w:hanging="1440"/>
        <w:jc w:val="both"/>
        <w:rPr>
          <w:b/>
        </w:rPr>
      </w:pPr>
      <w:r>
        <w:rPr>
          <w:b/>
        </w:rPr>
        <w:t>FEA:</w:t>
      </w:r>
      <w:r>
        <w:rPr>
          <w:b/>
        </w:rPr>
        <w:tab/>
      </w:r>
      <w:r w:rsidR="003D26FF">
        <w:t>No position.</w:t>
      </w:r>
    </w:p>
    <w:p w14:paraId="3B6186D1" w14:textId="77777777" w:rsidR="0063317A" w:rsidRDefault="0063317A" w:rsidP="0063317A">
      <w:pPr>
        <w:ind w:left="1440" w:hanging="1440"/>
        <w:jc w:val="both"/>
        <w:rPr>
          <w:b/>
        </w:rPr>
      </w:pPr>
    </w:p>
    <w:p w14:paraId="66C26754" w14:textId="77777777" w:rsidR="00A14A11" w:rsidRDefault="00764960" w:rsidP="0063317A">
      <w:pPr>
        <w:ind w:left="1440" w:hanging="1440"/>
        <w:jc w:val="both"/>
        <w:rPr>
          <w:b/>
        </w:rPr>
      </w:pPr>
      <w:r>
        <w:rPr>
          <w:b/>
        </w:rPr>
        <w:t xml:space="preserve">SIERRA </w:t>
      </w:r>
    </w:p>
    <w:p w14:paraId="277DDBF1" w14:textId="3D26E233" w:rsidR="0063317A" w:rsidRDefault="00764960" w:rsidP="0063317A">
      <w:pPr>
        <w:ind w:left="1440" w:hanging="1440"/>
        <w:jc w:val="both"/>
        <w:rPr>
          <w:b/>
        </w:rPr>
      </w:pPr>
      <w:r>
        <w:rPr>
          <w:b/>
        </w:rPr>
        <w:t>CLUB</w:t>
      </w:r>
      <w:r w:rsidR="0063317A">
        <w:rPr>
          <w:b/>
        </w:rPr>
        <w:t>:</w:t>
      </w:r>
      <w:r w:rsidR="0063317A">
        <w:rPr>
          <w:b/>
        </w:rPr>
        <w:tab/>
      </w:r>
      <w:r w:rsidR="003D26FF">
        <w:t>No position.</w:t>
      </w:r>
    </w:p>
    <w:p w14:paraId="226B6220" w14:textId="77777777" w:rsidR="0063317A" w:rsidRDefault="0063317A" w:rsidP="0063317A">
      <w:pPr>
        <w:ind w:left="1440" w:hanging="1440"/>
        <w:jc w:val="both"/>
        <w:rPr>
          <w:b/>
        </w:rPr>
      </w:pPr>
    </w:p>
    <w:p w14:paraId="0CA03A99" w14:textId="52C78C88" w:rsidR="0063317A" w:rsidRDefault="0063317A" w:rsidP="0063317A">
      <w:pPr>
        <w:ind w:left="1440" w:hanging="1440"/>
        <w:jc w:val="both"/>
        <w:rPr>
          <w:b/>
        </w:rPr>
      </w:pPr>
      <w:r>
        <w:rPr>
          <w:b/>
        </w:rPr>
        <w:t>FRF:</w:t>
      </w:r>
      <w:r>
        <w:rPr>
          <w:b/>
        </w:rPr>
        <w:tab/>
      </w:r>
      <w:r w:rsidR="00A80388">
        <w:t>Agree</w:t>
      </w:r>
      <w:r w:rsidR="003D26FF">
        <w:t>s</w:t>
      </w:r>
      <w:r w:rsidR="00A80388">
        <w:t xml:space="preserve"> with OPC.</w:t>
      </w:r>
    </w:p>
    <w:p w14:paraId="79F4B24E" w14:textId="77777777" w:rsidR="0063317A" w:rsidRDefault="0063317A" w:rsidP="0063317A">
      <w:pPr>
        <w:ind w:left="1440" w:hanging="1440"/>
        <w:jc w:val="both"/>
        <w:rPr>
          <w:b/>
        </w:rPr>
      </w:pPr>
    </w:p>
    <w:p w14:paraId="5A4F1410" w14:textId="77777777" w:rsidR="00A14A11" w:rsidRDefault="00C0182D" w:rsidP="0063317A">
      <w:pPr>
        <w:ind w:left="1440" w:hanging="1440"/>
        <w:jc w:val="both"/>
        <w:rPr>
          <w:b/>
        </w:rPr>
      </w:pPr>
      <w:r>
        <w:rPr>
          <w:b/>
        </w:rPr>
        <w:t xml:space="preserve">FUEL </w:t>
      </w:r>
    </w:p>
    <w:p w14:paraId="3B69596A" w14:textId="66B7719D" w:rsidR="0063317A" w:rsidRDefault="00C0182D" w:rsidP="0063317A">
      <w:pPr>
        <w:ind w:left="1440" w:hanging="1440"/>
        <w:jc w:val="both"/>
      </w:pPr>
      <w:r>
        <w:rPr>
          <w:b/>
        </w:rPr>
        <w:t>RETAILERS</w:t>
      </w:r>
      <w:r w:rsidR="0063317A">
        <w:rPr>
          <w:b/>
        </w:rPr>
        <w:t>:</w:t>
      </w:r>
      <w:r w:rsidR="00A14A11">
        <w:rPr>
          <w:b/>
        </w:rPr>
        <w:t xml:space="preserve"> </w:t>
      </w:r>
      <w:r w:rsidR="00727593" w:rsidRPr="00903FCD">
        <w:t xml:space="preserve">No </w:t>
      </w:r>
      <w:r w:rsidR="003D26FF">
        <w:t>p</w:t>
      </w:r>
      <w:r w:rsidR="00727593" w:rsidRPr="00903FCD">
        <w:t>osition.</w:t>
      </w:r>
    </w:p>
    <w:p w14:paraId="539813BE" w14:textId="77777777" w:rsidR="005A487E" w:rsidRDefault="005A487E" w:rsidP="0063317A">
      <w:pPr>
        <w:ind w:left="1440" w:hanging="1440"/>
        <w:jc w:val="both"/>
      </w:pPr>
    </w:p>
    <w:p w14:paraId="0C3A50DE" w14:textId="06FA55C3" w:rsidR="005A487E" w:rsidRPr="005A487E" w:rsidRDefault="00FD408B" w:rsidP="0063317A">
      <w:pPr>
        <w:ind w:left="1440" w:hanging="1440"/>
        <w:jc w:val="both"/>
        <w:rPr>
          <w:b/>
        </w:rPr>
      </w:pPr>
      <w:r>
        <w:rPr>
          <w:b/>
        </w:rPr>
        <w:t>WALMART</w:t>
      </w:r>
      <w:r w:rsidR="005A487E">
        <w:rPr>
          <w:b/>
        </w:rPr>
        <w:t>:</w:t>
      </w:r>
      <w:r w:rsidR="005A487E">
        <w:rPr>
          <w:b/>
        </w:rPr>
        <w:tab/>
      </w:r>
      <w:r w:rsidR="003D26FF">
        <w:t>A</w:t>
      </w:r>
      <w:r w:rsidR="005A487E">
        <w:t>grees with OPC.</w:t>
      </w:r>
    </w:p>
    <w:p w14:paraId="343D1D41" w14:textId="77777777" w:rsidR="0063317A" w:rsidRPr="00701945" w:rsidRDefault="0063317A" w:rsidP="0063317A">
      <w:pPr>
        <w:jc w:val="both"/>
      </w:pPr>
    </w:p>
    <w:p w14:paraId="279820D4" w14:textId="77777777" w:rsidR="0063317A" w:rsidRPr="005D4B47" w:rsidRDefault="0063317A" w:rsidP="0063317A">
      <w:pPr>
        <w:ind w:left="1440" w:hanging="1440"/>
        <w:jc w:val="both"/>
        <w:rPr>
          <w:b/>
          <w:bCs/>
        </w:rPr>
      </w:pPr>
      <w:r>
        <w:rPr>
          <w:b/>
          <w:bCs/>
        </w:rPr>
        <w:t>STAFF:</w:t>
      </w:r>
      <w:r>
        <w:rPr>
          <w:b/>
          <w:bCs/>
        </w:rPr>
        <w:tab/>
      </w:r>
      <w:r w:rsidR="003E5174">
        <w:t>No position at this time.</w:t>
      </w:r>
    </w:p>
    <w:p w14:paraId="1230332B" w14:textId="77777777" w:rsidR="0063317A" w:rsidRDefault="0063317A" w:rsidP="00C7699A">
      <w:pPr>
        <w:jc w:val="both"/>
      </w:pPr>
    </w:p>
    <w:p w14:paraId="5E27BD67" w14:textId="77777777" w:rsidR="0063317A" w:rsidRDefault="0063317A" w:rsidP="00C7699A">
      <w:pPr>
        <w:jc w:val="both"/>
      </w:pPr>
    </w:p>
    <w:p w14:paraId="359A0EE1" w14:textId="77777777" w:rsidR="0063317A" w:rsidRPr="00701945" w:rsidRDefault="0063317A" w:rsidP="0063317A">
      <w:pPr>
        <w:ind w:left="1440" w:hanging="1440"/>
        <w:jc w:val="both"/>
      </w:pPr>
      <w:r w:rsidRPr="005D4B47">
        <w:rPr>
          <w:b/>
          <w:bCs/>
        </w:rPr>
        <w:t>ISSUE 1</w:t>
      </w:r>
      <w:r w:rsidR="003A3FB9">
        <w:rPr>
          <w:b/>
          <w:bCs/>
        </w:rPr>
        <w:t>12</w:t>
      </w:r>
      <w:r w:rsidRPr="00701945">
        <w:rPr>
          <w:b/>
          <w:bCs/>
        </w:rPr>
        <w:t>:</w:t>
      </w:r>
      <w:r w:rsidRPr="00701945">
        <w:tab/>
      </w:r>
      <w:r w:rsidR="003A3FB9" w:rsidRPr="003A3FB9">
        <w:rPr>
          <w:b/>
          <w:bCs/>
        </w:rPr>
        <w:t>Should TECO’s proposed Storm Cost Recovery Provision be approved?</w:t>
      </w:r>
    </w:p>
    <w:p w14:paraId="7239AE3E" w14:textId="77777777" w:rsidR="0063317A" w:rsidRPr="00701945" w:rsidRDefault="0063317A" w:rsidP="0063317A">
      <w:pPr>
        <w:jc w:val="both"/>
      </w:pPr>
    </w:p>
    <w:p w14:paraId="29DE7EEE" w14:textId="77777777" w:rsidR="0063317A" w:rsidRPr="005D4B47" w:rsidRDefault="0063317A" w:rsidP="0063317A">
      <w:pPr>
        <w:ind w:left="1440" w:hanging="1440"/>
        <w:jc w:val="both"/>
      </w:pPr>
      <w:r>
        <w:rPr>
          <w:b/>
          <w:bCs/>
        </w:rPr>
        <w:t>TECO</w:t>
      </w:r>
      <w:r w:rsidRPr="005D4B47">
        <w:rPr>
          <w:b/>
          <w:bCs/>
        </w:rPr>
        <w:t>:</w:t>
      </w:r>
      <w:r w:rsidRPr="005D4B47">
        <w:tab/>
      </w:r>
      <w:r w:rsidR="003A3FB9">
        <w:t>Yes. The proposed Storm Cost Recovery Provision, like others that have been in effect by agreement since 2013, will provide an efficient regulatory mechanism for review and recovery of prudent storm damage restoration and recovery costs. (Chronister)</w:t>
      </w:r>
    </w:p>
    <w:p w14:paraId="57B8346B" w14:textId="77777777" w:rsidR="0063317A" w:rsidRPr="00701945" w:rsidRDefault="0063317A" w:rsidP="0063317A">
      <w:pPr>
        <w:jc w:val="both"/>
      </w:pPr>
    </w:p>
    <w:p w14:paraId="50BFE368" w14:textId="77777777" w:rsidR="0063317A" w:rsidRDefault="0063317A" w:rsidP="0063317A">
      <w:pPr>
        <w:ind w:left="1440" w:hanging="1440"/>
        <w:jc w:val="both"/>
      </w:pPr>
      <w:r>
        <w:rPr>
          <w:b/>
          <w:bCs/>
        </w:rPr>
        <w:t>OPC</w:t>
      </w:r>
      <w:r w:rsidRPr="00701945">
        <w:rPr>
          <w:b/>
          <w:bCs/>
        </w:rPr>
        <w:t>:</w:t>
      </w:r>
      <w:r>
        <w:tab/>
      </w:r>
      <w:r w:rsidR="00D175D0">
        <w:t xml:space="preserve">Yes, to the extent the storm cost recovery provision is consistent with the </w:t>
      </w:r>
      <w:r w:rsidR="00D175D0" w:rsidRPr="000764E6">
        <w:rPr>
          <w:i/>
        </w:rPr>
        <w:t>Wilson</w:t>
      </w:r>
      <w:r w:rsidR="00D175D0" w:rsidRPr="0023024D">
        <w:rPr>
          <w:u w:val="single"/>
        </w:rPr>
        <w:t xml:space="preserve"> </w:t>
      </w:r>
      <w:r w:rsidR="00D175D0">
        <w:t>case which allows for a tariff filed by a company to become effective subject to a hearing.</w:t>
      </w:r>
    </w:p>
    <w:p w14:paraId="1D3E5BE6" w14:textId="77777777" w:rsidR="0063317A" w:rsidRDefault="0063317A" w:rsidP="0063317A">
      <w:pPr>
        <w:ind w:left="1440" w:hanging="1440"/>
        <w:jc w:val="both"/>
        <w:rPr>
          <w:b/>
        </w:rPr>
      </w:pPr>
      <w:r>
        <w:rPr>
          <w:b/>
        </w:rPr>
        <w:lastRenderedPageBreak/>
        <w:t>FL RISING/</w:t>
      </w:r>
    </w:p>
    <w:p w14:paraId="7C584AD0" w14:textId="77777777" w:rsidR="0063317A" w:rsidRDefault="0063317A" w:rsidP="0063317A">
      <w:pPr>
        <w:ind w:left="1440" w:hanging="1440"/>
        <w:jc w:val="both"/>
        <w:rPr>
          <w:b/>
        </w:rPr>
      </w:pPr>
      <w:r>
        <w:rPr>
          <w:b/>
        </w:rPr>
        <w:t>LULAC:</w:t>
      </w:r>
      <w:r>
        <w:rPr>
          <w:b/>
        </w:rPr>
        <w:tab/>
      </w:r>
      <w:r w:rsidR="00B53B02">
        <w:rPr>
          <w:bCs/>
        </w:rPr>
        <w:t>No.</w:t>
      </w:r>
    </w:p>
    <w:p w14:paraId="623AF99B" w14:textId="77777777" w:rsidR="0063317A" w:rsidRDefault="0063317A" w:rsidP="0063317A">
      <w:pPr>
        <w:ind w:left="1440" w:hanging="1440"/>
        <w:jc w:val="both"/>
        <w:rPr>
          <w:b/>
        </w:rPr>
      </w:pPr>
    </w:p>
    <w:p w14:paraId="0B86ACD1" w14:textId="6563978E" w:rsidR="0063317A" w:rsidRDefault="0063317A" w:rsidP="0063317A">
      <w:pPr>
        <w:ind w:left="1440" w:hanging="1440"/>
        <w:jc w:val="both"/>
        <w:rPr>
          <w:bCs/>
        </w:rPr>
      </w:pPr>
      <w:r>
        <w:rPr>
          <w:b/>
        </w:rPr>
        <w:t>FIPUG:</w:t>
      </w:r>
      <w:r>
        <w:rPr>
          <w:b/>
        </w:rPr>
        <w:tab/>
      </w:r>
      <w:r w:rsidR="001502A7" w:rsidRPr="00F5435C">
        <w:rPr>
          <w:bCs/>
        </w:rPr>
        <w:t>Adopt</w:t>
      </w:r>
      <w:r w:rsidR="005675A0">
        <w:rPr>
          <w:bCs/>
        </w:rPr>
        <w:t>s the</w:t>
      </w:r>
      <w:r w:rsidR="001502A7" w:rsidRPr="00F5435C">
        <w:rPr>
          <w:bCs/>
        </w:rPr>
        <w:t xml:space="preserve"> position of OPC.</w:t>
      </w:r>
    </w:p>
    <w:p w14:paraId="38BA20FE" w14:textId="77777777" w:rsidR="00A263BA" w:rsidRDefault="00A263BA" w:rsidP="0063317A">
      <w:pPr>
        <w:ind w:left="1440" w:hanging="1440"/>
        <w:jc w:val="both"/>
        <w:rPr>
          <w:b/>
        </w:rPr>
      </w:pPr>
    </w:p>
    <w:p w14:paraId="51FE2DAA" w14:textId="632D1C9E" w:rsidR="0063317A" w:rsidRDefault="0063317A" w:rsidP="0063317A">
      <w:pPr>
        <w:ind w:left="1440" w:hanging="1440"/>
        <w:jc w:val="both"/>
        <w:rPr>
          <w:b/>
        </w:rPr>
      </w:pPr>
      <w:r>
        <w:rPr>
          <w:b/>
        </w:rPr>
        <w:t>FEA:</w:t>
      </w:r>
      <w:r>
        <w:rPr>
          <w:b/>
        </w:rPr>
        <w:tab/>
      </w:r>
      <w:r w:rsidR="005675A0">
        <w:t>No position.</w:t>
      </w:r>
    </w:p>
    <w:p w14:paraId="1F2AB9DD" w14:textId="77777777" w:rsidR="0063317A" w:rsidRDefault="0063317A" w:rsidP="0063317A">
      <w:pPr>
        <w:ind w:left="1440" w:hanging="1440"/>
        <w:jc w:val="both"/>
        <w:rPr>
          <w:b/>
        </w:rPr>
      </w:pPr>
    </w:p>
    <w:p w14:paraId="3DBF77EE" w14:textId="77777777" w:rsidR="00A14A11" w:rsidRDefault="00764960" w:rsidP="0063317A">
      <w:pPr>
        <w:ind w:left="1440" w:hanging="1440"/>
        <w:jc w:val="both"/>
        <w:rPr>
          <w:b/>
        </w:rPr>
      </w:pPr>
      <w:r>
        <w:rPr>
          <w:b/>
        </w:rPr>
        <w:t xml:space="preserve">SIERRA </w:t>
      </w:r>
    </w:p>
    <w:p w14:paraId="4529045D" w14:textId="42578C23" w:rsidR="0063317A" w:rsidRDefault="00764960" w:rsidP="0063317A">
      <w:pPr>
        <w:ind w:left="1440" w:hanging="1440"/>
        <w:jc w:val="both"/>
        <w:rPr>
          <w:b/>
        </w:rPr>
      </w:pPr>
      <w:r>
        <w:rPr>
          <w:b/>
        </w:rPr>
        <w:t>CLUB</w:t>
      </w:r>
      <w:r w:rsidR="0063317A">
        <w:rPr>
          <w:b/>
        </w:rPr>
        <w:t>:</w:t>
      </w:r>
      <w:r w:rsidR="0063317A">
        <w:rPr>
          <w:b/>
        </w:rPr>
        <w:tab/>
      </w:r>
      <w:r w:rsidR="005675A0">
        <w:t>No position.</w:t>
      </w:r>
    </w:p>
    <w:p w14:paraId="51993CA6" w14:textId="77777777" w:rsidR="0063317A" w:rsidRDefault="0063317A" w:rsidP="0063317A">
      <w:pPr>
        <w:ind w:left="1440" w:hanging="1440"/>
        <w:jc w:val="both"/>
        <w:rPr>
          <w:b/>
        </w:rPr>
      </w:pPr>
    </w:p>
    <w:p w14:paraId="7EB89679" w14:textId="0478CDDB" w:rsidR="0063317A" w:rsidRDefault="0063317A" w:rsidP="0063317A">
      <w:pPr>
        <w:ind w:left="1440" w:hanging="1440"/>
        <w:jc w:val="both"/>
        <w:rPr>
          <w:b/>
        </w:rPr>
      </w:pPr>
      <w:r>
        <w:rPr>
          <w:b/>
        </w:rPr>
        <w:t>FRF:</w:t>
      </w:r>
      <w:r>
        <w:rPr>
          <w:b/>
        </w:rPr>
        <w:tab/>
      </w:r>
      <w:r w:rsidR="00941EAA" w:rsidRPr="00941EAA">
        <w:t>No.</w:t>
      </w:r>
      <w:r w:rsidR="00941EAA">
        <w:t xml:space="preserve"> </w:t>
      </w:r>
      <w:r w:rsidR="00941EAA" w:rsidRPr="00941EAA">
        <w:t xml:space="preserve">FRF does not object to prompt recovery by </w:t>
      </w:r>
      <w:r w:rsidR="005675A0">
        <w:t>TECO</w:t>
      </w:r>
      <w:r w:rsidR="00941EAA" w:rsidRPr="00941EAA">
        <w:t xml:space="preserve"> of significant storm restoration costs without a rate-case type inquiry, but the FRF agrees with </w:t>
      </w:r>
      <w:r w:rsidR="00FD408B">
        <w:t>W</w:t>
      </w:r>
      <w:r w:rsidR="00E000D4">
        <w:t>almart</w:t>
      </w:r>
      <w:r w:rsidR="00941EAA" w:rsidRPr="00941EAA">
        <w:t xml:space="preserve"> that decisions regarding the cost allocation and rate design for recovery of storm restoration costs should be decided in specific proceedings for each storm event.</w:t>
      </w:r>
    </w:p>
    <w:p w14:paraId="0A71AEEC" w14:textId="77777777" w:rsidR="0063317A" w:rsidRDefault="0063317A" w:rsidP="0063317A">
      <w:pPr>
        <w:ind w:left="1440" w:hanging="1440"/>
        <w:jc w:val="both"/>
        <w:rPr>
          <w:b/>
        </w:rPr>
      </w:pPr>
    </w:p>
    <w:p w14:paraId="38FE2C7C" w14:textId="77777777" w:rsidR="00A14A11" w:rsidRDefault="00C0182D" w:rsidP="0063317A">
      <w:pPr>
        <w:ind w:left="1440" w:hanging="1440"/>
        <w:jc w:val="both"/>
        <w:rPr>
          <w:b/>
        </w:rPr>
      </w:pPr>
      <w:r>
        <w:rPr>
          <w:b/>
        </w:rPr>
        <w:t xml:space="preserve">FUEL </w:t>
      </w:r>
    </w:p>
    <w:p w14:paraId="46505D17" w14:textId="64F6E1F0" w:rsidR="0063317A" w:rsidRDefault="00C0182D" w:rsidP="0063317A">
      <w:pPr>
        <w:ind w:left="1440" w:hanging="1440"/>
        <w:jc w:val="both"/>
      </w:pPr>
      <w:r>
        <w:rPr>
          <w:b/>
        </w:rPr>
        <w:t>RETAILERS</w:t>
      </w:r>
      <w:r w:rsidR="0063317A">
        <w:rPr>
          <w:b/>
        </w:rPr>
        <w:t>:</w:t>
      </w:r>
      <w:r w:rsidR="00A14A11">
        <w:rPr>
          <w:b/>
        </w:rPr>
        <w:t xml:space="preserve"> </w:t>
      </w:r>
      <w:r w:rsidR="00727593" w:rsidRPr="00903FCD">
        <w:t xml:space="preserve">No </w:t>
      </w:r>
      <w:r w:rsidR="005675A0">
        <w:t>p</w:t>
      </w:r>
      <w:r w:rsidR="00727593" w:rsidRPr="00903FCD">
        <w:t>osition.</w:t>
      </w:r>
    </w:p>
    <w:p w14:paraId="14100E87" w14:textId="77777777" w:rsidR="005A487E" w:rsidRDefault="005A487E" w:rsidP="0063317A">
      <w:pPr>
        <w:ind w:left="1440" w:hanging="1440"/>
        <w:jc w:val="both"/>
      </w:pPr>
    </w:p>
    <w:p w14:paraId="470A1C59" w14:textId="3E180360" w:rsidR="005A487E" w:rsidRPr="005A487E" w:rsidRDefault="00FD408B" w:rsidP="0063317A">
      <w:pPr>
        <w:ind w:left="1440" w:hanging="1440"/>
        <w:jc w:val="both"/>
        <w:rPr>
          <w:b/>
        </w:rPr>
      </w:pPr>
      <w:r>
        <w:rPr>
          <w:b/>
        </w:rPr>
        <w:t>WALMART</w:t>
      </w:r>
      <w:r w:rsidR="005A487E">
        <w:rPr>
          <w:b/>
        </w:rPr>
        <w:t>:</w:t>
      </w:r>
      <w:r w:rsidR="005A487E">
        <w:rPr>
          <w:b/>
        </w:rPr>
        <w:tab/>
      </w:r>
      <w:r w:rsidR="005A487E" w:rsidRPr="00C96A94">
        <w:t>Walmart opposes the resolution of this issue in this Docket as to the procedure by which TECO collects future storm costs from customers, though Walmart agrees that such collection of future storm costs would not be subject to a rate case type inquiry</w:t>
      </w:r>
      <w:r w:rsidR="005A487E">
        <w:t>.</w:t>
      </w:r>
    </w:p>
    <w:p w14:paraId="69EE4ADC" w14:textId="77777777" w:rsidR="0063317A" w:rsidRPr="00701945" w:rsidRDefault="0063317A" w:rsidP="0063317A">
      <w:pPr>
        <w:jc w:val="both"/>
      </w:pPr>
    </w:p>
    <w:p w14:paraId="75BAD387" w14:textId="77777777" w:rsidR="0063317A" w:rsidRPr="005D4B47" w:rsidRDefault="0063317A" w:rsidP="0063317A">
      <w:pPr>
        <w:ind w:left="1440" w:hanging="1440"/>
        <w:jc w:val="both"/>
        <w:rPr>
          <w:b/>
          <w:bCs/>
        </w:rPr>
      </w:pPr>
      <w:r>
        <w:rPr>
          <w:b/>
          <w:bCs/>
        </w:rPr>
        <w:t>STAFF:</w:t>
      </w:r>
      <w:r>
        <w:rPr>
          <w:b/>
          <w:bCs/>
        </w:rPr>
        <w:tab/>
      </w:r>
      <w:r w:rsidR="003E5174">
        <w:t>No position at this time.</w:t>
      </w:r>
    </w:p>
    <w:p w14:paraId="1B51DAAE" w14:textId="77777777" w:rsidR="0063317A" w:rsidRDefault="0063317A" w:rsidP="00C7699A">
      <w:pPr>
        <w:jc w:val="both"/>
      </w:pPr>
    </w:p>
    <w:p w14:paraId="3F2646D3" w14:textId="77777777" w:rsidR="00110E8E" w:rsidRDefault="00110E8E" w:rsidP="00C7699A">
      <w:pPr>
        <w:jc w:val="both"/>
      </w:pPr>
    </w:p>
    <w:p w14:paraId="4366AC20" w14:textId="77777777" w:rsidR="0063317A" w:rsidRPr="003A3FB9" w:rsidRDefault="0063317A" w:rsidP="0063317A">
      <w:pPr>
        <w:ind w:left="1440" w:hanging="1440"/>
        <w:jc w:val="both"/>
        <w:rPr>
          <w:b/>
        </w:rPr>
      </w:pPr>
      <w:r w:rsidRPr="005D4B47">
        <w:rPr>
          <w:b/>
          <w:bCs/>
        </w:rPr>
        <w:t>ISSUE 1</w:t>
      </w:r>
      <w:r w:rsidR="003A3FB9">
        <w:rPr>
          <w:b/>
          <w:bCs/>
        </w:rPr>
        <w:t>13</w:t>
      </w:r>
      <w:r w:rsidRPr="00701945">
        <w:rPr>
          <w:b/>
          <w:bCs/>
        </w:rPr>
        <w:t>:</w:t>
      </w:r>
      <w:r w:rsidRPr="00701945">
        <w:tab/>
      </w:r>
      <w:r w:rsidR="003A3FB9" w:rsidRPr="003A3FB9">
        <w:rPr>
          <w:b/>
          <w:bCs/>
        </w:rPr>
        <w:t>Should TECO’s proposed Asset Optimization Mechanism be approved, and what, if any, modifications should be made?</w:t>
      </w:r>
    </w:p>
    <w:p w14:paraId="54E60E22" w14:textId="77777777" w:rsidR="0063317A" w:rsidRPr="00701945" w:rsidRDefault="0063317A" w:rsidP="0063317A">
      <w:pPr>
        <w:jc w:val="both"/>
      </w:pPr>
    </w:p>
    <w:p w14:paraId="18B90545" w14:textId="77777777" w:rsidR="0063317A" w:rsidRPr="005D4B47" w:rsidRDefault="0063317A" w:rsidP="0063317A">
      <w:pPr>
        <w:ind w:left="1440" w:hanging="1440"/>
        <w:jc w:val="both"/>
      </w:pPr>
      <w:r>
        <w:rPr>
          <w:b/>
          <w:bCs/>
        </w:rPr>
        <w:t>TECO</w:t>
      </w:r>
      <w:r w:rsidRPr="005D4B47">
        <w:rPr>
          <w:b/>
          <w:bCs/>
        </w:rPr>
        <w:t>:</w:t>
      </w:r>
      <w:r w:rsidRPr="005D4B47">
        <w:tab/>
      </w:r>
      <w:r w:rsidR="003A3FB9">
        <w:t>Yes. The company’s existing Asset Optimization Mechanism (“AOM”) has provided over $45 million of customer benefits since 2018. Adding capacity release of gas pipeline transportation and renewable energy credit (“REC”) sale revenues to the AOM will reasonably incent the company to engage in beneficial transactions that will lower fuel expenses for customers; therefore, the company’s proposed AOM should be approved. (Heisey)</w:t>
      </w:r>
    </w:p>
    <w:p w14:paraId="0D0BF685" w14:textId="77777777" w:rsidR="0063317A" w:rsidRPr="00701945" w:rsidRDefault="0063317A" w:rsidP="0063317A">
      <w:pPr>
        <w:jc w:val="both"/>
      </w:pPr>
    </w:p>
    <w:p w14:paraId="1EFD069D" w14:textId="77777777" w:rsidR="0063317A" w:rsidRDefault="0063317A" w:rsidP="0063317A">
      <w:pPr>
        <w:ind w:left="1440" w:hanging="1440"/>
        <w:jc w:val="both"/>
      </w:pPr>
      <w:r>
        <w:rPr>
          <w:b/>
          <w:bCs/>
        </w:rPr>
        <w:t>OPC</w:t>
      </w:r>
      <w:r w:rsidRPr="00701945">
        <w:rPr>
          <w:b/>
          <w:bCs/>
        </w:rPr>
        <w:t>:</w:t>
      </w:r>
      <w:r>
        <w:tab/>
      </w:r>
      <w:r w:rsidR="00815A58">
        <w:t>No. This is not the proper subject of a base rate case.</w:t>
      </w:r>
    </w:p>
    <w:p w14:paraId="6BF374A6" w14:textId="77777777" w:rsidR="0063317A" w:rsidRDefault="0063317A" w:rsidP="0063317A">
      <w:pPr>
        <w:ind w:left="1440" w:hanging="1440"/>
        <w:jc w:val="both"/>
      </w:pPr>
    </w:p>
    <w:p w14:paraId="75CEE64F" w14:textId="77777777" w:rsidR="0063317A" w:rsidRDefault="0063317A" w:rsidP="0063317A">
      <w:pPr>
        <w:ind w:left="1440" w:hanging="1440"/>
        <w:jc w:val="both"/>
        <w:rPr>
          <w:b/>
        </w:rPr>
      </w:pPr>
      <w:r>
        <w:rPr>
          <w:b/>
        </w:rPr>
        <w:t>FL RISING/</w:t>
      </w:r>
    </w:p>
    <w:p w14:paraId="1D665505" w14:textId="77777777" w:rsidR="0063317A" w:rsidRDefault="0063317A" w:rsidP="0063317A">
      <w:pPr>
        <w:ind w:left="1440" w:hanging="1440"/>
        <w:jc w:val="both"/>
        <w:rPr>
          <w:b/>
        </w:rPr>
      </w:pPr>
      <w:r>
        <w:rPr>
          <w:b/>
        </w:rPr>
        <w:t>LULAC:</w:t>
      </w:r>
      <w:r>
        <w:rPr>
          <w:b/>
        </w:rPr>
        <w:tab/>
      </w:r>
      <w:r w:rsidR="00B53B02">
        <w:rPr>
          <w:bCs/>
        </w:rPr>
        <w:t>No.</w:t>
      </w:r>
    </w:p>
    <w:p w14:paraId="79D85F14" w14:textId="77777777" w:rsidR="0063317A" w:rsidRDefault="0063317A" w:rsidP="0063317A">
      <w:pPr>
        <w:ind w:left="1440" w:hanging="1440"/>
        <w:jc w:val="both"/>
        <w:rPr>
          <w:b/>
        </w:rPr>
      </w:pPr>
    </w:p>
    <w:p w14:paraId="7CC4804B" w14:textId="33924F7A" w:rsidR="0063317A" w:rsidRDefault="0063317A" w:rsidP="0063317A">
      <w:pPr>
        <w:ind w:left="1440" w:hanging="1440"/>
        <w:jc w:val="both"/>
        <w:rPr>
          <w:b/>
        </w:rPr>
      </w:pPr>
      <w:r>
        <w:rPr>
          <w:b/>
        </w:rPr>
        <w:t>FIPUG:</w:t>
      </w:r>
      <w:r>
        <w:rPr>
          <w:b/>
        </w:rPr>
        <w:tab/>
      </w:r>
      <w:r w:rsidR="001502A7" w:rsidRPr="00F5435C">
        <w:rPr>
          <w:bCs/>
        </w:rPr>
        <w:t>Adopt</w:t>
      </w:r>
      <w:r w:rsidR="00110E8E">
        <w:rPr>
          <w:bCs/>
        </w:rPr>
        <w:t>s the</w:t>
      </w:r>
      <w:r w:rsidR="001502A7" w:rsidRPr="00F5435C">
        <w:rPr>
          <w:bCs/>
        </w:rPr>
        <w:t xml:space="preserve"> position of OPC.</w:t>
      </w:r>
    </w:p>
    <w:p w14:paraId="197AAB2B" w14:textId="77777777" w:rsidR="0063317A" w:rsidRDefault="0063317A" w:rsidP="0063317A">
      <w:pPr>
        <w:ind w:left="1440" w:hanging="1440"/>
        <w:jc w:val="both"/>
        <w:rPr>
          <w:b/>
        </w:rPr>
      </w:pPr>
    </w:p>
    <w:p w14:paraId="12055615" w14:textId="6854051F" w:rsidR="0063317A" w:rsidRDefault="0063317A" w:rsidP="0063317A">
      <w:pPr>
        <w:ind w:left="1440" w:hanging="1440"/>
        <w:jc w:val="both"/>
        <w:rPr>
          <w:b/>
        </w:rPr>
      </w:pPr>
      <w:r>
        <w:rPr>
          <w:b/>
        </w:rPr>
        <w:t>FEA:</w:t>
      </w:r>
      <w:r>
        <w:rPr>
          <w:b/>
        </w:rPr>
        <w:tab/>
      </w:r>
      <w:r w:rsidR="00110E8E">
        <w:t>No position.</w:t>
      </w:r>
    </w:p>
    <w:p w14:paraId="0C9EFB13" w14:textId="77777777" w:rsidR="00A14A11" w:rsidRDefault="00764960" w:rsidP="0063317A">
      <w:pPr>
        <w:ind w:left="1440" w:hanging="1440"/>
        <w:jc w:val="both"/>
        <w:rPr>
          <w:b/>
        </w:rPr>
      </w:pPr>
      <w:r>
        <w:rPr>
          <w:b/>
        </w:rPr>
        <w:lastRenderedPageBreak/>
        <w:t xml:space="preserve">SIERRA </w:t>
      </w:r>
    </w:p>
    <w:p w14:paraId="0CE7BF44" w14:textId="5FD5EC68" w:rsidR="0063317A" w:rsidRDefault="00764960" w:rsidP="0063317A">
      <w:pPr>
        <w:ind w:left="1440" w:hanging="1440"/>
        <w:jc w:val="both"/>
        <w:rPr>
          <w:b/>
        </w:rPr>
      </w:pPr>
      <w:r>
        <w:rPr>
          <w:b/>
        </w:rPr>
        <w:t>CLUB</w:t>
      </w:r>
      <w:r w:rsidR="0063317A">
        <w:rPr>
          <w:b/>
        </w:rPr>
        <w:t>:</w:t>
      </w:r>
      <w:r w:rsidR="0063317A">
        <w:rPr>
          <w:b/>
        </w:rPr>
        <w:tab/>
      </w:r>
      <w:r w:rsidR="00110E8E">
        <w:t>No position.</w:t>
      </w:r>
    </w:p>
    <w:p w14:paraId="31A148D4" w14:textId="77777777" w:rsidR="0063317A" w:rsidRDefault="0063317A" w:rsidP="0063317A">
      <w:pPr>
        <w:ind w:left="1440" w:hanging="1440"/>
        <w:jc w:val="both"/>
        <w:rPr>
          <w:b/>
        </w:rPr>
      </w:pPr>
    </w:p>
    <w:p w14:paraId="1373BE8A" w14:textId="20288952" w:rsidR="0063317A" w:rsidRDefault="0063317A" w:rsidP="0063317A">
      <w:pPr>
        <w:ind w:left="1440" w:hanging="1440"/>
        <w:jc w:val="both"/>
      </w:pPr>
      <w:r>
        <w:rPr>
          <w:b/>
        </w:rPr>
        <w:t>FRF:</w:t>
      </w:r>
      <w:r>
        <w:rPr>
          <w:b/>
        </w:rPr>
        <w:tab/>
      </w:r>
      <w:r w:rsidR="00A80388">
        <w:t>Agree</w:t>
      </w:r>
      <w:r w:rsidR="00110E8E">
        <w:t>s</w:t>
      </w:r>
      <w:r w:rsidR="00A80388">
        <w:t xml:space="preserve"> with OPC.</w:t>
      </w:r>
    </w:p>
    <w:p w14:paraId="4E28D958" w14:textId="77777777" w:rsidR="004A27EC" w:rsidRDefault="004A27EC" w:rsidP="0063317A">
      <w:pPr>
        <w:ind w:left="1440" w:hanging="1440"/>
        <w:jc w:val="both"/>
        <w:rPr>
          <w:b/>
        </w:rPr>
      </w:pPr>
    </w:p>
    <w:p w14:paraId="1AA4BBA7" w14:textId="77777777" w:rsidR="00A14A11" w:rsidRDefault="00C0182D" w:rsidP="0063317A">
      <w:pPr>
        <w:ind w:left="1440" w:hanging="1440"/>
        <w:jc w:val="both"/>
        <w:rPr>
          <w:b/>
        </w:rPr>
      </w:pPr>
      <w:r>
        <w:rPr>
          <w:b/>
        </w:rPr>
        <w:t xml:space="preserve">FUEL </w:t>
      </w:r>
    </w:p>
    <w:p w14:paraId="696873F5" w14:textId="1AA1A9FC" w:rsidR="0063317A" w:rsidRDefault="00C0182D" w:rsidP="0063317A">
      <w:pPr>
        <w:ind w:left="1440" w:hanging="1440"/>
        <w:jc w:val="both"/>
      </w:pPr>
      <w:r>
        <w:rPr>
          <w:b/>
        </w:rPr>
        <w:t>RETAILERS</w:t>
      </w:r>
      <w:r w:rsidR="0063317A">
        <w:rPr>
          <w:b/>
        </w:rPr>
        <w:t>:</w:t>
      </w:r>
      <w:r w:rsidR="00A14A11">
        <w:rPr>
          <w:b/>
        </w:rPr>
        <w:t xml:space="preserve"> </w:t>
      </w:r>
      <w:r w:rsidR="00727593" w:rsidRPr="00903FCD">
        <w:t xml:space="preserve">No </w:t>
      </w:r>
      <w:r w:rsidR="00110E8E">
        <w:t>p</w:t>
      </w:r>
      <w:r w:rsidR="00727593" w:rsidRPr="00903FCD">
        <w:t>osition.</w:t>
      </w:r>
    </w:p>
    <w:p w14:paraId="67356F5E" w14:textId="77777777" w:rsidR="00A537A4" w:rsidRDefault="00A537A4" w:rsidP="0063317A">
      <w:pPr>
        <w:ind w:left="1440" w:hanging="1440"/>
        <w:jc w:val="both"/>
      </w:pPr>
    </w:p>
    <w:p w14:paraId="07FE6289" w14:textId="13131945" w:rsidR="00A537A4" w:rsidRPr="00A537A4" w:rsidRDefault="00FD408B" w:rsidP="0063317A">
      <w:pPr>
        <w:ind w:left="1440" w:hanging="1440"/>
        <w:jc w:val="both"/>
        <w:rPr>
          <w:b/>
        </w:rPr>
      </w:pPr>
      <w:r>
        <w:rPr>
          <w:b/>
        </w:rPr>
        <w:t>WALMART</w:t>
      </w:r>
      <w:r w:rsidR="00A537A4">
        <w:rPr>
          <w:b/>
        </w:rPr>
        <w:t>:</w:t>
      </w:r>
      <w:r w:rsidR="00A537A4">
        <w:rPr>
          <w:b/>
        </w:rPr>
        <w:tab/>
      </w:r>
      <w:r w:rsidR="00110E8E">
        <w:t>A</w:t>
      </w:r>
      <w:r w:rsidR="00A537A4">
        <w:t>grees with OPC.</w:t>
      </w:r>
    </w:p>
    <w:p w14:paraId="4516DF23" w14:textId="77777777" w:rsidR="0063317A" w:rsidRPr="00701945" w:rsidRDefault="0063317A" w:rsidP="0063317A">
      <w:pPr>
        <w:jc w:val="both"/>
      </w:pPr>
    </w:p>
    <w:p w14:paraId="197B127D" w14:textId="77777777" w:rsidR="0063317A" w:rsidRPr="005D4B47" w:rsidRDefault="0063317A" w:rsidP="0063317A">
      <w:pPr>
        <w:ind w:left="1440" w:hanging="1440"/>
        <w:jc w:val="both"/>
        <w:rPr>
          <w:b/>
          <w:bCs/>
        </w:rPr>
      </w:pPr>
      <w:r>
        <w:rPr>
          <w:b/>
          <w:bCs/>
        </w:rPr>
        <w:t>STAFF:</w:t>
      </w:r>
      <w:r>
        <w:rPr>
          <w:b/>
          <w:bCs/>
        </w:rPr>
        <w:tab/>
      </w:r>
      <w:r w:rsidR="003E5174">
        <w:t>No position at this time.</w:t>
      </w:r>
    </w:p>
    <w:p w14:paraId="218117E9" w14:textId="77777777" w:rsidR="0063317A" w:rsidRDefault="0063317A" w:rsidP="00C7699A">
      <w:pPr>
        <w:jc w:val="both"/>
      </w:pPr>
    </w:p>
    <w:p w14:paraId="707EF898" w14:textId="77777777" w:rsidR="0063317A" w:rsidRDefault="0063317A" w:rsidP="00C7699A">
      <w:pPr>
        <w:jc w:val="both"/>
      </w:pPr>
    </w:p>
    <w:p w14:paraId="5213CCD7" w14:textId="77777777" w:rsidR="0063317A" w:rsidRPr="003A3FB9" w:rsidRDefault="003A3FB9" w:rsidP="0063317A">
      <w:pPr>
        <w:ind w:left="1440" w:hanging="1440"/>
        <w:jc w:val="both"/>
        <w:rPr>
          <w:b/>
        </w:rPr>
      </w:pPr>
      <w:r>
        <w:rPr>
          <w:b/>
          <w:bCs/>
        </w:rPr>
        <w:t>ISSUE 114</w:t>
      </w:r>
      <w:r w:rsidR="0063317A" w:rsidRPr="00701945">
        <w:rPr>
          <w:b/>
          <w:bCs/>
        </w:rPr>
        <w:t>:</w:t>
      </w:r>
      <w:r w:rsidR="0063317A" w:rsidRPr="00701945">
        <w:tab/>
      </w:r>
      <w:r w:rsidRPr="003A3FB9">
        <w:rPr>
          <w:b/>
          <w:bCs/>
        </w:rPr>
        <w:t>What are the appropriate updated Clean Energy Transition Mechanism factors and when should they become effective?</w:t>
      </w:r>
    </w:p>
    <w:p w14:paraId="5CA6240D" w14:textId="77777777" w:rsidR="0063317A" w:rsidRPr="00701945" w:rsidRDefault="0063317A" w:rsidP="0063317A">
      <w:pPr>
        <w:jc w:val="both"/>
      </w:pPr>
    </w:p>
    <w:p w14:paraId="6CC1FFA8" w14:textId="77777777" w:rsidR="0063317A" w:rsidRPr="005D4B47" w:rsidRDefault="0063317A" w:rsidP="0063317A">
      <w:pPr>
        <w:ind w:left="1440" w:hanging="1440"/>
        <w:jc w:val="both"/>
      </w:pPr>
      <w:r>
        <w:rPr>
          <w:b/>
          <w:bCs/>
        </w:rPr>
        <w:t>TECO</w:t>
      </w:r>
      <w:r w:rsidRPr="005D4B47">
        <w:rPr>
          <w:b/>
          <w:bCs/>
        </w:rPr>
        <w:t>:</w:t>
      </w:r>
      <w:r w:rsidRPr="005D4B47">
        <w:tab/>
      </w:r>
      <w:r w:rsidR="003A3FB9">
        <w:t>The Commission should approve the proposed CETM factors shown on pages 10 and 11 of the prepared direct testimony of Ashley Sizemore as updated to reflect the overall rate of return approved by the Commission in Issue 40 to be effective with the first billing cycle in January 2025. (Sizemore)</w:t>
      </w:r>
    </w:p>
    <w:p w14:paraId="6979B050" w14:textId="77777777" w:rsidR="0063317A" w:rsidRPr="00701945" w:rsidRDefault="0063317A" w:rsidP="0063317A">
      <w:pPr>
        <w:jc w:val="both"/>
      </w:pPr>
    </w:p>
    <w:p w14:paraId="7C6DD6A2" w14:textId="77777777" w:rsidR="0063317A" w:rsidRDefault="0063317A" w:rsidP="0063317A">
      <w:pPr>
        <w:ind w:left="1440" w:hanging="1440"/>
        <w:jc w:val="both"/>
      </w:pPr>
      <w:r>
        <w:rPr>
          <w:b/>
          <w:bCs/>
        </w:rPr>
        <w:t>OPC</w:t>
      </w:r>
      <w:r w:rsidRPr="00701945">
        <w:rPr>
          <w:b/>
          <w:bCs/>
        </w:rPr>
        <w:t>:</w:t>
      </w:r>
      <w:r>
        <w:tab/>
      </w:r>
      <w:r w:rsidR="00D175D0">
        <w:t>The CETM should be reduced by $1.828 million in 2025 to reflect OPC’s positions on ROE of 9.5% and inclusion of the battery storage related ITCs as zero cost of capital.</w:t>
      </w:r>
    </w:p>
    <w:p w14:paraId="1CD0026F" w14:textId="77777777" w:rsidR="002D4E8A" w:rsidRDefault="002D4E8A" w:rsidP="0063317A">
      <w:pPr>
        <w:ind w:left="1440" w:hanging="1440"/>
        <w:jc w:val="both"/>
      </w:pPr>
    </w:p>
    <w:p w14:paraId="72FA2048" w14:textId="77777777" w:rsidR="0063317A" w:rsidRDefault="0063317A" w:rsidP="0063317A">
      <w:pPr>
        <w:ind w:left="1440" w:hanging="1440"/>
        <w:jc w:val="both"/>
        <w:rPr>
          <w:b/>
        </w:rPr>
      </w:pPr>
      <w:r>
        <w:rPr>
          <w:b/>
        </w:rPr>
        <w:t>FL RISING/</w:t>
      </w:r>
    </w:p>
    <w:p w14:paraId="00B560B2" w14:textId="77777777" w:rsidR="0063317A" w:rsidRDefault="0063317A" w:rsidP="0063317A">
      <w:pPr>
        <w:ind w:left="1440" w:hanging="1440"/>
        <w:jc w:val="both"/>
        <w:rPr>
          <w:b/>
        </w:rPr>
      </w:pPr>
      <w:r>
        <w:rPr>
          <w:b/>
        </w:rPr>
        <w:t>LULAC:</w:t>
      </w:r>
      <w:r>
        <w:rPr>
          <w:b/>
        </w:rPr>
        <w:tab/>
      </w:r>
      <w:r w:rsidR="00B53B02">
        <w:rPr>
          <w:bCs/>
        </w:rPr>
        <w:t>CETM should be discontinued.</w:t>
      </w:r>
    </w:p>
    <w:p w14:paraId="494B4DED" w14:textId="77777777" w:rsidR="0063317A" w:rsidRDefault="0063317A" w:rsidP="0063317A">
      <w:pPr>
        <w:ind w:left="1440" w:hanging="1440"/>
        <w:jc w:val="both"/>
        <w:rPr>
          <w:b/>
        </w:rPr>
      </w:pPr>
    </w:p>
    <w:p w14:paraId="68F95EF4" w14:textId="71091127" w:rsidR="0063317A" w:rsidRDefault="0063317A" w:rsidP="0063317A">
      <w:pPr>
        <w:ind w:left="1440" w:hanging="1440"/>
        <w:jc w:val="both"/>
        <w:rPr>
          <w:b/>
        </w:rPr>
      </w:pPr>
      <w:r>
        <w:rPr>
          <w:b/>
        </w:rPr>
        <w:t>FIPUG:</w:t>
      </w:r>
      <w:r>
        <w:rPr>
          <w:b/>
        </w:rPr>
        <w:tab/>
      </w:r>
      <w:r w:rsidR="001502A7" w:rsidRPr="00F5435C">
        <w:rPr>
          <w:bCs/>
        </w:rPr>
        <w:t>Adopt</w:t>
      </w:r>
      <w:r w:rsidR="001B7311">
        <w:rPr>
          <w:bCs/>
        </w:rPr>
        <w:t>s the</w:t>
      </w:r>
      <w:r w:rsidR="001502A7" w:rsidRPr="00F5435C">
        <w:rPr>
          <w:bCs/>
        </w:rPr>
        <w:t xml:space="preserve"> position of OPC.</w:t>
      </w:r>
    </w:p>
    <w:p w14:paraId="41BCA47C" w14:textId="77777777" w:rsidR="0063317A" w:rsidRDefault="0063317A" w:rsidP="0063317A">
      <w:pPr>
        <w:ind w:left="1440" w:hanging="1440"/>
        <w:jc w:val="both"/>
        <w:rPr>
          <w:b/>
        </w:rPr>
      </w:pPr>
    </w:p>
    <w:p w14:paraId="7CFF0DD2" w14:textId="28EE8BDB" w:rsidR="0063317A" w:rsidRDefault="0063317A" w:rsidP="0063317A">
      <w:pPr>
        <w:ind w:left="1440" w:hanging="1440"/>
        <w:jc w:val="both"/>
        <w:rPr>
          <w:b/>
        </w:rPr>
      </w:pPr>
      <w:r>
        <w:rPr>
          <w:b/>
        </w:rPr>
        <w:t>FEA:</w:t>
      </w:r>
      <w:r>
        <w:rPr>
          <w:b/>
        </w:rPr>
        <w:tab/>
      </w:r>
      <w:r w:rsidR="001B7311">
        <w:t>No position.</w:t>
      </w:r>
    </w:p>
    <w:p w14:paraId="5FC23D41" w14:textId="77777777" w:rsidR="0063317A" w:rsidRDefault="0063317A" w:rsidP="0063317A">
      <w:pPr>
        <w:ind w:left="1440" w:hanging="1440"/>
        <w:jc w:val="both"/>
        <w:rPr>
          <w:b/>
        </w:rPr>
      </w:pPr>
    </w:p>
    <w:p w14:paraId="3E15E4A5" w14:textId="77777777" w:rsidR="00A14A11" w:rsidRDefault="00764960" w:rsidP="0063317A">
      <w:pPr>
        <w:ind w:left="1440" w:hanging="1440"/>
        <w:jc w:val="both"/>
        <w:rPr>
          <w:b/>
        </w:rPr>
      </w:pPr>
      <w:r>
        <w:rPr>
          <w:b/>
        </w:rPr>
        <w:t xml:space="preserve">SIERRA </w:t>
      </w:r>
    </w:p>
    <w:p w14:paraId="39B4CC24" w14:textId="17BAF349" w:rsidR="0063317A" w:rsidRDefault="00764960" w:rsidP="0063317A">
      <w:pPr>
        <w:ind w:left="1440" w:hanging="1440"/>
        <w:jc w:val="both"/>
        <w:rPr>
          <w:b/>
        </w:rPr>
      </w:pPr>
      <w:r>
        <w:rPr>
          <w:b/>
        </w:rPr>
        <w:t>CLUB</w:t>
      </w:r>
      <w:r w:rsidR="0063317A">
        <w:rPr>
          <w:b/>
        </w:rPr>
        <w:t>:</w:t>
      </w:r>
      <w:r w:rsidR="0063317A">
        <w:rPr>
          <w:b/>
        </w:rPr>
        <w:tab/>
      </w:r>
      <w:r w:rsidR="001B7311">
        <w:t>No position.</w:t>
      </w:r>
    </w:p>
    <w:p w14:paraId="68085FA3" w14:textId="77777777" w:rsidR="0063317A" w:rsidRDefault="0063317A" w:rsidP="0063317A">
      <w:pPr>
        <w:ind w:left="1440" w:hanging="1440"/>
        <w:jc w:val="both"/>
        <w:rPr>
          <w:b/>
        </w:rPr>
      </w:pPr>
    </w:p>
    <w:p w14:paraId="2449D2E6" w14:textId="5A85F7AC" w:rsidR="0063317A" w:rsidRDefault="0063317A" w:rsidP="0063317A">
      <w:pPr>
        <w:ind w:left="1440" w:hanging="1440"/>
        <w:jc w:val="both"/>
        <w:rPr>
          <w:b/>
        </w:rPr>
      </w:pPr>
      <w:r>
        <w:rPr>
          <w:b/>
        </w:rPr>
        <w:t>FRF:</w:t>
      </w:r>
      <w:r>
        <w:rPr>
          <w:b/>
        </w:rPr>
        <w:tab/>
      </w:r>
      <w:r w:rsidR="00A80388">
        <w:t>Agree</w:t>
      </w:r>
      <w:r w:rsidR="001B7311">
        <w:t>s</w:t>
      </w:r>
      <w:r w:rsidR="00A80388">
        <w:t xml:space="preserve"> with OPC.</w:t>
      </w:r>
    </w:p>
    <w:p w14:paraId="3F2C7D7F" w14:textId="77777777" w:rsidR="0063317A" w:rsidRDefault="0063317A" w:rsidP="0063317A">
      <w:pPr>
        <w:ind w:left="1440" w:hanging="1440"/>
        <w:jc w:val="both"/>
        <w:rPr>
          <w:b/>
        </w:rPr>
      </w:pPr>
    </w:p>
    <w:p w14:paraId="5FFA17EF" w14:textId="77777777" w:rsidR="00A14A11" w:rsidRDefault="00C0182D" w:rsidP="0063317A">
      <w:pPr>
        <w:ind w:left="1440" w:hanging="1440"/>
        <w:jc w:val="both"/>
        <w:rPr>
          <w:b/>
        </w:rPr>
      </w:pPr>
      <w:r>
        <w:rPr>
          <w:b/>
        </w:rPr>
        <w:t xml:space="preserve">FUEL </w:t>
      </w:r>
    </w:p>
    <w:p w14:paraId="28D756F7" w14:textId="4D437022" w:rsidR="0063317A" w:rsidRDefault="00C0182D" w:rsidP="0063317A">
      <w:pPr>
        <w:ind w:left="1440" w:hanging="1440"/>
        <w:jc w:val="both"/>
      </w:pPr>
      <w:r>
        <w:rPr>
          <w:b/>
        </w:rPr>
        <w:t>RETAILERS</w:t>
      </w:r>
      <w:r w:rsidR="0063317A">
        <w:rPr>
          <w:b/>
        </w:rPr>
        <w:t>:</w:t>
      </w:r>
      <w:r w:rsidR="00A14A11">
        <w:rPr>
          <w:b/>
        </w:rPr>
        <w:t xml:space="preserve"> </w:t>
      </w:r>
      <w:r w:rsidR="00727593" w:rsidRPr="00903FCD">
        <w:t xml:space="preserve">No </w:t>
      </w:r>
      <w:r w:rsidR="001B7311">
        <w:t>p</w:t>
      </w:r>
      <w:r w:rsidR="00727593" w:rsidRPr="00903FCD">
        <w:t>osition.</w:t>
      </w:r>
    </w:p>
    <w:p w14:paraId="683015CC" w14:textId="77777777" w:rsidR="00A537A4" w:rsidRDefault="00A537A4" w:rsidP="0063317A">
      <w:pPr>
        <w:ind w:left="1440" w:hanging="1440"/>
        <w:jc w:val="both"/>
      </w:pPr>
    </w:p>
    <w:p w14:paraId="17C12BAC" w14:textId="07B9F728" w:rsidR="00A537A4" w:rsidRPr="00A537A4" w:rsidRDefault="00FD408B" w:rsidP="0063317A">
      <w:pPr>
        <w:ind w:left="1440" w:hanging="1440"/>
        <w:jc w:val="both"/>
        <w:rPr>
          <w:b/>
        </w:rPr>
      </w:pPr>
      <w:r>
        <w:rPr>
          <w:b/>
        </w:rPr>
        <w:t>WALMART</w:t>
      </w:r>
      <w:r w:rsidR="00A537A4">
        <w:rPr>
          <w:b/>
        </w:rPr>
        <w:t>:</w:t>
      </w:r>
      <w:r w:rsidR="00A537A4">
        <w:rPr>
          <w:b/>
        </w:rPr>
        <w:tab/>
      </w:r>
      <w:r w:rsidR="001B7311" w:rsidRPr="001B7311">
        <w:t>A</w:t>
      </w:r>
      <w:r w:rsidR="00A537A4">
        <w:t>grees with OPC.</w:t>
      </w:r>
    </w:p>
    <w:p w14:paraId="68B522EC" w14:textId="77777777" w:rsidR="0063317A" w:rsidRPr="00701945" w:rsidRDefault="0063317A" w:rsidP="0063317A">
      <w:pPr>
        <w:jc w:val="both"/>
      </w:pPr>
    </w:p>
    <w:p w14:paraId="0809B5D8" w14:textId="77777777" w:rsidR="0063317A" w:rsidRPr="005D4B47" w:rsidRDefault="0063317A" w:rsidP="0063317A">
      <w:pPr>
        <w:ind w:left="1440" w:hanging="1440"/>
        <w:jc w:val="both"/>
        <w:rPr>
          <w:b/>
          <w:bCs/>
        </w:rPr>
      </w:pPr>
      <w:r>
        <w:rPr>
          <w:b/>
          <w:bCs/>
        </w:rPr>
        <w:t>STAFF:</w:t>
      </w:r>
      <w:r>
        <w:rPr>
          <w:b/>
          <w:bCs/>
        </w:rPr>
        <w:tab/>
      </w:r>
      <w:r w:rsidR="003E5174">
        <w:t>No position at this time.</w:t>
      </w:r>
    </w:p>
    <w:p w14:paraId="7791C77A" w14:textId="77777777" w:rsidR="0063317A" w:rsidRDefault="0063317A" w:rsidP="00C7699A">
      <w:pPr>
        <w:jc w:val="both"/>
      </w:pPr>
    </w:p>
    <w:p w14:paraId="2E9E9360" w14:textId="77777777" w:rsidR="0063317A" w:rsidRDefault="0063317A" w:rsidP="00C7699A">
      <w:pPr>
        <w:jc w:val="both"/>
      </w:pPr>
    </w:p>
    <w:p w14:paraId="14888DB0" w14:textId="77777777" w:rsidR="0063317A" w:rsidRPr="003A3FB9" w:rsidRDefault="0063317A" w:rsidP="0063317A">
      <w:pPr>
        <w:ind w:left="1440" w:hanging="1440"/>
        <w:jc w:val="both"/>
        <w:rPr>
          <w:b/>
        </w:rPr>
      </w:pPr>
      <w:r w:rsidRPr="005D4B47">
        <w:rPr>
          <w:b/>
          <w:bCs/>
        </w:rPr>
        <w:lastRenderedPageBreak/>
        <w:t>ISSUE 1</w:t>
      </w:r>
      <w:r w:rsidR="003A3FB9">
        <w:rPr>
          <w:b/>
          <w:bCs/>
        </w:rPr>
        <w:t>15</w:t>
      </w:r>
      <w:r w:rsidRPr="00701945">
        <w:rPr>
          <w:b/>
          <w:bCs/>
        </w:rPr>
        <w:t>:</w:t>
      </w:r>
      <w:r w:rsidRPr="00701945">
        <w:tab/>
      </w:r>
      <w:r w:rsidR="003A3FB9" w:rsidRPr="003A3FB9">
        <w:rPr>
          <w:b/>
          <w:bCs/>
        </w:rPr>
        <w:t>Should the proposed Senior Care Program (Original Tariff Sheet No. 3.310) and associated cost recovery be approved?</w:t>
      </w:r>
    </w:p>
    <w:p w14:paraId="55B05B2C" w14:textId="77777777" w:rsidR="0063317A" w:rsidRPr="00701945" w:rsidRDefault="0063317A" w:rsidP="0063317A">
      <w:pPr>
        <w:jc w:val="both"/>
      </w:pPr>
    </w:p>
    <w:p w14:paraId="69A696B3" w14:textId="1B1D3722" w:rsidR="0063317A" w:rsidRDefault="0063317A" w:rsidP="0063317A">
      <w:pPr>
        <w:ind w:left="1440" w:hanging="1440"/>
        <w:jc w:val="both"/>
      </w:pPr>
      <w:r>
        <w:rPr>
          <w:b/>
          <w:bCs/>
        </w:rPr>
        <w:t>TECO</w:t>
      </w:r>
      <w:r w:rsidRPr="005D4B47">
        <w:rPr>
          <w:b/>
          <w:bCs/>
        </w:rPr>
        <w:t>:</w:t>
      </w:r>
      <w:r w:rsidRPr="005D4B47">
        <w:tab/>
      </w:r>
      <w:r w:rsidR="003A3FB9">
        <w:t>Yes. The proposed new Senior Care Program assists a small population of financially challenged customers and should be approved. (Williams, Sparkman)</w:t>
      </w:r>
    </w:p>
    <w:p w14:paraId="4AD8DB35" w14:textId="77777777" w:rsidR="00AB5AD1" w:rsidRPr="005D4B47" w:rsidRDefault="00AB5AD1" w:rsidP="0063317A">
      <w:pPr>
        <w:ind w:left="1440" w:hanging="1440"/>
        <w:jc w:val="both"/>
      </w:pPr>
    </w:p>
    <w:p w14:paraId="3B69419E" w14:textId="77777777" w:rsidR="0063317A" w:rsidRDefault="0063317A" w:rsidP="0063317A">
      <w:pPr>
        <w:ind w:left="1440" w:hanging="1440"/>
        <w:jc w:val="both"/>
      </w:pPr>
      <w:r>
        <w:rPr>
          <w:b/>
          <w:bCs/>
        </w:rPr>
        <w:t>OPC</w:t>
      </w:r>
      <w:r w:rsidRPr="00701945">
        <w:rPr>
          <w:b/>
          <w:bCs/>
        </w:rPr>
        <w:t>:</w:t>
      </w:r>
      <w:r>
        <w:tab/>
      </w:r>
      <w:r w:rsidR="00D175D0" w:rsidRPr="003651AA">
        <w:t>No position.</w:t>
      </w:r>
    </w:p>
    <w:p w14:paraId="500712EE" w14:textId="77777777" w:rsidR="0063317A" w:rsidRDefault="0063317A" w:rsidP="0063317A">
      <w:pPr>
        <w:ind w:left="1440" w:hanging="1440"/>
        <w:jc w:val="both"/>
      </w:pPr>
    </w:p>
    <w:p w14:paraId="3A6E07B5" w14:textId="77777777" w:rsidR="0063317A" w:rsidRDefault="0063317A" w:rsidP="0063317A">
      <w:pPr>
        <w:ind w:left="1440" w:hanging="1440"/>
        <w:jc w:val="both"/>
        <w:rPr>
          <w:b/>
        </w:rPr>
      </w:pPr>
      <w:r>
        <w:rPr>
          <w:b/>
        </w:rPr>
        <w:t>FL RISING/</w:t>
      </w:r>
    </w:p>
    <w:p w14:paraId="2A2A7D07" w14:textId="772111C7" w:rsidR="0063317A" w:rsidRDefault="0063317A" w:rsidP="0063317A">
      <w:pPr>
        <w:ind w:left="1440" w:hanging="1440"/>
        <w:jc w:val="both"/>
      </w:pPr>
      <w:r>
        <w:rPr>
          <w:b/>
        </w:rPr>
        <w:t>LULAC:</w:t>
      </w:r>
      <w:r>
        <w:rPr>
          <w:b/>
        </w:rPr>
        <w:tab/>
      </w:r>
      <w:r w:rsidR="00B53B02" w:rsidRPr="52F44B59">
        <w:t>No, the Program should not be approved as-is with its associated cost recovery mechanism.</w:t>
      </w:r>
    </w:p>
    <w:p w14:paraId="4AB401E5" w14:textId="77777777" w:rsidR="00400AD5" w:rsidRDefault="00400AD5" w:rsidP="0063317A">
      <w:pPr>
        <w:ind w:left="1440" w:hanging="1440"/>
        <w:jc w:val="both"/>
        <w:rPr>
          <w:b/>
        </w:rPr>
      </w:pPr>
    </w:p>
    <w:p w14:paraId="38BB1943" w14:textId="712E093E" w:rsidR="0063317A" w:rsidRDefault="0063317A" w:rsidP="0063317A">
      <w:pPr>
        <w:ind w:left="1440" w:hanging="1440"/>
        <w:jc w:val="both"/>
        <w:rPr>
          <w:b/>
        </w:rPr>
      </w:pPr>
      <w:r>
        <w:rPr>
          <w:b/>
        </w:rPr>
        <w:t>FIPUG:</w:t>
      </w:r>
      <w:r>
        <w:rPr>
          <w:b/>
        </w:rPr>
        <w:tab/>
      </w:r>
      <w:r w:rsidR="001F5354">
        <w:rPr>
          <w:bCs/>
        </w:rPr>
        <w:t>No position.</w:t>
      </w:r>
    </w:p>
    <w:p w14:paraId="7CC4EE16" w14:textId="77777777" w:rsidR="0063317A" w:rsidRDefault="0063317A" w:rsidP="0063317A">
      <w:pPr>
        <w:ind w:left="1440" w:hanging="1440"/>
        <w:jc w:val="both"/>
        <w:rPr>
          <w:b/>
        </w:rPr>
      </w:pPr>
    </w:p>
    <w:p w14:paraId="29EEBE86" w14:textId="4F5C196D" w:rsidR="0063317A" w:rsidRDefault="0063317A" w:rsidP="0063317A">
      <w:pPr>
        <w:ind w:left="1440" w:hanging="1440"/>
        <w:jc w:val="both"/>
        <w:rPr>
          <w:b/>
        </w:rPr>
      </w:pPr>
      <w:r>
        <w:rPr>
          <w:b/>
        </w:rPr>
        <w:t>FEA:</w:t>
      </w:r>
      <w:r>
        <w:rPr>
          <w:b/>
        </w:rPr>
        <w:tab/>
      </w:r>
      <w:r w:rsidR="001F5354">
        <w:t>No position.</w:t>
      </w:r>
    </w:p>
    <w:p w14:paraId="470FF053" w14:textId="77777777" w:rsidR="0063317A" w:rsidRDefault="0063317A" w:rsidP="0063317A">
      <w:pPr>
        <w:ind w:left="1440" w:hanging="1440"/>
        <w:jc w:val="both"/>
        <w:rPr>
          <w:b/>
        </w:rPr>
      </w:pPr>
    </w:p>
    <w:p w14:paraId="0B7D3064" w14:textId="77777777" w:rsidR="00A14A11" w:rsidRDefault="00764960" w:rsidP="0063317A">
      <w:pPr>
        <w:ind w:left="1440" w:hanging="1440"/>
        <w:jc w:val="both"/>
        <w:rPr>
          <w:b/>
        </w:rPr>
      </w:pPr>
      <w:r>
        <w:rPr>
          <w:b/>
        </w:rPr>
        <w:t xml:space="preserve">SIERRA </w:t>
      </w:r>
    </w:p>
    <w:p w14:paraId="49836B3B" w14:textId="3ABE1260" w:rsidR="0063317A" w:rsidRDefault="00764960" w:rsidP="0063317A">
      <w:pPr>
        <w:ind w:left="1440" w:hanging="1440"/>
        <w:jc w:val="both"/>
        <w:rPr>
          <w:b/>
        </w:rPr>
      </w:pPr>
      <w:r>
        <w:rPr>
          <w:b/>
        </w:rPr>
        <w:t>CLUB</w:t>
      </w:r>
      <w:r w:rsidR="0063317A">
        <w:rPr>
          <w:b/>
        </w:rPr>
        <w:t>:</w:t>
      </w:r>
      <w:r w:rsidR="0063317A">
        <w:rPr>
          <w:b/>
        </w:rPr>
        <w:tab/>
      </w:r>
      <w:r w:rsidR="001F5354">
        <w:t>No position.</w:t>
      </w:r>
    </w:p>
    <w:p w14:paraId="51B5906C" w14:textId="77777777" w:rsidR="0063317A" w:rsidRDefault="0063317A" w:rsidP="0063317A">
      <w:pPr>
        <w:ind w:left="1440" w:hanging="1440"/>
        <w:jc w:val="both"/>
        <w:rPr>
          <w:b/>
        </w:rPr>
      </w:pPr>
    </w:p>
    <w:p w14:paraId="3D725ED8" w14:textId="668F48C7" w:rsidR="0063317A" w:rsidRDefault="0063317A" w:rsidP="0063317A">
      <w:pPr>
        <w:ind w:left="1440" w:hanging="1440"/>
        <w:jc w:val="both"/>
        <w:rPr>
          <w:b/>
        </w:rPr>
      </w:pPr>
      <w:r>
        <w:rPr>
          <w:b/>
        </w:rPr>
        <w:t>FRF:</w:t>
      </w:r>
      <w:r>
        <w:rPr>
          <w:b/>
        </w:rPr>
        <w:tab/>
      </w:r>
      <w:r w:rsidR="00A923D5">
        <w:t>No position.</w:t>
      </w:r>
    </w:p>
    <w:p w14:paraId="67AD559D" w14:textId="77777777" w:rsidR="0063317A" w:rsidRDefault="0063317A" w:rsidP="0063317A">
      <w:pPr>
        <w:ind w:left="1440" w:hanging="1440"/>
        <w:jc w:val="both"/>
        <w:rPr>
          <w:b/>
        </w:rPr>
      </w:pPr>
    </w:p>
    <w:p w14:paraId="2FAA2A72" w14:textId="77777777" w:rsidR="00A14A11" w:rsidRDefault="00C0182D" w:rsidP="0063317A">
      <w:pPr>
        <w:ind w:left="1440" w:hanging="1440"/>
        <w:jc w:val="both"/>
        <w:rPr>
          <w:b/>
        </w:rPr>
      </w:pPr>
      <w:r>
        <w:rPr>
          <w:b/>
        </w:rPr>
        <w:t xml:space="preserve">FUEL </w:t>
      </w:r>
    </w:p>
    <w:p w14:paraId="7FBA5D5F" w14:textId="3E849B2B" w:rsidR="0063317A" w:rsidRDefault="00C0182D" w:rsidP="0063317A">
      <w:pPr>
        <w:ind w:left="1440" w:hanging="1440"/>
        <w:jc w:val="both"/>
      </w:pPr>
      <w:r>
        <w:rPr>
          <w:b/>
        </w:rPr>
        <w:t>RETAILERS</w:t>
      </w:r>
      <w:r w:rsidR="0063317A">
        <w:rPr>
          <w:b/>
        </w:rPr>
        <w:t>:</w:t>
      </w:r>
      <w:r w:rsidR="00A14A11">
        <w:rPr>
          <w:b/>
        </w:rPr>
        <w:t xml:space="preserve"> </w:t>
      </w:r>
      <w:r w:rsidR="00727593" w:rsidRPr="00903FCD">
        <w:t xml:space="preserve">No </w:t>
      </w:r>
      <w:r w:rsidR="001F5354">
        <w:t>p</w:t>
      </w:r>
      <w:r w:rsidR="00727593" w:rsidRPr="00903FCD">
        <w:t>osition.</w:t>
      </w:r>
    </w:p>
    <w:p w14:paraId="2B9CF096" w14:textId="77777777" w:rsidR="00A537A4" w:rsidRDefault="00A537A4" w:rsidP="0063317A">
      <w:pPr>
        <w:ind w:left="1440" w:hanging="1440"/>
        <w:jc w:val="both"/>
      </w:pPr>
    </w:p>
    <w:p w14:paraId="3EC673B3" w14:textId="06C5C5D5" w:rsidR="00A537A4" w:rsidRPr="00A537A4" w:rsidRDefault="00FD408B" w:rsidP="0063317A">
      <w:pPr>
        <w:ind w:left="1440" w:hanging="1440"/>
        <w:jc w:val="both"/>
        <w:rPr>
          <w:b/>
        </w:rPr>
      </w:pPr>
      <w:r>
        <w:rPr>
          <w:b/>
        </w:rPr>
        <w:t>WALMART</w:t>
      </w:r>
      <w:r w:rsidR="00A537A4">
        <w:rPr>
          <w:b/>
        </w:rPr>
        <w:t>:</w:t>
      </w:r>
      <w:r w:rsidR="00A537A4">
        <w:rPr>
          <w:b/>
        </w:rPr>
        <w:tab/>
      </w:r>
      <w:r w:rsidR="00A923D5">
        <w:t>No position.</w:t>
      </w:r>
    </w:p>
    <w:p w14:paraId="5E515F42" w14:textId="77777777" w:rsidR="0063317A" w:rsidRPr="00701945" w:rsidRDefault="0063317A" w:rsidP="0063317A">
      <w:pPr>
        <w:jc w:val="both"/>
      </w:pPr>
    </w:p>
    <w:p w14:paraId="72C060E2" w14:textId="77777777" w:rsidR="0063317A" w:rsidRPr="005D4B47" w:rsidRDefault="0063317A" w:rsidP="0063317A">
      <w:pPr>
        <w:ind w:left="1440" w:hanging="1440"/>
        <w:jc w:val="both"/>
        <w:rPr>
          <w:b/>
          <w:bCs/>
        </w:rPr>
      </w:pPr>
      <w:r>
        <w:rPr>
          <w:b/>
          <w:bCs/>
        </w:rPr>
        <w:t>STAFF:</w:t>
      </w:r>
      <w:r>
        <w:rPr>
          <w:b/>
          <w:bCs/>
        </w:rPr>
        <w:tab/>
      </w:r>
      <w:r w:rsidR="003E5174">
        <w:t>No position at this time.</w:t>
      </w:r>
    </w:p>
    <w:p w14:paraId="5951AC3F" w14:textId="77777777" w:rsidR="00DA282F" w:rsidRDefault="00DA282F" w:rsidP="00C7699A">
      <w:pPr>
        <w:jc w:val="both"/>
      </w:pPr>
    </w:p>
    <w:p w14:paraId="2D49C754" w14:textId="77777777" w:rsidR="004B35B2" w:rsidRDefault="004B35B2" w:rsidP="00C7699A">
      <w:pPr>
        <w:jc w:val="both"/>
      </w:pPr>
    </w:p>
    <w:p w14:paraId="02709E36" w14:textId="77777777" w:rsidR="0063317A" w:rsidRPr="00F84069" w:rsidRDefault="0063317A" w:rsidP="0063317A">
      <w:pPr>
        <w:ind w:left="1440" w:hanging="1440"/>
        <w:jc w:val="both"/>
        <w:rPr>
          <w:b/>
        </w:rPr>
      </w:pPr>
      <w:r w:rsidRPr="005D4B47">
        <w:rPr>
          <w:b/>
          <w:bCs/>
        </w:rPr>
        <w:t>ISSUE 1</w:t>
      </w:r>
      <w:r w:rsidR="00F84069">
        <w:rPr>
          <w:b/>
          <w:bCs/>
        </w:rPr>
        <w:t>16</w:t>
      </w:r>
      <w:r w:rsidRPr="00701945">
        <w:rPr>
          <w:b/>
          <w:bCs/>
        </w:rPr>
        <w:t>:</w:t>
      </w:r>
      <w:r w:rsidRPr="00701945">
        <w:tab/>
      </w:r>
      <w:r w:rsidR="00F84069" w:rsidRPr="00F84069">
        <w:rPr>
          <w:b/>
          <w:bCs/>
        </w:rPr>
        <w:t>Should TECO be required to perform any studies or analysis relating to the retirement of Polk Unit 1 and/or Big Bend Unit 4, including early retirement dates, environmental compliance costs, and/or procurement of alternative resources?</w:t>
      </w:r>
    </w:p>
    <w:p w14:paraId="3572360A" w14:textId="77777777" w:rsidR="0063317A" w:rsidRPr="00701945" w:rsidRDefault="0063317A" w:rsidP="0063317A">
      <w:pPr>
        <w:jc w:val="both"/>
      </w:pPr>
    </w:p>
    <w:p w14:paraId="798FEEDB" w14:textId="40E96A41" w:rsidR="0063317A" w:rsidRDefault="0063317A" w:rsidP="0063317A">
      <w:pPr>
        <w:ind w:left="1440" w:hanging="1440"/>
        <w:jc w:val="both"/>
      </w:pPr>
      <w:r>
        <w:rPr>
          <w:b/>
          <w:bCs/>
        </w:rPr>
        <w:t>TECO</w:t>
      </w:r>
      <w:r w:rsidRPr="005D4B47">
        <w:rPr>
          <w:b/>
          <w:bCs/>
        </w:rPr>
        <w:t>:</w:t>
      </w:r>
      <w:r w:rsidRPr="005D4B47">
        <w:tab/>
      </w:r>
      <w:r w:rsidR="00F84069">
        <w:t xml:space="preserve">No. The company’s testimony and exhibits demonstrate that (1) Polk Unit 1 provides important fuel diversity, reliability, and flexibility benefits to customers and could return to IGCC operation within a year to help protect customers from high gas prices if the forward price curve for petcoke is favorable and (2) Big Bend Unit 4 provides important fuel diversity, reliability, and flexibility benefits to customers, and while it does not frequently run on coal, Big Bend 4 is available to run and has recently run on coal during extreme winter weather, when gas prices spiked, and during pipeline alert periods when gas deliveries to Florida were limited. The company evaluates the roles these units play in its generating portfolio every year as part of the 10-Year Site Planning process, so no further </w:t>
      </w:r>
      <w:r w:rsidR="00F84069">
        <w:lastRenderedPageBreak/>
        <w:t>studies or actions like early retirement and loan applications are needed or should be ordered at this time. (Aldazabal, Stryker)</w:t>
      </w:r>
    </w:p>
    <w:p w14:paraId="559E1089" w14:textId="77777777" w:rsidR="00355368" w:rsidRPr="005D4B47" w:rsidRDefault="00355368" w:rsidP="0063317A">
      <w:pPr>
        <w:ind w:left="1440" w:hanging="1440"/>
        <w:jc w:val="both"/>
      </w:pPr>
    </w:p>
    <w:p w14:paraId="0BAA16E7" w14:textId="77777777" w:rsidR="0063317A" w:rsidRDefault="0063317A" w:rsidP="0063317A">
      <w:pPr>
        <w:ind w:left="1440" w:hanging="1440"/>
        <w:jc w:val="both"/>
      </w:pPr>
      <w:r>
        <w:rPr>
          <w:b/>
          <w:bCs/>
        </w:rPr>
        <w:t>OPC</w:t>
      </w:r>
      <w:r w:rsidRPr="00701945">
        <w:rPr>
          <w:b/>
          <w:bCs/>
        </w:rPr>
        <w:t>:</w:t>
      </w:r>
      <w:r>
        <w:tab/>
      </w:r>
      <w:r w:rsidR="00D175D0" w:rsidRPr="003651AA">
        <w:t>No position.</w:t>
      </w:r>
    </w:p>
    <w:p w14:paraId="173D4DD3" w14:textId="77777777" w:rsidR="0063317A" w:rsidRDefault="0063317A" w:rsidP="0063317A">
      <w:pPr>
        <w:ind w:left="1440" w:hanging="1440"/>
        <w:jc w:val="both"/>
      </w:pPr>
    </w:p>
    <w:p w14:paraId="25DF4A15" w14:textId="77777777" w:rsidR="0063317A" w:rsidRDefault="0063317A" w:rsidP="0063317A">
      <w:pPr>
        <w:ind w:left="1440" w:hanging="1440"/>
        <w:jc w:val="both"/>
        <w:rPr>
          <w:b/>
        </w:rPr>
      </w:pPr>
      <w:r>
        <w:rPr>
          <w:b/>
        </w:rPr>
        <w:t>FL RISING/</w:t>
      </w:r>
    </w:p>
    <w:p w14:paraId="0229C47A" w14:textId="13F54D53" w:rsidR="0063317A" w:rsidRDefault="0063317A" w:rsidP="0063317A">
      <w:pPr>
        <w:ind w:left="1440" w:hanging="1440"/>
        <w:jc w:val="both"/>
        <w:rPr>
          <w:bCs/>
        </w:rPr>
      </w:pPr>
      <w:r>
        <w:rPr>
          <w:b/>
        </w:rPr>
        <w:t>LULAC:</w:t>
      </w:r>
      <w:r>
        <w:rPr>
          <w:b/>
        </w:rPr>
        <w:tab/>
      </w:r>
      <w:r w:rsidR="00B53B02">
        <w:rPr>
          <w:bCs/>
        </w:rPr>
        <w:t>Adopt</w:t>
      </w:r>
      <w:r w:rsidR="00C72773">
        <w:rPr>
          <w:bCs/>
        </w:rPr>
        <w:t>s the position of</w:t>
      </w:r>
      <w:r w:rsidR="00B53B02">
        <w:rPr>
          <w:bCs/>
        </w:rPr>
        <w:t xml:space="preserve"> Sierra Club.</w:t>
      </w:r>
    </w:p>
    <w:p w14:paraId="44A42266" w14:textId="77777777" w:rsidR="00D42DD1" w:rsidRDefault="00D42DD1" w:rsidP="0063317A">
      <w:pPr>
        <w:ind w:left="1440" w:hanging="1440"/>
        <w:jc w:val="both"/>
        <w:rPr>
          <w:b/>
        </w:rPr>
      </w:pPr>
    </w:p>
    <w:p w14:paraId="50421868" w14:textId="77777777" w:rsidR="0063317A" w:rsidRDefault="0063317A" w:rsidP="0063317A">
      <w:pPr>
        <w:ind w:left="1440" w:hanging="1440"/>
        <w:jc w:val="both"/>
        <w:rPr>
          <w:b/>
        </w:rPr>
      </w:pPr>
      <w:r>
        <w:rPr>
          <w:b/>
        </w:rPr>
        <w:t>FIPUG:</w:t>
      </w:r>
      <w:r>
        <w:rPr>
          <w:b/>
        </w:rPr>
        <w:tab/>
      </w:r>
      <w:r w:rsidR="001502A7">
        <w:rPr>
          <w:bCs/>
        </w:rPr>
        <w:t>Not unless ordered to do by the Commission.</w:t>
      </w:r>
    </w:p>
    <w:p w14:paraId="12AF3B7B" w14:textId="77777777" w:rsidR="0063317A" w:rsidRDefault="0063317A" w:rsidP="0063317A">
      <w:pPr>
        <w:ind w:left="1440" w:hanging="1440"/>
        <w:jc w:val="both"/>
        <w:rPr>
          <w:b/>
        </w:rPr>
      </w:pPr>
    </w:p>
    <w:p w14:paraId="67898E29" w14:textId="4884D9D8" w:rsidR="0063317A" w:rsidRDefault="0063317A" w:rsidP="0063317A">
      <w:pPr>
        <w:ind w:left="1440" w:hanging="1440"/>
        <w:jc w:val="both"/>
      </w:pPr>
      <w:r>
        <w:rPr>
          <w:b/>
        </w:rPr>
        <w:t>FEA:</w:t>
      </w:r>
      <w:r>
        <w:rPr>
          <w:b/>
        </w:rPr>
        <w:tab/>
      </w:r>
      <w:r w:rsidR="00F66A2D">
        <w:t>No position.</w:t>
      </w:r>
    </w:p>
    <w:p w14:paraId="231FA8BE" w14:textId="77777777" w:rsidR="0063317A" w:rsidRDefault="0063317A" w:rsidP="0063317A">
      <w:pPr>
        <w:ind w:left="1440" w:hanging="1440"/>
        <w:jc w:val="both"/>
        <w:rPr>
          <w:b/>
        </w:rPr>
      </w:pPr>
    </w:p>
    <w:p w14:paraId="387085B4" w14:textId="77777777" w:rsidR="00A14A11" w:rsidRDefault="00764960" w:rsidP="0063317A">
      <w:pPr>
        <w:ind w:left="1440" w:hanging="1440"/>
        <w:jc w:val="both"/>
        <w:rPr>
          <w:b/>
        </w:rPr>
      </w:pPr>
      <w:r>
        <w:rPr>
          <w:b/>
        </w:rPr>
        <w:t xml:space="preserve">SIERRA </w:t>
      </w:r>
    </w:p>
    <w:p w14:paraId="10993F71" w14:textId="27F028F9" w:rsidR="0063317A" w:rsidRDefault="00764960" w:rsidP="0063317A">
      <w:pPr>
        <w:ind w:left="1440" w:hanging="1440"/>
        <w:jc w:val="both"/>
        <w:rPr>
          <w:bCs/>
        </w:rPr>
      </w:pPr>
      <w:r>
        <w:rPr>
          <w:b/>
        </w:rPr>
        <w:t>CLUB</w:t>
      </w:r>
      <w:r w:rsidR="0063317A">
        <w:rPr>
          <w:b/>
        </w:rPr>
        <w:t>:</w:t>
      </w:r>
      <w:r w:rsidR="0063317A">
        <w:rPr>
          <w:b/>
        </w:rPr>
        <w:tab/>
      </w:r>
      <w:r w:rsidR="000500F3">
        <w:rPr>
          <w:bCs/>
        </w:rPr>
        <w:t xml:space="preserve">As outlined in the Statement of Basic Position above, TECO should, at a minimum, provide its energy burdened customers with rate relief by ceasing coal operations at Polk </w:t>
      </w:r>
      <w:r w:rsidR="00F66A2D">
        <w:rPr>
          <w:bCs/>
        </w:rPr>
        <w:t xml:space="preserve">Unit </w:t>
      </w:r>
      <w:r w:rsidR="000500F3">
        <w:rPr>
          <w:bCs/>
        </w:rPr>
        <w:t xml:space="preserve">1 and Big Bend </w:t>
      </w:r>
      <w:r w:rsidR="003A78E2">
        <w:rPr>
          <w:bCs/>
        </w:rPr>
        <w:t xml:space="preserve">Unit </w:t>
      </w:r>
      <w:r w:rsidR="000500F3">
        <w:rPr>
          <w:bCs/>
        </w:rPr>
        <w:t xml:space="preserve">4 as soon as possible. Polk </w:t>
      </w:r>
      <w:r w:rsidR="003A78E2">
        <w:rPr>
          <w:bCs/>
        </w:rPr>
        <w:t xml:space="preserve">Unit </w:t>
      </w:r>
      <w:r w:rsidR="000500F3">
        <w:rPr>
          <w:bCs/>
        </w:rPr>
        <w:t xml:space="preserve">1 and Big Bend </w:t>
      </w:r>
      <w:r w:rsidR="003A78E2">
        <w:rPr>
          <w:bCs/>
        </w:rPr>
        <w:t xml:space="preserve">Unit </w:t>
      </w:r>
      <w:r w:rsidR="000500F3">
        <w:rPr>
          <w:bCs/>
        </w:rPr>
        <w:t>4’s coal combustion equipment should be retired in 2024 and 2025, respectively.</w:t>
      </w:r>
    </w:p>
    <w:p w14:paraId="6223914A" w14:textId="77777777" w:rsidR="000500F3" w:rsidRDefault="000500F3" w:rsidP="0063317A">
      <w:pPr>
        <w:ind w:left="1440" w:hanging="1440"/>
        <w:jc w:val="both"/>
        <w:rPr>
          <w:bCs/>
        </w:rPr>
      </w:pPr>
    </w:p>
    <w:p w14:paraId="0989A96A" w14:textId="00E56196" w:rsidR="000500F3" w:rsidRDefault="000500F3" w:rsidP="0063317A">
      <w:pPr>
        <w:ind w:left="1440" w:hanging="1440"/>
        <w:jc w:val="both"/>
        <w:rPr>
          <w:b/>
        </w:rPr>
      </w:pPr>
      <w:r>
        <w:rPr>
          <w:bCs/>
        </w:rPr>
        <w:tab/>
        <w:t xml:space="preserve">In addition, Sierra Club recommends completely retiring both plants by 2030. If the Commission does not require these 2030 retirements, TECO should be required to study earlier retirement dates for Polk </w:t>
      </w:r>
      <w:r w:rsidR="003A78E2">
        <w:rPr>
          <w:bCs/>
        </w:rPr>
        <w:t xml:space="preserve">Unit </w:t>
      </w:r>
      <w:r>
        <w:rPr>
          <w:bCs/>
        </w:rPr>
        <w:t xml:space="preserve">1 and Big Bend </w:t>
      </w:r>
      <w:r w:rsidR="003A78E2">
        <w:rPr>
          <w:bCs/>
        </w:rPr>
        <w:t xml:space="preserve">Unit </w:t>
      </w:r>
      <w:r>
        <w:rPr>
          <w:bCs/>
        </w:rPr>
        <w:t>4, including retirements by 2030 and 2032, by measuring the cost-effectiveness of retiring each unit early against the cost of acquiring replacement resources. TECO should additionally be required to study the economic impacts of complying with EPA’s 2024 rules affecting fossil-fueled power plants, which are listed in the Statement of Basic Position above, and TECO should include those projected costs in its retirement scenarios. In the event that the Commission calls for a retirement study rather than retirement commitments, these scenarios and studies should be published in a formal report to the Commission no later than the end of 2025. In that event, the Commission should also require TECO to apply for EIR funding to fund clean replacement resources for Polk 1 and Big Bend 4 by the end of 2025. TECO should be required to submit to the Commission a plan to take advantage of such funding based on the results of the retirement studies.</w:t>
      </w:r>
    </w:p>
    <w:p w14:paraId="0134FFB5" w14:textId="77777777" w:rsidR="0063317A" w:rsidRDefault="0063317A" w:rsidP="0063317A">
      <w:pPr>
        <w:ind w:left="1440" w:hanging="1440"/>
        <w:jc w:val="both"/>
        <w:rPr>
          <w:b/>
        </w:rPr>
      </w:pPr>
    </w:p>
    <w:p w14:paraId="69427F12" w14:textId="655BBC5C" w:rsidR="0063317A" w:rsidRDefault="0063317A" w:rsidP="0063317A">
      <w:pPr>
        <w:ind w:left="1440" w:hanging="1440"/>
        <w:jc w:val="both"/>
        <w:rPr>
          <w:b/>
        </w:rPr>
      </w:pPr>
      <w:r>
        <w:rPr>
          <w:b/>
        </w:rPr>
        <w:t>FRF:</w:t>
      </w:r>
      <w:r>
        <w:rPr>
          <w:b/>
        </w:rPr>
        <w:tab/>
      </w:r>
      <w:r w:rsidR="00A80388">
        <w:t xml:space="preserve">Regardless whether the </w:t>
      </w:r>
      <w:r w:rsidR="003A78E2">
        <w:t>Commission</w:t>
      </w:r>
      <w:r w:rsidR="00A80388">
        <w:t xml:space="preserve"> requires TECO to perform any studies or analyses relating to potential early retirements of Polk Unit 1 or Big Bend Unit 4, in the current regulatory environment, it would be imprudent for TECO not to be conducting such studies and analyses on a regular basis far enough in advance to enable it to make prudent retirement decisions based on regulatory and market developments.</w:t>
      </w:r>
    </w:p>
    <w:p w14:paraId="3711B7D9" w14:textId="77777777" w:rsidR="0063317A" w:rsidRDefault="0063317A" w:rsidP="0063317A">
      <w:pPr>
        <w:ind w:left="1440" w:hanging="1440"/>
        <w:jc w:val="both"/>
        <w:rPr>
          <w:b/>
        </w:rPr>
      </w:pPr>
    </w:p>
    <w:p w14:paraId="76501259" w14:textId="77777777" w:rsidR="00A14A11" w:rsidRDefault="00C0182D" w:rsidP="0063317A">
      <w:pPr>
        <w:ind w:left="1440" w:hanging="1440"/>
        <w:jc w:val="both"/>
        <w:rPr>
          <w:b/>
        </w:rPr>
      </w:pPr>
      <w:r>
        <w:rPr>
          <w:b/>
        </w:rPr>
        <w:t xml:space="preserve">FUEL </w:t>
      </w:r>
    </w:p>
    <w:p w14:paraId="3DC6CAC3" w14:textId="79451FCC" w:rsidR="0063317A" w:rsidRDefault="00C0182D" w:rsidP="0063317A">
      <w:pPr>
        <w:ind w:left="1440" w:hanging="1440"/>
        <w:jc w:val="both"/>
      </w:pPr>
      <w:r>
        <w:rPr>
          <w:b/>
        </w:rPr>
        <w:t>RETAILERS</w:t>
      </w:r>
      <w:r w:rsidR="0063317A">
        <w:rPr>
          <w:b/>
        </w:rPr>
        <w:t>:</w:t>
      </w:r>
      <w:r w:rsidR="00A14A11">
        <w:rPr>
          <w:b/>
        </w:rPr>
        <w:t xml:space="preserve"> </w:t>
      </w:r>
      <w:r w:rsidR="00727593" w:rsidRPr="00903FCD">
        <w:t xml:space="preserve">No </w:t>
      </w:r>
      <w:r w:rsidR="00411487">
        <w:t>p</w:t>
      </w:r>
      <w:r w:rsidR="00727593" w:rsidRPr="00903FCD">
        <w:t>osition.</w:t>
      </w:r>
    </w:p>
    <w:p w14:paraId="0E5D66E5" w14:textId="77777777" w:rsidR="00AD0522" w:rsidRDefault="00AD0522" w:rsidP="0063317A">
      <w:pPr>
        <w:ind w:left="1440" w:hanging="1440"/>
        <w:jc w:val="both"/>
      </w:pPr>
    </w:p>
    <w:p w14:paraId="304120AE" w14:textId="3E9E2467" w:rsidR="00AD0522" w:rsidRDefault="00FD408B" w:rsidP="0063317A">
      <w:pPr>
        <w:ind w:left="1440" w:hanging="1440"/>
        <w:jc w:val="both"/>
      </w:pPr>
      <w:r>
        <w:rPr>
          <w:b/>
        </w:rPr>
        <w:lastRenderedPageBreak/>
        <w:t>WALMART</w:t>
      </w:r>
      <w:r w:rsidR="00AD0522">
        <w:rPr>
          <w:b/>
        </w:rPr>
        <w:t>:</w:t>
      </w:r>
      <w:r w:rsidR="00AD0522">
        <w:rPr>
          <w:b/>
        </w:rPr>
        <w:tab/>
      </w:r>
      <w:r w:rsidR="00411487" w:rsidRPr="00411487">
        <w:t>A</w:t>
      </w:r>
      <w:r w:rsidR="00AD0522">
        <w:t>dopts the position of FRF.</w:t>
      </w:r>
    </w:p>
    <w:p w14:paraId="53E7468E" w14:textId="77777777" w:rsidR="00CC301A" w:rsidRPr="00AD0522" w:rsidRDefault="00CC301A" w:rsidP="0063317A">
      <w:pPr>
        <w:ind w:left="1440" w:hanging="1440"/>
        <w:jc w:val="both"/>
        <w:rPr>
          <w:b/>
        </w:rPr>
      </w:pPr>
    </w:p>
    <w:p w14:paraId="15B8CDB1" w14:textId="128E9124" w:rsidR="0063317A" w:rsidRDefault="0063317A" w:rsidP="0063317A">
      <w:pPr>
        <w:ind w:left="1440" w:hanging="1440"/>
        <w:jc w:val="both"/>
      </w:pPr>
      <w:r>
        <w:rPr>
          <w:b/>
          <w:bCs/>
        </w:rPr>
        <w:t>STAFF:</w:t>
      </w:r>
      <w:r>
        <w:rPr>
          <w:b/>
          <w:bCs/>
        </w:rPr>
        <w:tab/>
      </w:r>
      <w:r w:rsidR="003E5174">
        <w:t>No position at this time.</w:t>
      </w:r>
    </w:p>
    <w:p w14:paraId="0262C509" w14:textId="41F90370" w:rsidR="00CC301A" w:rsidRDefault="00CC301A" w:rsidP="0063317A">
      <w:pPr>
        <w:ind w:left="1440" w:hanging="1440"/>
        <w:jc w:val="both"/>
      </w:pPr>
    </w:p>
    <w:p w14:paraId="0905A8F9" w14:textId="77777777" w:rsidR="00CC301A" w:rsidRPr="005D4B47" w:rsidRDefault="00CC301A" w:rsidP="0063317A">
      <w:pPr>
        <w:ind w:left="1440" w:hanging="1440"/>
        <w:jc w:val="both"/>
        <w:rPr>
          <w:b/>
          <w:bCs/>
        </w:rPr>
      </w:pPr>
    </w:p>
    <w:p w14:paraId="513CB0F7" w14:textId="77777777" w:rsidR="000C3413" w:rsidRPr="00F84069" w:rsidRDefault="000C3413" w:rsidP="000C3413">
      <w:pPr>
        <w:ind w:left="1440" w:hanging="1440"/>
        <w:jc w:val="both"/>
        <w:rPr>
          <w:b/>
        </w:rPr>
      </w:pPr>
      <w:r w:rsidRPr="005D4B47">
        <w:rPr>
          <w:b/>
          <w:bCs/>
        </w:rPr>
        <w:t>ISSUE 1</w:t>
      </w:r>
      <w:r w:rsidR="00F84069">
        <w:rPr>
          <w:b/>
          <w:bCs/>
        </w:rPr>
        <w:t>17</w:t>
      </w:r>
      <w:r w:rsidRPr="00701945">
        <w:rPr>
          <w:b/>
          <w:bCs/>
        </w:rPr>
        <w:t>:</w:t>
      </w:r>
      <w:r w:rsidRPr="00701945">
        <w:tab/>
      </w:r>
      <w:r w:rsidR="00F84069" w:rsidRPr="00F84069">
        <w:rPr>
          <w:b/>
        </w:rPr>
        <w:t>What is the appropriate effective date for TECO's revised 2025 rates and charges?</w:t>
      </w:r>
    </w:p>
    <w:p w14:paraId="205DE792" w14:textId="77777777" w:rsidR="000C3413" w:rsidRPr="00701945" w:rsidRDefault="000C3413" w:rsidP="000C3413">
      <w:pPr>
        <w:jc w:val="both"/>
      </w:pPr>
    </w:p>
    <w:p w14:paraId="4D899ED6" w14:textId="77777777" w:rsidR="000C3413" w:rsidRPr="005D4B47" w:rsidRDefault="000C3413" w:rsidP="000C3413">
      <w:pPr>
        <w:ind w:left="1440" w:hanging="1440"/>
        <w:jc w:val="both"/>
      </w:pPr>
      <w:r>
        <w:rPr>
          <w:b/>
          <w:bCs/>
        </w:rPr>
        <w:t>TECO</w:t>
      </w:r>
      <w:r w:rsidRPr="005D4B47">
        <w:rPr>
          <w:b/>
          <w:bCs/>
        </w:rPr>
        <w:t>:</w:t>
      </w:r>
      <w:r w:rsidRPr="005D4B47">
        <w:tab/>
      </w:r>
      <w:r w:rsidR="00F84069">
        <w:t>The company’s revised 2025 rates and charges should be approved effective with the first billing cycle in January 2025. (Chronister, Williams)</w:t>
      </w:r>
    </w:p>
    <w:p w14:paraId="339F4691" w14:textId="77777777" w:rsidR="000C3413" w:rsidRPr="00701945" w:rsidRDefault="000C3413" w:rsidP="000C3413">
      <w:pPr>
        <w:jc w:val="both"/>
      </w:pPr>
    </w:p>
    <w:p w14:paraId="006305D1" w14:textId="77777777" w:rsidR="000C3413" w:rsidRDefault="000C3413" w:rsidP="000C3413">
      <w:pPr>
        <w:ind w:left="1440" w:hanging="1440"/>
        <w:jc w:val="both"/>
      </w:pPr>
      <w:r>
        <w:rPr>
          <w:b/>
          <w:bCs/>
        </w:rPr>
        <w:t>OPC</w:t>
      </w:r>
      <w:r w:rsidRPr="00701945">
        <w:rPr>
          <w:b/>
          <w:bCs/>
        </w:rPr>
        <w:t>:</w:t>
      </w:r>
      <w:r>
        <w:tab/>
      </w:r>
      <w:r w:rsidR="00D175D0">
        <w:t>The 2025 rates and charges should not become effective any sooner than the first billing cycle in 2026.</w:t>
      </w:r>
    </w:p>
    <w:p w14:paraId="71E2CDEF" w14:textId="77777777" w:rsidR="000C3413" w:rsidRDefault="000C3413" w:rsidP="000C3413">
      <w:pPr>
        <w:ind w:left="1440" w:hanging="1440"/>
        <w:jc w:val="both"/>
      </w:pPr>
    </w:p>
    <w:p w14:paraId="25032DB5" w14:textId="77777777" w:rsidR="000C3413" w:rsidRDefault="000C3413" w:rsidP="000C3413">
      <w:pPr>
        <w:ind w:left="1440" w:hanging="1440"/>
        <w:jc w:val="both"/>
        <w:rPr>
          <w:b/>
        </w:rPr>
      </w:pPr>
      <w:r>
        <w:rPr>
          <w:b/>
        </w:rPr>
        <w:t>FL RISING/</w:t>
      </w:r>
    </w:p>
    <w:p w14:paraId="05FD3F91" w14:textId="330E6A65" w:rsidR="000C3413" w:rsidRDefault="000C3413" w:rsidP="000C3413">
      <w:pPr>
        <w:ind w:left="1440" w:hanging="1440"/>
        <w:jc w:val="both"/>
        <w:rPr>
          <w:b/>
        </w:rPr>
      </w:pPr>
      <w:r>
        <w:rPr>
          <w:b/>
        </w:rPr>
        <w:t>LULAC:</w:t>
      </w:r>
      <w:r>
        <w:rPr>
          <w:b/>
        </w:rPr>
        <w:tab/>
      </w:r>
      <w:r w:rsidR="00B53B02">
        <w:t>No effective date should be applicable because the Commission should deny TECO’s petition for rate increase. If the Commission does not outright deny the petition, then January 1, 2025.</w:t>
      </w:r>
    </w:p>
    <w:p w14:paraId="5F7C43BD" w14:textId="77777777" w:rsidR="000C3413" w:rsidRDefault="000C3413" w:rsidP="000C3413">
      <w:pPr>
        <w:ind w:left="1440" w:hanging="1440"/>
        <w:jc w:val="both"/>
        <w:rPr>
          <w:b/>
        </w:rPr>
      </w:pPr>
    </w:p>
    <w:p w14:paraId="3D3F8DFD" w14:textId="6DD7944F" w:rsidR="000C3413" w:rsidRDefault="000C3413" w:rsidP="000C3413">
      <w:pPr>
        <w:ind w:left="1440" w:hanging="1440"/>
        <w:jc w:val="both"/>
        <w:rPr>
          <w:b/>
        </w:rPr>
      </w:pPr>
      <w:r>
        <w:rPr>
          <w:b/>
        </w:rPr>
        <w:t>FIPUG:</w:t>
      </w:r>
      <w:r>
        <w:rPr>
          <w:b/>
        </w:rPr>
        <w:tab/>
      </w:r>
      <w:r w:rsidR="001502A7" w:rsidRPr="00F5435C">
        <w:rPr>
          <w:bCs/>
        </w:rPr>
        <w:t>Adopt</w:t>
      </w:r>
      <w:r w:rsidR="00411487">
        <w:rPr>
          <w:bCs/>
        </w:rPr>
        <w:t>s the</w:t>
      </w:r>
      <w:r w:rsidR="001502A7" w:rsidRPr="00F5435C">
        <w:rPr>
          <w:bCs/>
        </w:rPr>
        <w:t xml:space="preserve"> position of OPC.</w:t>
      </w:r>
    </w:p>
    <w:p w14:paraId="4A370511" w14:textId="77777777" w:rsidR="000C3413" w:rsidRDefault="000C3413" w:rsidP="000C3413">
      <w:pPr>
        <w:ind w:left="1440" w:hanging="1440"/>
        <w:jc w:val="both"/>
        <w:rPr>
          <w:b/>
        </w:rPr>
      </w:pPr>
    </w:p>
    <w:p w14:paraId="3BCA3511" w14:textId="277B179B" w:rsidR="000C3413" w:rsidRDefault="000C3413" w:rsidP="000C3413">
      <w:pPr>
        <w:ind w:left="1440" w:hanging="1440"/>
        <w:jc w:val="both"/>
        <w:rPr>
          <w:b/>
        </w:rPr>
      </w:pPr>
      <w:r>
        <w:rPr>
          <w:b/>
        </w:rPr>
        <w:t>FEA:</w:t>
      </w:r>
      <w:r>
        <w:rPr>
          <w:b/>
        </w:rPr>
        <w:tab/>
      </w:r>
      <w:r w:rsidR="00411487">
        <w:t>No position.</w:t>
      </w:r>
    </w:p>
    <w:p w14:paraId="5762A97D" w14:textId="77777777" w:rsidR="000C3413" w:rsidRDefault="000C3413" w:rsidP="000C3413">
      <w:pPr>
        <w:ind w:left="1440" w:hanging="1440"/>
        <w:jc w:val="both"/>
        <w:rPr>
          <w:b/>
        </w:rPr>
      </w:pPr>
    </w:p>
    <w:p w14:paraId="273EDAF9" w14:textId="77777777" w:rsidR="00A14A11" w:rsidRDefault="00764960" w:rsidP="000C3413">
      <w:pPr>
        <w:ind w:left="1440" w:hanging="1440"/>
        <w:jc w:val="both"/>
        <w:rPr>
          <w:b/>
        </w:rPr>
      </w:pPr>
      <w:r>
        <w:rPr>
          <w:b/>
        </w:rPr>
        <w:t xml:space="preserve">SIERRA </w:t>
      </w:r>
    </w:p>
    <w:p w14:paraId="7F0CF1DB" w14:textId="0D4147CC" w:rsidR="000C3413" w:rsidRDefault="00764960" w:rsidP="000C3413">
      <w:pPr>
        <w:ind w:left="1440" w:hanging="1440"/>
        <w:jc w:val="both"/>
        <w:rPr>
          <w:b/>
        </w:rPr>
      </w:pPr>
      <w:r>
        <w:rPr>
          <w:b/>
        </w:rPr>
        <w:t>CLUB</w:t>
      </w:r>
      <w:r w:rsidR="000C3413">
        <w:rPr>
          <w:b/>
        </w:rPr>
        <w:t>:</w:t>
      </w:r>
      <w:r w:rsidR="000C3413">
        <w:rPr>
          <w:b/>
        </w:rPr>
        <w:tab/>
      </w:r>
      <w:r w:rsidR="009F7D4A">
        <w:t>No position.</w:t>
      </w:r>
    </w:p>
    <w:p w14:paraId="2EA74968" w14:textId="77777777" w:rsidR="000C3413" w:rsidRDefault="000C3413" w:rsidP="000C3413">
      <w:pPr>
        <w:ind w:left="1440" w:hanging="1440"/>
        <w:jc w:val="both"/>
        <w:rPr>
          <w:b/>
        </w:rPr>
      </w:pPr>
    </w:p>
    <w:p w14:paraId="62B7F585" w14:textId="77777777" w:rsidR="000C3413" w:rsidRDefault="000C3413" w:rsidP="000C3413">
      <w:pPr>
        <w:ind w:left="1440" w:hanging="1440"/>
        <w:jc w:val="both"/>
        <w:rPr>
          <w:b/>
        </w:rPr>
      </w:pPr>
      <w:r>
        <w:rPr>
          <w:b/>
        </w:rPr>
        <w:t>FRF:</w:t>
      </w:r>
      <w:r>
        <w:rPr>
          <w:b/>
        </w:rPr>
        <w:tab/>
      </w:r>
      <w:r w:rsidR="00A80388">
        <w:t>Any change in rates for the 2025 test year should be effective for service rendered on the first day of the first billing cycle of January 2025.</w:t>
      </w:r>
    </w:p>
    <w:p w14:paraId="4652C7E2" w14:textId="77777777" w:rsidR="000C3413" w:rsidRDefault="000C3413" w:rsidP="000C3413">
      <w:pPr>
        <w:ind w:left="1440" w:hanging="1440"/>
        <w:jc w:val="both"/>
        <w:rPr>
          <w:b/>
        </w:rPr>
      </w:pPr>
    </w:p>
    <w:p w14:paraId="576D6477" w14:textId="77777777" w:rsidR="00A14A11" w:rsidRDefault="00C0182D" w:rsidP="000C3413">
      <w:pPr>
        <w:ind w:left="1440" w:hanging="1440"/>
        <w:jc w:val="both"/>
        <w:rPr>
          <w:b/>
        </w:rPr>
      </w:pPr>
      <w:r>
        <w:rPr>
          <w:b/>
        </w:rPr>
        <w:t xml:space="preserve">FUEL </w:t>
      </w:r>
    </w:p>
    <w:p w14:paraId="70CAF766" w14:textId="3B1452B3" w:rsidR="000C3413" w:rsidRDefault="00C0182D" w:rsidP="000C3413">
      <w:pPr>
        <w:ind w:left="1440" w:hanging="1440"/>
        <w:jc w:val="both"/>
      </w:pPr>
      <w:r>
        <w:rPr>
          <w:b/>
        </w:rPr>
        <w:t>RETAILERS</w:t>
      </w:r>
      <w:r w:rsidR="000C3413">
        <w:rPr>
          <w:b/>
        </w:rPr>
        <w:t>:</w:t>
      </w:r>
      <w:r w:rsidR="00A14A11">
        <w:rPr>
          <w:b/>
        </w:rPr>
        <w:t xml:space="preserve"> </w:t>
      </w:r>
      <w:r w:rsidR="00727593" w:rsidRPr="00903FCD">
        <w:t xml:space="preserve">No </w:t>
      </w:r>
      <w:r w:rsidR="009F7D4A">
        <w:t>p</w:t>
      </w:r>
      <w:r w:rsidR="00727593" w:rsidRPr="00903FCD">
        <w:t>osition.</w:t>
      </w:r>
    </w:p>
    <w:p w14:paraId="3581FD24" w14:textId="77777777" w:rsidR="00AD0522" w:rsidRDefault="00AD0522" w:rsidP="000C3413">
      <w:pPr>
        <w:ind w:left="1440" w:hanging="1440"/>
        <w:jc w:val="both"/>
      </w:pPr>
    </w:p>
    <w:p w14:paraId="56D915EF" w14:textId="7F79E756" w:rsidR="00AD0522" w:rsidRPr="00AD0522" w:rsidRDefault="00FD408B" w:rsidP="000C3413">
      <w:pPr>
        <w:ind w:left="1440" w:hanging="1440"/>
        <w:jc w:val="both"/>
        <w:rPr>
          <w:b/>
        </w:rPr>
      </w:pPr>
      <w:r>
        <w:rPr>
          <w:b/>
        </w:rPr>
        <w:t>WALMART</w:t>
      </w:r>
      <w:r w:rsidR="00AD0522">
        <w:rPr>
          <w:b/>
        </w:rPr>
        <w:t>:</w:t>
      </w:r>
      <w:r w:rsidR="00AD0522">
        <w:rPr>
          <w:b/>
        </w:rPr>
        <w:tab/>
      </w:r>
      <w:r w:rsidR="009F7D4A" w:rsidRPr="009F7D4A">
        <w:t>A</w:t>
      </w:r>
      <w:r w:rsidR="00AD0522">
        <w:t>dopts the position of FRF.</w:t>
      </w:r>
    </w:p>
    <w:p w14:paraId="612B5314" w14:textId="77777777" w:rsidR="000C3413" w:rsidRPr="00701945" w:rsidRDefault="000C3413" w:rsidP="000C3413">
      <w:pPr>
        <w:jc w:val="both"/>
      </w:pPr>
    </w:p>
    <w:p w14:paraId="561F1DA0" w14:textId="77777777" w:rsidR="000C3413" w:rsidRPr="005D4B47" w:rsidRDefault="000C3413" w:rsidP="000C3413">
      <w:pPr>
        <w:ind w:left="1440" w:hanging="1440"/>
        <w:jc w:val="both"/>
        <w:rPr>
          <w:b/>
          <w:bCs/>
        </w:rPr>
      </w:pPr>
      <w:r>
        <w:rPr>
          <w:b/>
          <w:bCs/>
        </w:rPr>
        <w:t>STAFF:</w:t>
      </w:r>
      <w:r>
        <w:rPr>
          <w:b/>
          <w:bCs/>
        </w:rPr>
        <w:tab/>
      </w:r>
      <w:r w:rsidR="003E5174">
        <w:t>No position at this time.</w:t>
      </w:r>
    </w:p>
    <w:p w14:paraId="02C06A88" w14:textId="77777777" w:rsidR="000C3413" w:rsidRDefault="000C3413" w:rsidP="00C7699A">
      <w:pPr>
        <w:jc w:val="both"/>
      </w:pPr>
    </w:p>
    <w:p w14:paraId="2AC389FF" w14:textId="77777777" w:rsidR="000C3413" w:rsidRDefault="000C3413" w:rsidP="00C7699A">
      <w:pPr>
        <w:jc w:val="both"/>
      </w:pPr>
    </w:p>
    <w:p w14:paraId="2A91C405" w14:textId="77777777" w:rsidR="000C3413" w:rsidRPr="00F84069" w:rsidRDefault="000C3413" w:rsidP="000C3413">
      <w:pPr>
        <w:ind w:left="1440" w:hanging="1440"/>
        <w:jc w:val="both"/>
        <w:rPr>
          <w:b/>
        </w:rPr>
      </w:pPr>
      <w:r w:rsidRPr="005D4B47">
        <w:rPr>
          <w:b/>
          <w:bCs/>
        </w:rPr>
        <w:t>ISSUE 1</w:t>
      </w:r>
      <w:r w:rsidR="00F84069">
        <w:rPr>
          <w:b/>
          <w:bCs/>
        </w:rPr>
        <w:t>18</w:t>
      </w:r>
      <w:r w:rsidRPr="00701945">
        <w:rPr>
          <w:b/>
          <w:bCs/>
        </w:rPr>
        <w:t>:</w:t>
      </w:r>
      <w:r w:rsidRPr="00701945">
        <w:tab/>
      </w:r>
      <w:r w:rsidR="00F84069" w:rsidRPr="00F84069">
        <w:rPr>
          <w:b/>
          <w:bCs/>
        </w:rPr>
        <w:t>Has the Commission considered TECO’s performance pursuant to Sections 366.80–366.83 and 403.519, Florida Statutes, when establishing rates?</w:t>
      </w:r>
    </w:p>
    <w:p w14:paraId="3519D021" w14:textId="77777777" w:rsidR="000C3413" w:rsidRPr="00701945" w:rsidRDefault="000C3413" w:rsidP="000C3413">
      <w:pPr>
        <w:jc w:val="both"/>
      </w:pPr>
    </w:p>
    <w:p w14:paraId="3A525370" w14:textId="77777777" w:rsidR="000C3413" w:rsidRPr="005D4B47" w:rsidRDefault="000C3413" w:rsidP="000C3413">
      <w:pPr>
        <w:ind w:left="1440" w:hanging="1440"/>
        <w:jc w:val="both"/>
      </w:pPr>
      <w:r>
        <w:rPr>
          <w:b/>
          <w:bCs/>
        </w:rPr>
        <w:t>TECO</w:t>
      </w:r>
      <w:r w:rsidRPr="005D4B47">
        <w:rPr>
          <w:b/>
          <w:bCs/>
        </w:rPr>
        <w:t>:</w:t>
      </w:r>
      <w:r w:rsidRPr="005D4B47">
        <w:tab/>
      </w:r>
      <w:r w:rsidR="00F84069">
        <w:t xml:space="preserve">Yes. The company’s FEECA performance is summarized in the prepared direct testimony of Ashley Sizemore. From inception through the end of 2023, the company’s energy conservation programs have reduced summer and winter peak demand by 835.4 MW and 1,349.8 MW, respectively, and have saved 1,950.1 </w:t>
      </w:r>
      <w:r w:rsidR="00F84069">
        <w:lastRenderedPageBreak/>
        <w:t>GWh of annual energy, which is the equivalent of avoiding the need for over seven 180 MW power plants. (Sizemore)</w:t>
      </w:r>
    </w:p>
    <w:p w14:paraId="0357B42D" w14:textId="77777777" w:rsidR="000C3413" w:rsidRPr="00701945" w:rsidRDefault="000C3413" w:rsidP="000C3413">
      <w:pPr>
        <w:jc w:val="both"/>
      </w:pPr>
    </w:p>
    <w:p w14:paraId="56A7D692" w14:textId="77777777" w:rsidR="000C3413" w:rsidRDefault="000C3413" w:rsidP="000C3413">
      <w:pPr>
        <w:ind w:left="1440" w:hanging="1440"/>
        <w:jc w:val="both"/>
      </w:pPr>
      <w:r>
        <w:rPr>
          <w:b/>
          <w:bCs/>
        </w:rPr>
        <w:t>OPC</w:t>
      </w:r>
      <w:r w:rsidRPr="00701945">
        <w:rPr>
          <w:b/>
          <w:bCs/>
        </w:rPr>
        <w:t>:</w:t>
      </w:r>
      <w:r>
        <w:tab/>
      </w:r>
      <w:r w:rsidR="00324E36">
        <w:t>No position</w:t>
      </w:r>
      <w:r w:rsidR="00D175D0">
        <w:rPr>
          <w:bCs/>
        </w:rPr>
        <w:t>.</w:t>
      </w:r>
    </w:p>
    <w:p w14:paraId="1129E933" w14:textId="77777777" w:rsidR="00790F16" w:rsidRDefault="00790F16" w:rsidP="000C3413">
      <w:pPr>
        <w:ind w:left="1440" w:hanging="1440"/>
        <w:jc w:val="both"/>
      </w:pPr>
    </w:p>
    <w:p w14:paraId="3EA55973" w14:textId="77777777" w:rsidR="000C3413" w:rsidRDefault="000C3413" w:rsidP="000C3413">
      <w:pPr>
        <w:ind w:left="1440" w:hanging="1440"/>
        <w:jc w:val="both"/>
        <w:rPr>
          <w:b/>
        </w:rPr>
      </w:pPr>
      <w:r>
        <w:rPr>
          <w:b/>
        </w:rPr>
        <w:t>FL RISING/</w:t>
      </w:r>
    </w:p>
    <w:p w14:paraId="686562D2" w14:textId="575B3D5B" w:rsidR="000C3413" w:rsidRDefault="000C3413" w:rsidP="000C3413">
      <w:pPr>
        <w:ind w:left="1440" w:hanging="1440"/>
        <w:jc w:val="both"/>
        <w:rPr>
          <w:b/>
        </w:rPr>
      </w:pPr>
      <w:r>
        <w:rPr>
          <w:b/>
        </w:rPr>
        <w:t>LULAC:</w:t>
      </w:r>
      <w:r>
        <w:rPr>
          <w:b/>
        </w:rPr>
        <w:tab/>
      </w:r>
      <w:r w:rsidR="00B53B02" w:rsidRPr="52F44B59">
        <w:t>No, not at this time. However, the Commission has a duty to consider these statutes. The Commission should consider TECO’s performance adequate, but since TECO does minimal energy efficiency as compared to national standards, no adjustments are warranted. (Marcelin)</w:t>
      </w:r>
    </w:p>
    <w:p w14:paraId="148D0E86" w14:textId="77777777" w:rsidR="000C3413" w:rsidRDefault="000C3413" w:rsidP="000C3413">
      <w:pPr>
        <w:ind w:left="1440" w:hanging="1440"/>
        <w:jc w:val="both"/>
        <w:rPr>
          <w:b/>
        </w:rPr>
      </w:pPr>
    </w:p>
    <w:p w14:paraId="0272E44E" w14:textId="1C8B671C" w:rsidR="000C3413" w:rsidRDefault="000C3413" w:rsidP="000C3413">
      <w:pPr>
        <w:ind w:left="1440" w:hanging="1440"/>
        <w:jc w:val="both"/>
        <w:rPr>
          <w:b/>
        </w:rPr>
      </w:pPr>
      <w:r>
        <w:rPr>
          <w:b/>
        </w:rPr>
        <w:t>FIPUG:</w:t>
      </w:r>
      <w:r>
        <w:rPr>
          <w:b/>
        </w:rPr>
        <w:tab/>
      </w:r>
      <w:r w:rsidR="00604363">
        <w:rPr>
          <w:bCs/>
        </w:rPr>
        <w:t>No position.</w:t>
      </w:r>
    </w:p>
    <w:p w14:paraId="0CAD2B9A" w14:textId="77777777" w:rsidR="000C3413" w:rsidRDefault="000C3413" w:rsidP="000C3413">
      <w:pPr>
        <w:ind w:left="1440" w:hanging="1440"/>
        <w:jc w:val="both"/>
        <w:rPr>
          <w:b/>
        </w:rPr>
      </w:pPr>
    </w:p>
    <w:p w14:paraId="6A6E6D51" w14:textId="1BF12945" w:rsidR="000C3413" w:rsidRDefault="000C3413" w:rsidP="000C3413">
      <w:pPr>
        <w:ind w:left="1440" w:hanging="1440"/>
        <w:jc w:val="both"/>
        <w:rPr>
          <w:b/>
        </w:rPr>
      </w:pPr>
      <w:r>
        <w:rPr>
          <w:b/>
        </w:rPr>
        <w:t>FEA:</w:t>
      </w:r>
      <w:r>
        <w:rPr>
          <w:b/>
        </w:rPr>
        <w:tab/>
      </w:r>
      <w:r w:rsidR="00604363">
        <w:t>No position.</w:t>
      </w:r>
    </w:p>
    <w:p w14:paraId="29649A01" w14:textId="77777777" w:rsidR="000C3413" w:rsidRDefault="000C3413" w:rsidP="000C3413">
      <w:pPr>
        <w:ind w:left="1440" w:hanging="1440"/>
        <w:jc w:val="both"/>
        <w:rPr>
          <w:b/>
        </w:rPr>
      </w:pPr>
    </w:p>
    <w:p w14:paraId="1EC349EA" w14:textId="77777777" w:rsidR="00A14A11" w:rsidRDefault="00764960" w:rsidP="000C3413">
      <w:pPr>
        <w:ind w:left="1440" w:hanging="1440"/>
        <w:jc w:val="both"/>
        <w:rPr>
          <w:b/>
        </w:rPr>
      </w:pPr>
      <w:r>
        <w:rPr>
          <w:b/>
        </w:rPr>
        <w:t xml:space="preserve">SIERRA </w:t>
      </w:r>
    </w:p>
    <w:p w14:paraId="1374DDE6" w14:textId="5FC80689" w:rsidR="000C3413" w:rsidRDefault="00764960" w:rsidP="000C3413">
      <w:pPr>
        <w:ind w:left="1440" w:hanging="1440"/>
        <w:jc w:val="both"/>
        <w:rPr>
          <w:b/>
        </w:rPr>
      </w:pPr>
      <w:r>
        <w:rPr>
          <w:b/>
        </w:rPr>
        <w:t>CLUB</w:t>
      </w:r>
      <w:r w:rsidR="000C3413">
        <w:rPr>
          <w:b/>
        </w:rPr>
        <w:t>:</w:t>
      </w:r>
      <w:r w:rsidR="000C3413">
        <w:rPr>
          <w:b/>
        </w:rPr>
        <w:tab/>
      </w:r>
      <w:r w:rsidR="00604363">
        <w:t>No position.</w:t>
      </w:r>
    </w:p>
    <w:p w14:paraId="0571899D" w14:textId="77777777" w:rsidR="000C3413" w:rsidRDefault="000C3413" w:rsidP="000C3413">
      <w:pPr>
        <w:ind w:left="1440" w:hanging="1440"/>
        <w:jc w:val="both"/>
        <w:rPr>
          <w:b/>
        </w:rPr>
      </w:pPr>
    </w:p>
    <w:p w14:paraId="27C1AFAB" w14:textId="317FE786" w:rsidR="000C3413" w:rsidRDefault="000C3413" w:rsidP="000C3413">
      <w:pPr>
        <w:ind w:left="1440" w:hanging="1440"/>
        <w:jc w:val="both"/>
      </w:pPr>
      <w:r>
        <w:rPr>
          <w:b/>
        </w:rPr>
        <w:t>FRF:</w:t>
      </w:r>
      <w:r>
        <w:rPr>
          <w:b/>
        </w:rPr>
        <w:tab/>
      </w:r>
      <w:r w:rsidR="00604363">
        <w:t>No position.</w:t>
      </w:r>
    </w:p>
    <w:p w14:paraId="12E1C8D0" w14:textId="77777777" w:rsidR="00604363" w:rsidRDefault="00604363" w:rsidP="000C3413">
      <w:pPr>
        <w:ind w:left="1440" w:hanging="1440"/>
        <w:jc w:val="both"/>
        <w:rPr>
          <w:b/>
        </w:rPr>
      </w:pPr>
    </w:p>
    <w:p w14:paraId="67B3A73B" w14:textId="77777777" w:rsidR="00A14A11" w:rsidRDefault="00C0182D" w:rsidP="000C3413">
      <w:pPr>
        <w:ind w:left="1440" w:hanging="1440"/>
        <w:jc w:val="both"/>
        <w:rPr>
          <w:b/>
        </w:rPr>
      </w:pPr>
      <w:r>
        <w:rPr>
          <w:b/>
        </w:rPr>
        <w:t xml:space="preserve">FUEL </w:t>
      </w:r>
    </w:p>
    <w:p w14:paraId="4C7CFA3A" w14:textId="1498E8E1" w:rsidR="000C3413" w:rsidRDefault="00C0182D" w:rsidP="000C3413">
      <w:pPr>
        <w:ind w:left="1440" w:hanging="1440"/>
        <w:jc w:val="both"/>
      </w:pPr>
      <w:r>
        <w:rPr>
          <w:b/>
        </w:rPr>
        <w:t>RETAILERS</w:t>
      </w:r>
      <w:r w:rsidR="000C3413">
        <w:rPr>
          <w:b/>
        </w:rPr>
        <w:t>:</w:t>
      </w:r>
      <w:r w:rsidR="00A14A11">
        <w:rPr>
          <w:b/>
        </w:rPr>
        <w:t xml:space="preserve"> </w:t>
      </w:r>
      <w:r w:rsidR="00C3263D" w:rsidRPr="00903FCD">
        <w:t xml:space="preserve">No </w:t>
      </w:r>
      <w:r w:rsidR="00604363">
        <w:t>p</w:t>
      </w:r>
      <w:r w:rsidR="00C3263D" w:rsidRPr="00903FCD">
        <w:t>osition.</w:t>
      </w:r>
    </w:p>
    <w:p w14:paraId="71986B5E" w14:textId="77777777" w:rsidR="00AD0522" w:rsidRDefault="00AD0522" w:rsidP="000C3413">
      <w:pPr>
        <w:ind w:left="1440" w:hanging="1440"/>
        <w:jc w:val="both"/>
      </w:pPr>
    </w:p>
    <w:p w14:paraId="7F5BEF5A" w14:textId="75DCEFF2" w:rsidR="00AD0522" w:rsidRPr="00AD0522" w:rsidRDefault="00FD408B" w:rsidP="000C3413">
      <w:pPr>
        <w:ind w:left="1440" w:hanging="1440"/>
        <w:jc w:val="both"/>
        <w:rPr>
          <w:b/>
        </w:rPr>
      </w:pPr>
      <w:r>
        <w:rPr>
          <w:b/>
        </w:rPr>
        <w:t>WALMART</w:t>
      </w:r>
      <w:r w:rsidR="00AD0522">
        <w:rPr>
          <w:b/>
        </w:rPr>
        <w:t>:</w:t>
      </w:r>
      <w:r w:rsidR="00AD0522">
        <w:rPr>
          <w:b/>
        </w:rPr>
        <w:tab/>
      </w:r>
      <w:r w:rsidR="00604363">
        <w:t>No position.</w:t>
      </w:r>
    </w:p>
    <w:p w14:paraId="04FA59CB" w14:textId="77777777" w:rsidR="000C3413" w:rsidRPr="00701945" w:rsidRDefault="000C3413" w:rsidP="000C3413">
      <w:pPr>
        <w:jc w:val="both"/>
      </w:pPr>
    </w:p>
    <w:p w14:paraId="13536B3C" w14:textId="77777777" w:rsidR="000C3413" w:rsidRPr="005D4B47" w:rsidRDefault="000C3413" w:rsidP="000C3413">
      <w:pPr>
        <w:ind w:left="1440" w:hanging="1440"/>
        <w:jc w:val="both"/>
        <w:rPr>
          <w:b/>
          <w:bCs/>
        </w:rPr>
      </w:pPr>
      <w:r>
        <w:rPr>
          <w:b/>
          <w:bCs/>
        </w:rPr>
        <w:t>STAFF:</w:t>
      </w:r>
      <w:r>
        <w:rPr>
          <w:b/>
          <w:bCs/>
        </w:rPr>
        <w:tab/>
      </w:r>
      <w:r w:rsidR="003E5174">
        <w:t>No position at this time.</w:t>
      </w:r>
    </w:p>
    <w:p w14:paraId="02458FE7" w14:textId="77777777" w:rsidR="000C3413" w:rsidRDefault="000C3413" w:rsidP="00C7699A">
      <w:pPr>
        <w:jc w:val="both"/>
      </w:pPr>
    </w:p>
    <w:p w14:paraId="41AE3FC0" w14:textId="77777777" w:rsidR="000C3413" w:rsidRDefault="000C3413" w:rsidP="00C7699A">
      <w:pPr>
        <w:jc w:val="both"/>
      </w:pPr>
    </w:p>
    <w:p w14:paraId="54D07062" w14:textId="77777777" w:rsidR="00FB1449" w:rsidRPr="000E573B" w:rsidRDefault="00FB1449" w:rsidP="00FB1449">
      <w:pPr>
        <w:ind w:left="1440" w:hanging="1440"/>
        <w:jc w:val="both"/>
        <w:rPr>
          <w:b/>
        </w:rPr>
      </w:pPr>
      <w:r>
        <w:rPr>
          <w:b/>
          <w:bCs/>
        </w:rPr>
        <w:t>ISSUE 119</w:t>
      </w:r>
      <w:r w:rsidRPr="00701945">
        <w:rPr>
          <w:b/>
          <w:bCs/>
        </w:rPr>
        <w:t>:</w:t>
      </w:r>
      <w:r>
        <w:rPr>
          <w:b/>
          <w:bCs/>
        </w:rPr>
        <w:tab/>
      </w:r>
      <w:r w:rsidRPr="000E573B">
        <w:rPr>
          <w:b/>
        </w:rPr>
        <w:t xml:space="preserve">What considerations should the Commission give the affordability of customer bills </w:t>
      </w:r>
      <w:r w:rsidR="000D1C6B">
        <w:rPr>
          <w:b/>
        </w:rPr>
        <w:t xml:space="preserve">and how does TECO’s rate increase impact ratepayers </w:t>
      </w:r>
      <w:r w:rsidRPr="000E573B">
        <w:rPr>
          <w:b/>
        </w:rPr>
        <w:t>in this proceeding?</w:t>
      </w:r>
    </w:p>
    <w:p w14:paraId="5B7442F5" w14:textId="77777777" w:rsidR="00FB1449" w:rsidRPr="00701945" w:rsidRDefault="00FB1449" w:rsidP="00FB1449">
      <w:pPr>
        <w:jc w:val="both"/>
      </w:pPr>
    </w:p>
    <w:p w14:paraId="1639854D" w14:textId="11BD7310" w:rsidR="00FB1449" w:rsidRDefault="00FB1449" w:rsidP="00FB1449">
      <w:pPr>
        <w:ind w:left="1440" w:hanging="1440"/>
        <w:jc w:val="both"/>
      </w:pPr>
      <w:r>
        <w:rPr>
          <w:b/>
          <w:bCs/>
        </w:rPr>
        <w:t>TECO</w:t>
      </w:r>
      <w:r w:rsidRPr="005D4B47">
        <w:rPr>
          <w:b/>
          <w:bCs/>
        </w:rPr>
        <w:t>:</w:t>
      </w:r>
      <w:r w:rsidRPr="005D4B47">
        <w:tab/>
      </w:r>
      <w:r w:rsidRPr="00F6593F">
        <w:t>Affordability is a term that’s difficult to describe because its meaning varies from person</w:t>
      </w:r>
      <w:r>
        <w:t>-</w:t>
      </w:r>
      <w:r w:rsidRPr="00F6593F">
        <w:t>to</w:t>
      </w:r>
      <w:r>
        <w:t>-</w:t>
      </w:r>
      <w:r w:rsidRPr="00F6593F">
        <w:t>person</w:t>
      </w:r>
      <w:r>
        <w:t xml:space="preserve">. </w:t>
      </w:r>
      <w:r w:rsidRPr="00F6593F">
        <w:t>What may be “affordable” varies from household-to-household. It depends on individual perceptions, income levels, financial obligations, spending priorities, and spending decisions. Two families with the same income and utility bills may view affordability of electricity differently based on their different circumstances. The term “affordable” is not used or defined in Chapter 366, Florida Statutes.</w:t>
      </w:r>
      <w:r>
        <w:t xml:space="preserve"> To the extent the U</w:t>
      </w:r>
      <w:r w:rsidR="00524CD1">
        <w:t>.</w:t>
      </w:r>
      <w:r>
        <w:t>S</w:t>
      </w:r>
      <w:r w:rsidR="00524CD1">
        <w:t>.</w:t>
      </w:r>
      <w:r>
        <w:t xml:space="preserve"> Department of Energy’s high energy burden six percent guideline is relevant, the company’s historical and proposed residential bills for a two person household would be about 4.5 percent, well below the guideline.</w:t>
      </w:r>
    </w:p>
    <w:p w14:paraId="37BB9BB6" w14:textId="77777777" w:rsidR="00FB1449" w:rsidRDefault="00FB1449" w:rsidP="00FB1449">
      <w:pPr>
        <w:ind w:left="1440" w:hanging="1440"/>
        <w:jc w:val="both"/>
      </w:pPr>
    </w:p>
    <w:p w14:paraId="47F52C0F" w14:textId="77777777" w:rsidR="00D41FE7" w:rsidRDefault="00FB1449" w:rsidP="00FB1449">
      <w:pPr>
        <w:ind w:left="1440" w:hanging="1440"/>
        <w:jc w:val="both"/>
      </w:pPr>
      <w:r>
        <w:tab/>
      </w:r>
      <w:r w:rsidRPr="009018CD">
        <w:t>Electricity is steadily becoming a more important and valuable part of daily liv</w:t>
      </w:r>
      <w:r>
        <w:t>ing</w:t>
      </w:r>
      <w:r w:rsidRPr="009018CD">
        <w:t xml:space="preserve">. </w:t>
      </w:r>
      <w:r>
        <w:t xml:space="preserve">The company  is </w:t>
      </w:r>
      <w:r w:rsidRPr="009018CD">
        <w:t xml:space="preserve"> committed to providing safe, reliable, and resilient </w:t>
      </w:r>
      <w:r w:rsidRPr="009018CD">
        <w:lastRenderedPageBreak/>
        <w:t xml:space="preserve">electric service to all of </w:t>
      </w:r>
      <w:r>
        <w:t>its</w:t>
      </w:r>
      <w:r w:rsidRPr="009018CD">
        <w:t xml:space="preserve"> customers – now and in the future</w:t>
      </w:r>
      <w:r>
        <w:t xml:space="preserve">. The Commission should consider affordability in this case by recognizing that the company </w:t>
      </w:r>
      <w:r w:rsidRPr="009018CD">
        <w:t>promote</w:t>
      </w:r>
      <w:r>
        <w:t>s</w:t>
      </w:r>
      <w:r w:rsidRPr="009018CD">
        <w:t xml:space="preserve"> overall affordability by operating in an efficient and cost-effective manner, and by making investments that provide long-term value to moderate fuel and operating costs and increase reliability and resilience.</w:t>
      </w:r>
      <w:r>
        <w:t xml:space="preserve"> Tampa Electric’s </w:t>
      </w:r>
      <w:r w:rsidRPr="009018CD">
        <w:t>proposed rates</w:t>
      </w:r>
      <w:r>
        <w:t xml:space="preserve"> and charges in this case </w:t>
      </w:r>
      <w:r w:rsidRPr="009018CD">
        <w:t xml:space="preserve">reflect these efforts; are fair, just, and reasonable; and will allow </w:t>
      </w:r>
      <w:r>
        <w:t xml:space="preserve">the company </w:t>
      </w:r>
      <w:r w:rsidRPr="009018CD">
        <w:t xml:space="preserve">to continue </w:t>
      </w:r>
      <w:r>
        <w:t xml:space="preserve">meeting </w:t>
      </w:r>
      <w:r w:rsidRPr="009018CD">
        <w:t>the ever increasing service and reliability expectations of</w:t>
      </w:r>
      <w:r>
        <w:t xml:space="preserve"> its</w:t>
      </w:r>
      <w:r w:rsidRPr="009018CD">
        <w:t xml:space="preserve"> customers. </w:t>
      </w:r>
    </w:p>
    <w:p w14:paraId="4F1C8858" w14:textId="77777777" w:rsidR="00D41FE7" w:rsidRDefault="00D41FE7" w:rsidP="00FB1449">
      <w:pPr>
        <w:ind w:left="1440" w:hanging="1440"/>
        <w:jc w:val="both"/>
      </w:pPr>
    </w:p>
    <w:p w14:paraId="350CA44B" w14:textId="77777777" w:rsidR="00D41FE7" w:rsidRDefault="00D41FE7" w:rsidP="00FB1449">
      <w:pPr>
        <w:ind w:left="1440" w:hanging="1440"/>
        <w:jc w:val="both"/>
      </w:pPr>
      <w:r>
        <w:tab/>
        <w:t>The actual impact of the proposed rate increase in this case is difficult to predict because they will be reflected on customer bills that are influenced by the weather and  customer usage, which cannot be estimated with certainty on an individual customer basis, and on recovery clause factors that have not been set. Moderate weather and low fuel costs can offset the impact of base rate increases on customers; extreme weather and high fuel costs can have the opposite effect.</w:t>
      </w:r>
    </w:p>
    <w:p w14:paraId="19CA0A0D" w14:textId="77777777" w:rsidR="00D41FE7" w:rsidRDefault="00D41FE7" w:rsidP="00FB1449">
      <w:pPr>
        <w:ind w:left="1440" w:hanging="1440"/>
        <w:jc w:val="both"/>
      </w:pPr>
    </w:p>
    <w:p w14:paraId="33516C8F" w14:textId="7F9F4530" w:rsidR="00FB1449" w:rsidRPr="005D4B47" w:rsidRDefault="00D41FE7" w:rsidP="00FB1449">
      <w:pPr>
        <w:ind w:left="1440" w:hanging="1440"/>
        <w:jc w:val="both"/>
      </w:pPr>
      <w:r>
        <w:tab/>
        <w:t xml:space="preserve">As filed, the company’s proposed 2025 base rate increases for a typical 1,000 kWh RS bill and a typical 1,200 kWh GS bill are 21.9 and 2.5 percent, respectively. Using the company’s recovery clause factors in effect on January 1, 2024, which have since declined, the company estimates that a typical 1,000 kWh residential bill will increase about 12 percent over 2024 but would be lower than in 2023. Similarly, a typical small commercial bill of 1,200 kWh would increase 0.1 percent over 2024 and would be about 10 percent lower than 2023.  </w:t>
      </w:r>
      <w:r w:rsidR="00FB1449">
        <w:t>(Williams, Sparkman)</w:t>
      </w:r>
    </w:p>
    <w:p w14:paraId="55BE82D0" w14:textId="77777777" w:rsidR="00FB1449" w:rsidRPr="00701945" w:rsidRDefault="00FB1449" w:rsidP="00FB1449">
      <w:pPr>
        <w:jc w:val="both"/>
      </w:pPr>
    </w:p>
    <w:p w14:paraId="08AD4FBD" w14:textId="604B9A09" w:rsidR="00FB1449" w:rsidRDefault="00FB1449" w:rsidP="00FB1449">
      <w:pPr>
        <w:ind w:left="1440" w:hanging="1440"/>
        <w:jc w:val="both"/>
      </w:pPr>
      <w:r>
        <w:rPr>
          <w:b/>
          <w:bCs/>
        </w:rPr>
        <w:t>OPC</w:t>
      </w:r>
      <w:r w:rsidRPr="00701945">
        <w:rPr>
          <w:b/>
          <w:bCs/>
        </w:rPr>
        <w:t>:</w:t>
      </w:r>
      <w:r>
        <w:tab/>
        <w:t xml:space="preserve">Pursuant to Section 366.06(1), </w:t>
      </w:r>
      <w:r w:rsidR="00E23194">
        <w:t xml:space="preserve">F.S., </w:t>
      </w:r>
      <w:r>
        <w:t>t</w:t>
      </w:r>
      <w:r w:rsidRPr="005B753B">
        <w:t xml:space="preserve">he Commission may only approve the parts of </w:t>
      </w:r>
      <w:r>
        <w:t>TECO</w:t>
      </w:r>
      <w:r w:rsidRPr="005B753B">
        <w:t>’s rate request which results</w:t>
      </w:r>
      <w:r>
        <w:t xml:space="preserve"> in rates that are </w:t>
      </w:r>
      <w:r w:rsidRPr="005B753B">
        <w:t>fair, just, and reasonable</w:t>
      </w:r>
      <w:r>
        <w:t xml:space="preserve"> for each customer class</w:t>
      </w:r>
      <w:r w:rsidRPr="005B753B">
        <w:t>.</w:t>
      </w:r>
      <w:r>
        <w:t xml:space="preserve"> TECO’s requested rate increase would translate to an over 50% increase in base rate. The policy for energy in the State is now to “ensure an adequate, reliable, and cost-effective supply of energy for the state in a manner that promotes the health and welfare of the public . . .” with goals including “[e]nsuring a cost-effective and affordable energy supply.”  </w:t>
      </w:r>
      <w:r w:rsidRPr="00E23194">
        <w:rPr>
          <w:i/>
        </w:rPr>
        <w:t>See</w:t>
      </w:r>
      <w:r>
        <w:t xml:space="preserve"> Section 377.601 (1) and (2)(a), </w:t>
      </w:r>
      <w:r w:rsidR="00E23194">
        <w:t>F.S.</w:t>
      </w:r>
      <w:r>
        <w:t xml:space="preserve"> (2024). TECO’s bloated revenue request is contrary to the State’s goal of providing affordable, reasonable rates for each customer class.  The Commission should consider energy affordability in this proceeding, and all future utility base rate proceedings, in evaluating rate increase requests consistent with the trends in other U.S. regulatory jurisdictions.</w:t>
      </w:r>
    </w:p>
    <w:p w14:paraId="5C5018F5" w14:textId="5CF35DC1" w:rsidR="00487702" w:rsidRDefault="00487702" w:rsidP="00FB1449">
      <w:pPr>
        <w:ind w:left="1440" w:hanging="1440"/>
        <w:jc w:val="both"/>
      </w:pPr>
    </w:p>
    <w:p w14:paraId="6BB13D76" w14:textId="6662B725" w:rsidR="00487702" w:rsidRDefault="00487702" w:rsidP="00FB1449">
      <w:pPr>
        <w:ind w:left="1440" w:hanging="1440"/>
        <w:jc w:val="both"/>
      </w:pPr>
      <w:r>
        <w:tab/>
        <w:t xml:space="preserve">TECO’s excessive rate increase request will have a negative impact on ratepayers.  </w:t>
      </w:r>
      <w:r w:rsidRPr="005B753B">
        <w:t xml:space="preserve">In today’s tough economic climate, </w:t>
      </w:r>
      <w:r>
        <w:t>TECO’</w:t>
      </w:r>
      <w:r w:rsidRPr="005B753B">
        <w:t>s customers are already under great financial pressure, so any increase will have a significant impact on them. Now</w:t>
      </w:r>
      <w:r>
        <w:t>,</w:t>
      </w:r>
      <w:r w:rsidRPr="005B753B">
        <w:t xml:space="preserve"> more than ever, the Commission must consider </w:t>
      </w:r>
      <w:r>
        <w:t xml:space="preserve">affordability of the customer’s bills </w:t>
      </w:r>
      <w:r w:rsidRPr="005B753B">
        <w:t xml:space="preserve">when evaluating </w:t>
      </w:r>
      <w:r>
        <w:t>TECO</w:t>
      </w:r>
      <w:r w:rsidRPr="005B753B">
        <w:t>’s rate request. Ultimately, the Commission must hold</w:t>
      </w:r>
      <w:r>
        <w:t xml:space="preserve"> TECO</w:t>
      </w:r>
      <w:r w:rsidRPr="005B753B">
        <w:t xml:space="preserve"> to its burden and only approve the portions of </w:t>
      </w:r>
      <w:r>
        <w:t>TECO</w:t>
      </w:r>
      <w:r w:rsidRPr="005B753B">
        <w:t>’s rate request which are fair, just, and reasonable.</w:t>
      </w:r>
    </w:p>
    <w:p w14:paraId="46798BE9" w14:textId="77777777" w:rsidR="00FB1449" w:rsidRDefault="00FB1449" w:rsidP="00FB1449">
      <w:pPr>
        <w:ind w:left="1440" w:hanging="1440"/>
        <w:jc w:val="both"/>
        <w:rPr>
          <w:b/>
        </w:rPr>
      </w:pPr>
      <w:r>
        <w:rPr>
          <w:b/>
        </w:rPr>
        <w:lastRenderedPageBreak/>
        <w:t>FL RISING/</w:t>
      </w:r>
    </w:p>
    <w:p w14:paraId="3FF93CE4" w14:textId="38F3B4E3" w:rsidR="00FB1449" w:rsidRDefault="00FB1449" w:rsidP="00FB1449">
      <w:pPr>
        <w:ind w:left="1440" w:hanging="1440"/>
        <w:jc w:val="both"/>
      </w:pPr>
      <w:r>
        <w:rPr>
          <w:b/>
        </w:rPr>
        <w:t>LULAC:</w:t>
      </w:r>
      <w:r>
        <w:rPr>
          <w:b/>
        </w:rPr>
        <w:tab/>
      </w:r>
      <w:r>
        <w:t>In order to set fair and reasonable rates, the Commission would be remiss not to consider the affordability of customer bills, which involves, in part, assessing the energy burdens of TECO’s customers. In other words, the Commission should consider the extent to which energy bills constitute a share of customers’ household incomes</w:t>
      </w:r>
      <w:r w:rsidR="00A47F6A">
        <w:t>—</w:t>
      </w:r>
      <w:r>
        <w:softHyphen/>
        <w:t xml:space="preserve">the higher the share, the greater the energy burden. </w:t>
      </w:r>
      <w:r w:rsidRPr="002977A6">
        <w:t xml:space="preserve">Because customers with high energy burdens, primarily low-income customers, are vulnerable to rate and bill volatility, unaffordable electric bills can create a cascade of household economic problems. </w:t>
      </w:r>
      <w:r>
        <w:t>Further, TECO’s customers living at or below the poverty level experiencing high energy burdens cannot simply reduce their energy consumption or invest in energy efficiency measures to cut back on bills, and customers living in rental properties have even less control over the heating and cooling arrangements in their homes. Beyond</w:t>
      </w:r>
      <w:r w:rsidRPr="002977A6">
        <w:t xml:space="preserve"> economic problems, unaffordable electricity bills implicate social and public health issues.</w:t>
      </w:r>
      <w:r>
        <w:t xml:space="preserve"> Thus, the Commission should also consider affordability in the context of the broader affordability crisis TECO customers are facing</w:t>
      </w:r>
      <w:r w:rsidR="00707AF8">
        <w:t>—</w:t>
      </w:r>
      <w:r>
        <w:t>from housing to food to insurance costs</w:t>
      </w:r>
      <w:r w:rsidR="00707AF8">
        <w:t>—</w:t>
      </w:r>
      <w:r>
        <w:t>and in the context of changing weather patterns, such as an increased number of extreme heat days each year. Consideration of energy burden and affordability in this rate case, and denial of increased rates, means more TECO customers may not have to choose between electricity and no electricity or choose electricity over medication, food, rent, and other necessities. (Rábago) (Marcelin)</w:t>
      </w:r>
    </w:p>
    <w:p w14:paraId="57A1C919" w14:textId="77777777" w:rsidR="00FB1449" w:rsidRDefault="00FB1449" w:rsidP="00FB1449">
      <w:pPr>
        <w:ind w:left="1440" w:hanging="1440"/>
        <w:jc w:val="both"/>
      </w:pPr>
    </w:p>
    <w:p w14:paraId="74ACAEDA" w14:textId="35398AD9" w:rsidR="00FB1449" w:rsidRDefault="00FB1449" w:rsidP="00FB1449">
      <w:pPr>
        <w:ind w:left="1440" w:hanging="1440"/>
        <w:jc w:val="both"/>
      </w:pPr>
      <w:r>
        <w:tab/>
        <w:t>Additionally, state and local governments and public utilities commissions are increasingly considering energy affordability in regulation and public policy.  New York recently adopted a statewide goal of achieving a six percent energy burden, the common threshold at which energy bills are deemed unaffordable.  Additionally, the California Public Utilities Commission developed an affordability metric for essential services, and the Pennsylvania Public Utility Commission has examined and established maximum energy burdens for customers.  (Dismukes)</w:t>
      </w:r>
    </w:p>
    <w:p w14:paraId="7B9073C8" w14:textId="6565134C" w:rsidR="00526468" w:rsidRDefault="00526468" w:rsidP="00FB1449">
      <w:pPr>
        <w:ind w:left="1440" w:hanging="1440"/>
        <w:jc w:val="both"/>
      </w:pPr>
    </w:p>
    <w:p w14:paraId="71A22F03" w14:textId="0050E3A5" w:rsidR="00526468" w:rsidRDefault="00526468" w:rsidP="00FB1449">
      <w:pPr>
        <w:ind w:left="1440" w:hanging="1440"/>
        <w:jc w:val="both"/>
        <w:rPr>
          <w:b/>
        </w:rPr>
      </w:pPr>
      <w:r>
        <w:tab/>
      </w:r>
      <w:r w:rsidRPr="0089301F">
        <w:t xml:space="preserve">If the Commission approves TECO’s rate increases, TECO’s lowest users of electricity, primarily low-income customers, will experience shocking base rate and bill increases compared to wealthier customers using significantly more energy. </w:t>
      </w:r>
      <w:r>
        <w:t>Additionally, TECO plans to increase the daily per-customer fixed charge by 51% from $0.71 to $1.07.  In 2023, TECO’s residential customers averaged 1,157 kWh of usage, resulting in an average 2023 bill of $191.95.  Due to decreased fuel prices and reduced storm recovery charges, under TECO’s proposed rates, its 2025 bill would cost $184.25 with the same 1,157 kWh usage, rising to $196.96 in 2027 with the proposed SYAs. However, this number could be dramatically higher when fuel prices rise and if a storm (or storms) hit TECO’s service area from now through the end of 2027.  (Rábago) (Marcelin)</w:t>
      </w:r>
    </w:p>
    <w:p w14:paraId="1FBCDB2E" w14:textId="77777777" w:rsidR="00FB1449" w:rsidRDefault="00FB1449" w:rsidP="00FB1449">
      <w:pPr>
        <w:ind w:left="1440" w:hanging="1440"/>
        <w:jc w:val="both"/>
        <w:rPr>
          <w:b/>
        </w:rPr>
      </w:pPr>
    </w:p>
    <w:p w14:paraId="2B314276" w14:textId="5567B861" w:rsidR="00FB1449" w:rsidRDefault="00FB1449" w:rsidP="00FB1449">
      <w:pPr>
        <w:ind w:left="1440" w:hanging="1440"/>
        <w:jc w:val="both"/>
      </w:pPr>
      <w:r w:rsidRPr="00F76218">
        <w:rPr>
          <w:b/>
        </w:rPr>
        <w:lastRenderedPageBreak/>
        <w:t>FIPUG:</w:t>
      </w:r>
      <w:r>
        <w:rPr>
          <w:b/>
        </w:rPr>
        <w:tab/>
      </w:r>
      <w:r w:rsidR="001E263F">
        <w:t>TECO’s proposed rate increase results in a base rate increase of 20% in the first year for large commercial and industrial users and over 30% when the subsequent year rate increase adjustments are included. The Commission should consider the affordability of bills for all customers, and consider the key roles that large commercial and industrial customers play in the social fabric of TECO’s service area. Collectively, large commercial and industrial customers provide good jobs to countless Floridians, pay millions of dollars in taxes to federal, state, and local governments, and contribute to the communities in which they operate. Large commercial and industrial customers must often compete regionally, nationally and in some cases, internationally, in their respective marketplaces. Energy is a significant variable cost for large commercial and industrial customers and the energy costs must be affordable for these businesses to be successful.</w:t>
      </w:r>
    </w:p>
    <w:p w14:paraId="411CC5A2" w14:textId="6A1CAF68" w:rsidR="001E263F" w:rsidRDefault="001E263F" w:rsidP="00FB1449">
      <w:pPr>
        <w:ind w:left="1440" w:hanging="1440"/>
        <w:jc w:val="both"/>
        <w:rPr>
          <w:b/>
        </w:rPr>
      </w:pPr>
      <w:r>
        <w:tab/>
        <w:t xml:space="preserve">The Commission is charged with balancing competing interests when considering TECO’s rate case. One issue of significant importance to large commercial and industrial customers, FIPUG, and </w:t>
      </w:r>
      <w:r w:rsidR="00F8377E">
        <w:t>FEA</w:t>
      </w:r>
      <w:r>
        <w:t>, which represents MacDill Airforce Base in Tampa, is to fairly apply a rate design which best assigns costs to those rate classes which cause the costs. TECO has proposed and supports the 4CP approach, which the Commission approved previously in the most recent TECO rate case settlement. This approach is a fair way to assign costs and is an important and meaningful affordability issue in this case for FIPUG and other parties.</w:t>
      </w:r>
    </w:p>
    <w:p w14:paraId="1BCF7F0A" w14:textId="77777777" w:rsidR="00FB1449" w:rsidRDefault="00FB1449" w:rsidP="00FB1449">
      <w:pPr>
        <w:ind w:left="1440" w:hanging="1440"/>
        <w:jc w:val="both"/>
        <w:rPr>
          <w:b/>
        </w:rPr>
      </w:pPr>
    </w:p>
    <w:p w14:paraId="024951C4" w14:textId="2A4B8B6F" w:rsidR="00FB1449" w:rsidRDefault="00FB1449" w:rsidP="00FB1449">
      <w:pPr>
        <w:ind w:left="1440" w:hanging="1440"/>
        <w:jc w:val="both"/>
        <w:rPr>
          <w:b/>
        </w:rPr>
      </w:pPr>
      <w:r>
        <w:rPr>
          <w:b/>
        </w:rPr>
        <w:t>FEA:</w:t>
      </w:r>
      <w:r>
        <w:rPr>
          <w:b/>
        </w:rPr>
        <w:tab/>
      </w:r>
      <w:r w:rsidR="00F76218" w:rsidRPr="00F76218">
        <w:t>Adopt</w:t>
      </w:r>
      <w:r w:rsidR="00F8377E">
        <w:t>s</w:t>
      </w:r>
      <w:r w:rsidR="00F76218" w:rsidRPr="00F76218">
        <w:t xml:space="preserve"> </w:t>
      </w:r>
      <w:r w:rsidR="00F8377E">
        <w:t xml:space="preserve">the </w:t>
      </w:r>
      <w:r w:rsidR="00F76218" w:rsidRPr="00F76218">
        <w:t>position of FIPUG.</w:t>
      </w:r>
    </w:p>
    <w:p w14:paraId="51D28958" w14:textId="77777777" w:rsidR="00FB1449" w:rsidRDefault="00FB1449" w:rsidP="00FB1449">
      <w:pPr>
        <w:ind w:left="1440" w:hanging="1440"/>
        <w:jc w:val="both"/>
        <w:rPr>
          <w:b/>
        </w:rPr>
      </w:pPr>
    </w:p>
    <w:p w14:paraId="0D326CAF" w14:textId="77777777" w:rsidR="00A14A11" w:rsidRDefault="00764960" w:rsidP="00FB1449">
      <w:pPr>
        <w:ind w:left="1440" w:hanging="1440"/>
        <w:jc w:val="both"/>
        <w:rPr>
          <w:b/>
        </w:rPr>
      </w:pPr>
      <w:r>
        <w:rPr>
          <w:b/>
        </w:rPr>
        <w:t xml:space="preserve">SIERRA </w:t>
      </w:r>
    </w:p>
    <w:p w14:paraId="14EBD734" w14:textId="3D9EB92B" w:rsidR="00FB1449" w:rsidRDefault="00764960" w:rsidP="00FB1449">
      <w:pPr>
        <w:ind w:left="1440" w:hanging="1440"/>
        <w:jc w:val="both"/>
      </w:pPr>
      <w:r>
        <w:rPr>
          <w:b/>
        </w:rPr>
        <w:t>CLUB</w:t>
      </w:r>
      <w:r w:rsidR="00FB1449">
        <w:rPr>
          <w:b/>
        </w:rPr>
        <w:t>:</w:t>
      </w:r>
      <w:r w:rsidR="00FB1449">
        <w:rPr>
          <w:b/>
        </w:rPr>
        <w:tab/>
      </w:r>
      <w:r w:rsidR="00FB1449" w:rsidRPr="001E3193">
        <w:t>Sierra Club is deeply concerned that TECO customers</w:t>
      </w:r>
      <w:r w:rsidR="00FB1449">
        <w:t xml:space="preserve"> </w:t>
      </w:r>
      <w:r w:rsidR="00FB1449" w:rsidRPr="001E3193">
        <w:t xml:space="preserve">face the third-highest electricity bills in the nation. </w:t>
      </w:r>
      <w:r w:rsidR="00FB1449">
        <w:t>Accordingly, the Commission should favor measures to reduce ratepayers’ bills when facing policy choices in weighing the recovery of TECO’s proposed expenses. Wherever the Commission can reduce costs to ratepayers, the Commission should favor such proposals. Finally, the Commission should scrutinize TECO’s reserve margin and reliability planning assumptions with an eye toward reducing overbuild and costs to ratepayers.</w:t>
      </w:r>
    </w:p>
    <w:p w14:paraId="3C8D5CA7" w14:textId="13F1B050" w:rsidR="00E95472" w:rsidRDefault="00E95472" w:rsidP="00FB1449">
      <w:pPr>
        <w:ind w:left="1440" w:hanging="1440"/>
        <w:jc w:val="both"/>
      </w:pPr>
    </w:p>
    <w:p w14:paraId="3A05B06C" w14:textId="27416F51" w:rsidR="00E95472" w:rsidRDefault="00E95472" w:rsidP="00FB1449">
      <w:pPr>
        <w:ind w:left="1440" w:hanging="1440"/>
        <w:jc w:val="both"/>
        <w:rPr>
          <w:b/>
        </w:rPr>
      </w:pPr>
      <w:r>
        <w:tab/>
      </w:r>
      <w:r w:rsidRPr="001E3193">
        <w:t>Sierra Club is concerned that this rate increase will have a substantial harmful impact on already-overburdened electricity customers.</w:t>
      </w:r>
      <w:r>
        <w:rPr>
          <w:b/>
        </w:rPr>
        <w:t xml:space="preserve"> </w:t>
      </w:r>
      <w:r>
        <w:rPr>
          <w:bCs/>
        </w:rPr>
        <w:t>TECO’s rate increase could lead to customers facing unacceptable choices regarding basic necessities. Customers may have to choose whether to pay for food or pay TECO to run their air conditioning. With such high bills, more customers will be vulnerable to going into debt or arrearage.</w:t>
      </w:r>
    </w:p>
    <w:p w14:paraId="36ABB564" w14:textId="77777777" w:rsidR="00FB1449" w:rsidRDefault="00FB1449" w:rsidP="00FB1449">
      <w:pPr>
        <w:ind w:left="1440" w:hanging="1440"/>
        <w:jc w:val="both"/>
        <w:rPr>
          <w:b/>
        </w:rPr>
      </w:pPr>
    </w:p>
    <w:p w14:paraId="745A8C73" w14:textId="392BABCB" w:rsidR="00FB1449" w:rsidRDefault="00FB1449" w:rsidP="00FB1449">
      <w:pPr>
        <w:ind w:left="1440" w:hanging="1440"/>
        <w:jc w:val="both"/>
      </w:pPr>
      <w:r>
        <w:rPr>
          <w:b/>
        </w:rPr>
        <w:t>FRF:</w:t>
      </w:r>
      <w:r>
        <w:rPr>
          <w:b/>
        </w:rPr>
        <w:tab/>
      </w:r>
      <w:r>
        <w:t xml:space="preserve">Pursuant to the over-arching mandate of Section 366.01, </w:t>
      </w:r>
      <w:r w:rsidR="00A469FB">
        <w:t>F.S.</w:t>
      </w:r>
      <w:r>
        <w:t xml:space="preserve">, to regulate public utilities in the public interest, the Commission must always consider, among all relevant factors, the affordability of customer bills and the impacts of rate increases on electric customers and on the Florida economy. </w:t>
      </w:r>
      <w:r w:rsidR="00A469FB">
        <w:t xml:space="preserve">In this case involving TECO’s </w:t>
      </w:r>
      <w:r>
        <w:t xml:space="preserve">request for increased rates, the correct balance is simple and obvious: the </w:t>
      </w:r>
      <w:r>
        <w:lastRenderedPageBreak/>
        <w:t xml:space="preserve">Commission should approve rates that will produce revenues that are </w:t>
      </w:r>
      <w:r w:rsidRPr="00A469FB">
        <w:rPr>
          <w:i/>
        </w:rPr>
        <w:t>sufficient</w:t>
      </w:r>
      <w:r>
        <w:t xml:space="preserve"> to enable </w:t>
      </w:r>
      <w:r w:rsidR="00A469FB">
        <w:t>TECO</w:t>
      </w:r>
      <w:r>
        <w:t xml:space="preserve"> to recover all of its </w:t>
      </w:r>
      <w:r w:rsidRPr="00A469FB">
        <w:rPr>
          <w:i/>
        </w:rPr>
        <w:t>necessary</w:t>
      </w:r>
      <w:r>
        <w:t xml:space="preserve"> costs incurred to provide safe and reliable service and to earn a </w:t>
      </w:r>
      <w:r w:rsidRPr="00A469FB">
        <w:rPr>
          <w:i/>
        </w:rPr>
        <w:t>reasonable</w:t>
      </w:r>
      <w:r w:rsidR="00A469FB">
        <w:t>—</w:t>
      </w:r>
      <w:r>
        <w:t xml:space="preserve">but </w:t>
      </w:r>
      <w:r w:rsidRPr="00A469FB">
        <w:rPr>
          <w:i/>
        </w:rPr>
        <w:t>not excessive</w:t>
      </w:r>
      <w:r w:rsidR="00A469FB">
        <w:t>—</w:t>
      </w:r>
      <w:r>
        <w:t>return on its used and useful investment.</w:t>
      </w:r>
    </w:p>
    <w:p w14:paraId="09D9A701" w14:textId="2B97C022" w:rsidR="00D62FBC" w:rsidRDefault="00D62FBC" w:rsidP="00FB1449">
      <w:pPr>
        <w:ind w:left="1440" w:hanging="1440"/>
        <w:jc w:val="both"/>
      </w:pPr>
    </w:p>
    <w:p w14:paraId="77B29078" w14:textId="3C858D8F" w:rsidR="00D62FBC" w:rsidRDefault="00D62FBC" w:rsidP="00FB1449">
      <w:pPr>
        <w:ind w:left="1440" w:hanging="1440"/>
        <w:jc w:val="both"/>
        <w:rPr>
          <w:b/>
        </w:rPr>
      </w:pPr>
      <w:r>
        <w:tab/>
      </w:r>
      <w:r w:rsidR="00A469FB">
        <w:t xml:space="preserve">TECO’s </w:t>
      </w:r>
      <w:r w:rsidRPr="00D62FBC">
        <w:t xml:space="preserve">requested rate increases will, if approved, harm all of its customers (ratepayers) by charging customers more than is necessary for </w:t>
      </w:r>
      <w:r w:rsidR="000C3412">
        <w:t>TECO</w:t>
      </w:r>
      <w:r w:rsidRPr="00D62FBC">
        <w:t xml:space="preserve"> to provide safe and reliable service while providing </w:t>
      </w:r>
      <w:r w:rsidR="000C3412">
        <w:t>TECO</w:t>
      </w:r>
      <w:r w:rsidRPr="00D62FBC">
        <w:t xml:space="preserve"> with a reasonable return on its investment. At the same time, </w:t>
      </w:r>
      <w:r w:rsidR="000C3412">
        <w:t>TECO</w:t>
      </w:r>
      <w:r w:rsidRPr="00D62FBC">
        <w:t xml:space="preserve">’s requested rate increases will, if approved, harm Florida’s economy by forcing </w:t>
      </w:r>
      <w:r w:rsidR="000C3412">
        <w:t xml:space="preserve">TECO’s </w:t>
      </w:r>
      <w:r w:rsidRPr="00D62FBC">
        <w:t xml:space="preserve">customers, many of whom are already economically distressed by </w:t>
      </w:r>
      <w:r w:rsidR="000C3412">
        <w:t xml:space="preserve">TECO’s </w:t>
      </w:r>
      <w:r w:rsidRPr="00D62FBC">
        <w:t xml:space="preserve">high rates, to pay more than is necessary for electric service, thereby diminishing customers’ ability to purchase more Florida-produced goods and services while transferring excessive profits from </w:t>
      </w:r>
      <w:r w:rsidR="000C3412">
        <w:t xml:space="preserve">TECO’s </w:t>
      </w:r>
      <w:r w:rsidRPr="00D62FBC">
        <w:t>customers to its Canadian owners.</w:t>
      </w:r>
    </w:p>
    <w:p w14:paraId="50CB10C9" w14:textId="77777777" w:rsidR="00FB1449" w:rsidRDefault="00FB1449" w:rsidP="00FB1449">
      <w:pPr>
        <w:ind w:left="1440" w:hanging="1440"/>
        <w:jc w:val="both"/>
        <w:rPr>
          <w:b/>
        </w:rPr>
      </w:pPr>
    </w:p>
    <w:p w14:paraId="03ECF3D9" w14:textId="77777777" w:rsidR="00A14A11" w:rsidRDefault="00C0182D" w:rsidP="00FB1449">
      <w:pPr>
        <w:ind w:left="1440" w:hanging="1440"/>
        <w:jc w:val="both"/>
        <w:rPr>
          <w:b/>
        </w:rPr>
      </w:pPr>
      <w:r>
        <w:rPr>
          <w:b/>
        </w:rPr>
        <w:t xml:space="preserve">FUEL </w:t>
      </w:r>
    </w:p>
    <w:p w14:paraId="194FD659" w14:textId="5D62FC46" w:rsidR="00FB1449" w:rsidRDefault="00C0182D" w:rsidP="00FB1449">
      <w:pPr>
        <w:ind w:left="1440" w:hanging="1440"/>
        <w:jc w:val="both"/>
        <w:rPr>
          <w:b/>
        </w:rPr>
      </w:pPr>
      <w:r>
        <w:rPr>
          <w:b/>
        </w:rPr>
        <w:t>RETAILERS</w:t>
      </w:r>
      <w:r w:rsidR="00FB1449" w:rsidRPr="002E7A06">
        <w:rPr>
          <w:b/>
        </w:rPr>
        <w:t>:</w:t>
      </w:r>
      <w:r w:rsidR="00A14A11">
        <w:rPr>
          <w:b/>
        </w:rPr>
        <w:t xml:space="preserve"> </w:t>
      </w:r>
      <w:r w:rsidR="002E7A06" w:rsidRPr="002E7A06">
        <w:t>Agree</w:t>
      </w:r>
      <w:r w:rsidR="000C3412">
        <w:t>s</w:t>
      </w:r>
      <w:r w:rsidR="002E7A06" w:rsidRPr="002E7A06">
        <w:t xml:space="preserve"> with OPC.</w:t>
      </w:r>
    </w:p>
    <w:p w14:paraId="26DEDA51" w14:textId="77777777" w:rsidR="00AD0522" w:rsidRDefault="00AD0522" w:rsidP="00FB1449">
      <w:pPr>
        <w:ind w:left="1440" w:hanging="1440"/>
        <w:jc w:val="both"/>
        <w:rPr>
          <w:b/>
        </w:rPr>
      </w:pPr>
    </w:p>
    <w:p w14:paraId="4E6A21ED" w14:textId="787E4F24" w:rsidR="00AD0522" w:rsidRPr="00AD0522" w:rsidRDefault="00FD408B" w:rsidP="00FB1449">
      <w:pPr>
        <w:ind w:left="1440" w:hanging="1440"/>
        <w:jc w:val="both"/>
        <w:rPr>
          <w:b/>
        </w:rPr>
      </w:pPr>
      <w:r>
        <w:rPr>
          <w:b/>
        </w:rPr>
        <w:t>WALMART</w:t>
      </w:r>
      <w:r w:rsidR="00AD0522" w:rsidRPr="00E95472">
        <w:rPr>
          <w:b/>
        </w:rPr>
        <w:t>:</w:t>
      </w:r>
      <w:r w:rsidR="005E4B0E">
        <w:rPr>
          <w:b/>
        </w:rPr>
        <w:tab/>
      </w:r>
      <w:r w:rsidR="000C3412">
        <w:t>A</w:t>
      </w:r>
      <w:r w:rsidR="00E95472">
        <w:t>dopts the position of FRF.</w:t>
      </w:r>
    </w:p>
    <w:p w14:paraId="58A46C65" w14:textId="77777777" w:rsidR="00FB1449" w:rsidRPr="00701945" w:rsidRDefault="00FB1449" w:rsidP="00FB1449">
      <w:pPr>
        <w:jc w:val="both"/>
      </w:pPr>
    </w:p>
    <w:p w14:paraId="36DF3CBA" w14:textId="77777777" w:rsidR="00FB1449" w:rsidRPr="005D4B47" w:rsidRDefault="00FB1449" w:rsidP="00FB1449">
      <w:pPr>
        <w:ind w:left="1440" w:hanging="1440"/>
        <w:jc w:val="both"/>
        <w:rPr>
          <w:b/>
          <w:bCs/>
        </w:rPr>
      </w:pPr>
      <w:r>
        <w:rPr>
          <w:b/>
          <w:bCs/>
        </w:rPr>
        <w:t>STAFF:</w:t>
      </w:r>
      <w:r>
        <w:rPr>
          <w:b/>
          <w:bCs/>
        </w:rPr>
        <w:tab/>
      </w:r>
      <w:r w:rsidR="00420188">
        <w:t>No positio</w:t>
      </w:r>
      <w:r w:rsidR="00276764">
        <w:t>n</w:t>
      </w:r>
      <w:r w:rsidR="00420188">
        <w:t xml:space="preserve"> at this time.</w:t>
      </w:r>
    </w:p>
    <w:p w14:paraId="2D2983D6" w14:textId="77777777" w:rsidR="00046C96" w:rsidRDefault="00046C96" w:rsidP="000C3413">
      <w:pPr>
        <w:ind w:left="1440" w:hanging="1440"/>
        <w:jc w:val="both"/>
        <w:rPr>
          <w:b/>
          <w:bCs/>
        </w:rPr>
      </w:pPr>
    </w:p>
    <w:p w14:paraId="2CB38189" w14:textId="77777777" w:rsidR="00FB1449" w:rsidRDefault="00FB1449" w:rsidP="000C3413">
      <w:pPr>
        <w:ind w:left="1440" w:hanging="1440"/>
        <w:jc w:val="both"/>
        <w:rPr>
          <w:b/>
          <w:bCs/>
        </w:rPr>
      </w:pPr>
    </w:p>
    <w:p w14:paraId="7D7D219C" w14:textId="77777777" w:rsidR="000C3413" w:rsidRPr="00F84069" w:rsidRDefault="000C3413" w:rsidP="000C3413">
      <w:pPr>
        <w:ind w:left="1440" w:hanging="1440"/>
        <w:jc w:val="both"/>
        <w:rPr>
          <w:b/>
        </w:rPr>
      </w:pPr>
      <w:r w:rsidRPr="005D4B47">
        <w:rPr>
          <w:b/>
          <w:bCs/>
        </w:rPr>
        <w:t>ISSUE 1</w:t>
      </w:r>
      <w:r w:rsidR="00FB1449">
        <w:rPr>
          <w:b/>
          <w:bCs/>
        </w:rPr>
        <w:t>20</w:t>
      </w:r>
      <w:r w:rsidRPr="00701945">
        <w:rPr>
          <w:b/>
          <w:bCs/>
        </w:rPr>
        <w:t>:</w:t>
      </w:r>
      <w:r w:rsidRPr="00701945">
        <w:tab/>
      </w:r>
      <w:r w:rsidR="00F84069" w:rsidRPr="00F84069">
        <w:rPr>
          <w:b/>
        </w:rPr>
        <w:t>Should TECO be required to file, within 90 days after the date of the final order in this docket, a description of all entries or adjustments to its annual report, rate of return reports, and books and records which will be required as a result of the Commission’s findings in this rate case?</w:t>
      </w:r>
    </w:p>
    <w:p w14:paraId="447F4A65" w14:textId="77777777" w:rsidR="000C3413" w:rsidRPr="00701945" w:rsidRDefault="000C3413" w:rsidP="000C3413">
      <w:pPr>
        <w:jc w:val="both"/>
      </w:pPr>
    </w:p>
    <w:p w14:paraId="6255CDBF" w14:textId="77777777" w:rsidR="000C3413" w:rsidRPr="005D4B47" w:rsidRDefault="000C3413" w:rsidP="000C3413">
      <w:pPr>
        <w:ind w:left="1440" w:hanging="1440"/>
        <w:jc w:val="both"/>
      </w:pPr>
      <w:r>
        <w:rPr>
          <w:b/>
          <w:bCs/>
        </w:rPr>
        <w:t>TECO</w:t>
      </w:r>
      <w:r w:rsidRPr="005D4B47">
        <w:rPr>
          <w:b/>
          <w:bCs/>
        </w:rPr>
        <w:t>:</w:t>
      </w:r>
      <w:r w:rsidRPr="005D4B47">
        <w:tab/>
      </w:r>
      <w:r w:rsidR="00F84069">
        <w:t>Yes. (Chronister)</w:t>
      </w:r>
    </w:p>
    <w:p w14:paraId="10C2F60D" w14:textId="77777777" w:rsidR="000C3413" w:rsidRPr="00701945" w:rsidRDefault="000C3413" w:rsidP="000C3413">
      <w:pPr>
        <w:jc w:val="both"/>
      </w:pPr>
    </w:p>
    <w:p w14:paraId="22660626" w14:textId="77777777" w:rsidR="000C3413" w:rsidRDefault="000C3413" w:rsidP="000C3413">
      <w:pPr>
        <w:ind w:left="1440" w:hanging="1440"/>
        <w:jc w:val="both"/>
      </w:pPr>
      <w:r>
        <w:rPr>
          <w:b/>
          <w:bCs/>
        </w:rPr>
        <w:t>OPC</w:t>
      </w:r>
      <w:r w:rsidRPr="00701945">
        <w:rPr>
          <w:b/>
          <w:bCs/>
        </w:rPr>
        <w:t>:</w:t>
      </w:r>
      <w:r>
        <w:tab/>
      </w:r>
      <w:r w:rsidR="00D175D0">
        <w:t>No position.</w:t>
      </w:r>
    </w:p>
    <w:p w14:paraId="3F06A6D6" w14:textId="77777777" w:rsidR="000C3413" w:rsidRDefault="000C3413" w:rsidP="000C3413">
      <w:pPr>
        <w:ind w:left="1440" w:hanging="1440"/>
        <w:jc w:val="both"/>
      </w:pPr>
    </w:p>
    <w:p w14:paraId="7D3B4112" w14:textId="77777777" w:rsidR="000C3413" w:rsidRDefault="000C3413" w:rsidP="000C3413">
      <w:pPr>
        <w:ind w:left="1440" w:hanging="1440"/>
        <w:jc w:val="both"/>
        <w:rPr>
          <w:b/>
        </w:rPr>
      </w:pPr>
      <w:r>
        <w:rPr>
          <w:b/>
        </w:rPr>
        <w:t>FL RISING/</w:t>
      </w:r>
    </w:p>
    <w:p w14:paraId="653C4DDE" w14:textId="0337D1D5" w:rsidR="000C3413" w:rsidRDefault="000C3413" w:rsidP="000C3413">
      <w:pPr>
        <w:ind w:left="1440" w:hanging="1440"/>
        <w:jc w:val="both"/>
        <w:rPr>
          <w:b/>
        </w:rPr>
      </w:pPr>
      <w:r>
        <w:rPr>
          <w:b/>
        </w:rPr>
        <w:t>LULAC:</w:t>
      </w:r>
      <w:r>
        <w:rPr>
          <w:b/>
        </w:rPr>
        <w:tab/>
      </w:r>
      <w:r w:rsidR="00B53B02">
        <w:t>No, because TECO’s petition for rate increase should be denied. If the Commission does not outright deny the petition, then yes.</w:t>
      </w:r>
    </w:p>
    <w:p w14:paraId="55842114" w14:textId="77777777" w:rsidR="000C3413" w:rsidRDefault="000C3413" w:rsidP="000C3413">
      <w:pPr>
        <w:ind w:left="1440" w:hanging="1440"/>
        <w:jc w:val="both"/>
        <w:rPr>
          <w:b/>
        </w:rPr>
      </w:pPr>
    </w:p>
    <w:p w14:paraId="48F5D787" w14:textId="77777777" w:rsidR="000C3413" w:rsidRDefault="000C3413" w:rsidP="000C3413">
      <w:pPr>
        <w:ind w:left="1440" w:hanging="1440"/>
        <w:jc w:val="both"/>
        <w:rPr>
          <w:b/>
        </w:rPr>
      </w:pPr>
      <w:r>
        <w:rPr>
          <w:b/>
        </w:rPr>
        <w:t>FIPUG:</w:t>
      </w:r>
      <w:r>
        <w:rPr>
          <w:b/>
        </w:rPr>
        <w:tab/>
      </w:r>
      <w:r w:rsidR="001502A7" w:rsidRPr="007A27FB">
        <w:rPr>
          <w:bCs/>
        </w:rPr>
        <w:t>Yes</w:t>
      </w:r>
      <w:r w:rsidR="001502A7">
        <w:rPr>
          <w:bCs/>
        </w:rPr>
        <w:t>.</w:t>
      </w:r>
    </w:p>
    <w:p w14:paraId="1A5A3907" w14:textId="77777777" w:rsidR="000C3413" w:rsidRDefault="000C3413" w:rsidP="000C3413">
      <w:pPr>
        <w:ind w:left="1440" w:hanging="1440"/>
        <w:jc w:val="both"/>
        <w:rPr>
          <w:b/>
        </w:rPr>
      </w:pPr>
    </w:p>
    <w:p w14:paraId="124A7300" w14:textId="420EA617" w:rsidR="000C3413" w:rsidRDefault="000C3413" w:rsidP="000C3413">
      <w:pPr>
        <w:ind w:left="1440" w:hanging="1440"/>
        <w:jc w:val="both"/>
        <w:rPr>
          <w:b/>
        </w:rPr>
      </w:pPr>
      <w:r>
        <w:rPr>
          <w:b/>
        </w:rPr>
        <w:t>FEA:</w:t>
      </w:r>
      <w:r>
        <w:rPr>
          <w:b/>
        </w:rPr>
        <w:tab/>
      </w:r>
      <w:r w:rsidR="002A4E8E">
        <w:t>No position.</w:t>
      </w:r>
    </w:p>
    <w:p w14:paraId="4D2A75FB" w14:textId="77777777" w:rsidR="000C3413" w:rsidRDefault="000C3413" w:rsidP="000C3413">
      <w:pPr>
        <w:ind w:left="1440" w:hanging="1440"/>
        <w:jc w:val="both"/>
        <w:rPr>
          <w:b/>
        </w:rPr>
      </w:pPr>
    </w:p>
    <w:p w14:paraId="7433CC04" w14:textId="77777777" w:rsidR="003C5161" w:rsidRDefault="00764960" w:rsidP="000C3413">
      <w:pPr>
        <w:ind w:left="1440" w:hanging="1440"/>
        <w:jc w:val="both"/>
        <w:rPr>
          <w:b/>
        </w:rPr>
      </w:pPr>
      <w:r>
        <w:rPr>
          <w:b/>
        </w:rPr>
        <w:t xml:space="preserve">SIERRA </w:t>
      </w:r>
    </w:p>
    <w:p w14:paraId="70FCF3C0" w14:textId="118FA3FC" w:rsidR="000C3413" w:rsidRDefault="00764960" w:rsidP="000C3413">
      <w:pPr>
        <w:ind w:left="1440" w:hanging="1440"/>
        <w:jc w:val="both"/>
        <w:rPr>
          <w:b/>
        </w:rPr>
      </w:pPr>
      <w:r>
        <w:rPr>
          <w:b/>
        </w:rPr>
        <w:t>CLUB</w:t>
      </w:r>
      <w:r w:rsidR="000C3413">
        <w:rPr>
          <w:b/>
        </w:rPr>
        <w:t>:</w:t>
      </w:r>
      <w:r w:rsidR="000C3413">
        <w:rPr>
          <w:b/>
        </w:rPr>
        <w:tab/>
      </w:r>
      <w:r w:rsidR="002A4E8E">
        <w:t>No position.</w:t>
      </w:r>
    </w:p>
    <w:p w14:paraId="331FF739" w14:textId="77777777" w:rsidR="000C3413" w:rsidRDefault="000C3413" w:rsidP="000C3413">
      <w:pPr>
        <w:ind w:left="1440" w:hanging="1440"/>
        <w:jc w:val="both"/>
        <w:rPr>
          <w:b/>
        </w:rPr>
      </w:pPr>
    </w:p>
    <w:p w14:paraId="6C5C23E4" w14:textId="77777777" w:rsidR="000C3413" w:rsidRPr="00FF7E69" w:rsidRDefault="000C3413" w:rsidP="000C3413">
      <w:pPr>
        <w:ind w:left="1440" w:hanging="1440"/>
        <w:jc w:val="both"/>
      </w:pPr>
      <w:r>
        <w:rPr>
          <w:b/>
        </w:rPr>
        <w:t>FRF:</w:t>
      </w:r>
      <w:r>
        <w:rPr>
          <w:b/>
        </w:rPr>
        <w:tab/>
      </w:r>
      <w:r w:rsidR="00FF7E69">
        <w:t>Yes.</w:t>
      </w:r>
    </w:p>
    <w:p w14:paraId="25D9C808" w14:textId="77777777" w:rsidR="000C3413" w:rsidRDefault="000C3413" w:rsidP="000C3413">
      <w:pPr>
        <w:ind w:left="1440" w:hanging="1440"/>
        <w:jc w:val="both"/>
        <w:rPr>
          <w:b/>
        </w:rPr>
      </w:pPr>
    </w:p>
    <w:p w14:paraId="5838E867" w14:textId="77777777" w:rsidR="003C5161" w:rsidRDefault="00C0182D" w:rsidP="000C3413">
      <w:pPr>
        <w:ind w:left="1440" w:hanging="1440"/>
        <w:jc w:val="both"/>
        <w:rPr>
          <w:b/>
        </w:rPr>
      </w:pPr>
      <w:r>
        <w:rPr>
          <w:b/>
        </w:rPr>
        <w:lastRenderedPageBreak/>
        <w:t xml:space="preserve">FUEL </w:t>
      </w:r>
    </w:p>
    <w:p w14:paraId="2EDBAB75" w14:textId="5B381C73" w:rsidR="000C3413" w:rsidRDefault="00C0182D" w:rsidP="000C3413">
      <w:pPr>
        <w:ind w:left="1440" w:hanging="1440"/>
        <w:jc w:val="both"/>
      </w:pPr>
      <w:r>
        <w:rPr>
          <w:b/>
        </w:rPr>
        <w:t>RETAILERS</w:t>
      </w:r>
      <w:r w:rsidR="000C3413">
        <w:rPr>
          <w:b/>
        </w:rPr>
        <w:t>:</w:t>
      </w:r>
      <w:r w:rsidR="003C5161">
        <w:rPr>
          <w:b/>
        </w:rPr>
        <w:t xml:space="preserve"> </w:t>
      </w:r>
      <w:r w:rsidR="00C3263D">
        <w:t>Yes.</w:t>
      </w:r>
    </w:p>
    <w:p w14:paraId="3C4D6518" w14:textId="77777777" w:rsidR="00237773" w:rsidRDefault="00237773" w:rsidP="000C3413">
      <w:pPr>
        <w:ind w:left="1440" w:hanging="1440"/>
        <w:jc w:val="both"/>
      </w:pPr>
    </w:p>
    <w:p w14:paraId="002C2F67" w14:textId="531C519D" w:rsidR="00237773" w:rsidRPr="00237773" w:rsidRDefault="00FD408B" w:rsidP="000C3413">
      <w:pPr>
        <w:ind w:left="1440" w:hanging="1440"/>
        <w:jc w:val="both"/>
        <w:rPr>
          <w:b/>
        </w:rPr>
      </w:pPr>
      <w:r>
        <w:rPr>
          <w:b/>
        </w:rPr>
        <w:t>WALMART</w:t>
      </w:r>
      <w:r w:rsidR="00237773">
        <w:rPr>
          <w:b/>
        </w:rPr>
        <w:t>:</w:t>
      </w:r>
      <w:r w:rsidR="00237773">
        <w:rPr>
          <w:b/>
        </w:rPr>
        <w:tab/>
      </w:r>
      <w:r w:rsidR="006B6FB7">
        <w:t>A</w:t>
      </w:r>
      <w:r w:rsidR="00237773">
        <w:t>dopts the position of FRF.</w:t>
      </w:r>
    </w:p>
    <w:p w14:paraId="3A232230" w14:textId="77777777" w:rsidR="000C3413" w:rsidRPr="00701945" w:rsidRDefault="000C3413" w:rsidP="000C3413">
      <w:pPr>
        <w:jc w:val="both"/>
      </w:pPr>
    </w:p>
    <w:p w14:paraId="70E365E0" w14:textId="77777777" w:rsidR="000C3413" w:rsidRPr="005D4B47" w:rsidRDefault="000C3413" w:rsidP="000C3413">
      <w:pPr>
        <w:ind w:left="1440" w:hanging="1440"/>
        <w:jc w:val="both"/>
        <w:rPr>
          <w:b/>
          <w:bCs/>
        </w:rPr>
      </w:pPr>
      <w:r>
        <w:rPr>
          <w:b/>
          <w:bCs/>
        </w:rPr>
        <w:t>STAFF:</w:t>
      </w:r>
      <w:r>
        <w:rPr>
          <w:b/>
          <w:bCs/>
        </w:rPr>
        <w:tab/>
      </w:r>
      <w:r w:rsidR="003E5174">
        <w:t>No position at this time.</w:t>
      </w:r>
    </w:p>
    <w:p w14:paraId="5EC833D1" w14:textId="77777777" w:rsidR="000C3413" w:rsidRDefault="000C3413" w:rsidP="00C7699A">
      <w:pPr>
        <w:jc w:val="both"/>
      </w:pPr>
    </w:p>
    <w:p w14:paraId="4178B311" w14:textId="77777777" w:rsidR="000C3413" w:rsidRDefault="000C3413" w:rsidP="00C7699A">
      <w:pPr>
        <w:jc w:val="both"/>
      </w:pPr>
    </w:p>
    <w:p w14:paraId="4E7A5A5B" w14:textId="77777777" w:rsidR="000C3413" w:rsidRPr="00F84069" w:rsidRDefault="000C3413" w:rsidP="000C3413">
      <w:pPr>
        <w:ind w:left="1440" w:hanging="1440"/>
        <w:jc w:val="both"/>
        <w:rPr>
          <w:b/>
        </w:rPr>
      </w:pPr>
      <w:r w:rsidRPr="005D4B47">
        <w:rPr>
          <w:b/>
          <w:bCs/>
        </w:rPr>
        <w:t>ISSUE 1</w:t>
      </w:r>
      <w:r w:rsidR="00F84069">
        <w:rPr>
          <w:b/>
          <w:bCs/>
        </w:rPr>
        <w:t>2</w:t>
      </w:r>
      <w:r w:rsidR="00FB1449">
        <w:rPr>
          <w:b/>
          <w:bCs/>
        </w:rPr>
        <w:t>1</w:t>
      </w:r>
      <w:r w:rsidRPr="00701945">
        <w:rPr>
          <w:b/>
          <w:bCs/>
        </w:rPr>
        <w:t>:</w:t>
      </w:r>
      <w:r w:rsidRPr="00701945">
        <w:tab/>
      </w:r>
      <w:r w:rsidR="00F84069" w:rsidRPr="00F84069">
        <w:rPr>
          <w:b/>
        </w:rPr>
        <w:t>Should this docket be closed?</w:t>
      </w:r>
    </w:p>
    <w:p w14:paraId="46E94454" w14:textId="77777777" w:rsidR="000C3413" w:rsidRPr="00701945" w:rsidRDefault="000C3413" w:rsidP="000C3413">
      <w:pPr>
        <w:jc w:val="both"/>
      </w:pPr>
    </w:p>
    <w:p w14:paraId="7DEF1A3C" w14:textId="76A270A9" w:rsidR="000C3413" w:rsidRPr="005D4B47" w:rsidRDefault="000C3413" w:rsidP="000C3413">
      <w:pPr>
        <w:ind w:left="1440" w:hanging="1440"/>
        <w:jc w:val="both"/>
      </w:pPr>
      <w:r>
        <w:rPr>
          <w:b/>
          <w:bCs/>
        </w:rPr>
        <w:t>TECO</w:t>
      </w:r>
      <w:r w:rsidRPr="005D4B47">
        <w:rPr>
          <w:b/>
          <w:bCs/>
        </w:rPr>
        <w:t>:</w:t>
      </w:r>
      <w:r w:rsidRPr="005D4B47">
        <w:tab/>
      </w:r>
      <w:r w:rsidR="00F84069">
        <w:t>Yes.</w:t>
      </w:r>
    </w:p>
    <w:p w14:paraId="58CE7A30" w14:textId="77777777" w:rsidR="000C3413" w:rsidRPr="00701945" w:rsidRDefault="000C3413" w:rsidP="000C3413">
      <w:pPr>
        <w:jc w:val="both"/>
      </w:pPr>
    </w:p>
    <w:p w14:paraId="0432702A" w14:textId="77777777" w:rsidR="000C3413" w:rsidRDefault="000C3413" w:rsidP="000C3413">
      <w:pPr>
        <w:ind w:left="1440" w:hanging="1440"/>
        <w:jc w:val="both"/>
      </w:pPr>
      <w:r>
        <w:rPr>
          <w:b/>
          <w:bCs/>
        </w:rPr>
        <w:t>OPC</w:t>
      </w:r>
      <w:r w:rsidRPr="00701945">
        <w:rPr>
          <w:b/>
          <w:bCs/>
        </w:rPr>
        <w:t>:</w:t>
      </w:r>
      <w:r>
        <w:tab/>
      </w:r>
      <w:r w:rsidR="00D175D0" w:rsidRPr="003651AA">
        <w:t>No position.</w:t>
      </w:r>
    </w:p>
    <w:p w14:paraId="1E059DE1" w14:textId="77777777" w:rsidR="000C3413" w:rsidRDefault="000C3413" w:rsidP="000C3413">
      <w:pPr>
        <w:ind w:left="1440" w:hanging="1440"/>
        <w:jc w:val="both"/>
      </w:pPr>
    </w:p>
    <w:p w14:paraId="58867111" w14:textId="77777777" w:rsidR="000C3413" w:rsidRDefault="000C3413" w:rsidP="000C3413">
      <w:pPr>
        <w:ind w:left="1440" w:hanging="1440"/>
        <w:jc w:val="both"/>
        <w:rPr>
          <w:b/>
        </w:rPr>
      </w:pPr>
      <w:r>
        <w:rPr>
          <w:b/>
        </w:rPr>
        <w:t>FL RISING/</w:t>
      </w:r>
    </w:p>
    <w:p w14:paraId="38AC7916" w14:textId="77777777" w:rsidR="000C3413" w:rsidRDefault="000C3413" w:rsidP="000C3413">
      <w:pPr>
        <w:ind w:left="1440" w:hanging="1440"/>
        <w:jc w:val="both"/>
        <w:rPr>
          <w:b/>
        </w:rPr>
      </w:pPr>
      <w:r>
        <w:rPr>
          <w:b/>
        </w:rPr>
        <w:t>LULAC:</w:t>
      </w:r>
      <w:r>
        <w:rPr>
          <w:b/>
        </w:rPr>
        <w:tab/>
      </w:r>
      <w:r w:rsidR="00B53B02">
        <w:t>Yes, after the Commission denies TECO’s petition for rate increase.</w:t>
      </w:r>
    </w:p>
    <w:p w14:paraId="4BAE07A6" w14:textId="77777777" w:rsidR="000C3413" w:rsidRDefault="000C3413" w:rsidP="000C3413">
      <w:pPr>
        <w:ind w:left="1440" w:hanging="1440"/>
        <w:jc w:val="both"/>
        <w:rPr>
          <w:b/>
        </w:rPr>
      </w:pPr>
    </w:p>
    <w:p w14:paraId="6E685028" w14:textId="77777777" w:rsidR="000C3413" w:rsidRDefault="000C3413" w:rsidP="000C3413">
      <w:pPr>
        <w:ind w:left="1440" w:hanging="1440"/>
        <w:jc w:val="both"/>
        <w:rPr>
          <w:b/>
        </w:rPr>
      </w:pPr>
      <w:r>
        <w:rPr>
          <w:b/>
        </w:rPr>
        <w:t>FIPUG:</w:t>
      </w:r>
      <w:r>
        <w:rPr>
          <w:b/>
        </w:rPr>
        <w:tab/>
      </w:r>
      <w:r w:rsidR="001502A7">
        <w:rPr>
          <w:bCs/>
        </w:rPr>
        <w:t>Yes, after the Commission takes final agency action.</w:t>
      </w:r>
    </w:p>
    <w:p w14:paraId="32D7FB1A" w14:textId="77777777" w:rsidR="000C3413" w:rsidRDefault="000C3413" w:rsidP="000C3413">
      <w:pPr>
        <w:ind w:left="1440" w:hanging="1440"/>
        <w:jc w:val="both"/>
        <w:rPr>
          <w:b/>
        </w:rPr>
      </w:pPr>
    </w:p>
    <w:p w14:paraId="22C8F5EE" w14:textId="2EFF5958" w:rsidR="000C3413" w:rsidRDefault="000C3413" w:rsidP="000C3413">
      <w:pPr>
        <w:ind w:left="1440" w:hanging="1440"/>
        <w:jc w:val="both"/>
        <w:rPr>
          <w:b/>
        </w:rPr>
      </w:pPr>
      <w:r>
        <w:rPr>
          <w:b/>
        </w:rPr>
        <w:t>FEA:</w:t>
      </w:r>
      <w:r>
        <w:rPr>
          <w:b/>
        </w:rPr>
        <w:tab/>
      </w:r>
      <w:r w:rsidR="00471197">
        <w:t>No position.</w:t>
      </w:r>
    </w:p>
    <w:p w14:paraId="128F6B01" w14:textId="77777777" w:rsidR="000C3413" w:rsidRDefault="000C3413" w:rsidP="000C3413">
      <w:pPr>
        <w:ind w:left="1440" w:hanging="1440"/>
        <w:jc w:val="both"/>
        <w:rPr>
          <w:b/>
        </w:rPr>
      </w:pPr>
    </w:p>
    <w:p w14:paraId="00F65C14" w14:textId="77777777" w:rsidR="003C5161" w:rsidRDefault="00764960" w:rsidP="000C3413">
      <w:pPr>
        <w:ind w:left="1440" w:hanging="1440"/>
        <w:jc w:val="both"/>
        <w:rPr>
          <w:b/>
        </w:rPr>
      </w:pPr>
      <w:r>
        <w:rPr>
          <w:b/>
        </w:rPr>
        <w:t xml:space="preserve">SIERRA </w:t>
      </w:r>
    </w:p>
    <w:p w14:paraId="2308BA0A" w14:textId="09EE5567" w:rsidR="000C3413" w:rsidRDefault="00764960" w:rsidP="000C3413">
      <w:pPr>
        <w:ind w:left="1440" w:hanging="1440"/>
        <w:jc w:val="both"/>
        <w:rPr>
          <w:b/>
        </w:rPr>
      </w:pPr>
      <w:r>
        <w:rPr>
          <w:b/>
        </w:rPr>
        <w:t>CLUB</w:t>
      </w:r>
      <w:r w:rsidR="000C3413">
        <w:rPr>
          <w:b/>
        </w:rPr>
        <w:t>:</w:t>
      </w:r>
      <w:r w:rsidR="000C3413">
        <w:rPr>
          <w:b/>
        </w:rPr>
        <w:tab/>
      </w:r>
      <w:r w:rsidR="00CF498D">
        <w:t>No position.</w:t>
      </w:r>
    </w:p>
    <w:p w14:paraId="20D5DFB6" w14:textId="77777777" w:rsidR="000C3413" w:rsidRDefault="000C3413" w:rsidP="000C3413">
      <w:pPr>
        <w:ind w:left="1440" w:hanging="1440"/>
        <w:jc w:val="both"/>
        <w:rPr>
          <w:b/>
        </w:rPr>
      </w:pPr>
    </w:p>
    <w:p w14:paraId="47F406EF" w14:textId="77777777" w:rsidR="000C3413" w:rsidRDefault="000C3413" w:rsidP="000C3413">
      <w:pPr>
        <w:ind w:left="1440" w:hanging="1440"/>
        <w:jc w:val="both"/>
        <w:rPr>
          <w:b/>
        </w:rPr>
      </w:pPr>
      <w:r>
        <w:rPr>
          <w:b/>
        </w:rPr>
        <w:t>FRF:</w:t>
      </w:r>
      <w:r>
        <w:rPr>
          <w:b/>
        </w:rPr>
        <w:tab/>
      </w:r>
      <w:r w:rsidR="00FF7E69">
        <w:t>When a final Commission order has been issued and either (a) all appeals of such order or orders have been finally resolved, or (b) the time for filing any further appeal has passed, this docket should be closed.</w:t>
      </w:r>
    </w:p>
    <w:p w14:paraId="77BAD30A" w14:textId="77777777" w:rsidR="000C3413" w:rsidRDefault="000C3413" w:rsidP="000C3413">
      <w:pPr>
        <w:ind w:left="1440" w:hanging="1440"/>
        <w:jc w:val="both"/>
        <w:rPr>
          <w:b/>
        </w:rPr>
      </w:pPr>
    </w:p>
    <w:p w14:paraId="713919BC" w14:textId="77777777" w:rsidR="003C5161" w:rsidRDefault="00C0182D" w:rsidP="000C3413">
      <w:pPr>
        <w:ind w:left="1440" w:hanging="1440"/>
        <w:jc w:val="both"/>
        <w:rPr>
          <w:b/>
        </w:rPr>
      </w:pPr>
      <w:r>
        <w:rPr>
          <w:b/>
        </w:rPr>
        <w:t xml:space="preserve">FUEL </w:t>
      </w:r>
    </w:p>
    <w:p w14:paraId="553F2D21" w14:textId="4519DA6F" w:rsidR="000C3413" w:rsidRDefault="00C0182D" w:rsidP="000C3413">
      <w:pPr>
        <w:ind w:left="1440" w:hanging="1440"/>
        <w:jc w:val="both"/>
      </w:pPr>
      <w:r>
        <w:rPr>
          <w:b/>
        </w:rPr>
        <w:t>RETAILERS</w:t>
      </w:r>
      <w:r w:rsidR="000C3413">
        <w:rPr>
          <w:b/>
        </w:rPr>
        <w:t>:</w:t>
      </w:r>
      <w:r w:rsidR="003C5161">
        <w:rPr>
          <w:b/>
        </w:rPr>
        <w:t xml:space="preserve"> </w:t>
      </w:r>
      <w:r w:rsidR="00C3263D" w:rsidRPr="004329AA">
        <w:t>Not until all actions are concluded, including any appeals.</w:t>
      </w:r>
    </w:p>
    <w:p w14:paraId="73B3269F" w14:textId="77777777" w:rsidR="00237773" w:rsidRDefault="00237773" w:rsidP="000C3413">
      <w:pPr>
        <w:ind w:left="1440" w:hanging="1440"/>
        <w:jc w:val="both"/>
      </w:pPr>
    </w:p>
    <w:p w14:paraId="3ADDA796" w14:textId="45B7E05C" w:rsidR="00237773" w:rsidRPr="00237773" w:rsidRDefault="00FD408B" w:rsidP="000C3413">
      <w:pPr>
        <w:ind w:left="1440" w:hanging="1440"/>
        <w:jc w:val="both"/>
        <w:rPr>
          <w:b/>
        </w:rPr>
      </w:pPr>
      <w:r>
        <w:rPr>
          <w:b/>
        </w:rPr>
        <w:t>WALMART</w:t>
      </w:r>
      <w:r w:rsidR="00237773">
        <w:rPr>
          <w:b/>
        </w:rPr>
        <w:t>:</w:t>
      </w:r>
      <w:r w:rsidR="00237773">
        <w:rPr>
          <w:b/>
        </w:rPr>
        <w:tab/>
      </w:r>
      <w:r w:rsidR="006714CD">
        <w:t>A</w:t>
      </w:r>
      <w:r w:rsidR="005E4B0E">
        <w:t>dopts the position of FRF.</w:t>
      </w:r>
    </w:p>
    <w:p w14:paraId="6472E8DA" w14:textId="77777777" w:rsidR="000C3413" w:rsidRPr="00701945" w:rsidRDefault="000C3413" w:rsidP="000C3413">
      <w:pPr>
        <w:jc w:val="both"/>
      </w:pPr>
    </w:p>
    <w:p w14:paraId="275BD85A" w14:textId="77777777" w:rsidR="000C3413" w:rsidRPr="005D4B47" w:rsidRDefault="000C3413" w:rsidP="000C3413">
      <w:pPr>
        <w:ind w:left="1440" w:hanging="1440"/>
        <w:jc w:val="both"/>
        <w:rPr>
          <w:b/>
          <w:bCs/>
        </w:rPr>
      </w:pPr>
      <w:r>
        <w:rPr>
          <w:b/>
          <w:bCs/>
        </w:rPr>
        <w:t>STAFF:</w:t>
      </w:r>
      <w:r>
        <w:rPr>
          <w:b/>
          <w:bCs/>
        </w:rPr>
        <w:tab/>
      </w:r>
      <w:r w:rsidR="003E5174">
        <w:t>No position at this time.</w:t>
      </w:r>
    </w:p>
    <w:p w14:paraId="0987B06B" w14:textId="7B4993D6" w:rsidR="000C3413" w:rsidRDefault="000C3413" w:rsidP="00C7699A">
      <w:pPr>
        <w:jc w:val="both"/>
      </w:pPr>
    </w:p>
    <w:p w14:paraId="50B97C51" w14:textId="4340D99C" w:rsidR="00005D2F" w:rsidRDefault="00005D2F" w:rsidP="00C7699A">
      <w:pPr>
        <w:jc w:val="both"/>
      </w:pPr>
    </w:p>
    <w:p w14:paraId="29E91415" w14:textId="3C784A82" w:rsidR="00005D2F" w:rsidRDefault="00005D2F" w:rsidP="00C7699A">
      <w:pPr>
        <w:jc w:val="both"/>
      </w:pPr>
    </w:p>
    <w:p w14:paraId="6DCF259B" w14:textId="0F69D6C0" w:rsidR="00005D2F" w:rsidRDefault="00005D2F" w:rsidP="00C7699A">
      <w:pPr>
        <w:jc w:val="both"/>
      </w:pPr>
    </w:p>
    <w:p w14:paraId="6A602C49" w14:textId="7A17856E" w:rsidR="00005D2F" w:rsidRDefault="00005D2F" w:rsidP="00C7699A">
      <w:pPr>
        <w:jc w:val="both"/>
      </w:pPr>
    </w:p>
    <w:p w14:paraId="7366D63A" w14:textId="0A60ACC6" w:rsidR="00005D2F" w:rsidRDefault="00005D2F" w:rsidP="00C7699A">
      <w:pPr>
        <w:jc w:val="both"/>
      </w:pPr>
    </w:p>
    <w:p w14:paraId="39D0DB68" w14:textId="4D877449" w:rsidR="00005D2F" w:rsidRDefault="00005D2F" w:rsidP="00C7699A">
      <w:pPr>
        <w:jc w:val="both"/>
      </w:pPr>
    </w:p>
    <w:p w14:paraId="6084F566" w14:textId="4B8CC162" w:rsidR="00005D2F" w:rsidRDefault="00005D2F" w:rsidP="00C7699A">
      <w:pPr>
        <w:jc w:val="both"/>
      </w:pPr>
    </w:p>
    <w:p w14:paraId="71E39DBF" w14:textId="5EE8FFD3" w:rsidR="00005D2F" w:rsidRDefault="00005D2F" w:rsidP="00C7699A">
      <w:pPr>
        <w:jc w:val="both"/>
      </w:pPr>
    </w:p>
    <w:p w14:paraId="2BAB3917" w14:textId="2878FB9F" w:rsidR="00005D2F" w:rsidRDefault="00005D2F" w:rsidP="00C7699A">
      <w:pPr>
        <w:jc w:val="both"/>
      </w:pPr>
    </w:p>
    <w:p w14:paraId="4459BA22" w14:textId="6445F6D0" w:rsidR="00005D2F" w:rsidRDefault="00005D2F" w:rsidP="00C7699A">
      <w:pPr>
        <w:jc w:val="both"/>
      </w:pPr>
    </w:p>
    <w:p w14:paraId="7A17A59A" w14:textId="77777777" w:rsidR="00C7699A" w:rsidRPr="00A32DC5" w:rsidRDefault="00C7699A" w:rsidP="00C7699A">
      <w:pPr>
        <w:jc w:val="both"/>
        <w:rPr>
          <w:b/>
        </w:rPr>
      </w:pPr>
      <w:r w:rsidRPr="00A32DC5">
        <w:rPr>
          <w:b/>
        </w:rPr>
        <w:lastRenderedPageBreak/>
        <w:t>IX.</w:t>
      </w:r>
      <w:r w:rsidRPr="00A32DC5">
        <w:rPr>
          <w:b/>
        </w:rPr>
        <w:tab/>
      </w:r>
      <w:r w:rsidRPr="00A32DC5">
        <w:rPr>
          <w:b/>
          <w:u w:val="single"/>
        </w:rPr>
        <w:t>EXHIBIT LIST</w:t>
      </w:r>
    </w:p>
    <w:p w14:paraId="78390DC3" w14:textId="77777777" w:rsidR="00C7699A" w:rsidRPr="00701945" w:rsidRDefault="00C7699A" w:rsidP="00C7699A">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2970"/>
        <w:gridCol w:w="1350"/>
        <w:gridCol w:w="1260"/>
        <w:gridCol w:w="3870"/>
      </w:tblGrid>
      <w:tr w:rsidR="00F5605A" w:rsidRPr="00701945" w14:paraId="46456E1B" w14:textId="77777777" w:rsidTr="006C174A">
        <w:trPr>
          <w:cantSplit/>
          <w:trHeight w:val="360"/>
          <w:tblHeader/>
        </w:trPr>
        <w:tc>
          <w:tcPr>
            <w:tcW w:w="2970" w:type="dxa"/>
          </w:tcPr>
          <w:p w14:paraId="3FD1E5C1" w14:textId="77777777" w:rsidR="00C7699A" w:rsidRPr="009F1FA3" w:rsidRDefault="00C7699A" w:rsidP="00191EAC">
            <w:r w:rsidRPr="009F1FA3">
              <w:rPr>
                <w:u w:val="single"/>
              </w:rPr>
              <w:t>Witness</w:t>
            </w:r>
          </w:p>
        </w:tc>
        <w:tc>
          <w:tcPr>
            <w:tcW w:w="1350" w:type="dxa"/>
          </w:tcPr>
          <w:p w14:paraId="7267F6F3" w14:textId="77777777" w:rsidR="00C7699A" w:rsidRPr="009F1FA3" w:rsidRDefault="00C7699A" w:rsidP="00191EAC">
            <w:pPr>
              <w:jc w:val="center"/>
            </w:pPr>
            <w:r w:rsidRPr="009F1FA3">
              <w:rPr>
                <w:u w:val="single"/>
              </w:rPr>
              <w:t>Proffered By</w:t>
            </w:r>
          </w:p>
        </w:tc>
        <w:tc>
          <w:tcPr>
            <w:tcW w:w="1260" w:type="dxa"/>
          </w:tcPr>
          <w:p w14:paraId="1979C051" w14:textId="77777777" w:rsidR="00C7699A" w:rsidRPr="009F1FA3" w:rsidRDefault="00C7699A" w:rsidP="00191EAC">
            <w:pPr>
              <w:jc w:val="center"/>
            </w:pPr>
          </w:p>
        </w:tc>
        <w:tc>
          <w:tcPr>
            <w:tcW w:w="3870" w:type="dxa"/>
          </w:tcPr>
          <w:p w14:paraId="6ED39699" w14:textId="77777777" w:rsidR="00C7699A" w:rsidRPr="009F1FA3" w:rsidRDefault="00C7699A" w:rsidP="00191EAC">
            <w:r w:rsidRPr="009F1FA3">
              <w:rPr>
                <w:u w:val="single"/>
              </w:rPr>
              <w:t>Description</w:t>
            </w:r>
          </w:p>
        </w:tc>
      </w:tr>
      <w:tr w:rsidR="00F5605A" w:rsidRPr="00701945" w14:paraId="6099D6A6" w14:textId="77777777" w:rsidTr="006C174A">
        <w:trPr>
          <w:cantSplit/>
          <w:trHeight w:val="360"/>
        </w:trPr>
        <w:tc>
          <w:tcPr>
            <w:tcW w:w="2970" w:type="dxa"/>
          </w:tcPr>
          <w:p w14:paraId="709DEBD4" w14:textId="77777777" w:rsidR="00C7699A" w:rsidRPr="009F1FA3" w:rsidRDefault="00C7699A" w:rsidP="00191EAC">
            <w:r w:rsidRPr="009F1FA3">
              <w:tab/>
            </w:r>
            <w:r w:rsidRPr="009F1FA3">
              <w:rPr>
                <w:u w:val="single"/>
              </w:rPr>
              <w:t>Direct</w:t>
            </w:r>
          </w:p>
        </w:tc>
        <w:tc>
          <w:tcPr>
            <w:tcW w:w="1350" w:type="dxa"/>
          </w:tcPr>
          <w:p w14:paraId="756D250A" w14:textId="77777777" w:rsidR="00C7699A" w:rsidRPr="009F1FA3" w:rsidRDefault="00C7699A" w:rsidP="00191EAC">
            <w:pPr>
              <w:jc w:val="center"/>
            </w:pPr>
          </w:p>
        </w:tc>
        <w:tc>
          <w:tcPr>
            <w:tcW w:w="1260" w:type="dxa"/>
          </w:tcPr>
          <w:p w14:paraId="7732E8BD" w14:textId="77777777" w:rsidR="00C7699A" w:rsidRPr="009F1FA3" w:rsidRDefault="00C7699A" w:rsidP="00191EAC">
            <w:pPr>
              <w:jc w:val="center"/>
            </w:pPr>
          </w:p>
        </w:tc>
        <w:tc>
          <w:tcPr>
            <w:tcW w:w="3870" w:type="dxa"/>
          </w:tcPr>
          <w:p w14:paraId="7717A174" w14:textId="77777777" w:rsidR="00C7699A" w:rsidRPr="009F1FA3" w:rsidRDefault="00C7699A" w:rsidP="00191EAC"/>
        </w:tc>
      </w:tr>
      <w:tr w:rsidR="00F5605A" w:rsidRPr="00701945" w14:paraId="7E760CB2" w14:textId="77777777" w:rsidTr="006C174A">
        <w:trPr>
          <w:cantSplit/>
          <w:trHeight w:val="360"/>
        </w:trPr>
        <w:tc>
          <w:tcPr>
            <w:tcW w:w="2970" w:type="dxa"/>
          </w:tcPr>
          <w:p w14:paraId="08CC93B9" w14:textId="77777777" w:rsidR="00E70A27" w:rsidRPr="009F1FA3" w:rsidRDefault="00E70A27" w:rsidP="00191EAC">
            <w:pPr>
              <w:suppressAutoHyphens/>
            </w:pPr>
            <w:r w:rsidRPr="009F1FA3">
              <w:t>Archie Collins</w:t>
            </w:r>
          </w:p>
        </w:tc>
        <w:tc>
          <w:tcPr>
            <w:tcW w:w="1350" w:type="dxa"/>
          </w:tcPr>
          <w:p w14:paraId="2B4BC586" w14:textId="77777777" w:rsidR="00E70A27" w:rsidRPr="009F1FA3" w:rsidRDefault="00E70A27" w:rsidP="00191EAC">
            <w:pPr>
              <w:suppressAutoHyphens/>
              <w:jc w:val="center"/>
            </w:pPr>
            <w:r w:rsidRPr="009F1FA3">
              <w:t>TECO</w:t>
            </w:r>
          </w:p>
        </w:tc>
        <w:tc>
          <w:tcPr>
            <w:tcW w:w="1260" w:type="dxa"/>
          </w:tcPr>
          <w:p w14:paraId="14E56AB1" w14:textId="77777777" w:rsidR="00E70A27" w:rsidRPr="009F1FA3" w:rsidRDefault="00E70A27" w:rsidP="00191EAC">
            <w:pPr>
              <w:suppressAutoHyphens/>
              <w:jc w:val="center"/>
            </w:pPr>
            <w:r w:rsidRPr="009F1FA3">
              <w:t>AC-1</w:t>
            </w:r>
          </w:p>
        </w:tc>
        <w:tc>
          <w:tcPr>
            <w:tcW w:w="3870" w:type="dxa"/>
          </w:tcPr>
          <w:p w14:paraId="403AC6F1" w14:textId="77777777" w:rsidR="00E70A27" w:rsidRPr="009F1FA3" w:rsidRDefault="000C18C4" w:rsidP="00191EAC">
            <w:pPr>
              <w:pStyle w:val="ListParagraph"/>
              <w:suppressAutoHyphens/>
              <w:ind w:left="0"/>
              <w:jc w:val="left"/>
              <w:rPr>
                <w:szCs w:val="24"/>
              </w:rPr>
            </w:pPr>
            <w:r w:rsidRPr="009F1FA3">
              <w:t xml:space="preserve">1. </w:t>
            </w:r>
            <w:r w:rsidR="00E70A27" w:rsidRPr="009F1FA3">
              <w:t>List of Tampa Electric Witnesses and Purpose of their Direct Testimony</w:t>
            </w:r>
          </w:p>
          <w:p w14:paraId="29EEDFB2" w14:textId="77777777" w:rsidR="00E70A27" w:rsidRPr="009F1FA3" w:rsidRDefault="000C18C4" w:rsidP="00191EAC">
            <w:pPr>
              <w:pStyle w:val="ListParagraph"/>
              <w:suppressAutoHyphens/>
              <w:ind w:left="0"/>
              <w:jc w:val="left"/>
              <w:rPr>
                <w:szCs w:val="24"/>
              </w:rPr>
            </w:pPr>
            <w:r w:rsidRPr="009F1FA3">
              <w:t xml:space="preserve">2. </w:t>
            </w:r>
            <w:r w:rsidR="00E70A27" w:rsidRPr="009F1FA3">
              <w:t xml:space="preserve">List of Minimum Filing Requirement Schedules Sponsored by Archie Collins </w:t>
            </w:r>
          </w:p>
          <w:p w14:paraId="4C0888D4" w14:textId="77777777" w:rsidR="00E70A27" w:rsidRPr="009F1FA3" w:rsidRDefault="000C18C4" w:rsidP="00191EAC">
            <w:pPr>
              <w:pStyle w:val="ListParagraph"/>
              <w:suppressAutoHyphens/>
              <w:ind w:left="0"/>
              <w:jc w:val="left"/>
              <w:rPr>
                <w:szCs w:val="24"/>
              </w:rPr>
            </w:pPr>
            <w:r w:rsidRPr="009F1FA3">
              <w:t xml:space="preserve">3. </w:t>
            </w:r>
            <w:r w:rsidR="00E70A27" w:rsidRPr="009F1FA3">
              <w:t>List of Minimum Filing Requirement Schedules Witness Assignments</w:t>
            </w:r>
          </w:p>
        </w:tc>
      </w:tr>
      <w:tr w:rsidR="00F5605A" w:rsidRPr="00701945" w14:paraId="0AEAA6D0" w14:textId="77777777" w:rsidTr="006C174A">
        <w:trPr>
          <w:cantSplit/>
          <w:trHeight w:val="360"/>
        </w:trPr>
        <w:tc>
          <w:tcPr>
            <w:tcW w:w="2970" w:type="dxa"/>
          </w:tcPr>
          <w:p w14:paraId="11D20725" w14:textId="77777777" w:rsidR="00E70A27" w:rsidRPr="009F1FA3" w:rsidRDefault="00E70A27" w:rsidP="00191EAC">
            <w:pPr>
              <w:suppressAutoHyphens/>
            </w:pPr>
            <w:r w:rsidRPr="009F1FA3">
              <w:t>Karen Sparkman</w:t>
            </w:r>
          </w:p>
        </w:tc>
        <w:tc>
          <w:tcPr>
            <w:tcW w:w="1350" w:type="dxa"/>
          </w:tcPr>
          <w:p w14:paraId="4168E14C" w14:textId="77777777" w:rsidR="00E70A27" w:rsidRPr="009F1FA3" w:rsidRDefault="00E70A27" w:rsidP="00191EAC">
            <w:pPr>
              <w:suppressAutoHyphens/>
              <w:jc w:val="center"/>
            </w:pPr>
            <w:r w:rsidRPr="009F1FA3">
              <w:t>TECO</w:t>
            </w:r>
          </w:p>
        </w:tc>
        <w:tc>
          <w:tcPr>
            <w:tcW w:w="1260" w:type="dxa"/>
          </w:tcPr>
          <w:p w14:paraId="6F97E5B1" w14:textId="77777777" w:rsidR="00E70A27" w:rsidRPr="009F1FA3" w:rsidRDefault="00E70A27" w:rsidP="00191EAC">
            <w:pPr>
              <w:suppressAutoHyphens/>
              <w:jc w:val="center"/>
            </w:pPr>
            <w:r w:rsidRPr="009F1FA3">
              <w:t>KKS-1</w:t>
            </w:r>
          </w:p>
        </w:tc>
        <w:tc>
          <w:tcPr>
            <w:tcW w:w="3870" w:type="dxa"/>
          </w:tcPr>
          <w:p w14:paraId="3153A346" w14:textId="77777777" w:rsidR="00E70A27" w:rsidRPr="009F1FA3" w:rsidRDefault="000C18C4" w:rsidP="00191EAC">
            <w:pPr>
              <w:pStyle w:val="ListParagraph"/>
              <w:suppressAutoHyphens/>
              <w:ind w:left="0"/>
              <w:jc w:val="left"/>
              <w:rPr>
                <w:szCs w:val="24"/>
              </w:rPr>
            </w:pPr>
            <w:r w:rsidRPr="009F1FA3">
              <w:t xml:space="preserve">1. </w:t>
            </w:r>
            <w:r w:rsidR="00E70A27" w:rsidRPr="009F1FA3">
              <w:t>List of Minimum Filing Requirement Schedules Sponsored or Co-Sponsored By Karen Sparkman</w:t>
            </w:r>
          </w:p>
          <w:p w14:paraId="70AB8486" w14:textId="77777777" w:rsidR="00E70A27" w:rsidRPr="009F1FA3" w:rsidRDefault="000C18C4" w:rsidP="00191EAC">
            <w:pPr>
              <w:pStyle w:val="ListParagraph"/>
              <w:suppressAutoHyphens/>
              <w:ind w:left="0"/>
              <w:jc w:val="left"/>
              <w:rPr>
                <w:szCs w:val="24"/>
              </w:rPr>
            </w:pPr>
            <w:r w:rsidRPr="009F1FA3">
              <w:t xml:space="preserve">2. </w:t>
            </w:r>
            <w:r w:rsidR="00E70A27" w:rsidRPr="009F1FA3">
              <w:t xml:space="preserve">Tampa Electric JDP Study Highlights – Residential </w:t>
            </w:r>
          </w:p>
          <w:p w14:paraId="7F080F8C" w14:textId="77777777" w:rsidR="00E70A27" w:rsidRPr="009F1FA3" w:rsidRDefault="000C18C4" w:rsidP="00191EAC">
            <w:pPr>
              <w:pStyle w:val="ListParagraph"/>
              <w:suppressAutoHyphens/>
              <w:ind w:left="0"/>
              <w:jc w:val="left"/>
              <w:rPr>
                <w:szCs w:val="24"/>
              </w:rPr>
            </w:pPr>
            <w:r w:rsidRPr="009F1FA3">
              <w:t xml:space="preserve">3. </w:t>
            </w:r>
            <w:r w:rsidR="00E70A27" w:rsidRPr="009F1FA3">
              <w:t>Tampa Electric JDP Study Highlights – Business</w:t>
            </w:r>
          </w:p>
          <w:p w14:paraId="73496C43" w14:textId="77777777" w:rsidR="00E70A27" w:rsidRPr="009F1FA3" w:rsidRDefault="000C18C4" w:rsidP="00191EAC">
            <w:pPr>
              <w:pStyle w:val="ListParagraph"/>
              <w:suppressAutoHyphens/>
              <w:ind w:left="0"/>
              <w:jc w:val="left"/>
              <w:rPr>
                <w:szCs w:val="24"/>
              </w:rPr>
            </w:pPr>
            <w:r w:rsidRPr="009F1FA3">
              <w:rPr>
                <w:szCs w:val="24"/>
              </w:rPr>
              <w:t xml:space="preserve">4. </w:t>
            </w:r>
            <w:r w:rsidR="00E70A27" w:rsidRPr="009F1FA3">
              <w:rPr>
                <w:szCs w:val="24"/>
              </w:rPr>
              <w:t>Customer Contact Center Metrics</w:t>
            </w:r>
          </w:p>
          <w:p w14:paraId="62CB30A9" w14:textId="77777777" w:rsidR="00E70A27" w:rsidRPr="009F1FA3" w:rsidRDefault="000C18C4" w:rsidP="00191EAC">
            <w:pPr>
              <w:pStyle w:val="ListParagraph"/>
              <w:suppressAutoHyphens/>
              <w:ind w:left="0"/>
              <w:jc w:val="left"/>
              <w:rPr>
                <w:szCs w:val="24"/>
              </w:rPr>
            </w:pPr>
            <w:r w:rsidRPr="009F1FA3">
              <w:rPr>
                <w:szCs w:val="24"/>
              </w:rPr>
              <w:t xml:space="preserve">5. </w:t>
            </w:r>
            <w:r w:rsidR="00E70A27" w:rsidRPr="009F1FA3">
              <w:rPr>
                <w:szCs w:val="24"/>
              </w:rPr>
              <w:t>Statistics on Commission Escalated Calls</w:t>
            </w:r>
          </w:p>
          <w:p w14:paraId="2816BA02" w14:textId="77777777" w:rsidR="00E0472D" w:rsidRPr="00E0472D" w:rsidRDefault="000C18C4" w:rsidP="00191EAC">
            <w:pPr>
              <w:pStyle w:val="ListParagraph"/>
              <w:suppressAutoHyphens/>
              <w:ind w:left="0"/>
              <w:jc w:val="left"/>
            </w:pPr>
            <w:r w:rsidRPr="009F1FA3">
              <w:t xml:space="preserve">6. </w:t>
            </w:r>
            <w:r w:rsidR="00E70A27" w:rsidRPr="009F1FA3">
              <w:t xml:space="preserve">Customer Experience Capital Expense Summary 2022 </w:t>
            </w:r>
            <w:r w:rsidR="00E0472D">
              <w:t>–</w:t>
            </w:r>
            <w:r w:rsidR="00E70A27" w:rsidRPr="009F1FA3">
              <w:t xml:space="preserve"> 2025</w:t>
            </w:r>
          </w:p>
        </w:tc>
      </w:tr>
      <w:tr w:rsidR="00E0472D" w:rsidRPr="00701945" w14:paraId="3A6BDB43" w14:textId="77777777" w:rsidTr="006C174A">
        <w:trPr>
          <w:cantSplit/>
          <w:trHeight w:val="360"/>
        </w:trPr>
        <w:tc>
          <w:tcPr>
            <w:tcW w:w="2970" w:type="dxa"/>
          </w:tcPr>
          <w:p w14:paraId="670E22FF" w14:textId="77777777" w:rsidR="00E0472D" w:rsidRPr="009F1FA3" w:rsidRDefault="00E0472D" w:rsidP="00191EAC">
            <w:pPr>
              <w:suppressAutoHyphens/>
            </w:pPr>
            <w:r w:rsidRPr="009F1FA3">
              <w:t>Carlos Aldazaba</w:t>
            </w:r>
          </w:p>
        </w:tc>
        <w:tc>
          <w:tcPr>
            <w:tcW w:w="1350" w:type="dxa"/>
          </w:tcPr>
          <w:p w14:paraId="24617BA3" w14:textId="77777777" w:rsidR="00E0472D" w:rsidRPr="009F1FA3" w:rsidRDefault="00E0472D" w:rsidP="00191EAC">
            <w:pPr>
              <w:suppressAutoHyphens/>
              <w:jc w:val="center"/>
            </w:pPr>
            <w:r w:rsidRPr="009F1FA3">
              <w:t>TECO</w:t>
            </w:r>
          </w:p>
        </w:tc>
        <w:tc>
          <w:tcPr>
            <w:tcW w:w="1260" w:type="dxa"/>
          </w:tcPr>
          <w:p w14:paraId="4AD0DE60" w14:textId="77777777" w:rsidR="00E0472D" w:rsidRPr="009F1FA3" w:rsidRDefault="00E0472D" w:rsidP="00191EAC">
            <w:pPr>
              <w:suppressAutoHyphens/>
              <w:jc w:val="center"/>
            </w:pPr>
            <w:r w:rsidRPr="009F1FA3">
              <w:t>CA-1</w:t>
            </w:r>
          </w:p>
        </w:tc>
        <w:tc>
          <w:tcPr>
            <w:tcW w:w="3870" w:type="dxa"/>
          </w:tcPr>
          <w:p w14:paraId="49EFF1A0" w14:textId="77777777" w:rsidR="00E0472D" w:rsidRPr="009F1FA3" w:rsidRDefault="00E0472D" w:rsidP="00E0472D">
            <w:pPr>
              <w:pStyle w:val="ListParagraph"/>
              <w:suppressAutoHyphens/>
              <w:ind w:left="0"/>
              <w:jc w:val="left"/>
              <w:rPr>
                <w:szCs w:val="24"/>
              </w:rPr>
            </w:pPr>
            <w:r w:rsidRPr="009F1FA3">
              <w:t>1. List of Minimum Filing Requirement Schedules Sponsored or Co-Sponsored by Carlos Aldazabal</w:t>
            </w:r>
          </w:p>
          <w:p w14:paraId="15155E6B" w14:textId="77777777" w:rsidR="00E0472D" w:rsidRPr="009F1FA3" w:rsidRDefault="00E0472D" w:rsidP="00E0472D">
            <w:pPr>
              <w:pStyle w:val="ListParagraph"/>
              <w:suppressAutoHyphens/>
              <w:ind w:left="0"/>
              <w:jc w:val="left"/>
              <w:rPr>
                <w:szCs w:val="24"/>
              </w:rPr>
            </w:pPr>
            <w:r w:rsidRPr="009F1FA3">
              <w:rPr>
                <w:szCs w:val="24"/>
              </w:rPr>
              <w:t>2.</w:t>
            </w:r>
            <w:r w:rsidR="00CB1901">
              <w:rPr>
                <w:szCs w:val="24"/>
              </w:rPr>
              <w:t xml:space="preserve"> </w:t>
            </w:r>
            <w:r w:rsidRPr="009F1FA3">
              <w:rPr>
                <w:szCs w:val="24"/>
              </w:rPr>
              <w:t>Generation Mix</w:t>
            </w:r>
          </w:p>
          <w:p w14:paraId="6FD3F9CC" w14:textId="77777777" w:rsidR="00E0472D" w:rsidRPr="009F1FA3" w:rsidRDefault="00E0472D" w:rsidP="00E0472D">
            <w:pPr>
              <w:pStyle w:val="ListParagraph"/>
              <w:suppressAutoHyphens/>
              <w:ind w:left="0"/>
              <w:jc w:val="left"/>
              <w:rPr>
                <w:szCs w:val="24"/>
              </w:rPr>
            </w:pPr>
            <w:r w:rsidRPr="009F1FA3">
              <w:rPr>
                <w:szCs w:val="24"/>
              </w:rPr>
              <w:t>3. Total System Heat Rate (2013-2023)</w:t>
            </w:r>
          </w:p>
          <w:p w14:paraId="3222F987" w14:textId="77777777" w:rsidR="00E0472D" w:rsidRPr="009F1FA3" w:rsidRDefault="00E0472D" w:rsidP="00E0472D">
            <w:pPr>
              <w:pStyle w:val="ListParagraph"/>
              <w:suppressAutoHyphens/>
              <w:ind w:left="0"/>
              <w:jc w:val="left"/>
              <w:rPr>
                <w:szCs w:val="24"/>
              </w:rPr>
            </w:pPr>
            <w:r w:rsidRPr="009F1FA3">
              <w:rPr>
                <w:szCs w:val="24"/>
              </w:rPr>
              <w:t>4. Total CO</w:t>
            </w:r>
            <w:r w:rsidRPr="009F1FA3">
              <w:rPr>
                <w:szCs w:val="24"/>
                <w:vertAlign w:val="subscript"/>
              </w:rPr>
              <w:t>2</w:t>
            </w:r>
            <w:r w:rsidRPr="009F1FA3">
              <w:rPr>
                <w:szCs w:val="24"/>
              </w:rPr>
              <w:t xml:space="preserve"> Emissions (2013-2023)</w:t>
            </w:r>
          </w:p>
          <w:p w14:paraId="02CB719C" w14:textId="77777777" w:rsidR="00E0472D" w:rsidRPr="009F1FA3" w:rsidRDefault="00E0472D" w:rsidP="00E0472D">
            <w:pPr>
              <w:pStyle w:val="ListParagraph"/>
              <w:suppressAutoHyphens/>
              <w:ind w:left="0"/>
              <w:jc w:val="left"/>
              <w:rPr>
                <w:szCs w:val="24"/>
              </w:rPr>
            </w:pPr>
            <w:r w:rsidRPr="009F1FA3">
              <w:rPr>
                <w:szCs w:val="24"/>
              </w:rPr>
              <w:t>5. System Heat Rate and Fuel Savings</w:t>
            </w:r>
          </w:p>
          <w:p w14:paraId="51D21EAD" w14:textId="77777777" w:rsidR="00E0472D" w:rsidRPr="009F1FA3" w:rsidRDefault="00E0472D" w:rsidP="00E0472D">
            <w:pPr>
              <w:pStyle w:val="ListParagraph"/>
              <w:suppressAutoHyphens/>
              <w:ind w:left="0"/>
              <w:jc w:val="left"/>
              <w:rPr>
                <w:szCs w:val="24"/>
              </w:rPr>
            </w:pPr>
            <w:r w:rsidRPr="009F1FA3">
              <w:rPr>
                <w:szCs w:val="24"/>
              </w:rPr>
              <w:t>6. Total System Net EAF Percentage</w:t>
            </w:r>
          </w:p>
          <w:p w14:paraId="04EFA4C0" w14:textId="77777777" w:rsidR="00E0472D" w:rsidRPr="009F1FA3" w:rsidRDefault="00E0472D" w:rsidP="00E0472D">
            <w:pPr>
              <w:pStyle w:val="ListParagraph"/>
              <w:suppressAutoHyphens/>
              <w:ind w:left="0"/>
              <w:jc w:val="left"/>
              <w:rPr>
                <w:szCs w:val="24"/>
              </w:rPr>
            </w:pPr>
            <w:r w:rsidRPr="009F1FA3">
              <w:rPr>
                <w:szCs w:val="24"/>
              </w:rPr>
              <w:t>7. Solar Projects 2021-2023</w:t>
            </w:r>
          </w:p>
          <w:p w14:paraId="78901251" w14:textId="77777777" w:rsidR="00E0472D" w:rsidRPr="009F1FA3" w:rsidRDefault="00E0472D" w:rsidP="00E0472D">
            <w:pPr>
              <w:pStyle w:val="ListParagraph"/>
              <w:suppressAutoHyphens/>
              <w:ind w:left="0"/>
              <w:jc w:val="left"/>
              <w:rPr>
                <w:szCs w:val="24"/>
              </w:rPr>
            </w:pPr>
            <w:r w:rsidRPr="009F1FA3">
              <w:rPr>
                <w:szCs w:val="24"/>
              </w:rPr>
              <w:t>8. Headquarters Evaluation Scorecard</w:t>
            </w:r>
          </w:p>
          <w:p w14:paraId="4A1BB2F3" w14:textId="77777777" w:rsidR="00E0472D" w:rsidRPr="009F1FA3" w:rsidRDefault="00E0472D" w:rsidP="00E0472D">
            <w:pPr>
              <w:pStyle w:val="ListParagraph"/>
              <w:suppressAutoHyphens/>
              <w:ind w:left="0"/>
              <w:jc w:val="left"/>
              <w:rPr>
                <w:szCs w:val="24"/>
              </w:rPr>
            </w:pPr>
            <w:r w:rsidRPr="009F1FA3">
              <w:rPr>
                <w:szCs w:val="24"/>
              </w:rPr>
              <w:t>9. Headquarters Evaluation</w:t>
            </w:r>
          </w:p>
          <w:p w14:paraId="23ACE221" w14:textId="77777777" w:rsidR="00E0472D" w:rsidRPr="009F1FA3" w:rsidRDefault="00E0472D" w:rsidP="00E0472D">
            <w:pPr>
              <w:pStyle w:val="ListParagraph"/>
              <w:suppressAutoHyphens/>
              <w:ind w:left="0"/>
              <w:jc w:val="left"/>
            </w:pPr>
            <w:r w:rsidRPr="009F1FA3">
              <w:rPr>
                <w:szCs w:val="24"/>
              </w:rPr>
              <w:t>10. Energy Supply Capital Expense Summary 2022-2025</w:t>
            </w:r>
          </w:p>
        </w:tc>
      </w:tr>
      <w:tr w:rsidR="00F5605A" w:rsidRPr="00701945" w14:paraId="1A75917C" w14:textId="77777777" w:rsidTr="006C174A">
        <w:trPr>
          <w:trHeight w:val="360"/>
        </w:trPr>
        <w:tc>
          <w:tcPr>
            <w:tcW w:w="2970" w:type="dxa"/>
          </w:tcPr>
          <w:p w14:paraId="56C779EC" w14:textId="77777777" w:rsidR="00E70A27" w:rsidRPr="009F1FA3" w:rsidRDefault="00E70A27" w:rsidP="00191EAC">
            <w:pPr>
              <w:suppressAutoHyphens/>
            </w:pPr>
            <w:r w:rsidRPr="009F1FA3">
              <w:lastRenderedPageBreak/>
              <w:t>Kris Stryker</w:t>
            </w:r>
          </w:p>
        </w:tc>
        <w:tc>
          <w:tcPr>
            <w:tcW w:w="1350" w:type="dxa"/>
          </w:tcPr>
          <w:p w14:paraId="3D9D31BE" w14:textId="77777777" w:rsidR="00E70A27" w:rsidRPr="009F1FA3" w:rsidRDefault="00E70A27" w:rsidP="00191EAC">
            <w:pPr>
              <w:suppressAutoHyphens/>
              <w:jc w:val="center"/>
            </w:pPr>
            <w:r w:rsidRPr="009F1FA3">
              <w:t>TECO</w:t>
            </w:r>
          </w:p>
        </w:tc>
        <w:tc>
          <w:tcPr>
            <w:tcW w:w="1260" w:type="dxa"/>
          </w:tcPr>
          <w:p w14:paraId="528A2C26" w14:textId="77777777" w:rsidR="00E70A27" w:rsidRPr="009F1FA3" w:rsidRDefault="00E70A27" w:rsidP="00191EAC">
            <w:pPr>
              <w:suppressAutoHyphens/>
              <w:jc w:val="center"/>
            </w:pPr>
            <w:r w:rsidRPr="009F1FA3">
              <w:t>KS-1</w:t>
            </w:r>
          </w:p>
        </w:tc>
        <w:tc>
          <w:tcPr>
            <w:tcW w:w="3870" w:type="dxa"/>
          </w:tcPr>
          <w:p w14:paraId="19CC9DC0" w14:textId="77777777" w:rsidR="00E70A27" w:rsidRPr="009F1FA3" w:rsidRDefault="00117BD0" w:rsidP="00191EAC">
            <w:pPr>
              <w:pStyle w:val="ListParagraph"/>
              <w:suppressAutoHyphens/>
              <w:ind w:left="0"/>
              <w:jc w:val="left"/>
              <w:rPr>
                <w:szCs w:val="24"/>
              </w:rPr>
            </w:pPr>
            <w:r w:rsidRPr="009F1FA3">
              <w:t xml:space="preserve">1. </w:t>
            </w:r>
            <w:r w:rsidR="00E70A27" w:rsidRPr="009F1FA3">
              <w:t>List of Minimum Filing Requirement Schedules Sponsored or Co-Sponsored by Kris Stryker</w:t>
            </w:r>
          </w:p>
          <w:p w14:paraId="59CC9076" w14:textId="77777777" w:rsidR="00E70A27" w:rsidRPr="009F1FA3" w:rsidRDefault="00117BD0" w:rsidP="00191EAC">
            <w:pPr>
              <w:pStyle w:val="ListParagraph"/>
              <w:suppressAutoHyphens/>
              <w:ind w:left="0"/>
              <w:jc w:val="left"/>
              <w:rPr>
                <w:szCs w:val="24"/>
              </w:rPr>
            </w:pPr>
            <w:r w:rsidRPr="009F1FA3">
              <w:rPr>
                <w:szCs w:val="24"/>
              </w:rPr>
              <w:t xml:space="preserve">2. </w:t>
            </w:r>
            <w:r w:rsidR="00E70A27" w:rsidRPr="009F1FA3">
              <w:rPr>
                <w:szCs w:val="24"/>
              </w:rPr>
              <w:t>English Creek Solar Project Specifications and Projected Costs</w:t>
            </w:r>
          </w:p>
          <w:p w14:paraId="17CEE42C" w14:textId="77777777" w:rsidR="00E70A27" w:rsidRDefault="004743A3" w:rsidP="00191EAC">
            <w:pPr>
              <w:pStyle w:val="ListParagraph"/>
              <w:suppressAutoHyphens/>
              <w:ind w:left="0"/>
              <w:jc w:val="left"/>
              <w:rPr>
                <w:szCs w:val="24"/>
              </w:rPr>
            </w:pPr>
            <w:r w:rsidRPr="009F1FA3">
              <w:rPr>
                <w:szCs w:val="24"/>
              </w:rPr>
              <w:t>3. Bullfrog Creek Solar Project Specifications and Projected Costs</w:t>
            </w:r>
          </w:p>
          <w:p w14:paraId="771435A3" w14:textId="77777777" w:rsidR="009E73DA" w:rsidRPr="009F1FA3" w:rsidRDefault="009E73DA" w:rsidP="009E73DA">
            <w:pPr>
              <w:pStyle w:val="ListParagraph"/>
              <w:suppressAutoHyphens/>
              <w:ind w:left="0"/>
              <w:jc w:val="left"/>
              <w:rPr>
                <w:szCs w:val="24"/>
              </w:rPr>
            </w:pPr>
            <w:r w:rsidRPr="009F1FA3">
              <w:rPr>
                <w:szCs w:val="24"/>
              </w:rPr>
              <w:t>4. Duette Solar Project Specifications and Projected Costs</w:t>
            </w:r>
          </w:p>
          <w:p w14:paraId="5D5A9D42" w14:textId="77777777" w:rsidR="009E73DA" w:rsidRPr="009F1FA3" w:rsidRDefault="009E73DA" w:rsidP="009E73DA">
            <w:pPr>
              <w:pStyle w:val="ListParagraph"/>
              <w:suppressAutoHyphens/>
              <w:ind w:left="0"/>
              <w:jc w:val="left"/>
              <w:rPr>
                <w:szCs w:val="24"/>
              </w:rPr>
            </w:pPr>
            <w:r w:rsidRPr="009F1FA3">
              <w:rPr>
                <w:szCs w:val="24"/>
              </w:rPr>
              <w:t>5. Cottonmouth Solar Project Specifications and Projected Costs</w:t>
            </w:r>
          </w:p>
          <w:p w14:paraId="784FCE4E" w14:textId="77777777" w:rsidR="009E73DA" w:rsidRPr="009F1FA3" w:rsidRDefault="009E73DA" w:rsidP="009E73DA">
            <w:pPr>
              <w:pStyle w:val="ListParagraph"/>
              <w:suppressAutoHyphens/>
              <w:ind w:left="0"/>
              <w:jc w:val="left"/>
              <w:rPr>
                <w:szCs w:val="24"/>
              </w:rPr>
            </w:pPr>
            <w:r w:rsidRPr="009F1FA3">
              <w:rPr>
                <w:szCs w:val="24"/>
              </w:rPr>
              <w:t>6. Big Four Solar Project Specifications and Projected Costs</w:t>
            </w:r>
          </w:p>
          <w:p w14:paraId="28AA84AB" w14:textId="77777777" w:rsidR="009E73DA" w:rsidRPr="009F1FA3" w:rsidRDefault="009E73DA" w:rsidP="009E73DA">
            <w:pPr>
              <w:pStyle w:val="ListParagraph"/>
              <w:suppressAutoHyphens/>
              <w:ind w:left="0"/>
              <w:jc w:val="left"/>
              <w:rPr>
                <w:szCs w:val="24"/>
              </w:rPr>
            </w:pPr>
            <w:r w:rsidRPr="009F1FA3">
              <w:rPr>
                <w:szCs w:val="24"/>
              </w:rPr>
              <w:t>7. Farmland Solar Project Specifications and Projected Costs</w:t>
            </w:r>
          </w:p>
          <w:p w14:paraId="30B05130" w14:textId="77777777" w:rsidR="009E73DA" w:rsidRPr="009F1FA3" w:rsidRDefault="009E73DA" w:rsidP="009E73DA">
            <w:pPr>
              <w:pStyle w:val="ListParagraph"/>
              <w:suppressAutoHyphens/>
              <w:ind w:left="0"/>
              <w:jc w:val="left"/>
              <w:rPr>
                <w:szCs w:val="24"/>
              </w:rPr>
            </w:pPr>
            <w:r w:rsidRPr="009F1FA3">
              <w:rPr>
                <w:szCs w:val="24"/>
              </w:rPr>
              <w:t>8. Brewster Solar Project Specifications and Projected Costs</w:t>
            </w:r>
          </w:p>
          <w:p w14:paraId="772779B2" w14:textId="77777777" w:rsidR="009E73DA" w:rsidRPr="009F1FA3" w:rsidRDefault="009E73DA" w:rsidP="009E73DA">
            <w:pPr>
              <w:pStyle w:val="ListParagraph"/>
              <w:suppressAutoHyphens/>
              <w:ind w:left="0"/>
              <w:jc w:val="left"/>
              <w:rPr>
                <w:szCs w:val="24"/>
              </w:rPr>
            </w:pPr>
            <w:r w:rsidRPr="009F1FA3">
              <w:rPr>
                <w:szCs w:val="24"/>
              </w:rPr>
              <w:t>9. Wimauma 3 Solar Project Specifications and Projected Costs</w:t>
            </w:r>
          </w:p>
          <w:p w14:paraId="4074AB02" w14:textId="77777777" w:rsidR="009E73DA" w:rsidRPr="009F1FA3" w:rsidRDefault="009E73DA" w:rsidP="009E73DA">
            <w:pPr>
              <w:pStyle w:val="ListParagraph"/>
              <w:suppressAutoHyphens/>
              <w:ind w:left="0"/>
              <w:jc w:val="left"/>
              <w:rPr>
                <w:szCs w:val="24"/>
              </w:rPr>
            </w:pPr>
            <w:r w:rsidRPr="009F1FA3">
              <w:rPr>
                <w:szCs w:val="24"/>
              </w:rPr>
              <w:t>10. Dover Energy Storage Capacity Project Specifications and Projected Costs</w:t>
            </w:r>
          </w:p>
          <w:p w14:paraId="56D1439E" w14:textId="77777777" w:rsidR="009E73DA" w:rsidRDefault="009E73DA" w:rsidP="009E73DA">
            <w:pPr>
              <w:pStyle w:val="ListParagraph"/>
              <w:suppressAutoHyphens/>
              <w:ind w:left="0"/>
              <w:jc w:val="left"/>
              <w:rPr>
                <w:szCs w:val="24"/>
              </w:rPr>
            </w:pPr>
            <w:r w:rsidRPr="009F1FA3">
              <w:rPr>
                <w:szCs w:val="24"/>
              </w:rPr>
              <w:t>11. Lake Mabel Energy Storage Capacity Project Specifications and Projected Costs</w:t>
            </w:r>
          </w:p>
          <w:p w14:paraId="351BE0B6" w14:textId="77777777" w:rsidR="009E73DA" w:rsidRPr="009F1FA3" w:rsidRDefault="009E73DA" w:rsidP="009E73DA">
            <w:pPr>
              <w:pStyle w:val="ListParagraph"/>
              <w:suppressAutoHyphens/>
              <w:ind w:left="0"/>
              <w:jc w:val="left"/>
              <w:rPr>
                <w:szCs w:val="24"/>
              </w:rPr>
            </w:pPr>
            <w:r w:rsidRPr="009F1FA3">
              <w:rPr>
                <w:szCs w:val="24"/>
              </w:rPr>
              <w:t>12. Wimauma Energy Storage Capacity Project Specifications and Projected Costs</w:t>
            </w:r>
          </w:p>
          <w:p w14:paraId="09887791" w14:textId="77777777" w:rsidR="009E73DA" w:rsidRPr="009F1FA3" w:rsidRDefault="009E73DA" w:rsidP="009E73DA">
            <w:pPr>
              <w:pStyle w:val="ListParagraph"/>
              <w:suppressAutoHyphens/>
              <w:ind w:left="0"/>
              <w:jc w:val="left"/>
              <w:rPr>
                <w:szCs w:val="24"/>
              </w:rPr>
            </w:pPr>
            <w:r w:rsidRPr="009F1FA3">
              <w:rPr>
                <w:szCs w:val="24"/>
              </w:rPr>
              <w:t>13. South Tampa Energy Storage Capacity Project Specifications and Projected Costs</w:t>
            </w:r>
          </w:p>
          <w:p w14:paraId="535FBA29" w14:textId="77777777" w:rsidR="009E73DA" w:rsidRPr="009F1FA3" w:rsidRDefault="009E73DA" w:rsidP="009E73DA">
            <w:pPr>
              <w:pStyle w:val="ListParagraph"/>
              <w:suppressAutoHyphens/>
              <w:ind w:left="0"/>
              <w:jc w:val="left"/>
              <w:rPr>
                <w:szCs w:val="24"/>
              </w:rPr>
            </w:pPr>
            <w:r w:rsidRPr="009F1FA3">
              <w:rPr>
                <w:szCs w:val="24"/>
              </w:rPr>
              <w:t>14. Clean Energy Capital Expense Summary 2022-2025</w:t>
            </w:r>
          </w:p>
        </w:tc>
      </w:tr>
      <w:tr w:rsidR="00F5605A" w:rsidRPr="00701945" w14:paraId="45995D40" w14:textId="77777777" w:rsidTr="006C174A">
        <w:trPr>
          <w:trHeight w:val="360"/>
        </w:trPr>
        <w:tc>
          <w:tcPr>
            <w:tcW w:w="2970" w:type="dxa"/>
          </w:tcPr>
          <w:p w14:paraId="2B5B0CAD" w14:textId="77777777" w:rsidR="00E70A27" w:rsidRPr="009F1FA3" w:rsidRDefault="00E70A27" w:rsidP="00191EAC">
            <w:pPr>
              <w:suppressAutoHyphens/>
            </w:pPr>
            <w:r w:rsidRPr="009F1FA3">
              <w:t>Jose Aponte</w:t>
            </w:r>
          </w:p>
        </w:tc>
        <w:tc>
          <w:tcPr>
            <w:tcW w:w="1350" w:type="dxa"/>
          </w:tcPr>
          <w:p w14:paraId="5F021F63" w14:textId="77777777" w:rsidR="00E70A27" w:rsidRPr="009F1FA3" w:rsidRDefault="00E70A27" w:rsidP="00191EAC">
            <w:pPr>
              <w:suppressAutoHyphens/>
              <w:jc w:val="center"/>
            </w:pPr>
            <w:r w:rsidRPr="009F1FA3">
              <w:t>TECO</w:t>
            </w:r>
          </w:p>
        </w:tc>
        <w:tc>
          <w:tcPr>
            <w:tcW w:w="1260" w:type="dxa"/>
          </w:tcPr>
          <w:p w14:paraId="6F7B114C" w14:textId="77777777" w:rsidR="00E70A27" w:rsidRPr="009F1FA3" w:rsidRDefault="00E70A27" w:rsidP="00191EAC">
            <w:pPr>
              <w:suppressAutoHyphens/>
              <w:jc w:val="center"/>
            </w:pPr>
            <w:r w:rsidRPr="009F1FA3">
              <w:t>JA-1</w:t>
            </w:r>
          </w:p>
        </w:tc>
        <w:tc>
          <w:tcPr>
            <w:tcW w:w="3870" w:type="dxa"/>
          </w:tcPr>
          <w:p w14:paraId="5F5385DF" w14:textId="77777777" w:rsidR="00E70A27" w:rsidRPr="009F1FA3" w:rsidRDefault="00B973C7" w:rsidP="00191EAC">
            <w:pPr>
              <w:pStyle w:val="ListParagraph"/>
              <w:suppressAutoHyphens/>
              <w:ind w:left="0"/>
              <w:jc w:val="left"/>
              <w:rPr>
                <w:szCs w:val="24"/>
              </w:rPr>
            </w:pPr>
            <w:r>
              <w:rPr>
                <w:szCs w:val="24"/>
              </w:rPr>
              <w:t xml:space="preserve">1. </w:t>
            </w:r>
            <w:r w:rsidR="00E70A27" w:rsidRPr="009F1FA3">
              <w:rPr>
                <w:szCs w:val="24"/>
              </w:rPr>
              <w:t>Demand and Energy Forecast</w:t>
            </w:r>
          </w:p>
          <w:p w14:paraId="2243A031" w14:textId="77777777" w:rsidR="00E70A27" w:rsidRPr="009F1FA3" w:rsidRDefault="00B973C7" w:rsidP="00191EAC">
            <w:pPr>
              <w:pStyle w:val="ListParagraph"/>
              <w:suppressAutoHyphens/>
              <w:ind w:left="0"/>
              <w:jc w:val="left"/>
              <w:rPr>
                <w:szCs w:val="24"/>
              </w:rPr>
            </w:pPr>
            <w:r>
              <w:rPr>
                <w:szCs w:val="24"/>
              </w:rPr>
              <w:t xml:space="preserve">2. </w:t>
            </w:r>
            <w:r w:rsidR="00E70A27" w:rsidRPr="009F1FA3">
              <w:rPr>
                <w:szCs w:val="24"/>
              </w:rPr>
              <w:t>Fuel Price Forecast</w:t>
            </w:r>
          </w:p>
          <w:p w14:paraId="17654C06" w14:textId="77777777" w:rsidR="00E70A27" w:rsidRPr="009F1FA3" w:rsidRDefault="00B973C7" w:rsidP="00191EAC">
            <w:pPr>
              <w:pStyle w:val="ListParagraph"/>
              <w:suppressAutoHyphens/>
              <w:ind w:left="0"/>
              <w:jc w:val="left"/>
              <w:rPr>
                <w:szCs w:val="24"/>
              </w:rPr>
            </w:pPr>
            <w:r>
              <w:rPr>
                <w:szCs w:val="24"/>
              </w:rPr>
              <w:t xml:space="preserve">3. </w:t>
            </w:r>
            <w:r w:rsidR="00E70A27" w:rsidRPr="009F1FA3">
              <w:rPr>
                <w:szCs w:val="24"/>
              </w:rPr>
              <w:t>Future Project Costs Per kWac</w:t>
            </w:r>
          </w:p>
          <w:p w14:paraId="24223BF4" w14:textId="77777777" w:rsidR="00E70A27" w:rsidRPr="009F1FA3" w:rsidRDefault="00B973C7" w:rsidP="00191EAC">
            <w:pPr>
              <w:pStyle w:val="ListParagraph"/>
              <w:suppressAutoHyphens/>
              <w:ind w:left="0"/>
              <w:jc w:val="left"/>
              <w:rPr>
                <w:szCs w:val="24"/>
              </w:rPr>
            </w:pPr>
            <w:r>
              <w:rPr>
                <w:szCs w:val="24"/>
              </w:rPr>
              <w:t xml:space="preserve">4. </w:t>
            </w:r>
            <w:r w:rsidR="00E70A27" w:rsidRPr="009F1FA3">
              <w:rPr>
                <w:szCs w:val="24"/>
              </w:rPr>
              <w:t>Polk 1 Flexibility Project Cost-Effectiveness Test</w:t>
            </w:r>
          </w:p>
          <w:p w14:paraId="5062B4D7" w14:textId="77777777" w:rsidR="00E70A27" w:rsidRPr="009F1FA3" w:rsidRDefault="00B973C7" w:rsidP="00191EAC">
            <w:pPr>
              <w:pStyle w:val="ListParagraph"/>
              <w:suppressAutoHyphens/>
              <w:ind w:left="0"/>
              <w:jc w:val="left"/>
              <w:rPr>
                <w:szCs w:val="24"/>
              </w:rPr>
            </w:pPr>
            <w:r>
              <w:rPr>
                <w:szCs w:val="24"/>
              </w:rPr>
              <w:t xml:space="preserve">5. </w:t>
            </w:r>
            <w:r w:rsidR="00E70A27" w:rsidRPr="009F1FA3">
              <w:rPr>
                <w:szCs w:val="24"/>
              </w:rPr>
              <w:t>South Tampa Resilience Project Cost-Effectiveness Test</w:t>
            </w:r>
          </w:p>
          <w:p w14:paraId="75C07498" w14:textId="77777777" w:rsidR="00E70A27" w:rsidRPr="009F1FA3" w:rsidRDefault="00B973C7" w:rsidP="00191EAC">
            <w:pPr>
              <w:pStyle w:val="ListParagraph"/>
              <w:suppressAutoHyphens/>
              <w:ind w:left="0"/>
              <w:jc w:val="left"/>
              <w:rPr>
                <w:szCs w:val="24"/>
              </w:rPr>
            </w:pPr>
            <w:r>
              <w:rPr>
                <w:szCs w:val="24"/>
              </w:rPr>
              <w:t xml:space="preserve">6. </w:t>
            </w:r>
            <w:r w:rsidR="00E70A27" w:rsidRPr="009F1FA3">
              <w:rPr>
                <w:szCs w:val="24"/>
              </w:rPr>
              <w:t xml:space="preserve">Total Energy Storage Capacity </w:t>
            </w:r>
            <w:r w:rsidR="00E70A27" w:rsidRPr="009F1FA3">
              <w:rPr>
                <w:szCs w:val="24"/>
              </w:rPr>
              <w:lastRenderedPageBreak/>
              <w:t>Cost-Effectiveness Test</w:t>
            </w:r>
          </w:p>
          <w:p w14:paraId="7345D8E9" w14:textId="77777777" w:rsidR="00E70A27" w:rsidRPr="009F1FA3" w:rsidRDefault="00B973C7" w:rsidP="00191EAC">
            <w:pPr>
              <w:pStyle w:val="ListParagraph"/>
              <w:suppressAutoHyphens/>
              <w:ind w:left="0"/>
              <w:jc w:val="left"/>
              <w:rPr>
                <w:szCs w:val="24"/>
              </w:rPr>
            </w:pPr>
            <w:r>
              <w:rPr>
                <w:szCs w:val="24"/>
              </w:rPr>
              <w:t xml:space="preserve">7. </w:t>
            </w:r>
            <w:r w:rsidR="00E70A27" w:rsidRPr="009F1FA3">
              <w:rPr>
                <w:szCs w:val="24"/>
              </w:rPr>
              <w:t>Dover Energy Storage Capacity Cost-Effectiveness Test</w:t>
            </w:r>
          </w:p>
          <w:p w14:paraId="599F5FD9" w14:textId="77777777" w:rsidR="00E70A27" w:rsidRPr="009F1FA3" w:rsidRDefault="00B973C7" w:rsidP="00191EAC">
            <w:pPr>
              <w:pStyle w:val="ListParagraph"/>
              <w:suppressAutoHyphens/>
              <w:ind w:left="0"/>
              <w:jc w:val="left"/>
              <w:rPr>
                <w:szCs w:val="24"/>
              </w:rPr>
            </w:pPr>
            <w:r>
              <w:rPr>
                <w:szCs w:val="24"/>
              </w:rPr>
              <w:t xml:space="preserve">8. </w:t>
            </w:r>
            <w:r w:rsidR="00E70A27" w:rsidRPr="009F1FA3">
              <w:rPr>
                <w:szCs w:val="24"/>
              </w:rPr>
              <w:t>Lake Mabel Energy Storage Capacity Cost-Effectiveness Test</w:t>
            </w:r>
          </w:p>
          <w:p w14:paraId="522CF5C0" w14:textId="77777777" w:rsidR="00E70A27" w:rsidRPr="009F1FA3" w:rsidRDefault="00B973C7" w:rsidP="00191EAC">
            <w:pPr>
              <w:pStyle w:val="ListParagraph"/>
              <w:suppressAutoHyphens/>
              <w:ind w:left="0"/>
              <w:jc w:val="left"/>
              <w:rPr>
                <w:szCs w:val="24"/>
              </w:rPr>
            </w:pPr>
            <w:r>
              <w:rPr>
                <w:szCs w:val="24"/>
              </w:rPr>
              <w:t xml:space="preserve">9. </w:t>
            </w:r>
            <w:r w:rsidR="00E70A27" w:rsidRPr="009F1FA3">
              <w:rPr>
                <w:szCs w:val="24"/>
              </w:rPr>
              <w:t>Wimauma Energy Storage Capacity Cost-Effectiveness Test</w:t>
            </w:r>
          </w:p>
          <w:p w14:paraId="21DCB280" w14:textId="77777777" w:rsidR="00E70A27" w:rsidRPr="009F1FA3" w:rsidRDefault="00B973C7" w:rsidP="00191EAC">
            <w:pPr>
              <w:pStyle w:val="ListParagraph"/>
              <w:suppressAutoHyphens/>
              <w:ind w:left="0"/>
              <w:jc w:val="left"/>
              <w:rPr>
                <w:szCs w:val="24"/>
              </w:rPr>
            </w:pPr>
            <w:r>
              <w:rPr>
                <w:szCs w:val="24"/>
              </w:rPr>
              <w:t xml:space="preserve">10. </w:t>
            </w:r>
            <w:r w:rsidR="00E70A27" w:rsidRPr="009F1FA3">
              <w:rPr>
                <w:szCs w:val="24"/>
              </w:rPr>
              <w:t>South Tampa Energy Storage Capacity Cost-Effectiveness Test</w:t>
            </w:r>
          </w:p>
          <w:p w14:paraId="2AB8939F" w14:textId="77777777" w:rsidR="00E70A27" w:rsidRPr="009F1FA3" w:rsidRDefault="00B973C7" w:rsidP="00191EAC">
            <w:pPr>
              <w:pStyle w:val="ListParagraph"/>
              <w:suppressAutoHyphens/>
              <w:ind w:left="0"/>
              <w:jc w:val="left"/>
              <w:rPr>
                <w:szCs w:val="24"/>
              </w:rPr>
            </w:pPr>
            <w:r>
              <w:rPr>
                <w:szCs w:val="24"/>
              </w:rPr>
              <w:t xml:space="preserve">11. </w:t>
            </w:r>
            <w:r w:rsidR="00E70A27" w:rsidRPr="009F1FA3">
              <w:rPr>
                <w:szCs w:val="24"/>
              </w:rPr>
              <w:t>Total Future Solar Cost-Effectiveness Test</w:t>
            </w:r>
          </w:p>
          <w:p w14:paraId="0603FA4E" w14:textId="77777777" w:rsidR="00E70A27" w:rsidRPr="009F1FA3" w:rsidRDefault="00B973C7" w:rsidP="00191EAC">
            <w:pPr>
              <w:pStyle w:val="ListParagraph"/>
              <w:suppressAutoHyphens/>
              <w:ind w:left="0"/>
              <w:jc w:val="left"/>
              <w:rPr>
                <w:szCs w:val="24"/>
              </w:rPr>
            </w:pPr>
            <w:r>
              <w:rPr>
                <w:szCs w:val="24"/>
              </w:rPr>
              <w:t xml:space="preserve">12. </w:t>
            </w:r>
            <w:r w:rsidR="00E70A27" w:rsidRPr="009F1FA3">
              <w:rPr>
                <w:szCs w:val="24"/>
              </w:rPr>
              <w:t>Future Solar (2024 Projects) Cost-Effectiveness Test</w:t>
            </w:r>
          </w:p>
          <w:p w14:paraId="61A63702" w14:textId="77777777" w:rsidR="00E70A27" w:rsidRPr="009F1FA3" w:rsidRDefault="00B973C7" w:rsidP="00191EAC">
            <w:pPr>
              <w:pStyle w:val="ListParagraph"/>
              <w:suppressAutoHyphens/>
              <w:ind w:left="0"/>
              <w:jc w:val="left"/>
              <w:rPr>
                <w:szCs w:val="24"/>
              </w:rPr>
            </w:pPr>
            <w:r>
              <w:rPr>
                <w:szCs w:val="24"/>
              </w:rPr>
              <w:t xml:space="preserve">13. </w:t>
            </w:r>
            <w:r w:rsidR="00E70A27" w:rsidRPr="009F1FA3">
              <w:rPr>
                <w:szCs w:val="24"/>
              </w:rPr>
              <w:t>Future Solar (2025 Projects) Cost-Effectiveness Test</w:t>
            </w:r>
          </w:p>
          <w:p w14:paraId="40993C2A" w14:textId="77777777" w:rsidR="00E70A27" w:rsidRPr="009F1FA3" w:rsidRDefault="00B973C7" w:rsidP="00191EAC">
            <w:pPr>
              <w:pStyle w:val="ListParagraph"/>
              <w:suppressAutoHyphens/>
              <w:ind w:left="0"/>
              <w:jc w:val="left"/>
              <w:rPr>
                <w:szCs w:val="24"/>
              </w:rPr>
            </w:pPr>
            <w:r>
              <w:rPr>
                <w:szCs w:val="24"/>
              </w:rPr>
              <w:t xml:space="preserve">14. </w:t>
            </w:r>
            <w:r w:rsidR="00E70A27" w:rsidRPr="009F1FA3">
              <w:rPr>
                <w:szCs w:val="24"/>
              </w:rPr>
              <w:t>Future Solar (2026 Projects) Cost-Effectiveness Test</w:t>
            </w:r>
          </w:p>
          <w:p w14:paraId="51A5FB70" w14:textId="77777777" w:rsidR="00E70A27" w:rsidRPr="009F1FA3" w:rsidRDefault="00B973C7" w:rsidP="00191EAC">
            <w:pPr>
              <w:pStyle w:val="ListParagraph"/>
              <w:suppressAutoHyphens/>
              <w:ind w:left="0"/>
              <w:jc w:val="left"/>
              <w:rPr>
                <w:szCs w:val="24"/>
              </w:rPr>
            </w:pPr>
            <w:r>
              <w:rPr>
                <w:szCs w:val="24"/>
              </w:rPr>
              <w:t xml:space="preserve">15. </w:t>
            </w:r>
            <w:r w:rsidR="00E70A27" w:rsidRPr="009F1FA3">
              <w:rPr>
                <w:szCs w:val="24"/>
              </w:rPr>
              <w:t>English Creek Solar Cost-Effectiveness Test</w:t>
            </w:r>
          </w:p>
          <w:p w14:paraId="67ABCBE8" w14:textId="77777777" w:rsidR="00E70A27" w:rsidRPr="009F1FA3" w:rsidRDefault="00B973C7" w:rsidP="00191EAC">
            <w:pPr>
              <w:pStyle w:val="ListParagraph"/>
              <w:suppressAutoHyphens/>
              <w:ind w:left="0"/>
              <w:jc w:val="left"/>
              <w:rPr>
                <w:szCs w:val="24"/>
              </w:rPr>
            </w:pPr>
            <w:r>
              <w:rPr>
                <w:szCs w:val="24"/>
              </w:rPr>
              <w:t xml:space="preserve">16. </w:t>
            </w:r>
            <w:r w:rsidR="00E70A27" w:rsidRPr="009F1FA3">
              <w:rPr>
                <w:szCs w:val="24"/>
              </w:rPr>
              <w:t>Bullfrog Creek Solar Cost-Effectiveness Test</w:t>
            </w:r>
          </w:p>
          <w:p w14:paraId="44BA636A" w14:textId="77777777" w:rsidR="00E70A27" w:rsidRPr="009F1FA3" w:rsidRDefault="00B973C7" w:rsidP="00191EAC">
            <w:pPr>
              <w:pStyle w:val="ListParagraph"/>
              <w:suppressAutoHyphens/>
              <w:ind w:left="0"/>
              <w:jc w:val="left"/>
              <w:rPr>
                <w:szCs w:val="24"/>
              </w:rPr>
            </w:pPr>
            <w:r>
              <w:rPr>
                <w:szCs w:val="24"/>
              </w:rPr>
              <w:t xml:space="preserve">17. </w:t>
            </w:r>
            <w:r w:rsidR="00E70A27" w:rsidRPr="009F1FA3">
              <w:rPr>
                <w:szCs w:val="24"/>
              </w:rPr>
              <w:t>Duette Solar Cost-Effectiveness Test</w:t>
            </w:r>
          </w:p>
          <w:p w14:paraId="3D84B512" w14:textId="77777777" w:rsidR="00E70A27" w:rsidRPr="009F1FA3" w:rsidRDefault="00B973C7" w:rsidP="00191EAC">
            <w:pPr>
              <w:pStyle w:val="ListParagraph"/>
              <w:suppressAutoHyphens/>
              <w:ind w:left="0"/>
              <w:jc w:val="left"/>
              <w:rPr>
                <w:szCs w:val="24"/>
              </w:rPr>
            </w:pPr>
            <w:r>
              <w:rPr>
                <w:szCs w:val="24"/>
              </w:rPr>
              <w:t xml:space="preserve">18. </w:t>
            </w:r>
            <w:r w:rsidR="00E70A27" w:rsidRPr="009F1FA3">
              <w:rPr>
                <w:szCs w:val="24"/>
              </w:rPr>
              <w:t>Cottonmouth Solar Cost-Effectiveness Test</w:t>
            </w:r>
          </w:p>
          <w:p w14:paraId="27234C08" w14:textId="77777777" w:rsidR="00E70A27" w:rsidRPr="009F1FA3" w:rsidRDefault="00B973C7" w:rsidP="00191EAC">
            <w:pPr>
              <w:pStyle w:val="ListParagraph"/>
              <w:suppressAutoHyphens/>
              <w:ind w:left="0"/>
              <w:jc w:val="left"/>
              <w:rPr>
                <w:szCs w:val="24"/>
              </w:rPr>
            </w:pPr>
            <w:r>
              <w:rPr>
                <w:szCs w:val="24"/>
              </w:rPr>
              <w:t xml:space="preserve">19. </w:t>
            </w:r>
            <w:r w:rsidR="00E70A27" w:rsidRPr="009F1FA3">
              <w:rPr>
                <w:szCs w:val="24"/>
              </w:rPr>
              <w:t>Big Four Solar Cost-Effectiveness Test</w:t>
            </w:r>
          </w:p>
          <w:p w14:paraId="1028963E" w14:textId="77777777" w:rsidR="00E70A27" w:rsidRPr="009F1FA3" w:rsidRDefault="00B973C7" w:rsidP="00191EAC">
            <w:pPr>
              <w:pStyle w:val="ListParagraph"/>
              <w:suppressAutoHyphens/>
              <w:ind w:left="0"/>
              <w:jc w:val="left"/>
              <w:rPr>
                <w:szCs w:val="24"/>
              </w:rPr>
            </w:pPr>
            <w:r>
              <w:rPr>
                <w:szCs w:val="24"/>
              </w:rPr>
              <w:t xml:space="preserve">20. </w:t>
            </w:r>
            <w:r w:rsidR="00E70A27" w:rsidRPr="009F1FA3">
              <w:rPr>
                <w:szCs w:val="24"/>
              </w:rPr>
              <w:t>Farmland Solar Cost-Effectiveness Test</w:t>
            </w:r>
          </w:p>
          <w:p w14:paraId="00187902" w14:textId="77777777" w:rsidR="00E70A27" w:rsidRPr="009F1FA3" w:rsidRDefault="00B973C7" w:rsidP="00191EAC">
            <w:pPr>
              <w:pStyle w:val="ListParagraph"/>
              <w:suppressAutoHyphens/>
              <w:ind w:left="0"/>
              <w:jc w:val="left"/>
              <w:rPr>
                <w:szCs w:val="24"/>
              </w:rPr>
            </w:pPr>
            <w:r>
              <w:rPr>
                <w:szCs w:val="24"/>
              </w:rPr>
              <w:t xml:space="preserve">21. </w:t>
            </w:r>
            <w:r w:rsidR="00E70A27" w:rsidRPr="009F1FA3">
              <w:rPr>
                <w:szCs w:val="24"/>
              </w:rPr>
              <w:t>Brewster Solar Cost-Effectiveness Test</w:t>
            </w:r>
          </w:p>
          <w:p w14:paraId="45E6E2D8" w14:textId="77777777" w:rsidR="00E70A27" w:rsidRPr="009F1FA3" w:rsidRDefault="00B973C7" w:rsidP="00191EAC">
            <w:pPr>
              <w:pStyle w:val="ListParagraph"/>
              <w:suppressAutoHyphens/>
              <w:ind w:left="0"/>
              <w:jc w:val="left"/>
              <w:rPr>
                <w:szCs w:val="24"/>
              </w:rPr>
            </w:pPr>
            <w:r>
              <w:rPr>
                <w:szCs w:val="24"/>
              </w:rPr>
              <w:t xml:space="preserve">22. </w:t>
            </w:r>
            <w:r w:rsidR="00E70A27" w:rsidRPr="009F1FA3">
              <w:rPr>
                <w:szCs w:val="24"/>
              </w:rPr>
              <w:t>Wimauma 3 Solar Cost-Effectiveness Test</w:t>
            </w:r>
          </w:p>
        </w:tc>
      </w:tr>
      <w:tr w:rsidR="00F5605A" w:rsidRPr="00701945" w14:paraId="5BDF6634" w14:textId="77777777" w:rsidTr="006C174A">
        <w:trPr>
          <w:cantSplit/>
          <w:trHeight w:val="360"/>
        </w:trPr>
        <w:tc>
          <w:tcPr>
            <w:tcW w:w="2970" w:type="dxa"/>
          </w:tcPr>
          <w:p w14:paraId="279B2D21" w14:textId="77777777" w:rsidR="00E70A27" w:rsidRPr="009F1FA3" w:rsidRDefault="00E70A27" w:rsidP="00191EAC">
            <w:pPr>
              <w:suppressAutoHyphens/>
            </w:pPr>
            <w:r w:rsidRPr="009F1FA3">
              <w:lastRenderedPageBreak/>
              <w:t>Chip Whitworth</w:t>
            </w:r>
          </w:p>
        </w:tc>
        <w:tc>
          <w:tcPr>
            <w:tcW w:w="1350" w:type="dxa"/>
          </w:tcPr>
          <w:p w14:paraId="071F0C68" w14:textId="77777777" w:rsidR="00E70A27" w:rsidRPr="009F1FA3" w:rsidRDefault="00E70A27" w:rsidP="00191EAC">
            <w:pPr>
              <w:suppressAutoHyphens/>
              <w:jc w:val="center"/>
            </w:pPr>
            <w:r w:rsidRPr="009F1FA3">
              <w:t>TECO</w:t>
            </w:r>
          </w:p>
        </w:tc>
        <w:tc>
          <w:tcPr>
            <w:tcW w:w="1260" w:type="dxa"/>
          </w:tcPr>
          <w:p w14:paraId="4D2B94D9" w14:textId="77777777" w:rsidR="00E70A27" w:rsidRPr="009F1FA3" w:rsidRDefault="00E70A27" w:rsidP="00191EAC">
            <w:pPr>
              <w:suppressAutoHyphens/>
              <w:jc w:val="center"/>
            </w:pPr>
            <w:r w:rsidRPr="009F1FA3">
              <w:t>CW-1</w:t>
            </w:r>
          </w:p>
        </w:tc>
        <w:tc>
          <w:tcPr>
            <w:tcW w:w="3870" w:type="dxa"/>
          </w:tcPr>
          <w:p w14:paraId="1BFA22F9" w14:textId="77777777" w:rsidR="00E70A27" w:rsidRPr="009F1FA3" w:rsidRDefault="009A5B46" w:rsidP="00191EAC">
            <w:pPr>
              <w:pStyle w:val="ListParagraph"/>
              <w:suppressAutoHyphens/>
              <w:ind w:left="0"/>
              <w:jc w:val="left"/>
              <w:rPr>
                <w:szCs w:val="24"/>
              </w:rPr>
            </w:pPr>
            <w:r>
              <w:t xml:space="preserve">1. </w:t>
            </w:r>
            <w:r w:rsidR="00E70A27" w:rsidRPr="009F1FA3">
              <w:t>List of Minimum Filing Requirement Schedules Sponsored or Co-Sponsored by Chip Whitworth</w:t>
            </w:r>
          </w:p>
          <w:p w14:paraId="661C71A3" w14:textId="77777777" w:rsidR="00E70A27" w:rsidRPr="009F1FA3" w:rsidRDefault="009A5B46" w:rsidP="00191EAC">
            <w:pPr>
              <w:pStyle w:val="ListParagraph"/>
              <w:suppressAutoHyphens/>
              <w:ind w:left="0"/>
              <w:jc w:val="left"/>
              <w:rPr>
                <w:szCs w:val="24"/>
              </w:rPr>
            </w:pPr>
            <w:r>
              <w:rPr>
                <w:szCs w:val="24"/>
              </w:rPr>
              <w:t xml:space="preserve">2. </w:t>
            </w:r>
            <w:r w:rsidR="00E70A27" w:rsidRPr="009F1FA3">
              <w:rPr>
                <w:szCs w:val="24"/>
              </w:rPr>
              <w:t>FPSC Adjusted Reliability Trends</w:t>
            </w:r>
          </w:p>
          <w:p w14:paraId="6C40697B" w14:textId="77777777" w:rsidR="00E70A27" w:rsidRPr="009F1FA3" w:rsidRDefault="009A5B46" w:rsidP="00191EAC">
            <w:pPr>
              <w:pStyle w:val="ListParagraph"/>
              <w:suppressAutoHyphens/>
              <w:ind w:left="0"/>
              <w:jc w:val="left"/>
              <w:rPr>
                <w:szCs w:val="24"/>
              </w:rPr>
            </w:pPr>
            <w:r>
              <w:rPr>
                <w:szCs w:val="24"/>
              </w:rPr>
              <w:t xml:space="preserve">3. </w:t>
            </w:r>
            <w:r w:rsidR="00E70A27" w:rsidRPr="009F1FA3">
              <w:rPr>
                <w:szCs w:val="24"/>
              </w:rPr>
              <w:t>Service Area Customer Demand – Growth</w:t>
            </w:r>
          </w:p>
          <w:p w14:paraId="7E1B89C4" w14:textId="77777777" w:rsidR="00E70A27" w:rsidRPr="009F1FA3" w:rsidRDefault="009A5B46" w:rsidP="00191EAC">
            <w:pPr>
              <w:pStyle w:val="ListParagraph"/>
              <w:suppressAutoHyphens/>
              <w:ind w:left="0"/>
              <w:jc w:val="left"/>
              <w:rPr>
                <w:szCs w:val="24"/>
              </w:rPr>
            </w:pPr>
            <w:r>
              <w:rPr>
                <w:szCs w:val="24"/>
              </w:rPr>
              <w:t xml:space="preserve">4. </w:t>
            </w:r>
            <w:r w:rsidR="00E70A27" w:rsidRPr="009F1FA3">
              <w:rPr>
                <w:szCs w:val="24"/>
              </w:rPr>
              <w:t>Electric Delivery Capital Expense Summary 2022-2025</w:t>
            </w:r>
          </w:p>
          <w:p w14:paraId="01812E9A" w14:textId="77777777" w:rsidR="00E70A27" w:rsidRPr="009F1FA3" w:rsidRDefault="009A5B46" w:rsidP="00191EAC">
            <w:pPr>
              <w:pStyle w:val="ListParagraph"/>
              <w:suppressAutoHyphens/>
              <w:ind w:left="0"/>
              <w:jc w:val="left"/>
              <w:rPr>
                <w:szCs w:val="24"/>
              </w:rPr>
            </w:pPr>
            <w:r>
              <w:rPr>
                <w:szCs w:val="24"/>
              </w:rPr>
              <w:t xml:space="preserve">5. </w:t>
            </w:r>
            <w:r w:rsidR="00E70A27" w:rsidRPr="009F1FA3">
              <w:rPr>
                <w:szCs w:val="24"/>
              </w:rPr>
              <w:t>DOE ICE Calculator Results</w:t>
            </w:r>
          </w:p>
          <w:p w14:paraId="53E569F0" w14:textId="77777777" w:rsidR="00E70A27" w:rsidRPr="009F1FA3" w:rsidRDefault="009A5B46" w:rsidP="00191EAC">
            <w:pPr>
              <w:pStyle w:val="ListParagraph"/>
              <w:suppressAutoHyphens/>
              <w:ind w:left="0"/>
              <w:jc w:val="left"/>
              <w:rPr>
                <w:szCs w:val="24"/>
              </w:rPr>
            </w:pPr>
            <w:r>
              <w:rPr>
                <w:szCs w:val="24"/>
              </w:rPr>
              <w:t xml:space="preserve">6. </w:t>
            </w:r>
            <w:r w:rsidR="00E70A27" w:rsidRPr="009F1FA3">
              <w:rPr>
                <w:szCs w:val="24"/>
              </w:rPr>
              <w:t>Line Loss Reduction</w:t>
            </w:r>
          </w:p>
          <w:p w14:paraId="231E0B89" w14:textId="77777777" w:rsidR="00E70A27" w:rsidRPr="009F1FA3" w:rsidRDefault="009A5B46" w:rsidP="00191EAC">
            <w:pPr>
              <w:pStyle w:val="ListParagraph"/>
              <w:suppressAutoHyphens/>
              <w:ind w:left="0"/>
              <w:jc w:val="left"/>
              <w:rPr>
                <w:szCs w:val="24"/>
              </w:rPr>
            </w:pPr>
            <w:r>
              <w:rPr>
                <w:szCs w:val="24"/>
              </w:rPr>
              <w:t xml:space="preserve">7. </w:t>
            </w:r>
            <w:r w:rsidR="00E70A27" w:rsidRPr="009F1FA3">
              <w:rPr>
                <w:szCs w:val="24"/>
              </w:rPr>
              <w:t>Grid Reliability and Resilience Project Schedule</w:t>
            </w:r>
          </w:p>
          <w:p w14:paraId="52AD4290" w14:textId="77777777" w:rsidR="00E70A27" w:rsidRPr="009F1FA3" w:rsidRDefault="009A5B46" w:rsidP="00191EAC">
            <w:pPr>
              <w:pStyle w:val="ListParagraph"/>
              <w:suppressAutoHyphens/>
              <w:ind w:left="0"/>
              <w:jc w:val="left"/>
              <w:rPr>
                <w:szCs w:val="24"/>
              </w:rPr>
            </w:pPr>
            <w:r>
              <w:rPr>
                <w:szCs w:val="24"/>
              </w:rPr>
              <w:t xml:space="preserve">8. </w:t>
            </w:r>
            <w:r w:rsidR="00E70A27" w:rsidRPr="009F1FA3">
              <w:rPr>
                <w:szCs w:val="24"/>
              </w:rPr>
              <w:t>Service Territory Map</w:t>
            </w:r>
          </w:p>
        </w:tc>
      </w:tr>
      <w:tr w:rsidR="00F5605A" w:rsidRPr="00701945" w14:paraId="596B6B8A" w14:textId="77777777" w:rsidTr="006C174A">
        <w:trPr>
          <w:cantSplit/>
          <w:trHeight w:val="360"/>
        </w:trPr>
        <w:tc>
          <w:tcPr>
            <w:tcW w:w="2970" w:type="dxa"/>
          </w:tcPr>
          <w:p w14:paraId="2460B534" w14:textId="77777777" w:rsidR="00E70A27" w:rsidRPr="009F1FA3" w:rsidRDefault="00E70A27" w:rsidP="00191EAC">
            <w:pPr>
              <w:suppressAutoHyphens/>
            </w:pPr>
            <w:r w:rsidRPr="009F1FA3">
              <w:t>David Lukcic</w:t>
            </w:r>
          </w:p>
        </w:tc>
        <w:tc>
          <w:tcPr>
            <w:tcW w:w="1350" w:type="dxa"/>
          </w:tcPr>
          <w:p w14:paraId="2D145D57" w14:textId="77777777" w:rsidR="00E70A27" w:rsidRPr="009F1FA3" w:rsidRDefault="00E70A27" w:rsidP="00191EAC">
            <w:pPr>
              <w:suppressAutoHyphens/>
              <w:jc w:val="center"/>
            </w:pPr>
            <w:r w:rsidRPr="009F1FA3">
              <w:t>TECO</w:t>
            </w:r>
          </w:p>
        </w:tc>
        <w:tc>
          <w:tcPr>
            <w:tcW w:w="1260" w:type="dxa"/>
          </w:tcPr>
          <w:p w14:paraId="014D9718" w14:textId="77777777" w:rsidR="00E70A27" w:rsidRPr="009F1FA3" w:rsidRDefault="00E70A27" w:rsidP="00191EAC">
            <w:pPr>
              <w:suppressAutoHyphens/>
              <w:jc w:val="center"/>
            </w:pPr>
            <w:r w:rsidRPr="009F1FA3">
              <w:t>DL-1</w:t>
            </w:r>
          </w:p>
        </w:tc>
        <w:tc>
          <w:tcPr>
            <w:tcW w:w="3870" w:type="dxa"/>
          </w:tcPr>
          <w:p w14:paraId="18AA27F2" w14:textId="77777777" w:rsidR="00E70A27" w:rsidRPr="009F1FA3" w:rsidRDefault="009A5B46" w:rsidP="00191EAC">
            <w:pPr>
              <w:pStyle w:val="ListParagraph"/>
              <w:suppressAutoHyphens/>
              <w:ind w:left="0"/>
              <w:jc w:val="left"/>
              <w:rPr>
                <w:szCs w:val="24"/>
              </w:rPr>
            </w:pPr>
            <w:r>
              <w:t xml:space="preserve">1. </w:t>
            </w:r>
            <w:r w:rsidR="00E70A27" w:rsidRPr="009F1FA3">
              <w:t>List of Minimum Filing Requirement Schedules Sponsored or Co-Sponsored by David Lukcic</w:t>
            </w:r>
          </w:p>
          <w:p w14:paraId="52CB398B" w14:textId="77777777" w:rsidR="00E70A27" w:rsidRPr="009F1FA3" w:rsidRDefault="009A5B46" w:rsidP="00191EAC">
            <w:pPr>
              <w:pStyle w:val="ListParagraph"/>
              <w:suppressAutoHyphens/>
              <w:ind w:left="0"/>
              <w:jc w:val="left"/>
              <w:rPr>
                <w:szCs w:val="24"/>
              </w:rPr>
            </w:pPr>
            <w:r>
              <w:rPr>
                <w:szCs w:val="24"/>
              </w:rPr>
              <w:t xml:space="preserve">2. </w:t>
            </w:r>
            <w:r w:rsidR="00E70A27" w:rsidRPr="009F1FA3">
              <w:rPr>
                <w:szCs w:val="24"/>
              </w:rPr>
              <w:t>Operation Technology Capital Expense Summary 2022-2025</w:t>
            </w:r>
          </w:p>
        </w:tc>
      </w:tr>
      <w:tr w:rsidR="00F5605A" w:rsidRPr="00701945" w14:paraId="1546EE03" w14:textId="77777777" w:rsidTr="006C174A">
        <w:trPr>
          <w:cantSplit/>
          <w:trHeight w:val="360"/>
        </w:trPr>
        <w:tc>
          <w:tcPr>
            <w:tcW w:w="2970" w:type="dxa"/>
          </w:tcPr>
          <w:p w14:paraId="09096DCB" w14:textId="77777777" w:rsidR="00E70A27" w:rsidRPr="009F1FA3" w:rsidRDefault="00E70A27" w:rsidP="00191EAC">
            <w:pPr>
              <w:suppressAutoHyphens/>
            </w:pPr>
            <w:r w:rsidRPr="009F1FA3">
              <w:t>Christopher Heck</w:t>
            </w:r>
          </w:p>
        </w:tc>
        <w:tc>
          <w:tcPr>
            <w:tcW w:w="1350" w:type="dxa"/>
          </w:tcPr>
          <w:p w14:paraId="49C5C45C" w14:textId="77777777" w:rsidR="00E70A27" w:rsidRPr="009F1FA3" w:rsidRDefault="00E70A27" w:rsidP="00191EAC">
            <w:pPr>
              <w:suppressAutoHyphens/>
              <w:jc w:val="center"/>
            </w:pPr>
            <w:r w:rsidRPr="009F1FA3">
              <w:t>TEC</w:t>
            </w:r>
            <w:r w:rsidR="002A2028">
              <w:t>O</w:t>
            </w:r>
          </w:p>
        </w:tc>
        <w:tc>
          <w:tcPr>
            <w:tcW w:w="1260" w:type="dxa"/>
          </w:tcPr>
          <w:p w14:paraId="430ADF6E" w14:textId="77777777" w:rsidR="00E70A27" w:rsidRPr="009F1FA3" w:rsidRDefault="00E70A27" w:rsidP="00191EAC">
            <w:pPr>
              <w:suppressAutoHyphens/>
              <w:jc w:val="center"/>
            </w:pPr>
            <w:r w:rsidRPr="009F1FA3">
              <w:t>CH-1</w:t>
            </w:r>
          </w:p>
        </w:tc>
        <w:tc>
          <w:tcPr>
            <w:tcW w:w="3870" w:type="dxa"/>
          </w:tcPr>
          <w:p w14:paraId="132A48EB" w14:textId="77777777" w:rsidR="00E70A27" w:rsidRPr="009F1FA3" w:rsidRDefault="009A5B46" w:rsidP="00191EAC">
            <w:pPr>
              <w:pStyle w:val="ListParagraph"/>
              <w:suppressAutoHyphens/>
              <w:ind w:left="0"/>
              <w:jc w:val="left"/>
              <w:rPr>
                <w:szCs w:val="24"/>
              </w:rPr>
            </w:pPr>
            <w:r>
              <w:t xml:space="preserve">1. </w:t>
            </w:r>
            <w:r w:rsidR="00E70A27" w:rsidRPr="009F1FA3">
              <w:t xml:space="preserve">List of Minimum Filing Requirement Schedules Sponsored or Co-Sponsored by Chris Heck </w:t>
            </w:r>
          </w:p>
          <w:p w14:paraId="583C1D8F" w14:textId="77777777" w:rsidR="00E70A27" w:rsidRPr="009F1FA3" w:rsidRDefault="009A5B46" w:rsidP="00191EAC">
            <w:pPr>
              <w:pStyle w:val="ListParagraph"/>
              <w:suppressAutoHyphens/>
              <w:ind w:left="0"/>
              <w:jc w:val="left"/>
              <w:rPr>
                <w:szCs w:val="24"/>
              </w:rPr>
            </w:pPr>
            <w:r>
              <w:rPr>
                <w:szCs w:val="24"/>
              </w:rPr>
              <w:t xml:space="preserve">2. </w:t>
            </w:r>
            <w:r w:rsidR="00E70A27" w:rsidRPr="009F1FA3">
              <w:rPr>
                <w:szCs w:val="24"/>
              </w:rPr>
              <w:t>Information Technology Capital Expense Summary 2022-2025</w:t>
            </w:r>
          </w:p>
        </w:tc>
      </w:tr>
      <w:tr w:rsidR="00F5605A" w:rsidRPr="00701945" w14:paraId="10100F9F" w14:textId="77777777" w:rsidTr="006C174A">
        <w:trPr>
          <w:trHeight w:val="360"/>
        </w:trPr>
        <w:tc>
          <w:tcPr>
            <w:tcW w:w="2970" w:type="dxa"/>
          </w:tcPr>
          <w:p w14:paraId="5D25B49E" w14:textId="77777777" w:rsidR="00E70A27" w:rsidRPr="009F1FA3" w:rsidRDefault="00E70A27" w:rsidP="00191EAC">
            <w:pPr>
              <w:suppressAutoHyphens/>
            </w:pPr>
            <w:r w:rsidRPr="009F1FA3">
              <w:t>Marian Cacciatore</w:t>
            </w:r>
          </w:p>
        </w:tc>
        <w:tc>
          <w:tcPr>
            <w:tcW w:w="1350" w:type="dxa"/>
          </w:tcPr>
          <w:p w14:paraId="0A8EEED6" w14:textId="77777777" w:rsidR="00E70A27" w:rsidRPr="009F1FA3" w:rsidRDefault="00E70A27" w:rsidP="00191EAC">
            <w:pPr>
              <w:suppressAutoHyphens/>
              <w:jc w:val="center"/>
            </w:pPr>
            <w:r w:rsidRPr="009F1FA3">
              <w:t>TECO</w:t>
            </w:r>
          </w:p>
        </w:tc>
        <w:tc>
          <w:tcPr>
            <w:tcW w:w="1260" w:type="dxa"/>
          </w:tcPr>
          <w:p w14:paraId="286D4EA0" w14:textId="77777777" w:rsidR="00E70A27" w:rsidRPr="009F1FA3" w:rsidRDefault="00E70A27" w:rsidP="00191EAC">
            <w:pPr>
              <w:suppressAutoHyphens/>
              <w:jc w:val="center"/>
            </w:pPr>
            <w:r w:rsidRPr="009F1FA3">
              <w:t>MC-1</w:t>
            </w:r>
          </w:p>
        </w:tc>
        <w:tc>
          <w:tcPr>
            <w:tcW w:w="3870" w:type="dxa"/>
          </w:tcPr>
          <w:p w14:paraId="046E2386" w14:textId="77777777" w:rsidR="00E70A27" w:rsidRPr="009F1FA3" w:rsidRDefault="00607191" w:rsidP="00191EAC">
            <w:pPr>
              <w:pStyle w:val="ListParagraph"/>
              <w:suppressAutoHyphens/>
              <w:ind w:left="0"/>
              <w:jc w:val="left"/>
              <w:rPr>
                <w:szCs w:val="24"/>
              </w:rPr>
            </w:pPr>
            <w:r>
              <w:t xml:space="preserve">1. </w:t>
            </w:r>
            <w:r w:rsidR="00E70A27" w:rsidRPr="009F1FA3">
              <w:t>List of Minimum Filing Requirement Schedules Sponsored or Co-Sponsored by Marian Cacciatore</w:t>
            </w:r>
          </w:p>
          <w:p w14:paraId="10558587" w14:textId="77777777" w:rsidR="00E70A27" w:rsidRPr="009F1FA3" w:rsidRDefault="00607191" w:rsidP="00191EAC">
            <w:pPr>
              <w:pStyle w:val="ListParagraph"/>
              <w:suppressAutoHyphens/>
              <w:ind w:left="0"/>
              <w:jc w:val="left"/>
              <w:rPr>
                <w:szCs w:val="24"/>
              </w:rPr>
            </w:pPr>
            <w:r>
              <w:rPr>
                <w:szCs w:val="24"/>
              </w:rPr>
              <w:t xml:space="preserve">2. </w:t>
            </w:r>
            <w:r w:rsidR="00E70A27" w:rsidRPr="009F1FA3">
              <w:rPr>
                <w:szCs w:val="24"/>
              </w:rPr>
              <w:t xml:space="preserve">Employee Count Total by Function </w:t>
            </w:r>
            <w:r w:rsidR="00E70A27" w:rsidRPr="009F1FA3">
              <w:rPr>
                <w:szCs w:val="24"/>
              </w:rPr>
              <w:br/>
              <w:t>(2021-2025)</w:t>
            </w:r>
          </w:p>
          <w:p w14:paraId="3BF04836" w14:textId="77777777" w:rsidR="00E70A27" w:rsidRPr="009F1FA3" w:rsidRDefault="00607191" w:rsidP="00191EAC">
            <w:pPr>
              <w:pStyle w:val="ListParagraph"/>
              <w:suppressAutoHyphens/>
              <w:ind w:left="0"/>
              <w:jc w:val="left"/>
              <w:rPr>
                <w:szCs w:val="24"/>
              </w:rPr>
            </w:pPr>
            <w:r>
              <w:rPr>
                <w:szCs w:val="24"/>
              </w:rPr>
              <w:t xml:space="preserve">3. </w:t>
            </w:r>
            <w:r w:rsidR="00E70A27" w:rsidRPr="009F1FA3">
              <w:rPr>
                <w:szCs w:val="24"/>
              </w:rPr>
              <w:t>IBEW and OPEIU Historical Base Wage Adjustments (2021-2023)</w:t>
            </w:r>
          </w:p>
          <w:p w14:paraId="0C0F13FD" w14:textId="77777777" w:rsidR="00E70A27" w:rsidRPr="009F1FA3" w:rsidRDefault="00607191" w:rsidP="00191EAC">
            <w:pPr>
              <w:pStyle w:val="ListParagraph"/>
              <w:suppressAutoHyphens/>
              <w:ind w:left="0"/>
              <w:jc w:val="left"/>
              <w:rPr>
                <w:szCs w:val="24"/>
              </w:rPr>
            </w:pPr>
            <w:r>
              <w:rPr>
                <w:szCs w:val="24"/>
              </w:rPr>
              <w:t xml:space="preserve">4. </w:t>
            </w:r>
            <w:r w:rsidR="00E70A27" w:rsidRPr="009F1FA3">
              <w:rPr>
                <w:szCs w:val="24"/>
              </w:rPr>
              <w:t>Total Annual Compensation Analysis for Exempt and Non-Covered/Non-Exempt Benchmarked Positions (2022-2023)</w:t>
            </w:r>
          </w:p>
          <w:p w14:paraId="397E989E" w14:textId="77777777" w:rsidR="00E70A27" w:rsidRPr="009F1FA3" w:rsidRDefault="00607191" w:rsidP="00191EAC">
            <w:pPr>
              <w:pStyle w:val="ListParagraph"/>
              <w:suppressAutoHyphens/>
              <w:ind w:left="0"/>
              <w:jc w:val="left"/>
              <w:rPr>
                <w:szCs w:val="24"/>
              </w:rPr>
            </w:pPr>
            <w:r>
              <w:rPr>
                <w:szCs w:val="24"/>
              </w:rPr>
              <w:t xml:space="preserve">5. </w:t>
            </w:r>
            <w:r w:rsidR="00E70A27" w:rsidRPr="009F1FA3">
              <w:rPr>
                <w:szCs w:val="24"/>
              </w:rPr>
              <w:t>Merit Budget History – Exempt (2021-2023)</w:t>
            </w:r>
          </w:p>
          <w:p w14:paraId="48B1B8B8" w14:textId="77777777" w:rsidR="00E70A27" w:rsidRPr="009F1FA3" w:rsidRDefault="00607191" w:rsidP="00191EAC">
            <w:pPr>
              <w:pStyle w:val="ListParagraph"/>
              <w:suppressAutoHyphens/>
              <w:ind w:left="0"/>
              <w:jc w:val="left"/>
              <w:rPr>
                <w:szCs w:val="24"/>
              </w:rPr>
            </w:pPr>
            <w:r>
              <w:rPr>
                <w:szCs w:val="24"/>
              </w:rPr>
              <w:t xml:space="preserve">6. </w:t>
            </w:r>
            <w:r w:rsidR="00E70A27" w:rsidRPr="009F1FA3">
              <w:rPr>
                <w:szCs w:val="24"/>
              </w:rPr>
              <w:t>Merit Budget History – Non-Covered/Non-Exempt (2021-2023)</w:t>
            </w:r>
          </w:p>
          <w:p w14:paraId="65084415" w14:textId="77777777" w:rsidR="00E70A27" w:rsidRPr="009F1FA3" w:rsidRDefault="00607191" w:rsidP="00191EAC">
            <w:pPr>
              <w:pStyle w:val="ListParagraph"/>
              <w:suppressAutoHyphens/>
              <w:ind w:left="0"/>
              <w:jc w:val="left"/>
              <w:rPr>
                <w:szCs w:val="24"/>
              </w:rPr>
            </w:pPr>
            <w:r>
              <w:rPr>
                <w:szCs w:val="24"/>
              </w:rPr>
              <w:t xml:space="preserve">7. </w:t>
            </w:r>
            <w:r w:rsidR="00E70A27" w:rsidRPr="009F1FA3">
              <w:rPr>
                <w:szCs w:val="24"/>
              </w:rPr>
              <w:t xml:space="preserve">Utility Comparison – Total </w:t>
            </w:r>
            <w:r w:rsidR="00E70A27" w:rsidRPr="009F1FA3">
              <w:rPr>
                <w:szCs w:val="24"/>
              </w:rPr>
              <w:lastRenderedPageBreak/>
              <w:t xml:space="preserve">Salaries and Wages as a Percent of Operations and Maintenance Expense (2023) </w:t>
            </w:r>
          </w:p>
          <w:p w14:paraId="0928C049" w14:textId="77777777" w:rsidR="00E70A27" w:rsidRPr="009F1FA3" w:rsidRDefault="00607191" w:rsidP="00191EAC">
            <w:pPr>
              <w:pStyle w:val="ListParagraph"/>
              <w:suppressAutoHyphens/>
              <w:ind w:left="0"/>
              <w:jc w:val="left"/>
              <w:rPr>
                <w:szCs w:val="24"/>
              </w:rPr>
            </w:pPr>
            <w:r>
              <w:rPr>
                <w:szCs w:val="24"/>
              </w:rPr>
              <w:t xml:space="preserve">8. </w:t>
            </w:r>
            <w:r w:rsidR="00E70A27" w:rsidRPr="009F1FA3">
              <w:rPr>
                <w:szCs w:val="24"/>
              </w:rPr>
              <w:t>Tampa Electric Benefits Package Description</w:t>
            </w:r>
          </w:p>
          <w:p w14:paraId="7B655E26" w14:textId="77777777" w:rsidR="00E70A27" w:rsidRPr="009F1FA3" w:rsidRDefault="00607191" w:rsidP="00191EAC">
            <w:pPr>
              <w:pStyle w:val="ListParagraph"/>
              <w:suppressAutoHyphens/>
              <w:ind w:left="0"/>
              <w:jc w:val="left"/>
              <w:rPr>
                <w:szCs w:val="24"/>
              </w:rPr>
            </w:pPr>
            <w:r>
              <w:rPr>
                <w:szCs w:val="24"/>
              </w:rPr>
              <w:t xml:space="preserve">9. </w:t>
            </w:r>
            <w:r w:rsidR="00E70A27" w:rsidRPr="009F1FA3">
              <w:rPr>
                <w:szCs w:val="24"/>
              </w:rPr>
              <w:t>2023 Benefits Valuation Analysis (“BVA”)</w:t>
            </w:r>
          </w:p>
          <w:p w14:paraId="7AD9C965" w14:textId="77777777" w:rsidR="00E70A27" w:rsidRPr="009F1FA3" w:rsidRDefault="00607191" w:rsidP="00191EAC">
            <w:pPr>
              <w:pStyle w:val="ListParagraph"/>
              <w:suppressAutoHyphens/>
              <w:ind w:left="0"/>
              <w:jc w:val="left"/>
              <w:rPr>
                <w:szCs w:val="24"/>
              </w:rPr>
            </w:pPr>
            <w:r>
              <w:rPr>
                <w:szCs w:val="24"/>
              </w:rPr>
              <w:t xml:space="preserve">10. </w:t>
            </w:r>
            <w:r w:rsidR="00E70A27" w:rsidRPr="009F1FA3">
              <w:rPr>
                <w:szCs w:val="24"/>
              </w:rPr>
              <w:t>Mercer – Average Annual Health Benefits Cost Per Employee (2021-2023)</w:t>
            </w:r>
          </w:p>
        </w:tc>
      </w:tr>
      <w:tr w:rsidR="00F5605A" w:rsidRPr="00701945" w14:paraId="04D29FAF" w14:textId="77777777" w:rsidTr="006C174A">
        <w:trPr>
          <w:cantSplit/>
          <w:trHeight w:val="360"/>
        </w:trPr>
        <w:tc>
          <w:tcPr>
            <w:tcW w:w="2970" w:type="dxa"/>
          </w:tcPr>
          <w:p w14:paraId="5333F7D7" w14:textId="77777777" w:rsidR="00E70A27" w:rsidRPr="009F1FA3" w:rsidRDefault="00E70A27" w:rsidP="00191EAC">
            <w:pPr>
              <w:suppressAutoHyphens/>
            </w:pPr>
            <w:r w:rsidRPr="009F1FA3">
              <w:lastRenderedPageBreak/>
              <w:t>Lori Cifuentes</w:t>
            </w:r>
          </w:p>
        </w:tc>
        <w:tc>
          <w:tcPr>
            <w:tcW w:w="1350" w:type="dxa"/>
          </w:tcPr>
          <w:p w14:paraId="0BB7CBF9" w14:textId="77777777" w:rsidR="00E70A27" w:rsidRPr="009F1FA3" w:rsidRDefault="00E70A27" w:rsidP="00191EAC">
            <w:pPr>
              <w:suppressAutoHyphens/>
              <w:jc w:val="center"/>
            </w:pPr>
            <w:r w:rsidRPr="009F1FA3">
              <w:t>TECO</w:t>
            </w:r>
          </w:p>
        </w:tc>
        <w:tc>
          <w:tcPr>
            <w:tcW w:w="1260" w:type="dxa"/>
          </w:tcPr>
          <w:p w14:paraId="2518D345" w14:textId="77777777" w:rsidR="00E70A27" w:rsidRPr="009F1FA3" w:rsidRDefault="00E70A27" w:rsidP="00191EAC">
            <w:pPr>
              <w:suppressAutoHyphens/>
              <w:jc w:val="center"/>
            </w:pPr>
            <w:r w:rsidRPr="009F1FA3">
              <w:t>LC-1</w:t>
            </w:r>
          </w:p>
        </w:tc>
        <w:tc>
          <w:tcPr>
            <w:tcW w:w="3870" w:type="dxa"/>
          </w:tcPr>
          <w:p w14:paraId="446DC04E" w14:textId="77777777" w:rsidR="00E70A27" w:rsidRPr="009F1FA3" w:rsidRDefault="00607191" w:rsidP="00191EAC">
            <w:pPr>
              <w:pStyle w:val="ListParagraph"/>
              <w:suppressAutoHyphens/>
              <w:ind w:left="0"/>
              <w:jc w:val="left"/>
              <w:rPr>
                <w:szCs w:val="24"/>
              </w:rPr>
            </w:pPr>
            <w:r>
              <w:t xml:space="preserve">1. </w:t>
            </w:r>
            <w:r w:rsidR="00E70A27" w:rsidRPr="009F1FA3">
              <w:t>List of Minimum Filing Requirement Schedules Sponsored or Co-Sponsored by Lori Cifuentes</w:t>
            </w:r>
          </w:p>
          <w:p w14:paraId="417739B1" w14:textId="77777777" w:rsidR="00E70A27" w:rsidRPr="009F1FA3" w:rsidRDefault="00607191" w:rsidP="00191EAC">
            <w:pPr>
              <w:pStyle w:val="ListParagraph"/>
              <w:suppressAutoHyphens/>
              <w:ind w:left="0"/>
              <w:jc w:val="left"/>
              <w:rPr>
                <w:szCs w:val="24"/>
              </w:rPr>
            </w:pPr>
            <w:r>
              <w:rPr>
                <w:szCs w:val="24"/>
              </w:rPr>
              <w:t xml:space="preserve">2. </w:t>
            </w:r>
            <w:r w:rsidR="00E70A27" w:rsidRPr="009F1FA3">
              <w:rPr>
                <w:szCs w:val="24"/>
              </w:rPr>
              <w:t>Comparison of 2021 Forecast Versus Current Forecasts of Customer Growth and Energy Sales</w:t>
            </w:r>
          </w:p>
          <w:p w14:paraId="15ED0E79" w14:textId="77777777" w:rsidR="00E70A27" w:rsidRPr="009F1FA3" w:rsidRDefault="00607191" w:rsidP="00191EAC">
            <w:pPr>
              <w:pStyle w:val="ListParagraph"/>
              <w:suppressAutoHyphens/>
              <w:ind w:left="0"/>
              <w:jc w:val="left"/>
              <w:rPr>
                <w:szCs w:val="24"/>
              </w:rPr>
            </w:pPr>
            <w:r>
              <w:rPr>
                <w:szCs w:val="24"/>
              </w:rPr>
              <w:t xml:space="preserve">3. </w:t>
            </w:r>
            <w:r w:rsidR="00E70A27" w:rsidRPr="009F1FA3">
              <w:rPr>
                <w:szCs w:val="24"/>
              </w:rPr>
              <w:t>Economic Assumptions Average Annual Growth Rate</w:t>
            </w:r>
          </w:p>
          <w:p w14:paraId="42510343" w14:textId="77777777" w:rsidR="00E70A27" w:rsidRPr="009F1FA3" w:rsidRDefault="00607191" w:rsidP="00191EAC">
            <w:pPr>
              <w:pStyle w:val="ListParagraph"/>
              <w:suppressAutoHyphens/>
              <w:ind w:left="0"/>
              <w:jc w:val="left"/>
              <w:rPr>
                <w:szCs w:val="24"/>
              </w:rPr>
            </w:pPr>
            <w:r>
              <w:rPr>
                <w:szCs w:val="24"/>
              </w:rPr>
              <w:t xml:space="preserve">4. </w:t>
            </w:r>
            <w:r w:rsidR="00E70A27" w:rsidRPr="009F1FA3">
              <w:rPr>
                <w:szCs w:val="24"/>
              </w:rPr>
              <w:t>Billing Cycle Based Degree Days</w:t>
            </w:r>
          </w:p>
          <w:p w14:paraId="38F6E9DF" w14:textId="77777777" w:rsidR="00E70A27" w:rsidRPr="009F1FA3" w:rsidRDefault="00607191" w:rsidP="00191EAC">
            <w:pPr>
              <w:pStyle w:val="ListParagraph"/>
              <w:suppressAutoHyphens/>
              <w:ind w:left="0"/>
              <w:jc w:val="left"/>
              <w:rPr>
                <w:szCs w:val="24"/>
              </w:rPr>
            </w:pPr>
            <w:r>
              <w:rPr>
                <w:szCs w:val="24"/>
              </w:rPr>
              <w:t xml:space="preserve">5. </w:t>
            </w:r>
            <w:r w:rsidR="00E70A27" w:rsidRPr="009F1FA3">
              <w:rPr>
                <w:szCs w:val="24"/>
              </w:rPr>
              <w:t>Customer Forecast</w:t>
            </w:r>
          </w:p>
          <w:p w14:paraId="7376E341" w14:textId="77777777" w:rsidR="00E70A27" w:rsidRPr="009F1FA3" w:rsidRDefault="00607191" w:rsidP="00191EAC">
            <w:pPr>
              <w:pStyle w:val="ListParagraph"/>
              <w:suppressAutoHyphens/>
              <w:ind w:left="0"/>
              <w:jc w:val="left"/>
              <w:rPr>
                <w:szCs w:val="24"/>
              </w:rPr>
            </w:pPr>
            <w:r>
              <w:rPr>
                <w:szCs w:val="24"/>
              </w:rPr>
              <w:t xml:space="preserve">6. </w:t>
            </w:r>
            <w:r w:rsidR="00E70A27" w:rsidRPr="009F1FA3">
              <w:rPr>
                <w:szCs w:val="24"/>
              </w:rPr>
              <w:t>Per-Customer Energy Consumption</w:t>
            </w:r>
          </w:p>
          <w:p w14:paraId="32F92D40" w14:textId="77777777" w:rsidR="00E70A27" w:rsidRPr="009F1FA3" w:rsidRDefault="00607191" w:rsidP="00191EAC">
            <w:pPr>
              <w:pStyle w:val="ListParagraph"/>
              <w:suppressAutoHyphens/>
              <w:ind w:left="0"/>
              <w:jc w:val="left"/>
              <w:rPr>
                <w:szCs w:val="24"/>
              </w:rPr>
            </w:pPr>
            <w:r>
              <w:rPr>
                <w:szCs w:val="24"/>
              </w:rPr>
              <w:t xml:space="preserve">7. </w:t>
            </w:r>
            <w:r w:rsidR="00E70A27" w:rsidRPr="009F1FA3">
              <w:rPr>
                <w:szCs w:val="24"/>
              </w:rPr>
              <w:t>Retail Energy Sales</w:t>
            </w:r>
          </w:p>
          <w:p w14:paraId="1C49B4D0" w14:textId="77777777" w:rsidR="00E70A27" w:rsidRPr="009F1FA3" w:rsidRDefault="00607191" w:rsidP="00191EAC">
            <w:pPr>
              <w:pStyle w:val="ListParagraph"/>
              <w:suppressAutoHyphens/>
              <w:ind w:left="0"/>
              <w:jc w:val="left"/>
              <w:rPr>
                <w:szCs w:val="24"/>
              </w:rPr>
            </w:pPr>
            <w:r>
              <w:rPr>
                <w:szCs w:val="24"/>
              </w:rPr>
              <w:t xml:space="preserve">8. </w:t>
            </w:r>
            <w:r w:rsidR="00E70A27" w:rsidRPr="009F1FA3">
              <w:rPr>
                <w:szCs w:val="24"/>
              </w:rPr>
              <w:t>Per-Customer Peak Demand</w:t>
            </w:r>
          </w:p>
          <w:p w14:paraId="52AA4AC1" w14:textId="77777777" w:rsidR="00E70A27" w:rsidRPr="009F1FA3" w:rsidRDefault="00607191" w:rsidP="00191EAC">
            <w:pPr>
              <w:pStyle w:val="ListParagraph"/>
              <w:suppressAutoHyphens/>
              <w:ind w:left="0"/>
              <w:jc w:val="left"/>
              <w:rPr>
                <w:szCs w:val="24"/>
              </w:rPr>
            </w:pPr>
            <w:r>
              <w:rPr>
                <w:szCs w:val="24"/>
              </w:rPr>
              <w:t xml:space="preserve">9. </w:t>
            </w:r>
            <w:r w:rsidR="00E70A27" w:rsidRPr="009F1FA3">
              <w:rPr>
                <w:szCs w:val="24"/>
              </w:rPr>
              <w:t>Peak Demand</w:t>
            </w:r>
          </w:p>
          <w:p w14:paraId="6A02BAFB" w14:textId="77777777" w:rsidR="00E70A27" w:rsidRPr="009F1FA3" w:rsidRDefault="00607191" w:rsidP="00191EAC">
            <w:pPr>
              <w:pStyle w:val="ListParagraph"/>
              <w:suppressAutoHyphens/>
              <w:ind w:left="0"/>
              <w:jc w:val="left"/>
              <w:rPr>
                <w:szCs w:val="24"/>
              </w:rPr>
            </w:pPr>
            <w:r>
              <w:rPr>
                <w:szCs w:val="24"/>
              </w:rPr>
              <w:t xml:space="preserve">10. </w:t>
            </w:r>
            <w:r w:rsidR="00E70A27" w:rsidRPr="009F1FA3">
              <w:rPr>
                <w:szCs w:val="24"/>
              </w:rPr>
              <w:t>Firm Peak Demand</w:t>
            </w:r>
          </w:p>
          <w:p w14:paraId="05CC2C78" w14:textId="77777777" w:rsidR="00E70A27" w:rsidRPr="009F1FA3" w:rsidRDefault="00607191" w:rsidP="00191EAC">
            <w:pPr>
              <w:pStyle w:val="ListParagraph"/>
              <w:suppressAutoHyphens/>
              <w:ind w:left="0"/>
              <w:jc w:val="left"/>
              <w:rPr>
                <w:szCs w:val="24"/>
              </w:rPr>
            </w:pPr>
            <w:r>
              <w:rPr>
                <w:szCs w:val="24"/>
              </w:rPr>
              <w:t xml:space="preserve">11. </w:t>
            </w:r>
            <w:r w:rsidR="00E70A27" w:rsidRPr="009F1FA3">
              <w:rPr>
                <w:szCs w:val="24"/>
              </w:rPr>
              <w:t>Firm Peak Load Factor</w:t>
            </w:r>
          </w:p>
        </w:tc>
      </w:tr>
      <w:tr w:rsidR="00F5605A" w:rsidRPr="00701945" w14:paraId="4385ED68" w14:textId="77777777" w:rsidTr="006C174A">
        <w:trPr>
          <w:cantSplit/>
          <w:trHeight w:val="360"/>
        </w:trPr>
        <w:tc>
          <w:tcPr>
            <w:tcW w:w="2970" w:type="dxa"/>
          </w:tcPr>
          <w:p w14:paraId="1F44B6DF" w14:textId="77777777" w:rsidR="00E70A27" w:rsidRPr="009F1FA3" w:rsidRDefault="00E70A27" w:rsidP="00191EAC">
            <w:pPr>
              <w:suppressAutoHyphens/>
            </w:pPr>
            <w:r w:rsidRPr="009F1FA3">
              <w:t>Ned Allis</w:t>
            </w:r>
          </w:p>
        </w:tc>
        <w:tc>
          <w:tcPr>
            <w:tcW w:w="1350" w:type="dxa"/>
          </w:tcPr>
          <w:p w14:paraId="2A2848A1" w14:textId="77777777" w:rsidR="00E70A27" w:rsidRPr="009F1FA3" w:rsidRDefault="00E70A27" w:rsidP="00191EAC">
            <w:pPr>
              <w:suppressAutoHyphens/>
              <w:jc w:val="center"/>
            </w:pPr>
            <w:r w:rsidRPr="009F1FA3">
              <w:t>TECO</w:t>
            </w:r>
          </w:p>
        </w:tc>
        <w:tc>
          <w:tcPr>
            <w:tcW w:w="1260" w:type="dxa"/>
          </w:tcPr>
          <w:p w14:paraId="66770421" w14:textId="77777777" w:rsidR="00E70A27" w:rsidRPr="009F1FA3" w:rsidRDefault="00E70A27" w:rsidP="00191EAC">
            <w:pPr>
              <w:suppressAutoHyphens/>
              <w:jc w:val="center"/>
            </w:pPr>
            <w:r w:rsidRPr="009F1FA3">
              <w:t>NA-1</w:t>
            </w:r>
          </w:p>
        </w:tc>
        <w:tc>
          <w:tcPr>
            <w:tcW w:w="3870" w:type="dxa"/>
          </w:tcPr>
          <w:p w14:paraId="7EE6564D" w14:textId="77777777" w:rsidR="00E70A27" w:rsidRPr="009F1FA3" w:rsidRDefault="00350A54" w:rsidP="00191EAC">
            <w:pPr>
              <w:pStyle w:val="ListParagraph"/>
              <w:suppressAutoHyphens/>
              <w:ind w:left="0"/>
              <w:jc w:val="left"/>
              <w:rPr>
                <w:szCs w:val="24"/>
              </w:rPr>
            </w:pPr>
            <w:r>
              <w:t xml:space="preserve">1. </w:t>
            </w:r>
            <w:r w:rsidR="00E70A27" w:rsidRPr="009F1FA3">
              <w:t>List of Minimum Filing Requirement Schedules sponsored or co-sponsored by Ned Allis on behalf of Tampa Electric Company</w:t>
            </w:r>
          </w:p>
          <w:p w14:paraId="6589D2E3" w14:textId="77777777" w:rsidR="00E70A27" w:rsidRPr="009F1FA3" w:rsidRDefault="00350A54" w:rsidP="00191EAC">
            <w:pPr>
              <w:pStyle w:val="ListParagraph"/>
              <w:suppressAutoHyphens/>
              <w:ind w:left="0"/>
              <w:jc w:val="left"/>
              <w:rPr>
                <w:szCs w:val="24"/>
              </w:rPr>
            </w:pPr>
            <w:r>
              <w:rPr>
                <w:szCs w:val="24"/>
              </w:rPr>
              <w:t xml:space="preserve">2. </w:t>
            </w:r>
            <w:r w:rsidR="00E70A27" w:rsidRPr="009F1FA3">
              <w:rPr>
                <w:szCs w:val="24"/>
              </w:rPr>
              <w:t>2023 Depreciation Study</w:t>
            </w:r>
          </w:p>
          <w:p w14:paraId="736C45AC" w14:textId="77777777" w:rsidR="00E70A27" w:rsidRPr="009F1FA3" w:rsidRDefault="00350A54" w:rsidP="00191EAC">
            <w:pPr>
              <w:pStyle w:val="ListParagraph"/>
              <w:suppressAutoHyphens/>
              <w:ind w:left="0"/>
              <w:jc w:val="left"/>
              <w:rPr>
                <w:szCs w:val="24"/>
              </w:rPr>
            </w:pPr>
            <w:r>
              <w:rPr>
                <w:szCs w:val="24"/>
              </w:rPr>
              <w:t xml:space="preserve">3. </w:t>
            </w:r>
            <w:r w:rsidR="00E70A27" w:rsidRPr="009F1FA3">
              <w:rPr>
                <w:szCs w:val="24"/>
              </w:rPr>
              <w:t>List of Cases in which Ned Allis Submitted Testimony</w:t>
            </w:r>
          </w:p>
          <w:p w14:paraId="1BB9D751" w14:textId="77777777" w:rsidR="00E70A27" w:rsidRPr="009F1FA3" w:rsidRDefault="00350A54" w:rsidP="00191EAC">
            <w:pPr>
              <w:pStyle w:val="ListParagraph"/>
              <w:suppressAutoHyphens/>
              <w:ind w:left="0"/>
              <w:jc w:val="left"/>
              <w:rPr>
                <w:szCs w:val="24"/>
              </w:rPr>
            </w:pPr>
            <w:r>
              <w:rPr>
                <w:szCs w:val="24"/>
              </w:rPr>
              <w:t xml:space="preserve">4. </w:t>
            </w:r>
            <w:r w:rsidR="00E70A27" w:rsidRPr="009F1FA3">
              <w:rPr>
                <w:szCs w:val="24"/>
              </w:rPr>
              <w:t>Summaries of Depreciation Accruals Using Existing and Proposed Depreciation Rates</w:t>
            </w:r>
          </w:p>
        </w:tc>
      </w:tr>
      <w:tr w:rsidR="00F5605A" w:rsidRPr="00701945" w14:paraId="146C86B7" w14:textId="77777777" w:rsidTr="006C174A">
        <w:trPr>
          <w:cantSplit/>
          <w:trHeight w:val="360"/>
        </w:trPr>
        <w:tc>
          <w:tcPr>
            <w:tcW w:w="2970" w:type="dxa"/>
          </w:tcPr>
          <w:p w14:paraId="03F1845A" w14:textId="77777777" w:rsidR="00DF4F5E" w:rsidRPr="009F1FA3" w:rsidRDefault="00DF4F5E" w:rsidP="00191EAC">
            <w:pPr>
              <w:suppressAutoHyphens/>
            </w:pPr>
            <w:r w:rsidRPr="009F1FA3">
              <w:lastRenderedPageBreak/>
              <w:t>Jeff Kopp</w:t>
            </w:r>
          </w:p>
        </w:tc>
        <w:tc>
          <w:tcPr>
            <w:tcW w:w="1350" w:type="dxa"/>
          </w:tcPr>
          <w:p w14:paraId="636F34CE" w14:textId="77777777" w:rsidR="00DF4F5E" w:rsidRPr="009F1FA3" w:rsidRDefault="00DF4F5E" w:rsidP="00191EAC">
            <w:pPr>
              <w:suppressAutoHyphens/>
              <w:jc w:val="center"/>
            </w:pPr>
            <w:r w:rsidRPr="009F1FA3">
              <w:t>TECO</w:t>
            </w:r>
          </w:p>
        </w:tc>
        <w:tc>
          <w:tcPr>
            <w:tcW w:w="1260" w:type="dxa"/>
          </w:tcPr>
          <w:p w14:paraId="3C49A0F2" w14:textId="77777777" w:rsidR="00DF4F5E" w:rsidRPr="009F1FA3" w:rsidRDefault="00DF4F5E" w:rsidP="00191EAC">
            <w:pPr>
              <w:suppressAutoHyphens/>
              <w:jc w:val="center"/>
            </w:pPr>
            <w:r w:rsidRPr="009F1FA3">
              <w:t>JK-1</w:t>
            </w:r>
          </w:p>
        </w:tc>
        <w:tc>
          <w:tcPr>
            <w:tcW w:w="3870" w:type="dxa"/>
          </w:tcPr>
          <w:p w14:paraId="6FB04325" w14:textId="77777777" w:rsidR="00DF4F5E" w:rsidRPr="009F1FA3" w:rsidRDefault="00350A54" w:rsidP="00191EAC">
            <w:pPr>
              <w:pStyle w:val="ListParagraph"/>
              <w:suppressAutoHyphens/>
              <w:ind w:left="0"/>
              <w:jc w:val="left"/>
              <w:rPr>
                <w:szCs w:val="24"/>
              </w:rPr>
            </w:pPr>
            <w:r>
              <w:rPr>
                <w:szCs w:val="24"/>
              </w:rPr>
              <w:t xml:space="preserve">1. </w:t>
            </w:r>
            <w:r w:rsidR="00DF4F5E" w:rsidRPr="009F1FA3">
              <w:rPr>
                <w:szCs w:val="24"/>
              </w:rPr>
              <w:t>Decommissioning Cost Estimate Study</w:t>
            </w:r>
          </w:p>
          <w:p w14:paraId="580CDD79" w14:textId="77777777" w:rsidR="00DF4F5E" w:rsidRPr="009F1FA3" w:rsidRDefault="00350A54" w:rsidP="00191EAC">
            <w:pPr>
              <w:pStyle w:val="ListParagraph"/>
              <w:suppressAutoHyphens/>
              <w:ind w:left="0"/>
              <w:jc w:val="left"/>
              <w:rPr>
                <w:szCs w:val="24"/>
              </w:rPr>
            </w:pPr>
            <w:r>
              <w:rPr>
                <w:szCs w:val="24"/>
              </w:rPr>
              <w:t xml:space="preserve">2. </w:t>
            </w:r>
            <w:r w:rsidR="00DF4F5E" w:rsidRPr="009F1FA3">
              <w:rPr>
                <w:szCs w:val="24"/>
              </w:rPr>
              <w:t>Resume of Jeffrey Kopp</w:t>
            </w:r>
          </w:p>
          <w:p w14:paraId="00994EB1" w14:textId="77777777" w:rsidR="00DF4F5E" w:rsidRPr="009F1FA3" w:rsidRDefault="00350A54" w:rsidP="00191EAC">
            <w:pPr>
              <w:pStyle w:val="ListParagraph"/>
              <w:suppressAutoHyphens/>
              <w:ind w:left="0"/>
              <w:jc w:val="left"/>
              <w:rPr>
                <w:szCs w:val="24"/>
              </w:rPr>
            </w:pPr>
            <w:r>
              <w:rPr>
                <w:szCs w:val="24"/>
              </w:rPr>
              <w:t>3. List of Proceedings in which Mr. Kopp h</w:t>
            </w:r>
            <w:r w:rsidR="00DF4F5E" w:rsidRPr="009F1FA3">
              <w:rPr>
                <w:szCs w:val="24"/>
              </w:rPr>
              <w:t xml:space="preserve">as Submitted Testimony </w:t>
            </w:r>
          </w:p>
        </w:tc>
      </w:tr>
      <w:tr w:rsidR="00F5605A" w:rsidRPr="00701945" w14:paraId="635964CF" w14:textId="77777777" w:rsidTr="006C174A">
        <w:trPr>
          <w:trHeight w:val="360"/>
        </w:trPr>
        <w:tc>
          <w:tcPr>
            <w:tcW w:w="2970" w:type="dxa"/>
          </w:tcPr>
          <w:p w14:paraId="2278C69E" w14:textId="77777777" w:rsidR="00DF4F5E" w:rsidRPr="009F1FA3" w:rsidRDefault="00DF4F5E" w:rsidP="00191EAC">
            <w:pPr>
              <w:suppressAutoHyphens/>
            </w:pPr>
            <w:r w:rsidRPr="009F1FA3">
              <w:t>Dylan D’Ascendis</w:t>
            </w:r>
          </w:p>
        </w:tc>
        <w:tc>
          <w:tcPr>
            <w:tcW w:w="1350" w:type="dxa"/>
          </w:tcPr>
          <w:p w14:paraId="0E6859DB" w14:textId="77777777" w:rsidR="00DF4F5E" w:rsidRPr="009F1FA3" w:rsidRDefault="00DF4F5E" w:rsidP="00191EAC">
            <w:pPr>
              <w:suppressAutoHyphens/>
              <w:jc w:val="center"/>
            </w:pPr>
            <w:r w:rsidRPr="009F1FA3">
              <w:t>TECO</w:t>
            </w:r>
          </w:p>
        </w:tc>
        <w:tc>
          <w:tcPr>
            <w:tcW w:w="1260" w:type="dxa"/>
          </w:tcPr>
          <w:p w14:paraId="544BD61A" w14:textId="77777777" w:rsidR="00DF4F5E" w:rsidRPr="009F1FA3" w:rsidRDefault="00DF4F5E" w:rsidP="00191EAC">
            <w:pPr>
              <w:suppressAutoHyphens/>
              <w:jc w:val="center"/>
            </w:pPr>
            <w:r w:rsidRPr="009F1FA3">
              <w:t>DWD-1</w:t>
            </w:r>
          </w:p>
        </w:tc>
        <w:tc>
          <w:tcPr>
            <w:tcW w:w="3870" w:type="dxa"/>
          </w:tcPr>
          <w:p w14:paraId="7C6173BA" w14:textId="77777777" w:rsidR="00DF4F5E" w:rsidRPr="009F1FA3" w:rsidRDefault="003A36F1" w:rsidP="00191EAC">
            <w:pPr>
              <w:pStyle w:val="ListParagraph"/>
              <w:suppressAutoHyphens/>
              <w:ind w:left="0"/>
              <w:jc w:val="left"/>
              <w:rPr>
                <w:szCs w:val="24"/>
              </w:rPr>
            </w:pPr>
            <w:r>
              <w:rPr>
                <w:szCs w:val="24"/>
              </w:rPr>
              <w:t xml:space="preserve">1. </w:t>
            </w:r>
            <w:r w:rsidR="00DF4F5E" w:rsidRPr="009F1FA3">
              <w:rPr>
                <w:szCs w:val="24"/>
              </w:rPr>
              <w:t>Resume and Testimony Listing of Dylan W. D’Ascendis</w:t>
            </w:r>
          </w:p>
          <w:p w14:paraId="41A1ABA5" w14:textId="77777777" w:rsidR="00DF4F5E" w:rsidRPr="009F1FA3" w:rsidRDefault="003A36F1" w:rsidP="00191EAC">
            <w:pPr>
              <w:pStyle w:val="ListParagraph"/>
              <w:suppressAutoHyphens/>
              <w:ind w:left="0"/>
              <w:jc w:val="left"/>
              <w:rPr>
                <w:szCs w:val="24"/>
              </w:rPr>
            </w:pPr>
            <w:r>
              <w:rPr>
                <w:szCs w:val="24"/>
              </w:rPr>
              <w:t xml:space="preserve">2. </w:t>
            </w:r>
            <w:r w:rsidR="00DF4F5E" w:rsidRPr="009F1FA3">
              <w:rPr>
                <w:szCs w:val="24"/>
              </w:rPr>
              <w:t>Summary of Common Equity Cost Rate</w:t>
            </w:r>
          </w:p>
          <w:p w14:paraId="7242A331" w14:textId="77777777" w:rsidR="00DF4F5E" w:rsidRPr="009F1FA3" w:rsidRDefault="003A36F1" w:rsidP="00191EAC">
            <w:pPr>
              <w:pStyle w:val="ListParagraph"/>
              <w:suppressAutoHyphens/>
              <w:ind w:left="0"/>
              <w:jc w:val="left"/>
              <w:rPr>
                <w:szCs w:val="24"/>
              </w:rPr>
            </w:pPr>
            <w:r>
              <w:rPr>
                <w:szCs w:val="24"/>
              </w:rPr>
              <w:t xml:space="preserve">3. </w:t>
            </w:r>
            <w:r w:rsidR="00DF4F5E" w:rsidRPr="009F1FA3">
              <w:rPr>
                <w:szCs w:val="24"/>
              </w:rPr>
              <w:t>Financial Profile of Tampa Electric Company and the Utility Proxy Group</w:t>
            </w:r>
          </w:p>
          <w:p w14:paraId="017B8F3B" w14:textId="77777777" w:rsidR="00DF4F5E" w:rsidRPr="009F1FA3" w:rsidRDefault="003A36F1" w:rsidP="00191EAC">
            <w:pPr>
              <w:pStyle w:val="ListParagraph"/>
              <w:suppressAutoHyphens/>
              <w:ind w:left="0"/>
              <w:jc w:val="left"/>
              <w:rPr>
                <w:szCs w:val="24"/>
              </w:rPr>
            </w:pPr>
            <w:r>
              <w:rPr>
                <w:szCs w:val="24"/>
              </w:rPr>
              <w:t xml:space="preserve">4. </w:t>
            </w:r>
            <w:r w:rsidR="00DF4F5E" w:rsidRPr="009F1FA3">
              <w:rPr>
                <w:szCs w:val="24"/>
              </w:rPr>
              <w:t>Application of the Discounted Cash Flow Model</w:t>
            </w:r>
          </w:p>
          <w:p w14:paraId="7C328ACB" w14:textId="77777777" w:rsidR="00DF4F5E" w:rsidRPr="009F1FA3" w:rsidRDefault="003A36F1" w:rsidP="00191EAC">
            <w:pPr>
              <w:pStyle w:val="ListParagraph"/>
              <w:suppressAutoHyphens/>
              <w:ind w:left="0"/>
              <w:jc w:val="left"/>
              <w:rPr>
                <w:szCs w:val="24"/>
              </w:rPr>
            </w:pPr>
            <w:r>
              <w:rPr>
                <w:szCs w:val="24"/>
              </w:rPr>
              <w:t xml:space="preserve">5. </w:t>
            </w:r>
            <w:r w:rsidR="00DF4F5E" w:rsidRPr="009F1FA3">
              <w:rPr>
                <w:szCs w:val="24"/>
              </w:rPr>
              <w:t>Application of the Risk Premium Model</w:t>
            </w:r>
          </w:p>
          <w:p w14:paraId="3A038F13" w14:textId="77777777" w:rsidR="00DF4F5E" w:rsidRPr="009F1FA3" w:rsidRDefault="003A36F1" w:rsidP="00191EAC">
            <w:pPr>
              <w:pStyle w:val="ListParagraph"/>
              <w:suppressAutoHyphens/>
              <w:ind w:left="0"/>
              <w:jc w:val="left"/>
              <w:rPr>
                <w:szCs w:val="24"/>
              </w:rPr>
            </w:pPr>
            <w:r>
              <w:rPr>
                <w:szCs w:val="24"/>
              </w:rPr>
              <w:t xml:space="preserve">6. </w:t>
            </w:r>
            <w:r w:rsidR="00DF4F5E" w:rsidRPr="009F1FA3">
              <w:rPr>
                <w:szCs w:val="24"/>
              </w:rPr>
              <w:t>Application of the Capital Asset Pricing Model</w:t>
            </w:r>
          </w:p>
          <w:p w14:paraId="35949E8D" w14:textId="77777777" w:rsidR="00DF4F5E" w:rsidRPr="009F1FA3" w:rsidRDefault="003A36F1" w:rsidP="00191EAC">
            <w:pPr>
              <w:pStyle w:val="ListParagraph"/>
              <w:suppressAutoHyphens/>
              <w:ind w:left="0"/>
              <w:jc w:val="left"/>
              <w:rPr>
                <w:szCs w:val="24"/>
              </w:rPr>
            </w:pPr>
            <w:r>
              <w:rPr>
                <w:szCs w:val="24"/>
              </w:rPr>
              <w:t xml:space="preserve">7. </w:t>
            </w:r>
            <w:r w:rsidR="00DF4F5E" w:rsidRPr="009F1FA3">
              <w:rPr>
                <w:szCs w:val="24"/>
              </w:rPr>
              <w:t>Basis of Selection for the Non-Price Regulated Companies Comparable in Total Risk to the Utility Proxy Group</w:t>
            </w:r>
          </w:p>
          <w:p w14:paraId="2193481D" w14:textId="77777777" w:rsidR="00DF4F5E" w:rsidRPr="009F1FA3" w:rsidRDefault="003A36F1" w:rsidP="00191EAC">
            <w:pPr>
              <w:pStyle w:val="ListParagraph"/>
              <w:suppressAutoHyphens/>
              <w:ind w:left="0"/>
              <w:jc w:val="left"/>
              <w:rPr>
                <w:szCs w:val="24"/>
              </w:rPr>
            </w:pPr>
            <w:r>
              <w:rPr>
                <w:szCs w:val="24"/>
              </w:rPr>
              <w:t xml:space="preserve">8. </w:t>
            </w:r>
            <w:r w:rsidR="00DF4F5E" w:rsidRPr="009F1FA3">
              <w:rPr>
                <w:szCs w:val="24"/>
              </w:rPr>
              <w:t>Application of Cost of Common Equity Models to the Non-Price Regulated Proxy Group</w:t>
            </w:r>
          </w:p>
          <w:p w14:paraId="2A423F8D" w14:textId="77777777" w:rsidR="00DF4F5E" w:rsidRPr="009F1FA3" w:rsidRDefault="003A36F1" w:rsidP="00191EAC">
            <w:pPr>
              <w:pStyle w:val="ListParagraph"/>
              <w:suppressAutoHyphens/>
              <w:ind w:left="0"/>
              <w:jc w:val="left"/>
              <w:rPr>
                <w:szCs w:val="24"/>
              </w:rPr>
            </w:pPr>
            <w:r>
              <w:rPr>
                <w:szCs w:val="24"/>
              </w:rPr>
              <w:t xml:space="preserve">9. </w:t>
            </w:r>
            <w:r w:rsidR="00DF4F5E" w:rsidRPr="009F1FA3">
              <w:rPr>
                <w:szCs w:val="24"/>
              </w:rPr>
              <w:t xml:space="preserve">Derivation of the Flotation Cost Adjustment to the Cost of Common Equity </w:t>
            </w:r>
          </w:p>
          <w:p w14:paraId="4A8CD4D8" w14:textId="77777777" w:rsidR="00DF4F5E" w:rsidRPr="009F1FA3" w:rsidRDefault="003A36F1" w:rsidP="00191EAC">
            <w:pPr>
              <w:pStyle w:val="ListParagraph"/>
              <w:suppressAutoHyphens/>
              <w:ind w:left="0"/>
              <w:jc w:val="left"/>
              <w:rPr>
                <w:szCs w:val="24"/>
              </w:rPr>
            </w:pPr>
            <w:r>
              <w:rPr>
                <w:szCs w:val="24"/>
              </w:rPr>
              <w:t xml:space="preserve">10. </w:t>
            </w:r>
            <w:r w:rsidR="00DF4F5E" w:rsidRPr="009F1FA3">
              <w:rPr>
                <w:szCs w:val="24"/>
              </w:rPr>
              <w:t>Derivation of the Indicated Size Premium for Tampa Electric Company Relative to the Utility Proxy Group</w:t>
            </w:r>
          </w:p>
          <w:p w14:paraId="17CE4D65" w14:textId="77777777" w:rsidR="00DF4F5E" w:rsidRPr="009F1FA3" w:rsidRDefault="003A36F1" w:rsidP="00191EAC">
            <w:pPr>
              <w:pStyle w:val="ListParagraph"/>
              <w:suppressAutoHyphens/>
              <w:ind w:left="0"/>
              <w:jc w:val="left"/>
              <w:rPr>
                <w:szCs w:val="24"/>
              </w:rPr>
            </w:pPr>
            <w:r>
              <w:rPr>
                <w:szCs w:val="24"/>
              </w:rPr>
              <w:t xml:space="preserve">11. </w:t>
            </w:r>
            <w:r w:rsidR="00DF4F5E" w:rsidRPr="009F1FA3">
              <w:rPr>
                <w:szCs w:val="24"/>
              </w:rPr>
              <w:t>Service Area Maps for Tampa Electric and the Utility Proxy Group</w:t>
            </w:r>
          </w:p>
          <w:p w14:paraId="607BD6E2" w14:textId="77777777" w:rsidR="00DF4F5E" w:rsidRPr="009F1FA3" w:rsidRDefault="003A36F1" w:rsidP="00191EAC">
            <w:pPr>
              <w:pStyle w:val="ListParagraph"/>
              <w:suppressAutoHyphens/>
              <w:ind w:left="0"/>
              <w:jc w:val="left"/>
              <w:rPr>
                <w:szCs w:val="24"/>
              </w:rPr>
            </w:pPr>
            <w:r>
              <w:rPr>
                <w:szCs w:val="24"/>
              </w:rPr>
              <w:t xml:space="preserve">12. </w:t>
            </w:r>
            <w:r w:rsidR="00DF4F5E" w:rsidRPr="009F1FA3">
              <w:rPr>
                <w:szCs w:val="24"/>
              </w:rPr>
              <w:t>National Risk Index of Utility Proxy Group and Tampa Electric Company</w:t>
            </w:r>
          </w:p>
          <w:p w14:paraId="09EF88FA" w14:textId="77777777" w:rsidR="00DF4F5E" w:rsidRPr="009F1FA3" w:rsidRDefault="003A36F1" w:rsidP="00191EAC">
            <w:pPr>
              <w:pStyle w:val="ListParagraph"/>
              <w:suppressAutoHyphens/>
              <w:ind w:left="0"/>
              <w:jc w:val="left"/>
              <w:rPr>
                <w:szCs w:val="24"/>
              </w:rPr>
            </w:pPr>
            <w:r>
              <w:rPr>
                <w:szCs w:val="24"/>
              </w:rPr>
              <w:t xml:space="preserve">13. </w:t>
            </w:r>
            <w:r w:rsidR="00DF4F5E" w:rsidRPr="009F1FA3">
              <w:rPr>
                <w:szCs w:val="24"/>
              </w:rPr>
              <w:t>Comparison of Projected Capital Expenditures Relative to Net Plant</w:t>
            </w:r>
          </w:p>
          <w:p w14:paraId="45668F60" w14:textId="77777777" w:rsidR="00DF4F5E" w:rsidRPr="009F1FA3" w:rsidRDefault="003A36F1" w:rsidP="00191EAC">
            <w:pPr>
              <w:pStyle w:val="ListParagraph"/>
              <w:suppressAutoHyphens/>
              <w:ind w:left="0"/>
              <w:jc w:val="left"/>
              <w:rPr>
                <w:szCs w:val="24"/>
              </w:rPr>
            </w:pPr>
            <w:r>
              <w:rPr>
                <w:szCs w:val="24"/>
              </w:rPr>
              <w:t xml:space="preserve">14. </w:t>
            </w:r>
            <w:r w:rsidR="00DF4F5E" w:rsidRPr="009F1FA3">
              <w:rPr>
                <w:szCs w:val="24"/>
              </w:rPr>
              <w:t>Fama and French – Figure 2</w:t>
            </w:r>
          </w:p>
          <w:p w14:paraId="0A972454" w14:textId="77777777" w:rsidR="00DF4F5E" w:rsidRPr="009F1FA3" w:rsidRDefault="003A36F1" w:rsidP="00191EAC">
            <w:pPr>
              <w:pStyle w:val="ListParagraph"/>
              <w:suppressAutoHyphens/>
              <w:ind w:left="0"/>
              <w:jc w:val="left"/>
              <w:rPr>
                <w:szCs w:val="24"/>
              </w:rPr>
            </w:pPr>
            <w:r>
              <w:rPr>
                <w:szCs w:val="24"/>
              </w:rPr>
              <w:t xml:space="preserve">15. </w:t>
            </w:r>
            <w:r w:rsidR="00DF4F5E" w:rsidRPr="009F1FA3">
              <w:rPr>
                <w:szCs w:val="24"/>
              </w:rPr>
              <w:t xml:space="preserve">Referenced Endnotes for the </w:t>
            </w:r>
            <w:r w:rsidR="00DF4F5E" w:rsidRPr="009F1FA3">
              <w:rPr>
                <w:szCs w:val="24"/>
              </w:rPr>
              <w:lastRenderedPageBreak/>
              <w:t>Prepared Direct Testimony of Dylan W. D’Ascendis</w:t>
            </w:r>
          </w:p>
        </w:tc>
      </w:tr>
      <w:tr w:rsidR="00F5605A" w:rsidRPr="00701945" w14:paraId="151C49A4" w14:textId="77777777" w:rsidTr="006C174A">
        <w:trPr>
          <w:cantSplit/>
          <w:trHeight w:val="360"/>
        </w:trPr>
        <w:tc>
          <w:tcPr>
            <w:tcW w:w="2970" w:type="dxa"/>
          </w:tcPr>
          <w:p w14:paraId="777D3F2C" w14:textId="77777777" w:rsidR="00DF4F5E" w:rsidRPr="009F1FA3" w:rsidRDefault="00DF4F5E" w:rsidP="00191EAC">
            <w:pPr>
              <w:suppressAutoHyphens/>
            </w:pPr>
            <w:r w:rsidRPr="009F1FA3">
              <w:lastRenderedPageBreak/>
              <w:t>John Heisey</w:t>
            </w:r>
          </w:p>
        </w:tc>
        <w:tc>
          <w:tcPr>
            <w:tcW w:w="1350" w:type="dxa"/>
          </w:tcPr>
          <w:p w14:paraId="1AED835B" w14:textId="77777777" w:rsidR="00DF4F5E" w:rsidRPr="009F1FA3" w:rsidRDefault="00DF4F5E" w:rsidP="00191EAC">
            <w:pPr>
              <w:suppressAutoHyphens/>
              <w:jc w:val="center"/>
            </w:pPr>
            <w:r w:rsidRPr="009F1FA3">
              <w:t>TECO</w:t>
            </w:r>
          </w:p>
        </w:tc>
        <w:tc>
          <w:tcPr>
            <w:tcW w:w="1260" w:type="dxa"/>
          </w:tcPr>
          <w:p w14:paraId="24D50404" w14:textId="77777777" w:rsidR="00DF4F5E" w:rsidRPr="009F1FA3" w:rsidRDefault="00DF4F5E" w:rsidP="00191EAC">
            <w:pPr>
              <w:suppressAutoHyphens/>
              <w:jc w:val="center"/>
            </w:pPr>
            <w:r w:rsidRPr="009F1FA3">
              <w:t>JH-1</w:t>
            </w:r>
          </w:p>
        </w:tc>
        <w:tc>
          <w:tcPr>
            <w:tcW w:w="3870" w:type="dxa"/>
          </w:tcPr>
          <w:p w14:paraId="1B07CBA5" w14:textId="77777777" w:rsidR="00DF4F5E" w:rsidRPr="009F1FA3" w:rsidRDefault="003A36F1" w:rsidP="00191EAC">
            <w:pPr>
              <w:pStyle w:val="ListParagraph"/>
              <w:suppressAutoHyphens/>
              <w:ind w:left="0"/>
              <w:jc w:val="left"/>
              <w:rPr>
                <w:szCs w:val="24"/>
              </w:rPr>
            </w:pPr>
            <w:r>
              <w:rPr>
                <w:szCs w:val="24"/>
              </w:rPr>
              <w:t xml:space="preserve">1. </w:t>
            </w:r>
            <w:r w:rsidR="00DF4F5E" w:rsidRPr="009F1FA3">
              <w:rPr>
                <w:szCs w:val="24"/>
              </w:rPr>
              <w:t>Asset Optimization Mechanism Results 2018-2023</w:t>
            </w:r>
          </w:p>
        </w:tc>
      </w:tr>
      <w:tr w:rsidR="00F5605A" w:rsidRPr="00701945" w14:paraId="03436EC5" w14:textId="77777777" w:rsidTr="006C174A">
        <w:trPr>
          <w:cantSplit/>
          <w:trHeight w:val="360"/>
        </w:trPr>
        <w:tc>
          <w:tcPr>
            <w:tcW w:w="2970" w:type="dxa"/>
          </w:tcPr>
          <w:p w14:paraId="7941E41A" w14:textId="77777777" w:rsidR="00DF4F5E" w:rsidRPr="009F1FA3" w:rsidRDefault="00DF4F5E" w:rsidP="00191EAC">
            <w:pPr>
              <w:suppressAutoHyphens/>
            </w:pPr>
            <w:r w:rsidRPr="009F1FA3">
              <w:t>Valerie Strickland</w:t>
            </w:r>
          </w:p>
        </w:tc>
        <w:tc>
          <w:tcPr>
            <w:tcW w:w="1350" w:type="dxa"/>
          </w:tcPr>
          <w:p w14:paraId="6FD8BD3E" w14:textId="77777777" w:rsidR="00DF4F5E" w:rsidRPr="009F1FA3" w:rsidRDefault="00DF4F5E" w:rsidP="00191EAC">
            <w:pPr>
              <w:suppressAutoHyphens/>
              <w:jc w:val="center"/>
            </w:pPr>
            <w:r w:rsidRPr="009F1FA3">
              <w:t>TECO</w:t>
            </w:r>
          </w:p>
        </w:tc>
        <w:tc>
          <w:tcPr>
            <w:tcW w:w="1260" w:type="dxa"/>
          </w:tcPr>
          <w:p w14:paraId="68E0E0D7" w14:textId="77777777" w:rsidR="00DF4F5E" w:rsidRPr="009F1FA3" w:rsidRDefault="00DF4F5E" w:rsidP="00191EAC">
            <w:pPr>
              <w:suppressAutoHyphens/>
              <w:jc w:val="center"/>
            </w:pPr>
            <w:r w:rsidRPr="009F1FA3">
              <w:t>VS-1</w:t>
            </w:r>
          </w:p>
        </w:tc>
        <w:tc>
          <w:tcPr>
            <w:tcW w:w="3870" w:type="dxa"/>
          </w:tcPr>
          <w:p w14:paraId="161E98E9" w14:textId="77777777" w:rsidR="00DF4F5E" w:rsidRPr="009F1FA3" w:rsidRDefault="003A36F1" w:rsidP="00191EAC">
            <w:pPr>
              <w:pStyle w:val="ListParagraph"/>
              <w:suppressAutoHyphens/>
              <w:ind w:left="0"/>
              <w:jc w:val="left"/>
              <w:rPr>
                <w:szCs w:val="24"/>
              </w:rPr>
            </w:pPr>
            <w:r>
              <w:t xml:space="preserve">1. </w:t>
            </w:r>
            <w:r w:rsidR="00DF4F5E" w:rsidRPr="009F1FA3">
              <w:t>List of Minimum Filing Requirement Schedules Sponsored or Co-Sponsored by Valerie Strickland</w:t>
            </w:r>
          </w:p>
          <w:p w14:paraId="2EDCDF56" w14:textId="77777777" w:rsidR="00DF4F5E" w:rsidRPr="009F1FA3" w:rsidRDefault="003A36F1" w:rsidP="00191EAC">
            <w:pPr>
              <w:pStyle w:val="ListParagraph"/>
              <w:suppressAutoHyphens/>
              <w:ind w:left="0"/>
              <w:jc w:val="left"/>
              <w:rPr>
                <w:szCs w:val="24"/>
              </w:rPr>
            </w:pPr>
            <w:r>
              <w:rPr>
                <w:szCs w:val="24"/>
              </w:rPr>
              <w:t xml:space="preserve">2. </w:t>
            </w:r>
            <w:r w:rsidR="00DF4F5E" w:rsidRPr="009F1FA3">
              <w:rPr>
                <w:szCs w:val="24"/>
              </w:rPr>
              <w:t>Calculation of 2025 PTC Revenue Requirement Impact and Proposed Amortization of Deferred PTC Benefit</w:t>
            </w:r>
          </w:p>
          <w:p w14:paraId="6A70C506" w14:textId="77777777" w:rsidR="00DF4F5E" w:rsidRPr="009F1FA3" w:rsidRDefault="003A36F1" w:rsidP="00191EAC">
            <w:pPr>
              <w:pStyle w:val="ListParagraph"/>
              <w:suppressAutoHyphens/>
              <w:ind w:left="0"/>
              <w:jc w:val="left"/>
              <w:rPr>
                <w:szCs w:val="24"/>
              </w:rPr>
            </w:pPr>
            <w:r>
              <w:rPr>
                <w:szCs w:val="24"/>
              </w:rPr>
              <w:t xml:space="preserve">3. </w:t>
            </w:r>
            <w:r w:rsidR="00DF4F5E" w:rsidRPr="009F1FA3">
              <w:rPr>
                <w:szCs w:val="24"/>
              </w:rPr>
              <w:t>Calculation of IRC Required Deferred Income Tax Adjustment</w:t>
            </w:r>
          </w:p>
        </w:tc>
      </w:tr>
      <w:tr w:rsidR="00F5605A" w:rsidRPr="00701945" w14:paraId="16852D4E" w14:textId="77777777" w:rsidTr="006C174A">
        <w:trPr>
          <w:cantSplit/>
          <w:trHeight w:val="360"/>
        </w:trPr>
        <w:tc>
          <w:tcPr>
            <w:tcW w:w="2970" w:type="dxa"/>
          </w:tcPr>
          <w:p w14:paraId="4CFD2B25" w14:textId="77777777" w:rsidR="00DF4F5E" w:rsidRPr="009F1FA3" w:rsidRDefault="00DF4F5E" w:rsidP="00191EAC">
            <w:pPr>
              <w:suppressAutoHyphens/>
            </w:pPr>
            <w:r w:rsidRPr="009F1FA3">
              <w:t>Jeff Chronister</w:t>
            </w:r>
          </w:p>
        </w:tc>
        <w:tc>
          <w:tcPr>
            <w:tcW w:w="1350" w:type="dxa"/>
          </w:tcPr>
          <w:p w14:paraId="276D1166" w14:textId="77777777" w:rsidR="00DF4F5E" w:rsidRPr="009F1FA3" w:rsidRDefault="00DF4F5E" w:rsidP="00191EAC">
            <w:pPr>
              <w:suppressAutoHyphens/>
              <w:jc w:val="center"/>
            </w:pPr>
            <w:r w:rsidRPr="009F1FA3">
              <w:t>TECO</w:t>
            </w:r>
          </w:p>
        </w:tc>
        <w:tc>
          <w:tcPr>
            <w:tcW w:w="1260" w:type="dxa"/>
          </w:tcPr>
          <w:p w14:paraId="1E413034" w14:textId="77777777" w:rsidR="00DF4F5E" w:rsidRPr="009F1FA3" w:rsidRDefault="00DF4F5E" w:rsidP="00191EAC">
            <w:pPr>
              <w:suppressAutoHyphens/>
              <w:jc w:val="center"/>
            </w:pPr>
            <w:r w:rsidRPr="009F1FA3">
              <w:t>JC-1</w:t>
            </w:r>
          </w:p>
        </w:tc>
        <w:tc>
          <w:tcPr>
            <w:tcW w:w="3870" w:type="dxa"/>
          </w:tcPr>
          <w:p w14:paraId="45E2EC91" w14:textId="77777777" w:rsidR="00DF4F5E" w:rsidRPr="009F1FA3" w:rsidRDefault="00655A8A" w:rsidP="00655A8A">
            <w:pPr>
              <w:pStyle w:val="ListParagraph"/>
              <w:suppressAutoHyphens/>
              <w:ind w:left="0"/>
              <w:jc w:val="left"/>
              <w:rPr>
                <w:szCs w:val="24"/>
              </w:rPr>
            </w:pPr>
            <w:r>
              <w:t xml:space="preserve">1. </w:t>
            </w:r>
            <w:r w:rsidR="00DF4F5E" w:rsidRPr="009F1FA3">
              <w:t>List of Minimum Filing Requirement Schedules Sponsored or Co-Sponsored by Jeff Chronister</w:t>
            </w:r>
          </w:p>
          <w:p w14:paraId="2D9A60ED" w14:textId="77777777" w:rsidR="00DF4F5E" w:rsidRPr="009F1FA3" w:rsidRDefault="00655A8A" w:rsidP="00655A8A">
            <w:pPr>
              <w:pStyle w:val="ListParagraph"/>
              <w:suppressAutoHyphens/>
              <w:ind w:left="0"/>
              <w:jc w:val="left"/>
              <w:rPr>
                <w:szCs w:val="24"/>
              </w:rPr>
            </w:pPr>
            <w:r>
              <w:rPr>
                <w:szCs w:val="24"/>
              </w:rPr>
              <w:t xml:space="preserve">2. </w:t>
            </w:r>
            <w:r w:rsidR="00DF4F5E" w:rsidRPr="009F1FA3">
              <w:rPr>
                <w:szCs w:val="24"/>
              </w:rPr>
              <w:t xml:space="preserve">Final Order No. PSC-2021-0423-S-EI Approving 2021 Stipulation Settlement Agreement (without Attachment C – Tariffs) </w:t>
            </w:r>
          </w:p>
        </w:tc>
      </w:tr>
      <w:tr w:rsidR="00F5605A" w:rsidRPr="00701945" w14:paraId="6B0D52E9" w14:textId="77777777" w:rsidTr="006C174A">
        <w:trPr>
          <w:trHeight w:val="360"/>
        </w:trPr>
        <w:tc>
          <w:tcPr>
            <w:tcW w:w="2970" w:type="dxa"/>
          </w:tcPr>
          <w:p w14:paraId="0E27CE93" w14:textId="77777777" w:rsidR="00DF4F5E" w:rsidRPr="009F1FA3" w:rsidRDefault="00DF4F5E" w:rsidP="00191EAC">
            <w:pPr>
              <w:suppressAutoHyphens/>
            </w:pPr>
            <w:r w:rsidRPr="009F1FA3">
              <w:t>Jeff Chronister</w:t>
            </w:r>
          </w:p>
          <w:p w14:paraId="282C8A96" w14:textId="77777777" w:rsidR="008678E5" w:rsidRPr="009F1FA3" w:rsidRDefault="008678E5" w:rsidP="00191EAC">
            <w:pPr>
              <w:suppressAutoHyphens/>
            </w:pPr>
            <w:r w:rsidRPr="009F1FA3">
              <w:t>Vol. II</w:t>
            </w:r>
          </w:p>
        </w:tc>
        <w:tc>
          <w:tcPr>
            <w:tcW w:w="1350" w:type="dxa"/>
          </w:tcPr>
          <w:p w14:paraId="4FCD6446" w14:textId="77777777" w:rsidR="00DF4F5E" w:rsidRPr="009F1FA3" w:rsidRDefault="00DF4F5E" w:rsidP="00191EAC">
            <w:pPr>
              <w:suppressAutoHyphens/>
              <w:jc w:val="center"/>
            </w:pPr>
            <w:r w:rsidRPr="009F1FA3">
              <w:t>TECO</w:t>
            </w:r>
          </w:p>
        </w:tc>
        <w:tc>
          <w:tcPr>
            <w:tcW w:w="1260" w:type="dxa"/>
          </w:tcPr>
          <w:p w14:paraId="158CABB9" w14:textId="77777777" w:rsidR="00DF4F5E" w:rsidRPr="009F1FA3" w:rsidRDefault="00DF4F5E" w:rsidP="00191EAC">
            <w:pPr>
              <w:suppressAutoHyphens/>
              <w:jc w:val="center"/>
            </w:pPr>
            <w:r w:rsidRPr="009F1FA3">
              <w:t>JC-2</w:t>
            </w:r>
          </w:p>
        </w:tc>
        <w:tc>
          <w:tcPr>
            <w:tcW w:w="3870" w:type="dxa"/>
          </w:tcPr>
          <w:p w14:paraId="50A486F6" w14:textId="77777777" w:rsidR="00DF4F5E" w:rsidRPr="009F1FA3" w:rsidRDefault="00655A8A" w:rsidP="00655A8A">
            <w:pPr>
              <w:pStyle w:val="ListParagraph"/>
              <w:suppressAutoHyphens/>
              <w:ind w:left="0"/>
              <w:jc w:val="left"/>
              <w:rPr>
                <w:szCs w:val="24"/>
              </w:rPr>
            </w:pPr>
            <w:r>
              <w:t xml:space="preserve">1. </w:t>
            </w:r>
            <w:r w:rsidR="00DF4F5E" w:rsidRPr="009F1FA3">
              <w:t>List of Minimum Filing Requirement Schedules Sponsored or Co-Sponsored by Richard Latta (now Chronister II)</w:t>
            </w:r>
          </w:p>
          <w:p w14:paraId="52DA7265" w14:textId="77777777" w:rsidR="00DF4F5E" w:rsidRPr="009F1FA3" w:rsidRDefault="00655A8A" w:rsidP="00655A8A">
            <w:pPr>
              <w:pStyle w:val="ListParagraph"/>
              <w:suppressAutoHyphens/>
              <w:ind w:left="0"/>
              <w:jc w:val="left"/>
              <w:rPr>
                <w:szCs w:val="24"/>
              </w:rPr>
            </w:pPr>
            <w:r>
              <w:rPr>
                <w:szCs w:val="24"/>
              </w:rPr>
              <w:t xml:space="preserve">2. </w:t>
            </w:r>
            <w:r w:rsidR="00DF4F5E" w:rsidRPr="009F1FA3">
              <w:rPr>
                <w:szCs w:val="24"/>
              </w:rPr>
              <w:t>2019 – 2025 Budgeted Versus Actual Jurisdictional Adjusted Rate Base</w:t>
            </w:r>
          </w:p>
          <w:p w14:paraId="21635D2B" w14:textId="77777777" w:rsidR="00DF4F5E" w:rsidRPr="009F1FA3" w:rsidRDefault="00655A8A" w:rsidP="00655A8A">
            <w:pPr>
              <w:pStyle w:val="ListParagraph"/>
              <w:suppressAutoHyphens/>
              <w:ind w:left="0"/>
              <w:jc w:val="left"/>
              <w:rPr>
                <w:szCs w:val="24"/>
              </w:rPr>
            </w:pPr>
            <w:r>
              <w:rPr>
                <w:szCs w:val="24"/>
              </w:rPr>
              <w:t xml:space="preserve">3. </w:t>
            </w:r>
            <w:r w:rsidR="00DF4F5E" w:rsidRPr="009F1FA3">
              <w:rPr>
                <w:szCs w:val="24"/>
              </w:rPr>
              <w:t>2022-2025 Total Company Capital Investments</w:t>
            </w:r>
          </w:p>
          <w:p w14:paraId="7BF9F13E" w14:textId="77777777" w:rsidR="00DF4F5E" w:rsidRPr="009F1FA3" w:rsidRDefault="00655A8A" w:rsidP="00655A8A">
            <w:pPr>
              <w:pStyle w:val="ListParagraph"/>
              <w:suppressAutoHyphens/>
              <w:ind w:left="0"/>
              <w:jc w:val="left"/>
              <w:rPr>
                <w:szCs w:val="24"/>
              </w:rPr>
            </w:pPr>
            <w:r>
              <w:rPr>
                <w:szCs w:val="24"/>
              </w:rPr>
              <w:t xml:space="preserve">4. </w:t>
            </w:r>
            <w:r w:rsidR="00DF4F5E" w:rsidRPr="009F1FA3">
              <w:rPr>
                <w:szCs w:val="24"/>
              </w:rPr>
              <w:t>2022-2025 O&amp;M Expense</w:t>
            </w:r>
          </w:p>
          <w:p w14:paraId="3EA8C153" w14:textId="77777777" w:rsidR="00DF4F5E" w:rsidRPr="009F1FA3" w:rsidRDefault="00655A8A" w:rsidP="00655A8A">
            <w:pPr>
              <w:pStyle w:val="ListParagraph"/>
              <w:suppressAutoHyphens/>
              <w:ind w:left="0"/>
              <w:jc w:val="left"/>
              <w:rPr>
                <w:szCs w:val="24"/>
              </w:rPr>
            </w:pPr>
            <w:r>
              <w:rPr>
                <w:szCs w:val="24"/>
              </w:rPr>
              <w:t xml:space="preserve">5. </w:t>
            </w:r>
            <w:r w:rsidR="00DF4F5E" w:rsidRPr="009F1FA3">
              <w:rPr>
                <w:szCs w:val="24"/>
              </w:rPr>
              <w:t xml:space="preserve">2026 and 2027 Subsequent Year Adjustment (SYA) Details </w:t>
            </w:r>
          </w:p>
        </w:tc>
      </w:tr>
      <w:tr w:rsidR="00F5605A" w:rsidRPr="00701945" w14:paraId="74D65807" w14:textId="77777777" w:rsidTr="006C174A">
        <w:trPr>
          <w:cantSplit/>
          <w:trHeight w:val="360"/>
        </w:trPr>
        <w:tc>
          <w:tcPr>
            <w:tcW w:w="2970" w:type="dxa"/>
          </w:tcPr>
          <w:p w14:paraId="7932929A" w14:textId="77777777" w:rsidR="00924D83" w:rsidRPr="009F1FA3" w:rsidRDefault="00924D83" w:rsidP="00191EAC">
            <w:pPr>
              <w:suppressAutoHyphens/>
            </w:pPr>
            <w:r w:rsidRPr="009F1FA3">
              <w:t>Ashley Sizemore</w:t>
            </w:r>
          </w:p>
        </w:tc>
        <w:tc>
          <w:tcPr>
            <w:tcW w:w="1350" w:type="dxa"/>
          </w:tcPr>
          <w:p w14:paraId="242F15C2" w14:textId="77777777" w:rsidR="00924D83" w:rsidRPr="009F1FA3" w:rsidRDefault="00924D83" w:rsidP="00191EAC">
            <w:pPr>
              <w:suppressAutoHyphens/>
              <w:jc w:val="center"/>
            </w:pPr>
            <w:r w:rsidRPr="009F1FA3">
              <w:t>TECO</w:t>
            </w:r>
          </w:p>
        </w:tc>
        <w:tc>
          <w:tcPr>
            <w:tcW w:w="1260" w:type="dxa"/>
          </w:tcPr>
          <w:p w14:paraId="3D627809" w14:textId="77777777" w:rsidR="00924D83" w:rsidRPr="009F1FA3" w:rsidRDefault="00924D83" w:rsidP="00191EAC">
            <w:pPr>
              <w:suppressAutoHyphens/>
              <w:jc w:val="center"/>
            </w:pPr>
            <w:r w:rsidRPr="009F1FA3">
              <w:t>AS-1</w:t>
            </w:r>
          </w:p>
        </w:tc>
        <w:tc>
          <w:tcPr>
            <w:tcW w:w="3870" w:type="dxa"/>
          </w:tcPr>
          <w:p w14:paraId="05A3D2D4" w14:textId="77777777" w:rsidR="00924D83" w:rsidRPr="009F1FA3" w:rsidRDefault="00655A8A" w:rsidP="00655A8A">
            <w:pPr>
              <w:pStyle w:val="ListParagraph"/>
              <w:suppressAutoHyphens/>
              <w:ind w:left="0"/>
              <w:jc w:val="left"/>
              <w:rPr>
                <w:szCs w:val="24"/>
              </w:rPr>
            </w:pPr>
            <w:r>
              <w:t xml:space="preserve">1. </w:t>
            </w:r>
            <w:r w:rsidR="00924D83" w:rsidRPr="009F1FA3">
              <w:t>CETM Schedules for the period 2022 through 2024</w:t>
            </w:r>
          </w:p>
          <w:p w14:paraId="78DBD585" w14:textId="77777777" w:rsidR="00924D83" w:rsidRPr="009F1FA3" w:rsidRDefault="00655A8A" w:rsidP="00655A8A">
            <w:pPr>
              <w:pStyle w:val="ListParagraph"/>
              <w:suppressAutoHyphens/>
              <w:ind w:left="0"/>
              <w:jc w:val="left"/>
              <w:rPr>
                <w:szCs w:val="24"/>
              </w:rPr>
            </w:pPr>
            <w:r>
              <w:rPr>
                <w:szCs w:val="24"/>
              </w:rPr>
              <w:t xml:space="preserve">2. </w:t>
            </w:r>
            <w:r w:rsidR="00924D83" w:rsidRPr="009F1FA3">
              <w:rPr>
                <w:szCs w:val="24"/>
              </w:rPr>
              <w:t>CETM True Up for 2025</w:t>
            </w:r>
          </w:p>
          <w:p w14:paraId="249B4C99" w14:textId="77777777" w:rsidR="00924D83" w:rsidRPr="009F1FA3" w:rsidRDefault="00655A8A" w:rsidP="00655A8A">
            <w:pPr>
              <w:pStyle w:val="ListParagraph"/>
              <w:suppressAutoHyphens/>
              <w:ind w:left="0"/>
              <w:jc w:val="left"/>
              <w:rPr>
                <w:szCs w:val="24"/>
              </w:rPr>
            </w:pPr>
            <w:r>
              <w:rPr>
                <w:szCs w:val="24"/>
              </w:rPr>
              <w:t xml:space="preserve">3. </w:t>
            </w:r>
            <w:r w:rsidR="00924D83" w:rsidRPr="009F1FA3">
              <w:rPr>
                <w:szCs w:val="24"/>
              </w:rPr>
              <w:t>CETM Factors for 2025</w:t>
            </w:r>
          </w:p>
        </w:tc>
      </w:tr>
      <w:tr w:rsidR="00F5605A" w:rsidRPr="00701945" w14:paraId="0222369F" w14:textId="77777777" w:rsidTr="006C174A">
        <w:trPr>
          <w:cantSplit/>
          <w:trHeight w:val="360"/>
        </w:trPr>
        <w:tc>
          <w:tcPr>
            <w:tcW w:w="2970" w:type="dxa"/>
          </w:tcPr>
          <w:p w14:paraId="5DFC0B90" w14:textId="77777777" w:rsidR="00924D83" w:rsidRPr="009F1FA3" w:rsidRDefault="00924D83" w:rsidP="00191EAC">
            <w:pPr>
              <w:suppressAutoHyphens/>
            </w:pPr>
            <w:r w:rsidRPr="009F1FA3">
              <w:lastRenderedPageBreak/>
              <w:t>Jordan Williams</w:t>
            </w:r>
          </w:p>
        </w:tc>
        <w:tc>
          <w:tcPr>
            <w:tcW w:w="1350" w:type="dxa"/>
          </w:tcPr>
          <w:p w14:paraId="29547971" w14:textId="77777777" w:rsidR="00924D83" w:rsidRPr="009F1FA3" w:rsidRDefault="00924D83" w:rsidP="00191EAC">
            <w:pPr>
              <w:suppressAutoHyphens/>
              <w:jc w:val="center"/>
            </w:pPr>
            <w:r w:rsidRPr="009F1FA3">
              <w:t>TECO</w:t>
            </w:r>
          </w:p>
        </w:tc>
        <w:tc>
          <w:tcPr>
            <w:tcW w:w="1260" w:type="dxa"/>
          </w:tcPr>
          <w:p w14:paraId="28C3ADA2" w14:textId="77777777" w:rsidR="00924D83" w:rsidRPr="009F1FA3" w:rsidRDefault="00924D83" w:rsidP="00191EAC">
            <w:pPr>
              <w:suppressAutoHyphens/>
              <w:jc w:val="center"/>
            </w:pPr>
            <w:r w:rsidRPr="009F1FA3">
              <w:t>JW-1</w:t>
            </w:r>
          </w:p>
        </w:tc>
        <w:tc>
          <w:tcPr>
            <w:tcW w:w="3870" w:type="dxa"/>
          </w:tcPr>
          <w:p w14:paraId="75E8E190" w14:textId="77777777" w:rsidR="00924D83" w:rsidRPr="009F1FA3" w:rsidRDefault="00655A8A" w:rsidP="00655A8A">
            <w:pPr>
              <w:pStyle w:val="ListParagraph"/>
              <w:suppressAutoHyphens/>
              <w:ind w:left="0"/>
              <w:jc w:val="left"/>
              <w:rPr>
                <w:szCs w:val="24"/>
              </w:rPr>
            </w:pPr>
            <w:r>
              <w:t xml:space="preserve">1. </w:t>
            </w:r>
            <w:r w:rsidR="00924D83" w:rsidRPr="009F1FA3">
              <w:t>List of Minimum Filing Requirement Schedules Sponsored or Co-Sponsored By Jordan Williams</w:t>
            </w:r>
          </w:p>
        </w:tc>
      </w:tr>
      <w:tr w:rsidR="006E27E1" w:rsidRPr="00701945" w14:paraId="1C05EF1F" w14:textId="77777777" w:rsidTr="006C174A">
        <w:trPr>
          <w:cantSplit/>
          <w:trHeight w:val="360"/>
        </w:trPr>
        <w:tc>
          <w:tcPr>
            <w:tcW w:w="2970" w:type="dxa"/>
          </w:tcPr>
          <w:p w14:paraId="7596150D" w14:textId="77777777" w:rsidR="006E27E1" w:rsidRDefault="006E27E1" w:rsidP="006E27E1">
            <w:r w:rsidRPr="00023340">
              <w:rPr>
                <w:lang w:eastAsia="ar-SA"/>
              </w:rPr>
              <w:t>David Dismukes, Ph.D.</w:t>
            </w:r>
          </w:p>
        </w:tc>
        <w:tc>
          <w:tcPr>
            <w:tcW w:w="1350" w:type="dxa"/>
          </w:tcPr>
          <w:p w14:paraId="19B282C5" w14:textId="77777777" w:rsidR="006E27E1" w:rsidRDefault="006E27E1" w:rsidP="006E27E1">
            <w:pPr>
              <w:jc w:val="center"/>
            </w:pPr>
            <w:r w:rsidRPr="00AF388B">
              <w:rPr>
                <w:lang w:eastAsia="ar-SA"/>
              </w:rPr>
              <w:t>OPC</w:t>
            </w:r>
          </w:p>
        </w:tc>
        <w:tc>
          <w:tcPr>
            <w:tcW w:w="1260" w:type="dxa"/>
          </w:tcPr>
          <w:p w14:paraId="704F9176" w14:textId="77777777" w:rsidR="006E27E1" w:rsidRPr="009F1FA3" w:rsidRDefault="006E27E1" w:rsidP="006E27E1">
            <w:pPr>
              <w:pStyle w:val="ListParagraph"/>
              <w:ind w:left="0"/>
              <w:jc w:val="center"/>
              <w:rPr>
                <w:lang w:eastAsia="ar-SA"/>
              </w:rPr>
            </w:pPr>
            <w:r>
              <w:rPr>
                <w:lang w:eastAsia="ar-SA"/>
              </w:rPr>
              <w:t>DED-1</w:t>
            </w:r>
          </w:p>
        </w:tc>
        <w:tc>
          <w:tcPr>
            <w:tcW w:w="3870" w:type="dxa"/>
          </w:tcPr>
          <w:p w14:paraId="378C4A2A" w14:textId="77777777" w:rsidR="006E27E1" w:rsidRPr="009F1FA3" w:rsidRDefault="006E27E1" w:rsidP="006E27E1">
            <w:pPr>
              <w:pStyle w:val="ListParagraph"/>
              <w:ind w:left="0"/>
              <w:jc w:val="left"/>
              <w:rPr>
                <w:lang w:eastAsia="ar-SA"/>
              </w:rPr>
            </w:pPr>
            <w:r w:rsidRPr="0020415B">
              <w:rPr>
                <w:szCs w:val="24"/>
              </w:rPr>
              <w:t>Base Revenue Impact</w:t>
            </w:r>
          </w:p>
        </w:tc>
      </w:tr>
      <w:tr w:rsidR="006E27E1" w:rsidRPr="00701945" w14:paraId="68514129" w14:textId="77777777" w:rsidTr="006C174A">
        <w:trPr>
          <w:cantSplit/>
          <w:trHeight w:val="360"/>
        </w:trPr>
        <w:tc>
          <w:tcPr>
            <w:tcW w:w="2970" w:type="dxa"/>
          </w:tcPr>
          <w:p w14:paraId="2AB34524" w14:textId="77777777" w:rsidR="006E27E1" w:rsidRDefault="006E27E1" w:rsidP="006E27E1">
            <w:r w:rsidRPr="00023340">
              <w:rPr>
                <w:lang w:eastAsia="ar-SA"/>
              </w:rPr>
              <w:t>David Dismukes, Ph.D.</w:t>
            </w:r>
          </w:p>
        </w:tc>
        <w:tc>
          <w:tcPr>
            <w:tcW w:w="1350" w:type="dxa"/>
          </w:tcPr>
          <w:p w14:paraId="3A70377E" w14:textId="77777777" w:rsidR="006E27E1" w:rsidRDefault="006E27E1" w:rsidP="006E27E1">
            <w:pPr>
              <w:jc w:val="center"/>
            </w:pPr>
            <w:r w:rsidRPr="00AF388B">
              <w:rPr>
                <w:lang w:eastAsia="ar-SA"/>
              </w:rPr>
              <w:t>OPC</w:t>
            </w:r>
          </w:p>
        </w:tc>
        <w:tc>
          <w:tcPr>
            <w:tcW w:w="1260" w:type="dxa"/>
          </w:tcPr>
          <w:p w14:paraId="7E0DA633" w14:textId="77777777" w:rsidR="006E27E1" w:rsidRDefault="006E27E1" w:rsidP="006E27E1">
            <w:pPr>
              <w:jc w:val="center"/>
            </w:pPr>
            <w:r w:rsidRPr="000F6AFD">
              <w:rPr>
                <w:lang w:eastAsia="ar-SA"/>
              </w:rPr>
              <w:t>DED-</w:t>
            </w:r>
            <w:r>
              <w:rPr>
                <w:lang w:eastAsia="ar-SA"/>
              </w:rPr>
              <w:t>2</w:t>
            </w:r>
          </w:p>
        </w:tc>
        <w:tc>
          <w:tcPr>
            <w:tcW w:w="3870" w:type="dxa"/>
          </w:tcPr>
          <w:p w14:paraId="6CADF307" w14:textId="77777777" w:rsidR="006E27E1" w:rsidRPr="009F1FA3" w:rsidRDefault="006E27E1" w:rsidP="006E27E1">
            <w:pPr>
              <w:pStyle w:val="ListParagraph"/>
              <w:ind w:left="0"/>
              <w:jc w:val="left"/>
              <w:rPr>
                <w:lang w:eastAsia="ar-SA"/>
              </w:rPr>
            </w:pPr>
            <w:r w:rsidRPr="0020415B">
              <w:rPr>
                <w:szCs w:val="24"/>
              </w:rPr>
              <w:t>Out-Of-Model Adjustments</w:t>
            </w:r>
          </w:p>
        </w:tc>
      </w:tr>
      <w:tr w:rsidR="006E27E1" w:rsidRPr="00701945" w14:paraId="7888C766" w14:textId="77777777" w:rsidTr="006C174A">
        <w:trPr>
          <w:cantSplit/>
          <w:trHeight w:val="360"/>
        </w:trPr>
        <w:tc>
          <w:tcPr>
            <w:tcW w:w="2970" w:type="dxa"/>
          </w:tcPr>
          <w:p w14:paraId="103DB836" w14:textId="77777777" w:rsidR="006E27E1" w:rsidRDefault="006E27E1" w:rsidP="006E27E1">
            <w:r w:rsidRPr="00023340">
              <w:rPr>
                <w:lang w:eastAsia="ar-SA"/>
              </w:rPr>
              <w:t>David Dismukes, Ph.D.</w:t>
            </w:r>
          </w:p>
        </w:tc>
        <w:tc>
          <w:tcPr>
            <w:tcW w:w="1350" w:type="dxa"/>
          </w:tcPr>
          <w:p w14:paraId="2AD09BD4" w14:textId="77777777" w:rsidR="006E27E1" w:rsidRDefault="006E27E1" w:rsidP="006E27E1">
            <w:pPr>
              <w:jc w:val="center"/>
            </w:pPr>
            <w:r w:rsidRPr="00AF388B">
              <w:rPr>
                <w:lang w:eastAsia="ar-SA"/>
              </w:rPr>
              <w:t>OPC</w:t>
            </w:r>
          </w:p>
        </w:tc>
        <w:tc>
          <w:tcPr>
            <w:tcW w:w="1260" w:type="dxa"/>
          </w:tcPr>
          <w:p w14:paraId="1FF6CDF0" w14:textId="77777777" w:rsidR="006E27E1" w:rsidRDefault="006E27E1" w:rsidP="006E27E1">
            <w:pPr>
              <w:jc w:val="center"/>
            </w:pPr>
            <w:r w:rsidRPr="000F6AFD">
              <w:rPr>
                <w:lang w:eastAsia="ar-SA"/>
              </w:rPr>
              <w:t>DED-</w:t>
            </w:r>
            <w:r>
              <w:rPr>
                <w:lang w:eastAsia="ar-SA"/>
              </w:rPr>
              <w:t>3</w:t>
            </w:r>
          </w:p>
        </w:tc>
        <w:tc>
          <w:tcPr>
            <w:tcW w:w="3870" w:type="dxa"/>
          </w:tcPr>
          <w:p w14:paraId="5A473352" w14:textId="77777777" w:rsidR="006E27E1" w:rsidRPr="009F1FA3" w:rsidRDefault="009B4393" w:rsidP="006E27E1">
            <w:pPr>
              <w:pStyle w:val="ListParagraph"/>
              <w:ind w:left="0"/>
              <w:jc w:val="left"/>
              <w:rPr>
                <w:lang w:eastAsia="ar-SA"/>
              </w:rPr>
            </w:pPr>
            <w:r w:rsidRPr="0020415B">
              <w:rPr>
                <w:szCs w:val="24"/>
              </w:rPr>
              <w:t>Company Energy Sales and Customer Forecasts</w:t>
            </w:r>
          </w:p>
        </w:tc>
      </w:tr>
      <w:tr w:rsidR="006E27E1" w:rsidRPr="00701945" w14:paraId="4B9B2489" w14:textId="77777777" w:rsidTr="006C174A">
        <w:trPr>
          <w:cantSplit/>
          <w:trHeight w:val="360"/>
        </w:trPr>
        <w:tc>
          <w:tcPr>
            <w:tcW w:w="2970" w:type="dxa"/>
          </w:tcPr>
          <w:p w14:paraId="32568280" w14:textId="77777777" w:rsidR="006E27E1" w:rsidRDefault="006E27E1" w:rsidP="006E27E1">
            <w:r w:rsidRPr="00023340">
              <w:rPr>
                <w:lang w:eastAsia="ar-SA"/>
              </w:rPr>
              <w:t>David Dismukes, Ph.D.</w:t>
            </w:r>
          </w:p>
        </w:tc>
        <w:tc>
          <w:tcPr>
            <w:tcW w:w="1350" w:type="dxa"/>
          </w:tcPr>
          <w:p w14:paraId="3BD93873" w14:textId="77777777" w:rsidR="006E27E1" w:rsidRDefault="006E27E1" w:rsidP="006E27E1">
            <w:pPr>
              <w:jc w:val="center"/>
            </w:pPr>
            <w:r w:rsidRPr="00AF388B">
              <w:rPr>
                <w:lang w:eastAsia="ar-SA"/>
              </w:rPr>
              <w:t>OPC</w:t>
            </w:r>
          </w:p>
        </w:tc>
        <w:tc>
          <w:tcPr>
            <w:tcW w:w="1260" w:type="dxa"/>
          </w:tcPr>
          <w:p w14:paraId="1757665A" w14:textId="77777777" w:rsidR="006E27E1" w:rsidRDefault="006E27E1" w:rsidP="006E27E1">
            <w:pPr>
              <w:jc w:val="center"/>
            </w:pPr>
            <w:r w:rsidRPr="000F6AFD">
              <w:rPr>
                <w:lang w:eastAsia="ar-SA"/>
              </w:rPr>
              <w:t>DED-</w:t>
            </w:r>
            <w:r>
              <w:rPr>
                <w:lang w:eastAsia="ar-SA"/>
              </w:rPr>
              <w:t>4</w:t>
            </w:r>
          </w:p>
        </w:tc>
        <w:tc>
          <w:tcPr>
            <w:tcW w:w="3870" w:type="dxa"/>
          </w:tcPr>
          <w:p w14:paraId="0EFE449E" w14:textId="77777777" w:rsidR="006E27E1" w:rsidRPr="009F1FA3" w:rsidRDefault="009B4393" w:rsidP="006E27E1">
            <w:pPr>
              <w:pStyle w:val="ListParagraph"/>
              <w:ind w:left="0"/>
              <w:jc w:val="left"/>
              <w:rPr>
                <w:lang w:eastAsia="ar-SA"/>
              </w:rPr>
            </w:pPr>
            <w:r w:rsidRPr="0020415B">
              <w:rPr>
                <w:szCs w:val="24"/>
              </w:rPr>
              <w:t>Revised Sales Forecast Based on a Ten-Year Trend</w:t>
            </w:r>
          </w:p>
        </w:tc>
      </w:tr>
      <w:tr w:rsidR="006E27E1" w:rsidRPr="00701945" w14:paraId="6AFF67D3" w14:textId="77777777" w:rsidTr="006C174A">
        <w:trPr>
          <w:cantSplit/>
          <w:trHeight w:val="360"/>
        </w:trPr>
        <w:tc>
          <w:tcPr>
            <w:tcW w:w="2970" w:type="dxa"/>
          </w:tcPr>
          <w:p w14:paraId="19D56C05" w14:textId="77777777" w:rsidR="006E27E1" w:rsidRDefault="006E27E1" w:rsidP="006E27E1">
            <w:r w:rsidRPr="00023340">
              <w:rPr>
                <w:lang w:eastAsia="ar-SA"/>
              </w:rPr>
              <w:t>David Dismukes, Ph.D.</w:t>
            </w:r>
          </w:p>
        </w:tc>
        <w:tc>
          <w:tcPr>
            <w:tcW w:w="1350" w:type="dxa"/>
          </w:tcPr>
          <w:p w14:paraId="2B9DC3E6" w14:textId="77777777" w:rsidR="006E27E1" w:rsidRDefault="006E27E1" w:rsidP="006E27E1">
            <w:pPr>
              <w:jc w:val="center"/>
            </w:pPr>
            <w:r w:rsidRPr="00AF388B">
              <w:rPr>
                <w:lang w:eastAsia="ar-SA"/>
              </w:rPr>
              <w:t>OPC</w:t>
            </w:r>
          </w:p>
        </w:tc>
        <w:tc>
          <w:tcPr>
            <w:tcW w:w="1260" w:type="dxa"/>
          </w:tcPr>
          <w:p w14:paraId="5E711E5A" w14:textId="77777777" w:rsidR="006E27E1" w:rsidRDefault="006E27E1" w:rsidP="006E27E1">
            <w:pPr>
              <w:jc w:val="center"/>
            </w:pPr>
            <w:r w:rsidRPr="000F6AFD">
              <w:rPr>
                <w:lang w:eastAsia="ar-SA"/>
              </w:rPr>
              <w:t>DED-</w:t>
            </w:r>
            <w:r>
              <w:rPr>
                <w:lang w:eastAsia="ar-SA"/>
              </w:rPr>
              <w:t>5</w:t>
            </w:r>
          </w:p>
        </w:tc>
        <w:tc>
          <w:tcPr>
            <w:tcW w:w="3870" w:type="dxa"/>
          </w:tcPr>
          <w:p w14:paraId="34A64DB2" w14:textId="77777777" w:rsidR="006E27E1" w:rsidRPr="009F1FA3" w:rsidRDefault="009B4393" w:rsidP="006E27E1">
            <w:pPr>
              <w:pStyle w:val="ListParagraph"/>
              <w:ind w:left="0"/>
              <w:jc w:val="left"/>
              <w:rPr>
                <w:lang w:eastAsia="ar-SA"/>
              </w:rPr>
            </w:pPr>
            <w:r w:rsidRPr="0020415B">
              <w:rPr>
                <w:szCs w:val="24"/>
              </w:rPr>
              <w:t>Usage Per Customer Utility Survey</w:t>
            </w:r>
          </w:p>
        </w:tc>
      </w:tr>
      <w:tr w:rsidR="006E27E1" w:rsidRPr="00701945" w14:paraId="2093D0E8" w14:textId="77777777" w:rsidTr="006C174A">
        <w:trPr>
          <w:cantSplit/>
          <w:trHeight w:val="360"/>
        </w:trPr>
        <w:tc>
          <w:tcPr>
            <w:tcW w:w="2970" w:type="dxa"/>
          </w:tcPr>
          <w:p w14:paraId="633EF266" w14:textId="77777777" w:rsidR="006E27E1" w:rsidRDefault="006E27E1" w:rsidP="006E27E1">
            <w:r w:rsidRPr="00023340">
              <w:rPr>
                <w:lang w:eastAsia="ar-SA"/>
              </w:rPr>
              <w:t>David Dismukes, Ph.D.</w:t>
            </w:r>
          </w:p>
        </w:tc>
        <w:tc>
          <w:tcPr>
            <w:tcW w:w="1350" w:type="dxa"/>
          </w:tcPr>
          <w:p w14:paraId="00E630DD" w14:textId="77777777" w:rsidR="006E27E1" w:rsidRDefault="006E27E1" w:rsidP="006E27E1">
            <w:pPr>
              <w:jc w:val="center"/>
            </w:pPr>
            <w:r w:rsidRPr="00AF388B">
              <w:rPr>
                <w:lang w:eastAsia="ar-SA"/>
              </w:rPr>
              <w:t>OPC</w:t>
            </w:r>
          </w:p>
        </w:tc>
        <w:tc>
          <w:tcPr>
            <w:tcW w:w="1260" w:type="dxa"/>
          </w:tcPr>
          <w:p w14:paraId="19ED40CA" w14:textId="77777777" w:rsidR="006E27E1" w:rsidRDefault="006E27E1" w:rsidP="006E27E1">
            <w:pPr>
              <w:jc w:val="center"/>
            </w:pPr>
            <w:r w:rsidRPr="000F6AFD">
              <w:rPr>
                <w:lang w:eastAsia="ar-SA"/>
              </w:rPr>
              <w:t>DED-</w:t>
            </w:r>
            <w:r>
              <w:rPr>
                <w:lang w:eastAsia="ar-SA"/>
              </w:rPr>
              <w:t>6</w:t>
            </w:r>
          </w:p>
        </w:tc>
        <w:tc>
          <w:tcPr>
            <w:tcW w:w="3870" w:type="dxa"/>
          </w:tcPr>
          <w:p w14:paraId="3DDB4932" w14:textId="77777777" w:rsidR="006E27E1" w:rsidRPr="009F1FA3" w:rsidRDefault="009B4393" w:rsidP="006E27E1">
            <w:pPr>
              <w:pStyle w:val="ListParagraph"/>
              <w:ind w:left="0"/>
              <w:jc w:val="left"/>
              <w:rPr>
                <w:lang w:eastAsia="ar-SA"/>
              </w:rPr>
            </w:pPr>
            <w:r w:rsidRPr="0020415B">
              <w:rPr>
                <w:szCs w:val="24"/>
              </w:rPr>
              <w:t>Forecast Variance Analysis</w:t>
            </w:r>
          </w:p>
        </w:tc>
      </w:tr>
      <w:tr w:rsidR="006E27E1" w:rsidRPr="00701945" w14:paraId="6466A9DB" w14:textId="77777777" w:rsidTr="006C174A">
        <w:trPr>
          <w:cantSplit/>
          <w:trHeight w:val="360"/>
        </w:trPr>
        <w:tc>
          <w:tcPr>
            <w:tcW w:w="2970" w:type="dxa"/>
          </w:tcPr>
          <w:p w14:paraId="61C205E2" w14:textId="77777777" w:rsidR="006E27E1" w:rsidRDefault="006E27E1" w:rsidP="006E27E1">
            <w:r w:rsidRPr="00023340">
              <w:rPr>
                <w:lang w:eastAsia="ar-SA"/>
              </w:rPr>
              <w:t>David Dismukes, Ph.D.</w:t>
            </w:r>
          </w:p>
        </w:tc>
        <w:tc>
          <w:tcPr>
            <w:tcW w:w="1350" w:type="dxa"/>
          </w:tcPr>
          <w:p w14:paraId="6B689261" w14:textId="77777777" w:rsidR="006E27E1" w:rsidRDefault="006E27E1" w:rsidP="006E27E1">
            <w:pPr>
              <w:jc w:val="center"/>
            </w:pPr>
            <w:r w:rsidRPr="00AF388B">
              <w:rPr>
                <w:lang w:eastAsia="ar-SA"/>
              </w:rPr>
              <w:t>OPC</w:t>
            </w:r>
          </w:p>
        </w:tc>
        <w:tc>
          <w:tcPr>
            <w:tcW w:w="1260" w:type="dxa"/>
          </w:tcPr>
          <w:p w14:paraId="25C486EE" w14:textId="77777777" w:rsidR="006E27E1" w:rsidRDefault="006E27E1" w:rsidP="006E27E1">
            <w:pPr>
              <w:jc w:val="center"/>
            </w:pPr>
            <w:r w:rsidRPr="000F6AFD">
              <w:rPr>
                <w:lang w:eastAsia="ar-SA"/>
              </w:rPr>
              <w:t>DED-</w:t>
            </w:r>
            <w:r>
              <w:rPr>
                <w:lang w:eastAsia="ar-SA"/>
              </w:rPr>
              <w:t>7</w:t>
            </w:r>
          </w:p>
        </w:tc>
        <w:tc>
          <w:tcPr>
            <w:tcW w:w="3870" w:type="dxa"/>
          </w:tcPr>
          <w:p w14:paraId="7F791D51" w14:textId="77777777" w:rsidR="006E27E1" w:rsidRPr="009F1FA3" w:rsidRDefault="009B4393" w:rsidP="006E27E1">
            <w:pPr>
              <w:pStyle w:val="ListParagraph"/>
              <w:ind w:left="0"/>
              <w:jc w:val="left"/>
              <w:rPr>
                <w:lang w:eastAsia="ar-SA"/>
              </w:rPr>
            </w:pPr>
            <w:r w:rsidRPr="0020415B">
              <w:rPr>
                <w:szCs w:val="24"/>
              </w:rPr>
              <w:t>Energy Affordability Index</w:t>
            </w:r>
          </w:p>
        </w:tc>
      </w:tr>
      <w:tr w:rsidR="00602A4D" w:rsidRPr="00701945" w14:paraId="041AE521" w14:textId="77777777" w:rsidTr="006C174A">
        <w:trPr>
          <w:cantSplit/>
          <w:trHeight w:val="360"/>
        </w:trPr>
        <w:tc>
          <w:tcPr>
            <w:tcW w:w="2970" w:type="dxa"/>
          </w:tcPr>
          <w:p w14:paraId="518F1318" w14:textId="77777777" w:rsidR="00602A4D" w:rsidRPr="009F1FA3" w:rsidRDefault="00602A4D" w:rsidP="00602A4D">
            <w:pPr>
              <w:pStyle w:val="ListParagraph"/>
              <w:ind w:left="0"/>
              <w:jc w:val="left"/>
              <w:rPr>
                <w:lang w:eastAsia="ar-SA"/>
              </w:rPr>
            </w:pPr>
            <w:r>
              <w:rPr>
                <w:lang w:eastAsia="ar-SA"/>
              </w:rPr>
              <w:t>Lane Kollen</w:t>
            </w:r>
          </w:p>
        </w:tc>
        <w:tc>
          <w:tcPr>
            <w:tcW w:w="1350" w:type="dxa"/>
          </w:tcPr>
          <w:p w14:paraId="78DC6611" w14:textId="77777777" w:rsidR="00602A4D" w:rsidRDefault="00602A4D" w:rsidP="00602A4D">
            <w:pPr>
              <w:jc w:val="center"/>
            </w:pPr>
            <w:r w:rsidRPr="00916450">
              <w:rPr>
                <w:lang w:eastAsia="ar-SA"/>
              </w:rPr>
              <w:t>OPC</w:t>
            </w:r>
          </w:p>
        </w:tc>
        <w:tc>
          <w:tcPr>
            <w:tcW w:w="1260" w:type="dxa"/>
          </w:tcPr>
          <w:p w14:paraId="3A449F06" w14:textId="77777777" w:rsidR="00602A4D" w:rsidRPr="009F1FA3" w:rsidRDefault="00602A4D" w:rsidP="00602A4D">
            <w:pPr>
              <w:pStyle w:val="ListParagraph"/>
              <w:ind w:left="0"/>
              <w:jc w:val="center"/>
              <w:rPr>
                <w:lang w:eastAsia="ar-SA"/>
              </w:rPr>
            </w:pPr>
            <w:r>
              <w:rPr>
                <w:lang w:eastAsia="ar-SA"/>
              </w:rPr>
              <w:t>LK-1</w:t>
            </w:r>
          </w:p>
        </w:tc>
        <w:tc>
          <w:tcPr>
            <w:tcW w:w="3870" w:type="dxa"/>
          </w:tcPr>
          <w:p w14:paraId="759584F7" w14:textId="77777777" w:rsidR="00602A4D" w:rsidRPr="009F1FA3" w:rsidRDefault="00602A4D" w:rsidP="00602A4D">
            <w:pPr>
              <w:pStyle w:val="ListParagraph"/>
              <w:ind w:left="0"/>
              <w:jc w:val="left"/>
              <w:rPr>
                <w:lang w:eastAsia="ar-SA"/>
              </w:rPr>
            </w:pPr>
            <w:r>
              <w:rPr>
                <w:szCs w:val="24"/>
              </w:rPr>
              <w:t>Resume of Lane Kollen</w:t>
            </w:r>
          </w:p>
        </w:tc>
      </w:tr>
      <w:tr w:rsidR="00602A4D" w:rsidRPr="00701945" w14:paraId="2F98479F" w14:textId="77777777" w:rsidTr="006C174A">
        <w:trPr>
          <w:cantSplit/>
          <w:trHeight w:val="360"/>
        </w:trPr>
        <w:tc>
          <w:tcPr>
            <w:tcW w:w="2970" w:type="dxa"/>
          </w:tcPr>
          <w:p w14:paraId="16D4DDF6" w14:textId="77777777" w:rsidR="00602A4D" w:rsidRDefault="00602A4D" w:rsidP="00602A4D">
            <w:r w:rsidRPr="009B3267">
              <w:rPr>
                <w:lang w:eastAsia="ar-SA"/>
              </w:rPr>
              <w:t>Lane Kollen</w:t>
            </w:r>
          </w:p>
        </w:tc>
        <w:tc>
          <w:tcPr>
            <w:tcW w:w="1350" w:type="dxa"/>
          </w:tcPr>
          <w:p w14:paraId="7F53D7F7" w14:textId="77777777" w:rsidR="00602A4D" w:rsidRDefault="00602A4D" w:rsidP="00602A4D">
            <w:pPr>
              <w:jc w:val="center"/>
            </w:pPr>
            <w:r w:rsidRPr="00916450">
              <w:rPr>
                <w:lang w:eastAsia="ar-SA"/>
              </w:rPr>
              <w:t>OPC</w:t>
            </w:r>
          </w:p>
        </w:tc>
        <w:tc>
          <w:tcPr>
            <w:tcW w:w="1260" w:type="dxa"/>
          </w:tcPr>
          <w:p w14:paraId="4E912860" w14:textId="77777777" w:rsidR="00602A4D" w:rsidRDefault="00602A4D" w:rsidP="00602A4D">
            <w:pPr>
              <w:jc w:val="center"/>
            </w:pPr>
            <w:r w:rsidRPr="009940FC">
              <w:rPr>
                <w:lang w:eastAsia="ar-SA"/>
              </w:rPr>
              <w:t>LK-</w:t>
            </w:r>
            <w:r>
              <w:rPr>
                <w:lang w:eastAsia="ar-SA"/>
              </w:rPr>
              <w:t>2</w:t>
            </w:r>
          </w:p>
        </w:tc>
        <w:tc>
          <w:tcPr>
            <w:tcW w:w="3870" w:type="dxa"/>
          </w:tcPr>
          <w:p w14:paraId="31C6B847" w14:textId="77777777" w:rsidR="00602A4D" w:rsidRPr="009F1FA3" w:rsidRDefault="00602A4D" w:rsidP="00602A4D">
            <w:pPr>
              <w:pStyle w:val="ListParagraph"/>
              <w:ind w:left="0"/>
              <w:jc w:val="left"/>
              <w:rPr>
                <w:lang w:eastAsia="ar-SA"/>
              </w:rPr>
            </w:pPr>
            <w:r>
              <w:rPr>
                <w:szCs w:val="24"/>
              </w:rPr>
              <w:t>Response to OPC ROG 1, No. 37</w:t>
            </w:r>
          </w:p>
        </w:tc>
      </w:tr>
      <w:tr w:rsidR="00602A4D" w:rsidRPr="00701945" w14:paraId="41C03CAE" w14:textId="77777777" w:rsidTr="006C174A">
        <w:trPr>
          <w:cantSplit/>
          <w:trHeight w:val="360"/>
        </w:trPr>
        <w:tc>
          <w:tcPr>
            <w:tcW w:w="2970" w:type="dxa"/>
          </w:tcPr>
          <w:p w14:paraId="000071B6" w14:textId="77777777" w:rsidR="00602A4D" w:rsidRDefault="00602A4D" w:rsidP="00602A4D">
            <w:r w:rsidRPr="009B3267">
              <w:rPr>
                <w:lang w:eastAsia="ar-SA"/>
              </w:rPr>
              <w:t>Lane Kollen</w:t>
            </w:r>
          </w:p>
        </w:tc>
        <w:tc>
          <w:tcPr>
            <w:tcW w:w="1350" w:type="dxa"/>
          </w:tcPr>
          <w:p w14:paraId="2C170984" w14:textId="77777777" w:rsidR="00602A4D" w:rsidRDefault="00602A4D" w:rsidP="00602A4D">
            <w:pPr>
              <w:jc w:val="center"/>
            </w:pPr>
            <w:r w:rsidRPr="00916450">
              <w:rPr>
                <w:lang w:eastAsia="ar-SA"/>
              </w:rPr>
              <w:t>OPC</w:t>
            </w:r>
          </w:p>
        </w:tc>
        <w:tc>
          <w:tcPr>
            <w:tcW w:w="1260" w:type="dxa"/>
          </w:tcPr>
          <w:p w14:paraId="0AD4E1DA" w14:textId="77777777" w:rsidR="00602A4D" w:rsidRDefault="00602A4D" w:rsidP="00602A4D">
            <w:pPr>
              <w:jc w:val="center"/>
            </w:pPr>
            <w:r w:rsidRPr="009940FC">
              <w:rPr>
                <w:lang w:eastAsia="ar-SA"/>
              </w:rPr>
              <w:t>LK-</w:t>
            </w:r>
            <w:r>
              <w:rPr>
                <w:lang w:eastAsia="ar-SA"/>
              </w:rPr>
              <w:t>3</w:t>
            </w:r>
          </w:p>
        </w:tc>
        <w:tc>
          <w:tcPr>
            <w:tcW w:w="3870" w:type="dxa"/>
          </w:tcPr>
          <w:p w14:paraId="23E921BE" w14:textId="77777777" w:rsidR="00602A4D" w:rsidRPr="009F1FA3" w:rsidRDefault="00602A4D" w:rsidP="00602A4D">
            <w:pPr>
              <w:pStyle w:val="ListParagraph"/>
              <w:ind w:left="0"/>
              <w:jc w:val="left"/>
              <w:rPr>
                <w:lang w:eastAsia="ar-SA"/>
              </w:rPr>
            </w:pPr>
            <w:r>
              <w:rPr>
                <w:szCs w:val="24"/>
              </w:rPr>
              <w:t>Response to OPC ROG 1, No. 22, OPC POD 10, No. 125</w:t>
            </w:r>
          </w:p>
        </w:tc>
      </w:tr>
      <w:tr w:rsidR="00602A4D" w:rsidRPr="00701945" w14:paraId="75FF488D" w14:textId="77777777" w:rsidTr="006C174A">
        <w:trPr>
          <w:cantSplit/>
          <w:trHeight w:val="360"/>
        </w:trPr>
        <w:tc>
          <w:tcPr>
            <w:tcW w:w="2970" w:type="dxa"/>
          </w:tcPr>
          <w:p w14:paraId="06E4C411" w14:textId="77777777" w:rsidR="00602A4D" w:rsidRDefault="00602A4D" w:rsidP="00602A4D">
            <w:r w:rsidRPr="009B3267">
              <w:rPr>
                <w:lang w:eastAsia="ar-SA"/>
              </w:rPr>
              <w:t>Lane Kollen</w:t>
            </w:r>
          </w:p>
        </w:tc>
        <w:tc>
          <w:tcPr>
            <w:tcW w:w="1350" w:type="dxa"/>
          </w:tcPr>
          <w:p w14:paraId="11428663" w14:textId="77777777" w:rsidR="00602A4D" w:rsidRDefault="00602A4D" w:rsidP="00602A4D">
            <w:pPr>
              <w:jc w:val="center"/>
            </w:pPr>
            <w:r w:rsidRPr="00916450">
              <w:rPr>
                <w:lang w:eastAsia="ar-SA"/>
              </w:rPr>
              <w:t>OPC</w:t>
            </w:r>
          </w:p>
        </w:tc>
        <w:tc>
          <w:tcPr>
            <w:tcW w:w="1260" w:type="dxa"/>
          </w:tcPr>
          <w:p w14:paraId="402A3F02" w14:textId="77777777" w:rsidR="00602A4D" w:rsidRDefault="00602A4D" w:rsidP="00602A4D">
            <w:pPr>
              <w:jc w:val="center"/>
            </w:pPr>
            <w:r w:rsidRPr="009940FC">
              <w:rPr>
                <w:lang w:eastAsia="ar-SA"/>
              </w:rPr>
              <w:t>LK-</w:t>
            </w:r>
            <w:r>
              <w:rPr>
                <w:lang w:eastAsia="ar-SA"/>
              </w:rPr>
              <w:t>4</w:t>
            </w:r>
          </w:p>
        </w:tc>
        <w:tc>
          <w:tcPr>
            <w:tcW w:w="3870" w:type="dxa"/>
          </w:tcPr>
          <w:p w14:paraId="2FC00EA9" w14:textId="77777777" w:rsidR="00602A4D" w:rsidRPr="009F1FA3" w:rsidRDefault="00602A4D" w:rsidP="00602A4D">
            <w:pPr>
              <w:pStyle w:val="ListParagraph"/>
              <w:ind w:left="0"/>
              <w:jc w:val="left"/>
              <w:rPr>
                <w:lang w:eastAsia="ar-SA"/>
              </w:rPr>
            </w:pPr>
            <w:r>
              <w:rPr>
                <w:szCs w:val="24"/>
              </w:rPr>
              <w:t>Response to OPC ROG 9, No. 167</w:t>
            </w:r>
          </w:p>
        </w:tc>
      </w:tr>
      <w:tr w:rsidR="00602A4D" w:rsidRPr="00701945" w14:paraId="167E221D" w14:textId="77777777" w:rsidTr="006C174A">
        <w:trPr>
          <w:cantSplit/>
          <w:trHeight w:val="360"/>
        </w:trPr>
        <w:tc>
          <w:tcPr>
            <w:tcW w:w="2970" w:type="dxa"/>
          </w:tcPr>
          <w:p w14:paraId="5D8F3D49" w14:textId="77777777" w:rsidR="00602A4D" w:rsidRDefault="00602A4D" w:rsidP="00602A4D">
            <w:r w:rsidRPr="009B3267">
              <w:rPr>
                <w:lang w:eastAsia="ar-SA"/>
              </w:rPr>
              <w:t>Lane Kollen</w:t>
            </w:r>
          </w:p>
        </w:tc>
        <w:tc>
          <w:tcPr>
            <w:tcW w:w="1350" w:type="dxa"/>
          </w:tcPr>
          <w:p w14:paraId="5B2F014B" w14:textId="77777777" w:rsidR="00602A4D" w:rsidRDefault="00602A4D" w:rsidP="00602A4D">
            <w:pPr>
              <w:jc w:val="center"/>
            </w:pPr>
            <w:r w:rsidRPr="00916450">
              <w:rPr>
                <w:lang w:eastAsia="ar-SA"/>
              </w:rPr>
              <w:t>OPC</w:t>
            </w:r>
          </w:p>
        </w:tc>
        <w:tc>
          <w:tcPr>
            <w:tcW w:w="1260" w:type="dxa"/>
          </w:tcPr>
          <w:p w14:paraId="35518A0A" w14:textId="77777777" w:rsidR="00602A4D" w:rsidRDefault="00602A4D" w:rsidP="00602A4D">
            <w:pPr>
              <w:jc w:val="center"/>
            </w:pPr>
            <w:r w:rsidRPr="009940FC">
              <w:rPr>
                <w:lang w:eastAsia="ar-SA"/>
              </w:rPr>
              <w:t>LK-</w:t>
            </w:r>
            <w:r>
              <w:rPr>
                <w:lang w:eastAsia="ar-SA"/>
              </w:rPr>
              <w:t>5</w:t>
            </w:r>
          </w:p>
        </w:tc>
        <w:tc>
          <w:tcPr>
            <w:tcW w:w="3870" w:type="dxa"/>
          </w:tcPr>
          <w:p w14:paraId="14297BC6" w14:textId="77777777" w:rsidR="00602A4D" w:rsidRPr="009F1FA3" w:rsidRDefault="00602A4D" w:rsidP="00602A4D">
            <w:pPr>
              <w:pStyle w:val="ListParagraph"/>
              <w:ind w:left="0"/>
              <w:jc w:val="left"/>
              <w:rPr>
                <w:lang w:eastAsia="ar-SA"/>
              </w:rPr>
            </w:pPr>
            <w:r>
              <w:rPr>
                <w:szCs w:val="24"/>
              </w:rPr>
              <w:t>Response to OPC ROG 1, Nos. 15 &amp; 16</w:t>
            </w:r>
          </w:p>
        </w:tc>
      </w:tr>
      <w:tr w:rsidR="00602A4D" w:rsidRPr="00701945" w14:paraId="566267AE" w14:textId="77777777" w:rsidTr="006C174A">
        <w:trPr>
          <w:cantSplit/>
          <w:trHeight w:val="360"/>
        </w:trPr>
        <w:tc>
          <w:tcPr>
            <w:tcW w:w="2970" w:type="dxa"/>
          </w:tcPr>
          <w:p w14:paraId="7FEF7B70" w14:textId="77777777" w:rsidR="00602A4D" w:rsidRDefault="00602A4D" w:rsidP="00602A4D">
            <w:r w:rsidRPr="009B3267">
              <w:rPr>
                <w:lang w:eastAsia="ar-SA"/>
              </w:rPr>
              <w:t>Lane Kollen</w:t>
            </w:r>
          </w:p>
        </w:tc>
        <w:tc>
          <w:tcPr>
            <w:tcW w:w="1350" w:type="dxa"/>
          </w:tcPr>
          <w:p w14:paraId="215F6DC7" w14:textId="77777777" w:rsidR="00602A4D" w:rsidRDefault="00602A4D" w:rsidP="00602A4D">
            <w:pPr>
              <w:jc w:val="center"/>
            </w:pPr>
            <w:r w:rsidRPr="00916450">
              <w:rPr>
                <w:lang w:eastAsia="ar-SA"/>
              </w:rPr>
              <w:t>OPC</w:t>
            </w:r>
          </w:p>
        </w:tc>
        <w:tc>
          <w:tcPr>
            <w:tcW w:w="1260" w:type="dxa"/>
          </w:tcPr>
          <w:p w14:paraId="650328F5" w14:textId="77777777" w:rsidR="00602A4D" w:rsidRDefault="00602A4D" w:rsidP="00602A4D">
            <w:pPr>
              <w:jc w:val="center"/>
            </w:pPr>
            <w:r w:rsidRPr="009940FC">
              <w:rPr>
                <w:lang w:eastAsia="ar-SA"/>
              </w:rPr>
              <w:t>LK-</w:t>
            </w:r>
            <w:r>
              <w:rPr>
                <w:lang w:eastAsia="ar-SA"/>
              </w:rPr>
              <w:t>6</w:t>
            </w:r>
          </w:p>
        </w:tc>
        <w:tc>
          <w:tcPr>
            <w:tcW w:w="3870" w:type="dxa"/>
          </w:tcPr>
          <w:p w14:paraId="45472BA6" w14:textId="77777777" w:rsidR="00602A4D" w:rsidRPr="009F1FA3" w:rsidRDefault="00602A4D" w:rsidP="00602A4D">
            <w:pPr>
              <w:pStyle w:val="ListParagraph"/>
              <w:ind w:left="0"/>
              <w:jc w:val="left"/>
              <w:rPr>
                <w:lang w:eastAsia="ar-SA"/>
              </w:rPr>
            </w:pPr>
            <w:r>
              <w:rPr>
                <w:szCs w:val="24"/>
              </w:rPr>
              <w:t>Response to OPC ROG 1, No. 17</w:t>
            </w:r>
          </w:p>
        </w:tc>
      </w:tr>
      <w:tr w:rsidR="00602A4D" w:rsidRPr="00701945" w14:paraId="69845C1B" w14:textId="77777777" w:rsidTr="006C174A">
        <w:trPr>
          <w:cantSplit/>
          <w:trHeight w:val="360"/>
        </w:trPr>
        <w:tc>
          <w:tcPr>
            <w:tcW w:w="2970" w:type="dxa"/>
          </w:tcPr>
          <w:p w14:paraId="18305907" w14:textId="77777777" w:rsidR="00602A4D" w:rsidRDefault="00602A4D" w:rsidP="00602A4D">
            <w:r w:rsidRPr="009B3267">
              <w:rPr>
                <w:lang w:eastAsia="ar-SA"/>
              </w:rPr>
              <w:t>Lane Kollen</w:t>
            </w:r>
          </w:p>
        </w:tc>
        <w:tc>
          <w:tcPr>
            <w:tcW w:w="1350" w:type="dxa"/>
          </w:tcPr>
          <w:p w14:paraId="11D41AB7" w14:textId="77777777" w:rsidR="00602A4D" w:rsidRDefault="00602A4D" w:rsidP="00602A4D">
            <w:pPr>
              <w:jc w:val="center"/>
            </w:pPr>
            <w:r w:rsidRPr="00916450">
              <w:rPr>
                <w:lang w:eastAsia="ar-SA"/>
              </w:rPr>
              <w:t>OPC</w:t>
            </w:r>
          </w:p>
        </w:tc>
        <w:tc>
          <w:tcPr>
            <w:tcW w:w="1260" w:type="dxa"/>
          </w:tcPr>
          <w:p w14:paraId="1111A8AA" w14:textId="77777777" w:rsidR="00602A4D" w:rsidRDefault="00602A4D" w:rsidP="00602A4D">
            <w:pPr>
              <w:jc w:val="center"/>
            </w:pPr>
            <w:r w:rsidRPr="009940FC">
              <w:rPr>
                <w:lang w:eastAsia="ar-SA"/>
              </w:rPr>
              <w:t>LK-</w:t>
            </w:r>
            <w:r>
              <w:rPr>
                <w:lang w:eastAsia="ar-SA"/>
              </w:rPr>
              <w:t>7</w:t>
            </w:r>
          </w:p>
        </w:tc>
        <w:tc>
          <w:tcPr>
            <w:tcW w:w="3870" w:type="dxa"/>
          </w:tcPr>
          <w:p w14:paraId="6D802E7D" w14:textId="77777777" w:rsidR="00602A4D" w:rsidRPr="009F1FA3" w:rsidRDefault="00602A4D" w:rsidP="00602A4D">
            <w:pPr>
              <w:pStyle w:val="ListParagraph"/>
              <w:ind w:left="0"/>
              <w:jc w:val="left"/>
              <w:rPr>
                <w:lang w:eastAsia="ar-SA"/>
              </w:rPr>
            </w:pPr>
            <w:r>
              <w:rPr>
                <w:szCs w:val="24"/>
              </w:rPr>
              <w:t>Response to OPC ROG 1, No. 34</w:t>
            </w:r>
          </w:p>
        </w:tc>
      </w:tr>
      <w:tr w:rsidR="00602A4D" w:rsidRPr="00701945" w14:paraId="3B796D34" w14:textId="77777777" w:rsidTr="006C174A">
        <w:trPr>
          <w:cantSplit/>
          <w:trHeight w:val="360"/>
        </w:trPr>
        <w:tc>
          <w:tcPr>
            <w:tcW w:w="2970" w:type="dxa"/>
          </w:tcPr>
          <w:p w14:paraId="15CE6AD4" w14:textId="77777777" w:rsidR="00602A4D" w:rsidRDefault="00602A4D" w:rsidP="00602A4D">
            <w:r w:rsidRPr="009B3267">
              <w:rPr>
                <w:lang w:eastAsia="ar-SA"/>
              </w:rPr>
              <w:t>Lane Kollen</w:t>
            </w:r>
          </w:p>
        </w:tc>
        <w:tc>
          <w:tcPr>
            <w:tcW w:w="1350" w:type="dxa"/>
          </w:tcPr>
          <w:p w14:paraId="2AE4F386" w14:textId="77777777" w:rsidR="00602A4D" w:rsidRDefault="00602A4D" w:rsidP="00602A4D">
            <w:pPr>
              <w:jc w:val="center"/>
            </w:pPr>
            <w:r w:rsidRPr="00916450">
              <w:rPr>
                <w:lang w:eastAsia="ar-SA"/>
              </w:rPr>
              <w:t>OPC</w:t>
            </w:r>
          </w:p>
        </w:tc>
        <w:tc>
          <w:tcPr>
            <w:tcW w:w="1260" w:type="dxa"/>
          </w:tcPr>
          <w:p w14:paraId="2C5F3179" w14:textId="77777777" w:rsidR="00602A4D" w:rsidRDefault="00602A4D" w:rsidP="00602A4D">
            <w:pPr>
              <w:jc w:val="center"/>
            </w:pPr>
            <w:r w:rsidRPr="009940FC">
              <w:rPr>
                <w:lang w:eastAsia="ar-SA"/>
              </w:rPr>
              <w:t>LK-</w:t>
            </w:r>
            <w:r>
              <w:rPr>
                <w:lang w:eastAsia="ar-SA"/>
              </w:rPr>
              <w:t>8</w:t>
            </w:r>
          </w:p>
        </w:tc>
        <w:tc>
          <w:tcPr>
            <w:tcW w:w="3870" w:type="dxa"/>
          </w:tcPr>
          <w:p w14:paraId="5AF9C7F8" w14:textId="77777777" w:rsidR="00602A4D" w:rsidRPr="009F1FA3" w:rsidRDefault="00602A4D" w:rsidP="00602A4D">
            <w:pPr>
              <w:pStyle w:val="ListParagraph"/>
              <w:ind w:left="0"/>
              <w:jc w:val="left"/>
              <w:rPr>
                <w:lang w:eastAsia="ar-SA"/>
              </w:rPr>
            </w:pPr>
            <w:r>
              <w:rPr>
                <w:szCs w:val="24"/>
              </w:rPr>
              <w:t>Response to OPC ROG 2, No. 56</w:t>
            </w:r>
          </w:p>
        </w:tc>
      </w:tr>
      <w:tr w:rsidR="00602A4D" w:rsidRPr="00701945" w14:paraId="19752279" w14:textId="77777777" w:rsidTr="006C174A">
        <w:trPr>
          <w:cantSplit/>
          <w:trHeight w:val="360"/>
        </w:trPr>
        <w:tc>
          <w:tcPr>
            <w:tcW w:w="2970" w:type="dxa"/>
          </w:tcPr>
          <w:p w14:paraId="3C5F4440" w14:textId="77777777" w:rsidR="00602A4D" w:rsidRDefault="00602A4D" w:rsidP="00602A4D">
            <w:r w:rsidRPr="009B3267">
              <w:rPr>
                <w:lang w:eastAsia="ar-SA"/>
              </w:rPr>
              <w:t>Lane Kollen</w:t>
            </w:r>
          </w:p>
        </w:tc>
        <w:tc>
          <w:tcPr>
            <w:tcW w:w="1350" w:type="dxa"/>
          </w:tcPr>
          <w:p w14:paraId="2DCA155B" w14:textId="77777777" w:rsidR="00602A4D" w:rsidRDefault="00602A4D" w:rsidP="00602A4D">
            <w:pPr>
              <w:jc w:val="center"/>
            </w:pPr>
            <w:r w:rsidRPr="00916450">
              <w:rPr>
                <w:lang w:eastAsia="ar-SA"/>
              </w:rPr>
              <w:t>OPC</w:t>
            </w:r>
          </w:p>
        </w:tc>
        <w:tc>
          <w:tcPr>
            <w:tcW w:w="1260" w:type="dxa"/>
          </w:tcPr>
          <w:p w14:paraId="3CA21030" w14:textId="77777777" w:rsidR="00602A4D" w:rsidRDefault="00602A4D" w:rsidP="00602A4D">
            <w:pPr>
              <w:jc w:val="center"/>
            </w:pPr>
            <w:r w:rsidRPr="009940FC">
              <w:rPr>
                <w:lang w:eastAsia="ar-SA"/>
              </w:rPr>
              <w:t>LK-</w:t>
            </w:r>
            <w:r>
              <w:rPr>
                <w:lang w:eastAsia="ar-SA"/>
              </w:rPr>
              <w:t>9</w:t>
            </w:r>
          </w:p>
        </w:tc>
        <w:tc>
          <w:tcPr>
            <w:tcW w:w="3870" w:type="dxa"/>
          </w:tcPr>
          <w:p w14:paraId="3053C9E5" w14:textId="77777777" w:rsidR="00602A4D" w:rsidRPr="009F1FA3" w:rsidRDefault="00602A4D" w:rsidP="00602A4D">
            <w:pPr>
              <w:pStyle w:val="ListParagraph"/>
              <w:ind w:left="0"/>
              <w:jc w:val="left"/>
              <w:rPr>
                <w:lang w:eastAsia="ar-SA"/>
              </w:rPr>
            </w:pPr>
            <w:r>
              <w:rPr>
                <w:szCs w:val="24"/>
              </w:rPr>
              <w:t>Santee Cooper IRP</w:t>
            </w:r>
          </w:p>
        </w:tc>
      </w:tr>
      <w:tr w:rsidR="00602A4D" w:rsidRPr="00701945" w14:paraId="7B41FE58" w14:textId="77777777" w:rsidTr="006C174A">
        <w:trPr>
          <w:cantSplit/>
          <w:trHeight w:val="360"/>
        </w:trPr>
        <w:tc>
          <w:tcPr>
            <w:tcW w:w="2970" w:type="dxa"/>
          </w:tcPr>
          <w:p w14:paraId="3DB82BFD" w14:textId="77777777" w:rsidR="00602A4D" w:rsidRDefault="00602A4D" w:rsidP="00602A4D">
            <w:r w:rsidRPr="009B3267">
              <w:rPr>
                <w:lang w:eastAsia="ar-SA"/>
              </w:rPr>
              <w:t>Lane Kollen</w:t>
            </w:r>
          </w:p>
        </w:tc>
        <w:tc>
          <w:tcPr>
            <w:tcW w:w="1350" w:type="dxa"/>
          </w:tcPr>
          <w:p w14:paraId="5D7C4CF2" w14:textId="77777777" w:rsidR="00602A4D" w:rsidRDefault="00602A4D" w:rsidP="00602A4D">
            <w:pPr>
              <w:jc w:val="center"/>
            </w:pPr>
            <w:r w:rsidRPr="00916450">
              <w:rPr>
                <w:lang w:eastAsia="ar-SA"/>
              </w:rPr>
              <w:t>OPC</w:t>
            </w:r>
          </w:p>
        </w:tc>
        <w:tc>
          <w:tcPr>
            <w:tcW w:w="1260" w:type="dxa"/>
          </w:tcPr>
          <w:p w14:paraId="04A0B70F" w14:textId="77777777" w:rsidR="00602A4D" w:rsidRDefault="00602A4D" w:rsidP="00602A4D">
            <w:pPr>
              <w:jc w:val="center"/>
            </w:pPr>
            <w:r w:rsidRPr="009940FC">
              <w:rPr>
                <w:lang w:eastAsia="ar-SA"/>
              </w:rPr>
              <w:t>LK-</w:t>
            </w:r>
            <w:r>
              <w:rPr>
                <w:lang w:eastAsia="ar-SA"/>
              </w:rPr>
              <w:t>10</w:t>
            </w:r>
          </w:p>
        </w:tc>
        <w:tc>
          <w:tcPr>
            <w:tcW w:w="3870" w:type="dxa"/>
          </w:tcPr>
          <w:p w14:paraId="249B7771" w14:textId="77777777" w:rsidR="00602A4D" w:rsidRPr="009F1FA3" w:rsidRDefault="00602A4D" w:rsidP="00602A4D">
            <w:pPr>
              <w:pStyle w:val="ListParagraph"/>
              <w:ind w:left="0"/>
              <w:jc w:val="left"/>
              <w:rPr>
                <w:lang w:eastAsia="ar-SA"/>
              </w:rPr>
            </w:pPr>
            <w:r>
              <w:rPr>
                <w:szCs w:val="24"/>
              </w:rPr>
              <w:t>Lazard Report</w:t>
            </w:r>
          </w:p>
        </w:tc>
      </w:tr>
      <w:tr w:rsidR="00602A4D" w:rsidRPr="00701945" w14:paraId="0FBDA802" w14:textId="77777777" w:rsidTr="006C174A">
        <w:trPr>
          <w:cantSplit/>
          <w:trHeight w:val="360"/>
        </w:trPr>
        <w:tc>
          <w:tcPr>
            <w:tcW w:w="2970" w:type="dxa"/>
          </w:tcPr>
          <w:p w14:paraId="2DC75D12" w14:textId="77777777" w:rsidR="00602A4D" w:rsidRDefault="00602A4D" w:rsidP="00602A4D">
            <w:r w:rsidRPr="009B3267">
              <w:rPr>
                <w:lang w:eastAsia="ar-SA"/>
              </w:rPr>
              <w:t>Lane Kollen</w:t>
            </w:r>
          </w:p>
        </w:tc>
        <w:tc>
          <w:tcPr>
            <w:tcW w:w="1350" w:type="dxa"/>
          </w:tcPr>
          <w:p w14:paraId="544A52FB" w14:textId="77777777" w:rsidR="00602A4D" w:rsidRDefault="00602A4D" w:rsidP="00602A4D">
            <w:pPr>
              <w:jc w:val="center"/>
            </w:pPr>
            <w:r w:rsidRPr="00916450">
              <w:rPr>
                <w:lang w:eastAsia="ar-SA"/>
              </w:rPr>
              <w:t>OPC</w:t>
            </w:r>
          </w:p>
        </w:tc>
        <w:tc>
          <w:tcPr>
            <w:tcW w:w="1260" w:type="dxa"/>
          </w:tcPr>
          <w:p w14:paraId="425E400C" w14:textId="77777777" w:rsidR="00602A4D" w:rsidRDefault="00602A4D" w:rsidP="00602A4D">
            <w:pPr>
              <w:jc w:val="center"/>
            </w:pPr>
            <w:r w:rsidRPr="009940FC">
              <w:rPr>
                <w:lang w:eastAsia="ar-SA"/>
              </w:rPr>
              <w:t>LK-1</w:t>
            </w:r>
            <w:r>
              <w:rPr>
                <w:lang w:eastAsia="ar-SA"/>
              </w:rPr>
              <w:t>1</w:t>
            </w:r>
          </w:p>
        </w:tc>
        <w:tc>
          <w:tcPr>
            <w:tcW w:w="3870" w:type="dxa"/>
          </w:tcPr>
          <w:p w14:paraId="34CBF689" w14:textId="77777777" w:rsidR="00602A4D" w:rsidRPr="009F1FA3" w:rsidRDefault="00602A4D" w:rsidP="00602A4D">
            <w:pPr>
              <w:pStyle w:val="ListParagraph"/>
              <w:ind w:left="0"/>
              <w:jc w:val="left"/>
              <w:rPr>
                <w:lang w:eastAsia="ar-SA"/>
              </w:rPr>
            </w:pPr>
            <w:r>
              <w:rPr>
                <w:szCs w:val="24"/>
              </w:rPr>
              <w:t>Response to OPC ROG 4, No. 90</w:t>
            </w:r>
          </w:p>
        </w:tc>
      </w:tr>
      <w:tr w:rsidR="00602A4D" w:rsidRPr="00701945" w14:paraId="677D68AD" w14:textId="77777777" w:rsidTr="006C174A">
        <w:trPr>
          <w:cantSplit/>
          <w:trHeight w:val="360"/>
        </w:trPr>
        <w:tc>
          <w:tcPr>
            <w:tcW w:w="2970" w:type="dxa"/>
          </w:tcPr>
          <w:p w14:paraId="79E31E14" w14:textId="77777777" w:rsidR="00602A4D" w:rsidRDefault="00602A4D" w:rsidP="00602A4D">
            <w:r w:rsidRPr="009B3267">
              <w:rPr>
                <w:lang w:eastAsia="ar-SA"/>
              </w:rPr>
              <w:t>Lane Kollen</w:t>
            </w:r>
          </w:p>
        </w:tc>
        <w:tc>
          <w:tcPr>
            <w:tcW w:w="1350" w:type="dxa"/>
          </w:tcPr>
          <w:p w14:paraId="1905DECD" w14:textId="77777777" w:rsidR="00602A4D" w:rsidRDefault="00602A4D" w:rsidP="00602A4D">
            <w:pPr>
              <w:jc w:val="center"/>
            </w:pPr>
            <w:r w:rsidRPr="00916450">
              <w:rPr>
                <w:lang w:eastAsia="ar-SA"/>
              </w:rPr>
              <w:t>OPC</w:t>
            </w:r>
          </w:p>
        </w:tc>
        <w:tc>
          <w:tcPr>
            <w:tcW w:w="1260" w:type="dxa"/>
          </w:tcPr>
          <w:p w14:paraId="114129EE" w14:textId="77777777" w:rsidR="00602A4D" w:rsidRDefault="00602A4D" w:rsidP="00602A4D">
            <w:pPr>
              <w:jc w:val="center"/>
            </w:pPr>
            <w:r w:rsidRPr="009940FC">
              <w:rPr>
                <w:lang w:eastAsia="ar-SA"/>
              </w:rPr>
              <w:t>LK-1</w:t>
            </w:r>
            <w:r>
              <w:rPr>
                <w:lang w:eastAsia="ar-SA"/>
              </w:rPr>
              <w:t>2</w:t>
            </w:r>
          </w:p>
        </w:tc>
        <w:tc>
          <w:tcPr>
            <w:tcW w:w="3870" w:type="dxa"/>
          </w:tcPr>
          <w:p w14:paraId="0BF23F92" w14:textId="77777777" w:rsidR="00602A4D" w:rsidRPr="009F1FA3" w:rsidRDefault="00602A4D" w:rsidP="00602A4D">
            <w:pPr>
              <w:pStyle w:val="ListParagraph"/>
              <w:ind w:left="0"/>
              <w:jc w:val="left"/>
              <w:rPr>
                <w:lang w:eastAsia="ar-SA"/>
              </w:rPr>
            </w:pPr>
            <w:r>
              <w:rPr>
                <w:szCs w:val="24"/>
              </w:rPr>
              <w:t>Response to OPC ROG 4, No. 89</w:t>
            </w:r>
          </w:p>
        </w:tc>
      </w:tr>
      <w:tr w:rsidR="00602A4D" w:rsidRPr="00701945" w14:paraId="10E8CABC" w14:textId="77777777" w:rsidTr="006C174A">
        <w:trPr>
          <w:cantSplit/>
          <w:trHeight w:val="360"/>
        </w:trPr>
        <w:tc>
          <w:tcPr>
            <w:tcW w:w="2970" w:type="dxa"/>
          </w:tcPr>
          <w:p w14:paraId="5125AE3B" w14:textId="77777777" w:rsidR="00602A4D" w:rsidRDefault="00602A4D" w:rsidP="00602A4D">
            <w:r w:rsidRPr="009B3267">
              <w:rPr>
                <w:lang w:eastAsia="ar-SA"/>
              </w:rPr>
              <w:lastRenderedPageBreak/>
              <w:t>Lane Kollen</w:t>
            </w:r>
          </w:p>
        </w:tc>
        <w:tc>
          <w:tcPr>
            <w:tcW w:w="1350" w:type="dxa"/>
          </w:tcPr>
          <w:p w14:paraId="2D99F12A" w14:textId="77777777" w:rsidR="00602A4D" w:rsidRDefault="00602A4D" w:rsidP="00602A4D">
            <w:pPr>
              <w:jc w:val="center"/>
            </w:pPr>
            <w:r w:rsidRPr="00916450">
              <w:rPr>
                <w:lang w:eastAsia="ar-SA"/>
              </w:rPr>
              <w:t>OPC</w:t>
            </w:r>
          </w:p>
        </w:tc>
        <w:tc>
          <w:tcPr>
            <w:tcW w:w="1260" w:type="dxa"/>
          </w:tcPr>
          <w:p w14:paraId="05C5A909" w14:textId="77777777" w:rsidR="00602A4D" w:rsidRDefault="00602A4D" w:rsidP="00602A4D">
            <w:pPr>
              <w:jc w:val="center"/>
            </w:pPr>
            <w:r w:rsidRPr="009940FC">
              <w:rPr>
                <w:lang w:eastAsia="ar-SA"/>
              </w:rPr>
              <w:t>LK-1</w:t>
            </w:r>
            <w:r>
              <w:rPr>
                <w:lang w:eastAsia="ar-SA"/>
              </w:rPr>
              <w:t>3</w:t>
            </w:r>
          </w:p>
        </w:tc>
        <w:tc>
          <w:tcPr>
            <w:tcW w:w="3870" w:type="dxa"/>
          </w:tcPr>
          <w:p w14:paraId="0AF26A68" w14:textId="77777777" w:rsidR="00602A4D" w:rsidRPr="009F1FA3" w:rsidRDefault="00602A4D" w:rsidP="00602A4D">
            <w:pPr>
              <w:pStyle w:val="ListParagraph"/>
              <w:ind w:left="0"/>
              <w:jc w:val="left"/>
              <w:rPr>
                <w:lang w:eastAsia="ar-SA"/>
              </w:rPr>
            </w:pPr>
            <w:r>
              <w:rPr>
                <w:szCs w:val="24"/>
              </w:rPr>
              <w:t>2.19.24 Letter to Commission</w:t>
            </w:r>
          </w:p>
        </w:tc>
      </w:tr>
      <w:tr w:rsidR="00602A4D" w:rsidRPr="00701945" w14:paraId="6834C4C2" w14:textId="77777777" w:rsidTr="006C174A">
        <w:trPr>
          <w:cantSplit/>
          <w:trHeight w:val="360"/>
        </w:trPr>
        <w:tc>
          <w:tcPr>
            <w:tcW w:w="2970" w:type="dxa"/>
          </w:tcPr>
          <w:p w14:paraId="4DB6558E" w14:textId="77777777" w:rsidR="00602A4D" w:rsidRDefault="00602A4D" w:rsidP="00602A4D">
            <w:r w:rsidRPr="009B3267">
              <w:rPr>
                <w:lang w:eastAsia="ar-SA"/>
              </w:rPr>
              <w:t>Lane Kollen</w:t>
            </w:r>
          </w:p>
        </w:tc>
        <w:tc>
          <w:tcPr>
            <w:tcW w:w="1350" w:type="dxa"/>
          </w:tcPr>
          <w:p w14:paraId="66FCF875" w14:textId="77777777" w:rsidR="00602A4D" w:rsidRDefault="00602A4D" w:rsidP="00602A4D">
            <w:pPr>
              <w:jc w:val="center"/>
            </w:pPr>
            <w:r w:rsidRPr="00916450">
              <w:rPr>
                <w:lang w:eastAsia="ar-SA"/>
              </w:rPr>
              <w:t>OPC</w:t>
            </w:r>
          </w:p>
        </w:tc>
        <w:tc>
          <w:tcPr>
            <w:tcW w:w="1260" w:type="dxa"/>
          </w:tcPr>
          <w:p w14:paraId="11D49279" w14:textId="77777777" w:rsidR="00602A4D" w:rsidRDefault="00602A4D" w:rsidP="00602A4D">
            <w:pPr>
              <w:jc w:val="center"/>
            </w:pPr>
            <w:r w:rsidRPr="009940FC">
              <w:rPr>
                <w:lang w:eastAsia="ar-SA"/>
              </w:rPr>
              <w:t>LK-1</w:t>
            </w:r>
            <w:r>
              <w:rPr>
                <w:lang w:eastAsia="ar-SA"/>
              </w:rPr>
              <w:t>4</w:t>
            </w:r>
          </w:p>
        </w:tc>
        <w:tc>
          <w:tcPr>
            <w:tcW w:w="3870" w:type="dxa"/>
          </w:tcPr>
          <w:p w14:paraId="2303EA00" w14:textId="77777777" w:rsidR="00602A4D" w:rsidRPr="009F1FA3" w:rsidRDefault="00602A4D" w:rsidP="00602A4D">
            <w:pPr>
              <w:pStyle w:val="ListParagraph"/>
              <w:ind w:left="0"/>
              <w:jc w:val="left"/>
              <w:rPr>
                <w:lang w:eastAsia="ar-SA"/>
              </w:rPr>
            </w:pPr>
            <w:r>
              <w:rPr>
                <w:szCs w:val="24"/>
              </w:rPr>
              <w:t>Response to OPC ROG 4. No. 91</w:t>
            </w:r>
          </w:p>
        </w:tc>
      </w:tr>
      <w:tr w:rsidR="00602A4D" w:rsidRPr="00701945" w14:paraId="0FD6DFF1" w14:textId="77777777" w:rsidTr="006C174A">
        <w:trPr>
          <w:cantSplit/>
          <w:trHeight w:val="360"/>
        </w:trPr>
        <w:tc>
          <w:tcPr>
            <w:tcW w:w="2970" w:type="dxa"/>
          </w:tcPr>
          <w:p w14:paraId="4B6D409C" w14:textId="77777777" w:rsidR="00602A4D" w:rsidRDefault="00602A4D" w:rsidP="00602A4D">
            <w:r w:rsidRPr="009B3267">
              <w:rPr>
                <w:lang w:eastAsia="ar-SA"/>
              </w:rPr>
              <w:t>Lane Kollen</w:t>
            </w:r>
          </w:p>
        </w:tc>
        <w:tc>
          <w:tcPr>
            <w:tcW w:w="1350" w:type="dxa"/>
          </w:tcPr>
          <w:p w14:paraId="39547D5C" w14:textId="77777777" w:rsidR="00602A4D" w:rsidRDefault="00602A4D" w:rsidP="00602A4D">
            <w:pPr>
              <w:jc w:val="center"/>
            </w:pPr>
            <w:r w:rsidRPr="00916450">
              <w:rPr>
                <w:lang w:eastAsia="ar-SA"/>
              </w:rPr>
              <w:t>OPC</w:t>
            </w:r>
          </w:p>
        </w:tc>
        <w:tc>
          <w:tcPr>
            <w:tcW w:w="1260" w:type="dxa"/>
          </w:tcPr>
          <w:p w14:paraId="795A0058" w14:textId="77777777" w:rsidR="00602A4D" w:rsidRDefault="00602A4D" w:rsidP="00602A4D">
            <w:pPr>
              <w:jc w:val="center"/>
            </w:pPr>
            <w:r w:rsidRPr="009940FC">
              <w:rPr>
                <w:lang w:eastAsia="ar-SA"/>
              </w:rPr>
              <w:t>LK-1</w:t>
            </w:r>
            <w:r>
              <w:rPr>
                <w:lang w:eastAsia="ar-SA"/>
              </w:rPr>
              <w:t>5</w:t>
            </w:r>
          </w:p>
        </w:tc>
        <w:tc>
          <w:tcPr>
            <w:tcW w:w="3870" w:type="dxa"/>
          </w:tcPr>
          <w:p w14:paraId="0CCC2C94" w14:textId="77777777" w:rsidR="00602A4D" w:rsidRPr="009F1FA3" w:rsidRDefault="00602A4D" w:rsidP="00602A4D">
            <w:pPr>
              <w:pStyle w:val="ListParagraph"/>
              <w:ind w:left="0"/>
              <w:jc w:val="left"/>
              <w:rPr>
                <w:lang w:eastAsia="ar-SA"/>
              </w:rPr>
            </w:pPr>
            <w:r>
              <w:rPr>
                <w:szCs w:val="24"/>
              </w:rPr>
              <w:t>Response to OPC ROG 4, No. 83</w:t>
            </w:r>
          </w:p>
        </w:tc>
      </w:tr>
      <w:tr w:rsidR="00602A4D" w:rsidRPr="00701945" w14:paraId="1E45B80A" w14:textId="77777777" w:rsidTr="006C174A">
        <w:trPr>
          <w:cantSplit/>
          <w:trHeight w:val="360"/>
        </w:trPr>
        <w:tc>
          <w:tcPr>
            <w:tcW w:w="2970" w:type="dxa"/>
          </w:tcPr>
          <w:p w14:paraId="4159E08A" w14:textId="77777777" w:rsidR="00602A4D" w:rsidRDefault="00602A4D" w:rsidP="00602A4D">
            <w:r w:rsidRPr="009B3267">
              <w:rPr>
                <w:lang w:eastAsia="ar-SA"/>
              </w:rPr>
              <w:t>Lane Kollen</w:t>
            </w:r>
          </w:p>
        </w:tc>
        <w:tc>
          <w:tcPr>
            <w:tcW w:w="1350" w:type="dxa"/>
          </w:tcPr>
          <w:p w14:paraId="3007EC9E" w14:textId="77777777" w:rsidR="00602A4D" w:rsidRDefault="00602A4D" w:rsidP="00602A4D">
            <w:pPr>
              <w:jc w:val="center"/>
            </w:pPr>
            <w:r w:rsidRPr="00916450">
              <w:rPr>
                <w:lang w:eastAsia="ar-SA"/>
              </w:rPr>
              <w:t>OPC</w:t>
            </w:r>
          </w:p>
        </w:tc>
        <w:tc>
          <w:tcPr>
            <w:tcW w:w="1260" w:type="dxa"/>
          </w:tcPr>
          <w:p w14:paraId="3B0D451C" w14:textId="77777777" w:rsidR="00602A4D" w:rsidRDefault="00602A4D" w:rsidP="00602A4D">
            <w:pPr>
              <w:jc w:val="center"/>
            </w:pPr>
            <w:r w:rsidRPr="009940FC">
              <w:rPr>
                <w:lang w:eastAsia="ar-SA"/>
              </w:rPr>
              <w:t>LK-1</w:t>
            </w:r>
            <w:r>
              <w:rPr>
                <w:lang w:eastAsia="ar-SA"/>
              </w:rPr>
              <w:t>6</w:t>
            </w:r>
          </w:p>
        </w:tc>
        <w:tc>
          <w:tcPr>
            <w:tcW w:w="3870" w:type="dxa"/>
          </w:tcPr>
          <w:p w14:paraId="0721299A" w14:textId="77777777" w:rsidR="00602A4D" w:rsidRPr="009F1FA3" w:rsidRDefault="00602A4D" w:rsidP="00602A4D">
            <w:pPr>
              <w:pStyle w:val="ListParagraph"/>
              <w:ind w:left="0"/>
              <w:jc w:val="left"/>
              <w:rPr>
                <w:lang w:eastAsia="ar-SA"/>
              </w:rPr>
            </w:pPr>
            <w:r>
              <w:rPr>
                <w:szCs w:val="24"/>
              </w:rPr>
              <w:t>SPP Gross-Up Calculation</w:t>
            </w:r>
          </w:p>
        </w:tc>
      </w:tr>
      <w:tr w:rsidR="001B2496" w:rsidRPr="00701945" w14:paraId="01CE677E" w14:textId="77777777" w:rsidTr="006C174A">
        <w:trPr>
          <w:cantSplit/>
          <w:trHeight w:val="360"/>
        </w:trPr>
        <w:tc>
          <w:tcPr>
            <w:tcW w:w="2970" w:type="dxa"/>
          </w:tcPr>
          <w:p w14:paraId="73B208DC" w14:textId="77777777" w:rsidR="001B2496" w:rsidRPr="009F1FA3" w:rsidRDefault="001B2496" w:rsidP="001B2496">
            <w:pPr>
              <w:pStyle w:val="ListParagraph"/>
              <w:ind w:left="0"/>
              <w:jc w:val="left"/>
              <w:rPr>
                <w:lang w:eastAsia="ar-SA"/>
              </w:rPr>
            </w:pPr>
            <w:r>
              <w:rPr>
                <w:lang w:eastAsia="ar-SA"/>
              </w:rPr>
              <w:t>Kevin J. Mara, P.E.</w:t>
            </w:r>
          </w:p>
        </w:tc>
        <w:tc>
          <w:tcPr>
            <w:tcW w:w="1350" w:type="dxa"/>
          </w:tcPr>
          <w:p w14:paraId="100AC6BA" w14:textId="77777777" w:rsidR="001B2496" w:rsidRDefault="001B2496" w:rsidP="001B2496">
            <w:pPr>
              <w:jc w:val="center"/>
            </w:pPr>
            <w:r w:rsidRPr="004633D3">
              <w:rPr>
                <w:lang w:eastAsia="ar-SA"/>
              </w:rPr>
              <w:t>OPC</w:t>
            </w:r>
          </w:p>
        </w:tc>
        <w:tc>
          <w:tcPr>
            <w:tcW w:w="1260" w:type="dxa"/>
          </w:tcPr>
          <w:p w14:paraId="08768924" w14:textId="77777777" w:rsidR="001B2496" w:rsidRPr="009F1FA3" w:rsidRDefault="001B2496" w:rsidP="001B2496">
            <w:pPr>
              <w:pStyle w:val="ListParagraph"/>
              <w:ind w:left="0"/>
              <w:jc w:val="center"/>
              <w:rPr>
                <w:lang w:eastAsia="ar-SA"/>
              </w:rPr>
            </w:pPr>
            <w:r>
              <w:rPr>
                <w:lang w:eastAsia="ar-SA"/>
              </w:rPr>
              <w:t>KJM-1</w:t>
            </w:r>
          </w:p>
        </w:tc>
        <w:tc>
          <w:tcPr>
            <w:tcW w:w="3870" w:type="dxa"/>
          </w:tcPr>
          <w:p w14:paraId="4677ED10" w14:textId="77777777" w:rsidR="001B2496" w:rsidRPr="009F1FA3" w:rsidRDefault="001B2496" w:rsidP="001B2496">
            <w:pPr>
              <w:pStyle w:val="ListParagraph"/>
              <w:ind w:left="0"/>
              <w:jc w:val="left"/>
              <w:rPr>
                <w:lang w:eastAsia="ar-SA"/>
              </w:rPr>
            </w:pPr>
            <w:r>
              <w:rPr>
                <w:szCs w:val="24"/>
              </w:rPr>
              <w:t>Curriculum Vitae</w:t>
            </w:r>
          </w:p>
        </w:tc>
      </w:tr>
      <w:tr w:rsidR="001B2496" w:rsidRPr="00701945" w14:paraId="78896784" w14:textId="77777777" w:rsidTr="006C174A">
        <w:trPr>
          <w:cantSplit/>
          <w:trHeight w:val="360"/>
        </w:trPr>
        <w:tc>
          <w:tcPr>
            <w:tcW w:w="2970" w:type="dxa"/>
          </w:tcPr>
          <w:p w14:paraId="6664F6BB" w14:textId="77777777" w:rsidR="001B2496" w:rsidRPr="009F1FA3" w:rsidRDefault="001B2496" w:rsidP="001B2496">
            <w:pPr>
              <w:pStyle w:val="ListParagraph"/>
              <w:ind w:left="0"/>
              <w:jc w:val="left"/>
              <w:rPr>
                <w:lang w:eastAsia="ar-SA"/>
              </w:rPr>
            </w:pPr>
            <w:r>
              <w:rPr>
                <w:lang w:eastAsia="ar-SA"/>
              </w:rPr>
              <w:t>Kevin J. Mara, P.E.</w:t>
            </w:r>
          </w:p>
        </w:tc>
        <w:tc>
          <w:tcPr>
            <w:tcW w:w="1350" w:type="dxa"/>
          </w:tcPr>
          <w:p w14:paraId="4A5A5959" w14:textId="77777777" w:rsidR="001B2496" w:rsidRDefault="001B2496" w:rsidP="001B2496">
            <w:pPr>
              <w:jc w:val="center"/>
            </w:pPr>
            <w:r w:rsidRPr="004633D3">
              <w:rPr>
                <w:lang w:eastAsia="ar-SA"/>
              </w:rPr>
              <w:t>OPC</w:t>
            </w:r>
          </w:p>
        </w:tc>
        <w:tc>
          <w:tcPr>
            <w:tcW w:w="1260" w:type="dxa"/>
          </w:tcPr>
          <w:p w14:paraId="07228E04" w14:textId="77777777" w:rsidR="001B2496" w:rsidRPr="009F1FA3" w:rsidRDefault="001B2496" w:rsidP="001B2496">
            <w:pPr>
              <w:pStyle w:val="ListParagraph"/>
              <w:ind w:left="0"/>
              <w:jc w:val="center"/>
              <w:rPr>
                <w:lang w:eastAsia="ar-SA"/>
              </w:rPr>
            </w:pPr>
            <w:r>
              <w:rPr>
                <w:lang w:eastAsia="ar-SA"/>
              </w:rPr>
              <w:t>KJM-2</w:t>
            </w:r>
          </w:p>
        </w:tc>
        <w:tc>
          <w:tcPr>
            <w:tcW w:w="3870" w:type="dxa"/>
          </w:tcPr>
          <w:p w14:paraId="53AEEB65" w14:textId="77777777" w:rsidR="001B2496" w:rsidRPr="009F1FA3" w:rsidRDefault="001B2496" w:rsidP="001B2496">
            <w:pPr>
              <w:pStyle w:val="ListParagraph"/>
              <w:ind w:left="0"/>
              <w:jc w:val="left"/>
              <w:rPr>
                <w:lang w:eastAsia="ar-SA"/>
              </w:rPr>
            </w:pPr>
            <w:r>
              <w:rPr>
                <w:szCs w:val="24"/>
              </w:rPr>
              <w:t>Grip Reliability and Resiliency Budgets 2024-2030</w:t>
            </w:r>
          </w:p>
        </w:tc>
      </w:tr>
      <w:tr w:rsidR="001B2496" w:rsidRPr="00701945" w14:paraId="58B00359" w14:textId="77777777" w:rsidTr="006C174A">
        <w:trPr>
          <w:cantSplit/>
          <w:trHeight w:val="360"/>
        </w:trPr>
        <w:tc>
          <w:tcPr>
            <w:tcW w:w="2970" w:type="dxa"/>
          </w:tcPr>
          <w:p w14:paraId="4A552D63" w14:textId="77777777" w:rsidR="001B2496" w:rsidRPr="009F1FA3" w:rsidRDefault="001B2496" w:rsidP="001B2496">
            <w:pPr>
              <w:pStyle w:val="ListParagraph"/>
              <w:ind w:left="0"/>
              <w:jc w:val="left"/>
              <w:rPr>
                <w:lang w:eastAsia="ar-SA"/>
              </w:rPr>
            </w:pPr>
            <w:r>
              <w:rPr>
                <w:lang w:eastAsia="ar-SA"/>
              </w:rPr>
              <w:t>Bion C. Ostrander</w:t>
            </w:r>
          </w:p>
        </w:tc>
        <w:tc>
          <w:tcPr>
            <w:tcW w:w="1350" w:type="dxa"/>
          </w:tcPr>
          <w:p w14:paraId="40BB0150" w14:textId="77777777" w:rsidR="001B2496" w:rsidRDefault="001B2496" w:rsidP="001B2496">
            <w:pPr>
              <w:jc w:val="center"/>
            </w:pPr>
            <w:r w:rsidRPr="004633D3">
              <w:rPr>
                <w:lang w:eastAsia="ar-SA"/>
              </w:rPr>
              <w:t>OPC</w:t>
            </w:r>
          </w:p>
        </w:tc>
        <w:tc>
          <w:tcPr>
            <w:tcW w:w="1260" w:type="dxa"/>
          </w:tcPr>
          <w:p w14:paraId="612E2570" w14:textId="77777777" w:rsidR="001B2496" w:rsidRPr="009F1FA3" w:rsidRDefault="001B2496" w:rsidP="001B2496">
            <w:pPr>
              <w:pStyle w:val="ListParagraph"/>
              <w:ind w:left="0"/>
              <w:jc w:val="center"/>
              <w:rPr>
                <w:lang w:eastAsia="ar-SA"/>
              </w:rPr>
            </w:pPr>
            <w:r>
              <w:rPr>
                <w:lang w:eastAsia="ar-SA"/>
              </w:rPr>
              <w:t>BCO-1</w:t>
            </w:r>
          </w:p>
        </w:tc>
        <w:tc>
          <w:tcPr>
            <w:tcW w:w="3870" w:type="dxa"/>
          </w:tcPr>
          <w:p w14:paraId="425F2F8D" w14:textId="77777777" w:rsidR="001B2496" w:rsidRPr="009F1FA3" w:rsidRDefault="001B2496" w:rsidP="001B2496">
            <w:pPr>
              <w:pStyle w:val="ListParagraph"/>
              <w:ind w:left="0"/>
              <w:jc w:val="left"/>
              <w:rPr>
                <w:lang w:eastAsia="ar-SA"/>
              </w:rPr>
            </w:pPr>
            <w:r>
              <w:rPr>
                <w:szCs w:val="24"/>
              </w:rPr>
              <w:t>Regulatory Cases</w:t>
            </w:r>
          </w:p>
        </w:tc>
      </w:tr>
      <w:tr w:rsidR="001B2496" w:rsidRPr="00701945" w14:paraId="4CFA2DFA" w14:textId="77777777" w:rsidTr="006C174A">
        <w:trPr>
          <w:cantSplit/>
          <w:trHeight w:val="360"/>
        </w:trPr>
        <w:tc>
          <w:tcPr>
            <w:tcW w:w="2970" w:type="dxa"/>
          </w:tcPr>
          <w:p w14:paraId="737D3FFA" w14:textId="77777777" w:rsidR="001B2496" w:rsidRDefault="001B2496" w:rsidP="001B2496">
            <w:r w:rsidRPr="00A44C57">
              <w:rPr>
                <w:lang w:eastAsia="ar-SA"/>
              </w:rPr>
              <w:t>Bion C. Ostrander</w:t>
            </w:r>
          </w:p>
        </w:tc>
        <w:tc>
          <w:tcPr>
            <w:tcW w:w="1350" w:type="dxa"/>
          </w:tcPr>
          <w:p w14:paraId="270C4113" w14:textId="77777777" w:rsidR="001B2496" w:rsidRDefault="001B2496" w:rsidP="001B2496">
            <w:pPr>
              <w:jc w:val="center"/>
            </w:pPr>
            <w:r w:rsidRPr="004633D3">
              <w:rPr>
                <w:lang w:eastAsia="ar-SA"/>
              </w:rPr>
              <w:t>OPC</w:t>
            </w:r>
          </w:p>
        </w:tc>
        <w:tc>
          <w:tcPr>
            <w:tcW w:w="1260" w:type="dxa"/>
          </w:tcPr>
          <w:p w14:paraId="1C293512" w14:textId="77777777" w:rsidR="001B2496" w:rsidRPr="009F1FA3" w:rsidRDefault="001B2496" w:rsidP="001B2496">
            <w:pPr>
              <w:pStyle w:val="ListParagraph"/>
              <w:ind w:left="0"/>
              <w:jc w:val="center"/>
              <w:rPr>
                <w:lang w:eastAsia="ar-SA"/>
              </w:rPr>
            </w:pPr>
            <w:r>
              <w:rPr>
                <w:lang w:eastAsia="ar-SA"/>
              </w:rPr>
              <w:t>BCO-2</w:t>
            </w:r>
          </w:p>
        </w:tc>
        <w:tc>
          <w:tcPr>
            <w:tcW w:w="3870" w:type="dxa"/>
          </w:tcPr>
          <w:p w14:paraId="73E5ABBC" w14:textId="77777777" w:rsidR="001B2496" w:rsidRPr="009F1FA3" w:rsidRDefault="001B2496" w:rsidP="001B2496">
            <w:pPr>
              <w:pStyle w:val="ListParagraph"/>
              <w:ind w:left="0"/>
              <w:jc w:val="left"/>
              <w:rPr>
                <w:lang w:eastAsia="ar-SA"/>
              </w:rPr>
            </w:pPr>
            <w:r>
              <w:rPr>
                <w:szCs w:val="24"/>
              </w:rPr>
              <w:t>OPC Adjustment to Affiliate Expenses</w:t>
            </w:r>
          </w:p>
        </w:tc>
      </w:tr>
      <w:tr w:rsidR="001B2496" w:rsidRPr="00701945" w14:paraId="5AC3B8E2" w14:textId="77777777" w:rsidTr="006C174A">
        <w:trPr>
          <w:cantSplit/>
          <w:trHeight w:val="360"/>
        </w:trPr>
        <w:tc>
          <w:tcPr>
            <w:tcW w:w="2970" w:type="dxa"/>
          </w:tcPr>
          <w:p w14:paraId="34C2B234" w14:textId="77777777" w:rsidR="001B2496" w:rsidRDefault="001B2496" w:rsidP="001B2496">
            <w:r w:rsidRPr="00A44C57">
              <w:rPr>
                <w:lang w:eastAsia="ar-SA"/>
              </w:rPr>
              <w:t>Bion C. Ostrander</w:t>
            </w:r>
          </w:p>
        </w:tc>
        <w:tc>
          <w:tcPr>
            <w:tcW w:w="1350" w:type="dxa"/>
          </w:tcPr>
          <w:p w14:paraId="2C3B3B53" w14:textId="77777777" w:rsidR="001B2496" w:rsidRDefault="001B2496" w:rsidP="001B2496">
            <w:pPr>
              <w:jc w:val="center"/>
            </w:pPr>
            <w:r w:rsidRPr="004633D3">
              <w:rPr>
                <w:lang w:eastAsia="ar-SA"/>
              </w:rPr>
              <w:t>OPC</w:t>
            </w:r>
          </w:p>
        </w:tc>
        <w:tc>
          <w:tcPr>
            <w:tcW w:w="1260" w:type="dxa"/>
          </w:tcPr>
          <w:p w14:paraId="775FAF19" w14:textId="77777777" w:rsidR="001B2496" w:rsidRPr="009F1FA3" w:rsidRDefault="001B2496" w:rsidP="001B2496">
            <w:pPr>
              <w:pStyle w:val="ListParagraph"/>
              <w:ind w:left="0"/>
              <w:jc w:val="center"/>
              <w:rPr>
                <w:lang w:eastAsia="ar-SA"/>
              </w:rPr>
            </w:pPr>
            <w:r>
              <w:rPr>
                <w:lang w:eastAsia="ar-SA"/>
              </w:rPr>
              <w:t>BCO-3</w:t>
            </w:r>
          </w:p>
        </w:tc>
        <w:tc>
          <w:tcPr>
            <w:tcW w:w="3870" w:type="dxa"/>
          </w:tcPr>
          <w:p w14:paraId="2CCD4B05" w14:textId="77777777" w:rsidR="001B2496" w:rsidRPr="009F1FA3" w:rsidRDefault="001B2496" w:rsidP="001B2496">
            <w:pPr>
              <w:pStyle w:val="ListParagraph"/>
              <w:ind w:left="0"/>
              <w:jc w:val="left"/>
              <w:rPr>
                <w:lang w:eastAsia="ar-SA"/>
              </w:rPr>
            </w:pPr>
            <w:r>
              <w:rPr>
                <w:szCs w:val="24"/>
              </w:rPr>
              <w:t>TECO Discovery Responses</w:t>
            </w:r>
          </w:p>
        </w:tc>
      </w:tr>
      <w:tr w:rsidR="001B2496" w:rsidRPr="00701945" w14:paraId="38981835" w14:textId="77777777" w:rsidTr="006C174A">
        <w:trPr>
          <w:cantSplit/>
          <w:trHeight w:val="360"/>
        </w:trPr>
        <w:tc>
          <w:tcPr>
            <w:tcW w:w="2970" w:type="dxa"/>
          </w:tcPr>
          <w:p w14:paraId="2198AD8A" w14:textId="77777777" w:rsidR="001B2496" w:rsidRPr="009F1FA3" w:rsidRDefault="001B2496" w:rsidP="001B2496">
            <w:pPr>
              <w:pStyle w:val="ListParagraph"/>
              <w:ind w:left="0"/>
              <w:jc w:val="left"/>
              <w:rPr>
                <w:lang w:eastAsia="ar-SA"/>
              </w:rPr>
            </w:pPr>
            <w:r>
              <w:rPr>
                <w:bCs/>
                <w:szCs w:val="24"/>
              </w:rPr>
              <w:t>J. Randall Woolridge, Ph.D.</w:t>
            </w:r>
          </w:p>
        </w:tc>
        <w:tc>
          <w:tcPr>
            <w:tcW w:w="1350" w:type="dxa"/>
          </w:tcPr>
          <w:p w14:paraId="79464F23" w14:textId="77777777" w:rsidR="001B2496" w:rsidRDefault="001B2496" w:rsidP="001B2496">
            <w:pPr>
              <w:jc w:val="center"/>
            </w:pPr>
            <w:r w:rsidRPr="004633D3">
              <w:rPr>
                <w:lang w:eastAsia="ar-SA"/>
              </w:rPr>
              <w:t>OPC</w:t>
            </w:r>
          </w:p>
        </w:tc>
        <w:tc>
          <w:tcPr>
            <w:tcW w:w="1260" w:type="dxa"/>
          </w:tcPr>
          <w:p w14:paraId="1956E0E9" w14:textId="77777777" w:rsidR="001B2496" w:rsidRPr="009F1FA3" w:rsidRDefault="001B2496" w:rsidP="001B2496">
            <w:pPr>
              <w:pStyle w:val="ListParagraph"/>
              <w:ind w:left="0"/>
              <w:jc w:val="center"/>
              <w:rPr>
                <w:lang w:eastAsia="ar-SA"/>
              </w:rPr>
            </w:pPr>
            <w:r>
              <w:rPr>
                <w:lang w:eastAsia="ar-SA"/>
              </w:rPr>
              <w:t>JRW-1</w:t>
            </w:r>
          </w:p>
        </w:tc>
        <w:tc>
          <w:tcPr>
            <w:tcW w:w="3870" w:type="dxa"/>
          </w:tcPr>
          <w:p w14:paraId="34FF1367" w14:textId="77777777" w:rsidR="001B2496" w:rsidRPr="009F1FA3" w:rsidRDefault="001B2496" w:rsidP="001B2496">
            <w:pPr>
              <w:pStyle w:val="ListParagraph"/>
              <w:ind w:left="0"/>
              <w:jc w:val="left"/>
              <w:rPr>
                <w:lang w:eastAsia="ar-SA"/>
              </w:rPr>
            </w:pPr>
            <w:r>
              <w:rPr>
                <w:szCs w:val="24"/>
              </w:rPr>
              <w:t>Cost of Capital Recommendation</w:t>
            </w:r>
          </w:p>
        </w:tc>
      </w:tr>
      <w:tr w:rsidR="001B2496" w:rsidRPr="00701945" w14:paraId="4C533523" w14:textId="77777777" w:rsidTr="006C174A">
        <w:trPr>
          <w:cantSplit/>
          <w:trHeight w:val="360"/>
        </w:trPr>
        <w:tc>
          <w:tcPr>
            <w:tcW w:w="2970" w:type="dxa"/>
          </w:tcPr>
          <w:p w14:paraId="3DE56F2A" w14:textId="77777777" w:rsidR="001B2496" w:rsidRPr="009F1FA3" w:rsidRDefault="001B2496" w:rsidP="001B2496">
            <w:pPr>
              <w:pStyle w:val="ListParagraph"/>
              <w:ind w:left="0"/>
              <w:jc w:val="left"/>
              <w:rPr>
                <w:lang w:eastAsia="ar-SA"/>
              </w:rPr>
            </w:pPr>
            <w:r>
              <w:rPr>
                <w:bCs/>
                <w:szCs w:val="24"/>
              </w:rPr>
              <w:t>J. Randall Woolridge, Ph.D.</w:t>
            </w:r>
          </w:p>
        </w:tc>
        <w:tc>
          <w:tcPr>
            <w:tcW w:w="1350" w:type="dxa"/>
          </w:tcPr>
          <w:p w14:paraId="25E663CB" w14:textId="77777777" w:rsidR="001B2496" w:rsidRDefault="001B2496" w:rsidP="001B2496">
            <w:pPr>
              <w:jc w:val="center"/>
            </w:pPr>
            <w:r w:rsidRPr="004633D3">
              <w:rPr>
                <w:lang w:eastAsia="ar-SA"/>
              </w:rPr>
              <w:t>OPC</w:t>
            </w:r>
          </w:p>
        </w:tc>
        <w:tc>
          <w:tcPr>
            <w:tcW w:w="1260" w:type="dxa"/>
          </w:tcPr>
          <w:p w14:paraId="128F2BCE" w14:textId="77777777" w:rsidR="001B2496" w:rsidRPr="009F1FA3" w:rsidRDefault="001B2496" w:rsidP="001B2496">
            <w:pPr>
              <w:pStyle w:val="ListParagraph"/>
              <w:ind w:left="0"/>
              <w:jc w:val="center"/>
              <w:rPr>
                <w:lang w:eastAsia="ar-SA"/>
              </w:rPr>
            </w:pPr>
            <w:r>
              <w:rPr>
                <w:lang w:eastAsia="ar-SA"/>
              </w:rPr>
              <w:t>JRW-2</w:t>
            </w:r>
          </w:p>
        </w:tc>
        <w:tc>
          <w:tcPr>
            <w:tcW w:w="3870" w:type="dxa"/>
          </w:tcPr>
          <w:p w14:paraId="19903523" w14:textId="77777777" w:rsidR="001B2496" w:rsidRPr="009F1FA3" w:rsidRDefault="001B2496" w:rsidP="001B2496">
            <w:pPr>
              <w:pStyle w:val="ListParagraph"/>
              <w:ind w:left="0"/>
              <w:jc w:val="left"/>
              <w:rPr>
                <w:lang w:eastAsia="ar-SA"/>
              </w:rPr>
            </w:pPr>
            <w:r>
              <w:rPr>
                <w:szCs w:val="24"/>
              </w:rPr>
              <w:t>Public Utility Capital Cost Indicators</w:t>
            </w:r>
          </w:p>
        </w:tc>
      </w:tr>
      <w:tr w:rsidR="001B2496" w:rsidRPr="00701945" w14:paraId="36AB20F0" w14:textId="77777777" w:rsidTr="006C174A">
        <w:trPr>
          <w:cantSplit/>
          <w:trHeight w:val="360"/>
        </w:trPr>
        <w:tc>
          <w:tcPr>
            <w:tcW w:w="2970" w:type="dxa"/>
          </w:tcPr>
          <w:p w14:paraId="2F2A6D1D" w14:textId="77777777" w:rsidR="001B2496" w:rsidRPr="009F1FA3" w:rsidRDefault="001B2496" w:rsidP="001B2496">
            <w:pPr>
              <w:pStyle w:val="ListParagraph"/>
              <w:ind w:left="0"/>
              <w:jc w:val="left"/>
              <w:rPr>
                <w:lang w:eastAsia="ar-SA"/>
              </w:rPr>
            </w:pPr>
            <w:r>
              <w:rPr>
                <w:bCs/>
                <w:szCs w:val="24"/>
              </w:rPr>
              <w:t>J. Randall Woolridge, Ph.D.</w:t>
            </w:r>
          </w:p>
        </w:tc>
        <w:tc>
          <w:tcPr>
            <w:tcW w:w="1350" w:type="dxa"/>
          </w:tcPr>
          <w:p w14:paraId="09A8AC82" w14:textId="77777777" w:rsidR="001B2496" w:rsidRDefault="001B2496" w:rsidP="001B2496">
            <w:pPr>
              <w:jc w:val="center"/>
            </w:pPr>
            <w:r w:rsidRPr="004633D3">
              <w:rPr>
                <w:lang w:eastAsia="ar-SA"/>
              </w:rPr>
              <w:t>OPC</w:t>
            </w:r>
          </w:p>
        </w:tc>
        <w:tc>
          <w:tcPr>
            <w:tcW w:w="1260" w:type="dxa"/>
          </w:tcPr>
          <w:p w14:paraId="26EEA8D5" w14:textId="77777777" w:rsidR="001B2496" w:rsidRDefault="001B2496" w:rsidP="001B2496">
            <w:pPr>
              <w:jc w:val="center"/>
            </w:pPr>
            <w:r w:rsidRPr="00702C3B">
              <w:rPr>
                <w:lang w:eastAsia="ar-SA"/>
              </w:rPr>
              <w:t>JRW-</w:t>
            </w:r>
            <w:r>
              <w:rPr>
                <w:lang w:eastAsia="ar-SA"/>
              </w:rPr>
              <w:t>3</w:t>
            </w:r>
          </w:p>
        </w:tc>
        <w:tc>
          <w:tcPr>
            <w:tcW w:w="3870" w:type="dxa"/>
          </w:tcPr>
          <w:p w14:paraId="2CCFB04C" w14:textId="77777777" w:rsidR="001B2496" w:rsidRPr="009F1FA3" w:rsidRDefault="001B2496" w:rsidP="001B2496">
            <w:pPr>
              <w:pStyle w:val="ListParagraph"/>
              <w:ind w:left="0"/>
              <w:jc w:val="left"/>
              <w:rPr>
                <w:lang w:eastAsia="ar-SA"/>
              </w:rPr>
            </w:pPr>
            <w:r>
              <w:rPr>
                <w:szCs w:val="24"/>
              </w:rPr>
              <w:t>Summary Financial Statistics for Proxy Groups, Value Line Risk Metrics for Proxy Groups</w:t>
            </w:r>
          </w:p>
        </w:tc>
      </w:tr>
      <w:tr w:rsidR="001B2496" w:rsidRPr="00701945" w14:paraId="0BA9D719" w14:textId="77777777" w:rsidTr="006C174A">
        <w:trPr>
          <w:cantSplit/>
          <w:trHeight w:val="360"/>
        </w:trPr>
        <w:tc>
          <w:tcPr>
            <w:tcW w:w="2970" w:type="dxa"/>
          </w:tcPr>
          <w:p w14:paraId="5E1B5C0C" w14:textId="77777777" w:rsidR="001B2496" w:rsidRPr="009F1FA3" w:rsidRDefault="001B2496" w:rsidP="001B2496">
            <w:pPr>
              <w:pStyle w:val="ListParagraph"/>
              <w:ind w:left="0"/>
              <w:jc w:val="left"/>
              <w:rPr>
                <w:lang w:eastAsia="ar-SA"/>
              </w:rPr>
            </w:pPr>
            <w:r>
              <w:rPr>
                <w:bCs/>
                <w:szCs w:val="24"/>
              </w:rPr>
              <w:t>J. Randall Woolridge, Ph.D.</w:t>
            </w:r>
          </w:p>
        </w:tc>
        <w:tc>
          <w:tcPr>
            <w:tcW w:w="1350" w:type="dxa"/>
          </w:tcPr>
          <w:p w14:paraId="5AA70F6D" w14:textId="77777777" w:rsidR="001B2496" w:rsidRDefault="001B2496" w:rsidP="001B2496">
            <w:pPr>
              <w:jc w:val="center"/>
            </w:pPr>
            <w:r w:rsidRPr="004633D3">
              <w:rPr>
                <w:lang w:eastAsia="ar-SA"/>
              </w:rPr>
              <w:t>OPC</w:t>
            </w:r>
          </w:p>
        </w:tc>
        <w:tc>
          <w:tcPr>
            <w:tcW w:w="1260" w:type="dxa"/>
          </w:tcPr>
          <w:p w14:paraId="5607A4FC" w14:textId="77777777" w:rsidR="001B2496" w:rsidRDefault="001B2496" w:rsidP="001B2496">
            <w:pPr>
              <w:jc w:val="center"/>
            </w:pPr>
            <w:r w:rsidRPr="00702C3B">
              <w:rPr>
                <w:lang w:eastAsia="ar-SA"/>
              </w:rPr>
              <w:t>JRW-</w:t>
            </w:r>
            <w:r>
              <w:rPr>
                <w:lang w:eastAsia="ar-SA"/>
              </w:rPr>
              <w:t>4</w:t>
            </w:r>
          </w:p>
        </w:tc>
        <w:tc>
          <w:tcPr>
            <w:tcW w:w="3870" w:type="dxa"/>
          </w:tcPr>
          <w:p w14:paraId="7E512FF5" w14:textId="77777777" w:rsidR="001B2496" w:rsidRPr="009F1FA3" w:rsidRDefault="001B2496" w:rsidP="001B2496">
            <w:pPr>
              <w:pStyle w:val="ListParagraph"/>
              <w:ind w:left="0"/>
              <w:jc w:val="left"/>
              <w:rPr>
                <w:lang w:eastAsia="ar-SA"/>
              </w:rPr>
            </w:pPr>
            <w:r>
              <w:rPr>
                <w:szCs w:val="24"/>
              </w:rPr>
              <w:t>Capital Structure and Debt Cost Rates</w:t>
            </w:r>
          </w:p>
        </w:tc>
      </w:tr>
      <w:tr w:rsidR="001B2496" w:rsidRPr="00701945" w14:paraId="6A66DF59" w14:textId="77777777" w:rsidTr="006C174A">
        <w:trPr>
          <w:cantSplit/>
          <w:trHeight w:val="360"/>
        </w:trPr>
        <w:tc>
          <w:tcPr>
            <w:tcW w:w="2970" w:type="dxa"/>
          </w:tcPr>
          <w:p w14:paraId="0DAD8EC3" w14:textId="77777777" w:rsidR="001B2496" w:rsidRPr="009F1FA3" w:rsidRDefault="001B2496" w:rsidP="001B2496">
            <w:pPr>
              <w:pStyle w:val="ListParagraph"/>
              <w:ind w:left="0"/>
              <w:jc w:val="left"/>
              <w:rPr>
                <w:lang w:eastAsia="ar-SA"/>
              </w:rPr>
            </w:pPr>
            <w:r>
              <w:rPr>
                <w:bCs/>
                <w:szCs w:val="24"/>
              </w:rPr>
              <w:t>J. Randall Woolridge, Ph.D.</w:t>
            </w:r>
          </w:p>
        </w:tc>
        <w:tc>
          <w:tcPr>
            <w:tcW w:w="1350" w:type="dxa"/>
          </w:tcPr>
          <w:p w14:paraId="564A768D" w14:textId="77777777" w:rsidR="001B2496" w:rsidRDefault="001B2496" w:rsidP="001B2496">
            <w:pPr>
              <w:jc w:val="center"/>
            </w:pPr>
            <w:r w:rsidRPr="004633D3">
              <w:rPr>
                <w:lang w:eastAsia="ar-SA"/>
              </w:rPr>
              <w:t>OPC</w:t>
            </w:r>
          </w:p>
        </w:tc>
        <w:tc>
          <w:tcPr>
            <w:tcW w:w="1260" w:type="dxa"/>
          </w:tcPr>
          <w:p w14:paraId="01B2E368" w14:textId="77777777" w:rsidR="001B2496" w:rsidRDefault="001B2496" w:rsidP="001B2496">
            <w:pPr>
              <w:jc w:val="center"/>
            </w:pPr>
            <w:r w:rsidRPr="00702C3B">
              <w:rPr>
                <w:lang w:eastAsia="ar-SA"/>
              </w:rPr>
              <w:t>JRW-</w:t>
            </w:r>
            <w:r>
              <w:rPr>
                <w:lang w:eastAsia="ar-SA"/>
              </w:rPr>
              <w:t>5</w:t>
            </w:r>
          </w:p>
        </w:tc>
        <w:tc>
          <w:tcPr>
            <w:tcW w:w="3870" w:type="dxa"/>
          </w:tcPr>
          <w:p w14:paraId="46CABAA3" w14:textId="77777777" w:rsidR="001B2496" w:rsidRPr="009F1FA3" w:rsidRDefault="001B2496" w:rsidP="001B2496">
            <w:pPr>
              <w:pStyle w:val="ListParagraph"/>
              <w:ind w:left="0"/>
              <w:jc w:val="left"/>
              <w:rPr>
                <w:lang w:eastAsia="ar-SA"/>
              </w:rPr>
            </w:pPr>
            <w:r>
              <w:rPr>
                <w:szCs w:val="24"/>
              </w:rPr>
              <w:t>DCF Study</w:t>
            </w:r>
          </w:p>
        </w:tc>
      </w:tr>
      <w:tr w:rsidR="001B2496" w:rsidRPr="00701945" w14:paraId="2FED6964" w14:textId="77777777" w:rsidTr="006C174A">
        <w:trPr>
          <w:cantSplit/>
          <w:trHeight w:val="360"/>
        </w:trPr>
        <w:tc>
          <w:tcPr>
            <w:tcW w:w="2970" w:type="dxa"/>
          </w:tcPr>
          <w:p w14:paraId="07934BE7" w14:textId="77777777" w:rsidR="001B2496" w:rsidRPr="009F1FA3" w:rsidRDefault="001B2496" w:rsidP="001B2496">
            <w:pPr>
              <w:pStyle w:val="ListParagraph"/>
              <w:ind w:left="0"/>
              <w:jc w:val="left"/>
              <w:rPr>
                <w:lang w:eastAsia="ar-SA"/>
              </w:rPr>
            </w:pPr>
            <w:r>
              <w:rPr>
                <w:bCs/>
                <w:szCs w:val="24"/>
              </w:rPr>
              <w:t>J. Randall Woolridge, Ph.D.</w:t>
            </w:r>
          </w:p>
        </w:tc>
        <w:tc>
          <w:tcPr>
            <w:tcW w:w="1350" w:type="dxa"/>
          </w:tcPr>
          <w:p w14:paraId="38D385FB" w14:textId="77777777" w:rsidR="001B2496" w:rsidRDefault="001B2496" w:rsidP="001B2496">
            <w:pPr>
              <w:jc w:val="center"/>
            </w:pPr>
            <w:r w:rsidRPr="004633D3">
              <w:rPr>
                <w:lang w:eastAsia="ar-SA"/>
              </w:rPr>
              <w:t>OPC</w:t>
            </w:r>
          </w:p>
        </w:tc>
        <w:tc>
          <w:tcPr>
            <w:tcW w:w="1260" w:type="dxa"/>
          </w:tcPr>
          <w:p w14:paraId="25C7B657" w14:textId="77777777" w:rsidR="001B2496" w:rsidRDefault="001B2496" w:rsidP="001B2496">
            <w:pPr>
              <w:jc w:val="center"/>
            </w:pPr>
            <w:r w:rsidRPr="00702C3B">
              <w:rPr>
                <w:lang w:eastAsia="ar-SA"/>
              </w:rPr>
              <w:t>JRW-</w:t>
            </w:r>
            <w:r>
              <w:rPr>
                <w:lang w:eastAsia="ar-SA"/>
              </w:rPr>
              <w:t>6</w:t>
            </w:r>
          </w:p>
        </w:tc>
        <w:tc>
          <w:tcPr>
            <w:tcW w:w="3870" w:type="dxa"/>
          </w:tcPr>
          <w:p w14:paraId="79AAFE5F" w14:textId="77777777" w:rsidR="001B2496" w:rsidRPr="009F1FA3" w:rsidRDefault="001B2496" w:rsidP="001B2496">
            <w:pPr>
              <w:pStyle w:val="ListParagraph"/>
              <w:ind w:left="0"/>
              <w:jc w:val="left"/>
              <w:rPr>
                <w:lang w:eastAsia="ar-SA"/>
              </w:rPr>
            </w:pPr>
            <w:r>
              <w:rPr>
                <w:szCs w:val="24"/>
              </w:rPr>
              <w:t>CAPM Study</w:t>
            </w:r>
          </w:p>
        </w:tc>
      </w:tr>
      <w:tr w:rsidR="001B2496" w:rsidRPr="00701945" w14:paraId="673ADD6A" w14:textId="77777777" w:rsidTr="006C174A">
        <w:trPr>
          <w:cantSplit/>
          <w:trHeight w:val="360"/>
        </w:trPr>
        <w:tc>
          <w:tcPr>
            <w:tcW w:w="2970" w:type="dxa"/>
          </w:tcPr>
          <w:p w14:paraId="41F0E3F1" w14:textId="77777777" w:rsidR="001B2496" w:rsidRPr="009F1FA3" w:rsidRDefault="001B2496" w:rsidP="001B2496">
            <w:pPr>
              <w:pStyle w:val="ListParagraph"/>
              <w:ind w:left="0"/>
              <w:jc w:val="left"/>
              <w:rPr>
                <w:lang w:eastAsia="ar-SA"/>
              </w:rPr>
            </w:pPr>
            <w:r>
              <w:rPr>
                <w:bCs/>
                <w:szCs w:val="24"/>
              </w:rPr>
              <w:t>J. Randall Woolridge, Ph.D.</w:t>
            </w:r>
          </w:p>
        </w:tc>
        <w:tc>
          <w:tcPr>
            <w:tcW w:w="1350" w:type="dxa"/>
          </w:tcPr>
          <w:p w14:paraId="51655A62" w14:textId="77777777" w:rsidR="001B2496" w:rsidRDefault="001B2496" w:rsidP="001B2496">
            <w:pPr>
              <w:jc w:val="center"/>
            </w:pPr>
            <w:r w:rsidRPr="004633D3">
              <w:rPr>
                <w:lang w:eastAsia="ar-SA"/>
              </w:rPr>
              <w:t>OPC</w:t>
            </w:r>
          </w:p>
        </w:tc>
        <w:tc>
          <w:tcPr>
            <w:tcW w:w="1260" w:type="dxa"/>
          </w:tcPr>
          <w:p w14:paraId="38494688" w14:textId="77777777" w:rsidR="001B2496" w:rsidRDefault="001B2496" w:rsidP="001B2496">
            <w:pPr>
              <w:jc w:val="center"/>
            </w:pPr>
            <w:r w:rsidRPr="00702C3B">
              <w:rPr>
                <w:lang w:eastAsia="ar-SA"/>
              </w:rPr>
              <w:t>JRW-</w:t>
            </w:r>
            <w:r>
              <w:rPr>
                <w:lang w:eastAsia="ar-SA"/>
              </w:rPr>
              <w:t>7</w:t>
            </w:r>
          </w:p>
        </w:tc>
        <w:tc>
          <w:tcPr>
            <w:tcW w:w="3870" w:type="dxa"/>
          </w:tcPr>
          <w:p w14:paraId="6E239C94" w14:textId="77777777" w:rsidR="001B2496" w:rsidRDefault="001B2496" w:rsidP="001B2496">
            <w:r>
              <w:t>Tampa Electric Company’s Rate of Return Recommendation</w:t>
            </w:r>
          </w:p>
        </w:tc>
      </w:tr>
      <w:tr w:rsidR="001B2496" w:rsidRPr="00701945" w14:paraId="4E7ABCAA" w14:textId="77777777" w:rsidTr="006C174A">
        <w:trPr>
          <w:cantSplit/>
          <w:trHeight w:val="360"/>
        </w:trPr>
        <w:tc>
          <w:tcPr>
            <w:tcW w:w="2970" w:type="dxa"/>
          </w:tcPr>
          <w:p w14:paraId="584D0AE4" w14:textId="77777777" w:rsidR="001B2496" w:rsidRPr="009F1FA3" w:rsidRDefault="001B2496" w:rsidP="001B2496">
            <w:pPr>
              <w:pStyle w:val="ListParagraph"/>
              <w:ind w:left="0"/>
              <w:jc w:val="left"/>
              <w:rPr>
                <w:lang w:eastAsia="ar-SA"/>
              </w:rPr>
            </w:pPr>
            <w:r>
              <w:rPr>
                <w:bCs/>
                <w:szCs w:val="24"/>
              </w:rPr>
              <w:t>J. Randall Woolridge, Ph.D.</w:t>
            </w:r>
          </w:p>
        </w:tc>
        <w:tc>
          <w:tcPr>
            <w:tcW w:w="1350" w:type="dxa"/>
          </w:tcPr>
          <w:p w14:paraId="1EA7AF70" w14:textId="77777777" w:rsidR="001B2496" w:rsidRDefault="001B2496" w:rsidP="001B2496">
            <w:pPr>
              <w:jc w:val="center"/>
            </w:pPr>
            <w:r w:rsidRPr="004633D3">
              <w:rPr>
                <w:lang w:eastAsia="ar-SA"/>
              </w:rPr>
              <w:t>OPC</w:t>
            </w:r>
          </w:p>
        </w:tc>
        <w:tc>
          <w:tcPr>
            <w:tcW w:w="1260" w:type="dxa"/>
          </w:tcPr>
          <w:p w14:paraId="220210AA" w14:textId="77777777" w:rsidR="001B2496" w:rsidRDefault="001B2496" w:rsidP="001B2496">
            <w:pPr>
              <w:jc w:val="center"/>
            </w:pPr>
            <w:r w:rsidRPr="00702C3B">
              <w:rPr>
                <w:lang w:eastAsia="ar-SA"/>
              </w:rPr>
              <w:t>JRW-</w:t>
            </w:r>
            <w:r>
              <w:rPr>
                <w:lang w:eastAsia="ar-SA"/>
              </w:rPr>
              <w:t>8</w:t>
            </w:r>
          </w:p>
        </w:tc>
        <w:tc>
          <w:tcPr>
            <w:tcW w:w="3870" w:type="dxa"/>
          </w:tcPr>
          <w:p w14:paraId="44460D58" w14:textId="77777777" w:rsidR="001B2496" w:rsidRDefault="001B2496" w:rsidP="001B2496">
            <w:r>
              <w:t>Investment Firms’ Expected U.S. Large Cap Equity Market Annual Returns</w:t>
            </w:r>
          </w:p>
        </w:tc>
      </w:tr>
      <w:tr w:rsidR="001B2496" w:rsidRPr="00701945" w14:paraId="7302E463" w14:textId="77777777" w:rsidTr="006C174A">
        <w:trPr>
          <w:cantSplit/>
          <w:trHeight w:val="360"/>
        </w:trPr>
        <w:tc>
          <w:tcPr>
            <w:tcW w:w="2970" w:type="dxa"/>
          </w:tcPr>
          <w:p w14:paraId="55A49B7A" w14:textId="77777777" w:rsidR="001B2496" w:rsidRPr="009F1FA3" w:rsidRDefault="001B2496" w:rsidP="001B2496">
            <w:pPr>
              <w:pStyle w:val="ListParagraph"/>
              <w:ind w:left="0"/>
              <w:jc w:val="left"/>
              <w:rPr>
                <w:lang w:eastAsia="ar-SA"/>
              </w:rPr>
            </w:pPr>
            <w:r>
              <w:rPr>
                <w:bCs/>
                <w:szCs w:val="24"/>
              </w:rPr>
              <w:t>J. Randall Woolridge, Ph.D.</w:t>
            </w:r>
          </w:p>
        </w:tc>
        <w:tc>
          <w:tcPr>
            <w:tcW w:w="1350" w:type="dxa"/>
          </w:tcPr>
          <w:p w14:paraId="26ED695E" w14:textId="77777777" w:rsidR="001B2496" w:rsidRDefault="001B2496" w:rsidP="001B2496">
            <w:pPr>
              <w:jc w:val="center"/>
            </w:pPr>
            <w:r w:rsidRPr="004633D3">
              <w:rPr>
                <w:lang w:eastAsia="ar-SA"/>
              </w:rPr>
              <w:t>OPC</w:t>
            </w:r>
          </w:p>
        </w:tc>
        <w:tc>
          <w:tcPr>
            <w:tcW w:w="1260" w:type="dxa"/>
          </w:tcPr>
          <w:p w14:paraId="7CF01103" w14:textId="77777777" w:rsidR="001B2496" w:rsidRDefault="001B2496" w:rsidP="001B2496">
            <w:pPr>
              <w:jc w:val="center"/>
            </w:pPr>
            <w:r w:rsidRPr="00702C3B">
              <w:rPr>
                <w:lang w:eastAsia="ar-SA"/>
              </w:rPr>
              <w:t>JRW-</w:t>
            </w:r>
            <w:r>
              <w:rPr>
                <w:lang w:eastAsia="ar-SA"/>
              </w:rPr>
              <w:t>9</w:t>
            </w:r>
          </w:p>
        </w:tc>
        <w:tc>
          <w:tcPr>
            <w:tcW w:w="3870" w:type="dxa"/>
          </w:tcPr>
          <w:p w14:paraId="20C9A670" w14:textId="77777777" w:rsidR="001B2496" w:rsidRDefault="001B2496" w:rsidP="001B2496">
            <w:r>
              <w:t>GDP and S&amp;P 500 Growth Rates</w:t>
            </w:r>
          </w:p>
        </w:tc>
      </w:tr>
      <w:tr w:rsidR="00F5605A" w:rsidRPr="00701945" w14:paraId="718B9C68" w14:textId="77777777" w:rsidTr="006C174A">
        <w:trPr>
          <w:cantSplit/>
          <w:trHeight w:val="360"/>
        </w:trPr>
        <w:tc>
          <w:tcPr>
            <w:tcW w:w="2970" w:type="dxa"/>
          </w:tcPr>
          <w:p w14:paraId="510091AA" w14:textId="77777777" w:rsidR="001B2496" w:rsidRPr="009F1FA3" w:rsidRDefault="001B2496" w:rsidP="001B2496">
            <w:pPr>
              <w:pStyle w:val="ListParagraph"/>
              <w:ind w:left="0"/>
              <w:jc w:val="left"/>
              <w:rPr>
                <w:lang w:eastAsia="ar-SA"/>
              </w:rPr>
            </w:pPr>
            <w:r w:rsidRPr="009F1FA3">
              <w:rPr>
                <w:lang w:eastAsia="ar-SA"/>
              </w:rPr>
              <w:lastRenderedPageBreak/>
              <w:t>Karl Rábago</w:t>
            </w:r>
          </w:p>
        </w:tc>
        <w:tc>
          <w:tcPr>
            <w:tcW w:w="1350" w:type="dxa"/>
          </w:tcPr>
          <w:p w14:paraId="1DE10F96" w14:textId="77777777" w:rsidR="001B2496" w:rsidRPr="009F1FA3" w:rsidRDefault="001B2496" w:rsidP="001B2496">
            <w:pPr>
              <w:pStyle w:val="ListParagraph"/>
              <w:ind w:left="0"/>
              <w:jc w:val="center"/>
              <w:rPr>
                <w:lang w:eastAsia="ar-SA"/>
              </w:rPr>
            </w:pPr>
            <w:r w:rsidRPr="009F1FA3">
              <w:rPr>
                <w:lang w:eastAsia="ar-SA"/>
              </w:rPr>
              <w:t>FL R</w:t>
            </w:r>
            <w:r>
              <w:rPr>
                <w:lang w:eastAsia="ar-SA"/>
              </w:rPr>
              <w:t>ising/</w:t>
            </w:r>
          </w:p>
          <w:p w14:paraId="5E1FA563" w14:textId="77777777" w:rsidR="001B2496" w:rsidRPr="009F1FA3" w:rsidRDefault="001B2496" w:rsidP="001B2496">
            <w:pPr>
              <w:pStyle w:val="ListParagraph"/>
              <w:ind w:left="0"/>
              <w:jc w:val="center"/>
              <w:rPr>
                <w:lang w:eastAsia="ar-SA"/>
              </w:rPr>
            </w:pPr>
            <w:r w:rsidRPr="009F1FA3">
              <w:rPr>
                <w:lang w:eastAsia="ar-SA"/>
              </w:rPr>
              <w:t>LULAC</w:t>
            </w:r>
          </w:p>
        </w:tc>
        <w:tc>
          <w:tcPr>
            <w:tcW w:w="1260" w:type="dxa"/>
          </w:tcPr>
          <w:p w14:paraId="7F18B422" w14:textId="77777777" w:rsidR="001B2496" w:rsidRPr="009F1FA3" w:rsidRDefault="001B2496" w:rsidP="001B2496">
            <w:pPr>
              <w:pStyle w:val="ListParagraph"/>
              <w:ind w:left="0"/>
              <w:jc w:val="center"/>
              <w:rPr>
                <w:lang w:eastAsia="ar-SA"/>
              </w:rPr>
            </w:pPr>
            <w:r w:rsidRPr="009F1FA3">
              <w:rPr>
                <w:lang w:eastAsia="ar-SA"/>
              </w:rPr>
              <w:t>KRR-1</w:t>
            </w:r>
          </w:p>
        </w:tc>
        <w:tc>
          <w:tcPr>
            <w:tcW w:w="3870" w:type="dxa"/>
          </w:tcPr>
          <w:p w14:paraId="71C36F24" w14:textId="77777777" w:rsidR="001B2496" w:rsidRPr="009F1FA3" w:rsidRDefault="001B2496" w:rsidP="001B2496">
            <w:pPr>
              <w:pStyle w:val="ListParagraph"/>
              <w:ind w:left="0"/>
              <w:jc w:val="left"/>
              <w:rPr>
                <w:lang w:eastAsia="ar-SA"/>
              </w:rPr>
            </w:pPr>
            <w:r w:rsidRPr="009F1FA3">
              <w:rPr>
                <w:lang w:eastAsia="ar-SA"/>
              </w:rPr>
              <w:t>Karl R. Rábago Resume</w:t>
            </w:r>
          </w:p>
        </w:tc>
      </w:tr>
      <w:tr w:rsidR="00F5605A" w:rsidRPr="00701945" w14:paraId="5A7A6818" w14:textId="77777777" w:rsidTr="006C174A">
        <w:trPr>
          <w:cantSplit/>
          <w:trHeight w:val="360"/>
        </w:trPr>
        <w:tc>
          <w:tcPr>
            <w:tcW w:w="2970" w:type="dxa"/>
          </w:tcPr>
          <w:p w14:paraId="13FC2404" w14:textId="77777777" w:rsidR="001B2496" w:rsidRPr="009F1FA3" w:rsidRDefault="001B2496" w:rsidP="001B2496">
            <w:pPr>
              <w:pStyle w:val="ListParagraph"/>
              <w:ind w:left="0"/>
              <w:jc w:val="left"/>
              <w:rPr>
                <w:lang w:eastAsia="ar-SA"/>
              </w:rPr>
            </w:pPr>
            <w:r w:rsidRPr="009F1FA3">
              <w:rPr>
                <w:lang w:eastAsia="ar-SA"/>
              </w:rPr>
              <w:t>Karl Rábago</w:t>
            </w:r>
          </w:p>
        </w:tc>
        <w:tc>
          <w:tcPr>
            <w:tcW w:w="1350" w:type="dxa"/>
          </w:tcPr>
          <w:p w14:paraId="4AFE6606" w14:textId="77777777" w:rsidR="00BE6BCD" w:rsidRPr="009F1FA3" w:rsidRDefault="00BE6BCD" w:rsidP="00BE6BCD">
            <w:pPr>
              <w:pStyle w:val="ListParagraph"/>
              <w:ind w:left="0"/>
              <w:jc w:val="center"/>
              <w:rPr>
                <w:lang w:eastAsia="ar-SA"/>
              </w:rPr>
            </w:pPr>
            <w:r w:rsidRPr="009F1FA3">
              <w:rPr>
                <w:lang w:eastAsia="ar-SA"/>
              </w:rPr>
              <w:t>FL R</w:t>
            </w:r>
            <w:r>
              <w:rPr>
                <w:lang w:eastAsia="ar-SA"/>
              </w:rPr>
              <w:t>ising/</w:t>
            </w:r>
          </w:p>
          <w:p w14:paraId="1C9CD357" w14:textId="77777777" w:rsidR="001B2496" w:rsidRPr="009F1FA3" w:rsidRDefault="00BE6BCD" w:rsidP="00BE6BCD">
            <w:pPr>
              <w:pStyle w:val="ListParagraph"/>
              <w:ind w:left="0"/>
              <w:jc w:val="center"/>
              <w:rPr>
                <w:lang w:eastAsia="ar-SA"/>
              </w:rPr>
            </w:pPr>
            <w:r w:rsidRPr="009F1FA3">
              <w:rPr>
                <w:lang w:eastAsia="ar-SA"/>
              </w:rPr>
              <w:t>LULAC</w:t>
            </w:r>
          </w:p>
        </w:tc>
        <w:tc>
          <w:tcPr>
            <w:tcW w:w="1260" w:type="dxa"/>
          </w:tcPr>
          <w:p w14:paraId="47647E4E" w14:textId="77777777" w:rsidR="001B2496" w:rsidRPr="009F1FA3" w:rsidRDefault="001B2496" w:rsidP="001B2496">
            <w:pPr>
              <w:pStyle w:val="ListParagraph"/>
              <w:ind w:left="0"/>
              <w:jc w:val="center"/>
              <w:rPr>
                <w:lang w:eastAsia="ar-SA"/>
              </w:rPr>
            </w:pPr>
            <w:r w:rsidRPr="009F1FA3">
              <w:rPr>
                <w:lang w:eastAsia="ar-SA"/>
              </w:rPr>
              <w:t>KRR-2</w:t>
            </w:r>
          </w:p>
        </w:tc>
        <w:tc>
          <w:tcPr>
            <w:tcW w:w="3870" w:type="dxa"/>
          </w:tcPr>
          <w:p w14:paraId="754E5E09" w14:textId="77777777" w:rsidR="001B2496" w:rsidRPr="009F1FA3" w:rsidRDefault="001B2496" w:rsidP="001B2496">
            <w:pPr>
              <w:pStyle w:val="ListParagraph"/>
              <w:ind w:left="0"/>
              <w:jc w:val="left"/>
              <w:rPr>
                <w:lang w:eastAsia="ar-SA"/>
              </w:rPr>
            </w:pPr>
            <w:r w:rsidRPr="009F1FA3">
              <w:rPr>
                <w:lang w:eastAsia="ar-SA"/>
              </w:rPr>
              <w:t>Rábago List of Prior Testimony</w:t>
            </w:r>
          </w:p>
        </w:tc>
      </w:tr>
      <w:tr w:rsidR="00F5605A" w:rsidRPr="00701945" w14:paraId="7654DDC6" w14:textId="77777777" w:rsidTr="006C174A">
        <w:trPr>
          <w:cantSplit/>
          <w:trHeight w:val="360"/>
        </w:trPr>
        <w:tc>
          <w:tcPr>
            <w:tcW w:w="2970" w:type="dxa"/>
          </w:tcPr>
          <w:p w14:paraId="24F83F0E" w14:textId="77777777" w:rsidR="001B2496" w:rsidRPr="009F1FA3" w:rsidRDefault="001B2496" w:rsidP="001B2496">
            <w:pPr>
              <w:pStyle w:val="ListParagraph"/>
              <w:ind w:left="0"/>
              <w:jc w:val="left"/>
              <w:rPr>
                <w:lang w:eastAsia="ar-SA"/>
              </w:rPr>
            </w:pPr>
            <w:r w:rsidRPr="009F1FA3">
              <w:rPr>
                <w:lang w:eastAsia="ar-SA"/>
              </w:rPr>
              <w:t>Karl Rábago</w:t>
            </w:r>
          </w:p>
        </w:tc>
        <w:tc>
          <w:tcPr>
            <w:tcW w:w="1350" w:type="dxa"/>
          </w:tcPr>
          <w:p w14:paraId="6297C9DC" w14:textId="77777777" w:rsidR="00BE6BCD" w:rsidRPr="009F1FA3" w:rsidRDefault="00BE6BCD" w:rsidP="00BE6BCD">
            <w:pPr>
              <w:pStyle w:val="ListParagraph"/>
              <w:ind w:left="0"/>
              <w:jc w:val="center"/>
              <w:rPr>
                <w:lang w:eastAsia="ar-SA"/>
              </w:rPr>
            </w:pPr>
            <w:r w:rsidRPr="009F1FA3">
              <w:rPr>
                <w:lang w:eastAsia="ar-SA"/>
              </w:rPr>
              <w:t>FL R</w:t>
            </w:r>
            <w:r>
              <w:rPr>
                <w:lang w:eastAsia="ar-SA"/>
              </w:rPr>
              <w:t>ising/</w:t>
            </w:r>
          </w:p>
          <w:p w14:paraId="7427EB97" w14:textId="77777777" w:rsidR="001B2496" w:rsidRPr="009F1FA3" w:rsidRDefault="00BE6BCD" w:rsidP="00BE6BCD">
            <w:pPr>
              <w:pStyle w:val="ListParagraph"/>
              <w:ind w:left="0"/>
              <w:jc w:val="center"/>
              <w:rPr>
                <w:lang w:eastAsia="ar-SA"/>
              </w:rPr>
            </w:pPr>
            <w:r w:rsidRPr="009F1FA3">
              <w:rPr>
                <w:lang w:eastAsia="ar-SA"/>
              </w:rPr>
              <w:t>LULAC</w:t>
            </w:r>
          </w:p>
        </w:tc>
        <w:tc>
          <w:tcPr>
            <w:tcW w:w="1260" w:type="dxa"/>
          </w:tcPr>
          <w:p w14:paraId="3A85E48F" w14:textId="77777777" w:rsidR="001B2496" w:rsidRPr="009F1FA3" w:rsidRDefault="001B2496" w:rsidP="001B2496">
            <w:pPr>
              <w:pStyle w:val="ListParagraph"/>
              <w:ind w:left="0"/>
              <w:jc w:val="center"/>
              <w:rPr>
                <w:lang w:eastAsia="ar-SA"/>
              </w:rPr>
            </w:pPr>
            <w:r w:rsidRPr="009F1FA3">
              <w:rPr>
                <w:lang w:eastAsia="ar-SA"/>
              </w:rPr>
              <w:t>KRR-3</w:t>
            </w:r>
          </w:p>
        </w:tc>
        <w:tc>
          <w:tcPr>
            <w:tcW w:w="3870" w:type="dxa"/>
          </w:tcPr>
          <w:p w14:paraId="3D9E2096" w14:textId="77777777" w:rsidR="001B2496" w:rsidRPr="009F1FA3" w:rsidRDefault="001B2496" w:rsidP="001B2496">
            <w:pPr>
              <w:pStyle w:val="ListParagraph"/>
              <w:ind w:left="0"/>
              <w:jc w:val="left"/>
              <w:rPr>
                <w:lang w:eastAsia="ar-SA"/>
              </w:rPr>
            </w:pPr>
            <w:r w:rsidRPr="009F1FA3">
              <w:rPr>
                <w:lang w:eastAsia="ar-SA"/>
              </w:rPr>
              <w:t>12</w:t>
            </w:r>
            <w:r w:rsidR="00A9548D">
              <w:rPr>
                <w:lang w:eastAsia="ar-SA"/>
              </w:rPr>
              <w:t xml:space="preserve"> </w:t>
            </w:r>
            <w:r w:rsidRPr="009F1FA3">
              <w:rPr>
                <w:lang w:eastAsia="ar-SA"/>
              </w:rPr>
              <w:t>CP &amp; 50%</w:t>
            </w:r>
            <w:r w:rsidR="00A9548D">
              <w:rPr>
                <w:lang w:eastAsia="ar-SA"/>
              </w:rPr>
              <w:t xml:space="preserve"> </w:t>
            </w:r>
            <w:r w:rsidRPr="009F1FA3">
              <w:rPr>
                <w:lang w:eastAsia="ar-SA"/>
              </w:rPr>
              <w:t>AD COS w/o Rev Def</w:t>
            </w:r>
          </w:p>
        </w:tc>
      </w:tr>
      <w:tr w:rsidR="00F5605A" w:rsidRPr="00701945" w14:paraId="3C07F46D" w14:textId="77777777" w:rsidTr="006C174A">
        <w:trPr>
          <w:cantSplit/>
          <w:trHeight w:val="360"/>
        </w:trPr>
        <w:tc>
          <w:tcPr>
            <w:tcW w:w="2970" w:type="dxa"/>
          </w:tcPr>
          <w:p w14:paraId="30CCF97B" w14:textId="77777777" w:rsidR="001B2496" w:rsidRPr="009F1FA3" w:rsidRDefault="001B2496" w:rsidP="001B2496">
            <w:pPr>
              <w:pStyle w:val="ListParagraph"/>
              <w:ind w:left="0"/>
              <w:jc w:val="left"/>
              <w:rPr>
                <w:lang w:eastAsia="ar-SA"/>
              </w:rPr>
            </w:pPr>
            <w:r w:rsidRPr="009F1FA3">
              <w:rPr>
                <w:lang w:eastAsia="ar-SA"/>
              </w:rPr>
              <w:t>Karl Rábago</w:t>
            </w:r>
          </w:p>
        </w:tc>
        <w:tc>
          <w:tcPr>
            <w:tcW w:w="1350" w:type="dxa"/>
          </w:tcPr>
          <w:p w14:paraId="428BA399" w14:textId="77777777" w:rsidR="00BE6BCD" w:rsidRPr="009F1FA3" w:rsidRDefault="00BE6BCD" w:rsidP="00BE6BCD">
            <w:pPr>
              <w:pStyle w:val="ListParagraph"/>
              <w:ind w:left="0"/>
              <w:jc w:val="center"/>
              <w:rPr>
                <w:lang w:eastAsia="ar-SA"/>
              </w:rPr>
            </w:pPr>
            <w:r w:rsidRPr="009F1FA3">
              <w:rPr>
                <w:lang w:eastAsia="ar-SA"/>
              </w:rPr>
              <w:t>FL R</w:t>
            </w:r>
            <w:r>
              <w:rPr>
                <w:lang w:eastAsia="ar-SA"/>
              </w:rPr>
              <w:t>ising/</w:t>
            </w:r>
          </w:p>
          <w:p w14:paraId="020FFC1A" w14:textId="77777777" w:rsidR="001B2496" w:rsidRPr="009F1FA3" w:rsidRDefault="00BE6BCD" w:rsidP="00BE6BCD">
            <w:pPr>
              <w:pStyle w:val="ListParagraph"/>
              <w:ind w:left="0"/>
              <w:jc w:val="center"/>
              <w:rPr>
                <w:lang w:eastAsia="ar-SA"/>
              </w:rPr>
            </w:pPr>
            <w:r w:rsidRPr="009F1FA3">
              <w:rPr>
                <w:lang w:eastAsia="ar-SA"/>
              </w:rPr>
              <w:t>LULAC</w:t>
            </w:r>
          </w:p>
        </w:tc>
        <w:tc>
          <w:tcPr>
            <w:tcW w:w="1260" w:type="dxa"/>
          </w:tcPr>
          <w:p w14:paraId="3A472AEA" w14:textId="77777777" w:rsidR="001B2496" w:rsidRPr="009F1FA3" w:rsidRDefault="001B2496" w:rsidP="001B2496">
            <w:pPr>
              <w:pStyle w:val="ListParagraph"/>
              <w:ind w:left="0"/>
              <w:jc w:val="center"/>
              <w:rPr>
                <w:lang w:eastAsia="ar-SA"/>
              </w:rPr>
            </w:pPr>
            <w:r w:rsidRPr="009F1FA3">
              <w:rPr>
                <w:lang w:eastAsia="ar-SA"/>
              </w:rPr>
              <w:t>KRR-4</w:t>
            </w:r>
          </w:p>
        </w:tc>
        <w:tc>
          <w:tcPr>
            <w:tcW w:w="3870" w:type="dxa"/>
          </w:tcPr>
          <w:p w14:paraId="57463910" w14:textId="77777777" w:rsidR="001B2496" w:rsidRPr="009F1FA3" w:rsidRDefault="001B2496" w:rsidP="001B2496">
            <w:pPr>
              <w:pStyle w:val="ListParagraph"/>
              <w:ind w:left="0"/>
              <w:jc w:val="left"/>
              <w:rPr>
                <w:lang w:eastAsia="ar-SA"/>
              </w:rPr>
            </w:pPr>
            <w:r w:rsidRPr="009F1FA3">
              <w:rPr>
                <w:lang w:eastAsia="ar-SA"/>
              </w:rPr>
              <w:t>12 CP &amp; 50%</w:t>
            </w:r>
            <w:r w:rsidR="00A9548D">
              <w:rPr>
                <w:lang w:eastAsia="ar-SA"/>
              </w:rPr>
              <w:t xml:space="preserve"> </w:t>
            </w:r>
            <w:r w:rsidRPr="009F1FA3">
              <w:rPr>
                <w:lang w:eastAsia="ar-SA"/>
              </w:rPr>
              <w:t>AD COS w Rev Def</w:t>
            </w:r>
          </w:p>
        </w:tc>
      </w:tr>
      <w:tr w:rsidR="00F5605A" w:rsidRPr="00701945" w14:paraId="3CE65C17" w14:textId="77777777" w:rsidTr="006C174A">
        <w:trPr>
          <w:cantSplit/>
          <w:trHeight w:val="360"/>
        </w:trPr>
        <w:tc>
          <w:tcPr>
            <w:tcW w:w="2970" w:type="dxa"/>
          </w:tcPr>
          <w:p w14:paraId="1838DCBB" w14:textId="77777777" w:rsidR="001B2496" w:rsidRPr="009F1FA3" w:rsidRDefault="001B2496" w:rsidP="001B2496">
            <w:pPr>
              <w:pStyle w:val="ListParagraph"/>
              <w:ind w:left="0"/>
              <w:jc w:val="left"/>
              <w:rPr>
                <w:lang w:eastAsia="ar-SA"/>
              </w:rPr>
            </w:pPr>
            <w:r w:rsidRPr="009F1FA3">
              <w:rPr>
                <w:lang w:eastAsia="ar-SA"/>
              </w:rPr>
              <w:t>Karl Rábago</w:t>
            </w:r>
          </w:p>
        </w:tc>
        <w:tc>
          <w:tcPr>
            <w:tcW w:w="1350" w:type="dxa"/>
          </w:tcPr>
          <w:p w14:paraId="5878B152" w14:textId="77777777" w:rsidR="00BE6BCD" w:rsidRPr="009F1FA3" w:rsidRDefault="00BE6BCD" w:rsidP="00BE6BCD">
            <w:pPr>
              <w:pStyle w:val="ListParagraph"/>
              <w:ind w:left="0"/>
              <w:jc w:val="center"/>
              <w:rPr>
                <w:lang w:eastAsia="ar-SA"/>
              </w:rPr>
            </w:pPr>
            <w:r w:rsidRPr="009F1FA3">
              <w:rPr>
                <w:lang w:eastAsia="ar-SA"/>
              </w:rPr>
              <w:t>FL R</w:t>
            </w:r>
            <w:r>
              <w:rPr>
                <w:lang w:eastAsia="ar-SA"/>
              </w:rPr>
              <w:t>ising/</w:t>
            </w:r>
          </w:p>
          <w:p w14:paraId="29378A41" w14:textId="77777777" w:rsidR="001B2496" w:rsidRPr="009F1FA3" w:rsidRDefault="00BE6BCD" w:rsidP="00BE6BCD">
            <w:pPr>
              <w:pStyle w:val="ListParagraph"/>
              <w:ind w:left="0"/>
              <w:jc w:val="center"/>
              <w:rPr>
                <w:lang w:eastAsia="ar-SA"/>
              </w:rPr>
            </w:pPr>
            <w:r w:rsidRPr="009F1FA3">
              <w:rPr>
                <w:lang w:eastAsia="ar-SA"/>
              </w:rPr>
              <w:t>LULAC</w:t>
            </w:r>
          </w:p>
        </w:tc>
        <w:tc>
          <w:tcPr>
            <w:tcW w:w="1260" w:type="dxa"/>
          </w:tcPr>
          <w:p w14:paraId="52BFB5EE" w14:textId="77777777" w:rsidR="001B2496" w:rsidRPr="009F1FA3" w:rsidRDefault="001B2496" w:rsidP="001B2496">
            <w:pPr>
              <w:pStyle w:val="ListParagraph"/>
              <w:ind w:left="0"/>
              <w:jc w:val="center"/>
              <w:rPr>
                <w:lang w:eastAsia="ar-SA"/>
              </w:rPr>
            </w:pPr>
            <w:r w:rsidRPr="009F1FA3">
              <w:rPr>
                <w:lang w:eastAsia="ar-SA"/>
              </w:rPr>
              <w:t>KRR-5</w:t>
            </w:r>
          </w:p>
        </w:tc>
        <w:tc>
          <w:tcPr>
            <w:tcW w:w="3870" w:type="dxa"/>
          </w:tcPr>
          <w:p w14:paraId="1FB34EE5" w14:textId="77777777" w:rsidR="001B2496" w:rsidRPr="009F1FA3" w:rsidRDefault="001B2496" w:rsidP="001B2496">
            <w:pPr>
              <w:pStyle w:val="ListParagraph"/>
              <w:ind w:left="0"/>
              <w:jc w:val="left"/>
              <w:rPr>
                <w:lang w:eastAsia="ar-SA"/>
              </w:rPr>
            </w:pPr>
            <w:r w:rsidRPr="009F1FA3">
              <w:rPr>
                <w:lang w:eastAsia="ar-SA"/>
              </w:rPr>
              <w:t>Residential Proposed Rates</w:t>
            </w:r>
          </w:p>
        </w:tc>
      </w:tr>
      <w:tr w:rsidR="00F5605A" w:rsidRPr="00701945" w14:paraId="4963D59F" w14:textId="77777777" w:rsidTr="006C174A">
        <w:trPr>
          <w:cantSplit/>
          <w:trHeight w:val="360"/>
        </w:trPr>
        <w:tc>
          <w:tcPr>
            <w:tcW w:w="2970" w:type="dxa"/>
          </w:tcPr>
          <w:p w14:paraId="6C67C155" w14:textId="77777777" w:rsidR="001B2496" w:rsidRPr="009F1FA3" w:rsidRDefault="001B2496" w:rsidP="001B2496">
            <w:pPr>
              <w:pStyle w:val="ListParagraph"/>
              <w:ind w:left="0"/>
              <w:jc w:val="left"/>
              <w:rPr>
                <w:lang w:eastAsia="ar-SA"/>
              </w:rPr>
            </w:pPr>
            <w:r w:rsidRPr="009F1FA3">
              <w:rPr>
                <w:lang w:eastAsia="ar-SA"/>
              </w:rPr>
              <w:t>MacKenzie Marcelin</w:t>
            </w:r>
          </w:p>
        </w:tc>
        <w:tc>
          <w:tcPr>
            <w:tcW w:w="1350" w:type="dxa"/>
          </w:tcPr>
          <w:p w14:paraId="6370D80E" w14:textId="77777777" w:rsidR="00BE6BCD" w:rsidRPr="009F1FA3" w:rsidRDefault="00BE6BCD" w:rsidP="00BE6BCD">
            <w:pPr>
              <w:pStyle w:val="ListParagraph"/>
              <w:ind w:left="0"/>
              <w:jc w:val="center"/>
              <w:rPr>
                <w:lang w:eastAsia="ar-SA"/>
              </w:rPr>
            </w:pPr>
            <w:r w:rsidRPr="009F1FA3">
              <w:rPr>
                <w:lang w:eastAsia="ar-SA"/>
              </w:rPr>
              <w:t>FL R</w:t>
            </w:r>
            <w:r>
              <w:rPr>
                <w:lang w:eastAsia="ar-SA"/>
              </w:rPr>
              <w:t>ising/</w:t>
            </w:r>
          </w:p>
          <w:p w14:paraId="7B1D8CCA" w14:textId="77777777" w:rsidR="001B2496" w:rsidRPr="009F1FA3" w:rsidRDefault="00BE6BCD" w:rsidP="00BE6BCD">
            <w:pPr>
              <w:pStyle w:val="ListParagraph"/>
              <w:ind w:left="0"/>
              <w:jc w:val="center"/>
              <w:rPr>
                <w:lang w:eastAsia="ar-SA"/>
              </w:rPr>
            </w:pPr>
            <w:r w:rsidRPr="009F1FA3">
              <w:rPr>
                <w:lang w:eastAsia="ar-SA"/>
              </w:rPr>
              <w:t>LULAC</w:t>
            </w:r>
          </w:p>
        </w:tc>
        <w:tc>
          <w:tcPr>
            <w:tcW w:w="1260" w:type="dxa"/>
          </w:tcPr>
          <w:p w14:paraId="37AF1D51" w14:textId="77777777" w:rsidR="001B2496" w:rsidRPr="009F1FA3" w:rsidRDefault="001B2496" w:rsidP="001B2496">
            <w:pPr>
              <w:pStyle w:val="ListParagraph"/>
              <w:ind w:left="0"/>
              <w:jc w:val="center"/>
              <w:rPr>
                <w:lang w:eastAsia="ar-SA"/>
              </w:rPr>
            </w:pPr>
            <w:r w:rsidRPr="009F1FA3">
              <w:rPr>
                <w:lang w:eastAsia="ar-SA"/>
              </w:rPr>
              <w:t>MM-1</w:t>
            </w:r>
          </w:p>
        </w:tc>
        <w:tc>
          <w:tcPr>
            <w:tcW w:w="3870" w:type="dxa"/>
          </w:tcPr>
          <w:p w14:paraId="540470AF" w14:textId="77777777" w:rsidR="001B2496" w:rsidRPr="009F1FA3" w:rsidRDefault="001B2496" w:rsidP="001B2496">
            <w:pPr>
              <w:pStyle w:val="ListParagraph"/>
              <w:ind w:left="0"/>
              <w:jc w:val="left"/>
              <w:rPr>
                <w:lang w:eastAsia="ar-SA"/>
              </w:rPr>
            </w:pPr>
            <w:r w:rsidRPr="009F1FA3">
              <w:rPr>
                <w:lang w:eastAsia="ar-SA"/>
              </w:rPr>
              <w:t>2023 Utility Average Monthly Bill</w:t>
            </w:r>
          </w:p>
        </w:tc>
      </w:tr>
      <w:tr w:rsidR="00F5605A" w:rsidRPr="00701945" w14:paraId="381BA322" w14:textId="77777777" w:rsidTr="006C174A">
        <w:trPr>
          <w:cantSplit/>
          <w:trHeight w:val="360"/>
        </w:trPr>
        <w:tc>
          <w:tcPr>
            <w:tcW w:w="2970" w:type="dxa"/>
          </w:tcPr>
          <w:p w14:paraId="16070BC2" w14:textId="77777777" w:rsidR="001B2496" w:rsidRPr="009F1FA3" w:rsidRDefault="001B2496" w:rsidP="001B2496">
            <w:pPr>
              <w:pStyle w:val="ListParagraph"/>
              <w:ind w:left="0"/>
              <w:jc w:val="left"/>
              <w:rPr>
                <w:lang w:eastAsia="ar-SA"/>
              </w:rPr>
            </w:pPr>
            <w:r w:rsidRPr="009F1FA3">
              <w:rPr>
                <w:lang w:eastAsia="ar-SA"/>
              </w:rPr>
              <w:t>MacKenzie Marcelin</w:t>
            </w:r>
          </w:p>
        </w:tc>
        <w:tc>
          <w:tcPr>
            <w:tcW w:w="1350" w:type="dxa"/>
          </w:tcPr>
          <w:p w14:paraId="275AC089" w14:textId="77777777" w:rsidR="00BE6BCD" w:rsidRPr="009F1FA3" w:rsidRDefault="00BE6BCD" w:rsidP="00BE6BCD">
            <w:pPr>
              <w:pStyle w:val="ListParagraph"/>
              <w:ind w:left="0"/>
              <w:jc w:val="center"/>
              <w:rPr>
                <w:lang w:eastAsia="ar-SA"/>
              </w:rPr>
            </w:pPr>
            <w:r w:rsidRPr="009F1FA3">
              <w:rPr>
                <w:lang w:eastAsia="ar-SA"/>
              </w:rPr>
              <w:t>FL R</w:t>
            </w:r>
            <w:r>
              <w:rPr>
                <w:lang w:eastAsia="ar-SA"/>
              </w:rPr>
              <w:t>ising/</w:t>
            </w:r>
          </w:p>
          <w:p w14:paraId="5F98FDF1" w14:textId="77777777" w:rsidR="001B2496" w:rsidRPr="009F1FA3" w:rsidRDefault="00BE6BCD" w:rsidP="00BE6BCD">
            <w:pPr>
              <w:pStyle w:val="ListParagraph"/>
              <w:ind w:left="0"/>
              <w:jc w:val="center"/>
              <w:rPr>
                <w:lang w:eastAsia="ar-SA"/>
              </w:rPr>
            </w:pPr>
            <w:r w:rsidRPr="009F1FA3">
              <w:rPr>
                <w:lang w:eastAsia="ar-SA"/>
              </w:rPr>
              <w:t>LULAC</w:t>
            </w:r>
          </w:p>
        </w:tc>
        <w:tc>
          <w:tcPr>
            <w:tcW w:w="1260" w:type="dxa"/>
          </w:tcPr>
          <w:p w14:paraId="0B52ECE8" w14:textId="77777777" w:rsidR="001B2496" w:rsidRPr="009F1FA3" w:rsidRDefault="001B2496" w:rsidP="001B2496">
            <w:pPr>
              <w:pStyle w:val="ListParagraph"/>
              <w:ind w:left="0"/>
              <w:jc w:val="center"/>
              <w:rPr>
                <w:lang w:eastAsia="ar-SA"/>
              </w:rPr>
            </w:pPr>
            <w:r w:rsidRPr="009F1FA3">
              <w:rPr>
                <w:lang w:eastAsia="ar-SA"/>
              </w:rPr>
              <w:t>MM-2</w:t>
            </w:r>
          </w:p>
        </w:tc>
        <w:tc>
          <w:tcPr>
            <w:tcW w:w="3870" w:type="dxa"/>
          </w:tcPr>
          <w:p w14:paraId="07573868" w14:textId="77777777" w:rsidR="001B2496" w:rsidRPr="009F1FA3" w:rsidRDefault="001B2496" w:rsidP="001B2496">
            <w:pPr>
              <w:pStyle w:val="ListParagraph"/>
              <w:ind w:left="0"/>
              <w:jc w:val="left"/>
              <w:rPr>
                <w:lang w:eastAsia="ar-SA"/>
              </w:rPr>
            </w:pPr>
            <w:r w:rsidRPr="009F1FA3">
              <w:rPr>
                <w:lang w:eastAsia="ar-SA"/>
              </w:rPr>
              <w:t>TECO Answers to 1</w:t>
            </w:r>
            <w:r w:rsidRPr="009F1FA3">
              <w:rPr>
                <w:vertAlign w:val="superscript"/>
                <w:lang w:eastAsia="ar-SA"/>
              </w:rPr>
              <w:t>st</w:t>
            </w:r>
            <w:r w:rsidRPr="009F1FA3">
              <w:rPr>
                <w:lang w:eastAsia="ar-SA"/>
              </w:rPr>
              <w:t xml:space="preserve"> RFAs</w:t>
            </w:r>
          </w:p>
        </w:tc>
      </w:tr>
      <w:tr w:rsidR="00F5605A" w:rsidRPr="00701945" w14:paraId="7DDC2B8D" w14:textId="77777777" w:rsidTr="006C174A">
        <w:trPr>
          <w:cantSplit/>
          <w:trHeight w:val="360"/>
        </w:trPr>
        <w:tc>
          <w:tcPr>
            <w:tcW w:w="2970" w:type="dxa"/>
          </w:tcPr>
          <w:p w14:paraId="174E0F6B" w14:textId="77777777" w:rsidR="001B2496" w:rsidRPr="009F1FA3" w:rsidRDefault="001B2496" w:rsidP="001B2496">
            <w:pPr>
              <w:pStyle w:val="ListParagraph"/>
              <w:ind w:left="0"/>
              <w:jc w:val="left"/>
              <w:rPr>
                <w:lang w:eastAsia="ar-SA"/>
              </w:rPr>
            </w:pPr>
            <w:r w:rsidRPr="009F1FA3">
              <w:rPr>
                <w:lang w:eastAsia="ar-SA"/>
              </w:rPr>
              <w:t>MacKenzie Marcelin</w:t>
            </w:r>
          </w:p>
        </w:tc>
        <w:tc>
          <w:tcPr>
            <w:tcW w:w="1350" w:type="dxa"/>
          </w:tcPr>
          <w:p w14:paraId="28B23AF6" w14:textId="77777777" w:rsidR="00BE6BCD" w:rsidRPr="009F1FA3" w:rsidRDefault="00BE6BCD" w:rsidP="00BE6BCD">
            <w:pPr>
              <w:pStyle w:val="ListParagraph"/>
              <w:ind w:left="0"/>
              <w:jc w:val="center"/>
              <w:rPr>
                <w:lang w:eastAsia="ar-SA"/>
              </w:rPr>
            </w:pPr>
            <w:r w:rsidRPr="009F1FA3">
              <w:rPr>
                <w:lang w:eastAsia="ar-SA"/>
              </w:rPr>
              <w:t>FL R</w:t>
            </w:r>
            <w:r>
              <w:rPr>
                <w:lang w:eastAsia="ar-SA"/>
              </w:rPr>
              <w:t>ising/</w:t>
            </w:r>
          </w:p>
          <w:p w14:paraId="588CC6F5" w14:textId="77777777" w:rsidR="001B2496" w:rsidRPr="009F1FA3" w:rsidRDefault="00BE6BCD" w:rsidP="00BE6BCD">
            <w:pPr>
              <w:pStyle w:val="ListParagraph"/>
              <w:ind w:left="0"/>
              <w:jc w:val="center"/>
              <w:rPr>
                <w:lang w:eastAsia="ar-SA"/>
              </w:rPr>
            </w:pPr>
            <w:r w:rsidRPr="009F1FA3">
              <w:rPr>
                <w:lang w:eastAsia="ar-SA"/>
              </w:rPr>
              <w:t>LULAC</w:t>
            </w:r>
          </w:p>
        </w:tc>
        <w:tc>
          <w:tcPr>
            <w:tcW w:w="1260" w:type="dxa"/>
          </w:tcPr>
          <w:p w14:paraId="2BB98BCF" w14:textId="77777777" w:rsidR="001B2496" w:rsidRPr="009F1FA3" w:rsidRDefault="001B2496" w:rsidP="001B2496">
            <w:pPr>
              <w:pStyle w:val="ListParagraph"/>
              <w:ind w:left="0"/>
              <w:jc w:val="center"/>
              <w:rPr>
                <w:lang w:eastAsia="ar-SA"/>
              </w:rPr>
            </w:pPr>
            <w:r w:rsidRPr="009F1FA3">
              <w:rPr>
                <w:lang w:eastAsia="ar-SA"/>
              </w:rPr>
              <w:t>MM-3</w:t>
            </w:r>
          </w:p>
        </w:tc>
        <w:tc>
          <w:tcPr>
            <w:tcW w:w="3870" w:type="dxa"/>
          </w:tcPr>
          <w:p w14:paraId="08353FC5" w14:textId="77777777" w:rsidR="001B2496" w:rsidRPr="009F1FA3" w:rsidRDefault="001B2496" w:rsidP="001B2496">
            <w:pPr>
              <w:pStyle w:val="ListParagraph"/>
              <w:ind w:left="0"/>
              <w:jc w:val="left"/>
              <w:rPr>
                <w:lang w:eastAsia="ar-SA"/>
              </w:rPr>
            </w:pPr>
            <w:r w:rsidRPr="009F1FA3">
              <w:rPr>
                <w:lang w:eastAsia="ar-SA"/>
              </w:rPr>
              <w:t>SACE EE in the SE</w:t>
            </w:r>
          </w:p>
        </w:tc>
      </w:tr>
      <w:tr w:rsidR="00F5605A" w:rsidRPr="00701945" w14:paraId="5BF152FC" w14:textId="77777777" w:rsidTr="006C174A">
        <w:trPr>
          <w:cantSplit/>
          <w:trHeight w:val="360"/>
        </w:trPr>
        <w:tc>
          <w:tcPr>
            <w:tcW w:w="2970" w:type="dxa"/>
          </w:tcPr>
          <w:p w14:paraId="027FA8E7" w14:textId="77777777" w:rsidR="001B2496" w:rsidRPr="009F1FA3" w:rsidRDefault="001B2496" w:rsidP="001B2496">
            <w:pPr>
              <w:pStyle w:val="ListParagraph"/>
              <w:ind w:left="0"/>
              <w:jc w:val="left"/>
              <w:rPr>
                <w:lang w:eastAsia="ar-SA"/>
              </w:rPr>
            </w:pPr>
            <w:r w:rsidRPr="009F1FA3">
              <w:rPr>
                <w:lang w:eastAsia="ar-SA"/>
              </w:rPr>
              <w:t>MacKenzie Marcelin</w:t>
            </w:r>
          </w:p>
        </w:tc>
        <w:tc>
          <w:tcPr>
            <w:tcW w:w="1350" w:type="dxa"/>
          </w:tcPr>
          <w:p w14:paraId="767F4FF3" w14:textId="77777777" w:rsidR="00BE6BCD" w:rsidRPr="009F1FA3" w:rsidRDefault="00BE6BCD" w:rsidP="00BE6BCD">
            <w:pPr>
              <w:pStyle w:val="ListParagraph"/>
              <w:ind w:left="0"/>
              <w:jc w:val="center"/>
              <w:rPr>
                <w:lang w:eastAsia="ar-SA"/>
              </w:rPr>
            </w:pPr>
            <w:r w:rsidRPr="009F1FA3">
              <w:rPr>
                <w:lang w:eastAsia="ar-SA"/>
              </w:rPr>
              <w:t>FL R</w:t>
            </w:r>
            <w:r>
              <w:rPr>
                <w:lang w:eastAsia="ar-SA"/>
              </w:rPr>
              <w:t>ising/</w:t>
            </w:r>
          </w:p>
          <w:p w14:paraId="0D2B19AA" w14:textId="77777777" w:rsidR="001B2496" w:rsidRPr="009F1FA3" w:rsidRDefault="00BE6BCD" w:rsidP="00BE6BCD">
            <w:pPr>
              <w:pStyle w:val="ListParagraph"/>
              <w:ind w:left="0"/>
              <w:jc w:val="center"/>
              <w:rPr>
                <w:lang w:eastAsia="ar-SA"/>
              </w:rPr>
            </w:pPr>
            <w:r w:rsidRPr="009F1FA3">
              <w:rPr>
                <w:lang w:eastAsia="ar-SA"/>
              </w:rPr>
              <w:t>LULAC</w:t>
            </w:r>
          </w:p>
        </w:tc>
        <w:tc>
          <w:tcPr>
            <w:tcW w:w="1260" w:type="dxa"/>
          </w:tcPr>
          <w:p w14:paraId="49844707" w14:textId="77777777" w:rsidR="001B2496" w:rsidRPr="009F1FA3" w:rsidRDefault="001B2496" w:rsidP="001B2496">
            <w:pPr>
              <w:pStyle w:val="ListParagraph"/>
              <w:ind w:left="0"/>
              <w:jc w:val="center"/>
              <w:rPr>
                <w:lang w:eastAsia="ar-SA"/>
              </w:rPr>
            </w:pPr>
            <w:r w:rsidRPr="009F1FA3">
              <w:rPr>
                <w:lang w:eastAsia="ar-SA"/>
              </w:rPr>
              <w:t>MM-4</w:t>
            </w:r>
          </w:p>
        </w:tc>
        <w:tc>
          <w:tcPr>
            <w:tcW w:w="3870" w:type="dxa"/>
          </w:tcPr>
          <w:p w14:paraId="72A5C130" w14:textId="77777777" w:rsidR="001B2496" w:rsidRPr="009F1FA3" w:rsidRDefault="001B2496" w:rsidP="001B2496">
            <w:pPr>
              <w:pStyle w:val="ListParagraph"/>
              <w:ind w:left="0"/>
              <w:jc w:val="left"/>
              <w:rPr>
                <w:lang w:eastAsia="ar-SA"/>
              </w:rPr>
            </w:pPr>
            <w:r w:rsidRPr="009F1FA3">
              <w:rPr>
                <w:lang w:eastAsia="ar-SA"/>
              </w:rPr>
              <w:t>Utility Energy Efficiency Performance</w:t>
            </w:r>
          </w:p>
        </w:tc>
      </w:tr>
      <w:tr w:rsidR="00F5605A" w:rsidRPr="00701945" w14:paraId="6C96C220" w14:textId="77777777" w:rsidTr="006C174A">
        <w:trPr>
          <w:cantSplit/>
          <w:trHeight w:val="360"/>
        </w:trPr>
        <w:tc>
          <w:tcPr>
            <w:tcW w:w="2970" w:type="dxa"/>
          </w:tcPr>
          <w:p w14:paraId="540973D3" w14:textId="77777777" w:rsidR="001B2496" w:rsidRPr="009F1FA3" w:rsidRDefault="001B2496" w:rsidP="001B2496">
            <w:pPr>
              <w:pStyle w:val="ListParagraph"/>
              <w:ind w:left="0"/>
              <w:jc w:val="left"/>
              <w:rPr>
                <w:lang w:eastAsia="ar-SA"/>
              </w:rPr>
            </w:pPr>
            <w:r w:rsidRPr="009F1FA3">
              <w:rPr>
                <w:lang w:eastAsia="ar-SA"/>
              </w:rPr>
              <w:t>MacKenzie Marcelin</w:t>
            </w:r>
          </w:p>
        </w:tc>
        <w:tc>
          <w:tcPr>
            <w:tcW w:w="1350" w:type="dxa"/>
          </w:tcPr>
          <w:p w14:paraId="09AD3D2C" w14:textId="77777777" w:rsidR="00BE6BCD" w:rsidRPr="009F1FA3" w:rsidRDefault="00BE6BCD" w:rsidP="00BE6BCD">
            <w:pPr>
              <w:pStyle w:val="ListParagraph"/>
              <w:ind w:left="0"/>
              <w:jc w:val="center"/>
              <w:rPr>
                <w:lang w:eastAsia="ar-SA"/>
              </w:rPr>
            </w:pPr>
            <w:r w:rsidRPr="009F1FA3">
              <w:rPr>
                <w:lang w:eastAsia="ar-SA"/>
              </w:rPr>
              <w:t>FL R</w:t>
            </w:r>
            <w:r>
              <w:rPr>
                <w:lang w:eastAsia="ar-SA"/>
              </w:rPr>
              <w:t>ising/</w:t>
            </w:r>
          </w:p>
          <w:p w14:paraId="56107A74" w14:textId="77777777" w:rsidR="001B2496" w:rsidRPr="009F1FA3" w:rsidRDefault="00BE6BCD" w:rsidP="00BE6BCD">
            <w:pPr>
              <w:pStyle w:val="ListParagraph"/>
              <w:ind w:left="0"/>
              <w:jc w:val="center"/>
              <w:rPr>
                <w:lang w:eastAsia="ar-SA"/>
              </w:rPr>
            </w:pPr>
            <w:r w:rsidRPr="009F1FA3">
              <w:rPr>
                <w:lang w:eastAsia="ar-SA"/>
              </w:rPr>
              <w:t>LULAC</w:t>
            </w:r>
          </w:p>
        </w:tc>
        <w:tc>
          <w:tcPr>
            <w:tcW w:w="1260" w:type="dxa"/>
          </w:tcPr>
          <w:p w14:paraId="51369A31" w14:textId="77777777" w:rsidR="001B2496" w:rsidRPr="009F1FA3" w:rsidRDefault="001B2496" w:rsidP="001B2496">
            <w:pPr>
              <w:pStyle w:val="ListParagraph"/>
              <w:ind w:left="0"/>
              <w:jc w:val="center"/>
              <w:rPr>
                <w:lang w:eastAsia="ar-SA"/>
              </w:rPr>
            </w:pPr>
            <w:r w:rsidRPr="009F1FA3">
              <w:rPr>
                <w:lang w:eastAsia="ar-SA"/>
              </w:rPr>
              <w:t>MM-5</w:t>
            </w:r>
          </w:p>
        </w:tc>
        <w:tc>
          <w:tcPr>
            <w:tcW w:w="3870" w:type="dxa"/>
          </w:tcPr>
          <w:p w14:paraId="36C632C7" w14:textId="77777777" w:rsidR="001B2496" w:rsidRPr="009F1FA3" w:rsidRDefault="001B2496" w:rsidP="001B2496">
            <w:pPr>
              <w:pStyle w:val="ListParagraph"/>
              <w:ind w:left="0"/>
              <w:jc w:val="left"/>
              <w:rPr>
                <w:lang w:eastAsia="ar-SA"/>
              </w:rPr>
            </w:pPr>
            <w:r w:rsidRPr="009F1FA3">
              <w:rPr>
                <w:lang w:eastAsia="ar-SA"/>
              </w:rPr>
              <w:t>TECO EE Spending</w:t>
            </w:r>
          </w:p>
        </w:tc>
      </w:tr>
      <w:tr w:rsidR="00F5605A" w:rsidRPr="00701945" w14:paraId="46481CB4" w14:textId="77777777" w:rsidTr="006C174A">
        <w:trPr>
          <w:cantSplit/>
          <w:trHeight w:val="360"/>
        </w:trPr>
        <w:tc>
          <w:tcPr>
            <w:tcW w:w="2970" w:type="dxa"/>
          </w:tcPr>
          <w:p w14:paraId="6EA22A8D" w14:textId="77777777" w:rsidR="001B2496" w:rsidRPr="009F1FA3" w:rsidRDefault="001B2496" w:rsidP="001B2496">
            <w:r w:rsidRPr="009F1FA3">
              <w:t>Jeff Pollock</w:t>
            </w:r>
          </w:p>
        </w:tc>
        <w:tc>
          <w:tcPr>
            <w:tcW w:w="1350" w:type="dxa"/>
          </w:tcPr>
          <w:p w14:paraId="5E4756D6" w14:textId="77777777" w:rsidR="001B2496" w:rsidRPr="009F1FA3" w:rsidRDefault="001B2496" w:rsidP="001B2496">
            <w:pPr>
              <w:jc w:val="center"/>
            </w:pPr>
            <w:r w:rsidRPr="009F1FA3">
              <w:t>FIPUG</w:t>
            </w:r>
          </w:p>
        </w:tc>
        <w:tc>
          <w:tcPr>
            <w:tcW w:w="1260" w:type="dxa"/>
          </w:tcPr>
          <w:p w14:paraId="71DB3412" w14:textId="77777777" w:rsidR="001B2496" w:rsidRPr="009F1FA3" w:rsidRDefault="001B2496" w:rsidP="001B2496">
            <w:pPr>
              <w:jc w:val="center"/>
            </w:pPr>
            <w:r w:rsidRPr="009F1FA3">
              <w:t>JP-1</w:t>
            </w:r>
          </w:p>
        </w:tc>
        <w:tc>
          <w:tcPr>
            <w:tcW w:w="3870" w:type="dxa"/>
          </w:tcPr>
          <w:p w14:paraId="016978B3" w14:textId="77777777" w:rsidR="001B2496" w:rsidRPr="009F1FA3" w:rsidRDefault="001B2496" w:rsidP="001B2496">
            <w:r w:rsidRPr="009F1FA3">
              <w:t>Authorized Return on Equity for Vertically Integrated Electric Utilities In Rate Cases Decided in 2023 and 2024</w:t>
            </w:r>
          </w:p>
        </w:tc>
      </w:tr>
      <w:tr w:rsidR="00F5605A" w:rsidRPr="00701945" w14:paraId="103A97B4" w14:textId="77777777" w:rsidTr="006C174A">
        <w:trPr>
          <w:cantSplit/>
          <w:trHeight w:val="360"/>
        </w:trPr>
        <w:tc>
          <w:tcPr>
            <w:tcW w:w="2970" w:type="dxa"/>
          </w:tcPr>
          <w:p w14:paraId="57820FA4" w14:textId="77777777" w:rsidR="001B2496" w:rsidRPr="009F1FA3" w:rsidRDefault="001B2496" w:rsidP="001B2496">
            <w:r w:rsidRPr="009F1FA3">
              <w:t>Jeff Pollock</w:t>
            </w:r>
          </w:p>
        </w:tc>
        <w:tc>
          <w:tcPr>
            <w:tcW w:w="1350" w:type="dxa"/>
          </w:tcPr>
          <w:p w14:paraId="339EDB40" w14:textId="77777777" w:rsidR="001B2496" w:rsidRPr="009F1FA3" w:rsidRDefault="001B2496" w:rsidP="001B2496">
            <w:pPr>
              <w:jc w:val="center"/>
            </w:pPr>
            <w:r w:rsidRPr="009F1FA3">
              <w:t>FIPUG</w:t>
            </w:r>
          </w:p>
        </w:tc>
        <w:tc>
          <w:tcPr>
            <w:tcW w:w="1260" w:type="dxa"/>
          </w:tcPr>
          <w:p w14:paraId="704DE377" w14:textId="77777777" w:rsidR="001B2496" w:rsidRPr="009F1FA3" w:rsidRDefault="001B2496" w:rsidP="001B2496">
            <w:pPr>
              <w:jc w:val="center"/>
            </w:pPr>
            <w:r w:rsidRPr="009F1FA3">
              <w:t>JP-2</w:t>
            </w:r>
          </w:p>
        </w:tc>
        <w:tc>
          <w:tcPr>
            <w:tcW w:w="3870" w:type="dxa"/>
          </w:tcPr>
          <w:p w14:paraId="771C356D" w14:textId="77777777" w:rsidR="001B2496" w:rsidRPr="009F1FA3" w:rsidRDefault="001B2496" w:rsidP="001B2496">
            <w:r w:rsidRPr="009F1FA3">
              <w:t>Monthly System Peaks as a Percent of the Annual System Peak</w:t>
            </w:r>
          </w:p>
        </w:tc>
      </w:tr>
      <w:tr w:rsidR="00F5605A" w:rsidRPr="00701945" w14:paraId="621A1709" w14:textId="77777777" w:rsidTr="006C174A">
        <w:trPr>
          <w:cantSplit/>
          <w:trHeight w:val="360"/>
        </w:trPr>
        <w:tc>
          <w:tcPr>
            <w:tcW w:w="2970" w:type="dxa"/>
          </w:tcPr>
          <w:p w14:paraId="32DA86AB" w14:textId="77777777" w:rsidR="001B2496" w:rsidRPr="009F1FA3" w:rsidRDefault="001B2496" w:rsidP="001B2496">
            <w:r w:rsidRPr="009F1FA3">
              <w:t>Jeff Pollock</w:t>
            </w:r>
          </w:p>
        </w:tc>
        <w:tc>
          <w:tcPr>
            <w:tcW w:w="1350" w:type="dxa"/>
          </w:tcPr>
          <w:p w14:paraId="046D2365" w14:textId="77777777" w:rsidR="001B2496" w:rsidRPr="009F1FA3" w:rsidRDefault="001B2496" w:rsidP="001B2496">
            <w:pPr>
              <w:jc w:val="center"/>
            </w:pPr>
            <w:r w:rsidRPr="009F1FA3">
              <w:t>FIPUG</w:t>
            </w:r>
          </w:p>
        </w:tc>
        <w:tc>
          <w:tcPr>
            <w:tcW w:w="1260" w:type="dxa"/>
          </w:tcPr>
          <w:p w14:paraId="69F381ED" w14:textId="77777777" w:rsidR="001B2496" w:rsidRPr="009F1FA3" w:rsidRDefault="001B2496" w:rsidP="001B2496">
            <w:pPr>
              <w:jc w:val="center"/>
            </w:pPr>
            <w:r w:rsidRPr="009F1FA3">
              <w:t>JP-3</w:t>
            </w:r>
          </w:p>
        </w:tc>
        <w:tc>
          <w:tcPr>
            <w:tcW w:w="3870" w:type="dxa"/>
          </w:tcPr>
          <w:p w14:paraId="3DCC4FB1" w14:textId="77777777" w:rsidR="001B2496" w:rsidRPr="009F1FA3" w:rsidRDefault="001B2496" w:rsidP="001B2496">
            <w:r w:rsidRPr="009F1FA3">
              <w:t>TECO’s Response to Staff’s Sixth Set of Data Requests in Docket No. 20210034-EI</w:t>
            </w:r>
          </w:p>
        </w:tc>
      </w:tr>
      <w:tr w:rsidR="00F5605A" w:rsidRPr="00701945" w14:paraId="30CBB478" w14:textId="77777777" w:rsidTr="006C174A">
        <w:trPr>
          <w:cantSplit/>
          <w:trHeight w:val="360"/>
        </w:trPr>
        <w:tc>
          <w:tcPr>
            <w:tcW w:w="2970" w:type="dxa"/>
          </w:tcPr>
          <w:p w14:paraId="1DF29707" w14:textId="77777777" w:rsidR="001B2496" w:rsidRPr="009F1FA3" w:rsidRDefault="001B2496" w:rsidP="001B2496">
            <w:r w:rsidRPr="009F1FA3">
              <w:t>Jeff Pollock</w:t>
            </w:r>
          </w:p>
        </w:tc>
        <w:tc>
          <w:tcPr>
            <w:tcW w:w="1350" w:type="dxa"/>
          </w:tcPr>
          <w:p w14:paraId="7E98AA73" w14:textId="77777777" w:rsidR="001B2496" w:rsidRPr="009F1FA3" w:rsidRDefault="001B2496" w:rsidP="001B2496">
            <w:pPr>
              <w:jc w:val="center"/>
            </w:pPr>
            <w:r w:rsidRPr="009F1FA3">
              <w:t>FIPUG</w:t>
            </w:r>
          </w:p>
        </w:tc>
        <w:tc>
          <w:tcPr>
            <w:tcW w:w="1260" w:type="dxa"/>
          </w:tcPr>
          <w:p w14:paraId="41D005D9" w14:textId="77777777" w:rsidR="001B2496" w:rsidRPr="009F1FA3" w:rsidRDefault="001B2496" w:rsidP="001B2496">
            <w:pPr>
              <w:jc w:val="center"/>
            </w:pPr>
            <w:r w:rsidRPr="009F1FA3">
              <w:t>JP-4</w:t>
            </w:r>
          </w:p>
        </w:tc>
        <w:tc>
          <w:tcPr>
            <w:tcW w:w="3870" w:type="dxa"/>
          </w:tcPr>
          <w:p w14:paraId="647D2A46" w14:textId="77777777" w:rsidR="001B2496" w:rsidRPr="009F1FA3" w:rsidRDefault="001B2496" w:rsidP="001B2496">
            <w:r w:rsidRPr="009F1FA3">
              <w:t xml:space="preserve">FIPUG’s Revised Class Cost-of-Service Study </w:t>
            </w:r>
          </w:p>
        </w:tc>
      </w:tr>
      <w:tr w:rsidR="00F5605A" w:rsidRPr="00701945" w14:paraId="694E64EB" w14:textId="77777777" w:rsidTr="006C174A">
        <w:trPr>
          <w:cantSplit/>
          <w:trHeight w:val="360"/>
        </w:trPr>
        <w:tc>
          <w:tcPr>
            <w:tcW w:w="2970" w:type="dxa"/>
          </w:tcPr>
          <w:p w14:paraId="11D72ECC" w14:textId="77777777" w:rsidR="001B2496" w:rsidRPr="009F1FA3" w:rsidRDefault="001B2496" w:rsidP="001B2496">
            <w:r w:rsidRPr="009F1FA3">
              <w:lastRenderedPageBreak/>
              <w:t>Jeff Pollock</w:t>
            </w:r>
          </w:p>
        </w:tc>
        <w:tc>
          <w:tcPr>
            <w:tcW w:w="1350" w:type="dxa"/>
          </w:tcPr>
          <w:p w14:paraId="072AFB5D" w14:textId="77777777" w:rsidR="001B2496" w:rsidRPr="009F1FA3" w:rsidRDefault="001B2496" w:rsidP="001B2496">
            <w:pPr>
              <w:jc w:val="center"/>
            </w:pPr>
            <w:r w:rsidRPr="009F1FA3">
              <w:t>FIPUG</w:t>
            </w:r>
          </w:p>
        </w:tc>
        <w:tc>
          <w:tcPr>
            <w:tcW w:w="1260" w:type="dxa"/>
          </w:tcPr>
          <w:p w14:paraId="16F9DB8E" w14:textId="77777777" w:rsidR="001B2496" w:rsidRPr="009F1FA3" w:rsidRDefault="001B2496" w:rsidP="001B2496">
            <w:pPr>
              <w:jc w:val="center"/>
            </w:pPr>
            <w:r w:rsidRPr="009F1FA3">
              <w:t>JP-5</w:t>
            </w:r>
          </w:p>
        </w:tc>
        <w:tc>
          <w:tcPr>
            <w:tcW w:w="3870" w:type="dxa"/>
          </w:tcPr>
          <w:p w14:paraId="0A6895FB" w14:textId="77777777" w:rsidR="001B2496" w:rsidRPr="009F1FA3" w:rsidRDefault="001B2496" w:rsidP="001B2496">
            <w:r w:rsidRPr="009F1FA3">
              <w:t>Class Revenue Allocation Based on FIPUG’s Revised Class Cost-of-Service Study</w:t>
            </w:r>
          </w:p>
        </w:tc>
      </w:tr>
      <w:tr w:rsidR="00F5605A" w:rsidRPr="00701945" w14:paraId="7AAF4641" w14:textId="77777777" w:rsidTr="006C174A">
        <w:trPr>
          <w:cantSplit/>
          <w:trHeight w:val="360"/>
        </w:trPr>
        <w:tc>
          <w:tcPr>
            <w:tcW w:w="2970" w:type="dxa"/>
          </w:tcPr>
          <w:p w14:paraId="7F82880C" w14:textId="77777777" w:rsidR="001B2496" w:rsidRPr="009F1FA3" w:rsidRDefault="001B2496" w:rsidP="001B2496">
            <w:r w:rsidRPr="009F1FA3">
              <w:t>Jeff Pollock</w:t>
            </w:r>
          </w:p>
        </w:tc>
        <w:tc>
          <w:tcPr>
            <w:tcW w:w="1350" w:type="dxa"/>
          </w:tcPr>
          <w:p w14:paraId="4DAA3E27" w14:textId="77777777" w:rsidR="001B2496" w:rsidRPr="009F1FA3" w:rsidRDefault="001B2496" w:rsidP="001B2496">
            <w:pPr>
              <w:jc w:val="center"/>
            </w:pPr>
            <w:r w:rsidRPr="009F1FA3">
              <w:t>FIPUG</w:t>
            </w:r>
          </w:p>
        </w:tc>
        <w:tc>
          <w:tcPr>
            <w:tcW w:w="1260" w:type="dxa"/>
          </w:tcPr>
          <w:p w14:paraId="171F3982" w14:textId="77777777" w:rsidR="001B2496" w:rsidRPr="009F1FA3" w:rsidRDefault="001B2496" w:rsidP="001B2496">
            <w:pPr>
              <w:jc w:val="center"/>
            </w:pPr>
            <w:r w:rsidRPr="009F1FA3">
              <w:t>JP-6</w:t>
            </w:r>
          </w:p>
        </w:tc>
        <w:tc>
          <w:tcPr>
            <w:tcW w:w="3870" w:type="dxa"/>
          </w:tcPr>
          <w:p w14:paraId="23EDF3D0" w14:textId="77777777" w:rsidR="001B2496" w:rsidRPr="009F1FA3" w:rsidRDefault="001B2496" w:rsidP="001B2496">
            <w:r w:rsidRPr="009F1FA3">
              <w:t>2025 Marginal Energy Costs by Hour by Month</w:t>
            </w:r>
          </w:p>
        </w:tc>
      </w:tr>
      <w:tr w:rsidR="00F5605A" w:rsidRPr="00701945" w14:paraId="1201E61C" w14:textId="77777777" w:rsidTr="006C174A">
        <w:trPr>
          <w:cantSplit/>
          <w:trHeight w:val="360"/>
        </w:trPr>
        <w:tc>
          <w:tcPr>
            <w:tcW w:w="2970" w:type="dxa"/>
          </w:tcPr>
          <w:p w14:paraId="312727B2" w14:textId="77777777" w:rsidR="001B2496" w:rsidRPr="009F1FA3" w:rsidRDefault="001B2496" w:rsidP="001B2496">
            <w:r w:rsidRPr="009F1FA3">
              <w:t>Jonathan Ly</w:t>
            </w:r>
          </w:p>
        </w:tc>
        <w:tc>
          <w:tcPr>
            <w:tcW w:w="1350" w:type="dxa"/>
          </w:tcPr>
          <w:p w14:paraId="462AA9B6" w14:textId="77777777" w:rsidR="001B2496" w:rsidRPr="009F1FA3" w:rsidRDefault="001B2496" w:rsidP="001B2496">
            <w:pPr>
              <w:jc w:val="center"/>
            </w:pPr>
            <w:r w:rsidRPr="009F1FA3">
              <w:t>FIPUG</w:t>
            </w:r>
          </w:p>
        </w:tc>
        <w:tc>
          <w:tcPr>
            <w:tcW w:w="1260" w:type="dxa"/>
          </w:tcPr>
          <w:p w14:paraId="6DBD80FC" w14:textId="77777777" w:rsidR="001B2496" w:rsidRPr="009F1FA3" w:rsidRDefault="001B2496" w:rsidP="001B2496">
            <w:pPr>
              <w:jc w:val="center"/>
            </w:pPr>
            <w:r w:rsidRPr="009F1FA3">
              <w:t>JL-1</w:t>
            </w:r>
          </w:p>
        </w:tc>
        <w:tc>
          <w:tcPr>
            <w:tcW w:w="3870" w:type="dxa"/>
          </w:tcPr>
          <w:p w14:paraId="1A0A2388" w14:textId="77777777" w:rsidR="001B2496" w:rsidRPr="009F1FA3" w:rsidRDefault="001B2496" w:rsidP="001B2496">
            <w:r w:rsidRPr="009F1FA3">
              <w:t>Summary of TECO’s Future Solar Projects Cost-Effectiveness Analysis</w:t>
            </w:r>
          </w:p>
        </w:tc>
      </w:tr>
      <w:tr w:rsidR="00F5605A" w:rsidRPr="00701945" w14:paraId="3A719060" w14:textId="77777777" w:rsidTr="006C174A">
        <w:trPr>
          <w:cantSplit/>
          <w:trHeight w:val="360"/>
        </w:trPr>
        <w:tc>
          <w:tcPr>
            <w:tcW w:w="2970" w:type="dxa"/>
          </w:tcPr>
          <w:p w14:paraId="6DE58182" w14:textId="77777777" w:rsidR="001B2496" w:rsidRPr="009F1FA3" w:rsidRDefault="001B2496" w:rsidP="001B2496">
            <w:r w:rsidRPr="009F1FA3">
              <w:t>Jonathan Ly</w:t>
            </w:r>
          </w:p>
        </w:tc>
        <w:tc>
          <w:tcPr>
            <w:tcW w:w="1350" w:type="dxa"/>
          </w:tcPr>
          <w:p w14:paraId="18A6410E" w14:textId="77777777" w:rsidR="001B2496" w:rsidRPr="009F1FA3" w:rsidRDefault="001B2496" w:rsidP="001B2496">
            <w:pPr>
              <w:jc w:val="center"/>
            </w:pPr>
            <w:r w:rsidRPr="009F1FA3">
              <w:t>FIPUG</w:t>
            </w:r>
          </w:p>
        </w:tc>
        <w:tc>
          <w:tcPr>
            <w:tcW w:w="1260" w:type="dxa"/>
          </w:tcPr>
          <w:p w14:paraId="3D1A6E0F" w14:textId="77777777" w:rsidR="001B2496" w:rsidRPr="009F1FA3" w:rsidRDefault="001B2496" w:rsidP="001B2496">
            <w:pPr>
              <w:jc w:val="center"/>
            </w:pPr>
            <w:r w:rsidRPr="009F1FA3">
              <w:t>JL-2</w:t>
            </w:r>
          </w:p>
        </w:tc>
        <w:tc>
          <w:tcPr>
            <w:tcW w:w="3870" w:type="dxa"/>
          </w:tcPr>
          <w:p w14:paraId="39FD033A" w14:textId="77777777" w:rsidR="001B2496" w:rsidRPr="009F1FA3" w:rsidRDefault="001B2496" w:rsidP="001B2496">
            <w:r w:rsidRPr="009F1FA3">
              <w:t>Comparison of Natural Gas Forecasts</w:t>
            </w:r>
          </w:p>
        </w:tc>
      </w:tr>
      <w:tr w:rsidR="00F5605A" w:rsidRPr="00701945" w14:paraId="735ACD9A" w14:textId="77777777" w:rsidTr="006C174A">
        <w:trPr>
          <w:cantSplit/>
          <w:trHeight w:val="360"/>
        </w:trPr>
        <w:tc>
          <w:tcPr>
            <w:tcW w:w="2970" w:type="dxa"/>
          </w:tcPr>
          <w:p w14:paraId="31BC9794" w14:textId="77777777" w:rsidR="001B2496" w:rsidRPr="009F1FA3" w:rsidRDefault="001B2496" w:rsidP="001B2496">
            <w:r w:rsidRPr="009F1FA3">
              <w:t>Jonathan Ly</w:t>
            </w:r>
          </w:p>
        </w:tc>
        <w:tc>
          <w:tcPr>
            <w:tcW w:w="1350" w:type="dxa"/>
          </w:tcPr>
          <w:p w14:paraId="2B0FE767" w14:textId="77777777" w:rsidR="001B2496" w:rsidRPr="009F1FA3" w:rsidRDefault="001B2496" w:rsidP="001B2496">
            <w:pPr>
              <w:jc w:val="center"/>
            </w:pPr>
            <w:r w:rsidRPr="009F1FA3">
              <w:t>FIPUG</w:t>
            </w:r>
          </w:p>
        </w:tc>
        <w:tc>
          <w:tcPr>
            <w:tcW w:w="1260" w:type="dxa"/>
          </w:tcPr>
          <w:p w14:paraId="1C2D1DB5" w14:textId="77777777" w:rsidR="001B2496" w:rsidRPr="009F1FA3" w:rsidRDefault="001B2496" w:rsidP="001B2496">
            <w:pPr>
              <w:jc w:val="center"/>
            </w:pPr>
            <w:r w:rsidRPr="009F1FA3">
              <w:t>JL-3</w:t>
            </w:r>
          </w:p>
        </w:tc>
        <w:tc>
          <w:tcPr>
            <w:tcW w:w="3870" w:type="dxa"/>
          </w:tcPr>
          <w:p w14:paraId="09D96094" w14:textId="77777777" w:rsidR="001B2496" w:rsidRPr="009F1FA3" w:rsidRDefault="001B2496" w:rsidP="001B2496">
            <w:r w:rsidRPr="009F1FA3">
              <w:t>Comparison of EIA Reference Case Henry Hub Natural Gas Price Forecasts</w:t>
            </w:r>
          </w:p>
        </w:tc>
      </w:tr>
      <w:tr w:rsidR="00896E54" w:rsidRPr="00701945" w14:paraId="7FEA3D0E" w14:textId="77777777" w:rsidTr="006C174A">
        <w:trPr>
          <w:cantSplit/>
          <w:trHeight w:val="360"/>
        </w:trPr>
        <w:tc>
          <w:tcPr>
            <w:tcW w:w="2970" w:type="dxa"/>
          </w:tcPr>
          <w:p w14:paraId="7D8E83DA" w14:textId="77777777" w:rsidR="00896E54" w:rsidRPr="009F1FA3" w:rsidRDefault="00896E54" w:rsidP="001B2496">
            <w:pPr>
              <w:widowControl w:val="0"/>
              <w:pBdr>
                <w:top w:val="nil"/>
                <w:left w:val="nil"/>
                <w:bottom w:val="nil"/>
                <w:right w:val="nil"/>
                <w:between w:val="nil"/>
              </w:pBdr>
            </w:pPr>
            <w:r>
              <w:t>Christopher C. Walters</w:t>
            </w:r>
          </w:p>
        </w:tc>
        <w:tc>
          <w:tcPr>
            <w:tcW w:w="1350" w:type="dxa"/>
          </w:tcPr>
          <w:p w14:paraId="5F654C96" w14:textId="77777777" w:rsidR="00896E54" w:rsidRPr="009F1FA3" w:rsidRDefault="00896E54" w:rsidP="001B2496">
            <w:pPr>
              <w:widowControl w:val="0"/>
              <w:pBdr>
                <w:top w:val="nil"/>
                <w:left w:val="nil"/>
                <w:bottom w:val="nil"/>
                <w:right w:val="nil"/>
                <w:between w:val="nil"/>
              </w:pBdr>
              <w:jc w:val="center"/>
            </w:pPr>
            <w:r>
              <w:t>FEA</w:t>
            </w:r>
          </w:p>
        </w:tc>
        <w:tc>
          <w:tcPr>
            <w:tcW w:w="1260" w:type="dxa"/>
          </w:tcPr>
          <w:p w14:paraId="4C380336" w14:textId="77777777" w:rsidR="00896E54" w:rsidRPr="009F1FA3" w:rsidRDefault="00896E54" w:rsidP="001B2496">
            <w:pPr>
              <w:widowControl w:val="0"/>
              <w:pBdr>
                <w:top w:val="nil"/>
                <w:left w:val="nil"/>
                <w:bottom w:val="nil"/>
                <w:right w:val="nil"/>
                <w:between w:val="nil"/>
              </w:pBdr>
              <w:jc w:val="center"/>
            </w:pPr>
            <w:r>
              <w:t>CCW-1</w:t>
            </w:r>
          </w:p>
        </w:tc>
        <w:tc>
          <w:tcPr>
            <w:tcW w:w="3870" w:type="dxa"/>
          </w:tcPr>
          <w:p w14:paraId="1BE01DF7" w14:textId="77777777" w:rsidR="00896E54" w:rsidRPr="009F1FA3" w:rsidRDefault="008E31F7" w:rsidP="001B2496">
            <w:pPr>
              <w:widowControl w:val="0"/>
              <w:pBdr>
                <w:top w:val="nil"/>
                <w:left w:val="nil"/>
                <w:bottom w:val="nil"/>
                <w:right w:val="nil"/>
                <w:between w:val="nil"/>
              </w:pBdr>
            </w:pPr>
            <w:r w:rsidRPr="00102C52">
              <w:t>Valuation Metrics</w:t>
            </w:r>
          </w:p>
        </w:tc>
      </w:tr>
      <w:tr w:rsidR="00896E54" w:rsidRPr="00701945" w14:paraId="089F5801" w14:textId="77777777" w:rsidTr="006C174A">
        <w:trPr>
          <w:cantSplit/>
          <w:trHeight w:val="360"/>
        </w:trPr>
        <w:tc>
          <w:tcPr>
            <w:tcW w:w="2970" w:type="dxa"/>
          </w:tcPr>
          <w:p w14:paraId="5835485B" w14:textId="77777777" w:rsidR="00896E54" w:rsidRDefault="00896E54" w:rsidP="00896E54">
            <w:r w:rsidRPr="006A1E83">
              <w:t>Christopher C. Walters</w:t>
            </w:r>
          </w:p>
        </w:tc>
        <w:tc>
          <w:tcPr>
            <w:tcW w:w="1350" w:type="dxa"/>
          </w:tcPr>
          <w:p w14:paraId="0F25B815" w14:textId="77777777" w:rsidR="00896E54" w:rsidRDefault="00896E54" w:rsidP="00896E54">
            <w:pPr>
              <w:jc w:val="center"/>
            </w:pPr>
            <w:r w:rsidRPr="00EF602D">
              <w:t>FEA</w:t>
            </w:r>
          </w:p>
        </w:tc>
        <w:tc>
          <w:tcPr>
            <w:tcW w:w="1260" w:type="dxa"/>
          </w:tcPr>
          <w:p w14:paraId="3513BC1F" w14:textId="77777777" w:rsidR="00896E54" w:rsidRDefault="00896E54" w:rsidP="00896E54">
            <w:pPr>
              <w:jc w:val="center"/>
            </w:pPr>
            <w:r w:rsidRPr="00B44443">
              <w:t>CCW-</w:t>
            </w:r>
            <w:r>
              <w:t>2</w:t>
            </w:r>
          </w:p>
        </w:tc>
        <w:tc>
          <w:tcPr>
            <w:tcW w:w="3870" w:type="dxa"/>
          </w:tcPr>
          <w:p w14:paraId="5124B778" w14:textId="77777777" w:rsidR="00896E54" w:rsidRPr="009F1FA3" w:rsidRDefault="008E31F7" w:rsidP="00896E54">
            <w:pPr>
              <w:widowControl w:val="0"/>
              <w:pBdr>
                <w:top w:val="nil"/>
                <w:left w:val="nil"/>
                <w:bottom w:val="nil"/>
                <w:right w:val="nil"/>
                <w:between w:val="nil"/>
              </w:pBdr>
            </w:pPr>
            <w:r w:rsidRPr="00102C52">
              <w:t>Proxy Group</w:t>
            </w:r>
          </w:p>
        </w:tc>
      </w:tr>
      <w:tr w:rsidR="00896E54" w:rsidRPr="00701945" w14:paraId="42B55551" w14:textId="77777777" w:rsidTr="006C174A">
        <w:trPr>
          <w:cantSplit/>
          <w:trHeight w:val="360"/>
        </w:trPr>
        <w:tc>
          <w:tcPr>
            <w:tcW w:w="2970" w:type="dxa"/>
          </w:tcPr>
          <w:p w14:paraId="63FFD6EF" w14:textId="77777777" w:rsidR="00896E54" w:rsidRDefault="00896E54" w:rsidP="00896E54">
            <w:r w:rsidRPr="006A1E83">
              <w:t>Christopher C. Walters</w:t>
            </w:r>
          </w:p>
        </w:tc>
        <w:tc>
          <w:tcPr>
            <w:tcW w:w="1350" w:type="dxa"/>
          </w:tcPr>
          <w:p w14:paraId="68E56DFB" w14:textId="77777777" w:rsidR="00896E54" w:rsidRDefault="00896E54" w:rsidP="00896E54">
            <w:pPr>
              <w:jc w:val="center"/>
            </w:pPr>
            <w:r w:rsidRPr="00EF602D">
              <w:t>FEA</w:t>
            </w:r>
          </w:p>
        </w:tc>
        <w:tc>
          <w:tcPr>
            <w:tcW w:w="1260" w:type="dxa"/>
          </w:tcPr>
          <w:p w14:paraId="44B92A3F" w14:textId="77777777" w:rsidR="00896E54" w:rsidRDefault="00896E54" w:rsidP="00896E54">
            <w:pPr>
              <w:jc w:val="center"/>
            </w:pPr>
            <w:r w:rsidRPr="00B44443">
              <w:t>CCW-</w:t>
            </w:r>
            <w:r>
              <w:t>3</w:t>
            </w:r>
          </w:p>
        </w:tc>
        <w:tc>
          <w:tcPr>
            <w:tcW w:w="3870" w:type="dxa"/>
          </w:tcPr>
          <w:p w14:paraId="0E969A97" w14:textId="77777777" w:rsidR="00896E54" w:rsidRPr="009F1FA3" w:rsidRDefault="008E31F7" w:rsidP="00896E54">
            <w:pPr>
              <w:widowControl w:val="0"/>
              <w:pBdr>
                <w:top w:val="nil"/>
                <w:left w:val="nil"/>
                <w:bottom w:val="nil"/>
                <w:right w:val="nil"/>
                <w:between w:val="nil"/>
              </w:pBdr>
            </w:pPr>
            <w:r w:rsidRPr="00102C52">
              <w:t>Consensus Analysts’ Growth Rates</w:t>
            </w:r>
          </w:p>
        </w:tc>
      </w:tr>
      <w:tr w:rsidR="008E31F7" w:rsidRPr="00701945" w14:paraId="317EC2FC" w14:textId="77777777" w:rsidTr="006C174A">
        <w:trPr>
          <w:cantSplit/>
          <w:trHeight w:val="360"/>
        </w:trPr>
        <w:tc>
          <w:tcPr>
            <w:tcW w:w="2970" w:type="dxa"/>
          </w:tcPr>
          <w:p w14:paraId="4196E2B0" w14:textId="77777777" w:rsidR="008E31F7" w:rsidRDefault="008E31F7" w:rsidP="008E31F7">
            <w:r w:rsidRPr="006A1E83">
              <w:t>Christopher C. Walters</w:t>
            </w:r>
          </w:p>
        </w:tc>
        <w:tc>
          <w:tcPr>
            <w:tcW w:w="1350" w:type="dxa"/>
          </w:tcPr>
          <w:p w14:paraId="548340BE" w14:textId="77777777" w:rsidR="008E31F7" w:rsidRDefault="008E31F7" w:rsidP="008E31F7">
            <w:pPr>
              <w:jc w:val="center"/>
            </w:pPr>
            <w:r w:rsidRPr="00EF602D">
              <w:t>FEA</w:t>
            </w:r>
          </w:p>
        </w:tc>
        <w:tc>
          <w:tcPr>
            <w:tcW w:w="1260" w:type="dxa"/>
          </w:tcPr>
          <w:p w14:paraId="4A57ABD0" w14:textId="77777777" w:rsidR="008E31F7" w:rsidRDefault="008E31F7" w:rsidP="008E31F7">
            <w:pPr>
              <w:jc w:val="center"/>
            </w:pPr>
            <w:r w:rsidRPr="00B44443">
              <w:t>CCW-</w:t>
            </w:r>
            <w:r>
              <w:t>4</w:t>
            </w:r>
          </w:p>
        </w:tc>
        <w:tc>
          <w:tcPr>
            <w:tcW w:w="3870" w:type="dxa"/>
          </w:tcPr>
          <w:p w14:paraId="20672EE5" w14:textId="77777777" w:rsidR="008E31F7" w:rsidRPr="00102C52" w:rsidRDefault="008E31F7" w:rsidP="008E31F7">
            <w:pPr>
              <w:tabs>
                <w:tab w:val="left" w:pos="720"/>
              </w:tabs>
            </w:pPr>
            <w:r w:rsidRPr="00102C52">
              <w:t xml:space="preserve">Constant Growth DCF Model </w:t>
            </w:r>
            <w:r>
              <w:t>– Consensus Analysts Growth Rates</w:t>
            </w:r>
          </w:p>
        </w:tc>
      </w:tr>
      <w:tr w:rsidR="008E31F7" w:rsidRPr="00701945" w14:paraId="70555BED" w14:textId="77777777" w:rsidTr="006C174A">
        <w:trPr>
          <w:cantSplit/>
          <w:trHeight w:val="360"/>
        </w:trPr>
        <w:tc>
          <w:tcPr>
            <w:tcW w:w="2970" w:type="dxa"/>
          </w:tcPr>
          <w:p w14:paraId="670B1570" w14:textId="77777777" w:rsidR="008E31F7" w:rsidRDefault="008E31F7" w:rsidP="008E31F7">
            <w:r w:rsidRPr="006A1E83">
              <w:t>Christopher C. Walters</w:t>
            </w:r>
          </w:p>
        </w:tc>
        <w:tc>
          <w:tcPr>
            <w:tcW w:w="1350" w:type="dxa"/>
          </w:tcPr>
          <w:p w14:paraId="2F424600" w14:textId="77777777" w:rsidR="008E31F7" w:rsidRDefault="008E31F7" w:rsidP="008E31F7">
            <w:pPr>
              <w:jc w:val="center"/>
            </w:pPr>
            <w:r w:rsidRPr="00EF602D">
              <w:t>FEA</w:t>
            </w:r>
          </w:p>
        </w:tc>
        <w:tc>
          <w:tcPr>
            <w:tcW w:w="1260" w:type="dxa"/>
          </w:tcPr>
          <w:p w14:paraId="1C843F73" w14:textId="77777777" w:rsidR="008E31F7" w:rsidRDefault="008E31F7" w:rsidP="008E31F7">
            <w:pPr>
              <w:jc w:val="center"/>
            </w:pPr>
            <w:r w:rsidRPr="00B44443">
              <w:t>CCW-</w:t>
            </w:r>
            <w:r>
              <w:t>5</w:t>
            </w:r>
          </w:p>
        </w:tc>
        <w:tc>
          <w:tcPr>
            <w:tcW w:w="3870" w:type="dxa"/>
          </w:tcPr>
          <w:p w14:paraId="1882E344" w14:textId="77777777" w:rsidR="008E31F7" w:rsidRPr="009F1FA3" w:rsidRDefault="008E31F7" w:rsidP="008E31F7">
            <w:pPr>
              <w:widowControl w:val="0"/>
              <w:pBdr>
                <w:top w:val="nil"/>
                <w:left w:val="nil"/>
                <w:bottom w:val="nil"/>
                <w:right w:val="nil"/>
                <w:between w:val="nil"/>
              </w:pBdr>
            </w:pPr>
            <w:r w:rsidRPr="00102C52">
              <w:t>Payout Ratios</w:t>
            </w:r>
          </w:p>
        </w:tc>
      </w:tr>
      <w:tr w:rsidR="008E31F7" w:rsidRPr="00701945" w14:paraId="0699C3A9" w14:textId="77777777" w:rsidTr="006C174A">
        <w:trPr>
          <w:cantSplit/>
          <w:trHeight w:val="360"/>
        </w:trPr>
        <w:tc>
          <w:tcPr>
            <w:tcW w:w="2970" w:type="dxa"/>
          </w:tcPr>
          <w:p w14:paraId="15B48418" w14:textId="77777777" w:rsidR="008E31F7" w:rsidRDefault="008E31F7" w:rsidP="008E31F7">
            <w:r w:rsidRPr="006A1E83">
              <w:t>Christopher C. Walters</w:t>
            </w:r>
          </w:p>
        </w:tc>
        <w:tc>
          <w:tcPr>
            <w:tcW w:w="1350" w:type="dxa"/>
          </w:tcPr>
          <w:p w14:paraId="493C3CE6" w14:textId="77777777" w:rsidR="008E31F7" w:rsidRDefault="008E31F7" w:rsidP="008E31F7">
            <w:pPr>
              <w:jc w:val="center"/>
            </w:pPr>
            <w:r w:rsidRPr="00EF602D">
              <w:t>FEA</w:t>
            </w:r>
          </w:p>
        </w:tc>
        <w:tc>
          <w:tcPr>
            <w:tcW w:w="1260" w:type="dxa"/>
          </w:tcPr>
          <w:p w14:paraId="26F91587" w14:textId="77777777" w:rsidR="008E31F7" w:rsidRDefault="008E31F7" w:rsidP="008E31F7">
            <w:pPr>
              <w:jc w:val="center"/>
            </w:pPr>
            <w:r w:rsidRPr="00B44443">
              <w:t>CCW-</w:t>
            </w:r>
            <w:r>
              <w:t>6</w:t>
            </w:r>
          </w:p>
        </w:tc>
        <w:tc>
          <w:tcPr>
            <w:tcW w:w="3870" w:type="dxa"/>
          </w:tcPr>
          <w:p w14:paraId="3CBBAAF1" w14:textId="77777777" w:rsidR="008E31F7" w:rsidRPr="009F1FA3" w:rsidRDefault="008E31F7" w:rsidP="008E31F7">
            <w:pPr>
              <w:widowControl w:val="0"/>
              <w:pBdr>
                <w:top w:val="nil"/>
                <w:left w:val="nil"/>
                <w:bottom w:val="nil"/>
                <w:right w:val="nil"/>
                <w:between w:val="nil"/>
              </w:pBdr>
            </w:pPr>
            <w:r w:rsidRPr="00102C52">
              <w:t>Sustainable Growth Rate</w:t>
            </w:r>
          </w:p>
        </w:tc>
      </w:tr>
      <w:tr w:rsidR="008E31F7" w:rsidRPr="00701945" w14:paraId="0283D4C5" w14:textId="77777777" w:rsidTr="006C174A">
        <w:trPr>
          <w:cantSplit/>
          <w:trHeight w:val="360"/>
        </w:trPr>
        <w:tc>
          <w:tcPr>
            <w:tcW w:w="2970" w:type="dxa"/>
          </w:tcPr>
          <w:p w14:paraId="53F3D148" w14:textId="77777777" w:rsidR="008E31F7" w:rsidRDefault="008E31F7" w:rsidP="008E31F7">
            <w:r w:rsidRPr="006A1E83">
              <w:t>Christopher C. Walters</w:t>
            </w:r>
          </w:p>
        </w:tc>
        <w:tc>
          <w:tcPr>
            <w:tcW w:w="1350" w:type="dxa"/>
          </w:tcPr>
          <w:p w14:paraId="4BB09B69" w14:textId="77777777" w:rsidR="008E31F7" w:rsidRDefault="008E31F7" w:rsidP="008E31F7">
            <w:pPr>
              <w:jc w:val="center"/>
            </w:pPr>
            <w:r w:rsidRPr="00EF602D">
              <w:t>FEA</w:t>
            </w:r>
          </w:p>
        </w:tc>
        <w:tc>
          <w:tcPr>
            <w:tcW w:w="1260" w:type="dxa"/>
          </w:tcPr>
          <w:p w14:paraId="5146E655" w14:textId="77777777" w:rsidR="008E31F7" w:rsidRDefault="008E31F7" w:rsidP="008E31F7">
            <w:pPr>
              <w:jc w:val="center"/>
            </w:pPr>
            <w:r w:rsidRPr="00B44443">
              <w:t>CCW-</w:t>
            </w:r>
            <w:r>
              <w:t>7</w:t>
            </w:r>
          </w:p>
        </w:tc>
        <w:tc>
          <w:tcPr>
            <w:tcW w:w="3870" w:type="dxa"/>
          </w:tcPr>
          <w:p w14:paraId="27FF26E5" w14:textId="77777777" w:rsidR="008E31F7" w:rsidRPr="009F1FA3" w:rsidRDefault="008E31F7" w:rsidP="008E31F7">
            <w:pPr>
              <w:widowControl w:val="0"/>
              <w:pBdr>
                <w:top w:val="nil"/>
                <w:left w:val="nil"/>
                <w:bottom w:val="nil"/>
                <w:right w:val="nil"/>
                <w:between w:val="nil"/>
              </w:pBdr>
            </w:pPr>
            <w:r w:rsidRPr="00102C52">
              <w:t>Constant Growth DCF Model</w:t>
            </w:r>
            <w:r>
              <w:t xml:space="preserve"> – Sustainable Growth Rate</w:t>
            </w:r>
          </w:p>
        </w:tc>
      </w:tr>
      <w:tr w:rsidR="008E31F7" w:rsidRPr="00701945" w14:paraId="44F5DF21" w14:textId="77777777" w:rsidTr="006C174A">
        <w:trPr>
          <w:cantSplit/>
          <w:trHeight w:val="360"/>
        </w:trPr>
        <w:tc>
          <w:tcPr>
            <w:tcW w:w="2970" w:type="dxa"/>
          </w:tcPr>
          <w:p w14:paraId="1686382D" w14:textId="77777777" w:rsidR="008E31F7" w:rsidRDefault="008E31F7" w:rsidP="008E31F7">
            <w:r w:rsidRPr="006A1E83">
              <w:t>Christopher C. Walters</w:t>
            </w:r>
          </w:p>
        </w:tc>
        <w:tc>
          <w:tcPr>
            <w:tcW w:w="1350" w:type="dxa"/>
          </w:tcPr>
          <w:p w14:paraId="3625C914" w14:textId="77777777" w:rsidR="008E31F7" w:rsidRDefault="008E31F7" w:rsidP="008E31F7">
            <w:pPr>
              <w:jc w:val="center"/>
            </w:pPr>
            <w:r w:rsidRPr="00EF602D">
              <w:t>FEA</w:t>
            </w:r>
          </w:p>
        </w:tc>
        <w:tc>
          <w:tcPr>
            <w:tcW w:w="1260" w:type="dxa"/>
          </w:tcPr>
          <w:p w14:paraId="629FCD9E" w14:textId="77777777" w:rsidR="008E31F7" w:rsidRDefault="008E31F7" w:rsidP="008E31F7">
            <w:pPr>
              <w:jc w:val="center"/>
            </w:pPr>
            <w:r w:rsidRPr="00B44443">
              <w:t>CCW-</w:t>
            </w:r>
            <w:r>
              <w:t>8</w:t>
            </w:r>
          </w:p>
        </w:tc>
        <w:tc>
          <w:tcPr>
            <w:tcW w:w="3870" w:type="dxa"/>
          </w:tcPr>
          <w:p w14:paraId="27A01FEF" w14:textId="77777777" w:rsidR="008E31F7" w:rsidRPr="009F1FA3" w:rsidRDefault="008E31F7" w:rsidP="008E31F7">
            <w:pPr>
              <w:widowControl w:val="0"/>
              <w:pBdr>
                <w:top w:val="nil"/>
                <w:left w:val="nil"/>
                <w:bottom w:val="nil"/>
                <w:right w:val="nil"/>
                <w:between w:val="nil"/>
              </w:pBdr>
            </w:pPr>
            <w:r w:rsidRPr="00102C52">
              <w:t>Multi-Stage Growth DCF Model</w:t>
            </w:r>
          </w:p>
        </w:tc>
      </w:tr>
      <w:tr w:rsidR="008E31F7" w:rsidRPr="00701945" w14:paraId="259F1F8A" w14:textId="77777777" w:rsidTr="006C174A">
        <w:trPr>
          <w:cantSplit/>
          <w:trHeight w:val="360"/>
        </w:trPr>
        <w:tc>
          <w:tcPr>
            <w:tcW w:w="2970" w:type="dxa"/>
          </w:tcPr>
          <w:p w14:paraId="277DBD85" w14:textId="77777777" w:rsidR="008E31F7" w:rsidRDefault="008E31F7" w:rsidP="008E31F7">
            <w:r w:rsidRPr="006A1E83">
              <w:t>Christopher C. Walters</w:t>
            </w:r>
          </w:p>
        </w:tc>
        <w:tc>
          <w:tcPr>
            <w:tcW w:w="1350" w:type="dxa"/>
          </w:tcPr>
          <w:p w14:paraId="1DDC6A90" w14:textId="77777777" w:rsidR="008E31F7" w:rsidRDefault="008E31F7" w:rsidP="008E31F7">
            <w:pPr>
              <w:jc w:val="center"/>
            </w:pPr>
            <w:r w:rsidRPr="00EF602D">
              <w:t>FEA</w:t>
            </w:r>
          </w:p>
        </w:tc>
        <w:tc>
          <w:tcPr>
            <w:tcW w:w="1260" w:type="dxa"/>
          </w:tcPr>
          <w:p w14:paraId="2BF0E896" w14:textId="77777777" w:rsidR="008E31F7" w:rsidRDefault="008E31F7" w:rsidP="008E31F7">
            <w:pPr>
              <w:jc w:val="center"/>
            </w:pPr>
            <w:r w:rsidRPr="00B44443">
              <w:t>CCW-</w:t>
            </w:r>
            <w:r>
              <w:t>9</w:t>
            </w:r>
          </w:p>
        </w:tc>
        <w:tc>
          <w:tcPr>
            <w:tcW w:w="3870" w:type="dxa"/>
          </w:tcPr>
          <w:p w14:paraId="541786E7" w14:textId="77777777" w:rsidR="008E31F7" w:rsidRPr="009F1FA3" w:rsidRDefault="008E31F7" w:rsidP="008E31F7">
            <w:pPr>
              <w:widowControl w:val="0"/>
              <w:pBdr>
                <w:top w:val="nil"/>
                <w:left w:val="nil"/>
                <w:bottom w:val="nil"/>
                <w:right w:val="nil"/>
                <w:between w:val="nil"/>
              </w:pBdr>
            </w:pPr>
            <w:r w:rsidRPr="00102C52">
              <w:t>Common Stock Market/Book</w:t>
            </w:r>
            <w:r>
              <w:t xml:space="preserve"> Ratio</w:t>
            </w:r>
          </w:p>
        </w:tc>
      </w:tr>
      <w:tr w:rsidR="008E31F7" w:rsidRPr="00701945" w14:paraId="0420B060" w14:textId="77777777" w:rsidTr="006C174A">
        <w:trPr>
          <w:cantSplit/>
          <w:trHeight w:val="360"/>
        </w:trPr>
        <w:tc>
          <w:tcPr>
            <w:tcW w:w="2970" w:type="dxa"/>
          </w:tcPr>
          <w:p w14:paraId="6489BFE1" w14:textId="77777777" w:rsidR="008E31F7" w:rsidRDefault="008E31F7" w:rsidP="008E31F7">
            <w:r w:rsidRPr="006A1E83">
              <w:t>Christopher C. Walters</w:t>
            </w:r>
          </w:p>
        </w:tc>
        <w:tc>
          <w:tcPr>
            <w:tcW w:w="1350" w:type="dxa"/>
          </w:tcPr>
          <w:p w14:paraId="13931746" w14:textId="77777777" w:rsidR="008E31F7" w:rsidRDefault="008E31F7" w:rsidP="008E31F7">
            <w:pPr>
              <w:jc w:val="center"/>
            </w:pPr>
            <w:r w:rsidRPr="00EF602D">
              <w:t>FEA</w:t>
            </w:r>
          </w:p>
        </w:tc>
        <w:tc>
          <w:tcPr>
            <w:tcW w:w="1260" w:type="dxa"/>
          </w:tcPr>
          <w:p w14:paraId="0CF08790" w14:textId="77777777" w:rsidR="008E31F7" w:rsidRDefault="008E31F7" w:rsidP="008E31F7">
            <w:pPr>
              <w:jc w:val="center"/>
            </w:pPr>
            <w:r w:rsidRPr="00B44443">
              <w:t>CCW-1</w:t>
            </w:r>
            <w:r>
              <w:t>0</w:t>
            </w:r>
          </w:p>
        </w:tc>
        <w:tc>
          <w:tcPr>
            <w:tcW w:w="3870" w:type="dxa"/>
          </w:tcPr>
          <w:p w14:paraId="028D5C75" w14:textId="77777777" w:rsidR="008E31F7" w:rsidRPr="009F1FA3" w:rsidRDefault="008E31F7" w:rsidP="008E31F7">
            <w:pPr>
              <w:widowControl w:val="0"/>
              <w:pBdr>
                <w:top w:val="nil"/>
                <w:left w:val="nil"/>
                <w:bottom w:val="nil"/>
                <w:right w:val="nil"/>
                <w:between w:val="nil"/>
              </w:pBdr>
            </w:pPr>
            <w:r w:rsidRPr="00102C52">
              <w:t>Equity Risk Premium – Treasury Bond</w:t>
            </w:r>
          </w:p>
        </w:tc>
      </w:tr>
      <w:tr w:rsidR="008E31F7" w:rsidRPr="00701945" w14:paraId="16982232" w14:textId="77777777" w:rsidTr="006C174A">
        <w:trPr>
          <w:cantSplit/>
          <w:trHeight w:val="360"/>
        </w:trPr>
        <w:tc>
          <w:tcPr>
            <w:tcW w:w="2970" w:type="dxa"/>
          </w:tcPr>
          <w:p w14:paraId="751B0B5F" w14:textId="77777777" w:rsidR="008E31F7" w:rsidRDefault="008E31F7" w:rsidP="008E31F7">
            <w:r w:rsidRPr="006A1E83">
              <w:t>Christopher C. Walters</w:t>
            </w:r>
          </w:p>
        </w:tc>
        <w:tc>
          <w:tcPr>
            <w:tcW w:w="1350" w:type="dxa"/>
          </w:tcPr>
          <w:p w14:paraId="29902AB3" w14:textId="77777777" w:rsidR="008E31F7" w:rsidRDefault="008E31F7" w:rsidP="008E31F7">
            <w:pPr>
              <w:jc w:val="center"/>
            </w:pPr>
            <w:r w:rsidRPr="00EF602D">
              <w:t>FEA</w:t>
            </w:r>
          </w:p>
        </w:tc>
        <w:tc>
          <w:tcPr>
            <w:tcW w:w="1260" w:type="dxa"/>
          </w:tcPr>
          <w:p w14:paraId="1AC2CEA6" w14:textId="77777777" w:rsidR="008E31F7" w:rsidRDefault="008E31F7" w:rsidP="008E31F7">
            <w:pPr>
              <w:jc w:val="center"/>
            </w:pPr>
            <w:r w:rsidRPr="00B44443">
              <w:t>CCW-1</w:t>
            </w:r>
            <w:r>
              <w:t>1</w:t>
            </w:r>
          </w:p>
        </w:tc>
        <w:tc>
          <w:tcPr>
            <w:tcW w:w="3870" w:type="dxa"/>
          </w:tcPr>
          <w:p w14:paraId="3E7E83EE" w14:textId="77777777" w:rsidR="008E31F7" w:rsidRPr="009F1FA3" w:rsidRDefault="008E31F7" w:rsidP="008E31F7">
            <w:pPr>
              <w:widowControl w:val="0"/>
              <w:pBdr>
                <w:top w:val="nil"/>
                <w:left w:val="nil"/>
                <w:bottom w:val="nil"/>
                <w:right w:val="nil"/>
                <w:between w:val="nil"/>
              </w:pBdr>
            </w:pPr>
            <w:r w:rsidRPr="00102C52">
              <w:t>Equity Risk Premium – Utility Bond</w:t>
            </w:r>
          </w:p>
        </w:tc>
      </w:tr>
      <w:tr w:rsidR="008E31F7" w:rsidRPr="00701945" w14:paraId="1C4FD2AF" w14:textId="77777777" w:rsidTr="006C174A">
        <w:trPr>
          <w:cantSplit/>
          <w:trHeight w:val="360"/>
        </w:trPr>
        <w:tc>
          <w:tcPr>
            <w:tcW w:w="2970" w:type="dxa"/>
          </w:tcPr>
          <w:p w14:paraId="65649EBF" w14:textId="77777777" w:rsidR="008E31F7" w:rsidRDefault="008E31F7" w:rsidP="008E31F7">
            <w:r w:rsidRPr="006A1E83">
              <w:t>Christopher C. Walters</w:t>
            </w:r>
          </w:p>
        </w:tc>
        <w:tc>
          <w:tcPr>
            <w:tcW w:w="1350" w:type="dxa"/>
          </w:tcPr>
          <w:p w14:paraId="602AE345" w14:textId="77777777" w:rsidR="008E31F7" w:rsidRDefault="008E31F7" w:rsidP="008E31F7">
            <w:pPr>
              <w:jc w:val="center"/>
            </w:pPr>
            <w:r w:rsidRPr="00EF602D">
              <w:t>FEA</w:t>
            </w:r>
          </w:p>
        </w:tc>
        <w:tc>
          <w:tcPr>
            <w:tcW w:w="1260" w:type="dxa"/>
          </w:tcPr>
          <w:p w14:paraId="685DBEC2" w14:textId="77777777" w:rsidR="008E31F7" w:rsidRDefault="008E31F7" w:rsidP="008E31F7">
            <w:pPr>
              <w:jc w:val="center"/>
            </w:pPr>
            <w:r w:rsidRPr="00B44443">
              <w:t>CCW-1</w:t>
            </w:r>
            <w:r>
              <w:t>2</w:t>
            </w:r>
          </w:p>
        </w:tc>
        <w:tc>
          <w:tcPr>
            <w:tcW w:w="3870" w:type="dxa"/>
          </w:tcPr>
          <w:p w14:paraId="6F6BF982" w14:textId="77777777" w:rsidR="008E31F7" w:rsidRPr="009F1FA3" w:rsidRDefault="008E31F7" w:rsidP="008E31F7">
            <w:pPr>
              <w:widowControl w:val="0"/>
              <w:pBdr>
                <w:top w:val="nil"/>
                <w:left w:val="nil"/>
                <w:bottom w:val="nil"/>
                <w:right w:val="nil"/>
                <w:between w:val="nil"/>
              </w:pBdr>
            </w:pPr>
            <w:r w:rsidRPr="00102C52">
              <w:t>Bond Yield Spreads</w:t>
            </w:r>
          </w:p>
        </w:tc>
      </w:tr>
      <w:tr w:rsidR="008E31F7" w:rsidRPr="00701945" w14:paraId="675E3FB8" w14:textId="77777777" w:rsidTr="006C174A">
        <w:trPr>
          <w:cantSplit/>
          <w:trHeight w:val="360"/>
        </w:trPr>
        <w:tc>
          <w:tcPr>
            <w:tcW w:w="2970" w:type="dxa"/>
          </w:tcPr>
          <w:p w14:paraId="3D525120" w14:textId="77777777" w:rsidR="008E31F7" w:rsidRDefault="008E31F7" w:rsidP="008E31F7">
            <w:r w:rsidRPr="006A1E83">
              <w:t>Christopher C. Walters</w:t>
            </w:r>
          </w:p>
        </w:tc>
        <w:tc>
          <w:tcPr>
            <w:tcW w:w="1350" w:type="dxa"/>
          </w:tcPr>
          <w:p w14:paraId="19FF1264" w14:textId="77777777" w:rsidR="008E31F7" w:rsidRDefault="008E31F7" w:rsidP="008E31F7">
            <w:pPr>
              <w:jc w:val="center"/>
            </w:pPr>
            <w:r w:rsidRPr="00EF602D">
              <w:t>FEA</w:t>
            </w:r>
          </w:p>
        </w:tc>
        <w:tc>
          <w:tcPr>
            <w:tcW w:w="1260" w:type="dxa"/>
          </w:tcPr>
          <w:p w14:paraId="69715108" w14:textId="77777777" w:rsidR="008E31F7" w:rsidRDefault="008E31F7" w:rsidP="008E31F7">
            <w:pPr>
              <w:jc w:val="center"/>
            </w:pPr>
            <w:r w:rsidRPr="00B44443">
              <w:t>CCW-1</w:t>
            </w:r>
            <w:r>
              <w:t>3</w:t>
            </w:r>
          </w:p>
        </w:tc>
        <w:tc>
          <w:tcPr>
            <w:tcW w:w="3870" w:type="dxa"/>
          </w:tcPr>
          <w:p w14:paraId="3B3E7D6B" w14:textId="77777777" w:rsidR="008E31F7" w:rsidRPr="009F1FA3" w:rsidRDefault="008E31F7" w:rsidP="008E31F7">
            <w:pPr>
              <w:widowControl w:val="0"/>
              <w:pBdr>
                <w:top w:val="nil"/>
                <w:left w:val="nil"/>
                <w:bottom w:val="nil"/>
                <w:right w:val="nil"/>
                <w:between w:val="nil"/>
              </w:pBdr>
            </w:pPr>
            <w:r w:rsidRPr="00102C52">
              <w:t>Treasury and Utility Bond Yields</w:t>
            </w:r>
          </w:p>
        </w:tc>
      </w:tr>
      <w:tr w:rsidR="008E31F7" w:rsidRPr="00701945" w14:paraId="3B0BE378" w14:textId="77777777" w:rsidTr="006C174A">
        <w:trPr>
          <w:cantSplit/>
          <w:trHeight w:val="360"/>
        </w:trPr>
        <w:tc>
          <w:tcPr>
            <w:tcW w:w="2970" w:type="dxa"/>
          </w:tcPr>
          <w:p w14:paraId="25BF6B7C" w14:textId="77777777" w:rsidR="008E31F7" w:rsidRDefault="008E31F7" w:rsidP="008E31F7">
            <w:r w:rsidRPr="006A1E83">
              <w:lastRenderedPageBreak/>
              <w:t>Christopher C. Walters</w:t>
            </w:r>
          </w:p>
        </w:tc>
        <w:tc>
          <w:tcPr>
            <w:tcW w:w="1350" w:type="dxa"/>
          </w:tcPr>
          <w:p w14:paraId="3B8B2E44" w14:textId="77777777" w:rsidR="008E31F7" w:rsidRDefault="008E31F7" w:rsidP="008E31F7">
            <w:pPr>
              <w:jc w:val="center"/>
            </w:pPr>
            <w:r w:rsidRPr="00EF602D">
              <w:t>FEA</w:t>
            </w:r>
          </w:p>
        </w:tc>
        <w:tc>
          <w:tcPr>
            <w:tcW w:w="1260" w:type="dxa"/>
          </w:tcPr>
          <w:p w14:paraId="657AC5B6" w14:textId="77777777" w:rsidR="008E31F7" w:rsidRDefault="008E31F7" w:rsidP="008E31F7">
            <w:pPr>
              <w:jc w:val="center"/>
            </w:pPr>
            <w:r w:rsidRPr="00B44443">
              <w:t>CCW-1</w:t>
            </w:r>
            <w:r>
              <w:t>4</w:t>
            </w:r>
          </w:p>
        </w:tc>
        <w:tc>
          <w:tcPr>
            <w:tcW w:w="3870" w:type="dxa"/>
          </w:tcPr>
          <w:p w14:paraId="31FFBD3F" w14:textId="77777777" w:rsidR="008E31F7" w:rsidRPr="009F1FA3" w:rsidRDefault="008E31F7" w:rsidP="008E31F7">
            <w:pPr>
              <w:widowControl w:val="0"/>
              <w:pBdr>
                <w:top w:val="nil"/>
                <w:left w:val="nil"/>
                <w:bottom w:val="nil"/>
                <w:right w:val="nil"/>
                <w:between w:val="nil"/>
              </w:pBdr>
            </w:pPr>
            <w:r w:rsidRPr="00102C52">
              <w:t>Beta Analysis</w:t>
            </w:r>
          </w:p>
        </w:tc>
      </w:tr>
      <w:tr w:rsidR="008E31F7" w:rsidRPr="00701945" w14:paraId="52267980" w14:textId="77777777" w:rsidTr="006C174A">
        <w:trPr>
          <w:cantSplit/>
          <w:trHeight w:val="360"/>
        </w:trPr>
        <w:tc>
          <w:tcPr>
            <w:tcW w:w="2970" w:type="dxa"/>
          </w:tcPr>
          <w:p w14:paraId="5222344E" w14:textId="77777777" w:rsidR="008E31F7" w:rsidRDefault="008E31F7" w:rsidP="008E31F7">
            <w:r w:rsidRPr="006A1E83">
              <w:t>Christopher C. Walters</w:t>
            </w:r>
          </w:p>
        </w:tc>
        <w:tc>
          <w:tcPr>
            <w:tcW w:w="1350" w:type="dxa"/>
          </w:tcPr>
          <w:p w14:paraId="053D79A5" w14:textId="77777777" w:rsidR="008E31F7" w:rsidRDefault="008E31F7" w:rsidP="008E31F7">
            <w:pPr>
              <w:jc w:val="center"/>
            </w:pPr>
            <w:r w:rsidRPr="00EF602D">
              <w:t>FEA</w:t>
            </w:r>
          </w:p>
        </w:tc>
        <w:tc>
          <w:tcPr>
            <w:tcW w:w="1260" w:type="dxa"/>
          </w:tcPr>
          <w:p w14:paraId="2270523C" w14:textId="77777777" w:rsidR="008E31F7" w:rsidRDefault="008E31F7" w:rsidP="008E31F7">
            <w:pPr>
              <w:jc w:val="center"/>
            </w:pPr>
            <w:r w:rsidRPr="00B44443">
              <w:t>CCW-1</w:t>
            </w:r>
            <w:r>
              <w:t>5</w:t>
            </w:r>
          </w:p>
        </w:tc>
        <w:tc>
          <w:tcPr>
            <w:tcW w:w="3870" w:type="dxa"/>
          </w:tcPr>
          <w:p w14:paraId="4A0F907A" w14:textId="77777777" w:rsidR="008E31F7" w:rsidRPr="009F1FA3" w:rsidRDefault="008E31F7" w:rsidP="008E31F7">
            <w:pPr>
              <w:widowControl w:val="0"/>
              <w:pBdr>
                <w:top w:val="nil"/>
                <w:left w:val="nil"/>
                <w:bottom w:val="nil"/>
                <w:right w:val="nil"/>
                <w:between w:val="nil"/>
              </w:pBdr>
            </w:pPr>
            <w:r w:rsidRPr="00102C52">
              <w:t>CAPM Return</w:t>
            </w:r>
          </w:p>
        </w:tc>
      </w:tr>
      <w:tr w:rsidR="008E31F7" w:rsidRPr="00701945" w14:paraId="5ECD5DCB" w14:textId="77777777" w:rsidTr="006C174A">
        <w:trPr>
          <w:cantSplit/>
          <w:trHeight w:val="360"/>
        </w:trPr>
        <w:tc>
          <w:tcPr>
            <w:tcW w:w="2970" w:type="dxa"/>
          </w:tcPr>
          <w:p w14:paraId="291013E5" w14:textId="77777777" w:rsidR="008E31F7" w:rsidRPr="009F1FA3" w:rsidRDefault="0049026E" w:rsidP="008E31F7">
            <w:pPr>
              <w:widowControl w:val="0"/>
              <w:pBdr>
                <w:top w:val="nil"/>
                <w:left w:val="nil"/>
                <w:bottom w:val="nil"/>
                <w:right w:val="nil"/>
                <w:between w:val="nil"/>
              </w:pBdr>
            </w:pPr>
            <w:r>
              <w:t>Brian C. Andrews</w:t>
            </w:r>
          </w:p>
        </w:tc>
        <w:tc>
          <w:tcPr>
            <w:tcW w:w="1350" w:type="dxa"/>
          </w:tcPr>
          <w:p w14:paraId="68D7FD59" w14:textId="77777777" w:rsidR="008E31F7" w:rsidRPr="009F1FA3" w:rsidRDefault="0049026E" w:rsidP="008E31F7">
            <w:pPr>
              <w:widowControl w:val="0"/>
              <w:pBdr>
                <w:top w:val="nil"/>
                <w:left w:val="nil"/>
                <w:bottom w:val="nil"/>
                <w:right w:val="nil"/>
                <w:between w:val="nil"/>
              </w:pBdr>
              <w:jc w:val="center"/>
            </w:pPr>
            <w:r>
              <w:t>FEA</w:t>
            </w:r>
          </w:p>
        </w:tc>
        <w:tc>
          <w:tcPr>
            <w:tcW w:w="1260" w:type="dxa"/>
          </w:tcPr>
          <w:p w14:paraId="411F3246" w14:textId="77777777" w:rsidR="008E31F7" w:rsidRPr="009F1FA3" w:rsidRDefault="0049026E" w:rsidP="008E31F7">
            <w:pPr>
              <w:widowControl w:val="0"/>
              <w:pBdr>
                <w:top w:val="nil"/>
                <w:left w:val="nil"/>
                <w:bottom w:val="nil"/>
                <w:right w:val="nil"/>
                <w:between w:val="nil"/>
              </w:pBdr>
              <w:jc w:val="center"/>
            </w:pPr>
            <w:r>
              <w:t>BCA-1</w:t>
            </w:r>
          </w:p>
        </w:tc>
        <w:tc>
          <w:tcPr>
            <w:tcW w:w="3870" w:type="dxa"/>
          </w:tcPr>
          <w:p w14:paraId="64D87355" w14:textId="77777777" w:rsidR="008E31F7" w:rsidRPr="009F1FA3" w:rsidRDefault="002972D4" w:rsidP="008E31F7">
            <w:pPr>
              <w:widowControl w:val="0"/>
              <w:pBdr>
                <w:top w:val="nil"/>
                <w:left w:val="nil"/>
                <w:bottom w:val="nil"/>
                <w:right w:val="nil"/>
                <w:between w:val="nil"/>
              </w:pBdr>
            </w:pPr>
            <w:r w:rsidRPr="00CC67A8">
              <w:t>Account 312 Life Analysis</w:t>
            </w:r>
          </w:p>
        </w:tc>
      </w:tr>
      <w:tr w:rsidR="0049026E" w:rsidRPr="00701945" w14:paraId="25C51B42" w14:textId="77777777" w:rsidTr="006C174A">
        <w:trPr>
          <w:cantSplit/>
          <w:trHeight w:val="360"/>
        </w:trPr>
        <w:tc>
          <w:tcPr>
            <w:tcW w:w="2970" w:type="dxa"/>
          </w:tcPr>
          <w:p w14:paraId="07940D64" w14:textId="77777777" w:rsidR="0049026E" w:rsidRDefault="0049026E" w:rsidP="0049026E">
            <w:r w:rsidRPr="003F2533">
              <w:t>Brian C. Andrews</w:t>
            </w:r>
          </w:p>
        </w:tc>
        <w:tc>
          <w:tcPr>
            <w:tcW w:w="1350" w:type="dxa"/>
          </w:tcPr>
          <w:p w14:paraId="55D2643B" w14:textId="77777777" w:rsidR="0049026E" w:rsidRDefault="0049026E" w:rsidP="0049026E">
            <w:pPr>
              <w:jc w:val="center"/>
            </w:pPr>
            <w:r w:rsidRPr="00A826BD">
              <w:t>FEA</w:t>
            </w:r>
          </w:p>
        </w:tc>
        <w:tc>
          <w:tcPr>
            <w:tcW w:w="1260" w:type="dxa"/>
          </w:tcPr>
          <w:p w14:paraId="035C2067" w14:textId="77777777" w:rsidR="0049026E" w:rsidRDefault="0049026E" w:rsidP="0049026E">
            <w:pPr>
              <w:jc w:val="center"/>
            </w:pPr>
            <w:r w:rsidRPr="00903922">
              <w:t>BCA-</w:t>
            </w:r>
            <w:r>
              <w:t>2</w:t>
            </w:r>
          </w:p>
        </w:tc>
        <w:tc>
          <w:tcPr>
            <w:tcW w:w="3870" w:type="dxa"/>
          </w:tcPr>
          <w:p w14:paraId="0053B14A" w14:textId="77777777" w:rsidR="0049026E" w:rsidRPr="009F1FA3" w:rsidRDefault="002972D4" w:rsidP="0049026E">
            <w:pPr>
              <w:widowControl w:val="0"/>
              <w:pBdr>
                <w:top w:val="nil"/>
                <w:left w:val="nil"/>
                <w:bottom w:val="nil"/>
                <w:right w:val="nil"/>
                <w:between w:val="nil"/>
              </w:pBdr>
            </w:pPr>
            <w:r w:rsidRPr="00CC67A8">
              <w:t>Account 341 Life Analysis</w:t>
            </w:r>
          </w:p>
        </w:tc>
      </w:tr>
      <w:tr w:rsidR="0049026E" w:rsidRPr="00701945" w14:paraId="7C83E33D" w14:textId="77777777" w:rsidTr="006C174A">
        <w:trPr>
          <w:cantSplit/>
          <w:trHeight w:val="360"/>
        </w:trPr>
        <w:tc>
          <w:tcPr>
            <w:tcW w:w="2970" w:type="dxa"/>
          </w:tcPr>
          <w:p w14:paraId="15B36F60" w14:textId="77777777" w:rsidR="0049026E" w:rsidRDefault="0049026E" w:rsidP="0049026E">
            <w:r w:rsidRPr="003F2533">
              <w:t>Brian C. Andrews</w:t>
            </w:r>
          </w:p>
        </w:tc>
        <w:tc>
          <w:tcPr>
            <w:tcW w:w="1350" w:type="dxa"/>
          </w:tcPr>
          <w:p w14:paraId="1FC460D0" w14:textId="77777777" w:rsidR="0049026E" w:rsidRDefault="0049026E" w:rsidP="0049026E">
            <w:pPr>
              <w:jc w:val="center"/>
            </w:pPr>
            <w:r w:rsidRPr="00A826BD">
              <w:t>FEA</w:t>
            </w:r>
          </w:p>
        </w:tc>
        <w:tc>
          <w:tcPr>
            <w:tcW w:w="1260" w:type="dxa"/>
          </w:tcPr>
          <w:p w14:paraId="4BC2C21C" w14:textId="77777777" w:rsidR="0049026E" w:rsidRDefault="0049026E" w:rsidP="0049026E">
            <w:pPr>
              <w:jc w:val="center"/>
            </w:pPr>
            <w:r w:rsidRPr="00903922">
              <w:t>BCA-</w:t>
            </w:r>
            <w:r>
              <w:t>3</w:t>
            </w:r>
          </w:p>
        </w:tc>
        <w:tc>
          <w:tcPr>
            <w:tcW w:w="3870" w:type="dxa"/>
          </w:tcPr>
          <w:p w14:paraId="099D8F02" w14:textId="77777777" w:rsidR="0049026E" w:rsidRPr="009F1FA3" w:rsidRDefault="002972D4" w:rsidP="0049026E">
            <w:pPr>
              <w:widowControl w:val="0"/>
              <w:pBdr>
                <w:top w:val="nil"/>
                <w:left w:val="nil"/>
                <w:bottom w:val="nil"/>
                <w:right w:val="nil"/>
                <w:between w:val="nil"/>
              </w:pBdr>
            </w:pPr>
            <w:r w:rsidRPr="00CC67A8">
              <w:t>Account 342 Life Analysis</w:t>
            </w:r>
          </w:p>
        </w:tc>
      </w:tr>
      <w:tr w:rsidR="0049026E" w:rsidRPr="00701945" w14:paraId="51ACF147" w14:textId="77777777" w:rsidTr="006C174A">
        <w:trPr>
          <w:cantSplit/>
          <w:trHeight w:val="360"/>
        </w:trPr>
        <w:tc>
          <w:tcPr>
            <w:tcW w:w="2970" w:type="dxa"/>
          </w:tcPr>
          <w:p w14:paraId="6AB19F1B" w14:textId="77777777" w:rsidR="0049026E" w:rsidRDefault="0049026E" w:rsidP="0049026E">
            <w:r w:rsidRPr="003F2533">
              <w:t>Brian C. Andrews</w:t>
            </w:r>
          </w:p>
        </w:tc>
        <w:tc>
          <w:tcPr>
            <w:tcW w:w="1350" w:type="dxa"/>
          </w:tcPr>
          <w:p w14:paraId="3B31CA11" w14:textId="77777777" w:rsidR="0049026E" w:rsidRDefault="0049026E" w:rsidP="0049026E">
            <w:pPr>
              <w:jc w:val="center"/>
            </w:pPr>
            <w:r w:rsidRPr="00A826BD">
              <w:t>FEA</w:t>
            </w:r>
          </w:p>
        </w:tc>
        <w:tc>
          <w:tcPr>
            <w:tcW w:w="1260" w:type="dxa"/>
          </w:tcPr>
          <w:p w14:paraId="0021C04D" w14:textId="77777777" w:rsidR="0049026E" w:rsidRDefault="0049026E" w:rsidP="0049026E">
            <w:pPr>
              <w:jc w:val="center"/>
            </w:pPr>
            <w:r w:rsidRPr="00903922">
              <w:t>BCA-</w:t>
            </w:r>
            <w:r>
              <w:t>4</w:t>
            </w:r>
          </w:p>
        </w:tc>
        <w:tc>
          <w:tcPr>
            <w:tcW w:w="3870" w:type="dxa"/>
          </w:tcPr>
          <w:p w14:paraId="29DB0072" w14:textId="77777777" w:rsidR="0049026E" w:rsidRPr="009F1FA3" w:rsidRDefault="002972D4" w:rsidP="0049026E">
            <w:pPr>
              <w:widowControl w:val="0"/>
              <w:pBdr>
                <w:top w:val="nil"/>
                <w:left w:val="nil"/>
                <w:bottom w:val="nil"/>
                <w:right w:val="nil"/>
                <w:between w:val="nil"/>
              </w:pBdr>
            </w:pPr>
            <w:r w:rsidRPr="00CC67A8">
              <w:rPr>
                <w:bCs/>
              </w:rPr>
              <w:t>Account 343 Life Analysis</w:t>
            </w:r>
          </w:p>
        </w:tc>
      </w:tr>
      <w:tr w:rsidR="0049026E" w:rsidRPr="00701945" w14:paraId="34C1C581" w14:textId="77777777" w:rsidTr="006C174A">
        <w:trPr>
          <w:cantSplit/>
          <w:trHeight w:val="360"/>
        </w:trPr>
        <w:tc>
          <w:tcPr>
            <w:tcW w:w="2970" w:type="dxa"/>
          </w:tcPr>
          <w:p w14:paraId="72B10D2D" w14:textId="77777777" w:rsidR="0049026E" w:rsidRDefault="0049026E" w:rsidP="0049026E">
            <w:r w:rsidRPr="003F2533">
              <w:t>Brian C. Andrews</w:t>
            </w:r>
          </w:p>
        </w:tc>
        <w:tc>
          <w:tcPr>
            <w:tcW w:w="1350" w:type="dxa"/>
          </w:tcPr>
          <w:p w14:paraId="0D537621" w14:textId="77777777" w:rsidR="0049026E" w:rsidRDefault="0049026E" w:rsidP="0049026E">
            <w:pPr>
              <w:jc w:val="center"/>
            </w:pPr>
            <w:r w:rsidRPr="00A826BD">
              <w:t>FEA</w:t>
            </w:r>
          </w:p>
        </w:tc>
        <w:tc>
          <w:tcPr>
            <w:tcW w:w="1260" w:type="dxa"/>
          </w:tcPr>
          <w:p w14:paraId="55E7905A" w14:textId="77777777" w:rsidR="0049026E" w:rsidRDefault="0049026E" w:rsidP="0049026E">
            <w:pPr>
              <w:jc w:val="center"/>
            </w:pPr>
            <w:r w:rsidRPr="00903922">
              <w:t>BCA-</w:t>
            </w:r>
            <w:r>
              <w:t>5</w:t>
            </w:r>
          </w:p>
        </w:tc>
        <w:tc>
          <w:tcPr>
            <w:tcW w:w="3870" w:type="dxa"/>
          </w:tcPr>
          <w:p w14:paraId="2F99A7A9" w14:textId="77777777" w:rsidR="0049026E" w:rsidRPr="009F1FA3" w:rsidRDefault="002972D4" w:rsidP="0049026E">
            <w:pPr>
              <w:widowControl w:val="0"/>
              <w:pBdr>
                <w:top w:val="nil"/>
                <w:left w:val="nil"/>
                <w:bottom w:val="nil"/>
                <w:right w:val="nil"/>
                <w:between w:val="nil"/>
              </w:pBdr>
            </w:pPr>
            <w:r w:rsidRPr="00CC67A8">
              <w:rPr>
                <w:bCs/>
              </w:rPr>
              <w:t>Select TD&amp;G Account Net Salvage Analyses</w:t>
            </w:r>
          </w:p>
        </w:tc>
      </w:tr>
      <w:tr w:rsidR="0049026E" w:rsidRPr="00701945" w14:paraId="1087DDF2" w14:textId="77777777" w:rsidTr="006C174A">
        <w:trPr>
          <w:cantSplit/>
          <w:trHeight w:val="360"/>
        </w:trPr>
        <w:tc>
          <w:tcPr>
            <w:tcW w:w="2970" w:type="dxa"/>
          </w:tcPr>
          <w:p w14:paraId="08C2A7CE" w14:textId="77777777" w:rsidR="0049026E" w:rsidRDefault="0049026E" w:rsidP="0049026E">
            <w:r w:rsidRPr="003F2533">
              <w:t>Brian C. Andrews</w:t>
            </w:r>
          </w:p>
        </w:tc>
        <w:tc>
          <w:tcPr>
            <w:tcW w:w="1350" w:type="dxa"/>
          </w:tcPr>
          <w:p w14:paraId="2EAC3752" w14:textId="77777777" w:rsidR="0049026E" w:rsidRDefault="0049026E" w:rsidP="0049026E">
            <w:pPr>
              <w:jc w:val="center"/>
            </w:pPr>
            <w:r w:rsidRPr="00A826BD">
              <w:t>FEA</w:t>
            </w:r>
          </w:p>
        </w:tc>
        <w:tc>
          <w:tcPr>
            <w:tcW w:w="1260" w:type="dxa"/>
          </w:tcPr>
          <w:p w14:paraId="1FD30215" w14:textId="77777777" w:rsidR="0049026E" w:rsidRDefault="0049026E" w:rsidP="0049026E">
            <w:pPr>
              <w:jc w:val="center"/>
            </w:pPr>
            <w:r w:rsidRPr="00903922">
              <w:t>BCA-</w:t>
            </w:r>
            <w:r>
              <w:t>6</w:t>
            </w:r>
          </w:p>
        </w:tc>
        <w:tc>
          <w:tcPr>
            <w:tcW w:w="3870" w:type="dxa"/>
          </w:tcPr>
          <w:p w14:paraId="7D03A96E" w14:textId="77777777" w:rsidR="0049026E" w:rsidRPr="009F1FA3" w:rsidRDefault="002972D4" w:rsidP="0049026E">
            <w:pPr>
              <w:widowControl w:val="0"/>
              <w:pBdr>
                <w:top w:val="nil"/>
                <w:left w:val="nil"/>
                <w:bottom w:val="nil"/>
                <w:right w:val="nil"/>
                <w:between w:val="nil"/>
              </w:pBdr>
            </w:pPr>
            <w:r w:rsidRPr="00CC67A8">
              <w:rPr>
                <w:bCs/>
              </w:rPr>
              <w:t>FEA Proposed Depreciation Rates</w:t>
            </w:r>
          </w:p>
        </w:tc>
      </w:tr>
      <w:tr w:rsidR="0049026E" w:rsidRPr="00701945" w14:paraId="7FE3E3C7" w14:textId="77777777" w:rsidTr="006C174A">
        <w:trPr>
          <w:cantSplit/>
          <w:trHeight w:val="360"/>
        </w:trPr>
        <w:tc>
          <w:tcPr>
            <w:tcW w:w="2970" w:type="dxa"/>
          </w:tcPr>
          <w:p w14:paraId="475A3F7E" w14:textId="77777777" w:rsidR="0049026E" w:rsidRDefault="0049026E" w:rsidP="0049026E">
            <w:r w:rsidRPr="003F2533">
              <w:t>Brian C. Andrews</w:t>
            </w:r>
          </w:p>
        </w:tc>
        <w:tc>
          <w:tcPr>
            <w:tcW w:w="1350" w:type="dxa"/>
          </w:tcPr>
          <w:p w14:paraId="6C428F8D" w14:textId="77777777" w:rsidR="0049026E" w:rsidRDefault="0049026E" w:rsidP="0049026E">
            <w:pPr>
              <w:jc w:val="center"/>
            </w:pPr>
            <w:r w:rsidRPr="00A826BD">
              <w:t>FEA</w:t>
            </w:r>
          </w:p>
        </w:tc>
        <w:tc>
          <w:tcPr>
            <w:tcW w:w="1260" w:type="dxa"/>
          </w:tcPr>
          <w:p w14:paraId="5089F8B3" w14:textId="77777777" w:rsidR="0049026E" w:rsidRDefault="0049026E" w:rsidP="0049026E">
            <w:pPr>
              <w:jc w:val="center"/>
            </w:pPr>
            <w:r w:rsidRPr="00903922">
              <w:t>BCA-</w:t>
            </w:r>
            <w:r>
              <w:t>7</w:t>
            </w:r>
          </w:p>
        </w:tc>
        <w:tc>
          <w:tcPr>
            <w:tcW w:w="3870" w:type="dxa"/>
          </w:tcPr>
          <w:p w14:paraId="5816DB32" w14:textId="77777777" w:rsidR="0049026E" w:rsidRPr="009F1FA3" w:rsidRDefault="002972D4" w:rsidP="0049026E">
            <w:pPr>
              <w:widowControl w:val="0"/>
              <w:pBdr>
                <w:top w:val="nil"/>
                <w:left w:val="nil"/>
                <w:bottom w:val="nil"/>
                <w:right w:val="nil"/>
                <w:between w:val="nil"/>
              </w:pBdr>
            </w:pPr>
            <w:r w:rsidRPr="00CC67A8">
              <w:rPr>
                <w:bCs/>
              </w:rPr>
              <w:t>Comparison of TECO and FEA Depreciation Rates and Expense</w:t>
            </w:r>
          </w:p>
        </w:tc>
      </w:tr>
      <w:tr w:rsidR="008E31F7" w:rsidRPr="00701945" w14:paraId="3ECAA028" w14:textId="77777777" w:rsidTr="006C174A">
        <w:trPr>
          <w:cantSplit/>
          <w:trHeight w:val="360"/>
        </w:trPr>
        <w:tc>
          <w:tcPr>
            <w:tcW w:w="2970" w:type="dxa"/>
          </w:tcPr>
          <w:p w14:paraId="64A64898" w14:textId="77777777" w:rsidR="008E31F7" w:rsidRPr="009F1FA3" w:rsidRDefault="008E31F7" w:rsidP="008E31F7">
            <w:pPr>
              <w:widowControl w:val="0"/>
              <w:pBdr>
                <w:top w:val="nil"/>
                <w:left w:val="nil"/>
                <w:bottom w:val="nil"/>
                <w:right w:val="nil"/>
                <w:between w:val="nil"/>
              </w:pBdr>
            </w:pPr>
            <w:r w:rsidRPr="009F1FA3">
              <w:t>Devi Glick</w:t>
            </w:r>
          </w:p>
        </w:tc>
        <w:tc>
          <w:tcPr>
            <w:tcW w:w="1350" w:type="dxa"/>
          </w:tcPr>
          <w:p w14:paraId="5A3BE06F" w14:textId="60DF775F" w:rsidR="008E31F7" w:rsidRPr="009F1FA3" w:rsidRDefault="008C01C7" w:rsidP="00562A4B">
            <w:pPr>
              <w:widowControl w:val="0"/>
              <w:pBdr>
                <w:top w:val="nil"/>
                <w:left w:val="nil"/>
                <w:bottom w:val="nil"/>
                <w:right w:val="nil"/>
                <w:between w:val="nil"/>
              </w:pBdr>
              <w:jc w:val="center"/>
            </w:pPr>
            <w:r>
              <w:t>Sierra Club</w:t>
            </w:r>
          </w:p>
        </w:tc>
        <w:tc>
          <w:tcPr>
            <w:tcW w:w="1260" w:type="dxa"/>
          </w:tcPr>
          <w:p w14:paraId="461DEDC5" w14:textId="77777777" w:rsidR="008E31F7" w:rsidRPr="009F1FA3" w:rsidRDefault="008E31F7" w:rsidP="008E31F7">
            <w:pPr>
              <w:widowControl w:val="0"/>
              <w:pBdr>
                <w:top w:val="nil"/>
                <w:left w:val="nil"/>
                <w:bottom w:val="nil"/>
                <w:right w:val="nil"/>
                <w:between w:val="nil"/>
              </w:pBdr>
              <w:jc w:val="center"/>
            </w:pPr>
            <w:r w:rsidRPr="009F1FA3">
              <w:t>DG-1</w:t>
            </w:r>
          </w:p>
        </w:tc>
        <w:tc>
          <w:tcPr>
            <w:tcW w:w="3870" w:type="dxa"/>
          </w:tcPr>
          <w:p w14:paraId="05378A8B" w14:textId="77777777" w:rsidR="008E31F7" w:rsidRPr="009F1FA3" w:rsidRDefault="008E31F7" w:rsidP="008E31F7">
            <w:pPr>
              <w:widowControl w:val="0"/>
              <w:pBdr>
                <w:top w:val="nil"/>
                <w:left w:val="nil"/>
                <w:bottom w:val="nil"/>
                <w:right w:val="nil"/>
                <w:between w:val="nil"/>
              </w:pBdr>
            </w:pPr>
            <w:r w:rsidRPr="009F1FA3">
              <w:t>Resume of Devi Glick</w:t>
            </w:r>
          </w:p>
        </w:tc>
      </w:tr>
      <w:tr w:rsidR="008C01C7" w:rsidRPr="00701945" w14:paraId="6444DAA3" w14:textId="77777777" w:rsidTr="006C174A">
        <w:trPr>
          <w:cantSplit/>
          <w:trHeight w:val="360"/>
        </w:trPr>
        <w:tc>
          <w:tcPr>
            <w:tcW w:w="2970" w:type="dxa"/>
          </w:tcPr>
          <w:p w14:paraId="7E6EF811" w14:textId="77777777" w:rsidR="008C01C7" w:rsidRPr="009F1FA3" w:rsidRDefault="008C01C7" w:rsidP="008C01C7">
            <w:pPr>
              <w:widowControl w:val="0"/>
              <w:rPr>
                <w:b/>
              </w:rPr>
            </w:pPr>
            <w:r w:rsidRPr="009F1FA3">
              <w:t>Devi Glick</w:t>
            </w:r>
          </w:p>
        </w:tc>
        <w:tc>
          <w:tcPr>
            <w:tcW w:w="1350" w:type="dxa"/>
          </w:tcPr>
          <w:p w14:paraId="022FA6B4" w14:textId="6C467E7A" w:rsidR="008C01C7" w:rsidRDefault="008C01C7" w:rsidP="008C01C7">
            <w:pPr>
              <w:jc w:val="center"/>
            </w:pPr>
            <w:r w:rsidRPr="00DE2AB8">
              <w:t>Sierra Club</w:t>
            </w:r>
          </w:p>
        </w:tc>
        <w:tc>
          <w:tcPr>
            <w:tcW w:w="1260" w:type="dxa"/>
          </w:tcPr>
          <w:p w14:paraId="791B0B0C" w14:textId="77777777" w:rsidR="008C01C7" w:rsidRPr="009F1FA3" w:rsidRDefault="008C01C7" w:rsidP="008C01C7">
            <w:pPr>
              <w:widowControl w:val="0"/>
              <w:pBdr>
                <w:top w:val="nil"/>
                <w:left w:val="nil"/>
                <w:bottom w:val="nil"/>
                <w:right w:val="nil"/>
                <w:between w:val="nil"/>
              </w:pBdr>
              <w:jc w:val="center"/>
            </w:pPr>
            <w:r w:rsidRPr="009F1FA3">
              <w:t>DG-2</w:t>
            </w:r>
          </w:p>
        </w:tc>
        <w:tc>
          <w:tcPr>
            <w:tcW w:w="3870" w:type="dxa"/>
          </w:tcPr>
          <w:p w14:paraId="1D83CC64" w14:textId="77777777" w:rsidR="008C01C7" w:rsidRPr="009F1FA3" w:rsidRDefault="008C01C7" w:rsidP="008C01C7">
            <w:pPr>
              <w:widowControl w:val="0"/>
              <w:pBdr>
                <w:top w:val="nil"/>
                <w:left w:val="nil"/>
                <w:bottom w:val="nil"/>
                <w:right w:val="nil"/>
                <w:between w:val="nil"/>
              </w:pBdr>
            </w:pPr>
            <w:r w:rsidRPr="009F1FA3">
              <w:t>TECO response to Sierra Club 1st IRRs</w:t>
            </w:r>
          </w:p>
        </w:tc>
      </w:tr>
      <w:tr w:rsidR="008C01C7" w:rsidRPr="00701945" w14:paraId="09D3AA32" w14:textId="77777777" w:rsidTr="006C174A">
        <w:trPr>
          <w:cantSplit/>
          <w:trHeight w:val="360"/>
        </w:trPr>
        <w:tc>
          <w:tcPr>
            <w:tcW w:w="2970" w:type="dxa"/>
          </w:tcPr>
          <w:p w14:paraId="408495E7" w14:textId="77777777" w:rsidR="008C01C7" w:rsidRPr="009F1FA3" w:rsidRDefault="008C01C7" w:rsidP="008C01C7">
            <w:pPr>
              <w:widowControl w:val="0"/>
              <w:rPr>
                <w:b/>
              </w:rPr>
            </w:pPr>
            <w:r w:rsidRPr="009F1FA3">
              <w:t>Devi Glick</w:t>
            </w:r>
          </w:p>
        </w:tc>
        <w:tc>
          <w:tcPr>
            <w:tcW w:w="1350" w:type="dxa"/>
          </w:tcPr>
          <w:p w14:paraId="39778DF8" w14:textId="26BE8832" w:rsidR="008C01C7" w:rsidRDefault="008C01C7" w:rsidP="008C01C7">
            <w:pPr>
              <w:jc w:val="center"/>
            </w:pPr>
            <w:r w:rsidRPr="00DE2AB8">
              <w:t>Sierra Club</w:t>
            </w:r>
          </w:p>
        </w:tc>
        <w:tc>
          <w:tcPr>
            <w:tcW w:w="1260" w:type="dxa"/>
          </w:tcPr>
          <w:p w14:paraId="3A8E2EC6" w14:textId="77777777" w:rsidR="008C01C7" w:rsidRPr="009F1FA3" w:rsidRDefault="008C01C7" w:rsidP="008C01C7">
            <w:pPr>
              <w:widowControl w:val="0"/>
              <w:pBdr>
                <w:top w:val="nil"/>
                <w:left w:val="nil"/>
                <w:bottom w:val="nil"/>
                <w:right w:val="nil"/>
                <w:between w:val="nil"/>
              </w:pBdr>
              <w:jc w:val="center"/>
            </w:pPr>
            <w:r w:rsidRPr="009F1FA3">
              <w:t>DG-3</w:t>
            </w:r>
          </w:p>
        </w:tc>
        <w:tc>
          <w:tcPr>
            <w:tcW w:w="3870" w:type="dxa"/>
          </w:tcPr>
          <w:p w14:paraId="7BA526EF" w14:textId="77777777" w:rsidR="008C01C7" w:rsidRPr="009F1FA3" w:rsidRDefault="008C01C7" w:rsidP="008C01C7">
            <w:pPr>
              <w:widowControl w:val="0"/>
              <w:pBdr>
                <w:top w:val="nil"/>
                <w:left w:val="nil"/>
                <w:bottom w:val="nil"/>
                <w:right w:val="nil"/>
                <w:between w:val="nil"/>
              </w:pBdr>
            </w:pPr>
            <w:r w:rsidRPr="009F1FA3">
              <w:t>TECO response to Sierra Club 2nd IRRs</w:t>
            </w:r>
          </w:p>
        </w:tc>
      </w:tr>
      <w:tr w:rsidR="008C01C7" w:rsidRPr="00701945" w14:paraId="6056438B" w14:textId="77777777" w:rsidTr="006C174A">
        <w:trPr>
          <w:cantSplit/>
          <w:trHeight w:val="360"/>
        </w:trPr>
        <w:tc>
          <w:tcPr>
            <w:tcW w:w="2970" w:type="dxa"/>
          </w:tcPr>
          <w:p w14:paraId="1834EDF3" w14:textId="77777777" w:rsidR="008C01C7" w:rsidRPr="009F1FA3" w:rsidRDefault="008C01C7" w:rsidP="008C01C7">
            <w:pPr>
              <w:widowControl w:val="0"/>
              <w:rPr>
                <w:b/>
              </w:rPr>
            </w:pPr>
            <w:r w:rsidRPr="009F1FA3">
              <w:t>Devi Glick</w:t>
            </w:r>
          </w:p>
        </w:tc>
        <w:tc>
          <w:tcPr>
            <w:tcW w:w="1350" w:type="dxa"/>
          </w:tcPr>
          <w:p w14:paraId="41993614" w14:textId="0114FF7C" w:rsidR="008C01C7" w:rsidRDefault="008C01C7" w:rsidP="008C01C7">
            <w:pPr>
              <w:jc w:val="center"/>
            </w:pPr>
            <w:r w:rsidRPr="00DE2AB8">
              <w:t>Sierra Club</w:t>
            </w:r>
          </w:p>
        </w:tc>
        <w:tc>
          <w:tcPr>
            <w:tcW w:w="1260" w:type="dxa"/>
          </w:tcPr>
          <w:p w14:paraId="2DBC7CF3" w14:textId="77777777" w:rsidR="008C01C7" w:rsidRPr="009F1FA3" w:rsidRDefault="008C01C7" w:rsidP="008C01C7">
            <w:pPr>
              <w:widowControl w:val="0"/>
              <w:pBdr>
                <w:top w:val="nil"/>
                <w:left w:val="nil"/>
                <w:bottom w:val="nil"/>
                <w:right w:val="nil"/>
                <w:between w:val="nil"/>
              </w:pBdr>
              <w:jc w:val="center"/>
            </w:pPr>
            <w:r w:rsidRPr="009F1FA3">
              <w:t>DG-4</w:t>
            </w:r>
          </w:p>
        </w:tc>
        <w:tc>
          <w:tcPr>
            <w:tcW w:w="3870" w:type="dxa"/>
          </w:tcPr>
          <w:p w14:paraId="33124E65" w14:textId="77777777" w:rsidR="008C01C7" w:rsidRPr="009F1FA3" w:rsidRDefault="008C01C7" w:rsidP="008C01C7">
            <w:pPr>
              <w:widowControl w:val="0"/>
              <w:pBdr>
                <w:top w:val="nil"/>
                <w:left w:val="nil"/>
                <w:bottom w:val="nil"/>
                <w:right w:val="nil"/>
                <w:between w:val="nil"/>
              </w:pBdr>
            </w:pPr>
            <w:r w:rsidRPr="009F1FA3">
              <w:t>TECO response to Sierra Club 3rd IRRs</w:t>
            </w:r>
          </w:p>
        </w:tc>
      </w:tr>
      <w:tr w:rsidR="008C01C7" w:rsidRPr="00701945" w14:paraId="026DF7B4" w14:textId="77777777" w:rsidTr="006C174A">
        <w:trPr>
          <w:cantSplit/>
          <w:trHeight w:val="360"/>
        </w:trPr>
        <w:tc>
          <w:tcPr>
            <w:tcW w:w="2970" w:type="dxa"/>
          </w:tcPr>
          <w:p w14:paraId="686A16F1" w14:textId="77777777" w:rsidR="008C01C7" w:rsidRPr="009F1FA3" w:rsidRDefault="008C01C7" w:rsidP="008C01C7">
            <w:pPr>
              <w:widowControl w:val="0"/>
              <w:rPr>
                <w:b/>
              </w:rPr>
            </w:pPr>
            <w:r w:rsidRPr="009F1FA3">
              <w:t>Devi Glick</w:t>
            </w:r>
          </w:p>
        </w:tc>
        <w:tc>
          <w:tcPr>
            <w:tcW w:w="1350" w:type="dxa"/>
          </w:tcPr>
          <w:p w14:paraId="48FF0786" w14:textId="338315A6" w:rsidR="008C01C7" w:rsidRDefault="008C01C7" w:rsidP="008C01C7">
            <w:pPr>
              <w:jc w:val="center"/>
            </w:pPr>
            <w:r w:rsidRPr="00DE2AB8">
              <w:t>Sierra Club</w:t>
            </w:r>
          </w:p>
        </w:tc>
        <w:tc>
          <w:tcPr>
            <w:tcW w:w="1260" w:type="dxa"/>
          </w:tcPr>
          <w:p w14:paraId="7AD06FB3" w14:textId="77777777" w:rsidR="008C01C7" w:rsidRPr="009F1FA3" w:rsidRDefault="008C01C7" w:rsidP="008C01C7">
            <w:pPr>
              <w:widowControl w:val="0"/>
              <w:pBdr>
                <w:top w:val="nil"/>
                <w:left w:val="nil"/>
                <w:bottom w:val="nil"/>
                <w:right w:val="nil"/>
                <w:between w:val="nil"/>
              </w:pBdr>
              <w:jc w:val="center"/>
            </w:pPr>
            <w:r w:rsidRPr="009F1FA3">
              <w:t>DG-5</w:t>
            </w:r>
          </w:p>
        </w:tc>
        <w:tc>
          <w:tcPr>
            <w:tcW w:w="3870" w:type="dxa"/>
          </w:tcPr>
          <w:p w14:paraId="295A25EF" w14:textId="77777777" w:rsidR="008C01C7" w:rsidRPr="009F1FA3" w:rsidRDefault="008C01C7" w:rsidP="008C01C7">
            <w:pPr>
              <w:widowControl w:val="0"/>
              <w:pBdr>
                <w:top w:val="nil"/>
                <w:left w:val="nil"/>
                <w:bottom w:val="nil"/>
                <w:right w:val="nil"/>
                <w:between w:val="nil"/>
              </w:pBdr>
            </w:pPr>
            <w:r w:rsidRPr="009F1FA3">
              <w:t>TECO Ten-Year Site Plan, January 2024 – December 2033</w:t>
            </w:r>
          </w:p>
        </w:tc>
      </w:tr>
      <w:tr w:rsidR="008C01C7" w:rsidRPr="00701945" w14:paraId="6FDBF2E0" w14:textId="77777777" w:rsidTr="006C174A">
        <w:trPr>
          <w:cantSplit/>
          <w:trHeight w:val="360"/>
        </w:trPr>
        <w:tc>
          <w:tcPr>
            <w:tcW w:w="2970" w:type="dxa"/>
          </w:tcPr>
          <w:p w14:paraId="4FC45881" w14:textId="77777777" w:rsidR="008C01C7" w:rsidRPr="009F1FA3" w:rsidRDefault="008C01C7" w:rsidP="008C01C7">
            <w:pPr>
              <w:widowControl w:val="0"/>
              <w:rPr>
                <w:b/>
              </w:rPr>
            </w:pPr>
            <w:r w:rsidRPr="009F1FA3">
              <w:t>Devi Glick</w:t>
            </w:r>
          </w:p>
        </w:tc>
        <w:tc>
          <w:tcPr>
            <w:tcW w:w="1350" w:type="dxa"/>
          </w:tcPr>
          <w:p w14:paraId="3A843BD6" w14:textId="73CB47D0" w:rsidR="008C01C7" w:rsidRDefault="008C01C7" w:rsidP="008C01C7">
            <w:pPr>
              <w:jc w:val="center"/>
            </w:pPr>
            <w:r w:rsidRPr="00DE2AB8">
              <w:t>Sierra Club</w:t>
            </w:r>
          </w:p>
        </w:tc>
        <w:tc>
          <w:tcPr>
            <w:tcW w:w="1260" w:type="dxa"/>
          </w:tcPr>
          <w:p w14:paraId="7DF84B98" w14:textId="77777777" w:rsidR="008C01C7" w:rsidRPr="009F1FA3" w:rsidRDefault="008C01C7" w:rsidP="008C01C7">
            <w:pPr>
              <w:widowControl w:val="0"/>
              <w:pBdr>
                <w:top w:val="nil"/>
                <w:left w:val="nil"/>
                <w:bottom w:val="nil"/>
                <w:right w:val="nil"/>
                <w:between w:val="nil"/>
              </w:pBdr>
              <w:jc w:val="center"/>
            </w:pPr>
            <w:r w:rsidRPr="009F1FA3">
              <w:t>DG-6</w:t>
            </w:r>
          </w:p>
        </w:tc>
        <w:tc>
          <w:tcPr>
            <w:tcW w:w="3870" w:type="dxa"/>
          </w:tcPr>
          <w:p w14:paraId="3978F1AB" w14:textId="77777777" w:rsidR="008C01C7" w:rsidRPr="009F1FA3" w:rsidRDefault="008C01C7" w:rsidP="008C01C7">
            <w:pPr>
              <w:widowControl w:val="0"/>
              <w:pBdr>
                <w:top w:val="nil"/>
                <w:left w:val="nil"/>
                <w:bottom w:val="nil"/>
                <w:right w:val="nil"/>
                <w:between w:val="nil"/>
              </w:pBdr>
            </w:pPr>
            <w:r w:rsidRPr="009F1FA3">
              <w:t xml:space="preserve">U.S. Department of Energy and Tampa Electric Company. 2000. </w:t>
            </w:r>
            <w:r w:rsidRPr="009F1FA3">
              <w:rPr>
                <w:i/>
              </w:rPr>
              <w:t>The Tampa Electric Integrated Gasification Combined-Cycle Project: An Update</w:t>
            </w:r>
            <w:r w:rsidRPr="009F1FA3">
              <w:t>. Topical Report Number 19</w:t>
            </w:r>
          </w:p>
        </w:tc>
      </w:tr>
      <w:tr w:rsidR="008C01C7" w:rsidRPr="00701945" w14:paraId="6DE9A439" w14:textId="77777777" w:rsidTr="006C174A">
        <w:trPr>
          <w:cantSplit/>
          <w:trHeight w:val="360"/>
        </w:trPr>
        <w:tc>
          <w:tcPr>
            <w:tcW w:w="2970" w:type="dxa"/>
          </w:tcPr>
          <w:p w14:paraId="64017FB2" w14:textId="77777777" w:rsidR="008C01C7" w:rsidRPr="009F1FA3" w:rsidRDefault="008C01C7" w:rsidP="008C01C7">
            <w:pPr>
              <w:widowControl w:val="0"/>
              <w:rPr>
                <w:b/>
              </w:rPr>
            </w:pPr>
            <w:r w:rsidRPr="009F1FA3">
              <w:t>Devi Glick</w:t>
            </w:r>
          </w:p>
        </w:tc>
        <w:tc>
          <w:tcPr>
            <w:tcW w:w="1350" w:type="dxa"/>
          </w:tcPr>
          <w:p w14:paraId="288CC77A" w14:textId="00D12131" w:rsidR="008C01C7" w:rsidRDefault="008C01C7" w:rsidP="008C01C7">
            <w:pPr>
              <w:jc w:val="center"/>
            </w:pPr>
            <w:r w:rsidRPr="00DE2AB8">
              <w:t>Sierra Club</w:t>
            </w:r>
          </w:p>
        </w:tc>
        <w:tc>
          <w:tcPr>
            <w:tcW w:w="1260" w:type="dxa"/>
          </w:tcPr>
          <w:p w14:paraId="3BCD57CE" w14:textId="77777777" w:rsidR="008C01C7" w:rsidRPr="009F1FA3" w:rsidRDefault="008C01C7" w:rsidP="008C01C7">
            <w:pPr>
              <w:widowControl w:val="0"/>
              <w:pBdr>
                <w:top w:val="nil"/>
                <w:left w:val="nil"/>
                <w:bottom w:val="nil"/>
                <w:right w:val="nil"/>
                <w:between w:val="nil"/>
              </w:pBdr>
              <w:jc w:val="center"/>
            </w:pPr>
            <w:r w:rsidRPr="009F1FA3">
              <w:t>DG-7</w:t>
            </w:r>
          </w:p>
        </w:tc>
        <w:tc>
          <w:tcPr>
            <w:tcW w:w="3870" w:type="dxa"/>
          </w:tcPr>
          <w:p w14:paraId="4FAE546C" w14:textId="77777777" w:rsidR="008C01C7" w:rsidRPr="009F1FA3" w:rsidRDefault="008C01C7" w:rsidP="008C01C7">
            <w:pPr>
              <w:widowControl w:val="0"/>
              <w:pBdr>
                <w:top w:val="nil"/>
                <w:left w:val="nil"/>
                <w:bottom w:val="nil"/>
                <w:right w:val="nil"/>
                <w:between w:val="nil"/>
              </w:pBdr>
            </w:pPr>
            <w:r w:rsidRPr="009F1FA3">
              <w:t>TECO response to SC IRR 1-8, Attachment (BS 28921) 2018 – 2023 GFP.xlsx</w:t>
            </w:r>
          </w:p>
        </w:tc>
      </w:tr>
      <w:tr w:rsidR="008C01C7" w:rsidRPr="00701945" w14:paraId="3ED295E3" w14:textId="77777777" w:rsidTr="006C174A">
        <w:trPr>
          <w:cantSplit/>
          <w:trHeight w:val="360"/>
        </w:trPr>
        <w:tc>
          <w:tcPr>
            <w:tcW w:w="2970" w:type="dxa"/>
          </w:tcPr>
          <w:p w14:paraId="374E1B9D" w14:textId="77777777" w:rsidR="008C01C7" w:rsidRPr="009F1FA3" w:rsidRDefault="008C01C7" w:rsidP="008C01C7">
            <w:pPr>
              <w:widowControl w:val="0"/>
              <w:rPr>
                <w:b/>
              </w:rPr>
            </w:pPr>
            <w:r w:rsidRPr="009F1FA3">
              <w:lastRenderedPageBreak/>
              <w:t>Devi Glick</w:t>
            </w:r>
          </w:p>
        </w:tc>
        <w:tc>
          <w:tcPr>
            <w:tcW w:w="1350" w:type="dxa"/>
          </w:tcPr>
          <w:p w14:paraId="4A862815" w14:textId="12BF86E9" w:rsidR="008C01C7" w:rsidRDefault="008C01C7" w:rsidP="008C01C7">
            <w:pPr>
              <w:jc w:val="center"/>
            </w:pPr>
            <w:r w:rsidRPr="00DE2AB8">
              <w:t>Sierra Club</w:t>
            </w:r>
          </w:p>
        </w:tc>
        <w:tc>
          <w:tcPr>
            <w:tcW w:w="1260" w:type="dxa"/>
          </w:tcPr>
          <w:p w14:paraId="17BC8380" w14:textId="77777777" w:rsidR="008C01C7" w:rsidRPr="009F1FA3" w:rsidRDefault="008C01C7" w:rsidP="008C01C7">
            <w:pPr>
              <w:widowControl w:val="0"/>
              <w:pBdr>
                <w:top w:val="nil"/>
                <w:left w:val="nil"/>
                <w:bottom w:val="nil"/>
                <w:right w:val="nil"/>
                <w:between w:val="nil"/>
              </w:pBdr>
              <w:jc w:val="center"/>
            </w:pPr>
            <w:r w:rsidRPr="009F1FA3">
              <w:t>DG-8</w:t>
            </w:r>
          </w:p>
        </w:tc>
        <w:tc>
          <w:tcPr>
            <w:tcW w:w="3870" w:type="dxa"/>
          </w:tcPr>
          <w:p w14:paraId="360D7F1F" w14:textId="77777777" w:rsidR="008C01C7" w:rsidRPr="009F1FA3" w:rsidRDefault="008C01C7" w:rsidP="008C01C7">
            <w:pPr>
              <w:widowControl w:val="0"/>
              <w:pBdr>
                <w:top w:val="nil"/>
                <w:left w:val="nil"/>
                <w:bottom w:val="nil"/>
                <w:right w:val="nil"/>
                <w:between w:val="nil"/>
              </w:pBdr>
            </w:pPr>
            <w:r w:rsidRPr="009F1FA3">
              <w:t>TECO response to SC IRR 31, Attachment (BS 28967) Sierra Club 1st Set 2024 - 2033 Firm Generators and RM IRR Q31</w:t>
            </w:r>
          </w:p>
        </w:tc>
      </w:tr>
      <w:tr w:rsidR="008C01C7" w:rsidRPr="00701945" w14:paraId="63F68553" w14:textId="77777777" w:rsidTr="006C174A">
        <w:trPr>
          <w:cantSplit/>
          <w:trHeight w:val="360"/>
        </w:trPr>
        <w:tc>
          <w:tcPr>
            <w:tcW w:w="2970" w:type="dxa"/>
          </w:tcPr>
          <w:p w14:paraId="2FCD0633" w14:textId="77777777" w:rsidR="008C01C7" w:rsidRPr="009F1FA3" w:rsidRDefault="008C01C7" w:rsidP="008C01C7">
            <w:pPr>
              <w:widowControl w:val="0"/>
              <w:rPr>
                <w:b/>
              </w:rPr>
            </w:pPr>
            <w:r w:rsidRPr="009F1FA3">
              <w:t>Devi Glick</w:t>
            </w:r>
          </w:p>
        </w:tc>
        <w:tc>
          <w:tcPr>
            <w:tcW w:w="1350" w:type="dxa"/>
          </w:tcPr>
          <w:p w14:paraId="6773991C" w14:textId="25E38A24" w:rsidR="008C01C7" w:rsidRDefault="008C01C7" w:rsidP="008C01C7">
            <w:pPr>
              <w:jc w:val="center"/>
            </w:pPr>
            <w:r w:rsidRPr="00DE2AB8">
              <w:t>Sierra Club</w:t>
            </w:r>
          </w:p>
        </w:tc>
        <w:tc>
          <w:tcPr>
            <w:tcW w:w="1260" w:type="dxa"/>
          </w:tcPr>
          <w:p w14:paraId="58C5A50E" w14:textId="77777777" w:rsidR="008C01C7" w:rsidRPr="009F1FA3" w:rsidRDefault="008C01C7" w:rsidP="008C01C7">
            <w:pPr>
              <w:widowControl w:val="0"/>
              <w:pBdr>
                <w:top w:val="nil"/>
                <w:left w:val="nil"/>
                <w:bottom w:val="nil"/>
                <w:right w:val="nil"/>
                <w:between w:val="nil"/>
              </w:pBdr>
              <w:jc w:val="center"/>
            </w:pPr>
            <w:r w:rsidRPr="009F1FA3">
              <w:t>DG-9</w:t>
            </w:r>
          </w:p>
        </w:tc>
        <w:tc>
          <w:tcPr>
            <w:tcW w:w="3870" w:type="dxa"/>
          </w:tcPr>
          <w:p w14:paraId="3159FAC8" w14:textId="77777777" w:rsidR="008C01C7" w:rsidRPr="009F1FA3" w:rsidRDefault="008C01C7" w:rsidP="008C01C7">
            <w:pPr>
              <w:widowControl w:val="0"/>
              <w:pBdr>
                <w:top w:val="nil"/>
                <w:left w:val="nil"/>
                <w:bottom w:val="nil"/>
                <w:right w:val="nil"/>
                <w:between w:val="nil"/>
              </w:pBdr>
            </w:pPr>
            <w:r w:rsidRPr="009F1FA3">
              <w:t>EPA Memorandum, Steam Electric Rulemaking Record – EPA-HQ-OW-2009-0819.  Unit-Level Costs and Loadings Estimates for the 2024 Final Rule (DCN SE11756A1), April 22, 2024</w:t>
            </w:r>
          </w:p>
        </w:tc>
      </w:tr>
      <w:tr w:rsidR="008C01C7" w:rsidRPr="00701945" w14:paraId="70A4C97F" w14:textId="77777777" w:rsidTr="006C174A">
        <w:trPr>
          <w:cantSplit/>
          <w:trHeight w:val="360"/>
        </w:trPr>
        <w:tc>
          <w:tcPr>
            <w:tcW w:w="2970" w:type="dxa"/>
          </w:tcPr>
          <w:p w14:paraId="0365A39D" w14:textId="77777777" w:rsidR="008C01C7" w:rsidRPr="009F1FA3" w:rsidRDefault="008C01C7" w:rsidP="008C01C7">
            <w:pPr>
              <w:widowControl w:val="0"/>
              <w:rPr>
                <w:b/>
              </w:rPr>
            </w:pPr>
            <w:r w:rsidRPr="009F1FA3">
              <w:t>Devi Glick</w:t>
            </w:r>
          </w:p>
        </w:tc>
        <w:tc>
          <w:tcPr>
            <w:tcW w:w="1350" w:type="dxa"/>
          </w:tcPr>
          <w:p w14:paraId="6D426512" w14:textId="56BC3DFE" w:rsidR="008C01C7" w:rsidRDefault="008C01C7" w:rsidP="008C01C7">
            <w:pPr>
              <w:jc w:val="center"/>
            </w:pPr>
            <w:r w:rsidRPr="00DE2AB8">
              <w:t>Sierra Club</w:t>
            </w:r>
          </w:p>
        </w:tc>
        <w:tc>
          <w:tcPr>
            <w:tcW w:w="1260" w:type="dxa"/>
          </w:tcPr>
          <w:p w14:paraId="272C55BB" w14:textId="77777777" w:rsidR="008C01C7" w:rsidRPr="009F1FA3" w:rsidRDefault="008C01C7" w:rsidP="008C01C7">
            <w:pPr>
              <w:widowControl w:val="0"/>
              <w:pBdr>
                <w:top w:val="nil"/>
                <w:left w:val="nil"/>
                <w:bottom w:val="nil"/>
                <w:right w:val="nil"/>
                <w:between w:val="nil"/>
              </w:pBdr>
              <w:jc w:val="center"/>
            </w:pPr>
            <w:r w:rsidRPr="009F1FA3">
              <w:t>DG-10</w:t>
            </w:r>
          </w:p>
        </w:tc>
        <w:tc>
          <w:tcPr>
            <w:tcW w:w="3870" w:type="dxa"/>
          </w:tcPr>
          <w:p w14:paraId="6AE1B9E0" w14:textId="77777777" w:rsidR="008C01C7" w:rsidRPr="009F1FA3" w:rsidRDefault="008C01C7" w:rsidP="008C01C7">
            <w:pPr>
              <w:widowControl w:val="0"/>
              <w:pBdr>
                <w:top w:val="nil"/>
                <w:left w:val="nil"/>
                <w:bottom w:val="nil"/>
                <w:right w:val="nil"/>
                <w:between w:val="nil"/>
              </w:pBdr>
            </w:pPr>
            <w:r w:rsidRPr="009F1FA3">
              <w:t>EPA Memorandum, Steam Electric Rulemaking Record – EPA-HQ-OW-2009-0819. Generating Unit-Level Costs and Loadings Estimates by Regulatory Option for the 2024 Final Rule (DCN SE11756), April 22, 2024</w:t>
            </w:r>
          </w:p>
        </w:tc>
      </w:tr>
      <w:tr w:rsidR="008C01C7" w:rsidRPr="00701945" w14:paraId="3ABD1634" w14:textId="77777777" w:rsidTr="006C174A">
        <w:trPr>
          <w:cantSplit/>
          <w:trHeight w:val="360"/>
        </w:trPr>
        <w:tc>
          <w:tcPr>
            <w:tcW w:w="2970" w:type="dxa"/>
          </w:tcPr>
          <w:p w14:paraId="7CD3088A" w14:textId="77777777" w:rsidR="008C01C7" w:rsidRPr="009F1FA3" w:rsidRDefault="008C01C7" w:rsidP="008C01C7">
            <w:pPr>
              <w:widowControl w:val="0"/>
            </w:pPr>
            <w:r w:rsidRPr="009F1FA3">
              <w:t>Devi Glick</w:t>
            </w:r>
          </w:p>
        </w:tc>
        <w:tc>
          <w:tcPr>
            <w:tcW w:w="1350" w:type="dxa"/>
          </w:tcPr>
          <w:p w14:paraId="46FB9CA1" w14:textId="1BA3B792" w:rsidR="008C01C7" w:rsidRDefault="008C01C7" w:rsidP="008C01C7">
            <w:pPr>
              <w:jc w:val="center"/>
            </w:pPr>
            <w:r w:rsidRPr="00384FED">
              <w:t>Sierra Club</w:t>
            </w:r>
          </w:p>
        </w:tc>
        <w:tc>
          <w:tcPr>
            <w:tcW w:w="1260" w:type="dxa"/>
          </w:tcPr>
          <w:p w14:paraId="3DB4A820" w14:textId="77777777" w:rsidR="008C01C7" w:rsidRPr="009F1FA3" w:rsidRDefault="008C01C7" w:rsidP="008C01C7">
            <w:pPr>
              <w:widowControl w:val="0"/>
              <w:jc w:val="center"/>
            </w:pPr>
            <w:r w:rsidRPr="009F1FA3">
              <w:t>DG-11</w:t>
            </w:r>
          </w:p>
        </w:tc>
        <w:tc>
          <w:tcPr>
            <w:tcW w:w="3870" w:type="dxa"/>
          </w:tcPr>
          <w:p w14:paraId="56A2B315" w14:textId="77777777" w:rsidR="008C01C7" w:rsidRPr="009F1FA3" w:rsidRDefault="008C01C7" w:rsidP="008C01C7">
            <w:pPr>
              <w:widowControl w:val="0"/>
              <w:pBdr>
                <w:top w:val="nil"/>
                <w:left w:val="nil"/>
                <w:bottom w:val="nil"/>
                <w:right w:val="nil"/>
                <w:between w:val="nil"/>
              </w:pBdr>
            </w:pPr>
            <w:r w:rsidRPr="009F1FA3">
              <w:t>NERC, 2023 State of Reliability Technical Assessment, June 2023</w:t>
            </w:r>
          </w:p>
        </w:tc>
      </w:tr>
      <w:tr w:rsidR="008C01C7" w:rsidRPr="00701945" w14:paraId="54006CBF" w14:textId="77777777" w:rsidTr="006C174A">
        <w:trPr>
          <w:cantSplit/>
          <w:trHeight w:val="360"/>
        </w:trPr>
        <w:tc>
          <w:tcPr>
            <w:tcW w:w="2970" w:type="dxa"/>
          </w:tcPr>
          <w:p w14:paraId="0309A01C" w14:textId="77777777" w:rsidR="008C01C7" w:rsidRPr="009F1FA3" w:rsidRDefault="008C01C7" w:rsidP="008C01C7">
            <w:pPr>
              <w:widowControl w:val="0"/>
              <w:rPr>
                <w:b/>
              </w:rPr>
            </w:pPr>
            <w:r w:rsidRPr="009F1FA3">
              <w:t>Devi Glick</w:t>
            </w:r>
          </w:p>
        </w:tc>
        <w:tc>
          <w:tcPr>
            <w:tcW w:w="1350" w:type="dxa"/>
          </w:tcPr>
          <w:p w14:paraId="23501622" w14:textId="34733F6F" w:rsidR="008C01C7" w:rsidRDefault="008C01C7" w:rsidP="008C01C7">
            <w:pPr>
              <w:jc w:val="center"/>
            </w:pPr>
            <w:r w:rsidRPr="00384FED">
              <w:t>Sierra Club</w:t>
            </w:r>
          </w:p>
        </w:tc>
        <w:tc>
          <w:tcPr>
            <w:tcW w:w="1260" w:type="dxa"/>
          </w:tcPr>
          <w:p w14:paraId="526DE687" w14:textId="77777777" w:rsidR="008C01C7" w:rsidRPr="009F1FA3" w:rsidRDefault="008C01C7" w:rsidP="008C01C7">
            <w:pPr>
              <w:widowControl w:val="0"/>
              <w:jc w:val="center"/>
            </w:pPr>
            <w:r w:rsidRPr="009F1FA3">
              <w:t>DG-12</w:t>
            </w:r>
          </w:p>
        </w:tc>
        <w:tc>
          <w:tcPr>
            <w:tcW w:w="3870" w:type="dxa"/>
          </w:tcPr>
          <w:p w14:paraId="5D31A128" w14:textId="77777777" w:rsidR="008C01C7" w:rsidRPr="009F1FA3" w:rsidRDefault="008C01C7" w:rsidP="008C01C7">
            <w:pPr>
              <w:widowControl w:val="0"/>
              <w:pBdr>
                <w:top w:val="nil"/>
                <w:left w:val="nil"/>
                <w:bottom w:val="nil"/>
                <w:right w:val="nil"/>
                <w:between w:val="nil"/>
              </w:pBdr>
            </w:pPr>
            <w:r w:rsidRPr="009F1FA3">
              <w:t>TECO response to SC IRR 8, Attachment (BS 28923) 2019 - 2023 Factor and Rates</w:t>
            </w:r>
          </w:p>
        </w:tc>
      </w:tr>
      <w:tr w:rsidR="008C01C7" w:rsidRPr="00701945" w14:paraId="42904CC3" w14:textId="77777777" w:rsidTr="006C174A">
        <w:trPr>
          <w:cantSplit/>
          <w:trHeight w:val="360"/>
        </w:trPr>
        <w:tc>
          <w:tcPr>
            <w:tcW w:w="2970" w:type="dxa"/>
          </w:tcPr>
          <w:p w14:paraId="2F58C6D6" w14:textId="77777777" w:rsidR="008C01C7" w:rsidRPr="009F1FA3" w:rsidRDefault="008C01C7" w:rsidP="008C01C7">
            <w:pPr>
              <w:widowControl w:val="0"/>
              <w:rPr>
                <w:b/>
              </w:rPr>
            </w:pPr>
            <w:r w:rsidRPr="009F1FA3">
              <w:t>Devi Glick</w:t>
            </w:r>
          </w:p>
        </w:tc>
        <w:tc>
          <w:tcPr>
            <w:tcW w:w="1350" w:type="dxa"/>
          </w:tcPr>
          <w:p w14:paraId="7BD0C559" w14:textId="1A5E9DDD" w:rsidR="008C01C7" w:rsidRDefault="008C01C7" w:rsidP="008C01C7">
            <w:pPr>
              <w:jc w:val="center"/>
            </w:pPr>
            <w:r w:rsidRPr="00384FED">
              <w:t>Sierra Club</w:t>
            </w:r>
          </w:p>
        </w:tc>
        <w:tc>
          <w:tcPr>
            <w:tcW w:w="1260" w:type="dxa"/>
          </w:tcPr>
          <w:p w14:paraId="132FDDB9" w14:textId="77777777" w:rsidR="008C01C7" w:rsidRPr="009F1FA3" w:rsidRDefault="008C01C7" w:rsidP="008C01C7">
            <w:pPr>
              <w:widowControl w:val="0"/>
              <w:jc w:val="center"/>
            </w:pPr>
            <w:r w:rsidRPr="009F1FA3">
              <w:t>DG-13</w:t>
            </w:r>
          </w:p>
        </w:tc>
        <w:tc>
          <w:tcPr>
            <w:tcW w:w="3870" w:type="dxa"/>
          </w:tcPr>
          <w:p w14:paraId="2E59B562" w14:textId="77777777" w:rsidR="008C01C7" w:rsidRPr="009F1FA3" w:rsidRDefault="008C01C7" w:rsidP="008C01C7">
            <w:pPr>
              <w:widowControl w:val="0"/>
              <w:pBdr>
                <w:top w:val="nil"/>
                <w:left w:val="nil"/>
                <w:bottom w:val="nil"/>
                <w:right w:val="nil"/>
                <w:between w:val="nil"/>
              </w:pBdr>
            </w:pPr>
            <w:r w:rsidRPr="009F1FA3">
              <w:t xml:space="preserve">Schlissel, D. 2017. </w:t>
            </w:r>
            <w:r w:rsidRPr="009F1FA3">
              <w:rPr>
                <w:i/>
              </w:rPr>
              <w:t>Using Coal Gasification to Generate Electricity: A Multibillion-Dollar Failure</w:t>
            </w:r>
            <w:r w:rsidRPr="009F1FA3">
              <w:t>. Institute for Energy Economics and Financial Analysis</w:t>
            </w:r>
          </w:p>
        </w:tc>
      </w:tr>
      <w:tr w:rsidR="008C01C7" w:rsidRPr="00701945" w14:paraId="01CBF5B9" w14:textId="77777777" w:rsidTr="006C174A">
        <w:trPr>
          <w:cantSplit/>
          <w:trHeight w:val="360"/>
        </w:trPr>
        <w:tc>
          <w:tcPr>
            <w:tcW w:w="2970" w:type="dxa"/>
          </w:tcPr>
          <w:p w14:paraId="34DDBEB7" w14:textId="77777777" w:rsidR="008C01C7" w:rsidRPr="009F1FA3" w:rsidRDefault="008C01C7" w:rsidP="008C01C7">
            <w:pPr>
              <w:widowControl w:val="0"/>
              <w:rPr>
                <w:b/>
              </w:rPr>
            </w:pPr>
            <w:r w:rsidRPr="009F1FA3">
              <w:t>Devi Glick</w:t>
            </w:r>
          </w:p>
        </w:tc>
        <w:tc>
          <w:tcPr>
            <w:tcW w:w="1350" w:type="dxa"/>
          </w:tcPr>
          <w:p w14:paraId="39EA3F35" w14:textId="7A93EAA9" w:rsidR="008C01C7" w:rsidRDefault="008C01C7" w:rsidP="008C01C7">
            <w:pPr>
              <w:jc w:val="center"/>
            </w:pPr>
            <w:r w:rsidRPr="00384FED">
              <w:t>Sierra Club</w:t>
            </w:r>
          </w:p>
        </w:tc>
        <w:tc>
          <w:tcPr>
            <w:tcW w:w="1260" w:type="dxa"/>
          </w:tcPr>
          <w:p w14:paraId="6A87AE17" w14:textId="77777777" w:rsidR="008C01C7" w:rsidRPr="009F1FA3" w:rsidRDefault="008C01C7" w:rsidP="008C01C7">
            <w:pPr>
              <w:widowControl w:val="0"/>
              <w:jc w:val="center"/>
            </w:pPr>
            <w:r w:rsidRPr="009F1FA3">
              <w:t>DG-14</w:t>
            </w:r>
          </w:p>
        </w:tc>
        <w:tc>
          <w:tcPr>
            <w:tcW w:w="3870" w:type="dxa"/>
          </w:tcPr>
          <w:p w14:paraId="722EA063" w14:textId="77777777" w:rsidR="008C01C7" w:rsidRPr="009F1FA3" w:rsidRDefault="008C01C7" w:rsidP="008C01C7">
            <w:pPr>
              <w:widowControl w:val="0"/>
              <w:pBdr>
                <w:top w:val="nil"/>
                <w:left w:val="nil"/>
                <w:bottom w:val="nil"/>
                <w:right w:val="nil"/>
                <w:between w:val="nil"/>
              </w:pBdr>
            </w:pPr>
            <w:r w:rsidRPr="009F1FA3">
              <w:t>U.S. EPA. 2024 Update to the 2023 Proposed Technology Review for the Coal- and Oil-Fired EGU Source Category (2024 Technical Memo), Attachment 1</w:t>
            </w:r>
          </w:p>
        </w:tc>
      </w:tr>
      <w:tr w:rsidR="008C01C7" w:rsidRPr="00701945" w14:paraId="1112D011" w14:textId="77777777" w:rsidTr="006C174A">
        <w:trPr>
          <w:cantSplit/>
          <w:trHeight w:val="360"/>
        </w:trPr>
        <w:tc>
          <w:tcPr>
            <w:tcW w:w="2970" w:type="dxa"/>
          </w:tcPr>
          <w:p w14:paraId="089E6226" w14:textId="77777777" w:rsidR="008C01C7" w:rsidRPr="009F1FA3" w:rsidRDefault="008C01C7" w:rsidP="008C01C7">
            <w:pPr>
              <w:widowControl w:val="0"/>
              <w:rPr>
                <w:b/>
              </w:rPr>
            </w:pPr>
            <w:r w:rsidRPr="009F1FA3">
              <w:t>Devi Glick</w:t>
            </w:r>
          </w:p>
        </w:tc>
        <w:tc>
          <w:tcPr>
            <w:tcW w:w="1350" w:type="dxa"/>
          </w:tcPr>
          <w:p w14:paraId="3F27F82A" w14:textId="31381577" w:rsidR="008C01C7" w:rsidRDefault="008C01C7" w:rsidP="008C01C7">
            <w:pPr>
              <w:jc w:val="center"/>
            </w:pPr>
            <w:r w:rsidRPr="00384FED">
              <w:t>Sierra Club</w:t>
            </w:r>
          </w:p>
        </w:tc>
        <w:tc>
          <w:tcPr>
            <w:tcW w:w="1260" w:type="dxa"/>
          </w:tcPr>
          <w:p w14:paraId="7B68421B" w14:textId="77777777" w:rsidR="008C01C7" w:rsidRPr="009F1FA3" w:rsidRDefault="008C01C7" w:rsidP="008C01C7">
            <w:pPr>
              <w:widowControl w:val="0"/>
              <w:jc w:val="center"/>
            </w:pPr>
            <w:r w:rsidRPr="009F1FA3">
              <w:t>DG-15</w:t>
            </w:r>
          </w:p>
        </w:tc>
        <w:tc>
          <w:tcPr>
            <w:tcW w:w="3870" w:type="dxa"/>
          </w:tcPr>
          <w:p w14:paraId="69BCF513" w14:textId="77777777" w:rsidR="008C01C7" w:rsidRPr="009F1FA3" w:rsidRDefault="008C01C7" w:rsidP="008C01C7">
            <w:pPr>
              <w:widowControl w:val="0"/>
              <w:pBdr>
                <w:top w:val="nil"/>
                <w:left w:val="nil"/>
                <w:bottom w:val="nil"/>
                <w:right w:val="nil"/>
                <w:between w:val="nil"/>
              </w:pBdr>
            </w:pPr>
            <w:r w:rsidRPr="009F1FA3">
              <w:t>Duke Energy, “Appendix F: Coal Retirement Analysis,” 2023 Carolinas Resources Plan</w:t>
            </w:r>
          </w:p>
        </w:tc>
      </w:tr>
      <w:tr w:rsidR="008C01C7" w:rsidRPr="00701945" w14:paraId="37CEAE8A" w14:textId="77777777" w:rsidTr="006C174A">
        <w:trPr>
          <w:cantSplit/>
          <w:trHeight w:val="360"/>
        </w:trPr>
        <w:tc>
          <w:tcPr>
            <w:tcW w:w="2970" w:type="dxa"/>
          </w:tcPr>
          <w:p w14:paraId="19C4E0D0" w14:textId="77777777" w:rsidR="008C01C7" w:rsidRPr="009F1FA3" w:rsidRDefault="008C01C7" w:rsidP="008C01C7">
            <w:pPr>
              <w:widowControl w:val="0"/>
              <w:rPr>
                <w:b/>
              </w:rPr>
            </w:pPr>
            <w:r w:rsidRPr="009F1FA3">
              <w:lastRenderedPageBreak/>
              <w:t>Devi Glick</w:t>
            </w:r>
          </w:p>
        </w:tc>
        <w:tc>
          <w:tcPr>
            <w:tcW w:w="1350" w:type="dxa"/>
          </w:tcPr>
          <w:p w14:paraId="30F14DBA" w14:textId="3B902A83" w:rsidR="008C01C7" w:rsidRDefault="008C01C7" w:rsidP="008C01C7">
            <w:pPr>
              <w:jc w:val="center"/>
            </w:pPr>
            <w:r w:rsidRPr="00384FED">
              <w:t>Sierra Club</w:t>
            </w:r>
          </w:p>
        </w:tc>
        <w:tc>
          <w:tcPr>
            <w:tcW w:w="1260" w:type="dxa"/>
          </w:tcPr>
          <w:p w14:paraId="343F9AF5" w14:textId="77777777" w:rsidR="008C01C7" w:rsidRPr="009F1FA3" w:rsidRDefault="008C01C7" w:rsidP="008C01C7">
            <w:pPr>
              <w:widowControl w:val="0"/>
              <w:jc w:val="center"/>
            </w:pPr>
            <w:r w:rsidRPr="009F1FA3">
              <w:t>DG-16</w:t>
            </w:r>
          </w:p>
        </w:tc>
        <w:tc>
          <w:tcPr>
            <w:tcW w:w="3870" w:type="dxa"/>
          </w:tcPr>
          <w:p w14:paraId="0728804D" w14:textId="77777777" w:rsidR="008C01C7" w:rsidRPr="009F1FA3" w:rsidRDefault="008C01C7" w:rsidP="008C01C7">
            <w:pPr>
              <w:widowControl w:val="0"/>
              <w:pBdr>
                <w:top w:val="nil"/>
                <w:left w:val="nil"/>
                <w:bottom w:val="nil"/>
                <w:right w:val="nil"/>
                <w:between w:val="nil"/>
              </w:pBdr>
            </w:pPr>
            <w:r w:rsidRPr="009F1FA3">
              <w:t>Institute for Energy Economics and Financial Analysis, “Coal Use at U.S. Power Plants Continues Downward Spiral; Full Impact on Mines to be Felt in 2024,” Nov. 2, 2023</w:t>
            </w:r>
          </w:p>
        </w:tc>
      </w:tr>
      <w:tr w:rsidR="008C01C7" w:rsidRPr="00701945" w14:paraId="0A8DCA17" w14:textId="77777777" w:rsidTr="006C174A">
        <w:trPr>
          <w:cantSplit/>
          <w:trHeight w:val="360"/>
        </w:trPr>
        <w:tc>
          <w:tcPr>
            <w:tcW w:w="2970" w:type="dxa"/>
          </w:tcPr>
          <w:p w14:paraId="0F0AB030" w14:textId="77777777" w:rsidR="008C01C7" w:rsidRPr="009F1FA3" w:rsidRDefault="008C01C7" w:rsidP="008C01C7">
            <w:pPr>
              <w:widowControl w:val="0"/>
              <w:rPr>
                <w:b/>
              </w:rPr>
            </w:pPr>
            <w:r w:rsidRPr="009F1FA3">
              <w:t>Devi Glick</w:t>
            </w:r>
          </w:p>
        </w:tc>
        <w:tc>
          <w:tcPr>
            <w:tcW w:w="1350" w:type="dxa"/>
          </w:tcPr>
          <w:p w14:paraId="2815E2ED" w14:textId="50FA5B29" w:rsidR="008C01C7" w:rsidRDefault="008C01C7" w:rsidP="008C01C7">
            <w:pPr>
              <w:jc w:val="center"/>
            </w:pPr>
            <w:r w:rsidRPr="00384FED">
              <w:t>Sierra Club</w:t>
            </w:r>
          </w:p>
        </w:tc>
        <w:tc>
          <w:tcPr>
            <w:tcW w:w="1260" w:type="dxa"/>
          </w:tcPr>
          <w:p w14:paraId="6AAF6E7E" w14:textId="77777777" w:rsidR="008C01C7" w:rsidRPr="009F1FA3" w:rsidRDefault="008C01C7" w:rsidP="008C01C7">
            <w:pPr>
              <w:widowControl w:val="0"/>
              <w:jc w:val="center"/>
            </w:pPr>
            <w:r w:rsidRPr="009F1FA3">
              <w:t>DG-17</w:t>
            </w:r>
          </w:p>
        </w:tc>
        <w:tc>
          <w:tcPr>
            <w:tcW w:w="3870" w:type="dxa"/>
          </w:tcPr>
          <w:p w14:paraId="672ED427" w14:textId="77777777" w:rsidR="008C01C7" w:rsidRPr="009F1FA3" w:rsidRDefault="008C01C7" w:rsidP="008C01C7">
            <w:pPr>
              <w:widowControl w:val="0"/>
              <w:pBdr>
                <w:top w:val="nil"/>
                <w:left w:val="nil"/>
                <w:bottom w:val="nil"/>
                <w:right w:val="nil"/>
                <w:between w:val="nil"/>
              </w:pBdr>
            </w:pPr>
            <w:r w:rsidRPr="009F1FA3">
              <w:t>Earthjustice, “Toxic Coal Ash in Florida: Addressing Coal Plants’ Hazardous Legacy,” May 3, 2023</w:t>
            </w:r>
          </w:p>
        </w:tc>
      </w:tr>
      <w:tr w:rsidR="008C01C7" w:rsidRPr="00701945" w14:paraId="24E761AD" w14:textId="77777777" w:rsidTr="006C174A">
        <w:trPr>
          <w:cantSplit/>
          <w:trHeight w:val="360"/>
        </w:trPr>
        <w:tc>
          <w:tcPr>
            <w:tcW w:w="2970" w:type="dxa"/>
          </w:tcPr>
          <w:p w14:paraId="7C8E99BC" w14:textId="77777777" w:rsidR="008C01C7" w:rsidRPr="009F1FA3" w:rsidRDefault="008C01C7" w:rsidP="008C01C7">
            <w:pPr>
              <w:widowControl w:val="0"/>
              <w:rPr>
                <w:b/>
              </w:rPr>
            </w:pPr>
            <w:r w:rsidRPr="009F1FA3">
              <w:t>Devi Glick</w:t>
            </w:r>
          </w:p>
        </w:tc>
        <w:tc>
          <w:tcPr>
            <w:tcW w:w="1350" w:type="dxa"/>
          </w:tcPr>
          <w:p w14:paraId="05ACC925" w14:textId="1010E7A8" w:rsidR="008C01C7" w:rsidRDefault="008C01C7" w:rsidP="008C01C7">
            <w:pPr>
              <w:jc w:val="center"/>
            </w:pPr>
            <w:r w:rsidRPr="00384FED">
              <w:t>Sierra Club</w:t>
            </w:r>
          </w:p>
        </w:tc>
        <w:tc>
          <w:tcPr>
            <w:tcW w:w="1260" w:type="dxa"/>
          </w:tcPr>
          <w:p w14:paraId="50AD500E" w14:textId="77777777" w:rsidR="008C01C7" w:rsidRPr="009F1FA3" w:rsidRDefault="008C01C7" w:rsidP="008C01C7">
            <w:pPr>
              <w:widowControl w:val="0"/>
              <w:jc w:val="center"/>
            </w:pPr>
            <w:r w:rsidRPr="009F1FA3">
              <w:t>DG-18</w:t>
            </w:r>
          </w:p>
        </w:tc>
        <w:tc>
          <w:tcPr>
            <w:tcW w:w="3870" w:type="dxa"/>
          </w:tcPr>
          <w:p w14:paraId="23E50B18" w14:textId="77777777" w:rsidR="008C01C7" w:rsidRPr="009F1FA3" w:rsidRDefault="008C01C7" w:rsidP="008C01C7">
            <w:pPr>
              <w:widowControl w:val="0"/>
              <w:pBdr>
                <w:top w:val="nil"/>
                <w:left w:val="nil"/>
                <w:bottom w:val="nil"/>
                <w:right w:val="nil"/>
                <w:between w:val="nil"/>
              </w:pBdr>
            </w:pPr>
            <w:r w:rsidRPr="009F1FA3">
              <w:t>U.S. Department of Energy, Loan Programs Office, Program Guidance for Title 17 Clean Energy Financing Program, May 19, 2023</w:t>
            </w:r>
          </w:p>
        </w:tc>
      </w:tr>
      <w:tr w:rsidR="008C01C7" w:rsidRPr="00701945" w14:paraId="0887B24E" w14:textId="77777777" w:rsidTr="006C174A">
        <w:trPr>
          <w:cantSplit/>
          <w:trHeight w:val="360"/>
        </w:trPr>
        <w:tc>
          <w:tcPr>
            <w:tcW w:w="2970" w:type="dxa"/>
          </w:tcPr>
          <w:p w14:paraId="5B9AE809" w14:textId="77777777" w:rsidR="008C01C7" w:rsidRPr="009F1FA3" w:rsidRDefault="008C01C7" w:rsidP="008C01C7">
            <w:pPr>
              <w:widowControl w:val="0"/>
              <w:rPr>
                <w:b/>
              </w:rPr>
            </w:pPr>
            <w:r w:rsidRPr="009F1FA3">
              <w:t>Devi Glick</w:t>
            </w:r>
          </w:p>
        </w:tc>
        <w:tc>
          <w:tcPr>
            <w:tcW w:w="1350" w:type="dxa"/>
          </w:tcPr>
          <w:p w14:paraId="60C49854" w14:textId="070FF61E" w:rsidR="008C01C7" w:rsidRDefault="008C01C7" w:rsidP="008C01C7">
            <w:pPr>
              <w:jc w:val="center"/>
            </w:pPr>
            <w:r w:rsidRPr="00384FED">
              <w:t>Sierra Club</w:t>
            </w:r>
          </w:p>
        </w:tc>
        <w:tc>
          <w:tcPr>
            <w:tcW w:w="1260" w:type="dxa"/>
          </w:tcPr>
          <w:p w14:paraId="7114C067" w14:textId="77777777" w:rsidR="008C01C7" w:rsidRPr="009F1FA3" w:rsidRDefault="008C01C7" w:rsidP="008C01C7">
            <w:pPr>
              <w:widowControl w:val="0"/>
              <w:jc w:val="center"/>
            </w:pPr>
            <w:r w:rsidRPr="009F1FA3">
              <w:t>DG-19</w:t>
            </w:r>
          </w:p>
        </w:tc>
        <w:tc>
          <w:tcPr>
            <w:tcW w:w="3870" w:type="dxa"/>
          </w:tcPr>
          <w:p w14:paraId="44263338" w14:textId="77777777" w:rsidR="008C01C7" w:rsidRPr="009F1FA3" w:rsidRDefault="008C01C7" w:rsidP="008C01C7">
            <w:pPr>
              <w:widowControl w:val="0"/>
              <w:pBdr>
                <w:top w:val="nil"/>
                <w:left w:val="nil"/>
                <w:bottom w:val="nil"/>
                <w:right w:val="nil"/>
                <w:between w:val="nil"/>
              </w:pBdr>
            </w:pPr>
            <w:r w:rsidRPr="009F1FA3">
              <w:t>C. Fong, D. Posner, and U. Veradarajan, “The Energy Infrastructure Reinvestment Program: Federal financing for an equitable, clean economy,” RMI, February 16, 2024</w:t>
            </w:r>
          </w:p>
        </w:tc>
      </w:tr>
      <w:tr w:rsidR="008C01C7" w:rsidRPr="00701945" w14:paraId="28242918" w14:textId="77777777" w:rsidTr="006C174A">
        <w:trPr>
          <w:cantSplit/>
          <w:trHeight w:val="360"/>
        </w:trPr>
        <w:tc>
          <w:tcPr>
            <w:tcW w:w="2970" w:type="dxa"/>
          </w:tcPr>
          <w:p w14:paraId="58D00E56" w14:textId="77777777" w:rsidR="008C01C7" w:rsidRPr="009F1FA3" w:rsidRDefault="008C01C7" w:rsidP="008C01C7">
            <w:pPr>
              <w:widowControl w:val="0"/>
              <w:rPr>
                <w:b/>
              </w:rPr>
            </w:pPr>
            <w:r w:rsidRPr="009F1FA3">
              <w:t>Devi Glick</w:t>
            </w:r>
          </w:p>
        </w:tc>
        <w:tc>
          <w:tcPr>
            <w:tcW w:w="1350" w:type="dxa"/>
          </w:tcPr>
          <w:p w14:paraId="40C2D554" w14:textId="5EA9E4FD" w:rsidR="008C01C7" w:rsidRDefault="008C01C7" w:rsidP="008C01C7">
            <w:pPr>
              <w:jc w:val="center"/>
            </w:pPr>
            <w:r w:rsidRPr="00384FED">
              <w:t>Sierra Club</w:t>
            </w:r>
          </w:p>
        </w:tc>
        <w:tc>
          <w:tcPr>
            <w:tcW w:w="1260" w:type="dxa"/>
          </w:tcPr>
          <w:p w14:paraId="0D7EDA6D" w14:textId="77777777" w:rsidR="008C01C7" w:rsidRPr="009F1FA3" w:rsidRDefault="008C01C7" w:rsidP="008C01C7">
            <w:pPr>
              <w:widowControl w:val="0"/>
              <w:jc w:val="center"/>
            </w:pPr>
            <w:r w:rsidRPr="009F1FA3">
              <w:t>DG-20</w:t>
            </w:r>
          </w:p>
        </w:tc>
        <w:tc>
          <w:tcPr>
            <w:tcW w:w="3870" w:type="dxa"/>
          </w:tcPr>
          <w:p w14:paraId="568E3215" w14:textId="77777777" w:rsidR="008C01C7" w:rsidRPr="009F1FA3" w:rsidRDefault="008C01C7" w:rsidP="008C01C7">
            <w:pPr>
              <w:widowControl w:val="0"/>
              <w:pBdr>
                <w:top w:val="nil"/>
                <w:left w:val="nil"/>
                <w:bottom w:val="nil"/>
                <w:right w:val="nil"/>
                <w:between w:val="nil"/>
              </w:pBdr>
            </w:pPr>
            <w:r w:rsidRPr="009F1FA3">
              <w:t>C. Fong, D. Posner, and U. Varadarajan, “Maximizing the value of the energy infrastructure reinvestment program for utility customers,” RMI, May 24, 2024</w:t>
            </w:r>
          </w:p>
        </w:tc>
      </w:tr>
      <w:tr w:rsidR="008E31F7" w:rsidRPr="00701945" w14:paraId="3CFCD444" w14:textId="77777777" w:rsidTr="006C174A">
        <w:trPr>
          <w:cantSplit/>
          <w:trHeight w:val="360"/>
        </w:trPr>
        <w:tc>
          <w:tcPr>
            <w:tcW w:w="2970" w:type="dxa"/>
          </w:tcPr>
          <w:p w14:paraId="0E4952EA" w14:textId="77777777" w:rsidR="008E31F7" w:rsidRPr="009F1FA3" w:rsidRDefault="008E31F7" w:rsidP="008E31F7">
            <w:pPr>
              <w:widowControl w:val="0"/>
            </w:pPr>
            <w:r w:rsidRPr="009F1FA3">
              <w:t>Steve W. Chriss</w:t>
            </w:r>
          </w:p>
        </w:tc>
        <w:tc>
          <w:tcPr>
            <w:tcW w:w="1350" w:type="dxa"/>
          </w:tcPr>
          <w:p w14:paraId="2DFEA2A4" w14:textId="77777777" w:rsidR="008E31F7" w:rsidRDefault="008E31F7" w:rsidP="008E31F7">
            <w:pPr>
              <w:widowControl w:val="0"/>
              <w:jc w:val="center"/>
            </w:pPr>
            <w:r w:rsidRPr="009F1FA3">
              <w:t>FRF</w:t>
            </w:r>
          </w:p>
          <w:p w14:paraId="1CB239EF" w14:textId="77777777" w:rsidR="00D03EAF" w:rsidRPr="009F1FA3" w:rsidRDefault="00D03EAF" w:rsidP="008E31F7">
            <w:pPr>
              <w:widowControl w:val="0"/>
              <w:jc w:val="center"/>
            </w:pPr>
            <w:r>
              <w:t>Walmart</w:t>
            </w:r>
          </w:p>
        </w:tc>
        <w:tc>
          <w:tcPr>
            <w:tcW w:w="1260" w:type="dxa"/>
          </w:tcPr>
          <w:p w14:paraId="7C653CD1" w14:textId="77777777" w:rsidR="008E31F7" w:rsidRPr="009F1FA3" w:rsidRDefault="008E31F7" w:rsidP="008E31F7">
            <w:pPr>
              <w:widowControl w:val="0"/>
              <w:jc w:val="center"/>
            </w:pPr>
            <w:r w:rsidRPr="009F1FA3">
              <w:t>SWC-1</w:t>
            </w:r>
          </w:p>
        </w:tc>
        <w:tc>
          <w:tcPr>
            <w:tcW w:w="3870" w:type="dxa"/>
          </w:tcPr>
          <w:p w14:paraId="52DB2A91" w14:textId="77777777" w:rsidR="008E31F7" w:rsidRPr="009F1FA3" w:rsidRDefault="008E31F7" w:rsidP="008E31F7">
            <w:pPr>
              <w:widowControl w:val="0"/>
              <w:pBdr>
                <w:top w:val="nil"/>
                <w:left w:val="nil"/>
                <w:bottom w:val="nil"/>
                <w:right w:val="nil"/>
                <w:between w:val="nil"/>
              </w:pBdr>
            </w:pPr>
            <w:r w:rsidRPr="009F1FA3">
              <w:rPr>
                <w:rFonts w:eastAsia="Calibri"/>
              </w:rPr>
              <w:t>Qualifications of Steve W. Chriss</w:t>
            </w:r>
          </w:p>
        </w:tc>
      </w:tr>
      <w:tr w:rsidR="008E31F7" w:rsidRPr="00701945" w14:paraId="44F4B681" w14:textId="77777777" w:rsidTr="006C174A">
        <w:trPr>
          <w:cantSplit/>
          <w:trHeight w:val="360"/>
        </w:trPr>
        <w:tc>
          <w:tcPr>
            <w:tcW w:w="2970" w:type="dxa"/>
          </w:tcPr>
          <w:p w14:paraId="4A681B81" w14:textId="77777777" w:rsidR="008E31F7" w:rsidRPr="009F1FA3" w:rsidRDefault="008E31F7" w:rsidP="008E31F7">
            <w:r w:rsidRPr="009F1FA3">
              <w:t>Steve W. Chriss</w:t>
            </w:r>
          </w:p>
        </w:tc>
        <w:tc>
          <w:tcPr>
            <w:tcW w:w="1350" w:type="dxa"/>
          </w:tcPr>
          <w:p w14:paraId="16F405CC" w14:textId="77777777" w:rsidR="008E31F7" w:rsidRDefault="008E31F7" w:rsidP="008E31F7">
            <w:pPr>
              <w:jc w:val="center"/>
            </w:pPr>
            <w:r w:rsidRPr="009F1FA3">
              <w:t>FRF</w:t>
            </w:r>
          </w:p>
          <w:p w14:paraId="2A8F2619" w14:textId="77777777" w:rsidR="00D03EAF" w:rsidRPr="009F1FA3" w:rsidRDefault="00D03EAF" w:rsidP="008E31F7">
            <w:pPr>
              <w:jc w:val="center"/>
            </w:pPr>
            <w:r>
              <w:t>Walmart</w:t>
            </w:r>
          </w:p>
        </w:tc>
        <w:tc>
          <w:tcPr>
            <w:tcW w:w="1260" w:type="dxa"/>
          </w:tcPr>
          <w:p w14:paraId="50B54F65" w14:textId="77777777" w:rsidR="008E31F7" w:rsidRPr="009F1FA3" w:rsidRDefault="008E31F7" w:rsidP="008E31F7">
            <w:pPr>
              <w:jc w:val="center"/>
            </w:pPr>
            <w:r w:rsidRPr="009F1FA3">
              <w:t>SWC-2</w:t>
            </w:r>
          </w:p>
        </w:tc>
        <w:tc>
          <w:tcPr>
            <w:tcW w:w="3870" w:type="dxa"/>
          </w:tcPr>
          <w:p w14:paraId="56B3A603" w14:textId="77777777" w:rsidR="008E31F7" w:rsidRPr="009F1FA3" w:rsidRDefault="008E31F7" w:rsidP="008E31F7">
            <w:pPr>
              <w:widowControl w:val="0"/>
              <w:pBdr>
                <w:top w:val="nil"/>
                <w:left w:val="nil"/>
                <w:bottom w:val="nil"/>
                <w:right w:val="nil"/>
                <w:between w:val="nil"/>
              </w:pBdr>
            </w:pPr>
            <w:r w:rsidRPr="009F1FA3">
              <w:rPr>
                <w:rFonts w:eastAsia="Calibri"/>
              </w:rPr>
              <w:t>Impact of TECO’s Proposed Increase in Return on Equity ($000) vs. Originally Approved</w:t>
            </w:r>
          </w:p>
        </w:tc>
      </w:tr>
      <w:tr w:rsidR="008E31F7" w:rsidRPr="00701945" w14:paraId="3C5E1289" w14:textId="77777777" w:rsidTr="006C174A">
        <w:trPr>
          <w:cantSplit/>
          <w:trHeight w:val="360"/>
        </w:trPr>
        <w:tc>
          <w:tcPr>
            <w:tcW w:w="2970" w:type="dxa"/>
          </w:tcPr>
          <w:p w14:paraId="7B0A3E8A" w14:textId="77777777" w:rsidR="008E31F7" w:rsidRPr="009F1FA3" w:rsidRDefault="008E31F7" w:rsidP="008E31F7">
            <w:r w:rsidRPr="009F1FA3">
              <w:t>Steve W. Chriss</w:t>
            </w:r>
          </w:p>
        </w:tc>
        <w:tc>
          <w:tcPr>
            <w:tcW w:w="1350" w:type="dxa"/>
          </w:tcPr>
          <w:p w14:paraId="530E1F81" w14:textId="77777777" w:rsidR="008E31F7" w:rsidRDefault="008E31F7" w:rsidP="008E31F7">
            <w:pPr>
              <w:jc w:val="center"/>
            </w:pPr>
            <w:r w:rsidRPr="009F1FA3">
              <w:t>FRF</w:t>
            </w:r>
          </w:p>
          <w:p w14:paraId="5FDB7CF1" w14:textId="77777777" w:rsidR="00D03EAF" w:rsidRPr="009F1FA3" w:rsidRDefault="00D03EAF" w:rsidP="008E31F7">
            <w:pPr>
              <w:jc w:val="center"/>
            </w:pPr>
            <w:r>
              <w:t>Walmart</w:t>
            </w:r>
          </w:p>
        </w:tc>
        <w:tc>
          <w:tcPr>
            <w:tcW w:w="1260" w:type="dxa"/>
          </w:tcPr>
          <w:p w14:paraId="025504AB" w14:textId="77777777" w:rsidR="008E31F7" w:rsidRPr="009F1FA3" w:rsidRDefault="008E31F7" w:rsidP="008E31F7">
            <w:pPr>
              <w:jc w:val="center"/>
            </w:pPr>
            <w:r w:rsidRPr="009F1FA3">
              <w:t>SWC-3</w:t>
            </w:r>
          </w:p>
        </w:tc>
        <w:tc>
          <w:tcPr>
            <w:tcW w:w="3870" w:type="dxa"/>
          </w:tcPr>
          <w:p w14:paraId="12A0C2CE" w14:textId="77777777" w:rsidR="008E31F7" w:rsidRPr="009F1FA3" w:rsidRDefault="008E31F7" w:rsidP="008E31F7">
            <w:pPr>
              <w:widowControl w:val="0"/>
              <w:pBdr>
                <w:top w:val="nil"/>
                <w:left w:val="nil"/>
                <w:bottom w:val="nil"/>
                <w:right w:val="nil"/>
                <w:between w:val="nil"/>
              </w:pBdr>
            </w:pPr>
            <w:r w:rsidRPr="009F1FA3">
              <w:rPr>
                <w:rFonts w:eastAsia="Calibri"/>
              </w:rPr>
              <w:t>Impact of TECO’s Proposed Increase in Return on Equity ($000) vs. ROE Trigger</w:t>
            </w:r>
          </w:p>
        </w:tc>
      </w:tr>
      <w:tr w:rsidR="008E31F7" w:rsidRPr="00701945" w14:paraId="5E3C155B" w14:textId="77777777" w:rsidTr="006C174A">
        <w:trPr>
          <w:cantSplit/>
          <w:trHeight w:val="360"/>
        </w:trPr>
        <w:tc>
          <w:tcPr>
            <w:tcW w:w="2970" w:type="dxa"/>
          </w:tcPr>
          <w:p w14:paraId="7FF9D700" w14:textId="77777777" w:rsidR="008E31F7" w:rsidRPr="009F1FA3" w:rsidRDefault="008E31F7" w:rsidP="008E31F7">
            <w:r w:rsidRPr="009F1FA3">
              <w:t>Steve W. Chriss</w:t>
            </w:r>
          </w:p>
        </w:tc>
        <w:tc>
          <w:tcPr>
            <w:tcW w:w="1350" w:type="dxa"/>
          </w:tcPr>
          <w:p w14:paraId="2EBA14E9" w14:textId="77777777" w:rsidR="008E31F7" w:rsidRDefault="008E31F7" w:rsidP="008E31F7">
            <w:pPr>
              <w:jc w:val="center"/>
            </w:pPr>
            <w:r w:rsidRPr="009F1FA3">
              <w:t>FRF</w:t>
            </w:r>
          </w:p>
          <w:p w14:paraId="33C0F680" w14:textId="77777777" w:rsidR="00D03EAF" w:rsidRPr="009F1FA3" w:rsidRDefault="00D03EAF" w:rsidP="008E31F7">
            <w:pPr>
              <w:jc w:val="center"/>
            </w:pPr>
            <w:r>
              <w:t>Walmart</w:t>
            </w:r>
          </w:p>
        </w:tc>
        <w:tc>
          <w:tcPr>
            <w:tcW w:w="1260" w:type="dxa"/>
          </w:tcPr>
          <w:p w14:paraId="0CBD6DC3" w14:textId="77777777" w:rsidR="008E31F7" w:rsidRPr="009F1FA3" w:rsidRDefault="008E31F7" w:rsidP="008E31F7">
            <w:pPr>
              <w:jc w:val="center"/>
            </w:pPr>
            <w:r w:rsidRPr="009F1FA3">
              <w:t>SWC-4</w:t>
            </w:r>
          </w:p>
        </w:tc>
        <w:tc>
          <w:tcPr>
            <w:tcW w:w="3870" w:type="dxa"/>
          </w:tcPr>
          <w:p w14:paraId="5A287C79" w14:textId="77777777" w:rsidR="008E31F7" w:rsidRPr="009F1FA3" w:rsidRDefault="008E31F7" w:rsidP="008E31F7">
            <w:pPr>
              <w:widowControl w:val="0"/>
              <w:pBdr>
                <w:top w:val="nil"/>
                <w:left w:val="nil"/>
                <w:bottom w:val="nil"/>
                <w:right w:val="nil"/>
                <w:between w:val="nil"/>
              </w:pBdr>
            </w:pPr>
            <w:r w:rsidRPr="009F1FA3">
              <w:rPr>
                <w:rFonts w:eastAsia="Calibri"/>
              </w:rPr>
              <w:t>Reported Authorized Returns on Equity, Electric Utility Rate Cases Completed, 2021 to Present</w:t>
            </w:r>
          </w:p>
        </w:tc>
      </w:tr>
      <w:tr w:rsidR="008E31F7" w:rsidRPr="00701945" w14:paraId="48AD6720" w14:textId="77777777" w:rsidTr="006C174A">
        <w:trPr>
          <w:cantSplit/>
          <w:trHeight w:val="360"/>
        </w:trPr>
        <w:tc>
          <w:tcPr>
            <w:tcW w:w="2970" w:type="dxa"/>
          </w:tcPr>
          <w:p w14:paraId="420C3760" w14:textId="77777777" w:rsidR="008E31F7" w:rsidRPr="009F1FA3" w:rsidRDefault="008E31F7" w:rsidP="008E31F7">
            <w:r w:rsidRPr="009F1FA3">
              <w:lastRenderedPageBreak/>
              <w:t>Steve W. Chriss</w:t>
            </w:r>
          </w:p>
        </w:tc>
        <w:tc>
          <w:tcPr>
            <w:tcW w:w="1350" w:type="dxa"/>
          </w:tcPr>
          <w:p w14:paraId="69B52641" w14:textId="77777777" w:rsidR="008E31F7" w:rsidRDefault="008E31F7" w:rsidP="008E31F7">
            <w:pPr>
              <w:jc w:val="center"/>
            </w:pPr>
            <w:r w:rsidRPr="009F1FA3">
              <w:t>FRF</w:t>
            </w:r>
          </w:p>
          <w:p w14:paraId="65897749" w14:textId="77777777" w:rsidR="00D03EAF" w:rsidRPr="009F1FA3" w:rsidRDefault="00D03EAF" w:rsidP="008E31F7">
            <w:pPr>
              <w:jc w:val="center"/>
            </w:pPr>
            <w:r>
              <w:t>Walmart</w:t>
            </w:r>
          </w:p>
        </w:tc>
        <w:tc>
          <w:tcPr>
            <w:tcW w:w="1260" w:type="dxa"/>
          </w:tcPr>
          <w:p w14:paraId="65B20608" w14:textId="77777777" w:rsidR="008E31F7" w:rsidRPr="009F1FA3" w:rsidRDefault="008E31F7" w:rsidP="008E31F7">
            <w:pPr>
              <w:jc w:val="center"/>
            </w:pPr>
            <w:r w:rsidRPr="009F1FA3">
              <w:t>SWC-5</w:t>
            </w:r>
          </w:p>
        </w:tc>
        <w:tc>
          <w:tcPr>
            <w:tcW w:w="3870" w:type="dxa"/>
          </w:tcPr>
          <w:p w14:paraId="799E4AED" w14:textId="77777777" w:rsidR="008E31F7" w:rsidRPr="009F1FA3" w:rsidRDefault="008E31F7" w:rsidP="008E31F7">
            <w:pPr>
              <w:widowControl w:val="0"/>
              <w:pBdr>
                <w:top w:val="nil"/>
                <w:left w:val="nil"/>
                <w:bottom w:val="nil"/>
                <w:right w:val="nil"/>
                <w:between w:val="nil"/>
              </w:pBdr>
            </w:pPr>
            <w:r w:rsidRPr="009F1FA3">
              <w:rPr>
                <w:rFonts w:eastAsia="Calibri"/>
              </w:rPr>
              <w:t>Impact of TECO’s Proposed Increase in Return on Equity ($000) vs. National Average, Vertically Integrated.</w:t>
            </w:r>
          </w:p>
        </w:tc>
      </w:tr>
      <w:tr w:rsidR="00772270" w:rsidRPr="00701945" w14:paraId="3C03A4DF" w14:textId="77777777" w:rsidTr="006C174A">
        <w:trPr>
          <w:cantSplit/>
          <w:trHeight w:val="360"/>
        </w:trPr>
        <w:tc>
          <w:tcPr>
            <w:tcW w:w="2970" w:type="dxa"/>
          </w:tcPr>
          <w:p w14:paraId="3F5A085F" w14:textId="77777777" w:rsidR="00772270" w:rsidRPr="009F1FA3" w:rsidRDefault="00772270" w:rsidP="008E31F7">
            <w:pPr>
              <w:widowControl w:val="0"/>
            </w:pPr>
            <w:r>
              <w:t>Tomer Kopelovich</w:t>
            </w:r>
          </w:p>
        </w:tc>
        <w:tc>
          <w:tcPr>
            <w:tcW w:w="1350" w:type="dxa"/>
          </w:tcPr>
          <w:p w14:paraId="7C0004DE" w14:textId="77777777" w:rsidR="00772270" w:rsidRPr="009F1FA3" w:rsidRDefault="00772270" w:rsidP="008E31F7">
            <w:pPr>
              <w:widowControl w:val="0"/>
              <w:jc w:val="center"/>
            </w:pPr>
            <w:r>
              <w:t>Staff</w:t>
            </w:r>
          </w:p>
        </w:tc>
        <w:tc>
          <w:tcPr>
            <w:tcW w:w="1260" w:type="dxa"/>
          </w:tcPr>
          <w:p w14:paraId="27C7A91E" w14:textId="77777777" w:rsidR="00772270" w:rsidRPr="009F1FA3" w:rsidRDefault="00772270" w:rsidP="008E31F7">
            <w:pPr>
              <w:widowControl w:val="0"/>
              <w:jc w:val="center"/>
            </w:pPr>
            <w:r>
              <w:t>TK-1</w:t>
            </w:r>
          </w:p>
        </w:tc>
        <w:tc>
          <w:tcPr>
            <w:tcW w:w="3870" w:type="dxa"/>
          </w:tcPr>
          <w:p w14:paraId="31AFB01A" w14:textId="77777777" w:rsidR="00772270" w:rsidRPr="00772270" w:rsidRDefault="00772270" w:rsidP="008E31F7">
            <w:pPr>
              <w:widowControl w:val="0"/>
              <w:pBdr>
                <w:top w:val="nil"/>
                <w:left w:val="nil"/>
                <w:bottom w:val="nil"/>
                <w:right w:val="nil"/>
                <w:between w:val="nil"/>
              </w:pBdr>
            </w:pPr>
            <w:r w:rsidRPr="00772270">
              <w:rPr>
                <w:rStyle w:val="PrehearingSection"/>
                <w:u w:val="none"/>
              </w:rPr>
              <w:t>Revised Auditor’s Report</w:t>
            </w:r>
          </w:p>
        </w:tc>
      </w:tr>
      <w:tr w:rsidR="00772270" w:rsidRPr="00701945" w14:paraId="5B2362E9" w14:textId="77777777" w:rsidTr="006C174A">
        <w:trPr>
          <w:cantSplit/>
          <w:trHeight w:val="360"/>
        </w:trPr>
        <w:tc>
          <w:tcPr>
            <w:tcW w:w="2970" w:type="dxa"/>
          </w:tcPr>
          <w:p w14:paraId="72D8C72A" w14:textId="77777777" w:rsidR="00772270" w:rsidRPr="009F1FA3" w:rsidRDefault="00772270" w:rsidP="008E31F7">
            <w:pPr>
              <w:widowControl w:val="0"/>
            </w:pPr>
            <w:r>
              <w:t>Angela L. Calhoun</w:t>
            </w:r>
          </w:p>
        </w:tc>
        <w:tc>
          <w:tcPr>
            <w:tcW w:w="1350" w:type="dxa"/>
          </w:tcPr>
          <w:p w14:paraId="015D9364" w14:textId="77777777" w:rsidR="00772270" w:rsidRPr="009F1FA3" w:rsidRDefault="00772270" w:rsidP="008E31F7">
            <w:pPr>
              <w:widowControl w:val="0"/>
              <w:jc w:val="center"/>
            </w:pPr>
            <w:r>
              <w:t>Staff</w:t>
            </w:r>
          </w:p>
        </w:tc>
        <w:tc>
          <w:tcPr>
            <w:tcW w:w="1260" w:type="dxa"/>
          </w:tcPr>
          <w:p w14:paraId="7DEC23FD" w14:textId="77777777" w:rsidR="00772270" w:rsidRPr="009F1FA3" w:rsidRDefault="00772270" w:rsidP="008E31F7">
            <w:pPr>
              <w:widowControl w:val="0"/>
              <w:jc w:val="center"/>
            </w:pPr>
            <w:r>
              <w:t>ALC-1</w:t>
            </w:r>
          </w:p>
        </w:tc>
        <w:tc>
          <w:tcPr>
            <w:tcW w:w="3870" w:type="dxa"/>
          </w:tcPr>
          <w:p w14:paraId="672D97BF" w14:textId="77777777" w:rsidR="00772270" w:rsidRPr="00772270" w:rsidRDefault="00772270" w:rsidP="008E31F7">
            <w:pPr>
              <w:widowControl w:val="0"/>
              <w:pBdr>
                <w:top w:val="nil"/>
                <w:left w:val="nil"/>
                <w:bottom w:val="nil"/>
                <w:right w:val="nil"/>
                <w:between w:val="nil"/>
              </w:pBdr>
            </w:pPr>
            <w:r w:rsidRPr="00772270">
              <w:rPr>
                <w:rStyle w:val="PrehearingSection"/>
                <w:u w:val="none"/>
              </w:rPr>
              <w:t>List of Service Complaints</w:t>
            </w:r>
          </w:p>
        </w:tc>
      </w:tr>
      <w:tr w:rsidR="005F6A65" w:rsidRPr="00701945" w14:paraId="04E92A42" w14:textId="77777777" w:rsidTr="006C174A">
        <w:trPr>
          <w:cantSplit/>
          <w:trHeight w:val="360"/>
        </w:trPr>
        <w:tc>
          <w:tcPr>
            <w:tcW w:w="2970" w:type="dxa"/>
          </w:tcPr>
          <w:p w14:paraId="77966D64" w14:textId="77777777" w:rsidR="005F6A65" w:rsidRDefault="005F6A65" w:rsidP="005F6A65">
            <w:r w:rsidRPr="00AF3003">
              <w:t>Angela L. Calhoun</w:t>
            </w:r>
          </w:p>
        </w:tc>
        <w:tc>
          <w:tcPr>
            <w:tcW w:w="1350" w:type="dxa"/>
          </w:tcPr>
          <w:p w14:paraId="60EF92FB" w14:textId="77777777" w:rsidR="005F6A65" w:rsidRPr="009F1FA3" w:rsidRDefault="005F6A65" w:rsidP="005F6A65">
            <w:pPr>
              <w:widowControl w:val="0"/>
              <w:jc w:val="center"/>
            </w:pPr>
            <w:r>
              <w:t>Staff</w:t>
            </w:r>
          </w:p>
        </w:tc>
        <w:tc>
          <w:tcPr>
            <w:tcW w:w="1260" w:type="dxa"/>
          </w:tcPr>
          <w:p w14:paraId="61E6988C" w14:textId="77777777" w:rsidR="005F6A65" w:rsidRPr="009F1FA3" w:rsidRDefault="005F6A65" w:rsidP="005F6A65">
            <w:pPr>
              <w:widowControl w:val="0"/>
              <w:jc w:val="center"/>
            </w:pPr>
            <w:r>
              <w:t>ALC-2</w:t>
            </w:r>
          </w:p>
        </w:tc>
        <w:tc>
          <w:tcPr>
            <w:tcW w:w="3870" w:type="dxa"/>
          </w:tcPr>
          <w:p w14:paraId="66772C3E" w14:textId="77777777" w:rsidR="005F6A65" w:rsidRPr="00772270" w:rsidRDefault="005F6A65" w:rsidP="005F6A65">
            <w:pPr>
              <w:widowControl w:val="0"/>
              <w:pBdr>
                <w:top w:val="nil"/>
                <w:left w:val="nil"/>
                <w:bottom w:val="nil"/>
                <w:right w:val="nil"/>
                <w:between w:val="nil"/>
              </w:pBdr>
            </w:pPr>
            <w:r w:rsidRPr="00772270">
              <w:rPr>
                <w:rStyle w:val="PrehearingSection"/>
                <w:u w:val="none"/>
              </w:rPr>
              <w:t>List of Billing Complaints</w:t>
            </w:r>
            <w:r>
              <w:rPr>
                <w:rStyle w:val="PrehearingSection"/>
                <w:u w:val="none"/>
              </w:rPr>
              <w:t xml:space="preserve"> </w:t>
            </w:r>
            <w:r w:rsidRPr="00772270">
              <w:rPr>
                <w:rStyle w:val="PrehearingSection"/>
                <w:u w:val="none"/>
              </w:rPr>
              <w:t>(amended pages)</w:t>
            </w:r>
          </w:p>
        </w:tc>
      </w:tr>
      <w:tr w:rsidR="005F6A65" w:rsidRPr="00701945" w14:paraId="0FEEDF38" w14:textId="77777777" w:rsidTr="006C174A">
        <w:trPr>
          <w:cantSplit/>
          <w:trHeight w:val="360"/>
        </w:trPr>
        <w:tc>
          <w:tcPr>
            <w:tcW w:w="2970" w:type="dxa"/>
          </w:tcPr>
          <w:p w14:paraId="0006D064" w14:textId="77777777" w:rsidR="005F6A65" w:rsidRDefault="005F6A65" w:rsidP="005F6A65">
            <w:r w:rsidRPr="00AF3003">
              <w:t>Angela L. Calhoun</w:t>
            </w:r>
          </w:p>
        </w:tc>
        <w:tc>
          <w:tcPr>
            <w:tcW w:w="1350" w:type="dxa"/>
          </w:tcPr>
          <w:p w14:paraId="20753877" w14:textId="77777777" w:rsidR="005F6A65" w:rsidRPr="009F1FA3" w:rsidRDefault="005F6A65" w:rsidP="005F6A65">
            <w:pPr>
              <w:widowControl w:val="0"/>
              <w:jc w:val="center"/>
            </w:pPr>
            <w:r>
              <w:t>Staff</w:t>
            </w:r>
          </w:p>
        </w:tc>
        <w:tc>
          <w:tcPr>
            <w:tcW w:w="1260" w:type="dxa"/>
          </w:tcPr>
          <w:p w14:paraId="4C03E02F" w14:textId="77777777" w:rsidR="005F6A65" w:rsidRPr="009F1FA3" w:rsidRDefault="005F6A65" w:rsidP="005F6A65">
            <w:pPr>
              <w:widowControl w:val="0"/>
              <w:jc w:val="center"/>
            </w:pPr>
            <w:r>
              <w:t>ALC-3</w:t>
            </w:r>
          </w:p>
        </w:tc>
        <w:tc>
          <w:tcPr>
            <w:tcW w:w="3870" w:type="dxa"/>
          </w:tcPr>
          <w:p w14:paraId="4BBC3FF8" w14:textId="77777777" w:rsidR="005F6A65" w:rsidRPr="00772270" w:rsidRDefault="005F6A65" w:rsidP="005F6A65">
            <w:pPr>
              <w:widowControl w:val="0"/>
              <w:pBdr>
                <w:top w:val="nil"/>
                <w:left w:val="nil"/>
                <w:bottom w:val="nil"/>
                <w:right w:val="nil"/>
                <w:between w:val="nil"/>
              </w:pBdr>
            </w:pPr>
            <w:r w:rsidRPr="00772270">
              <w:rPr>
                <w:rStyle w:val="PrehearingSection"/>
                <w:u w:val="none"/>
              </w:rPr>
              <w:t>List of Warm Transfers</w:t>
            </w:r>
          </w:p>
        </w:tc>
      </w:tr>
      <w:tr w:rsidR="008E31F7" w:rsidRPr="00701945" w14:paraId="136C58E8" w14:textId="77777777" w:rsidTr="006C174A">
        <w:trPr>
          <w:cantSplit/>
          <w:trHeight w:val="360"/>
        </w:trPr>
        <w:tc>
          <w:tcPr>
            <w:tcW w:w="2970" w:type="dxa"/>
          </w:tcPr>
          <w:p w14:paraId="59F61DD1" w14:textId="77777777" w:rsidR="008E31F7" w:rsidRPr="009F1FA3" w:rsidRDefault="008E31F7" w:rsidP="008E31F7">
            <w:r w:rsidRPr="009F1FA3">
              <w:tab/>
            </w:r>
            <w:r w:rsidRPr="009F1FA3">
              <w:rPr>
                <w:u w:val="single"/>
              </w:rPr>
              <w:t>Rebuttal</w:t>
            </w:r>
          </w:p>
        </w:tc>
        <w:tc>
          <w:tcPr>
            <w:tcW w:w="1350" w:type="dxa"/>
          </w:tcPr>
          <w:p w14:paraId="51E2B6C9" w14:textId="77777777" w:rsidR="008E31F7" w:rsidRPr="009F1FA3" w:rsidRDefault="008E31F7" w:rsidP="008E31F7">
            <w:pPr>
              <w:jc w:val="center"/>
            </w:pPr>
          </w:p>
        </w:tc>
        <w:tc>
          <w:tcPr>
            <w:tcW w:w="1260" w:type="dxa"/>
          </w:tcPr>
          <w:p w14:paraId="018B3163" w14:textId="77777777" w:rsidR="008E31F7" w:rsidRPr="009F1FA3" w:rsidRDefault="008E31F7" w:rsidP="008E31F7">
            <w:pPr>
              <w:jc w:val="center"/>
            </w:pPr>
          </w:p>
        </w:tc>
        <w:tc>
          <w:tcPr>
            <w:tcW w:w="3870" w:type="dxa"/>
          </w:tcPr>
          <w:p w14:paraId="53F259D0" w14:textId="77777777" w:rsidR="008E31F7" w:rsidRPr="009F1FA3" w:rsidRDefault="008E31F7" w:rsidP="008E31F7"/>
        </w:tc>
      </w:tr>
      <w:tr w:rsidR="008E31F7" w:rsidRPr="00701945" w14:paraId="3C23EFCB" w14:textId="77777777" w:rsidTr="006C174A">
        <w:trPr>
          <w:cantSplit/>
          <w:trHeight w:val="360"/>
        </w:trPr>
        <w:tc>
          <w:tcPr>
            <w:tcW w:w="2970" w:type="dxa"/>
            <w:tcBorders>
              <w:top w:val="single" w:sz="4" w:space="0" w:color="auto"/>
              <w:left w:val="single" w:sz="4" w:space="0" w:color="auto"/>
              <w:bottom w:val="single" w:sz="4" w:space="0" w:color="auto"/>
              <w:right w:val="single" w:sz="4" w:space="0" w:color="auto"/>
            </w:tcBorders>
          </w:tcPr>
          <w:p w14:paraId="3E9B8124" w14:textId="77777777" w:rsidR="008E31F7" w:rsidRPr="009F1FA3" w:rsidRDefault="008E31F7" w:rsidP="008E31F7">
            <w:r w:rsidRPr="009F1FA3">
              <w:t>Carlos Aldazabal</w:t>
            </w:r>
          </w:p>
        </w:tc>
        <w:tc>
          <w:tcPr>
            <w:tcW w:w="1350" w:type="dxa"/>
            <w:tcBorders>
              <w:top w:val="single" w:sz="4" w:space="0" w:color="auto"/>
              <w:left w:val="single" w:sz="4" w:space="0" w:color="auto"/>
              <w:bottom w:val="single" w:sz="4" w:space="0" w:color="auto"/>
              <w:right w:val="single" w:sz="4" w:space="0" w:color="auto"/>
            </w:tcBorders>
          </w:tcPr>
          <w:p w14:paraId="6EB61924" w14:textId="77777777" w:rsidR="008E31F7" w:rsidRPr="009F1FA3" w:rsidRDefault="008E31F7" w:rsidP="008E31F7">
            <w:pPr>
              <w:jc w:val="center"/>
            </w:pPr>
            <w:r w:rsidRPr="009F1FA3">
              <w:t>TECO</w:t>
            </w:r>
          </w:p>
        </w:tc>
        <w:tc>
          <w:tcPr>
            <w:tcW w:w="1260" w:type="dxa"/>
            <w:tcBorders>
              <w:top w:val="single" w:sz="4" w:space="0" w:color="auto"/>
              <w:left w:val="single" w:sz="4" w:space="0" w:color="auto"/>
              <w:bottom w:val="single" w:sz="4" w:space="0" w:color="auto"/>
              <w:right w:val="single" w:sz="4" w:space="0" w:color="auto"/>
            </w:tcBorders>
          </w:tcPr>
          <w:p w14:paraId="5AEF7CD4" w14:textId="77777777" w:rsidR="008E31F7" w:rsidRPr="009F1FA3" w:rsidRDefault="008E31F7" w:rsidP="008E31F7">
            <w:pPr>
              <w:jc w:val="center"/>
            </w:pPr>
            <w:r w:rsidRPr="009F1FA3">
              <w:t>CA-2</w:t>
            </w:r>
          </w:p>
        </w:tc>
        <w:tc>
          <w:tcPr>
            <w:tcW w:w="3870" w:type="dxa"/>
            <w:tcBorders>
              <w:top w:val="single" w:sz="4" w:space="0" w:color="auto"/>
              <w:left w:val="single" w:sz="4" w:space="0" w:color="auto"/>
              <w:bottom w:val="single" w:sz="4" w:space="0" w:color="auto"/>
              <w:right w:val="single" w:sz="4" w:space="0" w:color="auto"/>
            </w:tcBorders>
          </w:tcPr>
          <w:p w14:paraId="3094A982" w14:textId="77777777" w:rsidR="008E31F7" w:rsidRPr="009F1FA3" w:rsidRDefault="008E31F7" w:rsidP="008E31F7">
            <w:r w:rsidRPr="009F1FA3">
              <w:t>1. Tampa Electric’s Answer to OPC’s First Set of Interrogatories, No. 37</w:t>
            </w:r>
          </w:p>
          <w:p w14:paraId="5237A78F" w14:textId="77777777" w:rsidR="008E31F7" w:rsidRPr="009F1FA3" w:rsidRDefault="008E31F7" w:rsidP="008E31F7">
            <w:r w:rsidRPr="009F1FA3">
              <w:t>2. 2022 Fuel Savings Associated with Using Coal</w:t>
            </w:r>
          </w:p>
        </w:tc>
      </w:tr>
      <w:tr w:rsidR="008E31F7" w:rsidRPr="00701945" w14:paraId="70419DC1" w14:textId="77777777" w:rsidTr="006C174A">
        <w:trPr>
          <w:cantSplit/>
          <w:trHeight w:val="360"/>
        </w:trPr>
        <w:tc>
          <w:tcPr>
            <w:tcW w:w="2970" w:type="dxa"/>
            <w:tcBorders>
              <w:top w:val="single" w:sz="4" w:space="0" w:color="auto"/>
              <w:left w:val="single" w:sz="4" w:space="0" w:color="auto"/>
              <w:bottom w:val="single" w:sz="4" w:space="0" w:color="auto"/>
              <w:right w:val="single" w:sz="4" w:space="0" w:color="auto"/>
            </w:tcBorders>
          </w:tcPr>
          <w:p w14:paraId="49B3063A" w14:textId="77777777" w:rsidR="008E31F7" w:rsidRPr="009F1FA3" w:rsidRDefault="008E31F7" w:rsidP="008E31F7">
            <w:r w:rsidRPr="009F1FA3">
              <w:t>Kris Stryker</w:t>
            </w:r>
          </w:p>
        </w:tc>
        <w:tc>
          <w:tcPr>
            <w:tcW w:w="1350" w:type="dxa"/>
            <w:tcBorders>
              <w:top w:val="single" w:sz="4" w:space="0" w:color="auto"/>
              <w:left w:val="single" w:sz="4" w:space="0" w:color="auto"/>
              <w:bottom w:val="single" w:sz="4" w:space="0" w:color="auto"/>
              <w:right w:val="single" w:sz="4" w:space="0" w:color="auto"/>
            </w:tcBorders>
          </w:tcPr>
          <w:p w14:paraId="7402C3D9" w14:textId="77777777" w:rsidR="008E31F7" w:rsidRPr="009F1FA3" w:rsidRDefault="008E31F7" w:rsidP="008E31F7">
            <w:pPr>
              <w:jc w:val="center"/>
            </w:pPr>
            <w:r w:rsidRPr="009F1FA3">
              <w:t>TECO</w:t>
            </w:r>
          </w:p>
        </w:tc>
        <w:tc>
          <w:tcPr>
            <w:tcW w:w="1260" w:type="dxa"/>
            <w:tcBorders>
              <w:top w:val="single" w:sz="4" w:space="0" w:color="auto"/>
              <w:left w:val="single" w:sz="4" w:space="0" w:color="auto"/>
              <w:bottom w:val="single" w:sz="4" w:space="0" w:color="auto"/>
              <w:right w:val="single" w:sz="4" w:space="0" w:color="auto"/>
            </w:tcBorders>
          </w:tcPr>
          <w:p w14:paraId="29204170" w14:textId="77777777" w:rsidR="008E31F7" w:rsidRPr="009F1FA3" w:rsidRDefault="008E31F7" w:rsidP="008E31F7">
            <w:pPr>
              <w:jc w:val="center"/>
            </w:pPr>
            <w:r w:rsidRPr="009F1FA3">
              <w:t>KS-2</w:t>
            </w:r>
          </w:p>
        </w:tc>
        <w:tc>
          <w:tcPr>
            <w:tcW w:w="3870" w:type="dxa"/>
            <w:tcBorders>
              <w:top w:val="single" w:sz="4" w:space="0" w:color="auto"/>
              <w:left w:val="single" w:sz="4" w:space="0" w:color="auto"/>
              <w:bottom w:val="single" w:sz="4" w:space="0" w:color="auto"/>
              <w:right w:val="single" w:sz="4" w:space="0" w:color="auto"/>
            </w:tcBorders>
          </w:tcPr>
          <w:p w14:paraId="557B24DA" w14:textId="77777777" w:rsidR="008E31F7" w:rsidRPr="009F1FA3" w:rsidRDefault="008E31F7" w:rsidP="008E31F7">
            <w:r w:rsidRPr="009F1FA3">
              <w:t>1. NREL: Best Practices Handbook for the Collection and Use of Solar Resource Data for Solar Energy Applications: Second Edition</w:t>
            </w:r>
          </w:p>
        </w:tc>
      </w:tr>
      <w:tr w:rsidR="008E31F7" w:rsidRPr="00701945" w14:paraId="044D5336" w14:textId="77777777" w:rsidTr="006C174A">
        <w:trPr>
          <w:cantSplit/>
          <w:trHeight w:val="360"/>
        </w:trPr>
        <w:tc>
          <w:tcPr>
            <w:tcW w:w="2970" w:type="dxa"/>
            <w:tcBorders>
              <w:top w:val="single" w:sz="4" w:space="0" w:color="auto"/>
              <w:left w:val="single" w:sz="4" w:space="0" w:color="auto"/>
              <w:bottom w:val="single" w:sz="4" w:space="0" w:color="auto"/>
              <w:right w:val="single" w:sz="4" w:space="0" w:color="auto"/>
            </w:tcBorders>
          </w:tcPr>
          <w:p w14:paraId="204DD7CC" w14:textId="77777777" w:rsidR="008E31F7" w:rsidRPr="009F1FA3" w:rsidRDefault="008E31F7" w:rsidP="008E31F7">
            <w:r w:rsidRPr="009F1FA3">
              <w:t>Jose Aponte</w:t>
            </w:r>
          </w:p>
        </w:tc>
        <w:tc>
          <w:tcPr>
            <w:tcW w:w="1350" w:type="dxa"/>
            <w:tcBorders>
              <w:top w:val="single" w:sz="4" w:space="0" w:color="auto"/>
              <w:left w:val="single" w:sz="4" w:space="0" w:color="auto"/>
              <w:bottom w:val="single" w:sz="4" w:space="0" w:color="auto"/>
              <w:right w:val="single" w:sz="4" w:space="0" w:color="auto"/>
            </w:tcBorders>
          </w:tcPr>
          <w:p w14:paraId="655C6920" w14:textId="77777777" w:rsidR="008E31F7" w:rsidRPr="009F1FA3" w:rsidRDefault="008E31F7" w:rsidP="008E31F7">
            <w:pPr>
              <w:jc w:val="center"/>
            </w:pPr>
            <w:r w:rsidRPr="009F1FA3">
              <w:t>TECO</w:t>
            </w:r>
          </w:p>
        </w:tc>
        <w:tc>
          <w:tcPr>
            <w:tcW w:w="1260" w:type="dxa"/>
            <w:tcBorders>
              <w:top w:val="single" w:sz="4" w:space="0" w:color="auto"/>
              <w:left w:val="single" w:sz="4" w:space="0" w:color="auto"/>
              <w:bottom w:val="single" w:sz="4" w:space="0" w:color="auto"/>
              <w:right w:val="single" w:sz="4" w:space="0" w:color="auto"/>
            </w:tcBorders>
          </w:tcPr>
          <w:p w14:paraId="2539DD6C" w14:textId="77777777" w:rsidR="008E31F7" w:rsidRPr="009F1FA3" w:rsidRDefault="008E31F7" w:rsidP="008E31F7">
            <w:pPr>
              <w:jc w:val="center"/>
            </w:pPr>
            <w:r w:rsidRPr="009F1FA3">
              <w:t>JA-2</w:t>
            </w:r>
          </w:p>
        </w:tc>
        <w:tc>
          <w:tcPr>
            <w:tcW w:w="3870" w:type="dxa"/>
            <w:tcBorders>
              <w:top w:val="single" w:sz="4" w:space="0" w:color="auto"/>
              <w:left w:val="single" w:sz="4" w:space="0" w:color="auto"/>
              <w:bottom w:val="single" w:sz="4" w:space="0" w:color="auto"/>
              <w:right w:val="single" w:sz="4" w:space="0" w:color="auto"/>
            </w:tcBorders>
          </w:tcPr>
          <w:p w14:paraId="37F0482F" w14:textId="77777777" w:rsidR="008E31F7" w:rsidRPr="009F1FA3" w:rsidRDefault="008E31F7" w:rsidP="008E31F7">
            <w:pPr>
              <w:pStyle w:val="ListParagraph"/>
              <w:suppressAutoHyphens/>
              <w:ind w:left="0"/>
              <w:jc w:val="left"/>
              <w:rPr>
                <w:szCs w:val="24"/>
              </w:rPr>
            </w:pPr>
            <w:r w:rsidRPr="009F1FA3">
              <w:rPr>
                <w:szCs w:val="24"/>
              </w:rPr>
              <w:t>1. Low Fuel Forecast Solar Cost-Effectiveness Test</w:t>
            </w:r>
          </w:p>
          <w:p w14:paraId="180E05A6" w14:textId="77777777" w:rsidR="008E31F7" w:rsidRPr="009F1FA3" w:rsidRDefault="008E31F7" w:rsidP="008E31F7">
            <w:pPr>
              <w:pStyle w:val="ListParagraph"/>
              <w:suppressAutoHyphens/>
              <w:ind w:left="0"/>
              <w:jc w:val="left"/>
              <w:rPr>
                <w:szCs w:val="24"/>
              </w:rPr>
            </w:pPr>
            <w:r w:rsidRPr="009F1FA3">
              <w:rPr>
                <w:szCs w:val="24"/>
              </w:rPr>
              <w:t>2. High Fuel Forecast Solar Cost-Effectiveness Test</w:t>
            </w:r>
          </w:p>
          <w:p w14:paraId="6CFB6B39" w14:textId="77777777" w:rsidR="008E31F7" w:rsidRPr="009F1FA3" w:rsidRDefault="008E31F7" w:rsidP="008E31F7">
            <w:pPr>
              <w:pStyle w:val="ListParagraph"/>
              <w:suppressAutoHyphens/>
              <w:ind w:left="0"/>
              <w:jc w:val="left"/>
              <w:rPr>
                <w:szCs w:val="24"/>
              </w:rPr>
            </w:pPr>
            <w:r w:rsidRPr="009F1FA3">
              <w:rPr>
                <w:szCs w:val="24"/>
              </w:rPr>
              <w:t xml:space="preserve">3. Solar Cost-Effectiveness Test Capacity Factor Sensitivity </w:t>
            </w:r>
          </w:p>
        </w:tc>
      </w:tr>
      <w:tr w:rsidR="008E31F7" w:rsidRPr="00701945" w14:paraId="05EDF8B1" w14:textId="77777777" w:rsidTr="006C174A">
        <w:trPr>
          <w:cantSplit/>
          <w:trHeight w:val="360"/>
        </w:trPr>
        <w:tc>
          <w:tcPr>
            <w:tcW w:w="2970" w:type="dxa"/>
            <w:tcBorders>
              <w:top w:val="single" w:sz="4" w:space="0" w:color="auto"/>
              <w:left w:val="single" w:sz="4" w:space="0" w:color="auto"/>
              <w:bottom w:val="single" w:sz="4" w:space="0" w:color="auto"/>
              <w:right w:val="single" w:sz="4" w:space="0" w:color="auto"/>
            </w:tcBorders>
          </w:tcPr>
          <w:p w14:paraId="257DE881" w14:textId="77777777" w:rsidR="008E31F7" w:rsidRPr="009F1FA3" w:rsidRDefault="008E31F7" w:rsidP="008E31F7">
            <w:r w:rsidRPr="009F1FA3">
              <w:t>Chip Whitworth</w:t>
            </w:r>
          </w:p>
        </w:tc>
        <w:tc>
          <w:tcPr>
            <w:tcW w:w="1350" w:type="dxa"/>
            <w:tcBorders>
              <w:top w:val="single" w:sz="4" w:space="0" w:color="auto"/>
              <w:left w:val="single" w:sz="4" w:space="0" w:color="auto"/>
              <w:bottom w:val="single" w:sz="4" w:space="0" w:color="auto"/>
              <w:right w:val="single" w:sz="4" w:space="0" w:color="auto"/>
            </w:tcBorders>
          </w:tcPr>
          <w:p w14:paraId="6A4D64F1" w14:textId="77777777" w:rsidR="008E31F7" w:rsidRPr="009F1FA3" w:rsidRDefault="008E31F7" w:rsidP="008E31F7">
            <w:pPr>
              <w:jc w:val="center"/>
            </w:pPr>
            <w:r w:rsidRPr="009F1FA3">
              <w:t>TECO</w:t>
            </w:r>
          </w:p>
        </w:tc>
        <w:tc>
          <w:tcPr>
            <w:tcW w:w="1260" w:type="dxa"/>
            <w:tcBorders>
              <w:top w:val="single" w:sz="4" w:space="0" w:color="auto"/>
              <w:left w:val="single" w:sz="4" w:space="0" w:color="auto"/>
              <w:bottom w:val="single" w:sz="4" w:space="0" w:color="auto"/>
              <w:right w:val="single" w:sz="4" w:space="0" w:color="auto"/>
            </w:tcBorders>
          </w:tcPr>
          <w:p w14:paraId="362667B7" w14:textId="77777777" w:rsidR="008E31F7" w:rsidRPr="009F1FA3" w:rsidRDefault="008E31F7" w:rsidP="008E31F7">
            <w:pPr>
              <w:jc w:val="center"/>
            </w:pPr>
            <w:r w:rsidRPr="009F1FA3">
              <w:t>CW-2</w:t>
            </w:r>
          </w:p>
        </w:tc>
        <w:tc>
          <w:tcPr>
            <w:tcW w:w="3870" w:type="dxa"/>
            <w:tcBorders>
              <w:top w:val="single" w:sz="4" w:space="0" w:color="auto"/>
              <w:left w:val="single" w:sz="4" w:space="0" w:color="auto"/>
              <w:bottom w:val="single" w:sz="4" w:space="0" w:color="auto"/>
              <w:right w:val="single" w:sz="4" w:space="0" w:color="auto"/>
            </w:tcBorders>
          </w:tcPr>
          <w:p w14:paraId="7A659C1D" w14:textId="77777777" w:rsidR="008E31F7" w:rsidRPr="009F1FA3" w:rsidRDefault="008E31F7" w:rsidP="008E31F7">
            <w:pPr>
              <w:pStyle w:val="ListParagraph"/>
              <w:suppressAutoHyphens/>
              <w:ind w:left="0"/>
              <w:jc w:val="left"/>
              <w:rPr>
                <w:szCs w:val="24"/>
              </w:rPr>
            </w:pPr>
            <w:r>
              <w:rPr>
                <w:szCs w:val="24"/>
              </w:rPr>
              <w:t xml:space="preserve">1. </w:t>
            </w:r>
            <w:r w:rsidRPr="009F1FA3">
              <w:rPr>
                <w:szCs w:val="24"/>
              </w:rPr>
              <w:t>Historical Transformer Failures</w:t>
            </w:r>
          </w:p>
          <w:p w14:paraId="2722ED10" w14:textId="77777777" w:rsidR="008E31F7" w:rsidRPr="009F1FA3" w:rsidRDefault="008E31F7" w:rsidP="008E31F7">
            <w:pPr>
              <w:pStyle w:val="ListParagraph"/>
              <w:suppressAutoHyphens/>
              <w:ind w:left="0"/>
              <w:jc w:val="left"/>
              <w:rPr>
                <w:szCs w:val="24"/>
              </w:rPr>
            </w:pPr>
            <w:r>
              <w:rPr>
                <w:szCs w:val="24"/>
              </w:rPr>
              <w:t xml:space="preserve">2. </w:t>
            </w:r>
            <w:r w:rsidRPr="009F1FA3">
              <w:rPr>
                <w:szCs w:val="24"/>
              </w:rPr>
              <w:t>Historical Transformer Purchases</w:t>
            </w:r>
          </w:p>
          <w:p w14:paraId="01ED4147" w14:textId="77777777" w:rsidR="008E31F7" w:rsidRPr="009F1FA3" w:rsidRDefault="008E31F7" w:rsidP="008E31F7">
            <w:pPr>
              <w:pStyle w:val="ListParagraph"/>
              <w:suppressAutoHyphens/>
              <w:ind w:left="0"/>
              <w:jc w:val="left"/>
              <w:rPr>
                <w:szCs w:val="24"/>
              </w:rPr>
            </w:pPr>
            <w:r>
              <w:rPr>
                <w:szCs w:val="24"/>
              </w:rPr>
              <w:t xml:space="preserve">3. </w:t>
            </w:r>
            <w:r w:rsidRPr="009F1FA3">
              <w:rPr>
                <w:szCs w:val="24"/>
              </w:rPr>
              <w:t>Order No. PSC-2020-0224-AS-EI</w:t>
            </w:r>
          </w:p>
        </w:tc>
      </w:tr>
      <w:tr w:rsidR="008E31F7" w:rsidRPr="00701945" w14:paraId="5292EF42" w14:textId="77777777" w:rsidTr="006C174A">
        <w:trPr>
          <w:cantSplit/>
          <w:trHeight w:val="360"/>
        </w:trPr>
        <w:tc>
          <w:tcPr>
            <w:tcW w:w="2970" w:type="dxa"/>
            <w:tcBorders>
              <w:top w:val="single" w:sz="4" w:space="0" w:color="auto"/>
              <w:left w:val="single" w:sz="4" w:space="0" w:color="auto"/>
              <w:bottom w:val="single" w:sz="4" w:space="0" w:color="auto"/>
              <w:right w:val="single" w:sz="4" w:space="0" w:color="auto"/>
            </w:tcBorders>
          </w:tcPr>
          <w:p w14:paraId="156A651D" w14:textId="77777777" w:rsidR="008E31F7" w:rsidRPr="009F1FA3" w:rsidRDefault="008E31F7" w:rsidP="008E31F7">
            <w:r w:rsidRPr="009F1FA3">
              <w:lastRenderedPageBreak/>
              <w:t>Lori Cifuentes</w:t>
            </w:r>
          </w:p>
        </w:tc>
        <w:tc>
          <w:tcPr>
            <w:tcW w:w="1350" w:type="dxa"/>
            <w:tcBorders>
              <w:top w:val="single" w:sz="4" w:space="0" w:color="auto"/>
              <w:left w:val="single" w:sz="4" w:space="0" w:color="auto"/>
              <w:bottom w:val="single" w:sz="4" w:space="0" w:color="auto"/>
              <w:right w:val="single" w:sz="4" w:space="0" w:color="auto"/>
            </w:tcBorders>
          </w:tcPr>
          <w:p w14:paraId="2DB5C698" w14:textId="77777777" w:rsidR="008E31F7" w:rsidRPr="009F1FA3" w:rsidRDefault="008E31F7" w:rsidP="008E31F7">
            <w:pPr>
              <w:jc w:val="center"/>
            </w:pPr>
            <w:r w:rsidRPr="009F1FA3">
              <w:t>TECO</w:t>
            </w:r>
          </w:p>
        </w:tc>
        <w:tc>
          <w:tcPr>
            <w:tcW w:w="1260" w:type="dxa"/>
            <w:tcBorders>
              <w:top w:val="single" w:sz="4" w:space="0" w:color="auto"/>
              <w:left w:val="single" w:sz="4" w:space="0" w:color="auto"/>
              <w:bottom w:val="single" w:sz="4" w:space="0" w:color="auto"/>
              <w:right w:val="single" w:sz="4" w:space="0" w:color="auto"/>
            </w:tcBorders>
          </w:tcPr>
          <w:p w14:paraId="3190813C" w14:textId="77777777" w:rsidR="008E31F7" w:rsidRPr="009F1FA3" w:rsidRDefault="008E31F7" w:rsidP="008E31F7">
            <w:pPr>
              <w:jc w:val="center"/>
            </w:pPr>
            <w:r w:rsidRPr="009F1FA3">
              <w:t>LC-2</w:t>
            </w:r>
          </w:p>
        </w:tc>
        <w:tc>
          <w:tcPr>
            <w:tcW w:w="3870" w:type="dxa"/>
            <w:tcBorders>
              <w:top w:val="single" w:sz="4" w:space="0" w:color="auto"/>
              <w:left w:val="single" w:sz="4" w:space="0" w:color="auto"/>
              <w:bottom w:val="single" w:sz="4" w:space="0" w:color="auto"/>
              <w:right w:val="single" w:sz="4" w:space="0" w:color="auto"/>
            </w:tcBorders>
          </w:tcPr>
          <w:p w14:paraId="0FBAABFC" w14:textId="77777777" w:rsidR="008E31F7" w:rsidRPr="009F1FA3" w:rsidRDefault="008E31F7" w:rsidP="008E31F7">
            <w:pPr>
              <w:pStyle w:val="ListParagraph"/>
              <w:suppressAutoHyphens/>
              <w:ind w:left="0"/>
              <w:jc w:val="left"/>
              <w:rPr>
                <w:szCs w:val="24"/>
              </w:rPr>
            </w:pPr>
            <w:r>
              <w:rPr>
                <w:szCs w:val="24"/>
              </w:rPr>
              <w:t xml:space="preserve">1. </w:t>
            </w:r>
            <w:r w:rsidRPr="009F1FA3">
              <w:rPr>
                <w:szCs w:val="24"/>
              </w:rPr>
              <w:t>Detailed Calculations of Energy Efficiency Out-of-Model Adjustments</w:t>
            </w:r>
          </w:p>
          <w:p w14:paraId="0764A1D4" w14:textId="77777777" w:rsidR="008E31F7" w:rsidRPr="009F1FA3" w:rsidRDefault="008E31F7" w:rsidP="008E31F7">
            <w:pPr>
              <w:pStyle w:val="ListParagraph"/>
              <w:suppressAutoHyphens/>
              <w:ind w:left="0"/>
              <w:jc w:val="left"/>
              <w:rPr>
                <w:szCs w:val="24"/>
              </w:rPr>
            </w:pPr>
            <w:r>
              <w:rPr>
                <w:szCs w:val="24"/>
              </w:rPr>
              <w:t xml:space="preserve">2. </w:t>
            </w:r>
            <w:r w:rsidRPr="009F1FA3">
              <w:rPr>
                <w:szCs w:val="24"/>
              </w:rPr>
              <w:t>Detailed Calculations of Electric Vehicle Charging Out-of-Model Adjustments</w:t>
            </w:r>
          </w:p>
          <w:p w14:paraId="3AA0F17C" w14:textId="77777777" w:rsidR="008E31F7" w:rsidRPr="009F1FA3" w:rsidRDefault="008E31F7" w:rsidP="008E31F7">
            <w:pPr>
              <w:pStyle w:val="ListParagraph"/>
              <w:suppressAutoHyphens/>
              <w:ind w:left="0"/>
              <w:jc w:val="left"/>
              <w:rPr>
                <w:szCs w:val="24"/>
              </w:rPr>
            </w:pPr>
            <w:r>
              <w:rPr>
                <w:szCs w:val="24"/>
              </w:rPr>
              <w:t xml:space="preserve">3. </w:t>
            </w:r>
            <w:r w:rsidRPr="009F1FA3">
              <w:rPr>
                <w:szCs w:val="24"/>
              </w:rPr>
              <w:t>Detailed Calculations of Private Rooftop Solar Out-of-Model Adjustments</w:t>
            </w:r>
          </w:p>
          <w:p w14:paraId="4B5CEB5D" w14:textId="77777777" w:rsidR="008E31F7" w:rsidRPr="009F1FA3" w:rsidRDefault="008E31F7" w:rsidP="008E31F7">
            <w:pPr>
              <w:pStyle w:val="ListParagraph"/>
              <w:suppressAutoHyphens/>
              <w:ind w:left="0"/>
              <w:jc w:val="left"/>
              <w:rPr>
                <w:szCs w:val="24"/>
              </w:rPr>
            </w:pPr>
            <w:r>
              <w:rPr>
                <w:szCs w:val="24"/>
              </w:rPr>
              <w:t xml:space="preserve">4. </w:t>
            </w:r>
            <w:r w:rsidRPr="009F1FA3">
              <w:rPr>
                <w:szCs w:val="24"/>
              </w:rPr>
              <w:t>Florida Utilities 2010-2027 Residential Usage Per-Customer Growth Trends</w:t>
            </w:r>
          </w:p>
          <w:p w14:paraId="46BE31B1" w14:textId="77777777" w:rsidR="008E31F7" w:rsidRPr="009F1FA3" w:rsidRDefault="008E31F7" w:rsidP="008E31F7">
            <w:pPr>
              <w:pStyle w:val="ListParagraph"/>
              <w:suppressAutoHyphens/>
              <w:ind w:left="0"/>
              <w:jc w:val="left"/>
              <w:rPr>
                <w:szCs w:val="24"/>
              </w:rPr>
            </w:pPr>
            <w:r>
              <w:rPr>
                <w:szCs w:val="24"/>
              </w:rPr>
              <w:t xml:space="preserve">5. </w:t>
            </w:r>
            <w:r w:rsidRPr="009F1FA3">
              <w:rPr>
                <w:szCs w:val="24"/>
              </w:rPr>
              <w:t>Florida Utilities – Usage Per-Customer Utility Survey</w:t>
            </w:r>
          </w:p>
          <w:p w14:paraId="09852427" w14:textId="77777777" w:rsidR="008E31F7" w:rsidRPr="009F1FA3" w:rsidRDefault="008E31F7" w:rsidP="008E31F7">
            <w:pPr>
              <w:pStyle w:val="ListParagraph"/>
              <w:suppressAutoHyphens/>
              <w:ind w:left="0"/>
              <w:jc w:val="left"/>
              <w:rPr>
                <w:szCs w:val="24"/>
              </w:rPr>
            </w:pPr>
            <w:r>
              <w:rPr>
                <w:szCs w:val="24"/>
              </w:rPr>
              <w:t xml:space="preserve">6. </w:t>
            </w:r>
            <w:r w:rsidRPr="009F1FA3">
              <w:rPr>
                <w:szCs w:val="24"/>
              </w:rPr>
              <w:t>Historical Forecast Accuracy</w:t>
            </w:r>
          </w:p>
          <w:p w14:paraId="53C89F45" w14:textId="77777777" w:rsidR="008E31F7" w:rsidRPr="009F1FA3" w:rsidRDefault="008E31F7" w:rsidP="008E31F7">
            <w:pPr>
              <w:pStyle w:val="ListParagraph"/>
              <w:suppressAutoHyphens/>
              <w:ind w:left="0"/>
              <w:jc w:val="left"/>
              <w:rPr>
                <w:szCs w:val="24"/>
              </w:rPr>
            </w:pPr>
            <w:r>
              <w:rPr>
                <w:szCs w:val="24"/>
              </w:rPr>
              <w:t xml:space="preserve">7. </w:t>
            </w:r>
            <w:r w:rsidRPr="009F1FA3">
              <w:rPr>
                <w:szCs w:val="24"/>
              </w:rPr>
              <w:t>Total Retail Energy Sale (June 2023 - May 2024)</w:t>
            </w:r>
          </w:p>
        </w:tc>
      </w:tr>
      <w:tr w:rsidR="008E31F7" w:rsidRPr="00701945" w14:paraId="6E0F869C" w14:textId="77777777" w:rsidTr="006C174A">
        <w:trPr>
          <w:cantSplit/>
          <w:trHeight w:val="360"/>
        </w:trPr>
        <w:tc>
          <w:tcPr>
            <w:tcW w:w="2970" w:type="dxa"/>
          </w:tcPr>
          <w:p w14:paraId="69F1A4F8" w14:textId="77777777" w:rsidR="008E31F7" w:rsidRPr="009F1FA3" w:rsidRDefault="008E31F7" w:rsidP="008E31F7">
            <w:r w:rsidRPr="009F1FA3">
              <w:t>Ned Allis</w:t>
            </w:r>
          </w:p>
        </w:tc>
        <w:tc>
          <w:tcPr>
            <w:tcW w:w="1350" w:type="dxa"/>
          </w:tcPr>
          <w:p w14:paraId="7652B0CE" w14:textId="77777777" w:rsidR="008E31F7" w:rsidRPr="009F1FA3" w:rsidRDefault="008E31F7" w:rsidP="008E31F7">
            <w:pPr>
              <w:jc w:val="center"/>
            </w:pPr>
            <w:r w:rsidRPr="009F1FA3">
              <w:t>TECO</w:t>
            </w:r>
          </w:p>
        </w:tc>
        <w:tc>
          <w:tcPr>
            <w:tcW w:w="1260" w:type="dxa"/>
          </w:tcPr>
          <w:p w14:paraId="5D55D28F" w14:textId="77777777" w:rsidR="008E31F7" w:rsidRPr="009F1FA3" w:rsidRDefault="008E31F7" w:rsidP="008E31F7">
            <w:pPr>
              <w:jc w:val="center"/>
            </w:pPr>
            <w:r w:rsidRPr="009F1FA3">
              <w:t>NA-2</w:t>
            </w:r>
          </w:p>
        </w:tc>
        <w:tc>
          <w:tcPr>
            <w:tcW w:w="3870" w:type="dxa"/>
          </w:tcPr>
          <w:p w14:paraId="407B9E60" w14:textId="77777777" w:rsidR="008E31F7" w:rsidRPr="009F1FA3" w:rsidRDefault="008E31F7" w:rsidP="008E31F7">
            <w:r w:rsidRPr="009F1FA3">
              <w:t>1. Document No. 1</w:t>
            </w:r>
          </w:p>
          <w:p w14:paraId="6177AE54" w14:textId="77777777" w:rsidR="008E31F7" w:rsidRPr="009F1FA3" w:rsidRDefault="008E31F7" w:rsidP="008E31F7">
            <w:r w:rsidRPr="009F1FA3">
              <w:t>2. Document No. 2</w:t>
            </w:r>
          </w:p>
          <w:p w14:paraId="4767A41B" w14:textId="77777777" w:rsidR="008E31F7" w:rsidRPr="009F1FA3" w:rsidRDefault="008E31F7" w:rsidP="008E31F7">
            <w:r w:rsidRPr="009F1FA3">
              <w:t>3. Document No. 3</w:t>
            </w:r>
          </w:p>
        </w:tc>
      </w:tr>
      <w:tr w:rsidR="008E31F7" w:rsidRPr="00701945" w14:paraId="2777AD6A" w14:textId="77777777" w:rsidTr="006C174A">
        <w:trPr>
          <w:trHeight w:val="360"/>
        </w:trPr>
        <w:tc>
          <w:tcPr>
            <w:tcW w:w="2970" w:type="dxa"/>
            <w:tcBorders>
              <w:top w:val="single" w:sz="4" w:space="0" w:color="auto"/>
              <w:left w:val="single" w:sz="4" w:space="0" w:color="auto"/>
              <w:bottom w:val="single" w:sz="4" w:space="0" w:color="auto"/>
              <w:right w:val="single" w:sz="4" w:space="0" w:color="auto"/>
            </w:tcBorders>
          </w:tcPr>
          <w:p w14:paraId="64ABF09A" w14:textId="77777777" w:rsidR="008E31F7" w:rsidRPr="009F1FA3" w:rsidRDefault="008E31F7" w:rsidP="008E31F7">
            <w:r w:rsidRPr="009F1FA3">
              <w:t>Dylan D’Ascendis</w:t>
            </w:r>
          </w:p>
        </w:tc>
        <w:tc>
          <w:tcPr>
            <w:tcW w:w="1350" w:type="dxa"/>
            <w:tcBorders>
              <w:top w:val="single" w:sz="4" w:space="0" w:color="auto"/>
              <w:left w:val="single" w:sz="4" w:space="0" w:color="auto"/>
              <w:bottom w:val="single" w:sz="4" w:space="0" w:color="auto"/>
              <w:right w:val="single" w:sz="4" w:space="0" w:color="auto"/>
            </w:tcBorders>
          </w:tcPr>
          <w:p w14:paraId="333A2D5F" w14:textId="77777777" w:rsidR="008E31F7" w:rsidRPr="009F1FA3" w:rsidRDefault="008E31F7" w:rsidP="008E31F7">
            <w:pPr>
              <w:jc w:val="center"/>
            </w:pPr>
            <w:r w:rsidRPr="009F1FA3">
              <w:t>TECO</w:t>
            </w:r>
          </w:p>
        </w:tc>
        <w:tc>
          <w:tcPr>
            <w:tcW w:w="1260" w:type="dxa"/>
            <w:tcBorders>
              <w:top w:val="single" w:sz="4" w:space="0" w:color="auto"/>
              <w:left w:val="single" w:sz="4" w:space="0" w:color="auto"/>
              <w:bottom w:val="single" w:sz="4" w:space="0" w:color="auto"/>
              <w:right w:val="single" w:sz="4" w:space="0" w:color="auto"/>
            </w:tcBorders>
          </w:tcPr>
          <w:p w14:paraId="59EB5ECA" w14:textId="77777777" w:rsidR="008E31F7" w:rsidRPr="009F1FA3" w:rsidRDefault="008E31F7" w:rsidP="008E31F7">
            <w:pPr>
              <w:jc w:val="center"/>
            </w:pPr>
            <w:r w:rsidRPr="009F1FA3">
              <w:t>DWD-2</w:t>
            </w:r>
          </w:p>
        </w:tc>
        <w:tc>
          <w:tcPr>
            <w:tcW w:w="3870" w:type="dxa"/>
            <w:tcBorders>
              <w:top w:val="single" w:sz="4" w:space="0" w:color="auto"/>
              <w:left w:val="single" w:sz="4" w:space="0" w:color="auto"/>
              <w:bottom w:val="single" w:sz="4" w:space="0" w:color="auto"/>
              <w:right w:val="single" w:sz="4" w:space="0" w:color="auto"/>
            </w:tcBorders>
          </w:tcPr>
          <w:p w14:paraId="35A05DF3" w14:textId="77777777" w:rsidR="008E31F7" w:rsidRPr="009F1FA3" w:rsidRDefault="008E31F7" w:rsidP="008E31F7">
            <w:pPr>
              <w:pStyle w:val="ListParagraph"/>
              <w:suppressAutoHyphens/>
              <w:ind w:left="0"/>
              <w:jc w:val="left"/>
              <w:rPr>
                <w:szCs w:val="24"/>
              </w:rPr>
            </w:pPr>
            <w:r>
              <w:rPr>
                <w:szCs w:val="24"/>
              </w:rPr>
              <w:t xml:space="preserve">1. </w:t>
            </w:r>
            <w:r w:rsidRPr="009F1FA3">
              <w:rPr>
                <w:szCs w:val="24"/>
              </w:rPr>
              <w:t>Updated ROE Analysis</w:t>
            </w:r>
          </w:p>
          <w:p w14:paraId="644102B3" w14:textId="77777777" w:rsidR="008E31F7" w:rsidRPr="009F1FA3" w:rsidRDefault="008E31F7" w:rsidP="008E31F7">
            <w:pPr>
              <w:pStyle w:val="ListParagraph"/>
              <w:suppressAutoHyphens/>
              <w:ind w:left="0"/>
              <w:jc w:val="left"/>
              <w:rPr>
                <w:szCs w:val="24"/>
              </w:rPr>
            </w:pPr>
            <w:r>
              <w:rPr>
                <w:szCs w:val="24"/>
              </w:rPr>
              <w:t xml:space="preserve">2. </w:t>
            </w:r>
            <w:r w:rsidRPr="009F1FA3">
              <w:rPr>
                <w:szCs w:val="24"/>
              </w:rPr>
              <w:t>D’Ascendis Indicated Return Histogram</w:t>
            </w:r>
          </w:p>
          <w:p w14:paraId="2D117B8C" w14:textId="77777777" w:rsidR="008E31F7" w:rsidRPr="009F1FA3" w:rsidRDefault="008E31F7" w:rsidP="008E31F7">
            <w:pPr>
              <w:pStyle w:val="ListParagraph"/>
              <w:suppressAutoHyphens/>
              <w:ind w:left="0"/>
              <w:jc w:val="left"/>
              <w:rPr>
                <w:szCs w:val="24"/>
              </w:rPr>
            </w:pPr>
            <w:r>
              <w:rPr>
                <w:szCs w:val="24"/>
              </w:rPr>
              <w:t xml:space="preserve">3. </w:t>
            </w:r>
            <w:r w:rsidRPr="009F1FA3">
              <w:rPr>
                <w:szCs w:val="24"/>
              </w:rPr>
              <w:t>Retention Ratio Regression Analysis</w:t>
            </w:r>
          </w:p>
          <w:p w14:paraId="12BD80A1" w14:textId="77777777" w:rsidR="008E31F7" w:rsidRPr="009F1FA3" w:rsidRDefault="008E31F7" w:rsidP="008E31F7">
            <w:pPr>
              <w:pStyle w:val="ListParagraph"/>
              <w:suppressAutoHyphens/>
              <w:ind w:left="0"/>
              <w:jc w:val="left"/>
              <w:rPr>
                <w:szCs w:val="24"/>
              </w:rPr>
            </w:pPr>
            <w:r>
              <w:rPr>
                <w:szCs w:val="24"/>
              </w:rPr>
              <w:t xml:space="preserve">4. </w:t>
            </w:r>
            <w:r w:rsidRPr="009F1FA3">
              <w:rPr>
                <w:szCs w:val="24"/>
              </w:rPr>
              <w:t>Growth Rate Regression Analysis</w:t>
            </w:r>
          </w:p>
          <w:p w14:paraId="0AFC6101" w14:textId="77777777" w:rsidR="008E31F7" w:rsidRPr="009F1FA3" w:rsidRDefault="008E31F7" w:rsidP="008E31F7">
            <w:pPr>
              <w:pStyle w:val="ListParagraph"/>
              <w:suppressAutoHyphens/>
              <w:ind w:left="0"/>
              <w:jc w:val="left"/>
              <w:rPr>
                <w:szCs w:val="24"/>
              </w:rPr>
            </w:pPr>
            <w:r>
              <w:rPr>
                <w:szCs w:val="24"/>
              </w:rPr>
              <w:t xml:space="preserve">5. </w:t>
            </w:r>
            <w:r w:rsidRPr="009F1FA3">
              <w:rPr>
                <w:szCs w:val="24"/>
              </w:rPr>
              <w:t>Dr. Woolridge Corrected DCF Results</w:t>
            </w:r>
          </w:p>
          <w:p w14:paraId="0F2225E7" w14:textId="77777777" w:rsidR="008E31F7" w:rsidRPr="009F1FA3" w:rsidRDefault="008E31F7" w:rsidP="008E31F7">
            <w:pPr>
              <w:pStyle w:val="ListParagraph"/>
              <w:suppressAutoHyphens/>
              <w:ind w:left="0"/>
              <w:jc w:val="left"/>
              <w:rPr>
                <w:szCs w:val="24"/>
              </w:rPr>
            </w:pPr>
            <w:r>
              <w:rPr>
                <w:szCs w:val="24"/>
              </w:rPr>
              <w:t xml:space="preserve">6. </w:t>
            </w:r>
            <w:r w:rsidRPr="009F1FA3">
              <w:rPr>
                <w:szCs w:val="24"/>
              </w:rPr>
              <w:t>Comparison of Market Return Measures</w:t>
            </w:r>
          </w:p>
          <w:p w14:paraId="2C14CDC9" w14:textId="77777777" w:rsidR="008E31F7" w:rsidRPr="009F1FA3" w:rsidRDefault="008E31F7" w:rsidP="008E31F7">
            <w:pPr>
              <w:pStyle w:val="ListParagraph"/>
              <w:suppressAutoHyphens/>
              <w:ind w:left="0"/>
              <w:jc w:val="left"/>
              <w:rPr>
                <w:szCs w:val="24"/>
              </w:rPr>
            </w:pPr>
            <w:r>
              <w:rPr>
                <w:szCs w:val="24"/>
              </w:rPr>
              <w:t xml:space="preserve">7. </w:t>
            </w:r>
            <w:r w:rsidRPr="009F1FA3">
              <w:rPr>
                <w:szCs w:val="24"/>
              </w:rPr>
              <w:t>Hypothetical Example: Flotation Cost Recovery</w:t>
            </w:r>
          </w:p>
          <w:p w14:paraId="35275AB5" w14:textId="77777777" w:rsidR="008E31F7" w:rsidRPr="009F1FA3" w:rsidRDefault="008E31F7" w:rsidP="008E31F7">
            <w:pPr>
              <w:pStyle w:val="ListParagraph"/>
              <w:suppressAutoHyphens/>
              <w:ind w:left="0"/>
              <w:jc w:val="left"/>
              <w:rPr>
                <w:szCs w:val="24"/>
              </w:rPr>
            </w:pPr>
            <w:r>
              <w:rPr>
                <w:szCs w:val="24"/>
              </w:rPr>
              <w:t xml:space="preserve">8. </w:t>
            </w:r>
            <w:r w:rsidRPr="009F1FA3">
              <w:rPr>
                <w:szCs w:val="24"/>
              </w:rPr>
              <w:t>Observed Market Returns and Frequency Distributions of Observed Market Returns (1926-2023)</w:t>
            </w:r>
          </w:p>
          <w:p w14:paraId="41CF9E8E" w14:textId="77777777" w:rsidR="008E31F7" w:rsidRPr="009F1FA3" w:rsidRDefault="008E31F7" w:rsidP="008E31F7">
            <w:pPr>
              <w:pStyle w:val="ListParagraph"/>
              <w:suppressAutoHyphens/>
              <w:ind w:left="0"/>
              <w:jc w:val="left"/>
              <w:rPr>
                <w:szCs w:val="24"/>
              </w:rPr>
            </w:pPr>
            <w:r>
              <w:rPr>
                <w:szCs w:val="24"/>
              </w:rPr>
              <w:t xml:space="preserve">9. </w:t>
            </w:r>
            <w:r w:rsidRPr="009F1FA3">
              <w:rPr>
                <w:szCs w:val="24"/>
              </w:rPr>
              <w:t>Historical Market Returns (2014-2023)</w:t>
            </w:r>
          </w:p>
          <w:p w14:paraId="55028E64" w14:textId="77777777" w:rsidR="008E31F7" w:rsidRPr="009F1FA3" w:rsidRDefault="008E31F7" w:rsidP="008E31F7">
            <w:pPr>
              <w:pStyle w:val="ListParagraph"/>
              <w:suppressAutoHyphens/>
              <w:ind w:left="0"/>
              <w:jc w:val="left"/>
              <w:rPr>
                <w:szCs w:val="24"/>
              </w:rPr>
            </w:pPr>
            <w:r>
              <w:rPr>
                <w:szCs w:val="24"/>
              </w:rPr>
              <w:t xml:space="preserve">10. </w:t>
            </w:r>
            <w:r w:rsidRPr="009F1FA3">
              <w:rPr>
                <w:szCs w:val="24"/>
              </w:rPr>
              <w:t>Safety Ranking Analysis for Utility Proxy Group and Non-Regulated Proxy Group</w:t>
            </w:r>
          </w:p>
          <w:p w14:paraId="5E1D863E" w14:textId="77777777" w:rsidR="008E31F7" w:rsidRPr="009F1FA3" w:rsidRDefault="008E31F7" w:rsidP="008E31F7">
            <w:pPr>
              <w:pStyle w:val="ListParagraph"/>
              <w:suppressAutoHyphens/>
              <w:ind w:left="0"/>
              <w:jc w:val="left"/>
              <w:rPr>
                <w:szCs w:val="24"/>
              </w:rPr>
            </w:pPr>
            <w:r>
              <w:rPr>
                <w:szCs w:val="24"/>
              </w:rPr>
              <w:t xml:space="preserve">11. </w:t>
            </w:r>
            <w:r w:rsidRPr="009F1FA3">
              <w:rPr>
                <w:szCs w:val="24"/>
              </w:rPr>
              <w:t xml:space="preserve">Walters Indicated Return </w:t>
            </w:r>
            <w:r w:rsidRPr="009F1FA3">
              <w:rPr>
                <w:szCs w:val="24"/>
              </w:rPr>
              <w:lastRenderedPageBreak/>
              <w:t>Histogram</w:t>
            </w:r>
          </w:p>
          <w:p w14:paraId="2DB3D24A" w14:textId="77777777" w:rsidR="008E31F7" w:rsidRPr="009F1FA3" w:rsidRDefault="008E31F7" w:rsidP="008E31F7">
            <w:pPr>
              <w:pStyle w:val="ListParagraph"/>
              <w:suppressAutoHyphens/>
              <w:ind w:left="0"/>
              <w:jc w:val="left"/>
              <w:rPr>
                <w:szCs w:val="24"/>
              </w:rPr>
            </w:pPr>
            <w:r>
              <w:rPr>
                <w:szCs w:val="24"/>
              </w:rPr>
              <w:t xml:space="preserve">12. </w:t>
            </w:r>
            <w:r w:rsidRPr="009F1FA3">
              <w:rPr>
                <w:szCs w:val="24"/>
              </w:rPr>
              <w:t>Electric Rate Case Common Equity Ratios (2016-2024)</w:t>
            </w:r>
          </w:p>
          <w:p w14:paraId="66972B96" w14:textId="77777777" w:rsidR="008E31F7" w:rsidRPr="009F1FA3" w:rsidRDefault="008E31F7" w:rsidP="008E31F7">
            <w:pPr>
              <w:pStyle w:val="ListParagraph"/>
              <w:suppressAutoHyphens/>
              <w:ind w:left="0"/>
              <w:jc w:val="left"/>
              <w:rPr>
                <w:szCs w:val="24"/>
              </w:rPr>
            </w:pPr>
            <w:r>
              <w:rPr>
                <w:szCs w:val="24"/>
              </w:rPr>
              <w:t xml:space="preserve">13. </w:t>
            </w:r>
            <w:r w:rsidRPr="009F1FA3">
              <w:rPr>
                <w:szCs w:val="24"/>
              </w:rPr>
              <w:t>Gross Domestic Product by Industry</w:t>
            </w:r>
          </w:p>
          <w:p w14:paraId="506FF701" w14:textId="77777777" w:rsidR="008E31F7" w:rsidRPr="009F1FA3" w:rsidRDefault="008E31F7" w:rsidP="008E31F7">
            <w:pPr>
              <w:pStyle w:val="ListParagraph"/>
              <w:suppressAutoHyphens/>
              <w:ind w:left="0"/>
              <w:jc w:val="left"/>
              <w:rPr>
                <w:szCs w:val="24"/>
              </w:rPr>
            </w:pPr>
            <w:r>
              <w:rPr>
                <w:szCs w:val="24"/>
              </w:rPr>
              <w:t xml:space="preserve">14. </w:t>
            </w:r>
            <w:r w:rsidRPr="009F1FA3">
              <w:rPr>
                <w:szCs w:val="24"/>
              </w:rPr>
              <w:t>Market-to-Book Ratios, Earnings to Book Ratios and Inflation for S&amp;P Industrial Index and the S&amp;P 500 Composite Index (1947-2023)</w:t>
            </w:r>
          </w:p>
          <w:p w14:paraId="7263AF36" w14:textId="77777777" w:rsidR="008E31F7" w:rsidRPr="009F1FA3" w:rsidRDefault="008E31F7" w:rsidP="008E31F7">
            <w:pPr>
              <w:pStyle w:val="ListParagraph"/>
              <w:suppressAutoHyphens/>
              <w:ind w:left="0"/>
              <w:jc w:val="left"/>
              <w:rPr>
                <w:szCs w:val="24"/>
              </w:rPr>
            </w:pPr>
            <w:r>
              <w:rPr>
                <w:szCs w:val="24"/>
              </w:rPr>
              <w:t xml:space="preserve">15. </w:t>
            </w:r>
            <w:r w:rsidRPr="009F1FA3">
              <w:rPr>
                <w:szCs w:val="24"/>
              </w:rPr>
              <w:t>Walters Corrected Risk Premium Model</w:t>
            </w:r>
          </w:p>
          <w:p w14:paraId="7545A040" w14:textId="77777777" w:rsidR="008E31F7" w:rsidRPr="009F1FA3" w:rsidRDefault="008E31F7" w:rsidP="008E31F7">
            <w:pPr>
              <w:pStyle w:val="ListParagraph"/>
              <w:suppressAutoHyphens/>
              <w:ind w:left="0"/>
              <w:jc w:val="left"/>
              <w:rPr>
                <w:szCs w:val="24"/>
              </w:rPr>
            </w:pPr>
            <w:r>
              <w:rPr>
                <w:szCs w:val="24"/>
              </w:rPr>
              <w:t xml:space="preserve">16. </w:t>
            </w:r>
            <w:r w:rsidRPr="009F1FA3">
              <w:rPr>
                <w:szCs w:val="24"/>
              </w:rPr>
              <w:t xml:space="preserve">Walters’ Market DCF Exclusions Summary </w:t>
            </w:r>
          </w:p>
          <w:p w14:paraId="0B21BE59" w14:textId="77777777" w:rsidR="008E31F7" w:rsidRPr="009F1FA3" w:rsidRDefault="008E31F7" w:rsidP="008E31F7">
            <w:pPr>
              <w:pStyle w:val="ListParagraph"/>
              <w:suppressAutoHyphens/>
              <w:ind w:left="0"/>
              <w:jc w:val="left"/>
              <w:rPr>
                <w:szCs w:val="24"/>
              </w:rPr>
            </w:pPr>
            <w:r>
              <w:rPr>
                <w:szCs w:val="24"/>
              </w:rPr>
              <w:t xml:space="preserve">17, </w:t>
            </w:r>
            <w:r w:rsidRPr="009F1FA3">
              <w:rPr>
                <w:szCs w:val="24"/>
              </w:rPr>
              <w:t>Walters Corrected CAPM</w:t>
            </w:r>
          </w:p>
          <w:p w14:paraId="289022FE" w14:textId="77777777" w:rsidR="008E31F7" w:rsidRPr="009F1FA3" w:rsidRDefault="008E31F7" w:rsidP="008E31F7">
            <w:pPr>
              <w:pStyle w:val="ListParagraph"/>
              <w:suppressAutoHyphens/>
              <w:ind w:left="0"/>
              <w:jc w:val="left"/>
              <w:rPr>
                <w:szCs w:val="24"/>
              </w:rPr>
            </w:pPr>
            <w:r>
              <w:rPr>
                <w:szCs w:val="24"/>
              </w:rPr>
              <w:t xml:space="preserve">18. </w:t>
            </w:r>
            <w:r w:rsidRPr="009F1FA3">
              <w:rPr>
                <w:szCs w:val="24"/>
              </w:rPr>
              <w:t>Rate Adjustment Clauses Allowed For Electric Proxy Group Companies</w:t>
            </w:r>
          </w:p>
          <w:p w14:paraId="3C9B28C4" w14:textId="77777777" w:rsidR="008E31F7" w:rsidRPr="009F1FA3" w:rsidRDefault="008E31F7" w:rsidP="008E31F7">
            <w:pPr>
              <w:pStyle w:val="ListParagraph"/>
              <w:suppressAutoHyphens/>
              <w:ind w:left="0"/>
              <w:jc w:val="left"/>
              <w:rPr>
                <w:szCs w:val="24"/>
              </w:rPr>
            </w:pPr>
            <w:r>
              <w:rPr>
                <w:szCs w:val="24"/>
              </w:rPr>
              <w:t xml:space="preserve">19. </w:t>
            </w:r>
            <w:r w:rsidRPr="009F1FA3">
              <w:rPr>
                <w:szCs w:val="24"/>
              </w:rPr>
              <w:t>Referenced Endnotes for the Prepared Direct Testimony of Dylan W. D’Ascendis</w:t>
            </w:r>
          </w:p>
        </w:tc>
      </w:tr>
      <w:tr w:rsidR="008E31F7" w:rsidRPr="00701945" w14:paraId="01CA6E76" w14:textId="77777777" w:rsidTr="006C174A">
        <w:trPr>
          <w:cantSplit/>
          <w:trHeight w:val="360"/>
        </w:trPr>
        <w:tc>
          <w:tcPr>
            <w:tcW w:w="2970" w:type="dxa"/>
            <w:tcBorders>
              <w:top w:val="single" w:sz="4" w:space="0" w:color="auto"/>
              <w:left w:val="single" w:sz="4" w:space="0" w:color="auto"/>
              <w:bottom w:val="single" w:sz="4" w:space="0" w:color="auto"/>
              <w:right w:val="single" w:sz="4" w:space="0" w:color="auto"/>
            </w:tcBorders>
          </w:tcPr>
          <w:p w14:paraId="3544768D" w14:textId="77777777" w:rsidR="008E31F7" w:rsidRPr="009F1FA3" w:rsidRDefault="008E31F7" w:rsidP="008E31F7">
            <w:r w:rsidRPr="009F1FA3">
              <w:lastRenderedPageBreak/>
              <w:t>John Heisey</w:t>
            </w:r>
          </w:p>
        </w:tc>
        <w:tc>
          <w:tcPr>
            <w:tcW w:w="1350" w:type="dxa"/>
            <w:tcBorders>
              <w:top w:val="single" w:sz="4" w:space="0" w:color="auto"/>
              <w:left w:val="single" w:sz="4" w:space="0" w:color="auto"/>
              <w:bottom w:val="single" w:sz="4" w:space="0" w:color="auto"/>
              <w:right w:val="single" w:sz="4" w:space="0" w:color="auto"/>
            </w:tcBorders>
          </w:tcPr>
          <w:p w14:paraId="1E84DE29" w14:textId="77777777" w:rsidR="008E31F7" w:rsidRPr="009F1FA3" w:rsidRDefault="008E31F7" w:rsidP="008E31F7">
            <w:pPr>
              <w:jc w:val="center"/>
            </w:pPr>
            <w:r w:rsidRPr="009F1FA3">
              <w:t>TECO</w:t>
            </w:r>
          </w:p>
        </w:tc>
        <w:tc>
          <w:tcPr>
            <w:tcW w:w="1260" w:type="dxa"/>
            <w:tcBorders>
              <w:top w:val="single" w:sz="4" w:space="0" w:color="auto"/>
              <w:left w:val="single" w:sz="4" w:space="0" w:color="auto"/>
              <w:bottom w:val="single" w:sz="4" w:space="0" w:color="auto"/>
              <w:right w:val="single" w:sz="4" w:space="0" w:color="auto"/>
            </w:tcBorders>
          </w:tcPr>
          <w:p w14:paraId="6A4B83B0" w14:textId="77777777" w:rsidR="008E31F7" w:rsidRPr="009F1FA3" w:rsidRDefault="008E31F7" w:rsidP="008E31F7">
            <w:pPr>
              <w:jc w:val="center"/>
            </w:pPr>
            <w:r w:rsidRPr="009F1FA3">
              <w:t>JH-2</w:t>
            </w:r>
          </w:p>
        </w:tc>
        <w:tc>
          <w:tcPr>
            <w:tcW w:w="3870" w:type="dxa"/>
            <w:tcBorders>
              <w:top w:val="single" w:sz="4" w:space="0" w:color="auto"/>
              <w:left w:val="single" w:sz="4" w:space="0" w:color="auto"/>
              <w:bottom w:val="single" w:sz="4" w:space="0" w:color="auto"/>
              <w:right w:val="single" w:sz="4" w:space="0" w:color="auto"/>
            </w:tcBorders>
          </w:tcPr>
          <w:p w14:paraId="6E07EB00" w14:textId="77777777" w:rsidR="008E31F7" w:rsidRPr="009F1FA3" w:rsidRDefault="008E31F7" w:rsidP="008E31F7">
            <w:pPr>
              <w:pStyle w:val="ListParagraph"/>
              <w:suppressAutoHyphens/>
              <w:ind w:left="0"/>
              <w:jc w:val="left"/>
              <w:rPr>
                <w:szCs w:val="24"/>
              </w:rPr>
            </w:pPr>
            <w:r>
              <w:rPr>
                <w:szCs w:val="24"/>
              </w:rPr>
              <w:t xml:space="preserve">1. </w:t>
            </w:r>
            <w:r w:rsidRPr="009F1FA3">
              <w:rPr>
                <w:szCs w:val="24"/>
              </w:rPr>
              <w:t>Average Natural Gas Forecast at Henry Hub</w:t>
            </w:r>
          </w:p>
          <w:p w14:paraId="40CF46B3" w14:textId="77777777" w:rsidR="008E31F7" w:rsidRPr="009F1FA3" w:rsidRDefault="008E31F7" w:rsidP="008E31F7">
            <w:pPr>
              <w:pStyle w:val="ListParagraph"/>
              <w:suppressAutoHyphens/>
              <w:ind w:left="0"/>
              <w:jc w:val="left"/>
              <w:rPr>
                <w:szCs w:val="24"/>
              </w:rPr>
            </w:pPr>
            <w:r>
              <w:rPr>
                <w:szCs w:val="24"/>
              </w:rPr>
              <w:t xml:space="preserve">2. </w:t>
            </w:r>
            <w:r w:rsidRPr="009F1FA3">
              <w:rPr>
                <w:szCs w:val="24"/>
              </w:rPr>
              <w:t>LNG Export Growth</w:t>
            </w:r>
          </w:p>
          <w:p w14:paraId="6AD829DA" w14:textId="77777777" w:rsidR="008E31F7" w:rsidRPr="009F1FA3" w:rsidRDefault="008E31F7" w:rsidP="008E31F7">
            <w:pPr>
              <w:pStyle w:val="ListParagraph"/>
              <w:suppressAutoHyphens/>
              <w:ind w:left="0"/>
              <w:jc w:val="left"/>
              <w:rPr>
                <w:szCs w:val="24"/>
              </w:rPr>
            </w:pPr>
            <w:r>
              <w:rPr>
                <w:szCs w:val="24"/>
              </w:rPr>
              <w:t xml:space="preserve">3. </w:t>
            </w:r>
            <w:r w:rsidRPr="009F1FA3">
              <w:rPr>
                <w:szCs w:val="24"/>
              </w:rPr>
              <w:t>Data Center Growth</w:t>
            </w:r>
          </w:p>
        </w:tc>
      </w:tr>
      <w:tr w:rsidR="008E31F7" w:rsidRPr="00701945" w14:paraId="7487902B" w14:textId="77777777" w:rsidTr="006C174A">
        <w:trPr>
          <w:cantSplit/>
          <w:trHeight w:val="360"/>
        </w:trPr>
        <w:tc>
          <w:tcPr>
            <w:tcW w:w="2970" w:type="dxa"/>
            <w:tcBorders>
              <w:top w:val="single" w:sz="4" w:space="0" w:color="auto"/>
              <w:left w:val="single" w:sz="4" w:space="0" w:color="auto"/>
              <w:bottom w:val="single" w:sz="4" w:space="0" w:color="auto"/>
              <w:right w:val="single" w:sz="4" w:space="0" w:color="auto"/>
            </w:tcBorders>
          </w:tcPr>
          <w:p w14:paraId="4DFC4576" w14:textId="77777777" w:rsidR="008E31F7" w:rsidRPr="009F1FA3" w:rsidRDefault="008E31F7" w:rsidP="008E31F7">
            <w:r w:rsidRPr="009F1FA3">
              <w:t>Valerie Strickland</w:t>
            </w:r>
          </w:p>
        </w:tc>
        <w:tc>
          <w:tcPr>
            <w:tcW w:w="1350" w:type="dxa"/>
            <w:tcBorders>
              <w:top w:val="single" w:sz="4" w:space="0" w:color="auto"/>
              <w:left w:val="single" w:sz="4" w:space="0" w:color="auto"/>
              <w:bottom w:val="single" w:sz="4" w:space="0" w:color="auto"/>
              <w:right w:val="single" w:sz="4" w:space="0" w:color="auto"/>
            </w:tcBorders>
          </w:tcPr>
          <w:p w14:paraId="62019A3B" w14:textId="77777777" w:rsidR="008E31F7" w:rsidRPr="009F1FA3" w:rsidRDefault="008E31F7" w:rsidP="008E31F7">
            <w:pPr>
              <w:jc w:val="center"/>
            </w:pPr>
            <w:r w:rsidRPr="009F1FA3">
              <w:t>TECO</w:t>
            </w:r>
          </w:p>
        </w:tc>
        <w:tc>
          <w:tcPr>
            <w:tcW w:w="1260" w:type="dxa"/>
            <w:tcBorders>
              <w:top w:val="single" w:sz="4" w:space="0" w:color="auto"/>
              <w:left w:val="single" w:sz="4" w:space="0" w:color="auto"/>
              <w:bottom w:val="single" w:sz="4" w:space="0" w:color="auto"/>
              <w:right w:val="single" w:sz="4" w:space="0" w:color="auto"/>
            </w:tcBorders>
          </w:tcPr>
          <w:p w14:paraId="7286BC85" w14:textId="77777777" w:rsidR="008E31F7" w:rsidRPr="009F1FA3" w:rsidRDefault="008E31F7" w:rsidP="008E31F7">
            <w:pPr>
              <w:jc w:val="center"/>
            </w:pPr>
            <w:r w:rsidRPr="009F1FA3">
              <w:t>VS-2</w:t>
            </w:r>
          </w:p>
        </w:tc>
        <w:tc>
          <w:tcPr>
            <w:tcW w:w="3870" w:type="dxa"/>
            <w:tcBorders>
              <w:top w:val="single" w:sz="4" w:space="0" w:color="auto"/>
              <w:left w:val="single" w:sz="4" w:space="0" w:color="auto"/>
              <w:bottom w:val="single" w:sz="4" w:space="0" w:color="auto"/>
              <w:right w:val="single" w:sz="4" w:space="0" w:color="auto"/>
            </w:tcBorders>
          </w:tcPr>
          <w:p w14:paraId="35FB3A85" w14:textId="77777777" w:rsidR="008E31F7" w:rsidRPr="009F1FA3" w:rsidRDefault="008E31F7" w:rsidP="008E31F7">
            <w:pPr>
              <w:pStyle w:val="ListParagraph"/>
              <w:suppressAutoHyphens/>
              <w:ind w:left="0"/>
              <w:jc w:val="left"/>
              <w:rPr>
                <w:szCs w:val="24"/>
              </w:rPr>
            </w:pPr>
            <w:r>
              <w:rPr>
                <w:szCs w:val="24"/>
              </w:rPr>
              <w:t xml:space="preserve">1. </w:t>
            </w:r>
            <w:r w:rsidRPr="009F1FA3">
              <w:rPr>
                <w:szCs w:val="24"/>
              </w:rPr>
              <w:t>3-year life – Battery Storage ITC – 2025 Test Year</w:t>
            </w:r>
          </w:p>
          <w:p w14:paraId="0200D211" w14:textId="77777777" w:rsidR="008E31F7" w:rsidRPr="009F1FA3" w:rsidRDefault="008E31F7" w:rsidP="008E31F7">
            <w:pPr>
              <w:pStyle w:val="ListParagraph"/>
              <w:suppressAutoHyphens/>
              <w:ind w:left="0"/>
              <w:jc w:val="left"/>
              <w:rPr>
                <w:szCs w:val="24"/>
              </w:rPr>
            </w:pPr>
            <w:r>
              <w:rPr>
                <w:szCs w:val="24"/>
              </w:rPr>
              <w:t xml:space="preserve">2. </w:t>
            </w:r>
            <w:r w:rsidRPr="009F1FA3">
              <w:rPr>
                <w:szCs w:val="24"/>
              </w:rPr>
              <w:t>3-year life – Battery Storage ITC – SYA 2026 and 2027</w:t>
            </w:r>
          </w:p>
        </w:tc>
      </w:tr>
      <w:tr w:rsidR="008E31F7" w:rsidRPr="00701945" w14:paraId="12484B75" w14:textId="77777777" w:rsidTr="006C174A">
        <w:trPr>
          <w:cantSplit/>
          <w:trHeight w:val="360"/>
        </w:trPr>
        <w:tc>
          <w:tcPr>
            <w:tcW w:w="2970" w:type="dxa"/>
            <w:tcBorders>
              <w:top w:val="single" w:sz="4" w:space="0" w:color="auto"/>
              <w:left w:val="single" w:sz="4" w:space="0" w:color="auto"/>
              <w:bottom w:val="single" w:sz="4" w:space="0" w:color="auto"/>
              <w:right w:val="single" w:sz="4" w:space="0" w:color="auto"/>
            </w:tcBorders>
          </w:tcPr>
          <w:p w14:paraId="0FB2B218" w14:textId="77777777" w:rsidR="008E31F7" w:rsidRPr="009F1FA3" w:rsidRDefault="008E31F7" w:rsidP="008E31F7">
            <w:r w:rsidRPr="009F1FA3">
              <w:t>Jeff Chronister</w:t>
            </w:r>
          </w:p>
        </w:tc>
        <w:tc>
          <w:tcPr>
            <w:tcW w:w="1350" w:type="dxa"/>
            <w:tcBorders>
              <w:top w:val="single" w:sz="4" w:space="0" w:color="auto"/>
              <w:left w:val="single" w:sz="4" w:space="0" w:color="auto"/>
              <w:bottom w:val="single" w:sz="4" w:space="0" w:color="auto"/>
              <w:right w:val="single" w:sz="4" w:space="0" w:color="auto"/>
            </w:tcBorders>
          </w:tcPr>
          <w:p w14:paraId="5566FF7C" w14:textId="77777777" w:rsidR="008E31F7" w:rsidRPr="009F1FA3" w:rsidRDefault="008E31F7" w:rsidP="008E31F7">
            <w:pPr>
              <w:jc w:val="center"/>
            </w:pPr>
            <w:r w:rsidRPr="009F1FA3">
              <w:t>TECO</w:t>
            </w:r>
          </w:p>
        </w:tc>
        <w:tc>
          <w:tcPr>
            <w:tcW w:w="1260" w:type="dxa"/>
            <w:tcBorders>
              <w:top w:val="single" w:sz="4" w:space="0" w:color="auto"/>
              <w:left w:val="single" w:sz="4" w:space="0" w:color="auto"/>
              <w:bottom w:val="single" w:sz="4" w:space="0" w:color="auto"/>
              <w:right w:val="single" w:sz="4" w:space="0" w:color="auto"/>
            </w:tcBorders>
          </w:tcPr>
          <w:p w14:paraId="6B641DCC" w14:textId="77777777" w:rsidR="008E31F7" w:rsidRPr="009F1FA3" w:rsidRDefault="008E31F7" w:rsidP="008E31F7">
            <w:pPr>
              <w:jc w:val="center"/>
            </w:pPr>
            <w:r w:rsidRPr="009F1FA3">
              <w:t>JC-3</w:t>
            </w:r>
          </w:p>
        </w:tc>
        <w:tc>
          <w:tcPr>
            <w:tcW w:w="3870" w:type="dxa"/>
            <w:tcBorders>
              <w:top w:val="single" w:sz="4" w:space="0" w:color="auto"/>
              <w:left w:val="single" w:sz="4" w:space="0" w:color="auto"/>
              <w:bottom w:val="single" w:sz="4" w:space="0" w:color="auto"/>
              <w:right w:val="single" w:sz="4" w:space="0" w:color="auto"/>
            </w:tcBorders>
          </w:tcPr>
          <w:p w14:paraId="7AD80E92" w14:textId="77777777" w:rsidR="008E31F7" w:rsidRPr="009F1FA3" w:rsidRDefault="008E31F7" w:rsidP="008E31F7">
            <w:pPr>
              <w:pStyle w:val="ListParagraph"/>
              <w:suppressAutoHyphens/>
              <w:ind w:left="0"/>
              <w:jc w:val="left"/>
              <w:rPr>
                <w:szCs w:val="24"/>
              </w:rPr>
            </w:pPr>
            <w:r>
              <w:rPr>
                <w:szCs w:val="24"/>
              </w:rPr>
              <w:t xml:space="preserve">1. </w:t>
            </w:r>
            <w:r w:rsidRPr="009F1FA3">
              <w:rPr>
                <w:szCs w:val="24"/>
              </w:rPr>
              <w:t>Notice of Substitution of Witness</w:t>
            </w:r>
          </w:p>
          <w:p w14:paraId="4DB3F3CB" w14:textId="77777777" w:rsidR="008E31F7" w:rsidRPr="009F1FA3" w:rsidRDefault="008E31F7" w:rsidP="008E31F7">
            <w:pPr>
              <w:pStyle w:val="ListParagraph"/>
              <w:suppressAutoHyphens/>
              <w:ind w:left="0"/>
              <w:jc w:val="left"/>
              <w:rPr>
                <w:szCs w:val="24"/>
              </w:rPr>
            </w:pPr>
            <w:r>
              <w:rPr>
                <w:szCs w:val="24"/>
              </w:rPr>
              <w:t xml:space="preserve">2. </w:t>
            </w:r>
            <w:r w:rsidRPr="009F1FA3">
              <w:rPr>
                <w:szCs w:val="24"/>
              </w:rPr>
              <w:t>Dismantlement Calculations</w:t>
            </w:r>
          </w:p>
          <w:p w14:paraId="0B9C9D39" w14:textId="77777777" w:rsidR="008E31F7" w:rsidRPr="009F1FA3" w:rsidRDefault="008E31F7" w:rsidP="008E31F7">
            <w:pPr>
              <w:pStyle w:val="ListParagraph"/>
              <w:suppressAutoHyphens/>
              <w:ind w:left="0"/>
              <w:jc w:val="left"/>
              <w:rPr>
                <w:szCs w:val="24"/>
              </w:rPr>
            </w:pPr>
            <w:r>
              <w:rPr>
                <w:szCs w:val="24"/>
              </w:rPr>
              <w:t xml:space="preserve">3. </w:t>
            </w:r>
            <w:r w:rsidRPr="009F1FA3">
              <w:rPr>
                <w:szCs w:val="24"/>
              </w:rPr>
              <w:t>Audit Finding Responses</w:t>
            </w:r>
          </w:p>
        </w:tc>
      </w:tr>
      <w:tr w:rsidR="008E31F7" w:rsidRPr="00701945" w14:paraId="49EF63E4" w14:textId="77777777" w:rsidTr="006C174A">
        <w:trPr>
          <w:cantSplit/>
          <w:trHeight w:val="360"/>
        </w:trPr>
        <w:tc>
          <w:tcPr>
            <w:tcW w:w="2970" w:type="dxa"/>
            <w:tcBorders>
              <w:top w:val="single" w:sz="4" w:space="0" w:color="auto"/>
              <w:left w:val="single" w:sz="4" w:space="0" w:color="auto"/>
              <w:bottom w:val="single" w:sz="4" w:space="0" w:color="auto"/>
              <w:right w:val="single" w:sz="4" w:space="0" w:color="auto"/>
            </w:tcBorders>
          </w:tcPr>
          <w:p w14:paraId="7A83805F" w14:textId="77777777" w:rsidR="008E31F7" w:rsidRPr="009F1FA3" w:rsidRDefault="008E31F7" w:rsidP="008E31F7">
            <w:r w:rsidRPr="009F1FA3">
              <w:lastRenderedPageBreak/>
              <w:t>Jordan Williams</w:t>
            </w:r>
          </w:p>
        </w:tc>
        <w:tc>
          <w:tcPr>
            <w:tcW w:w="1350" w:type="dxa"/>
            <w:tcBorders>
              <w:top w:val="single" w:sz="4" w:space="0" w:color="auto"/>
              <w:left w:val="single" w:sz="4" w:space="0" w:color="auto"/>
              <w:bottom w:val="single" w:sz="4" w:space="0" w:color="auto"/>
              <w:right w:val="single" w:sz="4" w:space="0" w:color="auto"/>
            </w:tcBorders>
          </w:tcPr>
          <w:p w14:paraId="21E0B78C" w14:textId="77777777" w:rsidR="008E31F7" w:rsidRPr="009F1FA3" w:rsidRDefault="008E31F7" w:rsidP="008E31F7">
            <w:pPr>
              <w:jc w:val="center"/>
            </w:pPr>
            <w:r w:rsidRPr="009F1FA3">
              <w:t>TECO</w:t>
            </w:r>
          </w:p>
        </w:tc>
        <w:tc>
          <w:tcPr>
            <w:tcW w:w="1260" w:type="dxa"/>
            <w:tcBorders>
              <w:top w:val="single" w:sz="4" w:space="0" w:color="auto"/>
              <w:left w:val="single" w:sz="4" w:space="0" w:color="auto"/>
              <w:bottom w:val="single" w:sz="4" w:space="0" w:color="auto"/>
              <w:right w:val="single" w:sz="4" w:space="0" w:color="auto"/>
            </w:tcBorders>
          </w:tcPr>
          <w:p w14:paraId="44EE333A" w14:textId="77777777" w:rsidR="008E31F7" w:rsidRPr="009F1FA3" w:rsidRDefault="008E31F7" w:rsidP="008E31F7">
            <w:pPr>
              <w:jc w:val="center"/>
            </w:pPr>
            <w:r w:rsidRPr="009F1FA3">
              <w:t>JW-2</w:t>
            </w:r>
          </w:p>
        </w:tc>
        <w:tc>
          <w:tcPr>
            <w:tcW w:w="3870" w:type="dxa"/>
            <w:tcBorders>
              <w:top w:val="single" w:sz="4" w:space="0" w:color="auto"/>
              <w:left w:val="single" w:sz="4" w:space="0" w:color="auto"/>
              <w:bottom w:val="single" w:sz="4" w:space="0" w:color="auto"/>
              <w:right w:val="single" w:sz="4" w:space="0" w:color="auto"/>
            </w:tcBorders>
          </w:tcPr>
          <w:p w14:paraId="013008D9" w14:textId="77777777" w:rsidR="008E31F7" w:rsidRPr="009F1FA3" w:rsidRDefault="008E31F7" w:rsidP="008E31F7">
            <w:pPr>
              <w:pStyle w:val="ListParagraph"/>
              <w:suppressAutoHyphens/>
              <w:ind w:left="0"/>
              <w:jc w:val="left"/>
              <w:rPr>
                <w:szCs w:val="24"/>
              </w:rPr>
            </w:pPr>
            <w:r>
              <w:rPr>
                <w:szCs w:val="24"/>
              </w:rPr>
              <w:t xml:space="preserve">1. </w:t>
            </w:r>
            <w:r w:rsidRPr="009F1FA3">
              <w:rPr>
                <w:szCs w:val="24"/>
              </w:rPr>
              <w:t>TECO_TOD_Workpapers Marginal Energy Costs</w:t>
            </w:r>
          </w:p>
          <w:p w14:paraId="2AD018F7" w14:textId="77777777" w:rsidR="008E31F7" w:rsidRPr="009F1FA3" w:rsidRDefault="008E31F7" w:rsidP="008E31F7">
            <w:pPr>
              <w:pStyle w:val="ListParagraph"/>
              <w:suppressAutoHyphens/>
              <w:ind w:left="0"/>
              <w:jc w:val="left"/>
              <w:rPr>
                <w:szCs w:val="24"/>
              </w:rPr>
            </w:pPr>
            <w:r>
              <w:rPr>
                <w:szCs w:val="24"/>
              </w:rPr>
              <w:t xml:space="preserve">2. </w:t>
            </w:r>
            <w:r w:rsidRPr="009F1FA3">
              <w:rPr>
                <w:szCs w:val="24"/>
              </w:rPr>
              <w:t>2024 Ten Year Site Plan Marginal Energy Costs</w:t>
            </w:r>
          </w:p>
          <w:p w14:paraId="0C5A950D" w14:textId="77777777" w:rsidR="008E31F7" w:rsidRPr="009F1FA3" w:rsidRDefault="008E31F7" w:rsidP="008E31F7">
            <w:pPr>
              <w:pStyle w:val="ListParagraph"/>
              <w:suppressAutoHyphens/>
              <w:ind w:left="0"/>
              <w:jc w:val="left"/>
              <w:rPr>
                <w:szCs w:val="24"/>
              </w:rPr>
            </w:pPr>
            <w:r>
              <w:rPr>
                <w:szCs w:val="24"/>
              </w:rPr>
              <w:t xml:space="preserve">3. </w:t>
            </w:r>
            <w:r w:rsidRPr="009F1FA3">
              <w:rPr>
                <w:szCs w:val="24"/>
              </w:rPr>
              <w:t>GSLDTPR Demand Percentage</w:t>
            </w:r>
          </w:p>
          <w:p w14:paraId="0A14C01F" w14:textId="77777777" w:rsidR="008E31F7" w:rsidRPr="009F1FA3" w:rsidRDefault="008E31F7" w:rsidP="008E31F7">
            <w:pPr>
              <w:pStyle w:val="ListParagraph"/>
              <w:suppressAutoHyphens/>
              <w:ind w:left="0"/>
              <w:jc w:val="left"/>
              <w:rPr>
                <w:szCs w:val="24"/>
              </w:rPr>
            </w:pPr>
            <w:r>
              <w:rPr>
                <w:szCs w:val="24"/>
              </w:rPr>
              <w:t xml:space="preserve">4. </w:t>
            </w:r>
            <w:r w:rsidRPr="009F1FA3">
              <w:rPr>
                <w:szCs w:val="24"/>
              </w:rPr>
              <w:t>EIA Home Heating Source</w:t>
            </w:r>
          </w:p>
          <w:p w14:paraId="591B1D6B" w14:textId="77777777" w:rsidR="008E31F7" w:rsidRPr="009F1FA3" w:rsidRDefault="008E31F7" w:rsidP="008E31F7">
            <w:pPr>
              <w:pStyle w:val="ListParagraph"/>
              <w:suppressAutoHyphens/>
              <w:ind w:left="0"/>
              <w:jc w:val="left"/>
              <w:rPr>
                <w:szCs w:val="24"/>
              </w:rPr>
            </w:pPr>
            <w:r>
              <w:rPr>
                <w:szCs w:val="24"/>
              </w:rPr>
              <w:t xml:space="preserve">5. </w:t>
            </w:r>
            <w:r w:rsidRPr="009F1FA3">
              <w:rPr>
                <w:szCs w:val="24"/>
              </w:rPr>
              <w:t>EIA Whole Home Energy Costs</w:t>
            </w:r>
          </w:p>
          <w:p w14:paraId="00448441" w14:textId="77777777" w:rsidR="008E31F7" w:rsidRPr="009F1FA3" w:rsidRDefault="008E31F7" w:rsidP="008E31F7">
            <w:pPr>
              <w:pStyle w:val="ListParagraph"/>
              <w:suppressAutoHyphens/>
              <w:ind w:left="0"/>
              <w:jc w:val="left"/>
              <w:rPr>
                <w:szCs w:val="24"/>
              </w:rPr>
            </w:pPr>
            <w:r>
              <w:rPr>
                <w:szCs w:val="24"/>
              </w:rPr>
              <w:t xml:space="preserve">6. </w:t>
            </w:r>
            <w:r w:rsidRPr="009F1FA3">
              <w:rPr>
                <w:szCs w:val="24"/>
              </w:rPr>
              <w:t>EIA State Data</w:t>
            </w:r>
          </w:p>
          <w:p w14:paraId="5F925C78" w14:textId="77777777" w:rsidR="008E31F7" w:rsidRPr="009F1FA3" w:rsidRDefault="008E31F7" w:rsidP="008E31F7">
            <w:pPr>
              <w:pStyle w:val="ListParagraph"/>
              <w:suppressAutoHyphens/>
              <w:ind w:left="0"/>
              <w:jc w:val="left"/>
              <w:rPr>
                <w:szCs w:val="24"/>
              </w:rPr>
            </w:pPr>
            <w:r>
              <w:rPr>
                <w:szCs w:val="24"/>
              </w:rPr>
              <w:t xml:space="preserve">7. </w:t>
            </w:r>
            <w:r w:rsidRPr="009F1FA3">
              <w:rPr>
                <w:szCs w:val="24"/>
              </w:rPr>
              <w:t>Energy Burden Chart</w:t>
            </w:r>
          </w:p>
          <w:p w14:paraId="0CF263E8" w14:textId="77777777" w:rsidR="008E31F7" w:rsidRPr="009F1FA3" w:rsidRDefault="008E31F7" w:rsidP="008E31F7">
            <w:pPr>
              <w:pStyle w:val="ListParagraph"/>
              <w:suppressAutoHyphens/>
              <w:ind w:left="0"/>
              <w:jc w:val="left"/>
              <w:rPr>
                <w:szCs w:val="24"/>
              </w:rPr>
            </w:pPr>
            <w:r>
              <w:rPr>
                <w:szCs w:val="24"/>
              </w:rPr>
              <w:t xml:space="preserve">8. </w:t>
            </w:r>
            <w:r w:rsidRPr="009F1FA3">
              <w:rPr>
                <w:szCs w:val="24"/>
              </w:rPr>
              <w:t>Composite Notice</w:t>
            </w:r>
          </w:p>
        </w:tc>
      </w:tr>
    </w:tbl>
    <w:p w14:paraId="7FD80CE6" w14:textId="77777777" w:rsidR="00C7699A" w:rsidRPr="00701945" w:rsidRDefault="00C7699A" w:rsidP="00C7699A">
      <w:pPr>
        <w:jc w:val="both"/>
      </w:pPr>
    </w:p>
    <w:p w14:paraId="7A83CC93" w14:textId="77777777" w:rsidR="00C7699A" w:rsidRPr="00701945" w:rsidRDefault="00C7699A" w:rsidP="00C7699A">
      <w:pPr>
        <w:jc w:val="both"/>
      </w:pPr>
    </w:p>
    <w:p w14:paraId="2D4C112C" w14:textId="77777777" w:rsidR="00C7699A" w:rsidRPr="00A32DC5" w:rsidRDefault="00C7699A" w:rsidP="00C7699A">
      <w:pPr>
        <w:jc w:val="both"/>
        <w:rPr>
          <w:b/>
        </w:rPr>
      </w:pPr>
      <w:r w:rsidRPr="00A32DC5">
        <w:rPr>
          <w:b/>
        </w:rPr>
        <w:t>X.</w:t>
      </w:r>
      <w:r w:rsidRPr="00A32DC5">
        <w:rPr>
          <w:b/>
        </w:rPr>
        <w:tab/>
      </w:r>
      <w:r w:rsidRPr="00A32DC5">
        <w:rPr>
          <w:b/>
          <w:u w:val="single"/>
        </w:rPr>
        <w:t>PROPOSED STIPULATIONS</w:t>
      </w:r>
    </w:p>
    <w:p w14:paraId="5A3BA2DE" w14:textId="77777777" w:rsidR="00C7699A" w:rsidRDefault="00C7699A" w:rsidP="00C7699A">
      <w:pPr>
        <w:jc w:val="both"/>
      </w:pPr>
    </w:p>
    <w:p w14:paraId="3CE40F57" w14:textId="77777777" w:rsidR="00C7699A" w:rsidRPr="00937EEF" w:rsidRDefault="00C7699A" w:rsidP="00C7699A">
      <w:pPr>
        <w:ind w:firstLine="720"/>
        <w:jc w:val="both"/>
      </w:pPr>
      <w:r w:rsidRPr="00937EEF">
        <w:t>There are no proposed stipulations at this time.</w:t>
      </w:r>
    </w:p>
    <w:p w14:paraId="142D5DA4" w14:textId="77777777" w:rsidR="00C7699A" w:rsidRDefault="00C7699A" w:rsidP="00C7699A">
      <w:pPr>
        <w:ind w:left="1440" w:hanging="1440"/>
        <w:jc w:val="both"/>
        <w:rPr>
          <w:bCs/>
        </w:rPr>
      </w:pPr>
    </w:p>
    <w:p w14:paraId="2B6E18AC" w14:textId="77777777" w:rsidR="00C7699A" w:rsidRDefault="00C7699A" w:rsidP="00C7699A">
      <w:pPr>
        <w:ind w:left="1440" w:hanging="1440"/>
        <w:jc w:val="both"/>
        <w:rPr>
          <w:bCs/>
        </w:rPr>
      </w:pPr>
    </w:p>
    <w:p w14:paraId="39B54BE3" w14:textId="77777777" w:rsidR="00C7699A" w:rsidRPr="00A32DC5" w:rsidRDefault="00C7699A" w:rsidP="00C7699A">
      <w:pPr>
        <w:jc w:val="both"/>
        <w:rPr>
          <w:b/>
        </w:rPr>
      </w:pPr>
      <w:r w:rsidRPr="00A32DC5">
        <w:rPr>
          <w:b/>
        </w:rPr>
        <w:t>XI.</w:t>
      </w:r>
      <w:r w:rsidRPr="00A32DC5">
        <w:rPr>
          <w:b/>
        </w:rPr>
        <w:tab/>
      </w:r>
      <w:r w:rsidRPr="00A32DC5">
        <w:rPr>
          <w:b/>
          <w:u w:val="single"/>
        </w:rPr>
        <w:t>PENDING MOTIONS</w:t>
      </w:r>
    </w:p>
    <w:p w14:paraId="7B2D0F4A" w14:textId="3E93C86E" w:rsidR="00C7699A" w:rsidRDefault="00C7699A" w:rsidP="00C7699A">
      <w:pPr>
        <w:jc w:val="both"/>
      </w:pPr>
    </w:p>
    <w:p w14:paraId="610B17CF" w14:textId="77777777" w:rsidR="0088726A" w:rsidRDefault="002643D5" w:rsidP="00C7699A">
      <w:pPr>
        <w:ind w:firstLine="720"/>
        <w:jc w:val="both"/>
      </w:pPr>
      <w:r>
        <w:t xml:space="preserve">During this Prehearing Conference, OPC made an </w:t>
      </w:r>
      <w:r w:rsidRPr="002643D5">
        <w:rPr>
          <w:i/>
        </w:rPr>
        <w:t>ore tenus</w:t>
      </w:r>
      <w:r>
        <w:t xml:space="preserve"> Motion Requesting </w:t>
      </w:r>
      <w:r w:rsidR="005C59C6">
        <w:t>Extension of Time to Provide Exhibits. OPC argues that it lost a few days time to prepare cross-examination exhibits due to Hurricane Debby. OPC states that providing additional time to comply will allow it to focus more and will translate into a reduction of extraneous documents marked as exhibit</w:t>
      </w:r>
      <w:r w:rsidR="0088726A">
        <w:t>s.</w:t>
      </w:r>
    </w:p>
    <w:p w14:paraId="52F3A82E" w14:textId="77777777" w:rsidR="0088726A" w:rsidRDefault="0088726A" w:rsidP="00C7699A">
      <w:pPr>
        <w:ind w:firstLine="720"/>
        <w:jc w:val="both"/>
      </w:pPr>
    </w:p>
    <w:p w14:paraId="57281428" w14:textId="375E1866" w:rsidR="00126FA8" w:rsidRDefault="0088726A" w:rsidP="00126FA8">
      <w:pPr>
        <w:ind w:firstLine="720"/>
        <w:jc w:val="both"/>
      </w:pPr>
      <w:r>
        <w:t xml:space="preserve">In light of </w:t>
      </w:r>
      <w:r w:rsidR="005C59C6">
        <w:t xml:space="preserve">the delay caused by Hurricane Debby and </w:t>
      </w:r>
      <w:r w:rsidR="007735E2">
        <w:t xml:space="preserve">the </w:t>
      </w:r>
      <w:r w:rsidR="005C59C6">
        <w:t>benefits articulated by OPC</w:t>
      </w:r>
      <w:r w:rsidR="007735E2">
        <w:t xml:space="preserve">, I find there is good cause to </w:t>
      </w:r>
      <w:r w:rsidR="00A56B6F">
        <w:t xml:space="preserve">modify the </w:t>
      </w:r>
      <w:r w:rsidR="00F72007">
        <w:t>OEP</w:t>
      </w:r>
      <w:r w:rsidR="00A56B6F" w:rsidRPr="005C59C6">
        <w:t>, Order No. PSC-2024-0096-PCO-EI,</w:t>
      </w:r>
      <w:r w:rsidR="00A56B6F">
        <w:t xml:space="preserve"> and set a new </w:t>
      </w:r>
      <w:r w:rsidR="005C59C6">
        <w:t>Provision of Exhibits deadline</w:t>
      </w:r>
      <w:r w:rsidR="00126FA8">
        <w:t>. W</w:t>
      </w:r>
      <w:r w:rsidR="00C840A1">
        <w:t xml:space="preserve">ith the exception of deposition transcripts used for impeachment exhibits, which will be discussed further below, all cross-examination, demonstrative, and impeachment exhibits, except for deposition transcripts, shall be exchanged between the parties and </w:t>
      </w:r>
      <w:r w:rsidR="004B4D1D">
        <w:t>S</w:t>
      </w:r>
      <w:r w:rsidR="00C840A1">
        <w:t>taff by the close of business on Thursday, August 15, 2024, using the process set out in the OEP.</w:t>
      </w:r>
    </w:p>
    <w:p w14:paraId="4A3FC277" w14:textId="77777777" w:rsidR="00126FA8" w:rsidRDefault="00126FA8" w:rsidP="00126FA8">
      <w:pPr>
        <w:ind w:firstLine="720"/>
        <w:jc w:val="both"/>
      </w:pPr>
    </w:p>
    <w:p w14:paraId="45EFED0C" w14:textId="482C7B0F" w:rsidR="00C840A1" w:rsidRDefault="00C840A1" w:rsidP="00126FA8">
      <w:pPr>
        <w:ind w:firstLine="720"/>
        <w:jc w:val="both"/>
      </w:pPr>
      <w:r>
        <w:t xml:space="preserve">Deposition transcripts </w:t>
      </w:r>
      <w:r w:rsidRPr="000E2F7E">
        <w:rPr>
          <w:i/>
        </w:rPr>
        <w:t>used for impeachment purposes only</w:t>
      </w:r>
      <w:r>
        <w:t xml:space="preserve"> are no longer required to be exchanged between </w:t>
      </w:r>
      <w:r w:rsidR="004B4D1D">
        <w:t xml:space="preserve">the </w:t>
      </w:r>
      <w:r>
        <w:t>parties</w:t>
      </w:r>
      <w:r w:rsidR="004B4D1D">
        <w:t xml:space="preserve"> and Staff</w:t>
      </w:r>
      <w:r>
        <w:t>. Deposition transcripts that are used for impeachment purposes will not be loaded into Case Center. Section VII, Part I, of the OEP, still applies to those deposition transcripts that parties seek to admit into the record.</w:t>
      </w:r>
    </w:p>
    <w:p w14:paraId="6D79C690" w14:textId="77777777" w:rsidR="005F57A4" w:rsidRDefault="005F57A4" w:rsidP="00126FA8">
      <w:pPr>
        <w:ind w:firstLine="720"/>
        <w:jc w:val="both"/>
      </w:pPr>
    </w:p>
    <w:p w14:paraId="2065CAD1" w14:textId="55C20482" w:rsidR="00C840A1" w:rsidRDefault="00C840A1" w:rsidP="005F57A4">
      <w:pPr>
        <w:ind w:firstLine="720"/>
        <w:jc w:val="both"/>
      </w:pPr>
      <w:r>
        <w:t xml:space="preserve">In addition, it appears questions remain concerning the Provision of Exhibits requirements of the OEP. By Section VII, Part G, of the OEP, the Commission intended to require all parties and </w:t>
      </w:r>
      <w:r w:rsidR="005F57A4">
        <w:t>S</w:t>
      </w:r>
      <w:r>
        <w:t xml:space="preserve">taff to exchange exhibits prior to the hearing so that all hearing participants are on notice of all exhibits to be used during the hearing. Notice prior to the hearing </w:t>
      </w:r>
      <w:r>
        <w:lastRenderedPageBreak/>
        <w:t>remains the intent and is the reason for the Exhibit List required by Section VII, Part G, of the OEP.</w:t>
      </w:r>
    </w:p>
    <w:p w14:paraId="7816C13A" w14:textId="77777777" w:rsidR="005F57A4" w:rsidRDefault="005F57A4" w:rsidP="00C840A1">
      <w:pPr>
        <w:jc w:val="both"/>
      </w:pPr>
    </w:p>
    <w:p w14:paraId="692C614E" w14:textId="77777777" w:rsidR="001F1D17" w:rsidRDefault="005F57A4" w:rsidP="001F1D17">
      <w:pPr>
        <w:ind w:firstLine="720"/>
        <w:jc w:val="both"/>
      </w:pPr>
      <w:r>
        <w:t>The following clarifications are offered to assist the parties in preparing for the final hearing:</w:t>
      </w:r>
    </w:p>
    <w:p w14:paraId="6319DB98" w14:textId="77777777" w:rsidR="001F1D17" w:rsidRDefault="001F1D17" w:rsidP="001F1D17">
      <w:pPr>
        <w:ind w:firstLine="720"/>
        <w:jc w:val="both"/>
      </w:pPr>
    </w:p>
    <w:p w14:paraId="193CEC99" w14:textId="18C0ED30" w:rsidR="001F1D17" w:rsidRDefault="00C840A1" w:rsidP="00C840A1">
      <w:pPr>
        <w:pStyle w:val="ListParagraph"/>
        <w:numPr>
          <w:ilvl w:val="0"/>
          <w:numId w:val="33"/>
        </w:numPr>
      </w:pPr>
      <w:r>
        <w:t xml:space="preserve">Parties may use the exhibits identified by </w:t>
      </w:r>
      <w:r w:rsidR="00A341FE">
        <w:t>S</w:t>
      </w:r>
      <w:r>
        <w:t xml:space="preserve">taff on the </w:t>
      </w:r>
      <w:r w:rsidR="00A341FE">
        <w:t>Comprehensive Exhibit List (</w:t>
      </w:r>
      <w:r>
        <w:t>CEL</w:t>
      </w:r>
      <w:r w:rsidR="00A341FE">
        <w:t>)</w:t>
      </w:r>
      <w:r>
        <w:t xml:space="preserve"> for cross-examination purposes without listing them on the party’s exhibit list or exchanging the exhibit with the other parties. Thus, </w:t>
      </w:r>
      <w:r w:rsidR="00BA009C">
        <w:t xml:space="preserve">for example, </w:t>
      </w:r>
      <w:r>
        <w:t xml:space="preserve">a </w:t>
      </w:r>
      <w:r w:rsidR="00BA009C">
        <w:t>S</w:t>
      </w:r>
      <w:r>
        <w:t xml:space="preserve">taff </w:t>
      </w:r>
      <w:r w:rsidR="00BA009C">
        <w:t>E</w:t>
      </w:r>
      <w:r>
        <w:t xml:space="preserve">xhibit on the CEL may be used by any party, and should not be </w:t>
      </w:r>
      <w:r w:rsidR="00BA009C">
        <w:t xml:space="preserve">duplicated </w:t>
      </w:r>
      <w:r>
        <w:t xml:space="preserve">on </w:t>
      </w:r>
      <w:r w:rsidR="00BA009C">
        <w:t xml:space="preserve">another party’s exhibit list or </w:t>
      </w:r>
      <w:r>
        <w:t xml:space="preserve">provided in the exchange if </w:t>
      </w:r>
      <w:r w:rsidR="00BA009C">
        <w:t xml:space="preserve">the party intends to use that </w:t>
      </w:r>
      <w:r>
        <w:t>previously identified exhibit.</w:t>
      </w:r>
    </w:p>
    <w:p w14:paraId="4C6D5DCC" w14:textId="77777777" w:rsidR="001F1D17" w:rsidRDefault="00C840A1" w:rsidP="00C840A1">
      <w:pPr>
        <w:pStyle w:val="ListParagraph"/>
        <w:numPr>
          <w:ilvl w:val="0"/>
          <w:numId w:val="33"/>
        </w:numPr>
      </w:pPr>
      <w:r>
        <w:t>All hearing participants are already on notice of all prefiled testimony and exhibits.  Thus, no prefiled testimony or prefiled exhibits should be listed on any party’s exhibit list or exchanged.</w:t>
      </w:r>
    </w:p>
    <w:p w14:paraId="4614E64E" w14:textId="23765B08" w:rsidR="001F1D17" w:rsidRDefault="001F1D17" w:rsidP="00C840A1">
      <w:pPr>
        <w:pStyle w:val="ListParagraph"/>
        <w:numPr>
          <w:ilvl w:val="0"/>
          <w:numId w:val="33"/>
        </w:numPr>
      </w:pPr>
      <w:r>
        <w:t xml:space="preserve">Parties </w:t>
      </w:r>
      <w:r w:rsidR="00C840A1">
        <w:t xml:space="preserve">are not required to submit an exhibit in Excel format if you are satisfied that a witness can view the PDF conversion of the spreadsheet; please check the PDF version to ensure legibility. However, if an Excel spreadsheet </w:t>
      </w:r>
      <w:r w:rsidR="000E2F7E">
        <w:t xml:space="preserve">is submitted </w:t>
      </w:r>
      <w:r w:rsidR="00C840A1">
        <w:t xml:space="preserve">in native format, </w:t>
      </w:r>
      <w:r w:rsidR="000E2F7E">
        <w:t>the party</w:t>
      </w:r>
      <w:r w:rsidR="00C840A1">
        <w:t xml:space="preserve"> must also submit a PDF conversion of the exhibit using the same exhibit name. (i.e., OPC-1 Short Title.pdf and OPC-1 Short Title.xls).</w:t>
      </w:r>
    </w:p>
    <w:p w14:paraId="08063499" w14:textId="77777777" w:rsidR="000E2F7E" w:rsidRDefault="001F1D17" w:rsidP="00C840A1">
      <w:pPr>
        <w:pStyle w:val="ListParagraph"/>
        <w:numPr>
          <w:ilvl w:val="0"/>
          <w:numId w:val="33"/>
        </w:numPr>
      </w:pPr>
      <w:r>
        <w:t xml:space="preserve">Parties </w:t>
      </w:r>
      <w:r w:rsidR="00C840A1">
        <w:t xml:space="preserve">are not required to create a separate PDF file or exhibit for each Interrogatory response. </w:t>
      </w:r>
      <w:r>
        <w:t>S</w:t>
      </w:r>
      <w:r w:rsidR="00C840A1">
        <w:t xml:space="preserve">everal responses and attachments </w:t>
      </w:r>
      <w:r>
        <w:t xml:space="preserve">can be combined </w:t>
      </w:r>
      <w:r w:rsidR="00C840A1">
        <w:t xml:space="preserve">into one PDF document and submit it as one composite exhibit. If </w:t>
      </w:r>
      <w:r w:rsidR="000E2F7E">
        <w:t>a party</w:t>
      </w:r>
      <w:r w:rsidR="00C840A1">
        <w:t xml:space="preserve"> submit</w:t>
      </w:r>
      <w:r w:rsidR="000E2F7E">
        <w:t>s</w:t>
      </w:r>
      <w:r w:rsidR="00C840A1">
        <w:t xml:space="preserve"> an attachment separately, the attachment must be numbered as a separate exhibit.</w:t>
      </w:r>
    </w:p>
    <w:p w14:paraId="00313BEA" w14:textId="2C4C3D57" w:rsidR="00C840A1" w:rsidRDefault="00C840A1" w:rsidP="00C840A1">
      <w:pPr>
        <w:pStyle w:val="ListParagraph"/>
        <w:numPr>
          <w:ilvl w:val="0"/>
          <w:numId w:val="33"/>
        </w:numPr>
      </w:pPr>
      <w:r>
        <w:t xml:space="preserve">The exchange of cross-examination exhibits prior to hearing is consistent with Florida law and is to afford due process to all parties by avoiding “trial by surprise.” </w:t>
      </w:r>
      <w:r w:rsidR="000E2F7E">
        <w:t>The Commission</w:t>
      </w:r>
      <w:r>
        <w:t xml:space="preserve"> expect</w:t>
      </w:r>
      <w:r w:rsidR="000E2F7E">
        <w:t>s</w:t>
      </w:r>
      <w:r>
        <w:t xml:space="preserve"> all parties to respect the process by being judicious about the cross-examination exhibits provided</w:t>
      </w:r>
      <w:r w:rsidR="00243251">
        <w:t>.</w:t>
      </w:r>
      <w:r>
        <w:t xml:space="preserve"> </w:t>
      </w:r>
      <w:r w:rsidR="000E2F7E">
        <w:t xml:space="preserve">Parties </w:t>
      </w:r>
      <w:r w:rsidR="00743C0E">
        <w:t xml:space="preserve">should have a reasonable, good faith </w:t>
      </w:r>
      <w:r>
        <w:t>expectation of using the exhibit during the hearing.</w:t>
      </w:r>
    </w:p>
    <w:p w14:paraId="5D1B7342" w14:textId="0BB13345" w:rsidR="00070A3F" w:rsidRDefault="00070A3F" w:rsidP="00070A3F"/>
    <w:p w14:paraId="2CADEB2C" w14:textId="3717B322" w:rsidR="00070A3F" w:rsidRDefault="006F6CC6" w:rsidP="008A2809">
      <w:pPr>
        <w:ind w:firstLine="720"/>
        <w:jc w:val="both"/>
      </w:pPr>
      <w:r>
        <w:t>After the Prehearing Conference, on August 9, 2024, OPC filed a Motion and Notice of Intent to Seek Official Recognition.</w:t>
      </w:r>
    </w:p>
    <w:p w14:paraId="774BAD44" w14:textId="77777777" w:rsidR="00070A3F" w:rsidRDefault="00070A3F" w:rsidP="00070A3F"/>
    <w:p w14:paraId="0E7CB545" w14:textId="77777777" w:rsidR="00C7699A" w:rsidRPr="00A32DC5" w:rsidRDefault="00C7699A" w:rsidP="00C7699A">
      <w:pPr>
        <w:jc w:val="both"/>
        <w:rPr>
          <w:b/>
        </w:rPr>
      </w:pPr>
      <w:r w:rsidRPr="00A32DC5">
        <w:rPr>
          <w:b/>
        </w:rPr>
        <w:t>XII.</w:t>
      </w:r>
      <w:r w:rsidRPr="00A32DC5">
        <w:rPr>
          <w:b/>
        </w:rPr>
        <w:tab/>
      </w:r>
      <w:r w:rsidRPr="00A32DC5">
        <w:rPr>
          <w:b/>
          <w:u w:val="single"/>
        </w:rPr>
        <w:t>PENDING CONFIDENTIALITY MATTERS</w:t>
      </w:r>
    </w:p>
    <w:p w14:paraId="6142CEEA" w14:textId="77777777" w:rsidR="00C7699A" w:rsidRDefault="00C7699A" w:rsidP="00C7699A">
      <w:pPr>
        <w:jc w:val="both"/>
      </w:pPr>
    </w:p>
    <w:p w14:paraId="5B08BF59" w14:textId="77777777" w:rsidR="00937EEF" w:rsidRDefault="00937EEF" w:rsidP="00C7699A">
      <w:pPr>
        <w:jc w:val="both"/>
        <w:rPr>
          <w:b/>
          <w:u w:val="single"/>
        </w:rPr>
      </w:pPr>
      <w:r>
        <w:tab/>
      </w:r>
      <w:r>
        <w:rPr>
          <w:b/>
          <w:u w:val="single"/>
        </w:rPr>
        <w:t>TECO</w:t>
      </w:r>
    </w:p>
    <w:p w14:paraId="79A19916" w14:textId="77777777" w:rsidR="00376F06" w:rsidRDefault="00376F06" w:rsidP="00C7699A">
      <w:pPr>
        <w:jc w:val="both"/>
        <w:rPr>
          <w:b/>
          <w:u w:val="single"/>
        </w:rPr>
      </w:pPr>
    </w:p>
    <w:tbl>
      <w:tblPr>
        <w:tblStyle w:val="TableGrid"/>
        <w:tblW w:w="9450" w:type="dxa"/>
        <w:tblLayout w:type="fixed"/>
        <w:tblLook w:val="04A0" w:firstRow="1" w:lastRow="0" w:firstColumn="1" w:lastColumn="0" w:noHBand="0" w:noVBand="1"/>
      </w:tblPr>
      <w:tblGrid>
        <w:gridCol w:w="2718"/>
        <w:gridCol w:w="3060"/>
        <w:gridCol w:w="3672"/>
      </w:tblGrid>
      <w:tr w:rsidR="00937EEF" w:rsidRPr="00F528AE" w14:paraId="04DD09AA" w14:textId="77777777" w:rsidTr="00937EEF">
        <w:trPr>
          <w:cantSplit/>
          <w:trHeight w:val="288"/>
        </w:trPr>
        <w:tc>
          <w:tcPr>
            <w:tcW w:w="2718" w:type="dxa"/>
          </w:tcPr>
          <w:p w14:paraId="477AE670" w14:textId="77777777" w:rsidR="00937EEF" w:rsidRPr="00F528AE" w:rsidRDefault="00937EEF" w:rsidP="00F464AF">
            <w:pPr>
              <w:tabs>
                <w:tab w:val="left" w:pos="720"/>
                <w:tab w:val="left" w:pos="1800"/>
                <w:tab w:val="left" w:pos="3600"/>
              </w:tabs>
              <w:suppressAutoHyphens/>
              <w:ind w:left="1800" w:hanging="1800"/>
              <w:rPr>
                <w:b/>
                <w:bCs/>
                <w:spacing w:val="-3"/>
              </w:rPr>
            </w:pPr>
            <w:r w:rsidRPr="00F528AE">
              <w:rPr>
                <w:b/>
                <w:bCs/>
                <w:spacing w:val="-3"/>
              </w:rPr>
              <w:t>Date Filed</w:t>
            </w:r>
          </w:p>
        </w:tc>
        <w:tc>
          <w:tcPr>
            <w:tcW w:w="3060" w:type="dxa"/>
          </w:tcPr>
          <w:p w14:paraId="50E743DB" w14:textId="77777777" w:rsidR="00937EEF" w:rsidRPr="00F528AE" w:rsidRDefault="00937EEF" w:rsidP="00F464AF">
            <w:pPr>
              <w:tabs>
                <w:tab w:val="left" w:pos="720"/>
                <w:tab w:val="left" w:pos="1800"/>
                <w:tab w:val="left" w:pos="3600"/>
              </w:tabs>
              <w:suppressAutoHyphens/>
              <w:ind w:left="1800" w:hanging="1800"/>
              <w:rPr>
                <w:b/>
                <w:bCs/>
                <w:spacing w:val="-3"/>
              </w:rPr>
            </w:pPr>
            <w:r w:rsidRPr="00F528AE">
              <w:rPr>
                <w:b/>
                <w:bCs/>
                <w:spacing w:val="-3"/>
              </w:rPr>
              <w:t>Type</w:t>
            </w:r>
          </w:p>
        </w:tc>
        <w:tc>
          <w:tcPr>
            <w:tcW w:w="3672" w:type="dxa"/>
          </w:tcPr>
          <w:p w14:paraId="53231B59" w14:textId="77777777" w:rsidR="00937EEF" w:rsidRPr="00F528AE" w:rsidRDefault="00937EEF" w:rsidP="00F464AF">
            <w:pPr>
              <w:tabs>
                <w:tab w:val="left" w:pos="720"/>
                <w:tab w:val="left" w:pos="1800"/>
                <w:tab w:val="left" w:pos="3600"/>
              </w:tabs>
              <w:suppressAutoHyphens/>
              <w:ind w:left="1800" w:hanging="1800"/>
              <w:rPr>
                <w:b/>
                <w:bCs/>
                <w:spacing w:val="-3"/>
              </w:rPr>
            </w:pPr>
            <w:r w:rsidRPr="00F528AE">
              <w:rPr>
                <w:b/>
                <w:bCs/>
                <w:spacing w:val="-3"/>
              </w:rPr>
              <w:t>Subject Matter</w:t>
            </w:r>
          </w:p>
        </w:tc>
      </w:tr>
      <w:tr w:rsidR="00937EEF" w:rsidRPr="00F528AE" w14:paraId="3EE11D48" w14:textId="77777777" w:rsidTr="00937EEF">
        <w:trPr>
          <w:cantSplit/>
          <w:trHeight w:val="288"/>
        </w:trPr>
        <w:tc>
          <w:tcPr>
            <w:tcW w:w="2718" w:type="dxa"/>
            <w:vAlign w:val="center"/>
          </w:tcPr>
          <w:p w14:paraId="2EC87A8D" w14:textId="77777777" w:rsidR="00937EEF" w:rsidRPr="00F528AE" w:rsidRDefault="00937EEF" w:rsidP="00F464AF">
            <w:pPr>
              <w:tabs>
                <w:tab w:val="left" w:pos="720"/>
                <w:tab w:val="left" w:pos="1800"/>
                <w:tab w:val="left" w:pos="3600"/>
              </w:tabs>
              <w:suppressAutoHyphens/>
              <w:ind w:left="1800" w:hanging="1800"/>
              <w:rPr>
                <w:spacing w:val="-3"/>
              </w:rPr>
            </w:pPr>
            <w:r w:rsidRPr="00F528AE">
              <w:rPr>
                <w:spacing w:val="-3"/>
              </w:rPr>
              <w:t>April 11, 2024</w:t>
            </w:r>
          </w:p>
        </w:tc>
        <w:tc>
          <w:tcPr>
            <w:tcW w:w="3060" w:type="dxa"/>
            <w:vAlign w:val="center"/>
          </w:tcPr>
          <w:p w14:paraId="5C124B1D" w14:textId="77777777" w:rsidR="00937EEF" w:rsidRPr="00F528AE" w:rsidRDefault="00937EEF" w:rsidP="00F464AF">
            <w:pPr>
              <w:tabs>
                <w:tab w:val="left" w:pos="720"/>
                <w:tab w:val="left" w:pos="1800"/>
                <w:tab w:val="left" w:pos="3600"/>
              </w:tabs>
              <w:suppressAutoHyphens/>
              <w:ind w:left="1800" w:hanging="1800"/>
              <w:rPr>
                <w:spacing w:val="-3"/>
              </w:rPr>
            </w:pPr>
            <w:r w:rsidRPr="00F528AE">
              <w:rPr>
                <w:spacing w:val="-3"/>
              </w:rPr>
              <w:t>MTPO</w:t>
            </w:r>
          </w:p>
        </w:tc>
        <w:tc>
          <w:tcPr>
            <w:tcW w:w="3672" w:type="dxa"/>
            <w:vAlign w:val="center"/>
          </w:tcPr>
          <w:p w14:paraId="44D873D9" w14:textId="77777777" w:rsidR="00937EEF" w:rsidRPr="00F528AE" w:rsidRDefault="00937EEF" w:rsidP="00F464AF">
            <w:pPr>
              <w:tabs>
                <w:tab w:val="left" w:pos="720"/>
                <w:tab w:val="left" w:pos="1800"/>
                <w:tab w:val="left" w:pos="3600"/>
              </w:tabs>
              <w:suppressAutoHyphens/>
              <w:ind w:left="1800" w:hanging="1800"/>
              <w:rPr>
                <w:spacing w:val="-3"/>
              </w:rPr>
            </w:pPr>
            <w:r w:rsidRPr="00F528AE">
              <w:rPr>
                <w:spacing w:val="-3"/>
              </w:rPr>
              <w:t>OPC’s 1</w:t>
            </w:r>
            <w:r w:rsidRPr="00F528AE">
              <w:rPr>
                <w:spacing w:val="-3"/>
                <w:vertAlign w:val="superscript"/>
              </w:rPr>
              <w:t>st</w:t>
            </w:r>
            <w:r w:rsidRPr="00F528AE">
              <w:rPr>
                <w:spacing w:val="-3"/>
              </w:rPr>
              <w:t xml:space="preserve"> IRR &amp; 1</w:t>
            </w:r>
            <w:r w:rsidRPr="00F528AE">
              <w:rPr>
                <w:spacing w:val="-3"/>
                <w:vertAlign w:val="superscript"/>
              </w:rPr>
              <w:t>st</w:t>
            </w:r>
            <w:r w:rsidRPr="00F528AE">
              <w:rPr>
                <w:spacing w:val="-3"/>
              </w:rPr>
              <w:t xml:space="preserve"> POD</w:t>
            </w:r>
          </w:p>
        </w:tc>
      </w:tr>
      <w:tr w:rsidR="00937EEF" w:rsidRPr="00F528AE" w14:paraId="516E0ACB" w14:textId="77777777" w:rsidTr="00937EEF">
        <w:trPr>
          <w:cantSplit/>
          <w:trHeight w:val="288"/>
        </w:trPr>
        <w:tc>
          <w:tcPr>
            <w:tcW w:w="2718" w:type="dxa"/>
            <w:vAlign w:val="center"/>
          </w:tcPr>
          <w:p w14:paraId="5D2D17A4" w14:textId="77777777" w:rsidR="00937EEF" w:rsidRPr="00F528AE" w:rsidRDefault="00937EEF" w:rsidP="00F464AF">
            <w:pPr>
              <w:tabs>
                <w:tab w:val="left" w:pos="720"/>
                <w:tab w:val="left" w:pos="1800"/>
                <w:tab w:val="left" w:pos="3600"/>
              </w:tabs>
              <w:suppressAutoHyphens/>
              <w:ind w:left="1800" w:hanging="1800"/>
              <w:rPr>
                <w:spacing w:val="-3"/>
              </w:rPr>
            </w:pPr>
            <w:r w:rsidRPr="00F528AE">
              <w:rPr>
                <w:spacing w:val="-3"/>
              </w:rPr>
              <w:t>April 17, 2024</w:t>
            </w:r>
          </w:p>
        </w:tc>
        <w:tc>
          <w:tcPr>
            <w:tcW w:w="3060" w:type="dxa"/>
            <w:vAlign w:val="center"/>
          </w:tcPr>
          <w:p w14:paraId="25F0C92B" w14:textId="77777777" w:rsidR="00937EEF" w:rsidRPr="00F528AE" w:rsidRDefault="00937EEF" w:rsidP="00F464AF">
            <w:pPr>
              <w:tabs>
                <w:tab w:val="left" w:pos="720"/>
                <w:tab w:val="left" w:pos="1800"/>
                <w:tab w:val="left" w:pos="3600"/>
              </w:tabs>
              <w:suppressAutoHyphens/>
              <w:ind w:left="1800" w:hanging="1800"/>
              <w:rPr>
                <w:spacing w:val="-3"/>
              </w:rPr>
            </w:pPr>
            <w:r w:rsidRPr="00F528AE">
              <w:rPr>
                <w:spacing w:val="-3"/>
              </w:rPr>
              <w:t>MTPO</w:t>
            </w:r>
          </w:p>
        </w:tc>
        <w:tc>
          <w:tcPr>
            <w:tcW w:w="3672" w:type="dxa"/>
            <w:vAlign w:val="center"/>
          </w:tcPr>
          <w:p w14:paraId="21624140" w14:textId="77777777" w:rsidR="00937EEF" w:rsidRPr="00F528AE" w:rsidRDefault="00937EEF" w:rsidP="00F464AF">
            <w:pPr>
              <w:tabs>
                <w:tab w:val="left" w:pos="720"/>
                <w:tab w:val="left" w:pos="1800"/>
                <w:tab w:val="left" w:pos="3600"/>
              </w:tabs>
              <w:suppressAutoHyphens/>
              <w:ind w:left="1800" w:hanging="1800"/>
              <w:rPr>
                <w:spacing w:val="-3"/>
              </w:rPr>
            </w:pPr>
            <w:r w:rsidRPr="00F528AE">
              <w:rPr>
                <w:spacing w:val="-3"/>
              </w:rPr>
              <w:t>OPC’s 2</w:t>
            </w:r>
            <w:r w:rsidRPr="00F528AE">
              <w:rPr>
                <w:spacing w:val="-3"/>
                <w:vertAlign w:val="superscript"/>
              </w:rPr>
              <w:t>nd</w:t>
            </w:r>
            <w:r w:rsidRPr="00F528AE">
              <w:rPr>
                <w:spacing w:val="-3"/>
              </w:rPr>
              <w:t xml:space="preserve"> IRR &amp; 2</w:t>
            </w:r>
            <w:r w:rsidRPr="00F528AE">
              <w:rPr>
                <w:spacing w:val="-3"/>
                <w:vertAlign w:val="superscript"/>
              </w:rPr>
              <w:t>nd</w:t>
            </w:r>
            <w:r w:rsidRPr="00F528AE">
              <w:rPr>
                <w:spacing w:val="-3"/>
              </w:rPr>
              <w:t xml:space="preserve"> POD</w:t>
            </w:r>
          </w:p>
        </w:tc>
      </w:tr>
      <w:tr w:rsidR="00937EEF" w:rsidRPr="00F528AE" w14:paraId="35940C3E" w14:textId="77777777" w:rsidTr="00937EEF">
        <w:trPr>
          <w:cantSplit/>
          <w:trHeight w:val="288"/>
        </w:trPr>
        <w:tc>
          <w:tcPr>
            <w:tcW w:w="2718" w:type="dxa"/>
            <w:vAlign w:val="center"/>
          </w:tcPr>
          <w:p w14:paraId="05A0DFB9" w14:textId="77777777" w:rsidR="00937EEF" w:rsidRPr="00F528AE" w:rsidRDefault="00937EEF" w:rsidP="00F464AF">
            <w:pPr>
              <w:tabs>
                <w:tab w:val="left" w:pos="720"/>
                <w:tab w:val="left" w:pos="1800"/>
                <w:tab w:val="left" w:pos="3600"/>
              </w:tabs>
              <w:suppressAutoHyphens/>
              <w:ind w:left="1800" w:hanging="1800"/>
              <w:rPr>
                <w:spacing w:val="-3"/>
              </w:rPr>
            </w:pPr>
            <w:r w:rsidRPr="00F528AE">
              <w:rPr>
                <w:spacing w:val="-3"/>
              </w:rPr>
              <w:t>April 19, 2024</w:t>
            </w:r>
          </w:p>
        </w:tc>
        <w:tc>
          <w:tcPr>
            <w:tcW w:w="3060" w:type="dxa"/>
            <w:vAlign w:val="center"/>
          </w:tcPr>
          <w:p w14:paraId="07B364BF" w14:textId="77777777" w:rsidR="00937EEF" w:rsidRPr="00F528AE" w:rsidRDefault="00937EEF" w:rsidP="00F464AF">
            <w:pPr>
              <w:tabs>
                <w:tab w:val="left" w:pos="720"/>
                <w:tab w:val="left" w:pos="1800"/>
                <w:tab w:val="left" w:pos="3600"/>
              </w:tabs>
              <w:suppressAutoHyphens/>
              <w:ind w:left="1800" w:hanging="1800"/>
              <w:rPr>
                <w:spacing w:val="-3"/>
              </w:rPr>
            </w:pPr>
            <w:r w:rsidRPr="00F528AE">
              <w:rPr>
                <w:spacing w:val="-3"/>
              </w:rPr>
              <w:t>MTPO</w:t>
            </w:r>
          </w:p>
        </w:tc>
        <w:tc>
          <w:tcPr>
            <w:tcW w:w="3672" w:type="dxa"/>
            <w:vAlign w:val="center"/>
          </w:tcPr>
          <w:p w14:paraId="082CB122" w14:textId="77777777" w:rsidR="00937EEF" w:rsidRPr="00F528AE" w:rsidRDefault="00937EEF" w:rsidP="00F464AF">
            <w:pPr>
              <w:tabs>
                <w:tab w:val="left" w:pos="720"/>
                <w:tab w:val="left" w:pos="1800"/>
                <w:tab w:val="left" w:pos="3600"/>
              </w:tabs>
              <w:suppressAutoHyphens/>
              <w:ind w:left="1800" w:hanging="1800"/>
              <w:rPr>
                <w:spacing w:val="-3"/>
              </w:rPr>
            </w:pPr>
            <w:r w:rsidRPr="00F528AE">
              <w:rPr>
                <w:spacing w:val="-3"/>
              </w:rPr>
              <w:t>OPC’s 2</w:t>
            </w:r>
            <w:r w:rsidRPr="00F528AE">
              <w:rPr>
                <w:spacing w:val="-3"/>
                <w:vertAlign w:val="superscript"/>
              </w:rPr>
              <w:t>nd</w:t>
            </w:r>
            <w:r w:rsidRPr="00F528AE">
              <w:rPr>
                <w:spacing w:val="-3"/>
              </w:rPr>
              <w:t xml:space="preserve"> IRR &amp; 2</w:t>
            </w:r>
            <w:r w:rsidRPr="00F528AE">
              <w:rPr>
                <w:spacing w:val="-3"/>
                <w:vertAlign w:val="superscript"/>
              </w:rPr>
              <w:t>nd</w:t>
            </w:r>
            <w:r w:rsidRPr="00F528AE">
              <w:rPr>
                <w:spacing w:val="-3"/>
              </w:rPr>
              <w:t xml:space="preserve"> POD</w:t>
            </w:r>
          </w:p>
        </w:tc>
      </w:tr>
      <w:tr w:rsidR="00937EEF" w:rsidRPr="00F528AE" w14:paraId="7F2C89C8" w14:textId="77777777" w:rsidTr="00937EEF">
        <w:trPr>
          <w:cantSplit/>
          <w:trHeight w:val="288"/>
        </w:trPr>
        <w:tc>
          <w:tcPr>
            <w:tcW w:w="2718" w:type="dxa"/>
            <w:vAlign w:val="center"/>
          </w:tcPr>
          <w:p w14:paraId="0BA6646B" w14:textId="77777777" w:rsidR="00937EEF" w:rsidRPr="00F528AE" w:rsidRDefault="00937EEF" w:rsidP="00F464AF">
            <w:pPr>
              <w:tabs>
                <w:tab w:val="left" w:pos="720"/>
                <w:tab w:val="left" w:pos="1800"/>
                <w:tab w:val="left" w:pos="3600"/>
              </w:tabs>
              <w:suppressAutoHyphens/>
              <w:ind w:left="1800" w:hanging="1800"/>
              <w:rPr>
                <w:spacing w:val="-3"/>
              </w:rPr>
            </w:pPr>
            <w:r w:rsidRPr="00F528AE">
              <w:rPr>
                <w:spacing w:val="-3"/>
              </w:rPr>
              <w:t>April 22, 2024</w:t>
            </w:r>
          </w:p>
        </w:tc>
        <w:tc>
          <w:tcPr>
            <w:tcW w:w="3060" w:type="dxa"/>
            <w:vAlign w:val="center"/>
          </w:tcPr>
          <w:p w14:paraId="096711B3" w14:textId="77777777" w:rsidR="00937EEF" w:rsidRPr="00F528AE" w:rsidRDefault="00937EEF" w:rsidP="00F464AF">
            <w:pPr>
              <w:tabs>
                <w:tab w:val="left" w:pos="720"/>
                <w:tab w:val="left" w:pos="1800"/>
                <w:tab w:val="left" w:pos="3600"/>
              </w:tabs>
              <w:suppressAutoHyphens/>
              <w:ind w:left="1800" w:hanging="1800"/>
              <w:rPr>
                <w:spacing w:val="-3"/>
              </w:rPr>
            </w:pPr>
            <w:r w:rsidRPr="00F528AE">
              <w:rPr>
                <w:spacing w:val="-3"/>
              </w:rPr>
              <w:t>RCC &amp; MTPO</w:t>
            </w:r>
          </w:p>
        </w:tc>
        <w:tc>
          <w:tcPr>
            <w:tcW w:w="3672" w:type="dxa"/>
            <w:vAlign w:val="center"/>
          </w:tcPr>
          <w:p w14:paraId="521EB5AD" w14:textId="77777777" w:rsidR="00937EEF" w:rsidRPr="00F528AE" w:rsidRDefault="00937EEF" w:rsidP="00F464AF">
            <w:pPr>
              <w:tabs>
                <w:tab w:val="left" w:pos="720"/>
                <w:tab w:val="left" w:pos="1800"/>
                <w:tab w:val="left" w:pos="3600"/>
              </w:tabs>
              <w:suppressAutoHyphens/>
              <w:ind w:left="1800" w:hanging="1800"/>
              <w:rPr>
                <w:spacing w:val="-3"/>
              </w:rPr>
            </w:pPr>
            <w:r w:rsidRPr="00F528AE">
              <w:rPr>
                <w:spacing w:val="-3"/>
              </w:rPr>
              <w:t>OPC’s 2</w:t>
            </w:r>
            <w:r w:rsidRPr="00F528AE">
              <w:rPr>
                <w:spacing w:val="-3"/>
                <w:vertAlign w:val="superscript"/>
              </w:rPr>
              <w:t>nd</w:t>
            </w:r>
            <w:r w:rsidRPr="00F528AE">
              <w:rPr>
                <w:spacing w:val="-3"/>
              </w:rPr>
              <w:t xml:space="preserve"> POD</w:t>
            </w:r>
          </w:p>
        </w:tc>
      </w:tr>
      <w:tr w:rsidR="00937EEF" w:rsidRPr="00F528AE" w14:paraId="426B4780" w14:textId="77777777" w:rsidTr="00937EEF">
        <w:trPr>
          <w:cantSplit/>
          <w:trHeight w:val="288"/>
        </w:trPr>
        <w:tc>
          <w:tcPr>
            <w:tcW w:w="2718" w:type="dxa"/>
            <w:vAlign w:val="center"/>
          </w:tcPr>
          <w:p w14:paraId="6AAEB8FC" w14:textId="77777777" w:rsidR="00937EEF" w:rsidRPr="00F528AE" w:rsidRDefault="00937EEF" w:rsidP="00F464AF">
            <w:pPr>
              <w:tabs>
                <w:tab w:val="left" w:pos="720"/>
                <w:tab w:val="left" w:pos="1800"/>
                <w:tab w:val="left" w:pos="3600"/>
              </w:tabs>
              <w:suppressAutoHyphens/>
              <w:ind w:left="1800" w:hanging="1800"/>
              <w:rPr>
                <w:spacing w:val="-3"/>
              </w:rPr>
            </w:pPr>
            <w:r w:rsidRPr="00F528AE">
              <w:rPr>
                <w:spacing w:val="-3"/>
              </w:rPr>
              <w:t>April 22, 2024</w:t>
            </w:r>
          </w:p>
        </w:tc>
        <w:tc>
          <w:tcPr>
            <w:tcW w:w="3060" w:type="dxa"/>
            <w:vAlign w:val="center"/>
          </w:tcPr>
          <w:p w14:paraId="4BFB9B26" w14:textId="77777777" w:rsidR="00937EEF" w:rsidRPr="00F528AE" w:rsidRDefault="00937EEF" w:rsidP="00F464AF">
            <w:pPr>
              <w:tabs>
                <w:tab w:val="left" w:pos="720"/>
                <w:tab w:val="left" w:pos="1800"/>
                <w:tab w:val="left" w:pos="3600"/>
              </w:tabs>
              <w:suppressAutoHyphens/>
              <w:ind w:left="1800" w:hanging="1800"/>
              <w:rPr>
                <w:spacing w:val="-3"/>
              </w:rPr>
            </w:pPr>
            <w:r w:rsidRPr="00F528AE">
              <w:rPr>
                <w:spacing w:val="-3"/>
              </w:rPr>
              <w:t>MTPO</w:t>
            </w:r>
          </w:p>
        </w:tc>
        <w:tc>
          <w:tcPr>
            <w:tcW w:w="3672" w:type="dxa"/>
            <w:vAlign w:val="center"/>
          </w:tcPr>
          <w:p w14:paraId="0E7BE776" w14:textId="77777777" w:rsidR="00937EEF" w:rsidRPr="00F528AE" w:rsidRDefault="00937EEF" w:rsidP="00F464AF">
            <w:pPr>
              <w:tabs>
                <w:tab w:val="left" w:pos="720"/>
                <w:tab w:val="left" w:pos="1800"/>
                <w:tab w:val="left" w:pos="3600"/>
              </w:tabs>
              <w:suppressAutoHyphens/>
              <w:ind w:left="1800" w:hanging="1800"/>
              <w:rPr>
                <w:spacing w:val="-3"/>
              </w:rPr>
            </w:pPr>
            <w:r w:rsidRPr="00F528AE">
              <w:rPr>
                <w:spacing w:val="-3"/>
              </w:rPr>
              <w:t>OPC’s 1</w:t>
            </w:r>
            <w:r w:rsidRPr="00F528AE">
              <w:rPr>
                <w:spacing w:val="-3"/>
                <w:vertAlign w:val="superscript"/>
              </w:rPr>
              <w:t>st</w:t>
            </w:r>
            <w:r w:rsidRPr="00F528AE">
              <w:rPr>
                <w:spacing w:val="-3"/>
              </w:rPr>
              <w:t xml:space="preserve"> POD</w:t>
            </w:r>
          </w:p>
        </w:tc>
      </w:tr>
      <w:tr w:rsidR="00937EEF" w:rsidRPr="00F528AE" w14:paraId="180B3CC3" w14:textId="77777777" w:rsidTr="00937EEF">
        <w:trPr>
          <w:cantSplit/>
          <w:trHeight w:val="288"/>
        </w:trPr>
        <w:tc>
          <w:tcPr>
            <w:tcW w:w="2718" w:type="dxa"/>
            <w:vAlign w:val="center"/>
          </w:tcPr>
          <w:p w14:paraId="28A2C4BB" w14:textId="77777777" w:rsidR="00937EEF" w:rsidRPr="00F528AE" w:rsidRDefault="00937EEF" w:rsidP="00F464AF">
            <w:pPr>
              <w:tabs>
                <w:tab w:val="left" w:pos="720"/>
                <w:tab w:val="left" w:pos="1800"/>
                <w:tab w:val="left" w:pos="3600"/>
              </w:tabs>
              <w:suppressAutoHyphens/>
              <w:ind w:left="1800" w:hanging="1800"/>
              <w:rPr>
                <w:spacing w:val="-3"/>
              </w:rPr>
            </w:pPr>
            <w:r w:rsidRPr="00F528AE">
              <w:rPr>
                <w:spacing w:val="-3"/>
              </w:rPr>
              <w:t>April 26, 2024</w:t>
            </w:r>
          </w:p>
        </w:tc>
        <w:tc>
          <w:tcPr>
            <w:tcW w:w="3060" w:type="dxa"/>
            <w:vAlign w:val="center"/>
          </w:tcPr>
          <w:p w14:paraId="0761FB80" w14:textId="77777777" w:rsidR="00937EEF" w:rsidRPr="00F528AE" w:rsidRDefault="00937EEF" w:rsidP="00F464AF">
            <w:pPr>
              <w:tabs>
                <w:tab w:val="left" w:pos="720"/>
                <w:tab w:val="left" w:pos="1800"/>
                <w:tab w:val="left" w:pos="3600"/>
              </w:tabs>
              <w:suppressAutoHyphens/>
              <w:ind w:left="1800" w:hanging="1800"/>
              <w:rPr>
                <w:spacing w:val="-3"/>
              </w:rPr>
            </w:pPr>
            <w:r w:rsidRPr="00F528AE">
              <w:rPr>
                <w:spacing w:val="-3"/>
              </w:rPr>
              <w:t>RCC &amp; MTPO</w:t>
            </w:r>
          </w:p>
        </w:tc>
        <w:tc>
          <w:tcPr>
            <w:tcW w:w="3672" w:type="dxa"/>
            <w:vAlign w:val="center"/>
          </w:tcPr>
          <w:p w14:paraId="54FA0E81" w14:textId="77777777" w:rsidR="00937EEF" w:rsidRPr="00F528AE" w:rsidRDefault="00937EEF" w:rsidP="00F464AF">
            <w:pPr>
              <w:tabs>
                <w:tab w:val="left" w:pos="720"/>
                <w:tab w:val="left" w:pos="1800"/>
                <w:tab w:val="left" w:pos="3600"/>
              </w:tabs>
              <w:suppressAutoHyphens/>
              <w:ind w:left="1800" w:hanging="1800"/>
              <w:rPr>
                <w:spacing w:val="-3"/>
              </w:rPr>
            </w:pPr>
            <w:r w:rsidRPr="00F528AE">
              <w:rPr>
                <w:spacing w:val="-3"/>
              </w:rPr>
              <w:t>OPC’s 1</w:t>
            </w:r>
            <w:r w:rsidRPr="00F528AE">
              <w:rPr>
                <w:spacing w:val="-3"/>
                <w:vertAlign w:val="superscript"/>
              </w:rPr>
              <w:t>st</w:t>
            </w:r>
            <w:r w:rsidRPr="00F528AE">
              <w:rPr>
                <w:spacing w:val="-3"/>
              </w:rPr>
              <w:t xml:space="preserve"> IRR &amp; 1</w:t>
            </w:r>
            <w:r w:rsidRPr="00F528AE">
              <w:rPr>
                <w:spacing w:val="-3"/>
                <w:vertAlign w:val="superscript"/>
              </w:rPr>
              <w:t>st</w:t>
            </w:r>
            <w:r w:rsidRPr="00F528AE">
              <w:rPr>
                <w:spacing w:val="-3"/>
              </w:rPr>
              <w:t xml:space="preserve"> POD</w:t>
            </w:r>
          </w:p>
        </w:tc>
      </w:tr>
      <w:tr w:rsidR="00937EEF" w:rsidRPr="00F528AE" w14:paraId="5C12BB8A" w14:textId="77777777" w:rsidTr="00937EEF">
        <w:trPr>
          <w:cantSplit/>
          <w:trHeight w:val="288"/>
        </w:trPr>
        <w:tc>
          <w:tcPr>
            <w:tcW w:w="2718" w:type="dxa"/>
            <w:vAlign w:val="center"/>
          </w:tcPr>
          <w:p w14:paraId="0226CCC6" w14:textId="77777777" w:rsidR="00937EEF" w:rsidRPr="00F528AE" w:rsidRDefault="00937EEF" w:rsidP="00F464AF">
            <w:pPr>
              <w:tabs>
                <w:tab w:val="left" w:pos="720"/>
                <w:tab w:val="left" w:pos="1800"/>
                <w:tab w:val="left" w:pos="3600"/>
              </w:tabs>
              <w:suppressAutoHyphens/>
              <w:ind w:left="1800" w:hanging="1800"/>
              <w:rPr>
                <w:spacing w:val="-3"/>
              </w:rPr>
            </w:pPr>
            <w:r w:rsidRPr="00F528AE">
              <w:rPr>
                <w:spacing w:val="-3"/>
              </w:rPr>
              <w:lastRenderedPageBreak/>
              <w:t>April 30, 2024</w:t>
            </w:r>
          </w:p>
        </w:tc>
        <w:tc>
          <w:tcPr>
            <w:tcW w:w="3060" w:type="dxa"/>
            <w:vAlign w:val="center"/>
          </w:tcPr>
          <w:p w14:paraId="258A89CB" w14:textId="77777777" w:rsidR="00937EEF" w:rsidRPr="00F528AE" w:rsidRDefault="00937EEF" w:rsidP="00F464AF">
            <w:pPr>
              <w:tabs>
                <w:tab w:val="left" w:pos="720"/>
                <w:tab w:val="left" w:pos="1800"/>
                <w:tab w:val="left" w:pos="3600"/>
              </w:tabs>
              <w:suppressAutoHyphens/>
              <w:ind w:left="1800" w:hanging="1800"/>
              <w:rPr>
                <w:spacing w:val="-3"/>
              </w:rPr>
            </w:pPr>
            <w:r w:rsidRPr="00F528AE">
              <w:rPr>
                <w:spacing w:val="-3"/>
              </w:rPr>
              <w:t>RCC &amp; MTPO</w:t>
            </w:r>
          </w:p>
        </w:tc>
        <w:tc>
          <w:tcPr>
            <w:tcW w:w="3672" w:type="dxa"/>
            <w:vAlign w:val="center"/>
          </w:tcPr>
          <w:p w14:paraId="4ED4FDA0" w14:textId="77777777" w:rsidR="00937EEF" w:rsidRPr="00F528AE" w:rsidRDefault="00937EEF" w:rsidP="00F464AF">
            <w:pPr>
              <w:tabs>
                <w:tab w:val="left" w:pos="720"/>
                <w:tab w:val="left" w:pos="1800"/>
                <w:tab w:val="left" w:pos="3600"/>
              </w:tabs>
              <w:suppressAutoHyphens/>
              <w:ind w:left="1800" w:hanging="1800"/>
              <w:rPr>
                <w:spacing w:val="-3"/>
              </w:rPr>
            </w:pPr>
            <w:r w:rsidRPr="00F528AE">
              <w:rPr>
                <w:spacing w:val="-3"/>
              </w:rPr>
              <w:t>OPC’s 1</w:t>
            </w:r>
            <w:r w:rsidRPr="00F528AE">
              <w:rPr>
                <w:spacing w:val="-3"/>
                <w:vertAlign w:val="superscript"/>
              </w:rPr>
              <w:t>st</w:t>
            </w:r>
            <w:r w:rsidRPr="00F528AE">
              <w:rPr>
                <w:spacing w:val="-3"/>
              </w:rPr>
              <w:t xml:space="preserve"> POD</w:t>
            </w:r>
          </w:p>
        </w:tc>
      </w:tr>
      <w:tr w:rsidR="00937EEF" w:rsidRPr="00F528AE" w14:paraId="24C55274" w14:textId="77777777" w:rsidTr="00937EEF">
        <w:trPr>
          <w:cantSplit/>
          <w:trHeight w:val="288"/>
        </w:trPr>
        <w:tc>
          <w:tcPr>
            <w:tcW w:w="2718" w:type="dxa"/>
            <w:vAlign w:val="center"/>
          </w:tcPr>
          <w:p w14:paraId="55B183DC" w14:textId="77777777" w:rsidR="00937EEF" w:rsidRDefault="00937EEF" w:rsidP="00F464AF">
            <w:pPr>
              <w:tabs>
                <w:tab w:val="left" w:pos="720"/>
                <w:tab w:val="left" w:pos="1800"/>
                <w:tab w:val="left" w:pos="3600"/>
              </w:tabs>
              <w:suppressAutoHyphens/>
              <w:ind w:left="1800" w:hanging="1800"/>
              <w:rPr>
                <w:spacing w:val="-3"/>
              </w:rPr>
            </w:pPr>
            <w:r w:rsidRPr="00F528AE">
              <w:rPr>
                <w:spacing w:val="-3"/>
              </w:rPr>
              <w:t>May 2, 2024</w:t>
            </w:r>
          </w:p>
          <w:p w14:paraId="161C69E3" w14:textId="77777777" w:rsidR="00223230" w:rsidRPr="00223230" w:rsidRDefault="00223230" w:rsidP="00F464AF">
            <w:pPr>
              <w:tabs>
                <w:tab w:val="left" w:pos="720"/>
                <w:tab w:val="left" w:pos="1800"/>
                <w:tab w:val="left" w:pos="3600"/>
              </w:tabs>
              <w:suppressAutoHyphens/>
              <w:ind w:left="1800" w:hanging="1800"/>
              <w:rPr>
                <w:i/>
                <w:spacing w:val="-3"/>
              </w:rPr>
            </w:pPr>
            <w:r>
              <w:rPr>
                <w:i/>
                <w:spacing w:val="-3"/>
              </w:rPr>
              <w:t>Amended August 2, 2024</w:t>
            </w:r>
          </w:p>
        </w:tc>
        <w:tc>
          <w:tcPr>
            <w:tcW w:w="3060" w:type="dxa"/>
            <w:vAlign w:val="center"/>
          </w:tcPr>
          <w:p w14:paraId="5B16F092" w14:textId="77777777" w:rsidR="00937EEF" w:rsidRPr="00F528AE" w:rsidRDefault="00937EEF" w:rsidP="00F464AF">
            <w:pPr>
              <w:tabs>
                <w:tab w:val="left" w:pos="720"/>
                <w:tab w:val="left" w:pos="1800"/>
                <w:tab w:val="left" w:pos="3600"/>
              </w:tabs>
              <w:suppressAutoHyphens/>
              <w:rPr>
                <w:spacing w:val="-3"/>
              </w:rPr>
            </w:pPr>
            <w:r w:rsidRPr="00F528AE">
              <w:rPr>
                <w:spacing w:val="-3"/>
              </w:rPr>
              <w:t>RCC &amp; MTPO</w:t>
            </w:r>
          </w:p>
        </w:tc>
        <w:tc>
          <w:tcPr>
            <w:tcW w:w="3672" w:type="dxa"/>
            <w:vAlign w:val="center"/>
          </w:tcPr>
          <w:p w14:paraId="1A17F958" w14:textId="77777777" w:rsidR="00937EEF" w:rsidRPr="00F528AE" w:rsidRDefault="00937EEF" w:rsidP="00F464AF">
            <w:pPr>
              <w:tabs>
                <w:tab w:val="left" w:pos="720"/>
                <w:tab w:val="left" w:pos="1800"/>
                <w:tab w:val="left" w:pos="3600"/>
              </w:tabs>
              <w:suppressAutoHyphens/>
              <w:ind w:left="1800" w:hanging="1800"/>
              <w:rPr>
                <w:spacing w:val="-3"/>
              </w:rPr>
            </w:pPr>
            <w:r w:rsidRPr="00F528AE">
              <w:rPr>
                <w:spacing w:val="-3"/>
              </w:rPr>
              <w:t>LULAC’s 1</w:t>
            </w:r>
            <w:r w:rsidRPr="00F528AE">
              <w:rPr>
                <w:spacing w:val="-3"/>
                <w:vertAlign w:val="superscript"/>
              </w:rPr>
              <w:t>st</w:t>
            </w:r>
            <w:r w:rsidRPr="00F528AE">
              <w:rPr>
                <w:spacing w:val="-3"/>
              </w:rPr>
              <w:t xml:space="preserve"> POD</w:t>
            </w:r>
          </w:p>
        </w:tc>
      </w:tr>
      <w:tr w:rsidR="00937EEF" w:rsidRPr="00F528AE" w14:paraId="7104143F" w14:textId="77777777" w:rsidTr="00937EEF">
        <w:trPr>
          <w:cantSplit/>
          <w:trHeight w:val="288"/>
        </w:trPr>
        <w:tc>
          <w:tcPr>
            <w:tcW w:w="2718" w:type="dxa"/>
            <w:vAlign w:val="center"/>
          </w:tcPr>
          <w:p w14:paraId="40F8E96F" w14:textId="77777777" w:rsidR="00937EEF" w:rsidRPr="00F528AE" w:rsidRDefault="00937EEF" w:rsidP="00F464AF">
            <w:pPr>
              <w:tabs>
                <w:tab w:val="left" w:pos="720"/>
                <w:tab w:val="left" w:pos="1800"/>
                <w:tab w:val="left" w:pos="3600"/>
              </w:tabs>
              <w:suppressAutoHyphens/>
              <w:ind w:left="1800" w:hanging="1800"/>
              <w:rPr>
                <w:spacing w:val="-3"/>
              </w:rPr>
            </w:pPr>
            <w:r w:rsidRPr="00F528AE">
              <w:rPr>
                <w:spacing w:val="-3"/>
              </w:rPr>
              <w:t>May 8, 2024</w:t>
            </w:r>
          </w:p>
        </w:tc>
        <w:tc>
          <w:tcPr>
            <w:tcW w:w="3060" w:type="dxa"/>
            <w:vAlign w:val="center"/>
          </w:tcPr>
          <w:p w14:paraId="28201121" w14:textId="77777777" w:rsidR="00937EEF" w:rsidRPr="00F528AE" w:rsidRDefault="00937EEF" w:rsidP="00F464AF">
            <w:pPr>
              <w:tabs>
                <w:tab w:val="left" w:pos="720"/>
                <w:tab w:val="left" w:pos="1800"/>
                <w:tab w:val="left" w:pos="3600"/>
              </w:tabs>
              <w:suppressAutoHyphens/>
              <w:rPr>
                <w:spacing w:val="-3"/>
              </w:rPr>
            </w:pPr>
            <w:r w:rsidRPr="00F528AE">
              <w:rPr>
                <w:spacing w:val="-3"/>
              </w:rPr>
              <w:t>RCC &amp; MTPO</w:t>
            </w:r>
          </w:p>
        </w:tc>
        <w:tc>
          <w:tcPr>
            <w:tcW w:w="3672" w:type="dxa"/>
            <w:vAlign w:val="center"/>
          </w:tcPr>
          <w:p w14:paraId="713DF59A" w14:textId="77777777" w:rsidR="00937EEF" w:rsidRPr="00F528AE" w:rsidRDefault="00937EEF" w:rsidP="00F464AF">
            <w:pPr>
              <w:tabs>
                <w:tab w:val="left" w:pos="720"/>
                <w:tab w:val="left" w:pos="1800"/>
                <w:tab w:val="left" w:pos="3600"/>
              </w:tabs>
              <w:suppressAutoHyphens/>
              <w:ind w:left="1800" w:hanging="1800"/>
              <w:rPr>
                <w:spacing w:val="-3"/>
              </w:rPr>
            </w:pPr>
            <w:r w:rsidRPr="00F528AE">
              <w:rPr>
                <w:spacing w:val="-3"/>
              </w:rPr>
              <w:t>OPC’s 6</w:t>
            </w:r>
            <w:r w:rsidRPr="00F528AE">
              <w:rPr>
                <w:spacing w:val="-3"/>
                <w:vertAlign w:val="superscript"/>
              </w:rPr>
              <w:t>th</w:t>
            </w:r>
            <w:r w:rsidRPr="00F528AE">
              <w:rPr>
                <w:spacing w:val="-3"/>
              </w:rPr>
              <w:t xml:space="preserve"> POD</w:t>
            </w:r>
          </w:p>
        </w:tc>
      </w:tr>
      <w:tr w:rsidR="00937EEF" w:rsidRPr="00F528AE" w14:paraId="72F47E89" w14:textId="77777777" w:rsidTr="00937EEF">
        <w:trPr>
          <w:cantSplit/>
          <w:trHeight w:val="288"/>
        </w:trPr>
        <w:tc>
          <w:tcPr>
            <w:tcW w:w="2718" w:type="dxa"/>
            <w:vAlign w:val="center"/>
          </w:tcPr>
          <w:p w14:paraId="4489A61A" w14:textId="77777777" w:rsidR="00937EEF" w:rsidRPr="00F528AE" w:rsidRDefault="00937EEF" w:rsidP="00F464AF">
            <w:pPr>
              <w:tabs>
                <w:tab w:val="left" w:pos="720"/>
                <w:tab w:val="left" w:pos="1800"/>
                <w:tab w:val="left" w:pos="3600"/>
              </w:tabs>
              <w:suppressAutoHyphens/>
              <w:ind w:left="1800" w:hanging="1800"/>
              <w:rPr>
                <w:spacing w:val="-3"/>
              </w:rPr>
            </w:pPr>
            <w:r w:rsidRPr="00F528AE">
              <w:rPr>
                <w:spacing w:val="-3"/>
              </w:rPr>
              <w:t>May 13, 2024</w:t>
            </w:r>
          </w:p>
        </w:tc>
        <w:tc>
          <w:tcPr>
            <w:tcW w:w="3060" w:type="dxa"/>
            <w:vAlign w:val="center"/>
          </w:tcPr>
          <w:p w14:paraId="6FB61EF7" w14:textId="77777777" w:rsidR="00937EEF" w:rsidRPr="00F528AE" w:rsidRDefault="00937EEF" w:rsidP="00F464AF">
            <w:pPr>
              <w:tabs>
                <w:tab w:val="left" w:pos="720"/>
                <w:tab w:val="left" w:pos="1800"/>
                <w:tab w:val="left" w:pos="3600"/>
              </w:tabs>
              <w:suppressAutoHyphens/>
              <w:rPr>
                <w:spacing w:val="-3"/>
              </w:rPr>
            </w:pPr>
            <w:r w:rsidRPr="00F528AE">
              <w:rPr>
                <w:spacing w:val="-3"/>
              </w:rPr>
              <w:t>MTPO</w:t>
            </w:r>
          </w:p>
        </w:tc>
        <w:tc>
          <w:tcPr>
            <w:tcW w:w="3672" w:type="dxa"/>
            <w:vAlign w:val="center"/>
          </w:tcPr>
          <w:p w14:paraId="38CEDCAC" w14:textId="77777777" w:rsidR="00937EEF" w:rsidRPr="00F528AE" w:rsidRDefault="00937EEF" w:rsidP="00F464AF">
            <w:pPr>
              <w:tabs>
                <w:tab w:val="left" w:pos="720"/>
                <w:tab w:val="left" w:pos="1800"/>
                <w:tab w:val="left" w:pos="3600"/>
              </w:tabs>
              <w:suppressAutoHyphens/>
              <w:ind w:left="1800" w:hanging="1800"/>
              <w:rPr>
                <w:spacing w:val="-3"/>
              </w:rPr>
            </w:pPr>
            <w:r w:rsidRPr="00F528AE">
              <w:rPr>
                <w:spacing w:val="-3"/>
              </w:rPr>
              <w:t>OPC’s 4</w:t>
            </w:r>
            <w:r w:rsidRPr="00F528AE">
              <w:rPr>
                <w:spacing w:val="-3"/>
                <w:vertAlign w:val="superscript"/>
              </w:rPr>
              <w:t>th</w:t>
            </w:r>
            <w:r w:rsidRPr="00F528AE">
              <w:rPr>
                <w:spacing w:val="-3"/>
              </w:rPr>
              <w:t xml:space="preserve"> POD</w:t>
            </w:r>
          </w:p>
        </w:tc>
      </w:tr>
      <w:tr w:rsidR="00937EEF" w:rsidRPr="00F528AE" w14:paraId="73424B58" w14:textId="77777777" w:rsidTr="00937EEF">
        <w:trPr>
          <w:cantSplit/>
          <w:trHeight w:val="288"/>
        </w:trPr>
        <w:tc>
          <w:tcPr>
            <w:tcW w:w="2718" w:type="dxa"/>
            <w:vAlign w:val="center"/>
          </w:tcPr>
          <w:p w14:paraId="28A7359F" w14:textId="77777777" w:rsidR="00937EEF" w:rsidRPr="00F528AE" w:rsidRDefault="00937EEF" w:rsidP="00F464AF">
            <w:pPr>
              <w:tabs>
                <w:tab w:val="left" w:pos="720"/>
                <w:tab w:val="left" w:pos="1800"/>
                <w:tab w:val="left" w:pos="3600"/>
              </w:tabs>
              <w:suppressAutoHyphens/>
              <w:ind w:left="1800" w:hanging="1800"/>
              <w:rPr>
                <w:spacing w:val="-3"/>
              </w:rPr>
            </w:pPr>
            <w:r w:rsidRPr="00F528AE">
              <w:rPr>
                <w:spacing w:val="-3"/>
              </w:rPr>
              <w:t>May 13, 2024</w:t>
            </w:r>
          </w:p>
        </w:tc>
        <w:tc>
          <w:tcPr>
            <w:tcW w:w="3060" w:type="dxa"/>
            <w:vAlign w:val="center"/>
          </w:tcPr>
          <w:p w14:paraId="31C0E550" w14:textId="77777777" w:rsidR="00937EEF" w:rsidRPr="00F528AE" w:rsidRDefault="00937EEF" w:rsidP="00F464AF">
            <w:pPr>
              <w:tabs>
                <w:tab w:val="left" w:pos="720"/>
                <w:tab w:val="left" w:pos="1800"/>
                <w:tab w:val="left" w:pos="3600"/>
              </w:tabs>
              <w:suppressAutoHyphens/>
              <w:rPr>
                <w:spacing w:val="-3"/>
              </w:rPr>
            </w:pPr>
            <w:r w:rsidRPr="00F528AE">
              <w:rPr>
                <w:spacing w:val="-3"/>
              </w:rPr>
              <w:t>RCC</w:t>
            </w:r>
          </w:p>
        </w:tc>
        <w:tc>
          <w:tcPr>
            <w:tcW w:w="3672" w:type="dxa"/>
            <w:vAlign w:val="center"/>
          </w:tcPr>
          <w:p w14:paraId="5029EBA7" w14:textId="77777777" w:rsidR="00937EEF" w:rsidRPr="00F528AE" w:rsidRDefault="00937EEF" w:rsidP="00F464AF">
            <w:pPr>
              <w:tabs>
                <w:tab w:val="left" w:pos="720"/>
                <w:tab w:val="left" w:pos="1800"/>
                <w:tab w:val="left" w:pos="3600"/>
              </w:tabs>
              <w:suppressAutoHyphens/>
              <w:ind w:left="1800" w:hanging="1800"/>
              <w:rPr>
                <w:spacing w:val="-3"/>
              </w:rPr>
            </w:pPr>
            <w:r w:rsidRPr="00F528AE">
              <w:rPr>
                <w:spacing w:val="-3"/>
              </w:rPr>
              <w:t>OPC’s 4</w:t>
            </w:r>
            <w:r w:rsidRPr="00F528AE">
              <w:rPr>
                <w:spacing w:val="-3"/>
                <w:vertAlign w:val="superscript"/>
              </w:rPr>
              <w:t>th</w:t>
            </w:r>
            <w:r w:rsidRPr="00F528AE">
              <w:rPr>
                <w:spacing w:val="-3"/>
              </w:rPr>
              <w:t xml:space="preserve"> POD</w:t>
            </w:r>
          </w:p>
        </w:tc>
      </w:tr>
      <w:tr w:rsidR="00937EEF" w:rsidRPr="00F528AE" w14:paraId="2BD2393E" w14:textId="77777777" w:rsidTr="00937EEF">
        <w:trPr>
          <w:cantSplit/>
          <w:trHeight w:val="288"/>
        </w:trPr>
        <w:tc>
          <w:tcPr>
            <w:tcW w:w="2718" w:type="dxa"/>
            <w:vAlign w:val="center"/>
          </w:tcPr>
          <w:p w14:paraId="13CD8394" w14:textId="77777777" w:rsidR="00937EEF" w:rsidRPr="00F528AE" w:rsidRDefault="00937EEF" w:rsidP="00F464AF">
            <w:pPr>
              <w:tabs>
                <w:tab w:val="left" w:pos="720"/>
                <w:tab w:val="left" w:pos="1800"/>
                <w:tab w:val="left" w:pos="3600"/>
              </w:tabs>
              <w:suppressAutoHyphens/>
              <w:ind w:left="1800" w:hanging="1800"/>
              <w:rPr>
                <w:spacing w:val="-3"/>
              </w:rPr>
            </w:pPr>
            <w:r w:rsidRPr="00F528AE">
              <w:rPr>
                <w:spacing w:val="-3"/>
              </w:rPr>
              <w:t>May 20, 2024</w:t>
            </w:r>
          </w:p>
        </w:tc>
        <w:tc>
          <w:tcPr>
            <w:tcW w:w="3060" w:type="dxa"/>
            <w:vAlign w:val="center"/>
          </w:tcPr>
          <w:p w14:paraId="4E3D7458" w14:textId="77777777" w:rsidR="00937EEF" w:rsidRPr="00F528AE" w:rsidRDefault="00937EEF" w:rsidP="00F464AF">
            <w:pPr>
              <w:tabs>
                <w:tab w:val="left" w:pos="720"/>
                <w:tab w:val="left" w:pos="1800"/>
                <w:tab w:val="left" w:pos="3600"/>
              </w:tabs>
              <w:suppressAutoHyphens/>
              <w:rPr>
                <w:spacing w:val="-3"/>
              </w:rPr>
            </w:pPr>
            <w:r w:rsidRPr="00F528AE">
              <w:rPr>
                <w:spacing w:val="-3"/>
              </w:rPr>
              <w:t>RCC &amp; MTPO</w:t>
            </w:r>
          </w:p>
        </w:tc>
        <w:tc>
          <w:tcPr>
            <w:tcW w:w="3672" w:type="dxa"/>
            <w:vAlign w:val="center"/>
          </w:tcPr>
          <w:p w14:paraId="26A53AEC" w14:textId="77777777" w:rsidR="00937EEF" w:rsidRPr="00F528AE" w:rsidRDefault="00937EEF" w:rsidP="00F464AF">
            <w:pPr>
              <w:tabs>
                <w:tab w:val="left" w:pos="720"/>
                <w:tab w:val="left" w:pos="1800"/>
                <w:tab w:val="left" w:pos="3600"/>
              </w:tabs>
              <w:suppressAutoHyphens/>
              <w:ind w:left="1800" w:hanging="1800"/>
              <w:rPr>
                <w:spacing w:val="-3"/>
              </w:rPr>
            </w:pPr>
            <w:r w:rsidRPr="00F528AE">
              <w:rPr>
                <w:spacing w:val="-3"/>
              </w:rPr>
              <w:t>OPC’s 10</w:t>
            </w:r>
            <w:r w:rsidRPr="00F528AE">
              <w:rPr>
                <w:spacing w:val="-3"/>
                <w:vertAlign w:val="superscript"/>
              </w:rPr>
              <w:t>th</w:t>
            </w:r>
            <w:r w:rsidRPr="00F528AE">
              <w:rPr>
                <w:spacing w:val="-3"/>
              </w:rPr>
              <w:t xml:space="preserve"> POD</w:t>
            </w:r>
          </w:p>
        </w:tc>
      </w:tr>
      <w:tr w:rsidR="00937EEF" w:rsidRPr="00F528AE" w14:paraId="0826D719" w14:textId="77777777" w:rsidTr="00937EEF">
        <w:trPr>
          <w:cantSplit/>
          <w:trHeight w:val="288"/>
        </w:trPr>
        <w:tc>
          <w:tcPr>
            <w:tcW w:w="2718" w:type="dxa"/>
            <w:vAlign w:val="center"/>
          </w:tcPr>
          <w:p w14:paraId="0731907A" w14:textId="77777777" w:rsidR="00937EEF" w:rsidRPr="00F528AE" w:rsidRDefault="00937EEF" w:rsidP="00F464AF">
            <w:pPr>
              <w:tabs>
                <w:tab w:val="left" w:pos="720"/>
                <w:tab w:val="left" w:pos="1800"/>
                <w:tab w:val="left" w:pos="3600"/>
              </w:tabs>
              <w:suppressAutoHyphens/>
              <w:ind w:left="1800" w:hanging="1800"/>
              <w:rPr>
                <w:spacing w:val="-3"/>
              </w:rPr>
            </w:pPr>
            <w:r w:rsidRPr="00F528AE">
              <w:rPr>
                <w:spacing w:val="-3"/>
              </w:rPr>
              <w:t>July 1, 2024</w:t>
            </w:r>
          </w:p>
        </w:tc>
        <w:tc>
          <w:tcPr>
            <w:tcW w:w="3060" w:type="dxa"/>
            <w:vAlign w:val="center"/>
          </w:tcPr>
          <w:p w14:paraId="13804DD2" w14:textId="77777777" w:rsidR="00937EEF" w:rsidRPr="00F528AE" w:rsidRDefault="00937EEF" w:rsidP="00F464AF">
            <w:pPr>
              <w:tabs>
                <w:tab w:val="left" w:pos="720"/>
                <w:tab w:val="left" w:pos="1800"/>
                <w:tab w:val="left" w:pos="3600"/>
              </w:tabs>
              <w:suppressAutoHyphens/>
              <w:rPr>
                <w:spacing w:val="-3"/>
              </w:rPr>
            </w:pPr>
            <w:r w:rsidRPr="00F528AE">
              <w:rPr>
                <w:i/>
                <w:iCs/>
                <w:spacing w:val="-3"/>
              </w:rPr>
              <w:t>Amended</w:t>
            </w:r>
            <w:r w:rsidRPr="00F528AE">
              <w:rPr>
                <w:spacing w:val="-3"/>
              </w:rPr>
              <w:t xml:space="preserve"> RCC &amp; MTPO</w:t>
            </w:r>
          </w:p>
        </w:tc>
        <w:tc>
          <w:tcPr>
            <w:tcW w:w="3672" w:type="dxa"/>
            <w:vAlign w:val="center"/>
          </w:tcPr>
          <w:p w14:paraId="3C363F4A" w14:textId="77777777" w:rsidR="00937EEF" w:rsidRPr="00F528AE" w:rsidRDefault="00937EEF" w:rsidP="00F464AF">
            <w:pPr>
              <w:tabs>
                <w:tab w:val="left" w:pos="720"/>
                <w:tab w:val="left" w:pos="1800"/>
                <w:tab w:val="left" w:pos="3600"/>
              </w:tabs>
              <w:suppressAutoHyphens/>
              <w:rPr>
                <w:spacing w:val="-3"/>
              </w:rPr>
            </w:pPr>
            <w:r w:rsidRPr="00F528AE">
              <w:rPr>
                <w:spacing w:val="-3"/>
              </w:rPr>
              <w:t>OPC’s 1</w:t>
            </w:r>
            <w:r w:rsidRPr="00F528AE">
              <w:rPr>
                <w:spacing w:val="-3"/>
                <w:vertAlign w:val="superscript"/>
              </w:rPr>
              <w:t>st</w:t>
            </w:r>
            <w:r w:rsidRPr="00F528AE">
              <w:rPr>
                <w:spacing w:val="-3"/>
              </w:rPr>
              <w:t xml:space="preserve"> POD</w:t>
            </w:r>
          </w:p>
        </w:tc>
      </w:tr>
      <w:tr w:rsidR="00937EEF" w:rsidRPr="00F528AE" w14:paraId="3D1C7357" w14:textId="77777777" w:rsidTr="00937EEF">
        <w:trPr>
          <w:cantSplit/>
          <w:trHeight w:val="288"/>
        </w:trPr>
        <w:tc>
          <w:tcPr>
            <w:tcW w:w="2718" w:type="dxa"/>
            <w:vAlign w:val="center"/>
          </w:tcPr>
          <w:p w14:paraId="55168C0F" w14:textId="77777777" w:rsidR="00937EEF" w:rsidRPr="00F528AE" w:rsidRDefault="00937EEF" w:rsidP="00F464AF">
            <w:pPr>
              <w:tabs>
                <w:tab w:val="left" w:pos="720"/>
                <w:tab w:val="left" w:pos="1800"/>
                <w:tab w:val="left" w:pos="3600"/>
              </w:tabs>
              <w:suppressAutoHyphens/>
              <w:ind w:left="1800" w:hanging="1800"/>
              <w:rPr>
                <w:spacing w:val="-3"/>
              </w:rPr>
            </w:pPr>
            <w:r w:rsidRPr="00F528AE">
              <w:rPr>
                <w:spacing w:val="-3"/>
              </w:rPr>
              <w:t>July 1, 2024</w:t>
            </w:r>
          </w:p>
        </w:tc>
        <w:tc>
          <w:tcPr>
            <w:tcW w:w="3060" w:type="dxa"/>
            <w:vAlign w:val="center"/>
          </w:tcPr>
          <w:p w14:paraId="5D07FB35" w14:textId="77777777" w:rsidR="00937EEF" w:rsidRPr="00F528AE" w:rsidRDefault="00937EEF" w:rsidP="00F464AF">
            <w:pPr>
              <w:tabs>
                <w:tab w:val="left" w:pos="720"/>
                <w:tab w:val="left" w:pos="1800"/>
                <w:tab w:val="left" w:pos="3600"/>
              </w:tabs>
              <w:suppressAutoHyphens/>
              <w:rPr>
                <w:spacing w:val="-3"/>
              </w:rPr>
            </w:pPr>
            <w:r w:rsidRPr="00F528AE">
              <w:rPr>
                <w:i/>
                <w:iCs/>
                <w:spacing w:val="-3"/>
              </w:rPr>
              <w:t>Amended</w:t>
            </w:r>
            <w:r w:rsidRPr="00F528AE">
              <w:rPr>
                <w:spacing w:val="-3"/>
              </w:rPr>
              <w:t xml:space="preserve"> RCC &amp; MTPO</w:t>
            </w:r>
          </w:p>
        </w:tc>
        <w:tc>
          <w:tcPr>
            <w:tcW w:w="3672" w:type="dxa"/>
            <w:vAlign w:val="center"/>
          </w:tcPr>
          <w:p w14:paraId="163CFF57" w14:textId="77777777" w:rsidR="00937EEF" w:rsidRPr="00F528AE" w:rsidRDefault="00937EEF" w:rsidP="00F464AF">
            <w:pPr>
              <w:tabs>
                <w:tab w:val="left" w:pos="720"/>
                <w:tab w:val="left" w:pos="1800"/>
                <w:tab w:val="left" w:pos="3600"/>
              </w:tabs>
              <w:suppressAutoHyphens/>
              <w:rPr>
                <w:spacing w:val="-3"/>
              </w:rPr>
            </w:pPr>
            <w:r w:rsidRPr="00F528AE">
              <w:rPr>
                <w:spacing w:val="-3"/>
              </w:rPr>
              <w:t>OPC’s 10</w:t>
            </w:r>
            <w:r w:rsidRPr="00F528AE">
              <w:rPr>
                <w:spacing w:val="-3"/>
                <w:vertAlign w:val="superscript"/>
              </w:rPr>
              <w:t>th</w:t>
            </w:r>
            <w:r w:rsidRPr="00F528AE">
              <w:rPr>
                <w:spacing w:val="-3"/>
              </w:rPr>
              <w:t xml:space="preserve"> IRR &amp; 11</w:t>
            </w:r>
            <w:r w:rsidRPr="00F528AE">
              <w:rPr>
                <w:spacing w:val="-3"/>
                <w:vertAlign w:val="superscript"/>
              </w:rPr>
              <w:t>th</w:t>
            </w:r>
            <w:r w:rsidRPr="00F528AE">
              <w:rPr>
                <w:spacing w:val="-3"/>
              </w:rPr>
              <w:t xml:space="preserve"> POD</w:t>
            </w:r>
          </w:p>
        </w:tc>
      </w:tr>
      <w:tr w:rsidR="00937EEF" w:rsidRPr="00F528AE" w14:paraId="1BBF68AD" w14:textId="77777777" w:rsidTr="00937EEF">
        <w:trPr>
          <w:cantSplit/>
          <w:trHeight w:val="288"/>
        </w:trPr>
        <w:tc>
          <w:tcPr>
            <w:tcW w:w="2718" w:type="dxa"/>
            <w:vAlign w:val="center"/>
          </w:tcPr>
          <w:p w14:paraId="07819611" w14:textId="77777777" w:rsidR="00937EEF" w:rsidRDefault="00937EEF" w:rsidP="00F464AF">
            <w:pPr>
              <w:tabs>
                <w:tab w:val="left" w:pos="720"/>
                <w:tab w:val="left" w:pos="1800"/>
                <w:tab w:val="left" w:pos="3600"/>
              </w:tabs>
              <w:suppressAutoHyphens/>
              <w:ind w:left="1800" w:hanging="1800"/>
              <w:rPr>
                <w:spacing w:val="-3"/>
              </w:rPr>
            </w:pPr>
            <w:r>
              <w:rPr>
                <w:spacing w:val="-3"/>
              </w:rPr>
              <w:t>July 12, 2024</w:t>
            </w:r>
          </w:p>
        </w:tc>
        <w:tc>
          <w:tcPr>
            <w:tcW w:w="3060" w:type="dxa"/>
            <w:vAlign w:val="center"/>
          </w:tcPr>
          <w:p w14:paraId="1166CC44" w14:textId="77777777" w:rsidR="00937EEF" w:rsidRDefault="00937EEF" w:rsidP="00F464AF">
            <w:pPr>
              <w:tabs>
                <w:tab w:val="left" w:pos="720"/>
                <w:tab w:val="left" w:pos="1800"/>
                <w:tab w:val="left" w:pos="3600"/>
              </w:tabs>
              <w:suppressAutoHyphens/>
              <w:rPr>
                <w:spacing w:val="-3"/>
              </w:rPr>
            </w:pPr>
            <w:r>
              <w:rPr>
                <w:spacing w:val="-3"/>
              </w:rPr>
              <w:t>RCC &amp; MTPO</w:t>
            </w:r>
          </w:p>
        </w:tc>
        <w:tc>
          <w:tcPr>
            <w:tcW w:w="3672" w:type="dxa"/>
            <w:vAlign w:val="center"/>
          </w:tcPr>
          <w:p w14:paraId="2FB7081F" w14:textId="77777777" w:rsidR="00937EEF" w:rsidRDefault="00937EEF" w:rsidP="00F464AF">
            <w:pPr>
              <w:tabs>
                <w:tab w:val="left" w:pos="720"/>
                <w:tab w:val="left" w:pos="1800"/>
                <w:tab w:val="left" w:pos="3600"/>
              </w:tabs>
              <w:suppressAutoHyphens/>
              <w:rPr>
                <w:spacing w:val="-3"/>
              </w:rPr>
            </w:pPr>
            <w:r>
              <w:rPr>
                <w:spacing w:val="-3"/>
              </w:rPr>
              <w:t>LULAC’s 9</w:t>
            </w:r>
            <w:r w:rsidRPr="00086552">
              <w:rPr>
                <w:spacing w:val="-3"/>
                <w:vertAlign w:val="superscript"/>
              </w:rPr>
              <w:t>th</w:t>
            </w:r>
            <w:r>
              <w:rPr>
                <w:spacing w:val="-3"/>
              </w:rPr>
              <w:t xml:space="preserve"> POD</w:t>
            </w:r>
          </w:p>
        </w:tc>
      </w:tr>
      <w:tr w:rsidR="00937EEF" w:rsidRPr="00F528AE" w14:paraId="35849BAD" w14:textId="77777777" w:rsidTr="00937EEF">
        <w:trPr>
          <w:cantSplit/>
          <w:trHeight w:val="288"/>
        </w:trPr>
        <w:tc>
          <w:tcPr>
            <w:tcW w:w="2718" w:type="dxa"/>
            <w:vAlign w:val="center"/>
          </w:tcPr>
          <w:p w14:paraId="191F7F67" w14:textId="77777777" w:rsidR="00937EEF" w:rsidRDefault="00937EEF" w:rsidP="00F464AF">
            <w:pPr>
              <w:tabs>
                <w:tab w:val="left" w:pos="720"/>
                <w:tab w:val="left" w:pos="1800"/>
                <w:tab w:val="left" w:pos="3600"/>
              </w:tabs>
              <w:suppressAutoHyphens/>
              <w:ind w:left="1800" w:hanging="1800"/>
              <w:rPr>
                <w:spacing w:val="-3"/>
              </w:rPr>
            </w:pPr>
            <w:r>
              <w:rPr>
                <w:spacing w:val="-3"/>
              </w:rPr>
              <w:t>July 22, 2024</w:t>
            </w:r>
          </w:p>
        </w:tc>
        <w:tc>
          <w:tcPr>
            <w:tcW w:w="3060" w:type="dxa"/>
            <w:vAlign w:val="center"/>
          </w:tcPr>
          <w:p w14:paraId="686761FD" w14:textId="77777777" w:rsidR="00937EEF" w:rsidRDefault="00937EEF" w:rsidP="00F464AF">
            <w:pPr>
              <w:tabs>
                <w:tab w:val="left" w:pos="720"/>
                <w:tab w:val="left" w:pos="1800"/>
                <w:tab w:val="left" w:pos="3600"/>
              </w:tabs>
              <w:suppressAutoHyphens/>
              <w:rPr>
                <w:spacing w:val="-3"/>
              </w:rPr>
            </w:pPr>
            <w:r>
              <w:rPr>
                <w:spacing w:val="-3"/>
              </w:rPr>
              <w:t>RCC &amp; MTPO</w:t>
            </w:r>
          </w:p>
        </w:tc>
        <w:tc>
          <w:tcPr>
            <w:tcW w:w="3672" w:type="dxa"/>
            <w:vAlign w:val="center"/>
          </w:tcPr>
          <w:p w14:paraId="6127235D" w14:textId="77777777" w:rsidR="00937EEF" w:rsidRDefault="00937EEF" w:rsidP="00F464AF">
            <w:pPr>
              <w:tabs>
                <w:tab w:val="left" w:pos="720"/>
                <w:tab w:val="left" w:pos="1800"/>
                <w:tab w:val="left" w:pos="3600"/>
              </w:tabs>
              <w:suppressAutoHyphens/>
              <w:rPr>
                <w:spacing w:val="-3"/>
              </w:rPr>
            </w:pPr>
            <w:r w:rsidRPr="00562546">
              <w:t>John C. Heisey's Exhibit JCH-1, page 3 of 3, for the period January 2023 – December 2023</w:t>
            </w:r>
            <w:r>
              <w:t>, filed on April 3, 2024, in Docket No. 20240001-EI</w:t>
            </w:r>
          </w:p>
        </w:tc>
      </w:tr>
      <w:tr w:rsidR="00223230" w:rsidRPr="00F528AE" w14:paraId="5E116587" w14:textId="77777777" w:rsidTr="00937EEF">
        <w:trPr>
          <w:cantSplit/>
          <w:trHeight w:val="288"/>
        </w:trPr>
        <w:tc>
          <w:tcPr>
            <w:tcW w:w="2718" w:type="dxa"/>
            <w:vAlign w:val="center"/>
          </w:tcPr>
          <w:p w14:paraId="3B54FD1C" w14:textId="77777777" w:rsidR="00223230" w:rsidRDefault="00223230" w:rsidP="00F464AF">
            <w:pPr>
              <w:tabs>
                <w:tab w:val="left" w:pos="720"/>
                <w:tab w:val="left" w:pos="1800"/>
                <w:tab w:val="left" w:pos="3600"/>
              </w:tabs>
              <w:suppressAutoHyphens/>
              <w:ind w:left="1800" w:hanging="1800"/>
              <w:rPr>
                <w:spacing w:val="-3"/>
              </w:rPr>
            </w:pPr>
            <w:r w:rsidRPr="00223230">
              <w:rPr>
                <w:spacing w:val="-3"/>
              </w:rPr>
              <w:t>July 26, 2024</w:t>
            </w:r>
          </w:p>
        </w:tc>
        <w:tc>
          <w:tcPr>
            <w:tcW w:w="3060" w:type="dxa"/>
            <w:vAlign w:val="center"/>
          </w:tcPr>
          <w:p w14:paraId="467EFD07" w14:textId="77777777" w:rsidR="00223230" w:rsidRDefault="00223230" w:rsidP="00F464AF">
            <w:pPr>
              <w:tabs>
                <w:tab w:val="left" w:pos="720"/>
                <w:tab w:val="left" w:pos="1800"/>
                <w:tab w:val="left" w:pos="3600"/>
              </w:tabs>
              <w:suppressAutoHyphens/>
              <w:rPr>
                <w:spacing w:val="-3"/>
              </w:rPr>
            </w:pPr>
            <w:r w:rsidRPr="00223230">
              <w:rPr>
                <w:spacing w:val="-3"/>
              </w:rPr>
              <w:t>MTPO</w:t>
            </w:r>
          </w:p>
        </w:tc>
        <w:tc>
          <w:tcPr>
            <w:tcW w:w="3672" w:type="dxa"/>
            <w:vAlign w:val="center"/>
          </w:tcPr>
          <w:p w14:paraId="10BDD7ED" w14:textId="77777777" w:rsidR="00223230" w:rsidRPr="00562546" w:rsidRDefault="00223230" w:rsidP="00F464AF">
            <w:pPr>
              <w:tabs>
                <w:tab w:val="left" w:pos="720"/>
                <w:tab w:val="left" w:pos="1800"/>
                <w:tab w:val="left" w:pos="3600"/>
              </w:tabs>
              <w:suppressAutoHyphens/>
            </w:pPr>
            <w:r w:rsidRPr="00223230">
              <w:t>July 22, 2024, Deposition Transcript of Carlos Aldazabal</w:t>
            </w:r>
          </w:p>
        </w:tc>
      </w:tr>
      <w:tr w:rsidR="00223230" w:rsidRPr="00F528AE" w14:paraId="5586B624" w14:textId="77777777" w:rsidTr="00937EEF">
        <w:trPr>
          <w:cantSplit/>
          <w:trHeight w:val="288"/>
        </w:trPr>
        <w:tc>
          <w:tcPr>
            <w:tcW w:w="2718" w:type="dxa"/>
            <w:vAlign w:val="center"/>
          </w:tcPr>
          <w:p w14:paraId="5C70E25A" w14:textId="77777777" w:rsidR="00223230" w:rsidRPr="00223230" w:rsidRDefault="00223230" w:rsidP="00F464AF">
            <w:pPr>
              <w:tabs>
                <w:tab w:val="left" w:pos="720"/>
                <w:tab w:val="left" w:pos="1800"/>
                <w:tab w:val="left" w:pos="3600"/>
              </w:tabs>
              <w:suppressAutoHyphens/>
              <w:ind w:left="1800" w:hanging="1800"/>
              <w:rPr>
                <w:spacing w:val="-3"/>
              </w:rPr>
            </w:pPr>
            <w:r w:rsidRPr="00223230">
              <w:rPr>
                <w:spacing w:val="-3"/>
              </w:rPr>
              <w:t>July 29, 2024</w:t>
            </w:r>
          </w:p>
        </w:tc>
        <w:tc>
          <w:tcPr>
            <w:tcW w:w="3060" w:type="dxa"/>
            <w:vAlign w:val="center"/>
          </w:tcPr>
          <w:p w14:paraId="71A88FA0" w14:textId="77777777" w:rsidR="00223230" w:rsidRPr="00223230" w:rsidRDefault="00223230" w:rsidP="00F464AF">
            <w:pPr>
              <w:tabs>
                <w:tab w:val="left" w:pos="720"/>
                <w:tab w:val="left" w:pos="1800"/>
                <w:tab w:val="left" w:pos="3600"/>
              </w:tabs>
              <w:suppressAutoHyphens/>
              <w:rPr>
                <w:spacing w:val="-3"/>
              </w:rPr>
            </w:pPr>
            <w:r w:rsidRPr="00223230">
              <w:rPr>
                <w:spacing w:val="-3"/>
              </w:rPr>
              <w:t>MTPO</w:t>
            </w:r>
          </w:p>
        </w:tc>
        <w:tc>
          <w:tcPr>
            <w:tcW w:w="3672" w:type="dxa"/>
            <w:vAlign w:val="center"/>
          </w:tcPr>
          <w:p w14:paraId="6A9AF3C5" w14:textId="77777777" w:rsidR="00223230" w:rsidRPr="00223230" w:rsidRDefault="00223230" w:rsidP="00F464AF">
            <w:pPr>
              <w:tabs>
                <w:tab w:val="left" w:pos="720"/>
                <w:tab w:val="left" w:pos="1800"/>
                <w:tab w:val="left" w:pos="3600"/>
              </w:tabs>
              <w:suppressAutoHyphens/>
            </w:pPr>
            <w:r w:rsidRPr="00223230">
              <w:t>July 26, 2024, Deposition Transcript of Archie Collins</w:t>
            </w:r>
          </w:p>
        </w:tc>
      </w:tr>
      <w:tr w:rsidR="00223230" w:rsidRPr="00F528AE" w14:paraId="5126AD18" w14:textId="77777777" w:rsidTr="00937EEF">
        <w:trPr>
          <w:cantSplit/>
          <w:trHeight w:val="288"/>
        </w:trPr>
        <w:tc>
          <w:tcPr>
            <w:tcW w:w="2718" w:type="dxa"/>
            <w:vAlign w:val="center"/>
          </w:tcPr>
          <w:p w14:paraId="2C065A4C" w14:textId="77777777" w:rsidR="00223230" w:rsidRPr="00223230" w:rsidRDefault="00223230" w:rsidP="00F464AF">
            <w:pPr>
              <w:tabs>
                <w:tab w:val="left" w:pos="720"/>
                <w:tab w:val="left" w:pos="1800"/>
                <w:tab w:val="left" w:pos="3600"/>
              </w:tabs>
              <w:suppressAutoHyphens/>
              <w:ind w:left="1800" w:hanging="1800"/>
              <w:rPr>
                <w:spacing w:val="-3"/>
              </w:rPr>
            </w:pPr>
            <w:r w:rsidRPr="00223230">
              <w:rPr>
                <w:spacing w:val="-3"/>
              </w:rPr>
              <w:t>July 30, 2024</w:t>
            </w:r>
          </w:p>
        </w:tc>
        <w:tc>
          <w:tcPr>
            <w:tcW w:w="3060" w:type="dxa"/>
            <w:vAlign w:val="center"/>
          </w:tcPr>
          <w:p w14:paraId="0AC2D993" w14:textId="77777777" w:rsidR="00223230" w:rsidRPr="00223230" w:rsidRDefault="00223230" w:rsidP="00F464AF">
            <w:pPr>
              <w:tabs>
                <w:tab w:val="left" w:pos="720"/>
                <w:tab w:val="left" w:pos="1800"/>
                <w:tab w:val="left" w:pos="3600"/>
              </w:tabs>
              <w:suppressAutoHyphens/>
              <w:rPr>
                <w:spacing w:val="-3"/>
              </w:rPr>
            </w:pPr>
            <w:r w:rsidRPr="00223230">
              <w:rPr>
                <w:spacing w:val="-3"/>
              </w:rPr>
              <w:t>RCC &amp; MTPO</w:t>
            </w:r>
          </w:p>
        </w:tc>
        <w:tc>
          <w:tcPr>
            <w:tcW w:w="3672" w:type="dxa"/>
            <w:vAlign w:val="center"/>
          </w:tcPr>
          <w:p w14:paraId="70218636" w14:textId="77777777" w:rsidR="00223230" w:rsidRPr="00223230" w:rsidRDefault="00223230" w:rsidP="00F464AF">
            <w:pPr>
              <w:tabs>
                <w:tab w:val="left" w:pos="720"/>
                <w:tab w:val="left" w:pos="1800"/>
                <w:tab w:val="left" w:pos="3600"/>
              </w:tabs>
              <w:suppressAutoHyphens/>
            </w:pPr>
            <w:r w:rsidRPr="00223230">
              <w:t>Late Filed Exhibit No. 2 to the Deposition Transcript of Archie Collins</w:t>
            </w:r>
          </w:p>
        </w:tc>
      </w:tr>
      <w:tr w:rsidR="00223230" w:rsidRPr="00F528AE" w14:paraId="45C9FD94" w14:textId="77777777" w:rsidTr="00937EEF">
        <w:trPr>
          <w:cantSplit/>
          <w:trHeight w:val="288"/>
        </w:trPr>
        <w:tc>
          <w:tcPr>
            <w:tcW w:w="2718" w:type="dxa"/>
            <w:vAlign w:val="center"/>
          </w:tcPr>
          <w:p w14:paraId="53CB45B6" w14:textId="77777777" w:rsidR="00223230" w:rsidRPr="00223230" w:rsidRDefault="00223230" w:rsidP="00F464AF">
            <w:pPr>
              <w:tabs>
                <w:tab w:val="left" w:pos="720"/>
                <w:tab w:val="left" w:pos="1800"/>
                <w:tab w:val="left" w:pos="3600"/>
              </w:tabs>
              <w:suppressAutoHyphens/>
              <w:ind w:left="1800" w:hanging="1800"/>
              <w:rPr>
                <w:spacing w:val="-3"/>
              </w:rPr>
            </w:pPr>
            <w:r w:rsidRPr="00223230">
              <w:rPr>
                <w:spacing w:val="-3"/>
              </w:rPr>
              <w:t>July 31, 2024</w:t>
            </w:r>
          </w:p>
        </w:tc>
        <w:tc>
          <w:tcPr>
            <w:tcW w:w="3060" w:type="dxa"/>
            <w:vAlign w:val="center"/>
          </w:tcPr>
          <w:p w14:paraId="383E48B6" w14:textId="77777777" w:rsidR="00223230" w:rsidRPr="00223230" w:rsidRDefault="00223230" w:rsidP="00F464AF">
            <w:pPr>
              <w:tabs>
                <w:tab w:val="left" w:pos="720"/>
                <w:tab w:val="left" w:pos="1800"/>
                <w:tab w:val="left" w:pos="3600"/>
              </w:tabs>
              <w:suppressAutoHyphens/>
              <w:rPr>
                <w:spacing w:val="-3"/>
              </w:rPr>
            </w:pPr>
            <w:r w:rsidRPr="00223230">
              <w:rPr>
                <w:spacing w:val="-3"/>
              </w:rPr>
              <w:t>RCC &amp; MTPO</w:t>
            </w:r>
          </w:p>
        </w:tc>
        <w:tc>
          <w:tcPr>
            <w:tcW w:w="3672" w:type="dxa"/>
            <w:vAlign w:val="center"/>
          </w:tcPr>
          <w:p w14:paraId="48782FAE" w14:textId="77777777" w:rsidR="00223230" w:rsidRPr="00223230" w:rsidRDefault="00223230" w:rsidP="00F464AF">
            <w:pPr>
              <w:tabs>
                <w:tab w:val="left" w:pos="720"/>
                <w:tab w:val="left" w:pos="1800"/>
                <w:tab w:val="left" w:pos="3600"/>
              </w:tabs>
              <w:suppressAutoHyphens/>
            </w:pPr>
            <w:r w:rsidRPr="00223230">
              <w:t>Late Filed Exhibit No. 2 to the Deposition Transcript of David Lukcic</w:t>
            </w:r>
          </w:p>
        </w:tc>
      </w:tr>
      <w:tr w:rsidR="00223230" w:rsidRPr="00F528AE" w14:paraId="45A7D122" w14:textId="77777777" w:rsidTr="00937EEF">
        <w:trPr>
          <w:cantSplit/>
          <w:trHeight w:val="288"/>
        </w:trPr>
        <w:tc>
          <w:tcPr>
            <w:tcW w:w="2718" w:type="dxa"/>
            <w:vAlign w:val="center"/>
          </w:tcPr>
          <w:p w14:paraId="7111E8A9" w14:textId="77777777" w:rsidR="00223230" w:rsidRPr="00223230" w:rsidRDefault="00223230" w:rsidP="00F464AF">
            <w:pPr>
              <w:tabs>
                <w:tab w:val="left" w:pos="720"/>
                <w:tab w:val="left" w:pos="1800"/>
                <w:tab w:val="left" w:pos="3600"/>
              </w:tabs>
              <w:suppressAutoHyphens/>
              <w:ind w:left="1800" w:hanging="1800"/>
              <w:rPr>
                <w:spacing w:val="-3"/>
              </w:rPr>
            </w:pPr>
            <w:r w:rsidRPr="00223230">
              <w:rPr>
                <w:spacing w:val="-3"/>
              </w:rPr>
              <w:t>August 1, 2024</w:t>
            </w:r>
          </w:p>
        </w:tc>
        <w:tc>
          <w:tcPr>
            <w:tcW w:w="3060" w:type="dxa"/>
            <w:vAlign w:val="center"/>
          </w:tcPr>
          <w:p w14:paraId="571789B0" w14:textId="77777777" w:rsidR="00223230" w:rsidRPr="00223230" w:rsidRDefault="00223230" w:rsidP="00F464AF">
            <w:pPr>
              <w:tabs>
                <w:tab w:val="left" w:pos="720"/>
                <w:tab w:val="left" w:pos="1800"/>
                <w:tab w:val="left" w:pos="3600"/>
              </w:tabs>
              <w:suppressAutoHyphens/>
              <w:rPr>
                <w:spacing w:val="-3"/>
              </w:rPr>
            </w:pPr>
            <w:r w:rsidRPr="00223230">
              <w:rPr>
                <w:spacing w:val="-3"/>
              </w:rPr>
              <w:t>RCC</w:t>
            </w:r>
          </w:p>
        </w:tc>
        <w:tc>
          <w:tcPr>
            <w:tcW w:w="3672" w:type="dxa"/>
            <w:vAlign w:val="center"/>
          </w:tcPr>
          <w:p w14:paraId="3D0A0D2A" w14:textId="77777777" w:rsidR="00223230" w:rsidRPr="00223230" w:rsidRDefault="00223230" w:rsidP="00F464AF">
            <w:pPr>
              <w:tabs>
                <w:tab w:val="left" w:pos="720"/>
                <w:tab w:val="left" w:pos="1800"/>
                <w:tab w:val="left" w:pos="3600"/>
              </w:tabs>
              <w:suppressAutoHyphens/>
            </w:pPr>
            <w:r w:rsidRPr="00223230">
              <w:t>July 22, 2024, Deposition Transcript of Carlos Aldazabal</w:t>
            </w:r>
          </w:p>
        </w:tc>
      </w:tr>
      <w:tr w:rsidR="00223230" w:rsidRPr="00F528AE" w14:paraId="01C1B757" w14:textId="77777777" w:rsidTr="00937EEF">
        <w:trPr>
          <w:cantSplit/>
          <w:trHeight w:val="288"/>
        </w:trPr>
        <w:tc>
          <w:tcPr>
            <w:tcW w:w="2718" w:type="dxa"/>
            <w:vAlign w:val="center"/>
          </w:tcPr>
          <w:p w14:paraId="520EED20" w14:textId="77777777" w:rsidR="00223230" w:rsidRPr="00223230" w:rsidRDefault="00EA79E5" w:rsidP="00F464AF">
            <w:pPr>
              <w:tabs>
                <w:tab w:val="left" w:pos="720"/>
                <w:tab w:val="left" w:pos="1800"/>
                <w:tab w:val="left" w:pos="3600"/>
              </w:tabs>
              <w:suppressAutoHyphens/>
              <w:ind w:left="1800" w:hanging="1800"/>
              <w:rPr>
                <w:spacing w:val="-3"/>
              </w:rPr>
            </w:pPr>
            <w:r w:rsidRPr="00EA79E5">
              <w:rPr>
                <w:spacing w:val="-3"/>
              </w:rPr>
              <w:t>August 2, 2024</w:t>
            </w:r>
          </w:p>
        </w:tc>
        <w:tc>
          <w:tcPr>
            <w:tcW w:w="3060" w:type="dxa"/>
            <w:vAlign w:val="center"/>
          </w:tcPr>
          <w:p w14:paraId="21ABD46C" w14:textId="77777777" w:rsidR="00223230" w:rsidRPr="00223230" w:rsidRDefault="00EA79E5" w:rsidP="00F464AF">
            <w:pPr>
              <w:tabs>
                <w:tab w:val="left" w:pos="720"/>
                <w:tab w:val="left" w:pos="1800"/>
                <w:tab w:val="left" w:pos="3600"/>
              </w:tabs>
              <w:suppressAutoHyphens/>
              <w:rPr>
                <w:spacing w:val="-3"/>
              </w:rPr>
            </w:pPr>
            <w:r w:rsidRPr="00EA79E5">
              <w:rPr>
                <w:spacing w:val="-3"/>
              </w:rPr>
              <w:t>RCC &amp; MTPO</w:t>
            </w:r>
          </w:p>
        </w:tc>
        <w:tc>
          <w:tcPr>
            <w:tcW w:w="3672" w:type="dxa"/>
            <w:vAlign w:val="center"/>
          </w:tcPr>
          <w:p w14:paraId="5800E702" w14:textId="77777777" w:rsidR="00EA79E5" w:rsidRDefault="00EA79E5" w:rsidP="00EA79E5">
            <w:pPr>
              <w:tabs>
                <w:tab w:val="left" w:pos="720"/>
                <w:tab w:val="left" w:pos="1800"/>
                <w:tab w:val="left" w:pos="3600"/>
              </w:tabs>
              <w:suppressAutoHyphens/>
            </w:pPr>
            <w:r>
              <w:t>LULAC’s 1st POD</w:t>
            </w:r>
          </w:p>
          <w:p w14:paraId="35AB2546" w14:textId="77777777" w:rsidR="00223230" w:rsidRPr="00223230" w:rsidRDefault="00EA79E5" w:rsidP="00EA79E5">
            <w:pPr>
              <w:tabs>
                <w:tab w:val="left" w:pos="720"/>
                <w:tab w:val="left" w:pos="1800"/>
                <w:tab w:val="left" w:pos="3600"/>
              </w:tabs>
              <w:suppressAutoHyphens/>
            </w:pPr>
            <w:r>
              <w:t>Amended Exhibit A</w:t>
            </w:r>
          </w:p>
        </w:tc>
      </w:tr>
      <w:tr w:rsidR="000D5881" w:rsidRPr="00F528AE" w14:paraId="0771F0EE" w14:textId="77777777" w:rsidTr="00937EEF">
        <w:trPr>
          <w:cantSplit/>
          <w:trHeight w:val="288"/>
        </w:trPr>
        <w:tc>
          <w:tcPr>
            <w:tcW w:w="2718" w:type="dxa"/>
            <w:vAlign w:val="center"/>
          </w:tcPr>
          <w:p w14:paraId="5E8D8469" w14:textId="7D436094" w:rsidR="000D5881" w:rsidRPr="00EA79E5" w:rsidRDefault="000D5881" w:rsidP="00F464AF">
            <w:pPr>
              <w:tabs>
                <w:tab w:val="left" w:pos="720"/>
                <w:tab w:val="left" w:pos="1800"/>
                <w:tab w:val="left" w:pos="3600"/>
              </w:tabs>
              <w:suppressAutoHyphens/>
              <w:ind w:left="1800" w:hanging="1800"/>
              <w:rPr>
                <w:spacing w:val="-3"/>
              </w:rPr>
            </w:pPr>
            <w:r>
              <w:rPr>
                <w:spacing w:val="-3"/>
              </w:rPr>
              <w:t>August 8, 2024</w:t>
            </w:r>
          </w:p>
        </w:tc>
        <w:tc>
          <w:tcPr>
            <w:tcW w:w="3060" w:type="dxa"/>
            <w:vAlign w:val="center"/>
          </w:tcPr>
          <w:p w14:paraId="761D984B" w14:textId="66349249" w:rsidR="000D5881" w:rsidRPr="00EA79E5" w:rsidRDefault="000D5881" w:rsidP="00F464AF">
            <w:pPr>
              <w:tabs>
                <w:tab w:val="left" w:pos="720"/>
                <w:tab w:val="left" w:pos="1800"/>
                <w:tab w:val="left" w:pos="3600"/>
              </w:tabs>
              <w:suppressAutoHyphens/>
              <w:rPr>
                <w:spacing w:val="-3"/>
              </w:rPr>
            </w:pPr>
            <w:r>
              <w:rPr>
                <w:spacing w:val="-3"/>
              </w:rPr>
              <w:t>RCC &amp; MTPO</w:t>
            </w:r>
          </w:p>
        </w:tc>
        <w:tc>
          <w:tcPr>
            <w:tcW w:w="3672" w:type="dxa"/>
            <w:vAlign w:val="center"/>
          </w:tcPr>
          <w:p w14:paraId="68686184" w14:textId="4461E9D4" w:rsidR="000D5881" w:rsidRDefault="000D5881" w:rsidP="000D5881">
            <w:pPr>
              <w:tabs>
                <w:tab w:val="left" w:pos="720"/>
                <w:tab w:val="left" w:pos="1800"/>
                <w:tab w:val="left" w:pos="3600"/>
              </w:tabs>
              <w:suppressAutoHyphens/>
            </w:pPr>
            <w:r>
              <w:t>Exhibits 1 &amp; 2 to the Report on Customer Services Hearings</w:t>
            </w:r>
          </w:p>
        </w:tc>
      </w:tr>
    </w:tbl>
    <w:p w14:paraId="7FA32DF6" w14:textId="77777777" w:rsidR="00937EEF" w:rsidRPr="00937EEF" w:rsidRDefault="00937EEF" w:rsidP="00C7699A">
      <w:pPr>
        <w:jc w:val="both"/>
      </w:pPr>
    </w:p>
    <w:p w14:paraId="45B94EA3" w14:textId="77777777" w:rsidR="007C542B" w:rsidRDefault="007C542B" w:rsidP="00C7699A">
      <w:pPr>
        <w:jc w:val="both"/>
      </w:pPr>
    </w:p>
    <w:p w14:paraId="26EC5621" w14:textId="77777777" w:rsidR="00C7699A" w:rsidRPr="00A32DC5" w:rsidRDefault="00C7699A" w:rsidP="00C7699A">
      <w:pPr>
        <w:jc w:val="both"/>
        <w:rPr>
          <w:b/>
        </w:rPr>
      </w:pPr>
      <w:r w:rsidRPr="00A32DC5">
        <w:rPr>
          <w:b/>
        </w:rPr>
        <w:t>XIII.</w:t>
      </w:r>
      <w:r w:rsidRPr="00A32DC5">
        <w:rPr>
          <w:b/>
        </w:rPr>
        <w:tab/>
      </w:r>
      <w:r w:rsidRPr="00A32DC5">
        <w:rPr>
          <w:b/>
          <w:u w:val="single"/>
        </w:rPr>
        <w:t>POST-HEARING PROCEDURES</w:t>
      </w:r>
    </w:p>
    <w:p w14:paraId="53B0E8EF" w14:textId="77777777" w:rsidR="00C7699A" w:rsidRPr="00701945" w:rsidRDefault="00C7699A" w:rsidP="00C7699A">
      <w:pPr>
        <w:jc w:val="both"/>
      </w:pPr>
    </w:p>
    <w:p w14:paraId="44E4F476" w14:textId="08C3D67E" w:rsidR="00C7699A" w:rsidRPr="00701945" w:rsidRDefault="00C7699A" w:rsidP="00C7699A">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rsidR="00327E7A">
        <w:t>75</w:t>
      </w:r>
      <w:r w:rsidRPr="00701945">
        <w:t xml:space="preserve"> words, it must be reduced to no more than </w:t>
      </w:r>
      <w:r w:rsidR="00E83C7F">
        <w:t>75</w:t>
      </w:r>
      <w:r w:rsidRPr="00701945">
        <w:t xml:space="preserve"> words. If a party fails to file a post-hearing statement, that party shall have waived all issues and may be dismissed from the proceeding.</w:t>
      </w:r>
    </w:p>
    <w:p w14:paraId="1E833254" w14:textId="77777777" w:rsidR="00C7699A" w:rsidRPr="00701945" w:rsidRDefault="00C7699A" w:rsidP="00C7699A">
      <w:pPr>
        <w:jc w:val="both"/>
      </w:pPr>
    </w:p>
    <w:p w14:paraId="2A2E83BA" w14:textId="77777777" w:rsidR="00C7699A" w:rsidRPr="00701945" w:rsidRDefault="00C7699A" w:rsidP="00C7699A">
      <w:pPr>
        <w:jc w:val="both"/>
      </w:pPr>
      <w:r w:rsidRPr="00701945">
        <w:lastRenderedPageBreak/>
        <w:tab/>
        <w:t xml:space="preserve">Pursuant to Rule 28-106.215, </w:t>
      </w:r>
      <w:r>
        <w:t>F.A.C.</w:t>
      </w:r>
      <w:r w:rsidRPr="00701945">
        <w:t xml:space="preserve">, a party's proposed findings of fact and conclusions of law, if any, statement of issues and positions, and brief, shall together total no more than </w:t>
      </w:r>
      <w:r w:rsidR="00BF61FA">
        <w:t>75 pages</w:t>
      </w:r>
      <w:r>
        <w:rPr>
          <w:color w:val="FF0000"/>
        </w:rPr>
        <w:t xml:space="preserve"> </w:t>
      </w:r>
      <w:r w:rsidRPr="00701945">
        <w:t>and shall be filed at the same time.</w:t>
      </w:r>
    </w:p>
    <w:p w14:paraId="55804DC9" w14:textId="77777777" w:rsidR="00C7699A" w:rsidRDefault="00C7699A" w:rsidP="00C7699A">
      <w:pPr>
        <w:jc w:val="both"/>
      </w:pPr>
    </w:p>
    <w:p w14:paraId="36350258" w14:textId="77777777" w:rsidR="00C7699A" w:rsidRDefault="00C7699A" w:rsidP="00C7699A">
      <w:pPr>
        <w:jc w:val="both"/>
      </w:pPr>
    </w:p>
    <w:p w14:paraId="2AA7BA25" w14:textId="77777777" w:rsidR="00C7699A" w:rsidRPr="00A32DC5" w:rsidRDefault="00C7699A" w:rsidP="00C7699A">
      <w:pPr>
        <w:jc w:val="both"/>
        <w:rPr>
          <w:b/>
        </w:rPr>
      </w:pPr>
      <w:r w:rsidRPr="00A32DC5">
        <w:rPr>
          <w:b/>
        </w:rPr>
        <w:t>XIV.</w:t>
      </w:r>
      <w:r w:rsidRPr="00A32DC5">
        <w:rPr>
          <w:b/>
        </w:rPr>
        <w:tab/>
      </w:r>
      <w:r w:rsidRPr="00A32DC5">
        <w:rPr>
          <w:b/>
          <w:u w:val="single"/>
        </w:rPr>
        <w:t>RULINGS</w:t>
      </w:r>
    </w:p>
    <w:p w14:paraId="7F9CDE8D" w14:textId="77777777" w:rsidR="00C7699A" w:rsidRPr="00701945" w:rsidRDefault="00C7699A" w:rsidP="00C7699A">
      <w:pPr>
        <w:jc w:val="both"/>
      </w:pPr>
    </w:p>
    <w:p w14:paraId="4012C182" w14:textId="3E7D0E22" w:rsidR="00C7699A" w:rsidRDefault="00C7699A" w:rsidP="00C7699A">
      <w:pPr>
        <w:ind w:firstLine="720"/>
        <w:jc w:val="both"/>
      </w:pPr>
      <w:r w:rsidRPr="00701945">
        <w:t xml:space="preserve">Opening statements, if any, shall not exceed </w:t>
      </w:r>
      <w:r>
        <w:t>five</w:t>
      </w:r>
      <w:r w:rsidRPr="00701945">
        <w:t xml:space="preserve"> minutes per party.</w:t>
      </w:r>
    </w:p>
    <w:p w14:paraId="5E93F887" w14:textId="093FC6CC" w:rsidR="00F9585B" w:rsidRDefault="00F9585B" w:rsidP="00C7699A">
      <w:pPr>
        <w:ind w:firstLine="720"/>
        <w:jc w:val="both"/>
      </w:pPr>
    </w:p>
    <w:p w14:paraId="6EBA2EA3" w14:textId="43B235C3" w:rsidR="00F9585B" w:rsidRDefault="001064D0" w:rsidP="00C7699A">
      <w:pPr>
        <w:ind w:firstLine="720"/>
        <w:jc w:val="both"/>
      </w:pPr>
      <w:r>
        <w:t>Witness summary testimonies shall not exceed seven minutes total, for both direct and rebuttal combined.</w:t>
      </w:r>
    </w:p>
    <w:p w14:paraId="26C55016" w14:textId="1620A80F" w:rsidR="00CC1C62" w:rsidRDefault="00CC1C62" w:rsidP="00C7699A">
      <w:pPr>
        <w:ind w:firstLine="720"/>
        <w:jc w:val="both"/>
      </w:pPr>
    </w:p>
    <w:p w14:paraId="7DDC05C9" w14:textId="5A9E157C" w:rsidR="00CC1C62" w:rsidRPr="00701945" w:rsidRDefault="00847502" w:rsidP="00C7699A">
      <w:pPr>
        <w:ind w:firstLine="720"/>
        <w:jc w:val="both"/>
      </w:pPr>
      <w:r>
        <w:t xml:space="preserve">The Provision of Exhibits deadline contained in Section X of the </w:t>
      </w:r>
      <w:r w:rsidRPr="005C59C6">
        <w:t>Order Establishing Procedure and Consolidating Dockets, Order No. PSC-2024-0096-PCO-EI,</w:t>
      </w:r>
      <w:r>
        <w:t xml:space="preserve"> is extended to August 15, 2024, by close-of-business.</w:t>
      </w:r>
    </w:p>
    <w:p w14:paraId="2A965C7D" w14:textId="77777777" w:rsidR="00C7699A" w:rsidRDefault="00C7699A" w:rsidP="00C7699A">
      <w:pPr>
        <w:jc w:val="both"/>
      </w:pPr>
    </w:p>
    <w:p w14:paraId="6566ED17" w14:textId="77777777" w:rsidR="00C7699A" w:rsidRPr="00701945" w:rsidRDefault="00C7699A" w:rsidP="00C7699A">
      <w:pPr>
        <w:jc w:val="both"/>
      </w:pPr>
      <w:r w:rsidRPr="00701945">
        <w:tab/>
        <w:t>It is therefore,</w:t>
      </w:r>
    </w:p>
    <w:p w14:paraId="38A288B6" w14:textId="77777777" w:rsidR="00C7699A" w:rsidRPr="00701945" w:rsidRDefault="00C7699A" w:rsidP="00C7699A">
      <w:pPr>
        <w:jc w:val="both"/>
      </w:pPr>
    </w:p>
    <w:p w14:paraId="4E638389" w14:textId="77777777" w:rsidR="00C7699A" w:rsidRDefault="00C7699A" w:rsidP="00C7699A">
      <w:pPr>
        <w:jc w:val="both"/>
      </w:pPr>
      <w:r w:rsidRPr="00701945">
        <w:tab/>
        <w:t xml:space="preserve">ORDERED by Commissioner </w:t>
      </w:r>
      <w:r w:rsidR="000C1892">
        <w:t>Gary F. Clark</w:t>
      </w:r>
      <w:r w:rsidRPr="00701945">
        <w:t>, as Prehearing Officer, that this Prehearing Order shall govern the conduct of these proceedings as set forth above unless modified by the Commission.</w:t>
      </w:r>
    </w:p>
    <w:p w14:paraId="5AB9FB4E" w14:textId="77777777" w:rsidR="000C1892" w:rsidRDefault="000C1892" w:rsidP="00C7699A">
      <w:pPr>
        <w:jc w:val="both"/>
      </w:pPr>
    </w:p>
    <w:p w14:paraId="68AECF6B" w14:textId="2E70EF2F" w:rsidR="000C1892" w:rsidRDefault="000C1892" w:rsidP="000C1892">
      <w:pPr>
        <w:keepNext/>
        <w:keepLines/>
        <w:jc w:val="both"/>
      </w:pPr>
      <w:r>
        <w:tab/>
        <w:t xml:space="preserve">By ORDER of Commissioner Gary F. Clark, as Prehearing Officer, this </w:t>
      </w:r>
      <w:bookmarkStart w:id="17" w:name="replaceDate"/>
      <w:bookmarkEnd w:id="17"/>
      <w:r w:rsidR="007716CF">
        <w:rPr>
          <w:u w:val="single"/>
        </w:rPr>
        <w:t>14th</w:t>
      </w:r>
      <w:r w:rsidR="007716CF">
        <w:t xml:space="preserve"> day of </w:t>
      </w:r>
      <w:r w:rsidR="007716CF">
        <w:rPr>
          <w:u w:val="single"/>
        </w:rPr>
        <w:t>August</w:t>
      </w:r>
      <w:r w:rsidR="007716CF">
        <w:t xml:space="preserve">, </w:t>
      </w:r>
      <w:r w:rsidR="007716CF">
        <w:rPr>
          <w:u w:val="single"/>
        </w:rPr>
        <w:t>2024</w:t>
      </w:r>
      <w:r w:rsidR="007716CF">
        <w:t>.</w:t>
      </w:r>
    </w:p>
    <w:p w14:paraId="3D94B8AA" w14:textId="77777777" w:rsidR="007716CF" w:rsidRPr="007716CF" w:rsidRDefault="007716CF" w:rsidP="000C1892">
      <w:pPr>
        <w:keepNext/>
        <w:keepLines/>
        <w:jc w:val="both"/>
      </w:pPr>
    </w:p>
    <w:p w14:paraId="15583DF3" w14:textId="77777777" w:rsidR="000C1892" w:rsidRDefault="000C1892" w:rsidP="000C1892">
      <w:pPr>
        <w:keepNext/>
        <w:keepLines/>
        <w:jc w:val="both"/>
      </w:pPr>
    </w:p>
    <w:p w14:paraId="754D5357" w14:textId="77777777" w:rsidR="000C1892" w:rsidRDefault="000C1892" w:rsidP="000C1892">
      <w:pPr>
        <w:keepNext/>
        <w:keepLines/>
        <w:jc w:val="both"/>
      </w:pPr>
    </w:p>
    <w:p w14:paraId="3283160F" w14:textId="77777777" w:rsidR="000C1892" w:rsidRDefault="000C1892" w:rsidP="000C189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C1892" w14:paraId="029CE30A" w14:textId="77777777" w:rsidTr="000C1892">
        <w:tc>
          <w:tcPr>
            <w:tcW w:w="720" w:type="dxa"/>
            <w:shd w:val="clear" w:color="auto" w:fill="auto"/>
          </w:tcPr>
          <w:p w14:paraId="69F21530" w14:textId="77777777" w:rsidR="000C1892" w:rsidRDefault="000C1892" w:rsidP="000C1892">
            <w:pPr>
              <w:keepNext/>
              <w:keepLines/>
              <w:jc w:val="both"/>
            </w:pPr>
            <w:bookmarkStart w:id="18" w:name="bkmrkSignature" w:colFirst="0" w:colLast="0"/>
          </w:p>
        </w:tc>
        <w:tc>
          <w:tcPr>
            <w:tcW w:w="4320" w:type="dxa"/>
            <w:tcBorders>
              <w:bottom w:val="single" w:sz="4" w:space="0" w:color="auto"/>
            </w:tcBorders>
            <w:shd w:val="clear" w:color="auto" w:fill="auto"/>
          </w:tcPr>
          <w:p w14:paraId="0723C72E" w14:textId="135A92D8" w:rsidR="000C1892" w:rsidRDefault="002D5A6E" w:rsidP="000C1892">
            <w:pPr>
              <w:keepNext/>
              <w:keepLines/>
              <w:jc w:val="both"/>
            </w:pPr>
            <w:r>
              <w:t>/s/ Gary F. Clark</w:t>
            </w:r>
            <w:bookmarkStart w:id="19" w:name="_GoBack"/>
            <w:bookmarkEnd w:id="19"/>
          </w:p>
        </w:tc>
      </w:tr>
      <w:bookmarkEnd w:id="18"/>
      <w:tr w:rsidR="000C1892" w14:paraId="5602E271" w14:textId="77777777" w:rsidTr="000C1892">
        <w:tc>
          <w:tcPr>
            <w:tcW w:w="720" w:type="dxa"/>
            <w:shd w:val="clear" w:color="auto" w:fill="auto"/>
          </w:tcPr>
          <w:p w14:paraId="57BEBA5E" w14:textId="77777777" w:rsidR="000C1892" w:rsidRDefault="000C1892" w:rsidP="000C1892">
            <w:pPr>
              <w:keepNext/>
              <w:keepLines/>
              <w:jc w:val="both"/>
            </w:pPr>
          </w:p>
        </w:tc>
        <w:tc>
          <w:tcPr>
            <w:tcW w:w="4320" w:type="dxa"/>
            <w:tcBorders>
              <w:top w:val="single" w:sz="4" w:space="0" w:color="auto"/>
            </w:tcBorders>
            <w:shd w:val="clear" w:color="auto" w:fill="auto"/>
          </w:tcPr>
          <w:p w14:paraId="4B0089C8" w14:textId="77777777" w:rsidR="000C1892" w:rsidRDefault="000C1892" w:rsidP="000C1892">
            <w:pPr>
              <w:keepNext/>
              <w:keepLines/>
              <w:jc w:val="both"/>
            </w:pPr>
            <w:r>
              <w:t>GARY F. CLARK</w:t>
            </w:r>
          </w:p>
          <w:p w14:paraId="6EB2A222" w14:textId="77777777" w:rsidR="000C1892" w:rsidRDefault="000C1892" w:rsidP="000C1892">
            <w:pPr>
              <w:keepNext/>
              <w:keepLines/>
              <w:jc w:val="both"/>
            </w:pPr>
            <w:r>
              <w:t>Commissioner and Prehearing Officer</w:t>
            </w:r>
          </w:p>
        </w:tc>
      </w:tr>
    </w:tbl>
    <w:p w14:paraId="47B5FF10" w14:textId="77777777" w:rsidR="000C1892" w:rsidRDefault="000C1892" w:rsidP="000C1892">
      <w:pPr>
        <w:pStyle w:val="OrderSigInfo"/>
        <w:keepNext/>
        <w:keepLines/>
      </w:pPr>
      <w:r>
        <w:t>Florida Public Service Commission</w:t>
      </w:r>
    </w:p>
    <w:p w14:paraId="2C06E5E0" w14:textId="77777777" w:rsidR="000C1892" w:rsidRDefault="000C1892" w:rsidP="000C1892">
      <w:pPr>
        <w:pStyle w:val="OrderSigInfo"/>
        <w:keepNext/>
        <w:keepLines/>
      </w:pPr>
      <w:r>
        <w:t>2540 Shumard Oak Boulevard</w:t>
      </w:r>
    </w:p>
    <w:p w14:paraId="1FAD8CC8" w14:textId="77777777" w:rsidR="000C1892" w:rsidRDefault="000C1892" w:rsidP="000C1892">
      <w:pPr>
        <w:pStyle w:val="OrderSigInfo"/>
        <w:keepNext/>
        <w:keepLines/>
      </w:pPr>
      <w:r>
        <w:t>Tallahassee, Florida 32399</w:t>
      </w:r>
    </w:p>
    <w:p w14:paraId="5FFE964B" w14:textId="77777777" w:rsidR="000C1892" w:rsidRDefault="000C1892" w:rsidP="000C1892">
      <w:pPr>
        <w:pStyle w:val="OrderSigInfo"/>
        <w:keepNext/>
        <w:keepLines/>
      </w:pPr>
      <w:r>
        <w:t>(850) 413</w:t>
      </w:r>
      <w:r>
        <w:noBreakHyphen/>
        <w:t>6770</w:t>
      </w:r>
    </w:p>
    <w:p w14:paraId="44D89995" w14:textId="77777777" w:rsidR="000C1892" w:rsidRDefault="000C1892" w:rsidP="000C1892">
      <w:pPr>
        <w:pStyle w:val="OrderSigInfo"/>
        <w:keepNext/>
        <w:keepLines/>
      </w:pPr>
      <w:r>
        <w:t>www.floridapsc.com</w:t>
      </w:r>
    </w:p>
    <w:p w14:paraId="4488B6E8" w14:textId="77777777" w:rsidR="000C1892" w:rsidRDefault="000C1892" w:rsidP="000C1892">
      <w:pPr>
        <w:pStyle w:val="OrderSigInfo"/>
        <w:keepNext/>
        <w:keepLines/>
      </w:pPr>
    </w:p>
    <w:p w14:paraId="4BDDAA96" w14:textId="42F63CCE" w:rsidR="000C1892" w:rsidRDefault="000C1892" w:rsidP="000C1892">
      <w:pPr>
        <w:pStyle w:val="OrderSigInfo"/>
        <w:keepNext/>
        <w:keepLines/>
      </w:pPr>
      <w:r>
        <w:t>Copies furnished: A copy of this document is provided to the parties of record at the time of issuance and, if applicable, interested persons.</w:t>
      </w:r>
    </w:p>
    <w:p w14:paraId="11E62133" w14:textId="77777777" w:rsidR="000C1892" w:rsidRDefault="000C1892" w:rsidP="000C1892">
      <w:pPr>
        <w:pStyle w:val="OrderBody"/>
        <w:keepNext/>
        <w:keepLines/>
      </w:pPr>
    </w:p>
    <w:p w14:paraId="449459CC" w14:textId="77777777" w:rsidR="000C1892" w:rsidRDefault="000C1892" w:rsidP="000C1892">
      <w:pPr>
        <w:keepNext/>
        <w:keepLines/>
        <w:jc w:val="both"/>
      </w:pPr>
    </w:p>
    <w:p w14:paraId="0A45D0C3" w14:textId="63884F9D" w:rsidR="000C1892" w:rsidRDefault="000C1892" w:rsidP="000C1892">
      <w:pPr>
        <w:keepNext/>
        <w:keepLines/>
        <w:jc w:val="both"/>
      </w:pPr>
      <w:r>
        <w:t>CMM</w:t>
      </w:r>
    </w:p>
    <w:p w14:paraId="336680AA" w14:textId="77777777" w:rsidR="000C1892" w:rsidRDefault="000C1892">
      <w:r>
        <w:br w:type="page"/>
      </w:r>
    </w:p>
    <w:p w14:paraId="7E62B998" w14:textId="77777777" w:rsidR="000C1892" w:rsidRDefault="000C1892" w:rsidP="000C1892">
      <w:pPr>
        <w:pStyle w:val="CenterUnderline"/>
      </w:pPr>
      <w:r>
        <w:lastRenderedPageBreak/>
        <w:t>NOTICE OF FURTHER PROCEEDINGS OR JUDICIAL REVIEW</w:t>
      </w:r>
    </w:p>
    <w:p w14:paraId="2C76F322" w14:textId="77777777" w:rsidR="000C1892" w:rsidRDefault="000C1892" w:rsidP="000C1892">
      <w:pPr>
        <w:pStyle w:val="CenterUnderline"/>
        <w:rPr>
          <w:u w:val="none"/>
        </w:rPr>
      </w:pPr>
    </w:p>
    <w:p w14:paraId="6A5A1D04" w14:textId="0F378C46" w:rsidR="000C1892" w:rsidRDefault="000C1892" w:rsidP="000C189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E180F1A" w14:textId="77777777" w:rsidR="000C1892" w:rsidRDefault="000C1892" w:rsidP="000C1892">
      <w:pPr>
        <w:pStyle w:val="OrderBody"/>
      </w:pPr>
    </w:p>
    <w:p w14:paraId="1C081A76" w14:textId="77777777" w:rsidR="000C1892" w:rsidRDefault="000C1892" w:rsidP="000C1892">
      <w:pPr>
        <w:pStyle w:val="OrderBody"/>
      </w:pPr>
      <w:r>
        <w:tab/>
        <w:t>Mediation may be available on a case-by-case basis.  If mediation is conducted, it does not affect a substantially interested person's right to a hearing.</w:t>
      </w:r>
    </w:p>
    <w:p w14:paraId="7DEBD550" w14:textId="77777777" w:rsidR="000C1892" w:rsidRDefault="000C1892" w:rsidP="000C1892">
      <w:pPr>
        <w:pStyle w:val="OrderBody"/>
      </w:pPr>
    </w:p>
    <w:p w14:paraId="5B6363F5" w14:textId="13F722FB" w:rsidR="000C1892" w:rsidRDefault="000C1892" w:rsidP="000C1892">
      <w:pPr>
        <w:pStyle w:val="OrderBody"/>
      </w:pPr>
      <w:r>
        <w:tab/>
        <w:t>Any party adversely affected by this order, which is preliminary, procedural</w:t>
      </w:r>
      <w:r w:rsidR="007E4752">
        <w:t>,</w:t>
      </w:r>
      <w:r>
        <w:t xml:space="preserve"> or intermediate in nature, may request: (1) reconsideration within 10 days pursuant to Rule 25-22.0376, Florida Administrative Code; or (2) judicial review by the Florida Supreme Court, in the case of an electric, gas</w:t>
      </w:r>
      <w:r w:rsidR="007E4752">
        <w:t>,</w:t>
      </w:r>
      <w:r>
        <w:t xml:space="preserve"> or telephone utility. A motion for reconsideration shall be filed with the Office of Commission Clerk, in the form prescribed by Rule 25-22.0376, Florida Administrative Code. Judicial review of a preliminary, procedural</w:t>
      </w:r>
      <w:r w:rsidR="007E4752">
        <w:t>,</w:t>
      </w:r>
      <w:r>
        <w:t xml:space="preserve"> or intermediate ruling or order is available if review of the final action will not provide an adequate remedy.  Such review may be requested from the appropriate court, as described above, pursuant to Rule 9.100, Florida Rules of Appellate Procedure.</w:t>
      </w:r>
    </w:p>
    <w:p w14:paraId="0EFE9EA0" w14:textId="77777777" w:rsidR="000C1892" w:rsidRDefault="000C1892" w:rsidP="000C1892">
      <w:pPr>
        <w:pStyle w:val="OrderBody"/>
      </w:pPr>
    </w:p>
    <w:p w14:paraId="591813D3" w14:textId="77777777" w:rsidR="000C1892" w:rsidRDefault="000C1892"/>
    <w:sectPr w:rsidR="000C1892">
      <w:head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87A4E" w14:textId="77777777" w:rsidR="006E7AC9" w:rsidRDefault="006E7AC9">
      <w:r>
        <w:separator/>
      </w:r>
    </w:p>
  </w:endnote>
  <w:endnote w:type="continuationSeparator" w:id="0">
    <w:p w14:paraId="262EDC4C" w14:textId="77777777" w:rsidR="006E7AC9" w:rsidRDefault="006E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E50B6" w14:textId="77777777" w:rsidR="006E7AC9" w:rsidRDefault="006E7AC9">
    <w:pPr>
      <w:pStyle w:val="Footer"/>
    </w:pPr>
  </w:p>
  <w:p w14:paraId="529B4C21" w14:textId="77777777" w:rsidR="006E7AC9" w:rsidRDefault="006E7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52B7C" w14:textId="77777777" w:rsidR="006E7AC9" w:rsidRDefault="006E7AC9">
      <w:r>
        <w:separator/>
      </w:r>
    </w:p>
  </w:footnote>
  <w:footnote w:type="continuationSeparator" w:id="0">
    <w:p w14:paraId="75D5C32A" w14:textId="77777777" w:rsidR="006E7AC9" w:rsidRDefault="006E7AC9">
      <w:r>
        <w:continuationSeparator/>
      </w:r>
    </w:p>
  </w:footnote>
  <w:footnote w:id="1">
    <w:p w14:paraId="669CAA84" w14:textId="39A14EC7" w:rsidR="006E7AC9" w:rsidRDefault="006E7AC9">
      <w:pPr>
        <w:pStyle w:val="FootnoteText"/>
      </w:pPr>
      <w:r>
        <w:rPr>
          <w:rStyle w:val="FootnoteReference"/>
        </w:rPr>
        <w:t>*</w:t>
      </w:r>
      <w:r>
        <w:t xml:space="preserve"> Mr. William Garner, Esq. stood in for Mr. Shrinath and Ms. Amiel on behalf of Sierra Club.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1D209" w14:textId="6D4D65BF" w:rsidR="006E7AC9" w:rsidRDefault="006E7AC9">
    <w:pPr>
      <w:pStyle w:val="OrderHeader"/>
    </w:pPr>
    <w:r>
      <w:t xml:space="preserve">ORDER NO. </w:t>
    </w:r>
    <w:r w:rsidR="002D5A6E">
      <w:fldChar w:fldCharType="begin"/>
    </w:r>
    <w:r w:rsidR="002D5A6E">
      <w:instrText xml:space="preserve"> REF Or</w:instrText>
    </w:r>
    <w:r w:rsidR="002D5A6E">
      <w:instrText xml:space="preserve">derNo0351 </w:instrText>
    </w:r>
    <w:r w:rsidR="002D5A6E">
      <w:fldChar w:fldCharType="separate"/>
    </w:r>
    <w:r w:rsidR="007716CF">
      <w:t>PSC-2024-0351-PHO-EI</w:t>
    </w:r>
    <w:r w:rsidR="002D5A6E">
      <w:fldChar w:fldCharType="end"/>
    </w:r>
  </w:p>
  <w:p w14:paraId="268375C4" w14:textId="77777777" w:rsidR="006E7AC9" w:rsidRDefault="006E7AC9">
    <w:pPr>
      <w:pStyle w:val="OrderHeader"/>
    </w:pPr>
    <w:bookmarkStart w:id="20" w:name="HeaderDocketNo"/>
    <w:bookmarkEnd w:id="20"/>
    <w:r>
      <w:t>DOCKET NOS. 20240026-EI, 20230139-EI, 20230090-EI</w:t>
    </w:r>
  </w:p>
  <w:p w14:paraId="1C49B985" w14:textId="1DDC83D0" w:rsidR="006E7AC9" w:rsidRDefault="006E7AC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D5A6E">
      <w:rPr>
        <w:rStyle w:val="PageNumber"/>
        <w:noProof/>
      </w:rPr>
      <w:t>144</w:t>
    </w:r>
    <w:r>
      <w:rPr>
        <w:rStyle w:val="PageNumber"/>
      </w:rPr>
      <w:fldChar w:fldCharType="end"/>
    </w:r>
  </w:p>
  <w:p w14:paraId="535EEA93" w14:textId="77777777" w:rsidR="006E7AC9" w:rsidRDefault="006E7AC9">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08C2"/>
    <w:multiLevelType w:val="hybridMultilevel"/>
    <w:tmpl w:val="4B8811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9256FC8"/>
    <w:multiLevelType w:val="hybridMultilevel"/>
    <w:tmpl w:val="B85AF3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CA13D7B"/>
    <w:multiLevelType w:val="hybridMultilevel"/>
    <w:tmpl w:val="899E18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1577440"/>
    <w:multiLevelType w:val="hybridMultilevel"/>
    <w:tmpl w:val="9F68BE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1726952"/>
    <w:multiLevelType w:val="hybridMultilevel"/>
    <w:tmpl w:val="2D8CDE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20C1300"/>
    <w:multiLevelType w:val="hybridMultilevel"/>
    <w:tmpl w:val="A18E3D7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4134B4C"/>
    <w:multiLevelType w:val="hybridMultilevel"/>
    <w:tmpl w:val="AEEABC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7319D1"/>
    <w:multiLevelType w:val="hybridMultilevel"/>
    <w:tmpl w:val="4282C99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59C306E"/>
    <w:multiLevelType w:val="hybridMultilevel"/>
    <w:tmpl w:val="E7AC44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9C84A67"/>
    <w:multiLevelType w:val="hybridMultilevel"/>
    <w:tmpl w:val="4282C99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C593033"/>
    <w:multiLevelType w:val="hybridMultilevel"/>
    <w:tmpl w:val="A91AC38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1904510"/>
    <w:multiLevelType w:val="hybridMultilevel"/>
    <w:tmpl w:val="E36E89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97B120B"/>
    <w:multiLevelType w:val="hybridMultilevel"/>
    <w:tmpl w:val="58145D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98645F3"/>
    <w:multiLevelType w:val="hybridMultilevel"/>
    <w:tmpl w:val="735ABB7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21476FF"/>
    <w:multiLevelType w:val="hybridMultilevel"/>
    <w:tmpl w:val="26D8B70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6" w15:restartNumberingAfterBreak="0">
    <w:nsid w:val="34EE5555"/>
    <w:multiLevelType w:val="hybridMultilevel"/>
    <w:tmpl w:val="B85AF3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A480F76"/>
    <w:multiLevelType w:val="hybridMultilevel"/>
    <w:tmpl w:val="869212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3CB0862"/>
    <w:multiLevelType w:val="hybridMultilevel"/>
    <w:tmpl w:val="9F68BE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7583E3C"/>
    <w:multiLevelType w:val="hybridMultilevel"/>
    <w:tmpl w:val="FE2C77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A12658B"/>
    <w:multiLevelType w:val="hybridMultilevel"/>
    <w:tmpl w:val="DF3ED5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A987A07"/>
    <w:multiLevelType w:val="hybridMultilevel"/>
    <w:tmpl w:val="0C8002C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2084597"/>
    <w:multiLevelType w:val="hybridMultilevel"/>
    <w:tmpl w:val="C4E893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F7F6908"/>
    <w:multiLevelType w:val="hybridMultilevel"/>
    <w:tmpl w:val="3E84A8E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2AA6982"/>
    <w:multiLevelType w:val="hybridMultilevel"/>
    <w:tmpl w:val="F94C5C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2F773BD"/>
    <w:multiLevelType w:val="hybridMultilevel"/>
    <w:tmpl w:val="77186E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83163D0"/>
    <w:multiLevelType w:val="hybridMultilevel"/>
    <w:tmpl w:val="02BC46F8"/>
    <w:lvl w:ilvl="0" w:tplc="F76CA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36F0D"/>
    <w:multiLevelType w:val="hybridMultilevel"/>
    <w:tmpl w:val="C688C5F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F5447F3"/>
    <w:multiLevelType w:val="hybridMultilevel"/>
    <w:tmpl w:val="1234C37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47B75FE"/>
    <w:multiLevelType w:val="hybridMultilevel"/>
    <w:tmpl w:val="18BEADF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53D7DD3"/>
    <w:multiLevelType w:val="hybridMultilevel"/>
    <w:tmpl w:val="919EEEE4"/>
    <w:lvl w:ilvl="0" w:tplc="58541B6E">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6350FD0"/>
    <w:multiLevelType w:val="hybridMultilevel"/>
    <w:tmpl w:val="77EC21CC"/>
    <w:lvl w:ilvl="0" w:tplc="5E069E18">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EF692C"/>
    <w:multiLevelType w:val="hybridMultilevel"/>
    <w:tmpl w:val="A91AC38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5"/>
  </w:num>
  <w:num w:numId="2">
    <w:abstractNumId w:val="19"/>
  </w:num>
  <w:num w:numId="3">
    <w:abstractNumId w:val="4"/>
  </w:num>
  <w:num w:numId="4">
    <w:abstractNumId w:val="17"/>
  </w:num>
  <w:num w:numId="5">
    <w:abstractNumId w:val="2"/>
  </w:num>
  <w:num w:numId="6">
    <w:abstractNumId w:val="32"/>
  </w:num>
  <w:num w:numId="7">
    <w:abstractNumId w:val="10"/>
  </w:num>
  <w:num w:numId="8">
    <w:abstractNumId w:val="29"/>
  </w:num>
  <w:num w:numId="9">
    <w:abstractNumId w:val="20"/>
  </w:num>
  <w:num w:numId="10">
    <w:abstractNumId w:val="8"/>
  </w:num>
  <w:num w:numId="11">
    <w:abstractNumId w:val="3"/>
  </w:num>
  <w:num w:numId="12">
    <w:abstractNumId w:val="18"/>
  </w:num>
  <w:num w:numId="13">
    <w:abstractNumId w:val="27"/>
  </w:num>
  <w:num w:numId="14">
    <w:abstractNumId w:val="11"/>
  </w:num>
  <w:num w:numId="15">
    <w:abstractNumId w:val="21"/>
  </w:num>
  <w:num w:numId="16">
    <w:abstractNumId w:val="13"/>
  </w:num>
  <w:num w:numId="17">
    <w:abstractNumId w:val="28"/>
  </w:num>
  <w:num w:numId="18">
    <w:abstractNumId w:val="12"/>
  </w:num>
  <w:num w:numId="19">
    <w:abstractNumId w:val="7"/>
  </w:num>
  <w:num w:numId="20">
    <w:abstractNumId w:val="9"/>
  </w:num>
  <w:num w:numId="21">
    <w:abstractNumId w:val="0"/>
  </w:num>
  <w:num w:numId="22">
    <w:abstractNumId w:val="14"/>
  </w:num>
  <w:num w:numId="23">
    <w:abstractNumId w:val="1"/>
  </w:num>
  <w:num w:numId="24">
    <w:abstractNumId w:val="16"/>
  </w:num>
  <w:num w:numId="25">
    <w:abstractNumId w:val="23"/>
  </w:num>
  <w:num w:numId="26">
    <w:abstractNumId w:val="24"/>
  </w:num>
  <w:num w:numId="27">
    <w:abstractNumId w:val="6"/>
  </w:num>
  <w:num w:numId="28">
    <w:abstractNumId w:val="25"/>
  </w:num>
  <w:num w:numId="29">
    <w:abstractNumId w:val="5"/>
  </w:num>
  <w:num w:numId="30">
    <w:abstractNumId w:val="22"/>
  </w:num>
  <w:num w:numId="31">
    <w:abstractNumId w:val="30"/>
  </w:num>
  <w:num w:numId="32">
    <w:abstractNumId w:val="2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C7699A"/>
    <w:rsid w:val="00000F9F"/>
    <w:rsid w:val="0000104C"/>
    <w:rsid w:val="000022B8"/>
    <w:rsid w:val="00002743"/>
    <w:rsid w:val="00002C09"/>
    <w:rsid w:val="000036DF"/>
    <w:rsid w:val="00003883"/>
    <w:rsid w:val="00005D2F"/>
    <w:rsid w:val="000079A6"/>
    <w:rsid w:val="00007C24"/>
    <w:rsid w:val="00010B09"/>
    <w:rsid w:val="00011251"/>
    <w:rsid w:val="00012F9C"/>
    <w:rsid w:val="00013F6F"/>
    <w:rsid w:val="00014140"/>
    <w:rsid w:val="00015CE9"/>
    <w:rsid w:val="000161D6"/>
    <w:rsid w:val="00016701"/>
    <w:rsid w:val="0001740E"/>
    <w:rsid w:val="000204B1"/>
    <w:rsid w:val="00024AAA"/>
    <w:rsid w:val="000251C1"/>
    <w:rsid w:val="00025AB3"/>
    <w:rsid w:val="00025C2A"/>
    <w:rsid w:val="00025C9D"/>
    <w:rsid w:val="0002776A"/>
    <w:rsid w:val="00030C4D"/>
    <w:rsid w:val="000316DC"/>
    <w:rsid w:val="00031729"/>
    <w:rsid w:val="00032E5D"/>
    <w:rsid w:val="0003402E"/>
    <w:rsid w:val="0003433F"/>
    <w:rsid w:val="000349D5"/>
    <w:rsid w:val="00034D96"/>
    <w:rsid w:val="00035125"/>
    <w:rsid w:val="00035249"/>
    <w:rsid w:val="00035A8C"/>
    <w:rsid w:val="00035FE8"/>
    <w:rsid w:val="00036BDD"/>
    <w:rsid w:val="000407FF"/>
    <w:rsid w:val="00041EDE"/>
    <w:rsid w:val="00041FFD"/>
    <w:rsid w:val="00042383"/>
    <w:rsid w:val="00042C99"/>
    <w:rsid w:val="000452E2"/>
    <w:rsid w:val="00045887"/>
    <w:rsid w:val="00045E9B"/>
    <w:rsid w:val="00046C96"/>
    <w:rsid w:val="00046F08"/>
    <w:rsid w:val="000500F3"/>
    <w:rsid w:val="00051A1C"/>
    <w:rsid w:val="00051F82"/>
    <w:rsid w:val="00053AB9"/>
    <w:rsid w:val="00053B77"/>
    <w:rsid w:val="000548D0"/>
    <w:rsid w:val="00054AF8"/>
    <w:rsid w:val="00054EDE"/>
    <w:rsid w:val="000558EA"/>
    <w:rsid w:val="000558ED"/>
    <w:rsid w:val="00056229"/>
    <w:rsid w:val="00056898"/>
    <w:rsid w:val="00056F6C"/>
    <w:rsid w:val="0005737A"/>
    <w:rsid w:val="0005787A"/>
    <w:rsid w:val="00057AF1"/>
    <w:rsid w:val="00060978"/>
    <w:rsid w:val="00061F8D"/>
    <w:rsid w:val="000625F4"/>
    <w:rsid w:val="000626ED"/>
    <w:rsid w:val="0006408C"/>
    <w:rsid w:val="00064363"/>
    <w:rsid w:val="000643CF"/>
    <w:rsid w:val="000656C7"/>
    <w:rsid w:val="00065FC2"/>
    <w:rsid w:val="00067685"/>
    <w:rsid w:val="00067B07"/>
    <w:rsid w:val="00067D63"/>
    <w:rsid w:val="00067ED5"/>
    <w:rsid w:val="00070A3F"/>
    <w:rsid w:val="000720BB"/>
    <w:rsid w:val="00072603"/>
    <w:rsid w:val="000730D7"/>
    <w:rsid w:val="00074CD9"/>
    <w:rsid w:val="00074EA9"/>
    <w:rsid w:val="000750C8"/>
    <w:rsid w:val="000764E6"/>
    <w:rsid w:val="00076502"/>
    <w:rsid w:val="000766CF"/>
    <w:rsid w:val="00076E6B"/>
    <w:rsid w:val="00076FC5"/>
    <w:rsid w:val="00080995"/>
    <w:rsid w:val="00080FA3"/>
    <w:rsid w:val="00081AE4"/>
    <w:rsid w:val="0008247D"/>
    <w:rsid w:val="000867BB"/>
    <w:rsid w:val="00086B24"/>
    <w:rsid w:val="00086EFB"/>
    <w:rsid w:val="00087234"/>
    <w:rsid w:val="000878F8"/>
    <w:rsid w:val="00090AFC"/>
    <w:rsid w:val="00090B88"/>
    <w:rsid w:val="00090F6A"/>
    <w:rsid w:val="0009211E"/>
    <w:rsid w:val="00092740"/>
    <w:rsid w:val="00092A31"/>
    <w:rsid w:val="00092CAB"/>
    <w:rsid w:val="00092ED1"/>
    <w:rsid w:val="000942F1"/>
    <w:rsid w:val="000952A1"/>
    <w:rsid w:val="00096507"/>
    <w:rsid w:val="00097C41"/>
    <w:rsid w:val="000A05C1"/>
    <w:rsid w:val="000A1994"/>
    <w:rsid w:val="000A1C33"/>
    <w:rsid w:val="000A3313"/>
    <w:rsid w:val="000A6C69"/>
    <w:rsid w:val="000A6DFA"/>
    <w:rsid w:val="000A774F"/>
    <w:rsid w:val="000B1603"/>
    <w:rsid w:val="000B29A7"/>
    <w:rsid w:val="000B3829"/>
    <w:rsid w:val="000B526D"/>
    <w:rsid w:val="000B76B4"/>
    <w:rsid w:val="000B783E"/>
    <w:rsid w:val="000B7D81"/>
    <w:rsid w:val="000C0068"/>
    <w:rsid w:val="000C01C3"/>
    <w:rsid w:val="000C1892"/>
    <w:rsid w:val="000C18C4"/>
    <w:rsid w:val="000C1962"/>
    <w:rsid w:val="000C1994"/>
    <w:rsid w:val="000C3412"/>
    <w:rsid w:val="000C3413"/>
    <w:rsid w:val="000C400F"/>
    <w:rsid w:val="000C4075"/>
    <w:rsid w:val="000C463F"/>
    <w:rsid w:val="000C5C68"/>
    <w:rsid w:val="000C6926"/>
    <w:rsid w:val="000D02B8"/>
    <w:rsid w:val="000D06E8"/>
    <w:rsid w:val="000D1177"/>
    <w:rsid w:val="000D117A"/>
    <w:rsid w:val="000D1C15"/>
    <w:rsid w:val="000D1C6B"/>
    <w:rsid w:val="000D1CD5"/>
    <w:rsid w:val="000D3CC4"/>
    <w:rsid w:val="000D45AE"/>
    <w:rsid w:val="000D5036"/>
    <w:rsid w:val="000D51F9"/>
    <w:rsid w:val="000D52C1"/>
    <w:rsid w:val="000D57E3"/>
    <w:rsid w:val="000D5881"/>
    <w:rsid w:val="000D63D1"/>
    <w:rsid w:val="000D6E65"/>
    <w:rsid w:val="000D78FB"/>
    <w:rsid w:val="000E050C"/>
    <w:rsid w:val="000E11FA"/>
    <w:rsid w:val="000E20F0"/>
    <w:rsid w:val="000E2593"/>
    <w:rsid w:val="000E2F7E"/>
    <w:rsid w:val="000E344D"/>
    <w:rsid w:val="000E351E"/>
    <w:rsid w:val="000E3C35"/>
    <w:rsid w:val="000E3F6D"/>
    <w:rsid w:val="000E53D6"/>
    <w:rsid w:val="000E573B"/>
    <w:rsid w:val="000E6028"/>
    <w:rsid w:val="000E66DC"/>
    <w:rsid w:val="000E74D2"/>
    <w:rsid w:val="000E7C6E"/>
    <w:rsid w:val="000F0B2A"/>
    <w:rsid w:val="000F11F1"/>
    <w:rsid w:val="000F1A95"/>
    <w:rsid w:val="000F2590"/>
    <w:rsid w:val="000F359F"/>
    <w:rsid w:val="000F3785"/>
    <w:rsid w:val="000F3B2C"/>
    <w:rsid w:val="000F3F6C"/>
    <w:rsid w:val="000F465B"/>
    <w:rsid w:val="000F484F"/>
    <w:rsid w:val="000F5AFB"/>
    <w:rsid w:val="000F63EB"/>
    <w:rsid w:val="000F648A"/>
    <w:rsid w:val="000F7428"/>
    <w:rsid w:val="000F7BE3"/>
    <w:rsid w:val="0010165D"/>
    <w:rsid w:val="00101A44"/>
    <w:rsid w:val="00103190"/>
    <w:rsid w:val="00103457"/>
    <w:rsid w:val="00104333"/>
    <w:rsid w:val="001052BA"/>
    <w:rsid w:val="001064D0"/>
    <w:rsid w:val="00107AC3"/>
    <w:rsid w:val="001107B3"/>
    <w:rsid w:val="001107E7"/>
    <w:rsid w:val="00110E8E"/>
    <w:rsid w:val="001111E9"/>
    <w:rsid w:val="001114B1"/>
    <w:rsid w:val="00112971"/>
    <w:rsid w:val="00113344"/>
    <w:rsid w:val="00113761"/>
    <w:rsid w:val="00113906"/>
    <w:rsid w:val="001139D8"/>
    <w:rsid w:val="00113CBD"/>
    <w:rsid w:val="001142B9"/>
    <w:rsid w:val="00116AD3"/>
    <w:rsid w:val="00117A2B"/>
    <w:rsid w:val="00117BD0"/>
    <w:rsid w:val="00121957"/>
    <w:rsid w:val="00121ACB"/>
    <w:rsid w:val="0012371D"/>
    <w:rsid w:val="0012387E"/>
    <w:rsid w:val="00123C67"/>
    <w:rsid w:val="00125228"/>
    <w:rsid w:val="001259EC"/>
    <w:rsid w:val="00125C50"/>
    <w:rsid w:val="00126593"/>
    <w:rsid w:val="00126FA8"/>
    <w:rsid w:val="00130B71"/>
    <w:rsid w:val="00132540"/>
    <w:rsid w:val="00132A06"/>
    <w:rsid w:val="00134177"/>
    <w:rsid w:val="00136087"/>
    <w:rsid w:val="00140773"/>
    <w:rsid w:val="00142A96"/>
    <w:rsid w:val="00143C69"/>
    <w:rsid w:val="0014490A"/>
    <w:rsid w:val="00146790"/>
    <w:rsid w:val="00147825"/>
    <w:rsid w:val="001502A7"/>
    <w:rsid w:val="00150651"/>
    <w:rsid w:val="001507CD"/>
    <w:rsid w:val="00150C6C"/>
    <w:rsid w:val="001510E6"/>
    <w:rsid w:val="001513DE"/>
    <w:rsid w:val="00154400"/>
    <w:rsid w:val="0015474A"/>
    <w:rsid w:val="00154A71"/>
    <w:rsid w:val="00155F13"/>
    <w:rsid w:val="00155FCA"/>
    <w:rsid w:val="001565AD"/>
    <w:rsid w:val="00156A8D"/>
    <w:rsid w:val="0016556C"/>
    <w:rsid w:val="001655D4"/>
    <w:rsid w:val="00165803"/>
    <w:rsid w:val="00165B0D"/>
    <w:rsid w:val="0016728B"/>
    <w:rsid w:val="00171A69"/>
    <w:rsid w:val="00173DCA"/>
    <w:rsid w:val="00177FFC"/>
    <w:rsid w:val="00180845"/>
    <w:rsid w:val="00180ACF"/>
    <w:rsid w:val="00181648"/>
    <w:rsid w:val="00181E15"/>
    <w:rsid w:val="00182CB2"/>
    <w:rsid w:val="0018382F"/>
    <w:rsid w:val="00185658"/>
    <w:rsid w:val="0018657E"/>
    <w:rsid w:val="0018694B"/>
    <w:rsid w:val="00186A51"/>
    <w:rsid w:val="00186F0C"/>
    <w:rsid w:val="00187705"/>
    <w:rsid w:val="00187E32"/>
    <w:rsid w:val="001901B3"/>
    <w:rsid w:val="001918FF"/>
    <w:rsid w:val="00191EAC"/>
    <w:rsid w:val="00194A97"/>
    <w:rsid w:val="00194E81"/>
    <w:rsid w:val="00194FE7"/>
    <w:rsid w:val="00195CB9"/>
    <w:rsid w:val="00195D98"/>
    <w:rsid w:val="00196017"/>
    <w:rsid w:val="00196743"/>
    <w:rsid w:val="001A0C77"/>
    <w:rsid w:val="001A12D0"/>
    <w:rsid w:val="001A15E7"/>
    <w:rsid w:val="001A33C9"/>
    <w:rsid w:val="001A3CE7"/>
    <w:rsid w:val="001A3F29"/>
    <w:rsid w:val="001A40CD"/>
    <w:rsid w:val="001A55A1"/>
    <w:rsid w:val="001A58F3"/>
    <w:rsid w:val="001A61C7"/>
    <w:rsid w:val="001A684F"/>
    <w:rsid w:val="001A6CF4"/>
    <w:rsid w:val="001A73D4"/>
    <w:rsid w:val="001B034E"/>
    <w:rsid w:val="001B1E07"/>
    <w:rsid w:val="001B2496"/>
    <w:rsid w:val="001B4B61"/>
    <w:rsid w:val="001B7311"/>
    <w:rsid w:val="001B7D4E"/>
    <w:rsid w:val="001C089E"/>
    <w:rsid w:val="001C1B5C"/>
    <w:rsid w:val="001C2090"/>
    <w:rsid w:val="001C2847"/>
    <w:rsid w:val="001C3BB5"/>
    <w:rsid w:val="001C3F8C"/>
    <w:rsid w:val="001C4200"/>
    <w:rsid w:val="001C46CD"/>
    <w:rsid w:val="001C4C95"/>
    <w:rsid w:val="001C5C03"/>
    <w:rsid w:val="001C5E61"/>
    <w:rsid w:val="001C6097"/>
    <w:rsid w:val="001C6B7F"/>
    <w:rsid w:val="001C7126"/>
    <w:rsid w:val="001C7BCE"/>
    <w:rsid w:val="001C7C97"/>
    <w:rsid w:val="001D008A"/>
    <w:rsid w:val="001D0585"/>
    <w:rsid w:val="001D19D1"/>
    <w:rsid w:val="001D4415"/>
    <w:rsid w:val="001D541E"/>
    <w:rsid w:val="001D6B7A"/>
    <w:rsid w:val="001D6DC1"/>
    <w:rsid w:val="001D770F"/>
    <w:rsid w:val="001E0152"/>
    <w:rsid w:val="001E0FF5"/>
    <w:rsid w:val="001E263F"/>
    <w:rsid w:val="001E293F"/>
    <w:rsid w:val="001E40D2"/>
    <w:rsid w:val="001E43D4"/>
    <w:rsid w:val="001E46A8"/>
    <w:rsid w:val="001E6C63"/>
    <w:rsid w:val="001E72F9"/>
    <w:rsid w:val="001F0095"/>
    <w:rsid w:val="001F127C"/>
    <w:rsid w:val="001F1A2B"/>
    <w:rsid w:val="001F1D17"/>
    <w:rsid w:val="001F27EE"/>
    <w:rsid w:val="001F2904"/>
    <w:rsid w:val="001F2B85"/>
    <w:rsid w:val="001F36B0"/>
    <w:rsid w:val="001F4CA3"/>
    <w:rsid w:val="001F5354"/>
    <w:rsid w:val="001F59E0"/>
    <w:rsid w:val="001F7625"/>
    <w:rsid w:val="001F769E"/>
    <w:rsid w:val="001F796F"/>
    <w:rsid w:val="001F7D59"/>
    <w:rsid w:val="00200193"/>
    <w:rsid w:val="002002ED"/>
    <w:rsid w:val="002015D5"/>
    <w:rsid w:val="00201F3B"/>
    <w:rsid w:val="00202DF7"/>
    <w:rsid w:val="00203035"/>
    <w:rsid w:val="002044DD"/>
    <w:rsid w:val="00205AD8"/>
    <w:rsid w:val="00205AE6"/>
    <w:rsid w:val="0021287A"/>
    <w:rsid w:val="002170E5"/>
    <w:rsid w:val="002174D9"/>
    <w:rsid w:val="00217A41"/>
    <w:rsid w:val="0022072A"/>
    <w:rsid w:val="00220D57"/>
    <w:rsid w:val="002216B4"/>
    <w:rsid w:val="00221BD8"/>
    <w:rsid w:val="002221D1"/>
    <w:rsid w:val="00222818"/>
    <w:rsid w:val="00223154"/>
    <w:rsid w:val="00223230"/>
    <w:rsid w:val="00223B99"/>
    <w:rsid w:val="00226EFD"/>
    <w:rsid w:val="00226F89"/>
    <w:rsid w:val="0022721A"/>
    <w:rsid w:val="00230427"/>
    <w:rsid w:val="00230560"/>
    <w:rsid w:val="00230BB9"/>
    <w:rsid w:val="00233273"/>
    <w:rsid w:val="00233644"/>
    <w:rsid w:val="00233842"/>
    <w:rsid w:val="00234040"/>
    <w:rsid w:val="00234857"/>
    <w:rsid w:val="00234CED"/>
    <w:rsid w:val="002368D8"/>
    <w:rsid w:val="00236D78"/>
    <w:rsid w:val="00237583"/>
    <w:rsid w:val="00237773"/>
    <w:rsid w:val="002378AB"/>
    <w:rsid w:val="002405A7"/>
    <w:rsid w:val="00240AB8"/>
    <w:rsid w:val="00240E8F"/>
    <w:rsid w:val="00241534"/>
    <w:rsid w:val="0024178F"/>
    <w:rsid w:val="00241CEF"/>
    <w:rsid w:val="0024233F"/>
    <w:rsid w:val="00242BEB"/>
    <w:rsid w:val="00243251"/>
    <w:rsid w:val="00243630"/>
    <w:rsid w:val="002445C9"/>
    <w:rsid w:val="00245DED"/>
    <w:rsid w:val="00245FED"/>
    <w:rsid w:val="00246388"/>
    <w:rsid w:val="00246F15"/>
    <w:rsid w:val="00250528"/>
    <w:rsid w:val="0025124E"/>
    <w:rsid w:val="00251700"/>
    <w:rsid w:val="00251825"/>
    <w:rsid w:val="00252611"/>
    <w:rsid w:val="00252B30"/>
    <w:rsid w:val="00252CA4"/>
    <w:rsid w:val="00253292"/>
    <w:rsid w:val="00255291"/>
    <w:rsid w:val="00255EAA"/>
    <w:rsid w:val="002613E4"/>
    <w:rsid w:val="00262C43"/>
    <w:rsid w:val="002643D5"/>
    <w:rsid w:val="0026544B"/>
    <w:rsid w:val="002666C9"/>
    <w:rsid w:val="00267784"/>
    <w:rsid w:val="00267856"/>
    <w:rsid w:val="00267D4B"/>
    <w:rsid w:val="00270F4D"/>
    <w:rsid w:val="00270F89"/>
    <w:rsid w:val="00271644"/>
    <w:rsid w:val="00271CDF"/>
    <w:rsid w:val="00272E42"/>
    <w:rsid w:val="002735FD"/>
    <w:rsid w:val="00274DF6"/>
    <w:rsid w:val="00276764"/>
    <w:rsid w:val="00276CDC"/>
    <w:rsid w:val="00276D9F"/>
    <w:rsid w:val="00277655"/>
    <w:rsid w:val="00280B9D"/>
    <w:rsid w:val="002824B7"/>
    <w:rsid w:val="00282AC4"/>
    <w:rsid w:val="00283D26"/>
    <w:rsid w:val="0028508F"/>
    <w:rsid w:val="002871B7"/>
    <w:rsid w:val="002874C2"/>
    <w:rsid w:val="002875D6"/>
    <w:rsid w:val="00291C6A"/>
    <w:rsid w:val="00292498"/>
    <w:rsid w:val="002925E1"/>
    <w:rsid w:val="00293DC9"/>
    <w:rsid w:val="00294984"/>
    <w:rsid w:val="002949B3"/>
    <w:rsid w:val="00294CFD"/>
    <w:rsid w:val="002950F0"/>
    <w:rsid w:val="002951FE"/>
    <w:rsid w:val="00295A39"/>
    <w:rsid w:val="0029705F"/>
    <w:rsid w:val="002972D4"/>
    <w:rsid w:val="00297C37"/>
    <w:rsid w:val="002A0122"/>
    <w:rsid w:val="002A012B"/>
    <w:rsid w:val="002A01B5"/>
    <w:rsid w:val="002A08AC"/>
    <w:rsid w:val="002A11AC"/>
    <w:rsid w:val="002A1EC9"/>
    <w:rsid w:val="002A2028"/>
    <w:rsid w:val="002A3A28"/>
    <w:rsid w:val="002A3B25"/>
    <w:rsid w:val="002A4470"/>
    <w:rsid w:val="002A4C06"/>
    <w:rsid w:val="002A4E8E"/>
    <w:rsid w:val="002A6F30"/>
    <w:rsid w:val="002A7184"/>
    <w:rsid w:val="002A7402"/>
    <w:rsid w:val="002A7884"/>
    <w:rsid w:val="002B037B"/>
    <w:rsid w:val="002B11DF"/>
    <w:rsid w:val="002B150C"/>
    <w:rsid w:val="002B2CC4"/>
    <w:rsid w:val="002B3111"/>
    <w:rsid w:val="002B3272"/>
    <w:rsid w:val="002B4240"/>
    <w:rsid w:val="002B6505"/>
    <w:rsid w:val="002B7721"/>
    <w:rsid w:val="002B7D6E"/>
    <w:rsid w:val="002C09F5"/>
    <w:rsid w:val="002C118E"/>
    <w:rsid w:val="002C1BF8"/>
    <w:rsid w:val="002C1CE3"/>
    <w:rsid w:val="002C2096"/>
    <w:rsid w:val="002C290E"/>
    <w:rsid w:val="002C7908"/>
    <w:rsid w:val="002D01AD"/>
    <w:rsid w:val="002D22DD"/>
    <w:rsid w:val="002D2D7E"/>
    <w:rsid w:val="002D391B"/>
    <w:rsid w:val="002D4B1F"/>
    <w:rsid w:val="002D4E8A"/>
    <w:rsid w:val="002D5A6E"/>
    <w:rsid w:val="002D7D15"/>
    <w:rsid w:val="002D7DB3"/>
    <w:rsid w:val="002E00D9"/>
    <w:rsid w:val="002E0FE1"/>
    <w:rsid w:val="002E1B2E"/>
    <w:rsid w:val="002E24C3"/>
    <w:rsid w:val="002E27EB"/>
    <w:rsid w:val="002E3F62"/>
    <w:rsid w:val="002E4EF4"/>
    <w:rsid w:val="002E5AB0"/>
    <w:rsid w:val="002E78B6"/>
    <w:rsid w:val="002E7A06"/>
    <w:rsid w:val="002F0F1C"/>
    <w:rsid w:val="002F2A9D"/>
    <w:rsid w:val="002F31C2"/>
    <w:rsid w:val="002F48E8"/>
    <w:rsid w:val="002F7687"/>
    <w:rsid w:val="002F7BF6"/>
    <w:rsid w:val="00301B04"/>
    <w:rsid w:val="00302B83"/>
    <w:rsid w:val="00303FDE"/>
    <w:rsid w:val="00304A80"/>
    <w:rsid w:val="003065DB"/>
    <w:rsid w:val="0030763E"/>
    <w:rsid w:val="00313C5B"/>
    <w:rsid w:val="00313CFE"/>
    <w:rsid w:val="0031402E"/>
    <w:rsid w:val="003140E8"/>
    <w:rsid w:val="0031471A"/>
    <w:rsid w:val="00316B58"/>
    <w:rsid w:val="003175C6"/>
    <w:rsid w:val="0031791D"/>
    <w:rsid w:val="00320D7F"/>
    <w:rsid w:val="003210A5"/>
    <w:rsid w:val="00321A1B"/>
    <w:rsid w:val="003231C7"/>
    <w:rsid w:val="00323839"/>
    <w:rsid w:val="00324489"/>
    <w:rsid w:val="00324E36"/>
    <w:rsid w:val="003270C4"/>
    <w:rsid w:val="0032728A"/>
    <w:rsid w:val="00327E7A"/>
    <w:rsid w:val="00331ED0"/>
    <w:rsid w:val="00332B0A"/>
    <w:rsid w:val="003332F7"/>
    <w:rsid w:val="00333A41"/>
    <w:rsid w:val="00334054"/>
    <w:rsid w:val="00334396"/>
    <w:rsid w:val="003343BB"/>
    <w:rsid w:val="00336AF7"/>
    <w:rsid w:val="00337644"/>
    <w:rsid w:val="0034023B"/>
    <w:rsid w:val="0034093C"/>
    <w:rsid w:val="00341036"/>
    <w:rsid w:val="003420E5"/>
    <w:rsid w:val="00342338"/>
    <w:rsid w:val="0034284F"/>
    <w:rsid w:val="003433C9"/>
    <w:rsid w:val="003444F6"/>
    <w:rsid w:val="00345434"/>
    <w:rsid w:val="003455B1"/>
    <w:rsid w:val="00345D20"/>
    <w:rsid w:val="00350503"/>
    <w:rsid w:val="00350A54"/>
    <w:rsid w:val="00351C22"/>
    <w:rsid w:val="00352EE4"/>
    <w:rsid w:val="00354012"/>
    <w:rsid w:val="0035495B"/>
    <w:rsid w:val="0035514D"/>
    <w:rsid w:val="00355167"/>
    <w:rsid w:val="00355368"/>
    <w:rsid w:val="00355A93"/>
    <w:rsid w:val="00356CDB"/>
    <w:rsid w:val="0036034B"/>
    <w:rsid w:val="00360F30"/>
    <w:rsid w:val="00361142"/>
    <w:rsid w:val="00361522"/>
    <w:rsid w:val="003623AB"/>
    <w:rsid w:val="00363BB1"/>
    <w:rsid w:val="003668EC"/>
    <w:rsid w:val="003701E7"/>
    <w:rsid w:val="003705C9"/>
    <w:rsid w:val="0037196E"/>
    <w:rsid w:val="00374440"/>
    <w:rsid w:val="003744F5"/>
    <w:rsid w:val="003749C5"/>
    <w:rsid w:val="0037547C"/>
    <w:rsid w:val="00376F06"/>
    <w:rsid w:val="00380497"/>
    <w:rsid w:val="0038144B"/>
    <w:rsid w:val="00382C6A"/>
    <w:rsid w:val="00382E56"/>
    <w:rsid w:val="0038335C"/>
    <w:rsid w:val="00383618"/>
    <w:rsid w:val="00384A01"/>
    <w:rsid w:val="00385D93"/>
    <w:rsid w:val="003875A9"/>
    <w:rsid w:val="00387BDE"/>
    <w:rsid w:val="00387FC3"/>
    <w:rsid w:val="003906AA"/>
    <w:rsid w:val="003909C6"/>
    <w:rsid w:val="00390BF7"/>
    <w:rsid w:val="00390DD8"/>
    <w:rsid w:val="00390EC6"/>
    <w:rsid w:val="0039100C"/>
    <w:rsid w:val="00391105"/>
    <w:rsid w:val="003911A5"/>
    <w:rsid w:val="0039247D"/>
    <w:rsid w:val="003933FF"/>
    <w:rsid w:val="00394D92"/>
    <w:rsid w:val="00394DC6"/>
    <w:rsid w:val="00395D37"/>
    <w:rsid w:val="00396CF5"/>
    <w:rsid w:val="00396E95"/>
    <w:rsid w:val="00397C3E"/>
    <w:rsid w:val="003A0E88"/>
    <w:rsid w:val="003A15FA"/>
    <w:rsid w:val="003A313D"/>
    <w:rsid w:val="003A36F1"/>
    <w:rsid w:val="003A3B1C"/>
    <w:rsid w:val="003A3F8A"/>
    <w:rsid w:val="003A3FB9"/>
    <w:rsid w:val="003A5A81"/>
    <w:rsid w:val="003A699B"/>
    <w:rsid w:val="003A78E2"/>
    <w:rsid w:val="003A7CAD"/>
    <w:rsid w:val="003B03A1"/>
    <w:rsid w:val="003B1A09"/>
    <w:rsid w:val="003B3A9C"/>
    <w:rsid w:val="003B49CB"/>
    <w:rsid w:val="003B5642"/>
    <w:rsid w:val="003B6F02"/>
    <w:rsid w:val="003C0431"/>
    <w:rsid w:val="003C0B09"/>
    <w:rsid w:val="003C0F95"/>
    <w:rsid w:val="003C129C"/>
    <w:rsid w:val="003C1377"/>
    <w:rsid w:val="003C2104"/>
    <w:rsid w:val="003C25A6"/>
    <w:rsid w:val="003C2906"/>
    <w:rsid w:val="003C29BB"/>
    <w:rsid w:val="003C2A75"/>
    <w:rsid w:val="003C34D5"/>
    <w:rsid w:val="003C34EC"/>
    <w:rsid w:val="003C475E"/>
    <w:rsid w:val="003C5161"/>
    <w:rsid w:val="003D1C2E"/>
    <w:rsid w:val="003D1F0F"/>
    <w:rsid w:val="003D26FF"/>
    <w:rsid w:val="003D2C18"/>
    <w:rsid w:val="003D3989"/>
    <w:rsid w:val="003D41CB"/>
    <w:rsid w:val="003D4CCA"/>
    <w:rsid w:val="003D5235"/>
    <w:rsid w:val="003D52A6"/>
    <w:rsid w:val="003D546F"/>
    <w:rsid w:val="003D6110"/>
    <w:rsid w:val="003D6416"/>
    <w:rsid w:val="003E0B7A"/>
    <w:rsid w:val="003E1D48"/>
    <w:rsid w:val="003E2E80"/>
    <w:rsid w:val="003E3438"/>
    <w:rsid w:val="003E39E8"/>
    <w:rsid w:val="003E5174"/>
    <w:rsid w:val="003E711F"/>
    <w:rsid w:val="003F09B0"/>
    <w:rsid w:val="003F115E"/>
    <w:rsid w:val="003F1A3B"/>
    <w:rsid w:val="003F1D2B"/>
    <w:rsid w:val="003F1F08"/>
    <w:rsid w:val="003F274A"/>
    <w:rsid w:val="003F2EB4"/>
    <w:rsid w:val="003F2EEB"/>
    <w:rsid w:val="003F3F6B"/>
    <w:rsid w:val="003F49A6"/>
    <w:rsid w:val="003F4F8D"/>
    <w:rsid w:val="003F518F"/>
    <w:rsid w:val="003F5C0F"/>
    <w:rsid w:val="003F6408"/>
    <w:rsid w:val="003F6BA7"/>
    <w:rsid w:val="003F7445"/>
    <w:rsid w:val="003F768B"/>
    <w:rsid w:val="00400AD5"/>
    <w:rsid w:val="00402C2B"/>
    <w:rsid w:val="00403948"/>
    <w:rsid w:val="00403B57"/>
    <w:rsid w:val="00404794"/>
    <w:rsid w:val="004067FE"/>
    <w:rsid w:val="0040747F"/>
    <w:rsid w:val="0040750E"/>
    <w:rsid w:val="00411487"/>
    <w:rsid w:val="00411DF2"/>
    <w:rsid w:val="00411E8F"/>
    <w:rsid w:val="004146CF"/>
    <w:rsid w:val="004159C0"/>
    <w:rsid w:val="00415A31"/>
    <w:rsid w:val="004166F5"/>
    <w:rsid w:val="00417678"/>
    <w:rsid w:val="00420188"/>
    <w:rsid w:val="00422377"/>
    <w:rsid w:val="00423A60"/>
    <w:rsid w:val="004247F5"/>
    <w:rsid w:val="0042527B"/>
    <w:rsid w:val="004260F9"/>
    <w:rsid w:val="004262BB"/>
    <w:rsid w:val="0042727E"/>
    <w:rsid w:val="004273BB"/>
    <w:rsid w:val="00427858"/>
    <w:rsid w:val="00427EAC"/>
    <w:rsid w:val="004318D4"/>
    <w:rsid w:val="004325BF"/>
    <w:rsid w:val="00432D69"/>
    <w:rsid w:val="0043502A"/>
    <w:rsid w:val="004358E5"/>
    <w:rsid w:val="00437787"/>
    <w:rsid w:val="00440B36"/>
    <w:rsid w:val="00442B43"/>
    <w:rsid w:val="004431B4"/>
    <w:rsid w:val="00443213"/>
    <w:rsid w:val="00443785"/>
    <w:rsid w:val="00443C9E"/>
    <w:rsid w:val="0044406E"/>
    <w:rsid w:val="00444180"/>
    <w:rsid w:val="00444ACF"/>
    <w:rsid w:val="00444F85"/>
    <w:rsid w:val="004452F4"/>
    <w:rsid w:val="00445604"/>
    <w:rsid w:val="00446837"/>
    <w:rsid w:val="0045007B"/>
    <w:rsid w:val="00450FD5"/>
    <w:rsid w:val="00451058"/>
    <w:rsid w:val="00451158"/>
    <w:rsid w:val="0045537F"/>
    <w:rsid w:val="00457165"/>
    <w:rsid w:val="00457DC7"/>
    <w:rsid w:val="00460147"/>
    <w:rsid w:val="0046058A"/>
    <w:rsid w:val="00461354"/>
    <w:rsid w:val="00461BF2"/>
    <w:rsid w:val="00462860"/>
    <w:rsid w:val="00462D70"/>
    <w:rsid w:val="004640B3"/>
    <w:rsid w:val="004651D1"/>
    <w:rsid w:val="00465E32"/>
    <w:rsid w:val="00465E76"/>
    <w:rsid w:val="0046607F"/>
    <w:rsid w:val="00466A6E"/>
    <w:rsid w:val="00470270"/>
    <w:rsid w:val="00471197"/>
    <w:rsid w:val="00471441"/>
    <w:rsid w:val="00472300"/>
    <w:rsid w:val="00472BCC"/>
    <w:rsid w:val="004743A3"/>
    <w:rsid w:val="00476166"/>
    <w:rsid w:val="004767E4"/>
    <w:rsid w:val="004767EA"/>
    <w:rsid w:val="00477699"/>
    <w:rsid w:val="0048043D"/>
    <w:rsid w:val="0048086C"/>
    <w:rsid w:val="00480A03"/>
    <w:rsid w:val="00480B8A"/>
    <w:rsid w:val="0048247F"/>
    <w:rsid w:val="004837D6"/>
    <w:rsid w:val="004845CD"/>
    <w:rsid w:val="004848F7"/>
    <w:rsid w:val="004856BC"/>
    <w:rsid w:val="00485F93"/>
    <w:rsid w:val="00486DC8"/>
    <w:rsid w:val="00487702"/>
    <w:rsid w:val="00487829"/>
    <w:rsid w:val="0049026E"/>
    <w:rsid w:val="00490D92"/>
    <w:rsid w:val="00493309"/>
    <w:rsid w:val="00493EE0"/>
    <w:rsid w:val="0049497E"/>
    <w:rsid w:val="004968BA"/>
    <w:rsid w:val="004973E8"/>
    <w:rsid w:val="004A25CD"/>
    <w:rsid w:val="004A26CC"/>
    <w:rsid w:val="004A27EC"/>
    <w:rsid w:val="004A3F01"/>
    <w:rsid w:val="004A4BED"/>
    <w:rsid w:val="004A5CC9"/>
    <w:rsid w:val="004A5F1D"/>
    <w:rsid w:val="004A6240"/>
    <w:rsid w:val="004A666F"/>
    <w:rsid w:val="004A7035"/>
    <w:rsid w:val="004A710E"/>
    <w:rsid w:val="004A75B0"/>
    <w:rsid w:val="004B1916"/>
    <w:rsid w:val="004B2108"/>
    <w:rsid w:val="004B35B2"/>
    <w:rsid w:val="004B3A2B"/>
    <w:rsid w:val="004B4021"/>
    <w:rsid w:val="004B4B64"/>
    <w:rsid w:val="004B4D1D"/>
    <w:rsid w:val="004B4D7F"/>
    <w:rsid w:val="004B6512"/>
    <w:rsid w:val="004B70D3"/>
    <w:rsid w:val="004B7D27"/>
    <w:rsid w:val="004B7DCF"/>
    <w:rsid w:val="004C2712"/>
    <w:rsid w:val="004C312D"/>
    <w:rsid w:val="004C41A7"/>
    <w:rsid w:val="004C43B9"/>
    <w:rsid w:val="004C4C1D"/>
    <w:rsid w:val="004C5480"/>
    <w:rsid w:val="004C581A"/>
    <w:rsid w:val="004D0208"/>
    <w:rsid w:val="004D2D1B"/>
    <w:rsid w:val="004D3E25"/>
    <w:rsid w:val="004D3FA4"/>
    <w:rsid w:val="004D5067"/>
    <w:rsid w:val="004D5781"/>
    <w:rsid w:val="004D62B2"/>
    <w:rsid w:val="004D6838"/>
    <w:rsid w:val="004D72BC"/>
    <w:rsid w:val="004D74DD"/>
    <w:rsid w:val="004D7E8F"/>
    <w:rsid w:val="004E03E5"/>
    <w:rsid w:val="004E05AA"/>
    <w:rsid w:val="004E0BC7"/>
    <w:rsid w:val="004E1756"/>
    <w:rsid w:val="004E193B"/>
    <w:rsid w:val="004E2388"/>
    <w:rsid w:val="004E2678"/>
    <w:rsid w:val="004E2E52"/>
    <w:rsid w:val="004E39C1"/>
    <w:rsid w:val="004E3B71"/>
    <w:rsid w:val="004E4192"/>
    <w:rsid w:val="004E44D3"/>
    <w:rsid w:val="004E469D"/>
    <w:rsid w:val="004E4F80"/>
    <w:rsid w:val="004E7F4F"/>
    <w:rsid w:val="004E7F8D"/>
    <w:rsid w:val="004F2DDE"/>
    <w:rsid w:val="004F42C1"/>
    <w:rsid w:val="004F5A55"/>
    <w:rsid w:val="004F6426"/>
    <w:rsid w:val="004F7243"/>
    <w:rsid w:val="004F7463"/>
    <w:rsid w:val="004F76C2"/>
    <w:rsid w:val="004F7826"/>
    <w:rsid w:val="004F7A79"/>
    <w:rsid w:val="004F7B51"/>
    <w:rsid w:val="0050097F"/>
    <w:rsid w:val="0050104A"/>
    <w:rsid w:val="00501AE8"/>
    <w:rsid w:val="00501DC2"/>
    <w:rsid w:val="005023AD"/>
    <w:rsid w:val="0050308C"/>
    <w:rsid w:val="00503478"/>
    <w:rsid w:val="00504C5A"/>
    <w:rsid w:val="00504D8C"/>
    <w:rsid w:val="0050726E"/>
    <w:rsid w:val="00510C01"/>
    <w:rsid w:val="00511D2E"/>
    <w:rsid w:val="005136DE"/>
    <w:rsid w:val="00514B1F"/>
    <w:rsid w:val="00516FCE"/>
    <w:rsid w:val="005200FA"/>
    <w:rsid w:val="00520836"/>
    <w:rsid w:val="00523C5C"/>
    <w:rsid w:val="00524884"/>
    <w:rsid w:val="00524CD1"/>
    <w:rsid w:val="005257ED"/>
    <w:rsid w:val="00525CF5"/>
    <w:rsid w:val="00525E18"/>
    <w:rsid w:val="00525E93"/>
    <w:rsid w:val="00525FF5"/>
    <w:rsid w:val="00526468"/>
    <w:rsid w:val="0052671D"/>
    <w:rsid w:val="005300C0"/>
    <w:rsid w:val="00530AF7"/>
    <w:rsid w:val="00531ADD"/>
    <w:rsid w:val="005332EE"/>
    <w:rsid w:val="00533EF6"/>
    <w:rsid w:val="00534FEF"/>
    <w:rsid w:val="005352B7"/>
    <w:rsid w:val="0053531E"/>
    <w:rsid w:val="005364BC"/>
    <w:rsid w:val="00537710"/>
    <w:rsid w:val="00537EC9"/>
    <w:rsid w:val="00540058"/>
    <w:rsid w:val="005402BF"/>
    <w:rsid w:val="00540D09"/>
    <w:rsid w:val="00540E6B"/>
    <w:rsid w:val="0054109E"/>
    <w:rsid w:val="0054177F"/>
    <w:rsid w:val="005427A4"/>
    <w:rsid w:val="00546E09"/>
    <w:rsid w:val="00546F90"/>
    <w:rsid w:val="00547045"/>
    <w:rsid w:val="00550898"/>
    <w:rsid w:val="00552270"/>
    <w:rsid w:val="005539CD"/>
    <w:rsid w:val="00553FD2"/>
    <w:rsid w:val="005542F1"/>
    <w:rsid w:val="00554E4C"/>
    <w:rsid w:val="0055509D"/>
    <w:rsid w:val="0055595D"/>
    <w:rsid w:val="00555D8E"/>
    <w:rsid w:val="00556881"/>
    <w:rsid w:val="00556A10"/>
    <w:rsid w:val="00557F0F"/>
    <w:rsid w:val="00557F50"/>
    <w:rsid w:val="00560493"/>
    <w:rsid w:val="0056184E"/>
    <w:rsid w:val="0056209D"/>
    <w:rsid w:val="00562A4B"/>
    <w:rsid w:val="00566033"/>
    <w:rsid w:val="005665AC"/>
    <w:rsid w:val="005667E7"/>
    <w:rsid w:val="005675A0"/>
    <w:rsid w:val="00567D1A"/>
    <w:rsid w:val="00570324"/>
    <w:rsid w:val="00570764"/>
    <w:rsid w:val="00570B17"/>
    <w:rsid w:val="00570B8E"/>
    <w:rsid w:val="00570C3A"/>
    <w:rsid w:val="00571D3D"/>
    <w:rsid w:val="00574FB3"/>
    <w:rsid w:val="00575CC9"/>
    <w:rsid w:val="00575E38"/>
    <w:rsid w:val="0057636C"/>
    <w:rsid w:val="00576561"/>
    <w:rsid w:val="005767DC"/>
    <w:rsid w:val="005769C2"/>
    <w:rsid w:val="00577016"/>
    <w:rsid w:val="005804CE"/>
    <w:rsid w:val="00580A12"/>
    <w:rsid w:val="00581017"/>
    <w:rsid w:val="00581390"/>
    <w:rsid w:val="005813B0"/>
    <w:rsid w:val="0058196A"/>
    <w:rsid w:val="0058198A"/>
    <w:rsid w:val="00581D0C"/>
    <w:rsid w:val="0058264B"/>
    <w:rsid w:val="00586368"/>
    <w:rsid w:val="005868AA"/>
    <w:rsid w:val="00587334"/>
    <w:rsid w:val="0058783D"/>
    <w:rsid w:val="005902FC"/>
    <w:rsid w:val="00590845"/>
    <w:rsid w:val="00590BDE"/>
    <w:rsid w:val="0059109B"/>
    <w:rsid w:val="00591DDF"/>
    <w:rsid w:val="00592A70"/>
    <w:rsid w:val="00594395"/>
    <w:rsid w:val="00594BE1"/>
    <w:rsid w:val="005963C2"/>
    <w:rsid w:val="00597C61"/>
    <w:rsid w:val="005A0319"/>
    <w:rsid w:val="005A052B"/>
    <w:rsid w:val="005A0D00"/>
    <w:rsid w:val="005A0D69"/>
    <w:rsid w:val="005A31F4"/>
    <w:rsid w:val="005A487E"/>
    <w:rsid w:val="005A6478"/>
    <w:rsid w:val="005A6689"/>
    <w:rsid w:val="005A6CF9"/>
    <w:rsid w:val="005A73EA"/>
    <w:rsid w:val="005B0FE4"/>
    <w:rsid w:val="005B10B6"/>
    <w:rsid w:val="005B19EB"/>
    <w:rsid w:val="005B1B3A"/>
    <w:rsid w:val="005B1C71"/>
    <w:rsid w:val="005B27A4"/>
    <w:rsid w:val="005B45F7"/>
    <w:rsid w:val="005B5470"/>
    <w:rsid w:val="005B63EA"/>
    <w:rsid w:val="005B7E44"/>
    <w:rsid w:val="005C1718"/>
    <w:rsid w:val="005C1868"/>
    <w:rsid w:val="005C1A88"/>
    <w:rsid w:val="005C235E"/>
    <w:rsid w:val="005C3363"/>
    <w:rsid w:val="005C3911"/>
    <w:rsid w:val="005C5033"/>
    <w:rsid w:val="005C597B"/>
    <w:rsid w:val="005C59C6"/>
    <w:rsid w:val="005C6CB8"/>
    <w:rsid w:val="005C71C9"/>
    <w:rsid w:val="005D008D"/>
    <w:rsid w:val="005D1227"/>
    <w:rsid w:val="005D1C93"/>
    <w:rsid w:val="005D25B4"/>
    <w:rsid w:val="005D26BE"/>
    <w:rsid w:val="005D32F4"/>
    <w:rsid w:val="005D4E1B"/>
    <w:rsid w:val="005D5C50"/>
    <w:rsid w:val="005D65BF"/>
    <w:rsid w:val="005D745B"/>
    <w:rsid w:val="005E0243"/>
    <w:rsid w:val="005E0E0D"/>
    <w:rsid w:val="005E1682"/>
    <w:rsid w:val="005E21FF"/>
    <w:rsid w:val="005E3BBC"/>
    <w:rsid w:val="005E3CF6"/>
    <w:rsid w:val="005E4B0E"/>
    <w:rsid w:val="005E751B"/>
    <w:rsid w:val="005F001F"/>
    <w:rsid w:val="005F1E46"/>
    <w:rsid w:val="005F21EE"/>
    <w:rsid w:val="005F2751"/>
    <w:rsid w:val="005F3228"/>
    <w:rsid w:val="005F3354"/>
    <w:rsid w:val="005F4AD6"/>
    <w:rsid w:val="005F57A4"/>
    <w:rsid w:val="005F6A65"/>
    <w:rsid w:val="0060005E"/>
    <w:rsid w:val="006004CA"/>
    <w:rsid w:val="0060095B"/>
    <w:rsid w:val="00601266"/>
    <w:rsid w:val="00601E46"/>
    <w:rsid w:val="006020C4"/>
    <w:rsid w:val="0060219B"/>
    <w:rsid w:val="0060279F"/>
    <w:rsid w:val="00602A4D"/>
    <w:rsid w:val="00602B42"/>
    <w:rsid w:val="00603439"/>
    <w:rsid w:val="00603612"/>
    <w:rsid w:val="00603FCD"/>
    <w:rsid w:val="00604363"/>
    <w:rsid w:val="00604616"/>
    <w:rsid w:val="00605FA5"/>
    <w:rsid w:val="00606951"/>
    <w:rsid w:val="00607191"/>
    <w:rsid w:val="006073B2"/>
    <w:rsid w:val="00607DD0"/>
    <w:rsid w:val="00610221"/>
    <w:rsid w:val="00610661"/>
    <w:rsid w:val="00610E73"/>
    <w:rsid w:val="006120BC"/>
    <w:rsid w:val="00613135"/>
    <w:rsid w:val="00613966"/>
    <w:rsid w:val="00613EA2"/>
    <w:rsid w:val="00615F9B"/>
    <w:rsid w:val="00616DF2"/>
    <w:rsid w:val="0061732F"/>
    <w:rsid w:val="0062160F"/>
    <w:rsid w:val="00621B60"/>
    <w:rsid w:val="0062385D"/>
    <w:rsid w:val="00623DB2"/>
    <w:rsid w:val="006252DF"/>
    <w:rsid w:val="0062567A"/>
    <w:rsid w:val="00626CF3"/>
    <w:rsid w:val="00630EDE"/>
    <w:rsid w:val="0063168D"/>
    <w:rsid w:val="00632167"/>
    <w:rsid w:val="00632D5A"/>
    <w:rsid w:val="0063317A"/>
    <w:rsid w:val="006336F2"/>
    <w:rsid w:val="00634B9D"/>
    <w:rsid w:val="00635B45"/>
    <w:rsid w:val="00635C79"/>
    <w:rsid w:val="00635CE1"/>
    <w:rsid w:val="006362F3"/>
    <w:rsid w:val="00636DD1"/>
    <w:rsid w:val="00641E41"/>
    <w:rsid w:val="006423A7"/>
    <w:rsid w:val="00642A6F"/>
    <w:rsid w:val="00643C39"/>
    <w:rsid w:val="00644D2C"/>
    <w:rsid w:val="00644F28"/>
    <w:rsid w:val="006455DF"/>
    <w:rsid w:val="00645AF6"/>
    <w:rsid w:val="00646BD3"/>
    <w:rsid w:val="00647025"/>
    <w:rsid w:val="0064730A"/>
    <w:rsid w:val="00647D54"/>
    <w:rsid w:val="006507DA"/>
    <w:rsid w:val="00651458"/>
    <w:rsid w:val="006524E1"/>
    <w:rsid w:val="006525EC"/>
    <w:rsid w:val="00652F4F"/>
    <w:rsid w:val="006531A4"/>
    <w:rsid w:val="00653D08"/>
    <w:rsid w:val="00653E1B"/>
    <w:rsid w:val="00654439"/>
    <w:rsid w:val="00654E86"/>
    <w:rsid w:val="00655124"/>
    <w:rsid w:val="006559AD"/>
    <w:rsid w:val="00655A8A"/>
    <w:rsid w:val="00656569"/>
    <w:rsid w:val="0065788C"/>
    <w:rsid w:val="00660774"/>
    <w:rsid w:val="00660884"/>
    <w:rsid w:val="00662023"/>
    <w:rsid w:val="00663165"/>
    <w:rsid w:val="006636CC"/>
    <w:rsid w:val="0066389A"/>
    <w:rsid w:val="006640C7"/>
    <w:rsid w:val="00664874"/>
    <w:rsid w:val="0066495C"/>
    <w:rsid w:val="00665CC7"/>
    <w:rsid w:val="0066635C"/>
    <w:rsid w:val="00666981"/>
    <w:rsid w:val="00666AD6"/>
    <w:rsid w:val="00666B49"/>
    <w:rsid w:val="00667629"/>
    <w:rsid w:val="00667A0E"/>
    <w:rsid w:val="00670653"/>
    <w:rsid w:val="006709B0"/>
    <w:rsid w:val="0067106A"/>
    <w:rsid w:val="006714CD"/>
    <w:rsid w:val="00672612"/>
    <w:rsid w:val="006726A1"/>
    <w:rsid w:val="0067302F"/>
    <w:rsid w:val="006741CB"/>
    <w:rsid w:val="00674ECC"/>
    <w:rsid w:val="006775EF"/>
    <w:rsid w:val="00677F18"/>
    <w:rsid w:val="00681102"/>
    <w:rsid w:val="006814FF"/>
    <w:rsid w:val="006824D1"/>
    <w:rsid w:val="00684138"/>
    <w:rsid w:val="00684637"/>
    <w:rsid w:val="0068678B"/>
    <w:rsid w:val="006907CA"/>
    <w:rsid w:val="00690FBF"/>
    <w:rsid w:val="00691BEA"/>
    <w:rsid w:val="00691F0D"/>
    <w:rsid w:val="0069328D"/>
    <w:rsid w:val="00693483"/>
    <w:rsid w:val="00695DB8"/>
    <w:rsid w:val="006962EE"/>
    <w:rsid w:val="00697D3F"/>
    <w:rsid w:val="006A0BF3"/>
    <w:rsid w:val="006A41E2"/>
    <w:rsid w:val="006A5A63"/>
    <w:rsid w:val="006A6F20"/>
    <w:rsid w:val="006A7A4A"/>
    <w:rsid w:val="006A7AC9"/>
    <w:rsid w:val="006B0036"/>
    <w:rsid w:val="006B0DA6"/>
    <w:rsid w:val="006B16C6"/>
    <w:rsid w:val="006B1903"/>
    <w:rsid w:val="006B19C7"/>
    <w:rsid w:val="006B3AE2"/>
    <w:rsid w:val="006B3FA9"/>
    <w:rsid w:val="006B4013"/>
    <w:rsid w:val="006B44DB"/>
    <w:rsid w:val="006B4834"/>
    <w:rsid w:val="006B571E"/>
    <w:rsid w:val="006B6FB7"/>
    <w:rsid w:val="006B75B5"/>
    <w:rsid w:val="006B77F0"/>
    <w:rsid w:val="006C174A"/>
    <w:rsid w:val="006C2251"/>
    <w:rsid w:val="006C547E"/>
    <w:rsid w:val="006D210E"/>
    <w:rsid w:val="006D2B51"/>
    <w:rsid w:val="006D5575"/>
    <w:rsid w:val="006D60ED"/>
    <w:rsid w:val="006D7191"/>
    <w:rsid w:val="006E0180"/>
    <w:rsid w:val="006E1AC4"/>
    <w:rsid w:val="006E21C4"/>
    <w:rsid w:val="006E27E1"/>
    <w:rsid w:val="006E3D11"/>
    <w:rsid w:val="006E400D"/>
    <w:rsid w:val="006E42BE"/>
    <w:rsid w:val="006E4F10"/>
    <w:rsid w:val="006E5547"/>
    <w:rsid w:val="006E587E"/>
    <w:rsid w:val="006E5D4D"/>
    <w:rsid w:val="006E5D68"/>
    <w:rsid w:val="006E6D16"/>
    <w:rsid w:val="006E7AC9"/>
    <w:rsid w:val="006F15F7"/>
    <w:rsid w:val="006F1764"/>
    <w:rsid w:val="006F199B"/>
    <w:rsid w:val="006F1B2D"/>
    <w:rsid w:val="006F30A4"/>
    <w:rsid w:val="006F568B"/>
    <w:rsid w:val="006F67EE"/>
    <w:rsid w:val="006F6CC6"/>
    <w:rsid w:val="006F77AF"/>
    <w:rsid w:val="007017F8"/>
    <w:rsid w:val="007024BB"/>
    <w:rsid w:val="007025E0"/>
    <w:rsid w:val="00703F2A"/>
    <w:rsid w:val="00704C5D"/>
    <w:rsid w:val="00705020"/>
    <w:rsid w:val="0070542F"/>
    <w:rsid w:val="00706397"/>
    <w:rsid w:val="00707144"/>
    <w:rsid w:val="007072BC"/>
    <w:rsid w:val="00707AF8"/>
    <w:rsid w:val="00710DF3"/>
    <w:rsid w:val="0071389C"/>
    <w:rsid w:val="007144FA"/>
    <w:rsid w:val="00715275"/>
    <w:rsid w:val="007156CC"/>
    <w:rsid w:val="00715F89"/>
    <w:rsid w:val="007175E4"/>
    <w:rsid w:val="00717866"/>
    <w:rsid w:val="00717A35"/>
    <w:rsid w:val="00717EC7"/>
    <w:rsid w:val="00720B2A"/>
    <w:rsid w:val="00721B44"/>
    <w:rsid w:val="00721CB4"/>
    <w:rsid w:val="007232A2"/>
    <w:rsid w:val="007232BE"/>
    <w:rsid w:val="00723350"/>
    <w:rsid w:val="00726366"/>
    <w:rsid w:val="0072648D"/>
    <w:rsid w:val="00726897"/>
    <w:rsid w:val="00727593"/>
    <w:rsid w:val="00727B7A"/>
    <w:rsid w:val="00730301"/>
    <w:rsid w:val="00731AB6"/>
    <w:rsid w:val="00731C26"/>
    <w:rsid w:val="007335E8"/>
    <w:rsid w:val="00733B6B"/>
    <w:rsid w:val="00737152"/>
    <w:rsid w:val="007405F7"/>
    <w:rsid w:val="00740808"/>
    <w:rsid w:val="00740A1B"/>
    <w:rsid w:val="00742505"/>
    <w:rsid w:val="00742B78"/>
    <w:rsid w:val="007435FB"/>
    <w:rsid w:val="00743C0E"/>
    <w:rsid w:val="00743E82"/>
    <w:rsid w:val="00744FE0"/>
    <w:rsid w:val="007461FD"/>
    <w:rsid w:val="007467C4"/>
    <w:rsid w:val="00746BD5"/>
    <w:rsid w:val="00747CE3"/>
    <w:rsid w:val="007500B8"/>
    <w:rsid w:val="00751CD0"/>
    <w:rsid w:val="00752A7A"/>
    <w:rsid w:val="00752E04"/>
    <w:rsid w:val="007536FB"/>
    <w:rsid w:val="00756EB3"/>
    <w:rsid w:val="00757B0D"/>
    <w:rsid w:val="00760498"/>
    <w:rsid w:val="0076170F"/>
    <w:rsid w:val="00762F0D"/>
    <w:rsid w:val="00764221"/>
    <w:rsid w:val="0076451D"/>
    <w:rsid w:val="00764821"/>
    <w:rsid w:val="00764960"/>
    <w:rsid w:val="00764B97"/>
    <w:rsid w:val="00764D74"/>
    <w:rsid w:val="0076669C"/>
    <w:rsid w:val="00766E46"/>
    <w:rsid w:val="007673B0"/>
    <w:rsid w:val="00770937"/>
    <w:rsid w:val="0077098A"/>
    <w:rsid w:val="007715CE"/>
    <w:rsid w:val="007716CF"/>
    <w:rsid w:val="00772270"/>
    <w:rsid w:val="00772CCB"/>
    <w:rsid w:val="007735E2"/>
    <w:rsid w:val="00774BF9"/>
    <w:rsid w:val="00774F9A"/>
    <w:rsid w:val="007757C1"/>
    <w:rsid w:val="007757DB"/>
    <w:rsid w:val="00775A6E"/>
    <w:rsid w:val="00775C69"/>
    <w:rsid w:val="00776962"/>
    <w:rsid w:val="00777727"/>
    <w:rsid w:val="0078166A"/>
    <w:rsid w:val="00782B79"/>
    <w:rsid w:val="00783811"/>
    <w:rsid w:val="00783859"/>
    <w:rsid w:val="007849B0"/>
    <w:rsid w:val="007849F4"/>
    <w:rsid w:val="007865E9"/>
    <w:rsid w:val="00786A34"/>
    <w:rsid w:val="00787070"/>
    <w:rsid w:val="00787616"/>
    <w:rsid w:val="0078797C"/>
    <w:rsid w:val="00787AAD"/>
    <w:rsid w:val="00787AD9"/>
    <w:rsid w:val="00790E73"/>
    <w:rsid w:val="00790F16"/>
    <w:rsid w:val="0079226A"/>
    <w:rsid w:val="0079237D"/>
    <w:rsid w:val="00792383"/>
    <w:rsid w:val="007926EA"/>
    <w:rsid w:val="00794D5A"/>
    <w:rsid w:val="00794DD9"/>
    <w:rsid w:val="007965FB"/>
    <w:rsid w:val="0079711A"/>
    <w:rsid w:val="00797174"/>
    <w:rsid w:val="00797A0F"/>
    <w:rsid w:val="007A060F"/>
    <w:rsid w:val="007A14EC"/>
    <w:rsid w:val="007A4B6A"/>
    <w:rsid w:val="007A4D89"/>
    <w:rsid w:val="007A5509"/>
    <w:rsid w:val="007A64FF"/>
    <w:rsid w:val="007A70EF"/>
    <w:rsid w:val="007A7C07"/>
    <w:rsid w:val="007B0416"/>
    <w:rsid w:val="007B0F06"/>
    <w:rsid w:val="007B1440"/>
    <w:rsid w:val="007B16D3"/>
    <w:rsid w:val="007B1C5E"/>
    <w:rsid w:val="007B2E0B"/>
    <w:rsid w:val="007B350E"/>
    <w:rsid w:val="007B452B"/>
    <w:rsid w:val="007B4602"/>
    <w:rsid w:val="007B4CA0"/>
    <w:rsid w:val="007B4CBA"/>
    <w:rsid w:val="007B7CEB"/>
    <w:rsid w:val="007C0FBC"/>
    <w:rsid w:val="007C10C1"/>
    <w:rsid w:val="007C29C9"/>
    <w:rsid w:val="007C2A16"/>
    <w:rsid w:val="007C2DCE"/>
    <w:rsid w:val="007C35B8"/>
    <w:rsid w:val="007C36E3"/>
    <w:rsid w:val="007C3ABB"/>
    <w:rsid w:val="007C4817"/>
    <w:rsid w:val="007C524D"/>
    <w:rsid w:val="007C542B"/>
    <w:rsid w:val="007C5D1B"/>
    <w:rsid w:val="007C6278"/>
    <w:rsid w:val="007C6EF4"/>
    <w:rsid w:val="007C7134"/>
    <w:rsid w:val="007C7ECF"/>
    <w:rsid w:val="007D015D"/>
    <w:rsid w:val="007D1994"/>
    <w:rsid w:val="007D1F8E"/>
    <w:rsid w:val="007D36B7"/>
    <w:rsid w:val="007D3D20"/>
    <w:rsid w:val="007D44F9"/>
    <w:rsid w:val="007D4B49"/>
    <w:rsid w:val="007D504B"/>
    <w:rsid w:val="007D742E"/>
    <w:rsid w:val="007D7775"/>
    <w:rsid w:val="007E1A13"/>
    <w:rsid w:val="007E29B5"/>
    <w:rsid w:val="007E2EBE"/>
    <w:rsid w:val="007E3AFD"/>
    <w:rsid w:val="007E4136"/>
    <w:rsid w:val="007E4752"/>
    <w:rsid w:val="007E6924"/>
    <w:rsid w:val="007E6DCF"/>
    <w:rsid w:val="007E74C8"/>
    <w:rsid w:val="007F1ED5"/>
    <w:rsid w:val="007F2A16"/>
    <w:rsid w:val="007F37E6"/>
    <w:rsid w:val="007F44BC"/>
    <w:rsid w:val="007F582D"/>
    <w:rsid w:val="007F6A35"/>
    <w:rsid w:val="007F79C9"/>
    <w:rsid w:val="00800828"/>
    <w:rsid w:val="00800E1C"/>
    <w:rsid w:val="0080118C"/>
    <w:rsid w:val="00801D38"/>
    <w:rsid w:val="00801DAD"/>
    <w:rsid w:val="00802A9F"/>
    <w:rsid w:val="00803189"/>
    <w:rsid w:val="008032CE"/>
    <w:rsid w:val="00803440"/>
    <w:rsid w:val="00804BF2"/>
    <w:rsid w:val="00804CFF"/>
    <w:rsid w:val="00804E7A"/>
    <w:rsid w:val="00805FBB"/>
    <w:rsid w:val="00806995"/>
    <w:rsid w:val="00806CCB"/>
    <w:rsid w:val="00806FE6"/>
    <w:rsid w:val="008072F5"/>
    <w:rsid w:val="0080783B"/>
    <w:rsid w:val="008117A0"/>
    <w:rsid w:val="00812654"/>
    <w:rsid w:val="00813C91"/>
    <w:rsid w:val="00813E22"/>
    <w:rsid w:val="0081402C"/>
    <w:rsid w:val="00814292"/>
    <w:rsid w:val="00814C81"/>
    <w:rsid w:val="00815A58"/>
    <w:rsid w:val="008169A4"/>
    <w:rsid w:val="00820893"/>
    <w:rsid w:val="00821FF7"/>
    <w:rsid w:val="008225F7"/>
    <w:rsid w:val="00822CCF"/>
    <w:rsid w:val="0082335B"/>
    <w:rsid w:val="00823A98"/>
    <w:rsid w:val="00824D32"/>
    <w:rsid w:val="00825EA8"/>
    <w:rsid w:val="008274CB"/>
    <w:rsid w:val="008278FE"/>
    <w:rsid w:val="008306C8"/>
    <w:rsid w:val="0083182E"/>
    <w:rsid w:val="00832598"/>
    <w:rsid w:val="00832C2D"/>
    <w:rsid w:val="0083316A"/>
    <w:rsid w:val="0083397E"/>
    <w:rsid w:val="0083534B"/>
    <w:rsid w:val="00835CAC"/>
    <w:rsid w:val="00836E5D"/>
    <w:rsid w:val="00840A4E"/>
    <w:rsid w:val="00840C53"/>
    <w:rsid w:val="00840EC0"/>
    <w:rsid w:val="00840FD0"/>
    <w:rsid w:val="008414DA"/>
    <w:rsid w:val="008417A7"/>
    <w:rsid w:val="00841AA8"/>
    <w:rsid w:val="00842035"/>
    <w:rsid w:val="00842602"/>
    <w:rsid w:val="008449F0"/>
    <w:rsid w:val="00844BEB"/>
    <w:rsid w:val="00844E9D"/>
    <w:rsid w:val="00845DBE"/>
    <w:rsid w:val="0084676F"/>
    <w:rsid w:val="00846F11"/>
    <w:rsid w:val="00847502"/>
    <w:rsid w:val="00847B45"/>
    <w:rsid w:val="00847EEE"/>
    <w:rsid w:val="008502DD"/>
    <w:rsid w:val="00850C7A"/>
    <w:rsid w:val="008510DC"/>
    <w:rsid w:val="008511F5"/>
    <w:rsid w:val="00851422"/>
    <w:rsid w:val="00851600"/>
    <w:rsid w:val="00856CDA"/>
    <w:rsid w:val="00860543"/>
    <w:rsid w:val="008606D0"/>
    <w:rsid w:val="008615CB"/>
    <w:rsid w:val="00861BAB"/>
    <w:rsid w:val="0086347D"/>
    <w:rsid w:val="00863A66"/>
    <w:rsid w:val="008648E8"/>
    <w:rsid w:val="008677BB"/>
    <w:rsid w:val="008678E5"/>
    <w:rsid w:val="008703D7"/>
    <w:rsid w:val="00870EFB"/>
    <w:rsid w:val="00871FA8"/>
    <w:rsid w:val="008723E1"/>
    <w:rsid w:val="00874429"/>
    <w:rsid w:val="00874B67"/>
    <w:rsid w:val="0087511B"/>
    <w:rsid w:val="00875D22"/>
    <w:rsid w:val="008760BE"/>
    <w:rsid w:val="0087759C"/>
    <w:rsid w:val="00881147"/>
    <w:rsid w:val="00883D9A"/>
    <w:rsid w:val="008849AF"/>
    <w:rsid w:val="00885475"/>
    <w:rsid w:val="008866D9"/>
    <w:rsid w:val="00886D45"/>
    <w:rsid w:val="0088726A"/>
    <w:rsid w:val="008879DE"/>
    <w:rsid w:val="00890169"/>
    <w:rsid w:val="008902EC"/>
    <w:rsid w:val="008919EF"/>
    <w:rsid w:val="00891BA0"/>
    <w:rsid w:val="0089211F"/>
    <w:rsid w:val="00892699"/>
    <w:rsid w:val="00892B20"/>
    <w:rsid w:val="008931BC"/>
    <w:rsid w:val="008937FE"/>
    <w:rsid w:val="00893FE9"/>
    <w:rsid w:val="00894DB0"/>
    <w:rsid w:val="008955E9"/>
    <w:rsid w:val="0089695B"/>
    <w:rsid w:val="00896E54"/>
    <w:rsid w:val="00897740"/>
    <w:rsid w:val="00897BDE"/>
    <w:rsid w:val="00897F81"/>
    <w:rsid w:val="008A12EC"/>
    <w:rsid w:val="008A1BD7"/>
    <w:rsid w:val="008A2809"/>
    <w:rsid w:val="008A5A03"/>
    <w:rsid w:val="008A6617"/>
    <w:rsid w:val="008A6F6A"/>
    <w:rsid w:val="008B0CCC"/>
    <w:rsid w:val="008B14BE"/>
    <w:rsid w:val="008B19A6"/>
    <w:rsid w:val="008B23ED"/>
    <w:rsid w:val="008B2C18"/>
    <w:rsid w:val="008B3AB8"/>
    <w:rsid w:val="008B4EFB"/>
    <w:rsid w:val="008B7615"/>
    <w:rsid w:val="008B7A40"/>
    <w:rsid w:val="008C01C7"/>
    <w:rsid w:val="008C0605"/>
    <w:rsid w:val="008C065B"/>
    <w:rsid w:val="008C168C"/>
    <w:rsid w:val="008C21C8"/>
    <w:rsid w:val="008C6375"/>
    <w:rsid w:val="008C64E3"/>
    <w:rsid w:val="008C655B"/>
    <w:rsid w:val="008C65C4"/>
    <w:rsid w:val="008C6A5B"/>
    <w:rsid w:val="008C6AE3"/>
    <w:rsid w:val="008D34B2"/>
    <w:rsid w:val="008D441D"/>
    <w:rsid w:val="008D498D"/>
    <w:rsid w:val="008D6CB0"/>
    <w:rsid w:val="008D6D36"/>
    <w:rsid w:val="008D7237"/>
    <w:rsid w:val="008E0693"/>
    <w:rsid w:val="008E098E"/>
    <w:rsid w:val="008E1028"/>
    <w:rsid w:val="008E10A6"/>
    <w:rsid w:val="008E2096"/>
    <w:rsid w:val="008E257E"/>
    <w:rsid w:val="008E26A5"/>
    <w:rsid w:val="008E31F7"/>
    <w:rsid w:val="008E3DF7"/>
    <w:rsid w:val="008E42D2"/>
    <w:rsid w:val="008E6328"/>
    <w:rsid w:val="008E6D99"/>
    <w:rsid w:val="008E7E24"/>
    <w:rsid w:val="008F1293"/>
    <w:rsid w:val="008F22BF"/>
    <w:rsid w:val="008F335E"/>
    <w:rsid w:val="008F4AB8"/>
    <w:rsid w:val="008F4F4A"/>
    <w:rsid w:val="008F558E"/>
    <w:rsid w:val="008F5624"/>
    <w:rsid w:val="008F578F"/>
    <w:rsid w:val="008F5D04"/>
    <w:rsid w:val="008F5DCB"/>
    <w:rsid w:val="008F6B3F"/>
    <w:rsid w:val="00902380"/>
    <w:rsid w:val="00902496"/>
    <w:rsid w:val="00902E47"/>
    <w:rsid w:val="00902E6B"/>
    <w:rsid w:val="00903756"/>
    <w:rsid w:val="009040EE"/>
    <w:rsid w:val="00904DEA"/>
    <w:rsid w:val="009057FD"/>
    <w:rsid w:val="0090583D"/>
    <w:rsid w:val="0090607A"/>
    <w:rsid w:val="00906FBA"/>
    <w:rsid w:val="0090744F"/>
    <w:rsid w:val="009076D6"/>
    <w:rsid w:val="0090797D"/>
    <w:rsid w:val="009079FD"/>
    <w:rsid w:val="00907EA9"/>
    <w:rsid w:val="00910D30"/>
    <w:rsid w:val="00910FC5"/>
    <w:rsid w:val="0091185B"/>
    <w:rsid w:val="00912210"/>
    <w:rsid w:val="009124F8"/>
    <w:rsid w:val="00913DA4"/>
    <w:rsid w:val="0091512C"/>
    <w:rsid w:val="009163E8"/>
    <w:rsid w:val="00916EE8"/>
    <w:rsid w:val="00920ACA"/>
    <w:rsid w:val="00920FE7"/>
    <w:rsid w:val="009218E9"/>
    <w:rsid w:val="00921BD3"/>
    <w:rsid w:val="00922521"/>
    <w:rsid w:val="009228C7"/>
    <w:rsid w:val="00922A7F"/>
    <w:rsid w:val="00923A5E"/>
    <w:rsid w:val="00923C41"/>
    <w:rsid w:val="00923DA6"/>
    <w:rsid w:val="00923EEE"/>
    <w:rsid w:val="009240EE"/>
    <w:rsid w:val="009243F9"/>
    <w:rsid w:val="00924D83"/>
    <w:rsid w:val="00924FE7"/>
    <w:rsid w:val="00926E27"/>
    <w:rsid w:val="00927E15"/>
    <w:rsid w:val="00930E91"/>
    <w:rsid w:val="00930F72"/>
    <w:rsid w:val="00931594"/>
    <w:rsid w:val="00931C0D"/>
    <w:rsid w:val="00931C8C"/>
    <w:rsid w:val="009339C6"/>
    <w:rsid w:val="00934964"/>
    <w:rsid w:val="009362F7"/>
    <w:rsid w:val="00936316"/>
    <w:rsid w:val="00936AD4"/>
    <w:rsid w:val="00937EEF"/>
    <w:rsid w:val="00941CCF"/>
    <w:rsid w:val="00941EAA"/>
    <w:rsid w:val="00943D21"/>
    <w:rsid w:val="0094504B"/>
    <w:rsid w:val="00945B51"/>
    <w:rsid w:val="00945DB3"/>
    <w:rsid w:val="00951458"/>
    <w:rsid w:val="00951BC8"/>
    <w:rsid w:val="00952DFD"/>
    <w:rsid w:val="00953047"/>
    <w:rsid w:val="009533B2"/>
    <w:rsid w:val="009555FD"/>
    <w:rsid w:val="009573AD"/>
    <w:rsid w:val="00957B67"/>
    <w:rsid w:val="00962483"/>
    <w:rsid w:val="0096262A"/>
    <w:rsid w:val="0096347E"/>
    <w:rsid w:val="00964A38"/>
    <w:rsid w:val="00964EE8"/>
    <w:rsid w:val="0096561C"/>
    <w:rsid w:val="00965B58"/>
    <w:rsid w:val="00966762"/>
    <w:rsid w:val="009667C1"/>
    <w:rsid w:val="00966A9D"/>
    <w:rsid w:val="00966D49"/>
    <w:rsid w:val="0096742B"/>
    <w:rsid w:val="00967AE2"/>
    <w:rsid w:val="00967C64"/>
    <w:rsid w:val="00967C77"/>
    <w:rsid w:val="00970C9F"/>
    <w:rsid w:val="009718C5"/>
    <w:rsid w:val="009735E5"/>
    <w:rsid w:val="009750F4"/>
    <w:rsid w:val="00976AFF"/>
    <w:rsid w:val="00977D6B"/>
    <w:rsid w:val="0098051D"/>
    <w:rsid w:val="00981376"/>
    <w:rsid w:val="009823BE"/>
    <w:rsid w:val="009825FE"/>
    <w:rsid w:val="00986AED"/>
    <w:rsid w:val="00986B6B"/>
    <w:rsid w:val="00987C24"/>
    <w:rsid w:val="00987EE4"/>
    <w:rsid w:val="00991AC4"/>
    <w:rsid w:val="0099233E"/>
    <w:rsid w:val="009924CF"/>
    <w:rsid w:val="00992E77"/>
    <w:rsid w:val="00993A98"/>
    <w:rsid w:val="00994100"/>
    <w:rsid w:val="00995618"/>
    <w:rsid w:val="00995F1A"/>
    <w:rsid w:val="009979C9"/>
    <w:rsid w:val="009A04B7"/>
    <w:rsid w:val="009A1F22"/>
    <w:rsid w:val="009A2228"/>
    <w:rsid w:val="009A3005"/>
    <w:rsid w:val="009A326E"/>
    <w:rsid w:val="009A4DA8"/>
    <w:rsid w:val="009A5B46"/>
    <w:rsid w:val="009A61EA"/>
    <w:rsid w:val="009A658E"/>
    <w:rsid w:val="009A67EF"/>
    <w:rsid w:val="009A6A39"/>
    <w:rsid w:val="009A6B17"/>
    <w:rsid w:val="009A79F4"/>
    <w:rsid w:val="009A7E64"/>
    <w:rsid w:val="009B052E"/>
    <w:rsid w:val="009B1A1B"/>
    <w:rsid w:val="009B1AD6"/>
    <w:rsid w:val="009B228A"/>
    <w:rsid w:val="009B4195"/>
    <w:rsid w:val="009B4393"/>
    <w:rsid w:val="009B4E00"/>
    <w:rsid w:val="009B50C8"/>
    <w:rsid w:val="009B5CD3"/>
    <w:rsid w:val="009B5E2E"/>
    <w:rsid w:val="009B64DA"/>
    <w:rsid w:val="009B71FA"/>
    <w:rsid w:val="009B7C92"/>
    <w:rsid w:val="009C0E66"/>
    <w:rsid w:val="009C20C2"/>
    <w:rsid w:val="009C2D6C"/>
    <w:rsid w:val="009C3766"/>
    <w:rsid w:val="009C41FB"/>
    <w:rsid w:val="009C596E"/>
    <w:rsid w:val="009C68AD"/>
    <w:rsid w:val="009C71ED"/>
    <w:rsid w:val="009C7238"/>
    <w:rsid w:val="009C73F9"/>
    <w:rsid w:val="009D040E"/>
    <w:rsid w:val="009D1832"/>
    <w:rsid w:val="009D4381"/>
    <w:rsid w:val="009D4C29"/>
    <w:rsid w:val="009D6904"/>
    <w:rsid w:val="009D7BCC"/>
    <w:rsid w:val="009D7FBE"/>
    <w:rsid w:val="009E1140"/>
    <w:rsid w:val="009E2F4F"/>
    <w:rsid w:val="009E3317"/>
    <w:rsid w:val="009E3F9D"/>
    <w:rsid w:val="009E4974"/>
    <w:rsid w:val="009E4ED5"/>
    <w:rsid w:val="009E5171"/>
    <w:rsid w:val="009E58E9"/>
    <w:rsid w:val="009E6605"/>
    <w:rsid w:val="009E6803"/>
    <w:rsid w:val="009E6879"/>
    <w:rsid w:val="009E6D97"/>
    <w:rsid w:val="009E73DA"/>
    <w:rsid w:val="009E788A"/>
    <w:rsid w:val="009F0A22"/>
    <w:rsid w:val="009F0B16"/>
    <w:rsid w:val="009F1FA3"/>
    <w:rsid w:val="009F25A8"/>
    <w:rsid w:val="009F2BA5"/>
    <w:rsid w:val="009F2D47"/>
    <w:rsid w:val="009F30CC"/>
    <w:rsid w:val="009F405E"/>
    <w:rsid w:val="009F47AB"/>
    <w:rsid w:val="009F4942"/>
    <w:rsid w:val="009F5A91"/>
    <w:rsid w:val="009F6AD2"/>
    <w:rsid w:val="009F6BCC"/>
    <w:rsid w:val="009F72F8"/>
    <w:rsid w:val="009F7C1B"/>
    <w:rsid w:val="009F7D4A"/>
    <w:rsid w:val="00A004C2"/>
    <w:rsid w:val="00A00B5B"/>
    <w:rsid w:val="00A00D8D"/>
    <w:rsid w:val="00A00EE8"/>
    <w:rsid w:val="00A01BB6"/>
    <w:rsid w:val="00A021ED"/>
    <w:rsid w:val="00A02FAF"/>
    <w:rsid w:val="00A06754"/>
    <w:rsid w:val="00A06D80"/>
    <w:rsid w:val="00A07F49"/>
    <w:rsid w:val="00A108A7"/>
    <w:rsid w:val="00A10927"/>
    <w:rsid w:val="00A109CB"/>
    <w:rsid w:val="00A10A02"/>
    <w:rsid w:val="00A111ED"/>
    <w:rsid w:val="00A1166F"/>
    <w:rsid w:val="00A12A45"/>
    <w:rsid w:val="00A1359A"/>
    <w:rsid w:val="00A136D6"/>
    <w:rsid w:val="00A13B21"/>
    <w:rsid w:val="00A14A11"/>
    <w:rsid w:val="00A17AD4"/>
    <w:rsid w:val="00A206AF"/>
    <w:rsid w:val="00A228DA"/>
    <w:rsid w:val="00A22B28"/>
    <w:rsid w:val="00A23A8A"/>
    <w:rsid w:val="00A24A2C"/>
    <w:rsid w:val="00A24F43"/>
    <w:rsid w:val="00A2511A"/>
    <w:rsid w:val="00A2594B"/>
    <w:rsid w:val="00A263BA"/>
    <w:rsid w:val="00A302FA"/>
    <w:rsid w:val="00A305F4"/>
    <w:rsid w:val="00A309A9"/>
    <w:rsid w:val="00A3227C"/>
    <w:rsid w:val="00A322D9"/>
    <w:rsid w:val="00A326DF"/>
    <w:rsid w:val="00A32D7C"/>
    <w:rsid w:val="00A3351E"/>
    <w:rsid w:val="00A341FE"/>
    <w:rsid w:val="00A35374"/>
    <w:rsid w:val="00A354E5"/>
    <w:rsid w:val="00A377EF"/>
    <w:rsid w:val="00A4303C"/>
    <w:rsid w:val="00A45291"/>
    <w:rsid w:val="00A45B79"/>
    <w:rsid w:val="00A46662"/>
    <w:rsid w:val="00A469FB"/>
    <w:rsid w:val="00A46CAF"/>
    <w:rsid w:val="00A46E27"/>
    <w:rsid w:val="00A470FD"/>
    <w:rsid w:val="00A476F9"/>
    <w:rsid w:val="00A47F6A"/>
    <w:rsid w:val="00A50B5E"/>
    <w:rsid w:val="00A53538"/>
    <w:rsid w:val="00A537A4"/>
    <w:rsid w:val="00A54954"/>
    <w:rsid w:val="00A56B6F"/>
    <w:rsid w:val="00A57639"/>
    <w:rsid w:val="00A60A3E"/>
    <w:rsid w:val="00A60CE8"/>
    <w:rsid w:val="00A6122E"/>
    <w:rsid w:val="00A61372"/>
    <w:rsid w:val="00A61DF0"/>
    <w:rsid w:val="00A62D7C"/>
    <w:rsid w:val="00A62DAB"/>
    <w:rsid w:val="00A65216"/>
    <w:rsid w:val="00A6757A"/>
    <w:rsid w:val="00A678FC"/>
    <w:rsid w:val="00A726A6"/>
    <w:rsid w:val="00A72EAD"/>
    <w:rsid w:val="00A73436"/>
    <w:rsid w:val="00A73CEF"/>
    <w:rsid w:val="00A745F0"/>
    <w:rsid w:val="00A746D3"/>
    <w:rsid w:val="00A74842"/>
    <w:rsid w:val="00A74E27"/>
    <w:rsid w:val="00A7584E"/>
    <w:rsid w:val="00A75952"/>
    <w:rsid w:val="00A761E2"/>
    <w:rsid w:val="00A76578"/>
    <w:rsid w:val="00A76B1B"/>
    <w:rsid w:val="00A80388"/>
    <w:rsid w:val="00A80B85"/>
    <w:rsid w:val="00A80EE0"/>
    <w:rsid w:val="00A81692"/>
    <w:rsid w:val="00A8269A"/>
    <w:rsid w:val="00A82BD8"/>
    <w:rsid w:val="00A82D84"/>
    <w:rsid w:val="00A83E1C"/>
    <w:rsid w:val="00A84196"/>
    <w:rsid w:val="00A86003"/>
    <w:rsid w:val="00A86701"/>
    <w:rsid w:val="00A86A50"/>
    <w:rsid w:val="00A87B30"/>
    <w:rsid w:val="00A9178A"/>
    <w:rsid w:val="00A923D5"/>
    <w:rsid w:val="00A92574"/>
    <w:rsid w:val="00A927FB"/>
    <w:rsid w:val="00A92E67"/>
    <w:rsid w:val="00A94367"/>
    <w:rsid w:val="00A9515B"/>
    <w:rsid w:val="00A9548D"/>
    <w:rsid w:val="00A96205"/>
    <w:rsid w:val="00A9649A"/>
    <w:rsid w:val="00A97535"/>
    <w:rsid w:val="00A97965"/>
    <w:rsid w:val="00AA0F94"/>
    <w:rsid w:val="00AA2BAA"/>
    <w:rsid w:val="00AA42D3"/>
    <w:rsid w:val="00AA56C9"/>
    <w:rsid w:val="00AA59E8"/>
    <w:rsid w:val="00AA6516"/>
    <w:rsid w:val="00AA73F1"/>
    <w:rsid w:val="00AB074C"/>
    <w:rsid w:val="00AB0838"/>
    <w:rsid w:val="00AB0E1A"/>
    <w:rsid w:val="00AB152C"/>
    <w:rsid w:val="00AB171A"/>
    <w:rsid w:val="00AB1A30"/>
    <w:rsid w:val="00AB2156"/>
    <w:rsid w:val="00AB3C36"/>
    <w:rsid w:val="00AB3D30"/>
    <w:rsid w:val="00AB489B"/>
    <w:rsid w:val="00AB4BE8"/>
    <w:rsid w:val="00AB4DE1"/>
    <w:rsid w:val="00AB531D"/>
    <w:rsid w:val="00AB5AD1"/>
    <w:rsid w:val="00AB600F"/>
    <w:rsid w:val="00AC1ED5"/>
    <w:rsid w:val="00AC31EC"/>
    <w:rsid w:val="00AC4B09"/>
    <w:rsid w:val="00AC52BA"/>
    <w:rsid w:val="00AC5A01"/>
    <w:rsid w:val="00AC7E54"/>
    <w:rsid w:val="00AD0522"/>
    <w:rsid w:val="00AD10EB"/>
    <w:rsid w:val="00AD195B"/>
    <w:rsid w:val="00AD19CE"/>
    <w:rsid w:val="00AD1A5D"/>
    <w:rsid w:val="00AD1ED3"/>
    <w:rsid w:val="00AD2671"/>
    <w:rsid w:val="00AD3717"/>
    <w:rsid w:val="00AD38F9"/>
    <w:rsid w:val="00AD39C4"/>
    <w:rsid w:val="00AD3A10"/>
    <w:rsid w:val="00AD4ACE"/>
    <w:rsid w:val="00AD5882"/>
    <w:rsid w:val="00AD6E88"/>
    <w:rsid w:val="00AD713C"/>
    <w:rsid w:val="00AD74F4"/>
    <w:rsid w:val="00AE0695"/>
    <w:rsid w:val="00AE14E3"/>
    <w:rsid w:val="00AE5085"/>
    <w:rsid w:val="00AE65A2"/>
    <w:rsid w:val="00AE728F"/>
    <w:rsid w:val="00AF2806"/>
    <w:rsid w:val="00AF36AA"/>
    <w:rsid w:val="00AF4A8D"/>
    <w:rsid w:val="00AF5207"/>
    <w:rsid w:val="00AF5C66"/>
    <w:rsid w:val="00AF635E"/>
    <w:rsid w:val="00AF66C2"/>
    <w:rsid w:val="00AF70A7"/>
    <w:rsid w:val="00AF7433"/>
    <w:rsid w:val="00B007A3"/>
    <w:rsid w:val="00B00BA1"/>
    <w:rsid w:val="00B00CA8"/>
    <w:rsid w:val="00B018C7"/>
    <w:rsid w:val="00B019C1"/>
    <w:rsid w:val="00B02001"/>
    <w:rsid w:val="00B02A70"/>
    <w:rsid w:val="00B03AF8"/>
    <w:rsid w:val="00B03C50"/>
    <w:rsid w:val="00B04CE7"/>
    <w:rsid w:val="00B0549A"/>
    <w:rsid w:val="00B0560F"/>
    <w:rsid w:val="00B05B2F"/>
    <w:rsid w:val="00B0777D"/>
    <w:rsid w:val="00B07D12"/>
    <w:rsid w:val="00B11576"/>
    <w:rsid w:val="00B1195F"/>
    <w:rsid w:val="00B120A0"/>
    <w:rsid w:val="00B13E74"/>
    <w:rsid w:val="00B14091"/>
    <w:rsid w:val="00B1494C"/>
    <w:rsid w:val="00B14BE0"/>
    <w:rsid w:val="00B14D10"/>
    <w:rsid w:val="00B157F2"/>
    <w:rsid w:val="00B17755"/>
    <w:rsid w:val="00B2027B"/>
    <w:rsid w:val="00B209C7"/>
    <w:rsid w:val="00B21968"/>
    <w:rsid w:val="00B21F4D"/>
    <w:rsid w:val="00B2254A"/>
    <w:rsid w:val="00B26480"/>
    <w:rsid w:val="00B26A9B"/>
    <w:rsid w:val="00B26B52"/>
    <w:rsid w:val="00B33D5A"/>
    <w:rsid w:val="00B352F6"/>
    <w:rsid w:val="00B3644F"/>
    <w:rsid w:val="00B366D5"/>
    <w:rsid w:val="00B4057A"/>
    <w:rsid w:val="00B40894"/>
    <w:rsid w:val="00B41039"/>
    <w:rsid w:val="00B41F37"/>
    <w:rsid w:val="00B4259D"/>
    <w:rsid w:val="00B42919"/>
    <w:rsid w:val="00B42987"/>
    <w:rsid w:val="00B434E5"/>
    <w:rsid w:val="00B43EDE"/>
    <w:rsid w:val="00B444AE"/>
    <w:rsid w:val="00B44F7B"/>
    <w:rsid w:val="00B45382"/>
    <w:rsid w:val="00B45E75"/>
    <w:rsid w:val="00B460A9"/>
    <w:rsid w:val="00B47185"/>
    <w:rsid w:val="00B506AD"/>
    <w:rsid w:val="00B50828"/>
    <w:rsid w:val="00B50876"/>
    <w:rsid w:val="00B51074"/>
    <w:rsid w:val="00B52376"/>
    <w:rsid w:val="00B53B02"/>
    <w:rsid w:val="00B54D71"/>
    <w:rsid w:val="00B54DAA"/>
    <w:rsid w:val="00B54EA3"/>
    <w:rsid w:val="00B552E0"/>
    <w:rsid w:val="00B55AB0"/>
    <w:rsid w:val="00B55EE5"/>
    <w:rsid w:val="00B61D42"/>
    <w:rsid w:val="00B63296"/>
    <w:rsid w:val="00B6373D"/>
    <w:rsid w:val="00B66251"/>
    <w:rsid w:val="00B66E04"/>
    <w:rsid w:val="00B66E5C"/>
    <w:rsid w:val="00B67A43"/>
    <w:rsid w:val="00B70CEF"/>
    <w:rsid w:val="00B70FD9"/>
    <w:rsid w:val="00B71D1F"/>
    <w:rsid w:val="00B71E31"/>
    <w:rsid w:val="00B72006"/>
    <w:rsid w:val="00B72197"/>
    <w:rsid w:val="00B72CFF"/>
    <w:rsid w:val="00B73DE6"/>
    <w:rsid w:val="00B761CD"/>
    <w:rsid w:val="00B767D8"/>
    <w:rsid w:val="00B76B66"/>
    <w:rsid w:val="00B77FFA"/>
    <w:rsid w:val="00B80AEA"/>
    <w:rsid w:val="00B80E96"/>
    <w:rsid w:val="00B82DDD"/>
    <w:rsid w:val="00B839DB"/>
    <w:rsid w:val="00B83F65"/>
    <w:rsid w:val="00B86C53"/>
    <w:rsid w:val="00B86DCD"/>
    <w:rsid w:val="00B86EF0"/>
    <w:rsid w:val="00B8786A"/>
    <w:rsid w:val="00B93F45"/>
    <w:rsid w:val="00B94F13"/>
    <w:rsid w:val="00B95271"/>
    <w:rsid w:val="00B96954"/>
    <w:rsid w:val="00B96969"/>
    <w:rsid w:val="00B973C7"/>
    <w:rsid w:val="00B97900"/>
    <w:rsid w:val="00BA009C"/>
    <w:rsid w:val="00BA10D3"/>
    <w:rsid w:val="00BA1229"/>
    <w:rsid w:val="00BA1E6B"/>
    <w:rsid w:val="00BA44A8"/>
    <w:rsid w:val="00BA49C5"/>
    <w:rsid w:val="00BA5519"/>
    <w:rsid w:val="00BA60EE"/>
    <w:rsid w:val="00BB0182"/>
    <w:rsid w:val="00BB0AFF"/>
    <w:rsid w:val="00BB19E0"/>
    <w:rsid w:val="00BB2F4A"/>
    <w:rsid w:val="00BB4F24"/>
    <w:rsid w:val="00BB4F85"/>
    <w:rsid w:val="00BB533E"/>
    <w:rsid w:val="00BB65FB"/>
    <w:rsid w:val="00BC1C47"/>
    <w:rsid w:val="00BC249D"/>
    <w:rsid w:val="00BC37BC"/>
    <w:rsid w:val="00BC3B3C"/>
    <w:rsid w:val="00BC46F4"/>
    <w:rsid w:val="00BC786E"/>
    <w:rsid w:val="00BD0F34"/>
    <w:rsid w:val="00BD1D6D"/>
    <w:rsid w:val="00BD2CF3"/>
    <w:rsid w:val="00BD3362"/>
    <w:rsid w:val="00BD55CE"/>
    <w:rsid w:val="00BD5C92"/>
    <w:rsid w:val="00BD74D9"/>
    <w:rsid w:val="00BD7C81"/>
    <w:rsid w:val="00BE50E6"/>
    <w:rsid w:val="00BE5408"/>
    <w:rsid w:val="00BE5444"/>
    <w:rsid w:val="00BE569F"/>
    <w:rsid w:val="00BE6BCD"/>
    <w:rsid w:val="00BE78AD"/>
    <w:rsid w:val="00BE7A0C"/>
    <w:rsid w:val="00BE7E51"/>
    <w:rsid w:val="00BF00BB"/>
    <w:rsid w:val="00BF0453"/>
    <w:rsid w:val="00BF064E"/>
    <w:rsid w:val="00BF2928"/>
    <w:rsid w:val="00BF449E"/>
    <w:rsid w:val="00BF59AE"/>
    <w:rsid w:val="00BF5B5D"/>
    <w:rsid w:val="00BF5C55"/>
    <w:rsid w:val="00BF5D60"/>
    <w:rsid w:val="00BF6032"/>
    <w:rsid w:val="00BF61FA"/>
    <w:rsid w:val="00BF6691"/>
    <w:rsid w:val="00C00809"/>
    <w:rsid w:val="00C00F5B"/>
    <w:rsid w:val="00C0182D"/>
    <w:rsid w:val="00C028FC"/>
    <w:rsid w:val="00C037F2"/>
    <w:rsid w:val="00C0386D"/>
    <w:rsid w:val="00C04974"/>
    <w:rsid w:val="00C04DEC"/>
    <w:rsid w:val="00C05A32"/>
    <w:rsid w:val="00C065A1"/>
    <w:rsid w:val="00C0798A"/>
    <w:rsid w:val="00C10AF1"/>
    <w:rsid w:val="00C10D1A"/>
    <w:rsid w:val="00C10ED5"/>
    <w:rsid w:val="00C11FCA"/>
    <w:rsid w:val="00C12574"/>
    <w:rsid w:val="00C129DE"/>
    <w:rsid w:val="00C151A6"/>
    <w:rsid w:val="00C1644A"/>
    <w:rsid w:val="00C16D35"/>
    <w:rsid w:val="00C20DEA"/>
    <w:rsid w:val="00C21AB4"/>
    <w:rsid w:val="00C221A6"/>
    <w:rsid w:val="00C223ED"/>
    <w:rsid w:val="00C22BA9"/>
    <w:rsid w:val="00C23850"/>
    <w:rsid w:val="00C23E91"/>
    <w:rsid w:val="00C24098"/>
    <w:rsid w:val="00C251FC"/>
    <w:rsid w:val="00C25F6D"/>
    <w:rsid w:val="00C26654"/>
    <w:rsid w:val="00C27B48"/>
    <w:rsid w:val="00C304F5"/>
    <w:rsid w:val="00C30A4E"/>
    <w:rsid w:val="00C31C71"/>
    <w:rsid w:val="00C3263D"/>
    <w:rsid w:val="00C32D05"/>
    <w:rsid w:val="00C33634"/>
    <w:rsid w:val="00C337A5"/>
    <w:rsid w:val="00C33B81"/>
    <w:rsid w:val="00C3453F"/>
    <w:rsid w:val="00C364A0"/>
    <w:rsid w:val="00C371B9"/>
    <w:rsid w:val="00C37839"/>
    <w:rsid w:val="00C37A4E"/>
    <w:rsid w:val="00C411F3"/>
    <w:rsid w:val="00C41C17"/>
    <w:rsid w:val="00C4393A"/>
    <w:rsid w:val="00C44105"/>
    <w:rsid w:val="00C446A4"/>
    <w:rsid w:val="00C50863"/>
    <w:rsid w:val="00C523EC"/>
    <w:rsid w:val="00C528BC"/>
    <w:rsid w:val="00C52F36"/>
    <w:rsid w:val="00C54D27"/>
    <w:rsid w:val="00C559BE"/>
    <w:rsid w:val="00C55A33"/>
    <w:rsid w:val="00C564A2"/>
    <w:rsid w:val="00C566CC"/>
    <w:rsid w:val="00C56C30"/>
    <w:rsid w:val="00C571A3"/>
    <w:rsid w:val="00C57C1A"/>
    <w:rsid w:val="00C57FD7"/>
    <w:rsid w:val="00C60468"/>
    <w:rsid w:val="00C61359"/>
    <w:rsid w:val="00C61408"/>
    <w:rsid w:val="00C62B30"/>
    <w:rsid w:val="00C63EB8"/>
    <w:rsid w:val="00C64154"/>
    <w:rsid w:val="00C64D49"/>
    <w:rsid w:val="00C65BA7"/>
    <w:rsid w:val="00C6653F"/>
    <w:rsid w:val="00C66692"/>
    <w:rsid w:val="00C673B5"/>
    <w:rsid w:val="00C67BEA"/>
    <w:rsid w:val="00C7063D"/>
    <w:rsid w:val="00C70F2E"/>
    <w:rsid w:val="00C715C0"/>
    <w:rsid w:val="00C72339"/>
    <w:rsid w:val="00C72682"/>
    <w:rsid w:val="00C72773"/>
    <w:rsid w:val="00C7298B"/>
    <w:rsid w:val="00C72BC5"/>
    <w:rsid w:val="00C73537"/>
    <w:rsid w:val="00C73BB5"/>
    <w:rsid w:val="00C74000"/>
    <w:rsid w:val="00C74CF3"/>
    <w:rsid w:val="00C75AA8"/>
    <w:rsid w:val="00C7699A"/>
    <w:rsid w:val="00C76D96"/>
    <w:rsid w:val="00C779C6"/>
    <w:rsid w:val="00C80335"/>
    <w:rsid w:val="00C818CF"/>
    <w:rsid w:val="00C81F64"/>
    <w:rsid w:val="00C820BC"/>
    <w:rsid w:val="00C830BC"/>
    <w:rsid w:val="00C831E2"/>
    <w:rsid w:val="00C834D9"/>
    <w:rsid w:val="00C8394B"/>
    <w:rsid w:val="00C840A1"/>
    <w:rsid w:val="00C8524D"/>
    <w:rsid w:val="00C854C6"/>
    <w:rsid w:val="00C87302"/>
    <w:rsid w:val="00C9035B"/>
    <w:rsid w:val="00C90904"/>
    <w:rsid w:val="00C91123"/>
    <w:rsid w:val="00C916F6"/>
    <w:rsid w:val="00C938E4"/>
    <w:rsid w:val="00C949B8"/>
    <w:rsid w:val="00C96CBF"/>
    <w:rsid w:val="00C96E52"/>
    <w:rsid w:val="00CA3B49"/>
    <w:rsid w:val="00CA52AE"/>
    <w:rsid w:val="00CA6A0F"/>
    <w:rsid w:val="00CA6CC2"/>
    <w:rsid w:val="00CA71FF"/>
    <w:rsid w:val="00CA7451"/>
    <w:rsid w:val="00CA7A17"/>
    <w:rsid w:val="00CB013A"/>
    <w:rsid w:val="00CB1470"/>
    <w:rsid w:val="00CB1475"/>
    <w:rsid w:val="00CB1901"/>
    <w:rsid w:val="00CB2393"/>
    <w:rsid w:val="00CB2456"/>
    <w:rsid w:val="00CB3A2B"/>
    <w:rsid w:val="00CB4440"/>
    <w:rsid w:val="00CB47BD"/>
    <w:rsid w:val="00CB4A5B"/>
    <w:rsid w:val="00CB5276"/>
    <w:rsid w:val="00CB5BFC"/>
    <w:rsid w:val="00CB68D7"/>
    <w:rsid w:val="00CB6BC0"/>
    <w:rsid w:val="00CB7481"/>
    <w:rsid w:val="00CB785B"/>
    <w:rsid w:val="00CC02F8"/>
    <w:rsid w:val="00CC0620"/>
    <w:rsid w:val="00CC13BB"/>
    <w:rsid w:val="00CC1C62"/>
    <w:rsid w:val="00CC2FEA"/>
    <w:rsid w:val="00CC301A"/>
    <w:rsid w:val="00CC3499"/>
    <w:rsid w:val="00CC4950"/>
    <w:rsid w:val="00CC6895"/>
    <w:rsid w:val="00CC7E68"/>
    <w:rsid w:val="00CD0A95"/>
    <w:rsid w:val="00CD0DA4"/>
    <w:rsid w:val="00CD1E8B"/>
    <w:rsid w:val="00CD206F"/>
    <w:rsid w:val="00CD2AD6"/>
    <w:rsid w:val="00CD3D74"/>
    <w:rsid w:val="00CD55AB"/>
    <w:rsid w:val="00CD7008"/>
    <w:rsid w:val="00CD7132"/>
    <w:rsid w:val="00CD71A9"/>
    <w:rsid w:val="00CE0385"/>
    <w:rsid w:val="00CE0E6F"/>
    <w:rsid w:val="00CE15B1"/>
    <w:rsid w:val="00CE179F"/>
    <w:rsid w:val="00CE32DE"/>
    <w:rsid w:val="00CE3B21"/>
    <w:rsid w:val="00CE436C"/>
    <w:rsid w:val="00CE49F1"/>
    <w:rsid w:val="00CE56FC"/>
    <w:rsid w:val="00CE7A4D"/>
    <w:rsid w:val="00CF0847"/>
    <w:rsid w:val="00CF0D7D"/>
    <w:rsid w:val="00CF32D2"/>
    <w:rsid w:val="00CF3AA8"/>
    <w:rsid w:val="00CF498D"/>
    <w:rsid w:val="00CF4CFE"/>
    <w:rsid w:val="00CF60B5"/>
    <w:rsid w:val="00CF7060"/>
    <w:rsid w:val="00D00E8E"/>
    <w:rsid w:val="00D026F4"/>
    <w:rsid w:val="00D02E0F"/>
    <w:rsid w:val="00D03DFB"/>
    <w:rsid w:val="00D03EAF"/>
    <w:rsid w:val="00D03EE8"/>
    <w:rsid w:val="00D04275"/>
    <w:rsid w:val="00D04730"/>
    <w:rsid w:val="00D04AB6"/>
    <w:rsid w:val="00D06239"/>
    <w:rsid w:val="00D0787D"/>
    <w:rsid w:val="00D10250"/>
    <w:rsid w:val="00D112E7"/>
    <w:rsid w:val="00D12B0F"/>
    <w:rsid w:val="00D13535"/>
    <w:rsid w:val="00D13B24"/>
    <w:rsid w:val="00D15497"/>
    <w:rsid w:val="00D15828"/>
    <w:rsid w:val="00D164FF"/>
    <w:rsid w:val="00D175D0"/>
    <w:rsid w:val="00D179D9"/>
    <w:rsid w:val="00D17B79"/>
    <w:rsid w:val="00D205F5"/>
    <w:rsid w:val="00D20A47"/>
    <w:rsid w:val="00D21AC1"/>
    <w:rsid w:val="00D21EE1"/>
    <w:rsid w:val="00D222A2"/>
    <w:rsid w:val="00D2239E"/>
    <w:rsid w:val="00D2264B"/>
    <w:rsid w:val="00D23FEA"/>
    <w:rsid w:val="00D2461B"/>
    <w:rsid w:val="00D25700"/>
    <w:rsid w:val="00D269CA"/>
    <w:rsid w:val="00D27DE8"/>
    <w:rsid w:val="00D30B48"/>
    <w:rsid w:val="00D3168A"/>
    <w:rsid w:val="00D349C3"/>
    <w:rsid w:val="00D350D1"/>
    <w:rsid w:val="00D353ED"/>
    <w:rsid w:val="00D36F51"/>
    <w:rsid w:val="00D37701"/>
    <w:rsid w:val="00D3786A"/>
    <w:rsid w:val="00D41FE7"/>
    <w:rsid w:val="00D42886"/>
    <w:rsid w:val="00D42D13"/>
    <w:rsid w:val="00D42DD1"/>
    <w:rsid w:val="00D44B57"/>
    <w:rsid w:val="00D46FAA"/>
    <w:rsid w:val="00D47A40"/>
    <w:rsid w:val="00D50D65"/>
    <w:rsid w:val="00D511EE"/>
    <w:rsid w:val="00D514DD"/>
    <w:rsid w:val="00D51606"/>
    <w:rsid w:val="00D51CBC"/>
    <w:rsid w:val="00D51D33"/>
    <w:rsid w:val="00D52448"/>
    <w:rsid w:val="00D524CE"/>
    <w:rsid w:val="00D52FA2"/>
    <w:rsid w:val="00D535FF"/>
    <w:rsid w:val="00D57BB2"/>
    <w:rsid w:val="00D57E57"/>
    <w:rsid w:val="00D60135"/>
    <w:rsid w:val="00D60837"/>
    <w:rsid w:val="00D62FBC"/>
    <w:rsid w:val="00D63015"/>
    <w:rsid w:val="00D63A9A"/>
    <w:rsid w:val="00D6718D"/>
    <w:rsid w:val="00D70752"/>
    <w:rsid w:val="00D70C79"/>
    <w:rsid w:val="00D74401"/>
    <w:rsid w:val="00D747BC"/>
    <w:rsid w:val="00D7753F"/>
    <w:rsid w:val="00D778C3"/>
    <w:rsid w:val="00D80E2D"/>
    <w:rsid w:val="00D82644"/>
    <w:rsid w:val="00D82B9A"/>
    <w:rsid w:val="00D84D5E"/>
    <w:rsid w:val="00D8560E"/>
    <w:rsid w:val="00D87337"/>
    <w:rsid w:val="00D8758F"/>
    <w:rsid w:val="00D9069C"/>
    <w:rsid w:val="00D90D9A"/>
    <w:rsid w:val="00D910B2"/>
    <w:rsid w:val="00D91F4A"/>
    <w:rsid w:val="00D932A5"/>
    <w:rsid w:val="00D944DC"/>
    <w:rsid w:val="00D94BD1"/>
    <w:rsid w:val="00D950F7"/>
    <w:rsid w:val="00DA1A31"/>
    <w:rsid w:val="00DA282F"/>
    <w:rsid w:val="00DA29A1"/>
    <w:rsid w:val="00DA2C55"/>
    <w:rsid w:val="00DA3E20"/>
    <w:rsid w:val="00DA467E"/>
    <w:rsid w:val="00DA4EDD"/>
    <w:rsid w:val="00DA5616"/>
    <w:rsid w:val="00DA5F55"/>
    <w:rsid w:val="00DA6B78"/>
    <w:rsid w:val="00DA7454"/>
    <w:rsid w:val="00DB09CD"/>
    <w:rsid w:val="00DB0BF2"/>
    <w:rsid w:val="00DB122B"/>
    <w:rsid w:val="00DB2386"/>
    <w:rsid w:val="00DB24B8"/>
    <w:rsid w:val="00DB26FC"/>
    <w:rsid w:val="00DB2C72"/>
    <w:rsid w:val="00DB5191"/>
    <w:rsid w:val="00DB7047"/>
    <w:rsid w:val="00DB7C61"/>
    <w:rsid w:val="00DC1D94"/>
    <w:rsid w:val="00DC42CF"/>
    <w:rsid w:val="00DC6CF8"/>
    <w:rsid w:val="00DC738A"/>
    <w:rsid w:val="00DD01C0"/>
    <w:rsid w:val="00DD056D"/>
    <w:rsid w:val="00DD05A0"/>
    <w:rsid w:val="00DD2DF7"/>
    <w:rsid w:val="00DD374C"/>
    <w:rsid w:val="00DD382A"/>
    <w:rsid w:val="00DD4180"/>
    <w:rsid w:val="00DD4640"/>
    <w:rsid w:val="00DD47FF"/>
    <w:rsid w:val="00DD489F"/>
    <w:rsid w:val="00DD592E"/>
    <w:rsid w:val="00DD62F8"/>
    <w:rsid w:val="00DD75AF"/>
    <w:rsid w:val="00DD7AE9"/>
    <w:rsid w:val="00DE057F"/>
    <w:rsid w:val="00DE2082"/>
    <w:rsid w:val="00DE2289"/>
    <w:rsid w:val="00DE397E"/>
    <w:rsid w:val="00DE48E3"/>
    <w:rsid w:val="00DE502D"/>
    <w:rsid w:val="00DE774B"/>
    <w:rsid w:val="00DF09A7"/>
    <w:rsid w:val="00DF20AD"/>
    <w:rsid w:val="00DF2B51"/>
    <w:rsid w:val="00DF33B9"/>
    <w:rsid w:val="00DF4F5E"/>
    <w:rsid w:val="00E000D4"/>
    <w:rsid w:val="00E001D6"/>
    <w:rsid w:val="00E0095F"/>
    <w:rsid w:val="00E0222F"/>
    <w:rsid w:val="00E030A6"/>
    <w:rsid w:val="00E03195"/>
    <w:rsid w:val="00E03708"/>
    <w:rsid w:val="00E0380D"/>
    <w:rsid w:val="00E03A76"/>
    <w:rsid w:val="00E04410"/>
    <w:rsid w:val="00E0472D"/>
    <w:rsid w:val="00E04F45"/>
    <w:rsid w:val="00E0636D"/>
    <w:rsid w:val="00E0730C"/>
    <w:rsid w:val="00E07484"/>
    <w:rsid w:val="00E1016D"/>
    <w:rsid w:val="00E10538"/>
    <w:rsid w:val="00E11351"/>
    <w:rsid w:val="00E11B0B"/>
    <w:rsid w:val="00E140D9"/>
    <w:rsid w:val="00E16A12"/>
    <w:rsid w:val="00E178A9"/>
    <w:rsid w:val="00E22C20"/>
    <w:rsid w:val="00E23194"/>
    <w:rsid w:val="00E26242"/>
    <w:rsid w:val="00E269BB"/>
    <w:rsid w:val="00E26CDD"/>
    <w:rsid w:val="00E2707D"/>
    <w:rsid w:val="00E33F44"/>
    <w:rsid w:val="00E36BF2"/>
    <w:rsid w:val="00E378D1"/>
    <w:rsid w:val="00E37B58"/>
    <w:rsid w:val="00E37D48"/>
    <w:rsid w:val="00E4107F"/>
    <w:rsid w:val="00E4225C"/>
    <w:rsid w:val="00E42667"/>
    <w:rsid w:val="00E44794"/>
    <w:rsid w:val="00E44879"/>
    <w:rsid w:val="00E458CE"/>
    <w:rsid w:val="00E45DD6"/>
    <w:rsid w:val="00E513C0"/>
    <w:rsid w:val="00E523BA"/>
    <w:rsid w:val="00E5252E"/>
    <w:rsid w:val="00E52781"/>
    <w:rsid w:val="00E54797"/>
    <w:rsid w:val="00E55B85"/>
    <w:rsid w:val="00E56C39"/>
    <w:rsid w:val="00E57578"/>
    <w:rsid w:val="00E57D7F"/>
    <w:rsid w:val="00E60BD9"/>
    <w:rsid w:val="00E61243"/>
    <w:rsid w:val="00E61EC3"/>
    <w:rsid w:val="00E61F50"/>
    <w:rsid w:val="00E64DDC"/>
    <w:rsid w:val="00E67158"/>
    <w:rsid w:val="00E67DAB"/>
    <w:rsid w:val="00E67FB7"/>
    <w:rsid w:val="00E70A27"/>
    <w:rsid w:val="00E72327"/>
    <w:rsid w:val="00E72914"/>
    <w:rsid w:val="00E7531A"/>
    <w:rsid w:val="00E75524"/>
    <w:rsid w:val="00E75AE0"/>
    <w:rsid w:val="00E76D24"/>
    <w:rsid w:val="00E76E94"/>
    <w:rsid w:val="00E77940"/>
    <w:rsid w:val="00E77EA9"/>
    <w:rsid w:val="00E80A12"/>
    <w:rsid w:val="00E80D03"/>
    <w:rsid w:val="00E81360"/>
    <w:rsid w:val="00E83C1F"/>
    <w:rsid w:val="00E83C7F"/>
    <w:rsid w:val="00E85684"/>
    <w:rsid w:val="00E8794B"/>
    <w:rsid w:val="00E9003C"/>
    <w:rsid w:val="00E906AF"/>
    <w:rsid w:val="00E90850"/>
    <w:rsid w:val="00E90CAE"/>
    <w:rsid w:val="00E916E3"/>
    <w:rsid w:val="00E9225C"/>
    <w:rsid w:val="00E92992"/>
    <w:rsid w:val="00E92ED5"/>
    <w:rsid w:val="00E95472"/>
    <w:rsid w:val="00E96468"/>
    <w:rsid w:val="00E97656"/>
    <w:rsid w:val="00EA004A"/>
    <w:rsid w:val="00EA172C"/>
    <w:rsid w:val="00EA259B"/>
    <w:rsid w:val="00EA35A3"/>
    <w:rsid w:val="00EA3E6A"/>
    <w:rsid w:val="00EA51D1"/>
    <w:rsid w:val="00EA693F"/>
    <w:rsid w:val="00EA79E5"/>
    <w:rsid w:val="00EA7BF6"/>
    <w:rsid w:val="00EB0CD2"/>
    <w:rsid w:val="00EB153C"/>
    <w:rsid w:val="00EB18EF"/>
    <w:rsid w:val="00EB3C5B"/>
    <w:rsid w:val="00EB58F4"/>
    <w:rsid w:val="00EB64FE"/>
    <w:rsid w:val="00EB730B"/>
    <w:rsid w:val="00EB7507"/>
    <w:rsid w:val="00EB76CD"/>
    <w:rsid w:val="00EB7951"/>
    <w:rsid w:val="00EC12A2"/>
    <w:rsid w:val="00EC1596"/>
    <w:rsid w:val="00EC2C8E"/>
    <w:rsid w:val="00EC386C"/>
    <w:rsid w:val="00EC3A1E"/>
    <w:rsid w:val="00EC4463"/>
    <w:rsid w:val="00EC61E4"/>
    <w:rsid w:val="00EC6BAF"/>
    <w:rsid w:val="00EC73DA"/>
    <w:rsid w:val="00EC75D8"/>
    <w:rsid w:val="00EC7614"/>
    <w:rsid w:val="00EC7855"/>
    <w:rsid w:val="00ED35E7"/>
    <w:rsid w:val="00ED5B6F"/>
    <w:rsid w:val="00ED6A79"/>
    <w:rsid w:val="00ED7363"/>
    <w:rsid w:val="00ED764B"/>
    <w:rsid w:val="00ED79F8"/>
    <w:rsid w:val="00EE17DF"/>
    <w:rsid w:val="00EE278F"/>
    <w:rsid w:val="00EE374B"/>
    <w:rsid w:val="00EE4342"/>
    <w:rsid w:val="00EE55F6"/>
    <w:rsid w:val="00EE579F"/>
    <w:rsid w:val="00EE5973"/>
    <w:rsid w:val="00EE6426"/>
    <w:rsid w:val="00EE6806"/>
    <w:rsid w:val="00EE74CF"/>
    <w:rsid w:val="00EF09E1"/>
    <w:rsid w:val="00EF0CFF"/>
    <w:rsid w:val="00EF0E12"/>
    <w:rsid w:val="00EF1482"/>
    <w:rsid w:val="00EF1526"/>
    <w:rsid w:val="00EF2F24"/>
    <w:rsid w:val="00EF4155"/>
    <w:rsid w:val="00EF4621"/>
    <w:rsid w:val="00EF483F"/>
    <w:rsid w:val="00EF4D52"/>
    <w:rsid w:val="00EF6312"/>
    <w:rsid w:val="00EF6924"/>
    <w:rsid w:val="00EF7049"/>
    <w:rsid w:val="00EF7A2C"/>
    <w:rsid w:val="00F01166"/>
    <w:rsid w:val="00F011D2"/>
    <w:rsid w:val="00F01510"/>
    <w:rsid w:val="00F01616"/>
    <w:rsid w:val="00F01874"/>
    <w:rsid w:val="00F02627"/>
    <w:rsid w:val="00F038B0"/>
    <w:rsid w:val="00F03F9D"/>
    <w:rsid w:val="00F05879"/>
    <w:rsid w:val="00F05F34"/>
    <w:rsid w:val="00F076B0"/>
    <w:rsid w:val="00F077C9"/>
    <w:rsid w:val="00F10E45"/>
    <w:rsid w:val="00F113D2"/>
    <w:rsid w:val="00F11985"/>
    <w:rsid w:val="00F11C85"/>
    <w:rsid w:val="00F12411"/>
    <w:rsid w:val="00F15EA0"/>
    <w:rsid w:val="00F16989"/>
    <w:rsid w:val="00F16F4D"/>
    <w:rsid w:val="00F178CA"/>
    <w:rsid w:val="00F17EFC"/>
    <w:rsid w:val="00F208FC"/>
    <w:rsid w:val="00F21B49"/>
    <w:rsid w:val="00F22511"/>
    <w:rsid w:val="00F22B27"/>
    <w:rsid w:val="00F234A7"/>
    <w:rsid w:val="00F24F71"/>
    <w:rsid w:val="00F2655E"/>
    <w:rsid w:val="00F26C8F"/>
    <w:rsid w:val="00F277B6"/>
    <w:rsid w:val="00F27DA5"/>
    <w:rsid w:val="00F31404"/>
    <w:rsid w:val="00F31504"/>
    <w:rsid w:val="00F31B92"/>
    <w:rsid w:val="00F334B7"/>
    <w:rsid w:val="00F33986"/>
    <w:rsid w:val="00F347A1"/>
    <w:rsid w:val="00F37E07"/>
    <w:rsid w:val="00F4182A"/>
    <w:rsid w:val="00F41D3E"/>
    <w:rsid w:val="00F42819"/>
    <w:rsid w:val="00F42E63"/>
    <w:rsid w:val="00F43300"/>
    <w:rsid w:val="00F44210"/>
    <w:rsid w:val="00F44F22"/>
    <w:rsid w:val="00F45E43"/>
    <w:rsid w:val="00F464AF"/>
    <w:rsid w:val="00F464ED"/>
    <w:rsid w:val="00F51E44"/>
    <w:rsid w:val="00F51F30"/>
    <w:rsid w:val="00F522D5"/>
    <w:rsid w:val="00F53467"/>
    <w:rsid w:val="00F53A56"/>
    <w:rsid w:val="00F54380"/>
    <w:rsid w:val="00F54B47"/>
    <w:rsid w:val="00F559BA"/>
    <w:rsid w:val="00F5605A"/>
    <w:rsid w:val="00F56AB0"/>
    <w:rsid w:val="00F576AC"/>
    <w:rsid w:val="00F61247"/>
    <w:rsid w:val="00F61F61"/>
    <w:rsid w:val="00F62375"/>
    <w:rsid w:val="00F63191"/>
    <w:rsid w:val="00F631D1"/>
    <w:rsid w:val="00F64CFC"/>
    <w:rsid w:val="00F65B8B"/>
    <w:rsid w:val="00F66A2D"/>
    <w:rsid w:val="00F66FBE"/>
    <w:rsid w:val="00F6702E"/>
    <w:rsid w:val="00F67241"/>
    <w:rsid w:val="00F70E84"/>
    <w:rsid w:val="00F71378"/>
    <w:rsid w:val="00F7183F"/>
    <w:rsid w:val="00F72007"/>
    <w:rsid w:val="00F72E5D"/>
    <w:rsid w:val="00F7398A"/>
    <w:rsid w:val="00F7410B"/>
    <w:rsid w:val="00F744BB"/>
    <w:rsid w:val="00F74D06"/>
    <w:rsid w:val="00F751C9"/>
    <w:rsid w:val="00F76218"/>
    <w:rsid w:val="00F766F8"/>
    <w:rsid w:val="00F76B41"/>
    <w:rsid w:val="00F77F0E"/>
    <w:rsid w:val="00F80685"/>
    <w:rsid w:val="00F82521"/>
    <w:rsid w:val="00F8377E"/>
    <w:rsid w:val="00F84069"/>
    <w:rsid w:val="00F902F5"/>
    <w:rsid w:val="00F90605"/>
    <w:rsid w:val="00F91CAE"/>
    <w:rsid w:val="00F94968"/>
    <w:rsid w:val="00F9585B"/>
    <w:rsid w:val="00F95B57"/>
    <w:rsid w:val="00F96287"/>
    <w:rsid w:val="00F97CB2"/>
    <w:rsid w:val="00FA092B"/>
    <w:rsid w:val="00FA0BC0"/>
    <w:rsid w:val="00FA21DD"/>
    <w:rsid w:val="00FA2313"/>
    <w:rsid w:val="00FA4F6C"/>
    <w:rsid w:val="00FA6A30"/>
    <w:rsid w:val="00FA6EFD"/>
    <w:rsid w:val="00FA76D0"/>
    <w:rsid w:val="00FA7FFC"/>
    <w:rsid w:val="00FB1449"/>
    <w:rsid w:val="00FB18CC"/>
    <w:rsid w:val="00FB2312"/>
    <w:rsid w:val="00FB31CC"/>
    <w:rsid w:val="00FB3791"/>
    <w:rsid w:val="00FB475A"/>
    <w:rsid w:val="00FB5207"/>
    <w:rsid w:val="00FB6780"/>
    <w:rsid w:val="00FB6D50"/>
    <w:rsid w:val="00FB74EA"/>
    <w:rsid w:val="00FC0983"/>
    <w:rsid w:val="00FC77F4"/>
    <w:rsid w:val="00FD0ADB"/>
    <w:rsid w:val="00FD10D9"/>
    <w:rsid w:val="00FD2C9E"/>
    <w:rsid w:val="00FD3D55"/>
    <w:rsid w:val="00FD408B"/>
    <w:rsid w:val="00FD4786"/>
    <w:rsid w:val="00FD4A9A"/>
    <w:rsid w:val="00FD4D4B"/>
    <w:rsid w:val="00FD616C"/>
    <w:rsid w:val="00FD76CC"/>
    <w:rsid w:val="00FE0D2A"/>
    <w:rsid w:val="00FE2FCA"/>
    <w:rsid w:val="00FE37BC"/>
    <w:rsid w:val="00FE39DF"/>
    <w:rsid w:val="00FE41B6"/>
    <w:rsid w:val="00FE45BE"/>
    <w:rsid w:val="00FE53F2"/>
    <w:rsid w:val="00FE54E7"/>
    <w:rsid w:val="00FE6353"/>
    <w:rsid w:val="00FF05C8"/>
    <w:rsid w:val="00FF0A00"/>
    <w:rsid w:val="00FF11A2"/>
    <w:rsid w:val="00FF1C57"/>
    <w:rsid w:val="00FF1F43"/>
    <w:rsid w:val="00FF2581"/>
    <w:rsid w:val="00FF30FB"/>
    <w:rsid w:val="00FF4D83"/>
    <w:rsid w:val="00FF6705"/>
    <w:rsid w:val="00FF772F"/>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481"/>
    <o:shapelayout v:ext="edit">
      <o:idmap v:ext="edit" data="1"/>
    </o:shapelayout>
  </w:shapeDefaults>
  <w:decimalSymbol w:val="."/>
  <w:listSeparator w:val=","/>
  <w14:docId w14:val="14E0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C7699A"/>
    <w:pPr>
      <w:autoSpaceDE w:val="0"/>
      <w:autoSpaceDN w:val="0"/>
      <w:adjustRightInd w:val="0"/>
      <w:ind w:left="1440"/>
    </w:pPr>
    <w:rPr>
      <w:sz w:val="24"/>
      <w:szCs w:val="24"/>
    </w:rPr>
  </w:style>
  <w:style w:type="character" w:customStyle="1" w:styleId="FootnoteTextChar">
    <w:name w:val="Footnote Text Char"/>
    <w:link w:val="FootnoteText"/>
    <w:uiPriority w:val="99"/>
    <w:rsid w:val="00C7699A"/>
  </w:style>
  <w:style w:type="paragraph" w:styleId="ListParagraph">
    <w:name w:val="List Paragraph"/>
    <w:basedOn w:val="Normal"/>
    <w:uiPriority w:val="34"/>
    <w:qFormat/>
    <w:rsid w:val="00E70A27"/>
    <w:pPr>
      <w:ind w:left="720"/>
      <w:contextualSpacing/>
      <w:jc w:val="both"/>
    </w:pPr>
    <w:rPr>
      <w:szCs w:val="20"/>
    </w:rPr>
  </w:style>
  <w:style w:type="character" w:customStyle="1" w:styleId="PrehearingSection">
    <w:name w:val="Prehearing Section"/>
    <w:rsid w:val="00772270"/>
    <w:rPr>
      <w:u w:val="single"/>
    </w:rPr>
  </w:style>
  <w:style w:type="paragraph" w:styleId="BalloonText">
    <w:name w:val="Balloon Text"/>
    <w:basedOn w:val="Normal"/>
    <w:link w:val="BalloonTextChar"/>
    <w:semiHidden/>
    <w:unhideWhenUsed/>
    <w:rsid w:val="00604616"/>
    <w:rPr>
      <w:rFonts w:ascii="Segoe UI" w:hAnsi="Segoe UI" w:cs="Segoe UI"/>
      <w:sz w:val="18"/>
      <w:szCs w:val="18"/>
    </w:rPr>
  </w:style>
  <w:style w:type="character" w:customStyle="1" w:styleId="BalloonTextChar">
    <w:name w:val="Balloon Text Char"/>
    <w:basedOn w:val="DefaultParagraphFont"/>
    <w:link w:val="BalloonText"/>
    <w:semiHidden/>
    <w:rsid w:val="00604616"/>
    <w:rPr>
      <w:rFonts w:ascii="Segoe UI" w:hAnsi="Segoe UI" w:cs="Segoe UI"/>
      <w:sz w:val="18"/>
      <w:szCs w:val="18"/>
    </w:rPr>
  </w:style>
  <w:style w:type="character" w:styleId="CommentReference">
    <w:name w:val="annotation reference"/>
    <w:unhideWhenUsed/>
    <w:rsid w:val="004E2678"/>
    <w:rPr>
      <w:sz w:val="16"/>
      <w:szCs w:val="16"/>
    </w:rPr>
  </w:style>
  <w:style w:type="paragraph" w:styleId="CommentText">
    <w:name w:val="annotation text"/>
    <w:basedOn w:val="Normal"/>
    <w:link w:val="CommentTextChar"/>
    <w:semiHidden/>
    <w:unhideWhenUsed/>
    <w:rsid w:val="008A6617"/>
    <w:rPr>
      <w:sz w:val="20"/>
      <w:szCs w:val="20"/>
    </w:rPr>
  </w:style>
  <w:style w:type="character" w:customStyle="1" w:styleId="CommentTextChar">
    <w:name w:val="Comment Text Char"/>
    <w:basedOn w:val="DefaultParagraphFont"/>
    <w:link w:val="CommentText"/>
    <w:semiHidden/>
    <w:rsid w:val="008A6617"/>
  </w:style>
  <w:style w:type="paragraph" w:styleId="CommentSubject">
    <w:name w:val="annotation subject"/>
    <w:basedOn w:val="CommentText"/>
    <w:next w:val="CommentText"/>
    <w:link w:val="CommentSubjectChar"/>
    <w:semiHidden/>
    <w:unhideWhenUsed/>
    <w:rsid w:val="008A6617"/>
    <w:rPr>
      <w:b/>
      <w:bCs/>
    </w:rPr>
  </w:style>
  <w:style w:type="character" w:customStyle="1" w:styleId="CommentSubjectChar">
    <w:name w:val="Comment Subject Char"/>
    <w:basedOn w:val="CommentTextChar"/>
    <w:link w:val="CommentSubject"/>
    <w:semiHidden/>
    <w:rsid w:val="008A66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71243705">
      <w:bodyDiv w:val="1"/>
      <w:marLeft w:val="0"/>
      <w:marRight w:val="0"/>
      <w:marTop w:val="0"/>
      <w:marBottom w:val="0"/>
      <w:divBdr>
        <w:top w:val="none" w:sz="0" w:space="0" w:color="auto"/>
        <w:left w:val="none" w:sz="0" w:space="0" w:color="auto"/>
        <w:bottom w:val="none" w:sz="0" w:space="0" w:color="auto"/>
        <w:right w:val="none" w:sz="0" w:space="0" w:color="auto"/>
      </w:divBdr>
    </w:div>
    <w:div w:id="54028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cid:image005.png@01DAD76D.DF63609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4DD59-FC33-4ED0-85FF-9B7B2C4B1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145</Pages>
  <Words>35197</Words>
  <Characters>200623</Characters>
  <Application>Microsoft Office Word</Application>
  <DocSecurity>0</DocSecurity>
  <Lines>1671</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2024-08-14T12:52:00Z</dcterms:created>
  <dcterms:modified xsi:type="dcterms:W3CDTF">2024-08-14T13:31:00Z</dcterms:modified>
</cp:coreProperties>
</file>